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C2B8D">
          <w:footerReference w:type="even" r:id="rId12"/>
          <w:footerReference w:type="default" r:id="rId13"/>
          <w:footerReference w:type="first" r:id="rId14"/>
          <w:pgSz w:w="11906" w:h="16838" w:code="9"/>
          <w:pgMar w:top="1985" w:right="851" w:bottom="1701" w:left="851" w:header="340" w:footer="1701" w:gutter="0"/>
          <w:cols w:space="708"/>
          <w:titlePg/>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417444">
        <w:trPr>
          <w:trHeight w:val="1418"/>
        </w:trPr>
        <w:tc>
          <w:tcPr>
            <w:tcW w:w="10206" w:type="dxa"/>
            <w:vAlign w:val="bottom"/>
          </w:tcPr>
          <w:p w14:paraId="1B06FE4C" w14:textId="3FDD4CE8" w:rsidR="00AD784C" w:rsidRPr="0009050A" w:rsidRDefault="001D715E" w:rsidP="0016037B">
            <w:pPr>
              <w:pStyle w:val="Documenttitle"/>
            </w:pPr>
            <w:r w:rsidRPr="001D715E">
              <w:t>10. Priority Transfer</w:t>
            </w:r>
          </w:p>
        </w:tc>
      </w:tr>
      <w:tr w:rsidR="000B2117" w14:paraId="5DF317EC" w14:textId="77777777" w:rsidTr="00417444">
        <w:trPr>
          <w:trHeight w:val="1247"/>
        </w:trPr>
        <w:tc>
          <w:tcPr>
            <w:tcW w:w="10206" w:type="dxa"/>
          </w:tcPr>
          <w:p w14:paraId="69C24C39" w14:textId="12CDD694" w:rsidR="000B2117" w:rsidRPr="0016037B" w:rsidRDefault="00695006" w:rsidP="0016037B">
            <w:pPr>
              <w:pStyle w:val="Documentsubtitle"/>
            </w:pPr>
            <w:r w:rsidRPr="00695006">
              <w:t xml:space="preserve">Operational </w:t>
            </w:r>
            <w:r>
              <w:t>guidelines</w:t>
            </w:r>
          </w:p>
        </w:tc>
      </w:tr>
      <w:tr w:rsidR="00CF4148" w14:paraId="5F5E6105" w14:textId="77777777" w:rsidTr="00417444">
        <w:trPr>
          <w:trHeight w:val="284"/>
        </w:trPr>
        <w:tc>
          <w:tcPr>
            <w:tcW w:w="10206"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629F7CF3" w14:textId="7D027002" w:rsidR="00797C0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2825359" w:history="1">
        <w:r w:rsidR="00797C0F" w:rsidRPr="00411DB6">
          <w:rPr>
            <w:rStyle w:val="Hyperlink"/>
          </w:rPr>
          <w:t>When do these operational guidelines apply?</w:t>
        </w:r>
        <w:r w:rsidR="00797C0F">
          <w:rPr>
            <w:webHidden/>
          </w:rPr>
          <w:tab/>
        </w:r>
        <w:r w:rsidR="00797C0F">
          <w:rPr>
            <w:webHidden/>
          </w:rPr>
          <w:fldChar w:fldCharType="begin"/>
        </w:r>
        <w:r w:rsidR="00797C0F">
          <w:rPr>
            <w:webHidden/>
          </w:rPr>
          <w:instrText xml:space="preserve"> PAGEREF _Toc222825359 \h </w:instrText>
        </w:r>
        <w:r w:rsidR="00797C0F">
          <w:rPr>
            <w:webHidden/>
          </w:rPr>
        </w:r>
        <w:r w:rsidR="00797C0F">
          <w:rPr>
            <w:webHidden/>
          </w:rPr>
          <w:fldChar w:fldCharType="separate"/>
        </w:r>
        <w:r w:rsidR="00797C0F">
          <w:rPr>
            <w:webHidden/>
          </w:rPr>
          <w:t>2</w:t>
        </w:r>
        <w:r w:rsidR="00797C0F">
          <w:rPr>
            <w:webHidden/>
          </w:rPr>
          <w:fldChar w:fldCharType="end"/>
        </w:r>
      </w:hyperlink>
    </w:p>
    <w:p w14:paraId="1B89682C" w14:textId="6D11FAC1" w:rsidR="00797C0F" w:rsidRDefault="00797C0F">
      <w:pPr>
        <w:pStyle w:val="TOC1"/>
        <w:rPr>
          <w:rFonts w:asciiTheme="minorHAnsi" w:eastAsiaTheme="minorEastAsia" w:hAnsiTheme="minorHAnsi" w:cstheme="minorBidi"/>
          <w:b w:val="0"/>
          <w:kern w:val="2"/>
          <w:sz w:val="24"/>
          <w:szCs w:val="24"/>
          <w:lang w:eastAsia="en-AU"/>
          <w14:ligatures w14:val="standardContextual"/>
        </w:rPr>
      </w:pPr>
      <w:hyperlink w:anchor="_Toc222825360" w:history="1">
        <w:r w:rsidRPr="00411DB6">
          <w:rPr>
            <w:rStyle w:val="Hyperlink"/>
          </w:rPr>
          <w:t>Purpose Statement</w:t>
        </w:r>
        <w:r>
          <w:rPr>
            <w:webHidden/>
          </w:rPr>
          <w:tab/>
        </w:r>
        <w:r>
          <w:rPr>
            <w:webHidden/>
          </w:rPr>
          <w:fldChar w:fldCharType="begin"/>
        </w:r>
        <w:r>
          <w:rPr>
            <w:webHidden/>
          </w:rPr>
          <w:instrText xml:space="preserve"> PAGEREF _Toc222825360 \h </w:instrText>
        </w:r>
        <w:r>
          <w:rPr>
            <w:webHidden/>
          </w:rPr>
        </w:r>
        <w:r>
          <w:rPr>
            <w:webHidden/>
          </w:rPr>
          <w:fldChar w:fldCharType="separate"/>
        </w:r>
        <w:r>
          <w:rPr>
            <w:webHidden/>
          </w:rPr>
          <w:t>2</w:t>
        </w:r>
        <w:r>
          <w:rPr>
            <w:webHidden/>
          </w:rPr>
          <w:fldChar w:fldCharType="end"/>
        </w:r>
      </w:hyperlink>
    </w:p>
    <w:p w14:paraId="016E1710" w14:textId="21081B61" w:rsidR="00797C0F" w:rsidRDefault="00797C0F">
      <w:pPr>
        <w:pStyle w:val="TOC1"/>
        <w:rPr>
          <w:rFonts w:asciiTheme="minorHAnsi" w:eastAsiaTheme="minorEastAsia" w:hAnsiTheme="minorHAnsi" w:cstheme="minorBidi"/>
          <w:b w:val="0"/>
          <w:kern w:val="2"/>
          <w:sz w:val="24"/>
          <w:szCs w:val="24"/>
          <w:lang w:eastAsia="en-AU"/>
          <w14:ligatures w14:val="standardContextual"/>
        </w:rPr>
      </w:pPr>
      <w:hyperlink w:anchor="_Toc222825361" w:history="1">
        <w:r w:rsidRPr="00411DB6">
          <w:rPr>
            <w:rStyle w:val="Hyperlink"/>
          </w:rPr>
          <w:t>Human rights considerations</w:t>
        </w:r>
        <w:r>
          <w:rPr>
            <w:webHidden/>
          </w:rPr>
          <w:tab/>
        </w:r>
        <w:r>
          <w:rPr>
            <w:webHidden/>
          </w:rPr>
          <w:fldChar w:fldCharType="begin"/>
        </w:r>
        <w:r>
          <w:rPr>
            <w:webHidden/>
          </w:rPr>
          <w:instrText xml:space="preserve"> PAGEREF _Toc222825361 \h </w:instrText>
        </w:r>
        <w:r>
          <w:rPr>
            <w:webHidden/>
          </w:rPr>
        </w:r>
        <w:r>
          <w:rPr>
            <w:webHidden/>
          </w:rPr>
          <w:fldChar w:fldCharType="separate"/>
        </w:r>
        <w:r>
          <w:rPr>
            <w:webHidden/>
          </w:rPr>
          <w:t>2</w:t>
        </w:r>
        <w:r>
          <w:rPr>
            <w:webHidden/>
          </w:rPr>
          <w:fldChar w:fldCharType="end"/>
        </w:r>
      </w:hyperlink>
    </w:p>
    <w:p w14:paraId="77776154" w14:textId="11E4BEC4" w:rsidR="00797C0F" w:rsidRDefault="00797C0F">
      <w:pPr>
        <w:pStyle w:val="TOC1"/>
        <w:rPr>
          <w:rFonts w:asciiTheme="minorHAnsi" w:eastAsiaTheme="minorEastAsia" w:hAnsiTheme="minorHAnsi" w:cstheme="minorBidi"/>
          <w:b w:val="0"/>
          <w:kern w:val="2"/>
          <w:sz w:val="24"/>
          <w:szCs w:val="24"/>
          <w:lang w:eastAsia="en-AU"/>
          <w14:ligatures w14:val="standardContextual"/>
        </w:rPr>
      </w:pPr>
      <w:hyperlink w:anchor="_Toc222825362" w:history="1">
        <w:r w:rsidRPr="00411DB6">
          <w:rPr>
            <w:rStyle w:val="Hyperlink"/>
          </w:rPr>
          <w:t>Eligibility for priority transfers</w:t>
        </w:r>
        <w:r>
          <w:rPr>
            <w:webHidden/>
          </w:rPr>
          <w:tab/>
        </w:r>
        <w:r>
          <w:rPr>
            <w:webHidden/>
          </w:rPr>
          <w:fldChar w:fldCharType="begin"/>
        </w:r>
        <w:r>
          <w:rPr>
            <w:webHidden/>
          </w:rPr>
          <w:instrText xml:space="preserve"> PAGEREF _Toc222825362 \h </w:instrText>
        </w:r>
        <w:r>
          <w:rPr>
            <w:webHidden/>
          </w:rPr>
        </w:r>
        <w:r>
          <w:rPr>
            <w:webHidden/>
          </w:rPr>
          <w:fldChar w:fldCharType="separate"/>
        </w:r>
        <w:r>
          <w:rPr>
            <w:webHidden/>
          </w:rPr>
          <w:t>3</w:t>
        </w:r>
        <w:r>
          <w:rPr>
            <w:webHidden/>
          </w:rPr>
          <w:fldChar w:fldCharType="end"/>
        </w:r>
      </w:hyperlink>
    </w:p>
    <w:p w14:paraId="39DDCD47" w14:textId="65820DD3" w:rsidR="00797C0F" w:rsidRDefault="00797C0F">
      <w:pPr>
        <w:pStyle w:val="TOC1"/>
        <w:rPr>
          <w:rFonts w:asciiTheme="minorHAnsi" w:eastAsiaTheme="minorEastAsia" w:hAnsiTheme="minorHAnsi" w:cstheme="minorBidi"/>
          <w:b w:val="0"/>
          <w:kern w:val="2"/>
          <w:sz w:val="24"/>
          <w:szCs w:val="24"/>
          <w:lang w:eastAsia="en-AU"/>
          <w14:ligatures w14:val="standardContextual"/>
        </w:rPr>
      </w:pPr>
      <w:hyperlink w:anchor="_Toc222825363" w:history="1">
        <w:r w:rsidRPr="00411DB6">
          <w:rPr>
            <w:rStyle w:val="Hyperlink"/>
          </w:rPr>
          <w:t>Eligibility criteria</w:t>
        </w:r>
        <w:r>
          <w:rPr>
            <w:webHidden/>
          </w:rPr>
          <w:tab/>
        </w:r>
        <w:r>
          <w:rPr>
            <w:webHidden/>
          </w:rPr>
          <w:fldChar w:fldCharType="begin"/>
        </w:r>
        <w:r>
          <w:rPr>
            <w:webHidden/>
          </w:rPr>
          <w:instrText xml:space="preserve"> PAGEREF _Toc222825363 \h </w:instrText>
        </w:r>
        <w:r>
          <w:rPr>
            <w:webHidden/>
          </w:rPr>
        </w:r>
        <w:r>
          <w:rPr>
            <w:webHidden/>
          </w:rPr>
          <w:fldChar w:fldCharType="separate"/>
        </w:r>
        <w:r>
          <w:rPr>
            <w:webHidden/>
          </w:rPr>
          <w:t>3</w:t>
        </w:r>
        <w:r>
          <w:rPr>
            <w:webHidden/>
          </w:rPr>
          <w:fldChar w:fldCharType="end"/>
        </w:r>
      </w:hyperlink>
    </w:p>
    <w:p w14:paraId="0D18E241" w14:textId="7E259C6F" w:rsidR="00797C0F" w:rsidRDefault="00797C0F">
      <w:pPr>
        <w:pStyle w:val="TOC2"/>
        <w:rPr>
          <w:rFonts w:asciiTheme="minorHAnsi" w:eastAsiaTheme="minorEastAsia" w:hAnsiTheme="minorHAnsi" w:cstheme="minorBidi"/>
          <w:kern w:val="2"/>
          <w:sz w:val="24"/>
          <w:szCs w:val="24"/>
          <w:lang w:eastAsia="en-AU"/>
          <w14:ligatures w14:val="standardContextual"/>
        </w:rPr>
      </w:pPr>
      <w:hyperlink w:anchor="_Toc222825364" w:history="1">
        <w:r w:rsidRPr="00411DB6">
          <w:rPr>
            <w:rStyle w:val="Hyperlink"/>
          </w:rPr>
          <w:t>Income eligibility</w:t>
        </w:r>
        <w:r>
          <w:rPr>
            <w:webHidden/>
          </w:rPr>
          <w:tab/>
        </w:r>
        <w:r>
          <w:rPr>
            <w:webHidden/>
          </w:rPr>
          <w:fldChar w:fldCharType="begin"/>
        </w:r>
        <w:r>
          <w:rPr>
            <w:webHidden/>
          </w:rPr>
          <w:instrText xml:space="preserve"> PAGEREF _Toc222825364 \h </w:instrText>
        </w:r>
        <w:r>
          <w:rPr>
            <w:webHidden/>
          </w:rPr>
        </w:r>
        <w:r>
          <w:rPr>
            <w:webHidden/>
          </w:rPr>
          <w:fldChar w:fldCharType="separate"/>
        </w:r>
        <w:r>
          <w:rPr>
            <w:webHidden/>
          </w:rPr>
          <w:t>3</w:t>
        </w:r>
        <w:r>
          <w:rPr>
            <w:webHidden/>
          </w:rPr>
          <w:fldChar w:fldCharType="end"/>
        </w:r>
      </w:hyperlink>
    </w:p>
    <w:p w14:paraId="0EAC99B4" w14:textId="0CAD595A" w:rsidR="00797C0F" w:rsidRDefault="00797C0F">
      <w:pPr>
        <w:pStyle w:val="TOC2"/>
        <w:rPr>
          <w:rFonts w:asciiTheme="minorHAnsi" w:eastAsiaTheme="minorEastAsia" w:hAnsiTheme="minorHAnsi" w:cstheme="minorBidi"/>
          <w:kern w:val="2"/>
          <w:sz w:val="24"/>
          <w:szCs w:val="24"/>
          <w:lang w:eastAsia="en-AU"/>
          <w14:ligatures w14:val="standardContextual"/>
        </w:rPr>
      </w:pPr>
      <w:hyperlink w:anchor="_Toc222825365" w:history="1">
        <w:r w:rsidRPr="00411DB6">
          <w:rPr>
            <w:rStyle w:val="Hyperlink"/>
          </w:rPr>
          <w:t>Asset eligibility</w:t>
        </w:r>
        <w:r>
          <w:rPr>
            <w:webHidden/>
          </w:rPr>
          <w:tab/>
        </w:r>
        <w:r>
          <w:rPr>
            <w:webHidden/>
          </w:rPr>
          <w:fldChar w:fldCharType="begin"/>
        </w:r>
        <w:r>
          <w:rPr>
            <w:webHidden/>
          </w:rPr>
          <w:instrText xml:space="preserve"> PAGEREF _Toc222825365 \h </w:instrText>
        </w:r>
        <w:r>
          <w:rPr>
            <w:webHidden/>
          </w:rPr>
        </w:r>
        <w:r>
          <w:rPr>
            <w:webHidden/>
          </w:rPr>
          <w:fldChar w:fldCharType="separate"/>
        </w:r>
        <w:r>
          <w:rPr>
            <w:webHidden/>
          </w:rPr>
          <w:t>3</w:t>
        </w:r>
        <w:r>
          <w:rPr>
            <w:webHidden/>
          </w:rPr>
          <w:fldChar w:fldCharType="end"/>
        </w:r>
      </w:hyperlink>
    </w:p>
    <w:p w14:paraId="0E9149D0" w14:textId="2B4D68C1" w:rsidR="00797C0F" w:rsidRDefault="00797C0F">
      <w:pPr>
        <w:pStyle w:val="TOC2"/>
        <w:rPr>
          <w:rFonts w:asciiTheme="minorHAnsi" w:eastAsiaTheme="minorEastAsia" w:hAnsiTheme="minorHAnsi" w:cstheme="minorBidi"/>
          <w:kern w:val="2"/>
          <w:sz w:val="24"/>
          <w:szCs w:val="24"/>
          <w:lang w:eastAsia="en-AU"/>
          <w14:ligatures w14:val="standardContextual"/>
        </w:rPr>
      </w:pPr>
      <w:hyperlink w:anchor="_Toc222825366" w:history="1">
        <w:r w:rsidRPr="00411DB6">
          <w:rPr>
            <w:rStyle w:val="Hyperlink"/>
          </w:rPr>
          <w:t>Eligibility specific to Priority Transfers category</w:t>
        </w:r>
        <w:r>
          <w:rPr>
            <w:webHidden/>
          </w:rPr>
          <w:tab/>
        </w:r>
        <w:r>
          <w:rPr>
            <w:webHidden/>
          </w:rPr>
          <w:fldChar w:fldCharType="begin"/>
        </w:r>
        <w:r>
          <w:rPr>
            <w:webHidden/>
          </w:rPr>
          <w:instrText xml:space="preserve"> PAGEREF _Toc222825366 \h </w:instrText>
        </w:r>
        <w:r>
          <w:rPr>
            <w:webHidden/>
          </w:rPr>
        </w:r>
        <w:r>
          <w:rPr>
            <w:webHidden/>
          </w:rPr>
          <w:fldChar w:fldCharType="separate"/>
        </w:r>
        <w:r>
          <w:rPr>
            <w:webHidden/>
          </w:rPr>
          <w:t>3</w:t>
        </w:r>
        <w:r>
          <w:rPr>
            <w:webHidden/>
          </w:rPr>
          <w:fldChar w:fldCharType="end"/>
        </w:r>
      </w:hyperlink>
    </w:p>
    <w:p w14:paraId="76C9659C" w14:textId="686FEF3A" w:rsidR="00797C0F" w:rsidRDefault="00797C0F">
      <w:pPr>
        <w:pStyle w:val="TOC1"/>
        <w:rPr>
          <w:rFonts w:asciiTheme="minorHAnsi" w:eastAsiaTheme="minorEastAsia" w:hAnsiTheme="minorHAnsi" w:cstheme="minorBidi"/>
          <w:b w:val="0"/>
          <w:kern w:val="2"/>
          <w:sz w:val="24"/>
          <w:szCs w:val="24"/>
          <w:lang w:eastAsia="en-AU"/>
          <w14:ligatures w14:val="standardContextual"/>
        </w:rPr>
      </w:pPr>
      <w:hyperlink w:anchor="_Toc222825367" w:history="1">
        <w:r w:rsidRPr="00411DB6">
          <w:rPr>
            <w:rStyle w:val="Hyperlink"/>
          </w:rPr>
          <w:t>Applying for Priority Transfer</w:t>
        </w:r>
        <w:r>
          <w:rPr>
            <w:webHidden/>
          </w:rPr>
          <w:tab/>
        </w:r>
        <w:r>
          <w:rPr>
            <w:webHidden/>
          </w:rPr>
          <w:fldChar w:fldCharType="begin"/>
        </w:r>
        <w:r>
          <w:rPr>
            <w:webHidden/>
          </w:rPr>
          <w:instrText xml:space="preserve"> PAGEREF _Toc222825367 \h </w:instrText>
        </w:r>
        <w:r>
          <w:rPr>
            <w:webHidden/>
          </w:rPr>
        </w:r>
        <w:r>
          <w:rPr>
            <w:webHidden/>
          </w:rPr>
          <w:fldChar w:fldCharType="separate"/>
        </w:r>
        <w:r>
          <w:rPr>
            <w:webHidden/>
          </w:rPr>
          <w:t>8</w:t>
        </w:r>
        <w:r>
          <w:rPr>
            <w:webHidden/>
          </w:rPr>
          <w:fldChar w:fldCharType="end"/>
        </w:r>
      </w:hyperlink>
    </w:p>
    <w:p w14:paraId="274C0297" w14:textId="1BE26224" w:rsidR="00797C0F" w:rsidRDefault="00797C0F">
      <w:pPr>
        <w:pStyle w:val="TOC1"/>
        <w:rPr>
          <w:rFonts w:asciiTheme="minorHAnsi" w:eastAsiaTheme="minorEastAsia" w:hAnsiTheme="minorHAnsi" w:cstheme="minorBidi"/>
          <w:b w:val="0"/>
          <w:kern w:val="2"/>
          <w:sz w:val="24"/>
          <w:szCs w:val="24"/>
          <w:lang w:eastAsia="en-AU"/>
          <w14:ligatures w14:val="standardContextual"/>
        </w:rPr>
      </w:pPr>
      <w:hyperlink w:anchor="_Toc222825368" w:history="1">
        <w:r w:rsidRPr="00411DB6">
          <w:rPr>
            <w:rStyle w:val="Hyperlink"/>
          </w:rPr>
          <w:t>Application effective date</w:t>
        </w:r>
        <w:r>
          <w:rPr>
            <w:webHidden/>
          </w:rPr>
          <w:tab/>
        </w:r>
        <w:r>
          <w:rPr>
            <w:webHidden/>
          </w:rPr>
          <w:fldChar w:fldCharType="begin"/>
        </w:r>
        <w:r>
          <w:rPr>
            <w:webHidden/>
          </w:rPr>
          <w:instrText xml:space="preserve"> PAGEREF _Toc222825368 \h </w:instrText>
        </w:r>
        <w:r>
          <w:rPr>
            <w:webHidden/>
          </w:rPr>
        </w:r>
        <w:r>
          <w:rPr>
            <w:webHidden/>
          </w:rPr>
          <w:fldChar w:fldCharType="separate"/>
        </w:r>
        <w:r>
          <w:rPr>
            <w:webHidden/>
          </w:rPr>
          <w:t>8</w:t>
        </w:r>
        <w:r>
          <w:rPr>
            <w:webHidden/>
          </w:rPr>
          <w:fldChar w:fldCharType="end"/>
        </w:r>
      </w:hyperlink>
    </w:p>
    <w:p w14:paraId="2A0C2A82" w14:textId="49CA504E" w:rsidR="00797C0F" w:rsidRDefault="00797C0F">
      <w:pPr>
        <w:pStyle w:val="TOC1"/>
        <w:rPr>
          <w:rFonts w:asciiTheme="minorHAnsi" w:eastAsiaTheme="minorEastAsia" w:hAnsiTheme="minorHAnsi" w:cstheme="minorBidi"/>
          <w:b w:val="0"/>
          <w:kern w:val="2"/>
          <w:sz w:val="24"/>
          <w:szCs w:val="24"/>
          <w:lang w:eastAsia="en-AU"/>
          <w14:ligatures w14:val="standardContextual"/>
        </w:rPr>
      </w:pPr>
      <w:hyperlink w:anchor="_Toc222825369" w:history="1">
        <w:r w:rsidRPr="00411DB6">
          <w:rPr>
            <w:rStyle w:val="Hyperlink"/>
          </w:rPr>
          <w:t>Application approval</w:t>
        </w:r>
        <w:r>
          <w:rPr>
            <w:webHidden/>
          </w:rPr>
          <w:tab/>
        </w:r>
        <w:r>
          <w:rPr>
            <w:webHidden/>
          </w:rPr>
          <w:fldChar w:fldCharType="begin"/>
        </w:r>
        <w:r>
          <w:rPr>
            <w:webHidden/>
          </w:rPr>
          <w:instrText xml:space="preserve"> PAGEREF _Toc222825369 \h </w:instrText>
        </w:r>
        <w:r>
          <w:rPr>
            <w:webHidden/>
          </w:rPr>
        </w:r>
        <w:r>
          <w:rPr>
            <w:webHidden/>
          </w:rPr>
          <w:fldChar w:fldCharType="separate"/>
        </w:r>
        <w:r>
          <w:rPr>
            <w:webHidden/>
          </w:rPr>
          <w:t>8</w:t>
        </w:r>
        <w:r>
          <w:rPr>
            <w:webHidden/>
          </w:rPr>
          <w:fldChar w:fldCharType="end"/>
        </w:r>
      </w:hyperlink>
    </w:p>
    <w:p w14:paraId="2FC773ED" w14:textId="12741844" w:rsidR="00797C0F" w:rsidRDefault="00797C0F">
      <w:pPr>
        <w:pStyle w:val="TOC1"/>
        <w:rPr>
          <w:rFonts w:asciiTheme="minorHAnsi" w:eastAsiaTheme="minorEastAsia" w:hAnsiTheme="minorHAnsi" w:cstheme="minorBidi"/>
          <w:b w:val="0"/>
          <w:kern w:val="2"/>
          <w:sz w:val="24"/>
          <w:szCs w:val="24"/>
          <w:lang w:eastAsia="en-AU"/>
          <w14:ligatures w14:val="standardContextual"/>
        </w:rPr>
      </w:pPr>
      <w:hyperlink w:anchor="_Toc222825370" w:history="1">
        <w:r w:rsidRPr="00411DB6">
          <w:rPr>
            <w:rStyle w:val="Hyperlink"/>
          </w:rPr>
          <w:t>Decision Review</w:t>
        </w:r>
        <w:r>
          <w:rPr>
            <w:webHidden/>
          </w:rPr>
          <w:tab/>
        </w:r>
        <w:r>
          <w:rPr>
            <w:webHidden/>
          </w:rPr>
          <w:fldChar w:fldCharType="begin"/>
        </w:r>
        <w:r>
          <w:rPr>
            <w:webHidden/>
          </w:rPr>
          <w:instrText xml:space="preserve"> PAGEREF _Toc222825370 \h </w:instrText>
        </w:r>
        <w:r>
          <w:rPr>
            <w:webHidden/>
          </w:rPr>
        </w:r>
        <w:r>
          <w:rPr>
            <w:webHidden/>
          </w:rPr>
          <w:fldChar w:fldCharType="separate"/>
        </w:r>
        <w:r>
          <w:rPr>
            <w:webHidden/>
          </w:rPr>
          <w:t>9</w:t>
        </w:r>
        <w:r>
          <w:rPr>
            <w:webHidden/>
          </w:rPr>
          <w:fldChar w:fldCharType="end"/>
        </w:r>
      </w:hyperlink>
    </w:p>
    <w:p w14:paraId="623B2D43" w14:textId="11B71581" w:rsidR="007173CA" w:rsidRDefault="00AD784C" w:rsidP="00D079AA">
      <w:pPr>
        <w:pStyle w:val="Body"/>
      </w:pPr>
      <w:r>
        <w:fldChar w:fldCharType="end"/>
      </w:r>
    </w:p>
    <w:p w14:paraId="01DFC86F" w14:textId="77777777" w:rsidR="00580394" w:rsidRDefault="00580394" w:rsidP="007173CA">
      <w:pPr>
        <w:pStyle w:val="Body"/>
      </w:pPr>
    </w:p>
    <w:p w14:paraId="13445742" w14:textId="4B24EA41" w:rsidR="00363C12" w:rsidRDefault="00363C12">
      <w:pPr>
        <w:spacing w:after="0" w:line="240" w:lineRule="auto"/>
        <w:rPr>
          <w:rFonts w:eastAsia="Times"/>
        </w:rPr>
      </w:pPr>
      <w:r>
        <w:br w:type="page"/>
      </w:r>
    </w:p>
    <w:p w14:paraId="06D7C6CF" w14:textId="77777777" w:rsidR="005E57E1" w:rsidRPr="008B5258" w:rsidRDefault="005E57E1" w:rsidP="005E57E1">
      <w:pPr>
        <w:pStyle w:val="Heading1"/>
      </w:pPr>
      <w:bookmarkStart w:id="0" w:name="_Toc451181542"/>
      <w:bookmarkStart w:id="1" w:name="_Toc158041339"/>
      <w:bookmarkStart w:id="2" w:name="_Toc222825359"/>
      <w:bookmarkStart w:id="3" w:name="_Toc66794859"/>
      <w:r w:rsidRPr="008B5258">
        <w:lastRenderedPageBreak/>
        <w:t xml:space="preserve">When do </w:t>
      </w:r>
      <w:r w:rsidRPr="005E57E1">
        <w:t>these</w:t>
      </w:r>
      <w:r w:rsidRPr="008B5258">
        <w:t xml:space="preserve"> operational guidelines apply?</w:t>
      </w:r>
      <w:bookmarkEnd w:id="0"/>
      <w:bookmarkEnd w:id="1"/>
      <w:bookmarkEnd w:id="2"/>
    </w:p>
    <w:p w14:paraId="1EF2AEC5" w14:textId="77777777" w:rsidR="005E57E1" w:rsidRPr="008B5258" w:rsidRDefault="005E57E1" w:rsidP="00D75EEA">
      <w:pPr>
        <w:pStyle w:val="Body"/>
      </w:pPr>
      <w:r w:rsidRPr="008B5258">
        <w:t xml:space="preserve">These operational guidelines should be followed by designated service providers and </w:t>
      </w:r>
      <w:bookmarkStart w:id="4" w:name="_Hlk66443797"/>
      <w:bookmarkStart w:id="5" w:name="_Hlk66442721"/>
      <w:r w:rsidRPr="008B5258">
        <w:t xml:space="preserve">social housing organisations </w:t>
      </w:r>
      <w:bookmarkEnd w:id="4"/>
      <w:bookmarkEnd w:id="5"/>
      <w:r w:rsidRPr="008B5258">
        <w:t>when making decisions related to applications for housing under the Victorian Housing Register (the register).</w:t>
      </w:r>
    </w:p>
    <w:p w14:paraId="5F278A0D" w14:textId="557ACE8E" w:rsidR="005E57E1" w:rsidRPr="00220CFD" w:rsidRDefault="005E57E1" w:rsidP="00D75EEA">
      <w:pPr>
        <w:pStyle w:val="Body"/>
      </w:pPr>
      <w:r w:rsidRPr="008203BD">
        <w:t xml:space="preserve">These operational guidelines form part of a set of guidelines that together sit under the </w:t>
      </w:r>
      <w:bookmarkStart w:id="6" w:name="_Toc158041340"/>
      <w:r w:rsidRPr="008203BD">
        <w:rPr>
          <w:sz w:val="20"/>
        </w:rPr>
        <w:fldChar w:fldCharType="begin"/>
      </w:r>
      <w:r w:rsidR="005E06D8" w:rsidRPr="008203BD">
        <w:rPr>
          <w:sz w:val="20"/>
        </w:rPr>
        <w:instrText>HYPERLINK "https://fac.dffh.vic.gov.au/eligibility-policy-framework-and-operational-guidelines"</w:instrText>
      </w:r>
      <w:r w:rsidRPr="008203BD">
        <w:rPr>
          <w:sz w:val="20"/>
        </w:rPr>
      </w:r>
      <w:r w:rsidRPr="008203BD">
        <w:rPr>
          <w:sz w:val="20"/>
        </w:rPr>
        <w:fldChar w:fldCharType="separate"/>
      </w:r>
      <w:r w:rsidR="005E06D8" w:rsidRPr="008203BD">
        <w:rPr>
          <w:rStyle w:val="Hyperlink"/>
          <w:szCs w:val="21"/>
        </w:rPr>
        <w:t>Eligibility Policy Framework and Operational guidelines</w:t>
      </w:r>
      <w:r w:rsidRPr="008203BD">
        <w:rPr>
          <w:rStyle w:val="Hyperlink"/>
          <w:szCs w:val="21"/>
        </w:rPr>
        <w:fldChar w:fldCharType="end"/>
      </w:r>
      <w:r w:rsidR="005E06D8" w:rsidRPr="008203BD">
        <w:rPr>
          <w:rStyle w:val="Hyperlink"/>
          <w:szCs w:val="21"/>
        </w:rPr>
        <w:t xml:space="preserve"> </w:t>
      </w:r>
      <w:r w:rsidR="005E06D8" w:rsidRPr="008203BD">
        <w:t>https</w:t>
      </w:r>
      <w:r w:rsidR="005E06D8" w:rsidRPr="005E06D8">
        <w:t>://fac.dffh.vic.gov.au/eligibility-policy-framework-and-operational-guidelines</w:t>
      </w:r>
      <w:r w:rsidR="005E06D8">
        <w:t>.</w:t>
      </w:r>
    </w:p>
    <w:p w14:paraId="0AE80C0D" w14:textId="77777777" w:rsidR="005E57E1" w:rsidRPr="00D83E6C" w:rsidRDefault="005E57E1" w:rsidP="00D75EEA">
      <w:pPr>
        <w:pStyle w:val="Heading1"/>
      </w:pPr>
      <w:bookmarkStart w:id="7" w:name="_Toc222825360"/>
      <w:r w:rsidRPr="00D83E6C">
        <w:t>Purpose Statement</w:t>
      </w:r>
      <w:bookmarkEnd w:id="6"/>
      <w:bookmarkEnd w:id="7"/>
    </w:p>
    <w:p w14:paraId="0322F923" w14:textId="77777777" w:rsidR="005E57E1" w:rsidRPr="00D83E6C" w:rsidRDefault="005E57E1" w:rsidP="00CC0551">
      <w:pPr>
        <w:pStyle w:val="Body"/>
      </w:pPr>
      <w:r w:rsidRPr="36B866D3">
        <w:t xml:space="preserve">The Priority Transfers category is for existing social housing renters that require relocation to another social housing property as their current property is unsafe or unsuitable, is to be sold, </w:t>
      </w:r>
      <w:bookmarkStart w:id="8" w:name="_Int_ITQCjaO2"/>
      <w:r w:rsidRPr="36B866D3">
        <w:t>redeveloped</w:t>
      </w:r>
      <w:bookmarkEnd w:id="8"/>
      <w:r w:rsidRPr="36B866D3">
        <w:t xml:space="preserve"> or better utilised.</w:t>
      </w:r>
    </w:p>
    <w:p w14:paraId="6FBC5FD8" w14:textId="77777777" w:rsidR="005E57E1" w:rsidRPr="00D83E6C" w:rsidRDefault="005E57E1" w:rsidP="00CC0551">
      <w:pPr>
        <w:pStyle w:val="Body"/>
      </w:pPr>
      <w:r w:rsidRPr="36B866D3">
        <w:t xml:space="preserve">Applications for Priority Transfers are submitted by a designated service provider or social housing organisations that is the tenancy manager of the current tenancy, on behalf of an individual or household. The applicant must be residing in a long-term social housing property that is owned, </w:t>
      </w:r>
      <w:bookmarkStart w:id="9" w:name="_Int_R0Wxl9mL"/>
      <w:r w:rsidRPr="36B866D3">
        <w:t>controlled</w:t>
      </w:r>
      <w:bookmarkEnd w:id="9"/>
      <w:r w:rsidRPr="36B866D3">
        <w:t xml:space="preserve"> or managed by social housing organisations. </w:t>
      </w:r>
    </w:p>
    <w:p w14:paraId="28B5E127" w14:textId="77777777" w:rsidR="005E57E1" w:rsidRPr="00D83E6C" w:rsidRDefault="005E57E1" w:rsidP="00CC0551">
      <w:pPr>
        <w:pStyle w:val="Body"/>
      </w:pPr>
      <w:r w:rsidRPr="36B866D3">
        <w:t xml:space="preserve">Some transfers may also be initiated by the participating registered agency, for example, when the property is to be sold, </w:t>
      </w:r>
      <w:bookmarkStart w:id="10" w:name="_Int_kbqpEXQc"/>
      <w:r w:rsidRPr="36B866D3">
        <w:t>redeveloped</w:t>
      </w:r>
      <w:bookmarkEnd w:id="10"/>
      <w:r w:rsidRPr="36B866D3">
        <w:t xml:space="preserve"> or better utilised. In some instances, the social housing renter may also submit a priority transfer application.</w:t>
      </w:r>
    </w:p>
    <w:p w14:paraId="648B4D23" w14:textId="77777777" w:rsidR="005E57E1" w:rsidRPr="00D83E6C" w:rsidRDefault="005E57E1" w:rsidP="00CC0551">
      <w:pPr>
        <w:pStyle w:val="Body"/>
      </w:pPr>
      <w:r w:rsidRPr="00D83E6C">
        <w:t>For a social housing renter to be considered eligible within the Priority Transfers category the following circumstances must be demonstrated:</w:t>
      </w:r>
    </w:p>
    <w:p w14:paraId="4F1B2BDA" w14:textId="77777777" w:rsidR="005E57E1" w:rsidRPr="00D83E6C" w:rsidRDefault="005E57E1" w:rsidP="00744DC2">
      <w:pPr>
        <w:pStyle w:val="Bullet1"/>
      </w:pPr>
      <w:r w:rsidRPr="00D83E6C">
        <w:t>safety issues – there are safety issues, for example, due to family violence, anti-social behaviour, threats to safety in a community-managed rooming house, risk of ex-prisoner renter re-offending and so forth</w:t>
      </w:r>
    </w:p>
    <w:p w14:paraId="606E38DD" w14:textId="77777777" w:rsidR="005E57E1" w:rsidRPr="00D83E6C" w:rsidRDefault="005E57E1" w:rsidP="00744DC2">
      <w:pPr>
        <w:pStyle w:val="Bullet1"/>
      </w:pPr>
      <w:r w:rsidRPr="00D83E6C">
        <w:t>manifestly unsuitable housing – the existing housing is manifestly unsuitable resulting in a situation where a person cannot continue to live there independently, for example, they need major disability modifications or level access, or they cannot accommodate a live-in carer</w:t>
      </w:r>
    </w:p>
    <w:p w14:paraId="7F885AFC" w14:textId="77777777" w:rsidR="005E57E1" w:rsidRPr="00D83E6C" w:rsidRDefault="005E57E1" w:rsidP="00744DC2">
      <w:pPr>
        <w:pStyle w:val="Bullet1"/>
      </w:pPr>
      <w:r w:rsidRPr="36B866D3">
        <w:t xml:space="preserve">uninhabitable housing – the property is uninhabitable, for example, because there has been a fire, </w:t>
      </w:r>
      <w:bookmarkStart w:id="11" w:name="_Int_nyKx8xtE"/>
      <w:r w:rsidRPr="36B866D3">
        <w:t>flood</w:t>
      </w:r>
      <w:bookmarkEnd w:id="11"/>
      <w:r w:rsidRPr="36B866D3">
        <w:t xml:space="preserve"> or vandalism</w:t>
      </w:r>
    </w:p>
    <w:p w14:paraId="2D177A8C" w14:textId="77777777" w:rsidR="005E57E1" w:rsidRPr="00D83E6C" w:rsidRDefault="005E57E1" w:rsidP="00744DC2">
      <w:pPr>
        <w:pStyle w:val="Bullet1"/>
      </w:pPr>
      <w:r w:rsidRPr="36B866D3">
        <w:t>family re-unification – a need to re-unify a family, for example, if a court has ordered that a child should visit and stay with their parent three nights a week and there are not enough bedrooms to accommodate the child</w:t>
      </w:r>
    </w:p>
    <w:p w14:paraId="78C51037" w14:textId="77777777" w:rsidR="005E57E1" w:rsidRPr="00D83E6C" w:rsidRDefault="005E57E1" w:rsidP="00744DC2">
      <w:pPr>
        <w:pStyle w:val="Bullet1"/>
      </w:pPr>
      <w:r w:rsidRPr="00D83E6C">
        <w:t>stock utilisation – a need to better match renters to properties that improves stock utilisation, for example, where a renter wishes to move from a four-bedroom house to a two-bedroom house</w:t>
      </w:r>
    </w:p>
    <w:p w14:paraId="3B0C197F" w14:textId="77777777" w:rsidR="005E57E1" w:rsidRPr="00D83E6C" w:rsidRDefault="005E57E1" w:rsidP="00744DC2">
      <w:pPr>
        <w:pStyle w:val="Bullet1"/>
      </w:pPr>
      <w:r w:rsidRPr="36B866D3">
        <w:t xml:space="preserve">move out of a property and move back for redevelopments – a need to move a renter due to an expiry of a head-lease or to enable the sale, </w:t>
      </w:r>
      <w:bookmarkStart w:id="12" w:name="_Int_J2EHBuXm"/>
      <w:r w:rsidRPr="36B866D3">
        <w:t>redevelopment</w:t>
      </w:r>
      <w:bookmarkEnd w:id="12"/>
      <w:r w:rsidRPr="36B866D3">
        <w:t xml:space="preserve"> or upgrade of the property.</w:t>
      </w:r>
    </w:p>
    <w:p w14:paraId="5A3AFF5E" w14:textId="77777777" w:rsidR="005E57E1" w:rsidRPr="00D83E6C" w:rsidRDefault="005E57E1" w:rsidP="00744DC2">
      <w:pPr>
        <w:pStyle w:val="Heading1"/>
      </w:pPr>
      <w:bookmarkStart w:id="13" w:name="_Toc456094537"/>
      <w:bookmarkStart w:id="14" w:name="_Toc158041341"/>
      <w:bookmarkStart w:id="15" w:name="_Toc222825361"/>
      <w:bookmarkStart w:id="16" w:name="_Toc451181546"/>
      <w:r w:rsidRPr="00D83E6C">
        <w:t xml:space="preserve">Human rights </w:t>
      </w:r>
      <w:r w:rsidRPr="00744DC2">
        <w:t>considerations</w:t>
      </w:r>
      <w:bookmarkEnd w:id="13"/>
      <w:bookmarkEnd w:id="14"/>
      <w:bookmarkEnd w:id="15"/>
    </w:p>
    <w:p w14:paraId="24639802" w14:textId="77777777" w:rsidR="005E57E1" w:rsidRPr="00D83E6C" w:rsidRDefault="005E57E1" w:rsidP="003C299A">
      <w:pPr>
        <w:pStyle w:val="Body"/>
      </w:pPr>
      <w:r w:rsidRPr="00D83E6C">
        <w:t xml:space="preserve">In deciding what action to take, staff must </w:t>
      </w:r>
      <w:bookmarkStart w:id="17" w:name="_Int_yE9jBmSh"/>
      <w:proofErr w:type="gramStart"/>
      <w:r w:rsidRPr="00D83E6C">
        <w:t>give proper consideration to</w:t>
      </w:r>
      <w:bookmarkEnd w:id="17"/>
      <w:proofErr w:type="gramEnd"/>
      <w:r w:rsidRPr="00D83E6C">
        <w:t xml:space="preserve"> the relevant human rights in accordance with the </w:t>
      </w:r>
      <w:r w:rsidRPr="00D83E6C">
        <w:rPr>
          <w:i/>
          <w:iCs/>
        </w:rPr>
        <w:t>Charter of Human Rights and Responsibilities Act 2006</w:t>
      </w:r>
      <w:r w:rsidRPr="00D83E6C">
        <w:t xml:space="preserve"> s38(1) (the Charter). This consideration should include the potential impact the proposed action they are undertaking through these operational guidelines may have on the person’s (and their household’s) rights under the Charter</w:t>
      </w:r>
      <w:r w:rsidRPr="00D83E6C">
        <w:rPr>
          <w:i/>
          <w:iCs/>
        </w:rPr>
        <w:t>.</w:t>
      </w:r>
    </w:p>
    <w:p w14:paraId="1BCB5CEB" w14:textId="77777777" w:rsidR="005E57E1" w:rsidRPr="00D83E6C" w:rsidRDefault="005E57E1" w:rsidP="003C299A">
      <w:pPr>
        <w:pStyle w:val="Body"/>
      </w:pPr>
      <w:r w:rsidRPr="00D83E6C">
        <w:t xml:space="preserve">For more information see </w:t>
      </w:r>
      <w:hyperlink r:id="rId15" w:history="1">
        <w:r w:rsidRPr="008203BD">
          <w:rPr>
            <w:rStyle w:val="Hyperlink"/>
            <w:szCs w:val="21"/>
          </w:rPr>
          <w:t>Making Client Focused Decisions operational guidelines</w:t>
        </w:r>
      </w:hyperlink>
      <w:r w:rsidRPr="00D83E6C">
        <w:t xml:space="preserve"> https://fac.dffh.vic.gov.au/making-client-focused-decisions.</w:t>
      </w:r>
    </w:p>
    <w:p w14:paraId="63B87531" w14:textId="77777777" w:rsidR="005E57E1" w:rsidRPr="00D83E6C" w:rsidRDefault="005E57E1" w:rsidP="00744DC2">
      <w:pPr>
        <w:pStyle w:val="Heading1"/>
      </w:pPr>
      <w:bookmarkStart w:id="18" w:name="_Toc158041342"/>
      <w:bookmarkStart w:id="19" w:name="_Toc222825362"/>
      <w:r w:rsidRPr="00D83E6C">
        <w:lastRenderedPageBreak/>
        <w:t xml:space="preserve">Eligibility for </w:t>
      </w:r>
      <w:r w:rsidRPr="00744DC2">
        <w:t>priority</w:t>
      </w:r>
      <w:r w:rsidRPr="00D83E6C">
        <w:t xml:space="preserve"> transfers</w:t>
      </w:r>
      <w:bookmarkEnd w:id="16"/>
      <w:bookmarkEnd w:id="18"/>
      <w:bookmarkEnd w:id="19"/>
    </w:p>
    <w:p w14:paraId="3674C021" w14:textId="77777777" w:rsidR="005E57E1" w:rsidRPr="00D83E6C" w:rsidRDefault="005E57E1" w:rsidP="003C299A">
      <w:pPr>
        <w:pStyle w:val="Body"/>
      </w:pPr>
      <w:r w:rsidRPr="00D83E6C">
        <w:t>Social housing renters who are eligible for the Priority Transfers category are people who:</w:t>
      </w:r>
    </w:p>
    <w:p w14:paraId="37FB77F9" w14:textId="77777777" w:rsidR="005E57E1" w:rsidRPr="00D83E6C" w:rsidRDefault="005E57E1" w:rsidP="003C299A">
      <w:pPr>
        <w:pStyle w:val="Bullet1"/>
      </w:pPr>
      <w:r w:rsidRPr="00D83E6C">
        <w:t>meet the eligibility criteria including the transfer income and asset eligibility criteria</w:t>
      </w:r>
    </w:p>
    <w:p w14:paraId="453657F5" w14:textId="77777777" w:rsidR="005E57E1" w:rsidRPr="00D83E6C" w:rsidRDefault="005E57E1" w:rsidP="003C299A">
      <w:pPr>
        <w:pStyle w:val="Bullet1"/>
      </w:pPr>
      <w:r w:rsidRPr="00D83E6C">
        <w:t>meet the eligibility criteria for one of the Priority Transfer reasons.</w:t>
      </w:r>
    </w:p>
    <w:p w14:paraId="50D93D4D" w14:textId="77777777" w:rsidR="005E57E1" w:rsidRPr="00D83E6C" w:rsidRDefault="005E57E1" w:rsidP="00C61E39">
      <w:pPr>
        <w:pStyle w:val="Heading1"/>
      </w:pPr>
      <w:bookmarkStart w:id="20" w:name="_Toc450289993"/>
      <w:bookmarkStart w:id="21" w:name="_Toc451181547"/>
      <w:bookmarkStart w:id="22" w:name="_Toc158041343"/>
      <w:bookmarkStart w:id="23" w:name="_Toc222825363"/>
      <w:r w:rsidRPr="00D83E6C">
        <w:t xml:space="preserve">Eligibility </w:t>
      </w:r>
      <w:r w:rsidRPr="00C61E39">
        <w:t>criteria</w:t>
      </w:r>
      <w:bookmarkEnd w:id="20"/>
      <w:bookmarkEnd w:id="21"/>
      <w:bookmarkEnd w:id="22"/>
      <w:bookmarkEnd w:id="23"/>
    </w:p>
    <w:p w14:paraId="39119102" w14:textId="77777777" w:rsidR="005E57E1" w:rsidRPr="00FD1E17" w:rsidRDefault="005E57E1" w:rsidP="00FD1E17">
      <w:pPr>
        <w:pStyle w:val="Body"/>
      </w:pPr>
      <w:bookmarkStart w:id="24" w:name="PolicySect3"/>
      <w:bookmarkStart w:id="25" w:name="_Toc273111043"/>
      <w:bookmarkStart w:id="26" w:name="_Toc338763726"/>
      <w:bookmarkStart w:id="27" w:name="_Toc450647859"/>
      <w:r w:rsidRPr="00FD1E17">
        <w:t xml:space="preserve">To be eligible for priority transfer, the core eligibility requirements outlined in the </w:t>
      </w:r>
      <w:hyperlink r:id="rId16" w:history="1">
        <w:r w:rsidRPr="00FD1E17">
          <w:rPr>
            <w:rStyle w:val="Hyperlink"/>
            <w:color w:val="auto"/>
            <w:u w:val="none"/>
          </w:rPr>
          <w:t>Eligibility Criteria operational guidelines</w:t>
        </w:r>
      </w:hyperlink>
      <w:r w:rsidRPr="00FD1E17">
        <w:t xml:space="preserve"> https://fac.dffh.vic.gov.au/eligibility-criteria-0</w:t>
      </w:r>
      <w:r w:rsidRPr="00FD1E17" w:rsidDel="007D0CE6">
        <w:t xml:space="preserve"> </w:t>
      </w:r>
      <w:r w:rsidRPr="00FD1E17">
        <w:t>must be met.</w:t>
      </w:r>
    </w:p>
    <w:p w14:paraId="71F4D1FD" w14:textId="77777777" w:rsidR="005E57E1" w:rsidRPr="00D83E6C" w:rsidRDefault="005E57E1" w:rsidP="00C61E39">
      <w:pPr>
        <w:pStyle w:val="Heading2"/>
      </w:pPr>
      <w:bookmarkStart w:id="28" w:name="_Toc158041344"/>
      <w:bookmarkStart w:id="29" w:name="_Toc222825364"/>
      <w:r w:rsidRPr="00D83E6C">
        <w:t xml:space="preserve">Income </w:t>
      </w:r>
      <w:r w:rsidRPr="00C61E39">
        <w:t>eligibility</w:t>
      </w:r>
      <w:bookmarkEnd w:id="24"/>
      <w:bookmarkEnd w:id="25"/>
      <w:bookmarkEnd w:id="26"/>
      <w:bookmarkEnd w:id="27"/>
      <w:bookmarkEnd w:id="28"/>
      <w:bookmarkEnd w:id="29"/>
    </w:p>
    <w:p w14:paraId="5828D610" w14:textId="77777777" w:rsidR="005E57E1" w:rsidRPr="00D83E6C" w:rsidRDefault="005E57E1" w:rsidP="00FD1E17">
      <w:pPr>
        <w:pStyle w:val="Body"/>
      </w:pPr>
      <w:r w:rsidRPr="00D83E6C">
        <w:t xml:space="preserve">The income eligibility limit for the Priority Transfers category is </w:t>
      </w:r>
      <w:bookmarkStart w:id="30" w:name="_Int_g3mL1luD"/>
      <w:r w:rsidRPr="00D83E6C">
        <w:t>generally the</w:t>
      </w:r>
      <w:bookmarkEnd w:id="30"/>
      <w:r w:rsidRPr="00D83E6C">
        <w:t xml:space="preserve"> Register of Interest income limit, which is set out in the </w:t>
      </w:r>
      <w:hyperlink r:id="rId17">
        <w:r>
          <w:rPr>
            <w:rStyle w:val="Hyperlink"/>
            <w:szCs w:val="21"/>
          </w:rPr>
          <w:t>Social housing eligibility</w:t>
        </w:r>
      </w:hyperlink>
      <w:r w:rsidRPr="00D83E6C">
        <w:t xml:space="preserve"> http://www.housing.vic.gov.au/social-housing-eligibility. However social housing organisations may apply discretion </w:t>
      </w:r>
      <w:r w:rsidRPr="00D83E6C">
        <w:rPr>
          <w:rFonts w:cs="Arial"/>
        </w:rPr>
        <w:t xml:space="preserve">to appropriately manage </w:t>
      </w:r>
      <w:r w:rsidRPr="00D83E6C">
        <w:t>existing renter housing needs, for example, where a redevelopment is occurring.</w:t>
      </w:r>
    </w:p>
    <w:p w14:paraId="31A90718" w14:textId="77777777" w:rsidR="005E57E1" w:rsidRPr="00D83E6C" w:rsidRDefault="005E57E1" w:rsidP="00FD1E17">
      <w:pPr>
        <w:pStyle w:val="Body"/>
        <w:rPr>
          <w:rFonts w:cs="Arial"/>
          <w:color w:val="000000"/>
        </w:rPr>
      </w:pPr>
      <w:r w:rsidRPr="00D83E6C">
        <w:t xml:space="preserve">To determine total household income, the assessable incomes of the household are added together to determine whether the household meets the Register of Interest income limit. If the </w:t>
      </w:r>
      <w:r w:rsidRPr="00D83E6C">
        <w:rPr>
          <w:rFonts w:cs="Arial"/>
          <w:color w:val="000000"/>
        </w:rPr>
        <w:t>total household income is less than or equal to the maximum income limit, the household is considered eligible.</w:t>
      </w:r>
    </w:p>
    <w:p w14:paraId="3C81F10C" w14:textId="77777777" w:rsidR="005E57E1" w:rsidRPr="00D83E6C" w:rsidRDefault="005E57E1" w:rsidP="00C61E39">
      <w:pPr>
        <w:pStyle w:val="Heading2"/>
      </w:pPr>
      <w:bookmarkStart w:id="31" w:name="PolicySect4"/>
      <w:bookmarkStart w:id="32" w:name="_Toc273111047"/>
      <w:bookmarkStart w:id="33" w:name="_Toc338763727"/>
      <w:bookmarkStart w:id="34" w:name="_Toc450647860"/>
      <w:bookmarkStart w:id="35" w:name="_Toc158041345"/>
      <w:bookmarkStart w:id="36" w:name="_Toc222825365"/>
      <w:r w:rsidRPr="00D83E6C">
        <w:t xml:space="preserve">Asset </w:t>
      </w:r>
      <w:r w:rsidRPr="00C61E39">
        <w:t>eligibility</w:t>
      </w:r>
      <w:bookmarkEnd w:id="31"/>
      <w:bookmarkEnd w:id="32"/>
      <w:bookmarkEnd w:id="33"/>
      <w:bookmarkEnd w:id="34"/>
      <w:bookmarkEnd w:id="35"/>
      <w:bookmarkEnd w:id="36"/>
    </w:p>
    <w:p w14:paraId="60091E38" w14:textId="77777777" w:rsidR="005E57E1" w:rsidRPr="00D83E6C" w:rsidRDefault="005E57E1" w:rsidP="005D7F35">
      <w:pPr>
        <w:pStyle w:val="Body"/>
      </w:pPr>
      <w:r w:rsidRPr="00D83E6C">
        <w:t xml:space="preserve">The asset eligibility limit for the Priority Transfers category is </w:t>
      </w:r>
      <w:bookmarkStart w:id="37" w:name="_Int_Vc4QnWDL"/>
      <w:r w:rsidRPr="00D83E6C">
        <w:t>generally the</w:t>
      </w:r>
      <w:bookmarkEnd w:id="37"/>
      <w:r w:rsidRPr="00D83E6C">
        <w:t xml:space="preserve"> Register of Interest asset limit, which is set out in the </w:t>
      </w:r>
      <w:hyperlink r:id="rId18" w:history="1">
        <w:r w:rsidRPr="00D83E6C">
          <w:rPr>
            <w:rStyle w:val="Hyperlink"/>
            <w:szCs w:val="21"/>
          </w:rPr>
          <w:t>Social housing eligibility</w:t>
        </w:r>
      </w:hyperlink>
      <w:r w:rsidRPr="00D83E6C">
        <w:t xml:space="preserve"> http://www.housing.vic.gov.au/social-housing-eligibility</w:t>
      </w:r>
      <w:r w:rsidRPr="00D83E6C">
        <w:rPr>
          <w:rStyle w:val="Hyperlink"/>
          <w:szCs w:val="21"/>
        </w:rPr>
        <w:t xml:space="preserve"> </w:t>
      </w:r>
      <w:r w:rsidRPr="005E06D8">
        <w:rPr>
          <w:rStyle w:val="Hyperlink"/>
          <w:color w:val="auto"/>
          <w:szCs w:val="21"/>
        </w:rPr>
        <w:t xml:space="preserve">However </w:t>
      </w:r>
      <w:r w:rsidRPr="005E06D8">
        <w:t xml:space="preserve">social housing organisations </w:t>
      </w:r>
      <w:r w:rsidRPr="005E06D8">
        <w:rPr>
          <w:rStyle w:val="Hyperlink"/>
          <w:color w:val="auto"/>
          <w:szCs w:val="21"/>
        </w:rPr>
        <w:t>may apply discretion</w:t>
      </w:r>
      <w:r w:rsidRPr="005E06D8">
        <w:t xml:space="preserve"> to appropriately manage existing renter housing needs</w:t>
      </w:r>
      <w:r w:rsidRPr="005E06D8">
        <w:rPr>
          <w:rStyle w:val="Hyperlink"/>
          <w:color w:val="auto"/>
          <w:szCs w:val="21"/>
        </w:rPr>
        <w:t>, for example, where a redevelopment is occurring.</w:t>
      </w:r>
    </w:p>
    <w:p w14:paraId="1CE39589" w14:textId="77777777" w:rsidR="005E57E1" w:rsidRPr="00D83E6C" w:rsidRDefault="005E57E1" w:rsidP="005D7F35">
      <w:pPr>
        <w:pStyle w:val="Body"/>
        <w:rPr>
          <w:szCs w:val="21"/>
        </w:rPr>
      </w:pPr>
      <w:r w:rsidRPr="00D83E6C">
        <w:rPr>
          <w:szCs w:val="21"/>
        </w:rPr>
        <w:t>To determine the total household assets, the assessable assets of the household are added together to determine whether the household meets the Register of Interest asset limit. If the dollar value of the total household assets is less than or equal to the maximum asset limit, the household is considered eligible.</w:t>
      </w:r>
    </w:p>
    <w:p w14:paraId="61EC5AD2" w14:textId="77777777" w:rsidR="005E57E1" w:rsidRPr="00D83E6C" w:rsidRDefault="005E57E1" w:rsidP="005D7F35">
      <w:pPr>
        <w:pStyle w:val="Body"/>
        <w:rPr>
          <w:szCs w:val="21"/>
        </w:rPr>
      </w:pPr>
      <w:r w:rsidRPr="00D83E6C">
        <w:rPr>
          <w:szCs w:val="21"/>
        </w:rPr>
        <w:t>Where a household member requires full or major modifications to the property, the disability modification asset limit is applied.</w:t>
      </w:r>
    </w:p>
    <w:p w14:paraId="43651104" w14:textId="77777777" w:rsidR="005E57E1" w:rsidRPr="00FB5083" w:rsidRDefault="005E57E1" w:rsidP="00C61E39">
      <w:pPr>
        <w:pStyle w:val="Heading2"/>
      </w:pPr>
      <w:bookmarkStart w:id="38" w:name="_Toc451181548"/>
      <w:bookmarkStart w:id="39" w:name="_Toc158041346"/>
      <w:bookmarkStart w:id="40" w:name="_Toc222825366"/>
      <w:r w:rsidRPr="00FB5083">
        <w:t xml:space="preserve">Eligibility specific to </w:t>
      </w:r>
      <w:r w:rsidRPr="00C61E39">
        <w:t>Priority</w:t>
      </w:r>
      <w:r w:rsidRPr="00FB5083">
        <w:t xml:space="preserve"> Transfers</w:t>
      </w:r>
      <w:bookmarkEnd w:id="38"/>
      <w:r w:rsidRPr="00FB5083">
        <w:t xml:space="preserve"> category</w:t>
      </w:r>
      <w:bookmarkEnd w:id="39"/>
      <w:bookmarkEnd w:id="40"/>
    </w:p>
    <w:p w14:paraId="174AA16B" w14:textId="77777777" w:rsidR="005E57E1" w:rsidRPr="00FB5083" w:rsidRDefault="005E57E1" w:rsidP="005D7F35">
      <w:pPr>
        <w:pStyle w:val="Body"/>
      </w:pPr>
      <w:r w:rsidRPr="00FB5083">
        <w:t>There are six priority reasons under which a household may be considered eligible for the Priority Transfers category. In addition to the income and asset criteria, applicants must meet the specific eligibility criteria set out under the relevant transfer reason.</w:t>
      </w:r>
    </w:p>
    <w:p w14:paraId="251F4CFB" w14:textId="77777777" w:rsidR="005E57E1" w:rsidRPr="00512E16" w:rsidRDefault="005E57E1" w:rsidP="00C61E39">
      <w:pPr>
        <w:pStyle w:val="Heading3"/>
      </w:pPr>
      <w:r w:rsidRPr="00512E16">
        <w:t xml:space="preserve">1. Safety </w:t>
      </w:r>
      <w:r w:rsidRPr="00C61E39">
        <w:t>Issues</w:t>
      </w:r>
    </w:p>
    <w:p w14:paraId="3CD8FB1F" w14:textId="77777777" w:rsidR="005E57E1" w:rsidRPr="00512E16" w:rsidRDefault="005E57E1" w:rsidP="005D7F35">
      <w:pPr>
        <w:pStyle w:val="Body"/>
      </w:pPr>
      <w:r w:rsidRPr="00512E16">
        <w:t>Social housing renters who are unsafe in their housing or cannot stay at their property due to safety issues, may be eligible for a priority transfer. Safety issues include:</w:t>
      </w:r>
    </w:p>
    <w:p w14:paraId="6B26A81B" w14:textId="77777777" w:rsidR="005E57E1" w:rsidRPr="00512E16" w:rsidRDefault="005E57E1" w:rsidP="005D7F35">
      <w:pPr>
        <w:pStyle w:val="Bullet1"/>
      </w:pPr>
      <w:r w:rsidRPr="00512E16">
        <w:t>incidences of family violence</w:t>
      </w:r>
    </w:p>
    <w:p w14:paraId="450BF777" w14:textId="77777777" w:rsidR="005E57E1" w:rsidRPr="00512E16" w:rsidRDefault="005E57E1" w:rsidP="005D7F35">
      <w:pPr>
        <w:pStyle w:val="Bullet1"/>
      </w:pPr>
      <w:r w:rsidRPr="00512E16">
        <w:t>anti-social behaviour by neighbours causing a renter to be unsafe, on an ongoing basis</w:t>
      </w:r>
    </w:p>
    <w:p w14:paraId="77215A2F" w14:textId="77777777" w:rsidR="005E57E1" w:rsidRPr="00512E16" w:rsidRDefault="005E57E1" w:rsidP="005D7F35">
      <w:pPr>
        <w:pStyle w:val="Bullet1"/>
      </w:pPr>
      <w:r w:rsidRPr="00512E16">
        <w:t>threats to safety in a rooming house</w:t>
      </w:r>
    </w:p>
    <w:p w14:paraId="558DA1A1" w14:textId="77777777" w:rsidR="005E57E1" w:rsidRPr="00512E16" w:rsidRDefault="005E57E1" w:rsidP="005D7F35">
      <w:pPr>
        <w:pStyle w:val="Bullet1"/>
      </w:pPr>
      <w:r w:rsidRPr="00512E16">
        <w:t>risk of a renter re-offending after returning to their property after being in prison.</w:t>
      </w:r>
    </w:p>
    <w:p w14:paraId="357E6E56" w14:textId="77777777" w:rsidR="005E57E1" w:rsidRPr="00512E16" w:rsidRDefault="005E57E1" w:rsidP="005D7F35">
      <w:pPr>
        <w:pStyle w:val="Body"/>
      </w:pPr>
      <w:r w:rsidRPr="00512E16">
        <w:lastRenderedPageBreak/>
        <w:t>If a social housing renter is forced to vacate their social housing property due to safety issues their application is considered a Priority Transfer if it is submitted prior to the tenancy being terminated or within three months of tenancy termination.</w:t>
      </w:r>
    </w:p>
    <w:p w14:paraId="4E5BB2B5" w14:textId="77777777" w:rsidR="005E57E1" w:rsidRPr="00512E16" w:rsidRDefault="005E57E1" w:rsidP="005D7F35">
      <w:pPr>
        <w:pStyle w:val="Body"/>
      </w:pPr>
      <w:r w:rsidRPr="36B866D3">
        <w:t xml:space="preserve">Where the social housing renter is subject to an exclusion condition due to family violence and is removed by determination of a </w:t>
      </w:r>
      <w:bookmarkStart w:id="41" w:name="_Int_crpCMJc2"/>
      <w:r w:rsidRPr="36B866D3">
        <w:t>VCAT</w:t>
      </w:r>
      <w:bookmarkEnd w:id="41"/>
      <w:r w:rsidRPr="36B866D3">
        <w:t xml:space="preserve"> order or voluntarily relinquishes their tenancy, an application for Priority Transfer may be submitted within three months of tenancy termination.</w:t>
      </w:r>
    </w:p>
    <w:p w14:paraId="2EE39EF3" w14:textId="77777777" w:rsidR="005E57E1" w:rsidRPr="00D170DA" w:rsidRDefault="005E57E1" w:rsidP="00C61E39">
      <w:pPr>
        <w:pStyle w:val="Heading4"/>
      </w:pPr>
      <w:r w:rsidRPr="00D170DA">
        <w:t>Evidence for family violence/serious threat of physical violence</w:t>
      </w:r>
    </w:p>
    <w:p w14:paraId="6D5597E8" w14:textId="77777777" w:rsidR="005E57E1" w:rsidRPr="00512E16" w:rsidRDefault="005E57E1" w:rsidP="005D7F35">
      <w:pPr>
        <w:pStyle w:val="Body"/>
      </w:pPr>
      <w:r w:rsidRPr="00512E16">
        <w:t>An application under the family violence/serious threat of physical violence priority transfer reason, may be submitted by a designated service provider or social housing organisation that is the applicant’s tenancy manager, or by the applicant.</w:t>
      </w:r>
    </w:p>
    <w:p w14:paraId="07B19200" w14:textId="77777777" w:rsidR="005E57E1" w:rsidRPr="00512E16" w:rsidRDefault="005E57E1" w:rsidP="005D7F35">
      <w:pPr>
        <w:pStyle w:val="Body"/>
      </w:pPr>
      <w:r w:rsidRPr="00512E16">
        <w:t>The designated service provider or applicant’s tenancy manager must confirm that the applicant is a social housing renter who is unsafe in their housing.</w:t>
      </w:r>
    </w:p>
    <w:p w14:paraId="423AC113" w14:textId="77777777" w:rsidR="005E57E1" w:rsidRPr="00512E16" w:rsidRDefault="005E57E1" w:rsidP="005D7F35">
      <w:pPr>
        <w:pStyle w:val="Body"/>
      </w:pPr>
      <w:r w:rsidRPr="00512E16">
        <w:t>The applicant can demonstrate their current housing status and priority need by having staff sight one or more of the following:</w:t>
      </w:r>
    </w:p>
    <w:p w14:paraId="630DBCC8" w14:textId="77777777" w:rsidR="005E57E1" w:rsidRPr="00512E16" w:rsidRDefault="005E57E1" w:rsidP="005D7F35">
      <w:pPr>
        <w:pStyle w:val="Body"/>
      </w:pPr>
      <w:r w:rsidRPr="00512E16">
        <w:t>Family violence:</w:t>
      </w:r>
    </w:p>
    <w:p w14:paraId="21103E6B" w14:textId="77777777" w:rsidR="005E57E1" w:rsidRPr="00512E16" w:rsidRDefault="005E57E1" w:rsidP="005D7F35">
      <w:pPr>
        <w:pStyle w:val="Bullet1"/>
      </w:pPr>
      <w:r w:rsidRPr="00512E16">
        <w:t>an L17 referral from police</w:t>
      </w:r>
    </w:p>
    <w:p w14:paraId="073748B8" w14:textId="77777777" w:rsidR="005E57E1" w:rsidRPr="00512E16" w:rsidRDefault="005E57E1" w:rsidP="005D7F35">
      <w:pPr>
        <w:pStyle w:val="Bullet1"/>
      </w:pPr>
      <w:r w:rsidRPr="00512E16">
        <w:t>an Intervention Order or an Interim Intervention Order (State), or an application for one of these</w:t>
      </w:r>
    </w:p>
    <w:p w14:paraId="6EED7702" w14:textId="77777777" w:rsidR="005E57E1" w:rsidRPr="00512E16" w:rsidRDefault="005E57E1" w:rsidP="005D7F35">
      <w:pPr>
        <w:pStyle w:val="Bullet1"/>
      </w:pPr>
      <w:r w:rsidRPr="00512E16">
        <w:t xml:space="preserve">an integrated assessment such as the </w:t>
      </w:r>
      <w:r w:rsidRPr="00336456">
        <w:t>Multi-Agency Risk Assessment and Management Framework (MARAM)</w:t>
      </w:r>
      <w:r w:rsidRPr="00512E16">
        <w:t xml:space="preserve"> that identifies family violence</w:t>
      </w:r>
    </w:p>
    <w:p w14:paraId="26FB8276" w14:textId="77777777" w:rsidR="005E57E1" w:rsidRPr="00512E16" w:rsidRDefault="005E57E1" w:rsidP="005D7F35">
      <w:pPr>
        <w:pStyle w:val="Bullet1"/>
      </w:pPr>
      <w:r w:rsidRPr="00512E16">
        <w:t>a Family Court Restraining Order (Federal)</w:t>
      </w:r>
    </w:p>
    <w:p w14:paraId="19C8B0BA" w14:textId="77777777" w:rsidR="005E57E1" w:rsidRPr="00512E16" w:rsidRDefault="005E57E1" w:rsidP="005D7F35">
      <w:pPr>
        <w:pStyle w:val="Bullet1"/>
      </w:pPr>
      <w:r w:rsidRPr="00512E16">
        <w:t>a letter from a solicitor stating that criminal proceedings have started against the alleged respondent of violence</w:t>
      </w:r>
    </w:p>
    <w:p w14:paraId="43308A77" w14:textId="77777777" w:rsidR="005E57E1" w:rsidRPr="00512E16" w:rsidRDefault="005E57E1" w:rsidP="005D7F35">
      <w:pPr>
        <w:pStyle w:val="Bullet1"/>
      </w:pPr>
      <w:r w:rsidRPr="00512E16">
        <w:t>a letter from a medical practitioner</w:t>
      </w:r>
    </w:p>
    <w:p w14:paraId="383CC83B" w14:textId="77777777" w:rsidR="005E57E1" w:rsidRPr="00512E16" w:rsidRDefault="005E57E1" w:rsidP="005D7F35">
      <w:pPr>
        <w:pStyle w:val="Bullet1"/>
      </w:pPr>
      <w:r w:rsidRPr="00512E16">
        <w:t>a letter from a designated service provider</w:t>
      </w:r>
    </w:p>
    <w:p w14:paraId="0EDA407A" w14:textId="77777777" w:rsidR="005E57E1" w:rsidRPr="00512E16" w:rsidRDefault="005E57E1" w:rsidP="005D7F35">
      <w:pPr>
        <w:pStyle w:val="Bullet1"/>
      </w:pPr>
      <w:r w:rsidRPr="00512E16">
        <w:t>a VCAT order or written confirmation of relinquishment of tenancy due to an exclusion condition.</w:t>
      </w:r>
    </w:p>
    <w:p w14:paraId="65E82EE8" w14:textId="77777777" w:rsidR="005E57E1" w:rsidRDefault="005E57E1" w:rsidP="005D7F35">
      <w:pPr>
        <w:pStyle w:val="Bodyafterbullets"/>
      </w:pPr>
      <w:r w:rsidRPr="00512E16">
        <w:t>If the applicant is unable to start legal proceedings or is not in receipt of support or assistance, where the applicant describes their housing need is a consequence of family violence, the priority reason will be accepted on that basis. An approach responsive to individual circumstances should be taken in recognition of the multiple and complex needs of family violence applicants.</w:t>
      </w:r>
    </w:p>
    <w:p w14:paraId="175C6907" w14:textId="77777777" w:rsidR="005E57E1" w:rsidRPr="00512E16" w:rsidRDefault="005E57E1" w:rsidP="005D7F35">
      <w:pPr>
        <w:pStyle w:val="Bodyafterbullets"/>
      </w:pPr>
      <w:r w:rsidRPr="00512E16">
        <w:t>If the applicant cannot live in a particular area, the areas that are unsafe must be clearly identified in the application, by the applicant, or through a formal safety risk assessment.</w:t>
      </w:r>
    </w:p>
    <w:p w14:paraId="4F35F6DA" w14:textId="77777777" w:rsidR="005E57E1" w:rsidRPr="00512E16" w:rsidRDefault="005E57E1" w:rsidP="005D7F35">
      <w:pPr>
        <w:pStyle w:val="Body"/>
      </w:pPr>
      <w:r w:rsidRPr="00512E16">
        <w:t>Physical violence:</w:t>
      </w:r>
    </w:p>
    <w:p w14:paraId="644BE3B5" w14:textId="77777777" w:rsidR="005E57E1" w:rsidRPr="00512E16" w:rsidRDefault="005E57E1" w:rsidP="00916A32">
      <w:pPr>
        <w:pStyle w:val="Bullet1"/>
      </w:pPr>
      <w:r w:rsidRPr="00512E16">
        <w:t>a written or verbal report from a member of a federal, state or territory police service that includes:</w:t>
      </w:r>
    </w:p>
    <w:p w14:paraId="4E6B80C7" w14:textId="77777777" w:rsidR="005E57E1" w:rsidRPr="00512E16" w:rsidRDefault="005E57E1" w:rsidP="00916A32">
      <w:pPr>
        <w:pStyle w:val="Bullet2"/>
      </w:pPr>
      <w:r w:rsidRPr="00512E16">
        <w:t>details of police involvement in the situation</w:t>
      </w:r>
    </w:p>
    <w:p w14:paraId="0D382CF6" w14:textId="77777777" w:rsidR="005E57E1" w:rsidRPr="00512E16" w:rsidRDefault="005E57E1" w:rsidP="00916A32">
      <w:pPr>
        <w:pStyle w:val="Bullet2"/>
      </w:pPr>
      <w:r w:rsidRPr="00512E16">
        <w:t>confirmation that the household or a member of the household is under serious threat of physical danger.</w:t>
      </w:r>
    </w:p>
    <w:p w14:paraId="3F21849A" w14:textId="77777777" w:rsidR="005E57E1" w:rsidRPr="00512E16" w:rsidRDefault="005E57E1" w:rsidP="00916A32">
      <w:pPr>
        <w:pStyle w:val="Bullet1"/>
      </w:pPr>
      <w:r w:rsidRPr="00512E16">
        <w:t>an Intervention Order or an Interim Intervention Order (State), or an application for one of these.</w:t>
      </w:r>
    </w:p>
    <w:p w14:paraId="03E8DA5F" w14:textId="77777777" w:rsidR="005E57E1" w:rsidRPr="00512E16" w:rsidRDefault="005E57E1" w:rsidP="00916A32">
      <w:pPr>
        <w:pStyle w:val="Bodyafterbullets"/>
      </w:pPr>
      <w:r w:rsidRPr="00512E16">
        <w:t>If the applicant is unable to have police involvement, a letter or verbal report from the designated service provider worker or the applicant’s tenancy manager confirming that the applicant is unsafe in their housing due to a serious threat of physical danger can be provided. The letter should explain:</w:t>
      </w:r>
    </w:p>
    <w:p w14:paraId="170E1A7F" w14:textId="77777777" w:rsidR="005E57E1" w:rsidRPr="00512E16" w:rsidRDefault="005E57E1" w:rsidP="00916A32">
      <w:pPr>
        <w:pStyle w:val="Bullet1"/>
      </w:pPr>
      <w:r w:rsidRPr="00512E16">
        <w:t>the circumstances that have placed the household under serious threat of physical danger, and</w:t>
      </w:r>
    </w:p>
    <w:p w14:paraId="131B4585" w14:textId="77777777" w:rsidR="005E57E1" w:rsidRPr="00512E16" w:rsidRDefault="005E57E1" w:rsidP="00916A32">
      <w:pPr>
        <w:pStyle w:val="Bullet1"/>
      </w:pPr>
      <w:r w:rsidRPr="00512E16">
        <w:t>reasons why the police cannot resolve the problem.</w:t>
      </w:r>
    </w:p>
    <w:p w14:paraId="1846A874" w14:textId="77777777" w:rsidR="005E57E1" w:rsidRPr="00512E16" w:rsidRDefault="005E57E1" w:rsidP="00916A32">
      <w:pPr>
        <w:pStyle w:val="Bodyafterbullets"/>
      </w:pPr>
      <w:r w:rsidRPr="00512E16">
        <w:t>When documents are submitted to a department office, staff should handle these according to the “</w:t>
      </w:r>
      <w:r w:rsidRPr="00512E16">
        <w:rPr>
          <w:i/>
        </w:rPr>
        <w:t>Records management: Client family violence and personal safety information</w:t>
      </w:r>
      <w:r w:rsidRPr="00512E16">
        <w:t xml:space="preserve">” practice note. </w:t>
      </w:r>
    </w:p>
    <w:p w14:paraId="69B93943" w14:textId="77777777" w:rsidR="005E57E1" w:rsidRPr="00D170DA" w:rsidRDefault="005E57E1" w:rsidP="00C61E39">
      <w:pPr>
        <w:pStyle w:val="Heading4"/>
      </w:pPr>
      <w:r w:rsidRPr="00D170DA">
        <w:lastRenderedPageBreak/>
        <w:t xml:space="preserve">Evidence Corrections </w:t>
      </w:r>
      <w:r w:rsidRPr="00C61E39">
        <w:t>locational</w:t>
      </w:r>
      <w:r w:rsidRPr="00D170DA">
        <w:t xml:space="preserve"> transfers</w:t>
      </w:r>
    </w:p>
    <w:p w14:paraId="01D6B85A" w14:textId="77777777" w:rsidR="005E57E1" w:rsidRPr="00512E16" w:rsidRDefault="005E57E1" w:rsidP="00916A32">
      <w:pPr>
        <w:pStyle w:val="Body"/>
      </w:pPr>
      <w:r w:rsidRPr="00512E16">
        <w:t>Applications should be submitted under the safety issues priority reason for social housing renters when the Department of Justice and Regulation advises that a renter’s property is unsuitable to return to upon their release from prison because of the renter’s risk of re-offending in that location.</w:t>
      </w:r>
    </w:p>
    <w:p w14:paraId="256B1596" w14:textId="77777777" w:rsidR="005E57E1" w:rsidRPr="00512E16" w:rsidRDefault="005E57E1" w:rsidP="00916A32">
      <w:pPr>
        <w:pStyle w:val="Body"/>
      </w:pPr>
      <w:r w:rsidRPr="00512E16">
        <w:t>To lodge an application the designated service provider or social housing organisation that is the applicant’s tenancy manager must:</w:t>
      </w:r>
    </w:p>
    <w:p w14:paraId="1827DA83" w14:textId="77777777" w:rsidR="005E57E1" w:rsidRPr="00512E16" w:rsidRDefault="005E57E1" w:rsidP="00916A32">
      <w:pPr>
        <w:pStyle w:val="Bullet1"/>
      </w:pPr>
      <w:r w:rsidRPr="00512E16">
        <w:t>confirm that advice has been received from the Department of Justice and Regulation that a renter’s property is unsuitable to return to upon release from prison, and</w:t>
      </w:r>
    </w:p>
    <w:p w14:paraId="4BF694DA" w14:textId="77777777" w:rsidR="005E57E1" w:rsidRPr="00512E16" w:rsidRDefault="005E57E1" w:rsidP="00916A32">
      <w:pPr>
        <w:pStyle w:val="Bullet1"/>
      </w:pPr>
      <w:r w:rsidRPr="00512E16">
        <w:t>sight a judicial or related order which requires urgent renter relocation.</w:t>
      </w:r>
    </w:p>
    <w:p w14:paraId="4DB9510D" w14:textId="77777777" w:rsidR="005E57E1" w:rsidRPr="00512E16" w:rsidRDefault="005E57E1" w:rsidP="005E57E1">
      <w:pPr>
        <w:pStyle w:val="Heading3"/>
        <w:rPr>
          <w:szCs w:val="28"/>
        </w:rPr>
      </w:pPr>
      <w:r w:rsidRPr="00512E16">
        <w:rPr>
          <w:szCs w:val="28"/>
        </w:rPr>
        <w:t>2. Manifestly Unsuitable Housing</w:t>
      </w:r>
    </w:p>
    <w:p w14:paraId="5967421A" w14:textId="77777777" w:rsidR="005E57E1" w:rsidRPr="00512E16" w:rsidRDefault="005E57E1" w:rsidP="00916A32">
      <w:pPr>
        <w:pStyle w:val="Body"/>
      </w:pPr>
      <w:r w:rsidRPr="00512E16">
        <w:t>Applications should be submitted under the priority reason of manifestly unsuitable housing for social housing renters who can no longer live independently in their current housing.</w:t>
      </w:r>
    </w:p>
    <w:p w14:paraId="695FCC3D" w14:textId="77777777" w:rsidR="005E57E1" w:rsidRPr="00512E16" w:rsidRDefault="005E57E1" w:rsidP="00916A32">
      <w:pPr>
        <w:pStyle w:val="Body"/>
      </w:pPr>
      <w:r w:rsidRPr="00512E16">
        <w:t>To be eligible under the priority reason of manifestly unsuitable housing, it must be demonstrated that the renter or household member cannot continue to live there independently. This could be because:</w:t>
      </w:r>
    </w:p>
    <w:p w14:paraId="1B2B3679" w14:textId="77777777" w:rsidR="005E57E1" w:rsidRPr="00512E16" w:rsidRDefault="005E57E1" w:rsidP="00916A32">
      <w:pPr>
        <w:pStyle w:val="Bullet1"/>
      </w:pPr>
      <w:r w:rsidRPr="00512E16">
        <w:t>they now need major disability modifications</w:t>
      </w:r>
    </w:p>
    <w:p w14:paraId="63D59287" w14:textId="77777777" w:rsidR="005E57E1" w:rsidRPr="00512E16" w:rsidRDefault="005E57E1" w:rsidP="00916A32">
      <w:pPr>
        <w:pStyle w:val="Bullet1"/>
      </w:pPr>
      <w:r w:rsidRPr="00512E16">
        <w:t>they can no longer climb stairs and need level access</w:t>
      </w:r>
    </w:p>
    <w:p w14:paraId="13632554" w14:textId="77777777" w:rsidR="005E57E1" w:rsidRPr="00512E16" w:rsidRDefault="005E57E1" w:rsidP="00916A32">
      <w:pPr>
        <w:pStyle w:val="Bullet1"/>
      </w:pPr>
      <w:r w:rsidRPr="00512E16">
        <w:t>they cannot accommodate a live-in carer</w:t>
      </w:r>
    </w:p>
    <w:p w14:paraId="5D9BCAA6" w14:textId="77777777" w:rsidR="005E57E1" w:rsidRPr="00512E16" w:rsidRDefault="005E57E1" w:rsidP="00916A32">
      <w:pPr>
        <w:pStyle w:val="Bullet1"/>
      </w:pPr>
      <w:r w:rsidRPr="00512E16">
        <w:t>they have a medical condition and cannot access specialist medical/care services</w:t>
      </w:r>
    </w:p>
    <w:p w14:paraId="3CBA38EB" w14:textId="77777777" w:rsidR="005E57E1" w:rsidRPr="00512E16" w:rsidRDefault="005E57E1" w:rsidP="00916A32">
      <w:pPr>
        <w:pStyle w:val="Bullet1"/>
      </w:pPr>
      <w:r w:rsidRPr="00512E16">
        <w:t>they are living in social housing that is negatively impacting on their wellbeing or the wellbeing of other renters where the living arrangement is a shared tenancy</w:t>
      </w:r>
    </w:p>
    <w:p w14:paraId="4F265774" w14:textId="77777777" w:rsidR="005E57E1" w:rsidRPr="00512E16" w:rsidRDefault="005E57E1" w:rsidP="00916A32">
      <w:pPr>
        <w:pStyle w:val="Bullet1"/>
      </w:pPr>
      <w:r w:rsidRPr="00512E16">
        <w:t>they cannot maintain their employment</w:t>
      </w:r>
    </w:p>
    <w:p w14:paraId="0CF5CCF1" w14:textId="77777777" w:rsidR="005E57E1" w:rsidRPr="00512E16" w:rsidRDefault="005E57E1" w:rsidP="00916A32">
      <w:pPr>
        <w:pStyle w:val="Bullet1"/>
      </w:pPr>
      <w:r w:rsidRPr="00512E16">
        <w:t>they need larger accommodation as their current property:</w:t>
      </w:r>
    </w:p>
    <w:p w14:paraId="4CC3FE2F" w14:textId="77777777" w:rsidR="005E57E1" w:rsidRPr="00512E16" w:rsidRDefault="005E57E1" w:rsidP="00916A32">
      <w:pPr>
        <w:pStyle w:val="Bullet2"/>
      </w:pPr>
      <w:r w:rsidRPr="00512E16">
        <w:t>does not allow children of different genders to have separate bedrooms where at least one child is older than six years of age, or</w:t>
      </w:r>
    </w:p>
    <w:p w14:paraId="15FB399A" w14:textId="77777777" w:rsidR="005E57E1" w:rsidRPr="00512E16" w:rsidRDefault="005E57E1" w:rsidP="00916A32">
      <w:pPr>
        <w:pStyle w:val="Bullet2"/>
      </w:pPr>
      <w:r w:rsidRPr="00512E16">
        <w:t>does not allow parents and children to have separate bedrooms.</w:t>
      </w:r>
    </w:p>
    <w:p w14:paraId="61DD8B54" w14:textId="77777777" w:rsidR="005E57E1" w:rsidRPr="00512E16" w:rsidRDefault="005E57E1" w:rsidP="00916A32">
      <w:pPr>
        <w:pStyle w:val="Bullet1"/>
      </w:pPr>
      <w:r w:rsidRPr="00512E16">
        <w:t>they are in receipt of formal support that assists them to live independently in the community. The programs that are recognised as being appropriate support/care providers under this scenario fall under the following funded program areas:</w:t>
      </w:r>
    </w:p>
    <w:p w14:paraId="0B37132D" w14:textId="77777777" w:rsidR="005E57E1" w:rsidRPr="00512E16" w:rsidRDefault="005E57E1" w:rsidP="003E0258">
      <w:pPr>
        <w:pStyle w:val="Bullet2"/>
      </w:pPr>
      <w:r w:rsidRPr="00512E16">
        <w:t>Acquired Brain Injury</w:t>
      </w:r>
    </w:p>
    <w:p w14:paraId="5AE749E9" w14:textId="77777777" w:rsidR="005E57E1" w:rsidRPr="00512E16" w:rsidRDefault="005E57E1" w:rsidP="003E0258">
      <w:pPr>
        <w:pStyle w:val="Bullet2"/>
      </w:pPr>
      <w:r w:rsidRPr="00512E16">
        <w:t>Aged Care</w:t>
      </w:r>
    </w:p>
    <w:p w14:paraId="760B620F" w14:textId="77777777" w:rsidR="005E57E1" w:rsidRPr="00512E16" w:rsidRDefault="005E57E1" w:rsidP="003E0258">
      <w:pPr>
        <w:pStyle w:val="Bullet2"/>
      </w:pPr>
      <w:r w:rsidRPr="00512E16">
        <w:t>Children, Youth and Families</w:t>
      </w:r>
    </w:p>
    <w:p w14:paraId="2DBDC14D" w14:textId="77777777" w:rsidR="005E57E1" w:rsidRPr="00512E16" w:rsidRDefault="005E57E1" w:rsidP="003E0258">
      <w:pPr>
        <w:pStyle w:val="Bullet2"/>
      </w:pPr>
      <w:r w:rsidRPr="36B866D3">
        <w:t>Disability (</w:t>
      </w:r>
      <w:bookmarkStart w:id="42" w:name="_Int_pKTW2neD"/>
      <w:proofErr w:type="gramStart"/>
      <w:r w:rsidRPr="36B866D3">
        <w:t xml:space="preserve">non </w:t>
      </w:r>
      <w:bookmarkStart w:id="43" w:name="_Int_vZU1sqw5"/>
      <w:r w:rsidRPr="36B866D3">
        <w:t>NDIS</w:t>
      </w:r>
      <w:bookmarkEnd w:id="42"/>
      <w:bookmarkEnd w:id="43"/>
      <w:proofErr w:type="gramEnd"/>
      <w:r w:rsidRPr="36B866D3">
        <w:t>)</w:t>
      </w:r>
    </w:p>
    <w:p w14:paraId="63AD7785" w14:textId="77777777" w:rsidR="005E57E1" w:rsidRPr="00512E16" w:rsidRDefault="005E57E1" w:rsidP="003E0258">
      <w:pPr>
        <w:pStyle w:val="Bullet2"/>
      </w:pPr>
      <w:r w:rsidRPr="00512E16">
        <w:t>Mental Health – for people with a mental health support need who do not meet the evidence requirements for Mental Health with Support</w:t>
      </w:r>
    </w:p>
    <w:p w14:paraId="10CF0D46" w14:textId="77777777" w:rsidR="005E57E1" w:rsidRPr="00512E16" w:rsidRDefault="005E57E1" w:rsidP="003E0258">
      <w:pPr>
        <w:pStyle w:val="Bullet2"/>
      </w:pPr>
      <w:r w:rsidRPr="36B866D3">
        <w:t xml:space="preserve">Mental Health with Support - for people who need ongoing (12 months or more) intensive treatment, </w:t>
      </w:r>
      <w:bookmarkStart w:id="44" w:name="_Int_ZbGyvWja"/>
      <w:r w:rsidRPr="36B866D3">
        <w:t>care</w:t>
      </w:r>
      <w:bookmarkEnd w:id="44"/>
      <w:r w:rsidRPr="36B866D3">
        <w:t xml:space="preserve"> and support to maintain housing due to the impact of sustained mental health challenges (including the impacts of trauma they experience). </w:t>
      </w:r>
    </w:p>
    <w:p w14:paraId="723CF5BE" w14:textId="77777777" w:rsidR="005E57E1" w:rsidRPr="00512E16" w:rsidRDefault="005E57E1" w:rsidP="003E0258">
      <w:pPr>
        <w:pStyle w:val="Bullet2"/>
      </w:pPr>
      <w:r w:rsidRPr="00512E16">
        <w:t>NDIS.</w:t>
      </w:r>
    </w:p>
    <w:p w14:paraId="27AC6685" w14:textId="77777777" w:rsidR="005E57E1" w:rsidRPr="00512E16" w:rsidRDefault="005E57E1" w:rsidP="003E0258">
      <w:pPr>
        <w:pStyle w:val="Bodyafterbullets"/>
      </w:pPr>
      <w:r w:rsidRPr="00512E16">
        <w:t>If the reason for moving is because they need larger accommodation, the household must intend to live together on an ongoing basis after they are moved.</w:t>
      </w:r>
    </w:p>
    <w:p w14:paraId="1BE5D6C2" w14:textId="77777777" w:rsidR="005E57E1" w:rsidRPr="00512E16" w:rsidRDefault="005E57E1" w:rsidP="003E0258">
      <w:pPr>
        <w:pStyle w:val="Body"/>
      </w:pPr>
      <w:r w:rsidRPr="00512E16">
        <w:t>Applications should also be lodged under the manifestly unsuitable housing priority reason where a social housing renter, who was allocated temporary housing via the emergency management category, is assessed as having long-term housing needs which their temporary housing does not meet.</w:t>
      </w:r>
    </w:p>
    <w:p w14:paraId="5B6C8D2B" w14:textId="77777777" w:rsidR="005E57E1" w:rsidRPr="00512E16" w:rsidRDefault="005E57E1" w:rsidP="003E0258">
      <w:pPr>
        <w:pStyle w:val="Body"/>
      </w:pPr>
      <w:r w:rsidRPr="00512E16">
        <w:t>An applicant’s temporary housing may not meet the household’s needs because:</w:t>
      </w:r>
    </w:p>
    <w:p w14:paraId="6E708967" w14:textId="77777777" w:rsidR="005E57E1" w:rsidRPr="00512E16" w:rsidRDefault="005E57E1" w:rsidP="003E0258">
      <w:pPr>
        <w:pStyle w:val="Bullet1"/>
      </w:pPr>
      <w:r w:rsidRPr="00512E16">
        <w:lastRenderedPageBreak/>
        <w:t>it does not match the household size according to Housing Size Guidelines</w:t>
      </w:r>
    </w:p>
    <w:p w14:paraId="6E542C00" w14:textId="77777777" w:rsidR="005E57E1" w:rsidRPr="00512E16" w:rsidRDefault="005E57E1" w:rsidP="003E0258">
      <w:pPr>
        <w:pStyle w:val="Bullet1"/>
      </w:pPr>
      <w:r w:rsidRPr="00512E16">
        <w:t>it is not in their preferred area</w:t>
      </w:r>
    </w:p>
    <w:p w14:paraId="2E28F84F" w14:textId="77777777" w:rsidR="005E57E1" w:rsidRPr="00512E16" w:rsidRDefault="005E57E1" w:rsidP="003E0258">
      <w:pPr>
        <w:pStyle w:val="Bullet1"/>
      </w:pPr>
      <w:r w:rsidRPr="00512E16">
        <w:t>it does not meet their special accommodation requirements.</w:t>
      </w:r>
    </w:p>
    <w:p w14:paraId="74CAAF5C" w14:textId="77777777" w:rsidR="005E57E1" w:rsidRPr="00512E16" w:rsidRDefault="005E57E1" w:rsidP="003E0258">
      <w:pPr>
        <w:pStyle w:val="Bodyafterbullets"/>
      </w:pPr>
      <w:r w:rsidRPr="00512E16">
        <w:t>Renters may also be eligible for a priority transfer if they are living in properties managed as social housing, where the tenancy is conditional upon a residential program that is time limited (excluding transitional housing and crisis accommodation).</w:t>
      </w:r>
    </w:p>
    <w:p w14:paraId="1EB65343" w14:textId="77777777" w:rsidR="005E57E1" w:rsidRPr="00D170DA" w:rsidRDefault="005E57E1" w:rsidP="005E57E1">
      <w:pPr>
        <w:pStyle w:val="Heading4"/>
        <w:rPr>
          <w:szCs w:val="24"/>
        </w:rPr>
      </w:pPr>
      <w:r w:rsidRPr="00D170DA">
        <w:rPr>
          <w:szCs w:val="24"/>
        </w:rPr>
        <w:t>Evidence for manifestly unsuitable housing</w:t>
      </w:r>
    </w:p>
    <w:p w14:paraId="53A4E81D" w14:textId="77777777" w:rsidR="005E57E1" w:rsidRPr="00512E16" w:rsidRDefault="005E57E1" w:rsidP="003E0258">
      <w:pPr>
        <w:pStyle w:val="Body"/>
      </w:pPr>
      <w:r w:rsidRPr="00512E16">
        <w:t xml:space="preserve">Applications for manifestly unsuitable housing may be submitted by a designated service provider or social housing organisation that is the applicant’s tenancy manager, or by the applicant. The applicant must demonstrate their current housing status. To </w:t>
      </w:r>
      <w:proofErr w:type="gramStart"/>
      <w:r w:rsidRPr="00512E16">
        <w:t>submit an application</w:t>
      </w:r>
      <w:proofErr w:type="gramEnd"/>
      <w:r w:rsidRPr="00512E16">
        <w:t xml:space="preserve"> under manifestly unsuitable housing the designated service provider or social housing organisation that is the applicant’s tenancy manager must confirm that the applicant is a social housing renter whose accommodation is manifestly unsuitable.</w:t>
      </w:r>
    </w:p>
    <w:p w14:paraId="786971E7" w14:textId="77777777" w:rsidR="005E57E1" w:rsidRPr="00512E16" w:rsidRDefault="005E57E1" w:rsidP="003E0258">
      <w:pPr>
        <w:pStyle w:val="Body"/>
      </w:pPr>
      <w:r w:rsidRPr="00512E16">
        <w:t>Applicants should provide documentation relevant to the manifestly unsuitable housing circumstance of which they are requesting a priority transfer. Evidence must be specific to the circumstance.</w:t>
      </w:r>
    </w:p>
    <w:p w14:paraId="0043B52A" w14:textId="77777777" w:rsidR="005E57E1" w:rsidRPr="00512E16" w:rsidRDefault="005E57E1" w:rsidP="003E0258">
      <w:pPr>
        <w:pStyle w:val="Body"/>
      </w:pPr>
      <w:r w:rsidRPr="00512E16">
        <w:t>The following documents should be provided:</w:t>
      </w:r>
    </w:p>
    <w:p w14:paraId="4089C4AE" w14:textId="77777777" w:rsidR="005E57E1" w:rsidRPr="00512E16" w:rsidRDefault="005E57E1" w:rsidP="003E0258">
      <w:pPr>
        <w:pStyle w:val="Bullet1"/>
      </w:pPr>
      <w:r w:rsidRPr="00512E16">
        <w:t>Special Accommodation Requirements form completed by the treating health practitioner. The treating health practitioner must confirm that the living conditions or environment of the current housing means that the renter can no longer live there independently</w:t>
      </w:r>
    </w:p>
    <w:p w14:paraId="004B1870" w14:textId="77777777" w:rsidR="005E57E1" w:rsidRPr="00512E16" w:rsidRDefault="005E57E1" w:rsidP="003E0258">
      <w:pPr>
        <w:pStyle w:val="Bullet1"/>
      </w:pPr>
      <w:r w:rsidRPr="00512E16">
        <w:t>Confirmation from a designated service provider or social housing organisation that is the applicant’s tenancy manager, detailing how the current housing is impacting on their wellbeing and ability to live independently.</w:t>
      </w:r>
    </w:p>
    <w:p w14:paraId="5BF53EA7" w14:textId="77777777" w:rsidR="005E57E1" w:rsidRPr="00B61F75" w:rsidRDefault="005E57E1" w:rsidP="00C61E39">
      <w:pPr>
        <w:pStyle w:val="Heading4"/>
        <w:rPr>
          <w:i/>
        </w:rPr>
      </w:pPr>
      <w:r w:rsidRPr="00B61F75">
        <w:t>Employment transfers</w:t>
      </w:r>
    </w:p>
    <w:p w14:paraId="6A716ED3" w14:textId="77777777" w:rsidR="005E57E1" w:rsidRPr="00512E16" w:rsidRDefault="005E57E1" w:rsidP="003E0258">
      <w:pPr>
        <w:pStyle w:val="Body"/>
      </w:pPr>
      <w:r w:rsidRPr="00512E16">
        <w:t>Applications should be submitted under the manifestly unsuitable housing priority reason where a social housing renter:</w:t>
      </w:r>
    </w:p>
    <w:p w14:paraId="1CB57AEF" w14:textId="77777777" w:rsidR="005E57E1" w:rsidRPr="00512E16" w:rsidRDefault="005E57E1" w:rsidP="003E0258">
      <w:pPr>
        <w:pStyle w:val="Bullet1"/>
      </w:pPr>
      <w:r w:rsidRPr="00512E16">
        <w:t>is made an offer and/or has commenced ongoing paid employment within the last three months of at least 15 hours per week</w:t>
      </w:r>
    </w:p>
    <w:p w14:paraId="7939D3F9" w14:textId="77777777" w:rsidR="005E57E1" w:rsidRPr="00512E16" w:rsidRDefault="005E57E1" w:rsidP="003E0258">
      <w:pPr>
        <w:pStyle w:val="Bullet1"/>
      </w:pPr>
      <w:proofErr w:type="gramStart"/>
      <w:r w:rsidRPr="36B866D3">
        <w:t>is able to</w:t>
      </w:r>
      <w:proofErr w:type="gramEnd"/>
      <w:r w:rsidRPr="36B866D3">
        <w:t xml:space="preserve"> demonstrate that they would be unable to sustain the employment if they remained in their current housing due to the distance between their housing and workplace.</w:t>
      </w:r>
    </w:p>
    <w:p w14:paraId="3A85FDA7" w14:textId="77777777" w:rsidR="005E57E1" w:rsidRPr="00512E16" w:rsidRDefault="005E57E1" w:rsidP="003E0258">
      <w:pPr>
        <w:pStyle w:val="Bodyafterbullets"/>
      </w:pPr>
      <w:r w:rsidRPr="00512E16">
        <w:t>Transfers under this policy are designed to ensure renters do not have to forego employment opportunities due to their distance from the workplace.</w:t>
      </w:r>
    </w:p>
    <w:p w14:paraId="4160D5CC" w14:textId="77777777" w:rsidR="005E57E1" w:rsidRPr="00512E16" w:rsidRDefault="005E57E1" w:rsidP="003E0258">
      <w:pPr>
        <w:pStyle w:val="Body"/>
      </w:pPr>
      <w:r w:rsidRPr="00512E16">
        <w:t>This policy does not apply to resident household members.</w:t>
      </w:r>
    </w:p>
    <w:p w14:paraId="3AF6BCB1" w14:textId="77777777" w:rsidR="005E57E1" w:rsidRPr="00D170DA" w:rsidRDefault="005E57E1" w:rsidP="005E57E1">
      <w:pPr>
        <w:pStyle w:val="Heading4"/>
        <w:rPr>
          <w:szCs w:val="24"/>
        </w:rPr>
      </w:pPr>
      <w:r w:rsidRPr="00D170DA">
        <w:rPr>
          <w:szCs w:val="24"/>
        </w:rPr>
        <w:t>Evidence for employment transfers</w:t>
      </w:r>
    </w:p>
    <w:p w14:paraId="26B19404" w14:textId="77777777" w:rsidR="005E57E1" w:rsidRPr="00512E16" w:rsidRDefault="005E57E1" w:rsidP="003E0258">
      <w:pPr>
        <w:pStyle w:val="Body"/>
      </w:pPr>
      <w:r w:rsidRPr="00512E16">
        <w:t xml:space="preserve">To </w:t>
      </w:r>
      <w:proofErr w:type="gramStart"/>
      <w:r w:rsidRPr="00512E16">
        <w:t>submit an application</w:t>
      </w:r>
      <w:proofErr w:type="gramEnd"/>
      <w:r w:rsidRPr="00512E16">
        <w:t xml:space="preserve"> under these circumstances the designated service provider or social housing organisation that is the applicant’s tenancy manager, must confirm the applicant is a current social housing renter who has been offered ongoing employment of at least 15 hours per week and has commenced employment within the last three months, or will commence employment within three months.</w:t>
      </w:r>
    </w:p>
    <w:p w14:paraId="05881C66" w14:textId="77777777" w:rsidR="005E57E1" w:rsidRPr="00512E16" w:rsidRDefault="005E57E1" w:rsidP="003E0258">
      <w:pPr>
        <w:pStyle w:val="Body"/>
      </w:pPr>
      <w:r w:rsidRPr="00512E16">
        <w:t>The designated service provider or social housing organisation that is the applicant’s tenancy manager must sight a letter or similar documents confirming location and terms of employment.</w:t>
      </w:r>
    </w:p>
    <w:p w14:paraId="51B61858" w14:textId="77777777" w:rsidR="005E57E1" w:rsidRPr="00B61F75" w:rsidRDefault="005E57E1" w:rsidP="00C61E39">
      <w:pPr>
        <w:pStyle w:val="Heading4"/>
        <w:rPr>
          <w:i/>
          <w:iCs/>
        </w:rPr>
      </w:pPr>
      <w:r w:rsidRPr="00B61F75">
        <w:t xml:space="preserve">Mental health with support </w:t>
      </w:r>
    </w:p>
    <w:p w14:paraId="51D0D703" w14:textId="77777777" w:rsidR="005E57E1" w:rsidRPr="00B61F75" w:rsidRDefault="005E57E1" w:rsidP="003E0258">
      <w:pPr>
        <w:pStyle w:val="Body"/>
      </w:pPr>
      <w:r w:rsidRPr="36B866D3">
        <w:t>The ‘Mental Health with Support’ priority type is for prioritisation of people who need “ongoing intensive treatment, care and support to maintain housing due to the impact of sustained mental health challenges (including the impacts of trauma)</w:t>
      </w:r>
      <w:bookmarkStart w:id="45" w:name="_Int_lf8LULU1"/>
      <w:r w:rsidRPr="36B866D3">
        <w:t>”.</w:t>
      </w:r>
      <w:bookmarkEnd w:id="45"/>
    </w:p>
    <w:p w14:paraId="53D56F45" w14:textId="77777777" w:rsidR="005E57E1" w:rsidRPr="00B61F75" w:rsidRDefault="005E57E1" w:rsidP="003E0258">
      <w:pPr>
        <w:pStyle w:val="Body"/>
      </w:pPr>
      <w:r w:rsidRPr="00B61F75">
        <w:lastRenderedPageBreak/>
        <w:t xml:space="preserve">An application under the Mental Health with Support priority reason can be submitted by a homelessness service provider, social housing organisation managing the applicant’s tenancy, a designated service provider or by the applicant themselves. </w:t>
      </w:r>
    </w:p>
    <w:p w14:paraId="3E1A9A76" w14:textId="77777777" w:rsidR="005E57E1" w:rsidRPr="00B61F75" w:rsidRDefault="005E57E1" w:rsidP="003E0258">
      <w:pPr>
        <w:pStyle w:val="Body"/>
      </w:pPr>
      <w:r w:rsidRPr="00B61F75">
        <w:t>Designated service providers currently include Area Mental Health and Wellbeing Services such as Austin Health, Peninsula Health etc and Aboriginal Community Controlled Organisations (ACCOs).</w:t>
      </w:r>
    </w:p>
    <w:p w14:paraId="1DA46607" w14:textId="77777777" w:rsidR="005E57E1" w:rsidRPr="00B61F75" w:rsidRDefault="005E57E1" w:rsidP="00C61E39">
      <w:pPr>
        <w:pStyle w:val="Heading4"/>
      </w:pPr>
      <w:r w:rsidRPr="00B61F75">
        <w:t xml:space="preserve">Evidence for mental health with </w:t>
      </w:r>
      <w:r w:rsidRPr="00C61E39">
        <w:t>support</w:t>
      </w:r>
    </w:p>
    <w:p w14:paraId="46EAE71F" w14:textId="77777777" w:rsidR="005E57E1" w:rsidRPr="00B61F75" w:rsidRDefault="005E57E1" w:rsidP="003E0258">
      <w:pPr>
        <w:pStyle w:val="Body"/>
      </w:pPr>
      <w:r w:rsidRPr="00B61F75">
        <w:t>In addition to the broader requirements for the manifestly unsuitable housing reason, a designated service provider must authorise the release of information about the application and confirm:</w:t>
      </w:r>
    </w:p>
    <w:p w14:paraId="3CB15C2A" w14:textId="77777777" w:rsidR="005E57E1" w:rsidRPr="003E0258" w:rsidRDefault="005E57E1" w:rsidP="003E0258">
      <w:pPr>
        <w:pStyle w:val="Bullet1"/>
      </w:pPr>
      <w:r w:rsidRPr="003E0258">
        <w:t>that the applicant is receiving, or is eligible to receive, ongoing (12 months or more) mental health and wellbeing support from the designated service provider</w:t>
      </w:r>
    </w:p>
    <w:p w14:paraId="7B29912B" w14:textId="77777777" w:rsidR="005E57E1" w:rsidRPr="003E0258" w:rsidRDefault="005E57E1" w:rsidP="003E0258">
      <w:pPr>
        <w:pStyle w:val="Bullet1"/>
      </w:pPr>
      <w:r w:rsidRPr="003E0258">
        <w:t>that the applicant is receiving, or eligible to receive, appropriate State or Commonwealth funded psychosocial or daily living supports integrated with their mental health treatment</w:t>
      </w:r>
    </w:p>
    <w:p w14:paraId="04B31DA1" w14:textId="77777777" w:rsidR="005E57E1" w:rsidRPr="003E0258" w:rsidRDefault="005E57E1" w:rsidP="003E0258">
      <w:pPr>
        <w:pStyle w:val="Bullet1"/>
      </w:pPr>
      <w:r w:rsidRPr="003E0258">
        <w:t>that the applicant consents to receiving offers of social housing</w:t>
      </w:r>
    </w:p>
    <w:p w14:paraId="66845877" w14:textId="77777777" w:rsidR="005E57E1" w:rsidRPr="003E0258" w:rsidRDefault="005E57E1" w:rsidP="003E0258">
      <w:pPr>
        <w:pStyle w:val="Bullet1"/>
      </w:pPr>
      <w:r w:rsidRPr="003E0258">
        <w:t xml:space="preserve">any special accommodation requirements or preferences. </w:t>
      </w:r>
    </w:p>
    <w:p w14:paraId="7E42C929" w14:textId="77777777" w:rsidR="005E57E1" w:rsidRPr="007B4AB8" w:rsidRDefault="005E57E1" w:rsidP="00C61E39">
      <w:pPr>
        <w:pStyle w:val="Heading3"/>
      </w:pPr>
      <w:r w:rsidRPr="007B4AB8">
        <w:t xml:space="preserve">3. </w:t>
      </w:r>
      <w:r w:rsidRPr="00C61E39">
        <w:t>Uninhabitable</w:t>
      </w:r>
      <w:r w:rsidRPr="007B4AB8">
        <w:t xml:space="preserve"> housing</w:t>
      </w:r>
    </w:p>
    <w:p w14:paraId="632C145E" w14:textId="77777777" w:rsidR="005E57E1" w:rsidRPr="007B4AB8" w:rsidRDefault="005E57E1" w:rsidP="00B83F19">
      <w:pPr>
        <w:pStyle w:val="Body"/>
      </w:pPr>
      <w:r w:rsidRPr="007B4AB8">
        <w:t>Transfers due to uninhabitable housing priority reason is only for the use of social housing organisations who are the applicant’s tenancy managers. This priority reason refers to when a property is uninhabitable due to fire, flood, vandalism or similar.</w:t>
      </w:r>
    </w:p>
    <w:p w14:paraId="2D163856" w14:textId="77777777" w:rsidR="005E57E1" w:rsidRPr="007B4AB8" w:rsidRDefault="005E57E1" w:rsidP="00C61E39">
      <w:pPr>
        <w:pStyle w:val="Heading3"/>
      </w:pPr>
      <w:r w:rsidRPr="007B4AB8">
        <w:t xml:space="preserve">4. Family </w:t>
      </w:r>
      <w:r w:rsidRPr="00C61E39">
        <w:t>reunification</w:t>
      </w:r>
    </w:p>
    <w:p w14:paraId="487BFB15" w14:textId="77777777" w:rsidR="005E57E1" w:rsidRPr="007B4AB8" w:rsidRDefault="005E57E1" w:rsidP="00B83F19">
      <w:pPr>
        <w:pStyle w:val="Body"/>
      </w:pPr>
      <w:r w:rsidRPr="007B4AB8">
        <w:t>Applications should be submitted under the priority reason of family reunification if the child(ren) of a social housing renter is subject to a Children’s Court order and requires a transfer of housing to facilitate reunification or prevent family breakdown.</w:t>
      </w:r>
    </w:p>
    <w:p w14:paraId="575C252D" w14:textId="77777777" w:rsidR="005E57E1" w:rsidRPr="007B4AB8" w:rsidRDefault="005E57E1" w:rsidP="00C61E39">
      <w:pPr>
        <w:pStyle w:val="Heading4"/>
      </w:pPr>
      <w:r w:rsidRPr="007B4AB8">
        <w:t xml:space="preserve">Evidence for family </w:t>
      </w:r>
      <w:r w:rsidRPr="00C61E39">
        <w:t>reunification</w:t>
      </w:r>
    </w:p>
    <w:p w14:paraId="050B134E" w14:textId="77777777" w:rsidR="005E57E1" w:rsidRPr="007B4AB8" w:rsidRDefault="005E57E1" w:rsidP="00B83F19">
      <w:pPr>
        <w:pStyle w:val="Body"/>
      </w:pPr>
      <w:r w:rsidRPr="007B4AB8">
        <w:t xml:space="preserve">To </w:t>
      </w:r>
      <w:proofErr w:type="gramStart"/>
      <w:r w:rsidRPr="007B4AB8">
        <w:t>submit an application</w:t>
      </w:r>
      <w:proofErr w:type="gramEnd"/>
      <w:r w:rsidRPr="007B4AB8">
        <w:t xml:space="preserve"> under family reunification the designated service provider or social housing organisation that is the applicant’s tenancy manager:</w:t>
      </w:r>
    </w:p>
    <w:p w14:paraId="14F056A7" w14:textId="77777777" w:rsidR="005E57E1" w:rsidRPr="007B4AB8" w:rsidRDefault="005E57E1" w:rsidP="00B83F19">
      <w:pPr>
        <w:pStyle w:val="Bullet1"/>
      </w:pPr>
      <w:r w:rsidRPr="007B4AB8">
        <w:t>must confirm that the applicant is a social housing renter who requires a transfer of housing to facilitate reunification or prevent family breakdown</w:t>
      </w:r>
    </w:p>
    <w:p w14:paraId="63390ACD" w14:textId="77777777" w:rsidR="005E57E1" w:rsidRPr="007B4AB8" w:rsidRDefault="005E57E1" w:rsidP="00B83F19">
      <w:pPr>
        <w:pStyle w:val="Bullet1"/>
      </w:pPr>
      <w:r w:rsidRPr="007B4AB8">
        <w:t>must also sight the Children’s Court order.</w:t>
      </w:r>
    </w:p>
    <w:p w14:paraId="1E6034EA" w14:textId="77777777" w:rsidR="005E57E1" w:rsidRPr="007B4AB8" w:rsidRDefault="005E57E1" w:rsidP="00C61E39">
      <w:pPr>
        <w:pStyle w:val="Heading3"/>
      </w:pPr>
      <w:r w:rsidRPr="007B4AB8">
        <w:t xml:space="preserve">5. Stock </w:t>
      </w:r>
      <w:r w:rsidRPr="00C61E39">
        <w:t>utilisation</w:t>
      </w:r>
    </w:p>
    <w:p w14:paraId="6BDAB1B3" w14:textId="77777777" w:rsidR="005E57E1" w:rsidRDefault="005E57E1" w:rsidP="00B83F19">
      <w:pPr>
        <w:pStyle w:val="Body"/>
      </w:pPr>
      <w:r>
        <w:t xml:space="preserve">Applications should be submitted under the priority reason of stock utilisation when a renter requests to transfer, or a social housing organisation initiates a transfer, to a different sized property. For example, if a child has moved out and the remaining household members want to move from their </w:t>
      </w:r>
      <w:bookmarkStart w:id="46" w:name="_Int_mUHi3chF"/>
      <w:proofErr w:type="gramStart"/>
      <w:r>
        <w:t>four bedroom</w:t>
      </w:r>
      <w:bookmarkEnd w:id="46"/>
      <w:proofErr w:type="gramEnd"/>
      <w:r>
        <w:t xml:space="preserve"> house to a </w:t>
      </w:r>
      <w:bookmarkStart w:id="47" w:name="_Int_OedzVCRm"/>
      <w:proofErr w:type="gramStart"/>
      <w:r>
        <w:t>two bedroom</w:t>
      </w:r>
      <w:bookmarkEnd w:id="47"/>
      <w:proofErr w:type="gramEnd"/>
      <w:r>
        <w:t xml:space="preserve"> house.</w:t>
      </w:r>
    </w:p>
    <w:p w14:paraId="3FDFFED0" w14:textId="77777777" w:rsidR="005E57E1" w:rsidRPr="007B4AB8" w:rsidRDefault="005E57E1" w:rsidP="00C61E39">
      <w:pPr>
        <w:pStyle w:val="Heading3"/>
      </w:pPr>
      <w:r w:rsidRPr="007B4AB8">
        <w:t xml:space="preserve">6. Move out of property and move </w:t>
      </w:r>
      <w:r w:rsidRPr="00C61E39">
        <w:t>back</w:t>
      </w:r>
      <w:r w:rsidRPr="007B4AB8">
        <w:t xml:space="preserve"> for redevelopments</w:t>
      </w:r>
    </w:p>
    <w:p w14:paraId="0F3F42DD" w14:textId="77777777" w:rsidR="005E57E1" w:rsidRPr="00CA550C" w:rsidRDefault="005E57E1" w:rsidP="00B83F19">
      <w:pPr>
        <w:pStyle w:val="Body"/>
      </w:pPr>
      <w:r w:rsidRPr="00CA550C">
        <w:t>The move out of property priority reason is only for the use of social housing organisations who are the applicant’s tenancy manager. Use of this priority reason should link to the asset plan of the social housing organisation managing the property.</w:t>
      </w:r>
    </w:p>
    <w:p w14:paraId="08F4CED6" w14:textId="77777777" w:rsidR="005E57E1" w:rsidRPr="00CA550C" w:rsidRDefault="005E57E1" w:rsidP="00B83F19">
      <w:pPr>
        <w:pStyle w:val="Body"/>
      </w:pPr>
      <w:r w:rsidRPr="00CA550C">
        <w:t>There are six reasons that a participating registered agency may apply this priority reason:</w:t>
      </w:r>
    </w:p>
    <w:p w14:paraId="32AFA436" w14:textId="77777777" w:rsidR="005E57E1" w:rsidRPr="00CA550C" w:rsidRDefault="005E57E1" w:rsidP="00B83F19">
      <w:pPr>
        <w:pStyle w:val="Bullet1"/>
      </w:pPr>
      <w:r w:rsidRPr="00CA550C">
        <w:t>the head lease is expiring on the leased property</w:t>
      </w:r>
    </w:p>
    <w:p w14:paraId="173B7580" w14:textId="77777777" w:rsidR="005E57E1" w:rsidRPr="00CA550C" w:rsidRDefault="005E57E1" w:rsidP="00B83F19">
      <w:pPr>
        <w:pStyle w:val="Bullet1"/>
      </w:pPr>
      <w:r w:rsidRPr="00CA550C">
        <w:t>the property is to be demolished</w:t>
      </w:r>
    </w:p>
    <w:p w14:paraId="5F1766B8" w14:textId="77777777" w:rsidR="005E57E1" w:rsidRPr="00CA550C" w:rsidRDefault="005E57E1" w:rsidP="00B83F19">
      <w:pPr>
        <w:pStyle w:val="Bullet1"/>
      </w:pPr>
      <w:r w:rsidRPr="00CA550C">
        <w:lastRenderedPageBreak/>
        <w:t>the property is to undergo major upgrade/redevelopment</w:t>
      </w:r>
    </w:p>
    <w:p w14:paraId="1FCC9C07" w14:textId="77777777" w:rsidR="005E57E1" w:rsidRPr="00CA550C" w:rsidRDefault="005E57E1" w:rsidP="00B83F19">
      <w:pPr>
        <w:pStyle w:val="Bullet1"/>
      </w:pPr>
      <w:r w:rsidRPr="00CA550C">
        <w:t>the property is to be sold</w:t>
      </w:r>
    </w:p>
    <w:p w14:paraId="078A83B3" w14:textId="77777777" w:rsidR="005E57E1" w:rsidRPr="00CA550C" w:rsidRDefault="005E57E1" w:rsidP="00B83F19">
      <w:pPr>
        <w:pStyle w:val="Bullet1"/>
      </w:pPr>
      <w:r w:rsidRPr="00CA550C">
        <w:t>a renter wants to return to a redeveloped area</w:t>
      </w:r>
    </w:p>
    <w:p w14:paraId="67EB249F" w14:textId="77777777" w:rsidR="005E57E1" w:rsidRPr="00CA550C" w:rsidRDefault="005E57E1" w:rsidP="00B83F19">
      <w:pPr>
        <w:pStyle w:val="Bullet1"/>
      </w:pPr>
      <w:r w:rsidRPr="00CA550C">
        <w:t>a renter requires a transfer from a moveable unit due to the sale of the main property or litigation.</w:t>
      </w:r>
    </w:p>
    <w:p w14:paraId="42E8C340" w14:textId="77777777" w:rsidR="005E57E1" w:rsidRPr="00CA550C" w:rsidRDefault="005E57E1" w:rsidP="005E57E1">
      <w:pPr>
        <w:pStyle w:val="Heading4"/>
        <w:rPr>
          <w:szCs w:val="24"/>
        </w:rPr>
      </w:pPr>
      <w:r w:rsidRPr="00CA550C">
        <w:rPr>
          <w:szCs w:val="24"/>
        </w:rPr>
        <w:t>Transfers from movable units</w:t>
      </w:r>
    </w:p>
    <w:p w14:paraId="76973FC5" w14:textId="77777777" w:rsidR="005E57E1" w:rsidRPr="00F53042" w:rsidRDefault="005E57E1" w:rsidP="00B83F19">
      <w:pPr>
        <w:pStyle w:val="Body"/>
      </w:pPr>
      <w:r w:rsidRPr="00F53042">
        <w:t>Transfers from movable units fall under this priority reason and is for Tenancy Managers’ use only. There are two reasons of transfers from movable units under which a household may be eligible for Priority Transfers:</w:t>
      </w:r>
    </w:p>
    <w:p w14:paraId="23765A62" w14:textId="77777777" w:rsidR="005E57E1" w:rsidRPr="00F53042" w:rsidRDefault="005E57E1" w:rsidP="00B83F19">
      <w:pPr>
        <w:pStyle w:val="Bullet1"/>
      </w:pPr>
      <w:r w:rsidRPr="36B866D3">
        <w:t xml:space="preserve">a transfer request made </w:t>
      </w:r>
      <w:proofErr w:type="gramStart"/>
      <w:r w:rsidRPr="36B866D3">
        <w:t>as a result of</w:t>
      </w:r>
      <w:proofErr w:type="gramEnd"/>
      <w:r w:rsidRPr="36B866D3">
        <w:t xml:space="preserve"> action initiated by the owner/occupant of the main dwelling, when the property is going to be sold, where the movable unit is located</w:t>
      </w:r>
    </w:p>
    <w:p w14:paraId="0E763826" w14:textId="77777777" w:rsidR="005E57E1" w:rsidRPr="00F53042" w:rsidRDefault="005E57E1" w:rsidP="00B83F19">
      <w:pPr>
        <w:pStyle w:val="Bullet1"/>
      </w:pPr>
      <w:r w:rsidRPr="36B866D3">
        <w:t xml:space="preserve">a transfer </w:t>
      </w:r>
      <w:proofErr w:type="gramStart"/>
      <w:r w:rsidRPr="36B866D3">
        <w:t>as a result of</w:t>
      </w:r>
      <w:proofErr w:type="gramEnd"/>
      <w:r w:rsidRPr="36B866D3">
        <w:t xml:space="preserve"> legal action initiated by the social housing organisation against the occupant of the main dwelling, where the movable unit is located.</w:t>
      </w:r>
    </w:p>
    <w:p w14:paraId="6854B569" w14:textId="77777777" w:rsidR="005E57E1" w:rsidRPr="00F53042" w:rsidRDefault="005E57E1" w:rsidP="00B83F19">
      <w:pPr>
        <w:pStyle w:val="Bodyafterbullets"/>
      </w:pPr>
      <w:r w:rsidRPr="00F53042">
        <w:t>As a relocation is made by the participating registered agency social housing organisation rather than a renter, the relocation for redevelopment purposes does not affect any current or future transfer application that the renter may wish to make.</w:t>
      </w:r>
    </w:p>
    <w:p w14:paraId="14C07269" w14:textId="77777777" w:rsidR="005E57E1" w:rsidRPr="00F53042" w:rsidRDefault="005E57E1" w:rsidP="00B83F19">
      <w:pPr>
        <w:pStyle w:val="Body"/>
      </w:pPr>
      <w:r w:rsidRPr="00F53042">
        <w:t>Social housing renters who have been relocated due to a redevelopment should discuss with their social housing organisation whether they are eligible to move back to a redeveloped area. A social housing organisation may approve an application to move back to a redeveloped area where a renter seeks to move back to a redeveloped site.</w:t>
      </w:r>
    </w:p>
    <w:p w14:paraId="35F1E3E3" w14:textId="77777777" w:rsidR="005E57E1" w:rsidRPr="00F53042" w:rsidRDefault="005E57E1" w:rsidP="00B83F19">
      <w:pPr>
        <w:pStyle w:val="Body"/>
      </w:pPr>
      <w:r w:rsidRPr="36B866D3">
        <w:t xml:space="preserve">Consideration is given to the expressed needs of the renter and their existing connections and linkages to the community. This consideration includes the renter’s need for access to </w:t>
      </w:r>
      <w:proofErr w:type="gramStart"/>
      <w:r w:rsidRPr="36B866D3">
        <w:t>particular support</w:t>
      </w:r>
      <w:proofErr w:type="gramEnd"/>
      <w:r w:rsidRPr="36B866D3">
        <w:t xml:space="preserve"> services, </w:t>
      </w:r>
      <w:bookmarkStart w:id="48" w:name="_Int_aLeFTfmW"/>
      <w:r w:rsidRPr="36B866D3">
        <w:t>schools</w:t>
      </w:r>
      <w:bookmarkEnd w:id="48"/>
      <w:r w:rsidRPr="36B866D3">
        <w:t xml:space="preserve"> and medical facilities in the area.</w:t>
      </w:r>
    </w:p>
    <w:p w14:paraId="1BC048B8" w14:textId="77777777" w:rsidR="005E57E1" w:rsidRPr="00E24F8B" w:rsidRDefault="005E57E1" w:rsidP="00C61E39">
      <w:pPr>
        <w:pStyle w:val="Heading1"/>
      </w:pPr>
      <w:bookmarkStart w:id="49" w:name="_Toc451181550"/>
      <w:bookmarkStart w:id="50" w:name="_Toc158041347"/>
      <w:bookmarkStart w:id="51" w:name="_Toc222825367"/>
      <w:r w:rsidRPr="00E24F8B">
        <w:t xml:space="preserve">Applying for </w:t>
      </w:r>
      <w:r w:rsidRPr="00C61E39">
        <w:t>Priority</w:t>
      </w:r>
      <w:r w:rsidRPr="00E24F8B">
        <w:t xml:space="preserve"> </w:t>
      </w:r>
      <w:r w:rsidRPr="00C61E39">
        <w:t>Transfer</w:t>
      </w:r>
      <w:bookmarkEnd w:id="49"/>
      <w:bookmarkEnd w:id="50"/>
      <w:bookmarkEnd w:id="51"/>
    </w:p>
    <w:p w14:paraId="3AB278BC" w14:textId="77777777" w:rsidR="005E57E1" w:rsidRPr="00E24F8B" w:rsidRDefault="005E57E1" w:rsidP="00B83F19">
      <w:pPr>
        <w:pStyle w:val="Body"/>
      </w:pPr>
      <w:bookmarkStart w:id="52" w:name="_Toc450290001"/>
      <w:bookmarkStart w:id="53" w:name="_Toc451181551"/>
      <w:r w:rsidRPr="00E24F8B">
        <w:t>Applications for Priority Transfer can be submitted by the applicant, a designated service provider or social housing organisation that is the applicant’s tenancy manager, in accordance with these operational guidelines.</w:t>
      </w:r>
    </w:p>
    <w:p w14:paraId="6BCE9F7B" w14:textId="04CB5BAA" w:rsidR="005E57E1" w:rsidRPr="008203BD" w:rsidRDefault="005E57E1" w:rsidP="00B83F19">
      <w:pPr>
        <w:pStyle w:val="Body"/>
      </w:pPr>
      <w:r w:rsidRPr="008203BD">
        <w:t xml:space="preserve">For more information about how to apply to the register, including submitting applications online, refer to the </w:t>
      </w:r>
      <w:hyperlink r:id="rId19" w:history="1">
        <w:r w:rsidR="00E923E0" w:rsidRPr="008203BD">
          <w:rPr>
            <w:rStyle w:val="Hyperlink"/>
            <w:szCs w:val="21"/>
          </w:rPr>
          <w:t>Eligibility Policy Framework and Operational guidelines</w:t>
        </w:r>
      </w:hyperlink>
      <w:r w:rsidR="00E923E0" w:rsidRPr="008203BD">
        <w:rPr>
          <w:rStyle w:val="Hyperlink"/>
          <w:szCs w:val="21"/>
        </w:rPr>
        <w:t xml:space="preserve"> </w:t>
      </w:r>
      <w:r w:rsidR="00E923E0" w:rsidRPr="008203BD">
        <w:t>https://fac.dffh.vic.gov.au/eligibility-policy-framework-and-operational-guidelines.</w:t>
      </w:r>
    </w:p>
    <w:p w14:paraId="70C9340E" w14:textId="77777777" w:rsidR="005E57E1" w:rsidRPr="00E24F8B" w:rsidRDefault="005E57E1" w:rsidP="00C61E39">
      <w:pPr>
        <w:pStyle w:val="Heading1"/>
      </w:pPr>
      <w:bookmarkStart w:id="54" w:name="_Toc158041348"/>
      <w:bookmarkStart w:id="55" w:name="_Toc222825368"/>
      <w:r w:rsidRPr="00E24F8B">
        <w:t xml:space="preserve">Application </w:t>
      </w:r>
      <w:r w:rsidRPr="00C61E39">
        <w:t>effective</w:t>
      </w:r>
      <w:r w:rsidRPr="00E24F8B">
        <w:t xml:space="preserve"> date</w:t>
      </w:r>
      <w:bookmarkEnd w:id="52"/>
      <w:bookmarkEnd w:id="53"/>
      <w:bookmarkEnd w:id="54"/>
      <w:bookmarkEnd w:id="55"/>
    </w:p>
    <w:p w14:paraId="71DEFF62" w14:textId="77777777" w:rsidR="005E57E1" w:rsidRPr="00E24F8B" w:rsidRDefault="005E57E1" w:rsidP="00B83F19">
      <w:pPr>
        <w:pStyle w:val="Body"/>
      </w:pPr>
      <w:r w:rsidRPr="00E24F8B">
        <w:t>The effective date for the Priority Transfers category is the date the household was assessed as requiring a transfer. Where the application was initiated by a designated service provider or social housing organisation that is the applicant’s tenancy manager, the effective date is decided by the designated service provider or social housing organisation submitting the application.</w:t>
      </w:r>
    </w:p>
    <w:p w14:paraId="12F84E03" w14:textId="77777777" w:rsidR="005E57E1" w:rsidRPr="00E24F8B" w:rsidRDefault="005E57E1" w:rsidP="00C61E39">
      <w:pPr>
        <w:pStyle w:val="Heading1"/>
      </w:pPr>
      <w:bookmarkStart w:id="56" w:name="_Toc450290002"/>
      <w:bookmarkStart w:id="57" w:name="_Toc451181552"/>
      <w:bookmarkStart w:id="58" w:name="_Toc158041349"/>
      <w:bookmarkStart w:id="59" w:name="_Toc222825369"/>
      <w:r w:rsidRPr="00E24F8B">
        <w:t>Application approval</w:t>
      </w:r>
      <w:bookmarkEnd w:id="56"/>
      <w:bookmarkEnd w:id="57"/>
      <w:bookmarkEnd w:id="58"/>
      <w:bookmarkEnd w:id="59"/>
    </w:p>
    <w:p w14:paraId="5AD582DC" w14:textId="77777777" w:rsidR="005E57E1" w:rsidRPr="00F53042" w:rsidRDefault="005E57E1" w:rsidP="00B83F19">
      <w:pPr>
        <w:pStyle w:val="Body"/>
      </w:pPr>
      <w:bookmarkStart w:id="60" w:name="_Toc456094543"/>
      <w:r w:rsidRPr="00F53042">
        <w:t>If an application for Priority Transfer is submitted by a designated service provider, the lodging organisation should make a recommendation as to whether the application should be approved.</w:t>
      </w:r>
    </w:p>
    <w:p w14:paraId="4C0A0D7C" w14:textId="77777777" w:rsidR="005E57E1" w:rsidRPr="00F53042" w:rsidRDefault="005E57E1" w:rsidP="00B83F19">
      <w:pPr>
        <w:pStyle w:val="Body"/>
      </w:pPr>
      <w:r w:rsidRPr="00F53042">
        <w:t>A participating registered agency that is the applicant’s tenancy manager, may submit and approve Priority Transfer applications, in accordance with these operational guidelines.</w:t>
      </w:r>
    </w:p>
    <w:p w14:paraId="38B4268A" w14:textId="77777777" w:rsidR="005E57E1" w:rsidRPr="00F53042" w:rsidRDefault="005E57E1" w:rsidP="00B83F19">
      <w:pPr>
        <w:pStyle w:val="Body"/>
      </w:pPr>
      <w:r w:rsidRPr="00F53042">
        <w:lastRenderedPageBreak/>
        <w:t>If an application for Priority Transfer is submitted and approved by a participating registered agency the department will accept that the application meets the eligibility criteria for one of the Priority Transfer reasons, including any discretionary approval applied to the income and asset limits.</w:t>
      </w:r>
    </w:p>
    <w:p w14:paraId="72374376" w14:textId="77777777" w:rsidR="005E57E1" w:rsidRPr="008203BD" w:rsidRDefault="005E57E1" w:rsidP="00B83F19">
      <w:pPr>
        <w:pStyle w:val="Body"/>
      </w:pPr>
      <w:r w:rsidRPr="008203BD">
        <w:t xml:space="preserve">If the application is approved, the number of bedrooms and any special accommodation requirements will be assessed according to the </w:t>
      </w:r>
      <w:hyperlink r:id="rId20" w:history="1">
        <w:r w:rsidRPr="008203BD">
          <w:rPr>
            <w:rStyle w:val="Hyperlink"/>
            <w:szCs w:val="21"/>
          </w:rPr>
          <w:t>Clients with Special Accommodation Requirements operational guidelines</w:t>
        </w:r>
      </w:hyperlink>
      <w:r w:rsidRPr="008203BD">
        <w:t xml:space="preserve"> https://fac.dffh.vic.gov.au/clients-special-accommodation-requirements.</w:t>
      </w:r>
    </w:p>
    <w:p w14:paraId="4D240312" w14:textId="77777777" w:rsidR="005E57E1" w:rsidRPr="00E24F8B" w:rsidRDefault="005E57E1" w:rsidP="00C61E39">
      <w:pPr>
        <w:pStyle w:val="Heading1"/>
      </w:pPr>
      <w:bookmarkStart w:id="61" w:name="_Toc158041350"/>
      <w:bookmarkStart w:id="62" w:name="_Toc222825370"/>
      <w:r w:rsidRPr="00E24F8B">
        <w:t>Decision Review</w:t>
      </w:r>
      <w:bookmarkEnd w:id="60"/>
      <w:bookmarkEnd w:id="61"/>
      <w:bookmarkEnd w:id="62"/>
    </w:p>
    <w:p w14:paraId="7996B775" w14:textId="6D283F37" w:rsidR="005E57E1" w:rsidRPr="008203BD" w:rsidRDefault="005E57E1" w:rsidP="00B83F19">
      <w:pPr>
        <w:pStyle w:val="Body"/>
      </w:pPr>
      <w:r w:rsidRPr="008203BD">
        <w:t xml:space="preserve">Applicants who are not recommended or have been assessed as ineligible for Priority Transfer may request to have the decision reviewed. For more information see the </w:t>
      </w:r>
      <w:hyperlink r:id="rId21" w:history="1">
        <w:r w:rsidRPr="008203BD">
          <w:rPr>
            <w:rStyle w:val="Hyperlink"/>
          </w:rPr>
          <w:t>Complaints, Appeals and Feedback Processes operational guidelines</w:t>
        </w:r>
      </w:hyperlink>
      <w:r w:rsidRPr="008203BD">
        <w:t xml:space="preserve"> </w:t>
      </w:r>
      <w:r w:rsidR="00C219BC" w:rsidRPr="008203BD">
        <w:t>https://fac.dffh.vic.gov.au/complaints-appeals-and-feedback-processes</w:t>
      </w:r>
      <w:r w:rsidRPr="008203BD">
        <w:t>.</w:t>
      </w:r>
    </w:p>
    <w:p w14:paraId="23905390" w14:textId="5816EA82" w:rsidR="00C219BC" w:rsidRDefault="00C219BC">
      <w:pPr>
        <w:spacing w:after="0" w:line="240" w:lineRule="auto"/>
        <w:rPr>
          <w:i/>
          <w:sz w:val="20"/>
        </w:rPr>
      </w:pPr>
      <w:r>
        <w:rPr>
          <w:i/>
        </w:rPr>
        <w:br w:type="page"/>
      </w:r>
    </w:p>
    <w:p w14:paraId="5BE08B13" w14:textId="77777777" w:rsidR="00AA2A20" w:rsidRDefault="00AA2A20" w:rsidP="0055119B">
      <w:pPr>
        <w:pStyle w:val="Accessibilitypara"/>
      </w:pPr>
      <w:bookmarkStart w:id="63" w:name="_Hlk37240926"/>
      <w:bookmarkEnd w:id="3"/>
      <w:r>
        <w:lastRenderedPageBreak/>
        <w:t xml:space="preserve">For more information </w:t>
      </w:r>
      <w:hyperlink r:id="rId22" w:history="1">
        <w:r w:rsidRPr="00FA4FD7">
          <w:rPr>
            <w:rStyle w:val="Hyperlink"/>
          </w:rPr>
          <w:t>contact your local housing office</w:t>
        </w:r>
      </w:hyperlink>
      <w:r>
        <w:t xml:space="preserve"> </w:t>
      </w:r>
      <w:r w:rsidRPr="00FA4FD7">
        <w:t>https://www.dffh.vic.gov.au/contact-us</w:t>
      </w:r>
      <w:r>
        <w:t xml:space="preserve"> (See, Housing enquiries and offices)</w:t>
      </w:r>
    </w:p>
    <w:p w14:paraId="504440F3" w14:textId="77777777" w:rsidR="00AA2A20" w:rsidRDefault="00AA2A20" w:rsidP="0055119B">
      <w:pPr>
        <w:pStyle w:val="Accessibilitypara"/>
      </w:pPr>
      <w:r>
        <w:t>To rece</w:t>
      </w:r>
      <w:r w:rsidRPr="0055119B">
        <w:t>ive this document in another format</w:t>
      </w:r>
      <w:r>
        <w:t>,</w:t>
      </w:r>
      <w:r w:rsidRPr="0055119B">
        <w:t xml:space="preserve"> email </w:t>
      </w:r>
      <w:r>
        <w:t xml:space="preserve">the Victorian Housing Register </w:t>
      </w:r>
      <w:hyperlink r:id="rId23" w:history="1">
        <w:r w:rsidRPr="008D4F47">
          <w:rPr>
            <w:rStyle w:val="Hyperlink"/>
          </w:rPr>
          <w:t>VictorianHousingRegister@homes.vic.gov.au</w:t>
        </w:r>
      </w:hyperlink>
    </w:p>
    <w:p w14:paraId="657C9D71" w14:textId="77777777" w:rsidR="00AA2A20" w:rsidRPr="0055119B" w:rsidRDefault="00AA2A20" w:rsidP="00E33237">
      <w:pPr>
        <w:pStyle w:val="Imprint"/>
      </w:pPr>
      <w:r w:rsidRPr="0055119B">
        <w:t>Authorised and published by the Victorian Government, 1 Treasury Place, Melbourne.</w:t>
      </w:r>
    </w:p>
    <w:p w14:paraId="78B0D8DB" w14:textId="6C48858C" w:rsidR="00AA2A20" w:rsidRPr="0055119B" w:rsidRDefault="00AA2A20" w:rsidP="00E33237">
      <w:pPr>
        <w:pStyle w:val="Imprint"/>
      </w:pPr>
      <w:r w:rsidRPr="0055119B">
        <w:t xml:space="preserve">© State of Victoria, Australia, Department </w:t>
      </w:r>
      <w:r w:rsidRPr="001B058F">
        <w:t xml:space="preserve">of </w:t>
      </w:r>
      <w:r>
        <w:t>Families, Fairness and Housing</w:t>
      </w:r>
      <w:r w:rsidRPr="0055119B">
        <w:t xml:space="preserve">, </w:t>
      </w:r>
      <w:r w:rsidR="00EA1DD6">
        <w:t>March</w:t>
      </w:r>
      <w:r w:rsidR="008203BD">
        <w:t xml:space="preserve"> 2026</w:t>
      </w:r>
      <w:r w:rsidRPr="0055119B">
        <w:t>.</w:t>
      </w:r>
    </w:p>
    <w:p w14:paraId="312DEA78" w14:textId="70A625C2" w:rsidR="00162CA9" w:rsidRDefault="00AA2A20" w:rsidP="00BF181E">
      <w:pPr>
        <w:pStyle w:val="Imprint"/>
      </w:pPr>
      <w:bookmarkStart w:id="64" w:name="_Hlk62746129"/>
      <w:r w:rsidRPr="0055119B">
        <w:t xml:space="preserve">ISBN </w:t>
      </w:r>
      <w:bookmarkEnd w:id="63"/>
      <w:bookmarkEnd w:id="64"/>
      <w:r w:rsidR="00216275" w:rsidRPr="00216275">
        <w:t>978-1-76130-833-8 (pdf/online/MS word)</w:t>
      </w:r>
    </w:p>
    <w:sectPr w:rsidR="00162CA9" w:rsidSect="00DC569F">
      <w:headerReference w:type="default" r:id="rId24"/>
      <w:footerReference w:type="even" r:id="rId25"/>
      <w:footerReference w:type="default" r:id="rId26"/>
      <w:footerReference w:type="first" r:id="rId27"/>
      <w:type w:val="continuous"/>
      <w:pgSz w:w="11906" w:h="16838" w:code="9"/>
      <w:pgMar w:top="1418" w:right="851" w:bottom="851" w:left="851" w:header="680" w:footer="33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2C55" w14:textId="77777777" w:rsidR="00F42329" w:rsidRDefault="00F42329">
      <w:r>
        <w:separator/>
      </w:r>
    </w:p>
    <w:p w14:paraId="651989B9" w14:textId="77777777" w:rsidR="00F42329" w:rsidRDefault="00F42329"/>
  </w:endnote>
  <w:endnote w:type="continuationSeparator" w:id="0">
    <w:p w14:paraId="7680F476" w14:textId="77777777" w:rsidR="00F42329" w:rsidRDefault="00F42329">
      <w:r>
        <w:continuationSeparator/>
      </w:r>
    </w:p>
    <w:p w14:paraId="4C2F40DD" w14:textId="77777777" w:rsidR="00F42329" w:rsidRDefault="00F42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4E93" w14:textId="1138CE53" w:rsidR="006110DA" w:rsidRDefault="006110DA">
    <w:pPr>
      <w:pStyle w:val="Footer"/>
    </w:pPr>
    <w:r>
      <w:rPr>
        <w:noProof/>
      </w:rPr>
      <mc:AlternateContent>
        <mc:Choice Requires="wps">
          <w:drawing>
            <wp:anchor distT="0" distB="0" distL="0" distR="0" simplePos="0" relativeHeight="251658242" behindDoc="0" locked="0" layoutInCell="1" allowOverlap="1" wp14:anchorId="4B500B16" wp14:editId="62673B43">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0C9CF" w14:textId="15EAE2FE"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00B16"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520C9CF" w14:textId="15EAE2FE"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57F85073" w:rsidR="006110DA" w:rsidRDefault="006110DA">
    <w:pPr>
      <w:pStyle w:val="Footer"/>
    </w:pPr>
    <w:r>
      <w:rPr>
        <w:noProof/>
      </w:rPr>
      <mc:AlternateContent>
        <mc:Choice Requires="wps">
          <w:drawing>
            <wp:anchor distT="0" distB="0" distL="0" distR="0" simplePos="0" relativeHeight="251658243" behindDoc="0" locked="0" layoutInCell="1" allowOverlap="1" wp14:anchorId="6C332F0E" wp14:editId="2B925D3A">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CDA26" w14:textId="7159E13C"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32F0E"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A4CDA26" w14:textId="7159E13C"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6D127EA" w:rsidR="00E261B3" w:rsidRDefault="006110DA">
    <w:pPr>
      <w:pStyle w:val="Footer"/>
    </w:pPr>
    <w:r>
      <w:rPr>
        <w:noProof/>
      </w:rPr>
      <mc:AlternateContent>
        <mc:Choice Requires="wps">
          <w:drawing>
            <wp:anchor distT="0" distB="0" distL="0" distR="0" simplePos="0" relativeHeight="251658241" behindDoc="0" locked="0" layoutInCell="1" allowOverlap="1" wp14:anchorId="60F524D5" wp14:editId="392E6E16">
              <wp:simplePos x="545910" y="10563367"/>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DA363" w14:textId="7581D964"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524D5"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4DA363" w14:textId="7581D964"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r w:rsidR="0087495B">
      <w:rPr>
        <w:noProof/>
      </w:rPr>
      <w:drawing>
        <wp:anchor distT="0" distB="0" distL="114300" distR="114300" simplePos="0" relativeHeight="251658240"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EBA" w14:textId="7562BB13" w:rsidR="00D65B40" w:rsidRDefault="006110DA">
    <w:pPr>
      <w:pStyle w:val="Footer"/>
    </w:pPr>
    <w:r>
      <w:rPr>
        <w:noProof/>
      </w:rPr>
      <mc:AlternateContent>
        <mc:Choice Requires="wps">
          <w:drawing>
            <wp:anchor distT="0" distB="0" distL="0" distR="0" simplePos="0" relativeHeight="251658752" behindDoc="0" locked="0" layoutInCell="1" allowOverlap="1" wp14:anchorId="67AFBA17" wp14:editId="092A88BE">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A3F85" w14:textId="7A73A635"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FBA17"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B4A3F85" w14:textId="7A73A635"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76C7889" w:rsidR="00593A99" w:rsidRPr="00F65AA9" w:rsidRDefault="006110DA" w:rsidP="00EF2C72">
    <w:pPr>
      <w:pStyle w:val="Footer"/>
    </w:pPr>
    <w:r>
      <w:rPr>
        <w:noProof/>
      </w:rPr>
      <mc:AlternateContent>
        <mc:Choice Requires="wps">
          <w:drawing>
            <wp:anchor distT="0" distB="0" distL="0" distR="0" simplePos="0" relativeHeight="251661824" behindDoc="0" locked="0" layoutInCell="1" allowOverlap="1" wp14:anchorId="0758DF8A" wp14:editId="7FC3A08E">
              <wp:simplePos x="545910" y="10345003"/>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4C269" w14:textId="0DC2F52A"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8DF8A"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AA4C269" w14:textId="0DC2F52A"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1550" w14:textId="48BD29BA" w:rsidR="00D65B40" w:rsidRDefault="006110DA">
    <w:pPr>
      <w:pStyle w:val="Footer"/>
    </w:pPr>
    <w:r>
      <w:rPr>
        <w:noProof/>
      </w:rPr>
      <mc:AlternateContent>
        <mc:Choice Requires="wps">
          <w:drawing>
            <wp:anchor distT="0" distB="0" distL="0" distR="0" simplePos="0" relativeHeight="251655680" behindDoc="0" locked="0" layoutInCell="1" allowOverlap="1" wp14:anchorId="1BF69A4A" wp14:editId="0DA217CD">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0B254" w14:textId="54E6207F"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69A4A"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A0B254" w14:textId="54E6207F"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F6C5" w14:textId="77777777" w:rsidR="00F42329" w:rsidRDefault="00F42329" w:rsidP="00207717">
      <w:pPr>
        <w:spacing w:before="120"/>
      </w:pPr>
      <w:r>
        <w:separator/>
      </w:r>
    </w:p>
  </w:footnote>
  <w:footnote w:type="continuationSeparator" w:id="0">
    <w:p w14:paraId="13DDADE3" w14:textId="77777777" w:rsidR="00F42329" w:rsidRDefault="00F42329">
      <w:r>
        <w:continuationSeparator/>
      </w:r>
    </w:p>
    <w:p w14:paraId="3A649177" w14:textId="77777777" w:rsidR="00F42329" w:rsidRDefault="00F42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83116BF" w:rsidR="00E261B3" w:rsidRPr="0051568D" w:rsidRDefault="00BF181E" w:rsidP="0017674D">
    <w:pPr>
      <w:pStyle w:val="Header"/>
    </w:pPr>
    <w:r>
      <w:t xml:space="preserve">Victorian Housing Register: </w:t>
    </w:r>
    <w:r w:rsidR="003C299A">
      <w:t>Priority Transfers Operational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6C10E8"/>
    <w:multiLevelType w:val="hybridMultilevel"/>
    <w:tmpl w:val="3366419A"/>
    <w:lvl w:ilvl="0" w:tplc="00C00A2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68709442">
    <w:abstractNumId w:val="10"/>
  </w:num>
  <w:num w:numId="2" w16cid:durableId="789205257">
    <w:abstractNumId w:val="18"/>
  </w:num>
  <w:num w:numId="3" w16cid:durableId="1313606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5255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1054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2657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1003218">
    <w:abstractNumId w:val="22"/>
  </w:num>
  <w:num w:numId="8" w16cid:durableId="1556963124">
    <w:abstractNumId w:val="17"/>
  </w:num>
  <w:num w:numId="9" w16cid:durableId="633945963">
    <w:abstractNumId w:val="21"/>
  </w:num>
  <w:num w:numId="10" w16cid:durableId="1809736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128381">
    <w:abstractNumId w:val="23"/>
  </w:num>
  <w:num w:numId="12" w16cid:durableId="2016763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155683">
    <w:abstractNumId w:val="19"/>
  </w:num>
  <w:num w:numId="14" w16cid:durableId="1555117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91620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9487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2667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3105215">
    <w:abstractNumId w:val="25"/>
  </w:num>
  <w:num w:numId="19" w16cid:durableId="17595247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7492234">
    <w:abstractNumId w:val="14"/>
  </w:num>
  <w:num w:numId="21" w16cid:durableId="524562388">
    <w:abstractNumId w:val="12"/>
  </w:num>
  <w:num w:numId="22" w16cid:durableId="909385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8122725">
    <w:abstractNumId w:val="15"/>
  </w:num>
  <w:num w:numId="24" w16cid:durableId="1056005021">
    <w:abstractNumId w:val="26"/>
  </w:num>
  <w:num w:numId="25" w16cid:durableId="1770155887">
    <w:abstractNumId w:val="24"/>
  </w:num>
  <w:num w:numId="26" w16cid:durableId="1335306761">
    <w:abstractNumId w:val="20"/>
  </w:num>
  <w:num w:numId="27" w16cid:durableId="1903715516">
    <w:abstractNumId w:val="11"/>
  </w:num>
  <w:num w:numId="28" w16cid:durableId="443111311">
    <w:abstractNumId w:val="27"/>
  </w:num>
  <w:num w:numId="29" w16cid:durableId="980694692">
    <w:abstractNumId w:val="9"/>
  </w:num>
  <w:num w:numId="30" w16cid:durableId="895702486">
    <w:abstractNumId w:val="7"/>
  </w:num>
  <w:num w:numId="31" w16cid:durableId="156850777">
    <w:abstractNumId w:val="6"/>
  </w:num>
  <w:num w:numId="32" w16cid:durableId="34432752">
    <w:abstractNumId w:val="5"/>
  </w:num>
  <w:num w:numId="33" w16cid:durableId="352608185">
    <w:abstractNumId w:val="4"/>
  </w:num>
  <w:num w:numId="34" w16cid:durableId="238292699">
    <w:abstractNumId w:val="8"/>
  </w:num>
  <w:num w:numId="35" w16cid:durableId="444231660">
    <w:abstractNumId w:val="3"/>
  </w:num>
  <w:num w:numId="36" w16cid:durableId="967393566">
    <w:abstractNumId w:val="2"/>
  </w:num>
  <w:num w:numId="37" w16cid:durableId="968972869">
    <w:abstractNumId w:val="1"/>
  </w:num>
  <w:num w:numId="38" w16cid:durableId="538249161">
    <w:abstractNumId w:val="0"/>
  </w:num>
  <w:num w:numId="39" w16cid:durableId="532110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510044">
    <w:abstractNumId w:val="22"/>
  </w:num>
  <w:num w:numId="41" w16cid:durableId="538906006">
    <w:abstractNumId w:val="22"/>
  </w:num>
  <w:num w:numId="42" w16cid:durableId="385834212">
    <w:abstractNumId w:val="22"/>
  </w:num>
  <w:num w:numId="43" w16cid:durableId="6619304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9096286">
    <w:abstractNumId w:val="22"/>
    <w:lvlOverride w:ilvl="0">
      <w:lvl w:ilvl="0">
        <w:start w:val="1"/>
        <w:numFmt w:val="bullet"/>
        <w:pStyle w:val="Bullet1"/>
        <w:lvlText w:val="•"/>
        <w:lvlJc w:val="left"/>
        <w:pPr>
          <w:ind w:left="-4828" w:hanging="284"/>
        </w:pPr>
        <w:rPr>
          <w:rFonts w:ascii="Calibri" w:hAnsi="Calibri" w:hint="default"/>
        </w:rPr>
      </w:lvl>
    </w:lvlOverride>
  </w:num>
  <w:num w:numId="45" w16cid:durableId="33326313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23ED"/>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1581"/>
    <w:rsid w:val="0006298A"/>
    <w:rsid w:val="000643BD"/>
    <w:rsid w:val="000663CD"/>
    <w:rsid w:val="000733FE"/>
    <w:rsid w:val="00074219"/>
    <w:rsid w:val="00074ED5"/>
    <w:rsid w:val="0008208B"/>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4940"/>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15C79"/>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AB1"/>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D715E"/>
    <w:rsid w:val="001E0FB6"/>
    <w:rsid w:val="001E44DF"/>
    <w:rsid w:val="001E68A5"/>
    <w:rsid w:val="001E6BB0"/>
    <w:rsid w:val="001E7282"/>
    <w:rsid w:val="001F3826"/>
    <w:rsid w:val="001F6E46"/>
    <w:rsid w:val="001F7C91"/>
    <w:rsid w:val="002033B7"/>
    <w:rsid w:val="00206463"/>
    <w:rsid w:val="00206F2F"/>
    <w:rsid w:val="00207717"/>
    <w:rsid w:val="0021053D"/>
    <w:rsid w:val="00210A92"/>
    <w:rsid w:val="00216275"/>
    <w:rsid w:val="00216C03"/>
    <w:rsid w:val="00220C04"/>
    <w:rsid w:val="0022278D"/>
    <w:rsid w:val="0022701F"/>
    <w:rsid w:val="00227C68"/>
    <w:rsid w:val="00233311"/>
    <w:rsid w:val="002333F5"/>
    <w:rsid w:val="00233724"/>
    <w:rsid w:val="002365B4"/>
    <w:rsid w:val="00242378"/>
    <w:rsid w:val="002432E1"/>
    <w:rsid w:val="00246207"/>
    <w:rsid w:val="00246641"/>
    <w:rsid w:val="00246C5E"/>
    <w:rsid w:val="00250960"/>
    <w:rsid w:val="00250DC4"/>
    <w:rsid w:val="00251343"/>
    <w:rsid w:val="002536A4"/>
    <w:rsid w:val="0025398C"/>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78B"/>
    <w:rsid w:val="002D1E0D"/>
    <w:rsid w:val="002D5006"/>
    <w:rsid w:val="002D6164"/>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4E20"/>
    <w:rsid w:val="00337339"/>
    <w:rsid w:val="003406C6"/>
    <w:rsid w:val="003418CC"/>
    <w:rsid w:val="003459BD"/>
    <w:rsid w:val="00350D38"/>
    <w:rsid w:val="00351405"/>
    <w:rsid w:val="00351B36"/>
    <w:rsid w:val="00357B4E"/>
    <w:rsid w:val="00363C12"/>
    <w:rsid w:val="00366E64"/>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299A"/>
    <w:rsid w:val="003C43A1"/>
    <w:rsid w:val="003C4FC0"/>
    <w:rsid w:val="003C55F4"/>
    <w:rsid w:val="003C7897"/>
    <w:rsid w:val="003C7A3F"/>
    <w:rsid w:val="003D2766"/>
    <w:rsid w:val="003D2A74"/>
    <w:rsid w:val="003D3E8F"/>
    <w:rsid w:val="003D6475"/>
    <w:rsid w:val="003D6EE6"/>
    <w:rsid w:val="003D7000"/>
    <w:rsid w:val="003D7E30"/>
    <w:rsid w:val="003E0258"/>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17444"/>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2C2A"/>
    <w:rsid w:val="00483968"/>
    <w:rsid w:val="004841BE"/>
    <w:rsid w:val="00484F86"/>
    <w:rsid w:val="00490746"/>
    <w:rsid w:val="00490852"/>
    <w:rsid w:val="00491C9C"/>
    <w:rsid w:val="00492F30"/>
    <w:rsid w:val="004946F4"/>
    <w:rsid w:val="0049487E"/>
    <w:rsid w:val="00496E9C"/>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47B0"/>
    <w:rsid w:val="004E5C2B"/>
    <w:rsid w:val="004F00DD"/>
    <w:rsid w:val="004F2133"/>
    <w:rsid w:val="004F5398"/>
    <w:rsid w:val="004F55F1"/>
    <w:rsid w:val="004F6936"/>
    <w:rsid w:val="004F79CA"/>
    <w:rsid w:val="004F7B35"/>
    <w:rsid w:val="00503DC6"/>
    <w:rsid w:val="00506F5D"/>
    <w:rsid w:val="00510C37"/>
    <w:rsid w:val="005126D0"/>
    <w:rsid w:val="00513109"/>
    <w:rsid w:val="00514667"/>
    <w:rsid w:val="0051568D"/>
    <w:rsid w:val="00524315"/>
    <w:rsid w:val="00526AC7"/>
    <w:rsid w:val="00526C15"/>
    <w:rsid w:val="00536499"/>
    <w:rsid w:val="00542A03"/>
    <w:rsid w:val="00543903"/>
    <w:rsid w:val="00543F11"/>
    <w:rsid w:val="00546305"/>
    <w:rsid w:val="00546E06"/>
    <w:rsid w:val="00547A95"/>
    <w:rsid w:val="0055119B"/>
    <w:rsid w:val="00561202"/>
    <w:rsid w:val="00572031"/>
    <w:rsid w:val="00572282"/>
    <w:rsid w:val="00573CE3"/>
    <w:rsid w:val="00576E84"/>
    <w:rsid w:val="005801E1"/>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D7F35"/>
    <w:rsid w:val="005E06D8"/>
    <w:rsid w:val="005E14E7"/>
    <w:rsid w:val="005E26A3"/>
    <w:rsid w:val="005E2ECB"/>
    <w:rsid w:val="005E447E"/>
    <w:rsid w:val="005E4FD1"/>
    <w:rsid w:val="005E57E1"/>
    <w:rsid w:val="005F0775"/>
    <w:rsid w:val="005F0CF5"/>
    <w:rsid w:val="005F21EB"/>
    <w:rsid w:val="005F4EDE"/>
    <w:rsid w:val="005F64CF"/>
    <w:rsid w:val="0060327E"/>
    <w:rsid w:val="006041AD"/>
    <w:rsid w:val="00605908"/>
    <w:rsid w:val="00607850"/>
    <w:rsid w:val="00610D7C"/>
    <w:rsid w:val="006110DA"/>
    <w:rsid w:val="00613414"/>
    <w:rsid w:val="00620154"/>
    <w:rsid w:val="0062290A"/>
    <w:rsid w:val="0062408D"/>
    <w:rsid w:val="006240CC"/>
    <w:rsid w:val="00624940"/>
    <w:rsid w:val="006254F8"/>
    <w:rsid w:val="00627DA7"/>
    <w:rsid w:val="006303D2"/>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181"/>
    <w:rsid w:val="00667770"/>
    <w:rsid w:val="00670597"/>
    <w:rsid w:val="006706D0"/>
    <w:rsid w:val="00677574"/>
    <w:rsid w:val="00683878"/>
    <w:rsid w:val="0068454C"/>
    <w:rsid w:val="00691B62"/>
    <w:rsid w:val="006933B5"/>
    <w:rsid w:val="00693D14"/>
    <w:rsid w:val="00695006"/>
    <w:rsid w:val="00695A93"/>
    <w:rsid w:val="00696F27"/>
    <w:rsid w:val="006A18C2"/>
    <w:rsid w:val="006A3383"/>
    <w:rsid w:val="006B077C"/>
    <w:rsid w:val="006B16AF"/>
    <w:rsid w:val="006B4692"/>
    <w:rsid w:val="006B66B3"/>
    <w:rsid w:val="006B6803"/>
    <w:rsid w:val="006D0F16"/>
    <w:rsid w:val="006D2A3F"/>
    <w:rsid w:val="006D2FBC"/>
    <w:rsid w:val="006E0A10"/>
    <w:rsid w:val="006E138B"/>
    <w:rsid w:val="006E1867"/>
    <w:rsid w:val="006F0330"/>
    <w:rsid w:val="006F1FDC"/>
    <w:rsid w:val="006F6B8C"/>
    <w:rsid w:val="007013EF"/>
    <w:rsid w:val="007055BD"/>
    <w:rsid w:val="007173CA"/>
    <w:rsid w:val="00720A3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4DC2"/>
    <w:rsid w:val="007450F8"/>
    <w:rsid w:val="0074696E"/>
    <w:rsid w:val="00750135"/>
    <w:rsid w:val="00750EC2"/>
    <w:rsid w:val="00752B28"/>
    <w:rsid w:val="007541A9"/>
    <w:rsid w:val="00754E36"/>
    <w:rsid w:val="00763139"/>
    <w:rsid w:val="00766F80"/>
    <w:rsid w:val="00770F37"/>
    <w:rsid w:val="007711A0"/>
    <w:rsid w:val="00772D5E"/>
    <w:rsid w:val="00772D89"/>
    <w:rsid w:val="0077463E"/>
    <w:rsid w:val="00776928"/>
    <w:rsid w:val="00776E0F"/>
    <w:rsid w:val="007774B1"/>
    <w:rsid w:val="00777BE1"/>
    <w:rsid w:val="007833D8"/>
    <w:rsid w:val="00785677"/>
    <w:rsid w:val="00786F16"/>
    <w:rsid w:val="00791BD7"/>
    <w:rsid w:val="007933F7"/>
    <w:rsid w:val="00796E20"/>
    <w:rsid w:val="00797C0F"/>
    <w:rsid w:val="00797C32"/>
    <w:rsid w:val="00797ED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88F"/>
    <w:rsid w:val="00820141"/>
    <w:rsid w:val="008203BD"/>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495B"/>
    <w:rsid w:val="00875285"/>
    <w:rsid w:val="00881E84"/>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16A32"/>
    <w:rsid w:val="00924AE1"/>
    <w:rsid w:val="009257ED"/>
    <w:rsid w:val="009269B1"/>
    <w:rsid w:val="0092724D"/>
    <w:rsid w:val="009272B3"/>
    <w:rsid w:val="009310AD"/>
    <w:rsid w:val="009315BE"/>
    <w:rsid w:val="0093338F"/>
    <w:rsid w:val="00937BD9"/>
    <w:rsid w:val="00950E2C"/>
    <w:rsid w:val="00951D50"/>
    <w:rsid w:val="009525EB"/>
    <w:rsid w:val="0095470B"/>
    <w:rsid w:val="00954874"/>
    <w:rsid w:val="00954D01"/>
    <w:rsid w:val="0095615A"/>
    <w:rsid w:val="00961400"/>
    <w:rsid w:val="00962BBD"/>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76EF"/>
    <w:rsid w:val="009A13D8"/>
    <w:rsid w:val="009A279E"/>
    <w:rsid w:val="009A3015"/>
    <w:rsid w:val="009A3308"/>
    <w:rsid w:val="009A3490"/>
    <w:rsid w:val="009A7D10"/>
    <w:rsid w:val="009B0A6F"/>
    <w:rsid w:val="009B0A94"/>
    <w:rsid w:val="009B2AE8"/>
    <w:rsid w:val="009B5622"/>
    <w:rsid w:val="009B59E9"/>
    <w:rsid w:val="009B70AA"/>
    <w:rsid w:val="009C0205"/>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30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1A3C"/>
    <w:rsid w:val="00A96E65"/>
    <w:rsid w:val="00A96ECE"/>
    <w:rsid w:val="00A97C72"/>
    <w:rsid w:val="00AA2A20"/>
    <w:rsid w:val="00AA310B"/>
    <w:rsid w:val="00AA63D4"/>
    <w:rsid w:val="00AB06E8"/>
    <w:rsid w:val="00AB1A4F"/>
    <w:rsid w:val="00AB1CD3"/>
    <w:rsid w:val="00AB203B"/>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3F19"/>
    <w:rsid w:val="00B846C0"/>
    <w:rsid w:val="00B90729"/>
    <w:rsid w:val="00B907DA"/>
    <w:rsid w:val="00B91FFE"/>
    <w:rsid w:val="00B950BC"/>
    <w:rsid w:val="00B95AB9"/>
    <w:rsid w:val="00B9714C"/>
    <w:rsid w:val="00BA29AD"/>
    <w:rsid w:val="00BA33CF"/>
    <w:rsid w:val="00BA3F8D"/>
    <w:rsid w:val="00BB7A10"/>
    <w:rsid w:val="00BC5AB5"/>
    <w:rsid w:val="00BC60BE"/>
    <w:rsid w:val="00BC7468"/>
    <w:rsid w:val="00BC7D4F"/>
    <w:rsid w:val="00BC7ED7"/>
    <w:rsid w:val="00BC7F04"/>
    <w:rsid w:val="00BD2850"/>
    <w:rsid w:val="00BD6049"/>
    <w:rsid w:val="00BE0094"/>
    <w:rsid w:val="00BE28D2"/>
    <w:rsid w:val="00BE4A64"/>
    <w:rsid w:val="00BE5E43"/>
    <w:rsid w:val="00BF181E"/>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9BC"/>
    <w:rsid w:val="00C231A0"/>
    <w:rsid w:val="00C26588"/>
    <w:rsid w:val="00C27DE9"/>
    <w:rsid w:val="00C32989"/>
    <w:rsid w:val="00C33388"/>
    <w:rsid w:val="00C35484"/>
    <w:rsid w:val="00C36DD2"/>
    <w:rsid w:val="00C4173A"/>
    <w:rsid w:val="00C50DED"/>
    <w:rsid w:val="00C52217"/>
    <w:rsid w:val="00C602FF"/>
    <w:rsid w:val="00C61174"/>
    <w:rsid w:val="00C6148F"/>
    <w:rsid w:val="00C61E39"/>
    <w:rsid w:val="00C621B1"/>
    <w:rsid w:val="00C62F7A"/>
    <w:rsid w:val="00C63B9C"/>
    <w:rsid w:val="00C6682F"/>
    <w:rsid w:val="00C67BF4"/>
    <w:rsid w:val="00C7275E"/>
    <w:rsid w:val="00C74C5D"/>
    <w:rsid w:val="00C863C4"/>
    <w:rsid w:val="00C920EA"/>
    <w:rsid w:val="00C9390C"/>
    <w:rsid w:val="00C93C3E"/>
    <w:rsid w:val="00CA12E3"/>
    <w:rsid w:val="00CA1476"/>
    <w:rsid w:val="00CA6611"/>
    <w:rsid w:val="00CA6AE6"/>
    <w:rsid w:val="00CA782F"/>
    <w:rsid w:val="00CB187B"/>
    <w:rsid w:val="00CB2835"/>
    <w:rsid w:val="00CB3285"/>
    <w:rsid w:val="00CB4500"/>
    <w:rsid w:val="00CC0551"/>
    <w:rsid w:val="00CC0C72"/>
    <w:rsid w:val="00CC2BFD"/>
    <w:rsid w:val="00CD1A9A"/>
    <w:rsid w:val="00CD3476"/>
    <w:rsid w:val="00CD64DF"/>
    <w:rsid w:val="00CE225F"/>
    <w:rsid w:val="00CE6A35"/>
    <w:rsid w:val="00CF2F50"/>
    <w:rsid w:val="00CF4148"/>
    <w:rsid w:val="00CF6198"/>
    <w:rsid w:val="00D02919"/>
    <w:rsid w:val="00D04C61"/>
    <w:rsid w:val="00D05B8D"/>
    <w:rsid w:val="00D05B9B"/>
    <w:rsid w:val="00D065A2"/>
    <w:rsid w:val="00D079AA"/>
    <w:rsid w:val="00D07F00"/>
    <w:rsid w:val="00D1130F"/>
    <w:rsid w:val="00D17B72"/>
    <w:rsid w:val="00D22C28"/>
    <w:rsid w:val="00D3185C"/>
    <w:rsid w:val="00D3205F"/>
    <w:rsid w:val="00D3318E"/>
    <w:rsid w:val="00D33E72"/>
    <w:rsid w:val="00D35BD6"/>
    <w:rsid w:val="00D361B5"/>
    <w:rsid w:val="00D402DB"/>
    <w:rsid w:val="00D411A2"/>
    <w:rsid w:val="00D4606D"/>
    <w:rsid w:val="00D50A28"/>
    <w:rsid w:val="00D50B9C"/>
    <w:rsid w:val="00D52D73"/>
    <w:rsid w:val="00D52E58"/>
    <w:rsid w:val="00D56B20"/>
    <w:rsid w:val="00D578B3"/>
    <w:rsid w:val="00D618F4"/>
    <w:rsid w:val="00D65B40"/>
    <w:rsid w:val="00D714CC"/>
    <w:rsid w:val="00D75EA7"/>
    <w:rsid w:val="00D75EEA"/>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B8D"/>
    <w:rsid w:val="00DC2CF1"/>
    <w:rsid w:val="00DC3A7C"/>
    <w:rsid w:val="00DC4EFC"/>
    <w:rsid w:val="00DC4FCF"/>
    <w:rsid w:val="00DC50E0"/>
    <w:rsid w:val="00DC569F"/>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421D"/>
    <w:rsid w:val="00E15EAE"/>
    <w:rsid w:val="00E170DC"/>
    <w:rsid w:val="00E17546"/>
    <w:rsid w:val="00E210B5"/>
    <w:rsid w:val="00E261B3"/>
    <w:rsid w:val="00E26818"/>
    <w:rsid w:val="00E27FFC"/>
    <w:rsid w:val="00E30B15"/>
    <w:rsid w:val="00E33237"/>
    <w:rsid w:val="00E35618"/>
    <w:rsid w:val="00E40181"/>
    <w:rsid w:val="00E54950"/>
    <w:rsid w:val="00E55FB3"/>
    <w:rsid w:val="00E56A01"/>
    <w:rsid w:val="00E629A1"/>
    <w:rsid w:val="00E6794C"/>
    <w:rsid w:val="00E71591"/>
    <w:rsid w:val="00E71CEB"/>
    <w:rsid w:val="00E7474F"/>
    <w:rsid w:val="00E77901"/>
    <w:rsid w:val="00E80DE3"/>
    <w:rsid w:val="00E82C55"/>
    <w:rsid w:val="00E8787E"/>
    <w:rsid w:val="00E923E0"/>
    <w:rsid w:val="00E92AC3"/>
    <w:rsid w:val="00E962CA"/>
    <w:rsid w:val="00EA1DD6"/>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2A26"/>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2329"/>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1F49"/>
    <w:rsid w:val="00F938BA"/>
    <w:rsid w:val="00F972B1"/>
    <w:rsid w:val="00F97919"/>
    <w:rsid w:val="00FA2C46"/>
    <w:rsid w:val="00FA3525"/>
    <w:rsid w:val="00FA4FD7"/>
    <w:rsid w:val="00FA5A53"/>
    <w:rsid w:val="00FB3501"/>
    <w:rsid w:val="00FB4769"/>
    <w:rsid w:val="00FB4CDA"/>
    <w:rsid w:val="00FB5B4E"/>
    <w:rsid w:val="00FB6481"/>
    <w:rsid w:val="00FB6D36"/>
    <w:rsid w:val="00FC0965"/>
    <w:rsid w:val="00FC0F81"/>
    <w:rsid w:val="00FC252F"/>
    <w:rsid w:val="00FC395C"/>
    <w:rsid w:val="00FC5E8E"/>
    <w:rsid w:val="00FD1E17"/>
    <w:rsid w:val="00FD3766"/>
    <w:rsid w:val="00FD47C4"/>
    <w:rsid w:val="00FE1BCB"/>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uiPriority w:val="10"/>
    <w:rsid w:val="005F4EDE"/>
    <w:rPr>
      <w:rFonts w:ascii="Arial" w:hAnsi="Arial" w:cs="Arial"/>
      <w:b/>
      <w:color w:val="00568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17444"/>
    <w:pPr>
      <w:spacing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ody">
    <w:name w:val="DHHS body"/>
    <w:link w:val="DHHSbodyChar"/>
    <w:uiPriority w:val="99"/>
    <w:rsid w:val="005E57E1"/>
    <w:pPr>
      <w:spacing w:after="120" w:line="270" w:lineRule="atLeast"/>
    </w:pPr>
    <w:rPr>
      <w:rFonts w:ascii="Arial" w:hAnsi="Arial"/>
      <w:lang w:eastAsia="en-US"/>
    </w:rPr>
  </w:style>
  <w:style w:type="paragraph" w:customStyle="1" w:styleId="DHHSbullet1">
    <w:name w:val="DHHS bullet 1"/>
    <w:basedOn w:val="DHHSbody"/>
    <w:rsid w:val="005E57E1"/>
    <w:pPr>
      <w:tabs>
        <w:tab w:val="num" w:pos="360"/>
        <w:tab w:val="num" w:pos="397"/>
      </w:tabs>
      <w:spacing w:after="40"/>
      <w:ind w:left="284"/>
    </w:pPr>
  </w:style>
  <w:style w:type="paragraph" w:customStyle="1" w:styleId="DHHSbullet2">
    <w:name w:val="DHHS bullet 2"/>
    <w:basedOn w:val="DHHSbody"/>
    <w:rsid w:val="005E57E1"/>
    <w:pPr>
      <w:tabs>
        <w:tab w:val="num" w:pos="360"/>
      </w:tabs>
      <w:spacing w:after="40"/>
    </w:pPr>
  </w:style>
  <w:style w:type="character" w:customStyle="1" w:styleId="DHHSbodyChar">
    <w:name w:val="DHHS body Char"/>
    <w:basedOn w:val="DefaultParagraphFont"/>
    <w:link w:val="DHHSbody"/>
    <w:uiPriority w:val="99"/>
    <w:locked/>
    <w:rsid w:val="005E57E1"/>
    <w:rPr>
      <w:rFonts w:ascii="Arial" w:hAnsi="Arial"/>
      <w:lang w:eastAsia="en-US"/>
    </w:rPr>
  </w:style>
  <w:style w:type="paragraph" w:customStyle="1" w:styleId="DHHStablebullet">
    <w:name w:val="DHHS table bullet"/>
    <w:basedOn w:val="Normal"/>
    <w:rsid w:val="005E57E1"/>
    <w:pPr>
      <w:spacing w:before="80" w:after="60" w:line="240" w:lineRule="auto"/>
      <w:ind w:left="-4885" w:hanging="227"/>
    </w:pPr>
    <w:rPr>
      <w:sz w:val="20"/>
    </w:rPr>
  </w:style>
  <w:style w:type="paragraph" w:customStyle="1" w:styleId="DHHSbulletindent">
    <w:name w:val="DHHS bullet indent"/>
    <w:basedOn w:val="DHHSbody"/>
    <w:rsid w:val="005E57E1"/>
    <w:pPr>
      <w:tabs>
        <w:tab w:val="num" w:pos="360"/>
      </w:tabs>
      <w:spacing w:after="40"/>
    </w:pPr>
  </w:style>
  <w:style w:type="paragraph" w:customStyle="1" w:styleId="DHHSbullet1lastline">
    <w:name w:val="DHHS bullet 1 last line"/>
    <w:basedOn w:val="DHHSbullet1"/>
    <w:rsid w:val="005E57E1"/>
    <w:pPr>
      <w:tabs>
        <w:tab w:val="num" w:pos="794"/>
      </w:tabs>
      <w:spacing w:after="120"/>
      <w:ind w:hanging="397"/>
    </w:pPr>
  </w:style>
  <w:style w:type="paragraph" w:customStyle="1" w:styleId="DHHSbullet2lastline">
    <w:name w:val="DHHS bullet 2 last line"/>
    <w:basedOn w:val="DHHSbullet2"/>
    <w:rsid w:val="005E57E1"/>
    <w:pPr>
      <w:spacing w:after="120"/>
      <w:ind w:left="1191" w:hanging="397"/>
    </w:pPr>
  </w:style>
  <w:style w:type="paragraph" w:customStyle="1" w:styleId="DHHSbulletindentlastline">
    <w:name w:val="DHHS bullet indent last line"/>
    <w:basedOn w:val="DHHSbody"/>
    <w:rsid w:val="005E57E1"/>
    <w:pPr>
      <w:tabs>
        <w:tab w:val="num" w:pos="0"/>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file:///C:/Users/dfra0405/Downloads/Social%20housing%20eligibility"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fac.dhhs.vic.gov.au/complaints-appeals-and-feedback-process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ousing.vic.gov.au/social-housing-eligibility"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fac.dffh.vic.gov.au/eligibility-criteria-0" TargetMode="External"/><Relationship Id="rId20" Type="http://schemas.openxmlformats.org/officeDocument/2006/relationships/hyperlink" Target="https://fac.dhhs.vic.gov.au/clients-special-accommodation-requirem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ac.dhhs.vic.gov.au/making-client-focused-decisions" TargetMode="External"/><Relationship Id="rId23" Type="http://schemas.openxmlformats.org/officeDocument/2006/relationships/hyperlink" Target="mailto:VictorianHousingRegister@homes.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ac.dffh.vic.gov.au/eligibility-policy-framework-and-operational-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ffh.vic.gov.au/contact-us" TargetMode="External"/><Relationship Id="rId27"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SharedWithUsers xmlns="13404760-8ec3-4f68-8110-bc572b2bfb09">
      <UserInfo>
        <DisplayName/>
        <AccountId xsi:nil="true"/>
        <AccountType/>
      </UserInfo>
    </SharedWithUsers>
    <Comments xmlns="05a23c12-eb64-4047-9d50-c4f465f3c0dd"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58311767-3A49-4995-AA77-4658A793F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infopath/2007/PartnerControls"/>
    <ds:schemaRef ds:uri="http://schemas.microsoft.com/office/2006/documentManagement/types"/>
    <ds:schemaRef ds:uri="05a23c12-eb64-4047-9d50-c4f465f3c0dd"/>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5ce0f2b5-5be5-4508-bce9-d7011ece0659"/>
    <ds:schemaRef ds:uri="13404760-8ec3-4f68-8110-bc572b2bfb0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3405</Words>
  <Characters>21583</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24939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Transfer Operational Guidelines</dc:title>
  <dc:creator>Victorian Housing Register</dc:creator>
  <cp:lastModifiedBy>Maria Tsekouras (DFFH)</cp:lastModifiedBy>
  <cp:revision>3</cp:revision>
  <cp:lastPrinted>2021-01-29T05:27:00Z</cp:lastPrinted>
  <dcterms:created xsi:type="dcterms:W3CDTF">2026-03-09T22:51:00Z</dcterms:created>
  <dcterms:modified xsi:type="dcterms:W3CDTF">2026-03-09T22:52:00Z</dcterms:modified>
  <cp:category>Victorian Housing Register factsheet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ClassificationContentMarkingFooterShapeIds">
    <vt:lpwstr>f,10,11,12,13,14,3,4,5,6,7,8</vt:lpwstr>
  </property>
  <property fmtid="{D5CDD505-2E9C-101B-9397-08002B2CF9AE}" pid="17" name="ClassificationContentMarkingFooterFontProps">
    <vt:lpwstr>#000000,10,Arial Black</vt:lpwstr>
  </property>
  <property fmtid="{D5CDD505-2E9C-101B-9397-08002B2CF9AE}" pid="18" name="ClassificationContentMarkingFooterText">
    <vt:lpwstr>OFFICIAL</vt:lpwstr>
  </property>
  <property fmtid="{D5CDD505-2E9C-101B-9397-08002B2CF9AE}" pid="19" name="MediaServiceImageTags">
    <vt:lpwstr/>
  </property>
  <property fmtid="{D5CDD505-2E9C-101B-9397-08002B2CF9AE}" pid="20" name="MSIP_Label_43e64453-338c-4f93-8a4d-0039a0a41f2a_Enabled">
    <vt:lpwstr>true</vt:lpwstr>
  </property>
  <property fmtid="{D5CDD505-2E9C-101B-9397-08002B2CF9AE}" pid="21" name="MSIP_Label_43e64453-338c-4f93-8a4d-0039a0a41f2a_SetDate">
    <vt:lpwstr>2023-12-21T04:41:26Z</vt:lpwstr>
  </property>
  <property fmtid="{D5CDD505-2E9C-101B-9397-08002B2CF9AE}" pid="22" name="MSIP_Label_43e64453-338c-4f93-8a4d-0039a0a41f2a_Method">
    <vt:lpwstr>Privileged</vt:lpwstr>
  </property>
  <property fmtid="{D5CDD505-2E9C-101B-9397-08002B2CF9AE}" pid="23" name="MSIP_Label_43e64453-338c-4f93-8a4d-0039a0a41f2a_Name">
    <vt:lpwstr>43e64453-338c-4f93-8a4d-0039a0a41f2a</vt:lpwstr>
  </property>
  <property fmtid="{D5CDD505-2E9C-101B-9397-08002B2CF9AE}" pid="24" name="MSIP_Label_43e64453-338c-4f93-8a4d-0039a0a41f2a_SiteId">
    <vt:lpwstr>c0e0601f-0fac-449c-9c88-a104c4eb9f28</vt:lpwstr>
  </property>
  <property fmtid="{D5CDD505-2E9C-101B-9397-08002B2CF9AE}" pid="25" name="MSIP_Label_43e64453-338c-4f93-8a4d-0039a0a41f2a_ActionId">
    <vt:lpwstr>d30480c9-f470-46f6-a5e5-8084105f6a7f</vt:lpwstr>
  </property>
  <property fmtid="{D5CDD505-2E9C-101B-9397-08002B2CF9AE}" pid="26" name="MSIP_Label_43e64453-338c-4f93-8a4d-0039a0a41f2a_ContentBits">
    <vt:lpwstr>2</vt:lpwstr>
  </property>
  <property fmtid="{D5CDD505-2E9C-101B-9397-08002B2CF9AE}" pid="27" name="Order">
    <vt:r8>67600</vt:r8>
  </property>
  <property fmtid="{D5CDD505-2E9C-101B-9397-08002B2CF9AE}" pid="28" name="_ExtendedDescription">
    <vt:lpwstr/>
  </property>
  <property fmtid="{D5CDD505-2E9C-101B-9397-08002B2CF9AE}" pid="29" name="TriggerFlowInfo">
    <vt:lpwstr/>
  </property>
  <property fmtid="{D5CDD505-2E9C-101B-9397-08002B2CF9AE}" pid="30" name="_MarkAsFinal">
    <vt:bool>true</vt:bool>
  </property>
</Properties>
</file>