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90"/>
        <w:tblW w:w="9498" w:type="dxa"/>
        <w:tblLook w:val="04A0" w:firstRow="1" w:lastRow="0" w:firstColumn="1" w:lastColumn="0" w:noHBand="0" w:noVBand="1"/>
      </w:tblPr>
      <w:tblGrid>
        <w:gridCol w:w="9498"/>
      </w:tblGrid>
      <w:tr w:rsidR="008A09F8" w14:paraId="07DE8CE5" w14:textId="77777777" w:rsidTr="00017BA2">
        <w:trPr>
          <w:trHeight w:val="1122"/>
        </w:trPr>
        <w:tc>
          <w:tcPr>
            <w:tcW w:w="9498" w:type="dxa"/>
          </w:tcPr>
          <w:p w14:paraId="6B94C22C" w14:textId="77777777" w:rsidR="00047716" w:rsidRDefault="651634D7" w:rsidP="00123B73">
            <w:pPr>
              <w:pStyle w:val="Documenttitle"/>
            </w:pPr>
            <w:r>
              <w:t>C</w:t>
            </w:r>
            <w:r w:rsidR="00395DA4">
              <w:t xml:space="preserve">risis Supported Accommodation </w:t>
            </w:r>
          </w:p>
          <w:p w14:paraId="72AD929D" w14:textId="48E09A85" w:rsidR="008A09F8" w:rsidRPr="00123B73" w:rsidRDefault="00395DA4" w:rsidP="00123B73">
            <w:pPr>
              <w:pStyle w:val="Documenttitle"/>
            </w:pPr>
            <w:r>
              <w:t>Therapeutic Model</w:t>
            </w:r>
          </w:p>
        </w:tc>
      </w:tr>
      <w:tr w:rsidR="008A09F8" w14:paraId="666080FB" w14:textId="77777777" w:rsidTr="00017BA2">
        <w:trPr>
          <w:trHeight w:val="693"/>
        </w:trPr>
        <w:tc>
          <w:tcPr>
            <w:tcW w:w="9498" w:type="dxa"/>
          </w:tcPr>
          <w:p w14:paraId="7FCFEA67" w14:textId="2B6809A2" w:rsidR="008A09F8" w:rsidRPr="00A1389F" w:rsidRDefault="00677485" w:rsidP="00A42F56">
            <w:pPr>
              <w:pStyle w:val="Documentsubtitle"/>
            </w:pPr>
            <w:r>
              <w:t>Operational Program G</w:t>
            </w:r>
            <w:r w:rsidR="008B3E31">
              <w:t>u</w:t>
            </w:r>
            <w:r>
              <w:t>idelines</w:t>
            </w:r>
            <w:r w:rsidR="28E94B98">
              <w:t xml:space="preserve"> </w:t>
            </w:r>
            <w:r w:rsidR="1E8DF12E" w:rsidRPr="00395DA4">
              <w:t>2025</w:t>
            </w:r>
          </w:p>
        </w:tc>
      </w:tr>
      <w:tr w:rsidR="008A09F8" w14:paraId="1A73F14D" w14:textId="77777777" w:rsidTr="00017BA2">
        <w:trPr>
          <w:trHeight w:val="376"/>
        </w:trPr>
        <w:tc>
          <w:tcPr>
            <w:tcW w:w="9498" w:type="dxa"/>
          </w:tcPr>
          <w:p w14:paraId="1F40F7ED" w14:textId="45BAC51E" w:rsidR="008A09F8" w:rsidRDefault="008A09F8" w:rsidP="00A42F56">
            <w:pPr>
              <w:pStyle w:val="Bannermarking"/>
            </w:pPr>
            <w:fldSimple w:instr="FILLIN  &quot;Type the protective marking&quot; \d OFFICIAL \o  \* MERGEFORMAT">
              <w:r>
                <w:t>OFFICIAL</w:t>
              </w:r>
            </w:fldSimple>
          </w:p>
        </w:tc>
      </w:tr>
    </w:tbl>
    <w:p w14:paraId="6CFCE545" w14:textId="4C391A82" w:rsidR="00056EC4" w:rsidRDefault="00DF40A5" w:rsidP="00056EC4">
      <w:pPr>
        <w:pStyle w:val="Body"/>
      </w:pPr>
      <w:r>
        <w:rPr>
          <w:noProof/>
        </w:rPr>
        <w:drawing>
          <wp:anchor distT="0" distB="0" distL="114300" distR="114300" simplePos="0" relativeHeight="251658240" behindDoc="1" locked="0" layoutInCell="1" allowOverlap="1" wp14:anchorId="7A072F11" wp14:editId="4A26B5AB">
            <wp:simplePos x="0" y="0"/>
            <wp:positionH relativeFrom="column">
              <wp:posOffset>-828040</wp:posOffset>
            </wp:positionH>
            <wp:positionV relativeFrom="page">
              <wp:posOffset>-7426</wp:posOffset>
            </wp:positionV>
            <wp:extent cx="7559643" cy="10679898"/>
            <wp:effectExtent l="0" t="0" r="0" b="1270"/>
            <wp:wrapNone/>
            <wp:docPr id="12" name="Picture 12" descr="A woman smiling and wearing a scarf in the colours of the Aboriginal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woman smiling and wearing a scarf in the colours of the Aboriginal flag"/>
                    <pic:cNvPicPr/>
                  </pic:nvPicPr>
                  <pic:blipFill>
                    <a:blip r:embed="rId11"/>
                    <a:stretch>
                      <a:fillRect/>
                    </a:stretch>
                  </pic:blipFill>
                  <pic:spPr>
                    <a:xfrm>
                      <a:off x="0" y="0"/>
                      <a:ext cx="7559643" cy="10679898"/>
                    </a:xfrm>
                    <a:prstGeom prst="rect">
                      <a:avLst/>
                    </a:prstGeom>
                  </pic:spPr>
                </pic:pic>
              </a:graphicData>
            </a:graphic>
            <wp14:sizeRelH relativeFrom="page">
              <wp14:pctWidth>0</wp14:pctWidth>
            </wp14:sizeRelH>
            <wp14:sizeRelV relativeFrom="page">
              <wp14:pctHeight>0</wp14:pctHeight>
            </wp14:sizeRelV>
          </wp:anchor>
        </w:drawing>
      </w:r>
      <w:r w:rsidR="008A09F8">
        <w:rPr>
          <w:noProof/>
        </w:rPr>
        <w:t xml:space="preserve"> </w:t>
      </w:r>
    </w:p>
    <w:p w14:paraId="3CF48127" w14:textId="77777777" w:rsidR="00FE4081" w:rsidRDefault="00FE4081" w:rsidP="00FE4081">
      <w:pPr>
        <w:pStyle w:val="Body"/>
      </w:pPr>
    </w:p>
    <w:p w14:paraId="0B0B7D07" w14:textId="77777777" w:rsidR="00FE4081" w:rsidRPr="00FE4081" w:rsidRDefault="00FE4081" w:rsidP="00FE4081">
      <w:pPr>
        <w:pStyle w:val="Body"/>
        <w:sectPr w:rsidR="00FE4081" w:rsidRPr="00FE4081" w:rsidSect="007713D8">
          <w:headerReference w:type="default" r:id="rId12"/>
          <w:footerReference w:type="even" r:id="rId13"/>
          <w:footerReference w:type="default" r:id="rId14"/>
          <w:headerReference w:type="first" r:id="rId15"/>
          <w:footerReference w:type="first" r:id="rId16"/>
          <w:type w:val="continuous"/>
          <w:pgSz w:w="11906" w:h="16838" w:code="9"/>
          <w:pgMar w:top="3969" w:right="1304" w:bottom="851" w:left="1304" w:header="680" w:footer="567" w:gutter="0"/>
          <w:cols w:space="340"/>
          <w:titlePg/>
          <w:docGrid w:linePitch="360"/>
        </w:sectPr>
      </w:pPr>
    </w:p>
    <w:p w14:paraId="52C83070" w14:textId="77777777" w:rsidR="00CF230C" w:rsidRDefault="00EF187B">
      <w:pPr>
        <w:spacing w:after="0" w:line="240" w:lineRule="auto"/>
        <w:rPr>
          <w:rFonts w:eastAsia="Times"/>
        </w:rPr>
      </w:pPr>
      <w:r>
        <w:rPr>
          <w:noProof/>
        </w:rPr>
        <w:lastRenderedPageBreak/>
        <w:drawing>
          <wp:anchor distT="0" distB="0" distL="114300" distR="114300" simplePos="0" relativeHeight="251658241" behindDoc="1" locked="0" layoutInCell="1" allowOverlap="1" wp14:anchorId="6C16E709" wp14:editId="4A144094">
            <wp:simplePos x="0" y="0"/>
            <wp:positionH relativeFrom="column">
              <wp:posOffset>-848137</wp:posOffset>
            </wp:positionH>
            <wp:positionV relativeFrom="page">
              <wp:posOffset>10048</wp:posOffset>
            </wp:positionV>
            <wp:extent cx="7574914" cy="10706728"/>
            <wp:effectExtent l="0" t="0" r="0" b="0"/>
            <wp:wrapNone/>
            <wp:docPr id="14" name="Picture 14" descr="Shapes and text which says 'more homes for more victorians. for general enquiries. If you would like to receive this publication in an accessible format, phone 1300 650 172, using the National Relay Service 13 26 77 if required or email enquiries@homes.vic.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hapes and text which says 'more homes for more victorians. for general enquiries. If you would like to receive this publication in an accessible format, phone 1300 650 172, using the National Relay Service 13 26 77 if required or email enquiries@homes.vic.gov.au'"/>
                    <pic:cNvPicPr/>
                  </pic:nvPicPr>
                  <pic:blipFill>
                    <a:blip r:embed="rId17"/>
                    <a:stretch>
                      <a:fillRect/>
                    </a:stretch>
                  </pic:blipFill>
                  <pic:spPr>
                    <a:xfrm>
                      <a:off x="0" y="0"/>
                      <a:ext cx="7574914" cy="10706728"/>
                    </a:xfrm>
                    <a:prstGeom prst="rect">
                      <a:avLst/>
                    </a:prstGeom>
                  </pic:spPr>
                </pic:pic>
              </a:graphicData>
            </a:graphic>
            <wp14:sizeRelH relativeFrom="page">
              <wp14:pctWidth>0</wp14:pctWidth>
            </wp14:sizeRelH>
            <wp14:sizeRelV relativeFrom="page">
              <wp14:pctHeight>0</wp14:pctHeight>
            </wp14:sizeRelV>
          </wp:anchor>
        </w:drawing>
      </w:r>
      <w:r w:rsidR="00CF230C">
        <w:br w:type="page"/>
      </w:r>
    </w:p>
    <w:tbl>
      <w:tblPr>
        <w:tblW w:w="7598" w:type="dxa"/>
        <w:tblLook w:val="04A0" w:firstRow="1" w:lastRow="0" w:firstColumn="1" w:lastColumn="0" w:noHBand="0" w:noVBand="1"/>
      </w:tblPr>
      <w:tblGrid>
        <w:gridCol w:w="7598"/>
      </w:tblGrid>
      <w:tr w:rsidR="00431F42" w14:paraId="25C3F4C6" w14:textId="77777777" w:rsidTr="00017BA2">
        <w:trPr>
          <w:trHeight w:val="7371"/>
        </w:trPr>
        <w:tc>
          <w:tcPr>
            <w:tcW w:w="7598" w:type="dxa"/>
          </w:tcPr>
          <w:p w14:paraId="22603570" w14:textId="77777777" w:rsidR="00047716" w:rsidRDefault="10362513" w:rsidP="2E68B7B9">
            <w:pPr>
              <w:pStyle w:val="Documenttitle"/>
              <w:rPr>
                <w:sz w:val="44"/>
                <w:szCs w:val="44"/>
              </w:rPr>
            </w:pPr>
            <w:r w:rsidRPr="00047716">
              <w:rPr>
                <w:sz w:val="44"/>
                <w:szCs w:val="44"/>
              </w:rPr>
              <w:lastRenderedPageBreak/>
              <w:t>CRISIS SUPPORTED ACCOMMODATION</w:t>
            </w:r>
          </w:p>
          <w:p w14:paraId="025CED0E" w14:textId="08C255BF" w:rsidR="10362513" w:rsidRPr="00047716" w:rsidRDefault="10362513" w:rsidP="2E68B7B9">
            <w:pPr>
              <w:pStyle w:val="Documenttitle"/>
              <w:rPr>
                <w:sz w:val="44"/>
                <w:szCs w:val="44"/>
              </w:rPr>
            </w:pPr>
            <w:r w:rsidRPr="00047716">
              <w:rPr>
                <w:sz w:val="44"/>
                <w:szCs w:val="44"/>
              </w:rPr>
              <w:t>THERAPEUTIC MODEL</w:t>
            </w:r>
          </w:p>
          <w:p w14:paraId="743B65F9" w14:textId="6B92EE4B" w:rsidR="00431F42" w:rsidRDefault="00F84009" w:rsidP="00431F42">
            <w:pPr>
              <w:pStyle w:val="Documentsubtitle"/>
              <w:rPr>
                <w:highlight w:val="yellow"/>
              </w:rPr>
            </w:pPr>
            <w:r w:rsidRPr="00F84009">
              <w:t>Operational Program Guidelines 2025</w:t>
            </w:r>
          </w:p>
        </w:tc>
      </w:tr>
      <w:tr w:rsidR="00431F42" w14:paraId="24BE5A3E" w14:textId="77777777" w:rsidTr="00017BA2">
        <w:tc>
          <w:tcPr>
            <w:tcW w:w="7598" w:type="dxa"/>
          </w:tcPr>
          <w:p w14:paraId="69921862" w14:textId="77777777" w:rsidR="00431F42" w:rsidRDefault="00431F42" w:rsidP="00431F42">
            <w:pPr>
              <w:pStyle w:val="Body"/>
            </w:pPr>
          </w:p>
        </w:tc>
      </w:tr>
    </w:tbl>
    <w:p w14:paraId="3598D2EB" w14:textId="77777777" w:rsidR="000D2ABA" w:rsidRDefault="000D2ABA" w:rsidP="00431F42">
      <w:pPr>
        <w:pStyle w:val="Body"/>
      </w:pPr>
      <w:r>
        <w:br w:type="page"/>
      </w:r>
    </w:p>
    <w:tbl>
      <w:tblPr>
        <w:tblW w:w="0" w:type="auto"/>
        <w:tblLook w:val="04A0" w:firstRow="1" w:lastRow="0" w:firstColumn="1" w:lastColumn="0" w:noHBand="0" w:noVBand="1"/>
      </w:tblPr>
      <w:tblGrid>
        <w:gridCol w:w="9288"/>
      </w:tblGrid>
      <w:tr w:rsidR="009F2182" w14:paraId="004F6394" w14:textId="77777777" w:rsidTr="00017BA2">
        <w:trPr>
          <w:trHeight w:val="7088"/>
        </w:trPr>
        <w:tc>
          <w:tcPr>
            <w:tcW w:w="9288" w:type="dxa"/>
          </w:tcPr>
          <w:p w14:paraId="611BBE02" w14:textId="3FD877AC" w:rsidR="009D5504" w:rsidRPr="009D5504" w:rsidRDefault="009D5504" w:rsidP="009D5504">
            <w:r w:rsidRPr="003F6A31">
              <w:lastRenderedPageBreak/>
              <w:t xml:space="preserve">The </w:t>
            </w:r>
            <w:r w:rsidR="00833D10">
              <w:t>Crisis Supported Accommodation – Therapeutic Mode</w:t>
            </w:r>
            <w:r w:rsidR="00FD47ED">
              <w:t xml:space="preserve">l </w:t>
            </w:r>
            <w:r w:rsidR="75740785" w:rsidRPr="003F6A31">
              <w:t xml:space="preserve">Program </w:t>
            </w:r>
            <w:r w:rsidRPr="003F6A31">
              <w:t xml:space="preserve">Guidelines will be </w:t>
            </w:r>
            <w:r>
              <w:t xml:space="preserve">routinely reviewed every five years. Should there be significant changes to the Victorian Homelessness System before the scheduled review, the Guidelines will be updated to reflect these changes. </w:t>
            </w:r>
          </w:p>
          <w:p w14:paraId="00553569" w14:textId="77777777" w:rsidR="009D5504" w:rsidRPr="009D5504" w:rsidRDefault="009D5504" w:rsidP="009D5504">
            <w:pPr>
              <w:rPr>
                <w:szCs w:val="21"/>
              </w:rPr>
            </w:pPr>
            <w:r w:rsidRPr="009D5504">
              <w:rPr>
                <w:szCs w:val="21"/>
              </w:rPr>
              <w:t>Version and Review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4394"/>
              <w:gridCol w:w="1707"/>
              <w:gridCol w:w="1707"/>
            </w:tblGrid>
            <w:tr w:rsidR="00FD2723" w:rsidRPr="00FD2723" w14:paraId="6870F548" w14:textId="77777777" w:rsidTr="00136E8E">
              <w:tc>
                <w:tcPr>
                  <w:tcW w:w="1254" w:type="dxa"/>
                  <w:shd w:val="clear" w:color="auto" w:fill="032833" w:themeFill="text1"/>
                </w:tcPr>
                <w:p w14:paraId="5FEEB916" w14:textId="77777777" w:rsidR="009D5504" w:rsidRPr="001C298E" w:rsidRDefault="009D5504" w:rsidP="009D5504">
                  <w:pPr>
                    <w:pStyle w:val="Tablecolhead"/>
                    <w:rPr>
                      <w:color w:val="auto"/>
                    </w:rPr>
                  </w:pPr>
                  <w:r w:rsidRPr="001C298E">
                    <w:rPr>
                      <w:color w:val="auto"/>
                    </w:rPr>
                    <w:t>Version</w:t>
                  </w:r>
                </w:p>
              </w:tc>
              <w:tc>
                <w:tcPr>
                  <w:tcW w:w="4394" w:type="dxa"/>
                  <w:shd w:val="clear" w:color="auto" w:fill="032833" w:themeFill="text1"/>
                </w:tcPr>
                <w:p w14:paraId="643F66D2" w14:textId="77777777" w:rsidR="009D5504" w:rsidRPr="001C298E" w:rsidRDefault="009D5504" w:rsidP="009D5504">
                  <w:pPr>
                    <w:pStyle w:val="Tablecolhead"/>
                    <w:rPr>
                      <w:color w:val="auto"/>
                    </w:rPr>
                  </w:pPr>
                  <w:r w:rsidRPr="001C298E">
                    <w:rPr>
                      <w:color w:val="auto"/>
                    </w:rPr>
                    <w:t>Approved by</w:t>
                  </w:r>
                </w:p>
              </w:tc>
              <w:tc>
                <w:tcPr>
                  <w:tcW w:w="1707" w:type="dxa"/>
                  <w:shd w:val="clear" w:color="auto" w:fill="032833" w:themeFill="text1"/>
                </w:tcPr>
                <w:p w14:paraId="6F5868BE" w14:textId="2549BC00" w:rsidR="009D5504" w:rsidRPr="001C298E" w:rsidRDefault="005062FD" w:rsidP="009D5504">
                  <w:pPr>
                    <w:pStyle w:val="Tablecolhead"/>
                    <w:rPr>
                      <w:color w:val="auto"/>
                    </w:rPr>
                  </w:pPr>
                  <w:r>
                    <w:rPr>
                      <w:color w:val="auto"/>
                    </w:rPr>
                    <w:t xml:space="preserve">Approval </w:t>
                  </w:r>
                  <w:r w:rsidR="009D5504" w:rsidRPr="001C298E">
                    <w:rPr>
                      <w:color w:val="auto"/>
                    </w:rPr>
                    <w:t>Date</w:t>
                  </w:r>
                </w:p>
              </w:tc>
              <w:tc>
                <w:tcPr>
                  <w:tcW w:w="1707" w:type="dxa"/>
                  <w:shd w:val="clear" w:color="auto" w:fill="032833" w:themeFill="text1"/>
                </w:tcPr>
                <w:p w14:paraId="2DB734CA" w14:textId="77777777" w:rsidR="009D5504" w:rsidRPr="001C298E" w:rsidRDefault="009D5504" w:rsidP="009D5504">
                  <w:pPr>
                    <w:pStyle w:val="Tablecolhead"/>
                    <w:rPr>
                      <w:color w:val="auto"/>
                    </w:rPr>
                  </w:pPr>
                  <w:r w:rsidRPr="001C298E">
                    <w:rPr>
                      <w:color w:val="auto"/>
                    </w:rPr>
                    <w:t>Next Revision Due</w:t>
                  </w:r>
                </w:p>
              </w:tc>
            </w:tr>
            <w:tr w:rsidR="00FD2723" w:rsidRPr="00FD2723" w14:paraId="1BCB302E" w14:textId="77777777" w:rsidTr="001C298E">
              <w:tc>
                <w:tcPr>
                  <w:tcW w:w="1254" w:type="dxa"/>
                </w:tcPr>
                <w:p w14:paraId="507ECB6F" w14:textId="77777777" w:rsidR="009D5504" w:rsidRPr="00FD2723" w:rsidRDefault="009D5504" w:rsidP="009D5504">
                  <w:pPr>
                    <w:pStyle w:val="Body"/>
                  </w:pPr>
                  <w:r w:rsidRPr="00FD2723">
                    <w:t>Version 1.0</w:t>
                  </w:r>
                </w:p>
              </w:tc>
              <w:tc>
                <w:tcPr>
                  <w:tcW w:w="4394" w:type="dxa"/>
                </w:tcPr>
                <w:p w14:paraId="2B4F39F7" w14:textId="0066B06E" w:rsidR="009D5504" w:rsidRPr="00FD2723" w:rsidRDefault="00017BA2" w:rsidP="009D5504">
                  <w:pPr>
                    <w:pStyle w:val="Body"/>
                  </w:pPr>
                  <w:r w:rsidRPr="00FD2723">
                    <w:t>Executive Director, Homelessness and Housing Support</w:t>
                  </w:r>
                  <w:r w:rsidR="005062FD">
                    <w:t xml:space="preserve"> Branch, Homes Victoria</w:t>
                  </w:r>
                </w:p>
              </w:tc>
              <w:tc>
                <w:tcPr>
                  <w:tcW w:w="1707" w:type="dxa"/>
                </w:tcPr>
                <w:p w14:paraId="196F8E00" w14:textId="0E9A10E5" w:rsidR="009D5504" w:rsidRPr="00FD2723" w:rsidRDefault="00017BA2" w:rsidP="2FEAB457">
                  <w:pPr>
                    <w:pStyle w:val="Body"/>
                    <w:rPr>
                      <w:highlight w:val="yellow"/>
                    </w:rPr>
                  </w:pPr>
                  <w:r w:rsidRPr="00FD2723">
                    <w:t>November 2025</w:t>
                  </w:r>
                </w:p>
              </w:tc>
              <w:tc>
                <w:tcPr>
                  <w:tcW w:w="1707" w:type="dxa"/>
                </w:tcPr>
                <w:p w14:paraId="67A76499" w14:textId="0EC8B5B4" w:rsidR="009D5504" w:rsidRPr="00FD2723" w:rsidRDefault="00017BA2" w:rsidP="009D5504">
                  <w:pPr>
                    <w:pStyle w:val="Body"/>
                  </w:pPr>
                  <w:r w:rsidRPr="00FD2723">
                    <w:t>November</w:t>
                  </w:r>
                  <w:r w:rsidR="00820081" w:rsidRPr="00FD2723">
                    <w:t xml:space="preserve"> 2030</w:t>
                  </w:r>
                </w:p>
              </w:tc>
            </w:tr>
            <w:tr w:rsidR="00FD2723" w:rsidRPr="00FD2723" w14:paraId="2698ECF2" w14:textId="77777777" w:rsidTr="001C298E">
              <w:tc>
                <w:tcPr>
                  <w:tcW w:w="1254" w:type="dxa"/>
                </w:tcPr>
                <w:p w14:paraId="5D040C15" w14:textId="5651766C" w:rsidR="009D5504" w:rsidRPr="00FD2723" w:rsidRDefault="009D5504" w:rsidP="009D5504">
                  <w:pPr>
                    <w:pStyle w:val="Body"/>
                  </w:pPr>
                </w:p>
              </w:tc>
              <w:tc>
                <w:tcPr>
                  <w:tcW w:w="4394" w:type="dxa"/>
                </w:tcPr>
                <w:p w14:paraId="7F506461" w14:textId="77777777" w:rsidR="009D5504" w:rsidRPr="00FD2723" w:rsidRDefault="009D5504" w:rsidP="009D5504">
                  <w:pPr>
                    <w:pStyle w:val="Body"/>
                  </w:pPr>
                </w:p>
              </w:tc>
              <w:tc>
                <w:tcPr>
                  <w:tcW w:w="1707" w:type="dxa"/>
                </w:tcPr>
                <w:p w14:paraId="4A27ECE0" w14:textId="77777777" w:rsidR="009D5504" w:rsidRPr="00FD2723" w:rsidRDefault="009D5504" w:rsidP="009D5504">
                  <w:pPr>
                    <w:pStyle w:val="Body"/>
                  </w:pPr>
                </w:p>
              </w:tc>
              <w:tc>
                <w:tcPr>
                  <w:tcW w:w="1707" w:type="dxa"/>
                </w:tcPr>
                <w:p w14:paraId="78B72F27" w14:textId="77777777" w:rsidR="009D5504" w:rsidRPr="00FD2723" w:rsidRDefault="009D5504" w:rsidP="009D5504">
                  <w:pPr>
                    <w:pStyle w:val="Body"/>
                  </w:pPr>
                </w:p>
              </w:tc>
            </w:tr>
          </w:tbl>
          <w:p w14:paraId="72820038" w14:textId="2FE84BA8" w:rsidR="009D5504" w:rsidRPr="00DF4F13" w:rsidRDefault="009D5504" w:rsidP="003E0BFE">
            <w:pPr>
              <w:pStyle w:val="Body"/>
              <w:spacing w:before="120"/>
              <w:rPr>
                <w:rFonts w:eastAsia="Times New Roman"/>
                <w:color w:val="8761A9"/>
                <w:sz w:val="24"/>
                <w:szCs w:val="24"/>
              </w:rPr>
            </w:pPr>
          </w:p>
        </w:tc>
      </w:tr>
      <w:tr w:rsidR="009F2182" w14:paraId="654F5002" w14:textId="77777777" w:rsidTr="00017BA2">
        <w:trPr>
          <w:trHeight w:val="5103"/>
        </w:trPr>
        <w:tc>
          <w:tcPr>
            <w:tcW w:w="9288" w:type="dxa"/>
          </w:tcPr>
          <w:p w14:paraId="00ABC25E" w14:textId="77777777" w:rsidR="008531B7" w:rsidRPr="0055119B" w:rsidRDefault="008531B7" w:rsidP="008531B7">
            <w:pPr>
              <w:pStyle w:val="Imprint"/>
            </w:pPr>
            <w:r w:rsidRPr="0055119B">
              <w:t>Authorised and published by the Victorian Government, 1 Treasury Place, Melbourne.</w:t>
            </w:r>
          </w:p>
          <w:p w14:paraId="584C39F5" w14:textId="0F683FCB" w:rsidR="008531B7" w:rsidRPr="003F6A31" w:rsidRDefault="27B69C8D" w:rsidP="008531B7">
            <w:pPr>
              <w:pStyle w:val="Imprint"/>
            </w:pPr>
            <w:r>
              <w:t xml:space="preserve">© State of Victoria, Australia, Homes </w:t>
            </w:r>
            <w:r w:rsidRPr="003F6A31">
              <w:t xml:space="preserve">Victoria, </w:t>
            </w:r>
            <w:r w:rsidR="00F57032">
              <w:t>November</w:t>
            </w:r>
            <w:r w:rsidRPr="003F6A31">
              <w:t xml:space="preserve"> </w:t>
            </w:r>
            <w:r w:rsidR="00F22902" w:rsidRPr="003F6A31">
              <w:t>2025</w:t>
            </w:r>
            <w:r w:rsidRPr="003F6A31">
              <w:t>.</w:t>
            </w:r>
          </w:p>
          <w:p w14:paraId="7F5861DA" w14:textId="77777777" w:rsidR="008531B7" w:rsidRPr="00461963" w:rsidRDefault="008531B7" w:rsidP="51C719B7">
            <w:pPr>
              <w:pStyle w:val="Imprint"/>
            </w:pPr>
            <w:bookmarkStart w:id="0" w:name="_Hlk62746129"/>
            <w:r w:rsidRPr="00461963">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7CAED24A" w14:textId="77777777" w:rsidR="008531B7" w:rsidRPr="00461963" w:rsidRDefault="008531B7" w:rsidP="51C719B7">
            <w:pPr>
              <w:pStyle w:val="Imprint"/>
            </w:pPr>
            <w:r w:rsidRPr="00461963">
              <w:t>In this document, ‘Aboriginal’ refers to both Aboriginal and Torres Strait Islander people. ‘Indigenous’ or ‘Koori/Koorie’ is retained when part of the title of a report, program or quotation.</w:t>
            </w:r>
          </w:p>
          <w:p w14:paraId="6D5D5578" w14:textId="0C76A038" w:rsidR="0073609A" w:rsidRDefault="0073609A" w:rsidP="008531B7">
            <w:pPr>
              <w:pStyle w:val="Imprint"/>
            </w:pPr>
            <w:r w:rsidRPr="00F57032">
              <w:rPr>
                <w:b/>
              </w:rPr>
              <w:t>ISBN</w:t>
            </w:r>
            <w:r w:rsidRPr="0073609A">
              <w:t xml:space="preserve"> 978-1-76130-874-1 </w:t>
            </w:r>
            <w:r w:rsidRPr="00F57032">
              <w:rPr>
                <w:b/>
              </w:rPr>
              <w:t>(pdf/online/MS word)</w:t>
            </w:r>
            <w:r w:rsidRPr="0073609A">
              <w:t xml:space="preserve"> </w:t>
            </w:r>
          </w:p>
          <w:p w14:paraId="0DE2D866" w14:textId="13F6A1EB" w:rsidR="00F61764" w:rsidRDefault="27B69C8D" w:rsidP="008531B7">
            <w:pPr>
              <w:pStyle w:val="Imprint"/>
            </w:pPr>
            <w:r>
              <w:t xml:space="preserve">Available at </w:t>
            </w:r>
            <w:hyperlink r:id="rId18" w:history="1">
              <w:r w:rsidR="007D69CE" w:rsidRPr="00CE65F4">
                <w:rPr>
                  <w:rStyle w:val="Hyperlink"/>
                  <w:rFonts w:ascii="Avenir Book" w:hAnsi="Avenir Book"/>
                </w:rPr>
                <w:t>Homeless</w:t>
              </w:r>
              <w:r w:rsidR="00CE65F4" w:rsidRPr="00CE65F4">
                <w:rPr>
                  <w:rStyle w:val="Hyperlink"/>
                  <w:rFonts w:ascii="Avenir Book" w:hAnsi="Avenir Book"/>
                </w:rPr>
                <w:t>ness Operational Program Guidelines webpage</w:t>
              </w:r>
            </w:hyperlink>
          </w:p>
          <w:p w14:paraId="7B4E04EB" w14:textId="3AE9B343" w:rsidR="00CE65F4" w:rsidRDefault="00101E30" w:rsidP="008531B7">
            <w:pPr>
              <w:pStyle w:val="Imprint"/>
            </w:pPr>
            <w:r>
              <w:t>&lt;</w:t>
            </w:r>
            <w:r w:rsidR="00CE65F4">
              <w:t>http</w:t>
            </w:r>
            <w:r w:rsidR="00AE47AC">
              <w:t>s:</w:t>
            </w:r>
            <w:r w:rsidRPr="00A50E4B">
              <w:t xml:space="preserve"> </w:t>
            </w:r>
            <w:r w:rsidRPr="00101E30">
              <w:t>//www.dffh.vic.gov.au/homelessness-operational-guidelines?auHash=5nNzNDof62h0sHeI0tswNvHkH-Pxh8NTgca07L1FcpA</w:t>
            </w:r>
            <w:r>
              <w:t>&gt;</w:t>
            </w:r>
          </w:p>
          <w:p w14:paraId="312C6941" w14:textId="77777777" w:rsidR="007D69CE" w:rsidRDefault="007D69CE" w:rsidP="008531B7">
            <w:pPr>
              <w:pStyle w:val="Imprint"/>
            </w:pPr>
          </w:p>
          <w:bookmarkEnd w:id="0"/>
          <w:p w14:paraId="1B3AAAE9" w14:textId="43CDD6B7" w:rsidR="009F2182" w:rsidRDefault="009F2182" w:rsidP="51C719B7">
            <w:pPr>
              <w:pStyle w:val="Imprint"/>
              <w:rPr>
                <w:color w:val="8761A9" w:themeColor="accent6"/>
              </w:rPr>
            </w:pPr>
          </w:p>
          <w:p w14:paraId="25C6E4B7" w14:textId="77996B8E" w:rsidR="009F2182" w:rsidRDefault="009F2182" w:rsidP="51C719B7">
            <w:pPr>
              <w:pStyle w:val="Imprint"/>
              <w:rPr>
                <w:color w:val="8761A9" w:themeColor="accent6"/>
              </w:rPr>
            </w:pPr>
          </w:p>
          <w:p w14:paraId="77AE8D38" w14:textId="7B85793C" w:rsidR="009F2182" w:rsidRDefault="009F2182" w:rsidP="51C719B7">
            <w:pPr>
              <w:pStyle w:val="Imprint"/>
              <w:rPr>
                <w:color w:val="8761A9" w:themeColor="accent6"/>
              </w:rPr>
            </w:pPr>
          </w:p>
          <w:p w14:paraId="37DF6DFF" w14:textId="3A1C845F" w:rsidR="009F2182" w:rsidRDefault="009F2182" w:rsidP="51C719B7">
            <w:pPr>
              <w:pStyle w:val="Imprint"/>
              <w:rPr>
                <w:color w:val="8761A9" w:themeColor="accent6"/>
              </w:rPr>
            </w:pPr>
          </w:p>
          <w:p w14:paraId="3CE054D1" w14:textId="65980B40" w:rsidR="009F2182" w:rsidRDefault="009F2182" w:rsidP="51C719B7">
            <w:pPr>
              <w:pStyle w:val="Imprint"/>
              <w:rPr>
                <w:color w:val="8761A9" w:themeColor="accent6"/>
              </w:rPr>
            </w:pPr>
          </w:p>
          <w:p w14:paraId="596F467D" w14:textId="2B1C6830" w:rsidR="009F2182" w:rsidRDefault="009F2182" w:rsidP="51C719B7">
            <w:pPr>
              <w:pStyle w:val="Imprint"/>
              <w:rPr>
                <w:color w:val="8761A9" w:themeColor="accent6"/>
              </w:rPr>
            </w:pPr>
          </w:p>
          <w:p w14:paraId="02802162" w14:textId="70E04C23" w:rsidR="009F2182" w:rsidRDefault="009F2182" w:rsidP="51C719B7">
            <w:pPr>
              <w:pStyle w:val="Imprint"/>
              <w:rPr>
                <w:color w:val="8761A9" w:themeColor="accent6"/>
              </w:rPr>
            </w:pPr>
          </w:p>
          <w:p w14:paraId="4CEDF890" w14:textId="2562F2D9" w:rsidR="009F2182" w:rsidRDefault="009F2182" w:rsidP="51C719B7">
            <w:pPr>
              <w:pStyle w:val="Imprint"/>
              <w:rPr>
                <w:color w:val="8761A9" w:themeColor="accent6"/>
              </w:rPr>
            </w:pPr>
          </w:p>
          <w:p w14:paraId="657DD314" w14:textId="1DE071A0" w:rsidR="009F2182" w:rsidRDefault="009F2182" w:rsidP="51C719B7">
            <w:pPr>
              <w:pStyle w:val="Imprint"/>
              <w:rPr>
                <w:color w:val="8761A9" w:themeColor="accent6"/>
              </w:rPr>
            </w:pPr>
          </w:p>
          <w:p w14:paraId="45AADA32" w14:textId="22BEF6F2" w:rsidR="009F2182" w:rsidRDefault="009F2182" w:rsidP="51C719B7">
            <w:pPr>
              <w:pStyle w:val="Imprint"/>
              <w:rPr>
                <w:color w:val="8761A9" w:themeColor="accent6"/>
              </w:rPr>
            </w:pPr>
          </w:p>
          <w:p w14:paraId="0E1F128D" w14:textId="166D51C2" w:rsidR="009F2182" w:rsidRDefault="009F2182" w:rsidP="51C719B7">
            <w:pPr>
              <w:pStyle w:val="Imprint"/>
              <w:rPr>
                <w:color w:val="8761A9" w:themeColor="accent6"/>
              </w:rPr>
            </w:pPr>
          </w:p>
          <w:p w14:paraId="14B7F20F" w14:textId="4450BC35" w:rsidR="009F2182" w:rsidRDefault="009F2182" w:rsidP="51C719B7">
            <w:pPr>
              <w:pStyle w:val="Imprint"/>
              <w:rPr>
                <w:color w:val="8761A9" w:themeColor="accent6"/>
              </w:rPr>
            </w:pPr>
          </w:p>
          <w:p w14:paraId="5246D4A0" w14:textId="3E59A163" w:rsidR="009F2182" w:rsidRDefault="009F2182" w:rsidP="51C719B7">
            <w:pPr>
              <w:pStyle w:val="Imprint"/>
              <w:rPr>
                <w:color w:val="8761A9" w:themeColor="accent6"/>
              </w:rPr>
            </w:pPr>
          </w:p>
          <w:p w14:paraId="75FA8919" w14:textId="0A7F948B" w:rsidR="009F2182" w:rsidRPr="00645991" w:rsidRDefault="33DA29BB" w:rsidP="00755A6D">
            <w:pPr>
              <w:pStyle w:val="Body"/>
              <w:rPr>
                <w:rFonts w:ascii="Avenir Medium" w:hAnsi="Avenir Medium"/>
                <w:color w:val="032833" w:themeColor="text1"/>
                <w:sz w:val="44"/>
                <w:szCs w:val="44"/>
              </w:rPr>
            </w:pPr>
            <w:r w:rsidRPr="00645991">
              <w:rPr>
                <w:rFonts w:ascii="Avenir Medium" w:hAnsi="Avenir Medium"/>
                <w:color w:val="032833" w:themeColor="text1"/>
                <w:sz w:val="44"/>
                <w:szCs w:val="44"/>
              </w:rPr>
              <w:t>Acknowledgement</w:t>
            </w:r>
          </w:p>
          <w:p w14:paraId="1DE87E1D" w14:textId="246E3E3E" w:rsidR="009F2182" w:rsidRPr="008860B1" w:rsidRDefault="33DA29BB" w:rsidP="008860B1">
            <w:pPr>
              <w:pStyle w:val="Body"/>
            </w:pPr>
            <w:r w:rsidRPr="008860B1">
              <w:t>The Department of Families, Fairness and Housing acknowledges Aboriginal and Torres Strait Islander people as the Traditional Custodians of the land and acknowledges and pays respect to their Elders, past and present.</w:t>
            </w:r>
          </w:p>
          <w:p w14:paraId="58D4C78E" w14:textId="08F72F8A" w:rsidR="009F2182" w:rsidRPr="008860B1" w:rsidRDefault="33DA29BB" w:rsidP="008860B1">
            <w:pPr>
              <w:pStyle w:val="Body"/>
            </w:pPr>
            <w:r w:rsidRPr="008860B1">
              <w:t>The department is committed to safe and inclusive workplaces, policies and services for people of LGBTIQA+ communities and their families.</w:t>
            </w:r>
          </w:p>
          <w:p w14:paraId="0392DC03" w14:textId="3169AB7E" w:rsidR="009F2182" w:rsidRDefault="33DA29BB" w:rsidP="00461963">
            <w:pPr>
              <w:spacing w:after="0" w:line="240" w:lineRule="auto"/>
              <w:rPr>
                <w:rFonts w:ascii="Arial" w:eastAsia="Arial" w:hAnsi="Arial" w:cs="Arial"/>
                <w:color w:val="201547"/>
                <w:sz w:val="44"/>
                <w:szCs w:val="44"/>
              </w:rPr>
            </w:pPr>
            <w:r>
              <w:rPr>
                <w:noProof/>
              </w:rPr>
              <w:drawing>
                <wp:inline distT="0" distB="0" distL="0" distR="0" wp14:anchorId="6B14D0A3" wp14:editId="61580D6E">
                  <wp:extent cx="609600" cy="390525"/>
                  <wp:effectExtent l="0" t="0" r="0" b="0"/>
                  <wp:docPr id="1956213547" name="Picture 1956213547" descr="Aboriginal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609600" cy="390525"/>
                          </a:xfrm>
                          <a:prstGeom prst="rect">
                            <a:avLst/>
                          </a:prstGeom>
                        </pic:spPr>
                      </pic:pic>
                    </a:graphicData>
                  </a:graphic>
                </wp:inline>
              </w:drawing>
            </w:r>
            <w:r w:rsidRPr="51C719B7">
              <w:rPr>
                <w:rFonts w:ascii="Arial" w:eastAsia="Arial" w:hAnsi="Arial" w:cs="Arial"/>
                <w:color w:val="201547"/>
                <w:sz w:val="44"/>
                <w:szCs w:val="44"/>
              </w:rPr>
              <w:t> </w:t>
            </w:r>
            <w:r>
              <w:rPr>
                <w:noProof/>
              </w:rPr>
              <w:drawing>
                <wp:inline distT="0" distB="0" distL="0" distR="0" wp14:anchorId="0B67FC6E" wp14:editId="6CDD260E">
                  <wp:extent cx="600075" cy="390525"/>
                  <wp:effectExtent l="0" t="0" r="0" b="0"/>
                  <wp:docPr id="1959104505" name="Picture 1959104505" descr="Torres strait islander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600075" cy="390525"/>
                          </a:xfrm>
                          <a:prstGeom prst="rect">
                            <a:avLst/>
                          </a:prstGeom>
                        </pic:spPr>
                      </pic:pic>
                    </a:graphicData>
                  </a:graphic>
                </wp:inline>
              </w:drawing>
            </w:r>
            <w:r w:rsidRPr="51C719B7">
              <w:rPr>
                <w:rFonts w:ascii="Arial" w:eastAsia="Arial" w:hAnsi="Arial" w:cs="Arial"/>
                <w:color w:val="201547"/>
                <w:sz w:val="44"/>
                <w:szCs w:val="44"/>
              </w:rPr>
              <w:t> </w:t>
            </w:r>
            <w:r>
              <w:rPr>
                <w:noProof/>
              </w:rPr>
              <w:drawing>
                <wp:inline distT="0" distB="0" distL="0" distR="0" wp14:anchorId="0E74CD59" wp14:editId="6C9EE8C3">
                  <wp:extent cx="600075" cy="390525"/>
                  <wp:effectExtent l="0" t="0" r="0" b="0"/>
                  <wp:docPr id="270082921" name="Picture 270082921" descr="Pride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600075" cy="390525"/>
                          </a:xfrm>
                          <a:prstGeom prst="rect">
                            <a:avLst/>
                          </a:prstGeom>
                        </pic:spPr>
                      </pic:pic>
                    </a:graphicData>
                  </a:graphic>
                </wp:inline>
              </w:drawing>
            </w:r>
          </w:p>
          <w:p w14:paraId="724BE9A5" w14:textId="3BFD435D" w:rsidR="009F2182" w:rsidRDefault="009F2182" w:rsidP="51C719B7">
            <w:pPr>
              <w:pStyle w:val="Imprint"/>
              <w:rPr>
                <w:color w:val="8761A9" w:themeColor="accent6"/>
              </w:rPr>
            </w:pPr>
          </w:p>
        </w:tc>
      </w:tr>
      <w:tr w:rsidR="0008204A" w14:paraId="2C72E3E2" w14:textId="77777777" w:rsidTr="00017BA2">
        <w:tc>
          <w:tcPr>
            <w:tcW w:w="9288" w:type="dxa"/>
          </w:tcPr>
          <w:p w14:paraId="2EBD3A50" w14:textId="77777777" w:rsidR="0008204A" w:rsidRPr="0055119B" w:rsidRDefault="0008204A" w:rsidP="0008204A">
            <w:pPr>
              <w:pStyle w:val="Body"/>
            </w:pPr>
          </w:p>
        </w:tc>
      </w:tr>
    </w:tbl>
    <w:p w14:paraId="4E9D2041" w14:textId="77777777" w:rsidR="0008204A" w:rsidRPr="0008204A" w:rsidRDefault="0008204A" w:rsidP="0008204A">
      <w:pPr>
        <w:pStyle w:val="Body"/>
      </w:pPr>
      <w:r w:rsidRPr="0008204A">
        <w:br w:type="page"/>
      </w:r>
    </w:p>
    <w:p w14:paraId="7CEB3E91" w14:textId="53EC8088" w:rsidR="00AD784C" w:rsidRPr="00B57329" w:rsidRDefault="00AD784C" w:rsidP="00715A28">
      <w:pPr>
        <w:pStyle w:val="Heading1"/>
        <w:numPr>
          <w:ilvl w:val="0"/>
          <w:numId w:val="0"/>
        </w:numPr>
        <w:ind w:left="432" w:hanging="432"/>
      </w:pPr>
      <w:bookmarkStart w:id="1" w:name="_Toc212646913"/>
      <w:r w:rsidRPr="00B57329">
        <w:lastRenderedPageBreak/>
        <w:t>Contents</w:t>
      </w:r>
      <w:bookmarkEnd w:id="1"/>
    </w:p>
    <w:p w14:paraId="50FDF423" w14:textId="463D8B09" w:rsidR="00F87CE1"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12646913" w:history="1">
        <w:r w:rsidR="00F87CE1" w:rsidRPr="00560F09">
          <w:rPr>
            <w:rStyle w:val="Hyperlink"/>
          </w:rPr>
          <w:t>Contents</w:t>
        </w:r>
        <w:r w:rsidR="00F87CE1">
          <w:rPr>
            <w:webHidden/>
          </w:rPr>
          <w:tab/>
        </w:r>
        <w:r w:rsidR="00F87CE1">
          <w:rPr>
            <w:webHidden/>
          </w:rPr>
          <w:fldChar w:fldCharType="begin"/>
        </w:r>
        <w:r w:rsidR="00F87CE1">
          <w:rPr>
            <w:webHidden/>
          </w:rPr>
          <w:instrText xml:space="preserve"> PAGEREF _Toc212646913 \h </w:instrText>
        </w:r>
        <w:r w:rsidR="00F87CE1">
          <w:rPr>
            <w:webHidden/>
          </w:rPr>
        </w:r>
        <w:r w:rsidR="00F87CE1">
          <w:rPr>
            <w:webHidden/>
          </w:rPr>
          <w:fldChar w:fldCharType="separate"/>
        </w:r>
        <w:r w:rsidR="00F87CE1">
          <w:rPr>
            <w:webHidden/>
          </w:rPr>
          <w:t>6</w:t>
        </w:r>
        <w:r w:rsidR="00F87CE1">
          <w:rPr>
            <w:webHidden/>
          </w:rPr>
          <w:fldChar w:fldCharType="end"/>
        </w:r>
      </w:hyperlink>
    </w:p>
    <w:p w14:paraId="398BBA28" w14:textId="53E5430D" w:rsidR="00F87CE1" w:rsidRDefault="00F87CE1">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2646914" w:history="1">
        <w:r w:rsidRPr="00560F09">
          <w:rPr>
            <w:rStyle w:val="Hyperlink"/>
          </w:rPr>
          <w:t>1.</w:t>
        </w:r>
        <w:r>
          <w:rPr>
            <w:rFonts w:asciiTheme="minorHAnsi" w:eastAsiaTheme="minorEastAsia" w:hAnsiTheme="minorHAnsi" w:cstheme="minorBidi"/>
            <w:b w:val="0"/>
            <w:kern w:val="2"/>
            <w:sz w:val="24"/>
            <w:szCs w:val="24"/>
            <w:lang w:eastAsia="en-AU"/>
            <w14:ligatures w14:val="standardContextual"/>
          </w:rPr>
          <w:tab/>
        </w:r>
        <w:r w:rsidRPr="00560F09">
          <w:rPr>
            <w:rStyle w:val="Hyperlink"/>
          </w:rPr>
          <w:t>Program Overview</w:t>
        </w:r>
        <w:r>
          <w:rPr>
            <w:webHidden/>
          </w:rPr>
          <w:tab/>
        </w:r>
        <w:r>
          <w:rPr>
            <w:webHidden/>
          </w:rPr>
          <w:fldChar w:fldCharType="begin"/>
        </w:r>
        <w:r>
          <w:rPr>
            <w:webHidden/>
          </w:rPr>
          <w:instrText xml:space="preserve"> PAGEREF _Toc212646914 \h </w:instrText>
        </w:r>
        <w:r>
          <w:rPr>
            <w:webHidden/>
          </w:rPr>
        </w:r>
        <w:r>
          <w:rPr>
            <w:webHidden/>
          </w:rPr>
          <w:fldChar w:fldCharType="separate"/>
        </w:r>
        <w:r>
          <w:rPr>
            <w:webHidden/>
          </w:rPr>
          <w:t>7</w:t>
        </w:r>
        <w:r>
          <w:rPr>
            <w:webHidden/>
          </w:rPr>
          <w:fldChar w:fldCharType="end"/>
        </w:r>
      </w:hyperlink>
    </w:p>
    <w:p w14:paraId="40716966" w14:textId="43BE34E5" w:rsidR="00F87CE1" w:rsidRDefault="00F87CE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2646915" w:history="1">
        <w:r w:rsidRPr="00560F09">
          <w:rPr>
            <w:rStyle w:val="Hyperlink"/>
          </w:rPr>
          <w:t>1.1.</w:t>
        </w:r>
        <w:r>
          <w:rPr>
            <w:rFonts w:asciiTheme="minorHAnsi" w:eastAsiaTheme="minorEastAsia" w:hAnsiTheme="minorHAnsi" w:cstheme="minorBidi"/>
            <w:kern w:val="2"/>
            <w:sz w:val="24"/>
            <w:szCs w:val="24"/>
            <w:lang w:eastAsia="en-AU"/>
            <w14:ligatures w14:val="standardContextual"/>
          </w:rPr>
          <w:tab/>
        </w:r>
        <w:r w:rsidRPr="00560F09">
          <w:rPr>
            <w:rStyle w:val="Hyperlink"/>
          </w:rPr>
          <w:t>Purpose of these guidelines</w:t>
        </w:r>
        <w:r>
          <w:rPr>
            <w:webHidden/>
          </w:rPr>
          <w:tab/>
        </w:r>
        <w:r>
          <w:rPr>
            <w:webHidden/>
          </w:rPr>
          <w:fldChar w:fldCharType="begin"/>
        </w:r>
        <w:r>
          <w:rPr>
            <w:webHidden/>
          </w:rPr>
          <w:instrText xml:space="preserve"> PAGEREF _Toc212646915 \h </w:instrText>
        </w:r>
        <w:r>
          <w:rPr>
            <w:webHidden/>
          </w:rPr>
        </w:r>
        <w:r>
          <w:rPr>
            <w:webHidden/>
          </w:rPr>
          <w:fldChar w:fldCharType="separate"/>
        </w:r>
        <w:r>
          <w:rPr>
            <w:webHidden/>
          </w:rPr>
          <w:t>7</w:t>
        </w:r>
        <w:r>
          <w:rPr>
            <w:webHidden/>
          </w:rPr>
          <w:fldChar w:fldCharType="end"/>
        </w:r>
      </w:hyperlink>
    </w:p>
    <w:p w14:paraId="59E531DD" w14:textId="62818C45" w:rsidR="00F87CE1" w:rsidRDefault="00F87CE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2646916" w:history="1">
        <w:r w:rsidRPr="00560F09">
          <w:rPr>
            <w:rStyle w:val="Hyperlink"/>
          </w:rPr>
          <w:t>1.2.</w:t>
        </w:r>
        <w:r>
          <w:rPr>
            <w:rFonts w:asciiTheme="minorHAnsi" w:eastAsiaTheme="minorEastAsia" w:hAnsiTheme="minorHAnsi" w:cstheme="minorBidi"/>
            <w:kern w:val="2"/>
            <w:sz w:val="24"/>
            <w:szCs w:val="24"/>
            <w:lang w:eastAsia="en-AU"/>
            <w14:ligatures w14:val="standardContextual"/>
          </w:rPr>
          <w:tab/>
        </w:r>
        <w:r w:rsidRPr="00560F09">
          <w:rPr>
            <w:rStyle w:val="Hyperlink"/>
          </w:rPr>
          <w:t>How to use these guidelines</w:t>
        </w:r>
        <w:r>
          <w:rPr>
            <w:webHidden/>
          </w:rPr>
          <w:tab/>
        </w:r>
        <w:r>
          <w:rPr>
            <w:webHidden/>
          </w:rPr>
          <w:fldChar w:fldCharType="begin"/>
        </w:r>
        <w:r>
          <w:rPr>
            <w:webHidden/>
          </w:rPr>
          <w:instrText xml:space="preserve"> PAGEREF _Toc212646916 \h </w:instrText>
        </w:r>
        <w:r>
          <w:rPr>
            <w:webHidden/>
          </w:rPr>
        </w:r>
        <w:r>
          <w:rPr>
            <w:webHidden/>
          </w:rPr>
          <w:fldChar w:fldCharType="separate"/>
        </w:r>
        <w:r>
          <w:rPr>
            <w:webHidden/>
          </w:rPr>
          <w:t>7</w:t>
        </w:r>
        <w:r>
          <w:rPr>
            <w:webHidden/>
          </w:rPr>
          <w:fldChar w:fldCharType="end"/>
        </w:r>
      </w:hyperlink>
    </w:p>
    <w:p w14:paraId="48B6D3E3" w14:textId="54D7660E" w:rsidR="00F87CE1" w:rsidRDefault="00F87CE1">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2646917" w:history="1">
        <w:r w:rsidRPr="00560F09">
          <w:rPr>
            <w:rStyle w:val="Hyperlink"/>
          </w:rPr>
          <w:t>2.</w:t>
        </w:r>
        <w:r>
          <w:rPr>
            <w:rFonts w:asciiTheme="minorHAnsi" w:eastAsiaTheme="minorEastAsia" w:hAnsiTheme="minorHAnsi" w:cstheme="minorBidi"/>
            <w:b w:val="0"/>
            <w:kern w:val="2"/>
            <w:sz w:val="24"/>
            <w:szCs w:val="24"/>
            <w:lang w:eastAsia="en-AU"/>
            <w14:ligatures w14:val="standardContextual"/>
          </w:rPr>
          <w:tab/>
        </w:r>
        <w:r w:rsidRPr="00560F09">
          <w:rPr>
            <w:rStyle w:val="Hyperlink"/>
          </w:rPr>
          <w:t>Eligibility and Access</w:t>
        </w:r>
        <w:r>
          <w:rPr>
            <w:webHidden/>
          </w:rPr>
          <w:tab/>
        </w:r>
        <w:r>
          <w:rPr>
            <w:webHidden/>
          </w:rPr>
          <w:fldChar w:fldCharType="begin"/>
        </w:r>
        <w:r>
          <w:rPr>
            <w:webHidden/>
          </w:rPr>
          <w:instrText xml:space="preserve"> PAGEREF _Toc212646917 \h </w:instrText>
        </w:r>
        <w:r>
          <w:rPr>
            <w:webHidden/>
          </w:rPr>
        </w:r>
        <w:r>
          <w:rPr>
            <w:webHidden/>
          </w:rPr>
          <w:fldChar w:fldCharType="separate"/>
        </w:r>
        <w:r>
          <w:rPr>
            <w:webHidden/>
          </w:rPr>
          <w:t>8</w:t>
        </w:r>
        <w:r>
          <w:rPr>
            <w:webHidden/>
          </w:rPr>
          <w:fldChar w:fldCharType="end"/>
        </w:r>
      </w:hyperlink>
    </w:p>
    <w:p w14:paraId="28EB74D2" w14:textId="65928EC9" w:rsidR="00F87CE1" w:rsidRDefault="00F87CE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2646918" w:history="1">
        <w:r w:rsidRPr="00560F09">
          <w:rPr>
            <w:rStyle w:val="Hyperlink"/>
          </w:rPr>
          <w:t>2.1.</w:t>
        </w:r>
        <w:r>
          <w:rPr>
            <w:rFonts w:asciiTheme="minorHAnsi" w:eastAsiaTheme="minorEastAsia" w:hAnsiTheme="minorHAnsi" w:cstheme="minorBidi"/>
            <w:kern w:val="2"/>
            <w:sz w:val="24"/>
            <w:szCs w:val="24"/>
            <w:lang w:eastAsia="en-AU"/>
            <w14:ligatures w14:val="standardContextual"/>
          </w:rPr>
          <w:tab/>
        </w:r>
        <w:r w:rsidRPr="00560F09">
          <w:rPr>
            <w:rStyle w:val="Hyperlink"/>
          </w:rPr>
          <w:t>Eligibility criteria</w:t>
        </w:r>
        <w:r>
          <w:rPr>
            <w:webHidden/>
          </w:rPr>
          <w:tab/>
        </w:r>
        <w:r>
          <w:rPr>
            <w:webHidden/>
          </w:rPr>
          <w:fldChar w:fldCharType="begin"/>
        </w:r>
        <w:r>
          <w:rPr>
            <w:webHidden/>
          </w:rPr>
          <w:instrText xml:space="preserve"> PAGEREF _Toc212646918 \h </w:instrText>
        </w:r>
        <w:r>
          <w:rPr>
            <w:webHidden/>
          </w:rPr>
        </w:r>
        <w:r>
          <w:rPr>
            <w:webHidden/>
          </w:rPr>
          <w:fldChar w:fldCharType="separate"/>
        </w:r>
        <w:r>
          <w:rPr>
            <w:webHidden/>
          </w:rPr>
          <w:t>8</w:t>
        </w:r>
        <w:r>
          <w:rPr>
            <w:webHidden/>
          </w:rPr>
          <w:fldChar w:fldCharType="end"/>
        </w:r>
      </w:hyperlink>
    </w:p>
    <w:p w14:paraId="6BED6F75" w14:textId="4095532E" w:rsidR="00F87CE1" w:rsidRDefault="00F87CE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2646920" w:history="1">
        <w:r w:rsidRPr="00560F09">
          <w:rPr>
            <w:rStyle w:val="Hyperlink"/>
          </w:rPr>
          <w:t>2.2.</w:t>
        </w:r>
        <w:r>
          <w:rPr>
            <w:rFonts w:asciiTheme="minorHAnsi" w:eastAsiaTheme="minorEastAsia" w:hAnsiTheme="minorHAnsi" w:cstheme="minorBidi"/>
            <w:kern w:val="2"/>
            <w:sz w:val="24"/>
            <w:szCs w:val="24"/>
            <w:lang w:eastAsia="en-AU"/>
            <w14:ligatures w14:val="standardContextual"/>
          </w:rPr>
          <w:tab/>
        </w:r>
        <w:r w:rsidRPr="00560F09">
          <w:rPr>
            <w:rStyle w:val="Hyperlink"/>
          </w:rPr>
          <w:t>Intersection between CSA-TMs and other programs, systems or initiatives</w:t>
        </w:r>
        <w:r>
          <w:rPr>
            <w:webHidden/>
          </w:rPr>
          <w:tab/>
        </w:r>
        <w:r>
          <w:rPr>
            <w:webHidden/>
          </w:rPr>
          <w:fldChar w:fldCharType="begin"/>
        </w:r>
        <w:r>
          <w:rPr>
            <w:webHidden/>
          </w:rPr>
          <w:instrText xml:space="preserve"> PAGEREF _Toc212646920 \h </w:instrText>
        </w:r>
        <w:r>
          <w:rPr>
            <w:webHidden/>
          </w:rPr>
        </w:r>
        <w:r>
          <w:rPr>
            <w:webHidden/>
          </w:rPr>
          <w:fldChar w:fldCharType="separate"/>
        </w:r>
        <w:r>
          <w:rPr>
            <w:webHidden/>
          </w:rPr>
          <w:t>9</w:t>
        </w:r>
        <w:r>
          <w:rPr>
            <w:webHidden/>
          </w:rPr>
          <w:fldChar w:fldCharType="end"/>
        </w:r>
      </w:hyperlink>
    </w:p>
    <w:p w14:paraId="0ED9CD2C" w14:textId="3E29F95D" w:rsidR="00F87CE1" w:rsidRDefault="00F87CE1">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2646921" w:history="1">
        <w:r w:rsidRPr="00560F09">
          <w:rPr>
            <w:rStyle w:val="Hyperlink"/>
          </w:rPr>
          <w:t>3.</w:t>
        </w:r>
        <w:r>
          <w:rPr>
            <w:rFonts w:asciiTheme="minorHAnsi" w:eastAsiaTheme="minorEastAsia" w:hAnsiTheme="minorHAnsi" w:cstheme="minorBidi"/>
            <w:b w:val="0"/>
            <w:kern w:val="2"/>
            <w:sz w:val="24"/>
            <w:szCs w:val="24"/>
            <w:lang w:eastAsia="en-AU"/>
            <w14:ligatures w14:val="standardContextual"/>
          </w:rPr>
          <w:tab/>
        </w:r>
        <w:r w:rsidRPr="00560F09">
          <w:rPr>
            <w:rStyle w:val="Hyperlink"/>
          </w:rPr>
          <w:t>Program components</w:t>
        </w:r>
        <w:r>
          <w:rPr>
            <w:webHidden/>
          </w:rPr>
          <w:tab/>
        </w:r>
        <w:r>
          <w:rPr>
            <w:webHidden/>
          </w:rPr>
          <w:fldChar w:fldCharType="begin"/>
        </w:r>
        <w:r>
          <w:rPr>
            <w:webHidden/>
          </w:rPr>
          <w:instrText xml:space="preserve"> PAGEREF _Toc212646921 \h </w:instrText>
        </w:r>
        <w:r>
          <w:rPr>
            <w:webHidden/>
          </w:rPr>
        </w:r>
        <w:r>
          <w:rPr>
            <w:webHidden/>
          </w:rPr>
          <w:fldChar w:fldCharType="separate"/>
        </w:r>
        <w:r>
          <w:rPr>
            <w:webHidden/>
          </w:rPr>
          <w:t>10</w:t>
        </w:r>
        <w:r>
          <w:rPr>
            <w:webHidden/>
          </w:rPr>
          <w:fldChar w:fldCharType="end"/>
        </w:r>
      </w:hyperlink>
    </w:p>
    <w:p w14:paraId="54A0D997" w14:textId="7F76DDB1" w:rsidR="00F87CE1" w:rsidRDefault="00F87CE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2646923" w:history="1">
        <w:r w:rsidRPr="00560F09">
          <w:rPr>
            <w:rStyle w:val="Hyperlink"/>
          </w:rPr>
          <w:t>3.1.</w:t>
        </w:r>
        <w:r>
          <w:rPr>
            <w:rFonts w:asciiTheme="minorHAnsi" w:eastAsiaTheme="minorEastAsia" w:hAnsiTheme="minorHAnsi" w:cstheme="minorBidi"/>
            <w:kern w:val="2"/>
            <w:sz w:val="24"/>
            <w:szCs w:val="24"/>
            <w:lang w:eastAsia="en-AU"/>
            <w14:ligatures w14:val="standardContextual"/>
          </w:rPr>
          <w:tab/>
        </w:r>
        <w:r w:rsidRPr="00560F09">
          <w:rPr>
            <w:rStyle w:val="Hyperlink"/>
          </w:rPr>
          <w:t>The CSA-TM role</w:t>
        </w:r>
        <w:r>
          <w:rPr>
            <w:webHidden/>
          </w:rPr>
          <w:tab/>
        </w:r>
        <w:r>
          <w:rPr>
            <w:webHidden/>
          </w:rPr>
          <w:fldChar w:fldCharType="begin"/>
        </w:r>
        <w:r>
          <w:rPr>
            <w:webHidden/>
          </w:rPr>
          <w:instrText xml:space="preserve"> PAGEREF _Toc212646923 \h </w:instrText>
        </w:r>
        <w:r>
          <w:rPr>
            <w:webHidden/>
          </w:rPr>
        </w:r>
        <w:r>
          <w:rPr>
            <w:webHidden/>
          </w:rPr>
          <w:fldChar w:fldCharType="separate"/>
        </w:r>
        <w:r>
          <w:rPr>
            <w:webHidden/>
          </w:rPr>
          <w:t>11</w:t>
        </w:r>
        <w:r>
          <w:rPr>
            <w:webHidden/>
          </w:rPr>
          <w:fldChar w:fldCharType="end"/>
        </w:r>
      </w:hyperlink>
    </w:p>
    <w:p w14:paraId="39C85012" w14:textId="0E2461E4" w:rsidR="00F87CE1" w:rsidRDefault="00F87CE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2646924" w:history="1">
        <w:r w:rsidRPr="00560F09">
          <w:rPr>
            <w:rStyle w:val="Hyperlink"/>
          </w:rPr>
          <w:t>3.2.</w:t>
        </w:r>
        <w:r>
          <w:rPr>
            <w:rFonts w:asciiTheme="minorHAnsi" w:eastAsiaTheme="minorEastAsia" w:hAnsiTheme="minorHAnsi" w:cstheme="minorBidi"/>
            <w:kern w:val="2"/>
            <w:sz w:val="24"/>
            <w:szCs w:val="24"/>
            <w:lang w:eastAsia="en-AU"/>
            <w14:ligatures w14:val="standardContextual"/>
          </w:rPr>
          <w:tab/>
        </w:r>
        <w:r w:rsidRPr="00560F09">
          <w:rPr>
            <w:rStyle w:val="Hyperlink"/>
          </w:rPr>
          <w:t>Brokerage</w:t>
        </w:r>
        <w:r>
          <w:rPr>
            <w:webHidden/>
          </w:rPr>
          <w:tab/>
        </w:r>
        <w:r>
          <w:rPr>
            <w:webHidden/>
          </w:rPr>
          <w:fldChar w:fldCharType="begin"/>
        </w:r>
        <w:r>
          <w:rPr>
            <w:webHidden/>
          </w:rPr>
          <w:instrText xml:space="preserve"> PAGEREF _Toc212646924 \h </w:instrText>
        </w:r>
        <w:r>
          <w:rPr>
            <w:webHidden/>
          </w:rPr>
        </w:r>
        <w:r>
          <w:rPr>
            <w:webHidden/>
          </w:rPr>
          <w:fldChar w:fldCharType="separate"/>
        </w:r>
        <w:r>
          <w:rPr>
            <w:webHidden/>
          </w:rPr>
          <w:t>14</w:t>
        </w:r>
        <w:r>
          <w:rPr>
            <w:webHidden/>
          </w:rPr>
          <w:fldChar w:fldCharType="end"/>
        </w:r>
      </w:hyperlink>
    </w:p>
    <w:p w14:paraId="54B490B0" w14:textId="45826E09" w:rsidR="00F87CE1" w:rsidRDefault="00F87CE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2646925" w:history="1">
        <w:r w:rsidRPr="00560F09">
          <w:rPr>
            <w:rStyle w:val="Hyperlink"/>
          </w:rPr>
          <w:t>3.3.</w:t>
        </w:r>
        <w:r>
          <w:rPr>
            <w:rFonts w:asciiTheme="minorHAnsi" w:eastAsiaTheme="minorEastAsia" w:hAnsiTheme="minorHAnsi" w:cstheme="minorBidi"/>
            <w:kern w:val="2"/>
            <w:sz w:val="24"/>
            <w:szCs w:val="24"/>
            <w:lang w:eastAsia="en-AU"/>
            <w14:ligatures w14:val="standardContextual"/>
          </w:rPr>
          <w:tab/>
        </w:r>
        <w:r w:rsidRPr="00560F09">
          <w:rPr>
            <w:rStyle w:val="Hyperlink"/>
          </w:rPr>
          <w:t>Stakeholders</w:t>
        </w:r>
        <w:r>
          <w:rPr>
            <w:webHidden/>
          </w:rPr>
          <w:tab/>
        </w:r>
        <w:r>
          <w:rPr>
            <w:webHidden/>
          </w:rPr>
          <w:fldChar w:fldCharType="begin"/>
        </w:r>
        <w:r>
          <w:rPr>
            <w:webHidden/>
          </w:rPr>
          <w:instrText xml:space="preserve"> PAGEREF _Toc212646925 \h </w:instrText>
        </w:r>
        <w:r>
          <w:rPr>
            <w:webHidden/>
          </w:rPr>
        </w:r>
        <w:r>
          <w:rPr>
            <w:webHidden/>
          </w:rPr>
          <w:fldChar w:fldCharType="separate"/>
        </w:r>
        <w:r>
          <w:rPr>
            <w:webHidden/>
          </w:rPr>
          <w:t>14</w:t>
        </w:r>
        <w:r>
          <w:rPr>
            <w:webHidden/>
          </w:rPr>
          <w:fldChar w:fldCharType="end"/>
        </w:r>
      </w:hyperlink>
    </w:p>
    <w:p w14:paraId="2E1F9B16" w14:textId="78A3E8C9" w:rsidR="00F87CE1" w:rsidRDefault="00F87CE1">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2646926" w:history="1">
        <w:r w:rsidRPr="00560F09">
          <w:rPr>
            <w:rStyle w:val="Hyperlink"/>
          </w:rPr>
          <w:t>4.</w:t>
        </w:r>
        <w:r>
          <w:rPr>
            <w:rFonts w:asciiTheme="minorHAnsi" w:eastAsiaTheme="minorEastAsia" w:hAnsiTheme="minorHAnsi" w:cstheme="minorBidi"/>
            <w:b w:val="0"/>
            <w:kern w:val="2"/>
            <w:sz w:val="24"/>
            <w:szCs w:val="24"/>
            <w:lang w:eastAsia="en-AU"/>
            <w14:ligatures w14:val="standardContextual"/>
          </w:rPr>
          <w:tab/>
        </w:r>
        <w:r w:rsidRPr="00560F09">
          <w:rPr>
            <w:rStyle w:val="Hyperlink"/>
          </w:rPr>
          <w:t>Data collection and reporting</w:t>
        </w:r>
        <w:r>
          <w:rPr>
            <w:webHidden/>
          </w:rPr>
          <w:tab/>
        </w:r>
        <w:r>
          <w:rPr>
            <w:webHidden/>
          </w:rPr>
          <w:fldChar w:fldCharType="begin"/>
        </w:r>
        <w:r>
          <w:rPr>
            <w:webHidden/>
          </w:rPr>
          <w:instrText xml:space="preserve"> PAGEREF _Toc212646926 \h </w:instrText>
        </w:r>
        <w:r>
          <w:rPr>
            <w:webHidden/>
          </w:rPr>
        </w:r>
        <w:r>
          <w:rPr>
            <w:webHidden/>
          </w:rPr>
          <w:fldChar w:fldCharType="separate"/>
        </w:r>
        <w:r>
          <w:rPr>
            <w:webHidden/>
          </w:rPr>
          <w:t>16</w:t>
        </w:r>
        <w:r>
          <w:rPr>
            <w:webHidden/>
          </w:rPr>
          <w:fldChar w:fldCharType="end"/>
        </w:r>
      </w:hyperlink>
    </w:p>
    <w:p w14:paraId="0D8D6B18" w14:textId="30928737" w:rsidR="00F87CE1" w:rsidRDefault="00F87CE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2646927" w:history="1">
        <w:r w:rsidRPr="00560F09">
          <w:rPr>
            <w:rStyle w:val="Hyperlink"/>
          </w:rPr>
          <w:t>4.1.</w:t>
        </w:r>
        <w:r>
          <w:rPr>
            <w:rFonts w:asciiTheme="minorHAnsi" w:eastAsiaTheme="minorEastAsia" w:hAnsiTheme="minorHAnsi" w:cstheme="minorBidi"/>
            <w:kern w:val="2"/>
            <w:sz w:val="24"/>
            <w:szCs w:val="24"/>
            <w:lang w:eastAsia="en-AU"/>
            <w14:ligatures w14:val="standardContextual"/>
          </w:rPr>
          <w:tab/>
        </w:r>
        <w:r w:rsidRPr="00560F09">
          <w:rPr>
            <w:rStyle w:val="Hyperlink"/>
          </w:rPr>
          <w:t>Reporting</w:t>
        </w:r>
        <w:r>
          <w:rPr>
            <w:webHidden/>
          </w:rPr>
          <w:tab/>
        </w:r>
        <w:r>
          <w:rPr>
            <w:webHidden/>
          </w:rPr>
          <w:fldChar w:fldCharType="begin"/>
        </w:r>
        <w:r>
          <w:rPr>
            <w:webHidden/>
          </w:rPr>
          <w:instrText xml:space="preserve"> PAGEREF _Toc212646927 \h </w:instrText>
        </w:r>
        <w:r>
          <w:rPr>
            <w:webHidden/>
          </w:rPr>
        </w:r>
        <w:r>
          <w:rPr>
            <w:webHidden/>
          </w:rPr>
          <w:fldChar w:fldCharType="separate"/>
        </w:r>
        <w:r>
          <w:rPr>
            <w:webHidden/>
          </w:rPr>
          <w:t>16</w:t>
        </w:r>
        <w:r>
          <w:rPr>
            <w:webHidden/>
          </w:rPr>
          <w:fldChar w:fldCharType="end"/>
        </w:r>
      </w:hyperlink>
    </w:p>
    <w:p w14:paraId="055231DE" w14:textId="1B10D9D2" w:rsidR="00F87CE1" w:rsidRDefault="00F87CE1">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2646932" w:history="1">
        <w:r w:rsidRPr="00560F09">
          <w:rPr>
            <w:rStyle w:val="Hyperlink"/>
          </w:rPr>
          <w:t>5.</w:t>
        </w:r>
        <w:r>
          <w:rPr>
            <w:rFonts w:asciiTheme="minorHAnsi" w:eastAsiaTheme="minorEastAsia" w:hAnsiTheme="minorHAnsi" w:cstheme="minorBidi"/>
            <w:b w:val="0"/>
            <w:kern w:val="2"/>
            <w:sz w:val="24"/>
            <w:szCs w:val="24"/>
            <w:lang w:eastAsia="en-AU"/>
            <w14:ligatures w14:val="standardContextual"/>
          </w:rPr>
          <w:tab/>
        </w:r>
        <w:r w:rsidRPr="00560F09">
          <w:rPr>
            <w:rStyle w:val="Hyperlink"/>
          </w:rPr>
          <w:t>Appendix 1: Program Logic</w:t>
        </w:r>
        <w:r>
          <w:rPr>
            <w:webHidden/>
          </w:rPr>
          <w:tab/>
        </w:r>
        <w:r>
          <w:rPr>
            <w:webHidden/>
          </w:rPr>
          <w:fldChar w:fldCharType="begin"/>
        </w:r>
        <w:r>
          <w:rPr>
            <w:webHidden/>
          </w:rPr>
          <w:instrText xml:space="preserve"> PAGEREF _Toc212646932 \h </w:instrText>
        </w:r>
        <w:r>
          <w:rPr>
            <w:webHidden/>
          </w:rPr>
        </w:r>
        <w:r>
          <w:rPr>
            <w:webHidden/>
          </w:rPr>
          <w:fldChar w:fldCharType="separate"/>
        </w:r>
        <w:r>
          <w:rPr>
            <w:webHidden/>
          </w:rPr>
          <w:t>18</w:t>
        </w:r>
        <w:r>
          <w:rPr>
            <w:webHidden/>
          </w:rPr>
          <w:fldChar w:fldCharType="end"/>
        </w:r>
      </w:hyperlink>
    </w:p>
    <w:p w14:paraId="3D4FC354" w14:textId="20D915D3" w:rsidR="00F87CE1" w:rsidRDefault="00F87CE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2646933" w:history="1">
        <w:r w:rsidRPr="00560F09">
          <w:rPr>
            <w:rStyle w:val="Hyperlink"/>
          </w:rPr>
          <w:t>5.1.</w:t>
        </w:r>
        <w:r>
          <w:rPr>
            <w:rFonts w:asciiTheme="minorHAnsi" w:eastAsiaTheme="minorEastAsia" w:hAnsiTheme="minorHAnsi" w:cstheme="minorBidi"/>
            <w:kern w:val="2"/>
            <w:sz w:val="24"/>
            <w:szCs w:val="24"/>
            <w:lang w:eastAsia="en-AU"/>
            <w14:ligatures w14:val="standardContextual"/>
          </w:rPr>
          <w:tab/>
        </w:r>
        <w:r w:rsidRPr="00560F09">
          <w:rPr>
            <w:rStyle w:val="Hyperlink"/>
          </w:rPr>
          <w:t>Program Logic</w:t>
        </w:r>
        <w:r>
          <w:rPr>
            <w:webHidden/>
          </w:rPr>
          <w:tab/>
        </w:r>
        <w:r>
          <w:rPr>
            <w:webHidden/>
          </w:rPr>
          <w:fldChar w:fldCharType="begin"/>
        </w:r>
        <w:r>
          <w:rPr>
            <w:webHidden/>
          </w:rPr>
          <w:instrText xml:space="preserve"> PAGEREF _Toc212646933 \h </w:instrText>
        </w:r>
        <w:r>
          <w:rPr>
            <w:webHidden/>
          </w:rPr>
        </w:r>
        <w:r>
          <w:rPr>
            <w:webHidden/>
          </w:rPr>
          <w:fldChar w:fldCharType="separate"/>
        </w:r>
        <w:r>
          <w:rPr>
            <w:webHidden/>
          </w:rPr>
          <w:t>18</w:t>
        </w:r>
        <w:r>
          <w:rPr>
            <w:webHidden/>
          </w:rPr>
          <w:fldChar w:fldCharType="end"/>
        </w:r>
      </w:hyperlink>
    </w:p>
    <w:p w14:paraId="38053167" w14:textId="486C891C" w:rsidR="00F87CE1" w:rsidRDefault="00F87CE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2646934" w:history="1">
        <w:r w:rsidRPr="00560F09">
          <w:rPr>
            <w:rStyle w:val="Hyperlink"/>
          </w:rPr>
          <w:t>5.2.</w:t>
        </w:r>
        <w:r>
          <w:rPr>
            <w:rFonts w:asciiTheme="minorHAnsi" w:eastAsiaTheme="minorEastAsia" w:hAnsiTheme="minorHAnsi" w:cstheme="minorBidi"/>
            <w:kern w:val="2"/>
            <w:sz w:val="24"/>
            <w:szCs w:val="24"/>
            <w:lang w:eastAsia="en-AU"/>
            <w14:ligatures w14:val="standardContextual"/>
          </w:rPr>
          <w:tab/>
        </w:r>
        <w:r w:rsidRPr="00560F09">
          <w:rPr>
            <w:rStyle w:val="Hyperlink"/>
          </w:rPr>
          <w:t>Program goal</w:t>
        </w:r>
        <w:r>
          <w:rPr>
            <w:webHidden/>
          </w:rPr>
          <w:tab/>
        </w:r>
        <w:r>
          <w:rPr>
            <w:webHidden/>
          </w:rPr>
          <w:fldChar w:fldCharType="begin"/>
        </w:r>
        <w:r>
          <w:rPr>
            <w:webHidden/>
          </w:rPr>
          <w:instrText xml:space="preserve"> PAGEREF _Toc212646934 \h </w:instrText>
        </w:r>
        <w:r>
          <w:rPr>
            <w:webHidden/>
          </w:rPr>
        </w:r>
        <w:r>
          <w:rPr>
            <w:webHidden/>
          </w:rPr>
          <w:fldChar w:fldCharType="separate"/>
        </w:r>
        <w:r>
          <w:rPr>
            <w:webHidden/>
          </w:rPr>
          <w:t>18</w:t>
        </w:r>
        <w:r>
          <w:rPr>
            <w:webHidden/>
          </w:rPr>
          <w:fldChar w:fldCharType="end"/>
        </w:r>
      </w:hyperlink>
    </w:p>
    <w:p w14:paraId="3A4505A0" w14:textId="2BA885AE" w:rsidR="00F87CE1" w:rsidRDefault="00F87CE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2646935" w:history="1">
        <w:r w:rsidRPr="00560F09">
          <w:rPr>
            <w:rStyle w:val="Hyperlink"/>
          </w:rPr>
          <w:t>5.3.</w:t>
        </w:r>
        <w:r>
          <w:rPr>
            <w:rFonts w:asciiTheme="minorHAnsi" w:eastAsiaTheme="minorEastAsia" w:hAnsiTheme="minorHAnsi" w:cstheme="minorBidi"/>
            <w:kern w:val="2"/>
            <w:sz w:val="24"/>
            <w:szCs w:val="24"/>
            <w:lang w:eastAsia="en-AU"/>
            <w14:ligatures w14:val="standardContextual"/>
          </w:rPr>
          <w:tab/>
        </w:r>
        <w:r w:rsidRPr="00560F09">
          <w:rPr>
            <w:rStyle w:val="Hyperlink"/>
          </w:rPr>
          <w:t>Program objectives</w:t>
        </w:r>
        <w:r>
          <w:rPr>
            <w:webHidden/>
          </w:rPr>
          <w:tab/>
        </w:r>
        <w:r>
          <w:rPr>
            <w:webHidden/>
          </w:rPr>
          <w:fldChar w:fldCharType="begin"/>
        </w:r>
        <w:r>
          <w:rPr>
            <w:webHidden/>
          </w:rPr>
          <w:instrText xml:space="preserve"> PAGEREF _Toc212646935 \h </w:instrText>
        </w:r>
        <w:r>
          <w:rPr>
            <w:webHidden/>
          </w:rPr>
        </w:r>
        <w:r>
          <w:rPr>
            <w:webHidden/>
          </w:rPr>
          <w:fldChar w:fldCharType="separate"/>
        </w:r>
        <w:r>
          <w:rPr>
            <w:webHidden/>
          </w:rPr>
          <w:t>18</w:t>
        </w:r>
        <w:r>
          <w:rPr>
            <w:webHidden/>
          </w:rPr>
          <w:fldChar w:fldCharType="end"/>
        </w:r>
      </w:hyperlink>
    </w:p>
    <w:p w14:paraId="04F5905D" w14:textId="2930696F" w:rsidR="00F87CE1" w:rsidRDefault="00F87CE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2646936" w:history="1">
        <w:r w:rsidRPr="00560F09">
          <w:rPr>
            <w:rStyle w:val="Hyperlink"/>
          </w:rPr>
          <w:t>5.4.</w:t>
        </w:r>
        <w:r>
          <w:rPr>
            <w:rFonts w:asciiTheme="minorHAnsi" w:eastAsiaTheme="minorEastAsia" w:hAnsiTheme="minorHAnsi" w:cstheme="minorBidi"/>
            <w:kern w:val="2"/>
            <w:sz w:val="24"/>
            <w:szCs w:val="24"/>
            <w:lang w:eastAsia="en-AU"/>
            <w14:ligatures w14:val="standardContextual"/>
          </w:rPr>
          <w:tab/>
        </w:r>
        <w:r w:rsidRPr="00560F09">
          <w:rPr>
            <w:rStyle w:val="Hyperlink"/>
          </w:rPr>
          <w:t>Program logic for CSA-TM</w:t>
        </w:r>
        <w:r>
          <w:rPr>
            <w:webHidden/>
          </w:rPr>
          <w:tab/>
        </w:r>
        <w:r>
          <w:rPr>
            <w:webHidden/>
          </w:rPr>
          <w:fldChar w:fldCharType="begin"/>
        </w:r>
        <w:r>
          <w:rPr>
            <w:webHidden/>
          </w:rPr>
          <w:instrText xml:space="preserve"> PAGEREF _Toc212646936 \h </w:instrText>
        </w:r>
        <w:r>
          <w:rPr>
            <w:webHidden/>
          </w:rPr>
        </w:r>
        <w:r>
          <w:rPr>
            <w:webHidden/>
          </w:rPr>
          <w:fldChar w:fldCharType="separate"/>
        </w:r>
        <w:r>
          <w:rPr>
            <w:webHidden/>
          </w:rPr>
          <w:t>19</w:t>
        </w:r>
        <w:r>
          <w:rPr>
            <w:webHidden/>
          </w:rPr>
          <w:fldChar w:fldCharType="end"/>
        </w:r>
      </w:hyperlink>
    </w:p>
    <w:p w14:paraId="6E71D89D" w14:textId="3EB59E75" w:rsidR="00FB1F6E" w:rsidRDefault="00AD784C" w:rsidP="00D079AA">
      <w:pPr>
        <w:pStyle w:val="Body"/>
      </w:pPr>
      <w:r>
        <w:fldChar w:fldCharType="end"/>
      </w:r>
    </w:p>
    <w:p w14:paraId="208FF486" w14:textId="77777777" w:rsidR="00FB1F6E" w:rsidRDefault="00FB1F6E">
      <w:pPr>
        <w:spacing w:after="0" w:line="240" w:lineRule="auto"/>
        <w:rPr>
          <w:rFonts w:eastAsia="Times"/>
        </w:rPr>
      </w:pPr>
      <w:r>
        <w:br w:type="page"/>
      </w:r>
    </w:p>
    <w:p w14:paraId="62E3EB29" w14:textId="3A76E9C9" w:rsidR="4FD6D26A" w:rsidRPr="003312AF" w:rsidRDefault="4FD6D26A" w:rsidP="00CD1B1A">
      <w:pPr>
        <w:pStyle w:val="Heading1"/>
      </w:pPr>
      <w:bookmarkStart w:id="2" w:name="_Toc212646914"/>
      <w:r w:rsidRPr="003312AF">
        <w:lastRenderedPageBreak/>
        <w:t>Program Overview</w:t>
      </w:r>
      <w:bookmarkEnd w:id="2"/>
    </w:p>
    <w:p w14:paraId="110E00DA" w14:textId="03EB8D55" w:rsidR="00321F2A" w:rsidRDefault="42CAFA8F" w:rsidP="00B603CD">
      <w:pPr>
        <w:pStyle w:val="Body"/>
      </w:pPr>
      <w:r>
        <w:t>Homes Victoria, as a part of the Department of Families, Fairness and Housing (DFFH)</w:t>
      </w:r>
      <w:r w:rsidR="0037148B">
        <w:t>,</w:t>
      </w:r>
      <w:r>
        <w:t xml:space="preserve"> funds </w:t>
      </w:r>
      <w:r w:rsidR="00DE2929">
        <w:t>three</w:t>
      </w:r>
      <w:r>
        <w:t xml:space="preserve"> homelessness service providers to deliver the </w:t>
      </w:r>
      <w:r w:rsidR="00040A23">
        <w:t>Crisis Supported Accommodation - Therapeutic Model</w:t>
      </w:r>
      <w:r>
        <w:t xml:space="preserve"> </w:t>
      </w:r>
      <w:r w:rsidR="006E0A9C">
        <w:t>p</w:t>
      </w:r>
      <w:r>
        <w:t>rogram</w:t>
      </w:r>
      <w:r w:rsidR="00040A23">
        <w:t xml:space="preserve"> </w:t>
      </w:r>
      <w:r w:rsidR="00462A14">
        <w:t>(CSA-TM)</w:t>
      </w:r>
      <w:r w:rsidR="00927C5A">
        <w:t>. This model</w:t>
      </w:r>
      <w:r>
        <w:t xml:space="preserve"> supports</w:t>
      </w:r>
      <w:r w:rsidR="724B2FE7">
        <w:t xml:space="preserve"> </w:t>
      </w:r>
      <w:r>
        <w:t>people</w:t>
      </w:r>
      <w:r w:rsidR="13B90FF7">
        <w:t xml:space="preserve"> </w:t>
      </w:r>
      <w:r w:rsidR="00AF78FC">
        <w:t>experiencing homelessness to</w:t>
      </w:r>
      <w:r w:rsidR="00300470">
        <w:t xml:space="preserve"> </w:t>
      </w:r>
      <w:r w:rsidR="00CC4011">
        <w:t>access</w:t>
      </w:r>
      <w:r w:rsidR="006F4E30">
        <w:t xml:space="preserve"> an enhanced</w:t>
      </w:r>
      <w:r w:rsidR="00017FC5">
        <w:t xml:space="preserve"> accommodation and service response compared to traditional Crisis Supported Accommodation</w:t>
      </w:r>
      <w:r w:rsidR="002A1DB3">
        <w:t xml:space="preserve"> (CSA)</w:t>
      </w:r>
      <w:r w:rsidR="009400A2">
        <w:t>.</w:t>
      </w:r>
      <w:r w:rsidR="00AF78FC">
        <w:t xml:space="preserve"> </w:t>
      </w:r>
    </w:p>
    <w:p w14:paraId="394EDD10" w14:textId="54FC4AAB" w:rsidR="0016291B" w:rsidRDefault="002A1DB3" w:rsidP="00B603CD">
      <w:pPr>
        <w:pStyle w:val="Body"/>
      </w:pPr>
      <w:r>
        <w:t>CSA</w:t>
      </w:r>
      <w:r w:rsidR="009F0AB7">
        <w:t xml:space="preserve">-TM </w:t>
      </w:r>
      <w:r w:rsidR="0B089C72" w:rsidRPr="00DC247C">
        <w:t>support</w:t>
      </w:r>
      <w:r w:rsidR="00040A23" w:rsidRPr="00DC247C">
        <w:t>s single people or couples aged over 18 who are experiencing or at risk of homelessness</w:t>
      </w:r>
      <w:r w:rsidR="00753B1B">
        <w:t>. CSA-TM clients receive</w:t>
      </w:r>
      <w:r w:rsidR="00CB160D">
        <w:t xml:space="preserve"> both accommodation and support services</w:t>
      </w:r>
      <w:r w:rsidR="00C871E9">
        <w:t xml:space="preserve">, as outlined in </w:t>
      </w:r>
      <w:hyperlink w:anchor="_The_CSA-TM_role" w:history="1">
        <w:r w:rsidR="00C871E9" w:rsidRPr="0098430D">
          <w:rPr>
            <w:rStyle w:val="Hyperlink"/>
            <w:rFonts w:ascii="Avenir Book" w:hAnsi="Avenir Book"/>
          </w:rPr>
          <w:t xml:space="preserve">section </w:t>
        </w:r>
        <w:r w:rsidR="000C4659" w:rsidRPr="0098430D">
          <w:rPr>
            <w:rStyle w:val="Hyperlink"/>
            <w:rFonts w:ascii="Avenir Book" w:hAnsi="Avenir Book"/>
          </w:rPr>
          <w:t>3.1</w:t>
        </w:r>
      </w:hyperlink>
      <w:r w:rsidR="00C871E9">
        <w:t xml:space="preserve"> below.</w:t>
      </w:r>
    </w:p>
    <w:p w14:paraId="5BFDC073" w14:textId="3B182483" w:rsidR="000E615E" w:rsidRPr="008800F4" w:rsidRDefault="000E615E" w:rsidP="0038237C">
      <w:pPr>
        <w:pStyle w:val="Body"/>
      </w:pPr>
      <w:r w:rsidRPr="008800F4">
        <w:t>The key objectives of</w:t>
      </w:r>
      <w:r w:rsidRPr="008800F4" w:rsidDel="00564756">
        <w:t xml:space="preserve"> </w:t>
      </w:r>
      <w:r w:rsidRPr="008800F4">
        <w:t>CSA-TM</w:t>
      </w:r>
      <w:r w:rsidR="00564756">
        <w:t>,</w:t>
      </w:r>
      <w:r w:rsidRPr="008800F4" w:rsidDel="00564756">
        <w:t xml:space="preserve"> </w:t>
      </w:r>
      <w:r w:rsidR="00CF66AE">
        <w:t xml:space="preserve">as outlined in the Program Logic at </w:t>
      </w:r>
      <w:r w:rsidR="00776E59">
        <w:rPr>
          <w:b/>
        </w:rPr>
        <w:t>Appendix</w:t>
      </w:r>
      <w:r w:rsidR="00776E59" w:rsidRPr="001F5637">
        <w:rPr>
          <w:b/>
        </w:rPr>
        <w:t xml:space="preserve"> </w:t>
      </w:r>
      <w:r w:rsidR="00CF66AE" w:rsidRPr="001F5637">
        <w:rPr>
          <w:b/>
        </w:rPr>
        <w:t>1</w:t>
      </w:r>
      <w:r w:rsidR="00FD55F1" w:rsidRPr="001F5637">
        <w:t>,</w:t>
      </w:r>
      <w:r>
        <w:t xml:space="preserve"> </w:t>
      </w:r>
      <w:r w:rsidRPr="008800F4">
        <w:t>include:</w:t>
      </w:r>
    </w:p>
    <w:p w14:paraId="30CCE940" w14:textId="77777777" w:rsidR="000E615E" w:rsidRPr="008800F4" w:rsidRDefault="000E615E" w:rsidP="00B603CD">
      <w:pPr>
        <w:pStyle w:val="Bullet1"/>
      </w:pPr>
      <w:r w:rsidRPr="008800F4">
        <w:t xml:space="preserve">Clients are safe during their stay. </w:t>
      </w:r>
    </w:p>
    <w:p w14:paraId="401CFE30" w14:textId="77777777" w:rsidR="000E615E" w:rsidRPr="008800F4" w:rsidRDefault="000E615E" w:rsidP="00B603CD">
      <w:pPr>
        <w:pStyle w:val="Bullet1"/>
      </w:pPr>
      <w:r w:rsidRPr="008800F4">
        <w:t xml:space="preserve">Clients are offered onsite alcohol and other drug services and receive these services if they choose. </w:t>
      </w:r>
    </w:p>
    <w:p w14:paraId="33504B49" w14:textId="77777777" w:rsidR="000E615E" w:rsidRPr="008800F4" w:rsidRDefault="000E615E" w:rsidP="00B603CD">
      <w:pPr>
        <w:pStyle w:val="Bullet1"/>
      </w:pPr>
      <w:r w:rsidRPr="008800F4">
        <w:t xml:space="preserve">Clients are offered specialist and universal health services and receive services if they choose.  </w:t>
      </w:r>
    </w:p>
    <w:p w14:paraId="2A64ECD0" w14:textId="77777777" w:rsidR="000E615E" w:rsidRPr="008800F4" w:rsidRDefault="000E615E" w:rsidP="00B603CD">
      <w:pPr>
        <w:pStyle w:val="Bullet1"/>
      </w:pPr>
      <w:r w:rsidRPr="008800F4">
        <w:t xml:space="preserve">Clients have choice and control in how they receive services. </w:t>
      </w:r>
    </w:p>
    <w:p w14:paraId="7CDDB15D" w14:textId="77777777" w:rsidR="000E615E" w:rsidRPr="008800F4" w:rsidRDefault="000E615E" w:rsidP="00B603CD">
      <w:pPr>
        <w:pStyle w:val="Bullet1"/>
      </w:pPr>
      <w:r w:rsidRPr="008800F4">
        <w:t xml:space="preserve">Clients improve their health and wellbeing. </w:t>
      </w:r>
    </w:p>
    <w:p w14:paraId="55CC3C2F" w14:textId="021CAB6F" w:rsidR="00211D72" w:rsidRPr="00067659" w:rsidRDefault="00211D72" w:rsidP="00211D72">
      <w:pPr>
        <w:pStyle w:val="Bullet1"/>
      </w:pPr>
      <w:r w:rsidRPr="00067659">
        <w:t>Clients reduce the number of times they exit and re-enter CSA compared to traditional CSA services, through the provision of a longer and more flexible stay</w:t>
      </w:r>
      <w:r>
        <w:t>.</w:t>
      </w:r>
    </w:p>
    <w:p w14:paraId="37B6ED25" w14:textId="01398260" w:rsidR="000E615E" w:rsidRPr="008800F4" w:rsidRDefault="000E615E" w:rsidP="00B603CD">
      <w:pPr>
        <w:pStyle w:val="Bullet1"/>
      </w:pPr>
      <w:r w:rsidRPr="008800F4">
        <w:t xml:space="preserve">Clients remain engaged until they have </w:t>
      </w:r>
      <w:r w:rsidR="00805576" w:rsidRPr="008800F4">
        <w:t>stabilised,</w:t>
      </w:r>
      <w:r w:rsidRPr="008800F4">
        <w:t xml:space="preserve"> and their support goals are met. </w:t>
      </w:r>
    </w:p>
    <w:p w14:paraId="7FB46F37" w14:textId="77777777" w:rsidR="000E615E" w:rsidRPr="008800F4" w:rsidRDefault="000E615E" w:rsidP="00B603CD">
      <w:pPr>
        <w:pStyle w:val="Bullet1"/>
      </w:pPr>
      <w:r w:rsidRPr="008800F4">
        <w:t xml:space="preserve">Clients secure and sustain relevant community-based supports. </w:t>
      </w:r>
    </w:p>
    <w:p w14:paraId="481B9BD3" w14:textId="77777777" w:rsidR="000E615E" w:rsidRPr="008800F4" w:rsidRDefault="000E615E" w:rsidP="00B603CD">
      <w:pPr>
        <w:pStyle w:val="Bullet1"/>
      </w:pPr>
      <w:r w:rsidRPr="008800F4">
        <w:t xml:space="preserve">Clients move into medium- or long-term housing. </w:t>
      </w:r>
    </w:p>
    <w:p w14:paraId="568589A1" w14:textId="380093DB" w:rsidR="000E615E" w:rsidRDefault="000E615E" w:rsidP="00B603CD">
      <w:pPr>
        <w:pStyle w:val="Bullet1"/>
      </w:pPr>
      <w:r w:rsidRPr="008800F4">
        <w:t xml:space="preserve">Clients are stable in their new housing and do not need to return to CSA. </w:t>
      </w:r>
    </w:p>
    <w:p w14:paraId="7965E16C" w14:textId="2835870D" w:rsidR="00FD5D1F" w:rsidRPr="00321F2A" w:rsidRDefault="00454671" w:rsidP="00B603CD">
      <w:pPr>
        <w:pStyle w:val="Body"/>
      </w:pPr>
      <w:r w:rsidRPr="00DC247C">
        <w:t xml:space="preserve">The </w:t>
      </w:r>
      <w:r w:rsidR="00421410">
        <w:t>CSA-TM program</w:t>
      </w:r>
      <w:r w:rsidR="3EB950A9" w:rsidRPr="00DC247C">
        <w:t xml:space="preserve"> provides </w:t>
      </w:r>
      <w:r w:rsidR="00850105">
        <w:t xml:space="preserve">services </w:t>
      </w:r>
      <w:r w:rsidR="3EB950A9" w:rsidRPr="00DC247C">
        <w:t xml:space="preserve">to address homelessness </w:t>
      </w:r>
      <w:r w:rsidR="6D8B9811" w:rsidRPr="00DC247C">
        <w:t>in the</w:t>
      </w:r>
      <w:r w:rsidR="00C5589E">
        <w:t xml:space="preserve"> DFFH Local Areas of</w:t>
      </w:r>
      <w:r w:rsidR="6D8B9811" w:rsidRPr="00DC247C">
        <w:t xml:space="preserve"> </w:t>
      </w:r>
      <w:r w:rsidR="001B6EE5" w:rsidRPr="00DC247C">
        <w:t>Bayside Peninsula and Western Melbourne</w:t>
      </w:r>
      <w:r w:rsidR="00C5589E">
        <w:t xml:space="preserve">. </w:t>
      </w:r>
      <w:r w:rsidR="00FD5D1F" w:rsidRPr="00321F2A">
        <w:t xml:space="preserve">Launch Housing and VincentCare Victoria deliver CSA-TM to people of all genders, The Salvation Army focuses on providing CSA-TM to people who identify as male. </w:t>
      </w:r>
    </w:p>
    <w:p w14:paraId="04511DB1" w14:textId="6C0AB6A3" w:rsidR="42CAFA8F" w:rsidRDefault="00B424F1" w:rsidP="0038237C">
      <w:pPr>
        <w:pStyle w:val="Body"/>
        <w:rPr>
          <w:rFonts w:eastAsia="Avenir Book" w:cs="Avenir Book"/>
        </w:rPr>
      </w:pPr>
      <w:r>
        <w:rPr>
          <w:rFonts w:eastAsia="Avenir Book" w:cs="Avenir Book"/>
        </w:rPr>
        <w:t xml:space="preserve">As of </w:t>
      </w:r>
      <w:r w:rsidR="007E30DA">
        <w:rPr>
          <w:rFonts w:eastAsia="Avenir Book" w:cs="Avenir Book"/>
        </w:rPr>
        <w:t>2025</w:t>
      </w:r>
      <w:r>
        <w:rPr>
          <w:rFonts w:eastAsia="Avenir Book" w:cs="Avenir Book"/>
        </w:rPr>
        <w:t xml:space="preserve"> t</w:t>
      </w:r>
      <w:r w:rsidR="00040A23">
        <w:rPr>
          <w:rFonts w:eastAsia="Avenir Book" w:cs="Avenir Book"/>
        </w:rPr>
        <w:t xml:space="preserve">he </w:t>
      </w:r>
      <w:r w:rsidR="00421410">
        <w:rPr>
          <w:rFonts w:eastAsia="Avenir Book" w:cs="Avenir Book"/>
        </w:rPr>
        <w:t>CSA-TM program</w:t>
      </w:r>
      <w:r w:rsidR="42CAFA8F" w:rsidRPr="2E68B7B9">
        <w:rPr>
          <w:rFonts w:eastAsia="Avenir Book" w:cs="Avenir Book"/>
        </w:rPr>
        <w:t xml:space="preserve"> operate</w:t>
      </w:r>
      <w:r w:rsidR="00040A23">
        <w:rPr>
          <w:rFonts w:eastAsia="Avenir Book" w:cs="Avenir Book"/>
        </w:rPr>
        <w:t>s</w:t>
      </w:r>
      <w:r w:rsidR="42CAFA8F" w:rsidRPr="2E68B7B9">
        <w:rPr>
          <w:rFonts w:eastAsia="Avenir Book" w:cs="Avenir Book"/>
        </w:rPr>
        <w:t xml:space="preserve"> in the following </w:t>
      </w:r>
      <w:r w:rsidR="0D6C9274" w:rsidRPr="2E68B7B9">
        <w:rPr>
          <w:rFonts w:eastAsia="Avenir Book" w:cs="Avenir Book"/>
        </w:rPr>
        <w:t>locations:</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3200"/>
        <w:gridCol w:w="3040"/>
        <w:gridCol w:w="3042"/>
      </w:tblGrid>
      <w:tr w:rsidR="00E97992" w14:paraId="60C77FF5" w14:textId="716ADE37" w:rsidTr="00015F67">
        <w:trPr>
          <w:trHeight w:val="300"/>
        </w:trPr>
        <w:tc>
          <w:tcPr>
            <w:tcW w:w="3200" w:type="dxa"/>
            <w:tcMar>
              <w:left w:w="105" w:type="dxa"/>
              <w:right w:w="105" w:type="dxa"/>
            </w:tcMar>
          </w:tcPr>
          <w:p w14:paraId="1CAB0E9E" w14:textId="72525C63" w:rsidR="00E97992" w:rsidRPr="00F31E63" w:rsidRDefault="00F525C8" w:rsidP="00110607">
            <w:pPr>
              <w:pStyle w:val="Tablecolhead"/>
              <w:rPr>
                <w:rFonts w:eastAsia="Verdana"/>
                <w:color w:val="auto"/>
              </w:rPr>
            </w:pPr>
            <w:r>
              <w:rPr>
                <w:color w:val="auto"/>
              </w:rPr>
              <w:t>Location</w:t>
            </w:r>
          </w:p>
        </w:tc>
        <w:tc>
          <w:tcPr>
            <w:tcW w:w="3040" w:type="dxa"/>
            <w:tcMar>
              <w:left w:w="105" w:type="dxa"/>
              <w:right w:w="105" w:type="dxa"/>
            </w:tcMar>
          </w:tcPr>
          <w:p w14:paraId="57332E7F" w14:textId="36F283EB" w:rsidR="00E97992" w:rsidRPr="00F31E63" w:rsidRDefault="00480758" w:rsidP="00110607">
            <w:pPr>
              <w:pStyle w:val="Tablecolhead"/>
              <w:rPr>
                <w:rFonts w:eastAsia="Verdana"/>
                <w:color w:val="auto"/>
              </w:rPr>
            </w:pPr>
            <w:r w:rsidRPr="00F31E63">
              <w:rPr>
                <w:color w:val="auto"/>
              </w:rPr>
              <w:t>Agency</w:t>
            </w:r>
          </w:p>
        </w:tc>
        <w:tc>
          <w:tcPr>
            <w:tcW w:w="3042" w:type="dxa"/>
          </w:tcPr>
          <w:p w14:paraId="2BDBCFF4" w14:textId="6B53C0A1" w:rsidR="00E97992" w:rsidRPr="00F31E63" w:rsidRDefault="00B417FB" w:rsidP="00110607">
            <w:pPr>
              <w:pStyle w:val="Tablecolhead"/>
              <w:rPr>
                <w:color w:val="auto"/>
              </w:rPr>
            </w:pPr>
            <w:r w:rsidRPr="00F31E63">
              <w:rPr>
                <w:color w:val="auto"/>
              </w:rPr>
              <w:t>DFFH area</w:t>
            </w:r>
          </w:p>
        </w:tc>
      </w:tr>
      <w:tr w:rsidR="00FA7926" w14:paraId="181EAFB2" w14:textId="77777777" w:rsidTr="00E97992">
        <w:trPr>
          <w:trHeight w:val="300"/>
        </w:trPr>
        <w:tc>
          <w:tcPr>
            <w:tcW w:w="3200" w:type="dxa"/>
            <w:tcMar>
              <w:left w:w="105" w:type="dxa"/>
              <w:right w:w="105" w:type="dxa"/>
            </w:tcMar>
          </w:tcPr>
          <w:p w14:paraId="384640D7" w14:textId="1C91B126" w:rsidR="00FA7926" w:rsidRPr="0038237C" w:rsidRDefault="00FA7926" w:rsidP="00B603CD">
            <w:pPr>
              <w:pStyle w:val="Tabletext"/>
            </w:pPr>
            <w:r w:rsidRPr="0038237C">
              <w:t>Southbank</w:t>
            </w:r>
          </w:p>
        </w:tc>
        <w:tc>
          <w:tcPr>
            <w:tcW w:w="3040" w:type="dxa"/>
            <w:tcMar>
              <w:left w:w="105" w:type="dxa"/>
              <w:right w:w="105" w:type="dxa"/>
            </w:tcMar>
          </w:tcPr>
          <w:p w14:paraId="7A3254DD" w14:textId="1C45C371" w:rsidR="00FA7926" w:rsidRPr="0038237C" w:rsidRDefault="00FA7926" w:rsidP="00B603CD">
            <w:pPr>
              <w:pStyle w:val="Tabletext"/>
            </w:pPr>
            <w:r w:rsidRPr="0038237C">
              <w:t>Launch Housing</w:t>
            </w:r>
          </w:p>
        </w:tc>
        <w:tc>
          <w:tcPr>
            <w:tcW w:w="3042" w:type="dxa"/>
          </w:tcPr>
          <w:p w14:paraId="77EE9D8A" w14:textId="06322D73" w:rsidR="00FA7926" w:rsidRPr="0038237C" w:rsidRDefault="00FA7926" w:rsidP="00B603CD">
            <w:pPr>
              <w:pStyle w:val="Tabletext"/>
            </w:pPr>
            <w:r w:rsidRPr="0038237C">
              <w:t xml:space="preserve">Bayside Peninsula </w:t>
            </w:r>
          </w:p>
        </w:tc>
      </w:tr>
      <w:tr w:rsidR="00B37BD4" w14:paraId="6640BCA4" w14:textId="77777777" w:rsidTr="00B603CD">
        <w:trPr>
          <w:trHeight w:val="300"/>
        </w:trPr>
        <w:tc>
          <w:tcPr>
            <w:tcW w:w="0" w:type="dxa"/>
            <w:tcMar>
              <w:left w:w="105" w:type="dxa"/>
              <w:right w:w="105" w:type="dxa"/>
            </w:tcMar>
          </w:tcPr>
          <w:p w14:paraId="5796D1A7" w14:textId="78D4D62D" w:rsidR="00B37BD4" w:rsidRPr="0038237C" w:rsidRDefault="00B37BD4" w:rsidP="00B603CD">
            <w:pPr>
              <w:pStyle w:val="Tabletext"/>
            </w:pPr>
            <w:r w:rsidRPr="0038237C">
              <w:t>Oz</w:t>
            </w:r>
            <w:r w:rsidR="00E9291D" w:rsidRPr="0038237C">
              <w:t>a</w:t>
            </w:r>
            <w:r w:rsidRPr="0038237C">
              <w:t>nam House</w:t>
            </w:r>
          </w:p>
        </w:tc>
        <w:tc>
          <w:tcPr>
            <w:tcW w:w="0" w:type="dxa"/>
            <w:tcMar>
              <w:left w:w="105" w:type="dxa"/>
              <w:right w:w="105" w:type="dxa"/>
            </w:tcMar>
          </w:tcPr>
          <w:p w14:paraId="4FF5E196" w14:textId="573CD0B6" w:rsidR="00B37BD4" w:rsidRPr="0038237C" w:rsidRDefault="00B37BD4" w:rsidP="00B603CD">
            <w:pPr>
              <w:pStyle w:val="Tabletext"/>
            </w:pPr>
            <w:r w:rsidRPr="0038237C">
              <w:t>VincentCare</w:t>
            </w:r>
            <w:r w:rsidR="004B41A3" w:rsidRPr="0038237C">
              <w:t xml:space="preserve"> Victoria</w:t>
            </w:r>
          </w:p>
        </w:tc>
        <w:tc>
          <w:tcPr>
            <w:tcW w:w="0" w:type="dxa"/>
            <w:vAlign w:val="center"/>
          </w:tcPr>
          <w:p w14:paraId="26DC233E" w14:textId="4758AD61" w:rsidR="00B37BD4" w:rsidRPr="0038237C" w:rsidRDefault="00B37BD4" w:rsidP="00B603CD">
            <w:pPr>
              <w:pStyle w:val="Tabletext"/>
            </w:pPr>
            <w:r w:rsidRPr="0038237C">
              <w:t>Western Melbourne</w:t>
            </w:r>
          </w:p>
        </w:tc>
      </w:tr>
      <w:tr w:rsidR="00B37BD4" w14:paraId="714A3C64" w14:textId="0C9FEED4" w:rsidTr="00B603CD">
        <w:trPr>
          <w:trHeight w:val="300"/>
        </w:trPr>
        <w:tc>
          <w:tcPr>
            <w:tcW w:w="0" w:type="dxa"/>
            <w:tcMar>
              <w:left w:w="105" w:type="dxa"/>
              <w:right w:w="105" w:type="dxa"/>
            </w:tcMar>
          </w:tcPr>
          <w:p w14:paraId="0414576E" w14:textId="22E77800" w:rsidR="00B37BD4" w:rsidRPr="0038237C" w:rsidRDefault="00B37BD4" w:rsidP="00B603CD">
            <w:pPr>
              <w:pStyle w:val="Tabletext"/>
            </w:pPr>
            <w:r w:rsidRPr="0038237C">
              <w:t>Flagstaff</w:t>
            </w:r>
          </w:p>
        </w:tc>
        <w:tc>
          <w:tcPr>
            <w:tcW w:w="0" w:type="dxa"/>
            <w:tcMar>
              <w:left w:w="105" w:type="dxa"/>
              <w:right w:w="105" w:type="dxa"/>
            </w:tcMar>
            <w:vAlign w:val="center"/>
          </w:tcPr>
          <w:p w14:paraId="3A7A58BB" w14:textId="3FDED1E0" w:rsidR="00B37BD4" w:rsidRPr="0038237C" w:rsidRDefault="00B37BD4" w:rsidP="00B603CD">
            <w:pPr>
              <w:pStyle w:val="Tabletext"/>
            </w:pPr>
            <w:r w:rsidRPr="0038237C">
              <w:t>The Salvation Army</w:t>
            </w:r>
          </w:p>
        </w:tc>
        <w:tc>
          <w:tcPr>
            <w:tcW w:w="0" w:type="dxa"/>
          </w:tcPr>
          <w:p w14:paraId="6E99EBF1" w14:textId="3A1E433D" w:rsidR="00B37BD4" w:rsidRDefault="005364DD" w:rsidP="00B37BD4">
            <w:pPr>
              <w:pStyle w:val="Tabletext"/>
              <w:spacing w:line="259" w:lineRule="auto"/>
            </w:pPr>
            <w:r w:rsidRPr="0038237C">
              <w:t>Western Melbourne</w:t>
            </w:r>
          </w:p>
        </w:tc>
      </w:tr>
      <w:tr w:rsidR="00B37BD4" w14:paraId="0C0DD38C" w14:textId="4B38AD2B" w:rsidTr="00E97992">
        <w:trPr>
          <w:trHeight w:val="300"/>
        </w:trPr>
        <w:tc>
          <w:tcPr>
            <w:tcW w:w="3200" w:type="dxa"/>
            <w:tcMar>
              <w:left w:w="105" w:type="dxa"/>
              <w:right w:w="105" w:type="dxa"/>
            </w:tcMar>
          </w:tcPr>
          <w:p w14:paraId="229F8AB1" w14:textId="77B4BC09" w:rsidR="00B37BD4" w:rsidRPr="0038237C" w:rsidRDefault="00B37BD4" w:rsidP="0038237C">
            <w:pPr>
              <w:pStyle w:val="Tabletext"/>
            </w:pPr>
            <w:r w:rsidRPr="0038237C">
              <w:t>The Open Door</w:t>
            </w:r>
          </w:p>
        </w:tc>
        <w:tc>
          <w:tcPr>
            <w:tcW w:w="3040" w:type="dxa"/>
            <w:tcMar>
              <w:left w:w="105" w:type="dxa"/>
              <w:right w:w="105" w:type="dxa"/>
            </w:tcMar>
          </w:tcPr>
          <w:p w14:paraId="60FB3894" w14:textId="581A770D" w:rsidR="00B37BD4" w:rsidRPr="006B753D" w:rsidRDefault="005364DD" w:rsidP="00B37BD4">
            <w:pPr>
              <w:pStyle w:val="Tabletext"/>
              <w:spacing w:line="259" w:lineRule="auto"/>
            </w:pPr>
            <w:r w:rsidRPr="0038237C">
              <w:t>The Salvation Army</w:t>
            </w:r>
          </w:p>
        </w:tc>
        <w:tc>
          <w:tcPr>
            <w:tcW w:w="3042" w:type="dxa"/>
          </w:tcPr>
          <w:p w14:paraId="58581B05" w14:textId="45EF68C2" w:rsidR="00B37BD4" w:rsidRDefault="005364DD" w:rsidP="00B37BD4">
            <w:pPr>
              <w:pStyle w:val="Tabletext"/>
              <w:spacing w:line="259" w:lineRule="auto"/>
            </w:pPr>
            <w:r w:rsidRPr="0038237C">
              <w:t>Western Melbourne</w:t>
            </w:r>
          </w:p>
        </w:tc>
      </w:tr>
    </w:tbl>
    <w:p w14:paraId="224EAFCE" w14:textId="288A61B2" w:rsidR="00A553E2" w:rsidRPr="00067659" w:rsidRDefault="00406BF0" w:rsidP="00FB16C9">
      <w:pPr>
        <w:pStyle w:val="Heading2"/>
      </w:pPr>
      <w:bookmarkStart w:id="3" w:name="_Toc212646915"/>
      <w:r w:rsidRPr="00067659">
        <w:t>Purpose of these guidelines</w:t>
      </w:r>
      <w:bookmarkEnd w:id="3"/>
    </w:p>
    <w:p w14:paraId="6994B247" w14:textId="77777777" w:rsidR="00406BF0" w:rsidRDefault="00406BF0" w:rsidP="00B603CD">
      <w:pPr>
        <w:pStyle w:val="Body"/>
      </w:pPr>
      <w:r>
        <w:t>These guidelines have been developed to ensure quality and consistency in the practice approach and delivery of CSA-TM. Developed in consultation with CSA-TM providers, the guidelines outline the requirements, objectives, and expected outcomes of CSA-TM in Victoria.</w:t>
      </w:r>
    </w:p>
    <w:p w14:paraId="08882AC8" w14:textId="60F518BD" w:rsidR="00406BF0" w:rsidRPr="00067659" w:rsidRDefault="00406BF0" w:rsidP="00406BF0">
      <w:pPr>
        <w:pStyle w:val="Heading2"/>
      </w:pPr>
      <w:bookmarkStart w:id="4" w:name="_Toc212646916"/>
      <w:r w:rsidRPr="00067659">
        <w:t>How to use these guidelines</w:t>
      </w:r>
      <w:bookmarkEnd w:id="4"/>
    </w:p>
    <w:p w14:paraId="6ADDFE17" w14:textId="7C30B937" w:rsidR="00406BF0" w:rsidRPr="00327306" w:rsidRDefault="00406BF0" w:rsidP="00B603CD">
      <w:pPr>
        <w:pStyle w:val="Body"/>
      </w:pPr>
      <w:r w:rsidRPr="00327306">
        <w:t xml:space="preserve">To effectively implement these </w:t>
      </w:r>
      <w:r w:rsidR="00ED4327">
        <w:t>g</w:t>
      </w:r>
      <w:r w:rsidRPr="00327306">
        <w:t xml:space="preserve">uidelines, it is essential to consider them alongside the Service Agreement that each Specialist Homelessness Service (SHS) has with the Department of Families, Fairness and Housing (DFFH). </w:t>
      </w:r>
    </w:p>
    <w:p w14:paraId="6169A47A" w14:textId="0247608F" w:rsidR="00406BF0" w:rsidRPr="00327306" w:rsidRDefault="00406BF0" w:rsidP="00B603CD">
      <w:pPr>
        <w:pStyle w:val="Body"/>
      </w:pPr>
      <w:r w:rsidRPr="00327306">
        <w:t xml:space="preserve">The </w:t>
      </w:r>
      <w:r w:rsidRPr="0013393F">
        <w:rPr>
          <w:u w:val="dotted"/>
        </w:rPr>
        <w:t>Service Agreement</w:t>
      </w:r>
      <w:r w:rsidRPr="00327306">
        <w:t xml:space="preserve"> outlines the legislative requirements that each SHS is required to adhere to and includes a list of program requirements, including complying with the Social Services Standards under the </w:t>
      </w:r>
      <w:r w:rsidRPr="0013393F">
        <w:rPr>
          <w:i/>
          <w:iCs/>
          <w:u w:val="dotted"/>
        </w:rPr>
        <w:lastRenderedPageBreak/>
        <w:t>Social Services Regulation Act 2021</w:t>
      </w:r>
      <w:r w:rsidR="008971B6">
        <w:t xml:space="preserve"> (Vic)</w:t>
      </w:r>
      <w:r w:rsidR="00E31707" w:rsidRPr="00327306">
        <w:t>.</w:t>
      </w:r>
      <w:r w:rsidR="0067036B">
        <w:t xml:space="preserve"> </w:t>
      </w:r>
      <w:r w:rsidR="00E32414">
        <w:t xml:space="preserve">The </w:t>
      </w:r>
      <w:r w:rsidR="002A4C8D" w:rsidRPr="0013393F">
        <w:rPr>
          <w:i/>
          <w:iCs/>
          <w:u w:val="dotted"/>
        </w:rPr>
        <w:t>Residential T</w:t>
      </w:r>
      <w:r w:rsidR="00225B10" w:rsidRPr="0013393F">
        <w:rPr>
          <w:i/>
          <w:iCs/>
          <w:u w:val="dotted"/>
        </w:rPr>
        <w:t>enancies Act 1997</w:t>
      </w:r>
      <w:r w:rsidR="008971B6">
        <w:rPr>
          <w:i/>
          <w:iCs/>
        </w:rPr>
        <w:t xml:space="preserve"> </w:t>
      </w:r>
      <w:r w:rsidR="008971B6">
        <w:t>(Vic)</w:t>
      </w:r>
      <w:r w:rsidR="00225B10">
        <w:t xml:space="preserve"> does not apply </w:t>
      </w:r>
      <w:r w:rsidR="00A768C3">
        <w:t xml:space="preserve">to </w:t>
      </w:r>
      <w:r w:rsidR="005C7BC9">
        <w:t>this program, as CSA-TM is defined as temporary crisis accommodation</w:t>
      </w:r>
      <w:r w:rsidR="00A768C3">
        <w:t xml:space="preserve"> </w:t>
      </w:r>
      <w:r w:rsidR="00837AFD">
        <w:t>(</w:t>
      </w:r>
      <w:r w:rsidR="005C7BC9">
        <w:t xml:space="preserve">see </w:t>
      </w:r>
      <w:r w:rsidR="00E32414">
        <w:t>section</w:t>
      </w:r>
      <w:r w:rsidR="00837AFD">
        <w:t xml:space="preserve"> </w:t>
      </w:r>
      <w:r w:rsidR="00302006">
        <w:t xml:space="preserve">22 </w:t>
      </w:r>
      <w:r w:rsidR="003A401D">
        <w:t>of the</w:t>
      </w:r>
      <w:r w:rsidR="00302006">
        <w:t xml:space="preserve"> Act)</w:t>
      </w:r>
      <w:r w:rsidR="00837AFD">
        <w:t>.</w:t>
      </w:r>
    </w:p>
    <w:p w14:paraId="5AD08EA1" w14:textId="45C85CC2" w:rsidR="00984C48" w:rsidRPr="00327306" w:rsidRDefault="00677A31" w:rsidP="00B603CD">
      <w:pPr>
        <w:pStyle w:val="Body"/>
      </w:pPr>
      <w:r>
        <w:t>These guidelines should be read in conjunction with the</w:t>
      </w:r>
      <w:r w:rsidR="00406BF0" w:rsidRPr="00327306">
        <w:t xml:space="preserve"> </w:t>
      </w:r>
      <w:r w:rsidR="00EF781B" w:rsidRPr="0013393F">
        <w:t>Homelessness and Housing Support Guidelines 2025</w:t>
      </w:r>
      <w:r>
        <w:rPr>
          <w:rStyle w:val="Hyperlink"/>
          <w:rFonts w:ascii="Avenir Book" w:hAnsi="Avenir Book"/>
        </w:rPr>
        <w:t xml:space="preserve"> </w:t>
      </w:r>
      <w:r w:rsidRPr="00677A31">
        <w:t>which are included in each organisations Service Agreement</w:t>
      </w:r>
      <w:r w:rsidR="008971B6">
        <w:rPr>
          <w:rStyle w:val="Hyperlink"/>
          <w:rFonts w:ascii="Avenir Book" w:hAnsi="Avenir Book"/>
          <w:color w:val="auto"/>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84C48" w14:paraId="0213D4C8" w14:textId="77777777" w:rsidTr="0013393F">
        <w:tc>
          <w:tcPr>
            <w:tcW w:w="9288" w:type="dxa"/>
          </w:tcPr>
          <w:p w14:paraId="43FB4DB6" w14:textId="77777777" w:rsidR="003B6DC0" w:rsidRDefault="003B6DC0" w:rsidP="003B6DC0">
            <w:pPr>
              <w:pStyle w:val="Body"/>
            </w:pPr>
            <w:hyperlink r:id="rId22" w:history="1">
              <w:r w:rsidRPr="00984C48">
                <w:rPr>
                  <w:rStyle w:val="Hyperlink"/>
                  <w:rFonts w:ascii="Avenir Book" w:hAnsi="Avenir Book"/>
                </w:rPr>
                <w:t xml:space="preserve">Service Agreement </w:t>
              </w:r>
              <w:r w:rsidRPr="00776E59">
                <w:rPr>
                  <w:rStyle w:val="Hyperlink"/>
                  <w:rFonts w:ascii="Avenir Book" w:hAnsi="Avenir Book"/>
                </w:rPr>
                <w:t>Requirements</w:t>
              </w:r>
            </w:hyperlink>
          </w:p>
          <w:p w14:paraId="31220B2F" w14:textId="1AE1088D" w:rsidR="00984C48" w:rsidRDefault="003B6DC0" w:rsidP="003B6DC0">
            <w:pPr>
              <w:pStyle w:val="Body"/>
            </w:pPr>
            <w:r w:rsidRPr="00984C48">
              <w:t>https://fac.dhhs.vic.gov.au/service-agreement-requirements</w:t>
            </w:r>
          </w:p>
        </w:tc>
      </w:tr>
      <w:tr w:rsidR="003B6DC0" w14:paraId="00C7FF60" w14:textId="77777777" w:rsidTr="0013393F">
        <w:tc>
          <w:tcPr>
            <w:tcW w:w="9288" w:type="dxa"/>
          </w:tcPr>
          <w:p w14:paraId="21A9C7D8" w14:textId="5DC476BB" w:rsidR="003B6DC0" w:rsidRPr="0013393F" w:rsidRDefault="00911304" w:rsidP="003B6DC0">
            <w:pPr>
              <w:pStyle w:val="Body"/>
              <w:rPr>
                <w:color w:val="00865C"/>
              </w:rPr>
            </w:pPr>
            <w:hyperlink r:id="rId23" w:history="1">
              <w:r w:rsidRPr="0013393F">
                <w:rPr>
                  <w:rStyle w:val="Hyperlink"/>
                  <w:rFonts w:ascii="Avenir Book" w:hAnsi="Avenir Book"/>
                </w:rPr>
                <w:t>Social Services Regulation Act 2021</w:t>
              </w:r>
            </w:hyperlink>
            <w:r w:rsidRPr="0013393F">
              <w:rPr>
                <w:color w:val="00865C"/>
              </w:rPr>
              <w:t xml:space="preserve"> (Vic)</w:t>
            </w:r>
          </w:p>
          <w:p w14:paraId="127A8188" w14:textId="33357D09" w:rsidR="00911304" w:rsidRPr="00911304" w:rsidRDefault="00911304" w:rsidP="003B6DC0">
            <w:pPr>
              <w:pStyle w:val="Body"/>
            </w:pPr>
            <w:r w:rsidRPr="00911304">
              <w:t>https://www.legislation.vic.gov.au/in-force/acts/social-services-regulation-act-2021/003</w:t>
            </w:r>
          </w:p>
        </w:tc>
      </w:tr>
      <w:tr w:rsidR="00C13F25" w14:paraId="1119AB10" w14:textId="77777777" w:rsidTr="0013393F">
        <w:tc>
          <w:tcPr>
            <w:tcW w:w="9288" w:type="dxa"/>
          </w:tcPr>
          <w:p w14:paraId="32752048" w14:textId="77777777" w:rsidR="00365728" w:rsidRPr="00FF73EE" w:rsidRDefault="00365728" w:rsidP="00365728">
            <w:pPr>
              <w:pStyle w:val="Body"/>
              <w:rPr>
                <w:rFonts w:cs="Arial"/>
                <w:color w:val="00865C"/>
              </w:rPr>
            </w:pPr>
            <w:hyperlink r:id="rId24" w:history="1">
              <w:r w:rsidRPr="00FF73EE">
                <w:rPr>
                  <w:rStyle w:val="Hyperlink"/>
                  <w:rFonts w:ascii="Avenir Book" w:hAnsi="Avenir Book" w:cs="Arial"/>
                </w:rPr>
                <w:t>Residential Tenancies Act 1997</w:t>
              </w:r>
            </w:hyperlink>
            <w:r w:rsidRPr="00FF73EE">
              <w:rPr>
                <w:rFonts w:cs="Arial"/>
                <w:color w:val="00865C"/>
              </w:rPr>
              <w:t xml:space="preserve"> (Vic)</w:t>
            </w:r>
          </w:p>
          <w:p w14:paraId="6501CCC6" w14:textId="52642C64" w:rsidR="00C13F25" w:rsidRPr="00C13F25" w:rsidRDefault="00365728" w:rsidP="00365728">
            <w:pPr>
              <w:pStyle w:val="Body"/>
              <w:rPr>
                <w:color w:val="00865C"/>
              </w:rPr>
            </w:pPr>
            <w:r w:rsidRPr="00FF73EE">
              <w:rPr>
                <w:rFonts w:cs="Arial"/>
              </w:rPr>
              <w:t>https://www.legislation.vic.gov.au/in-force/acts/residential-tenancies-act-1997/110</w:t>
            </w:r>
          </w:p>
        </w:tc>
      </w:tr>
      <w:tr w:rsidR="003B6DC0" w14:paraId="21F66964" w14:textId="77777777" w:rsidTr="0013393F">
        <w:tc>
          <w:tcPr>
            <w:tcW w:w="9288" w:type="dxa"/>
          </w:tcPr>
          <w:p w14:paraId="3AC618A1" w14:textId="77777777" w:rsidR="003B6DC0" w:rsidRPr="00677A31" w:rsidRDefault="003B6DC0" w:rsidP="003B6DC0">
            <w:pPr>
              <w:pStyle w:val="Body"/>
              <w:rPr>
                <w:rStyle w:val="Hyperlink"/>
                <w:rFonts w:ascii="Avenir Book" w:hAnsi="Avenir Book"/>
              </w:rPr>
            </w:pPr>
            <w:hyperlink r:id="rId25" w:history="1">
              <w:r>
                <w:rPr>
                  <w:rStyle w:val="Hyperlink"/>
                  <w:rFonts w:ascii="Avenir Book" w:hAnsi="Avenir Book"/>
                </w:rPr>
                <w:t>Homelessness and Housing Support Guidelines 2025</w:t>
              </w:r>
            </w:hyperlink>
          </w:p>
          <w:p w14:paraId="6101ED38" w14:textId="1F5A2CAE" w:rsidR="003B6DC0" w:rsidRDefault="003B6DC0" w:rsidP="003B6DC0">
            <w:pPr>
              <w:pStyle w:val="Body"/>
            </w:pPr>
            <w:r w:rsidRPr="00677A31">
              <w:t>https://fac.dffh.vic.gov.au/homelessness-and-housing-support-guidelines-2025-0</w:t>
            </w:r>
          </w:p>
        </w:tc>
      </w:tr>
    </w:tbl>
    <w:p w14:paraId="40CBC1AB" w14:textId="6A678FF6" w:rsidR="003478AC" w:rsidRPr="00984C48" w:rsidRDefault="00984C48" w:rsidP="00984C48">
      <w:pPr>
        <w:pStyle w:val="Body"/>
        <w:rPr>
          <w:rStyle w:val="normaltextrun"/>
        </w:rPr>
      </w:pPr>
      <w:r>
        <w:t xml:space="preserve"> </w:t>
      </w:r>
    </w:p>
    <w:p w14:paraId="63D1A306" w14:textId="641F533D" w:rsidR="003478AC" w:rsidRDefault="003F15AB" w:rsidP="003478AC">
      <w:pPr>
        <w:rPr>
          <w:rStyle w:val="normaltextrun"/>
          <w:rFonts w:eastAsia="Times" w:cs="Arial"/>
        </w:rPr>
      </w:pPr>
      <w:r>
        <w:rPr>
          <w:rFonts w:eastAsia="Times" w:cs="Arial"/>
          <w:noProof/>
        </w:rPr>
        <mc:AlternateContent>
          <mc:Choice Requires="wpg">
            <w:drawing>
              <wp:anchor distT="0" distB="0" distL="114300" distR="114300" simplePos="0" relativeHeight="251658244" behindDoc="0" locked="0" layoutInCell="1" allowOverlap="1" wp14:anchorId="7DE79D9C" wp14:editId="55EC2380">
                <wp:simplePos x="0" y="0"/>
                <wp:positionH relativeFrom="column">
                  <wp:posOffset>210185</wp:posOffset>
                </wp:positionH>
                <wp:positionV relativeFrom="paragraph">
                  <wp:posOffset>26670</wp:posOffset>
                </wp:positionV>
                <wp:extent cx="5514975" cy="3473450"/>
                <wp:effectExtent l="0" t="0" r="28575" b="12700"/>
                <wp:wrapNone/>
                <wp:docPr id="726613170" name="Group 1" descr="Diagram which shows Service Agreement with DFFH and Legislative Framework, Standards, Social Service Regulator, Policy requirements sitting above Homelessness Service "/>
                <wp:cNvGraphicFramePr/>
                <a:graphic xmlns:a="http://schemas.openxmlformats.org/drawingml/2006/main">
                  <a:graphicData uri="http://schemas.microsoft.com/office/word/2010/wordprocessingGroup">
                    <wpg:wgp>
                      <wpg:cNvGrpSpPr/>
                      <wpg:grpSpPr>
                        <a:xfrm>
                          <a:off x="0" y="0"/>
                          <a:ext cx="5514975" cy="3473450"/>
                          <a:chOff x="0" y="0"/>
                          <a:chExt cx="5514975" cy="3473450"/>
                        </a:xfrm>
                      </wpg:grpSpPr>
                      <wps:wsp>
                        <wps:cNvPr id="138738220" name="Flowchart: Process 3" descr="Diagram which shows Service Agreement with DFFH and Legislative Framework, Standards, Social Service Regulator, Policy requirements sitting above Homelessness Service Guidelines which sits above individual program guidleines"/>
                        <wps:cNvSpPr/>
                        <wps:spPr>
                          <a:xfrm>
                            <a:off x="0" y="0"/>
                            <a:ext cx="2419350" cy="1130300"/>
                          </a:xfrm>
                          <a:prstGeom prst="flowChartProcess">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txbx>
                          <w:txbxContent>
                            <w:p w14:paraId="76B55974" w14:textId="77777777" w:rsidR="003478AC" w:rsidRPr="00984C48" w:rsidRDefault="003478AC" w:rsidP="003478AC">
                              <w:pPr>
                                <w:jc w:val="center"/>
                                <w:rPr>
                                  <w:color w:val="3C3C3C"/>
                                </w:rPr>
                              </w:pPr>
                              <w:r w:rsidRPr="00984C48">
                                <w:rPr>
                                  <w:color w:val="3C3C3C"/>
                                </w:rPr>
                                <w:t>Service Agreement with Department of Families, Fairness and Housing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5448387" name="Flowchart: Process 5"/>
                        <wps:cNvSpPr/>
                        <wps:spPr>
                          <a:xfrm>
                            <a:off x="3228975" y="0"/>
                            <a:ext cx="2286000" cy="1117600"/>
                          </a:xfrm>
                          <a:prstGeom prst="flowChartProcess">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txbx>
                          <w:txbxContent>
                            <w:p w14:paraId="7F18A32D" w14:textId="77777777" w:rsidR="003478AC" w:rsidRPr="00984C48" w:rsidRDefault="003478AC" w:rsidP="003478AC">
                              <w:pPr>
                                <w:jc w:val="center"/>
                                <w:rPr>
                                  <w:color w:val="3C3C3C"/>
                                </w:rPr>
                              </w:pPr>
                              <w:r w:rsidRPr="00984C48">
                                <w:rPr>
                                  <w:color w:val="3C3C3C"/>
                                </w:rPr>
                                <w:t>Legislative Framework, Standards, Social Service Regulator, Policy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2233211" name="Flowchart: Process 5"/>
                        <wps:cNvSpPr/>
                        <wps:spPr>
                          <a:xfrm>
                            <a:off x="1381125" y="1295400"/>
                            <a:ext cx="2921000" cy="825500"/>
                          </a:xfrm>
                          <a:prstGeom prst="flowChartProcess">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0C93928" w14:textId="77777777" w:rsidR="003478AC" w:rsidRDefault="003478AC" w:rsidP="003478AC">
                              <w:pPr>
                                <w:jc w:val="center"/>
                              </w:pPr>
                              <w:r>
                                <w:t>Homelessness Services Guidelines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3735436" name="Flowchart: Process 5"/>
                        <wps:cNvSpPr/>
                        <wps:spPr>
                          <a:xfrm>
                            <a:off x="1381125" y="2647950"/>
                            <a:ext cx="2921000" cy="825500"/>
                          </a:xfrm>
                          <a:prstGeom prst="flowChartProcess">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2A27FE2" w14:textId="77777777" w:rsidR="003478AC" w:rsidRDefault="003478AC" w:rsidP="003478AC">
                              <w:pPr>
                                <w:jc w:val="center"/>
                              </w:pPr>
                              <w:r>
                                <w:t>Individual program guidelines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DE79D9C" id="Group 1" o:spid="_x0000_s1026" alt="Diagram which shows Service Agreement with DFFH and Legislative Framework, Standards, Social Service Regulator, Policy requirements sitting above Homelessness Service " style="position:absolute;margin-left:16.55pt;margin-top:2.1pt;width:434.25pt;height:273.5pt;z-index:251658244" coordsize="55149,34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">
                <v:shapetype id="_x0000_t109" coordsize="21600,21600" o:spt="109" path="m,l,21600r21600,l21600,xe">
                  <v:stroke joinstyle="miter"/>
                  <v:path gradientshapeok="t" o:connecttype="rect"/>
                </v:shapetype>
                <v:shape id="Flowchart: Process 3" o:spid="_x0000_s1027" type="#_x0000_t109" alt="Diagram which shows Service Agreement with DFFH and Legislative Framework, Standards, Social Service Regulator, Policy requirements sitting above Homelessness Service Guidelines which sits above individual program guidleines" style="position:absolute;width:24193;height:11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" fillcolor="#cca1cb [3205]" strokecolor="#021215 [484]" strokeweight="2pt">
                  <v:textbox>
                    <w:txbxContent>
                      <w:p w14:paraId="76B55974" w14:textId="77777777" w:rsidR="003478AC" w:rsidRPr="00984C48" w:rsidRDefault="003478AC" w:rsidP="003478AC">
                        <w:pPr>
                          <w:jc w:val="center"/>
                          <w:rPr>
                            <w:color w:val="3C3C3C"/>
                          </w:rPr>
                        </w:pPr>
                        <w:r w:rsidRPr="00984C48">
                          <w:rPr>
                            <w:color w:val="3C3C3C"/>
                          </w:rPr>
                          <w:t>Service Agreement with Department of Families, Fairness and Housing</w:t>
                        </w:r>
                      </w:p>
                    </w:txbxContent>
                  </v:textbox>
                </v:shape>
                <v:shape id="Flowchart: Process 5" o:spid="_x0000_s1028" type="#_x0000_t109" style="position:absolute;left:32289;width:22860;height:11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" fillcolor="#cca1cb [3205]" strokecolor="#021215 [484]" strokeweight="2pt">
                  <v:textbox>
                    <w:txbxContent>
                      <w:p w14:paraId="7F18A32D" w14:textId="77777777" w:rsidR="003478AC" w:rsidRPr="00984C48" w:rsidRDefault="003478AC" w:rsidP="003478AC">
                        <w:pPr>
                          <w:jc w:val="center"/>
                          <w:rPr>
                            <w:color w:val="3C3C3C"/>
                          </w:rPr>
                        </w:pPr>
                        <w:r w:rsidRPr="00984C48">
                          <w:rPr>
                            <w:color w:val="3C3C3C"/>
                          </w:rPr>
                          <w:t>Legislative Framework, Standards, Social Service Regulator, Policy requirements</w:t>
                        </w:r>
                      </w:p>
                    </w:txbxContent>
                  </v:textbox>
                </v:shape>
                <v:shape id="Flowchart: Process 5" o:spid="_x0000_s1029" type="#_x0000_t109" style="position:absolute;left:13811;top:12954;width:29210;height:8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" fillcolor="#0f8194 [3204]" strokecolor="#021215 [484]" strokeweight="2pt">
                  <v:textbox>
                    <w:txbxContent>
                      <w:p w14:paraId="20C93928" w14:textId="77777777" w:rsidR="003478AC" w:rsidRDefault="003478AC" w:rsidP="003478AC">
                        <w:pPr>
                          <w:jc w:val="center"/>
                        </w:pPr>
                        <w:r>
                          <w:t>Homelessness Services Guidelines 2025</w:t>
                        </w:r>
                      </w:p>
                    </w:txbxContent>
                  </v:textbox>
                </v:shape>
                <v:shape id="Flowchart: Process 5" o:spid="_x0000_s1030" type="#_x0000_t109" style="position:absolute;left:13811;top:26479;width:29210;height:8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" fillcolor="#0f8194 [3204]" strokecolor="#021215 [484]" strokeweight="2pt">
                  <v:textbox>
                    <w:txbxContent>
                      <w:p w14:paraId="62A27FE2" w14:textId="77777777" w:rsidR="003478AC" w:rsidRDefault="003478AC" w:rsidP="003478AC">
                        <w:pPr>
                          <w:jc w:val="center"/>
                        </w:pPr>
                        <w:r>
                          <w:t>Individual program guidelines</w:t>
                        </w:r>
                      </w:p>
                    </w:txbxContent>
                  </v:textbox>
                </v:shape>
              </v:group>
            </w:pict>
          </mc:Fallback>
        </mc:AlternateContent>
      </w:r>
    </w:p>
    <w:p w14:paraId="7C6803AE" w14:textId="77777777" w:rsidR="003478AC" w:rsidRDefault="003478AC" w:rsidP="003478AC">
      <w:pPr>
        <w:rPr>
          <w:rFonts w:eastAsia="Times" w:cs="Arial"/>
          <w:noProof/>
        </w:rPr>
      </w:pPr>
      <w:r>
        <w:rPr>
          <w:rFonts w:eastAsia="Times" w:cs="Arial"/>
          <w:noProof/>
        </w:rPr>
        <mc:AlternateContent>
          <mc:Choice Requires="wps">
            <w:drawing>
              <wp:anchor distT="0" distB="0" distL="114300" distR="114300" simplePos="0" relativeHeight="251658242" behindDoc="0" locked="0" layoutInCell="1" allowOverlap="1" wp14:anchorId="41345D89" wp14:editId="590CFAE4">
                <wp:simplePos x="0" y="0"/>
                <wp:positionH relativeFrom="column">
                  <wp:posOffset>2813050</wp:posOffset>
                </wp:positionH>
                <wp:positionV relativeFrom="paragraph">
                  <wp:posOffset>118110</wp:posOffset>
                </wp:positionV>
                <wp:extent cx="438150" cy="0"/>
                <wp:effectExtent l="0" t="76200" r="19050" b="95250"/>
                <wp:wrapNone/>
                <wp:docPr id="1286654498" name="Straight Arrow Connector 6" descr="Arrow"/>
                <wp:cNvGraphicFramePr/>
                <a:graphic xmlns:a="http://schemas.openxmlformats.org/drawingml/2006/main">
                  <a:graphicData uri="http://schemas.microsoft.com/office/word/2010/wordprocessingShape">
                    <wps:wsp>
                      <wps:cNvCnPr/>
                      <wps:spPr>
                        <a:xfrm>
                          <a:off x="0" y="0"/>
                          <a:ext cx="4381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type w14:anchorId="3F81E291" id="_x0000_t32" coordsize="21600,21600" o:spt="32" o:oned="t" path="m,l21600,21600e" filled="f">
                <v:path arrowok="t" fillok="f" o:connecttype="none"/>
                <o:lock v:ext="edit" shapetype="t"/>
              </v:shapetype>
              <v:shape id="Straight Arrow Connector 6" o:spid="_x0000_s1026" type="#_x0000_t32" alt="Arrow" style="position:absolute;margin-left:221.5pt;margin-top:9.3pt;width:34.5pt;height:0;z-index:25165722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" strokecolor="#0e7a8c [3044]">
                <v:stroke endarrow="block"/>
              </v:shape>
            </w:pict>
          </mc:Fallback>
        </mc:AlternateContent>
      </w:r>
    </w:p>
    <w:p w14:paraId="3D6216A2" w14:textId="77777777" w:rsidR="003478AC" w:rsidRDefault="003478AC" w:rsidP="003478AC">
      <w:pPr>
        <w:rPr>
          <w:rFonts w:eastAsia="Times" w:cs="Arial"/>
          <w:noProof/>
        </w:rPr>
      </w:pPr>
      <w:r>
        <w:rPr>
          <w:rFonts w:eastAsia="Times" w:cs="Arial"/>
          <w:noProof/>
        </w:rPr>
        <mc:AlternateContent>
          <mc:Choice Requires="wps">
            <w:drawing>
              <wp:anchor distT="0" distB="0" distL="114300" distR="114300" simplePos="0" relativeHeight="251658243" behindDoc="0" locked="0" layoutInCell="1" allowOverlap="1" wp14:anchorId="273A0250" wp14:editId="7543501F">
                <wp:simplePos x="0" y="0"/>
                <wp:positionH relativeFrom="column">
                  <wp:posOffset>2813050</wp:posOffset>
                </wp:positionH>
                <wp:positionV relativeFrom="paragraph">
                  <wp:posOffset>260985</wp:posOffset>
                </wp:positionV>
                <wp:extent cx="482600" cy="0"/>
                <wp:effectExtent l="38100" t="76200" r="0" b="95250"/>
                <wp:wrapNone/>
                <wp:docPr id="1560475490" name="Straight Arrow Connector 7" descr="Arrow"/>
                <wp:cNvGraphicFramePr/>
                <a:graphic xmlns:a="http://schemas.openxmlformats.org/drawingml/2006/main">
                  <a:graphicData uri="http://schemas.microsoft.com/office/word/2010/wordprocessingShape">
                    <wps:wsp>
                      <wps:cNvCnPr/>
                      <wps:spPr>
                        <a:xfrm flipH="1">
                          <a:off x="0" y="0"/>
                          <a:ext cx="4826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33014653" id="Straight Arrow Connector 7" o:spid="_x0000_s1026" type="#_x0000_t32" alt="Arrow" style="position:absolute;margin-left:221.5pt;margin-top:20.55pt;width:38pt;height:0;flip:x;z-index:25165722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" strokecolor="#0e7a8c [3044]">
                <v:stroke endarrow="block"/>
              </v:shape>
            </w:pict>
          </mc:Fallback>
        </mc:AlternateContent>
      </w:r>
    </w:p>
    <w:p w14:paraId="770B1865" w14:textId="77777777" w:rsidR="003478AC" w:rsidRDefault="003478AC" w:rsidP="003478AC">
      <w:pPr>
        <w:rPr>
          <w:rFonts w:eastAsia="Times" w:cs="Arial"/>
          <w:noProof/>
        </w:rPr>
      </w:pPr>
    </w:p>
    <w:p w14:paraId="7FB3C8D5" w14:textId="77777777" w:rsidR="003478AC" w:rsidRDefault="003478AC" w:rsidP="003478AC">
      <w:pPr>
        <w:rPr>
          <w:rFonts w:eastAsia="Times" w:cs="Arial"/>
          <w:noProof/>
        </w:rPr>
      </w:pPr>
    </w:p>
    <w:p w14:paraId="2F2C942F" w14:textId="6BDE2A92" w:rsidR="003478AC" w:rsidRDefault="003478AC" w:rsidP="003478AC">
      <w:pPr>
        <w:rPr>
          <w:rFonts w:eastAsia="Times" w:cs="Arial"/>
          <w:noProof/>
        </w:rPr>
      </w:pPr>
    </w:p>
    <w:p w14:paraId="5C3D8BD7" w14:textId="77777777" w:rsidR="003478AC" w:rsidRDefault="003478AC" w:rsidP="003478AC">
      <w:pPr>
        <w:rPr>
          <w:rFonts w:eastAsia="Times" w:cs="Arial"/>
          <w:noProof/>
        </w:rPr>
      </w:pPr>
    </w:p>
    <w:p w14:paraId="402A9CDC" w14:textId="77777777" w:rsidR="003478AC" w:rsidRDefault="003478AC" w:rsidP="003478AC">
      <w:pPr>
        <w:rPr>
          <w:rFonts w:eastAsia="Times" w:cs="Arial"/>
          <w:noProof/>
        </w:rPr>
      </w:pPr>
    </w:p>
    <w:p w14:paraId="3DD07106" w14:textId="77777777" w:rsidR="003478AC" w:rsidRDefault="003478AC" w:rsidP="003478AC">
      <w:pPr>
        <w:rPr>
          <w:rFonts w:eastAsia="Times" w:cs="Arial"/>
          <w:noProof/>
        </w:rPr>
      </w:pPr>
      <w:r>
        <w:rPr>
          <w:rFonts w:eastAsia="Times" w:cs="Arial"/>
          <w:noProof/>
        </w:rPr>
        <mc:AlternateContent>
          <mc:Choice Requires="wps">
            <w:drawing>
              <wp:anchor distT="0" distB="0" distL="114300" distR="114300" simplePos="0" relativeHeight="251658245" behindDoc="0" locked="0" layoutInCell="1" allowOverlap="1" wp14:anchorId="2282BD88" wp14:editId="1FD2224A">
                <wp:simplePos x="0" y="0"/>
                <wp:positionH relativeFrom="column">
                  <wp:posOffset>3105150</wp:posOffset>
                </wp:positionH>
                <wp:positionV relativeFrom="paragraph">
                  <wp:posOffset>176530</wp:posOffset>
                </wp:positionV>
                <wp:extent cx="0" cy="361950"/>
                <wp:effectExtent l="76200" t="0" r="76200" b="57150"/>
                <wp:wrapNone/>
                <wp:docPr id="12951887" name="Straight Arrow Connector 9" descr="Diagram which shows Service Agreement with DFFH and Legislative Framework, Standards, Social Service Regulator, Policy requirements sitting above Homelessness Service "/>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791FF298" id="Straight Arrow Connector 9" o:spid="_x0000_s1026" type="#_x0000_t32" alt="Diagram which shows Service Agreement with DFFH and Legislative Framework, Standards, Social Service Regulator, Policy requirements sitting above Homelessness Service " style="position:absolute;margin-left:244.5pt;margin-top:13.9pt;width:0;height:28.5pt;z-index:251658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" strokecolor="#0e7a8c [3044]">
                <v:stroke endarrow="block"/>
              </v:shape>
            </w:pict>
          </mc:Fallback>
        </mc:AlternateContent>
      </w:r>
    </w:p>
    <w:p w14:paraId="008CC980" w14:textId="77777777" w:rsidR="003478AC" w:rsidRDefault="003478AC" w:rsidP="003478AC">
      <w:pPr>
        <w:rPr>
          <w:rFonts w:eastAsia="Times" w:cs="Arial"/>
          <w:noProof/>
        </w:rPr>
      </w:pPr>
    </w:p>
    <w:p w14:paraId="341AF091" w14:textId="309DA88F" w:rsidR="003478AC" w:rsidRDefault="003478AC" w:rsidP="003478AC">
      <w:pPr>
        <w:rPr>
          <w:rFonts w:eastAsia="Times" w:cs="Arial"/>
          <w:noProof/>
        </w:rPr>
      </w:pPr>
    </w:p>
    <w:p w14:paraId="0D4E710C" w14:textId="77777777" w:rsidR="003478AC" w:rsidRDefault="003478AC" w:rsidP="00442C43">
      <w:pPr>
        <w:spacing w:before="240" w:after="240"/>
      </w:pPr>
    </w:p>
    <w:p w14:paraId="2FCD0F1A" w14:textId="77777777" w:rsidR="00F91AFF" w:rsidRDefault="00F91AFF" w:rsidP="00442C43">
      <w:pPr>
        <w:spacing w:before="240" w:after="240"/>
      </w:pPr>
    </w:p>
    <w:p w14:paraId="19A2F980" w14:textId="4875ECCF" w:rsidR="005A7B5D" w:rsidRPr="003449A5" w:rsidRDefault="005A7B5D" w:rsidP="0018462F">
      <w:pPr>
        <w:pStyle w:val="Heading1"/>
      </w:pPr>
      <w:bookmarkStart w:id="5" w:name="_Toc212646917"/>
      <w:r w:rsidRPr="003449A5">
        <w:t>Eligibility</w:t>
      </w:r>
      <w:r w:rsidR="301F75E2" w:rsidRPr="003449A5">
        <w:t xml:space="preserve"> and Access</w:t>
      </w:r>
      <w:bookmarkEnd w:id="5"/>
    </w:p>
    <w:p w14:paraId="4F17D570" w14:textId="29D72D95" w:rsidR="7D0F2485" w:rsidRDefault="7D0F2485" w:rsidP="119FB08E">
      <w:pPr>
        <w:spacing w:before="240" w:after="240"/>
      </w:pPr>
      <w:r w:rsidRPr="119FB08E">
        <w:t xml:space="preserve">This section outlines the specific eligibility criteria and access </w:t>
      </w:r>
      <w:r w:rsidRPr="002C0132">
        <w:t xml:space="preserve">pathways for </w:t>
      </w:r>
      <w:r w:rsidR="002C0132" w:rsidRPr="002C0132">
        <w:t>the</w:t>
      </w:r>
      <w:r w:rsidRPr="002C0132">
        <w:t xml:space="preserve"> </w:t>
      </w:r>
      <w:r w:rsidR="00421410">
        <w:t>CSA-TM program</w:t>
      </w:r>
      <w:r w:rsidRPr="002C0132">
        <w:t>.</w:t>
      </w:r>
      <w:r w:rsidR="002D5383" w:rsidRPr="002C0132">
        <w:t xml:space="preserve"> </w:t>
      </w:r>
      <w:r w:rsidRPr="002C0132">
        <w:t xml:space="preserve">Understanding these criteria is essential for both service providers and potential participants to </w:t>
      </w:r>
      <w:r w:rsidRPr="119FB08E">
        <w:t>ensure appropriate referrals and service delivery.</w:t>
      </w:r>
    </w:p>
    <w:p w14:paraId="77AF3603" w14:textId="6FE0634B" w:rsidR="7B90567B" w:rsidRPr="003449A5" w:rsidRDefault="7B90567B" w:rsidP="00DF6C5D">
      <w:pPr>
        <w:pStyle w:val="Heading2"/>
      </w:pPr>
      <w:bookmarkStart w:id="6" w:name="_Toc212646918"/>
      <w:r w:rsidRPr="003449A5">
        <w:t>Eligibility criteria</w:t>
      </w:r>
      <w:bookmarkEnd w:id="6"/>
    </w:p>
    <w:p w14:paraId="3A4CBBB0" w14:textId="04C6D298" w:rsidR="7B90567B" w:rsidRDefault="40848258" w:rsidP="2E68B7B9">
      <w:pPr>
        <w:spacing w:before="240" w:after="240"/>
      </w:pPr>
      <w:r w:rsidRPr="2E68B7B9">
        <w:rPr>
          <w:szCs w:val="21"/>
        </w:rPr>
        <w:t xml:space="preserve">The target group for CSA-TM </w:t>
      </w:r>
      <w:r w:rsidR="004B41A3">
        <w:rPr>
          <w:szCs w:val="21"/>
        </w:rPr>
        <w:t xml:space="preserve">is </w:t>
      </w:r>
      <w:r w:rsidRPr="2E68B7B9">
        <w:rPr>
          <w:szCs w:val="21"/>
        </w:rPr>
        <w:t>single people or couples aged over 18 who are experiencing or at risk of homelessness</w:t>
      </w:r>
      <w:r w:rsidR="008B78F7">
        <w:rPr>
          <w:szCs w:val="21"/>
        </w:rPr>
        <w:t>.</w:t>
      </w:r>
      <w:r w:rsidR="004B41A3">
        <w:rPr>
          <w:szCs w:val="21"/>
        </w:rPr>
        <w:t xml:space="preserve"> </w:t>
      </w:r>
    </w:p>
    <w:p w14:paraId="48B7E76E" w14:textId="21B0A204" w:rsidR="003D1543" w:rsidRPr="005B19D2" w:rsidRDefault="003D1543" w:rsidP="005D642E">
      <w:pPr>
        <w:pStyle w:val="Heading3"/>
        <w:ind w:left="1021"/>
      </w:pPr>
      <w:r w:rsidRPr="005B19D2">
        <w:lastRenderedPageBreak/>
        <w:t>Assessment</w:t>
      </w:r>
      <w:r w:rsidR="00F007B4" w:rsidRPr="005B19D2">
        <w:t>, access and</w:t>
      </w:r>
      <w:r w:rsidRPr="005B19D2">
        <w:t xml:space="preserve"> referral</w:t>
      </w:r>
    </w:p>
    <w:p w14:paraId="359AD76F" w14:textId="79487D49" w:rsidR="00212954" w:rsidRDefault="39A41EB9" w:rsidP="2E68B7B9">
      <w:r>
        <w:t>All clients are referred into</w:t>
      </w:r>
      <w:r w:rsidR="000D7BCC">
        <w:t xml:space="preserve"> the </w:t>
      </w:r>
      <w:r w:rsidR="00421410">
        <w:t>CSA-TM program</w:t>
      </w:r>
      <w:r w:rsidR="000D7BCC">
        <w:t xml:space="preserve"> </w:t>
      </w:r>
      <w:r>
        <w:t xml:space="preserve">through homelessness </w:t>
      </w:r>
      <w:r w:rsidR="000D0001">
        <w:t>entry</w:t>
      </w:r>
      <w:r>
        <w:t xml:space="preserve"> </w:t>
      </w:r>
      <w:r w:rsidR="000A4EAF">
        <w:t>p</w:t>
      </w:r>
      <w:r>
        <w:t>oints.</w:t>
      </w:r>
      <w:r w:rsidR="00DD5260">
        <w:t xml:space="preserve"> </w:t>
      </w:r>
    </w:p>
    <w:p w14:paraId="71D56B05" w14:textId="053F86ED" w:rsidR="39A41EB9" w:rsidRDefault="505EFF5D">
      <w:r>
        <w:t xml:space="preserve">Clients may present at any homelessness entry point to access CSA-TM, </w:t>
      </w:r>
      <w:r w:rsidR="1112E5AD">
        <w:t xml:space="preserve">through which they can be referred </w:t>
      </w:r>
      <w:r w:rsidR="00043038">
        <w:t xml:space="preserve">to </w:t>
      </w:r>
      <w:r w:rsidR="1112E5AD">
        <w:t>either:</w:t>
      </w:r>
    </w:p>
    <w:p w14:paraId="0FA85C56" w14:textId="1D284AA1" w:rsidR="00EA0507" w:rsidRPr="005D5C02" w:rsidRDefault="39A41EB9" w:rsidP="00A63497">
      <w:pPr>
        <w:pStyle w:val="Bullet1"/>
        <w:numPr>
          <w:ilvl w:val="0"/>
          <w:numId w:val="27"/>
        </w:numPr>
      </w:pPr>
      <w:r>
        <w:t xml:space="preserve">Launch Housing’s St Kilda </w:t>
      </w:r>
      <w:r w:rsidR="00426D48">
        <w:t>Entry</w:t>
      </w:r>
      <w:r>
        <w:t xml:space="preserve"> Point</w:t>
      </w:r>
      <w:r w:rsidR="4F1704AE">
        <w:t>, which</w:t>
      </w:r>
      <w:r w:rsidR="00C450D1">
        <w:t xml:space="preserve"> </w:t>
      </w:r>
      <w:r>
        <w:t>manages all referrals into Flagstaff, the Open Door and Southbank</w:t>
      </w:r>
      <w:r w:rsidR="00A9375E">
        <w:t>.</w:t>
      </w:r>
    </w:p>
    <w:p w14:paraId="5011A99F" w14:textId="2DC3B537" w:rsidR="00EA0507" w:rsidRPr="005D5C02" w:rsidRDefault="39A41EB9" w:rsidP="00A63497">
      <w:pPr>
        <w:pStyle w:val="Bullet1"/>
        <w:numPr>
          <w:ilvl w:val="0"/>
          <w:numId w:val="27"/>
        </w:numPr>
      </w:pPr>
      <w:r>
        <w:t xml:space="preserve">VincentCare </w:t>
      </w:r>
      <w:r w:rsidR="00F83760">
        <w:t>Victoria</w:t>
      </w:r>
      <w:r w:rsidR="7EE9DB0B">
        <w:t>’s</w:t>
      </w:r>
      <w:r w:rsidR="00F83760">
        <w:t xml:space="preserve"> </w:t>
      </w:r>
      <w:r>
        <w:t>dedicated intake team</w:t>
      </w:r>
      <w:r w:rsidR="1332FF0F">
        <w:t xml:space="preserve">, </w:t>
      </w:r>
      <w:r>
        <w:t>located onsite at Ozanam House.</w:t>
      </w:r>
      <w:r w:rsidR="2A0C7542">
        <w:t xml:space="preserve"> </w:t>
      </w:r>
    </w:p>
    <w:p w14:paraId="143BCF5B" w14:textId="2D7D3916" w:rsidR="00C85882" w:rsidRPr="005B19D2" w:rsidRDefault="00C85882" w:rsidP="005D642E">
      <w:pPr>
        <w:pStyle w:val="Heading3"/>
        <w:numPr>
          <w:ilvl w:val="2"/>
          <w:numId w:val="15"/>
        </w:numPr>
        <w:ind w:left="1021"/>
      </w:pPr>
      <w:r w:rsidRPr="005B19D2">
        <w:t>Allocation Process</w:t>
      </w:r>
      <w:r w:rsidR="003D1543" w:rsidRPr="005B19D2">
        <w:t xml:space="preserve"> and Vacancy Management System</w:t>
      </w:r>
    </w:p>
    <w:p w14:paraId="45FE8460" w14:textId="1BB00951" w:rsidR="00F007B4" w:rsidRDefault="787B11B4" w:rsidP="2E68B7B9">
      <w:pPr>
        <w:pStyle w:val="Body"/>
      </w:pPr>
      <w:r w:rsidRPr="2E68B7B9">
        <w:t xml:space="preserve">Clients are prioritised for </w:t>
      </w:r>
      <w:r w:rsidR="00D1194A">
        <w:t xml:space="preserve">the </w:t>
      </w:r>
      <w:r w:rsidR="00421410">
        <w:t>CSA-TM program</w:t>
      </w:r>
      <w:r w:rsidR="00D1194A">
        <w:t xml:space="preserve"> </w:t>
      </w:r>
      <w:r w:rsidR="008C5C74">
        <w:t>(including both accommodation and support services)</w:t>
      </w:r>
      <w:r w:rsidR="00D1194A">
        <w:t xml:space="preserve"> </w:t>
      </w:r>
      <w:r w:rsidRPr="2E68B7B9">
        <w:t>based on the complexity of their support needs</w:t>
      </w:r>
      <w:r w:rsidR="006D306B">
        <w:t>,</w:t>
      </w:r>
      <w:r w:rsidRPr="2E68B7B9">
        <w:t xml:space="preserve"> which are determined through either formal assessment tools or a worker’s assessment of current need.</w:t>
      </w:r>
    </w:p>
    <w:p w14:paraId="32A57ACA" w14:textId="480BD7B2" w:rsidR="007D6032" w:rsidRDefault="007D6032" w:rsidP="2E68B7B9">
      <w:pPr>
        <w:pStyle w:val="Body"/>
      </w:pPr>
      <w:r>
        <w:t>Having previously stayed in a CSA-TM does not preclude a client from being considered f</w:t>
      </w:r>
      <w:r w:rsidR="00CC56F0">
        <w:t>or</w:t>
      </w:r>
      <w:r>
        <w:t xml:space="preserve"> another stay at a CSA-TM.</w:t>
      </w:r>
    </w:p>
    <w:p w14:paraId="25286102" w14:textId="754EB6A4" w:rsidR="00F007B4" w:rsidRDefault="787B11B4" w:rsidP="005319DA">
      <w:pPr>
        <w:pStyle w:val="Body"/>
      </w:pPr>
      <w:r w:rsidRPr="2E68B7B9">
        <w:t>Service providers may also conduct secondary assessment to evaluate whether the CSA-TM site is an appropriate referral option.</w:t>
      </w:r>
    </w:p>
    <w:p w14:paraId="349D674B" w14:textId="67F9990C" w:rsidR="009A4126" w:rsidRPr="00EA0507" w:rsidRDefault="008B10D3" w:rsidP="008B10D3">
      <w:pPr>
        <w:pStyle w:val="Body"/>
      </w:pPr>
      <w:r w:rsidRPr="00EA0507">
        <w:t xml:space="preserve">Residents are required to sign an agreement upon entering the </w:t>
      </w:r>
      <w:r w:rsidR="00421410">
        <w:t>CSA-TM program</w:t>
      </w:r>
      <w:r w:rsidR="00D1194A">
        <w:t xml:space="preserve"> </w:t>
      </w:r>
      <w:r w:rsidRPr="00EA0507">
        <w:t>which outlines their roles and responsibilities, conditions of stay and service charges.</w:t>
      </w:r>
    </w:p>
    <w:p w14:paraId="0E0B137F" w14:textId="77777777" w:rsidR="00D20C82" w:rsidRDefault="005319DA" w:rsidP="00594308">
      <w:pPr>
        <w:pStyle w:val="Body"/>
      </w:pPr>
      <w:r w:rsidRPr="2E68B7B9">
        <w:rPr>
          <w:szCs w:val="21"/>
        </w:rPr>
        <w:t xml:space="preserve">To ensure transparency of resources, all SHS must log all DFFH funded resources on the </w:t>
      </w:r>
      <w:r w:rsidRPr="00D839A4">
        <w:rPr>
          <w:szCs w:val="21"/>
          <w:u w:val="dotted"/>
        </w:rPr>
        <w:t>Vacancy Management System (VM</w:t>
      </w:r>
      <w:r w:rsidRPr="00D839A4">
        <w:rPr>
          <w:u w:val="dotted"/>
        </w:rPr>
        <w:t>S)</w:t>
      </w:r>
      <w:r>
        <w:t>, as this allows each SHS to view the range of funded programs. When a SHS has a vacancy, such as an available THM property, support capacity or flexible funding, then the VMS should be updated to reflect this vacancy.</w:t>
      </w:r>
      <w:r w:rsidR="00D41AB1" w:rsidRPr="00D41AB1">
        <w:t xml:space="preserve"> </w:t>
      </w:r>
    </w:p>
    <w:p w14:paraId="2E17F52A" w14:textId="7B505F67" w:rsidR="00D41AB1" w:rsidRPr="00D41AB1" w:rsidRDefault="00D41AB1" w:rsidP="00D41AB1">
      <w:pPr>
        <w:pStyle w:val="Body"/>
      </w:pPr>
      <w:r w:rsidRPr="00D41AB1">
        <w:t>The VMS is available through SHIP or through a specific licence for non-SHIP users. CHP provide training on the VMS, for further information please refer to the SHS Learning Hub</w:t>
      </w:r>
      <w:r w:rsidR="00AD02B2">
        <w:t xml:space="preserve"> linked below</w:t>
      </w:r>
      <w:r w:rsidRPr="00D41AB1">
        <w:t xml:space="preserve">. </w:t>
      </w:r>
    </w:p>
    <w:tbl>
      <w:tblPr>
        <w:tblStyle w:val="TableGrid"/>
        <w:tblW w:w="0" w:type="auto"/>
        <w:tblBorders>
          <w:top w:val="single" w:sz="4" w:space="0" w:color="032833" w:themeColor="text1"/>
          <w:left w:val="single" w:sz="4" w:space="0" w:color="032833" w:themeColor="text1"/>
          <w:bottom w:val="single" w:sz="4" w:space="0" w:color="032833" w:themeColor="text1"/>
          <w:right w:val="single" w:sz="4" w:space="0" w:color="032833" w:themeColor="text1"/>
          <w:insideH w:val="single" w:sz="4" w:space="0" w:color="032833" w:themeColor="text1"/>
          <w:insideV w:val="single" w:sz="4" w:space="0" w:color="032833" w:themeColor="text1"/>
        </w:tblBorders>
        <w:tblLook w:val="04A0" w:firstRow="1" w:lastRow="0" w:firstColumn="1" w:lastColumn="0" w:noHBand="0" w:noVBand="1"/>
      </w:tblPr>
      <w:tblGrid>
        <w:gridCol w:w="9016"/>
      </w:tblGrid>
      <w:tr w:rsidR="00D41AB1" w:rsidRPr="00D41AB1" w14:paraId="2995408A" w14:textId="77777777" w:rsidTr="001F3F4F">
        <w:trPr>
          <w:trHeight w:val="300"/>
        </w:trPr>
        <w:tc>
          <w:tcPr>
            <w:tcW w:w="9016" w:type="dxa"/>
          </w:tcPr>
          <w:p w14:paraId="68250B58" w14:textId="77777777" w:rsidR="00D41AB1" w:rsidRPr="00D41AB1" w:rsidRDefault="00D41AB1" w:rsidP="00D41AB1">
            <w:pPr>
              <w:pStyle w:val="Body"/>
            </w:pPr>
            <w:r w:rsidRPr="00D41AB1">
              <w:rPr>
                <w:u w:val="dotted"/>
              </w:rPr>
              <w:t>CHP</w:t>
            </w:r>
            <w:r w:rsidRPr="00D41AB1">
              <w:t xml:space="preserve"> </w:t>
            </w:r>
            <w:hyperlink r:id="rId26">
              <w:r w:rsidRPr="00D41AB1">
                <w:rPr>
                  <w:rStyle w:val="Hyperlink"/>
                  <w:rFonts w:ascii="Avenir Book" w:hAnsi="Avenir Book"/>
                </w:rPr>
                <w:t>SHS Learning Hub</w:t>
              </w:r>
            </w:hyperlink>
            <w:r w:rsidRPr="00D41AB1">
              <w:t xml:space="preserve"> </w:t>
            </w:r>
          </w:p>
          <w:p w14:paraId="70312CEC" w14:textId="77777777" w:rsidR="00D41AB1" w:rsidRPr="00D41AB1" w:rsidRDefault="00D41AB1" w:rsidP="00D41AB1">
            <w:pPr>
              <w:pStyle w:val="Body"/>
            </w:pPr>
            <w:r w:rsidRPr="00D41AB1">
              <w:t xml:space="preserve">https://chp.org.au/sector-learning-and-development/shs-learning-program/ </w:t>
            </w:r>
          </w:p>
        </w:tc>
      </w:tr>
    </w:tbl>
    <w:p w14:paraId="4DA03E89" w14:textId="77777777" w:rsidR="00DE3BA9" w:rsidRDefault="00DE3BA9" w:rsidP="00D41AB1">
      <w:pPr>
        <w:pStyle w:val="Body"/>
      </w:pPr>
    </w:p>
    <w:p w14:paraId="5DD9A9B3" w14:textId="7038C9BD" w:rsidR="00D41AB1" w:rsidRPr="00D41AB1" w:rsidRDefault="00D41AB1" w:rsidP="00D41AB1">
      <w:pPr>
        <w:pStyle w:val="Body"/>
      </w:pPr>
      <w:r w:rsidRPr="00D41AB1">
        <w:t>For access or more information, email Housing and Homelessness Support branch at Homes Victoria</w:t>
      </w:r>
      <w:r w:rsidR="00345923">
        <w:t>.</w:t>
      </w:r>
    </w:p>
    <w:tbl>
      <w:tblPr>
        <w:tblStyle w:val="TableGrid"/>
        <w:tblW w:w="0" w:type="auto"/>
        <w:tblLook w:val="04A0" w:firstRow="1" w:lastRow="0" w:firstColumn="1" w:lastColumn="0" w:noHBand="0" w:noVBand="1"/>
      </w:tblPr>
      <w:tblGrid>
        <w:gridCol w:w="9016"/>
      </w:tblGrid>
      <w:tr w:rsidR="00D41AB1" w:rsidRPr="00D41AB1" w14:paraId="1975198D" w14:textId="77777777" w:rsidTr="001F3F4F">
        <w:tc>
          <w:tcPr>
            <w:tcW w:w="9016" w:type="dxa"/>
          </w:tcPr>
          <w:p w14:paraId="02502161" w14:textId="77777777" w:rsidR="00D41AB1" w:rsidRPr="00D41AB1" w:rsidRDefault="00D41AB1" w:rsidP="00D41AB1">
            <w:pPr>
              <w:pStyle w:val="Body"/>
            </w:pPr>
            <w:r w:rsidRPr="00D41AB1">
              <w:t>Homes</w:t>
            </w:r>
            <w:r w:rsidRPr="00D41AB1">
              <w:rPr>
                <w:u w:val="dotted"/>
              </w:rPr>
              <w:t xml:space="preserve"> Victoria </w:t>
            </w:r>
            <w:r w:rsidRPr="00D41AB1">
              <w:t xml:space="preserve">Housing and Homelessness Support branch </w:t>
            </w:r>
            <w:hyperlink r:id="rId27" w:history="1">
              <w:r w:rsidRPr="00D41AB1">
                <w:rPr>
                  <w:rStyle w:val="Hyperlink"/>
                  <w:rFonts w:ascii="Avenir Book" w:hAnsi="Avenir Book"/>
                </w:rPr>
                <w:t>email</w:t>
              </w:r>
            </w:hyperlink>
            <w:r w:rsidRPr="00D41AB1">
              <w:t xml:space="preserve"> </w:t>
            </w:r>
          </w:p>
          <w:p w14:paraId="571D488C" w14:textId="77777777" w:rsidR="00D41AB1" w:rsidRPr="00D41AB1" w:rsidRDefault="00D41AB1" w:rsidP="00D41AB1">
            <w:pPr>
              <w:pStyle w:val="Body"/>
            </w:pPr>
            <w:bookmarkStart w:id="7" w:name="_Hlk214012455"/>
            <w:r w:rsidRPr="00D41AB1">
              <w:t xml:space="preserve">HHS@homes.vic.gov.au </w:t>
            </w:r>
            <w:bookmarkEnd w:id="7"/>
          </w:p>
        </w:tc>
      </w:tr>
    </w:tbl>
    <w:p w14:paraId="6516187B" w14:textId="77777777" w:rsidR="00D41AB1" w:rsidRPr="0013393F" w:rsidRDefault="00D41AB1" w:rsidP="00D44E40">
      <w:pPr>
        <w:pStyle w:val="Body"/>
        <w:rPr>
          <w:rStyle w:val="normaltextrun"/>
        </w:rPr>
      </w:pPr>
    </w:p>
    <w:p w14:paraId="31AB8079" w14:textId="0244C5A0" w:rsidR="00DF26F7" w:rsidRPr="003449A5" w:rsidRDefault="00DF26F7" w:rsidP="006169FE">
      <w:pPr>
        <w:pStyle w:val="Heading2"/>
      </w:pPr>
      <w:bookmarkStart w:id="8" w:name="_Toc212646919"/>
      <w:bookmarkStart w:id="9" w:name="_Toc212646920"/>
      <w:bookmarkEnd w:id="8"/>
      <w:r w:rsidRPr="003449A5">
        <w:t xml:space="preserve">Intersection between </w:t>
      </w:r>
      <w:r w:rsidR="739525C4">
        <w:t>CSA-TMs</w:t>
      </w:r>
      <w:r w:rsidRPr="003449A5">
        <w:t xml:space="preserve"> and other programs, systems or initiatives</w:t>
      </w:r>
      <w:bookmarkEnd w:id="9"/>
      <w:r>
        <w:t xml:space="preserve"> </w:t>
      </w:r>
    </w:p>
    <w:p w14:paraId="46A09169" w14:textId="0EC29F66" w:rsidR="00967B6F" w:rsidRPr="003F1725" w:rsidRDefault="00DF26F7" w:rsidP="00BD6F5A">
      <w:pPr>
        <w:pStyle w:val="Bullet1"/>
        <w:numPr>
          <w:ilvl w:val="0"/>
          <w:numId w:val="0"/>
        </w:numPr>
      </w:pPr>
      <w:r>
        <w:t xml:space="preserve">To effectively serve clients experiencing homelessness, collaboration and coordination with other systems and programs is crucial. </w:t>
      </w:r>
      <w:r w:rsidRPr="119FB08E">
        <w:rPr>
          <w:szCs w:val="21"/>
        </w:rPr>
        <w:t>This</w:t>
      </w:r>
      <w:r w:rsidRPr="119FB08E">
        <w:rPr>
          <w:color w:val="0F8194" w:themeColor="accent1"/>
        </w:rPr>
        <w:t xml:space="preserve"> </w:t>
      </w:r>
      <w:r>
        <w:t xml:space="preserve">section </w:t>
      </w:r>
      <w:r w:rsidRPr="003071BD">
        <w:t xml:space="preserve">highlights how </w:t>
      </w:r>
      <w:r w:rsidR="00040A23" w:rsidRPr="003071BD">
        <w:t>CSA-TM</w:t>
      </w:r>
      <w:r w:rsidR="003C4E81" w:rsidRPr="003071BD">
        <w:t>s</w:t>
      </w:r>
      <w:r w:rsidRPr="003071BD">
        <w:t xml:space="preserve"> interact </w:t>
      </w:r>
      <w:r w:rsidR="00F56288" w:rsidRPr="119FB08E">
        <w:t>wit</w:t>
      </w:r>
      <w:r w:rsidR="0036651C">
        <w:t>h other</w:t>
      </w:r>
      <w:r w:rsidR="00BD6F5A">
        <w:t xml:space="preserve"> service providers, organisations, and agencies,</w:t>
      </w:r>
      <w:r w:rsidRPr="119FB08E">
        <w:rPr>
          <w:color w:val="0F8194" w:themeColor="accent1"/>
        </w:rPr>
        <w:t xml:space="preserve"> </w:t>
      </w:r>
      <w:r>
        <w:t xml:space="preserve">ensuring comprehensive support while avoiding duplication of effort. Understanding these interconnected relationships empowers staff to navigate referrals, share resources, and ultimately maximise client </w:t>
      </w:r>
      <w:r w:rsidRPr="00F6775A">
        <w:t>outcomes.</w:t>
      </w:r>
      <w:r w:rsidR="00F6775A" w:rsidRPr="00F6775A">
        <w:t xml:space="preserve"> </w:t>
      </w:r>
      <w:r w:rsidR="006B0228" w:rsidRPr="00F6775A">
        <w:t>Recogn</w:t>
      </w:r>
      <w:r w:rsidR="00F6775A" w:rsidRPr="00F6775A">
        <w:t>ising</w:t>
      </w:r>
      <w:r w:rsidR="006B0228" w:rsidRPr="00F6775A">
        <w:t xml:space="preserve"> that CSA-TM clients have a range of support needs, multidisciplinary</w:t>
      </w:r>
      <w:r w:rsidR="006500D0" w:rsidRPr="00F6775A">
        <w:t xml:space="preserve"> </w:t>
      </w:r>
      <w:r w:rsidR="00967B6F" w:rsidRPr="00F6775A">
        <w:t>services</w:t>
      </w:r>
      <w:r w:rsidR="006500D0" w:rsidRPr="00F6775A">
        <w:t xml:space="preserve"> </w:t>
      </w:r>
      <w:r w:rsidR="00967B6F" w:rsidRPr="00F6775A">
        <w:t>may be provided or referred, as guided by a client’s case plan</w:t>
      </w:r>
      <w:r w:rsidR="006500D0" w:rsidRPr="00F6775A">
        <w:t>. These</w:t>
      </w:r>
      <w:r w:rsidR="00967B6F" w:rsidRPr="00F6775A">
        <w:t xml:space="preserve"> include</w:t>
      </w:r>
      <w:r w:rsidR="00967B6F" w:rsidRPr="003F1725">
        <w:t>:</w:t>
      </w:r>
    </w:p>
    <w:p w14:paraId="18F73B45" w14:textId="61614D69" w:rsidR="00967B6F" w:rsidRPr="003F1725" w:rsidRDefault="00967B6F" w:rsidP="00967B6F">
      <w:pPr>
        <w:pStyle w:val="Bullet1"/>
      </w:pPr>
      <w:r w:rsidRPr="003F1725">
        <w:t>mental health support (which may include clinical services, counselling, mental health nurses, mental health case management, or access to specialist services)</w:t>
      </w:r>
    </w:p>
    <w:p w14:paraId="5FA97C8A" w14:textId="72EDF453" w:rsidR="00967B6F" w:rsidRPr="003F1725" w:rsidRDefault="00967B6F" w:rsidP="00967B6F">
      <w:pPr>
        <w:pStyle w:val="Bullet1"/>
      </w:pPr>
      <w:r w:rsidRPr="003F1725">
        <w:lastRenderedPageBreak/>
        <w:t>physical health support (which may include access to a general practitioner, support with pharmacotherapy, care coordination, allied health services, and other health and wellbeing services)</w:t>
      </w:r>
    </w:p>
    <w:p w14:paraId="041B9600" w14:textId="2FCE3A5C" w:rsidR="00967B6F" w:rsidRPr="003F1725" w:rsidRDefault="00967B6F" w:rsidP="00967B6F">
      <w:pPr>
        <w:pStyle w:val="Bullet1"/>
      </w:pPr>
      <w:r w:rsidRPr="003F1725">
        <w:t>dual diagnosis support for people with both mental health and AOD needs (which may include counselling, forensic services or other community or specialist services)</w:t>
      </w:r>
    </w:p>
    <w:p w14:paraId="315625A3" w14:textId="749760D5" w:rsidR="00967B6F" w:rsidRPr="003F1725" w:rsidRDefault="00967B6F" w:rsidP="00967B6F">
      <w:pPr>
        <w:pStyle w:val="Bullet1"/>
      </w:pPr>
      <w:r w:rsidRPr="003F1725">
        <w:t>therapeutic recreation and/or social inclusion activities (which may be provided on-site, in the local community, or access to a specialist activity off-site)</w:t>
      </w:r>
    </w:p>
    <w:p w14:paraId="50EEBB6D" w14:textId="109855BF" w:rsidR="00967B6F" w:rsidRPr="003F1725" w:rsidRDefault="00967B6F" w:rsidP="00967B6F">
      <w:pPr>
        <w:pStyle w:val="Bullet1"/>
      </w:pPr>
      <w:r w:rsidRPr="003F1725">
        <w:t>peer support (which may include peer support workers, access to lived experience reference groups, or other supports)</w:t>
      </w:r>
    </w:p>
    <w:p w14:paraId="71991CEF" w14:textId="051472D3" w:rsidR="00967B6F" w:rsidRPr="003F1725" w:rsidRDefault="00967B6F" w:rsidP="00967B6F">
      <w:pPr>
        <w:pStyle w:val="Bullet1"/>
      </w:pPr>
      <w:r w:rsidRPr="003F1725">
        <w:t>facilitating secondary consults and coordinated responses, as appropriate.</w:t>
      </w:r>
    </w:p>
    <w:p w14:paraId="19F802F3" w14:textId="41EA5286" w:rsidR="00967B6F" w:rsidRPr="00067659" w:rsidRDefault="000440BF" w:rsidP="00EF0D4D">
      <w:pPr>
        <w:pStyle w:val="Body"/>
        <w:rPr>
          <w:color w:val="FF0000"/>
        </w:rPr>
      </w:pPr>
      <w:r>
        <w:t>CSA-TM providers</w:t>
      </w:r>
      <w:r w:rsidR="00967B6F">
        <w:t xml:space="preserve"> may refer clients to external specialised supports not available on-site, such as culturally specific services delivered by Aboriginal Community Controlled Organisations (ACCOs) </w:t>
      </w:r>
      <w:r w:rsidR="00967B6F" w:rsidRPr="008C29FC">
        <w:t>and other</w:t>
      </w:r>
      <w:r w:rsidR="003D6A43" w:rsidRPr="003C6C40">
        <w:t xml:space="preserve"> </w:t>
      </w:r>
      <w:r w:rsidR="003D6A43" w:rsidRPr="00067659">
        <w:t>relevant specialist</w:t>
      </w:r>
      <w:r w:rsidR="00967B6F" w:rsidRPr="008C29FC">
        <w:t xml:space="preserve"> supports.</w:t>
      </w:r>
    </w:p>
    <w:p w14:paraId="55296F9B" w14:textId="6565DF97" w:rsidR="00DF26F7" w:rsidRDefault="000440BF" w:rsidP="00EF0D4D">
      <w:pPr>
        <w:pStyle w:val="Body"/>
      </w:pPr>
      <w:r>
        <w:t>CSA-TM providers</w:t>
      </w:r>
      <w:r w:rsidR="00F6775A">
        <w:t xml:space="preserve"> </w:t>
      </w:r>
      <w:r w:rsidR="00967B6F" w:rsidRPr="003F1725">
        <w:t>may request that specialist supports attend the site based on each client’s specific support needs.</w:t>
      </w:r>
    </w:p>
    <w:p w14:paraId="1A6B5E3B" w14:textId="445ABE07" w:rsidR="007C6277" w:rsidRPr="003449A5" w:rsidRDefault="00E874B4" w:rsidP="003449A5">
      <w:pPr>
        <w:pStyle w:val="Heading1"/>
      </w:pPr>
      <w:bookmarkStart w:id="10" w:name="_Toc212646921"/>
      <w:r>
        <w:t>Program components</w:t>
      </w:r>
      <w:bookmarkEnd w:id="10"/>
      <w:r>
        <w:t xml:space="preserve"> </w:t>
      </w:r>
    </w:p>
    <w:p w14:paraId="60F0EA2D" w14:textId="1AC3D45C" w:rsidR="007C6277" w:rsidRPr="00A94026" w:rsidRDefault="52F7B0D3" w:rsidP="119FB08E">
      <w:pPr>
        <w:pStyle w:val="Body"/>
      </w:pPr>
      <w:r>
        <w:t xml:space="preserve">This section outlines the expectations of </w:t>
      </w:r>
      <w:r w:rsidR="578742F8">
        <w:t xml:space="preserve">workers </w:t>
      </w:r>
      <w:r w:rsidR="578742F8" w:rsidRPr="00A94026">
        <w:t>within</w:t>
      </w:r>
      <w:r w:rsidR="5E5D9384" w:rsidRPr="00A94026">
        <w:t xml:space="preserve"> </w:t>
      </w:r>
      <w:r w:rsidR="50744016" w:rsidRPr="00A94026">
        <w:t>CSA-TMs</w:t>
      </w:r>
      <w:r w:rsidR="5E5D9384" w:rsidRPr="00A94026">
        <w:t>.</w:t>
      </w:r>
    </w:p>
    <w:p w14:paraId="02995DA3" w14:textId="77777777" w:rsidR="00801EB4" w:rsidRDefault="00801EB4" w:rsidP="00801EB4">
      <w:pPr>
        <w:pStyle w:val="Body"/>
      </w:pPr>
      <w:r>
        <w:t>Homes Victoria is committed to supporting SHS to achieve high standards of practice and service in the delivery of homelessness services. SHS are expected to uphold key service delivery principles that ensure Victorians experiencing or at risk of homelessness receive high-quality and effective support.</w:t>
      </w:r>
    </w:p>
    <w:p w14:paraId="46DC1688" w14:textId="2E56D4ED" w:rsidR="009108FD" w:rsidRDefault="004373E2" w:rsidP="2E68B7B9">
      <w:pPr>
        <w:pStyle w:val="Body"/>
      </w:pPr>
      <w:r>
        <w:t xml:space="preserve">In addition to the principles outlined in the </w:t>
      </w:r>
      <w:r w:rsidRPr="0013393F">
        <w:rPr>
          <w:u w:val="dotted"/>
        </w:rPr>
        <w:t>Homelessness and Housing Support Guidelines 2025</w:t>
      </w:r>
      <w:r>
        <w:t>, t</w:t>
      </w:r>
      <w:r w:rsidR="009108FD">
        <w:t xml:space="preserve">he </w:t>
      </w:r>
      <w:r w:rsidR="00421410">
        <w:t>CSA-TM program</w:t>
      </w:r>
      <w:r w:rsidR="009108FD">
        <w:t xml:space="preserve"> will also demonstrate the following additional principles:</w:t>
      </w:r>
    </w:p>
    <w:p w14:paraId="70295E35" w14:textId="7F32F532" w:rsidR="009108FD" w:rsidRDefault="009108FD" w:rsidP="0005067A">
      <w:pPr>
        <w:pStyle w:val="Heading5"/>
      </w:pPr>
      <w:r>
        <w:t>Harm reduction</w:t>
      </w:r>
    </w:p>
    <w:p w14:paraId="379409A7" w14:textId="045947EF" w:rsidR="007C6277" w:rsidRDefault="3DC5C614" w:rsidP="2E68B7B9">
      <w:pPr>
        <w:pStyle w:val="Body"/>
      </w:pPr>
      <w:r w:rsidRPr="2E68B7B9">
        <w:t xml:space="preserve">A harm reduction approach aims to reduce the negative consequences associated with alcohol and other drug use and reduces other related risk factors. This approach uses strategies such as education and safe consumption programs, without insisting on complete abstinence. </w:t>
      </w:r>
    </w:p>
    <w:p w14:paraId="50FBE772" w14:textId="68D5CC18" w:rsidR="007C6277" w:rsidRDefault="3DC5C614" w:rsidP="2E68B7B9">
      <w:pPr>
        <w:pStyle w:val="Body"/>
      </w:pPr>
      <w:r w:rsidRPr="2E68B7B9">
        <w:t>In practice this includes:</w:t>
      </w:r>
    </w:p>
    <w:p w14:paraId="2F09EDCC" w14:textId="1999F975" w:rsidR="007C6277" w:rsidRDefault="3DC5C614" w:rsidP="005908ED">
      <w:pPr>
        <w:pStyle w:val="Bullet1"/>
        <w:numPr>
          <w:ilvl w:val="0"/>
          <w:numId w:val="17"/>
        </w:numPr>
      </w:pPr>
      <w:r w:rsidRPr="2E68B7B9">
        <w:t>Clients have access to alcohol and other drug (AOD) specialists and can choose whether to engage with AOD support.</w:t>
      </w:r>
    </w:p>
    <w:p w14:paraId="4AB34678" w14:textId="15D90B5D" w:rsidR="007C6277" w:rsidRDefault="3DC5C614" w:rsidP="005908ED">
      <w:pPr>
        <w:pStyle w:val="Bullet1"/>
        <w:numPr>
          <w:ilvl w:val="0"/>
          <w:numId w:val="17"/>
        </w:numPr>
      </w:pPr>
      <w:r w:rsidRPr="2E68B7B9">
        <w:t>Clients have access to safe injecting equipment.</w:t>
      </w:r>
    </w:p>
    <w:p w14:paraId="3147092D" w14:textId="3A9CCD66" w:rsidR="00E56DFD" w:rsidRDefault="3DC5C614" w:rsidP="005908ED">
      <w:pPr>
        <w:pStyle w:val="Bullet1"/>
        <w:numPr>
          <w:ilvl w:val="0"/>
          <w:numId w:val="17"/>
        </w:numPr>
      </w:pPr>
      <w:r w:rsidRPr="2E68B7B9">
        <w:t>Clients can be referred to external/offsite specialists or detoxification and rehabilitation services if required.</w:t>
      </w:r>
    </w:p>
    <w:p w14:paraId="5F01C39C" w14:textId="5F799477" w:rsidR="000714D9" w:rsidRPr="000714D9" w:rsidRDefault="000714D9" w:rsidP="000714D9">
      <w:pPr>
        <w:pStyle w:val="Heading5"/>
        <w:rPr>
          <w:color w:val="032833" w:themeColor="text1"/>
        </w:rPr>
      </w:pPr>
      <w:bookmarkStart w:id="11" w:name="_Toc187310177"/>
      <w:r>
        <w:t>Culturally safe services for Aboriginal and Torres Strait Islander clients</w:t>
      </w:r>
      <w:bookmarkEnd w:id="11"/>
    </w:p>
    <w:p w14:paraId="02FF1D6E" w14:textId="594AB750" w:rsidR="00CD1C7F" w:rsidRDefault="00AC4B8A" w:rsidP="2E68B7B9">
      <w:pPr>
        <w:pStyle w:val="Body"/>
      </w:pPr>
      <w:r>
        <w:t xml:space="preserve">The </w:t>
      </w:r>
      <w:r w:rsidR="00421410">
        <w:t>CSA-TM program</w:t>
      </w:r>
      <w:r w:rsidR="3DC5C614" w:rsidRPr="2E68B7B9">
        <w:t xml:space="preserve"> should be delivered in a way that promotes cultural safety for Aboriginal and Torres Strait Islander people. Culturally safe practices are best practice and improve outcomes for the Aboriginal community.</w:t>
      </w:r>
    </w:p>
    <w:p w14:paraId="6020A2BB" w14:textId="053B0BF9" w:rsidR="007C6277" w:rsidRDefault="00CD1C7F" w:rsidP="2E68B7B9">
      <w:pPr>
        <w:pStyle w:val="Body"/>
      </w:pPr>
      <w:r>
        <w:t xml:space="preserve">Practices </w:t>
      </w:r>
      <w:r w:rsidR="00D75736">
        <w:t>which may</w:t>
      </w:r>
      <w:r>
        <w:t xml:space="preserve"> </w:t>
      </w:r>
      <w:r w:rsidR="00D75736">
        <w:t>promote</w:t>
      </w:r>
      <w:r w:rsidR="00DA346C">
        <w:t xml:space="preserve"> cultural safety </w:t>
      </w:r>
      <w:r w:rsidR="3DC5C614" w:rsidRPr="2E68B7B9">
        <w:t>include</w:t>
      </w:r>
      <w:r w:rsidR="001B405C">
        <w:t xml:space="preserve"> (but</w:t>
      </w:r>
      <w:r w:rsidR="00DA346C">
        <w:t xml:space="preserve"> are</w:t>
      </w:r>
      <w:r w:rsidR="001B405C">
        <w:t xml:space="preserve"> not limited to)</w:t>
      </w:r>
      <w:r w:rsidR="3DC5C614" w:rsidRPr="2E68B7B9">
        <w:t>:</w:t>
      </w:r>
    </w:p>
    <w:p w14:paraId="5F17D806" w14:textId="6DC7FDE1" w:rsidR="007C6277" w:rsidRDefault="3DC5C614" w:rsidP="005908ED">
      <w:pPr>
        <w:pStyle w:val="Bullet1"/>
        <w:numPr>
          <w:ilvl w:val="0"/>
          <w:numId w:val="16"/>
        </w:numPr>
      </w:pPr>
      <w:r w:rsidRPr="2E68B7B9">
        <w:t>Signage placed in CSA-TM sites which acknowledges the Traditional Custodians of the land.</w:t>
      </w:r>
    </w:p>
    <w:p w14:paraId="73F3C4BE" w14:textId="286D2B31" w:rsidR="007C6277" w:rsidRDefault="3DC5C614" w:rsidP="005908ED">
      <w:pPr>
        <w:pStyle w:val="Bullet1"/>
        <w:numPr>
          <w:ilvl w:val="0"/>
          <w:numId w:val="16"/>
        </w:numPr>
      </w:pPr>
      <w:r w:rsidRPr="2E68B7B9">
        <w:t>Compulsory cultural safety training for all staff</w:t>
      </w:r>
      <w:r w:rsidR="000D0520">
        <w:t xml:space="preserve"> and an ongoing commitment to </w:t>
      </w:r>
      <w:r w:rsidR="009D4E3C">
        <w:t xml:space="preserve">equipping staff with </w:t>
      </w:r>
      <w:r w:rsidR="00802DBA">
        <w:t xml:space="preserve">developing appropriate skills and attitudes </w:t>
      </w:r>
      <w:r w:rsidR="009D4E3C">
        <w:t>to work with Aboriginal people</w:t>
      </w:r>
      <w:r w:rsidRPr="2E68B7B9">
        <w:t>.</w:t>
      </w:r>
    </w:p>
    <w:p w14:paraId="1F597DFA" w14:textId="22176277" w:rsidR="007C6277" w:rsidRDefault="3DC5C614" w:rsidP="005908ED">
      <w:pPr>
        <w:pStyle w:val="Bullet1"/>
        <w:numPr>
          <w:ilvl w:val="0"/>
          <w:numId w:val="16"/>
        </w:numPr>
      </w:pPr>
      <w:r w:rsidRPr="2E68B7B9">
        <w:t>Recognising significant cultural events as part of on-site activities.</w:t>
      </w:r>
    </w:p>
    <w:p w14:paraId="3340129B" w14:textId="47021D1D" w:rsidR="007C6277" w:rsidRDefault="3DC5C614" w:rsidP="005908ED">
      <w:pPr>
        <w:pStyle w:val="Bullet1"/>
        <w:numPr>
          <w:ilvl w:val="0"/>
          <w:numId w:val="16"/>
        </w:numPr>
      </w:pPr>
      <w:r w:rsidRPr="2E68B7B9">
        <w:lastRenderedPageBreak/>
        <w:t>Providing Aboriginal clients with information about both Aboriginal specific services and mainstream services and allowing them to choose which service they wish to receive.</w:t>
      </w:r>
    </w:p>
    <w:p w14:paraId="4EB9CEAF" w14:textId="1FE3C500" w:rsidR="007C6277" w:rsidRDefault="3DC5C614" w:rsidP="005908ED">
      <w:pPr>
        <w:pStyle w:val="Bullet1"/>
        <w:numPr>
          <w:ilvl w:val="0"/>
          <w:numId w:val="16"/>
        </w:numPr>
      </w:pPr>
      <w:r w:rsidRPr="2E68B7B9">
        <w:t>Having clear rules, as part of resident agreements stating that racism, or any other form of discrimination is not permitted on site.</w:t>
      </w:r>
    </w:p>
    <w:p w14:paraId="4CF565F1" w14:textId="6C2F25D9" w:rsidR="007C6277" w:rsidRDefault="3DC5C614" w:rsidP="005908ED">
      <w:pPr>
        <w:pStyle w:val="Bullet1"/>
        <w:numPr>
          <w:ilvl w:val="0"/>
          <w:numId w:val="16"/>
        </w:numPr>
      </w:pPr>
      <w:r w:rsidRPr="2E68B7B9">
        <w:t>Collecting feedback on whether Aboriginal and Torres Strait Islander clients feel culturally safe during their stay.</w:t>
      </w:r>
    </w:p>
    <w:p w14:paraId="777A9BB9" w14:textId="2FCD4749" w:rsidR="00407D12" w:rsidRDefault="3DC5C614" w:rsidP="00067659">
      <w:pPr>
        <w:pStyle w:val="Bullet1"/>
        <w:numPr>
          <w:ilvl w:val="0"/>
          <w:numId w:val="16"/>
        </w:numPr>
      </w:pPr>
      <w:r w:rsidRPr="2E68B7B9">
        <w:t>Embedding mechanisms to respond to feedback from Aboriginal and Torres Strait Islander people about the services they receive.</w:t>
      </w:r>
    </w:p>
    <w:p w14:paraId="6E46CC77" w14:textId="5B69D4A9" w:rsidR="007C6277" w:rsidRDefault="3DC5C614" w:rsidP="2E68B7B9">
      <w:pPr>
        <w:pStyle w:val="Body"/>
      </w:pPr>
      <w:r>
        <w:t xml:space="preserve">Cultural safety goes beyond signage and training and requires intentional critique of service offerings </w:t>
      </w:r>
      <w:r w:rsidR="004B0206">
        <w:t xml:space="preserve">through being aware of difference, </w:t>
      </w:r>
      <w:r>
        <w:t>decolonising</w:t>
      </w:r>
      <w:r w:rsidR="00E01BE6">
        <w:t xml:space="preserve"> approaches</w:t>
      </w:r>
      <w:r w:rsidR="004B0206">
        <w:t xml:space="preserve">, considering power relationships, implementing reflective practice and by allowing the individual to </w:t>
      </w:r>
      <w:r w:rsidR="00C8523F">
        <w:t>determine</w:t>
      </w:r>
      <w:r w:rsidR="00A1769A">
        <w:t xml:space="preserve"> whether a support encounter is safe. </w:t>
      </w:r>
    </w:p>
    <w:p w14:paraId="5A13AA2C" w14:textId="153F03C0" w:rsidR="38DDD790" w:rsidRDefault="0B80BFD9" w:rsidP="38DDD790">
      <w:pPr>
        <w:pStyle w:val="Body"/>
      </w:pPr>
      <w:r>
        <w:t xml:space="preserve">Decolonising approaches </w:t>
      </w:r>
      <w:r w:rsidR="21606824">
        <w:t>involve taking action to address the ongoing negative effects of colonisation. This may inclu</w:t>
      </w:r>
      <w:r w:rsidR="2277E102">
        <w:t>de strategies such as:</w:t>
      </w:r>
    </w:p>
    <w:p w14:paraId="40C0EC4B" w14:textId="401F3773" w:rsidR="2277E102" w:rsidRPr="00067659" w:rsidRDefault="2277E102" w:rsidP="00067659">
      <w:pPr>
        <w:pStyle w:val="Bullet1"/>
        <w:ind w:left="720" w:hanging="360"/>
      </w:pPr>
      <w:r w:rsidRPr="00067659">
        <w:t>Aboriginal and Torres Strait Islander leadership and governance</w:t>
      </w:r>
    </w:p>
    <w:p w14:paraId="5917822A" w14:textId="0610319D" w:rsidR="2277E102" w:rsidRPr="00067659" w:rsidRDefault="00E918FC" w:rsidP="00067659">
      <w:pPr>
        <w:pStyle w:val="Bullet1"/>
        <w:ind w:left="720" w:hanging="360"/>
      </w:pPr>
      <w:r>
        <w:t>e</w:t>
      </w:r>
      <w:r w:rsidR="2277E102" w:rsidRPr="00067659">
        <w:t>mploy</w:t>
      </w:r>
      <w:r w:rsidR="2277E102" w:rsidRPr="7B33EB43">
        <w:t xml:space="preserve">ing </w:t>
      </w:r>
      <w:r w:rsidR="2277E102" w:rsidRPr="00067659">
        <w:t>Aboriginal and Torres Strait Islander staff</w:t>
      </w:r>
    </w:p>
    <w:p w14:paraId="19F150C4" w14:textId="31B34831" w:rsidR="2277E102" w:rsidRPr="00067659" w:rsidRDefault="2277E102" w:rsidP="00067659">
      <w:pPr>
        <w:pStyle w:val="Bullet1"/>
        <w:ind w:left="720" w:hanging="360"/>
      </w:pPr>
      <w:r w:rsidRPr="1B68BF12">
        <w:t>w</w:t>
      </w:r>
      <w:r w:rsidRPr="00067659">
        <w:t>orking in ways consistent with sovereignty and self-determination</w:t>
      </w:r>
    </w:p>
    <w:p w14:paraId="08070B9B" w14:textId="6E0E7E07" w:rsidR="2277E102" w:rsidRPr="00067659" w:rsidRDefault="2277E102" w:rsidP="00067659">
      <w:pPr>
        <w:pStyle w:val="Bullet1"/>
        <w:ind w:left="720" w:hanging="360"/>
      </w:pPr>
      <w:r w:rsidRPr="10C54BD6">
        <w:t>a</w:t>
      </w:r>
      <w:r w:rsidRPr="00067659">
        <w:t>nti-racism strategies</w:t>
      </w:r>
    </w:p>
    <w:p w14:paraId="046C1602" w14:textId="07CD2378" w:rsidR="2277E102" w:rsidRPr="00067659" w:rsidRDefault="2277E102" w:rsidP="00067659">
      <w:pPr>
        <w:pStyle w:val="Bullet1"/>
        <w:ind w:left="720" w:hanging="360"/>
      </w:pPr>
      <w:r w:rsidRPr="14562C6D">
        <w:t>a</w:t>
      </w:r>
      <w:r w:rsidRPr="00067659">
        <w:t>ction and advocacy on social determinants of Indigenous health in the community</w:t>
      </w:r>
    </w:p>
    <w:p w14:paraId="163E0638" w14:textId="43906BFD" w:rsidR="2277E102" w:rsidRPr="00067659" w:rsidRDefault="2277E102" w:rsidP="00067659">
      <w:pPr>
        <w:pStyle w:val="Bullet1"/>
        <w:ind w:left="720" w:hanging="360"/>
      </w:pPr>
      <w:r w:rsidRPr="1BBB0C0E">
        <w:t xml:space="preserve">working </w:t>
      </w:r>
      <w:r w:rsidRPr="1103A72E">
        <w:t xml:space="preserve">in </w:t>
      </w:r>
      <w:r w:rsidRPr="280FB454">
        <w:t>ways</w:t>
      </w:r>
      <w:r w:rsidRPr="00B1454B">
        <w:t xml:space="preserve"> </w:t>
      </w:r>
      <w:r w:rsidRPr="00067659">
        <w:t>that strengthen cultural identity and integrity</w:t>
      </w:r>
    </w:p>
    <w:p w14:paraId="0367F791" w14:textId="29FE4FE8" w:rsidR="2277E102" w:rsidRPr="00067659" w:rsidRDefault="2277E102" w:rsidP="00067659">
      <w:pPr>
        <w:pStyle w:val="Bullet1"/>
        <w:ind w:left="720" w:hanging="360"/>
      </w:pPr>
      <w:r w:rsidRPr="01DC1AC5">
        <w:t>c</w:t>
      </w:r>
      <w:r w:rsidRPr="00067659">
        <w:t>ulturally respectful service provision within a welcoming and safe space</w:t>
      </w:r>
    </w:p>
    <w:p w14:paraId="41EA5562" w14:textId="015E760F" w:rsidR="3BECEF25" w:rsidRDefault="2277E102" w:rsidP="00067659">
      <w:pPr>
        <w:pStyle w:val="Bullet1"/>
        <w:ind w:left="720" w:hanging="360"/>
      </w:pPr>
      <w:r w:rsidRPr="2A9B8217">
        <w:t>i</w:t>
      </w:r>
      <w:r w:rsidRPr="00067659">
        <w:t xml:space="preserve">ntegrating </w:t>
      </w:r>
      <w:r w:rsidR="007F56BF">
        <w:t>Aboriginal and Torres Strait Islander</w:t>
      </w:r>
      <w:r w:rsidRPr="00067659">
        <w:t xml:space="preserve"> knowledges</w:t>
      </w:r>
      <w:r w:rsidRPr="2A9B8217">
        <w:t xml:space="preserve"> </w:t>
      </w:r>
      <w:r w:rsidRPr="5100498A">
        <w:t xml:space="preserve">into </w:t>
      </w:r>
      <w:r w:rsidRPr="1941B9A0">
        <w:t>practice</w:t>
      </w:r>
      <w:r w:rsidRPr="49165F02">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F781B" w14:paraId="11665582" w14:textId="77777777" w:rsidTr="0013393F">
        <w:tc>
          <w:tcPr>
            <w:tcW w:w="9288" w:type="dxa"/>
          </w:tcPr>
          <w:p w14:paraId="1434F010" w14:textId="77777777" w:rsidR="00EF781B" w:rsidRPr="00677A31" w:rsidRDefault="00EF781B" w:rsidP="0013393F">
            <w:pPr>
              <w:pStyle w:val="Bullet1"/>
              <w:numPr>
                <w:ilvl w:val="0"/>
                <w:numId w:val="0"/>
              </w:numPr>
              <w:rPr>
                <w:rStyle w:val="Hyperlink"/>
                <w:rFonts w:ascii="Avenir Book" w:hAnsi="Avenir Book"/>
              </w:rPr>
            </w:pPr>
            <w:hyperlink r:id="rId28" w:history="1">
              <w:r>
                <w:rPr>
                  <w:rStyle w:val="Hyperlink"/>
                  <w:rFonts w:ascii="Avenir Book" w:hAnsi="Avenir Book"/>
                </w:rPr>
                <w:t>Homelessness and Housing Support Guidelines 2025</w:t>
              </w:r>
            </w:hyperlink>
          </w:p>
          <w:p w14:paraId="03132B07" w14:textId="4DEA5174" w:rsidR="00EF781B" w:rsidRDefault="00EF781B" w:rsidP="0013393F">
            <w:pPr>
              <w:pStyle w:val="Bullet1"/>
              <w:numPr>
                <w:ilvl w:val="0"/>
                <w:numId w:val="0"/>
              </w:numPr>
            </w:pPr>
            <w:r w:rsidRPr="00677A31">
              <w:t>https://fac.dffh.vic.gov.au/homelessness-and-housing-support-guidelines-2025-0</w:t>
            </w:r>
          </w:p>
        </w:tc>
      </w:tr>
    </w:tbl>
    <w:p w14:paraId="19E446E2" w14:textId="29E2CA97" w:rsidR="007C6277" w:rsidRPr="003449A5" w:rsidRDefault="3C6E2B4E" w:rsidP="003449A5">
      <w:pPr>
        <w:pStyle w:val="Heading2"/>
      </w:pPr>
      <w:bookmarkStart w:id="12" w:name="_Toc212646922"/>
      <w:bookmarkStart w:id="13" w:name="_Toc212646923"/>
      <w:bookmarkEnd w:id="12"/>
      <w:r w:rsidRPr="003449A5">
        <w:t xml:space="preserve">The </w:t>
      </w:r>
      <w:r w:rsidR="120EBD3C">
        <w:t>CSA-TM</w:t>
      </w:r>
      <w:r w:rsidRPr="003449A5">
        <w:t xml:space="preserve"> </w:t>
      </w:r>
      <w:r w:rsidR="00E91368">
        <w:t>r</w:t>
      </w:r>
      <w:r w:rsidRPr="003449A5">
        <w:t>ole</w:t>
      </w:r>
      <w:bookmarkEnd w:id="13"/>
    </w:p>
    <w:p w14:paraId="73DF1B33" w14:textId="194B4B86" w:rsidR="007320A6" w:rsidRDefault="00B33E9B" w:rsidP="009B71A0">
      <w:pPr>
        <w:pStyle w:val="Body"/>
      </w:pPr>
      <w:r w:rsidRPr="008800F4">
        <w:t xml:space="preserve">The </w:t>
      </w:r>
      <w:r w:rsidR="00421410">
        <w:t>CSA-TM program</w:t>
      </w:r>
      <w:r w:rsidR="009B71A0" w:rsidRPr="008800F4">
        <w:t xml:space="preserve"> aim</w:t>
      </w:r>
      <w:r w:rsidRPr="008800F4">
        <w:t>s</w:t>
      </w:r>
      <w:r w:rsidR="00211D72" w:rsidRPr="00211D72">
        <w:t xml:space="preserve"> to provide safe accommodation and support services to help clients achieve their goals</w:t>
      </w:r>
      <w:r w:rsidR="009B71A0" w:rsidRPr="008800F4">
        <w:t>.</w:t>
      </w:r>
      <w:r w:rsidR="002D4106">
        <w:t xml:space="preserve"> </w:t>
      </w:r>
      <w:r w:rsidR="00421410">
        <w:t>CSA-TM program</w:t>
      </w:r>
      <w:r w:rsidR="00D46D32">
        <w:t xml:space="preserve">s build on the </w:t>
      </w:r>
      <w:r w:rsidR="005E0CF4">
        <w:t xml:space="preserve">supports offered by </w:t>
      </w:r>
      <w:r w:rsidR="00D46D32">
        <w:t>traditional Crisis Supported Accommodation (CSA) model</w:t>
      </w:r>
      <w:r w:rsidR="00671AC9">
        <w:t>s</w:t>
      </w:r>
      <w:r w:rsidR="005E0CF4">
        <w:t>. This includes longer stays</w:t>
      </w:r>
      <w:r w:rsidR="00FE3891">
        <w:t xml:space="preserve"> and additional support elements compared with the existing base model for CSA. </w:t>
      </w:r>
      <w:r w:rsidR="00814753">
        <w:t>Key differences between the two models are</w:t>
      </w:r>
      <w:r w:rsidR="00827A79">
        <w:t xml:space="preserve"> outlined in the table below</w:t>
      </w:r>
      <w:r w:rsidR="00B346CD">
        <w:t>:</w:t>
      </w:r>
    </w:p>
    <w:tbl>
      <w:tblPr>
        <w:tblStyle w:val="TableGrid"/>
        <w:tblpPr w:leftFromText="180" w:rightFromText="180" w:vertAnchor="text" w:horzAnchor="margin" w:tblpY="148"/>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2402"/>
        <w:gridCol w:w="3402"/>
        <w:gridCol w:w="38"/>
        <w:gridCol w:w="3440"/>
      </w:tblGrid>
      <w:tr w:rsidR="00E631E6" w:rsidRPr="00B603CD" w14:paraId="28F1FFFA" w14:textId="77777777" w:rsidTr="0013393F">
        <w:trPr>
          <w:trHeight w:val="300"/>
          <w:tblHeader/>
        </w:trPr>
        <w:tc>
          <w:tcPr>
            <w:tcW w:w="2402" w:type="dxa"/>
            <w:shd w:val="clear" w:color="auto" w:fill="032833" w:themeFill="text1"/>
            <w:tcMar>
              <w:left w:w="105" w:type="dxa"/>
              <w:right w:w="105" w:type="dxa"/>
            </w:tcMar>
          </w:tcPr>
          <w:p w14:paraId="519621D4" w14:textId="77777777" w:rsidR="00D46D32" w:rsidRPr="00B603CD" w:rsidRDefault="00D46D32" w:rsidP="00D46D32">
            <w:pPr>
              <w:pStyle w:val="Tablecolhead"/>
              <w:rPr>
                <w:rFonts w:eastAsia="Verdana"/>
              </w:rPr>
            </w:pPr>
            <w:r>
              <w:t>Function</w:t>
            </w:r>
          </w:p>
        </w:tc>
        <w:tc>
          <w:tcPr>
            <w:tcW w:w="3402" w:type="dxa"/>
            <w:shd w:val="clear" w:color="auto" w:fill="032833" w:themeFill="text1"/>
            <w:tcMar>
              <w:left w:w="105" w:type="dxa"/>
              <w:right w:w="105" w:type="dxa"/>
            </w:tcMar>
          </w:tcPr>
          <w:p w14:paraId="079CB51C" w14:textId="77777777" w:rsidR="00D46D32" w:rsidRPr="00B603CD" w:rsidRDefault="00D46D32" w:rsidP="00D46D32">
            <w:pPr>
              <w:pStyle w:val="Tablecolhead"/>
              <w:rPr>
                <w:rFonts w:eastAsia="Verdana"/>
              </w:rPr>
            </w:pPr>
            <w:r>
              <w:t>Traditional CSA</w:t>
            </w:r>
          </w:p>
        </w:tc>
        <w:tc>
          <w:tcPr>
            <w:tcW w:w="3478" w:type="dxa"/>
            <w:gridSpan w:val="2"/>
            <w:shd w:val="clear" w:color="auto" w:fill="032833" w:themeFill="text1"/>
          </w:tcPr>
          <w:p w14:paraId="21DCA6A6" w14:textId="77777777" w:rsidR="00D46D32" w:rsidRPr="00B603CD" w:rsidRDefault="00D46D32" w:rsidP="00D46D32">
            <w:pPr>
              <w:pStyle w:val="Tablecolhead"/>
            </w:pPr>
            <w:r>
              <w:t>CSA-TM</w:t>
            </w:r>
          </w:p>
        </w:tc>
      </w:tr>
      <w:tr w:rsidR="00D46D32" w14:paraId="2BD824B0" w14:textId="77777777" w:rsidTr="3E82E068">
        <w:trPr>
          <w:trHeight w:val="300"/>
        </w:trPr>
        <w:tc>
          <w:tcPr>
            <w:tcW w:w="2402" w:type="dxa"/>
            <w:tcMar>
              <w:left w:w="105" w:type="dxa"/>
              <w:right w:w="105" w:type="dxa"/>
            </w:tcMar>
          </w:tcPr>
          <w:p w14:paraId="66F5F335" w14:textId="77777777" w:rsidR="00D46D32" w:rsidRDefault="00D46D32" w:rsidP="00D46D32">
            <w:pPr>
              <w:pStyle w:val="Tabletext"/>
            </w:pPr>
            <w:r>
              <w:t>Length of stay</w:t>
            </w:r>
          </w:p>
        </w:tc>
        <w:tc>
          <w:tcPr>
            <w:tcW w:w="3440" w:type="dxa"/>
            <w:gridSpan w:val="2"/>
            <w:tcMar>
              <w:left w:w="105" w:type="dxa"/>
              <w:right w:w="105" w:type="dxa"/>
            </w:tcMar>
          </w:tcPr>
          <w:p w14:paraId="04802CD9" w14:textId="77777777" w:rsidR="00D46D32" w:rsidRDefault="00D46D32" w:rsidP="00D46D32">
            <w:pPr>
              <w:pStyle w:val="Bullet1"/>
              <w:ind w:left="230" w:right="196"/>
            </w:pPr>
            <w:r>
              <w:t>Up to six weeks</w:t>
            </w:r>
          </w:p>
        </w:tc>
        <w:tc>
          <w:tcPr>
            <w:tcW w:w="3440" w:type="dxa"/>
          </w:tcPr>
          <w:p w14:paraId="44452639" w14:textId="77777777" w:rsidR="00D46D32" w:rsidRDefault="00D46D32" w:rsidP="00D46D32">
            <w:pPr>
              <w:pStyle w:val="Bullet1"/>
              <w:ind w:left="304"/>
            </w:pPr>
            <w:r>
              <w:t>Targets a 13-week average stay</w:t>
            </w:r>
          </w:p>
        </w:tc>
      </w:tr>
      <w:tr w:rsidR="00D46D32" w14:paraId="5923EDC4" w14:textId="77777777" w:rsidTr="3E82E068">
        <w:trPr>
          <w:trHeight w:val="300"/>
        </w:trPr>
        <w:tc>
          <w:tcPr>
            <w:tcW w:w="2402" w:type="dxa"/>
            <w:tcMar>
              <w:left w:w="105" w:type="dxa"/>
              <w:right w:w="105" w:type="dxa"/>
            </w:tcMar>
          </w:tcPr>
          <w:p w14:paraId="1E042E75" w14:textId="77777777" w:rsidR="00D46D32" w:rsidRDefault="00D46D32" w:rsidP="00D46D32">
            <w:pPr>
              <w:pStyle w:val="Tabletext"/>
            </w:pPr>
            <w:r>
              <w:t>Support offered on site</w:t>
            </w:r>
          </w:p>
        </w:tc>
        <w:tc>
          <w:tcPr>
            <w:tcW w:w="3440" w:type="dxa"/>
            <w:gridSpan w:val="2"/>
            <w:tcMar>
              <w:left w:w="105" w:type="dxa"/>
              <w:right w:w="105" w:type="dxa"/>
            </w:tcMar>
          </w:tcPr>
          <w:p w14:paraId="21771306" w14:textId="77777777" w:rsidR="00D46D32" w:rsidRDefault="00D46D32" w:rsidP="00D46D32">
            <w:pPr>
              <w:pStyle w:val="Bullet1"/>
              <w:ind w:left="230"/>
            </w:pPr>
            <w:r>
              <w:t>Case management for up to six weeks</w:t>
            </w:r>
          </w:p>
          <w:p w14:paraId="7021A2D2" w14:textId="77777777" w:rsidR="00D46D32" w:rsidRDefault="00D46D32" w:rsidP="00D46D32">
            <w:pPr>
              <w:pStyle w:val="Bullet1"/>
              <w:ind w:left="230"/>
            </w:pPr>
            <w:r>
              <w:t>Referrals to external support</w:t>
            </w:r>
          </w:p>
          <w:p w14:paraId="557043BB" w14:textId="77777777" w:rsidR="00D46D32" w:rsidRDefault="00D46D32" w:rsidP="00D46D32">
            <w:pPr>
              <w:pStyle w:val="Bullet1"/>
              <w:ind w:left="230"/>
            </w:pPr>
            <w:r>
              <w:t>Ad hoc on-site services</w:t>
            </w:r>
          </w:p>
        </w:tc>
        <w:tc>
          <w:tcPr>
            <w:tcW w:w="3440" w:type="dxa"/>
          </w:tcPr>
          <w:p w14:paraId="4EE33712" w14:textId="77777777" w:rsidR="00D46D32" w:rsidRDefault="00D46D32" w:rsidP="00D46D32">
            <w:pPr>
              <w:pStyle w:val="Bullet1"/>
              <w:ind w:left="304"/>
            </w:pPr>
            <w:r>
              <w:t>Case management for duration of stay</w:t>
            </w:r>
          </w:p>
          <w:p w14:paraId="7DC49B15" w14:textId="77777777" w:rsidR="00D46D32" w:rsidRDefault="00D46D32" w:rsidP="00D46D32">
            <w:pPr>
              <w:pStyle w:val="Bullet1"/>
              <w:ind w:left="304"/>
            </w:pPr>
            <w:r>
              <w:t>Alcohol and Other Drug (AOD) support</w:t>
            </w:r>
          </w:p>
          <w:p w14:paraId="7A7E63E5" w14:textId="77777777" w:rsidR="00D46D32" w:rsidRDefault="00D46D32" w:rsidP="00D46D32">
            <w:pPr>
              <w:pStyle w:val="Bullet1"/>
              <w:ind w:left="304"/>
            </w:pPr>
            <w:r>
              <w:t>Therapeutic recreation support</w:t>
            </w:r>
          </w:p>
          <w:p w14:paraId="5DCB3E5A" w14:textId="77777777" w:rsidR="00D46D32" w:rsidRDefault="00D46D32" w:rsidP="00D46D32">
            <w:pPr>
              <w:pStyle w:val="Bullet1"/>
              <w:ind w:left="304"/>
            </w:pPr>
            <w:r>
              <w:t>Nursing support</w:t>
            </w:r>
          </w:p>
        </w:tc>
      </w:tr>
      <w:tr w:rsidR="00D46D32" w14:paraId="7677F869" w14:textId="77777777" w:rsidTr="3E82E068">
        <w:trPr>
          <w:trHeight w:val="300"/>
        </w:trPr>
        <w:tc>
          <w:tcPr>
            <w:tcW w:w="2402" w:type="dxa"/>
            <w:tcMar>
              <w:left w:w="105" w:type="dxa"/>
              <w:right w:w="105" w:type="dxa"/>
            </w:tcMar>
          </w:tcPr>
          <w:p w14:paraId="526567B2" w14:textId="77777777" w:rsidR="00D46D32" w:rsidRDefault="00D46D32" w:rsidP="00D46D32">
            <w:pPr>
              <w:pStyle w:val="Tabletext"/>
            </w:pPr>
            <w:r>
              <w:t>Continuity of care</w:t>
            </w:r>
          </w:p>
        </w:tc>
        <w:tc>
          <w:tcPr>
            <w:tcW w:w="3440" w:type="dxa"/>
            <w:gridSpan w:val="2"/>
            <w:tcMar>
              <w:left w:w="105" w:type="dxa"/>
              <w:right w:w="105" w:type="dxa"/>
            </w:tcMar>
          </w:tcPr>
          <w:p w14:paraId="1747FC4C" w14:textId="77777777" w:rsidR="00D46D32" w:rsidRDefault="00D46D32" w:rsidP="00D46D32">
            <w:pPr>
              <w:pStyle w:val="Bullet1"/>
              <w:ind w:left="230"/>
            </w:pPr>
            <w:r>
              <w:t>Clients are linked in with external service providers upon exiting accommodation</w:t>
            </w:r>
          </w:p>
        </w:tc>
        <w:tc>
          <w:tcPr>
            <w:tcW w:w="3440" w:type="dxa"/>
          </w:tcPr>
          <w:p w14:paraId="3FA6A0EA" w14:textId="77777777" w:rsidR="00D46D32" w:rsidRDefault="00D46D32" w:rsidP="00D46D32">
            <w:pPr>
              <w:pStyle w:val="Bullet1"/>
              <w:ind w:left="304"/>
            </w:pPr>
            <w:r>
              <w:t>Services develop and maintain consistent and continuous supports for clients during and after their stay, including (in some cases) outreach case management post-exit</w:t>
            </w:r>
          </w:p>
        </w:tc>
      </w:tr>
    </w:tbl>
    <w:p w14:paraId="279CFB31" w14:textId="69509659" w:rsidR="00014D7E" w:rsidRPr="00014D7E" w:rsidRDefault="7982CBA9" w:rsidP="005B6E0A">
      <w:pPr>
        <w:pStyle w:val="Heading3"/>
        <w:ind w:left="1021"/>
        <w:rPr>
          <w:color w:val="auto"/>
        </w:rPr>
      </w:pPr>
      <w:r w:rsidRPr="005B6E0A">
        <w:lastRenderedPageBreak/>
        <w:t>Engagement</w:t>
      </w:r>
    </w:p>
    <w:p w14:paraId="66E89425" w14:textId="5A93CCD1" w:rsidR="00A50E9B" w:rsidRDefault="00A50E9B" w:rsidP="00A50E9B">
      <w:pPr>
        <w:pStyle w:val="Body"/>
      </w:pPr>
      <w:r>
        <w:t xml:space="preserve">CSA-TM clients </w:t>
      </w:r>
      <w:r w:rsidRPr="00404C8C">
        <w:t>are expected to have an assigned case manager or key worker</w:t>
      </w:r>
      <w:r>
        <w:t xml:space="preserve">, </w:t>
      </w:r>
      <w:r w:rsidRPr="00404C8C">
        <w:t>to act as a consistent point of contact and support for the client</w:t>
      </w:r>
      <w:r w:rsidR="001E641E">
        <w:t xml:space="preserve"> (see </w:t>
      </w:r>
      <w:hyperlink w:anchor="_Case_management" w:history="1">
        <w:r w:rsidR="001E641E" w:rsidRPr="00886DE6">
          <w:rPr>
            <w:rStyle w:val="Hyperlink"/>
            <w:rFonts w:ascii="Avenir Book" w:hAnsi="Avenir Book"/>
          </w:rPr>
          <w:t>section 3.1.2.1 Case management</w:t>
        </w:r>
      </w:hyperlink>
      <w:r w:rsidR="001E641E">
        <w:t xml:space="preserve"> below)</w:t>
      </w:r>
      <w:r w:rsidRPr="00404C8C">
        <w:t>.</w:t>
      </w:r>
      <w:r w:rsidR="009E707B">
        <w:t xml:space="preserve"> </w:t>
      </w:r>
    </w:p>
    <w:p w14:paraId="45805C1D" w14:textId="7B48E815" w:rsidR="00570253" w:rsidRDefault="00570253" w:rsidP="00570253">
      <w:pPr>
        <w:pStyle w:val="Tablebullet1"/>
        <w:numPr>
          <w:ilvl w:val="0"/>
          <w:numId w:val="0"/>
        </w:numPr>
        <w:rPr>
          <w:rFonts w:eastAsia="Times"/>
        </w:rPr>
      </w:pPr>
      <w:r w:rsidRPr="00404C8C">
        <w:rPr>
          <w:rFonts w:eastAsia="Times"/>
        </w:rPr>
        <w:t xml:space="preserve">Once a client has been allocated a room </w:t>
      </w:r>
      <w:r w:rsidR="008C582F">
        <w:rPr>
          <w:rFonts w:eastAsia="Times"/>
        </w:rPr>
        <w:t>i</w:t>
      </w:r>
      <w:r w:rsidRPr="00404C8C">
        <w:rPr>
          <w:rFonts w:eastAsia="Times"/>
        </w:rPr>
        <w:t>n a CSA-TM site, their assigned case manager or key worker should make contact within 24 hours.</w:t>
      </w:r>
    </w:p>
    <w:p w14:paraId="1D3FE405" w14:textId="05E71C4F" w:rsidR="00D30FE9" w:rsidRDefault="0083509F">
      <w:pPr>
        <w:pStyle w:val="Tablebullet1"/>
        <w:numPr>
          <w:ilvl w:val="0"/>
          <w:numId w:val="0"/>
        </w:numPr>
        <w:rPr>
          <w:rFonts w:eastAsia="Times"/>
        </w:rPr>
      </w:pPr>
      <w:r>
        <w:rPr>
          <w:rFonts w:eastAsia="Times"/>
        </w:rPr>
        <w:t xml:space="preserve">During </w:t>
      </w:r>
      <w:r w:rsidR="003629B7">
        <w:rPr>
          <w:rFonts w:eastAsia="Times"/>
        </w:rPr>
        <w:t>a client’s stay, case managers or key workers should p</w:t>
      </w:r>
      <w:r w:rsidRPr="00404C8C">
        <w:rPr>
          <w:rFonts w:eastAsia="Times"/>
        </w:rPr>
        <w:t>rovide at least one hour of face-to-face case management support per week. Case managers are expected to spend additional time completing follow up paperwork and administration for each client on their caseload. While some clients may not wish to engage in this support each week, case managers are expected to proactively offer case management support to each client, for the duration of their stay.</w:t>
      </w:r>
    </w:p>
    <w:p w14:paraId="728D95F1" w14:textId="60723A09" w:rsidR="7FE3F938" w:rsidRDefault="7FE3F938" w:rsidP="0018589A">
      <w:pPr>
        <w:pStyle w:val="Heading3"/>
        <w:ind w:left="1021"/>
      </w:pPr>
      <w:r w:rsidRPr="003449A5">
        <w:t>Providing s</w:t>
      </w:r>
      <w:r w:rsidR="07E8663B" w:rsidRPr="003449A5">
        <w:t>upport</w:t>
      </w:r>
      <w:r w:rsidR="4DF9A357" w:rsidRPr="003449A5">
        <w:t xml:space="preserve"> </w:t>
      </w:r>
    </w:p>
    <w:p w14:paraId="22537D0F" w14:textId="77777777" w:rsidR="00D97265" w:rsidRDefault="00D97265" w:rsidP="00D97265">
      <w:pPr>
        <w:pStyle w:val="Tablebullet1"/>
        <w:numPr>
          <w:ilvl w:val="0"/>
          <w:numId w:val="0"/>
        </w:numPr>
      </w:pPr>
      <w:r w:rsidRPr="00BB2D35">
        <w:t>Clients are provided with a stay in a congregate setting that is staffed 24/7. The intended average stay for clients is 13 weeks, though the length of stay for individual clients may be flexible depending on their needs, preferences, and potential exit pathways.</w:t>
      </w:r>
    </w:p>
    <w:p w14:paraId="668D8AAD" w14:textId="23D9DE27" w:rsidR="00D97265" w:rsidRDefault="00D97265" w:rsidP="00014D7E">
      <w:pPr>
        <w:pStyle w:val="Body"/>
      </w:pPr>
      <w:r w:rsidRPr="00F91E06">
        <w:t xml:space="preserve">On site, clients have access to a private room and a private bathroom, as well as shared common areas and facilities. All </w:t>
      </w:r>
      <w:r w:rsidR="00421410">
        <w:t>CSA-TM program</w:t>
      </w:r>
      <w:r w:rsidRPr="00F91E06">
        <w:t xml:space="preserve"> clients have access to communal kitchens, dining rooms and laundry facilities.</w:t>
      </w:r>
      <w:r w:rsidR="00AC1AFE">
        <w:t xml:space="preserve"> </w:t>
      </w:r>
      <w:r w:rsidRPr="00F91E06">
        <w:t>Service providers may also provide meals on site as part of the accommodation.</w:t>
      </w:r>
    </w:p>
    <w:p w14:paraId="1E1FBBA8" w14:textId="491689CD" w:rsidR="00AC1AFE" w:rsidRPr="00014D7E" w:rsidRDefault="00AC1AFE" w:rsidP="00014D7E">
      <w:pPr>
        <w:pStyle w:val="Body"/>
      </w:pPr>
      <w:r w:rsidRPr="00404C8C">
        <w:t>Providers should ensure th</w:t>
      </w:r>
      <w:r w:rsidR="00181EAF">
        <w:t>e following</w:t>
      </w:r>
      <w:r w:rsidRPr="00404C8C">
        <w:t xml:space="preserve"> support services are made available to each client throughout the entirety of their stay.</w:t>
      </w:r>
    </w:p>
    <w:p w14:paraId="2243D959" w14:textId="77777777" w:rsidR="005639DB" w:rsidRPr="00A95232" w:rsidRDefault="005639DB" w:rsidP="00A95232">
      <w:pPr>
        <w:pStyle w:val="Heading4"/>
      </w:pPr>
      <w:bookmarkStart w:id="14" w:name="_Case_management"/>
      <w:bookmarkEnd w:id="14"/>
      <w:r w:rsidRPr="00A95232">
        <w:t>Case management</w:t>
      </w:r>
    </w:p>
    <w:p w14:paraId="1FF5F896" w14:textId="3AF2F42F" w:rsidR="005639DB" w:rsidRPr="00404C8C" w:rsidRDefault="005639DB" w:rsidP="00F71CC5">
      <w:pPr>
        <w:pStyle w:val="Body"/>
      </w:pPr>
      <w:r w:rsidRPr="00404C8C">
        <w:t>Clients are expected to have an assigned case manager or key worker (to act as a consistent point of contact and support for the client)</w:t>
      </w:r>
      <w:r w:rsidR="00A963F6">
        <w:t xml:space="preserve">. </w:t>
      </w:r>
      <w:r w:rsidR="00630071">
        <w:t xml:space="preserve">Case management should </w:t>
      </w:r>
      <w:r w:rsidR="00F44AD8">
        <w:t>include</w:t>
      </w:r>
      <w:r w:rsidR="00630071">
        <w:t xml:space="preserve"> the following:</w:t>
      </w:r>
    </w:p>
    <w:p w14:paraId="696E9AC9" w14:textId="770D2F24" w:rsidR="005639DB" w:rsidRPr="00404C8C" w:rsidRDefault="005639DB" w:rsidP="00BE74BC">
      <w:pPr>
        <w:pStyle w:val="Tablebullet1"/>
        <w:ind w:left="709"/>
        <w:rPr>
          <w:rFonts w:eastAsia="Times"/>
        </w:rPr>
      </w:pPr>
      <w:r w:rsidRPr="00404C8C">
        <w:rPr>
          <w:rFonts w:eastAsia="Times"/>
        </w:rPr>
        <w:t xml:space="preserve">Case plans are expected to be started within 14 days after a client has been allocated to a site. </w:t>
      </w:r>
    </w:p>
    <w:p w14:paraId="53351365" w14:textId="28AAF84A" w:rsidR="005639DB" w:rsidRPr="00404C8C" w:rsidRDefault="005639DB" w:rsidP="00BE74BC">
      <w:pPr>
        <w:pStyle w:val="Tablebullet1"/>
        <w:ind w:left="709"/>
        <w:rPr>
          <w:rFonts w:eastAsia="Times"/>
        </w:rPr>
      </w:pPr>
      <w:r w:rsidRPr="00404C8C">
        <w:rPr>
          <w:rFonts w:eastAsia="Times"/>
        </w:rPr>
        <w:t xml:space="preserve">Case plan development </w:t>
      </w:r>
      <w:r w:rsidR="00CF1E26">
        <w:rPr>
          <w:rFonts w:eastAsia="Times"/>
        </w:rPr>
        <w:t>should</w:t>
      </w:r>
      <w:r w:rsidRPr="00404C8C">
        <w:rPr>
          <w:rFonts w:eastAsia="Times"/>
        </w:rPr>
        <w:t xml:space="preserve"> </w:t>
      </w:r>
      <w:r w:rsidR="41BAE053" w:rsidRPr="56820FE0">
        <w:rPr>
          <w:rFonts w:eastAsia="Times"/>
        </w:rPr>
        <w:t xml:space="preserve">be </w:t>
      </w:r>
      <w:r w:rsidRPr="00404C8C">
        <w:rPr>
          <w:rFonts w:eastAsia="Times"/>
        </w:rPr>
        <w:t>led by the client</w:t>
      </w:r>
      <w:r w:rsidR="00CF1E26">
        <w:rPr>
          <w:rFonts w:eastAsia="Times"/>
        </w:rPr>
        <w:t xml:space="preserve"> wherever possible</w:t>
      </w:r>
      <w:r w:rsidRPr="00404C8C">
        <w:rPr>
          <w:rFonts w:eastAsia="Times"/>
        </w:rPr>
        <w:t>.</w:t>
      </w:r>
    </w:p>
    <w:p w14:paraId="3635E5A1" w14:textId="158E902F" w:rsidR="005639DB" w:rsidRPr="00404C8C" w:rsidRDefault="005639DB" w:rsidP="00BE74BC">
      <w:pPr>
        <w:pStyle w:val="Tablebullet1"/>
        <w:ind w:left="709"/>
        <w:rPr>
          <w:rFonts w:eastAsia="Times"/>
        </w:rPr>
      </w:pPr>
      <w:r w:rsidRPr="00404C8C">
        <w:rPr>
          <w:rFonts w:eastAsia="Times"/>
        </w:rPr>
        <w:t xml:space="preserve">Case management support is tailored to need and clients are expected to have an active case plan, meaning it is a live </w:t>
      </w:r>
      <w:r w:rsidR="63672F06" w:rsidRPr="56820FE0">
        <w:rPr>
          <w:rFonts w:eastAsia="Times"/>
        </w:rPr>
        <w:t>document,</w:t>
      </w:r>
      <w:r w:rsidRPr="00404C8C">
        <w:rPr>
          <w:rFonts w:eastAsia="Times"/>
        </w:rPr>
        <w:t xml:space="preserve"> and new goals are added as they arise. </w:t>
      </w:r>
    </w:p>
    <w:p w14:paraId="4CB72675" w14:textId="36FC57E1" w:rsidR="005639DB" w:rsidRDefault="00F44AD8" w:rsidP="00BE74BC">
      <w:pPr>
        <w:pStyle w:val="Tablebullet1"/>
        <w:ind w:left="709"/>
        <w:rPr>
          <w:rFonts w:eastAsia="Times"/>
        </w:rPr>
      </w:pPr>
      <w:r>
        <w:rPr>
          <w:rFonts w:eastAsia="Times"/>
        </w:rPr>
        <w:t>A</w:t>
      </w:r>
      <w:r w:rsidR="005639DB" w:rsidRPr="00404C8C">
        <w:rPr>
          <w:rFonts w:eastAsia="Times"/>
        </w:rPr>
        <w:t xml:space="preserve"> housing goal, intended to enable clients to transition from CSA-TM to medium </w:t>
      </w:r>
      <w:r w:rsidR="001E18AC">
        <w:rPr>
          <w:rFonts w:eastAsia="Times"/>
        </w:rPr>
        <w:t>or</w:t>
      </w:r>
      <w:r w:rsidR="005639DB" w:rsidRPr="00404C8C">
        <w:rPr>
          <w:rFonts w:eastAsia="Times"/>
        </w:rPr>
        <w:t xml:space="preserve"> long term housing, or other accommodation options as guided by the client. </w:t>
      </w:r>
    </w:p>
    <w:p w14:paraId="446DB2EF" w14:textId="2D1496BB" w:rsidR="005639DB" w:rsidRPr="00404C8C" w:rsidRDefault="005639DB" w:rsidP="00AD6D9E">
      <w:pPr>
        <w:pStyle w:val="Heading4"/>
      </w:pPr>
      <w:r>
        <w:t>Alcohol and other Drug (</w:t>
      </w:r>
      <w:r w:rsidR="00347463">
        <w:t>AOD</w:t>
      </w:r>
      <w:r>
        <w:t>) support</w:t>
      </w:r>
    </w:p>
    <w:p w14:paraId="3F765710" w14:textId="77777777" w:rsidR="005639DB" w:rsidRPr="00404C8C" w:rsidRDefault="005639DB" w:rsidP="006351D5">
      <w:pPr>
        <w:pStyle w:val="Body"/>
      </w:pPr>
      <w:r w:rsidRPr="00404C8C">
        <w:t>CSA-TM offer specialist AOD support on-site for clients. Engagement with AOD support is voluntary, and may include:</w:t>
      </w:r>
    </w:p>
    <w:p w14:paraId="39F6CB4B" w14:textId="53FC5EA6" w:rsidR="005639DB" w:rsidRPr="00BE74BC" w:rsidRDefault="005639DB" w:rsidP="00BE74BC">
      <w:pPr>
        <w:pStyle w:val="Tablebullet1"/>
        <w:ind w:left="709"/>
      </w:pPr>
      <w:r w:rsidRPr="00BE74BC">
        <w:t>AOD case management/counselling</w:t>
      </w:r>
    </w:p>
    <w:p w14:paraId="4BE1C4DA" w14:textId="79B1B1C9" w:rsidR="005639DB" w:rsidRPr="00BE74BC" w:rsidRDefault="005639DB" w:rsidP="00BE74BC">
      <w:pPr>
        <w:pStyle w:val="Tablebullet1"/>
        <w:ind w:left="709"/>
      </w:pPr>
      <w:r w:rsidRPr="00BE74BC">
        <w:t>AOD education</w:t>
      </w:r>
    </w:p>
    <w:p w14:paraId="2F49B969" w14:textId="2B8D7840" w:rsidR="005639DB" w:rsidRPr="00BE74BC" w:rsidRDefault="005639DB" w:rsidP="00BE74BC">
      <w:pPr>
        <w:pStyle w:val="Tablebullet1"/>
        <w:ind w:left="709"/>
      </w:pPr>
      <w:r w:rsidRPr="00BE74BC">
        <w:t>needle and syringe programs</w:t>
      </w:r>
    </w:p>
    <w:p w14:paraId="3A5ABF4C" w14:textId="71F930EA" w:rsidR="005639DB" w:rsidRPr="00BE74BC" w:rsidRDefault="005639DB" w:rsidP="00BE74BC">
      <w:pPr>
        <w:pStyle w:val="Tablebullet1"/>
        <w:ind w:left="709"/>
      </w:pPr>
      <w:r w:rsidRPr="00BE74BC">
        <w:t>specialist counselling</w:t>
      </w:r>
    </w:p>
    <w:p w14:paraId="46698B65" w14:textId="608724A0" w:rsidR="005639DB" w:rsidRPr="00BE74BC" w:rsidRDefault="005639DB" w:rsidP="00BE74BC">
      <w:pPr>
        <w:pStyle w:val="Tablebullet1"/>
        <w:ind w:left="709"/>
      </w:pPr>
      <w:r w:rsidRPr="00BE74BC">
        <w:t>provision of/referral to detoxification and/or rehabilitation services.</w:t>
      </w:r>
    </w:p>
    <w:p w14:paraId="5A1571CA" w14:textId="77777777" w:rsidR="005639DB" w:rsidRPr="00404C8C" w:rsidRDefault="005639DB" w:rsidP="00AD6D9E">
      <w:pPr>
        <w:pStyle w:val="Heading4"/>
      </w:pPr>
      <w:r w:rsidRPr="00404C8C">
        <w:t>Health support</w:t>
      </w:r>
    </w:p>
    <w:p w14:paraId="03BB32E5" w14:textId="77777777" w:rsidR="005639DB" w:rsidRPr="00404C8C" w:rsidRDefault="005639DB" w:rsidP="006351D5">
      <w:pPr>
        <w:pStyle w:val="Body"/>
      </w:pPr>
      <w:r w:rsidRPr="00404C8C">
        <w:t xml:space="preserve">All four sites provide health services to CSA-TM residents. Each CSA-TM has a nurse on site to provide consultations to residents. </w:t>
      </w:r>
    </w:p>
    <w:p w14:paraId="3F9C2CDF" w14:textId="77777777" w:rsidR="005639DB" w:rsidRPr="00404C8C" w:rsidRDefault="005639DB" w:rsidP="006351D5">
      <w:pPr>
        <w:pStyle w:val="Body"/>
      </w:pPr>
      <w:r w:rsidRPr="00404C8C">
        <w:t xml:space="preserve">All sites must ensure that clients can access safe injecting equipment via the </w:t>
      </w:r>
      <w:r w:rsidRPr="0013393F">
        <w:rPr>
          <w:u w:val="dotted"/>
        </w:rPr>
        <w:t>Victorian Needle and Syringe Program (NSP)</w:t>
      </w:r>
      <w:r w:rsidRPr="00404C8C">
        <w:t>. The NSP helps reduce the spread of blood-borne viruses by offering clean injecting equipment and disposal, and information and advice on safe injecting practices.</w:t>
      </w:r>
    </w:p>
    <w:p w14:paraId="65722AE5" w14:textId="77777777" w:rsidR="005639DB" w:rsidRPr="00404C8C" w:rsidRDefault="005639DB" w:rsidP="006351D5">
      <w:pPr>
        <w:pStyle w:val="Body"/>
      </w:pPr>
      <w:r w:rsidRPr="00404C8C">
        <w:lastRenderedPageBreak/>
        <w:t>CSA-TMs also provide other health services on site, via visiting or co-located services. Where required, staff should also make referrals for clients to seek off site health support. Further information about these services can be found in the following multidisciplinary supports section.</w:t>
      </w:r>
    </w:p>
    <w:p w14:paraId="67E482C2" w14:textId="77777777" w:rsidR="005639DB" w:rsidRDefault="005639DB" w:rsidP="006351D5">
      <w:pPr>
        <w:pStyle w:val="Body"/>
      </w:pPr>
      <w:r w:rsidRPr="00404C8C">
        <w:t>Clinical mental health services are not delivered directly by CSA-TM. Referrals should be made promptly for residents to external mental health services where a need is identified. Depending on acuity, referrals may range from seeking support through a General Practitioner to referring directly to the local Crisis Assessment and Treatment Team (CATT).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64E78" w14:paraId="04A722E2" w14:textId="77777777" w:rsidTr="0013393F">
        <w:tc>
          <w:tcPr>
            <w:tcW w:w="9288" w:type="dxa"/>
          </w:tcPr>
          <w:p w14:paraId="3635C321" w14:textId="76137A2F" w:rsidR="00064E78" w:rsidRPr="0013393F" w:rsidRDefault="0013393F" w:rsidP="00064E78">
            <w:pPr>
              <w:pStyle w:val="Body"/>
              <w:rPr>
                <w:rStyle w:val="Hyperlink"/>
                <w:rFonts w:ascii="Avenir Book" w:hAnsi="Avenir Book"/>
              </w:rPr>
            </w:pPr>
            <w:r>
              <w:fldChar w:fldCharType="begin"/>
            </w:r>
            <w:r>
              <w:instrText>HYPERLINK "https://fac.dffh.vic.gov.au/homelessness-and-housing-support-guidelines-2025-0"</w:instrText>
            </w:r>
            <w:r>
              <w:fldChar w:fldCharType="separate"/>
            </w:r>
            <w:r w:rsidR="00064E78" w:rsidRPr="0013393F">
              <w:rPr>
                <w:rStyle w:val="Hyperlink"/>
                <w:rFonts w:ascii="Avenir Book" w:hAnsi="Avenir Book"/>
              </w:rPr>
              <w:t>Homelessness and Housing Support Guidelines 2025</w:t>
            </w:r>
          </w:p>
          <w:p w14:paraId="6C57F035" w14:textId="3AF15CF5" w:rsidR="00064E78" w:rsidRDefault="0013393F" w:rsidP="00064E78">
            <w:pPr>
              <w:pStyle w:val="Body"/>
            </w:pPr>
            <w:r>
              <w:fldChar w:fldCharType="end"/>
            </w:r>
            <w:r w:rsidR="00064E78" w:rsidRPr="00677A31">
              <w:t>https://fac.dffh.vic.gov.au/homelessness-and-housing-support-guidelines-2025-0</w:t>
            </w:r>
          </w:p>
        </w:tc>
      </w:tr>
      <w:tr w:rsidR="00064E78" w14:paraId="4B150C31" w14:textId="77777777" w:rsidTr="0013393F">
        <w:tc>
          <w:tcPr>
            <w:tcW w:w="9288" w:type="dxa"/>
          </w:tcPr>
          <w:p w14:paraId="40585CBF" w14:textId="77777777" w:rsidR="00064E78" w:rsidRDefault="00064E78" w:rsidP="00064E78">
            <w:pPr>
              <w:pStyle w:val="Body"/>
            </w:pPr>
            <w:hyperlink r:id="rId29" w:history="1">
              <w:r w:rsidRPr="006402E8">
                <w:rPr>
                  <w:rStyle w:val="Hyperlink"/>
                  <w:rFonts w:ascii="Avenir Book" w:hAnsi="Avenir Book"/>
                </w:rPr>
                <w:t>Needle and Syringe Program – Department of Health (Victoria)</w:t>
              </w:r>
            </w:hyperlink>
          </w:p>
          <w:p w14:paraId="4C0A8820" w14:textId="045E41C3" w:rsidR="006402E8" w:rsidRDefault="006402E8" w:rsidP="00064E78">
            <w:pPr>
              <w:pStyle w:val="Body"/>
            </w:pPr>
            <w:r w:rsidRPr="006402E8">
              <w:t>https://www.health.vic.gov.au/aod-treatment-services/needle-and-syringe-program</w:t>
            </w:r>
          </w:p>
        </w:tc>
      </w:tr>
    </w:tbl>
    <w:p w14:paraId="4429ACB7" w14:textId="77777777" w:rsidR="00064E78" w:rsidRPr="00404C8C" w:rsidRDefault="00064E78" w:rsidP="006351D5">
      <w:pPr>
        <w:pStyle w:val="Body"/>
      </w:pPr>
    </w:p>
    <w:p w14:paraId="44793813" w14:textId="77777777" w:rsidR="005639DB" w:rsidRPr="00404C8C" w:rsidRDefault="005639DB" w:rsidP="00AD6D9E">
      <w:pPr>
        <w:pStyle w:val="Heading4"/>
      </w:pPr>
      <w:r w:rsidRPr="00404C8C">
        <w:t>Therapeutic recreation</w:t>
      </w:r>
    </w:p>
    <w:p w14:paraId="79690472" w14:textId="77777777" w:rsidR="005639DB" w:rsidRPr="00404C8C" w:rsidRDefault="005639DB" w:rsidP="006351D5">
      <w:pPr>
        <w:pStyle w:val="Body"/>
      </w:pPr>
      <w:r w:rsidRPr="00404C8C">
        <w:t xml:space="preserve">All CSA-TM sites must provide recreational activities for residents. Recreation is an important therapeutic activity which supports residents’ wellbeing and provides opportunities for social connection. </w:t>
      </w:r>
    </w:p>
    <w:p w14:paraId="4CDC778F" w14:textId="77777777" w:rsidR="005639DB" w:rsidRPr="00404C8C" w:rsidRDefault="005639DB" w:rsidP="006351D5">
      <w:pPr>
        <w:pStyle w:val="Body"/>
      </w:pPr>
      <w:r w:rsidRPr="00404C8C">
        <w:t>All CSA-TM sites must operate a regular calendar of recreational activities. Recreation activities may take place on site (e.g. cooking classes, meditation classes or board games) or offsite (e.g. walks, or visits to cafes and sporting centres). Wherever possible, recreational activities should be available to clients free of charge. If a cost for a particular recreational activity must be charged, it should be kept to the minimum feasible amount. Clients must be made aware of and consent to the cost.</w:t>
      </w:r>
    </w:p>
    <w:p w14:paraId="40E38363" w14:textId="77777777" w:rsidR="005639DB" w:rsidRPr="00404C8C" w:rsidRDefault="005639DB" w:rsidP="006351D5">
      <w:pPr>
        <w:pStyle w:val="Body"/>
      </w:pPr>
      <w:r w:rsidRPr="00404C8C">
        <w:t xml:space="preserve">All sites have common rooms and/or recreation rooms with televisions, games, and a range of other recreational equipment available to all residents. </w:t>
      </w:r>
    </w:p>
    <w:p w14:paraId="300E624B" w14:textId="77777777" w:rsidR="001E5B63" w:rsidRPr="00404C8C" w:rsidRDefault="005639DB" w:rsidP="006351D5">
      <w:pPr>
        <w:pStyle w:val="Body"/>
      </w:pPr>
      <w:r w:rsidRPr="00404C8C">
        <w:t xml:space="preserve">Case managers at CSA-TM sites will support clients to identify and access recreational activities as part of their case planning that focuses on recovery and wellbeing. </w:t>
      </w:r>
    </w:p>
    <w:p w14:paraId="0DB5275A" w14:textId="3CAF5DAE" w:rsidR="00E8751C" w:rsidRDefault="0001089A" w:rsidP="0001089A">
      <w:pPr>
        <w:pStyle w:val="Heading4"/>
      </w:pPr>
      <w:r>
        <w:t>Service fees</w:t>
      </w:r>
    </w:p>
    <w:p w14:paraId="558304A7" w14:textId="437697E4" w:rsidR="0001089A" w:rsidRPr="0001089A" w:rsidRDefault="0001089A" w:rsidP="0001089A">
      <w:pPr>
        <w:pStyle w:val="Body"/>
      </w:pPr>
      <w:r>
        <w:t xml:space="preserve">CSA-TM </w:t>
      </w:r>
      <w:r w:rsidR="003A2DE8">
        <w:t>provider</w:t>
      </w:r>
      <w:r>
        <w:t xml:space="preserve">s may </w:t>
      </w:r>
      <w:r w:rsidR="003A2DE8">
        <w:t xml:space="preserve">require </w:t>
      </w:r>
      <w:r>
        <w:t xml:space="preserve">residents to contribute a </w:t>
      </w:r>
      <w:r w:rsidR="00EF3843">
        <w:t xml:space="preserve">proportion of their income as a </w:t>
      </w:r>
      <w:r>
        <w:t>service fee</w:t>
      </w:r>
      <w:r w:rsidR="003A2DE8">
        <w:t xml:space="preserve"> for living on site and accessing services.</w:t>
      </w:r>
      <w:r w:rsidR="00C96494">
        <w:t xml:space="preserve"> Service fees should be clearly outlined and explained to clients as part of the intake process. </w:t>
      </w:r>
      <w:r w:rsidR="003F4E6B">
        <w:t xml:space="preserve"> CSA-TM providers </w:t>
      </w:r>
      <w:r w:rsidR="00A84714">
        <w:t>are encouraged to</w:t>
      </w:r>
      <w:r w:rsidR="00713F10">
        <w:t xml:space="preserve"> work with clients </w:t>
      </w:r>
      <w:r w:rsidR="006336FF">
        <w:t xml:space="preserve">in a trauma-informed way </w:t>
      </w:r>
      <w:r w:rsidR="00713F10">
        <w:t>to address any non-payment of service fees.</w:t>
      </w:r>
    </w:p>
    <w:p w14:paraId="5A2AF521" w14:textId="3C47F853" w:rsidR="007C6277" w:rsidRPr="009E70B9" w:rsidRDefault="00422D21" w:rsidP="00710DD6">
      <w:pPr>
        <w:pStyle w:val="Heading3"/>
        <w:ind w:left="1021"/>
      </w:pPr>
      <w:r w:rsidRPr="009E70B9">
        <w:t>People exiting the program</w:t>
      </w:r>
      <w:r w:rsidR="00655EAD" w:rsidRPr="009E70B9">
        <w:t xml:space="preserve"> </w:t>
      </w:r>
    </w:p>
    <w:p w14:paraId="10329EA8" w14:textId="71AD8800" w:rsidR="00B26C48" w:rsidRDefault="00A46A7E" w:rsidP="64A85B52">
      <w:pPr>
        <w:pStyle w:val="Body"/>
      </w:pPr>
      <w:r w:rsidRPr="00067659">
        <w:t>CSA-TM p</w:t>
      </w:r>
      <w:r w:rsidR="00057532" w:rsidRPr="009749C0">
        <w:t xml:space="preserve">roviders </w:t>
      </w:r>
      <w:r w:rsidR="005133F5" w:rsidRPr="009749C0">
        <w:t xml:space="preserve">should </w:t>
      </w:r>
      <w:r w:rsidRPr="00067659">
        <w:t>take steps to</w:t>
      </w:r>
      <w:r w:rsidR="005133F5" w:rsidRPr="009749C0">
        <w:t xml:space="preserve"> avoid</w:t>
      </w:r>
      <w:r w:rsidR="00BA37A5" w:rsidRPr="009749C0">
        <w:t xml:space="preserve"> clients exiting to homelessness</w:t>
      </w:r>
      <w:r w:rsidRPr="009749C0">
        <w:t xml:space="preserve"> once they leave the program.</w:t>
      </w:r>
      <w:r w:rsidR="009749C0">
        <w:t xml:space="preserve"> However, DFFH acknowledges that this will not always be possible, due to factors outside of the provider’s control. </w:t>
      </w:r>
      <w:r w:rsidR="00103BD3">
        <w:t xml:space="preserve"> </w:t>
      </w:r>
    </w:p>
    <w:p w14:paraId="5425E680" w14:textId="40B1BFF8" w:rsidR="001B4FF1" w:rsidRDefault="001B4FF1" w:rsidP="64A85B52">
      <w:pPr>
        <w:pStyle w:val="Body"/>
      </w:pPr>
      <w:r w:rsidRPr="000C3C09">
        <w:t>Wherever possible, CSA-TM</w:t>
      </w:r>
      <w:r w:rsidR="000C3C09" w:rsidRPr="000C3C09">
        <w:t xml:space="preserve"> residents should</w:t>
      </w:r>
      <w:r w:rsidR="002E5173">
        <w:t xml:space="preserve"> exit the program </w:t>
      </w:r>
      <w:r w:rsidR="00516F6F">
        <w:t xml:space="preserve">with </w:t>
      </w:r>
      <w:r w:rsidR="002E5173">
        <w:t xml:space="preserve">a plan for where they will live. </w:t>
      </w:r>
      <w:r w:rsidR="009403F9">
        <w:t>A planned exi</w:t>
      </w:r>
      <w:r w:rsidR="00B22A4D">
        <w:t xml:space="preserve">t </w:t>
      </w:r>
      <w:r w:rsidR="00C62317">
        <w:t>can involve a client</w:t>
      </w:r>
      <w:r w:rsidR="00B22A4D">
        <w:t xml:space="preserve"> entering another form of accommodation, or any other type of service where they can reside (for example</w:t>
      </w:r>
      <w:r w:rsidR="00DD2133">
        <w:t>,</w:t>
      </w:r>
      <w:r w:rsidR="00B22A4D">
        <w:t xml:space="preserve"> a hospital or rehabilitation clinic</w:t>
      </w:r>
      <w:r w:rsidR="002E5173">
        <w:t>).</w:t>
      </w:r>
    </w:p>
    <w:p w14:paraId="7DC7B002" w14:textId="7E1E7457" w:rsidR="00BF4679" w:rsidRDefault="003A6F9E" w:rsidP="64A85B52">
      <w:pPr>
        <w:pStyle w:val="Body"/>
      </w:pPr>
      <w:r>
        <w:t xml:space="preserve">Wherever possible, clients exiting CSA-TM should also be linked in to support services to assist them </w:t>
      </w:r>
      <w:r w:rsidR="00424C27">
        <w:t>after they leave the program. Relevant support services</w:t>
      </w:r>
      <w:r w:rsidR="00BF4679">
        <w:t xml:space="preserve"> for exiting clients should be determined by their needs and preferences, </w:t>
      </w:r>
      <w:r w:rsidR="00DD2133">
        <w:t xml:space="preserve">and </w:t>
      </w:r>
      <w:r w:rsidR="00BF4679">
        <w:t>may include case management</w:t>
      </w:r>
      <w:r w:rsidR="004C7238">
        <w:t>, AOD or health services.</w:t>
      </w:r>
    </w:p>
    <w:p w14:paraId="1A4CE0B7" w14:textId="292ADDBE" w:rsidR="00153D3E" w:rsidRPr="000C3C09" w:rsidRDefault="004C7238" w:rsidP="64A85B52">
      <w:pPr>
        <w:pStyle w:val="Body"/>
      </w:pPr>
      <w:r>
        <w:t xml:space="preserve">CSA-TM providers are not required to provide any specific level or duration of support for clients once they have exited. However, </w:t>
      </w:r>
      <w:r w:rsidR="009403F9">
        <w:t xml:space="preserve">providers </w:t>
      </w:r>
      <w:r w:rsidR="009E70B9">
        <w:t>may</w:t>
      </w:r>
      <w:r w:rsidR="009403F9">
        <w:t xml:space="preserve"> utilise other fund</w:t>
      </w:r>
      <w:r w:rsidR="009E70B9">
        <w:t>ing or services</w:t>
      </w:r>
      <w:r w:rsidR="009403F9">
        <w:t xml:space="preserve"> </w:t>
      </w:r>
      <w:r w:rsidR="009E70B9">
        <w:t>to</w:t>
      </w:r>
      <w:r w:rsidR="00ED0D37">
        <w:t xml:space="preserve"> provide outreach or case management</w:t>
      </w:r>
      <w:r w:rsidR="009E70B9">
        <w:t xml:space="preserve"> </w:t>
      </w:r>
      <w:r w:rsidR="009403F9">
        <w:t xml:space="preserve">support </w:t>
      </w:r>
      <w:r w:rsidR="00020FD4">
        <w:t xml:space="preserve">to </w:t>
      </w:r>
      <w:r w:rsidR="009403F9">
        <w:t>clients exiting CSA-TM, at their discretion.</w:t>
      </w:r>
    </w:p>
    <w:p w14:paraId="329F0A0B" w14:textId="11244E44" w:rsidR="007C6277" w:rsidRPr="003449A5" w:rsidRDefault="16A0C6A9" w:rsidP="003449A5">
      <w:pPr>
        <w:pStyle w:val="Heading2"/>
      </w:pPr>
      <w:bookmarkStart w:id="15" w:name="_Toc212646924"/>
      <w:r w:rsidRPr="003449A5">
        <w:lastRenderedPageBreak/>
        <w:t>Brokerage</w:t>
      </w:r>
      <w:bookmarkEnd w:id="15"/>
      <w:r w:rsidRPr="003449A5">
        <w:t xml:space="preserve"> </w:t>
      </w:r>
    </w:p>
    <w:p w14:paraId="56453E45" w14:textId="1991C033" w:rsidR="334AACA4" w:rsidRPr="003449A5" w:rsidRDefault="1722111C" w:rsidP="00710DD6">
      <w:pPr>
        <w:pStyle w:val="Heading3"/>
        <w:ind w:left="1021"/>
      </w:pPr>
      <w:r>
        <w:t xml:space="preserve">Homelessness Services </w:t>
      </w:r>
      <w:r w:rsidR="00E91368">
        <w:t>b</w:t>
      </w:r>
      <w:r>
        <w:t>rokerage</w:t>
      </w:r>
    </w:p>
    <w:p w14:paraId="5A39FE06" w14:textId="06A13DB6" w:rsidR="0E5D0BC9" w:rsidRDefault="0E5D0BC9" w:rsidP="126445CF">
      <w:pPr>
        <w:pStyle w:val="Body"/>
        <w:keepNext/>
        <w:keepLines/>
      </w:pPr>
      <w:r w:rsidRPr="126445CF">
        <w:t>To access or sustain housing, workers of</w:t>
      </w:r>
      <w:r w:rsidR="00C71537">
        <w:t xml:space="preserve"> the </w:t>
      </w:r>
      <w:r w:rsidR="00421410">
        <w:t>CSA-TM program</w:t>
      </w:r>
      <w:r w:rsidR="00C71537">
        <w:t xml:space="preserve"> </w:t>
      </w:r>
      <w:r w:rsidRPr="126445CF">
        <w:t>may apply for funding through one of the below brokerage programs</w:t>
      </w:r>
      <w:r w:rsidR="00CF34C4">
        <w:t>, on behalf of clients</w:t>
      </w:r>
      <w:r w:rsidR="00A8304E">
        <w:t xml:space="preserve"> where they provided consent</w:t>
      </w:r>
      <w:r w:rsidRPr="126445CF">
        <w:t xml:space="preserve">. </w:t>
      </w:r>
      <w:r w:rsidR="0408720D" w:rsidRPr="126445CF">
        <w:t xml:space="preserve">Any allocation of the below brokerage is at the discretion of the </w:t>
      </w:r>
      <w:r w:rsidR="1BF64229" w:rsidRPr="126445CF">
        <w:t>organisation providing the brokerage in accordance with relevant program guidelines.</w:t>
      </w:r>
    </w:p>
    <w:p w14:paraId="7507702C" w14:textId="1980FC80" w:rsidR="5E6EECD3" w:rsidRDefault="5E6EECD3" w:rsidP="0013393F">
      <w:pPr>
        <w:pStyle w:val="Heading4"/>
        <w:rPr>
          <w:rFonts w:ascii="Verdana" w:eastAsia="Verdana" w:hAnsi="Verdana" w:cs="Verdana"/>
          <w:color w:val="032833" w:themeColor="text2"/>
          <w:sz w:val="28"/>
          <w:szCs w:val="28"/>
        </w:rPr>
      </w:pPr>
      <w:r w:rsidRPr="126445CF">
        <w:t>Private Rental Assistance Program (PRAP)</w:t>
      </w:r>
    </w:p>
    <w:p w14:paraId="14CA6BB2" w14:textId="1DD59461" w:rsidR="009B3AE7" w:rsidRDefault="008550FD" w:rsidP="5F1FC3F6">
      <w:pPr>
        <w:pStyle w:val="Body"/>
      </w:pPr>
      <w:r>
        <w:t>CSA-TM</w:t>
      </w:r>
      <w:r w:rsidR="75521A12">
        <w:t xml:space="preserve"> </w:t>
      </w:r>
      <w:r w:rsidR="5E6EECD3">
        <w:t>staff are encouraged to utilise local area PRAP funds where available to establish private rental tenancies</w:t>
      </w:r>
      <w:r w:rsidR="00297C73">
        <w:t xml:space="preserve">, where it is appropriate for a client to exit </w:t>
      </w:r>
      <w:r w:rsidR="00CA0DD2">
        <w:t>CSA-TM</w:t>
      </w:r>
      <w:r w:rsidR="00297C73">
        <w:t xml:space="preserve"> into a private rental</w:t>
      </w:r>
      <w:r w:rsidR="5E6EECD3">
        <w:t>.</w:t>
      </w:r>
      <w:r w:rsidR="001D7FBC">
        <w:t xml:space="preserve"> </w:t>
      </w:r>
      <w:r w:rsidR="003255FD">
        <w:t>Please refer to the</w:t>
      </w:r>
      <w:r w:rsidR="009B3AE7">
        <w:t xml:space="preserve"> link below </w:t>
      </w:r>
      <w:r w:rsidR="003255FD">
        <w:t xml:space="preserve">which </w:t>
      </w:r>
      <w:r w:rsidR="009B3AE7">
        <w:t>provides oversight and guidance for the use of PRAP funds.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B3AE7" w14:paraId="456D6AA3" w14:textId="77777777" w:rsidTr="0013393F">
        <w:trPr>
          <w:trHeight w:val="687"/>
        </w:trPr>
        <w:tc>
          <w:tcPr>
            <w:tcW w:w="9288" w:type="dxa"/>
          </w:tcPr>
          <w:p w14:paraId="24C0AAC2" w14:textId="77777777" w:rsidR="009B3AE7" w:rsidRPr="00E37105" w:rsidRDefault="009B3AE7" w:rsidP="5F1FC3F6">
            <w:pPr>
              <w:pStyle w:val="Body"/>
              <w:rPr>
                <w:rStyle w:val="Hyperlink"/>
                <w:rFonts w:ascii="Avenir Book" w:hAnsi="Avenir Book"/>
              </w:rPr>
            </w:pPr>
            <w:hyperlink r:id="rId30">
              <w:r w:rsidRPr="00E37105">
                <w:rPr>
                  <w:rStyle w:val="Hyperlink"/>
                  <w:rFonts w:ascii="Avenir Book" w:hAnsi="Avenir Book"/>
                </w:rPr>
                <w:t>Private Rental Assistance Program Guidelines</w:t>
              </w:r>
            </w:hyperlink>
          </w:p>
          <w:p w14:paraId="6A93DC0A" w14:textId="1F82FD9F" w:rsidR="009B3AE7" w:rsidRDefault="009B3AE7" w:rsidP="5F1FC3F6">
            <w:pPr>
              <w:pStyle w:val="Body"/>
            </w:pPr>
            <w:r>
              <w:t>https://fac.dffh.vic.gov.au/private-rental-assistance-program-guidelines</w:t>
            </w:r>
          </w:p>
        </w:tc>
      </w:tr>
    </w:tbl>
    <w:p w14:paraId="401B7E4F" w14:textId="6F5042A5" w:rsidR="75521A12" w:rsidRPr="009B3AE7" w:rsidRDefault="75521A12" w:rsidP="5F1FC3F6">
      <w:pPr>
        <w:pStyle w:val="Body"/>
      </w:pPr>
    </w:p>
    <w:p w14:paraId="4E2946DD" w14:textId="5346F16D" w:rsidR="5E6EECD3" w:rsidRDefault="5E6EECD3" w:rsidP="00E5140A">
      <w:pPr>
        <w:pStyle w:val="Heading4"/>
        <w:rPr>
          <w:rFonts w:ascii="Verdana" w:eastAsia="Verdana" w:hAnsi="Verdana" w:cs="Verdana"/>
          <w:color w:val="032833" w:themeColor="text2"/>
          <w:sz w:val="28"/>
          <w:szCs w:val="28"/>
        </w:rPr>
      </w:pPr>
      <w:r w:rsidRPr="126445CF">
        <w:t>Aboriginal Private Rental Assistance Program (APRAP)</w:t>
      </w:r>
    </w:p>
    <w:p w14:paraId="31343455" w14:textId="77777777" w:rsidR="003255FD" w:rsidRDefault="008550FD" w:rsidP="5F1FC3F6">
      <w:pPr>
        <w:pStyle w:val="Body"/>
      </w:pPr>
      <w:r>
        <w:t>CSA-TM</w:t>
      </w:r>
      <w:r w:rsidR="00C61ECC">
        <w:t xml:space="preserve"> </w:t>
      </w:r>
      <w:r w:rsidR="5E6EECD3">
        <w:t xml:space="preserve">staff are encouraged to utilise local area APRAP funds for First People </w:t>
      </w:r>
      <w:r w:rsidR="7A365476">
        <w:t xml:space="preserve">(who may choose this option) </w:t>
      </w:r>
      <w:r w:rsidR="5E6EECD3">
        <w:t>where available to establish private rental tenancies</w:t>
      </w:r>
      <w:r w:rsidR="00297C73">
        <w:t>, where it is appropriate for the client to exit CSA-TM into a private rental</w:t>
      </w:r>
      <w:r w:rsidR="5E6EECD3">
        <w:t>. Please refer to the</w:t>
      </w:r>
      <w:r w:rsidR="001A10CE">
        <w:t xml:space="preserve"> link below</w:t>
      </w:r>
      <w:r w:rsidR="5E6EECD3">
        <w:t xml:space="preserve"> which provide oversight and guidance for the use of APRAP funds.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77515" w14:paraId="72561E40" w14:textId="77777777" w:rsidTr="0084694D">
        <w:tc>
          <w:tcPr>
            <w:tcW w:w="9288" w:type="dxa"/>
          </w:tcPr>
          <w:p w14:paraId="58850B40" w14:textId="2B074837" w:rsidR="0048467C" w:rsidRDefault="0048467C" w:rsidP="0084694D">
            <w:pPr>
              <w:pStyle w:val="Body"/>
            </w:pPr>
            <w:hyperlink r:id="rId31" w:history="1">
              <w:r w:rsidRPr="0084694D">
                <w:rPr>
                  <w:rStyle w:val="Hyperlink"/>
                  <w:rFonts w:ascii="Avenir Book" w:hAnsi="Avenir Book"/>
                </w:rPr>
                <w:t>Aboriginal Private Rental Assistance Program (APRAP) Guidelines</w:t>
              </w:r>
            </w:hyperlink>
          </w:p>
          <w:p w14:paraId="065B2990" w14:textId="0616B387" w:rsidR="00977515" w:rsidRDefault="0084694D" w:rsidP="0084694D">
            <w:pPr>
              <w:pStyle w:val="Body"/>
            </w:pPr>
            <w:r w:rsidRPr="0084694D">
              <w:t>https://fac.dffh.vic.gov.au/aboriginal-private-rental-assistance-program-aprap-guidelines</w:t>
            </w:r>
          </w:p>
        </w:tc>
      </w:tr>
    </w:tbl>
    <w:p w14:paraId="19712B94" w14:textId="77777777" w:rsidR="003255FD" w:rsidRDefault="003255FD" w:rsidP="5F1FC3F6">
      <w:pPr>
        <w:pStyle w:val="Body"/>
      </w:pPr>
    </w:p>
    <w:p w14:paraId="285EF9DC" w14:textId="7AB29D47" w:rsidR="5E6EECD3" w:rsidRDefault="5E6EECD3" w:rsidP="00E5140A">
      <w:pPr>
        <w:pStyle w:val="Heading4"/>
        <w:rPr>
          <w:rFonts w:ascii="Verdana" w:eastAsia="Verdana" w:hAnsi="Verdana" w:cs="Verdana"/>
          <w:color w:val="032833" w:themeColor="text2"/>
          <w:sz w:val="28"/>
          <w:szCs w:val="28"/>
        </w:rPr>
      </w:pPr>
      <w:r w:rsidRPr="126445CF">
        <w:t>Housing Establishment Fund (HEF)</w:t>
      </w:r>
    </w:p>
    <w:p w14:paraId="14E37901" w14:textId="77777777" w:rsidR="003255FD" w:rsidRDefault="008550FD" w:rsidP="126445CF">
      <w:pPr>
        <w:pStyle w:val="Body"/>
      </w:pPr>
      <w:r>
        <w:t>CSA-TM</w:t>
      </w:r>
      <w:r w:rsidR="00C61ECC">
        <w:t xml:space="preserve"> </w:t>
      </w:r>
      <w:r w:rsidR="5E6EECD3">
        <w:t xml:space="preserve">staff may request HEF brokerage from the local homelessness entry point </w:t>
      </w:r>
      <w:r w:rsidR="4097AB44">
        <w:t xml:space="preserve">to prevent a resident exiting into homelessness </w:t>
      </w:r>
      <w:r w:rsidR="5E6EECD3">
        <w:t xml:space="preserve">when all other sources of funding have been exhausted. </w:t>
      </w:r>
      <w:r w:rsidR="003255FD">
        <w:t>Please r</w:t>
      </w:r>
      <w:r w:rsidR="5E6EECD3">
        <w:t>efer to the</w:t>
      </w:r>
      <w:r w:rsidR="003255FD">
        <w:t xml:space="preserve"> link below </w:t>
      </w:r>
      <w:r w:rsidR="5E6EECD3">
        <w:t>for appropriate use of HEF.</w:t>
      </w:r>
    </w:p>
    <w:tbl>
      <w:tblPr>
        <w:tblStyle w:val="TableGrid"/>
        <w:tblW w:w="0" w:type="auto"/>
        <w:tblLook w:val="04A0" w:firstRow="1" w:lastRow="0" w:firstColumn="1" w:lastColumn="0" w:noHBand="0" w:noVBand="1"/>
      </w:tblPr>
      <w:tblGrid>
        <w:gridCol w:w="9288"/>
      </w:tblGrid>
      <w:tr w:rsidR="003255FD" w14:paraId="4DD393CC" w14:textId="77777777" w:rsidTr="0084694D">
        <w:tc>
          <w:tcPr>
            <w:tcW w:w="9288" w:type="dxa"/>
            <w:tcBorders>
              <w:top w:val="single" w:sz="4" w:space="0" w:color="auto"/>
              <w:left w:val="single" w:sz="4" w:space="0" w:color="auto"/>
              <w:bottom w:val="single" w:sz="4" w:space="0" w:color="auto"/>
              <w:right w:val="single" w:sz="4" w:space="0" w:color="auto"/>
            </w:tcBorders>
          </w:tcPr>
          <w:p w14:paraId="755C2646" w14:textId="77777777" w:rsidR="00695F2F" w:rsidRDefault="003255FD" w:rsidP="126445CF">
            <w:pPr>
              <w:pStyle w:val="Body"/>
            </w:pPr>
            <w:hyperlink r:id="rId32">
              <w:r w:rsidRPr="00E37105">
                <w:rPr>
                  <w:rStyle w:val="Hyperlink"/>
                  <w:rFonts w:ascii="Avenir Book" w:hAnsi="Avenir Book"/>
                </w:rPr>
                <w:t>Homelessness Services Guidelines and Conditions of Funding</w:t>
              </w:r>
            </w:hyperlink>
            <w:r>
              <w:t xml:space="preserve"> </w:t>
            </w:r>
          </w:p>
          <w:p w14:paraId="35991BFD" w14:textId="77B46B62" w:rsidR="003255FD" w:rsidRDefault="0084694D" w:rsidP="126445CF">
            <w:pPr>
              <w:pStyle w:val="Body"/>
            </w:pPr>
            <w:r>
              <w:t>https://fac.dffh.vic.gov.au/homelessness-services-guidelines-and-conditions-funding</w:t>
            </w:r>
          </w:p>
        </w:tc>
      </w:tr>
    </w:tbl>
    <w:p w14:paraId="15B0F055" w14:textId="7FEBD1FB" w:rsidR="35FE64A5" w:rsidRDefault="5E6EECD3" w:rsidP="126445CF">
      <w:pPr>
        <w:pStyle w:val="Body"/>
      </w:pPr>
      <w:r>
        <w:t xml:space="preserve"> </w:t>
      </w:r>
    </w:p>
    <w:p w14:paraId="33EEC43D" w14:textId="1EF1B1FA" w:rsidR="0018462F" w:rsidRPr="003449A5" w:rsidRDefault="0018462F" w:rsidP="00D36292">
      <w:pPr>
        <w:pStyle w:val="Heading2"/>
      </w:pPr>
      <w:bookmarkStart w:id="16" w:name="_Toc212646925"/>
      <w:bookmarkStart w:id="17" w:name="_Toc256778633"/>
      <w:r w:rsidRPr="003449A5">
        <w:t>Stakeholders</w:t>
      </w:r>
      <w:bookmarkEnd w:id="16"/>
      <w:r w:rsidR="00AF40F7">
        <w:t xml:space="preserve"> </w:t>
      </w:r>
    </w:p>
    <w:p w14:paraId="69EB2688" w14:textId="22250803" w:rsidR="0018462F" w:rsidRDefault="0018462F" w:rsidP="0018462F">
      <w:pPr>
        <w:spacing w:before="240" w:after="240"/>
        <w:rPr>
          <w:rFonts w:eastAsia="Times"/>
          <w:color w:val="26C3F2" w:themeColor="text2" w:themeTint="80"/>
        </w:rPr>
      </w:pPr>
      <w:r w:rsidRPr="119FB08E">
        <w:t xml:space="preserve">The effective delivery of </w:t>
      </w:r>
      <w:r w:rsidR="008204C3">
        <w:t xml:space="preserve">the </w:t>
      </w:r>
      <w:r w:rsidR="00421410">
        <w:t>CSA-TM program</w:t>
      </w:r>
      <w:r w:rsidR="008204C3">
        <w:t xml:space="preserve"> </w:t>
      </w:r>
      <w:r w:rsidRPr="119FB08E">
        <w:t xml:space="preserve">requires clear understanding of roles, responsibilities, and relationships between various government and non-government stakeholders. This section outlines key partnerships, reporting relationships, and integration points that support </w:t>
      </w:r>
      <w:r w:rsidR="5308B789">
        <w:t>CSA-TM</w:t>
      </w:r>
      <w:r w:rsidRPr="119FB08E">
        <w:t xml:space="preserve"> outcomes. It defines how different parts of the service system work together to support people experiencing or at risk of homelessness.</w:t>
      </w:r>
    </w:p>
    <w:p w14:paraId="746E9AA2" w14:textId="2D009EA5" w:rsidR="00AF40F7" w:rsidRDefault="00083A22" w:rsidP="00F6516A">
      <w:pPr>
        <w:pStyle w:val="Heading3"/>
        <w:ind w:left="1021"/>
      </w:pPr>
      <w:r w:rsidRPr="00710DD6">
        <w:lastRenderedPageBreak/>
        <w:t>Program</w:t>
      </w:r>
      <w:r w:rsidRPr="00710DD6">
        <w:rPr>
          <w:b w:val="0"/>
        </w:rPr>
        <w:t xml:space="preserve"> </w:t>
      </w:r>
      <w:r w:rsidRPr="00710DD6">
        <w:t>stakeholders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607"/>
      </w:tblGrid>
      <w:tr w:rsidR="00AF40F7" w14:paraId="0C4316D8" w14:textId="77777777" w:rsidTr="0084694D">
        <w:tc>
          <w:tcPr>
            <w:tcW w:w="3681" w:type="dxa"/>
          </w:tcPr>
          <w:p w14:paraId="7C7756D1" w14:textId="53009EAC" w:rsidR="00AF40F7" w:rsidRPr="00205A4F" w:rsidRDefault="0044541A" w:rsidP="0084694D">
            <w:pPr>
              <w:pStyle w:val="Body"/>
              <w:keepNext/>
              <w:rPr>
                <w:b/>
                <w:bCs/>
              </w:rPr>
            </w:pPr>
            <w:r w:rsidRPr="00205A4F">
              <w:rPr>
                <w:b/>
                <w:bCs/>
              </w:rPr>
              <w:t>Stakeholder</w:t>
            </w:r>
          </w:p>
        </w:tc>
        <w:tc>
          <w:tcPr>
            <w:tcW w:w="5607" w:type="dxa"/>
          </w:tcPr>
          <w:p w14:paraId="094A8E55" w14:textId="4DC108E5" w:rsidR="00AF40F7" w:rsidRPr="00205A4F" w:rsidRDefault="00075899" w:rsidP="0084694D">
            <w:pPr>
              <w:pStyle w:val="Body"/>
              <w:keepNext/>
              <w:rPr>
                <w:b/>
                <w:bCs/>
              </w:rPr>
            </w:pPr>
            <w:r w:rsidRPr="00205A4F">
              <w:rPr>
                <w:b/>
                <w:bCs/>
              </w:rPr>
              <w:t>Roles and responsibilities</w:t>
            </w:r>
          </w:p>
        </w:tc>
      </w:tr>
      <w:tr w:rsidR="00AF40F7" w14:paraId="47095FFC" w14:textId="77777777" w:rsidTr="0084694D">
        <w:tc>
          <w:tcPr>
            <w:tcW w:w="3681" w:type="dxa"/>
          </w:tcPr>
          <w:p w14:paraId="04D00648" w14:textId="67885FBB" w:rsidR="00AF40F7" w:rsidRDefault="00872251" w:rsidP="00AF40F7">
            <w:pPr>
              <w:pStyle w:val="Body"/>
            </w:pPr>
            <w:r>
              <w:t xml:space="preserve">Homelessness and Housing Support, </w:t>
            </w:r>
            <w:r w:rsidR="0044541A">
              <w:t>Homes Victoria</w:t>
            </w:r>
          </w:p>
        </w:tc>
        <w:tc>
          <w:tcPr>
            <w:tcW w:w="5607" w:type="dxa"/>
          </w:tcPr>
          <w:p w14:paraId="3C85EBF3" w14:textId="7C5C39E8" w:rsidR="00632BE8" w:rsidRDefault="00B02828" w:rsidP="005908ED">
            <w:pPr>
              <w:pStyle w:val="Body"/>
              <w:numPr>
                <w:ilvl w:val="0"/>
                <w:numId w:val="18"/>
              </w:numPr>
            </w:pPr>
            <w:r>
              <w:t>Allocate</w:t>
            </w:r>
            <w:r w:rsidR="00C96682">
              <w:t xml:space="preserve"> program funding</w:t>
            </w:r>
            <w:r w:rsidR="00007135">
              <w:t>.</w:t>
            </w:r>
          </w:p>
          <w:p w14:paraId="79BB6972" w14:textId="279D190C" w:rsidR="00632BE8" w:rsidRDefault="00B02828" w:rsidP="005908ED">
            <w:pPr>
              <w:pStyle w:val="Body"/>
              <w:numPr>
                <w:ilvl w:val="0"/>
                <w:numId w:val="18"/>
              </w:numPr>
            </w:pPr>
            <w:r>
              <w:t>Publish</w:t>
            </w:r>
            <w:r w:rsidR="00632BE8">
              <w:t xml:space="preserve"> and </w:t>
            </w:r>
            <w:r w:rsidR="0013166F">
              <w:t>review program guidelines</w:t>
            </w:r>
            <w:r w:rsidR="00632BE8">
              <w:t xml:space="preserve"> </w:t>
            </w:r>
            <w:r>
              <w:t>as required</w:t>
            </w:r>
            <w:r w:rsidR="00007135">
              <w:t>.</w:t>
            </w:r>
          </w:p>
          <w:p w14:paraId="4FD80967" w14:textId="54BB3B26" w:rsidR="00AC0761" w:rsidRDefault="00B02828" w:rsidP="005908ED">
            <w:pPr>
              <w:pStyle w:val="Body"/>
              <w:numPr>
                <w:ilvl w:val="0"/>
                <w:numId w:val="18"/>
              </w:numPr>
            </w:pPr>
            <w:r>
              <w:t>Act as an e</w:t>
            </w:r>
            <w:r w:rsidR="003B4BC2">
              <w:t xml:space="preserve">scalation point for </w:t>
            </w:r>
            <w:r w:rsidR="00257D5F">
              <w:t>issues or que</w:t>
            </w:r>
            <w:r w:rsidR="00AC0761">
              <w:t>stion</w:t>
            </w:r>
            <w:r w:rsidR="00257D5F">
              <w:t>s raised by</w:t>
            </w:r>
            <w:r w:rsidR="00AC0761">
              <w:t>:</w:t>
            </w:r>
          </w:p>
          <w:p w14:paraId="7CE26419" w14:textId="37ADD122" w:rsidR="00A27143" w:rsidRDefault="00853D15" w:rsidP="005908ED">
            <w:pPr>
              <w:pStyle w:val="Body"/>
              <w:numPr>
                <w:ilvl w:val="0"/>
                <w:numId w:val="19"/>
              </w:numPr>
            </w:pPr>
            <w:r>
              <w:t xml:space="preserve">Agency Performance and System Support, </w:t>
            </w:r>
            <w:r w:rsidR="00A27143">
              <w:t>Department of Families Fairness and Housing</w:t>
            </w:r>
          </w:p>
          <w:p w14:paraId="692EDB99" w14:textId="6C833849" w:rsidR="00553BDA" w:rsidRDefault="00A27143" w:rsidP="00553BDA">
            <w:pPr>
              <w:pStyle w:val="Body"/>
              <w:numPr>
                <w:ilvl w:val="0"/>
                <w:numId w:val="19"/>
              </w:numPr>
            </w:pPr>
            <w:r>
              <w:t>CSA-TM providers</w:t>
            </w:r>
            <w:r w:rsidR="00007135">
              <w:t>.</w:t>
            </w:r>
            <w:r w:rsidR="003B4BC2">
              <w:t xml:space="preserve"> </w:t>
            </w:r>
          </w:p>
          <w:p w14:paraId="3B8DB945" w14:textId="74AF4F7D" w:rsidR="003B4BC2" w:rsidRPr="00583B4C" w:rsidRDefault="0075209B" w:rsidP="00583B4C">
            <w:pPr>
              <w:pStyle w:val="Body"/>
              <w:numPr>
                <w:ilvl w:val="0"/>
                <w:numId w:val="26"/>
              </w:numPr>
            </w:pPr>
            <w:r>
              <w:t xml:space="preserve">Set overall homelessness policy </w:t>
            </w:r>
            <w:r w:rsidR="001B7619">
              <w:t xml:space="preserve">and reform </w:t>
            </w:r>
            <w:r>
              <w:t>directions</w:t>
            </w:r>
            <w:r w:rsidR="00007135">
              <w:t>.</w:t>
            </w:r>
          </w:p>
        </w:tc>
      </w:tr>
      <w:tr w:rsidR="00AF40F7" w14:paraId="6AA4B91C" w14:textId="77777777" w:rsidTr="0084694D">
        <w:tc>
          <w:tcPr>
            <w:tcW w:w="3681" w:type="dxa"/>
          </w:tcPr>
          <w:p w14:paraId="4DB4312B" w14:textId="0A3A471C" w:rsidR="00AF40F7" w:rsidRDefault="0048145D" w:rsidP="00AF40F7">
            <w:pPr>
              <w:pStyle w:val="Body"/>
            </w:pPr>
            <w:r>
              <w:t>Agency Performance System Support</w:t>
            </w:r>
            <w:r w:rsidR="00A27143">
              <w:t>, Department of Families, Fairness and Housing</w:t>
            </w:r>
          </w:p>
        </w:tc>
        <w:tc>
          <w:tcPr>
            <w:tcW w:w="5607" w:type="dxa"/>
          </w:tcPr>
          <w:p w14:paraId="45D2037E" w14:textId="6055D698" w:rsidR="00B00A7C" w:rsidRDefault="00B02828" w:rsidP="005908ED">
            <w:pPr>
              <w:pStyle w:val="Body"/>
              <w:numPr>
                <w:ilvl w:val="0"/>
                <w:numId w:val="20"/>
              </w:numPr>
            </w:pPr>
            <w:r>
              <w:t>Manage service contracts</w:t>
            </w:r>
            <w:r w:rsidR="00077B7B">
              <w:t>.</w:t>
            </w:r>
          </w:p>
          <w:p w14:paraId="7676DF49" w14:textId="164E7640" w:rsidR="006419BD" w:rsidRDefault="00B02828" w:rsidP="005908ED">
            <w:pPr>
              <w:pStyle w:val="Body"/>
              <w:numPr>
                <w:ilvl w:val="0"/>
                <w:numId w:val="20"/>
              </w:numPr>
            </w:pPr>
            <w:r>
              <w:t>Monitor program reporting</w:t>
            </w:r>
            <w:r w:rsidR="007F445E">
              <w:t xml:space="preserve">, </w:t>
            </w:r>
            <w:r w:rsidR="00A648AC">
              <w:t xml:space="preserve">(as outlined in </w:t>
            </w:r>
            <w:hyperlink w:anchor="_Data_collection_and" w:history="1">
              <w:r w:rsidR="00A648AC" w:rsidRPr="00F6516A">
                <w:rPr>
                  <w:rStyle w:val="Hyperlink"/>
                  <w:rFonts w:ascii="Avenir Book" w:hAnsi="Avenir Book"/>
                </w:rPr>
                <w:t>section 4</w:t>
              </w:r>
            </w:hyperlink>
            <w:r w:rsidR="00A648AC">
              <w:t>)</w:t>
            </w:r>
            <w:r w:rsidR="00077B7B">
              <w:t>.</w:t>
            </w:r>
          </w:p>
          <w:p w14:paraId="2F4A204B" w14:textId="338884F0" w:rsidR="5BB19C7F" w:rsidRDefault="5BB19C7F" w:rsidP="3BFFEE4B">
            <w:pPr>
              <w:pStyle w:val="Body"/>
              <w:numPr>
                <w:ilvl w:val="0"/>
                <w:numId w:val="20"/>
              </w:numPr>
            </w:pPr>
            <w:r>
              <w:t xml:space="preserve">Monitor incident reporting (as outlined in </w:t>
            </w:r>
            <w:hyperlink w:anchor="_Data_collection_and" w:history="1">
              <w:r w:rsidRPr="00F6516A">
                <w:rPr>
                  <w:rStyle w:val="Hyperlink"/>
                  <w:rFonts w:ascii="Avenir Book" w:hAnsi="Avenir Book"/>
                </w:rPr>
                <w:t>section 4</w:t>
              </w:r>
            </w:hyperlink>
            <w:r>
              <w:t>).</w:t>
            </w:r>
          </w:p>
          <w:p w14:paraId="5F57BD8E" w14:textId="09E750E3" w:rsidR="00A62E91" w:rsidRPr="00067659" w:rsidRDefault="00BF0F69" w:rsidP="005908ED">
            <w:pPr>
              <w:pStyle w:val="Body"/>
              <w:numPr>
                <w:ilvl w:val="0"/>
                <w:numId w:val="20"/>
              </w:numPr>
            </w:pPr>
            <w:r>
              <w:t>Act as the f</w:t>
            </w:r>
            <w:r w:rsidR="00B00A7C">
              <w:t>irs</w:t>
            </w:r>
            <w:r w:rsidR="0063509B">
              <w:t xml:space="preserve">t point of contact for issues or questions raised by CSA-TM </w:t>
            </w:r>
            <w:r w:rsidR="00493F8C">
              <w:t>providers</w:t>
            </w:r>
            <w:r w:rsidR="00E748DF">
              <w:t>.</w:t>
            </w:r>
          </w:p>
          <w:p w14:paraId="14CF2AAC" w14:textId="484CE7F4" w:rsidR="00B00A7C" w:rsidRDefault="00A62E91" w:rsidP="005908ED">
            <w:pPr>
              <w:pStyle w:val="Body"/>
              <w:numPr>
                <w:ilvl w:val="0"/>
                <w:numId w:val="20"/>
              </w:numPr>
            </w:pPr>
            <w:r w:rsidRPr="00286DDB">
              <w:t xml:space="preserve">Receive and assess manual reporting (as outlined in </w:t>
            </w:r>
            <w:hyperlink w:anchor="_Data_collection_and" w:history="1">
              <w:r w:rsidRPr="00F6516A">
                <w:rPr>
                  <w:rStyle w:val="Hyperlink"/>
                  <w:rFonts w:ascii="Avenir Book" w:hAnsi="Avenir Book"/>
                </w:rPr>
                <w:t>section 4</w:t>
              </w:r>
            </w:hyperlink>
            <w:r w:rsidRPr="00286DDB">
              <w:t>)</w:t>
            </w:r>
            <w:r w:rsidR="00091317" w:rsidRPr="00286DDB">
              <w:t xml:space="preserve"> to inform </w:t>
            </w:r>
            <w:r w:rsidR="00A431D4" w:rsidRPr="00286DDB">
              <w:t xml:space="preserve">performance </w:t>
            </w:r>
            <w:r w:rsidR="00DE0353" w:rsidRPr="00286DDB">
              <w:t>monitoring</w:t>
            </w:r>
            <w:r w:rsidR="00B341CB" w:rsidRPr="00286DDB">
              <w:t>.</w:t>
            </w:r>
          </w:p>
        </w:tc>
      </w:tr>
      <w:tr w:rsidR="0044541A" w14:paraId="4E2AD586" w14:textId="77777777" w:rsidTr="0084694D">
        <w:tc>
          <w:tcPr>
            <w:tcW w:w="3681" w:type="dxa"/>
          </w:tcPr>
          <w:p w14:paraId="1A6434F4" w14:textId="0A9F78C9" w:rsidR="0044541A" w:rsidRDefault="00075899" w:rsidP="00AF40F7">
            <w:pPr>
              <w:pStyle w:val="Body"/>
            </w:pPr>
            <w:r>
              <w:t xml:space="preserve">CSA-TM providers (Launch Housing, </w:t>
            </w:r>
            <w:r w:rsidR="00493F8C">
              <w:t>The Salvation Ar</w:t>
            </w:r>
            <w:r w:rsidR="003E4D0D">
              <w:t>my, VincentCare Victoria)</w:t>
            </w:r>
          </w:p>
        </w:tc>
        <w:tc>
          <w:tcPr>
            <w:tcW w:w="5607" w:type="dxa"/>
          </w:tcPr>
          <w:p w14:paraId="7C3CC7E1" w14:textId="117E2C35" w:rsidR="0044541A" w:rsidRDefault="00BF0F69" w:rsidP="005908ED">
            <w:pPr>
              <w:pStyle w:val="Body"/>
              <w:numPr>
                <w:ilvl w:val="0"/>
                <w:numId w:val="21"/>
              </w:numPr>
            </w:pPr>
            <w:r>
              <w:t xml:space="preserve">Deliver CSA-TM in accordance with the program </w:t>
            </w:r>
            <w:r w:rsidR="00A648AC">
              <w:t>guidelines</w:t>
            </w:r>
            <w:r w:rsidR="00074B5E">
              <w:t>.</w:t>
            </w:r>
            <w:r>
              <w:t xml:space="preserve"> </w:t>
            </w:r>
          </w:p>
          <w:p w14:paraId="11503C6D" w14:textId="4F1F96A3" w:rsidR="00B02828" w:rsidRDefault="00A648AC" w:rsidP="005908ED">
            <w:pPr>
              <w:pStyle w:val="Body"/>
              <w:numPr>
                <w:ilvl w:val="0"/>
                <w:numId w:val="21"/>
              </w:numPr>
            </w:pPr>
            <w:r>
              <w:t xml:space="preserve">Complete all required program reporting (as outlined in </w:t>
            </w:r>
            <w:hyperlink w:anchor="_Data_collection_and" w:history="1">
              <w:r w:rsidRPr="00F6516A">
                <w:rPr>
                  <w:rStyle w:val="Hyperlink"/>
                  <w:rFonts w:ascii="Avenir Book" w:hAnsi="Avenir Book"/>
                </w:rPr>
                <w:t>section 4</w:t>
              </w:r>
            </w:hyperlink>
            <w:r>
              <w:t>)</w:t>
            </w:r>
            <w:r w:rsidR="00074B5E">
              <w:t>.</w:t>
            </w:r>
          </w:p>
        </w:tc>
      </w:tr>
    </w:tbl>
    <w:p w14:paraId="45EE29C6" w14:textId="77777777" w:rsidR="00AF40F7" w:rsidRPr="00AF40F7" w:rsidRDefault="00AF40F7" w:rsidP="00AF40F7">
      <w:pPr>
        <w:pStyle w:val="Body"/>
      </w:pPr>
    </w:p>
    <w:p w14:paraId="6FC04DBC" w14:textId="7FBEAD34" w:rsidR="00FE5D59" w:rsidRPr="00710DD6" w:rsidRDefault="008641A0" w:rsidP="00710DD6">
      <w:pPr>
        <w:pStyle w:val="Heading3"/>
        <w:ind w:left="1021"/>
      </w:pPr>
      <w:r w:rsidRPr="00710DD6">
        <w:t>Community</w:t>
      </w:r>
      <w:r w:rsidR="00FE5D59" w:rsidRPr="00710DD6">
        <w:rPr>
          <w:b w:val="0"/>
        </w:rPr>
        <w:t xml:space="preserve"> </w:t>
      </w:r>
      <w:r w:rsidR="00FE5D59" w:rsidRPr="00710DD6">
        <w:t>partners</w:t>
      </w:r>
      <w:r w:rsidRPr="00710DD6">
        <w:t>hips</w:t>
      </w:r>
    </w:p>
    <w:p w14:paraId="788F8E3B" w14:textId="2831E2E1" w:rsidR="00D56C0A" w:rsidRPr="00D56C0A" w:rsidRDefault="00D56C0A" w:rsidP="00D56C0A">
      <w:pPr>
        <w:pStyle w:val="Body"/>
      </w:pPr>
      <w:r>
        <w:t>The following organisations partner with CSA-TM providers to deliver co-located services for clients.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607"/>
      </w:tblGrid>
      <w:tr w:rsidR="00FE5D59" w14:paraId="32370B55" w14:textId="77777777" w:rsidTr="0084694D">
        <w:tc>
          <w:tcPr>
            <w:tcW w:w="3681" w:type="dxa"/>
          </w:tcPr>
          <w:p w14:paraId="48671363" w14:textId="35A11385" w:rsidR="00FE5D59" w:rsidRPr="00205A4F" w:rsidRDefault="000E5B4E">
            <w:pPr>
              <w:pStyle w:val="Body"/>
              <w:rPr>
                <w:b/>
                <w:bCs/>
              </w:rPr>
            </w:pPr>
            <w:r w:rsidRPr="00205A4F">
              <w:rPr>
                <w:b/>
                <w:bCs/>
              </w:rPr>
              <w:t>Service provided</w:t>
            </w:r>
          </w:p>
        </w:tc>
        <w:tc>
          <w:tcPr>
            <w:tcW w:w="5607" w:type="dxa"/>
          </w:tcPr>
          <w:p w14:paraId="355FAB2F" w14:textId="5F58CB94" w:rsidR="00FE5D59" w:rsidRPr="00205A4F" w:rsidRDefault="000E5B4E">
            <w:pPr>
              <w:pStyle w:val="Body"/>
              <w:rPr>
                <w:b/>
                <w:bCs/>
              </w:rPr>
            </w:pPr>
            <w:r w:rsidRPr="00205A4F">
              <w:rPr>
                <w:b/>
                <w:bCs/>
              </w:rPr>
              <w:t>Partnering organisations</w:t>
            </w:r>
          </w:p>
        </w:tc>
      </w:tr>
      <w:tr w:rsidR="00FE5D59" w14:paraId="7A02A394" w14:textId="77777777" w:rsidTr="0084694D">
        <w:tc>
          <w:tcPr>
            <w:tcW w:w="3681" w:type="dxa"/>
          </w:tcPr>
          <w:p w14:paraId="0C388894" w14:textId="3478B69A" w:rsidR="00FE5D59" w:rsidRDefault="0017102A">
            <w:pPr>
              <w:pStyle w:val="Body"/>
            </w:pPr>
            <w:r>
              <w:t>Health support</w:t>
            </w:r>
          </w:p>
        </w:tc>
        <w:tc>
          <w:tcPr>
            <w:tcW w:w="5607" w:type="dxa"/>
          </w:tcPr>
          <w:p w14:paraId="4E8606FD" w14:textId="77777777" w:rsidR="00FE5D59" w:rsidRDefault="00DF442A">
            <w:pPr>
              <w:pStyle w:val="Body"/>
              <w:numPr>
                <w:ilvl w:val="0"/>
                <w:numId w:val="20"/>
              </w:numPr>
            </w:pPr>
            <w:r>
              <w:t xml:space="preserve">Bolton Clarke </w:t>
            </w:r>
            <w:r w:rsidR="00422111">
              <w:t>–</w:t>
            </w:r>
            <w:r>
              <w:t xml:space="preserve"> Homeless</w:t>
            </w:r>
            <w:r w:rsidR="00422111">
              <w:t xml:space="preserve"> Persons Program</w:t>
            </w:r>
          </w:p>
          <w:p w14:paraId="6A1F9C89" w14:textId="77777777" w:rsidR="00422111" w:rsidRDefault="00422111">
            <w:pPr>
              <w:pStyle w:val="Body"/>
              <w:numPr>
                <w:ilvl w:val="0"/>
                <w:numId w:val="20"/>
              </w:numPr>
            </w:pPr>
            <w:r>
              <w:t>Better Health Network</w:t>
            </w:r>
          </w:p>
          <w:p w14:paraId="7C7EB94C" w14:textId="3CF91DF7" w:rsidR="00B20149" w:rsidRDefault="00B20149">
            <w:pPr>
              <w:pStyle w:val="Body"/>
              <w:numPr>
                <w:ilvl w:val="0"/>
                <w:numId w:val="20"/>
              </w:numPr>
            </w:pPr>
            <w:r>
              <w:t>Australian College of Optometry</w:t>
            </w:r>
          </w:p>
          <w:p w14:paraId="27F4F4E2" w14:textId="2F1E9CC5" w:rsidR="00537E7D" w:rsidRDefault="00537E7D">
            <w:pPr>
              <w:pStyle w:val="Body"/>
              <w:numPr>
                <w:ilvl w:val="0"/>
                <w:numId w:val="20"/>
              </w:numPr>
            </w:pPr>
            <w:r>
              <w:t>Victorian School of Optometry</w:t>
            </w:r>
          </w:p>
          <w:p w14:paraId="501DA8AD" w14:textId="223CCDE2" w:rsidR="00537E7D" w:rsidRDefault="00537E7D">
            <w:pPr>
              <w:pStyle w:val="Body"/>
              <w:numPr>
                <w:ilvl w:val="0"/>
                <w:numId w:val="20"/>
              </w:numPr>
            </w:pPr>
            <w:r>
              <w:t>Endeavour College of National Health</w:t>
            </w:r>
          </w:p>
          <w:p w14:paraId="0D6A75AB" w14:textId="3E749A0C" w:rsidR="00AB7A69" w:rsidRDefault="00AB7A69">
            <w:pPr>
              <w:pStyle w:val="Body"/>
              <w:numPr>
                <w:ilvl w:val="0"/>
                <w:numId w:val="20"/>
              </w:numPr>
            </w:pPr>
            <w:r>
              <w:t>Hearing Australia</w:t>
            </w:r>
          </w:p>
          <w:p w14:paraId="7BF5D7DE" w14:textId="16CC34D3" w:rsidR="00422111" w:rsidRDefault="00AD037D">
            <w:pPr>
              <w:pStyle w:val="Body"/>
              <w:numPr>
                <w:ilvl w:val="0"/>
                <w:numId w:val="20"/>
              </w:numPr>
            </w:pPr>
            <w:r>
              <w:t>C</w:t>
            </w:r>
            <w:r w:rsidR="00422111">
              <w:t>ohea</w:t>
            </w:r>
            <w:r w:rsidR="00B20149">
              <w:t>lth</w:t>
            </w:r>
          </w:p>
          <w:p w14:paraId="14DD532C" w14:textId="77777777" w:rsidR="00AD037D" w:rsidRDefault="00AD037D">
            <w:pPr>
              <w:pStyle w:val="Body"/>
              <w:numPr>
                <w:ilvl w:val="0"/>
                <w:numId w:val="20"/>
              </w:numPr>
            </w:pPr>
            <w:r>
              <w:t>North</w:t>
            </w:r>
            <w:r w:rsidR="006E6A8C">
              <w:t xml:space="preserve"> W</w:t>
            </w:r>
            <w:r>
              <w:t>est P</w:t>
            </w:r>
            <w:r w:rsidR="000156BE">
              <w:t>rimary Health Network</w:t>
            </w:r>
          </w:p>
          <w:p w14:paraId="49EC22FA" w14:textId="4E06F42E" w:rsidR="006E6A8C" w:rsidRDefault="006E6A8C">
            <w:pPr>
              <w:pStyle w:val="Body"/>
              <w:numPr>
                <w:ilvl w:val="0"/>
                <w:numId w:val="20"/>
              </w:numPr>
            </w:pPr>
            <w:r>
              <w:t>Dental Health Services Victoria</w:t>
            </w:r>
          </w:p>
          <w:p w14:paraId="506C5F38" w14:textId="77777777" w:rsidR="006E6A8C" w:rsidRDefault="006E6A8C">
            <w:pPr>
              <w:pStyle w:val="Body"/>
              <w:numPr>
                <w:ilvl w:val="0"/>
                <w:numId w:val="20"/>
              </w:numPr>
            </w:pPr>
            <w:r>
              <w:t>St Vincent’s Health</w:t>
            </w:r>
          </w:p>
          <w:p w14:paraId="3036BD69" w14:textId="77777777" w:rsidR="00537E7D" w:rsidRDefault="00537E7D">
            <w:pPr>
              <w:pStyle w:val="Body"/>
              <w:numPr>
                <w:ilvl w:val="0"/>
                <w:numId w:val="20"/>
              </w:numPr>
            </w:pPr>
            <w:r>
              <w:t>Brunswick Community Medical Centre</w:t>
            </w:r>
          </w:p>
          <w:p w14:paraId="44DD5495" w14:textId="792C3E0A" w:rsidR="00537E7D" w:rsidRDefault="00537E7D">
            <w:pPr>
              <w:pStyle w:val="Body"/>
              <w:numPr>
                <w:ilvl w:val="0"/>
                <w:numId w:val="20"/>
              </w:numPr>
            </w:pPr>
            <w:r>
              <w:t>Atticus Health</w:t>
            </w:r>
          </w:p>
        </w:tc>
      </w:tr>
      <w:tr w:rsidR="00FE5D59" w14:paraId="310DAF1A" w14:textId="77777777" w:rsidTr="0084694D">
        <w:tc>
          <w:tcPr>
            <w:tcW w:w="3681" w:type="dxa"/>
          </w:tcPr>
          <w:p w14:paraId="524A6198" w14:textId="6E34A8D9" w:rsidR="00FE5D59" w:rsidRDefault="0017102A">
            <w:pPr>
              <w:pStyle w:val="Body"/>
            </w:pPr>
            <w:r>
              <w:lastRenderedPageBreak/>
              <w:t>Mental health support</w:t>
            </w:r>
          </w:p>
        </w:tc>
        <w:tc>
          <w:tcPr>
            <w:tcW w:w="5607" w:type="dxa"/>
          </w:tcPr>
          <w:p w14:paraId="29760E41" w14:textId="49DA65C0" w:rsidR="00FE5D59" w:rsidRDefault="00E857B3">
            <w:pPr>
              <w:pStyle w:val="Body"/>
              <w:numPr>
                <w:ilvl w:val="0"/>
                <w:numId w:val="21"/>
              </w:numPr>
            </w:pPr>
            <w:r w:rsidRPr="00A3027C">
              <w:t>Inner West Area Mental Health Service (Royal Melbourne Hospital)</w:t>
            </w:r>
          </w:p>
        </w:tc>
      </w:tr>
      <w:tr w:rsidR="00E857B3" w14:paraId="38DFE284" w14:textId="77777777" w:rsidTr="0084694D">
        <w:tc>
          <w:tcPr>
            <w:tcW w:w="3681" w:type="dxa"/>
          </w:tcPr>
          <w:p w14:paraId="4ECB7943" w14:textId="29EFB010" w:rsidR="00E857B3" w:rsidRDefault="00E857B3">
            <w:pPr>
              <w:pStyle w:val="Body"/>
            </w:pPr>
            <w:r>
              <w:t>Legal advice</w:t>
            </w:r>
          </w:p>
        </w:tc>
        <w:tc>
          <w:tcPr>
            <w:tcW w:w="5607" w:type="dxa"/>
          </w:tcPr>
          <w:p w14:paraId="4477B79E" w14:textId="77777777" w:rsidR="00E857B3" w:rsidRDefault="00E857B3">
            <w:pPr>
              <w:pStyle w:val="Body"/>
              <w:numPr>
                <w:ilvl w:val="0"/>
                <w:numId w:val="21"/>
              </w:numPr>
            </w:pPr>
            <w:r>
              <w:t>Inner Melbourne Community Legal</w:t>
            </w:r>
          </w:p>
          <w:p w14:paraId="6EF7F0DB" w14:textId="4B2856B2" w:rsidR="00E857B3" w:rsidRPr="00A3027C" w:rsidRDefault="006E6A8C">
            <w:pPr>
              <w:pStyle w:val="Body"/>
              <w:numPr>
                <w:ilvl w:val="0"/>
                <w:numId w:val="21"/>
              </w:numPr>
            </w:pPr>
            <w:r>
              <w:t>Southside Justice</w:t>
            </w:r>
          </w:p>
        </w:tc>
      </w:tr>
      <w:tr w:rsidR="006E6A8C" w14:paraId="30EF92A9" w14:textId="77777777" w:rsidTr="0084694D">
        <w:tc>
          <w:tcPr>
            <w:tcW w:w="3681" w:type="dxa"/>
          </w:tcPr>
          <w:p w14:paraId="035B1F3C" w14:textId="44825D9F" w:rsidR="006E6A8C" w:rsidRDefault="00537E7D">
            <w:pPr>
              <w:pStyle w:val="Body"/>
            </w:pPr>
            <w:r>
              <w:t>Centrelink assistance</w:t>
            </w:r>
          </w:p>
        </w:tc>
        <w:tc>
          <w:tcPr>
            <w:tcW w:w="5607" w:type="dxa"/>
          </w:tcPr>
          <w:p w14:paraId="59C9E1FD" w14:textId="14E7A51A" w:rsidR="006E6A8C" w:rsidRDefault="00537E7D">
            <w:pPr>
              <w:pStyle w:val="Body"/>
              <w:numPr>
                <w:ilvl w:val="0"/>
                <w:numId w:val="21"/>
              </w:numPr>
            </w:pPr>
            <w:r>
              <w:t>Services Australia</w:t>
            </w:r>
          </w:p>
        </w:tc>
      </w:tr>
    </w:tbl>
    <w:p w14:paraId="36395059" w14:textId="77777777" w:rsidR="00FE5D59" w:rsidRDefault="00FE5D59" w:rsidP="00AF40F7">
      <w:pPr>
        <w:pStyle w:val="Body"/>
      </w:pPr>
    </w:p>
    <w:p w14:paraId="2283543E" w14:textId="77777777" w:rsidR="00780980" w:rsidRDefault="00780980" w:rsidP="003449A5">
      <w:pPr>
        <w:pStyle w:val="Heading1"/>
      </w:pPr>
      <w:bookmarkStart w:id="18" w:name="_Data_collection_and"/>
      <w:bookmarkStart w:id="19" w:name="_Toc212646926"/>
      <w:bookmarkEnd w:id="18"/>
      <w:r>
        <w:t>Data collection and reporting</w:t>
      </w:r>
      <w:bookmarkEnd w:id="19"/>
      <w:r>
        <w:t xml:space="preserve"> </w:t>
      </w:r>
    </w:p>
    <w:p w14:paraId="27F7346F" w14:textId="1876452F" w:rsidR="00094156" w:rsidRDefault="00094156" w:rsidP="00D83D1E">
      <w:pPr>
        <w:pStyle w:val="Heading2"/>
      </w:pPr>
      <w:bookmarkStart w:id="20" w:name="_Toc212646927"/>
      <w:r w:rsidRPr="003449A5">
        <w:t>Reporting</w:t>
      </w:r>
      <w:bookmarkEnd w:id="20"/>
    </w:p>
    <w:p w14:paraId="3A8D06A8" w14:textId="77777777" w:rsidR="00964ECE" w:rsidRPr="009048E7" w:rsidRDefault="00964ECE" w:rsidP="00964ECE">
      <w:pPr>
        <w:pStyle w:val="Body"/>
      </w:pPr>
      <w:r>
        <w:t>Service delivery is</w:t>
      </w:r>
      <w:r w:rsidRPr="009048E7">
        <w:t xml:space="preserve"> captured through client data and manual reporting. This includes:</w:t>
      </w:r>
    </w:p>
    <w:p w14:paraId="4F4535C5" w14:textId="32152C84" w:rsidR="00964ECE" w:rsidRPr="005C1097" w:rsidRDefault="00964ECE" w:rsidP="00964ECE">
      <w:pPr>
        <w:pStyle w:val="ListParagraph"/>
        <w:numPr>
          <w:ilvl w:val="0"/>
          <w:numId w:val="24"/>
        </w:numPr>
        <w:rPr>
          <w:rFonts w:ascii="Avenir Book" w:eastAsia="Times" w:hAnsi="Avenir Book"/>
        </w:rPr>
      </w:pPr>
      <w:r w:rsidRPr="005C1097">
        <w:rPr>
          <w:rFonts w:ascii="Avenir Book" w:eastAsia="Times" w:hAnsi="Avenir Book"/>
        </w:rPr>
        <w:t>Service Delivery Tracking (SDT) via the Funded Agency Channel</w:t>
      </w:r>
      <w:r w:rsidR="00425E19">
        <w:rPr>
          <w:rFonts w:ascii="Avenir Book" w:eastAsia="Times" w:hAnsi="Avenir Book"/>
        </w:rPr>
        <w:t>.</w:t>
      </w:r>
    </w:p>
    <w:p w14:paraId="2D2C9F22" w14:textId="11B32A5A" w:rsidR="00964ECE" w:rsidRPr="005C1097" w:rsidRDefault="00425E19" w:rsidP="00964ECE">
      <w:pPr>
        <w:pStyle w:val="ListParagraph"/>
        <w:numPr>
          <w:ilvl w:val="0"/>
          <w:numId w:val="24"/>
        </w:numPr>
        <w:rPr>
          <w:rFonts w:ascii="Avenir Book" w:eastAsia="Times" w:hAnsi="Avenir Book"/>
        </w:rPr>
      </w:pPr>
      <w:r>
        <w:rPr>
          <w:rFonts w:ascii="Avenir Book" w:eastAsia="Times" w:hAnsi="Avenir Book"/>
        </w:rPr>
        <w:t>T</w:t>
      </w:r>
      <w:r w:rsidR="00964ECE" w:rsidRPr="005C1097">
        <w:rPr>
          <w:rFonts w:ascii="Avenir Book" w:eastAsia="Times" w:hAnsi="Avenir Book"/>
        </w:rPr>
        <w:t>he monthly SHS Extracts from the Specialist Homelessness Information Platform (SHIP) or equivalent client management system certified by the Australian Institute of Health and Welfare (AIHW) to provide SHS client data.</w:t>
      </w:r>
    </w:p>
    <w:p w14:paraId="23E1A9A7" w14:textId="216C6A9B" w:rsidR="00964ECE" w:rsidRPr="005C1097" w:rsidRDefault="00425E19" w:rsidP="00964ECE">
      <w:pPr>
        <w:pStyle w:val="ListParagraph"/>
        <w:numPr>
          <w:ilvl w:val="0"/>
          <w:numId w:val="24"/>
        </w:numPr>
        <w:rPr>
          <w:rFonts w:ascii="Avenir Book" w:eastAsia="Times" w:hAnsi="Avenir Book"/>
        </w:rPr>
      </w:pPr>
      <w:r>
        <w:rPr>
          <w:rFonts w:ascii="Avenir Book" w:eastAsia="Times" w:hAnsi="Avenir Book"/>
        </w:rPr>
        <w:t>A</w:t>
      </w:r>
      <w:r w:rsidR="00964ECE" w:rsidRPr="005C1097">
        <w:rPr>
          <w:rFonts w:ascii="Avenir Book" w:eastAsia="Times" w:hAnsi="Avenir Book"/>
        </w:rPr>
        <w:t xml:space="preserve">ny specific data requirements for homelessness activities as outlined in each of the Homelessness Service Responses. Refer to section twelve for further information on homelessness activities. </w:t>
      </w:r>
    </w:p>
    <w:p w14:paraId="23363E64" w14:textId="574280B8" w:rsidR="00964ECE" w:rsidRDefault="00425E19" w:rsidP="00964ECE">
      <w:pPr>
        <w:pStyle w:val="ListParagraph"/>
        <w:numPr>
          <w:ilvl w:val="0"/>
          <w:numId w:val="24"/>
        </w:numPr>
        <w:rPr>
          <w:rFonts w:ascii="Avenir Book" w:eastAsia="Times" w:hAnsi="Avenir Book"/>
        </w:rPr>
      </w:pPr>
      <w:r>
        <w:rPr>
          <w:rFonts w:ascii="Avenir Book" w:eastAsia="Times" w:hAnsi="Avenir Book"/>
        </w:rPr>
        <w:t>A</w:t>
      </w:r>
      <w:r w:rsidR="00964ECE" w:rsidRPr="005C1097">
        <w:rPr>
          <w:rFonts w:ascii="Avenir Book" w:eastAsia="Times" w:hAnsi="Avenir Book"/>
        </w:rPr>
        <w:t>d hoc requests related to program monitoring and evaluation, such as program evaluation required when funding is due to lapse.</w:t>
      </w:r>
    </w:p>
    <w:tbl>
      <w:tblPr>
        <w:tblStyle w:val="TableGrid2"/>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3"/>
      </w:tblGrid>
      <w:tr w:rsidR="00F95B46" w14:paraId="5825042A" w14:textId="77777777" w:rsidTr="0084694D">
        <w:tc>
          <w:tcPr>
            <w:tcW w:w="9293" w:type="dxa"/>
          </w:tcPr>
          <w:p w14:paraId="1CA02AB0" w14:textId="77777777" w:rsidR="00F95B46" w:rsidRDefault="00F95B46" w:rsidP="0084694D">
            <w:pPr>
              <w:pStyle w:val="Body"/>
              <w:rPr>
                <w:rFonts w:cs="Arial"/>
              </w:rPr>
            </w:pPr>
            <w:hyperlink r:id="rId33" w:history="1">
              <w:r w:rsidRPr="00B400C8">
                <w:rPr>
                  <w:rStyle w:val="Hyperlink"/>
                  <w:rFonts w:ascii="Avenir Book" w:hAnsi="Avenir Book" w:cs="Arial"/>
                  <w:kern w:val="0"/>
                  <w14:ligatures w14:val="none"/>
                </w:rPr>
                <w:t>Service Delivery Tracking</w:t>
              </w:r>
              <w:r w:rsidRPr="00B400C8">
                <w:rPr>
                  <w:rStyle w:val="Hyperlink"/>
                  <w:rFonts w:ascii="Avenir Book" w:hAnsi="Avenir Book" w:cs="Arial"/>
                </w:rPr>
                <w:t xml:space="preserve"> – FAC</w:t>
              </w:r>
            </w:hyperlink>
          </w:p>
          <w:p w14:paraId="479271D0" w14:textId="77777777" w:rsidR="00F95B46" w:rsidRDefault="00F95B46" w:rsidP="0084694D">
            <w:pPr>
              <w:pStyle w:val="Body"/>
              <w:rPr>
                <w:rFonts w:cs="Arial"/>
              </w:rPr>
            </w:pPr>
            <w:r w:rsidRPr="00B400C8">
              <w:rPr>
                <w:rFonts w:cs="Arial"/>
              </w:rPr>
              <w:t>https://fac.dffh.vic.gov.au/service-delivery-tracking</w:t>
            </w:r>
          </w:p>
        </w:tc>
      </w:tr>
      <w:tr w:rsidR="00F95B46" w14:paraId="11888917" w14:textId="77777777" w:rsidTr="0084694D">
        <w:tc>
          <w:tcPr>
            <w:tcW w:w="9293" w:type="dxa"/>
          </w:tcPr>
          <w:p w14:paraId="1F1DA3AA" w14:textId="77777777" w:rsidR="00F95B46" w:rsidRDefault="00F95B46" w:rsidP="0084694D">
            <w:pPr>
              <w:pStyle w:val="Body"/>
              <w:rPr>
                <w:rFonts w:cs="Arial"/>
              </w:rPr>
            </w:pPr>
            <w:hyperlink r:id="rId34" w:history="1">
              <w:r w:rsidRPr="00C243BA">
                <w:rPr>
                  <w:rStyle w:val="Hyperlink"/>
                  <w:rFonts w:ascii="Avenir Book" w:hAnsi="Avenir Book" w:cs="Arial"/>
                  <w:kern w:val="0"/>
                  <w14:ligatures w14:val="none"/>
                </w:rPr>
                <w:t>SHIP</w:t>
              </w:r>
              <w:r w:rsidRPr="00C243BA">
                <w:rPr>
                  <w:rStyle w:val="Hyperlink"/>
                  <w:rFonts w:ascii="Avenir Book" w:hAnsi="Avenir Book" w:cs="Arial"/>
                </w:rPr>
                <w:t>: Specialist Homelessness Information Platform – AIHW</w:t>
              </w:r>
            </w:hyperlink>
          </w:p>
          <w:p w14:paraId="4F1C7385" w14:textId="77777777" w:rsidR="00F95B46" w:rsidRDefault="00F95B46" w:rsidP="0084694D">
            <w:pPr>
              <w:pStyle w:val="Body"/>
              <w:rPr>
                <w:rFonts w:cs="Arial"/>
              </w:rPr>
            </w:pPr>
            <w:r w:rsidRPr="00C243BA">
              <w:rPr>
                <w:rFonts w:cs="Arial"/>
              </w:rPr>
              <w:t>https://www.aihw.gov.au/about-our-data/our-data-collections/specialist-homelessness-services-collection/specialist-homelessness-information-platform</w:t>
            </w:r>
          </w:p>
        </w:tc>
      </w:tr>
    </w:tbl>
    <w:p w14:paraId="3EC26C41" w14:textId="41927868" w:rsidR="1F1E2A86" w:rsidRPr="003449A5" w:rsidRDefault="1F1E2A86" w:rsidP="00710DD6">
      <w:pPr>
        <w:pStyle w:val="Heading3"/>
        <w:ind w:left="1021"/>
      </w:pPr>
      <w:r w:rsidRPr="003449A5">
        <w:t>Manual reporting requirements</w:t>
      </w:r>
    </w:p>
    <w:p w14:paraId="78908BCB" w14:textId="1122DE8C" w:rsidR="02E11898" w:rsidRDefault="02E11898" w:rsidP="2E68B7B9">
      <w:pPr>
        <w:pStyle w:val="Body"/>
        <w:rPr>
          <w:szCs w:val="21"/>
        </w:rPr>
      </w:pPr>
      <w:r w:rsidRPr="2E68B7B9">
        <w:rPr>
          <w:szCs w:val="21"/>
        </w:rPr>
        <w:t xml:space="preserve">CSA-TMs are required to submit a quarterly manual report to </w:t>
      </w:r>
      <w:r w:rsidR="008C616B">
        <w:rPr>
          <w:szCs w:val="21"/>
        </w:rPr>
        <w:t xml:space="preserve">DFFH </w:t>
      </w:r>
      <w:r w:rsidRPr="2E68B7B9">
        <w:rPr>
          <w:szCs w:val="21"/>
        </w:rPr>
        <w:t xml:space="preserve">within 10 business days of the reporting period ending. </w:t>
      </w:r>
      <w:r w:rsidR="007563F4">
        <w:rPr>
          <w:szCs w:val="21"/>
        </w:rPr>
        <w:t>DFFH and</w:t>
      </w:r>
      <w:r w:rsidRPr="2E68B7B9">
        <w:rPr>
          <w:szCs w:val="21"/>
        </w:rPr>
        <w:t xml:space="preserve"> </w:t>
      </w:r>
      <w:r w:rsidR="00FF0D18">
        <w:rPr>
          <w:szCs w:val="21"/>
        </w:rPr>
        <w:t xml:space="preserve">Homes Victoria will </w:t>
      </w:r>
      <w:r w:rsidR="001E6E3C">
        <w:rPr>
          <w:szCs w:val="21"/>
        </w:rPr>
        <w:t xml:space="preserve">provide instructions </w:t>
      </w:r>
      <w:r w:rsidR="00C869A7">
        <w:rPr>
          <w:szCs w:val="21"/>
        </w:rPr>
        <w:t>on how to complete</w:t>
      </w:r>
      <w:r w:rsidR="00A7374F">
        <w:rPr>
          <w:szCs w:val="21"/>
        </w:rPr>
        <w:t xml:space="preserve"> and submit </w:t>
      </w:r>
      <w:r w:rsidR="001A227A">
        <w:rPr>
          <w:szCs w:val="21"/>
        </w:rPr>
        <w:t>the quarterly manual report.</w:t>
      </w:r>
    </w:p>
    <w:p w14:paraId="4CC5AF00" w14:textId="1D5DA417" w:rsidR="02E11898" w:rsidRDefault="02E11898" w:rsidP="2E68B7B9">
      <w:pPr>
        <w:pStyle w:val="Body"/>
        <w:rPr>
          <w:szCs w:val="21"/>
        </w:rPr>
      </w:pPr>
      <w:r w:rsidRPr="2E68B7B9">
        <w:rPr>
          <w:szCs w:val="21"/>
        </w:rPr>
        <w:t>The manual reporting template captures:</w:t>
      </w:r>
    </w:p>
    <w:p w14:paraId="70EB1516" w14:textId="64A83EB3" w:rsidR="02E11898" w:rsidRDefault="02E11898" w:rsidP="2E68B7B9">
      <w:pPr>
        <w:pStyle w:val="Bullet1"/>
        <w:rPr>
          <w:szCs w:val="21"/>
        </w:rPr>
      </w:pPr>
      <w:r w:rsidRPr="2E68B7B9">
        <w:rPr>
          <w:szCs w:val="21"/>
        </w:rPr>
        <w:t>planned and unplanned exits (including housing and support outcomes)</w:t>
      </w:r>
    </w:p>
    <w:p w14:paraId="19CA7C0B" w14:textId="06219C27" w:rsidR="02E11898" w:rsidRDefault="02E11898" w:rsidP="2E68B7B9">
      <w:pPr>
        <w:pStyle w:val="Bullet1"/>
        <w:rPr>
          <w:szCs w:val="21"/>
        </w:rPr>
      </w:pPr>
      <w:r w:rsidRPr="2E68B7B9">
        <w:rPr>
          <w:szCs w:val="21"/>
        </w:rPr>
        <w:t>clients’ Victorian Housing Register status at the end of their support period</w:t>
      </w:r>
    </w:p>
    <w:p w14:paraId="2DC4E4FC" w14:textId="3F648376" w:rsidR="00377702" w:rsidRDefault="02E11898" w:rsidP="00377702">
      <w:pPr>
        <w:pStyle w:val="Bullet1"/>
        <w:rPr>
          <w:szCs w:val="21"/>
        </w:rPr>
      </w:pPr>
      <w:r w:rsidRPr="2E68B7B9">
        <w:rPr>
          <w:szCs w:val="21"/>
        </w:rPr>
        <w:t>client safety and wellbeing.</w:t>
      </w:r>
    </w:p>
    <w:p w14:paraId="60D35503" w14:textId="77777777" w:rsidR="00377702" w:rsidRPr="00377702" w:rsidRDefault="00377702" w:rsidP="00377702">
      <w:pPr>
        <w:pStyle w:val="Bullet1"/>
        <w:numPr>
          <w:ilvl w:val="0"/>
          <w:numId w:val="0"/>
        </w:numPr>
        <w:ind w:left="862"/>
        <w:rPr>
          <w:szCs w:val="21"/>
        </w:rPr>
      </w:pPr>
    </w:p>
    <w:p w14:paraId="3F07CA7B" w14:textId="658DE525" w:rsidR="02E11898" w:rsidRDefault="02E11898" w:rsidP="2E68B7B9">
      <w:pPr>
        <w:pStyle w:val="Bullet1"/>
        <w:numPr>
          <w:ilvl w:val="0"/>
          <w:numId w:val="0"/>
        </w:numPr>
        <w:rPr>
          <w:szCs w:val="21"/>
        </w:rPr>
      </w:pPr>
      <w:r w:rsidRPr="2E68B7B9">
        <w:rPr>
          <w:szCs w:val="21"/>
        </w:rPr>
        <w:t>The manual report is an additional requirement for CSA-TMs, beyond the general reporting required under Activity 20081. The manual report captures additional information about client exits and the views of clients that is not captured through other reporting mechanisms.</w:t>
      </w:r>
    </w:p>
    <w:p w14:paraId="7CA4A1C8" w14:textId="77777777" w:rsidR="00377702" w:rsidRDefault="00377702" w:rsidP="2E68B7B9">
      <w:pPr>
        <w:pStyle w:val="Bullet1"/>
        <w:numPr>
          <w:ilvl w:val="0"/>
          <w:numId w:val="0"/>
        </w:numPr>
        <w:rPr>
          <w:szCs w:val="21"/>
        </w:rPr>
      </w:pPr>
    </w:p>
    <w:p w14:paraId="41FE911A" w14:textId="7711924E" w:rsidR="2E68B7B9" w:rsidRPr="00377702" w:rsidRDefault="02E11898" w:rsidP="00377702">
      <w:pPr>
        <w:pStyle w:val="Bullet1"/>
        <w:numPr>
          <w:ilvl w:val="0"/>
          <w:numId w:val="0"/>
        </w:numPr>
        <w:rPr>
          <w:szCs w:val="21"/>
        </w:rPr>
      </w:pPr>
      <w:r w:rsidRPr="2E68B7B9">
        <w:rPr>
          <w:szCs w:val="21"/>
        </w:rPr>
        <w:t>DFFH may also review CSA-TM providers’ Specialist Homelessness Services Collection data to support their oversight of the program.</w:t>
      </w:r>
    </w:p>
    <w:p w14:paraId="72BE0D17" w14:textId="09D0626E" w:rsidR="365F9F56" w:rsidRPr="003449A5" w:rsidRDefault="365F9F56" w:rsidP="00710DD6">
      <w:pPr>
        <w:pStyle w:val="Heading3"/>
        <w:ind w:left="1021"/>
      </w:pPr>
      <w:r w:rsidRPr="003449A5">
        <w:lastRenderedPageBreak/>
        <w:t>Performance and monitoring</w:t>
      </w:r>
    </w:p>
    <w:p w14:paraId="53F1182E" w14:textId="2233F448" w:rsidR="365F9F56" w:rsidRPr="00B60599" w:rsidRDefault="365F9F56" w:rsidP="126445CF">
      <w:pPr>
        <w:rPr>
          <w:rFonts w:eastAsia="Times"/>
        </w:rPr>
      </w:pPr>
      <w:r w:rsidRPr="00B60599">
        <w:rPr>
          <w:rFonts w:eastAsia="Times"/>
        </w:rPr>
        <w:t>As part of the Service Agreement between each SHS and DFFH contract management role, the DFFH local ar</w:t>
      </w:r>
      <w:r w:rsidRPr="2E68B7B9">
        <w:rPr>
          <w:rFonts w:eastAsia="Times"/>
          <w:szCs w:val="21"/>
        </w:rPr>
        <w:t>ea APS</w:t>
      </w:r>
      <w:r w:rsidRPr="00B60599">
        <w:rPr>
          <w:rFonts w:eastAsia="Times"/>
        </w:rPr>
        <w:t>S teams meet regularly with SHS to monitor performance, and an annual desktop review is undertaken. Some programs may be centrally contract managed and monitored by DFFH.</w:t>
      </w:r>
    </w:p>
    <w:p w14:paraId="29A1FE80" w14:textId="546EF8D6" w:rsidR="365F9F56" w:rsidRPr="00B60599" w:rsidRDefault="365F9F56" w:rsidP="126445CF">
      <w:pPr>
        <w:rPr>
          <w:rFonts w:eastAsia="Times"/>
        </w:rPr>
      </w:pPr>
      <w:r w:rsidRPr="00B60599">
        <w:rPr>
          <w:rFonts w:eastAsia="Times"/>
        </w:rPr>
        <w:t>SHS are required to deliver services against the outputs outlined in their service plans. There may be instances where the DFFH local area will negotiate new targets with SHS.</w:t>
      </w:r>
    </w:p>
    <w:p w14:paraId="19CD2EFE" w14:textId="6E65FF29" w:rsidR="365F9F56" w:rsidRPr="00B60599" w:rsidRDefault="365F9F56" w:rsidP="126445CF">
      <w:pPr>
        <w:rPr>
          <w:rFonts w:eastAsia="Times"/>
        </w:rPr>
      </w:pPr>
      <w:r w:rsidRPr="00B60599">
        <w:rPr>
          <w:rFonts w:eastAsia="Times"/>
        </w:rPr>
        <w:t xml:space="preserve">Performance measures communicate performance expectations and measure outcomes of activities performed by SHS. These measures are quantifiable service goals for funded activities under the Service Agreement. They provide the basis for assessment of services’ performance against agreed targets. </w:t>
      </w:r>
    </w:p>
    <w:p w14:paraId="146AB972" w14:textId="2A27BFD3" w:rsidR="00624D08" w:rsidRDefault="365F9F56" w:rsidP="126445CF">
      <w:pPr>
        <w:rPr>
          <w:rFonts w:eastAsia="Times"/>
        </w:rPr>
      </w:pPr>
      <w:r w:rsidRPr="00B60599">
        <w:rPr>
          <w:rFonts w:eastAsia="Times"/>
        </w:rPr>
        <w:t>Issues with performance and/or monitoring will be managed by the relevant APSS team using their local area guidance to ensure arrangements are appropriate.</w:t>
      </w:r>
    </w:p>
    <w:p w14:paraId="40927201" w14:textId="405F7039" w:rsidR="00624D08" w:rsidRPr="00624D08" w:rsidRDefault="00624D08" w:rsidP="00A95232">
      <w:pPr>
        <w:pStyle w:val="Heading3"/>
        <w:ind w:left="1021"/>
      </w:pPr>
      <w:r w:rsidRPr="00624D08">
        <w:t>Incident reporting</w:t>
      </w:r>
    </w:p>
    <w:p w14:paraId="4E203635" w14:textId="4838CCD1" w:rsidR="006F58A9" w:rsidRDefault="00624D08" w:rsidP="005518D1">
      <w:pPr>
        <w:rPr>
          <w:rFonts w:eastAsia="Times"/>
        </w:rPr>
      </w:pPr>
      <w:r w:rsidRPr="00624D08">
        <w:rPr>
          <w:rFonts w:eastAsia="Times"/>
        </w:rPr>
        <w:t xml:space="preserve">All homelessness funded programs are subject to the department’s </w:t>
      </w:r>
      <w:r w:rsidRPr="0084694D">
        <w:rPr>
          <w:rFonts w:eastAsia="Times"/>
          <w:u w:val="dotted"/>
        </w:rPr>
        <w:t>Critical Incident Management System (CIMS)</w:t>
      </w:r>
      <w:r w:rsidRPr="00624D08">
        <w:rPr>
          <w:rFonts w:eastAsia="Times"/>
        </w:rPr>
        <w:t xml:space="preserve">. More information regarding CIMS including access to the system, guidance and policy updates can be found </w:t>
      </w:r>
      <w:r w:rsidR="006F58A9">
        <w:rPr>
          <w:rFonts w:eastAsia="Times"/>
        </w:rPr>
        <w:t>below</w:t>
      </w:r>
      <w:r w:rsidR="00EB05E8">
        <w:rPr>
          <w:rFonts w:eastAsia="Times"/>
        </w:rPr>
        <w:t>.</w:t>
      </w:r>
    </w:p>
    <w:tbl>
      <w:tblPr>
        <w:tblStyle w:val="TableGrid"/>
        <w:tblW w:w="0" w:type="auto"/>
        <w:tblLook w:val="04A0" w:firstRow="1" w:lastRow="0" w:firstColumn="1" w:lastColumn="0" w:noHBand="0" w:noVBand="1"/>
      </w:tblPr>
      <w:tblGrid>
        <w:gridCol w:w="9288"/>
      </w:tblGrid>
      <w:tr w:rsidR="006F58A9" w14:paraId="74C6B0FA" w14:textId="77777777" w:rsidTr="0084694D">
        <w:tc>
          <w:tcPr>
            <w:tcW w:w="9288" w:type="dxa"/>
            <w:tcBorders>
              <w:top w:val="single" w:sz="4" w:space="0" w:color="auto"/>
              <w:left w:val="single" w:sz="4" w:space="0" w:color="auto"/>
              <w:bottom w:val="single" w:sz="4" w:space="0" w:color="auto"/>
              <w:right w:val="single" w:sz="4" w:space="0" w:color="auto"/>
            </w:tcBorders>
          </w:tcPr>
          <w:p w14:paraId="4E239D75" w14:textId="2DBC7DFB" w:rsidR="00EB05E8" w:rsidRDefault="00F95B46" w:rsidP="005518D1">
            <w:pPr>
              <w:rPr>
                <w:rFonts w:eastAsia="Times"/>
              </w:rPr>
            </w:pPr>
            <w:hyperlink r:id="rId35" w:history="1">
              <w:r>
                <w:rPr>
                  <w:rStyle w:val="Hyperlink"/>
                  <w:rFonts w:ascii="Avenir Book" w:eastAsia="Times" w:hAnsi="Avenir Book"/>
                </w:rPr>
                <w:t>Critical Incident Management System (CIMS) - DFFH Service Providers</w:t>
              </w:r>
            </w:hyperlink>
            <w:r w:rsidR="00EB05E8">
              <w:rPr>
                <w:rFonts w:eastAsia="Times"/>
              </w:rPr>
              <w:t xml:space="preserve"> </w:t>
            </w:r>
          </w:p>
          <w:p w14:paraId="16026418" w14:textId="3F8920E6" w:rsidR="006F58A9" w:rsidRDefault="00EB05E8" w:rsidP="005518D1">
            <w:pPr>
              <w:rPr>
                <w:rFonts w:eastAsia="Times"/>
              </w:rPr>
            </w:pPr>
            <w:r w:rsidRPr="000A1915">
              <w:rPr>
                <w:rFonts w:eastAsia="Times"/>
              </w:rPr>
              <w:t>https://providers.dffh.vic.gov.au/cims</w:t>
            </w:r>
            <w:r>
              <w:rPr>
                <w:rFonts w:eastAsia="Times"/>
              </w:rPr>
              <w:t>.</w:t>
            </w:r>
          </w:p>
        </w:tc>
      </w:tr>
    </w:tbl>
    <w:p w14:paraId="146DA5E2" w14:textId="77777777" w:rsidR="00D56E38" w:rsidRDefault="00D56E38">
      <w:pPr>
        <w:rPr>
          <w:rFonts w:eastAsia="Times"/>
        </w:rPr>
        <w:sectPr w:rsidR="00D56E38" w:rsidSect="007713D8">
          <w:headerReference w:type="even" r:id="rId36"/>
          <w:headerReference w:type="default" r:id="rId37"/>
          <w:footerReference w:type="even" r:id="rId38"/>
          <w:footerReference w:type="default" r:id="rId39"/>
          <w:headerReference w:type="first" r:id="rId40"/>
          <w:pgSz w:w="11906" w:h="16838" w:code="9"/>
          <w:pgMar w:top="1418" w:right="1304" w:bottom="851" w:left="1304" w:header="680" w:footer="567" w:gutter="0"/>
          <w:cols w:space="340"/>
          <w:docGrid w:linePitch="360"/>
        </w:sectPr>
      </w:pPr>
    </w:p>
    <w:p w14:paraId="5E5B0F09" w14:textId="524F6577" w:rsidR="00F91BC3" w:rsidRDefault="002D2FD1" w:rsidP="0084694D">
      <w:pPr>
        <w:pStyle w:val="Heading1"/>
      </w:pPr>
      <w:bookmarkStart w:id="21" w:name="_Toc212646928"/>
      <w:bookmarkStart w:id="22" w:name="_Toc212646929"/>
      <w:bookmarkStart w:id="23" w:name="_Toc212646930"/>
      <w:bookmarkStart w:id="24" w:name="_Toc212646931"/>
      <w:bookmarkStart w:id="25" w:name="_Toc212646932"/>
      <w:bookmarkEnd w:id="17"/>
      <w:bookmarkEnd w:id="21"/>
      <w:bookmarkEnd w:id="22"/>
      <w:bookmarkEnd w:id="23"/>
      <w:bookmarkEnd w:id="24"/>
      <w:r>
        <w:lastRenderedPageBreak/>
        <w:t xml:space="preserve">Appendix 1: </w:t>
      </w:r>
      <w:r w:rsidR="004B211E">
        <w:t>Program Logic</w:t>
      </w:r>
      <w:bookmarkEnd w:id="25"/>
    </w:p>
    <w:p w14:paraId="2F1668A4" w14:textId="450EE0D1" w:rsidR="00F91BC3" w:rsidRDefault="00B93B6B" w:rsidP="00B93B6B">
      <w:pPr>
        <w:pStyle w:val="Heading2"/>
      </w:pPr>
      <w:bookmarkStart w:id="26" w:name="_Toc212646933"/>
      <w:r>
        <w:t>Program Logic</w:t>
      </w:r>
      <w:bookmarkEnd w:id="26"/>
    </w:p>
    <w:p w14:paraId="4BE5391B" w14:textId="77777777" w:rsidR="008858E7" w:rsidRDefault="008858E7" w:rsidP="008858E7">
      <w:pPr>
        <w:pStyle w:val="Body"/>
      </w:pPr>
      <w:r>
        <w:t xml:space="preserve">A program logic provides a shared definition of what is to be evaluated, helps to identify data needs, and provides a point of comparison (ideal vs real life program). Before commencing the program logic, it is important to define program goal and objectives.  </w:t>
      </w:r>
    </w:p>
    <w:p w14:paraId="0AD7B53B" w14:textId="4BB19FD6" w:rsidR="00B93B6B" w:rsidRDefault="008858E7" w:rsidP="008858E7">
      <w:pPr>
        <w:pStyle w:val="Body"/>
      </w:pPr>
      <w:r>
        <w:t>In the design and planning phase, the program logic can serve as a communication tool; assist with checking logical glitches / gaps; lead to shared understanding; and guide measurement. In the implementation phase, the program logic can be a yardstick for implementation progress and early outcomes.  Once a program is operational, a program logic can be developed to inform program data collection and evaluation processes (conducted internally or by government).</w:t>
      </w:r>
    </w:p>
    <w:p w14:paraId="1C799D4F" w14:textId="65763463" w:rsidR="008858E7" w:rsidRDefault="008858E7" w:rsidP="008858E7">
      <w:pPr>
        <w:pStyle w:val="Heading2"/>
      </w:pPr>
      <w:bookmarkStart w:id="27" w:name="_Toc212646934"/>
      <w:r>
        <w:t>Program goal</w:t>
      </w:r>
      <w:bookmarkEnd w:id="27"/>
    </w:p>
    <w:p w14:paraId="0150A733" w14:textId="63F8685A" w:rsidR="008858E7" w:rsidRDefault="004D7DDC" w:rsidP="008858E7">
      <w:pPr>
        <w:pStyle w:val="Body"/>
      </w:pPr>
      <w:r w:rsidRPr="004D7DDC">
        <w:t>Crisis Supported Accommodation Therapeutic Models (CSA-TMs) aim to provide safe accommodation and an enhanced support service for clients to improve their experiences and outcomes.</w:t>
      </w:r>
    </w:p>
    <w:p w14:paraId="0CCCA776" w14:textId="34123670" w:rsidR="004D7DDC" w:rsidRDefault="004D7DDC" w:rsidP="004D7DDC">
      <w:pPr>
        <w:pStyle w:val="Heading2"/>
      </w:pPr>
      <w:bookmarkStart w:id="28" w:name="_Toc212646935"/>
      <w:r>
        <w:t>Program objectives</w:t>
      </w:r>
      <w:bookmarkEnd w:id="28"/>
    </w:p>
    <w:p w14:paraId="7D668C0B" w14:textId="77777777" w:rsidR="001C0010" w:rsidRDefault="001C0010" w:rsidP="001C0010">
      <w:pPr>
        <w:pStyle w:val="Body"/>
      </w:pPr>
      <w:r>
        <w:t xml:space="preserve">The key objectives of CSA-TM include: </w:t>
      </w:r>
    </w:p>
    <w:p w14:paraId="62176B1E" w14:textId="5A89FD6D" w:rsidR="001C0010" w:rsidRDefault="001C0010" w:rsidP="0084694D">
      <w:pPr>
        <w:pStyle w:val="Bullet1"/>
      </w:pPr>
      <w:r>
        <w:t>Clients are safe during their stay.</w:t>
      </w:r>
    </w:p>
    <w:p w14:paraId="3775581B" w14:textId="0C6AF559" w:rsidR="001C0010" w:rsidRDefault="001C0010" w:rsidP="0084694D">
      <w:pPr>
        <w:pStyle w:val="Bullet1"/>
      </w:pPr>
      <w:r>
        <w:t>Clients are offered onsite alcohol and other drug services and receive these services if they choose.</w:t>
      </w:r>
    </w:p>
    <w:p w14:paraId="2BC1E777" w14:textId="021D5FDD" w:rsidR="001C0010" w:rsidRDefault="001C0010" w:rsidP="0084694D">
      <w:pPr>
        <w:pStyle w:val="Bullet1"/>
      </w:pPr>
      <w:r>
        <w:t xml:space="preserve">Clients are offered specialist and universal health services and receive services if they choose. </w:t>
      </w:r>
    </w:p>
    <w:p w14:paraId="48D98A09" w14:textId="3AC75E34" w:rsidR="001C0010" w:rsidRDefault="001C0010" w:rsidP="0084694D">
      <w:pPr>
        <w:pStyle w:val="Bullet1"/>
      </w:pPr>
      <w:r>
        <w:t>Clients have choice and control in how they receive services.</w:t>
      </w:r>
    </w:p>
    <w:p w14:paraId="5C9151E3" w14:textId="5D5D8FAB" w:rsidR="001C0010" w:rsidRDefault="001C0010" w:rsidP="0084694D">
      <w:pPr>
        <w:pStyle w:val="Bullet1"/>
      </w:pPr>
      <w:r>
        <w:t>Clients improve their health and wellbeing.</w:t>
      </w:r>
    </w:p>
    <w:p w14:paraId="4DFF4A67" w14:textId="5EEC4613" w:rsidR="001C0010" w:rsidRDefault="001C0010" w:rsidP="0084694D">
      <w:pPr>
        <w:pStyle w:val="Bullet1"/>
      </w:pPr>
      <w:r>
        <w:t xml:space="preserve">Compared to traditional CSA services, clients are provided a longer and more flexible length of stay to reduce the number of times they exit and re-enter CSA. </w:t>
      </w:r>
    </w:p>
    <w:p w14:paraId="55D6428F" w14:textId="7DCDC282" w:rsidR="001C0010" w:rsidRDefault="001C0010" w:rsidP="0084694D">
      <w:pPr>
        <w:pStyle w:val="Bullet1"/>
      </w:pPr>
      <w:r>
        <w:t>Clients remain engaged until they have stabilised and their support goals are met.</w:t>
      </w:r>
    </w:p>
    <w:p w14:paraId="17C44C6E" w14:textId="07947E6A" w:rsidR="001C0010" w:rsidRDefault="001C0010" w:rsidP="0084694D">
      <w:pPr>
        <w:pStyle w:val="Bullet1"/>
      </w:pPr>
      <w:r>
        <w:t>Clients secure and sustain relevant community-based supports.</w:t>
      </w:r>
    </w:p>
    <w:p w14:paraId="60B4E1B0" w14:textId="1AA04B4B" w:rsidR="001C0010" w:rsidRDefault="001C0010" w:rsidP="0084694D">
      <w:pPr>
        <w:pStyle w:val="Bullet1"/>
      </w:pPr>
      <w:r>
        <w:t>Clients move into medium- or long-term housing.</w:t>
      </w:r>
    </w:p>
    <w:p w14:paraId="1419F59B" w14:textId="0352134D" w:rsidR="004D7DDC" w:rsidRDefault="001C0010" w:rsidP="001C0010">
      <w:pPr>
        <w:pStyle w:val="Bullet1"/>
      </w:pPr>
      <w:r>
        <w:t>Clients are stable in their new housing and do not need to return to CSA.</w:t>
      </w:r>
    </w:p>
    <w:p w14:paraId="3F77FF17" w14:textId="3EF41B58" w:rsidR="00D56E38" w:rsidRDefault="00D56E38" w:rsidP="00D56E38">
      <w:pPr>
        <w:pStyle w:val="Heading2"/>
      </w:pPr>
      <w:bookmarkStart w:id="29" w:name="_Toc212646936"/>
      <w:r>
        <w:lastRenderedPageBreak/>
        <w:t>Program logic for CSA-TM</w:t>
      </w:r>
      <w:bookmarkEnd w:id="29"/>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3616"/>
        <w:gridCol w:w="2324"/>
        <w:gridCol w:w="2225"/>
        <w:gridCol w:w="1832"/>
        <w:gridCol w:w="2178"/>
      </w:tblGrid>
      <w:tr w:rsidR="00D56E38" w:rsidRPr="008C4901" w14:paraId="3CBEADC0" w14:textId="77777777" w:rsidTr="0084694D">
        <w:trPr>
          <w:tblHeader/>
        </w:trPr>
        <w:tc>
          <w:tcPr>
            <w:tcW w:w="819" w:type="pct"/>
            <w:shd w:val="clear" w:color="auto" w:fill="032833" w:themeFill="text1"/>
          </w:tcPr>
          <w:p w14:paraId="0C356C07" w14:textId="77777777" w:rsidR="00D56E38" w:rsidRPr="00FA4083" w:rsidRDefault="00D56E38" w:rsidP="0084694D">
            <w:pPr>
              <w:pStyle w:val="DHHStablecolhead"/>
              <w:rPr>
                <w:rFonts w:ascii="Avenir Next LT Pro" w:hAnsi="Avenir Next LT Pro" w:cs="Arial"/>
                <w:sz w:val="22"/>
                <w:szCs w:val="22"/>
              </w:rPr>
            </w:pPr>
            <w:r w:rsidRPr="00FA4083">
              <w:rPr>
                <w:rFonts w:ascii="Avenir Next LT Pro" w:hAnsi="Avenir Next LT Pro" w:cs="Arial"/>
                <w:sz w:val="22"/>
                <w:szCs w:val="22"/>
              </w:rPr>
              <w:t>Situation</w:t>
            </w:r>
          </w:p>
        </w:tc>
        <w:tc>
          <w:tcPr>
            <w:tcW w:w="1242" w:type="pct"/>
            <w:shd w:val="clear" w:color="auto" w:fill="032833" w:themeFill="text1"/>
          </w:tcPr>
          <w:p w14:paraId="787E0D19" w14:textId="77777777" w:rsidR="00D56E38" w:rsidRPr="00FA4083" w:rsidRDefault="00D56E38" w:rsidP="0084694D">
            <w:pPr>
              <w:pStyle w:val="DHHStablecolhead"/>
              <w:rPr>
                <w:rFonts w:ascii="Avenir Next LT Pro" w:hAnsi="Avenir Next LT Pro" w:cs="Arial"/>
                <w:sz w:val="22"/>
                <w:szCs w:val="22"/>
              </w:rPr>
            </w:pPr>
            <w:r w:rsidRPr="00FA4083">
              <w:rPr>
                <w:rFonts w:ascii="Avenir Next LT Pro" w:hAnsi="Avenir Next LT Pro" w:cs="Arial"/>
                <w:sz w:val="22"/>
                <w:szCs w:val="22"/>
              </w:rPr>
              <w:t>Inputs</w:t>
            </w:r>
          </w:p>
        </w:tc>
        <w:tc>
          <w:tcPr>
            <w:tcW w:w="798" w:type="pct"/>
            <w:shd w:val="clear" w:color="auto" w:fill="032833" w:themeFill="text1"/>
          </w:tcPr>
          <w:p w14:paraId="16C98001" w14:textId="77777777" w:rsidR="00D56E38" w:rsidRPr="00FA4083" w:rsidRDefault="00D56E38" w:rsidP="0084694D">
            <w:pPr>
              <w:pStyle w:val="DHHStablecolhead"/>
              <w:rPr>
                <w:rFonts w:ascii="Avenir Next LT Pro" w:hAnsi="Avenir Next LT Pro" w:cs="Arial"/>
                <w:sz w:val="22"/>
                <w:szCs w:val="22"/>
              </w:rPr>
            </w:pPr>
            <w:r w:rsidRPr="00FA4083">
              <w:rPr>
                <w:rFonts w:ascii="Avenir Next LT Pro" w:hAnsi="Avenir Next LT Pro" w:cs="Arial"/>
                <w:sz w:val="22"/>
                <w:szCs w:val="22"/>
              </w:rPr>
              <w:t>Activities</w:t>
            </w:r>
          </w:p>
        </w:tc>
        <w:tc>
          <w:tcPr>
            <w:tcW w:w="764" w:type="pct"/>
            <w:shd w:val="clear" w:color="auto" w:fill="032833" w:themeFill="text1"/>
          </w:tcPr>
          <w:p w14:paraId="4B406D05" w14:textId="77777777" w:rsidR="00D56E38" w:rsidRPr="00FA4083" w:rsidRDefault="00D56E38" w:rsidP="0084694D">
            <w:pPr>
              <w:pStyle w:val="DHHStablecolhead"/>
              <w:rPr>
                <w:rFonts w:ascii="Avenir Next LT Pro" w:hAnsi="Avenir Next LT Pro" w:cs="Arial"/>
                <w:sz w:val="22"/>
                <w:szCs w:val="22"/>
              </w:rPr>
            </w:pPr>
            <w:r w:rsidRPr="00FA4083">
              <w:rPr>
                <w:rFonts w:ascii="Avenir Next LT Pro" w:hAnsi="Avenir Next LT Pro" w:cs="Arial"/>
                <w:sz w:val="22"/>
                <w:szCs w:val="22"/>
              </w:rPr>
              <w:t xml:space="preserve">Outputs </w:t>
            </w:r>
          </w:p>
        </w:tc>
        <w:tc>
          <w:tcPr>
            <w:tcW w:w="629" w:type="pct"/>
            <w:shd w:val="clear" w:color="auto" w:fill="032833" w:themeFill="text1"/>
          </w:tcPr>
          <w:p w14:paraId="01A33DAD" w14:textId="77777777" w:rsidR="00D56E38" w:rsidRPr="00FA4083" w:rsidRDefault="00D56E38" w:rsidP="0084694D">
            <w:pPr>
              <w:pStyle w:val="DHHStablecolhead"/>
              <w:rPr>
                <w:rFonts w:ascii="Avenir Next LT Pro" w:hAnsi="Avenir Next LT Pro" w:cs="Arial"/>
                <w:sz w:val="22"/>
                <w:szCs w:val="22"/>
              </w:rPr>
            </w:pPr>
            <w:r w:rsidRPr="00FA4083">
              <w:rPr>
                <w:rFonts w:ascii="Avenir Next LT Pro" w:hAnsi="Avenir Next LT Pro" w:cs="Arial"/>
                <w:sz w:val="22"/>
                <w:szCs w:val="22"/>
              </w:rPr>
              <w:t>Short-medium term outcomes</w:t>
            </w:r>
          </w:p>
        </w:tc>
        <w:tc>
          <w:tcPr>
            <w:tcW w:w="748" w:type="pct"/>
            <w:shd w:val="clear" w:color="auto" w:fill="032833" w:themeFill="text1"/>
          </w:tcPr>
          <w:p w14:paraId="6E81B5B1" w14:textId="77777777" w:rsidR="00D56E38" w:rsidRPr="00FA4083" w:rsidRDefault="00D56E38" w:rsidP="0084694D">
            <w:pPr>
              <w:pStyle w:val="DHHStablecolhead"/>
              <w:rPr>
                <w:rFonts w:ascii="Avenir Next LT Pro" w:hAnsi="Avenir Next LT Pro" w:cs="Arial"/>
                <w:sz w:val="22"/>
                <w:szCs w:val="22"/>
              </w:rPr>
            </w:pPr>
            <w:r w:rsidRPr="00FA4083">
              <w:rPr>
                <w:rFonts w:ascii="Avenir Next LT Pro" w:hAnsi="Avenir Next LT Pro" w:cs="Arial"/>
                <w:sz w:val="22"/>
                <w:szCs w:val="22"/>
              </w:rPr>
              <w:t>L</w:t>
            </w:r>
            <w:r w:rsidRPr="00FA4083">
              <w:rPr>
                <w:rFonts w:ascii="Avenir Next LT Pro" w:hAnsi="Avenir Next LT Pro"/>
                <w:sz w:val="22"/>
                <w:szCs w:val="22"/>
              </w:rPr>
              <w:t>ong term outcomes (impact)</w:t>
            </w:r>
          </w:p>
        </w:tc>
      </w:tr>
      <w:tr w:rsidR="00D56E38" w:rsidRPr="008C4901" w14:paraId="6308F61B" w14:textId="77777777" w:rsidTr="0084694D">
        <w:trPr>
          <w:trHeight w:val="300"/>
        </w:trPr>
        <w:tc>
          <w:tcPr>
            <w:tcW w:w="0" w:type="pct"/>
          </w:tcPr>
          <w:p w14:paraId="633A923A" w14:textId="77777777" w:rsidR="00D56E38" w:rsidRPr="00FB2F50" w:rsidRDefault="00D56E38" w:rsidP="0084694D">
            <w:pPr>
              <w:pStyle w:val="Body"/>
              <w:spacing w:after="0" w:line="240" w:lineRule="auto"/>
              <w:rPr>
                <w:sz w:val="20"/>
              </w:rPr>
            </w:pPr>
            <w:r>
              <w:rPr>
                <w:sz w:val="20"/>
              </w:rPr>
              <w:t xml:space="preserve">Homelessness and rough sleeping remain persistent issues in metropolitan Melbourne. In 2022-23, 52.5% of people presenting to Specialist Homelessness Services from inner Melbourne were homeless on first presentation. This is notably higher than the Victorian average of 41.1%. (Source: AIHW, Specialist Homelessness Services annual report 2022-23) </w:t>
            </w:r>
          </w:p>
          <w:p w14:paraId="5908992E" w14:textId="77777777" w:rsidR="00D56E38" w:rsidRPr="00FB2F50" w:rsidRDefault="00D56E38" w:rsidP="0084694D">
            <w:pPr>
              <w:pStyle w:val="Body"/>
              <w:spacing w:after="0" w:line="240" w:lineRule="auto"/>
              <w:rPr>
                <w:sz w:val="20"/>
              </w:rPr>
            </w:pPr>
          </w:p>
          <w:p w14:paraId="39E96469" w14:textId="77777777" w:rsidR="00D56E38" w:rsidRPr="00FB2F50" w:rsidRDefault="00D56E38" w:rsidP="0084694D">
            <w:pPr>
              <w:pStyle w:val="Body"/>
              <w:spacing w:after="0" w:line="240" w:lineRule="auto"/>
              <w:rPr>
                <w:sz w:val="20"/>
              </w:rPr>
            </w:pPr>
            <w:r w:rsidRPr="00FB2F50">
              <w:rPr>
                <w:sz w:val="20"/>
              </w:rPr>
              <w:t xml:space="preserve">Crisis Supported Accommodation (CSA) aims to improve housing and other outcomes for </w:t>
            </w:r>
            <w:r>
              <w:rPr>
                <w:sz w:val="20"/>
              </w:rPr>
              <w:t>people</w:t>
            </w:r>
            <w:r w:rsidRPr="00FB2F50">
              <w:rPr>
                <w:sz w:val="20"/>
              </w:rPr>
              <w:t xml:space="preserve"> in crisis and is one part of the broader SHS system. </w:t>
            </w:r>
            <w:r w:rsidRPr="00FB2F50">
              <w:rPr>
                <w:sz w:val="20"/>
              </w:rPr>
              <w:br/>
            </w:r>
            <w:r w:rsidRPr="00FB2F50">
              <w:rPr>
                <w:sz w:val="20"/>
              </w:rPr>
              <w:br/>
            </w:r>
            <w:r>
              <w:rPr>
                <w:sz w:val="20"/>
              </w:rPr>
              <w:t xml:space="preserve">Three </w:t>
            </w:r>
            <w:r w:rsidRPr="00FB2F50">
              <w:rPr>
                <w:sz w:val="20"/>
              </w:rPr>
              <w:t>CSA</w:t>
            </w:r>
            <w:r>
              <w:rPr>
                <w:sz w:val="20"/>
              </w:rPr>
              <w:t xml:space="preserve"> sites</w:t>
            </w:r>
            <w:r w:rsidRPr="00FB2F50">
              <w:rPr>
                <w:sz w:val="20"/>
              </w:rPr>
              <w:t xml:space="preserve"> received $5.7 million in additional funding in 2017 to re-design innovative practice frameworks, introduce </w:t>
            </w:r>
            <w:r w:rsidRPr="00FB2F50">
              <w:rPr>
                <w:sz w:val="20"/>
              </w:rPr>
              <w:lastRenderedPageBreak/>
              <w:t xml:space="preserve">outcome measurement and streamline funding </w:t>
            </w:r>
          </w:p>
          <w:p w14:paraId="49BDDCCC" w14:textId="77777777" w:rsidR="00D56E38" w:rsidRPr="00FB2F50" w:rsidRDefault="00D56E38" w:rsidP="0084694D">
            <w:pPr>
              <w:pStyle w:val="Body"/>
              <w:spacing w:after="0" w:line="240" w:lineRule="auto"/>
              <w:rPr>
                <w:sz w:val="20"/>
              </w:rPr>
            </w:pPr>
            <w:r w:rsidRPr="00FB2F50">
              <w:rPr>
                <w:sz w:val="20"/>
              </w:rPr>
              <w:t xml:space="preserve">and reporting requirements. </w:t>
            </w:r>
            <w:r>
              <w:rPr>
                <w:sz w:val="20"/>
              </w:rPr>
              <w:t xml:space="preserve">The enhanced models are known as the CSA therapeutic models (CSA-TMs). </w:t>
            </w:r>
            <w:r>
              <w:rPr>
                <w:sz w:val="20"/>
              </w:rPr>
              <w:br/>
            </w:r>
            <w:r>
              <w:rPr>
                <w:sz w:val="20"/>
              </w:rPr>
              <w:br/>
            </w:r>
            <w:r w:rsidRPr="00FB2F50">
              <w:rPr>
                <w:sz w:val="20"/>
              </w:rPr>
              <w:t>CSA</w:t>
            </w:r>
            <w:r>
              <w:rPr>
                <w:sz w:val="20"/>
              </w:rPr>
              <w:t>-TMs are</w:t>
            </w:r>
            <w:r w:rsidRPr="00FB2F50">
              <w:rPr>
                <w:sz w:val="20"/>
              </w:rPr>
              <w:t xml:space="preserve"> delivered through three providers </w:t>
            </w:r>
            <w:r>
              <w:rPr>
                <w:sz w:val="20"/>
              </w:rPr>
              <w:t xml:space="preserve">across four sites in inner Melbourne, The Salvation </w:t>
            </w:r>
            <w:r w:rsidRPr="00FB2F50">
              <w:rPr>
                <w:sz w:val="20"/>
              </w:rPr>
              <w:t>Army, Launch Housing and VincentCare Victoria.</w:t>
            </w:r>
          </w:p>
        </w:tc>
        <w:tc>
          <w:tcPr>
            <w:tcW w:w="0" w:type="pct"/>
          </w:tcPr>
          <w:p w14:paraId="13CC50FC" w14:textId="77777777" w:rsidR="00D56E38" w:rsidRDefault="00D56E38" w:rsidP="00D56E38">
            <w:pPr>
              <w:pStyle w:val="Tablebullet1"/>
              <w:numPr>
                <w:ilvl w:val="0"/>
                <w:numId w:val="48"/>
              </w:numPr>
              <w:spacing w:before="40" w:after="40"/>
              <w:ind w:left="227" w:hanging="227"/>
              <w:rPr>
                <w:rFonts w:cs="Arial"/>
                <w:sz w:val="20"/>
              </w:rPr>
            </w:pPr>
            <w:r w:rsidRPr="001821EC">
              <w:rPr>
                <w:rFonts w:cs="Arial"/>
                <w:sz w:val="20"/>
              </w:rPr>
              <w:lastRenderedPageBreak/>
              <w:t>Trauma-informed, therapeutic models of care</w:t>
            </w:r>
          </w:p>
          <w:p w14:paraId="204B82FB" w14:textId="77777777" w:rsidR="00D56E38" w:rsidRDefault="00D56E38" w:rsidP="00D56E38">
            <w:pPr>
              <w:pStyle w:val="Tablebullet1"/>
              <w:numPr>
                <w:ilvl w:val="0"/>
                <w:numId w:val="48"/>
              </w:numPr>
              <w:spacing w:before="40" w:after="40"/>
              <w:ind w:left="227" w:hanging="227"/>
              <w:rPr>
                <w:rFonts w:cs="Arial"/>
                <w:sz w:val="20"/>
              </w:rPr>
            </w:pPr>
            <w:r>
              <w:rPr>
                <w:rFonts w:cs="Arial"/>
                <w:sz w:val="20"/>
              </w:rPr>
              <w:t>Space for clients to stabilise and feel safe</w:t>
            </w:r>
          </w:p>
          <w:p w14:paraId="0BEC89D7" w14:textId="77777777" w:rsidR="00D56E38" w:rsidRPr="001821EC" w:rsidRDefault="00D56E38" w:rsidP="00D56E38">
            <w:pPr>
              <w:pStyle w:val="Tablebullet1"/>
              <w:numPr>
                <w:ilvl w:val="0"/>
                <w:numId w:val="48"/>
              </w:numPr>
              <w:spacing w:before="40" w:after="40"/>
              <w:ind w:left="227" w:hanging="227"/>
              <w:rPr>
                <w:rFonts w:cs="Arial"/>
                <w:sz w:val="20"/>
              </w:rPr>
            </w:pPr>
            <w:r>
              <w:rPr>
                <w:rFonts w:cs="Arial"/>
                <w:sz w:val="20"/>
              </w:rPr>
              <w:t>Staff training to deliver models of care</w:t>
            </w:r>
          </w:p>
          <w:p w14:paraId="0C70A87E" w14:textId="77777777" w:rsidR="00D56E38" w:rsidRDefault="00D56E38" w:rsidP="00D56E38">
            <w:pPr>
              <w:pStyle w:val="Tablebullet1"/>
              <w:numPr>
                <w:ilvl w:val="0"/>
                <w:numId w:val="48"/>
              </w:numPr>
              <w:spacing w:before="40" w:after="40"/>
              <w:ind w:left="227" w:hanging="227"/>
              <w:rPr>
                <w:rFonts w:cs="Arial"/>
                <w:sz w:val="20"/>
              </w:rPr>
            </w:pPr>
            <w:r>
              <w:rPr>
                <w:rFonts w:cs="Arial"/>
                <w:sz w:val="20"/>
              </w:rPr>
              <w:t>Lived experience feedback</w:t>
            </w:r>
          </w:p>
          <w:p w14:paraId="58FCA3C4" w14:textId="77777777" w:rsidR="00D56E38" w:rsidRDefault="00D56E38" w:rsidP="00D56E38">
            <w:pPr>
              <w:pStyle w:val="Tablebullet1"/>
              <w:numPr>
                <w:ilvl w:val="0"/>
                <w:numId w:val="48"/>
              </w:numPr>
              <w:spacing w:before="40" w:after="40"/>
              <w:ind w:left="227" w:hanging="227"/>
              <w:rPr>
                <w:rFonts w:cs="Arial"/>
                <w:sz w:val="20"/>
              </w:rPr>
            </w:pPr>
            <w:r>
              <w:rPr>
                <w:rFonts w:cs="Arial"/>
                <w:sz w:val="20"/>
              </w:rPr>
              <w:t>Screening tools</w:t>
            </w:r>
          </w:p>
          <w:p w14:paraId="6F2386AB" w14:textId="77777777" w:rsidR="00D56E38" w:rsidRPr="001821EC" w:rsidRDefault="00D56E38" w:rsidP="00D56E38">
            <w:pPr>
              <w:pStyle w:val="Tablebullet1"/>
              <w:numPr>
                <w:ilvl w:val="0"/>
                <w:numId w:val="48"/>
              </w:numPr>
              <w:spacing w:before="40" w:after="40"/>
              <w:ind w:left="227" w:hanging="227"/>
              <w:rPr>
                <w:rFonts w:cs="Arial"/>
                <w:sz w:val="20"/>
              </w:rPr>
            </w:pPr>
            <w:r w:rsidRPr="001821EC">
              <w:rPr>
                <w:rFonts w:cs="Arial"/>
                <w:sz w:val="20"/>
              </w:rPr>
              <w:t>Communit</w:t>
            </w:r>
            <w:r>
              <w:rPr>
                <w:rFonts w:cs="Arial"/>
                <w:sz w:val="20"/>
              </w:rPr>
              <w:t xml:space="preserve">y </w:t>
            </w:r>
            <w:r w:rsidRPr="001821EC">
              <w:rPr>
                <w:rFonts w:cs="Arial"/>
                <w:sz w:val="20"/>
              </w:rPr>
              <w:t>of Practice</w:t>
            </w:r>
          </w:p>
          <w:p w14:paraId="40F2409D" w14:textId="77777777" w:rsidR="00D56E38" w:rsidRDefault="00D56E38" w:rsidP="00D56E38">
            <w:pPr>
              <w:pStyle w:val="Tablebullet1"/>
              <w:numPr>
                <w:ilvl w:val="0"/>
                <w:numId w:val="48"/>
              </w:numPr>
              <w:spacing w:before="40" w:after="40"/>
              <w:ind w:left="227" w:hanging="227"/>
              <w:rPr>
                <w:rFonts w:cs="Arial"/>
                <w:sz w:val="20"/>
              </w:rPr>
            </w:pPr>
            <w:r w:rsidRPr="003901AE">
              <w:rPr>
                <w:rFonts w:cs="Arial"/>
                <w:sz w:val="20"/>
              </w:rPr>
              <w:t>On-site Alcohol and Other Drugs support </w:t>
            </w:r>
          </w:p>
          <w:p w14:paraId="28A58F7E" w14:textId="77777777" w:rsidR="00D56E38" w:rsidRDefault="00D56E38" w:rsidP="00D56E38">
            <w:pPr>
              <w:pStyle w:val="Tablebullet1"/>
              <w:numPr>
                <w:ilvl w:val="0"/>
                <w:numId w:val="48"/>
              </w:numPr>
              <w:spacing w:before="40" w:after="40"/>
              <w:ind w:left="227" w:hanging="227"/>
              <w:rPr>
                <w:rFonts w:cs="Arial"/>
                <w:sz w:val="20"/>
              </w:rPr>
            </w:pPr>
            <w:r>
              <w:rPr>
                <w:rFonts w:cs="Arial"/>
                <w:sz w:val="20"/>
              </w:rPr>
              <w:t xml:space="preserve">Recovery-oriented practices and </w:t>
            </w:r>
          </w:p>
          <w:p w14:paraId="727EA10C" w14:textId="77777777" w:rsidR="00D56E38" w:rsidRDefault="00D56E38" w:rsidP="00D56E38">
            <w:pPr>
              <w:pStyle w:val="Tablebullet1"/>
              <w:numPr>
                <w:ilvl w:val="0"/>
                <w:numId w:val="48"/>
              </w:numPr>
              <w:spacing w:before="40" w:after="40"/>
              <w:ind w:left="227" w:hanging="227"/>
              <w:rPr>
                <w:rFonts w:cs="Arial"/>
                <w:sz w:val="20"/>
              </w:rPr>
            </w:pPr>
            <w:r>
              <w:rPr>
                <w:rFonts w:cs="Arial"/>
                <w:sz w:val="20"/>
              </w:rPr>
              <w:t>Duty of care policies including dignity of risk</w:t>
            </w:r>
          </w:p>
          <w:p w14:paraId="7EF5461D" w14:textId="77777777" w:rsidR="00D56E38" w:rsidRDefault="00D56E38" w:rsidP="00D56E38">
            <w:pPr>
              <w:pStyle w:val="Tablebullet1"/>
              <w:numPr>
                <w:ilvl w:val="0"/>
                <w:numId w:val="48"/>
              </w:numPr>
              <w:spacing w:before="40" w:after="40"/>
              <w:ind w:left="227" w:hanging="227"/>
              <w:rPr>
                <w:rFonts w:cs="Arial"/>
                <w:sz w:val="20"/>
              </w:rPr>
            </w:pPr>
            <w:r w:rsidRPr="009B1B15">
              <w:rPr>
                <w:rFonts w:cs="Arial"/>
                <w:sz w:val="20"/>
              </w:rPr>
              <w:t>On-site nurses</w:t>
            </w:r>
          </w:p>
          <w:p w14:paraId="228FB103" w14:textId="77777777" w:rsidR="00D56E38" w:rsidRDefault="00D56E38" w:rsidP="00D56E38">
            <w:pPr>
              <w:pStyle w:val="Tablebullet1"/>
              <w:numPr>
                <w:ilvl w:val="0"/>
                <w:numId w:val="48"/>
              </w:numPr>
              <w:spacing w:before="40" w:after="40"/>
              <w:ind w:left="227" w:hanging="227"/>
              <w:rPr>
                <w:rFonts w:cs="Arial"/>
                <w:sz w:val="20"/>
              </w:rPr>
            </w:pPr>
            <w:r w:rsidRPr="00C51049">
              <w:rPr>
                <w:rFonts w:cs="Arial"/>
                <w:sz w:val="20"/>
              </w:rPr>
              <w:t>Recreational</w:t>
            </w:r>
            <w:r>
              <w:rPr>
                <w:rFonts w:cs="Arial"/>
                <w:sz w:val="20"/>
              </w:rPr>
              <w:t xml:space="preserve"> services</w:t>
            </w:r>
          </w:p>
          <w:p w14:paraId="7D8677E8" w14:textId="77777777" w:rsidR="00D56E38" w:rsidRDefault="00D56E38" w:rsidP="00D56E38">
            <w:pPr>
              <w:pStyle w:val="Tablebullet1"/>
              <w:numPr>
                <w:ilvl w:val="0"/>
                <w:numId w:val="48"/>
              </w:numPr>
              <w:spacing w:before="40" w:after="40"/>
              <w:ind w:left="227" w:hanging="227"/>
              <w:rPr>
                <w:rFonts w:cs="Arial"/>
                <w:sz w:val="20"/>
              </w:rPr>
            </w:pPr>
            <w:r>
              <w:rPr>
                <w:rFonts w:cs="Arial"/>
                <w:sz w:val="20"/>
              </w:rPr>
              <w:t>Wellbeing services</w:t>
            </w:r>
          </w:p>
          <w:p w14:paraId="2AB30BD9" w14:textId="77777777" w:rsidR="00D56E38" w:rsidRPr="009B1B15" w:rsidRDefault="00D56E38" w:rsidP="00D56E38">
            <w:pPr>
              <w:pStyle w:val="Tablebullet1"/>
              <w:numPr>
                <w:ilvl w:val="0"/>
                <w:numId w:val="48"/>
              </w:numPr>
              <w:spacing w:before="40" w:after="40"/>
              <w:ind w:left="227" w:hanging="227"/>
              <w:rPr>
                <w:rFonts w:cs="Arial"/>
                <w:sz w:val="20"/>
              </w:rPr>
            </w:pPr>
            <w:r w:rsidRPr="009B1B15">
              <w:rPr>
                <w:rFonts w:cs="Arial"/>
                <w:sz w:val="20"/>
              </w:rPr>
              <w:t>Post-accommodation support</w:t>
            </w:r>
            <w:r>
              <w:rPr>
                <w:rFonts w:cs="Arial"/>
                <w:sz w:val="20"/>
              </w:rPr>
              <w:t xml:space="preserve"> (direct provision/referral)</w:t>
            </w:r>
          </w:p>
          <w:p w14:paraId="31DA5462" w14:textId="77777777" w:rsidR="00D56E38" w:rsidRPr="001821EC" w:rsidRDefault="00D56E38" w:rsidP="00D56E38">
            <w:pPr>
              <w:pStyle w:val="Tablebullet1"/>
              <w:numPr>
                <w:ilvl w:val="0"/>
                <w:numId w:val="8"/>
              </w:numPr>
              <w:spacing w:before="40" w:after="40"/>
              <w:rPr>
                <w:sz w:val="20"/>
              </w:rPr>
            </w:pPr>
            <w:r w:rsidRPr="001821EC">
              <w:rPr>
                <w:sz w:val="20"/>
              </w:rPr>
              <w:t>Service design support for Crisis Supported Accommodation (Nous Report)</w:t>
            </w:r>
          </w:p>
          <w:p w14:paraId="1FE3F132" w14:textId="77777777" w:rsidR="00D56E38" w:rsidRDefault="00D56E38" w:rsidP="00D56E38">
            <w:pPr>
              <w:pStyle w:val="Tablebullet1"/>
              <w:numPr>
                <w:ilvl w:val="0"/>
                <w:numId w:val="8"/>
              </w:numPr>
              <w:spacing w:before="40" w:after="40"/>
              <w:rPr>
                <w:sz w:val="20"/>
              </w:rPr>
            </w:pPr>
            <w:r w:rsidRPr="001821EC">
              <w:rPr>
                <w:sz w:val="20"/>
              </w:rPr>
              <w:t>Staff and volunteers</w:t>
            </w:r>
          </w:p>
          <w:p w14:paraId="06A8CA7B" w14:textId="77777777" w:rsidR="00D56E38" w:rsidRPr="001821EC" w:rsidRDefault="00D56E38" w:rsidP="00D56E38">
            <w:pPr>
              <w:pStyle w:val="Tablebullet1"/>
              <w:numPr>
                <w:ilvl w:val="0"/>
                <w:numId w:val="8"/>
              </w:numPr>
              <w:spacing w:before="40" w:after="40"/>
              <w:rPr>
                <w:sz w:val="20"/>
              </w:rPr>
            </w:pPr>
            <w:r w:rsidRPr="001821EC">
              <w:rPr>
                <w:sz w:val="20"/>
              </w:rPr>
              <w:t>Funding</w:t>
            </w:r>
            <w:r>
              <w:rPr>
                <w:sz w:val="20"/>
              </w:rPr>
              <w:t>:</w:t>
            </w:r>
          </w:p>
          <w:p w14:paraId="146C96D2" w14:textId="77777777" w:rsidR="00D56E38" w:rsidRPr="001821EC" w:rsidRDefault="00D56E38" w:rsidP="00D56E38">
            <w:pPr>
              <w:pStyle w:val="Tablebullet1"/>
              <w:numPr>
                <w:ilvl w:val="0"/>
                <w:numId w:val="49"/>
              </w:numPr>
              <w:spacing w:before="40" w:after="40"/>
              <w:rPr>
                <w:sz w:val="20"/>
              </w:rPr>
            </w:pPr>
            <w:r>
              <w:rPr>
                <w:sz w:val="20"/>
              </w:rPr>
              <w:t>c</w:t>
            </w:r>
            <w:r w:rsidRPr="001821EC">
              <w:rPr>
                <w:sz w:val="20"/>
              </w:rPr>
              <w:t>apital</w:t>
            </w:r>
          </w:p>
          <w:p w14:paraId="24E2AA5E" w14:textId="77777777" w:rsidR="00D56E38" w:rsidRPr="001821EC" w:rsidRDefault="00D56E38" w:rsidP="00D56E38">
            <w:pPr>
              <w:pStyle w:val="Tablebullet1"/>
              <w:numPr>
                <w:ilvl w:val="0"/>
                <w:numId w:val="49"/>
              </w:numPr>
              <w:spacing w:before="40" w:after="40"/>
              <w:rPr>
                <w:sz w:val="20"/>
              </w:rPr>
            </w:pPr>
            <w:r>
              <w:rPr>
                <w:sz w:val="20"/>
              </w:rPr>
              <w:t>p</w:t>
            </w:r>
            <w:r w:rsidRPr="001821EC">
              <w:rPr>
                <w:sz w:val="20"/>
              </w:rPr>
              <w:t>hilanthropic</w:t>
            </w:r>
          </w:p>
          <w:p w14:paraId="26AE94D8" w14:textId="77777777" w:rsidR="00D56E38" w:rsidRPr="001821EC" w:rsidRDefault="00D56E38" w:rsidP="00D56E38">
            <w:pPr>
              <w:pStyle w:val="Tablebullet1"/>
              <w:numPr>
                <w:ilvl w:val="0"/>
                <w:numId w:val="49"/>
              </w:numPr>
              <w:spacing w:before="40" w:after="40"/>
              <w:rPr>
                <w:sz w:val="20"/>
              </w:rPr>
            </w:pPr>
            <w:r>
              <w:rPr>
                <w:sz w:val="20"/>
              </w:rPr>
              <w:t>o</w:t>
            </w:r>
            <w:r w:rsidRPr="001821EC">
              <w:rPr>
                <w:sz w:val="20"/>
              </w:rPr>
              <w:t>perational</w:t>
            </w:r>
          </w:p>
          <w:p w14:paraId="1290DAE5" w14:textId="77777777" w:rsidR="00D56E38" w:rsidRPr="001821EC" w:rsidRDefault="00D56E38" w:rsidP="00D56E38">
            <w:pPr>
              <w:pStyle w:val="Tablebullet1"/>
              <w:numPr>
                <w:ilvl w:val="0"/>
                <w:numId w:val="49"/>
              </w:numPr>
              <w:spacing w:before="40" w:after="40"/>
              <w:rPr>
                <w:sz w:val="20"/>
              </w:rPr>
            </w:pPr>
            <w:r>
              <w:rPr>
                <w:sz w:val="20"/>
              </w:rPr>
              <w:t>s</w:t>
            </w:r>
            <w:r w:rsidRPr="001821EC">
              <w:rPr>
                <w:sz w:val="20"/>
              </w:rPr>
              <w:t>ervice fees</w:t>
            </w:r>
            <w:r>
              <w:rPr>
                <w:sz w:val="20"/>
              </w:rPr>
              <w:t>.</w:t>
            </w:r>
          </w:p>
          <w:p w14:paraId="5A2A2E0D" w14:textId="77777777" w:rsidR="00D56E38" w:rsidRPr="001821EC" w:rsidRDefault="00D56E38" w:rsidP="00D56E38">
            <w:pPr>
              <w:pStyle w:val="Tablebullet1"/>
              <w:numPr>
                <w:ilvl w:val="0"/>
                <w:numId w:val="8"/>
              </w:numPr>
              <w:spacing w:before="40" w:after="40"/>
              <w:rPr>
                <w:sz w:val="20"/>
              </w:rPr>
            </w:pPr>
            <w:r w:rsidRPr="001821EC">
              <w:rPr>
                <w:sz w:val="20"/>
              </w:rPr>
              <w:lastRenderedPageBreak/>
              <w:t>Existing evidence base for service model</w:t>
            </w:r>
            <w:r>
              <w:rPr>
                <w:sz w:val="20"/>
              </w:rPr>
              <w:t xml:space="preserve"> (including The Trauma and Homelessness Service Framework)</w:t>
            </w:r>
          </w:p>
          <w:p w14:paraId="1F357EAB" w14:textId="77777777" w:rsidR="00D56E38" w:rsidRPr="001E1A14" w:rsidRDefault="00D56E38" w:rsidP="00D56E38">
            <w:pPr>
              <w:pStyle w:val="Tablebullet1"/>
              <w:numPr>
                <w:ilvl w:val="0"/>
                <w:numId w:val="8"/>
              </w:numPr>
              <w:spacing w:before="40" w:after="40"/>
              <w:rPr>
                <w:sz w:val="20"/>
              </w:rPr>
            </w:pPr>
            <w:r w:rsidRPr="001E1A14">
              <w:rPr>
                <w:sz w:val="20"/>
              </w:rPr>
              <w:t>Secondary consultation</w:t>
            </w:r>
          </w:p>
          <w:p w14:paraId="624926B5" w14:textId="77777777" w:rsidR="00D56E38" w:rsidRPr="001E1A14" w:rsidRDefault="00D56E38" w:rsidP="00D56E38">
            <w:pPr>
              <w:pStyle w:val="Tablebullet1"/>
              <w:numPr>
                <w:ilvl w:val="0"/>
                <w:numId w:val="8"/>
              </w:numPr>
              <w:spacing w:before="40" w:after="40"/>
              <w:rPr>
                <w:sz w:val="20"/>
              </w:rPr>
            </w:pPr>
            <w:r w:rsidRPr="001E1A14">
              <w:rPr>
                <w:sz w:val="20"/>
              </w:rPr>
              <w:t>Referrals pathways to and from external agencies</w:t>
            </w:r>
          </w:p>
          <w:p w14:paraId="2B5EDDA0" w14:textId="77777777" w:rsidR="00D56E38" w:rsidRPr="001E1A14" w:rsidRDefault="00D56E38" w:rsidP="00D56E38">
            <w:pPr>
              <w:pStyle w:val="Tablebullet1"/>
              <w:numPr>
                <w:ilvl w:val="0"/>
                <w:numId w:val="8"/>
              </w:numPr>
              <w:spacing w:before="40" w:after="40"/>
              <w:rPr>
                <w:sz w:val="20"/>
              </w:rPr>
            </w:pPr>
            <w:r w:rsidRPr="001E1A14">
              <w:rPr>
                <w:sz w:val="20"/>
              </w:rPr>
              <w:t xml:space="preserve">External specialist </w:t>
            </w:r>
          </w:p>
          <w:p w14:paraId="7168FDDE" w14:textId="77777777" w:rsidR="00D56E38" w:rsidRPr="001E1A14" w:rsidRDefault="00D56E38" w:rsidP="0084694D">
            <w:pPr>
              <w:pStyle w:val="Tablebullet1"/>
              <w:numPr>
                <w:ilvl w:val="0"/>
                <w:numId w:val="0"/>
              </w:numPr>
              <w:spacing w:before="40" w:after="40"/>
              <w:ind w:left="227"/>
              <w:rPr>
                <w:sz w:val="20"/>
              </w:rPr>
            </w:pPr>
            <w:r w:rsidRPr="001E1A14">
              <w:rPr>
                <w:sz w:val="20"/>
              </w:rPr>
              <w:t>services (e.g., health, legal, and leisure)</w:t>
            </w:r>
          </w:p>
          <w:p w14:paraId="63E01712" w14:textId="77777777" w:rsidR="00D56E38" w:rsidRPr="001E1A14" w:rsidRDefault="00D56E38" w:rsidP="00D56E38">
            <w:pPr>
              <w:pStyle w:val="Tablebullet1"/>
              <w:numPr>
                <w:ilvl w:val="0"/>
                <w:numId w:val="8"/>
              </w:numPr>
              <w:spacing w:before="40" w:after="40"/>
              <w:rPr>
                <w:sz w:val="20"/>
              </w:rPr>
            </w:pPr>
            <w:r w:rsidRPr="001E1A14">
              <w:rPr>
                <w:sz w:val="20"/>
              </w:rPr>
              <w:t>Corporate systems and structures Organisation wide systems and management structures.</w:t>
            </w:r>
          </w:p>
          <w:p w14:paraId="26E1FD42" w14:textId="77777777" w:rsidR="00D56E38" w:rsidRPr="001E1A14" w:rsidRDefault="00D56E38" w:rsidP="00D56E38">
            <w:pPr>
              <w:pStyle w:val="Tablebullet1"/>
              <w:numPr>
                <w:ilvl w:val="0"/>
                <w:numId w:val="8"/>
              </w:numPr>
              <w:spacing w:before="40" w:after="40"/>
              <w:rPr>
                <w:sz w:val="20"/>
              </w:rPr>
            </w:pPr>
            <w:r w:rsidRPr="001E1A14">
              <w:rPr>
                <w:sz w:val="20"/>
              </w:rPr>
              <w:t>Service providers’ practice frameworks</w:t>
            </w:r>
          </w:p>
          <w:p w14:paraId="46BDA026" w14:textId="77777777" w:rsidR="00D56E38" w:rsidRPr="001E1A14" w:rsidRDefault="00D56E38" w:rsidP="00D56E38">
            <w:pPr>
              <w:pStyle w:val="Tablebullet1"/>
              <w:numPr>
                <w:ilvl w:val="0"/>
                <w:numId w:val="8"/>
              </w:numPr>
              <w:spacing w:before="40" w:after="40"/>
              <w:rPr>
                <w:sz w:val="20"/>
              </w:rPr>
            </w:pPr>
            <w:r w:rsidRPr="001E1A14">
              <w:rPr>
                <w:sz w:val="20"/>
              </w:rPr>
              <w:t>Emergency response processes</w:t>
            </w:r>
          </w:p>
          <w:p w14:paraId="73B59D1B" w14:textId="77777777" w:rsidR="00D56E38" w:rsidRPr="001E1A14" w:rsidRDefault="00D56E38" w:rsidP="00D56E38">
            <w:pPr>
              <w:pStyle w:val="Tablebullet1"/>
              <w:numPr>
                <w:ilvl w:val="0"/>
                <w:numId w:val="8"/>
              </w:numPr>
              <w:spacing w:before="40" w:after="40"/>
              <w:rPr>
                <w:sz w:val="20"/>
              </w:rPr>
            </w:pPr>
            <w:r w:rsidRPr="001E1A14">
              <w:rPr>
                <w:sz w:val="20"/>
              </w:rPr>
              <w:t>Brokerage guidelines</w:t>
            </w:r>
          </w:p>
          <w:p w14:paraId="195903B5" w14:textId="77777777" w:rsidR="00D56E38" w:rsidRPr="001E1A14" w:rsidRDefault="00D56E38" w:rsidP="00D56E38">
            <w:pPr>
              <w:pStyle w:val="Tablebullet1"/>
              <w:numPr>
                <w:ilvl w:val="0"/>
                <w:numId w:val="8"/>
              </w:numPr>
              <w:spacing w:before="40" w:after="40"/>
              <w:rPr>
                <w:sz w:val="20"/>
              </w:rPr>
            </w:pPr>
            <w:r w:rsidRPr="001E1A14">
              <w:rPr>
                <w:sz w:val="20"/>
              </w:rPr>
              <w:t>Client management systems (SRS, SAMIS)</w:t>
            </w:r>
          </w:p>
          <w:p w14:paraId="06EFE3A4" w14:textId="77777777" w:rsidR="00D56E38" w:rsidRPr="001E1A14" w:rsidRDefault="00D56E38" w:rsidP="00D56E38">
            <w:pPr>
              <w:pStyle w:val="Tablebullet1"/>
              <w:numPr>
                <w:ilvl w:val="0"/>
                <w:numId w:val="8"/>
              </w:numPr>
              <w:spacing w:before="40" w:after="40"/>
              <w:rPr>
                <w:sz w:val="20"/>
              </w:rPr>
            </w:pPr>
            <w:r w:rsidRPr="001E1A14">
              <w:rPr>
                <w:sz w:val="20"/>
              </w:rPr>
              <w:t xml:space="preserve">Practice tools including prioritisation, risk assessment, risk mitigation and case planning tools. </w:t>
            </w:r>
          </w:p>
          <w:p w14:paraId="3BFCB67D" w14:textId="77777777" w:rsidR="00D56E38" w:rsidRPr="001E1A14" w:rsidRDefault="00D56E38" w:rsidP="00D56E38">
            <w:pPr>
              <w:pStyle w:val="Tablebullet1"/>
              <w:numPr>
                <w:ilvl w:val="0"/>
                <w:numId w:val="8"/>
              </w:numPr>
              <w:spacing w:before="40" w:after="40"/>
              <w:rPr>
                <w:sz w:val="20"/>
              </w:rPr>
            </w:pPr>
            <w:r w:rsidRPr="001E1A14">
              <w:rPr>
                <w:sz w:val="20"/>
              </w:rPr>
              <w:t>Governance structures</w:t>
            </w:r>
          </w:p>
          <w:p w14:paraId="68F19DD1" w14:textId="77777777" w:rsidR="00D56E38" w:rsidRPr="001E1A14" w:rsidRDefault="00D56E38" w:rsidP="00D56E38">
            <w:pPr>
              <w:pStyle w:val="Tablebullet1"/>
              <w:numPr>
                <w:ilvl w:val="0"/>
                <w:numId w:val="8"/>
              </w:numPr>
              <w:spacing w:before="40" w:after="40"/>
              <w:rPr>
                <w:sz w:val="20"/>
              </w:rPr>
            </w:pPr>
            <w:r w:rsidRPr="001E1A14">
              <w:rPr>
                <w:sz w:val="20"/>
              </w:rPr>
              <w:t>Social services regulations</w:t>
            </w:r>
          </w:p>
          <w:p w14:paraId="184054E9" w14:textId="77777777" w:rsidR="00D56E38" w:rsidRPr="001E1A14" w:rsidRDefault="00D56E38" w:rsidP="00D56E38">
            <w:pPr>
              <w:pStyle w:val="Tablebullet1"/>
              <w:numPr>
                <w:ilvl w:val="0"/>
                <w:numId w:val="8"/>
              </w:numPr>
              <w:spacing w:before="40" w:after="40"/>
              <w:rPr>
                <w:sz w:val="20"/>
              </w:rPr>
            </w:pPr>
            <w:r w:rsidRPr="001E1A14">
              <w:rPr>
                <w:sz w:val="20"/>
              </w:rPr>
              <w:t>Frameworks and guidelines including:</w:t>
            </w:r>
          </w:p>
          <w:p w14:paraId="77063D64" w14:textId="77777777" w:rsidR="00D56E38" w:rsidRPr="001E1A14" w:rsidRDefault="00D56E38" w:rsidP="00D56E38">
            <w:pPr>
              <w:pStyle w:val="Tablebullet1"/>
              <w:numPr>
                <w:ilvl w:val="0"/>
                <w:numId w:val="49"/>
              </w:numPr>
              <w:spacing w:before="40" w:after="40"/>
              <w:rPr>
                <w:sz w:val="20"/>
              </w:rPr>
            </w:pPr>
            <w:r w:rsidRPr="001E1A14">
              <w:rPr>
                <w:sz w:val="20"/>
              </w:rPr>
              <w:t>Opening Doors Framework</w:t>
            </w:r>
          </w:p>
          <w:p w14:paraId="456E21DC" w14:textId="77777777" w:rsidR="00D56E38" w:rsidRPr="001E1A14" w:rsidRDefault="00D56E38" w:rsidP="00D56E38">
            <w:pPr>
              <w:pStyle w:val="Tablebullet1"/>
              <w:numPr>
                <w:ilvl w:val="0"/>
                <w:numId w:val="49"/>
              </w:numPr>
              <w:spacing w:before="40" w:after="40"/>
              <w:rPr>
                <w:sz w:val="20"/>
              </w:rPr>
            </w:pPr>
            <w:r w:rsidRPr="001E1A14">
              <w:rPr>
                <w:sz w:val="20"/>
              </w:rPr>
              <w:t>2014 Homelessness Service Guidelines</w:t>
            </w:r>
            <w:r>
              <w:rPr>
                <w:sz w:val="20"/>
              </w:rPr>
              <w:t xml:space="preserve">* </w:t>
            </w:r>
          </w:p>
          <w:p w14:paraId="2D15CA91" w14:textId="77777777" w:rsidR="00D56E38" w:rsidRPr="001E1A14" w:rsidRDefault="00D56E38" w:rsidP="00D56E38">
            <w:pPr>
              <w:pStyle w:val="Tablebullet1"/>
              <w:numPr>
                <w:ilvl w:val="0"/>
                <w:numId w:val="49"/>
              </w:numPr>
              <w:spacing w:before="40" w:after="40"/>
              <w:rPr>
                <w:sz w:val="20"/>
              </w:rPr>
            </w:pPr>
            <w:r w:rsidRPr="001E1A14">
              <w:rPr>
                <w:sz w:val="20"/>
              </w:rPr>
              <w:t>Mana-na woorn-tyeen maar-takoort - Every Aboriginal Person Has A Home</w:t>
            </w:r>
          </w:p>
          <w:p w14:paraId="3808E7C1" w14:textId="77777777" w:rsidR="00D56E38" w:rsidRPr="001E1A14" w:rsidRDefault="00D56E38" w:rsidP="00D56E38">
            <w:pPr>
              <w:pStyle w:val="Tablebullet1"/>
              <w:numPr>
                <w:ilvl w:val="0"/>
                <w:numId w:val="49"/>
              </w:numPr>
              <w:spacing w:before="40" w:after="40"/>
              <w:rPr>
                <w:sz w:val="20"/>
              </w:rPr>
            </w:pPr>
            <w:r w:rsidRPr="001E1A14">
              <w:rPr>
                <w:sz w:val="20"/>
              </w:rPr>
              <w:lastRenderedPageBreak/>
              <w:t>Blueprint for an Aboriginal Homelessness System in Victoria</w:t>
            </w:r>
          </w:p>
          <w:p w14:paraId="48AFB11A" w14:textId="77777777" w:rsidR="00D56E38" w:rsidRPr="001E1A14" w:rsidRDefault="00D56E38" w:rsidP="00D56E38">
            <w:pPr>
              <w:pStyle w:val="Tablebullet1"/>
              <w:numPr>
                <w:ilvl w:val="0"/>
                <w:numId w:val="49"/>
              </w:numPr>
              <w:spacing w:before="40" w:after="40"/>
              <w:rPr>
                <w:sz w:val="20"/>
              </w:rPr>
            </w:pPr>
            <w:r w:rsidRPr="001E1A14">
              <w:rPr>
                <w:sz w:val="20"/>
              </w:rPr>
              <w:t>Aboriginal Cultural Safety Framework</w:t>
            </w:r>
          </w:p>
          <w:p w14:paraId="172A120E" w14:textId="77777777" w:rsidR="00D56E38" w:rsidRPr="00DF51DE" w:rsidRDefault="00D56E38" w:rsidP="00D56E38">
            <w:pPr>
              <w:pStyle w:val="Tablebullet1"/>
              <w:numPr>
                <w:ilvl w:val="0"/>
                <w:numId w:val="49"/>
              </w:numPr>
              <w:spacing w:before="40" w:after="40"/>
              <w:rPr>
                <w:sz w:val="20"/>
              </w:rPr>
            </w:pPr>
            <w:r w:rsidRPr="00DF51DE">
              <w:rPr>
                <w:sz w:val="20"/>
              </w:rPr>
              <w:t>Family Violence Multi Agency Risk Assessment and Management Framework</w:t>
            </w:r>
          </w:p>
          <w:p w14:paraId="4403743C" w14:textId="77777777" w:rsidR="00D56E38" w:rsidRPr="00DF51DE" w:rsidRDefault="00D56E38" w:rsidP="00D56E38">
            <w:pPr>
              <w:pStyle w:val="Tablebullet1"/>
              <w:numPr>
                <w:ilvl w:val="0"/>
                <w:numId w:val="49"/>
              </w:numPr>
              <w:spacing w:before="40" w:after="40"/>
              <w:rPr>
                <w:sz w:val="20"/>
              </w:rPr>
            </w:pPr>
            <w:r w:rsidRPr="00DF51DE">
              <w:rPr>
                <w:sz w:val="20"/>
              </w:rPr>
              <w:t>LGBTQIA+ Homelessness Capacity Building Framework</w:t>
            </w:r>
          </w:p>
          <w:p w14:paraId="538EF0C5" w14:textId="77777777" w:rsidR="00D56E38" w:rsidRPr="001E1A14" w:rsidRDefault="00D56E38" w:rsidP="00D56E38">
            <w:pPr>
              <w:pStyle w:val="Tablebullet1"/>
              <w:numPr>
                <w:ilvl w:val="0"/>
                <w:numId w:val="49"/>
              </w:numPr>
              <w:spacing w:before="40" w:after="40"/>
              <w:rPr>
                <w:sz w:val="20"/>
              </w:rPr>
            </w:pPr>
            <w:r w:rsidRPr="00DF51DE">
              <w:rPr>
                <w:sz w:val="20"/>
              </w:rPr>
              <w:t>Homelessness and Rough Sleeping Action Plan</w:t>
            </w:r>
          </w:p>
          <w:p w14:paraId="2DB7A0A4" w14:textId="77777777" w:rsidR="00D56E38" w:rsidRPr="001821EC" w:rsidRDefault="00D56E38" w:rsidP="00D56E38">
            <w:pPr>
              <w:pStyle w:val="Tablebullet1"/>
              <w:numPr>
                <w:ilvl w:val="0"/>
                <w:numId w:val="49"/>
              </w:numPr>
              <w:spacing w:before="40" w:after="40"/>
              <w:rPr>
                <w:sz w:val="20"/>
              </w:rPr>
            </w:pPr>
            <w:r w:rsidRPr="001E1A14">
              <w:rPr>
                <w:sz w:val="20"/>
              </w:rPr>
              <w:t>Relevant legislation</w:t>
            </w:r>
          </w:p>
        </w:tc>
        <w:tc>
          <w:tcPr>
            <w:tcW w:w="0" w:type="pct"/>
          </w:tcPr>
          <w:p w14:paraId="789A7CB4" w14:textId="77777777" w:rsidR="00D56E38" w:rsidRPr="00107FFE" w:rsidRDefault="00D56E38" w:rsidP="00D56E38">
            <w:pPr>
              <w:pStyle w:val="Tablebullet1"/>
              <w:numPr>
                <w:ilvl w:val="0"/>
                <w:numId w:val="8"/>
              </w:numPr>
              <w:rPr>
                <w:sz w:val="20"/>
              </w:rPr>
            </w:pPr>
            <w:r w:rsidRPr="00107FFE">
              <w:rPr>
                <w:sz w:val="20"/>
              </w:rPr>
              <w:lastRenderedPageBreak/>
              <w:t>Initial Assessment and Planning (IAP)</w:t>
            </w:r>
          </w:p>
          <w:p w14:paraId="59AF1062" w14:textId="77777777" w:rsidR="00D56E38" w:rsidRDefault="00D56E38" w:rsidP="00D56E38">
            <w:pPr>
              <w:pStyle w:val="Tablebullet1"/>
              <w:numPr>
                <w:ilvl w:val="0"/>
                <w:numId w:val="8"/>
              </w:numPr>
              <w:rPr>
                <w:sz w:val="20"/>
              </w:rPr>
            </w:pPr>
            <w:r w:rsidRPr="00107FFE">
              <w:rPr>
                <w:sz w:val="20"/>
              </w:rPr>
              <w:t>Referrals, intake, assessment/screening, allocation of units</w:t>
            </w:r>
          </w:p>
          <w:p w14:paraId="2C145758" w14:textId="77777777" w:rsidR="00D56E38" w:rsidRPr="00107FFE" w:rsidRDefault="00D56E38" w:rsidP="00D56E38">
            <w:pPr>
              <w:pStyle w:val="Tablebullet1"/>
              <w:numPr>
                <w:ilvl w:val="0"/>
                <w:numId w:val="8"/>
              </w:numPr>
              <w:rPr>
                <w:sz w:val="20"/>
              </w:rPr>
            </w:pPr>
            <w:r>
              <w:rPr>
                <w:sz w:val="20"/>
              </w:rPr>
              <w:t>Referrals to health services and specialised services</w:t>
            </w:r>
          </w:p>
          <w:p w14:paraId="23679959" w14:textId="77777777" w:rsidR="00D56E38" w:rsidRPr="00107FFE" w:rsidRDefault="00D56E38" w:rsidP="00D56E38">
            <w:pPr>
              <w:pStyle w:val="Tablebullet1"/>
              <w:numPr>
                <w:ilvl w:val="0"/>
                <w:numId w:val="8"/>
              </w:numPr>
              <w:rPr>
                <w:sz w:val="20"/>
              </w:rPr>
            </w:pPr>
            <w:r w:rsidRPr="00107FFE">
              <w:rPr>
                <w:sz w:val="20"/>
              </w:rPr>
              <w:t>Extended accommodation duration (compared to traditional CSA)</w:t>
            </w:r>
          </w:p>
          <w:p w14:paraId="58729EA8" w14:textId="77777777" w:rsidR="00D56E38" w:rsidRPr="00107FFE" w:rsidRDefault="00D56E38" w:rsidP="00D56E38">
            <w:pPr>
              <w:pStyle w:val="Tablebullet1"/>
              <w:numPr>
                <w:ilvl w:val="0"/>
                <w:numId w:val="8"/>
              </w:numPr>
              <w:rPr>
                <w:sz w:val="20"/>
              </w:rPr>
            </w:pPr>
            <w:r w:rsidRPr="00107FFE">
              <w:rPr>
                <w:sz w:val="20"/>
              </w:rPr>
              <w:t>Unit set-up, purchasing and setting up furniture</w:t>
            </w:r>
          </w:p>
          <w:p w14:paraId="403D7D21" w14:textId="77777777" w:rsidR="00D56E38" w:rsidRPr="00107FFE" w:rsidRDefault="00D56E38" w:rsidP="00D56E38">
            <w:pPr>
              <w:pStyle w:val="Tablebullet1"/>
              <w:numPr>
                <w:ilvl w:val="0"/>
                <w:numId w:val="8"/>
              </w:numPr>
              <w:rPr>
                <w:sz w:val="20"/>
              </w:rPr>
            </w:pPr>
            <w:r w:rsidRPr="00107FFE">
              <w:rPr>
                <w:sz w:val="20"/>
              </w:rPr>
              <w:t>Responding to maintenance requests</w:t>
            </w:r>
          </w:p>
          <w:p w14:paraId="11F63C9F" w14:textId="77777777" w:rsidR="00D56E38" w:rsidRPr="00107FFE" w:rsidRDefault="00D56E38" w:rsidP="00D56E38">
            <w:pPr>
              <w:pStyle w:val="Tablebullet1"/>
              <w:numPr>
                <w:ilvl w:val="0"/>
                <w:numId w:val="8"/>
              </w:numPr>
              <w:rPr>
                <w:sz w:val="20"/>
              </w:rPr>
            </w:pPr>
            <w:r w:rsidRPr="00107FFE">
              <w:rPr>
                <w:sz w:val="20"/>
              </w:rPr>
              <w:t>Managing multiple support agencies</w:t>
            </w:r>
          </w:p>
          <w:p w14:paraId="2E806D3D" w14:textId="77777777" w:rsidR="00D56E38" w:rsidRPr="00107FFE" w:rsidRDefault="00D56E38" w:rsidP="00D56E38">
            <w:pPr>
              <w:pStyle w:val="Tablebullet1"/>
              <w:numPr>
                <w:ilvl w:val="0"/>
                <w:numId w:val="8"/>
              </w:numPr>
              <w:rPr>
                <w:sz w:val="20"/>
              </w:rPr>
            </w:pPr>
            <w:r w:rsidRPr="00107FFE">
              <w:rPr>
                <w:sz w:val="20"/>
              </w:rPr>
              <w:t>Resolving complaints</w:t>
            </w:r>
          </w:p>
          <w:p w14:paraId="0FEB8FF6" w14:textId="77777777" w:rsidR="00D56E38" w:rsidRPr="00107FFE" w:rsidRDefault="00D56E38" w:rsidP="00D56E38">
            <w:pPr>
              <w:pStyle w:val="Tablebullet1"/>
              <w:numPr>
                <w:ilvl w:val="0"/>
                <w:numId w:val="8"/>
              </w:numPr>
              <w:rPr>
                <w:sz w:val="20"/>
              </w:rPr>
            </w:pPr>
            <w:r w:rsidRPr="00107FFE">
              <w:rPr>
                <w:sz w:val="20"/>
              </w:rPr>
              <w:t>Incident management</w:t>
            </w:r>
          </w:p>
          <w:p w14:paraId="5AFE78D4" w14:textId="77777777" w:rsidR="00D56E38" w:rsidRPr="00107FFE" w:rsidRDefault="00D56E38" w:rsidP="00D56E38">
            <w:pPr>
              <w:pStyle w:val="Tablebullet1"/>
              <w:numPr>
                <w:ilvl w:val="0"/>
                <w:numId w:val="8"/>
              </w:numPr>
              <w:rPr>
                <w:sz w:val="20"/>
              </w:rPr>
            </w:pPr>
            <w:r w:rsidRPr="00107FFE">
              <w:rPr>
                <w:sz w:val="20"/>
              </w:rPr>
              <w:t>Risk assessment</w:t>
            </w:r>
          </w:p>
          <w:p w14:paraId="6F6E3A26" w14:textId="77777777" w:rsidR="00D56E38" w:rsidRPr="00107FFE" w:rsidRDefault="00D56E38" w:rsidP="00D56E38">
            <w:pPr>
              <w:pStyle w:val="Tablebullet1"/>
              <w:numPr>
                <w:ilvl w:val="0"/>
                <w:numId w:val="8"/>
              </w:numPr>
              <w:rPr>
                <w:sz w:val="20"/>
              </w:rPr>
            </w:pPr>
            <w:r w:rsidRPr="00107FFE">
              <w:rPr>
                <w:sz w:val="20"/>
              </w:rPr>
              <w:t>Reporting</w:t>
            </w:r>
          </w:p>
          <w:p w14:paraId="72B9BB8A" w14:textId="77777777" w:rsidR="00D56E38" w:rsidRPr="00107FFE" w:rsidRDefault="00D56E38" w:rsidP="00D56E38">
            <w:pPr>
              <w:pStyle w:val="Tablebullet1"/>
              <w:numPr>
                <w:ilvl w:val="0"/>
                <w:numId w:val="8"/>
              </w:numPr>
              <w:rPr>
                <w:sz w:val="20"/>
              </w:rPr>
            </w:pPr>
            <w:r w:rsidRPr="00107FFE">
              <w:rPr>
                <w:sz w:val="20"/>
              </w:rPr>
              <w:t>Recruitment of staff</w:t>
            </w:r>
          </w:p>
          <w:p w14:paraId="5A5C8129" w14:textId="77777777" w:rsidR="00D56E38" w:rsidRPr="00107FFE" w:rsidRDefault="00D56E38" w:rsidP="00D56E38">
            <w:pPr>
              <w:pStyle w:val="Tablebullet1"/>
              <w:numPr>
                <w:ilvl w:val="0"/>
                <w:numId w:val="8"/>
              </w:numPr>
              <w:rPr>
                <w:sz w:val="20"/>
              </w:rPr>
            </w:pPr>
            <w:r w:rsidRPr="00107FFE">
              <w:rPr>
                <w:sz w:val="20"/>
              </w:rPr>
              <w:t>Contracting security services</w:t>
            </w:r>
          </w:p>
          <w:p w14:paraId="29D3EE9E" w14:textId="77777777" w:rsidR="00D56E38" w:rsidRPr="00107FFE" w:rsidRDefault="00D56E38" w:rsidP="00D56E38">
            <w:pPr>
              <w:pStyle w:val="Tablebullet1"/>
              <w:numPr>
                <w:ilvl w:val="0"/>
                <w:numId w:val="8"/>
              </w:numPr>
              <w:rPr>
                <w:sz w:val="20"/>
              </w:rPr>
            </w:pPr>
            <w:r w:rsidRPr="00107FFE">
              <w:rPr>
                <w:sz w:val="20"/>
              </w:rPr>
              <w:t>Council permits</w:t>
            </w:r>
          </w:p>
          <w:p w14:paraId="4275EC61" w14:textId="77777777" w:rsidR="00D56E38" w:rsidRPr="00107FFE" w:rsidRDefault="00D56E38" w:rsidP="00D56E38">
            <w:pPr>
              <w:pStyle w:val="Tablebullet1"/>
              <w:numPr>
                <w:ilvl w:val="0"/>
                <w:numId w:val="8"/>
              </w:numPr>
              <w:rPr>
                <w:sz w:val="20"/>
              </w:rPr>
            </w:pPr>
            <w:r w:rsidRPr="00107FFE">
              <w:rPr>
                <w:sz w:val="20"/>
              </w:rPr>
              <w:lastRenderedPageBreak/>
              <w:t>Other stakeholder relationships such as VicPol</w:t>
            </w:r>
          </w:p>
          <w:p w14:paraId="40FA1BEE" w14:textId="77777777" w:rsidR="00D56E38" w:rsidRPr="00107FFE" w:rsidRDefault="00D56E38" w:rsidP="00D56E38">
            <w:pPr>
              <w:pStyle w:val="Tablebullet1"/>
              <w:numPr>
                <w:ilvl w:val="0"/>
                <w:numId w:val="8"/>
              </w:numPr>
              <w:rPr>
                <w:sz w:val="20"/>
              </w:rPr>
            </w:pPr>
            <w:r w:rsidRPr="4E5BE7FF">
              <w:rPr>
                <w:sz w:val="20"/>
              </w:rPr>
              <w:t>Financial/budget management</w:t>
            </w:r>
          </w:p>
          <w:p w14:paraId="560E595E" w14:textId="77777777" w:rsidR="00D56E38" w:rsidRPr="00DA3ADD" w:rsidRDefault="00D56E38" w:rsidP="00D56E38">
            <w:pPr>
              <w:pStyle w:val="Tablebullet1"/>
              <w:numPr>
                <w:ilvl w:val="0"/>
                <w:numId w:val="8"/>
              </w:numPr>
              <w:rPr>
                <w:sz w:val="20"/>
              </w:rPr>
            </w:pPr>
            <w:r w:rsidRPr="00DA3ADD">
              <w:rPr>
                <w:sz w:val="20"/>
              </w:rPr>
              <w:t>Case Management/Planning</w:t>
            </w:r>
          </w:p>
          <w:p w14:paraId="7F87582A" w14:textId="77777777" w:rsidR="00D56E38" w:rsidRPr="00107FFE" w:rsidRDefault="00D56E38" w:rsidP="00D56E38">
            <w:pPr>
              <w:pStyle w:val="Tablebullet1"/>
              <w:numPr>
                <w:ilvl w:val="0"/>
                <w:numId w:val="8"/>
              </w:numPr>
              <w:rPr>
                <w:sz w:val="20"/>
              </w:rPr>
            </w:pPr>
            <w:r w:rsidRPr="4E5BE7FF">
              <w:rPr>
                <w:sz w:val="20"/>
              </w:rPr>
              <w:t>Client engagement activities</w:t>
            </w:r>
          </w:p>
          <w:p w14:paraId="064E4E7A" w14:textId="77777777" w:rsidR="00D56E38" w:rsidRPr="00107FFE" w:rsidRDefault="00D56E38" w:rsidP="00D56E38">
            <w:pPr>
              <w:pStyle w:val="Tablebullet1"/>
              <w:numPr>
                <w:ilvl w:val="0"/>
                <w:numId w:val="8"/>
              </w:numPr>
              <w:rPr>
                <w:sz w:val="20"/>
              </w:rPr>
            </w:pPr>
            <w:r w:rsidRPr="4E5BE7FF">
              <w:rPr>
                <w:sz w:val="20"/>
              </w:rPr>
              <w:t>Orientation and induction</w:t>
            </w:r>
          </w:p>
          <w:p w14:paraId="052564AF" w14:textId="77777777" w:rsidR="00D56E38" w:rsidRPr="00107FFE" w:rsidRDefault="00D56E38" w:rsidP="00D56E38">
            <w:pPr>
              <w:pStyle w:val="Tablebullet1"/>
              <w:numPr>
                <w:ilvl w:val="0"/>
                <w:numId w:val="8"/>
              </w:numPr>
              <w:rPr>
                <w:sz w:val="20"/>
              </w:rPr>
            </w:pPr>
            <w:r w:rsidRPr="4E5BE7FF">
              <w:rPr>
                <w:sz w:val="20"/>
              </w:rPr>
              <w:t>Obtain and distribute food donations</w:t>
            </w:r>
          </w:p>
          <w:p w14:paraId="06943032" w14:textId="77777777" w:rsidR="00D56E38" w:rsidRPr="00107FFE" w:rsidRDefault="00D56E38" w:rsidP="00D56E38">
            <w:pPr>
              <w:pStyle w:val="Tablebullet1"/>
              <w:numPr>
                <w:ilvl w:val="0"/>
                <w:numId w:val="8"/>
              </w:numPr>
              <w:rPr>
                <w:sz w:val="20"/>
              </w:rPr>
            </w:pPr>
            <w:r w:rsidRPr="4E5BE7FF">
              <w:rPr>
                <w:sz w:val="20"/>
              </w:rPr>
              <w:t>De-escalation techniques and processes</w:t>
            </w:r>
          </w:p>
          <w:p w14:paraId="7E099E7D" w14:textId="77777777" w:rsidR="00D56E38" w:rsidRPr="00107FFE" w:rsidRDefault="00D56E38" w:rsidP="00D56E38">
            <w:pPr>
              <w:pStyle w:val="Tablebullet1"/>
              <w:numPr>
                <w:ilvl w:val="0"/>
                <w:numId w:val="8"/>
              </w:numPr>
              <w:rPr>
                <w:sz w:val="20"/>
              </w:rPr>
            </w:pPr>
            <w:r w:rsidRPr="4E5BE7FF">
              <w:rPr>
                <w:sz w:val="20"/>
              </w:rPr>
              <w:t xml:space="preserve">Build trust, rapport, and relationships </w:t>
            </w:r>
          </w:p>
          <w:p w14:paraId="521227AE" w14:textId="77777777" w:rsidR="00D56E38" w:rsidRPr="00107FFE" w:rsidRDefault="00D56E38" w:rsidP="00D56E38">
            <w:pPr>
              <w:pStyle w:val="Tablebullet1"/>
              <w:numPr>
                <w:ilvl w:val="0"/>
                <w:numId w:val="8"/>
              </w:numPr>
              <w:rPr>
                <w:sz w:val="20"/>
              </w:rPr>
            </w:pPr>
            <w:r w:rsidRPr="4E5BE7FF">
              <w:rPr>
                <w:sz w:val="20"/>
              </w:rPr>
              <w:t>Source material aid</w:t>
            </w:r>
          </w:p>
          <w:p w14:paraId="1D892B3C" w14:textId="77777777" w:rsidR="00D56E38" w:rsidRPr="00107FFE" w:rsidRDefault="00D56E38" w:rsidP="00D56E38">
            <w:pPr>
              <w:pStyle w:val="Tablebullet1"/>
              <w:numPr>
                <w:ilvl w:val="0"/>
                <w:numId w:val="8"/>
              </w:numPr>
              <w:rPr>
                <w:sz w:val="20"/>
              </w:rPr>
            </w:pPr>
            <w:r w:rsidRPr="4E5BE7FF">
              <w:rPr>
                <w:sz w:val="20"/>
              </w:rPr>
              <w:t>Employment, education and living skills development Local service navigation (pharmacy, dentist, train, shops, optometrist)</w:t>
            </w:r>
          </w:p>
          <w:p w14:paraId="324C5B4A" w14:textId="77777777" w:rsidR="00D56E38" w:rsidRPr="00107FFE" w:rsidRDefault="00D56E38" w:rsidP="00D56E38">
            <w:pPr>
              <w:pStyle w:val="Tablebullet1"/>
              <w:numPr>
                <w:ilvl w:val="0"/>
                <w:numId w:val="8"/>
              </w:numPr>
              <w:rPr>
                <w:sz w:val="20"/>
              </w:rPr>
            </w:pPr>
            <w:r w:rsidRPr="4E5BE7FF">
              <w:rPr>
                <w:sz w:val="20"/>
              </w:rPr>
              <w:t xml:space="preserve">Capacity building and empowerment </w:t>
            </w:r>
          </w:p>
          <w:p w14:paraId="3656EC17" w14:textId="77777777" w:rsidR="00D56E38" w:rsidRPr="00107FFE" w:rsidRDefault="00D56E38" w:rsidP="00D56E38">
            <w:pPr>
              <w:pStyle w:val="Tablebullet1"/>
              <w:numPr>
                <w:ilvl w:val="0"/>
                <w:numId w:val="8"/>
              </w:numPr>
              <w:rPr>
                <w:sz w:val="20"/>
              </w:rPr>
            </w:pPr>
            <w:r w:rsidRPr="4E5BE7FF">
              <w:rPr>
                <w:sz w:val="20"/>
              </w:rPr>
              <w:t xml:space="preserve">Advocacy and policy – promoting awareness </w:t>
            </w:r>
            <w:r w:rsidRPr="4E5BE7FF">
              <w:rPr>
                <w:sz w:val="20"/>
              </w:rPr>
              <w:lastRenderedPageBreak/>
              <w:t>of discriminatory policies, advocacy for client group needs and system change</w:t>
            </w:r>
          </w:p>
          <w:p w14:paraId="3FAC0FC3" w14:textId="77777777" w:rsidR="00D56E38" w:rsidRPr="00107FFE" w:rsidRDefault="00D56E38" w:rsidP="00D56E38">
            <w:pPr>
              <w:pStyle w:val="Tablebullet1"/>
              <w:numPr>
                <w:ilvl w:val="0"/>
                <w:numId w:val="8"/>
              </w:numPr>
              <w:rPr>
                <w:sz w:val="20"/>
              </w:rPr>
            </w:pPr>
            <w:r w:rsidRPr="4E5BE7FF">
              <w:rPr>
                <w:sz w:val="20"/>
              </w:rPr>
              <w:t>Welfare checks of renters/residents</w:t>
            </w:r>
          </w:p>
          <w:p w14:paraId="46E58AC6" w14:textId="77777777" w:rsidR="00D56E38" w:rsidRPr="00107FFE" w:rsidRDefault="00D56E38" w:rsidP="00D56E38">
            <w:pPr>
              <w:pStyle w:val="Tablebullet1"/>
              <w:numPr>
                <w:ilvl w:val="0"/>
                <w:numId w:val="8"/>
              </w:numPr>
              <w:rPr>
                <w:sz w:val="20"/>
              </w:rPr>
            </w:pPr>
            <w:r w:rsidRPr="4E5BE7FF">
              <w:rPr>
                <w:sz w:val="20"/>
              </w:rPr>
              <w:t>Ensuring peer voice in all aspects of service delivery and design</w:t>
            </w:r>
          </w:p>
          <w:p w14:paraId="6F09AD16" w14:textId="77777777" w:rsidR="00D56E38" w:rsidRPr="00107FFE" w:rsidRDefault="00D56E38" w:rsidP="00D56E38">
            <w:pPr>
              <w:pStyle w:val="Tablebullet1"/>
              <w:numPr>
                <w:ilvl w:val="0"/>
                <w:numId w:val="8"/>
              </w:numPr>
              <w:rPr>
                <w:sz w:val="20"/>
              </w:rPr>
            </w:pPr>
            <w:r w:rsidRPr="4E5BE7FF">
              <w:rPr>
                <w:sz w:val="20"/>
              </w:rPr>
              <w:t>Monthly resident meetings/collecting feedback from clients</w:t>
            </w:r>
          </w:p>
          <w:p w14:paraId="6142190E" w14:textId="77777777" w:rsidR="00D56E38" w:rsidRPr="00747C78" w:rsidRDefault="00D56E38" w:rsidP="00D56E38">
            <w:pPr>
              <w:pStyle w:val="Tablebullet1"/>
              <w:numPr>
                <w:ilvl w:val="0"/>
                <w:numId w:val="8"/>
              </w:numPr>
            </w:pPr>
            <w:r w:rsidRPr="4E5BE7FF">
              <w:rPr>
                <w:sz w:val="20"/>
              </w:rPr>
              <w:t>Data collection</w:t>
            </w:r>
          </w:p>
        </w:tc>
        <w:tc>
          <w:tcPr>
            <w:tcW w:w="0" w:type="pct"/>
          </w:tcPr>
          <w:p w14:paraId="3FC815DD" w14:textId="77777777" w:rsidR="00D56E38" w:rsidRDefault="00D56E38" w:rsidP="00D56E38">
            <w:pPr>
              <w:pStyle w:val="Tablebullet1"/>
              <w:numPr>
                <w:ilvl w:val="0"/>
                <w:numId w:val="48"/>
              </w:numPr>
              <w:spacing w:before="0" w:after="0"/>
              <w:ind w:left="227" w:hanging="227"/>
              <w:rPr>
                <w:rFonts w:cs="Arial"/>
                <w:sz w:val="20"/>
              </w:rPr>
            </w:pPr>
            <w:r>
              <w:rPr>
                <w:rFonts w:cs="Arial"/>
                <w:sz w:val="20"/>
              </w:rPr>
              <w:lastRenderedPageBreak/>
              <w:t xml:space="preserve">Number of clients </w:t>
            </w:r>
          </w:p>
          <w:p w14:paraId="79FB88B6" w14:textId="77777777" w:rsidR="00D56E38" w:rsidRDefault="00D56E38" w:rsidP="00D56E38">
            <w:pPr>
              <w:pStyle w:val="Tablebullet1"/>
              <w:numPr>
                <w:ilvl w:val="0"/>
                <w:numId w:val="48"/>
              </w:numPr>
              <w:spacing w:before="0" w:after="0"/>
              <w:ind w:left="227" w:hanging="227"/>
              <w:rPr>
                <w:rFonts w:cs="Arial"/>
                <w:sz w:val="20"/>
              </w:rPr>
            </w:pPr>
            <w:r>
              <w:rPr>
                <w:rFonts w:cs="Arial"/>
                <w:sz w:val="20"/>
              </w:rPr>
              <w:t>Number of support periods</w:t>
            </w:r>
          </w:p>
          <w:p w14:paraId="41B8AE9F" w14:textId="77777777" w:rsidR="00D56E38" w:rsidRDefault="00D56E38" w:rsidP="00D56E38">
            <w:pPr>
              <w:pStyle w:val="Tablebullet1"/>
              <w:numPr>
                <w:ilvl w:val="0"/>
                <w:numId w:val="48"/>
              </w:numPr>
              <w:spacing w:before="0" w:after="0"/>
              <w:ind w:left="227" w:hanging="227"/>
              <w:rPr>
                <w:rFonts w:cs="Arial"/>
                <w:sz w:val="20"/>
              </w:rPr>
            </w:pPr>
            <w:r>
              <w:rPr>
                <w:rFonts w:cs="Arial"/>
                <w:sz w:val="20"/>
              </w:rPr>
              <w:t>Number of accommodation stays</w:t>
            </w:r>
          </w:p>
          <w:p w14:paraId="650FD104" w14:textId="77777777" w:rsidR="00D56E38" w:rsidRDefault="00D56E38" w:rsidP="00D56E38">
            <w:pPr>
              <w:pStyle w:val="Tablebullet1"/>
              <w:numPr>
                <w:ilvl w:val="0"/>
                <w:numId w:val="48"/>
              </w:numPr>
              <w:spacing w:before="0" w:after="0"/>
              <w:ind w:left="227" w:hanging="227"/>
              <w:rPr>
                <w:rFonts w:cs="Arial"/>
                <w:sz w:val="20"/>
              </w:rPr>
            </w:pPr>
            <w:r>
              <w:rPr>
                <w:rFonts w:cs="Arial"/>
                <w:sz w:val="20"/>
              </w:rPr>
              <w:t>Proportion of clients with a case plan or other support plan</w:t>
            </w:r>
          </w:p>
          <w:p w14:paraId="2AD27CB1" w14:textId="77777777" w:rsidR="00D56E38" w:rsidRDefault="00D56E38" w:rsidP="00D56E38">
            <w:pPr>
              <w:pStyle w:val="Tablebullet1"/>
              <w:numPr>
                <w:ilvl w:val="0"/>
                <w:numId w:val="48"/>
              </w:numPr>
              <w:spacing w:before="0" w:after="0"/>
              <w:ind w:left="227" w:hanging="227"/>
              <w:rPr>
                <w:rFonts w:cs="Arial"/>
                <w:sz w:val="20"/>
              </w:rPr>
            </w:pPr>
            <w:r>
              <w:rPr>
                <w:rFonts w:cs="Arial"/>
                <w:sz w:val="20"/>
              </w:rPr>
              <w:t>Number of client exits</w:t>
            </w:r>
          </w:p>
          <w:p w14:paraId="68065DE7" w14:textId="77777777" w:rsidR="00D56E38" w:rsidRDefault="00D56E38" w:rsidP="00D56E38">
            <w:pPr>
              <w:pStyle w:val="Tablebullet1"/>
              <w:numPr>
                <w:ilvl w:val="0"/>
                <w:numId w:val="48"/>
              </w:numPr>
              <w:spacing w:before="0" w:after="0"/>
              <w:ind w:left="227" w:hanging="227"/>
              <w:rPr>
                <w:rFonts w:cs="Arial"/>
                <w:sz w:val="20"/>
              </w:rPr>
            </w:pPr>
            <w:r>
              <w:rPr>
                <w:rFonts w:cs="Arial"/>
                <w:sz w:val="20"/>
              </w:rPr>
              <w:t xml:space="preserve">Proportion of client exits that are unplanned </w:t>
            </w:r>
          </w:p>
          <w:p w14:paraId="574D4B52" w14:textId="77777777" w:rsidR="00D56E38" w:rsidRDefault="00D56E38" w:rsidP="00D56E38">
            <w:pPr>
              <w:pStyle w:val="Tablebullet1"/>
              <w:numPr>
                <w:ilvl w:val="0"/>
                <w:numId w:val="48"/>
              </w:numPr>
              <w:spacing w:before="0" w:after="0"/>
              <w:ind w:left="227" w:hanging="227"/>
              <w:rPr>
                <w:rFonts w:cs="Arial"/>
                <w:sz w:val="20"/>
              </w:rPr>
            </w:pPr>
            <w:r>
              <w:rPr>
                <w:rFonts w:cs="Arial"/>
                <w:sz w:val="20"/>
              </w:rPr>
              <w:t>Number of clients with an active Victorian Housing Register (VHR) application</w:t>
            </w:r>
          </w:p>
          <w:p w14:paraId="4B4F71EA" w14:textId="77777777" w:rsidR="00D56E38" w:rsidRDefault="00D56E38" w:rsidP="00D56E38">
            <w:pPr>
              <w:pStyle w:val="Tablebullet1"/>
              <w:numPr>
                <w:ilvl w:val="0"/>
                <w:numId w:val="48"/>
              </w:numPr>
              <w:spacing w:before="0" w:after="0"/>
              <w:ind w:left="227" w:hanging="227"/>
              <w:rPr>
                <w:rFonts w:cs="Arial"/>
                <w:sz w:val="20"/>
              </w:rPr>
            </w:pPr>
            <w:r>
              <w:rPr>
                <w:rFonts w:cs="Arial"/>
                <w:sz w:val="20"/>
              </w:rPr>
              <w:t>Number of clients with supports in place at exit</w:t>
            </w:r>
          </w:p>
          <w:p w14:paraId="41D1F1C7" w14:textId="77777777" w:rsidR="00D56E38" w:rsidRDefault="00D56E38" w:rsidP="00D56E38">
            <w:pPr>
              <w:pStyle w:val="Tablebullet1"/>
              <w:numPr>
                <w:ilvl w:val="0"/>
                <w:numId w:val="48"/>
              </w:numPr>
              <w:spacing w:before="0" w:after="0"/>
              <w:ind w:left="227" w:hanging="227"/>
              <w:rPr>
                <w:rFonts w:cs="Arial"/>
                <w:sz w:val="20"/>
              </w:rPr>
            </w:pPr>
            <w:r>
              <w:rPr>
                <w:rFonts w:cs="Arial"/>
                <w:sz w:val="20"/>
              </w:rPr>
              <w:t>Number of clients who exit into medium-long term housing</w:t>
            </w:r>
          </w:p>
          <w:p w14:paraId="2E353BFB" w14:textId="77777777" w:rsidR="00D56E38" w:rsidRDefault="00D56E38" w:rsidP="00D56E38">
            <w:pPr>
              <w:pStyle w:val="Tablebullet1"/>
              <w:numPr>
                <w:ilvl w:val="0"/>
                <w:numId w:val="48"/>
              </w:numPr>
              <w:spacing w:before="0" w:after="0"/>
              <w:ind w:left="227" w:hanging="227"/>
              <w:rPr>
                <w:rFonts w:cs="Arial"/>
                <w:sz w:val="20"/>
              </w:rPr>
            </w:pPr>
            <w:r>
              <w:rPr>
                <w:rFonts w:cs="Arial"/>
                <w:sz w:val="20"/>
              </w:rPr>
              <w:t>Number of referrals to external health services and specialised services</w:t>
            </w:r>
          </w:p>
          <w:p w14:paraId="4B4ADA1C" w14:textId="77777777" w:rsidR="00D56E38" w:rsidRDefault="00D56E38" w:rsidP="00D56E38">
            <w:pPr>
              <w:pStyle w:val="Tablebullet1"/>
              <w:numPr>
                <w:ilvl w:val="0"/>
                <w:numId w:val="48"/>
              </w:numPr>
              <w:spacing w:before="0" w:after="0"/>
              <w:ind w:left="227" w:hanging="227"/>
              <w:rPr>
                <w:rFonts w:cs="Arial"/>
                <w:sz w:val="20"/>
              </w:rPr>
            </w:pPr>
            <w:r>
              <w:rPr>
                <w:rFonts w:cs="Arial"/>
                <w:sz w:val="20"/>
              </w:rPr>
              <w:lastRenderedPageBreak/>
              <w:t>Number of clients engaging with onsite AOD supports.</w:t>
            </w:r>
          </w:p>
          <w:p w14:paraId="119E3A6B" w14:textId="77777777" w:rsidR="00D56E38" w:rsidRDefault="00D56E38" w:rsidP="00D56E38">
            <w:pPr>
              <w:pStyle w:val="Tablebullet1"/>
              <w:numPr>
                <w:ilvl w:val="0"/>
                <w:numId w:val="48"/>
              </w:numPr>
              <w:spacing w:before="0" w:after="0"/>
              <w:ind w:left="227" w:hanging="227"/>
              <w:rPr>
                <w:rFonts w:cs="Arial"/>
                <w:sz w:val="20"/>
              </w:rPr>
            </w:pPr>
            <w:r>
              <w:rPr>
                <w:rFonts w:cs="Arial"/>
                <w:sz w:val="20"/>
              </w:rPr>
              <w:t>Number of clients who report feeling safe during their stay</w:t>
            </w:r>
          </w:p>
          <w:p w14:paraId="7E33D0F7" w14:textId="77777777" w:rsidR="00D56E38" w:rsidRDefault="00D56E38" w:rsidP="00D56E38">
            <w:pPr>
              <w:pStyle w:val="Tablebullet1"/>
              <w:numPr>
                <w:ilvl w:val="0"/>
                <w:numId w:val="48"/>
              </w:numPr>
              <w:spacing w:before="0" w:after="0"/>
              <w:ind w:left="227" w:hanging="227"/>
              <w:rPr>
                <w:rFonts w:cs="Arial"/>
                <w:sz w:val="20"/>
              </w:rPr>
            </w:pPr>
            <w:r>
              <w:rPr>
                <w:rFonts w:cs="Arial"/>
                <w:sz w:val="20"/>
              </w:rPr>
              <w:t>Number of clients who report an improvement in their health and wellbeing during their stay</w:t>
            </w:r>
          </w:p>
          <w:p w14:paraId="24E4997B" w14:textId="77777777" w:rsidR="00D56E38" w:rsidRDefault="00D56E38" w:rsidP="00D56E38">
            <w:pPr>
              <w:pStyle w:val="Tablebullet1"/>
              <w:numPr>
                <w:ilvl w:val="0"/>
                <w:numId w:val="48"/>
              </w:numPr>
              <w:spacing w:before="0" w:after="0"/>
              <w:ind w:left="227" w:hanging="227"/>
              <w:rPr>
                <w:rFonts w:cs="Arial"/>
                <w:sz w:val="20"/>
              </w:rPr>
            </w:pPr>
            <w:r>
              <w:rPr>
                <w:rFonts w:cs="Arial"/>
                <w:sz w:val="20"/>
              </w:rPr>
              <w:t>Number of clients who report that services supported their cultural identity/felt culturally safe</w:t>
            </w:r>
          </w:p>
          <w:p w14:paraId="70E0C000" w14:textId="77777777" w:rsidR="00D56E38" w:rsidRDefault="00D56E38" w:rsidP="00D56E38">
            <w:pPr>
              <w:pStyle w:val="Tablebullet1"/>
              <w:numPr>
                <w:ilvl w:val="0"/>
                <w:numId w:val="48"/>
              </w:numPr>
              <w:spacing w:before="0" w:after="0"/>
              <w:ind w:left="227" w:hanging="227"/>
              <w:rPr>
                <w:rFonts w:cs="Arial"/>
                <w:sz w:val="20"/>
              </w:rPr>
            </w:pPr>
            <w:r>
              <w:rPr>
                <w:rFonts w:cs="Arial"/>
                <w:sz w:val="20"/>
              </w:rPr>
              <w:t>Number of clients who report services supported their gender identity</w:t>
            </w:r>
          </w:p>
          <w:p w14:paraId="7932A24E" w14:textId="77777777" w:rsidR="00D56E38" w:rsidRDefault="00D56E38" w:rsidP="00D56E38">
            <w:pPr>
              <w:pStyle w:val="Tablebullet1"/>
              <w:numPr>
                <w:ilvl w:val="0"/>
                <w:numId w:val="48"/>
              </w:numPr>
              <w:spacing w:before="0" w:after="0"/>
              <w:ind w:left="227" w:hanging="227"/>
              <w:rPr>
                <w:rFonts w:cs="Arial"/>
                <w:sz w:val="20"/>
              </w:rPr>
            </w:pPr>
            <w:r>
              <w:rPr>
                <w:rFonts w:cs="Arial"/>
                <w:sz w:val="20"/>
              </w:rPr>
              <w:t>Number of case management meetings</w:t>
            </w:r>
          </w:p>
          <w:p w14:paraId="2689702A" w14:textId="77777777" w:rsidR="00D56E38" w:rsidRDefault="00D56E38" w:rsidP="00D56E38">
            <w:pPr>
              <w:pStyle w:val="Tablebullet1"/>
              <w:numPr>
                <w:ilvl w:val="0"/>
                <w:numId w:val="48"/>
              </w:numPr>
              <w:spacing w:before="0" w:after="0"/>
              <w:ind w:left="227" w:hanging="227"/>
              <w:rPr>
                <w:rFonts w:cs="Arial"/>
                <w:sz w:val="20"/>
              </w:rPr>
            </w:pPr>
            <w:r>
              <w:rPr>
                <w:rFonts w:cs="Arial"/>
                <w:sz w:val="20"/>
              </w:rPr>
              <w:t>Number of referrals to support services</w:t>
            </w:r>
          </w:p>
          <w:p w14:paraId="01A0CF68" w14:textId="77777777" w:rsidR="00D56E38" w:rsidRDefault="00D56E38" w:rsidP="00D56E38">
            <w:pPr>
              <w:pStyle w:val="Tablebullet1"/>
              <w:numPr>
                <w:ilvl w:val="0"/>
                <w:numId w:val="48"/>
              </w:numPr>
              <w:spacing w:before="0" w:after="0"/>
              <w:ind w:left="227" w:hanging="227"/>
              <w:rPr>
                <w:rFonts w:cs="Arial"/>
                <w:sz w:val="20"/>
              </w:rPr>
            </w:pPr>
            <w:r>
              <w:rPr>
                <w:rFonts w:cs="Arial"/>
                <w:sz w:val="20"/>
              </w:rPr>
              <w:t>Percentage of clients who attended appointments with on-site nursing</w:t>
            </w:r>
          </w:p>
          <w:p w14:paraId="11417B96" w14:textId="77777777" w:rsidR="00D56E38" w:rsidRDefault="00D56E38" w:rsidP="00D56E38">
            <w:pPr>
              <w:pStyle w:val="Tablebullet1"/>
              <w:numPr>
                <w:ilvl w:val="0"/>
                <w:numId w:val="48"/>
              </w:numPr>
              <w:spacing w:before="0" w:after="0"/>
              <w:ind w:left="227" w:hanging="227"/>
              <w:rPr>
                <w:rFonts w:cs="Arial"/>
                <w:sz w:val="20"/>
              </w:rPr>
            </w:pPr>
            <w:r>
              <w:rPr>
                <w:rFonts w:cs="Arial"/>
                <w:sz w:val="20"/>
              </w:rPr>
              <w:t xml:space="preserve">Proportion of clients who attended </w:t>
            </w:r>
            <w:r>
              <w:rPr>
                <w:rFonts w:cs="Arial"/>
                <w:sz w:val="20"/>
              </w:rPr>
              <w:lastRenderedPageBreak/>
              <w:t>therapeutic recreation sessions</w:t>
            </w:r>
          </w:p>
          <w:p w14:paraId="182EE2D1" w14:textId="77777777" w:rsidR="00D56E38" w:rsidRDefault="00D56E38" w:rsidP="00D56E38">
            <w:pPr>
              <w:pStyle w:val="Tablebullet1"/>
              <w:numPr>
                <w:ilvl w:val="0"/>
                <w:numId w:val="48"/>
              </w:numPr>
              <w:spacing w:before="0" w:after="0"/>
              <w:ind w:left="227" w:hanging="227"/>
              <w:rPr>
                <w:rFonts w:cs="Arial"/>
                <w:sz w:val="20"/>
              </w:rPr>
            </w:pPr>
            <w:r>
              <w:rPr>
                <w:rFonts w:cs="Arial"/>
                <w:sz w:val="20"/>
              </w:rPr>
              <w:t>Number of critical incidents</w:t>
            </w:r>
          </w:p>
          <w:p w14:paraId="59C0292E" w14:textId="77777777" w:rsidR="00D56E38" w:rsidRDefault="00D56E38" w:rsidP="00D56E38">
            <w:pPr>
              <w:pStyle w:val="Tablebullet1"/>
              <w:numPr>
                <w:ilvl w:val="0"/>
                <w:numId w:val="48"/>
              </w:numPr>
              <w:spacing w:before="0" w:after="0"/>
              <w:ind w:left="227" w:hanging="227"/>
              <w:rPr>
                <w:rFonts w:cs="Arial"/>
                <w:sz w:val="20"/>
              </w:rPr>
            </w:pPr>
            <w:r>
              <w:rPr>
                <w:rFonts w:cs="Arial"/>
                <w:sz w:val="20"/>
              </w:rPr>
              <w:t>Number of resident meetings</w:t>
            </w:r>
          </w:p>
          <w:p w14:paraId="3BF8A337" w14:textId="77777777" w:rsidR="00D56E38" w:rsidRPr="00E75A74" w:rsidRDefault="00D56E38" w:rsidP="00D56E38">
            <w:pPr>
              <w:pStyle w:val="Tablebullet1"/>
              <w:numPr>
                <w:ilvl w:val="0"/>
                <w:numId w:val="48"/>
              </w:numPr>
              <w:spacing w:before="0" w:after="0"/>
              <w:ind w:left="227" w:hanging="227"/>
              <w:rPr>
                <w:rFonts w:cs="Arial"/>
                <w:sz w:val="20"/>
              </w:rPr>
            </w:pPr>
            <w:r>
              <w:rPr>
                <w:rFonts w:cs="Arial"/>
                <w:sz w:val="20"/>
              </w:rPr>
              <w:t>Proportion of clients who attend resident meetings</w:t>
            </w:r>
          </w:p>
          <w:p w14:paraId="4C9A3A83" w14:textId="77777777" w:rsidR="00D56E38" w:rsidRPr="0019565E" w:rsidRDefault="00D56E38" w:rsidP="00D56E38">
            <w:pPr>
              <w:pStyle w:val="Tablebullet1"/>
              <w:numPr>
                <w:ilvl w:val="0"/>
                <w:numId w:val="48"/>
              </w:numPr>
              <w:spacing w:before="0" w:after="0"/>
              <w:ind w:left="227" w:hanging="227"/>
              <w:rPr>
                <w:rFonts w:cs="Arial"/>
                <w:sz w:val="20"/>
              </w:rPr>
            </w:pPr>
            <w:r w:rsidRPr="00453675">
              <w:rPr>
                <w:rFonts w:cs="Arial"/>
                <w:sz w:val="20"/>
              </w:rPr>
              <w:t xml:space="preserve">Number of clients assisted to address and prevent </w:t>
            </w:r>
            <w:r w:rsidRPr="0019565E">
              <w:rPr>
                <w:rFonts w:cs="Arial"/>
                <w:sz w:val="20"/>
              </w:rPr>
              <w:t xml:space="preserve">homelessness  </w:t>
            </w:r>
          </w:p>
          <w:p w14:paraId="53C3A302" w14:textId="77777777" w:rsidR="00D56E38" w:rsidRPr="0019565E" w:rsidRDefault="00D56E38" w:rsidP="00D56E38">
            <w:pPr>
              <w:pStyle w:val="Tablebullet1"/>
              <w:numPr>
                <w:ilvl w:val="0"/>
                <w:numId w:val="8"/>
              </w:numPr>
              <w:spacing w:before="0" w:after="0"/>
              <w:rPr>
                <w:rFonts w:cs="Arial"/>
                <w:sz w:val="20"/>
              </w:rPr>
            </w:pPr>
            <w:r w:rsidRPr="1F2E852C">
              <w:rPr>
                <w:rFonts w:cs="Arial"/>
                <w:sz w:val="20"/>
              </w:rPr>
              <w:t>Number of clients assisted to address and prevent homelessness due to family violence. </w:t>
            </w:r>
          </w:p>
          <w:p w14:paraId="13516164" w14:textId="77777777" w:rsidR="00D56E38" w:rsidRPr="00E75A74" w:rsidRDefault="00D56E38" w:rsidP="00D56E38">
            <w:pPr>
              <w:pStyle w:val="Tablebullet1"/>
              <w:numPr>
                <w:ilvl w:val="0"/>
                <w:numId w:val="48"/>
              </w:numPr>
              <w:spacing w:before="0" w:after="0"/>
              <w:ind w:left="227" w:hanging="227"/>
              <w:rPr>
                <w:rFonts w:cs="Arial"/>
                <w:sz w:val="20"/>
              </w:rPr>
            </w:pPr>
            <w:r w:rsidRPr="0019565E">
              <w:rPr>
                <w:rFonts w:cs="Arial"/>
                <w:sz w:val="20"/>
              </w:rPr>
              <w:t>Proportion of clients that</w:t>
            </w:r>
            <w:r w:rsidRPr="00453675">
              <w:rPr>
                <w:rFonts w:cs="Arial"/>
                <w:sz w:val="20"/>
              </w:rPr>
              <w:t xml:space="preserve"> engage with support services and access or maintain housing</w:t>
            </w:r>
            <w:r>
              <w:rPr>
                <w:rFonts w:cs="Arial"/>
                <w:sz w:val="20"/>
              </w:rPr>
              <w:t>.</w:t>
            </w:r>
            <w:r w:rsidRPr="00453675">
              <w:rPr>
                <w:rFonts w:cs="Arial"/>
                <w:sz w:val="20"/>
              </w:rPr>
              <w:t xml:space="preserve"> </w:t>
            </w:r>
          </w:p>
        </w:tc>
        <w:tc>
          <w:tcPr>
            <w:tcW w:w="0" w:type="pct"/>
          </w:tcPr>
          <w:p w14:paraId="3411EEC1" w14:textId="77777777" w:rsidR="00D56E38" w:rsidRPr="00E75A74" w:rsidRDefault="00D56E38" w:rsidP="00D56E38">
            <w:pPr>
              <w:pStyle w:val="Tablebullet1"/>
              <w:numPr>
                <w:ilvl w:val="0"/>
                <w:numId w:val="8"/>
              </w:numPr>
              <w:spacing w:before="40" w:after="40"/>
              <w:rPr>
                <w:sz w:val="20"/>
              </w:rPr>
            </w:pPr>
            <w:r w:rsidRPr="4E5BE7FF">
              <w:rPr>
                <w:sz w:val="20"/>
              </w:rPr>
              <w:lastRenderedPageBreak/>
              <w:t>Clients experience an improvement in sense of safety.</w:t>
            </w:r>
          </w:p>
          <w:p w14:paraId="2F012926" w14:textId="77777777" w:rsidR="00D56E38" w:rsidRPr="00E75A74" w:rsidRDefault="00D56E38" w:rsidP="00D56E38">
            <w:pPr>
              <w:pStyle w:val="Tablebullet1"/>
              <w:numPr>
                <w:ilvl w:val="0"/>
                <w:numId w:val="8"/>
              </w:numPr>
              <w:spacing w:before="40" w:after="40"/>
              <w:rPr>
                <w:sz w:val="20"/>
              </w:rPr>
            </w:pPr>
            <w:r w:rsidRPr="4E5BE7FF">
              <w:rPr>
                <w:sz w:val="20"/>
              </w:rPr>
              <w:t>Clients experience an improvement in health and wellbeing.</w:t>
            </w:r>
          </w:p>
          <w:p w14:paraId="5A9451C6" w14:textId="77777777" w:rsidR="00D56E38" w:rsidRDefault="00D56E38" w:rsidP="00D56E38">
            <w:pPr>
              <w:pStyle w:val="Tablebullet1"/>
              <w:numPr>
                <w:ilvl w:val="0"/>
                <w:numId w:val="8"/>
              </w:numPr>
              <w:spacing w:before="40" w:after="40"/>
              <w:rPr>
                <w:sz w:val="20"/>
              </w:rPr>
            </w:pPr>
            <w:r w:rsidRPr="4E5BE7FF">
              <w:rPr>
                <w:sz w:val="20"/>
              </w:rPr>
              <w:t>Increased attendance at health and service appointments (both on-site and external services).</w:t>
            </w:r>
          </w:p>
          <w:p w14:paraId="0711F0E6" w14:textId="77777777" w:rsidR="00D56E38" w:rsidRDefault="00D56E38" w:rsidP="00D56E38">
            <w:pPr>
              <w:pStyle w:val="Tablebullet1"/>
              <w:numPr>
                <w:ilvl w:val="0"/>
                <w:numId w:val="8"/>
              </w:numPr>
              <w:rPr>
                <w:rStyle w:val="normaltextrun"/>
                <w:rFonts w:cs="Arial"/>
                <w:sz w:val="20"/>
              </w:rPr>
            </w:pPr>
            <w:r w:rsidRPr="4E5BE7FF">
              <w:rPr>
                <w:rStyle w:val="normaltextrun"/>
                <w:rFonts w:cs="Arial"/>
                <w:sz w:val="20"/>
              </w:rPr>
              <w:t xml:space="preserve">Clients achieve </w:t>
            </w:r>
            <w:r>
              <w:rPr>
                <w:rStyle w:val="normaltextrun"/>
                <w:rFonts w:cs="Arial"/>
                <w:sz w:val="20"/>
              </w:rPr>
              <w:t>t</w:t>
            </w:r>
            <w:r>
              <w:rPr>
                <w:rStyle w:val="normaltextrun"/>
                <w:rFonts w:cs="Arial"/>
              </w:rPr>
              <w:t>he</w:t>
            </w:r>
            <w:r w:rsidRPr="4E5BE7FF">
              <w:rPr>
                <w:rStyle w:val="normaltextrun"/>
                <w:rFonts w:cs="Arial"/>
                <w:sz w:val="20"/>
              </w:rPr>
              <w:t xml:space="preserve"> support goals</w:t>
            </w:r>
            <w:r>
              <w:rPr>
                <w:rStyle w:val="normaltextrun"/>
                <w:rFonts w:cs="Arial"/>
                <w:sz w:val="20"/>
              </w:rPr>
              <w:t xml:space="preserve"> </w:t>
            </w:r>
            <w:r>
              <w:rPr>
                <w:rStyle w:val="normaltextrun"/>
                <w:rFonts w:cs="Arial"/>
              </w:rPr>
              <w:t>identified in their case plans</w:t>
            </w:r>
            <w:r w:rsidRPr="4E5BE7FF">
              <w:rPr>
                <w:rStyle w:val="normaltextrun"/>
                <w:rFonts w:cs="Arial"/>
                <w:sz w:val="20"/>
              </w:rPr>
              <w:t>.</w:t>
            </w:r>
          </w:p>
          <w:p w14:paraId="56536478" w14:textId="77777777" w:rsidR="00D56E38" w:rsidRDefault="00D56E38" w:rsidP="00D56E38">
            <w:pPr>
              <w:pStyle w:val="Tablebullet1"/>
              <w:numPr>
                <w:ilvl w:val="0"/>
                <w:numId w:val="8"/>
              </w:numPr>
              <w:rPr>
                <w:rStyle w:val="normaltextrun"/>
                <w:rFonts w:cs="Arial"/>
                <w:sz w:val="20"/>
              </w:rPr>
            </w:pPr>
            <w:r w:rsidRPr="4E5BE7FF">
              <w:rPr>
                <w:rStyle w:val="normaltextrun"/>
                <w:rFonts w:cs="Arial"/>
                <w:sz w:val="20"/>
              </w:rPr>
              <w:t>Clients secure relevant community-based supports.</w:t>
            </w:r>
          </w:p>
          <w:p w14:paraId="58424348" w14:textId="77777777" w:rsidR="00D56E38" w:rsidRPr="00DE6C25" w:rsidRDefault="00D56E38" w:rsidP="00D56E38">
            <w:pPr>
              <w:pStyle w:val="Tablebullet1"/>
              <w:numPr>
                <w:ilvl w:val="0"/>
                <w:numId w:val="8"/>
              </w:numPr>
              <w:rPr>
                <w:rFonts w:cs="Arial"/>
                <w:sz w:val="20"/>
              </w:rPr>
            </w:pPr>
            <w:r>
              <w:rPr>
                <w:rFonts w:cs="Arial"/>
                <w:sz w:val="20"/>
              </w:rPr>
              <w:t>Clients move into housing.</w:t>
            </w:r>
          </w:p>
          <w:p w14:paraId="011C0C62" w14:textId="77777777" w:rsidR="00D56E38" w:rsidRDefault="00D56E38" w:rsidP="0084694D">
            <w:pPr>
              <w:pStyle w:val="Tablebullet1"/>
              <w:numPr>
                <w:ilvl w:val="0"/>
                <w:numId w:val="0"/>
              </w:numPr>
              <w:rPr>
                <w:rStyle w:val="normaltextrun"/>
                <w:rFonts w:cs="Arial"/>
                <w:sz w:val="20"/>
              </w:rPr>
            </w:pPr>
          </w:p>
          <w:p w14:paraId="2C13BC4E" w14:textId="77777777" w:rsidR="00D56E38" w:rsidRPr="00E75A74" w:rsidRDefault="00D56E38" w:rsidP="0084694D">
            <w:pPr>
              <w:pStyle w:val="Tablebullet1"/>
              <w:numPr>
                <w:ilvl w:val="0"/>
                <w:numId w:val="0"/>
              </w:numPr>
              <w:spacing w:before="40" w:after="40"/>
              <w:rPr>
                <w:sz w:val="20"/>
              </w:rPr>
            </w:pPr>
          </w:p>
        </w:tc>
        <w:tc>
          <w:tcPr>
            <w:tcW w:w="0" w:type="pct"/>
          </w:tcPr>
          <w:p w14:paraId="0C2BD8BA" w14:textId="77777777" w:rsidR="00D56E38" w:rsidRPr="003432FD" w:rsidRDefault="00D56E38" w:rsidP="00D56E38">
            <w:pPr>
              <w:pStyle w:val="Tablebullet1"/>
              <w:numPr>
                <w:ilvl w:val="0"/>
                <w:numId w:val="8"/>
              </w:numPr>
              <w:rPr>
                <w:rStyle w:val="normaltextrun"/>
                <w:rFonts w:cs="Arial"/>
                <w:sz w:val="20"/>
              </w:rPr>
            </w:pPr>
            <w:r w:rsidRPr="4E5BE7FF">
              <w:rPr>
                <w:rStyle w:val="normaltextrun"/>
                <w:rFonts w:cs="Arial"/>
                <w:sz w:val="20"/>
              </w:rPr>
              <w:lastRenderedPageBreak/>
              <w:t>Clients are stable in their new housing.</w:t>
            </w:r>
          </w:p>
          <w:p w14:paraId="09261521" w14:textId="77777777" w:rsidR="00D56E38" w:rsidRDefault="00D56E38" w:rsidP="00D56E38">
            <w:pPr>
              <w:pStyle w:val="Tablebullet1"/>
              <w:numPr>
                <w:ilvl w:val="0"/>
                <w:numId w:val="8"/>
              </w:numPr>
              <w:rPr>
                <w:rStyle w:val="normaltextrun"/>
                <w:rFonts w:cs="Arial"/>
                <w:sz w:val="20"/>
              </w:rPr>
            </w:pPr>
            <w:r w:rsidRPr="4E5BE7FF">
              <w:rPr>
                <w:rStyle w:val="normaltextrun"/>
                <w:rFonts w:cs="Arial"/>
                <w:sz w:val="20"/>
              </w:rPr>
              <w:t>Clients sustain relevant community-based supports.</w:t>
            </w:r>
          </w:p>
          <w:p w14:paraId="15053BA4" w14:textId="77777777" w:rsidR="00D56E38" w:rsidRPr="00DE6C25" w:rsidRDefault="00D56E38" w:rsidP="00D56E38">
            <w:pPr>
              <w:pStyle w:val="Tablebullet1"/>
              <w:numPr>
                <w:ilvl w:val="0"/>
                <w:numId w:val="8"/>
              </w:numPr>
              <w:rPr>
                <w:rFonts w:cs="Arial"/>
                <w:sz w:val="20"/>
              </w:rPr>
            </w:pPr>
            <w:r>
              <w:rPr>
                <w:rFonts w:cs="Arial"/>
                <w:sz w:val="20"/>
              </w:rPr>
              <w:t>C</w:t>
            </w:r>
            <w:r>
              <w:rPr>
                <w:rFonts w:cs="Arial"/>
              </w:rPr>
              <w:t>lients sustain improvements in health and wellbeing.</w:t>
            </w:r>
          </w:p>
          <w:p w14:paraId="04CDB798" w14:textId="77777777" w:rsidR="00D56E38" w:rsidRPr="00E75A74" w:rsidRDefault="00D56E38" w:rsidP="00D56E38">
            <w:pPr>
              <w:pStyle w:val="Tablebullet1"/>
              <w:numPr>
                <w:ilvl w:val="0"/>
                <w:numId w:val="8"/>
              </w:numPr>
              <w:spacing w:before="40" w:after="40"/>
              <w:rPr>
                <w:sz w:val="20"/>
              </w:rPr>
            </w:pPr>
            <w:r w:rsidRPr="4E5BE7FF">
              <w:rPr>
                <w:rStyle w:val="normaltextrun"/>
                <w:rFonts w:cs="Arial"/>
                <w:sz w:val="20"/>
              </w:rPr>
              <w:t>Reduction in CSA-TM clients re-entering CSA.</w:t>
            </w:r>
          </w:p>
        </w:tc>
      </w:tr>
    </w:tbl>
    <w:p w14:paraId="0E32F578" w14:textId="77777777" w:rsidR="00D56E38" w:rsidRPr="00D56E38" w:rsidRDefault="00D56E38" w:rsidP="00D56E38">
      <w:pPr>
        <w:pStyle w:val="Body"/>
      </w:pPr>
    </w:p>
    <w:p w14:paraId="7D4233A4" w14:textId="77777777" w:rsidR="00F91BC3" w:rsidRDefault="00F91BC3" w:rsidP="008D1B8E">
      <w:pPr>
        <w:pStyle w:val="Body"/>
        <w:rPr>
          <w:color w:val="0F8194" w:themeColor="accent1"/>
        </w:rPr>
      </w:pPr>
    </w:p>
    <w:p w14:paraId="4A3306C6" w14:textId="77777777" w:rsidR="00F91BC3" w:rsidRDefault="00F91BC3" w:rsidP="008D1B8E">
      <w:pPr>
        <w:pStyle w:val="Body"/>
        <w:rPr>
          <w:color w:val="0F8194" w:themeColor="accent1"/>
        </w:rPr>
      </w:pPr>
    </w:p>
    <w:p w14:paraId="218FE6D0" w14:textId="77777777" w:rsidR="00F91BC3" w:rsidRDefault="00F91BC3" w:rsidP="008D1B8E">
      <w:pPr>
        <w:pStyle w:val="Body"/>
        <w:rPr>
          <w:color w:val="0F8194" w:themeColor="accent1"/>
        </w:rPr>
      </w:pPr>
    </w:p>
    <w:sectPr w:rsidR="00F91BC3" w:rsidSect="0084694D">
      <w:pgSz w:w="16838" w:h="11906" w:orient="landscape" w:code="9"/>
      <w:pgMar w:top="1304" w:right="1418" w:bottom="1304"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C25DC" w14:textId="77777777" w:rsidR="00A26D58" w:rsidRDefault="00A26D58">
      <w:r>
        <w:separator/>
      </w:r>
    </w:p>
    <w:p w14:paraId="12A54802" w14:textId="77777777" w:rsidR="00A26D58" w:rsidRDefault="00A26D58"/>
  </w:endnote>
  <w:endnote w:type="continuationSeparator" w:id="0">
    <w:p w14:paraId="419DE353" w14:textId="77777777" w:rsidR="00A26D58" w:rsidRDefault="00A26D58">
      <w:r>
        <w:continuationSeparator/>
      </w:r>
    </w:p>
    <w:p w14:paraId="6126CF9A" w14:textId="77777777" w:rsidR="00A26D58" w:rsidRDefault="00A26D58"/>
  </w:endnote>
  <w:endnote w:type="continuationNotice" w:id="1">
    <w:p w14:paraId="2CE242FC" w14:textId="77777777" w:rsidR="00A26D58" w:rsidRDefault="00A26D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Medium">
    <w:altName w:val="Calibri"/>
    <w:charset w:val="00"/>
    <w:family w:val="auto"/>
    <w:pitch w:val="variable"/>
    <w:sig w:usb0="800000AF" w:usb1="5000204A" w:usb2="00000000" w:usb3="00000000" w:csb0="0000009B" w:csb1="00000000"/>
  </w:font>
  <w:font w:name="Avenir Heavy">
    <w:altName w:val="Calibri"/>
    <w:charset w:val="4D"/>
    <w:family w:val="swiss"/>
    <w:pitch w:val="variable"/>
    <w:sig w:usb0="800000AF" w:usb1="5000204A" w:usb2="00000000" w:usb3="00000000" w:csb0="0000009B" w:csb1="00000000"/>
  </w:font>
  <w:font w:name="Avenir Book">
    <w:altName w:val="Calibri"/>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Avenir Black">
    <w:altName w:val="Calibri"/>
    <w:charset w:val="4D"/>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AVENIR LIGHT OBLIQUE">
    <w:altName w:val="Calibri"/>
    <w:charset w:val="4D"/>
    <w:family w:val="swiss"/>
    <w:pitch w:val="variable"/>
    <w:sig w:usb0="800000AF" w:usb1="5000204A" w:usb2="00000000" w:usb3="00000000" w:csb0="0000009B"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B0315" w14:textId="77777777" w:rsidR="00EB4BC7" w:rsidRDefault="00EB4BC7">
    <w:pPr>
      <w:pStyle w:val="Footer"/>
    </w:pPr>
    <w:r>
      <w:rPr>
        <w:noProof/>
      </w:rPr>
      <mc:AlternateContent>
        <mc:Choice Requires="wps">
          <w:drawing>
            <wp:anchor distT="0" distB="0" distL="114300" distR="114300" simplePos="0" relativeHeight="251658242" behindDoc="0" locked="0" layoutInCell="0" allowOverlap="1" wp14:anchorId="0D33A0F6" wp14:editId="10B2C0A8">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8A2E2"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33A0F6" id="_x0000_t202" coordsize="21600,21600" o:spt="202" path="m,l,21600r21600,l21600,xe">
              <v:stroke joinstyle="miter"/>
              <v:path gradientshapeok="t" o:connecttype="rect"/>
            </v:shapetype>
            <v:shape id="MSIPCM9dd54572b391b968e538fedc" o:spid="_x0000_s1031"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40F8A2E2"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A5519" w14:textId="77777777"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3495A4DB" wp14:editId="6BE22565">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7B2F5D"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95A4DB" id="_x0000_t202" coordsize="21600,21600" o:spt="202" path="m,l,21600r21600,l21600,xe">
              <v:stroke joinstyle="miter"/>
              <v:path gradientshapeok="t" o:connecttype="rect"/>
            </v:shapetype>
            <v:shape id="MSIPCM36724fdbb2a52fcfc05f86a5" o:spid="_x0000_s1032"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597B2F5D"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9C88" w14:textId="77777777" w:rsidR="00EB4BC7" w:rsidRDefault="00EB4BC7">
    <w:pPr>
      <w:pStyle w:val="Footer"/>
    </w:pPr>
    <w:r>
      <w:rPr>
        <w:noProof/>
      </w:rPr>
      <mc:AlternateContent>
        <mc:Choice Requires="wps">
          <w:drawing>
            <wp:anchor distT="0" distB="0" distL="114300" distR="114300" simplePos="0" relativeHeight="251658241" behindDoc="0" locked="0" layoutInCell="0" allowOverlap="1" wp14:anchorId="5DC18A9A" wp14:editId="64EF19F9">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79FF4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C18A9A" id="_x0000_t202" coordsize="21600,21600" o:spt="202" path="m,l,21600r21600,l21600,xe">
              <v:stroke joinstyle="miter"/>
              <v:path gradientshapeok="t" o:connecttype="rect"/>
            </v:shapetype>
            <v:shape id="MSIPCMf6504bf684e4519137a7274a" o:spid="_x0000_s1033"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3179FF4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B083" w14:textId="77777777"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43C4521A" wp14:editId="5D8E97D2">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485EF7"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C4521A" id="_x0000_t202" coordsize="21600,21600" o:spt="202" path="m,l,21600r21600,l21600,xe">
              <v:stroke joinstyle="miter"/>
              <v:path gradientshapeok="t" o:connecttype="rect"/>
            </v:shapetype>
            <v:shape id="MSIPCMd3f54469bd0204c6fb2f3fa8" o:spid="_x0000_s1034"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38485EF7"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916BD" w14:textId="77777777"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58245" behindDoc="0" locked="0" layoutInCell="0" allowOverlap="1" wp14:anchorId="42632E1A" wp14:editId="71EC7AFA">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068C8F" w14:textId="77777777"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632E1A" id="_x0000_t202" coordsize="21600,21600" o:spt="202" path="m,l,21600r21600,l21600,xe">
              <v:stroke joinstyle="miter"/>
              <v:path gradientshapeok="t" o:connecttype="rect"/>
            </v:shapetype>
            <v:shape id="MSIPCMcda5461fada7660fda7e169a" o:spid="_x0000_s1035" type="#_x0000_t202" alt="{&quot;HashCode&quot;:904758361,&quot;Height&quot;:841.0,&quot;Width&quot;:595.0,&quot;Placement&quot;:&quot;Footer&quot;,&quot;Index&quot;:&quot;Primary&quot;,&quot;Section&quot;:2,&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23068C8F" w14:textId="77777777"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836B95E" wp14:editId="0671F809">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EE78F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836B95E" id="MSIPCM82764d688816a9dc96a1b608" o:spid="_x0000_s1036" type="#_x0000_t202" alt="{&quot;HashCode&quot;:904758361,&quot;Height&quot;:841.0,&quot;Width&quot;:595.0,&quot;Placement&quot;:&quot;Footer&quot;,&quot;Index&quot;:&quot;Primary&quot;,&quot;Section&quot;:3,&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2EE78F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3423B" w14:textId="77777777" w:rsidR="00A26D58" w:rsidRDefault="00A26D58" w:rsidP="00207717">
      <w:pPr>
        <w:spacing w:before="120"/>
      </w:pPr>
      <w:r>
        <w:separator/>
      </w:r>
    </w:p>
  </w:footnote>
  <w:footnote w:type="continuationSeparator" w:id="0">
    <w:p w14:paraId="536EB7DC" w14:textId="77777777" w:rsidR="00A26D58" w:rsidRDefault="00A26D58">
      <w:r>
        <w:continuationSeparator/>
      </w:r>
    </w:p>
    <w:p w14:paraId="59904EC8" w14:textId="77777777" w:rsidR="00A26D58" w:rsidRDefault="00A26D58"/>
  </w:footnote>
  <w:footnote w:type="continuationNotice" w:id="1">
    <w:p w14:paraId="66B6F406" w14:textId="77777777" w:rsidR="00A26D58" w:rsidRDefault="00A26D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19FB08E" w14:paraId="3CC6E31F" w14:textId="77777777" w:rsidTr="119FB08E">
      <w:trPr>
        <w:trHeight w:val="300"/>
      </w:trPr>
      <w:tc>
        <w:tcPr>
          <w:tcW w:w="3095" w:type="dxa"/>
        </w:tcPr>
        <w:p w14:paraId="5D9DACFF" w14:textId="329AE6A8" w:rsidR="119FB08E" w:rsidRDefault="119FB08E" w:rsidP="119FB08E">
          <w:pPr>
            <w:pStyle w:val="Header"/>
            <w:ind w:left="-115"/>
          </w:pPr>
        </w:p>
      </w:tc>
      <w:tc>
        <w:tcPr>
          <w:tcW w:w="3095" w:type="dxa"/>
        </w:tcPr>
        <w:p w14:paraId="63571932" w14:textId="45495FDD" w:rsidR="119FB08E" w:rsidRDefault="119FB08E" w:rsidP="119FB08E">
          <w:pPr>
            <w:pStyle w:val="Header"/>
            <w:jc w:val="center"/>
          </w:pPr>
        </w:p>
      </w:tc>
      <w:tc>
        <w:tcPr>
          <w:tcW w:w="3095" w:type="dxa"/>
        </w:tcPr>
        <w:p w14:paraId="190E1120" w14:textId="48D555C4" w:rsidR="119FB08E" w:rsidRDefault="119FB08E" w:rsidP="119FB08E">
          <w:pPr>
            <w:pStyle w:val="Header"/>
            <w:ind w:right="-115"/>
            <w:jc w:val="right"/>
          </w:pPr>
          <w:r>
            <w:fldChar w:fldCharType="begin"/>
          </w:r>
          <w:r>
            <w:instrText>PAGE</w:instrText>
          </w:r>
          <w:r>
            <w:fldChar w:fldCharType="separate"/>
          </w:r>
          <w:r>
            <w:fldChar w:fldCharType="end"/>
          </w:r>
        </w:p>
      </w:tc>
    </w:tr>
  </w:tbl>
  <w:p w14:paraId="66E436F7" w14:textId="5C43028B" w:rsidR="119FB08E" w:rsidRDefault="119FB08E" w:rsidP="119FB0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2E68B7B9" w14:paraId="19314448" w14:textId="77777777" w:rsidTr="2E68B7B9">
      <w:trPr>
        <w:trHeight w:val="300"/>
      </w:trPr>
      <w:tc>
        <w:tcPr>
          <w:tcW w:w="3095" w:type="dxa"/>
        </w:tcPr>
        <w:p w14:paraId="1A48050B" w14:textId="6A84D1D4" w:rsidR="2E68B7B9" w:rsidRDefault="2E68B7B9" w:rsidP="2E68B7B9">
          <w:pPr>
            <w:pStyle w:val="Header"/>
            <w:ind w:left="-115"/>
          </w:pPr>
        </w:p>
      </w:tc>
      <w:tc>
        <w:tcPr>
          <w:tcW w:w="3095" w:type="dxa"/>
        </w:tcPr>
        <w:p w14:paraId="3C29D292" w14:textId="04210D50" w:rsidR="2E68B7B9" w:rsidRDefault="2E68B7B9" w:rsidP="2E68B7B9">
          <w:pPr>
            <w:pStyle w:val="Header"/>
            <w:jc w:val="center"/>
          </w:pPr>
        </w:p>
      </w:tc>
      <w:tc>
        <w:tcPr>
          <w:tcW w:w="3095" w:type="dxa"/>
        </w:tcPr>
        <w:p w14:paraId="1C0FA6FC" w14:textId="171C6F82" w:rsidR="2E68B7B9" w:rsidRDefault="2E68B7B9" w:rsidP="2E68B7B9">
          <w:pPr>
            <w:pStyle w:val="Header"/>
            <w:ind w:right="-115"/>
            <w:jc w:val="right"/>
          </w:pPr>
        </w:p>
      </w:tc>
    </w:tr>
  </w:tbl>
  <w:p w14:paraId="3739DE6C" w14:textId="6AF0C590" w:rsidR="00CF6493" w:rsidRDefault="00CF64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F0549" w14:textId="77777777" w:rsidR="00431A70" w:rsidRDefault="00C60411">
    <w:r w:rsidRPr="00DE6C85">
      <w:rPr>
        <w:b/>
        <w:bCs/>
      </w:rPr>
      <w:fldChar w:fldCharType="begin"/>
    </w:r>
    <w:r w:rsidRPr="00DE6C85">
      <w:rPr>
        <w:bCs/>
      </w:rPr>
      <w:instrText xml:space="preserve"> PAGE </w:instrText>
    </w:r>
    <w:r w:rsidRPr="00DE6C85">
      <w:rPr>
        <w:b/>
        <w:bCs/>
      </w:rPr>
      <w:fldChar w:fldCharType="separate"/>
    </w:r>
    <w:r>
      <w:rPr>
        <w:bCs/>
      </w:rPr>
      <w:t>11</w:t>
    </w:r>
    <w:r w:rsidRPr="00DE6C85">
      <w:rPr>
        <w:b/>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0131" w14:textId="7271C977" w:rsidR="00562811" w:rsidRPr="001C7128" w:rsidRDefault="2E68B7B9" w:rsidP="001C7128">
    <w:r>
      <w:t>Crisis Supported Accommodation – Therapeutic Model</w:t>
    </w:r>
    <w:r w:rsidR="001567AB">
      <w:t xml:space="preserve"> </w:t>
    </w:r>
    <w:r w:rsidR="00645991">
      <w:t xml:space="preserve">(CSA-TM) </w:t>
    </w:r>
    <w:r w:rsidR="001567AB">
      <w:t>Guidelines 2025</w:t>
    </w:r>
    <w:r>
      <w:tab/>
    </w:r>
    <w:r>
      <w:tab/>
    </w:r>
    <w:r>
      <w:tab/>
    </w:r>
    <w:r>
      <w:tab/>
    </w:r>
    <w:r>
      <w:tab/>
    </w:r>
    <w:r w:rsidR="00040A23">
      <w:tab/>
    </w:r>
    <w:r w:rsidR="00040A23">
      <w:ptab w:relativeTo="margin" w:alignment="right" w:leader="none"/>
    </w:r>
    <w:r>
      <w:fldChar w:fldCharType="begin"/>
    </w:r>
    <w:r>
      <w:instrText>PAGE</w:instrText>
    </w:r>
    <w:r>
      <w:fldChar w:fldCharType="separate"/>
    </w:r>
    <w:r w:rsidR="00040A23">
      <w:rPr>
        <w:noProof/>
      </w:rPr>
      <w:t>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2E68B7B9" w14:paraId="5391560B" w14:textId="77777777" w:rsidTr="2E68B7B9">
      <w:trPr>
        <w:trHeight w:val="300"/>
      </w:trPr>
      <w:tc>
        <w:tcPr>
          <w:tcW w:w="3095" w:type="dxa"/>
        </w:tcPr>
        <w:p w14:paraId="50481580" w14:textId="08DA0F16" w:rsidR="2E68B7B9" w:rsidRDefault="2E68B7B9" w:rsidP="2E68B7B9">
          <w:pPr>
            <w:pStyle w:val="Header"/>
            <w:ind w:left="-115"/>
          </w:pPr>
        </w:p>
      </w:tc>
      <w:tc>
        <w:tcPr>
          <w:tcW w:w="3095" w:type="dxa"/>
        </w:tcPr>
        <w:p w14:paraId="1F7E6209" w14:textId="768C00F5" w:rsidR="2E68B7B9" w:rsidRDefault="2E68B7B9" w:rsidP="2E68B7B9">
          <w:pPr>
            <w:pStyle w:val="Header"/>
            <w:jc w:val="center"/>
          </w:pPr>
        </w:p>
      </w:tc>
      <w:tc>
        <w:tcPr>
          <w:tcW w:w="3095" w:type="dxa"/>
        </w:tcPr>
        <w:p w14:paraId="24DB144B" w14:textId="33FEC1C1" w:rsidR="2E68B7B9" w:rsidRDefault="2E68B7B9" w:rsidP="2E68B7B9">
          <w:pPr>
            <w:pStyle w:val="Header"/>
            <w:ind w:right="-115"/>
            <w:jc w:val="right"/>
          </w:pPr>
        </w:p>
      </w:tc>
    </w:tr>
  </w:tbl>
  <w:p w14:paraId="10628B73" w14:textId="75341AFF" w:rsidR="00CF6493" w:rsidRDefault="00CF6493">
    <w:pPr>
      <w:pStyle w:val="Header"/>
    </w:pPr>
  </w:p>
</w:hdr>
</file>

<file path=word/intelligence2.xml><?xml version="1.0" encoding="utf-8"?>
<int2:intelligence xmlns:int2="http://schemas.microsoft.com/office/intelligence/2020/intelligence" xmlns:oel="http://schemas.microsoft.com/office/2019/extlst">
  <int2:observations>
    <int2:textHash int2:hashCode="f8orXooYxpbCDl" int2:id="sCk1DCb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4D10C7E2"/>
    <w:numStyleLink w:val="ZZNumbersloweralpha"/>
  </w:abstractNum>
  <w:abstractNum w:abstractNumId="1" w15:restartNumberingAfterBreak="0">
    <w:nsid w:val="06D3C6CB"/>
    <w:multiLevelType w:val="hybridMultilevel"/>
    <w:tmpl w:val="FFFFFFFF"/>
    <w:lvl w:ilvl="0" w:tplc="6B18D77A">
      <w:start w:val="1"/>
      <w:numFmt w:val="bullet"/>
      <w:lvlText w:val=""/>
      <w:lvlJc w:val="left"/>
      <w:pPr>
        <w:ind w:left="720" w:hanging="360"/>
      </w:pPr>
      <w:rPr>
        <w:rFonts w:ascii="Symbol" w:hAnsi="Symbol" w:hint="default"/>
      </w:rPr>
    </w:lvl>
    <w:lvl w:ilvl="1" w:tplc="24148B78">
      <w:start w:val="1"/>
      <w:numFmt w:val="bullet"/>
      <w:lvlText w:val="o"/>
      <w:lvlJc w:val="left"/>
      <w:pPr>
        <w:ind w:left="1440" w:hanging="360"/>
      </w:pPr>
      <w:rPr>
        <w:rFonts w:ascii="Courier New" w:hAnsi="Courier New" w:hint="default"/>
      </w:rPr>
    </w:lvl>
    <w:lvl w:ilvl="2" w:tplc="E36A1BA6">
      <w:start w:val="1"/>
      <w:numFmt w:val="bullet"/>
      <w:lvlText w:val=""/>
      <w:lvlJc w:val="left"/>
      <w:pPr>
        <w:ind w:left="2160" w:hanging="360"/>
      </w:pPr>
      <w:rPr>
        <w:rFonts w:ascii="Wingdings" w:hAnsi="Wingdings" w:hint="default"/>
      </w:rPr>
    </w:lvl>
    <w:lvl w:ilvl="3" w:tplc="2C725E74">
      <w:start w:val="1"/>
      <w:numFmt w:val="bullet"/>
      <w:lvlText w:val=""/>
      <w:lvlJc w:val="left"/>
      <w:pPr>
        <w:ind w:left="2880" w:hanging="360"/>
      </w:pPr>
      <w:rPr>
        <w:rFonts w:ascii="Symbol" w:hAnsi="Symbol" w:hint="default"/>
      </w:rPr>
    </w:lvl>
    <w:lvl w:ilvl="4" w:tplc="01184F3E">
      <w:start w:val="1"/>
      <w:numFmt w:val="bullet"/>
      <w:lvlText w:val="o"/>
      <w:lvlJc w:val="left"/>
      <w:pPr>
        <w:ind w:left="3600" w:hanging="360"/>
      </w:pPr>
      <w:rPr>
        <w:rFonts w:ascii="Courier New" w:hAnsi="Courier New" w:hint="default"/>
      </w:rPr>
    </w:lvl>
    <w:lvl w:ilvl="5" w:tplc="57FE1B72">
      <w:start w:val="1"/>
      <w:numFmt w:val="bullet"/>
      <w:lvlText w:val=""/>
      <w:lvlJc w:val="left"/>
      <w:pPr>
        <w:ind w:left="4320" w:hanging="360"/>
      </w:pPr>
      <w:rPr>
        <w:rFonts w:ascii="Wingdings" w:hAnsi="Wingdings" w:hint="default"/>
      </w:rPr>
    </w:lvl>
    <w:lvl w:ilvl="6" w:tplc="48068D6C">
      <w:start w:val="1"/>
      <w:numFmt w:val="bullet"/>
      <w:lvlText w:val=""/>
      <w:lvlJc w:val="left"/>
      <w:pPr>
        <w:ind w:left="5040" w:hanging="360"/>
      </w:pPr>
      <w:rPr>
        <w:rFonts w:ascii="Symbol" w:hAnsi="Symbol" w:hint="default"/>
      </w:rPr>
    </w:lvl>
    <w:lvl w:ilvl="7" w:tplc="CCEAE828">
      <w:start w:val="1"/>
      <w:numFmt w:val="bullet"/>
      <w:lvlText w:val="o"/>
      <w:lvlJc w:val="left"/>
      <w:pPr>
        <w:ind w:left="5760" w:hanging="360"/>
      </w:pPr>
      <w:rPr>
        <w:rFonts w:ascii="Courier New" w:hAnsi="Courier New" w:hint="default"/>
      </w:rPr>
    </w:lvl>
    <w:lvl w:ilvl="8" w:tplc="CD0E4CC8">
      <w:start w:val="1"/>
      <w:numFmt w:val="bullet"/>
      <w:lvlText w:val=""/>
      <w:lvlJc w:val="left"/>
      <w:pPr>
        <w:ind w:left="6480" w:hanging="360"/>
      </w:pPr>
      <w:rPr>
        <w:rFonts w:ascii="Wingdings" w:hAnsi="Wingdings" w:hint="default"/>
      </w:rPr>
    </w:lvl>
  </w:abstractNum>
  <w:abstractNum w:abstractNumId="2" w15:restartNumberingAfterBreak="0">
    <w:nsid w:val="0BAD2E30"/>
    <w:multiLevelType w:val="multilevel"/>
    <w:tmpl w:val="4D10C7E2"/>
    <w:styleLink w:val="ZZNumbersloweralpha"/>
    <w:lvl w:ilvl="0">
      <w:start w:val="1"/>
      <w:numFmt w:val="lowerLetter"/>
      <w:pStyle w:val="Numberloweralpha"/>
      <w:lvlText w:val="(%1)"/>
      <w:lvlJc w:val="left"/>
      <w:pPr>
        <w:tabs>
          <w:tab w:val="num" w:pos="454"/>
        </w:tabs>
        <w:ind w:left="454" w:hanging="454"/>
      </w:pPr>
      <w:rPr>
        <w:rFonts w:hint="default"/>
      </w:rPr>
    </w:lvl>
    <w:lvl w:ilvl="1">
      <w:start w:val="1"/>
      <w:numFmt w:val="lowerLetter"/>
      <w:pStyle w:val="Numberloweralphaindent"/>
      <w:lvlText w:val="(%2)"/>
      <w:lvlJc w:val="left"/>
      <w:pPr>
        <w:tabs>
          <w:tab w:val="num" w:pos="907"/>
        </w:tabs>
        <w:ind w:left="907" w:hanging="453"/>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F8D4B67"/>
    <w:multiLevelType w:val="hybridMultilevel"/>
    <w:tmpl w:val="EAD6B2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1D24DD3"/>
    <w:multiLevelType w:val="hybridMultilevel"/>
    <w:tmpl w:val="B47A2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487099"/>
    <w:multiLevelType w:val="multilevel"/>
    <w:tmpl w:val="693A564C"/>
    <w:lvl w:ilvl="0">
      <w:start w:val="1"/>
      <w:numFmt w:val="bullet"/>
      <w:lvlText w:val=""/>
      <w:lvlJc w:val="left"/>
      <w:pPr>
        <w:tabs>
          <w:tab w:val="num" w:pos="397"/>
        </w:tabs>
        <w:ind w:left="397" w:hanging="397"/>
      </w:pPr>
      <w:rPr>
        <w:rFonts w:ascii="Symbol" w:hAnsi="Symbol"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172110DD"/>
    <w:multiLevelType w:val="multilevel"/>
    <w:tmpl w:val="D460E74A"/>
    <w:lvl w:ilvl="0">
      <w:start w:val="3"/>
      <w:numFmt w:val="none"/>
      <w:lvlText w:val="1"/>
      <w:lvlJc w:val="left"/>
      <w:pPr>
        <w:ind w:left="432" w:hanging="432"/>
      </w:pPr>
      <w:rPr>
        <w:rFonts w:hint="default"/>
      </w:rPr>
    </w:lvl>
    <w:lvl w:ilvl="1">
      <w:start w:val="1"/>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18743CAF"/>
    <w:multiLevelType w:val="hybridMultilevel"/>
    <w:tmpl w:val="A8C632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B9973D4"/>
    <w:multiLevelType w:val="multilevel"/>
    <w:tmpl w:val="C9D237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D8C10F7"/>
    <w:multiLevelType w:val="hybridMultilevel"/>
    <w:tmpl w:val="FE442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E261D7"/>
    <w:multiLevelType w:val="hybridMultilevel"/>
    <w:tmpl w:val="89760B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7737A1B"/>
    <w:multiLevelType w:val="hybridMultilevel"/>
    <w:tmpl w:val="6F1AA2AE"/>
    <w:lvl w:ilvl="0" w:tplc="0C090001">
      <w:start w:val="1"/>
      <w:numFmt w:val="bullet"/>
      <w:lvlText w:val=""/>
      <w:lvlJc w:val="left"/>
      <w:pPr>
        <w:ind w:left="1298" w:hanging="360"/>
      </w:pPr>
      <w:rPr>
        <w:rFonts w:ascii="Symbol" w:hAnsi="Symbol" w:hint="default"/>
      </w:rPr>
    </w:lvl>
    <w:lvl w:ilvl="1" w:tplc="0C090003" w:tentative="1">
      <w:start w:val="1"/>
      <w:numFmt w:val="bullet"/>
      <w:lvlText w:val="o"/>
      <w:lvlJc w:val="left"/>
      <w:pPr>
        <w:ind w:left="2018" w:hanging="360"/>
      </w:pPr>
      <w:rPr>
        <w:rFonts w:ascii="Courier New" w:hAnsi="Courier New" w:cs="Courier New" w:hint="default"/>
      </w:rPr>
    </w:lvl>
    <w:lvl w:ilvl="2" w:tplc="0C090005" w:tentative="1">
      <w:start w:val="1"/>
      <w:numFmt w:val="bullet"/>
      <w:lvlText w:val=""/>
      <w:lvlJc w:val="left"/>
      <w:pPr>
        <w:ind w:left="2738" w:hanging="360"/>
      </w:pPr>
      <w:rPr>
        <w:rFonts w:ascii="Wingdings" w:hAnsi="Wingdings" w:hint="default"/>
      </w:rPr>
    </w:lvl>
    <w:lvl w:ilvl="3" w:tplc="0C090001" w:tentative="1">
      <w:start w:val="1"/>
      <w:numFmt w:val="bullet"/>
      <w:lvlText w:val=""/>
      <w:lvlJc w:val="left"/>
      <w:pPr>
        <w:ind w:left="3458" w:hanging="360"/>
      </w:pPr>
      <w:rPr>
        <w:rFonts w:ascii="Symbol" w:hAnsi="Symbol" w:hint="default"/>
      </w:rPr>
    </w:lvl>
    <w:lvl w:ilvl="4" w:tplc="0C090003" w:tentative="1">
      <w:start w:val="1"/>
      <w:numFmt w:val="bullet"/>
      <w:lvlText w:val="o"/>
      <w:lvlJc w:val="left"/>
      <w:pPr>
        <w:ind w:left="4178" w:hanging="360"/>
      </w:pPr>
      <w:rPr>
        <w:rFonts w:ascii="Courier New" w:hAnsi="Courier New" w:cs="Courier New" w:hint="default"/>
      </w:rPr>
    </w:lvl>
    <w:lvl w:ilvl="5" w:tplc="0C090005" w:tentative="1">
      <w:start w:val="1"/>
      <w:numFmt w:val="bullet"/>
      <w:lvlText w:val=""/>
      <w:lvlJc w:val="left"/>
      <w:pPr>
        <w:ind w:left="4898" w:hanging="360"/>
      </w:pPr>
      <w:rPr>
        <w:rFonts w:ascii="Wingdings" w:hAnsi="Wingdings" w:hint="default"/>
      </w:rPr>
    </w:lvl>
    <w:lvl w:ilvl="6" w:tplc="0C090001" w:tentative="1">
      <w:start w:val="1"/>
      <w:numFmt w:val="bullet"/>
      <w:lvlText w:val=""/>
      <w:lvlJc w:val="left"/>
      <w:pPr>
        <w:ind w:left="5618" w:hanging="360"/>
      </w:pPr>
      <w:rPr>
        <w:rFonts w:ascii="Symbol" w:hAnsi="Symbol" w:hint="default"/>
      </w:rPr>
    </w:lvl>
    <w:lvl w:ilvl="7" w:tplc="0C090003" w:tentative="1">
      <w:start w:val="1"/>
      <w:numFmt w:val="bullet"/>
      <w:lvlText w:val="o"/>
      <w:lvlJc w:val="left"/>
      <w:pPr>
        <w:ind w:left="6338" w:hanging="360"/>
      </w:pPr>
      <w:rPr>
        <w:rFonts w:ascii="Courier New" w:hAnsi="Courier New" w:cs="Courier New" w:hint="default"/>
      </w:rPr>
    </w:lvl>
    <w:lvl w:ilvl="8" w:tplc="0C090005" w:tentative="1">
      <w:start w:val="1"/>
      <w:numFmt w:val="bullet"/>
      <w:lvlText w:val=""/>
      <w:lvlJc w:val="left"/>
      <w:pPr>
        <w:ind w:left="7058" w:hanging="360"/>
      </w:pPr>
      <w:rPr>
        <w:rFonts w:ascii="Wingdings" w:hAnsi="Wingdings" w:hint="default"/>
      </w:rPr>
    </w:lvl>
  </w:abstractNum>
  <w:abstractNum w:abstractNumId="12" w15:restartNumberingAfterBreak="0">
    <w:nsid w:val="3E6C68D4"/>
    <w:multiLevelType w:val="multilevel"/>
    <w:tmpl w:val="9C40C040"/>
    <w:styleLink w:val="ZZNumbersdigit"/>
    <w:lvl w:ilvl="0">
      <w:start w:val="1"/>
      <w:numFmt w:val="decimal"/>
      <w:pStyle w:val="Numberdigit"/>
      <w:lvlText w:val="%1."/>
      <w:lvlJc w:val="left"/>
      <w:pPr>
        <w:tabs>
          <w:tab w:val="num" w:pos="454"/>
        </w:tabs>
        <w:ind w:left="454" w:hanging="454"/>
      </w:pPr>
      <w:rPr>
        <w:rFonts w:hint="default"/>
      </w:rPr>
    </w:lvl>
    <w:lvl w:ilvl="1">
      <w:start w:val="1"/>
      <w:numFmt w:val="decimal"/>
      <w:pStyle w:val="Numberdigitindent"/>
      <w:lvlText w:val="%2."/>
      <w:lvlJc w:val="left"/>
      <w:pPr>
        <w:tabs>
          <w:tab w:val="num" w:pos="907"/>
        </w:tabs>
        <w:ind w:left="907" w:hanging="453"/>
      </w:pPr>
      <w:rPr>
        <w:rFonts w:hint="default"/>
      </w:rPr>
    </w:lvl>
    <w:lvl w:ilvl="2">
      <w:start w:val="1"/>
      <w:numFmt w:val="bullet"/>
      <w:lvlRestart w:val="0"/>
      <w:pStyle w:val="Bulletafternumbers1"/>
      <w:lvlText w:val="•"/>
      <w:lvlJc w:val="left"/>
      <w:pPr>
        <w:ind w:left="907" w:hanging="453"/>
      </w:pPr>
      <w:rPr>
        <w:rFonts w:ascii="Calibri" w:hAnsi="Calibri" w:hint="default"/>
        <w:color w:val="auto"/>
      </w:rPr>
    </w:lvl>
    <w:lvl w:ilvl="3">
      <w:start w:val="1"/>
      <w:numFmt w:val="bullet"/>
      <w:lvlRestart w:val="0"/>
      <w:pStyle w:val="Bulletafternumbers2"/>
      <w:lvlText w:val="–"/>
      <w:lvlJc w:val="left"/>
      <w:pPr>
        <w:ind w:left="1361" w:hanging="45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EC54A41"/>
    <w:multiLevelType w:val="multilevel"/>
    <w:tmpl w:val="580635D0"/>
    <w:styleLink w:val="ZZNumberslowerroman"/>
    <w:lvl w:ilvl="0">
      <w:start w:val="1"/>
      <w:numFmt w:val="lowerRoman"/>
      <w:pStyle w:val="Numberlowerroman"/>
      <w:lvlText w:val="(%1)"/>
      <w:lvlJc w:val="left"/>
      <w:pPr>
        <w:tabs>
          <w:tab w:val="num" w:pos="454"/>
        </w:tabs>
        <w:ind w:left="454" w:hanging="454"/>
      </w:pPr>
      <w:rPr>
        <w:rFonts w:hint="default"/>
      </w:rPr>
    </w:lvl>
    <w:lvl w:ilvl="1">
      <w:start w:val="1"/>
      <w:numFmt w:val="lowerRoman"/>
      <w:pStyle w:val="Numberlowerromanindent"/>
      <w:lvlText w:val="(%2)"/>
      <w:lvlJc w:val="left"/>
      <w:pPr>
        <w:tabs>
          <w:tab w:val="num" w:pos="907"/>
        </w:tabs>
        <w:ind w:left="907" w:hanging="453"/>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3F4032F5"/>
    <w:multiLevelType w:val="hybridMultilevel"/>
    <w:tmpl w:val="952424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4BA1E5A"/>
    <w:multiLevelType w:val="hybridMultilevel"/>
    <w:tmpl w:val="F05C78C0"/>
    <w:styleLink w:val="ZZBullets"/>
    <w:lvl w:ilvl="0" w:tplc="FFFFFFFF">
      <w:start w:val="1"/>
      <w:numFmt w:val="bullet"/>
      <w:pStyle w:val="Bullet1"/>
      <w:lvlText w:val=""/>
      <w:lvlJc w:val="left"/>
      <w:pPr>
        <w:ind w:left="862" w:hanging="284"/>
      </w:pPr>
      <w:rPr>
        <w:rFonts w:ascii="Symbol" w:hAnsi="Symbol" w:hint="default"/>
      </w:rPr>
    </w:lvl>
    <w:lvl w:ilvl="1" w:tplc="7D20BE90">
      <w:start w:val="1"/>
      <w:numFmt w:val="bullet"/>
      <w:lvlRestart w:val="0"/>
      <w:pStyle w:val="Bullet2"/>
      <w:lvlText w:val="–"/>
      <w:lvlJc w:val="left"/>
      <w:pPr>
        <w:ind w:left="567" w:hanging="283"/>
      </w:pPr>
      <w:rPr>
        <w:rFonts w:ascii="Calibri" w:hAnsi="Calibri" w:hint="default"/>
      </w:rPr>
    </w:lvl>
    <w:lvl w:ilvl="2" w:tplc="222EC0F6">
      <w:start w:val="1"/>
      <w:numFmt w:val="decimal"/>
      <w:lvlRestart w:val="0"/>
      <w:lvlText w:val=""/>
      <w:lvlJc w:val="left"/>
      <w:pPr>
        <w:ind w:left="0" w:firstLine="0"/>
      </w:pPr>
    </w:lvl>
    <w:lvl w:ilvl="3" w:tplc="50BA7D6A">
      <w:start w:val="1"/>
      <w:numFmt w:val="decimal"/>
      <w:lvlRestart w:val="0"/>
      <w:lvlText w:val=""/>
      <w:lvlJc w:val="left"/>
      <w:pPr>
        <w:ind w:left="0" w:firstLine="0"/>
      </w:pPr>
    </w:lvl>
    <w:lvl w:ilvl="4" w:tplc="A86E2A26">
      <w:start w:val="1"/>
      <w:numFmt w:val="decimal"/>
      <w:lvlRestart w:val="0"/>
      <w:lvlText w:val=""/>
      <w:lvlJc w:val="left"/>
      <w:pPr>
        <w:ind w:left="0" w:firstLine="0"/>
      </w:pPr>
    </w:lvl>
    <w:lvl w:ilvl="5" w:tplc="7FE0334A">
      <w:start w:val="1"/>
      <w:numFmt w:val="decimal"/>
      <w:lvlRestart w:val="0"/>
      <w:lvlText w:val=""/>
      <w:lvlJc w:val="left"/>
      <w:pPr>
        <w:ind w:left="0" w:firstLine="0"/>
      </w:pPr>
    </w:lvl>
    <w:lvl w:ilvl="6" w:tplc="F08CD950">
      <w:start w:val="1"/>
      <w:numFmt w:val="decimal"/>
      <w:lvlRestart w:val="0"/>
      <w:lvlText w:val=""/>
      <w:lvlJc w:val="left"/>
      <w:pPr>
        <w:ind w:left="0" w:firstLine="0"/>
      </w:pPr>
    </w:lvl>
    <w:lvl w:ilvl="7" w:tplc="88025696">
      <w:start w:val="1"/>
      <w:numFmt w:val="decimal"/>
      <w:lvlRestart w:val="0"/>
      <w:lvlText w:val=""/>
      <w:lvlJc w:val="left"/>
      <w:pPr>
        <w:ind w:left="0" w:firstLine="0"/>
      </w:pPr>
    </w:lvl>
    <w:lvl w:ilvl="8" w:tplc="15162A44">
      <w:start w:val="1"/>
      <w:numFmt w:val="decimal"/>
      <w:lvlRestart w:val="0"/>
      <w:lvlText w:val=""/>
      <w:lvlJc w:val="left"/>
      <w:pPr>
        <w:ind w:left="0" w:firstLine="0"/>
      </w:pPr>
    </w:lvl>
  </w:abstractNum>
  <w:abstractNum w:abstractNumId="17" w15:restartNumberingAfterBreak="0">
    <w:nsid w:val="5CD11700"/>
    <w:multiLevelType w:val="hybridMultilevel"/>
    <w:tmpl w:val="5E0EA67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6AC37F3B"/>
    <w:multiLevelType w:val="multilevel"/>
    <w:tmpl w:val="FDB465FA"/>
    <w:lvl w:ilvl="0">
      <w:start w:val="1"/>
      <w:numFmt w:val="decimal"/>
      <w:pStyle w:val="Heading1"/>
      <w:isLgl/>
      <w:lvlText w:val="%1."/>
      <w:lvlJc w:val="left"/>
      <w:pPr>
        <w:ind w:left="1021" w:hanging="1021"/>
      </w:pPr>
      <w:rPr>
        <w:rFonts w:hint="default"/>
      </w:rPr>
    </w:lvl>
    <w:lvl w:ilvl="1">
      <w:start w:val="1"/>
      <w:numFmt w:val="decimal"/>
      <w:pStyle w:val="Heading2"/>
      <w:isLgl/>
      <w:lvlText w:val="%1.%2."/>
      <w:lvlJc w:val="left"/>
      <w:pPr>
        <w:ind w:left="2863" w:hanging="1021"/>
      </w:pPr>
    </w:lvl>
    <w:lvl w:ilvl="2">
      <w:start w:val="1"/>
      <w:numFmt w:val="decimal"/>
      <w:pStyle w:val="Heading3"/>
      <w:lvlText w:val="%1.%2.%3."/>
      <w:lvlJc w:val="left"/>
      <w:pPr>
        <w:ind w:left="3715" w:hanging="1021"/>
      </w:pPr>
    </w:lvl>
    <w:lvl w:ilvl="3">
      <w:start w:val="1"/>
      <w:numFmt w:val="decimal"/>
      <w:pStyle w:val="Heading4"/>
      <w:lvlText w:val="%1.%2.%3.%4."/>
      <w:lvlJc w:val="left"/>
      <w:pPr>
        <w:ind w:left="1021" w:hanging="1021"/>
      </w:pPr>
      <w:rPr>
        <w:rFonts w:ascii="Avenir Medium" w:hAnsi="Avenir Medium" w:hint="default"/>
        <w:sz w:val="24"/>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4D675C4"/>
    <w:multiLevelType w:val="multilevel"/>
    <w:tmpl w:val="231C4882"/>
    <w:lvl w:ilvl="0">
      <w:start w:val="1"/>
      <w:numFmt w:val="bullet"/>
      <w:lvlText w:val="o"/>
      <w:lvlJc w:val="left"/>
      <w:pPr>
        <w:ind w:left="454" w:hanging="227"/>
      </w:pPr>
      <w:rPr>
        <w:rFonts w:ascii="Courier New" w:hAnsi="Courier New" w:cs="Courier New" w:hint="default"/>
      </w:rPr>
    </w:lvl>
    <w:lvl w:ilvl="1">
      <w:start w:val="1"/>
      <w:numFmt w:val="bullet"/>
      <w:lvlRestart w:val="0"/>
      <w:lvlText w:val="–"/>
      <w:lvlJc w:val="left"/>
      <w:pPr>
        <w:tabs>
          <w:tab w:val="num" w:pos="454"/>
        </w:tabs>
        <w:ind w:left="681" w:hanging="227"/>
      </w:pPr>
      <w:rPr>
        <w:rFonts w:ascii="Calibri" w:hAnsi="Calibri" w:hint="default"/>
      </w:rPr>
    </w:lvl>
    <w:lvl w:ilvl="2">
      <w:start w:val="1"/>
      <w:numFmt w:val="none"/>
      <w:lvlRestart w:val="0"/>
      <w:lvlText w:val=""/>
      <w:lvlJc w:val="left"/>
      <w:pPr>
        <w:ind w:left="227" w:firstLine="0"/>
      </w:pPr>
      <w:rPr>
        <w:rFonts w:hint="default"/>
      </w:rPr>
    </w:lvl>
    <w:lvl w:ilvl="3">
      <w:start w:val="1"/>
      <w:numFmt w:val="none"/>
      <w:lvlRestart w:val="0"/>
      <w:lvlText w:val=""/>
      <w:lvlJc w:val="left"/>
      <w:pPr>
        <w:ind w:left="227" w:firstLine="0"/>
      </w:pPr>
      <w:rPr>
        <w:rFonts w:hint="default"/>
      </w:rPr>
    </w:lvl>
    <w:lvl w:ilvl="4">
      <w:start w:val="1"/>
      <w:numFmt w:val="none"/>
      <w:lvlRestart w:val="0"/>
      <w:lvlText w:val=""/>
      <w:lvlJc w:val="left"/>
      <w:pPr>
        <w:ind w:left="227" w:firstLine="0"/>
      </w:pPr>
      <w:rPr>
        <w:rFonts w:hint="default"/>
      </w:rPr>
    </w:lvl>
    <w:lvl w:ilvl="5">
      <w:start w:val="1"/>
      <w:numFmt w:val="none"/>
      <w:lvlRestart w:val="0"/>
      <w:lvlText w:val=""/>
      <w:lvlJc w:val="left"/>
      <w:pPr>
        <w:ind w:left="227" w:firstLine="0"/>
      </w:pPr>
      <w:rPr>
        <w:rFonts w:hint="default"/>
      </w:rPr>
    </w:lvl>
    <w:lvl w:ilvl="6">
      <w:start w:val="1"/>
      <w:numFmt w:val="none"/>
      <w:lvlRestart w:val="0"/>
      <w:lvlText w:val=""/>
      <w:lvlJc w:val="left"/>
      <w:pPr>
        <w:ind w:left="227" w:firstLine="0"/>
      </w:pPr>
      <w:rPr>
        <w:rFonts w:hint="default"/>
      </w:rPr>
    </w:lvl>
    <w:lvl w:ilvl="7">
      <w:start w:val="1"/>
      <w:numFmt w:val="none"/>
      <w:lvlRestart w:val="0"/>
      <w:lvlText w:val=""/>
      <w:lvlJc w:val="left"/>
      <w:pPr>
        <w:ind w:left="227" w:firstLine="0"/>
      </w:pPr>
      <w:rPr>
        <w:rFonts w:hint="default"/>
      </w:rPr>
    </w:lvl>
    <w:lvl w:ilvl="8">
      <w:start w:val="1"/>
      <w:numFmt w:val="none"/>
      <w:lvlRestart w:val="0"/>
      <w:lvlText w:val=""/>
      <w:lvlJc w:val="left"/>
      <w:pPr>
        <w:ind w:left="227" w:firstLine="0"/>
      </w:pPr>
      <w:rPr>
        <w:rFonts w:hint="default"/>
      </w:rPr>
    </w:lvl>
  </w:abstractNum>
  <w:abstractNum w:abstractNumId="21" w15:restartNumberingAfterBreak="0">
    <w:nsid w:val="7B3909FE"/>
    <w:multiLevelType w:val="hybridMultilevel"/>
    <w:tmpl w:val="63C25E18"/>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44302522">
    <w:abstractNumId w:val="1"/>
  </w:num>
  <w:num w:numId="2" w16cid:durableId="1463577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1020616">
    <w:abstractNumId w:val="16"/>
  </w:num>
  <w:num w:numId="4" w16cid:durableId="1276016069">
    <w:abstractNumId w:val="12"/>
  </w:num>
  <w:num w:numId="5" w16cid:durableId="1695694935">
    <w:abstractNumId w:val="2"/>
  </w:num>
  <w:num w:numId="6" w16cid:durableId="2118480366">
    <w:abstractNumId w:val="18"/>
  </w:num>
  <w:num w:numId="7" w16cid:durableId="64109112">
    <w:abstractNumId w:val="13"/>
  </w:num>
  <w:num w:numId="8" w16cid:durableId="877351973">
    <w:abstractNumId w:val="15"/>
  </w:num>
  <w:num w:numId="9" w16cid:durableId="98066431">
    <w:abstractNumId w:val="6"/>
  </w:num>
  <w:num w:numId="10" w16cid:durableId="1786728179">
    <w:abstractNumId w:val="16"/>
  </w:num>
  <w:num w:numId="11" w16cid:durableId="341013241">
    <w:abstractNumId w:val="12"/>
  </w:num>
  <w:num w:numId="12" w16cid:durableId="607277163">
    <w:abstractNumId w:val="18"/>
  </w:num>
  <w:num w:numId="13" w16cid:durableId="1402219640">
    <w:abstractNumId w:val="13"/>
  </w:num>
  <w:num w:numId="14" w16cid:durableId="863246002">
    <w:abstractNumId w:val="15"/>
  </w:num>
  <w:num w:numId="15" w16cid:durableId="415516722">
    <w:abstractNumId w:val="19"/>
  </w:num>
  <w:num w:numId="16" w16cid:durableId="51006840">
    <w:abstractNumId w:val="9"/>
  </w:num>
  <w:num w:numId="17" w16cid:durableId="2032953007">
    <w:abstractNumId w:val="4"/>
  </w:num>
  <w:num w:numId="18" w16cid:durableId="329909536">
    <w:abstractNumId w:val="14"/>
  </w:num>
  <w:num w:numId="19" w16cid:durableId="379400055">
    <w:abstractNumId w:val="21"/>
  </w:num>
  <w:num w:numId="20" w16cid:durableId="131748977">
    <w:abstractNumId w:val="17"/>
  </w:num>
  <w:num w:numId="21" w16cid:durableId="1281644242">
    <w:abstractNumId w:val="3"/>
  </w:num>
  <w:num w:numId="22" w16cid:durableId="76446719">
    <w:abstractNumId w:val="7"/>
  </w:num>
  <w:num w:numId="23" w16cid:durableId="2053384880">
    <w:abstractNumId w:val="8"/>
  </w:num>
  <w:num w:numId="24" w16cid:durableId="1965581099">
    <w:abstractNumId w:val="5"/>
  </w:num>
  <w:num w:numId="25" w16cid:durableId="1369767953">
    <w:abstractNumId w:val="16"/>
  </w:num>
  <w:num w:numId="26" w16cid:durableId="140392338">
    <w:abstractNumId w:val="10"/>
  </w:num>
  <w:num w:numId="27" w16cid:durableId="1995988355">
    <w:abstractNumId w:val="11"/>
  </w:num>
  <w:num w:numId="28" w16cid:durableId="310059859">
    <w:abstractNumId w:val="19"/>
  </w:num>
  <w:num w:numId="29" w16cid:durableId="825898958">
    <w:abstractNumId w:val="19"/>
    <w:lvlOverride w:ilvl="0">
      <w:lvl w:ilvl="0">
        <w:start w:val="1"/>
        <w:numFmt w:val="decimal"/>
        <w:pStyle w:val="Heading1"/>
        <w:isLgl/>
        <w:lvlText w:val="%1."/>
        <w:lvlJc w:val="left"/>
        <w:pPr>
          <w:ind w:left="1021" w:hanging="1021"/>
        </w:pPr>
        <w:rPr>
          <w:rFonts w:hint="default"/>
        </w:rPr>
      </w:lvl>
    </w:lvlOverride>
    <w:lvlOverride w:ilvl="1">
      <w:lvl w:ilvl="1">
        <w:start w:val="1"/>
        <w:numFmt w:val="decimal"/>
        <w:pStyle w:val="Heading2"/>
        <w:isLgl/>
        <w:lvlText w:val="%1.%2."/>
        <w:lvlJc w:val="left"/>
        <w:pPr>
          <w:ind w:left="2863" w:hanging="1021"/>
        </w:pPr>
        <w:rPr>
          <w:rFonts w:hint="default"/>
        </w:rPr>
      </w:lvl>
    </w:lvlOverride>
    <w:lvlOverride w:ilvl="2">
      <w:lvl w:ilvl="2">
        <w:start w:val="1"/>
        <w:numFmt w:val="decimal"/>
        <w:pStyle w:val="Heading3"/>
        <w:lvlText w:val="%1.%2.%3."/>
        <w:lvlJc w:val="left"/>
        <w:pPr>
          <w:ind w:left="3715" w:hanging="3715"/>
        </w:pPr>
        <w:rPr>
          <w:rFonts w:ascii="Avenir Heavy" w:hAnsi="Avenir Heavy" w:hint="default"/>
          <w:b/>
          <w:i w:val="0"/>
          <w:color w:val="032833" w:themeColor="text1"/>
          <w:sz w:val="24"/>
          <w:u w:color="FFFFFF" w:themeColor="background1"/>
        </w:rPr>
      </w:lvl>
    </w:lvlOverride>
    <w:lvlOverride w:ilvl="3">
      <w:lvl w:ilvl="3">
        <w:start w:val="1"/>
        <w:numFmt w:val="decimal"/>
        <w:pStyle w:val="Heading4"/>
        <w:lvlText w:val="%1.%2.%3.%4."/>
        <w:lvlJc w:val="left"/>
        <w:pPr>
          <w:ind w:left="1021" w:hanging="1021"/>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1330715647">
    <w:abstractNumId w:val="19"/>
  </w:num>
  <w:num w:numId="31" w16cid:durableId="1875189420">
    <w:abstractNumId w:val="19"/>
  </w:num>
  <w:num w:numId="32" w16cid:durableId="511576172">
    <w:abstractNumId w:val="19"/>
  </w:num>
  <w:num w:numId="33" w16cid:durableId="1885557611">
    <w:abstractNumId w:val="19"/>
  </w:num>
  <w:num w:numId="34" w16cid:durableId="66734824">
    <w:abstractNumId w:val="19"/>
  </w:num>
  <w:num w:numId="35" w16cid:durableId="1724253403">
    <w:abstractNumId w:val="19"/>
  </w:num>
  <w:num w:numId="36" w16cid:durableId="1264727194">
    <w:abstractNumId w:val="19"/>
  </w:num>
  <w:num w:numId="37" w16cid:durableId="1572152334">
    <w:abstractNumId w:val="19"/>
  </w:num>
  <w:num w:numId="38" w16cid:durableId="2071338773">
    <w:abstractNumId w:val="19"/>
  </w:num>
  <w:num w:numId="39" w16cid:durableId="2068718836">
    <w:abstractNumId w:val="19"/>
  </w:num>
  <w:num w:numId="40" w16cid:durableId="650406812">
    <w:abstractNumId w:val="19"/>
  </w:num>
  <w:num w:numId="41" w16cid:durableId="2111390691">
    <w:abstractNumId w:val="19"/>
  </w:num>
  <w:num w:numId="42" w16cid:durableId="1876773948">
    <w:abstractNumId w:val="19"/>
  </w:num>
  <w:num w:numId="43" w16cid:durableId="2099325116">
    <w:abstractNumId w:val="19"/>
  </w:num>
  <w:num w:numId="44" w16cid:durableId="2112626469">
    <w:abstractNumId w:val="19"/>
  </w:num>
  <w:num w:numId="45" w16cid:durableId="1717927379">
    <w:abstractNumId w:val="19"/>
  </w:num>
  <w:num w:numId="46" w16cid:durableId="2125419621">
    <w:abstractNumId w:val="19"/>
  </w:num>
  <w:num w:numId="47" w16cid:durableId="443573585">
    <w:abstractNumId w:val="19"/>
  </w:num>
  <w:num w:numId="48" w16cid:durableId="14286501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50700272">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1A41"/>
    <w:rsid w:val="00001AD9"/>
    <w:rsid w:val="00002D68"/>
    <w:rsid w:val="000033F7"/>
    <w:rsid w:val="00003403"/>
    <w:rsid w:val="000045AC"/>
    <w:rsid w:val="000049D0"/>
    <w:rsid w:val="00004D5A"/>
    <w:rsid w:val="00005347"/>
    <w:rsid w:val="00005891"/>
    <w:rsid w:val="00005E08"/>
    <w:rsid w:val="000069C6"/>
    <w:rsid w:val="00007135"/>
    <w:rsid w:val="000072B6"/>
    <w:rsid w:val="000072BE"/>
    <w:rsid w:val="00007992"/>
    <w:rsid w:val="0001021B"/>
    <w:rsid w:val="0001089A"/>
    <w:rsid w:val="00011D89"/>
    <w:rsid w:val="00012C85"/>
    <w:rsid w:val="00013178"/>
    <w:rsid w:val="00014C2D"/>
    <w:rsid w:val="00014D7E"/>
    <w:rsid w:val="00014E21"/>
    <w:rsid w:val="000154FD"/>
    <w:rsid w:val="000156BE"/>
    <w:rsid w:val="00015F67"/>
    <w:rsid w:val="00017BA2"/>
    <w:rsid w:val="00017FC5"/>
    <w:rsid w:val="00020678"/>
    <w:rsid w:val="00020BFD"/>
    <w:rsid w:val="00020FD4"/>
    <w:rsid w:val="00022271"/>
    <w:rsid w:val="00022299"/>
    <w:rsid w:val="000235E8"/>
    <w:rsid w:val="000243FC"/>
    <w:rsid w:val="0002478F"/>
    <w:rsid w:val="00024AE0"/>
    <w:rsid w:val="00024D89"/>
    <w:rsid w:val="000250B6"/>
    <w:rsid w:val="000250D5"/>
    <w:rsid w:val="00025BC9"/>
    <w:rsid w:val="000268BC"/>
    <w:rsid w:val="00027D79"/>
    <w:rsid w:val="00031683"/>
    <w:rsid w:val="000317F2"/>
    <w:rsid w:val="00032533"/>
    <w:rsid w:val="00032D8A"/>
    <w:rsid w:val="000333E2"/>
    <w:rsid w:val="00033C03"/>
    <w:rsid w:val="00033D81"/>
    <w:rsid w:val="00033DC9"/>
    <w:rsid w:val="000340B7"/>
    <w:rsid w:val="00034EBF"/>
    <w:rsid w:val="000352A4"/>
    <w:rsid w:val="000353D4"/>
    <w:rsid w:val="00035680"/>
    <w:rsid w:val="00036592"/>
    <w:rsid w:val="00037366"/>
    <w:rsid w:val="000401AC"/>
    <w:rsid w:val="00040638"/>
    <w:rsid w:val="00040A23"/>
    <w:rsid w:val="00041678"/>
    <w:rsid w:val="00041BF0"/>
    <w:rsid w:val="00042005"/>
    <w:rsid w:val="00042C8A"/>
    <w:rsid w:val="00043038"/>
    <w:rsid w:val="000440BF"/>
    <w:rsid w:val="0004471E"/>
    <w:rsid w:val="0004536B"/>
    <w:rsid w:val="00045C5C"/>
    <w:rsid w:val="00046B68"/>
    <w:rsid w:val="00047716"/>
    <w:rsid w:val="0005067A"/>
    <w:rsid w:val="000513D3"/>
    <w:rsid w:val="00051B37"/>
    <w:rsid w:val="00052605"/>
    <w:rsid w:val="000527DD"/>
    <w:rsid w:val="0005478D"/>
    <w:rsid w:val="000554AA"/>
    <w:rsid w:val="00056EC4"/>
    <w:rsid w:val="00057532"/>
    <w:rsid w:val="000578B2"/>
    <w:rsid w:val="0006026C"/>
    <w:rsid w:val="00060959"/>
    <w:rsid w:val="00060C8F"/>
    <w:rsid w:val="0006195E"/>
    <w:rsid w:val="0006268B"/>
    <w:rsid w:val="0006298A"/>
    <w:rsid w:val="00062B8A"/>
    <w:rsid w:val="000630E6"/>
    <w:rsid w:val="00063839"/>
    <w:rsid w:val="00063DB9"/>
    <w:rsid w:val="00064609"/>
    <w:rsid w:val="00064E78"/>
    <w:rsid w:val="00065AAD"/>
    <w:rsid w:val="000663CD"/>
    <w:rsid w:val="00067659"/>
    <w:rsid w:val="000714D9"/>
    <w:rsid w:val="00071AE1"/>
    <w:rsid w:val="000733FE"/>
    <w:rsid w:val="00073C19"/>
    <w:rsid w:val="00074219"/>
    <w:rsid w:val="00074B5E"/>
    <w:rsid w:val="00074ED5"/>
    <w:rsid w:val="00075899"/>
    <w:rsid w:val="00075D76"/>
    <w:rsid w:val="000760E7"/>
    <w:rsid w:val="00076B32"/>
    <w:rsid w:val="00077B7B"/>
    <w:rsid w:val="0008151E"/>
    <w:rsid w:val="0008170F"/>
    <w:rsid w:val="0008204A"/>
    <w:rsid w:val="0008374E"/>
    <w:rsid w:val="00083A22"/>
    <w:rsid w:val="00084220"/>
    <w:rsid w:val="0008491A"/>
    <w:rsid w:val="0008508E"/>
    <w:rsid w:val="0008718B"/>
    <w:rsid w:val="00087951"/>
    <w:rsid w:val="00087A33"/>
    <w:rsid w:val="00090AFE"/>
    <w:rsid w:val="0009113B"/>
    <w:rsid w:val="00091317"/>
    <w:rsid w:val="00091654"/>
    <w:rsid w:val="0009195A"/>
    <w:rsid w:val="0009290C"/>
    <w:rsid w:val="00092C26"/>
    <w:rsid w:val="00093402"/>
    <w:rsid w:val="000939ED"/>
    <w:rsid w:val="00094156"/>
    <w:rsid w:val="00094315"/>
    <w:rsid w:val="00094A94"/>
    <w:rsid w:val="00094DA3"/>
    <w:rsid w:val="0009510A"/>
    <w:rsid w:val="00096CD1"/>
    <w:rsid w:val="000A012C"/>
    <w:rsid w:val="000A0B5B"/>
    <w:rsid w:val="000A0E9E"/>
    <w:rsid w:val="000A0EB9"/>
    <w:rsid w:val="000A0F5A"/>
    <w:rsid w:val="000A1169"/>
    <w:rsid w:val="000A186C"/>
    <w:rsid w:val="000A1915"/>
    <w:rsid w:val="000A1EA4"/>
    <w:rsid w:val="000A2476"/>
    <w:rsid w:val="000A2A48"/>
    <w:rsid w:val="000A3395"/>
    <w:rsid w:val="000A4194"/>
    <w:rsid w:val="000A4EAF"/>
    <w:rsid w:val="000A5583"/>
    <w:rsid w:val="000A6183"/>
    <w:rsid w:val="000A641A"/>
    <w:rsid w:val="000A7A46"/>
    <w:rsid w:val="000B039A"/>
    <w:rsid w:val="000B0FE1"/>
    <w:rsid w:val="000B135A"/>
    <w:rsid w:val="000B26FF"/>
    <w:rsid w:val="000B3B37"/>
    <w:rsid w:val="000B3EDB"/>
    <w:rsid w:val="000B41E7"/>
    <w:rsid w:val="000B4979"/>
    <w:rsid w:val="000B543D"/>
    <w:rsid w:val="000B55F9"/>
    <w:rsid w:val="000B5693"/>
    <w:rsid w:val="000B5BF7"/>
    <w:rsid w:val="000B6362"/>
    <w:rsid w:val="000B6BC8"/>
    <w:rsid w:val="000B7267"/>
    <w:rsid w:val="000C0303"/>
    <w:rsid w:val="000C0708"/>
    <w:rsid w:val="000C0AE3"/>
    <w:rsid w:val="000C1C0F"/>
    <w:rsid w:val="000C3C09"/>
    <w:rsid w:val="000C3F13"/>
    <w:rsid w:val="000C42EA"/>
    <w:rsid w:val="000C4546"/>
    <w:rsid w:val="000C45B4"/>
    <w:rsid w:val="000C4659"/>
    <w:rsid w:val="000C5464"/>
    <w:rsid w:val="000C5608"/>
    <w:rsid w:val="000C5B9F"/>
    <w:rsid w:val="000C79ED"/>
    <w:rsid w:val="000D0001"/>
    <w:rsid w:val="000D02EC"/>
    <w:rsid w:val="000D041B"/>
    <w:rsid w:val="000D0520"/>
    <w:rsid w:val="000D0ED5"/>
    <w:rsid w:val="000D1242"/>
    <w:rsid w:val="000D2ABA"/>
    <w:rsid w:val="000D3C3B"/>
    <w:rsid w:val="000D3DB8"/>
    <w:rsid w:val="000D4801"/>
    <w:rsid w:val="000D48F6"/>
    <w:rsid w:val="000D6545"/>
    <w:rsid w:val="000D6FB6"/>
    <w:rsid w:val="000D7690"/>
    <w:rsid w:val="000D7B0F"/>
    <w:rsid w:val="000D7BCC"/>
    <w:rsid w:val="000E0970"/>
    <w:rsid w:val="000E15C8"/>
    <w:rsid w:val="000E3CC7"/>
    <w:rsid w:val="000E40C1"/>
    <w:rsid w:val="000E41A6"/>
    <w:rsid w:val="000E4725"/>
    <w:rsid w:val="000E504D"/>
    <w:rsid w:val="000E5B4E"/>
    <w:rsid w:val="000E615E"/>
    <w:rsid w:val="000E620A"/>
    <w:rsid w:val="000E6A8C"/>
    <w:rsid w:val="000E6BD4"/>
    <w:rsid w:val="000E6D6D"/>
    <w:rsid w:val="000E71C5"/>
    <w:rsid w:val="000F0909"/>
    <w:rsid w:val="000F1F1E"/>
    <w:rsid w:val="000F2259"/>
    <w:rsid w:val="000F2DDA"/>
    <w:rsid w:val="000F2EA0"/>
    <w:rsid w:val="000F5213"/>
    <w:rsid w:val="000F7C5A"/>
    <w:rsid w:val="00101001"/>
    <w:rsid w:val="00101E30"/>
    <w:rsid w:val="00102219"/>
    <w:rsid w:val="001022F5"/>
    <w:rsid w:val="0010313E"/>
    <w:rsid w:val="00103276"/>
    <w:rsid w:val="001036EE"/>
    <w:rsid w:val="0010392D"/>
    <w:rsid w:val="00103BD3"/>
    <w:rsid w:val="0010447F"/>
    <w:rsid w:val="00104948"/>
    <w:rsid w:val="00104FE3"/>
    <w:rsid w:val="00105760"/>
    <w:rsid w:val="00106549"/>
    <w:rsid w:val="0010714F"/>
    <w:rsid w:val="00107EAA"/>
    <w:rsid w:val="00110607"/>
    <w:rsid w:val="00111277"/>
    <w:rsid w:val="001118CD"/>
    <w:rsid w:val="001120C5"/>
    <w:rsid w:val="001126D8"/>
    <w:rsid w:val="001140FC"/>
    <w:rsid w:val="00116A41"/>
    <w:rsid w:val="00117411"/>
    <w:rsid w:val="001175C2"/>
    <w:rsid w:val="001208CD"/>
    <w:rsid w:val="00120BD3"/>
    <w:rsid w:val="00122D2D"/>
    <w:rsid w:val="00122FEA"/>
    <w:rsid w:val="001232BD"/>
    <w:rsid w:val="00123B73"/>
    <w:rsid w:val="0012439D"/>
    <w:rsid w:val="00124DD5"/>
    <w:rsid w:val="00124ED5"/>
    <w:rsid w:val="00126797"/>
    <w:rsid w:val="00126D09"/>
    <w:rsid w:val="001276FA"/>
    <w:rsid w:val="00127B37"/>
    <w:rsid w:val="00130D73"/>
    <w:rsid w:val="00130FBC"/>
    <w:rsid w:val="0013166F"/>
    <w:rsid w:val="00131C89"/>
    <w:rsid w:val="0013393F"/>
    <w:rsid w:val="00133BB8"/>
    <w:rsid w:val="00135F7E"/>
    <w:rsid w:val="001367E9"/>
    <w:rsid w:val="0013695C"/>
    <w:rsid w:val="00136AA5"/>
    <w:rsid w:val="00136E8E"/>
    <w:rsid w:val="00141F39"/>
    <w:rsid w:val="00142510"/>
    <w:rsid w:val="00142912"/>
    <w:rsid w:val="00142BAA"/>
    <w:rsid w:val="00143876"/>
    <w:rsid w:val="00143B25"/>
    <w:rsid w:val="00143D8C"/>
    <w:rsid w:val="001447B3"/>
    <w:rsid w:val="001460A3"/>
    <w:rsid w:val="00150D1F"/>
    <w:rsid w:val="0015134B"/>
    <w:rsid w:val="00151486"/>
    <w:rsid w:val="00152073"/>
    <w:rsid w:val="00152329"/>
    <w:rsid w:val="00152C0A"/>
    <w:rsid w:val="00153A21"/>
    <w:rsid w:val="00153A90"/>
    <w:rsid w:val="00153D3E"/>
    <w:rsid w:val="00155050"/>
    <w:rsid w:val="00155C24"/>
    <w:rsid w:val="001562B8"/>
    <w:rsid w:val="001563F6"/>
    <w:rsid w:val="00156598"/>
    <w:rsid w:val="001567AB"/>
    <w:rsid w:val="00156D7C"/>
    <w:rsid w:val="00160519"/>
    <w:rsid w:val="00161872"/>
    <w:rsid w:val="00161939"/>
    <w:rsid w:val="00161AA0"/>
    <w:rsid w:val="00161D2E"/>
    <w:rsid w:val="00161F3E"/>
    <w:rsid w:val="00162093"/>
    <w:rsid w:val="0016291B"/>
    <w:rsid w:val="00162CA9"/>
    <w:rsid w:val="00163637"/>
    <w:rsid w:val="00165459"/>
    <w:rsid w:val="001655F8"/>
    <w:rsid w:val="00165A57"/>
    <w:rsid w:val="00165ED3"/>
    <w:rsid w:val="001708A9"/>
    <w:rsid w:val="0017102A"/>
    <w:rsid w:val="001712C2"/>
    <w:rsid w:val="00171BB9"/>
    <w:rsid w:val="001723D5"/>
    <w:rsid w:val="00172BAF"/>
    <w:rsid w:val="00172ED0"/>
    <w:rsid w:val="00175AEE"/>
    <w:rsid w:val="0017651B"/>
    <w:rsid w:val="0017674D"/>
    <w:rsid w:val="001771DD"/>
    <w:rsid w:val="001774BB"/>
    <w:rsid w:val="00177995"/>
    <w:rsid w:val="00177A8C"/>
    <w:rsid w:val="001815E8"/>
    <w:rsid w:val="00181EAF"/>
    <w:rsid w:val="0018244E"/>
    <w:rsid w:val="0018249F"/>
    <w:rsid w:val="00183356"/>
    <w:rsid w:val="0018462F"/>
    <w:rsid w:val="0018467F"/>
    <w:rsid w:val="001854B2"/>
    <w:rsid w:val="0018589A"/>
    <w:rsid w:val="00186B33"/>
    <w:rsid w:val="00186D72"/>
    <w:rsid w:val="00187C68"/>
    <w:rsid w:val="00192F9D"/>
    <w:rsid w:val="00194265"/>
    <w:rsid w:val="00194BBA"/>
    <w:rsid w:val="00196EB8"/>
    <w:rsid w:val="00196EFB"/>
    <w:rsid w:val="001970C2"/>
    <w:rsid w:val="00197185"/>
    <w:rsid w:val="001977E3"/>
    <w:rsid w:val="001979FF"/>
    <w:rsid w:val="00197B17"/>
    <w:rsid w:val="001A0DD4"/>
    <w:rsid w:val="001A10CE"/>
    <w:rsid w:val="001A1950"/>
    <w:rsid w:val="001A1C54"/>
    <w:rsid w:val="001A20A2"/>
    <w:rsid w:val="001A227A"/>
    <w:rsid w:val="001A28FE"/>
    <w:rsid w:val="001A357C"/>
    <w:rsid w:val="001A3ACE"/>
    <w:rsid w:val="001A6189"/>
    <w:rsid w:val="001A6272"/>
    <w:rsid w:val="001A69C4"/>
    <w:rsid w:val="001A7071"/>
    <w:rsid w:val="001A7193"/>
    <w:rsid w:val="001A7FCE"/>
    <w:rsid w:val="001B058F"/>
    <w:rsid w:val="001B0C47"/>
    <w:rsid w:val="001B1416"/>
    <w:rsid w:val="001B1D47"/>
    <w:rsid w:val="001B2E70"/>
    <w:rsid w:val="001B405C"/>
    <w:rsid w:val="001B4713"/>
    <w:rsid w:val="001B4FF1"/>
    <w:rsid w:val="001B6B96"/>
    <w:rsid w:val="001B6EE5"/>
    <w:rsid w:val="001B738B"/>
    <w:rsid w:val="001B7619"/>
    <w:rsid w:val="001B7EA6"/>
    <w:rsid w:val="001C0010"/>
    <w:rsid w:val="001C09DB"/>
    <w:rsid w:val="001C1C9E"/>
    <w:rsid w:val="001C277E"/>
    <w:rsid w:val="001C298E"/>
    <w:rsid w:val="001C2A6A"/>
    <w:rsid w:val="001C2A72"/>
    <w:rsid w:val="001C31B7"/>
    <w:rsid w:val="001C343F"/>
    <w:rsid w:val="001C36FD"/>
    <w:rsid w:val="001C7128"/>
    <w:rsid w:val="001C7453"/>
    <w:rsid w:val="001D0475"/>
    <w:rsid w:val="001D0B75"/>
    <w:rsid w:val="001D1865"/>
    <w:rsid w:val="001D377E"/>
    <w:rsid w:val="001D39A5"/>
    <w:rsid w:val="001D3C09"/>
    <w:rsid w:val="001D3E4E"/>
    <w:rsid w:val="001D3F73"/>
    <w:rsid w:val="001D44E8"/>
    <w:rsid w:val="001D5B14"/>
    <w:rsid w:val="001D60EC"/>
    <w:rsid w:val="001D6F59"/>
    <w:rsid w:val="001D7FBC"/>
    <w:rsid w:val="001E0545"/>
    <w:rsid w:val="001E0647"/>
    <w:rsid w:val="001E1135"/>
    <w:rsid w:val="001E1410"/>
    <w:rsid w:val="001E18AC"/>
    <w:rsid w:val="001E293A"/>
    <w:rsid w:val="001E3D14"/>
    <w:rsid w:val="001E3D96"/>
    <w:rsid w:val="001E42C0"/>
    <w:rsid w:val="001E44DF"/>
    <w:rsid w:val="001E5B63"/>
    <w:rsid w:val="001E641E"/>
    <w:rsid w:val="001E68A5"/>
    <w:rsid w:val="001E6BB0"/>
    <w:rsid w:val="001E6D81"/>
    <w:rsid w:val="001E6E3C"/>
    <w:rsid w:val="001E7282"/>
    <w:rsid w:val="001E7CE9"/>
    <w:rsid w:val="001E7DBF"/>
    <w:rsid w:val="001F0135"/>
    <w:rsid w:val="001F1C2A"/>
    <w:rsid w:val="001F3826"/>
    <w:rsid w:val="001F5637"/>
    <w:rsid w:val="001F58CE"/>
    <w:rsid w:val="001F6E46"/>
    <w:rsid w:val="001F77CA"/>
    <w:rsid w:val="001F7C91"/>
    <w:rsid w:val="001F7D49"/>
    <w:rsid w:val="0020036A"/>
    <w:rsid w:val="00200B63"/>
    <w:rsid w:val="00200C07"/>
    <w:rsid w:val="002033B7"/>
    <w:rsid w:val="00203491"/>
    <w:rsid w:val="00205150"/>
    <w:rsid w:val="00205A4F"/>
    <w:rsid w:val="0020633C"/>
    <w:rsid w:val="00206463"/>
    <w:rsid w:val="00206F2F"/>
    <w:rsid w:val="00206FF0"/>
    <w:rsid w:val="00207717"/>
    <w:rsid w:val="00207B30"/>
    <w:rsid w:val="00210116"/>
    <w:rsid w:val="0021053D"/>
    <w:rsid w:val="00210A92"/>
    <w:rsid w:val="00211BAF"/>
    <w:rsid w:val="00211D72"/>
    <w:rsid w:val="0021265F"/>
    <w:rsid w:val="00212954"/>
    <w:rsid w:val="00212B95"/>
    <w:rsid w:val="0021519A"/>
    <w:rsid w:val="0021546A"/>
    <w:rsid w:val="00215C3E"/>
    <w:rsid w:val="00215CC8"/>
    <w:rsid w:val="0021667C"/>
    <w:rsid w:val="00216C03"/>
    <w:rsid w:val="00216C16"/>
    <w:rsid w:val="0021717B"/>
    <w:rsid w:val="00217C06"/>
    <w:rsid w:val="002201D3"/>
    <w:rsid w:val="00220A1A"/>
    <w:rsid w:val="00220C04"/>
    <w:rsid w:val="0022278D"/>
    <w:rsid w:val="00222A73"/>
    <w:rsid w:val="00222D3C"/>
    <w:rsid w:val="00223393"/>
    <w:rsid w:val="0022437B"/>
    <w:rsid w:val="0022580E"/>
    <w:rsid w:val="00225B10"/>
    <w:rsid w:val="0022701F"/>
    <w:rsid w:val="00227C4F"/>
    <w:rsid w:val="00227C68"/>
    <w:rsid w:val="00227F14"/>
    <w:rsid w:val="002326C3"/>
    <w:rsid w:val="00232714"/>
    <w:rsid w:val="002333F5"/>
    <w:rsid w:val="00233724"/>
    <w:rsid w:val="002345DF"/>
    <w:rsid w:val="002365B4"/>
    <w:rsid w:val="00240438"/>
    <w:rsid w:val="0024057A"/>
    <w:rsid w:val="00240959"/>
    <w:rsid w:val="00240D82"/>
    <w:rsid w:val="002432E1"/>
    <w:rsid w:val="00244B43"/>
    <w:rsid w:val="0024554C"/>
    <w:rsid w:val="00246207"/>
    <w:rsid w:val="00246C5E"/>
    <w:rsid w:val="002472D6"/>
    <w:rsid w:val="002475ED"/>
    <w:rsid w:val="002500E6"/>
    <w:rsid w:val="00250960"/>
    <w:rsid w:val="00250D37"/>
    <w:rsid w:val="0025123D"/>
    <w:rsid w:val="002512D3"/>
    <w:rsid w:val="00251343"/>
    <w:rsid w:val="0025162D"/>
    <w:rsid w:val="00251A53"/>
    <w:rsid w:val="00252335"/>
    <w:rsid w:val="0025357F"/>
    <w:rsid w:val="002536A4"/>
    <w:rsid w:val="00253A3E"/>
    <w:rsid w:val="00254F58"/>
    <w:rsid w:val="00255D75"/>
    <w:rsid w:val="00256A57"/>
    <w:rsid w:val="00257D5F"/>
    <w:rsid w:val="002600BD"/>
    <w:rsid w:val="0026011D"/>
    <w:rsid w:val="0026166F"/>
    <w:rsid w:val="0026208A"/>
    <w:rsid w:val="002620BC"/>
    <w:rsid w:val="00262317"/>
    <w:rsid w:val="00262563"/>
    <w:rsid w:val="00262802"/>
    <w:rsid w:val="00263263"/>
    <w:rsid w:val="00263A90"/>
    <w:rsid w:val="0026408B"/>
    <w:rsid w:val="00265A6E"/>
    <w:rsid w:val="00267C3E"/>
    <w:rsid w:val="0027054A"/>
    <w:rsid w:val="002709BB"/>
    <w:rsid w:val="0027131C"/>
    <w:rsid w:val="00271D9F"/>
    <w:rsid w:val="002724F5"/>
    <w:rsid w:val="00272988"/>
    <w:rsid w:val="002737ED"/>
    <w:rsid w:val="00273BAC"/>
    <w:rsid w:val="002740D0"/>
    <w:rsid w:val="00274BE0"/>
    <w:rsid w:val="00275113"/>
    <w:rsid w:val="00275A59"/>
    <w:rsid w:val="002761AF"/>
    <w:rsid w:val="002763B3"/>
    <w:rsid w:val="00276593"/>
    <w:rsid w:val="0027670C"/>
    <w:rsid w:val="002767B5"/>
    <w:rsid w:val="00277638"/>
    <w:rsid w:val="002802E3"/>
    <w:rsid w:val="00280AF2"/>
    <w:rsid w:val="0028213D"/>
    <w:rsid w:val="002828FA"/>
    <w:rsid w:val="00282A7F"/>
    <w:rsid w:val="00285C7B"/>
    <w:rsid w:val="002862F1"/>
    <w:rsid w:val="00286C37"/>
    <w:rsid w:val="00286DDB"/>
    <w:rsid w:val="002874B7"/>
    <w:rsid w:val="00287C33"/>
    <w:rsid w:val="00290BD8"/>
    <w:rsid w:val="00291373"/>
    <w:rsid w:val="00292D10"/>
    <w:rsid w:val="00294354"/>
    <w:rsid w:val="002949BE"/>
    <w:rsid w:val="00295088"/>
    <w:rsid w:val="00295358"/>
    <w:rsid w:val="0029597D"/>
    <w:rsid w:val="002962C3"/>
    <w:rsid w:val="0029752B"/>
    <w:rsid w:val="00297C73"/>
    <w:rsid w:val="002A0A9C"/>
    <w:rsid w:val="002A1DB3"/>
    <w:rsid w:val="002A249E"/>
    <w:rsid w:val="002A28B4"/>
    <w:rsid w:val="002A2C90"/>
    <w:rsid w:val="002A337F"/>
    <w:rsid w:val="002A40FC"/>
    <w:rsid w:val="002A483C"/>
    <w:rsid w:val="002A49BE"/>
    <w:rsid w:val="002A4C8D"/>
    <w:rsid w:val="002A4F12"/>
    <w:rsid w:val="002A6DA8"/>
    <w:rsid w:val="002B0C7C"/>
    <w:rsid w:val="002B0E62"/>
    <w:rsid w:val="002B0F92"/>
    <w:rsid w:val="002B1729"/>
    <w:rsid w:val="002B1A18"/>
    <w:rsid w:val="002B2255"/>
    <w:rsid w:val="002B2FA8"/>
    <w:rsid w:val="002B36C7"/>
    <w:rsid w:val="002B3BB8"/>
    <w:rsid w:val="002B3D94"/>
    <w:rsid w:val="002B4DD4"/>
    <w:rsid w:val="002B5277"/>
    <w:rsid w:val="002B5375"/>
    <w:rsid w:val="002B5605"/>
    <w:rsid w:val="002B60F5"/>
    <w:rsid w:val="002B7006"/>
    <w:rsid w:val="002B724C"/>
    <w:rsid w:val="002B76E3"/>
    <w:rsid w:val="002B77C1"/>
    <w:rsid w:val="002C0132"/>
    <w:rsid w:val="002C0D1C"/>
    <w:rsid w:val="002C0ED7"/>
    <w:rsid w:val="002C24BA"/>
    <w:rsid w:val="002C2728"/>
    <w:rsid w:val="002C2BED"/>
    <w:rsid w:val="002C4AE0"/>
    <w:rsid w:val="002C4EDA"/>
    <w:rsid w:val="002C50AD"/>
    <w:rsid w:val="002C5B7C"/>
    <w:rsid w:val="002C6239"/>
    <w:rsid w:val="002C7088"/>
    <w:rsid w:val="002D1CD3"/>
    <w:rsid w:val="002D1E0D"/>
    <w:rsid w:val="002D2E91"/>
    <w:rsid w:val="002D2FD1"/>
    <w:rsid w:val="002D4106"/>
    <w:rsid w:val="002D4D0D"/>
    <w:rsid w:val="002D4E31"/>
    <w:rsid w:val="002D4F4F"/>
    <w:rsid w:val="002D5006"/>
    <w:rsid w:val="002D5383"/>
    <w:rsid w:val="002D6222"/>
    <w:rsid w:val="002D7C61"/>
    <w:rsid w:val="002E01D0"/>
    <w:rsid w:val="002E0784"/>
    <w:rsid w:val="002E161D"/>
    <w:rsid w:val="002E177B"/>
    <w:rsid w:val="002E1990"/>
    <w:rsid w:val="002E216A"/>
    <w:rsid w:val="002E28A2"/>
    <w:rsid w:val="002E3100"/>
    <w:rsid w:val="002E44A8"/>
    <w:rsid w:val="002E4731"/>
    <w:rsid w:val="002E5173"/>
    <w:rsid w:val="002E55B8"/>
    <w:rsid w:val="002E6C95"/>
    <w:rsid w:val="002E7560"/>
    <w:rsid w:val="002E7C36"/>
    <w:rsid w:val="002F1A24"/>
    <w:rsid w:val="002F1F08"/>
    <w:rsid w:val="002F2531"/>
    <w:rsid w:val="002F25A6"/>
    <w:rsid w:val="002F3135"/>
    <w:rsid w:val="002F3A0A"/>
    <w:rsid w:val="002F3D32"/>
    <w:rsid w:val="002F4D24"/>
    <w:rsid w:val="002F512E"/>
    <w:rsid w:val="002F5A0B"/>
    <w:rsid w:val="002F5F31"/>
    <w:rsid w:val="002F5F46"/>
    <w:rsid w:val="002F6D87"/>
    <w:rsid w:val="002F6FAE"/>
    <w:rsid w:val="002F71B3"/>
    <w:rsid w:val="00300470"/>
    <w:rsid w:val="0030133A"/>
    <w:rsid w:val="00302006"/>
    <w:rsid w:val="0030200F"/>
    <w:rsid w:val="00302216"/>
    <w:rsid w:val="0030331D"/>
    <w:rsid w:val="00303456"/>
    <w:rsid w:val="003036AC"/>
    <w:rsid w:val="00303E53"/>
    <w:rsid w:val="003058AE"/>
    <w:rsid w:val="00305CC1"/>
    <w:rsid w:val="00306E5F"/>
    <w:rsid w:val="003071BD"/>
    <w:rsid w:val="003072BB"/>
    <w:rsid w:val="003076AD"/>
    <w:rsid w:val="00307E14"/>
    <w:rsid w:val="00310751"/>
    <w:rsid w:val="00313B37"/>
    <w:rsid w:val="00314054"/>
    <w:rsid w:val="00315943"/>
    <w:rsid w:val="00316C59"/>
    <w:rsid w:val="00316F27"/>
    <w:rsid w:val="003176EF"/>
    <w:rsid w:val="00317A5B"/>
    <w:rsid w:val="003211E2"/>
    <w:rsid w:val="003214F1"/>
    <w:rsid w:val="00321BA3"/>
    <w:rsid w:val="00321F2A"/>
    <w:rsid w:val="00322C0F"/>
    <w:rsid w:val="00322E4B"/>
    <w:rsid w:val="003233B3"/>
    <w:rsid w:val="003236E0"/>
    <w:rsid w:val="003255FD"/>
    <w:rsid w:val="00327306"/>
    <w:rsid w:val="00327870"/>
    <w:rsid w:val="00327A4E"/>
    <w:rsid w:val="00327B59"/>
    <w:rsid w:val="00330A1C"/>
    <w:rsid w:val="00330AF2"/>
    <w:rsid w:val="00330B77"/>
    <w:rsid w:val="003312AF"/>
    <w:rsid w:val="0033259D"/>
    <w:rsid w:val="003333D2"/>
    <w:rsid w:val="00334686"/>
    <w:rsid w:val="00335295"/>
    <w:rsid w:val="0033553C"/>
    <w:rsid w:val="003360B7"/>
    <w:rsid w:val="00336BF6"/>
    <w:rsid w:val="00337214"/>
    <w:rsid w:val="00337339"/>
    <w:rsid w:val="00340345"/>
    <w:rsid w:val="003406C6"/>
    <w:rsid w:val="0034181B"/>
    <w:rsid w:val="003418CC"/>
    <w:rsid w:val="003434EE"/>
    <w:rsid w:val="003439D8"/>
    <w:rsid w:val="003449A5"/>
    <w:rsid w:val="00345923"/>
    <w:rsid w:val="003459BD"/>
    <w:rsid w:val="003468AF"/>
    <w:rsid w:val="0034697C"/>
    <w:rsid w:val="00346BAB"/>
    <w:rsid w:val="0034712D"/>
    <w:rsid w:val="00347463"/>
    <w:rsid w:val="003478AC"/>
    <w:rsid w:val="00350291"/>
    <w:rsid w:val="00350D38"/>
    <w:rsid w:val="00351B36"/>
    <w:rsid w:val="00351D57"/>
    <w:rsid w:val="00353087"/>
    <w:rsid w:val="0035309C"/>
    <w:rsid w:val="003538D3"/>
    <w:rsid w:val="0035773A"/>
    <w:rsid w:val="00357B4E"/>
    <w:rsid w:val="00360386"/>
    <w:rsid w:val="0036170B"/>
    <w:rsid w:val="003629B7"/>
    <w:rsid w:val="00364ADB"/>
    <w:rsid w:val="00365728"/>
    <w:rsid w:val="00365D8F"/>
    <w:rsid w:val="0036651C"/>
    <w:rsid w:val="003704DF"/>
    <w:rsid w:val="00370F08"/>
    <w:rsid w:val="003713BF"/>
    <w:rsid w:val="0037148B"/>
    <w:rsid w:val="003716FD"/>
    <w:rsid w:val="00371F6E"/>
    <w:rsid w:val="0037204B"/>
    <w:rsid w:val="003728B3"/>
    <w:rsid w:val="003735DB"/>
    <w:rsid w:val="00374352"/>
    <w:rsid w:val="003744CF"/>
    <w:rsid w:val="00374717"/>
    <w:rsid w:val="00374CDE"/>
    <w:rsid w:val="00374E0A"/>
    <w:rsid w:val="0037555B"/>
    <w:rsid w:val="0037676C"/>
    <w:rsid w:val="0037691A"/>
    <w:rsid w:val="00376A2E"/>
    <w:rsid w:val="00376D05"/>
    <w:rsid w:val="00377702"/>
    <w:rsid w:val="003777FE"/>
    <w:rsid w:val="00377986"/>
    <w:rsid w:val="00377AE4"/>
    <w:rsid w:val="00377B42"/>
    <w:rsid w:val="00381043"/>
    <w:rsid w:val="0038187B"/>
    <w:rsid w:val="0038237C"/>
    <w:rsid w:val="003829E5"/>
    <w:rsid w:val="0038565F"/>
    <w:rsid w:val="00386109"/>
    <w:rsid w:val="00386944"/>
    <w:rsid w:val="00387277"/>
    <w:rsid w:val="00387396"/>
    <w:rsid w:val="00387724"/>
    <w:rsid w:val="0039153D"/>
    <w:rsid w:val="003948B3"/>
    <w:rsid w:val="00394F2F"/>
    <w:rsid w:val="003956CC"/>
    <w:rsid w:val="00395C9A"/>
    <w:rsid w:val="00395DA4"/>
    <w:rsid w:val="003960E5"/>
    <w:rsid w:val="00397421"/>
    <w:rsid w:val="003976D1"/>
    <w:rsid w:val="0039777B"/>
    <w:rsid w:val="003A0240"/>
    <w:rsid w:val="003A0853"/>
    <w:rsid w:val="003A0C52"/>
    <w:rsid w:val="003A2065"/>
    <w:rsid w:val="003A2DE8"/>
    <w:rsid w:val="003A401D"/>
    <w:rsid w:val="003A57F6"/>
    <w:rsid w:val="003A5DBA"/>
    <w:rsid w:val="003A5E7E"/>
    <w:rsid w:val="003A5FEE"/>
    <w:rsid w:val="003A6B67"/>
    <w:rsid w:val="003A6F9E"/>
    <w:rsid w:val="003A7BF7"/>
    <w:rsid w:val="003A7DD7"/>
    <w:rsid w:val="003B13B6"/>
    <w:rsid w:val="003B14C3"/>
    <w:rsid w:val="003B14DE"/>
    <w:rsid w:val="003B15E6"/>
    <w:rsid w:val="003B1965"/>
    <w:rsid w:val="003B1D47"/>
    <w:rsid w:val="003B22EF"/>
    <w:rsid w:val="003B2659"/>
    <w:rsid w:val="003B31B0"/>
    <w:rsid w:val="003B408A"/>
    <w:rsid w:val="003B4BC2"/>
    <w:rsid w:val="003B4D9D"/>
    <w:rsid w:val="003B55C8"/>
    <w:rsid w:val="003B6592"/>
    <w:rsid w:val="003B6DC0"/>
    <w:rsid w:val="003B6DDD"/>
    <w:rsid w:val="003C03DA"/>
    <w:rsid w:val="003C08A2"/>
    <w:rsid w:val="003C154F"/>
    <w:rsid w:val="003C1AEE"/>
    <w:rsid w:val="003C2045"/>
    <w:rsid w:val="003C3CDC"/>
    <w:rsid w:val="003C43A1"/>
    <w:rsid w:val="003C4E81"/>
    <w:rsid w:val="003C4FC0"/>
    <w:rsid w:val="003C55F4"/>
    <w:rsid w:val="003C6C40"/>
    <w:rsid w:val="003C7501"/>
    <w:rsid w:val="003C7897"/>
    <w:rsid w:val="003C7A3F"/>
    <w:rsid w:val="003D1543"/>
    <w:rsid w:val="003D2766"/>
    <w:rsid w:val="003D2A74"/>
    <w:rsid w:val="003D2BD9"/>
    <w:rsid w:val="003D2E81"/>
    <w:rsid w:val="003D38A2"/>
    <w:rsid w:val="003D3D88"/>
    <w:rsid w:val="003D3E8F"/>
    <w:rsid w:val="003D4102"/>
    <w:rsid w:val="003D5F36"/>
    <w:rsid w:val="003D6475"/>
    <w:rsid w:val="003D6A43"/>
    <w:rsid w:val="003D6EE6"/>
    <w:rsid w:val="003E0BFE"/>
    <w:rsid w:val="003E11B6"/>
    <w:rsid w:val="003E3368"/>
    <w:rsid w:val="003E352C"/>
    <w:rsid w:val="003E375C"/>
    <w:rsid w:val="003E4086"/>
    <w:rsid w:val="003E4417"/>
    <w:rsid w:val="003E4D0D"/>
    <w:rsid w:val="003E53D6"/>
    <w:rsid w:val="003E5403"/>
    <w:rsid w:val="003E639E"/>
    <w:rsid w:val="003E71E5"/>
    <w:rsid w:val="003F0445"/>
    <w:rsid w:val="003F0CF0"/>
    <w:rsid w:val="003F14B1"/>
    <w:rsid w:val="003F15AB"/>
    <w:rsid w:val="003F1725"/>
    <w:rsid w:val="003F18EF"/>
    <w:rsid w:val="003F26B8"/>
    <w:rsid w:val="003F2ACD"/>
    <w:rsid w:val="003F2AEE"/>
    <w:rsid w:val="003F2B20"/>
    <w:rsid w:val="003F3289"/>
    <w:rsid w:val="003F3C62"/>
    <w:rsid w:val="003F4686"/>
    <w:rsid w:val="003F4947"/>
    <w:rsid w:val="003F4DCE"/>
    <w:rsid w:val="003F4E6B"/>
    <w:rsid w:val="003F58FD"/>
    <w:rsid w:val="003F5CB9"/>
    <w:rsid w:val="003F6234"/>
    <w:rsid w:val="003F6A31"/>
    <w:rsid w:val="003F757D"/>
    <w:rsid w:val="003F7E5B"/>
    <w:rsid w:val="004002A7"/>
    <w:rsid w:val="00400CA2"/>
    <w:rsid w:val="00400E89"/>
    <w:rsid w:val="004013C7"/>
    <w:rsid w:val="00401FCF"/>
    <w:rsid w:val="0040412F"/>
    <w:rsid w:val="00404AB1"/>
    <w:rsid w:val="00404C8C"/>
    <w:rsid w:val="004061CF"/>
    <w:rsid w:val="00406224"/>
    <w:rsid w:val="00406285"/>
    <w:rsid w:val="00406BF0"/>
    <w:rsid w:val="00406FE2"/>
    <w:rsid w:val="00407D12"/>
    <w:rsid w:val="004115A2"/>
    <w:rsid w:val="00411E7A"/>
    <w:rsid w:val="004148F9"/>
    <w:rsid w:val="00415C35"/>
    <w:rsid w:val="00416C3F"/>
    <w:rsid w:val="00416C72"/>
    <w:rsid w:val="00417BF4"/>
    <w:rsid w:val="0042005A"/>
    <w:rsid w:val="0042075A"/>
    <w:rsid w:val="0042084E"/>
    <w:rsid w:val="0042097B"/>
    <w:rsid w:val="00421410"/>
    <w:rsid w:val="00421C40"/>
    <w:rsid w:val="00421EEF"/>
    <w:rsid w:val="00421F13"/>
    <w:rsid w:val="00422111"/>
    <w:rsid w:val="00422A32"/>
    <w:rsid w:val="00422D21"/>
    <w:rsid w:val="00424544"/>
    <w:rsid w:val="00424837"/>
    <w:rsid w:val="00424C27"/>
    <w:rsid w:val="00424D65"/>
    <w:rsid w:val="0042526D"/>
    <w:rsid w:val="00425E19"/>
    <w:rsid w:val="00426D48"/>
    <w:rsid w:val="00430393"/>
    <w:rsid w:val="00431806"/>
    <w:rsid w:val="00431A70"/>
    <w:rsid w:val="00431E05"/>
    <w:rsid w:val="00431F42"/>
    <w:rsid w:val="00432576"/>
    <w:rsid w:val="004327B1"/>
    <w:rsid w:val="00433C91"/>
    <w:rsid w:val="004349C1"/>
    <w:rsid w:val="00436BD5"/>
    <w:rsid w:val="004373E2"/>
    <w:rsid w:val="0043745A"/>
    <w:rsid w:val="00437606"/>
    <w:rsid w:val="00437638"/>
    <w:rsid w:val="0044031C"/>
    <w:rsid w:val="00440E4B"/>
    <w:rsid w:val="00441391"/>
    <w:rsid w:val="00441A6E"/>
    <w:rsid w:val="00442C43"/>
    <w:rsid w:val="00442C6C"/>
    <w:rsid w:val="00442D87"/>
    <w:rsid w:val="00443CBE"/>
    <w:rsid w:val="00443E8A"/>
    <w:rsid w:val="004441BC"/>
    <w:rsid w:val="0044465E"/>
    <w:rsid w:val="00444681"/>
    <w:rsid w:val="0044490F"/>
    <w:rsid w:val="0044541A"/>
    <w:rsid w:val="004468B4"/>
    <w:rsid w:val="00446D86"/>
    <w:rsid w:val="00447B2E"/>
    <w:rsid w:val="00450734"/>
    <w:rsid w:val="0045096A"/>
    <w:rsid w:val="004515DD"/>
    <w:rsid w:val="0045230A"/>
    <w:rsid w:val="00453D88"/>
    <w:rsid w:val="004540A6"/>
    <w:rsid w:val="00454671"/>
    <w:rsid w:val="0045490A"/>
    <w:rsid w:val="00454AD0"/>
    <w:rsid w:val="00457337"/>
    <w:rsid w:val="004579EC"/>
    <w:rsid w:val="0046009D"/>
    <w:rsid w:val="00461963"/>
    <w:rsid w:val="00462A14"/>
    <w:rsid w:val="00462E3D"/>
    <w:rsid w:val="00462F4A"/>
    <w:rsid w:val="004645D4"/>
    <w:rsid w:val="004650E6"/>
    <w:rsid w:val="00466E79"/>
    <w:rsid w:val="004706B5"/>
    <w:rsid w:val="00470D7D"/>
    <w:rsid w:val="00472456"/>
    <w:rsid w:val="0047372D"/>
    <w:rsid w:val="00473BA3"/>
    <w:rsid w:val="00473D22"/>
    <w:rsid w:val="00474335"/>
    <w:rsid w:val="004743DD"/>
    <w:rsid w:val="00474CEA"/>
    <w:rsid w:val="00475D95"/>
    <w:rsid w:val="00480758"/>
    <w:rsid w:val="0048145D"/>
    <w:rsid w:val="004818F0"/>
    <w:rsid w:val="00482B79"/>
    <w:rsid w:val="00483968"/>
    <w:rsid w:val="004841BE"/>
    <w:rsid w:val="00484513"/>
    <w:rsid w:val="0048467C"/>
    <w:rsid w:val="00484923"/>
    <w:rsid w:val="00484B81"/>
    <w:rsid w:val="00484F86"/>
    <w:rsid w:val="00485381"/>
    <w:rsid w:val="00485E31"/>
    <w:rsid w:val="00485FD7"/>
    <w:rsid w:val="00486D39"/>
    <w:rsid w:val="00487CC5"/>
    <w:rsid w:val="00490184"/>
    <w:rsid w:val="00490746"/>
    <w:rsid w:val="00490852"/>
    <w:rsid w:val="004909EB"/>
    <w:rsid w:val="00491144"/>
    <w:rsid w:val="00491C9C"/>
    <w:rsid w:val="00492F30"/>
    <w:rsid w:val="00493982"/>
    <w:rsid w:val="00493F8C"/>
    <w:rsid w:val="004946F4"/>
    <w:rsid w:val="004947B8"/>
    <w:rsid w:val="0049487E"/>
    <w:rsid w:val="00495740"/>
    <w:rsid w:val="00495BD2"/>
    <w:rsid w:val="0049673C"/>
    <w:rsid w:val="00496A24"/>
    <w:rsid w:val="004A160D"/>
    <w:rsid w:val="004A263D"/>
    <w:rsid w:val="004A3E81"/>
    <w:rsid w:val="004A4195"/>
    <w:rsid w:val="004A5C62"/>
    <w:rsid w:val="004A5CE5"/>
    <w:rsid w:val="004A62FA"/>
    <w:rsid w:val="004A707D"/>
    <w:rsid w:val="004B0206"/>
    <w:rsid w:val="004B0974"/>
    <w:rsid w:val="004B2076"/>
    <w:rsid w:val="004B211E"/>
    <w:rsid w:val="004B25A0"/>
    <w:rsid w:val="004B25A9"/>
    <w:rsid w:val="004B25F8"/>
    <w:rsid w:val="004B4185"/>
    <w:rsid w:val="004B41A3"/>
    <w:rsid w:val="004B49A7"/>
    <w:rsid w:val="004B56E4"/>
    <w:rsid w:val="004B57A4"/>
    <w:rsid w:val="004B57C0"/>
    <w:rsid w:val="004C014B"/>
    <w:rsid w:val="004C0FE7"/>
    <w:rsid w:val="004C23A9"/>
    <w:rsid w:val="004C2D91"/>
    <w:rsid w:val="004C31E7"/>
    <w:rsid w:val="004C3DE2"/>
    <w:rsid w:val="004C5541"/>
    <w:rsid w:val="004C6934"/>
    <w:rsid w:val="004C6A76"/>
    <w:rsid w:val="004C6EEE"/>
    <w:rsid w:val="004C702B"/>
    <w:rsid w:val="004C7238"/>
    <w:rsid w:val="004C752E"/>
    <w:rsid w:val="004D0033"/>
    <w:rsid w:val="004D016B"/>
    <w:rsid w:val="004D062B"/>
    <w:rsid w:val="004D1B22"/>
    <w:rsid w:val="004D23CC"/>
    <w:rsid w:val="004D36F2"/>
    <w:rsid w:val="004D4C13"/>
    <w:rsid w:val="004D5DB7"/>
    <w:rsid w:val="004D620B"/>
    <w:rsid w:val="004D67DE"/>
    <w:rsid w:val="004D75AC"/>
    <w:rsid w:val="004D7DDC"/>
    <w:rsid w:val="004E07A0"/>
    <w:rsid w:val="004E1106"/>
    <w:rsid w:val="004E138F"/>
    <w:rsid w:val="004E1D06"/>
    <w:rsid w:val="004E31B9"/>
    <w:rsid w:val="004E4579"/>
    <w:rsid w:val="004E4642"/>
    <w:rsid w:val="004E4649"/>
    <w:rsid w:val="004E4EF4"/>
    <w:rsid w:val="004E5C2B"/>
    <w:rsid w:val="004E60EF"/>
    <w:rsid w:val="004E65F3"/>
    <w:rsid w:val="004F00DD"/>
    <w:rsid w:val="004F1DEE"/>
    <w:rsid w:val="004F2133"/>
    <w:rsid w:val="004F4ECB"/>
    <w:rsid w:val="004F51F5"/>
    <w:rsid w:val="004F5398"/>
    <w:rsid w:val="004F55F1"/>
    <w:rsid w:val="004F593E"/>
    <w:rsid w:val="004F6936"/>
    <w:rsid w:val="00500937"/>
    <w:rsid w:val="00500977"/>
    <w:rsid w:val="00500F70"/>
    <w:rsid w:val="00501294"/>
    <w:rsid w:val="00501752"/>
    <w:rsid w:val="00503DC6"/>
    <w:rsid w:val="005041A8"/>
    <w:rsid w:val="00505377"/>
    <w:rsid w:val="005062FD"/>
    <w:rsid w:val="00506C73"/>
    <w:rsid w:val="00506F5D"/>
    <w:rsid w:val="005071A2"/>
    <w:rsid w:val="005074EF"/>
    <w:rsid w:val="00507675"/>
    <w:rsid w:val="00507D89"/>
    <w:rsid w:val="0051054E"/>
    <w:rsid w:val="00510724"/>
    <w:rsid w:val="00510C37"/>
    <w:rsid w:val="0051148A"/>
    <w:rsid w:val="005124FB"/>
    <w:rsid w:val="00512548"/>
    <w:rsid w:val="005126D0"/>
    <w:rsid w:val="00512BA3"/>
    <w:rsid w:val="005133F5"/>
    <w:rsid w:val="0051383D"/>
    <w:rsid w:val="00514667"/>
    <w:rsid w:val="0051496E"/>
    <w:rsid w:val="0051568D"/>
    <w:rsid w:val="00516F6F"/>
    <w:rsid w:val="00517258"/>
    <w:rsid w:val="00517B86"/>
    <w:rsid w:val="00521D20"/>
    <w:rsid w:val="00521FCB"/>
    <w:rsid w:val="0052341A"/>
    <w:rsid w:val="00525A62"/>
    <w:rsid w:val="00526843"/>
    <w:rsid w:val="00526AC7"/>
    <w:rsid w:val="00526C15"/>
    <w:rsid w:val="00526F9B"/>
    <w:rsid w:val="005272D3"/>
    <w:rsid w:val="005277C9"/>
    <w:rsid w:val="0052C0D4"/>
    <w:rsid w:val="005305D5"/>
    <w:rsid w:val="005309D9"/>
    <w:rsid w:val="00530BF4"/>
    <w:rsid w:val="00531257"/>
    <w:rsid w:val="005319DA"/>
    <w:rsid w:val="00532F8C"/>
    <w:rsid w:val="00533714"/>
    <w:rsid w:val="00534B83"/>
    <w:rsid w:val="005363D8"/>
    <w:rsid w:val="00536499"/>
    <w:rsid w:val="005364DD"/>
    <w:rsid w:val="0053785A"/>
    <w:rsid w:val="00537E7D"/>
    <w:rsid w:val="00542A03"/>
    <w:rsid w:val="00543903"/>
    <w:rsid w:val="00543BCC"/>
    <w:rsid w:val="00543F11"/>
    <w:rsid w:val="00546305"/>
    <w:rsid w:val="005463B0"/>
    <w:rsid w:val="00547A95"/>
    <w:rsid w:val="00550AF4"/>
    <w:rsid w:val="0055119B"/>
    <w:rsid w:val="00551200"/>
    <w:rsid w:val="005518D1"/>
    <w:rsid w:val="00551E02"/>
    <w:rsid w:val="005534A1"/>
    <w:rsid w:val="005538B8"/>
    <w:rsid w:val="00553BDA"/>
    <w:rsid w:val="00554A67"/>
    <w:rsid w:val="00555C72"/>
    <w:rsid w:val="005560B1"/>
    <w:rsid w:val="00556761"/>
    <w:rsid w:val="00556C96"/>
    <w:rsid w:val="00560678"/>
    <w:rsid w:val="00561202"/>
    <w:rsid w:val="0056150C"/>
    <w:rsid w:val="00562503"/>
    <w:rsid w:val="00562507"/>
    <w:rsid w:val="00562811"/>
    <w:rsid w:val="005639DB"/>
    <w:rsid w:val="00564756"/>
    <w:rsid w:val="00564843"/>
    <w:rsid w:val="005659AD"/>
    <w:rsid w:val="00565B80"/>
    <w:rsid w:val="00570253"/>
    <w:rsid w:val="00571BB0"/>
    <w:rsid w:val="00572031"/>
    <w:rsid w:val="0057217B"/>
    <w:rsid w:val="00572282"/>
    <w:rsid w:val="00573CE3"/>
    <w:rsid w:val="00574C47"/>
    <w:rsid w:val="00575B73"/>
    <w:rsid w:val="00576E84"/>
    <w:rsid w:val="00576FA0"/>
    <w:rsid w:val="005775A0"/>
    <w:rsid w:val="00580394"/>
    <w:rsid w:val="005809CD"/>
    <w:rsid w:val="00580F94"/>
    <w:rsid w:val="00581137"/>
    <w:rsid w:val="00581185"/>
    <w:rsid w:val="00582B8C"/>
    <w:rsid w:val="00583B4C"/>
    <w:rsid w:val="00583EF5"/>
    <w:rsid w:val="0058444C"/>
    <w:rsid w:val="00584FF3"/>
    <w:rsid w:val="00586664"/>
    <w:rsid w:val="00586B79"/>
    <w:rsid w:val="00586E88"/>
    <w:rsid w:val="0058757E"/>
    <w:rsid w:val="0058768B"/>
    <w:rsid w:val="00590314"/>
    <w:rsid w:val="00590763"/>
    <w:rsid w:val="005908ED"/>
    <w:rsid w:val="00592379"/>
    <w:rsid w:val="00592BD3"/>
    <w:rsid w:val="00592F26"/>
    <w:rsid w:val="00594308"/>
    <w:rsid w:val="00596A4B"/>
    <w:rsid w:val="00597507"/>
    <w:rsid w:val="005A0C43"/>
    <w:rsid w:val="005A0D8C"/>
    <w:rsid w:val="005A1552"/>
    <w:rsid w:val="005A159C"/>
    <w:rsid w:val="005A36F9"/>
    <w:rsid w:val="005A4758"/>
    <w:rsid w:val="005A479D"/>
    <w:rsid w:val="005A5982"/>
    <w:rsid w:val="005A643B"/>
    <w:rsid w:val="005A669E"/>
    <w:rsid w:val="005A7B5D"/>
    <w:rsid w:val="005B0ECB"/>
    <w:rsid w:val="005B19D2"/>
    <w:rsid w:val="005B1C6D"/>
    <w:rsid w:val="005B21B6"/>
    <w:rsid w:val="005B3A08"/>
    <w:rsid w:val="005B5983"/>
    <w:rsid w:val="005B59C2"/>
    <w:rsid w:val="005B5B7D"/>
    <w:rsid w:val="005B5F1E"/>
    <w:rsid w:val="005B6A93"/>
    <w:rsid w:val="005B6AB9"/>
    <w:rsid w:val="005B6E0A"/>
    <w:rsid w:val="005B6F46"/>
    <w:rsid w:val="005B7551"/>
    <w:rsid w:val="005B7A63"/>
    <w:rsid w:val="005C01EB"/>
    <w:rsid w:val="005C0955"/>
    <w:rsid w:val="005C1097"/>
    <w:rsid w:val="005C1F3F"/>
    <w:rsid w:val="005C2A2A"/>
    <w:rsid w:val="005C3187"/>
    <w:rsid w:val="005C395C"/>
    <w:rsid w:val="005C3DFA"/>
    <w:rsid w:val="005C49DA"/>
    <w:rsid w:val="005C50F3"/>
    <w:rsid w:val="005C54B5"/>
    <w:rsid w:val="005C54F2"/>
    <w:rsid w:val="005C5955"/>
    <w:rsid w:val="005C5D80"/>
    <w:rsid w:val="005C5D91"/>
    <w:rsid w:val="005C600E"/>
    <w:rsid w:val="005C6181"/>
    <w:rsid w:val="005C7393"/>
    <w:rsid w:val="005C77EF"/>
    <w:rsid w:val="005C7BC9"/>
    <w:rsid w:val="005C7C2D"/>
    <w:rsid w:val="005D07B8"/>
    <w:rsid w:val="005D0ABA"/>
    <w:rsid w:val="005D1468"/>
    <w:rsid w:val="005D16A0"/>
    <w:rsid w:val="005D3D28"/>
    <w:rsid w:val="005D584A"/>
    <w:rsid w:val="005D5870"/>
    <w:rsid w:val="005D5C02"/>
    <w:rsid w:val="005D642E"/>
    <w:rsid w:val="005D64FA"/>
    <w:rsid w:val="005D6597"/>
    <w:rsid w:val="005E0CF4"/>
    <w:rsid w:val="005E13F0"/>
    <w:rsid w:val="005E14E7"/>
    <w:rsid w:val="005E26A3"/>
    <w:rsid w:val="005E2ECB"/>
    <w:rsid w:val="005E31C9"/>
    <w:rsid w:val="005E447E"/>
    <w:rsid w:val="005E4FD1"/>
    <w:rsid w:val="005E4FD4"/>
    <w:rsid w:val="005E5F43"/>
    <w:rsid w:val="005E68FD"/>
    <w:rsid w:val="005E7605"/>
    <w:rsid w:val="005E7DA6"/>
    <w:rsid w:val="005F0775"/>
    <w:rsid w:val="005F0CF5"/>
    <w:rsid w:val="005F0EDC"/>
    <w:rsid w:val="005F1AC5"/>
    <w:rsid w:val="005F21EB"/>
    <w:rsid w:val="005F357C"/>
    <w:rsid w:val="005F37B6"/>
    <w:rsid w:val="005F4442"/>
    <w:rsid w:val="005F4C6B"/>
    <w:rsid w:val="005F6488"/>
    <w:rsid w:val="005F64CF"/>
    <w:rsid w:val="005F6E48"/>
    <w:rsid w:val="005F76EE"/>
    <w:rsid w:val="005F7C26"/>
    <w:rsid w:val="006018FA"/>
    <w:rsid w:val="00603DCB"/>
    <w:rsid w:val="00604121"/>
    <w:rsid w:val="006041AD"/>
    <w:rsid w:val="00604955"/>
    <w:rsid w:val="006057B9"/>
    <w:rsid w:val="00605908"/>
    <w:rsid w:val="006062FA"/>
    <w:rsid w:val="006071AC"/>
    <w:rsid w:val="00607850"/>
    <w:rsid w:val="00607EF7"/>
    <w:rsid w:val="00610A2D"/>
    <w:rsid w:val="00610D7C"/>
    <w:rsid w:val="00611739"/>
    <w:rsid w:val="00611BB2"/>
    <w:rsid w:val="0061267D"/>
    <w:rsid w:val="00613414"/>
    <w:rsid w:val="00613672"/>
    <w:rsid w:val="00613C3B"/>
    <w:rsid w:val="00616285"/>
    <w:rsid w:val="006169FE"/>
    <w:rsid w:val="00620154"/>
    <w:rsid w:val="00620382"/>
    <w:rsid w:val="0062408D"/>
    <w:rsid w:val="006240CC"/>
    <w:rsid w:val="00624940"/>
    <w:rsid w:val="00624D08"/>
    <w:rsid w:val="006254F8"/>
    <w:rsid w:val="00625CE6"/>
    <w:rsid w:val="0062767D"/>
    <w:rsid w:val="00627DA7"/>
    <w:rsid w:val="00630071"/>
    <w:rsid w:val="00630DA4"/>
    <w:rsid w:val="00630DF5"/>
    <w:rsid w:val="00631CD4"/>
    <w:rsid w:val="006323A4"/>
    <w:rsid w:val="00632597"/>
    <w:rsid w:val="00632BE8"/>
    <w:rsid w:val="006336FF"/>
    <w:rsid w:val="00633B9E"/>
    <w:rsid w:val="006348F9"/>
    <w:rsid w:val="00634D13"/>
    <w:rsid w:val="0063509B"/>
    <w:rsid w:val="006351D5"/>
    <w:rsid w:val="006351E6"/>
    <w:rsid w:val="006358B4"/>
    <w:rsid w:val="00636624"/>
    <w:rsid w:val="006402E8"/>
    <w:rsid w:val="00641724"/>
    <w:rsid w:val="006419AA"/>
    <w:rsid w:val="006419BD"/>
    <w:rsid w:val="006428AD"/>
    <w:rsid w:val="00642FB5"/>
    <w:rsid w:val="006435DB"/>
    <w:rsid w:val="00643FC5"/>
    <w:rsid w:val="00644B1F"/>
    <w:rsid w:val="00644B7E"/>
    <w:rsid w:val="006454E6"/>
    <w:rsid w:val="00645991"/>
    <w:rsid w:val="00646235"/>
    <w:rsid w:val="00646A68"/>
    <w:rsid w:val="00646C75"/>
    <w:rsid w:val="006500D0"/>
    <w:rsid w:val="0065015E"/>
    <w:rsid w:val="006505BD"/>
    <w:rsid w:val="006508EA"/>
    <w:rsid w:val="0065092E"/>
    <w:rsid w:val="006516E8"/>
    <w:rsid w:val="00652548"/>
    <w:rsid w:val="00652933"/>
    <w:rsid w:val="00653E6A"/>
    <w:rsid w:val="00654716"/>
    <w:rsid w:val="006557A7"/>
    <w:rsid w:val="00655EAD"/>
    <w:rsid w:val="00656290"/>
    <w:rsid w:val="00657012"/>
    <w:rsid w:val="006575D2"/>
    <w:rsid w:val="00660123"/>
    <w:rsid w:val="006601C9"/>
    <w:rsid w:val="006604D0"/>
    <w:rsid w:val="006608D8"/>
    <w:rsid w:val="006613A1"/>
    <w:rsid w:val="00661FE4"/>
    <w:rsid w:val="006621D7"/>
    <w:rsid w:val="00662212"/>
    <w:rsid w:val="00662639"/>
    <w:rsid w:val="00662B15"/>
    <w:rsid w:val="0066302A"/>
    <w:rsid w:val="00663886"/>
    <w:rsid w:val="00664003"/>
    <w:rsid w:val="00664A7A"/>
    <w:rsid w:val="00666DC6"/>
    <w:rsid w:val="00667770"/>
    <w:rsid w:val="0066790E"/>
    <w:rsid w:val="0067036B"/>
    <w:rsid w:val="00670597"/>
    <w:rsid w:val="006706D0"/>
    <w:rsid w:val="006708BB"/>
    <w:rsid w:val="006711B5"/>
    <w:rsid w:val="00671AC9"/>
    <w:rsid w:val="006745E1"/>
    <w:rsid w:val="00675369"/>
    <w:rsid w:val="00675AFA"/>
    <w:rsid w:val="00675FF6"/>
    <w:rsid w:val="00676D93"/>
    <w:rsid w:val="00677485"/>
    <w:rsid w:val="00677574"/>
    <w:rsid w:val="00677A31"/>
    <w:rsid w:val="006802F3"/>
    <w:rsid w:val="006812ED"/>
    <w:rsid w:val="006816E8"/>
    <w:rsid w:val="00682204"/>
    <w:rsid w:val="00683878"/>
    <w:rsid w:val="00683C13"/>
    <w:rsid w:val="00684380"/>
    <w:rsid w:val="0068452E"/>
    <w:rsid w:val="0068454C"/>
    <w:rsid w:val="00684E94"/>
    <w:rsid w:val="006852FD"/>
    <w:rsid w:val="00686D0D"/>
    <w:rsid w:val="00687153"/>
    <w:rsid w:val="00687E91"/>
    <w:rsid w:val="00690D75"/>
    <w:rsid w:val="00691174"/>
    <w:rsid w:val="00691B62"/>
    <w:rsid w:val="006933B5"/>
    <w:rsid w:val="00693546"/>
    <w:rsid w:val="0069384E"/>
    <w:rsid w:val="00693D14"/>
    <w:rsid w:val="0069442A"/>
    <w:rsid w:val="00695F2F"/>
    <w:rsid w:val="00696F27"/>
    <w:rsid w:val="006A18C2"/>
    <w:rsid w:val="006A2717"/>
    <w:rsid w:val="006A2A7D"/>
    <w:rsid w:val="006A30B8"/>
    <w:rsid w:val="006A31FC"/>
    <w:rsid w:val="006A3383"/>
    <w:rsid w:val="006A5D9A"/>
    <w:rsid w:val="006B0228"/>
    <w:rsid w:val="006B077C"/>
    <w:rsid w:val="006B0791"/>
    <w:rsid w:val="006B0C81"/>
    <w:rsid w:val="006B1A88"/>
    <w:rsid w:val="006B427D"/>
    <w:rsid w:val="006B44E4"/>
    <w:rsid w:val="006B5376"/>
    <w:rsid w:val="006B6803"/>
    <w:rsid w:val="006B753D"/>
    <w:rsid w:val="006B7808"/>
    <w:rsid w:val="006C00EE"/>
    <w:rsid w:val="006C0DAF"/>
    <w:rsid w:val="006C174E"/>
    <w:rsid w:val="006C4D51"/>
    <w:rsid w:val="006C694B"/>
    <w:rsid w:val="006D0CAB"/>
    <w:rsid w:val="006D0F16"/>
    <w:rsid w:val="006D2A3F"/>
    <w:rsid w:val="006D2ED1"/>
    <w:rsid w:val="006D2FBC"/>
    <w:rsid w:val="006D306B"/>
    <w:rsid w:val="006D3EF9"/>
    <w:rsid w:val="006D41D6"/>
    <w:rsid w:val="006D561A"/>
    <w:rsid w:val="006D5780"/>
    <w:rsid w:val="006D62CD"/>
    <w:rsid w:val="006D6414"/>
    <w:rsid w:val="006D691F"/>
    <w:rsid w:val="006D6E34"/>
    <w:rsid w:val="006D7977"/>
    <w:rsid w:val="006E0A9C"/>
    <w:rsid w:val="006E138B"/>
    <w:rsid w:val="006E1867"/>
    <w:rsid w:val="006E2153"/>
    <w:rsid w:val="006E3167"/>
    <w:rsid w:val="006E374B"/>
    <w:rsid w:val="006E483E"/>
    <w:rsid w:val="006E4E98"/>
    <w:rsid w:val="006E582B"/>
    <w:rsid w:val="006E5B36"/>
    <w:rsid w:val="006E5D39"/>
    <w:rsid w:val="006E6A8C"/>
    <w:rsid w:val="006E749B"/>
    <w:rsid w:val="006E788C"/>
    <w:rsid w:val="006F0330"/>
    <w:rsid w:val="006F1FDC"/>
    <w:rsid w:val="006F4A94"/>
    <w:rsid w:val="006F4E30"/>
    <w:rsid w:val="006F53FD"/>
    <w:rsid w:val="006F58A9"/>
    <w:rsid w:val="006F648A"/>
    <w:rsid w:val="006F6B76"/>
    <w:rsid w:val="006F6B8C"/>
    <w:rsid w:val="006F74D4"/>
    <w:rsid w:val="00700B39"/>
    <w:rsid w:val="00701160"/>
    <w:rsid w:val="007013EF"/>
    <w:rsid w:val="00702066"/>
    <w:rsid w:val="00702224"/>
    <w:rsid w:val="007036DC"/>
    <w:rsid w:val="00704B40"/>
    <w:rsid w:val="00704F6B"/>
    <w:rsid w:val="00705205"/>
    <w:rsid w:val="007055BD"/>
    <w:rsid w:val="0070636C"/>
    <w:rsid w:val="007071E3"/>
    <w:rsid w:val="00707412"/>
    <w:rsid w:val="00710DD6"/>
    <w:rsid w:val="00712A94"/>
    <w:rsid w:val="00713D15"/>
    <w:rsid w:val="00713F10"/>
    <w:rsid w:val="00715A28"/>
    <w:rsid w:val="0071641D"/>
    <w:rsid w:val="00716E30"/>
    <w:rsid w:val="007173CA"/>
    <w:rsid w:val="00721472"/>
    <w:rsid w:val="007216AA"/>
    <w:rsid w:val="00721AB5"/>
    <w:rsid w:val="00721C72"/>
    <w:rsid w:val="00721CFB"/>
    <w:rsid w:val="00721DEF"/>
    <w:rsid w:val="007229C4"/>
    <w:rsid w:val="00723252"/>
    <w:rsid w:val="007247EF"/>
    <w:rsid w:val="00724A43"/>
    <w:rsid w:val="00724A6A"/>
    <w:rsid w:val="007273AC"/>
    <w:rsid w:val="00730EE0"/>
    <w:rsid w:val="00731AD4"/>
    <w:rsid w:val="007320A6"/>
    <w:rsid w:val="0073275B"/>
    <w:rsid w:val="00732FA5"/>
    <w:rsid w:val="00733B8F"/>
    <w:rsid w:val="00733FF4"/>
    <w:rsid w:val="007340EB"/>
    <w:rsid w:val="007346E4"/>
    <w:rsid w:val="00735472"/>
    <w:rsid w:val="00735564"/>
    <w:rsid w:val="0073609A"/>
    <w:rsid w:val="00736BD3"/>
    <w:rsid w:val="007372C8"/>
    <w:rsid w:val="00737F64"/>
    <w:rsid w:val="00740F22"/>
    <w:rsid w:val="0074192B"/>
    <w:rsid w:val="00741B30"/>
    <w:rsid w:val="00741CF0"/>
    <w:rsid w:val="00741F1A"/>
    <w:rsid w:val="007437A3"/>
    <w:rsid w:val="0074429D"/>
    <w:rsid w:val="007447DA"/>
    <w:rsid w:val="00744AD8"/>
    <w:rsid w:val="007450F8"/>
    <w:rsid w:val="0074520D"/>
    <w:rsid w:val="0074696E"/>
    <w:rsid w:val="00750135"/>
    <w:rsid w:val="007501E0"/>
    <w:rsid w:val="00750D1A"/>
    <w:rsid w:val="00750EC2"/>
    <w:rsid w:val="00752091"/>
    <w:rsid w:val="0075209B"/>
    <w:rsid w:val="00752702"/>
    <w:rsid w:val="00752B28"/>
    <w:rsid w:val="007536BC"/>
    <w:rsid w:val="00753B1B"/>
    <w:rsid w:val="00753DE1"/>
    <w:rsid w:val="007541A9"/>
    <w:rsid w:val="00754601"/>
    <w:rsid w:val="00754E36"/>
    <w:rsid w:val="007556AA"/>
    <w:rsid w:val="00755A6D"/>
    <w:rsid w:val="0075627B"/>
    <w:rsid w:val="007563F4"/>
    <w:rsid w:val="00757FDA"/>
    <w:rsid w:val="007614F3"/>
    <w:rsid w:val="007625DD"/>
    <w:rsid w:val="00763139"/>
    <w:rsid w:val="00770F37"/>
    <w:rsid w:val="007711A0"/>
    <w:rsid w:val="007713D8"/>
    <w:rsid w:val="00771B94"/>
    <w:rsid w:val="00772D5E"/>
    <w:rsid w:val="00773683"/>
    <w:rsid w:val="0077463E"/>
    <w:rsid w:val="0077547A"/>
    <w:rsid w:val="00776928"/>
    <w:rsid w:val="00776D56"/>
    <w:rsid w:val="00776E0F"/>
    <w:rsid w:val="00776E59"/>
    <w:rsid w:val="007774B1"/>
    <w:rsid w:val="00777BE1"/>
    <w:rsid w:val="007803FA"/>
    <w:rsid w:val="00780980"/>
    <w:rsid w:val="00782222"/>
    <w:rsid w:val="007823AE"/>
    <w:rsid w:val="007833D8"/>
    <w:rsid w:val="00785677"/>
    <w:rsid w:val="007868FD"/>
    <w:rsid w:val="00786F16"/>
    <w:rsid w:val="007900BA"/>
    <w:rsid w:val="007912E8"/>
    <w:rsid w:val="007915AB"/>
    <w:rsid w:val="00791672"/>
    <w:rsid w:val="00791B87"/>
    <w:rsid w:val="00791BD7"/>
    <w:rsid w:val="00791C2D"/>
    <w:rsid w:val="007933F7"/>
    <w:rsid w:val="00793670"/>
    <w:rsid w:val="00793A03"/>
    <w:rsid w:val="007940C7"/>
    <w:rsid w:val="007961C4"/>
    <w:rsid w:val="00796E20"/>
    <w:rsid w:val="007971DC"/>
    <w:rsid w:val="00797C32"/>
    <w:rsid w:val="007A0C09"/>
    <w:rsid w:val="007A0DED"/>
    <w:rsid w:val="007A11E8"/>
    <w:rsid w:val="007A3D50"/>
    <w:rsid w:val="007A416C"/>
    <w:rsid w:val="007A46E4"/>
    <w:rsid w:val="007A60DF"/>
    <w:rsid w:val="007A70DB"/>
    <w:rsid w:val="007A7BCD"/>
    <w:rsid w:val="007B0914"/>
    <w:rsid w:val="007B0BE5"/>
    <w:rsid w:val="007B1374"/>
    <w:rsid w:val="007B1EFA"/>
    <w:rsid w:val="007B280D"/>
    <w:rsid w:val="007B311E"/>
    <w:rsid w:val="007B32E5"/>
    <w:rsid w:val="007B3848"/>
    <w:rsid w:val="007B3DB9"/>
    <w:rsid w:val="007B4519"/>
    <w:rsid w:val="007B5802"/>
    <w:rsid w:val="007B589F"/>
    <w:rsid w:val="007B6186"/>
    <w:rsid w:val="007B6543"/>
    <w:rsid w:val="007B671F"/>
    <w:rsid w:val="007B67EE"/>
    <w:rsid w:val="007B6B53"/>
    <w:rsid w:val="007B70B4"/>
    <w:rsid w:val="007B73BC"/>
    <w:rsid w:val="007B7E53"/>
    <w:rsid w:val="007C0727"/>
    <w:rsid w:val="007C1838"/>
    <w:rsid w:val="007C1879"/>
    <w:rsid w:val="007C1968"/>
    <w:rsid w:val="007C20B9"/>
    <w:rsid w:val="007C2722"/>
    <w:rsid w:val="007C59F9"/>
    <w:rsid w:val="007C6277"/>
    <w:rsid w:val="007C65FB"/>
    <w:rsid w:val="007C6940"/>
    <w:rsid w:val="007C7301"/>
    <w:rsid w:val="007C7859"/>
    <w:rsid w:val="007C7F28"/>
    <w:rsid w:val="007D1466"/>
    <w:rsid w:val="007D18CE"/>
    <w:rsid w:val="007D2BDE"/>
    <w:rsid w:val="007D2E75"/>
    <w:rsid w:val="007D2EB5"/>
    <w:rsid w:val="007D2FB6"/>
    <w:rsid w:val="007D3FF3"/>
    <w:rsid w:val="007D46D6"/>
    <w:rsid w:val="007D49EB"/>
    <w:rsid w:val="007D4BA1"/>
    <w:rsid w:val="007D5E1C"/>
    <w:rsid w:val="007D6032"/>
    <w:rsid w:val="007D69CE"/>
    <w:rsid w:val="007E003A"/>
    <w:rsid w:val="007E09CE"/>
    <w:rsid w:val="007E0DE2"/>
    <w:rsid w:val="007E0EE0"/>
    <w:rsid w:val="007E30DA"/>
    <w:rsid w:val="007E3667"/>
    <w:rsid w:val="007E36DB"/>
    <w:rsid w:val="007E38C9"/>
    <w:rsid w:val="007E3B98"/>
    <w:rsid w:val="007E417A"/>
    <w:rsid w:val="007E42B2"/>
    <w:rsid w:val="007E559C"/>
    <w:rsid w:val="007E5F38"/>
    <w:rsid w:val="007E69DB"/>
    <w:rsid w:val="007E76B4"/>
    <w:rsid w:val="007E79A7"/>
    <w:rsid w:val="007F0A9C"/>
    <w:rsid w:val="007F27A6"/>
    <w:rsid w:val="007F2EC6"/>
    <w:rsid w:val="007F31B6"/>
    <w:rsid w:val="007F35F1"/>
    <w:rsid w:val="007F3B04"/>
    <w:rsid w:val="007F445E"/>
    <w:rsid w:val="007F4884"/>
    <w:rsid w:val="007F546C"/>
    <w:rsid w:val="007F56BF"/>
    <w:rsid w:val="007F625F"/>
    <w:rsid w:val="007F665E"/>
    <w:rsid w:val="007F6953"/>
    <w:rsid w:val="00800412"/>
    <w:rsid w:val="008005D8"/>
    <w:rsid w:val="00801EB4"/>
    <w:rsid w:val="00802DBA"/>
    <w:rsid w:val="00803198"/>
    <w:rsid w:val="008048F4"/>
    <w:rsid w:val="00805576"/>
    <w:rsid w:val="0080587B"/>
    <w:rsid w:val="00806468"/>
    <w:rsid w:val="008069E2"/>
    <w:rsid w:val="00806AF0"/>
    <w:rsid w:val="0080718D"/>
    <w:rsid w:val="00807A3C"/>
    <w:rsid w:val="008108CA"/>
    <w:rsid w:val="00810DA7"/>
    <w:rsid w:val="00811584"/>
    <w:rsid w:val="008119CA"/>
    <w:rsid w:val="00812322"/>
    <w:rsid w:val="008130C4"/>
    <w:rsid w:val="00814753"/>
    <w:rsid w:val="008155F0"/>
    <w:rsid w:val="00816735"/>
    <w:rsid w:val="00816760"/>
    <w:rsid w:val="00816A25"/>
    <w:rsid w:val="00816B24"/>
    <w:rsid w:val="00817045"/>
    <w:rsid w:val="0081778C"/>
    <w:rsid w:val="00820081"/>
    <w:rsid w:val="00820141"/>
    <w:rsid w:val="008204C3"/>
    <w:rsid w:val="00820801"/>
    <w:rsid w:val="00820E0C"/>
    <w:rsid w:val="00821180"/>
    <w:rsid w:val="0082294D"/>
    <w:rsid w:val="00823275"/>
    <w:rsid w:val="0082366F"/>
    <w:rsid w:val="00825DE5"/>
    <w:rsid w:val="00827A79"/>
    <w:rsid w:val="00831B47"/>
    <w:rsid w:val="00831EFD"/>
    <w:rsid w:val="008338A2"/>
    <w:rsid w:val="00833D10"/>
    <w:rsid w:val="00833E00"/>
    <w:rsid w:val="0083509F"/>
    <w:rsid w:val="00835190"/>
    <w:rsid w:val="00837AFD"/>
    <w:rsid w:val="008415DC"/>
    <w:rsid w:val="00841AA9"/>
    <w:rsid w:val="008434AC"/>
    <w:rsid w:val="00843662"/>
    <w:rsid w:val="008444C8"/>
    <w:rsid w:val="00845434"/>
    <w:rsid w:val="00845A6A"/>
    <w:rsid w:val="00845DFF"/>
    <w:rsid w:val="0084694D"/>
    <w:rsid w:val="00846F67"/>
    <w:rsid w:val="008474FE"/>
    <w:rsid w:val="00850105"/>
    <w:rsid w:val="00851423"/>
    <w:rsid w:val="008531B7"/>
    <w:rsid w:val="00853D15"/>
    <w:rsid w:val="00853EE4"/>
    <w:rsid w:val="00854700"/>
    <w:rsid w:val="008550FD"/>
    <w:rsid w:val="00855535"/>
    <w:rsid w:val="0085792F"/>
    <w:rsid w:val="00857C5A"/>
    <w:rsid w:val="00860558"/>
    <w:rsid w:val="00860A3D"/>
    <w:rsid w:val="0086251B"/>
    <w:rsid w:val="0086255E"/>
    <w:rsid w:val="00862E89"/>
    <w:rsid w:val="008633F0"/>
    <w:rsid w:val="00863B7C"/>
    <w:rsid w:val="008641A0"/>
    <w:rsid w:val="00867D9D"/>
    <w:rsid w:val="0087071D"/>
    <w:rsid w:val="00872251"/>
    <w:rsid w:val="00872263"/>
    <w:rsid w:val="00872E0A"/>
    <w:rsid w:val="00873161"/>
    <w:rsid w:val="00873265"/>
    <w:rsid w:val="00873594"/>
    <w:rsid w:val="008738F1"/>
    <w:rsid w:val="0087418A"/>
    <w:rsid w:val="00874647"/>
    <w:rsid w:val="008749C0"/>
    <w:rsid w:val="00874A0C"/>
    <w:rsid w:val="00874B28"/>
    <w:rsid w:val="00875285"/>
    <w:rsid w:val="00877635"/>
    <w:rsid w:val="008800F4"/>
    <w:rsid w:val="008802F8"/>
    <w:rsid w:val="00880934"/>
    <w:rsid w:val="008823C2"/>
    <w:rsid w:val="00884B62"/>
    <w:rsid w:val="0088529C"/>
    <w:rsid w:val="008858E7"/>
    <w:rsid w:val="008860B1"/>
    <w:rsid w:val="00886DE6"/>
    <w:rsid w:val="00887903"/>
    <w:rsid w:val="0088799C"/>
    <w:rsid w:val="00890888"/>
    <w:rsid w:val="00891268"/>
    <w:rsid w:val="0089270A"/>
    <w:rsid w:val="00892B8C"/>
    <w:rsid w:val="0089367F"/>
    <w:rsid w:val="00893AF6"/>
    <w:rsid w:val="00894BC4"/>
    <w:rsid w:val="0089563A"/>
    <w:rsid w:val="00896890"/>
    <w:rsid w:val="008968A5"/>
    <w:rsid w:val="00896C7D"/>
    <w:rsid w:val="00897142"/>
    <w:rsid w:val="008971B6"/>
    <w:rsid w:val="008A09F8"/>
    <w:rsid w:val="008A1658"/>
    <w:rsid w:val="008A28A8"/>
    <w:rsid w:val="008A3139"/>
    <w:rsid w:val="008A45C4"/>
    <w:rsid w:val="008A4E74"/>
    <w:rsid w:val="008A5315"/>
    <w:rsid w:val="008A5B32"/>
    <w:rsid w:val="008A5C2E"/>
    <w:rsid w:val="008A6051"/>
    <w:rsid w:val="008A6FF0"/>
    <w:rsid w:val="008A7C0D"/>
    <w:rsid w:val="008B10D3"/>
    <w:rsid w:val="008B1496"/>
    <w:rsid w:val="008B2029"/>
    <w:rsid w:val="008B2EE4"/>
    <w:rsid w:val="008B3821"/>
    <w:rsid w:val="008B3E31"/>
    <w:rsid w:val="008B4D3D"/>
    <w:rsid w:val="008B57C7"/>
    <w:rsid w:val="008B70E8"/>
    <w:rsid w:val="008B7313"/>
    <w:rsid w:val="008B784C"/>
    <w:rsid w:val="008B78F7"/>
    <w:rsid w:val="008C1083"/>
    <w:rsid w:val="008C1D3B"/>
    <w:rsid w:val="008C29FC"/>
    <w:rsid w:val="008C2F92"/>
    <w:rsid w:val="008C32BC"/>
    <w:rsid w:val="008C34D0"/>
    <w:rsid w:val="008C3546"/>
    <w:rsid w:val="008C3B40"/>
    <w:rsid w:val="008C3EEF"/>
    <w:rsid w:val="008C582F"/>
    <w:rsid w:val="008C589D"/>
    <w:rsid w:val="008C5C74"/>
    <w:rsid w:val="008C616B"/>
    <w:rsid w:val="008C63E0"/>
    <w:rsid w:val="008C676D"/>
    <w:rsid w:val="008C6D51"/>
    <w:rsid w:val="008D1B8E"/>
    <w:rsid w:val="008D2846"/>
    <w:rsid w:val="008D29E8"/>
    <w:rsid w:val="008D3F61"/>
    <w:rsid w:val="008D4236"/>
    <w:rsid w:val="008D462F"/>
    <w:rsid w:val="008D4B39"/>
    <w:rsid w:val="008D51A0"/>
    <w:rsid w:val="008D68AF"/>
    <w:rsid w:val="008D6DCF"/>
    <w:rsid w:val="008D7A52"/>
    <w:rsid w:val="008E1058"/>
    <w:rsid w:val="008E21D5"/>
    <w:rsid w:val="008E36E6"/>
    <w:rsid w:val="008E397E"/>
    <w:rsid w:val="008E4376"/>
    <w:rsid w:val="008E585C"/>
    <w:rsid w:val="008E677F"/>
    <w:rsid w:val="008E7349"/>
    <w:rsid w:val="008E7807"/>
    <w:rsid w:val="008E7A0A"/>
    <w:rsid w:val="008E7A1D"/>
    <w:rsid w:val="008E7B49"/>
    <w:rsid w:val="008E7DBE"/>
    <w:rsid w:val="008F058A"/>
    <w:rsid w:val="008F2301"/>
    <w:rsid w:val="008F30BF"/>
    <w:rsid w:val="008F44A5"/>
    <w:rsid w:val="008F522A"/>
    <w:rsid w:val="008F579C"/>
    <w:rsid w:val="008F59F6"/>
    <w:rsid w:val="008F75FF"/>
    <w:rsid w:val="00900719"/>
    <w:rsid w:val="0090115E"/>
    <w:rsid w:val="00901163"/>
    <w:rsid w:val="009014C4"/>
    <w:rsid w:val="009017AC"/>
    <w:rsid w:val="00902A9A"/>
    <w:rsid w:val="009035AC"/>
    <w:rsid w:val="009038B3"/>
    <w:rsid w:val="009043B8"/>
    <w:rsid w:val="00904A1C"/>
    <w:rsid w:val="00905030"/>
    <w:rsid w:val="00906490"/>
    <w:rsid w:val="00906ED8"/>
    <w:rsid w:val="00906FA3"/>
    <w:rsid w:val="00907747"/>
    <w:rsid w:val="0090793A"/>
    <w:rsid w:val="00907B69"/>
    <w:rsid w:val="00907C67"/>
    <w:rsid w:val="00910301"/>
    <w:rsid w:val="009104E1"/>
    <w:rsid w:val="009108FD"/>
    <w:rsid w:val="00910D8C"/>
    <w:rsid w:val="009110DD"/>
    <w:rsid w:val="009111B2"/>
    <w:rsid w:val="00911304"/>
    <w:rsid w:val="00912F0A"/>
    <w:rsid w:val="0091341D"/>
    <w:rsid w:val="00913E95"/>
    <w:rsid w:val="00914535"/>
    <w:rsid w:val="009151F5"/>
    <w:rsid w:val="00916125"/>
    <w:rsid w:val="00917374"/>
    <w:rsid w:val="0092045F"/>
    <w:rsid w:val="00920698"/>
    <w:rsid w:val="00920D46"/>
    <w:rsid w:val="00921BD6"/>
    <w:rsid w:val="009220EC"/>
    <w:rsid w:val="009227B1"/>
    <w:rsid w:val="00923C17"/>
    <w:rsid w:val="00924AE1"/>
    <w:rsid w:val="00924B57"/>
    <w:rsid w:val="00925811"/>
    <w:rsid w:val="009264C2"/>
    <w:rsid w:val="009269B1"/>
    <w:rsid w:val="0092724D"/>
    <w:rsid w:val="009272B3"/>
    <w:rsid w:val="00927C5A"/>
    <w:rsid w:val="0093011F"/>
    <w:rsid w:val="009315BE"/>
    <w:rsid w:val="0093168B"/>
    <w:rsid w:val="009326DD"/>
    <w:rsid w:val="009329F6"/>
    <w:rsid w:val="00932C89"/>
    <w:rsid w:val="00932D03"/>
    <w:rsid w:val="0093338F"/>
    <w:rsid w:val="00937BD9"/>
    <w:rsid w:val="00939521"/>
    <w:rsid w:val="009400A2"/>
    <w:rsid w:val="009400CF"/>
    <w:rsid w:val="009403F9"/>
    <w:rsid w:val="00942A2C"/>
    <w:rsid w:val="00944D57"/>
    <w:rsid w:val="00950E2C"/>
    <w:rsid w:val="00951D50"/>
    <w:rsid w:val="00951EB2"/>
    <w:rsid w:val="009525EB"/>
    <w:rsid w:val="00953EDF"/>
    <w:rsid w:val="0095470B"/>
    <w:rsid w:val="00954874"/>
    <w:rsid w:val="00954994"/>
    <w:rsid w:val="00955991"/>
    <w:rsid w:val="0095615A"/>
    <w:rsid w:val="0095647F"/>
    <w:rsid w:val="00957044"/>
    <w:rsid w:val="009579A1"/>
    <w:rsid w:val="00961400"/>
    <w:rsid w:val="00961C1D"/>
    <w:rsid w:val="00961E4B"/>
    <w:rsid w:val="00961F0A"/>
    <w:rsid w:val="009629CD"/>
    <w:rsid w:val="00963117"/>
    <w:rsid w:val="00963646"/>
    <w:rsid w:val="00964ECE"/>
    <w:rsid w:val="0096506F"/>
    <w:rsid w:val="009656D1"/>
    <w:rsid w:val="0096632D"/>
    <w:rsid w:val="00966A31"/>
    <w:rsid w:val="00967124"/>
    <w:rsid w:val="009677DB"/>
    <w:rsid w:val="00967B6F"/>
    <w:rsid w:val="009709F2"/>
    <w:rsid w:val="00970D42"/>
    <w:rsid w:val="0097166C"/>
    <w:rsid w:val="009718C7"/>
    <w:rsid w:val="00971BC1"/>
    <w:rsid w:val="00971F70"/>
    <w:rsid w:val="0097205C"/>
    <w:rsid w:val="00972B0F"/>
    <w:rsid w:val="009734E9"/>
    <w:rsid w:val="00974244"/>
    <w:rsid w:val="009749C0"/>
    <w:rsid w:val="0097559F"/>
    <w:rsid w:val="009761EA"/>
    <w:rsid w:val="00977515"/>
    <w:rsid w:val="0097761E"/>
    <w:rsid w:val="00980295"/>
    <w:rsid w:val="00981B50"/>
    <w:rsid w:val="00982454"/>
    <w:rsid w:val="00982595"/>
    <w:rsid w:val="009825DD"/>
    <w:rsid w:val="00982A7B"/>
    <w:rsid w:val="00982ACD"/>
    <w:rsid w:val="00982CF0"/>
    <w:rsid w:val="009830CD"/>
    <w:rsid w:val="0098430D"/>
    <w:rsid w:val="0098484F"/>
    <w:rsid w:val="00984C48"/>
    <w:rsid w:val="00984E6B"/>
    <w:rsid w:val="009853E1"/>
    <w:rsid w:val="00985CA2"/>
    <w:rsid w:val="00985DD8"/>
    <w:rsid w:val="00986E6B"/>
    <w:rsid w:val="00990032"/>
    <w:rsid w:val="00990B19"/>
    <w:rsid w:val="0099153B"/>
    <w:rsid w:val="00991769"/>
    <w:rsid w:val="0099232C"/>
    <w:rsid w:val="009935AD"/>
    <w:rsid w:val="00993E8C"/>
    <w:rsid w:val="00993E95"/>
    <w:rsid w:val="00994386"/>
    <w:rsid w:val="0099518D"/>
    <w:rsid w:val="00996412"/>
    <w:rsid w:val="00996542"/>
    <w:rsid w:val="0099752C"/>
    <w:rsid w:val="00997DD9"/>
    <w:rsid w:val="009A0749"/>
    <w:rsid w:val="009A13D8"/>
    <w:rsid w:val="009A279E"/>
    <w:rsid w:val="009A3015"/>
    <w:rsid w:val="009A3490"/>
    <w:rsid w:val="009A35CB"/>
    <w:rsid w:val="009A4126"/>
    <w:rsid w:val="009A4715"/>
    <w:rsid w:val="009B04B0"/>
    <w:rsid w:val="009B05FD"/>
    <w:rsid w:val="009B0A6F"/>
    <w:rsid w:val="009B0A94"/>
    <w:rsid w:val="009B0C62"/>
    <w:rsid w:val="009B0D82"/>
    <w:rsid w:val="009B11C1"/>
    <w:rsid w:val="009B179A"/>
    <w:rsid w:val="009B1E24"/>
    <w:rsid w:val="009B2AE8"/>
    <w:rsid w:val="009B2CA8"/>
    <w:rsid w:val="009B3AE7"/>
    <w:rsid w:val="009B5622"/>
    <w:rsid w:val="009B59E9"/>
    <w:rsid w:val="009B5A61"/>
    <w:rsid w:val="009B70AA"/>
    <w:rsid w:val="009B71A0"/>
    <w:rsid w:val="009B73F2"/>
    <w:rsid w:val="009B76DB"/>
    <w:rsid w:val="009C0079"/>
    <w:rsid w:val="009C245E"/>
    <w:rsid w:val="009C2775"/>
    <w:rsid w:val="009C38D8"/>
    <w:rsid w:val="009C3CF1"/>
    <w:rsid w:val="009C423F"/>
    <w:rsid w:val="009C5E77"/>
    <w:rsid w:val="009C69C1"/>
    <w:rsid w:val="009C7A7E"/>
    <w:rsid w:val="009C7C45"/>
    <w:rsid w:val="009D02E8"/>
    <w:rsid w:val="009D0905"/>
    <w:rsid w:val="009D2AA0"/>
    <w:rsid w:val="009D328F"/>
    <w:rsid w:val="009D3B1C"/>
    <w:rsid w:val="009D4407"/>
    <w:rsid w:val="009D4E3C"/>
    <w:rsid w:val="009D51D0"/>
    <w:rsid w:val="009D5504"/>
    <w:rsid w:val="009D5F13"/>
    <w:rsid w:val="009D70A4"/>
    <w:rsid w:val="009D7219"/>
    <w:rsid w:val="009D7626"/>
    <w:rsid w:val="009D7B14"/>
    <w:rsid w:val="009E08D1"/>
    <w:rsid w:val="009E0B9A"/>
    <w:rsid w:val="009E0D96"/>
    <w:rsid w:val="009E1B95"/>
    <w:rsid w:val="009E3536"/>
    <w:rsid w:val="009E3D5D"/>
    <w:rsid w:val="009E496F"/>
    <w:rsid w:val="009E4B0D"/>
    <w:rsid w:val="009E4E98"/>
    <w:rsid w:val="009E5250"/>
    <w:rsid w:val="009E5A39"/>
    <w:rsid w:val="009E6094"/>
    <w:rsid w:val="009E6108"/>
    <w:rsid w:val="009E707B"/>
    <w:rsid w:val="009E70B9"/>
    <w:rsid w:val="009E7A69"/>
    <w:rsid w:val="009E7F92"/>
    <w:rsid w:val="009F02A3"/>
    <w:rsid w:val="009F0AB7"/>
    <w:rsid w:val="009F0E43"/>
    <w:rsid w:val="009F18FB"/>
    <w:rsid w:val="009F2182"/>
    <w:rsid w:val="009F2F27"/>
    <w:rsid w:val="009F34AA"/>
    <w:rsid w:val="009F4250"/>
    <w:rsid w:val="009F4D0D"/>
    <w:rsid w:val="009F4D68"/>
    <w:rsid w:val="009F5552"/>
    <w:rsid w:val="009F6BCB"/>
    <w:rsid w:val="009F7B78"/>
    <w:rsid w:val="00A0057A"/>
    <w:rsid w:val="00A00F3C"/>
    <w:rsid w:val="00A01FB1"/>
    <w:rsid w:val="00A02FA1"/>
    <w:rsid w:val="00A03CAB"/>
    <w:rsid w:val="00A048C7"/>
    <w:rsid w:val="00A04CCE"/>
    <w:rsid w:val="00A07421"/>
    <w:rsid w:val="00A0776B"/>
    <w:rsid w:val="00A07DD2"/>
    <w:rsid w:val="00A10FB9"/>
    <w:rsid w:val="00A11421"/>
    <w:rsid w:val="00A11F73"/>
    <w:rsid w:val="00A13359"/>
    <w:rsid w:val="00A1389F"/>
    <w:rsid w:val="00A14002"/>
    <w:rsid w:val="00A144D7"/>
    <w:rsid w:val="00A14F25"/>
    <w:rsid w:val="00A157B1"/>
    <w:rsid w:val="00A15F45"/>
    <w:rsid w:val="00A166F4"/>
    <w:rsid w:val="00A1769A"/>
    <w:rsid w:val="00A20AB9"/>
    <w:rsid w:val="00A21B4C"/>
    <w:rsid w:val="00A22162"/>
    <w:rsid w:val="00A22229"/>
    <w:rsid w:val="00A229EF"/>
    <w:rsid w:val="00A22FB3"/>
    <w:rsid w:val="00A24442"/>
    <w:rsid w:val="00A24ADA"/>
    <w:rsid w:val="00A26D58"/>
    <w:rsid w:val="00A27143"/>
    <w:rsid w:val="00A31045"/>
    <w:rsid w:val="00A31871"/>
    <w:rsid w:val="00A32164"/>
    <w:rsid w:val="00A322A5"/>
    <w:rsid w:val="00A32577"/>
    <w:rsid w:val="00A32E1A"/>
    <w:rsid w:val="00A330BB"/>
    <w:rsid w:val="00A347BD"/>
    <w:rsid w:val="00A35793"/>
    <w:rsid w:val="00A36328"/>
    <w:rsid w:val="00A36CA2"/>
    <w:rsid w:val="00A36CA9"/>
    <w:rsid w:val="00A37679"/>
    <w:rsid w:val="00A37684"/>
    <w:rsid w:val="00A42F56"/>
    <w:rsid w:val="00A431D4"/>
    <w:rsid w:val="00A433EC"/>
    <w:rsid w:val="00A446F5"/>
    <w:rsid w:val="00A44882"/>
    <w:rsid w:val="00A450E9"/>
    <w:rsid w:val="00A45125"/>
    <w:rsid w:val="00A46A7E"/>
    <w:rsid w:val="00A477C3"/>
    <w:rsid w:val="00A47D7B"/>
    <w:rsid w:val="00A50E9B"/>
    <w:rsid w:val="00A516A4"/>
    <w:rsid w:val="00A544DF"/>
    <w:rsid w:val="00A54715"/>
    <w:rsid w:val="00A553E2"/>
    <w:rsid w:val="00A56D98"/>
    <w:rsid w:val="00A60525"/>
    <w:rsid w:val="00A6061C"/>
    <w:rsid w:val="00A61A7C"/>
    <w:rsid w:val="00A61EAA"/>
    <w:rsid w:val="00A62D44"/>
    <w:rsid w:val="00A62E91"/>
    <w:rsid w:val="00A6317F"/>
    <w:rsid w:val="00A63497"/>
    <w:rsid w:val="00A648AC"/>
    <w:rsid w:val="00A658B9"/>
    <w:rsid w:val="00A67263"/>
    <w:rsid w:val="00A67298"/>
    <w:rsid w:val="00A70D8E"/>
    <w:rsid w:val="00A71547"/>
    <w:rsid w:val="00A7161C"/>
    <w:rsid w:val="00A71CDB"/>
    <w:rsid w:val="00A71CE4"/>
    <w:rsid w:val="00A7374F"/>
    <w:rsid w:val="00A75124"/>
    <w:rsid w:val="00A75A3E"/>
    <w:rsid w:val="00A768C3"/>
    <w:rsid w:val="00A76E14"/>
    <w:rsid w:val="00A76EB8"/>
    <w:rsid w:val="00A77AA3"/>
    <w:rsid w:val="00A80B7E"/>
    <w:rsid w:val="00A81263"/>
    <w:rsid w:val="00A815A8"/>
    <w:rsid w:val="00A8236D"/>
    <w:rsid w:val="00A8257F"/>
    <w:rsid w:val="00A828C6"/>
    <w:rsid w:val="00A83009"/>
    <w:rsid w:val="00A8304E"/>
    <w:rsid w:val="00A83DC5"/>
    <w:rsid w:val="00A84714"/>
    <w:rsid w:val="00A84B60"/>
    <w:rsid w:val="00A854EB"/>
    <w:rsid w:val="00A85E66"/>
    <w:rsid w:val="00A8669D"/>
    <w:rsid w:val="00A872E5"/>
    <w:rsid w:val="00A87620"/>
    <w:rsid w:val="00A91406"/>
    <w:rsid w:val="00A92778"/>
    <w:rsid w:val="00A9375E"/>
    <w:rsid w:val="00A94026"/>
    <w:rsid w:val="00A95232"/>
    <w:rsid w:val="00A95BAA"/>
    <w:rsid w:val="00A963F6"/>
    <w:rsid w:val="00A96E65"/>
    <w:rsid w:val="00A96ECE"/>
    <w:rsid w:val="00A97434"/>
    <w:rsid w:val="00A979BE"/>
    <w:rsid w:val="00A97C72"/>
    <w:rsid w:val="00AA0056"/>
    <w:rsid w:val="00AA1583"/>
    <w:rsid w:val="00AA1665"/>
    <w:rsid w:val="00AA1C69"/>
    <w:rsid w:val="00AA1E26"/>
    <w:rsid w:val="00AA310B"/>
    <w:rsid w:val="00AA32C0"/>
    <w:rsid w:val="00AA63D4"/>
    <w:rsid w:val="00AA72AA"/>
    <w:rsid w:val="00AB01C4"/>
    <w:rsid w:val="00AB06E8"/>
    <w:rsid w:val="00AB07F6"/>
    <w:rsid w:val="00AB0D33"/>
    <w:rsid w:val="00AB0E85"/>
    <w:rsid w:val="00AB1246"/>
    <w:rsid w:val="00AB1252"/>
    <w:rsid w:val="00AB1CD3"/>
    <w:rsid w:val="00AB2CFA"/>
    <w:rsid w:val="00AB352F"/>
    <w:rsid w:val="00AB4A5B"/>
    <w:rsid w:val="00AB4FC9"/>
    <w:rsid w:val="00AB611E"/>
    <w:rsid w:val="00AB61ED"/>
    <w:rsid w:val="00AB7727"/>
    <w:rsid w:val="00AB79EC"/>
    <w:rsid w:val="00AB7A69"/>
    <w:rsid w:val="00AC0761"/>
    <w:rsid w:val="00AC1AFE"/>
    <w:rsid w:val="00AC1D7F"/>
    <w:rsid w:val="00AC2686"/>
    <w:rsid w:val="00AC274B"/>
    <w:rsid w:val="00AC28C4"/>
    <w:rsid w:val="00AC2D52"/>
    <w:rsid w:val="00AC4402"/>
    <w:rsid w:val="00AC4764"/>
    <w:rsid w:val="00AC4B8A"/>
    <w:rsid w:val="00AC5184"/>
    <w:rsid w:val="00AC5B3C"/>
    <w:rsid w:val="00AC6D36"/>
    <w:rsid w:val="00AD02AA"/>
    <w:rsid w:val="00AD02B2"/>
    <w:rsid w:val="00AD037D"/>
    <w:rsid w:val="00AD04CE"/>
    <w:rsid w:val="00AD0CBA"/>
    <w:rsid w:val="00AD0D5D"/>
    <w:rsid w:val="00AD26E2"/>
    <w:rsid w:val="00AD3C5A"/>
    <w:rsid w:val="00AD547A"/>
    <w:rsid w:val="00AD5D3A"/>
    <w:rsid w:val="00AD6D9E"/>
    <w:rsid w:val="00AD744C"/>
    <w:rsid w:val="00AD784C"/>
    <w:rsid w:val="00AD7C0B"/>
    <w:rsid w:val="00AE0550"/>
    <w:rsid w:val="00AE07DA"/>
    <w:rsid w:val="00AE0DB1"/>
    <w:rsid w:val="00AE126A"/>
    <w:rsid w:val="00AE16F8"/>
    <w:rsid w:val="00AE1BAE"/>
    <w:rsid w:val="00AE3005"/>
    <w:rsid w:val="00AE3521"/>
    <w:rsid w:val="00AE3BD5"/>
    <w:rsid w:val="00AE47AC"/>
    <w:rsid w:val="00AE58BF"/>
    <w:rsid w:val="00AE59A0"/>
    <w:rsid w:val="00AF0C57"/>
    <w:rsid w:val="00AF11FF"/>
    <w:rsid w:val="00AF26F3"/>
    <w:rsid w:val="00AF27BA"/>
    <w:rsid w:val="00AF40F7"/>
    <w:rsid w:val="00AF56BD"/>
    <w:rsid w:val="00AF5F04"/>
    <w:rsid w:val="00AF6B56"/>
    <w:rsid w:val="00AF78FC"/>
    <w:rsid w:val="00AF7AEC"/>
    <w:rsid w:val="00B00672"/>
    <w:rsid w:val="00B00A7C"/>
    <w:rsid w:val="00B01584"/>
    <w:rsid w:val="00B01B4D"/>
    <w:rsid w:val="00B01BCF"/>
    <w:rsid w:val="00B02828"/>
    <w:rsid w:val="00B03FEE"/>
    <w:rsid w:val="00B0426D"/>
    <w:rsid w:val="00B04489"/>
    <w:rsid w:val="00B056DF"/>
    <w:rsid w:val="00B05923"/>
    <w:rsid w:val="00B059C2"/>
    <w:rsid w:val="00B05F69"/>
    <w:rsid w:val="00B06571"/>
    <w:rsid w:val="00B068BA"/>
    <w:rsid w:val="00B07217"/>
    <w:rsid w:val="00B109B8"/>
    <w:rsid w:val="00B121F6"/>
    <w:rsid w:val="00B12E1C"/>
    <w:rsid w:val="00B13851"/>
    <w:rsid w:val="00B139D4"/>
    <w:rsid w:val="00B13B1C"/>
    <w:rsid w:val="00B14172"/>
    <w:rsid w:val="00B1454B"/>
    <w:rsid w:val="00B14729"/>
    <w:rsid w:val="00B14859"/>
    <w:rsid w:val="00B14B5F"/>
    <w:rsid w:val="00B14F5E"/>
    <w:rsid w:val="00B15FC5"/>
    <w:rsid w:val="00B20149"/>
    <w:rsid w:val="00B21F90"/>
    <w:rsid w:val="00B22291"/>
    <w:rsid w:val="00B22A4D"/>
    <w:rsid w:val="00B23080"/>
    <w:rsid w:val="00B23F9A"/>
    <w:rsid w:val="00B2417B"/>
    <w:rsid w:val="00B24E6F"/>
    <w:rsid w:val="00B257E8"/>
    <w:rsid w:val="00B26C48"/>
    <w:rsid w:val="00B26CB5"/>
    <w:rsid w:val="00B26E06"/>
    <w:rsid w:val="00B2752E"/>
    <w:rsid w:val="00B27C5F"/>
    <w:rsid w:val="00B307CC"/>
    <w:rsid w:val="00B31CDF"/>
    <w:rsid w:val="00B326B7"/>
    <w:rsid w:val="00B33E9B"/>
    <w:rsid w:val="00B341CB"/>
    <w:rsid w:val="00B346CD"/>
    <w:rsid w:val="00B35684"/>
    <w:rsid w:val="00B3588E"/>
    <w:rsid w:val="00B3678E"/>
    <w:rsid w:val="00B36F07"/>
    <w:rsid w:val="00B37BD4"/>
    <w:rsid w:val="00B406E4"/>
    <w:rsid w:val="00B417FB"/>
    <w:rsid w:val="00B4198F"/>
    <w:rsid w:val="00B41A74"/>
    <w:rsid w:val="00B41F3D"/>
    <w:rsid w:val="00B422AA"/>
    <w:rsid w:val="00B424F1"/>
    <w:rsid w:val="00B431E8"/>
    <w:rsid w:val="00B4322D"/>
    <w:rsid w:val="00B44D2B"/>
    <w:rsid w:val="00B45141"/>
    <w:rsid w:val="00B47B4D"/>
    <w:rsid w:val="00B512CD"/>
    <w:rsid w:val="00B515C8"/>
    <w:rsid w:val="00B519CD"/>
    <w:rsid w:val="00B5273A"/>
    <w:rsid w:val="00B52C6E"/>
    <w:rsid w:val="00B53535"/>
    <w:rsid w:val="00B54F29"/>
    <w:rsid w:val="00B56813"/>
    <w:rsid w:val="00B56C03"/>
    <w:rsid w:val="00B57329"/>
    <w:rsid w:val="00B57A0A"/>
    <w:rsid w:val="00B603CD"/>
    <w:rsid w:val="00B60599"/>
    <w:rsid w:val="00B60E61"/>
    <w:rsid w:val="00B62434"/>
    <w:rsid w:val="00B62B50"/>
    <w:rsid w:val="00B635B7"/>
    <w:rsid w:val="00B63AE8"/>
    <w:rsid w:val="00B647D5"/>
    <w:rsid w:val="00B65950"/>
    <w:rsid w:val="00B66D83"/>
    <w:rsid w:val="00B670E7"/>
    <w:rsid w:val="00B672C0"/>
    <w:rsid w:val="00B676FD"/>
    <w:rsid w:val="00B678B6"/>
    <w:rsid w:val="00B6798A"/>
    <w:rsid w:val="00B7050B"/>
    <w:rsid w:val="00B7134B"/>
    <w:rsid w:val="00B714CF"/>
    <w:rsid w:val="00B75646"/>
    <w:rsid w:val="00B75DB5"/>
    <w:rsid w:val="00B7629E"/>
    <w:rsid w:val="00B7718F"/>
    <w:rsid w:val="00B80075"/>
    <w:rsid w:val="00B80A37"/>
    <w:rsid w:val="00B8147A"/>
    <w:rsid w:val="00B81988"/>
    <w:rsid w:val="00B819C5"/>
    <w:rsid w:val="00B821C4"/>
    <w:rsid w:val="00B8352E"/>
    <w:rsid w:val="00B83737"/>
    <w:rsid w:val="00B8477A"/>
    <w:rsid w:val="00B8487F"/>
    <w:rsid w:val="00B84ED8"/>
    <w:rsid w:val="00B90729"/>
    <w:rsid w:val="00B907DA"/>
    <w:rsid w:val="00B9154E"/>
    <w:rsid w:val="00B91691"/>
    <w:rsid w:val="00B93B6B"/>
    <w:rsid w:val="00B94C5E"/>
    <w:rsid w:val="00B950BC"/>
    <w:rsid w:val="00B962C7"/>
    <w:rsid w:val="00B96FEB"/>
    <w:rsid w:val="00B9714C"/>
    <w:rsid w:val="00BA29AD"/>
    <w:rsid w:val="00BA3258"/>
    <w:rsid w:val="00BA33CF"/>
    <w:rsid w:val="00BA37A5"/>
    <w:rsid w:val="00BA3F8D"/>
    <w:rsid w:val="00BA4505"/>
    <w:rsid w:val="00BA53FA"/>
    <w:rsid w:val="00BA5EF4"/>
    <w:rsid w:val="00BA6EE9"/>
    <w:rsid w:val="00BA757F"/>
    <w:rsid w:val="00BA79B0"/>
    <w:rsid w:val="00BB0FBE"/>
    <w:rsid w:val="00BB2D35"/>
    <w:rsid w:val="00BB3F1D"/>
    <w:rsid w:val="00BB4427"/>
    <w:rsid w:val="00BB448F"/>
    <w:rsid w:val="00BB51DE"/>
    <w:rsid w:val="00BB58C5"/>
    <w:rsid w:val="00BB616A"/>
    <w:rsid w:val="00BB7176"/>
    <w:rsid w:val="00BB7A10"/>
    <w:rsid w:val="00BC02F3"/>
    <w:rsid w:val="00BC0D7A"/>
    <w:rsid w:val="00BC1163"/>
    <w:rsid w:val="00BC250F"/>
    <w:rsid w:val="00BC60BE"/>
    <w:rsid w:val="00BC6390"/>
    <w:rsid w:val="00BC6F5A"/>
    <w:rsid w:val="00BC7468"/>
    <w:rsid w:val="00BC7D4F"/>
    <w:rsid w:val="00BC7ED7"/>
    <w:rsid w:val="00BD0970"/>
    <w:rsid w:val="00BD0F01"/>
    <w:rsid w:val="00BD10DD"/>
    <w:rsid w:val="00BD2636"/>
    <w:rsid w:val="00BD2850"/>
    <w:rsid w:val="00BD352F"/>
    <w:rsid w:val="00BD4937"/>
    <w:rsid w:val="00BD5E31"/>
    <w:rsid w:val="00BD6875"/>
    <w:rsid w:val="00BD6AE8"/>
    <w:rsid w:val="00BD6F5A"/>
    <w:rsid w:val="00BE14A5"/>
    <w:rsid w:val="00BE20BF"/>
    <w:rsid w:val="00BE2328"/>
    <w:rsid w:val="00BE28D2"/>
    <w:rsid w:val="00BE381D"/>
    <w:rsid w:val="00BE4A64"/>
    <w:rsid w:val="00BE58D0"/>
    <w:rsid w:val="00BE5E43"/>
    <w:rsid w:val="00BE74BC"/>
    <w:rsid w:val="00BE7DF8"/>
    <w:rsid w:val="00BF088E"/>
    <w:rsid w:val="00BF0F69"/>
    <w:rsid w:val="00BF10D9"/>
    <w:rsid w:val="00BF1108"/>
    <w:rsid w:val="00BF1E9F"/>
    <w:rsid w:val="00BF3007"/>
    <w:rsid w:val="00BF360A"/>
    <w:rsid w:val="00BF39E7"/>
    <w:rsid w:val="00BF4679"/>
    <w:rsid w:val="00BF557D"/>
    <w:rsid w:val="00BF658D"/>
    <w:rsid w:val="00BF6815"/>
    <w:rsid w:val="00BF7CE6"/>
    <w:rsid w:val="00BF7F58"/>
    <w:rsid w:val="00C00D0E"/>
    <w:rsid w:val="00C01381"/>
    <w:rsid w:val="00C01A6E"/>
    <w:rsid w:val="00C01AB1"/>
    <w:rsid w:val="00C022A1"/>
    <w:rsid w:val="00C026A0"/>
    <w:rsid w:val="00C02EAD"/>
    <w:rsid w:val="00C03AEA"/>
    <w:rsid w:val="00C03CC0"/>
    <w:rsid w:val="00C06137"/>
    <w:rsid w:val="00C065F5"/>
    <w:rsid w:val="00C0687D"/>
    <w:rsid w:val="00C06929"/>
    <w:rsid w:val="00C07043"/>
    <w:rsid w:val="00C079B8"/>
    <w:rsid w:val="00C07DDA"/>
    <w:rsid w:val="00C10037"/>
    <w:rsid w:val="00C10B32"/>
    <w:rsid w:val="00C11096"/>
    <w:rsid w:val="00C115E1"/>
    <w:rsid w:val="00C11872"/>
    <w:rsid w:val="00C121EB"/>
    <w:rsid w:val="00C123EA"/>
    <w:rsid w:val="00C12A49"/>
    <w:rsid w:val="00C12B05"/>
    <w:rsid w:val="00C133EE"/>
    <w:rsid w:val="00C13E0E"/>
    <w:rsid w:val="00C13F25"/>
    <w:rsid w:val="00C149D0"/>
    <w:rsid w:val="00C15D95"/>
    <w:rsid w:val="00C16331"/>
    <w:rsid w:val="00C1723E"/>
    <w:rsid w:val="00C221FD"/>
    <w:rsid w:val="00C24CBC"/>
    <w:rsid w:val="00C25DBF"/>
    <w:rsid w:val="00C26588"/>
    <w:rsid w:val="00C27DE9"/>
    <w:rsid w:val="00C31770"/>
    <w:rsid w:val="00C31834"/>
    <w:rsid w:val="00C31FAC"/>
    <w:rsid w:val="00C32989"/>
    <w:rsid w:val="00C3318E"/>
    <w:rsid w:val="00C33388"/>
    <w:rsid w:val="00C3370A"/>
    <w:rsid w:val="00C33A8F"/>
    <w:rsid w:val="00C35484"/>
    <w:rsid w:val="00C36305"/>
    <w:rsid w:val="00C36A52"/>
    <w:rsid w:val="00C36C5B"/>
    <w:rsid w:val="00C377DB"/>
    <w:rsid w:val="00C37B78"/>
    <w:rsid w:val="00C40467"/>
    <w:rsid w:val="00C40837"/>
    <w:rsid w:val="00C4173A"/>
    <w:rsid w:val="00C43242"/>
    <w:rsid w:val="00C450D1"/>
    <w:rsid w:val="00C46DAE"/>
    <w:rsid w:val="00C4712D"/>
    <w:rsid w:val="00C47135"/>
    <w:rsid w:val="00C47CEC"/>
    <w:rsid w:val="00C47DBD"/>
    <w:rsid w:val="00C5055D"/>
    <w:rsid w:val="00C50C35"/>
    <w:rsid w:val="00C50DED"/>
    <w:rsid w:val="00C52217"/>
    <w:rsid w:val="00C535BA"/>
    <w:rsid w:val="00C549B9"/>
    <w:rsid w:val="00C5589E"/>
    <w:rsid w:val="00C5750B"/>
    <w:rsid w:val="00C602FF"/>
    <w:rsid w:val="00C60411"/>
    <w:rsid w:val="00C61174"/>
    <w:rsid w:val="00C6148F"/>
    <w:rsid w:val="00C61ECC"/>
    <w:rsid w:val="00C621B1"/>
    <w:rsid w:val="00C62317"/>
    <w:rsid w:val="00C6276E"/>
    <w:rsid w:val="00C62F7A"/>
    <w:rsid w:val="00C63574"/>
    <w:rsid w:val="00C635F2"/>
    <w:rsid w:val="00C63B9C"/>
    <w:rsid w:val="00C648D9"/>
    <w:rsid w:val="00C64B3E"/>
    <w:rsid w:val="00C653EC"/>
    <w:rsid w:val="00C6682F"/>
    <w:rsid w:val="00C67068"/>
    <w:rsid w:val="00C67AD9"/>
    <w:rsid w:val="00C67BF4"/>
    <w:rsid w:val="00C70920"/>
    <w:rsid w:val="00C71537"/>
    <w:rsid w:val="00C7275E"/>
    <w:rsid w:val="00C731AF"/>
    <w:rsid w:val="00C73689"/>
    <w:rsid w:val="00C73C8A"/>
    <w:rsid w:val="00C74742"/>
    <w:rsid w:val="00C74C5D"/>
    <w:rsid w:val="00C74C8A"/>
    <w:rsid w:val="00C74D02"/>
    <w:rsid w:val="00C77F6E"/>
    <w:rsid w:val="00C8071B"/>
    <w:rsid w:val="00C8182A"/>
    <w:rsid w:val="00C830DD"/>
    <w:rsid w:val="00C8523F"/>
    <w:rsid w:val="00C85882"/>
    <w:rsid w:val="00C85AD8"/>
    <w:rsid w:val="00C863C4"/>
    <w:rsid w:val="00C869A7"/>
    <w:rsid w:val="00C871E9"/>
    <w:rsid w:val="00C87EF0"/>
    <w:rsid w:val="00C9051B"/>
    <w:rsid w:val="00C90DAB"/>
    <w:rsid w:val="00C92029"/>
    <w:rsid w:val="00C920EA"/>
    <w:rsid w:val="00C92727"/>
    <w:rsid w:val="00C93C3E"/>
    <w:rsid w:val="00C94994"/>
    <w:rsid w:val="00C95441"/>
    <w:rsid w:val="00C957DB"/>
    <w:rsid w:val="00C96494"/>
    <w:rsid w:val="00C96682"/>
    <w:rsid w:val="00C96C38"/>
    <w:rsid w:val="00C972C4"/>
    <w:rsid w:val="00CA018A"/>
    <w:rsid w:val="00CA0299"/>
    <w:rsid w:val="00CA0CC8"/>
    <w:rsid w:val="00CA0DD2"/>
    <w:rsid w:val="00CA0F2D"/>
    <w:rsid w:val="00CA12E3"/>
    <w:rsid w:val="00CA1476"/>
    <w:rsid w:val="00CA1F9E"/>
    <w:rsid w:val="00CA241E"/>
    <w:rsid w:val="00CA2EFC"/>
    <w:rsid w:val="00CA4164"/>
    <w:rsid w:val="00CA45DF"/>
    <w:rsid w:val="00CA5547"/>
    <w:rsid w:val="00CA6252"/>
    <w:rsid w:val="00CA6611"/>
    <w:rsid w:val="00CA6AE6"/>
    <w:rsid w:val="00CA782F"/>
    <w:rsid w:val="00CA79FD"/>
    <w:rsid w:val="00CA7DA9"/>
    <w:rsid w:val="00CB1330"/>
    <w:rsid w:val="00CB160D"/>
    <w:rsid w:val="00CB187B"/>
    <w:rsid w:val="00CB2216"/>
    <w:rsid w:val="00CB27FE"/>
    <w:rsid w:val="00CB2835"/>
    <w:rsid w:val="00CB29A8"/>
    <w:rsid w:val="00CB3285"/>
    <w:rsid w:val="00CB3C97"/>
    <w:rsid w:val="00CB4500"/>
    <w:rsid w:val="00CB5EA8"/>
    <w:rsid w:val="00CC0AE4"/>
    <w:rsid w:val="00CC0C72"/>
    <w:rsid w:val="00CC132C"/>
    <w:rsid w:val="00CC29A3"/>
    <w:rsid w:val="00CC2BFD"/>
    <w:rsid w:val="00CC4011"/>
    <w:rsid w:val="00CC4949"/>
    <w:rsid w:val="00CC4D45"/>
    <w:rsid w:val="00CC4F59"/>
    <w:rsid w:val="00CC56F0"/>
    <w:rsid w:val="00CC6177"/>
    <w:rsid w:val="00CC6F40"/>
    <w:rsid w:val="00CD0526"/>
    <w:rsid w:val="00CD0943"/>
    <w:rsid w:val="00CD0C02"/>
    <w:rsid w:val="00CD1572"/>
    <w:rsid w:val="00CD15F4"/>
    <w:rsid w:val="00CD1B1A"/>
    <w:rsid w:val="00CD1C7F"/>
    <w:rsid w:val="00CD1D58"/>
    <w:rsid w:val="00CD2CB6"/>
    <w:rsid w:val="00CD3476"/>
    <w:rsid w:val="00CD46E0"/>
    <w:rsid w:val="00CD50D4"/>
    <w:rsid w:val="00CD5750"/>
    <w:rsid w:val="00CD64DF"/>
    <w:rsid w:val="00CD75C5"/>
    <w:rsid w:val="00CD768F"/>
    <w:rsid w:val="00CE0760"/>
    <w:rsid w:val="00CE07BF"/>
    <w:rsid w:val="00CE19EE"/>
    <w:rsid w:val="00CE219E"/>
    <w:rsid w:val="00CE225F"/>
    <w:rsid w:val="00CE3212"/>
    <w:rsid w:val="00CE458F"/>
    <w:rsid w:val="00CE4712"/>
    <w:rsid w:val="00CE4EE8"/>
    <w:rsid w:val="00CE65F4"/>
    <w:rsid w:val="00CE748C"/>
    <w:rsid w:val="00CE754E"/>
    <w:rsid w:val="00CE7BE5"/>
    <w:rsid w:val="00CE7E45"/>
    <w:rsid w:val="00CF1215"/>
    <w:rsid w:val="00CF1821"/>
    <w:rsid w:val="00CF1863"/>
    <w:rsid w:val="00CF1939"/>
    <w:rsid w:val="00CF1E26"/>
    <w:rsid w:val="00CF22E6"/>
    <w:rsid w:val="00CF230C"/>
    <w:rsid w:val="00CF2EB7"/>
    <w:rsid w:val="00CF2F50"/>
    <w:rsid w:val="00CF34C4"/>
    <w:rsid w:val="00CF437D"/>
    <w:rsid w:val="00CF48BA"/>
    <w:rsid w:val="00CF5828"/>
    <w:rsid w:val="00CF5E30"/>
    <w:rsid w:val="00CF6198"/>
    <w:rsid w:val="00CF624E"/>
    <w:rsid w:val="00CF6493"/>
    <w:rsid w:val="00CF66AE"/>
    <w:rsid w:val="00CF6755"/>
    <w:rsid w:val="00CF6FBF"/>
    <w:rsid w:val="00D002DD"/>
    <w:rsid w:val="00D00864"/>
    <w:rsid w:val="00D011D0"/>
    <w:rsid w:val="00D01916"/>
    <w:rsid w:val="00D02525"/>
    <w:rsid w:val="00D02919"/>
    <w:rsid w:val="00D04474"/>
    <w:rsid w:val="00D04725"/>
    <w:rsid w:val="00D04C61"/>
    <w:rsid w:val="00D04CAA"/>
    <w:rsid w:val="00D05B8D"/>
    <w:rsid w:val="00D05B9B"/>
    <w:rsid w:val="00D065A2"/>
    <w:rsid w:val="00D06631"/>
    <w:rsid w:val="00D06C4C"/>
    <w:rsid w:val="00D06EE6"/>
    <w:rsid w:val="00D079AA"/>
    <w:rsid w:val="00D07F00"/>
    <w:rsid w:val="00D1130F"/>
    <w:rsid w:val="00D1194A"/>
    <w:rsid w:val="00D11A5D"/>
    <w:rsid w:val="00D13495"/>
    <w:rsid w:val="00D13C4D"/>
    <w:rsid w:val="00D14EDF"/>
    <w:rsid w:val="00D150A0"/>
    <w:rsid w:val="00D15579"/>
    <w:rsid w:val="00D1571F"/>
    <w:rsid w:val="00D17637"/>
    <w:rsid w:val="00D17B72"/>
    <w:rsid w:val="00D20C82"/>
    <w:rsid w:val="00D21158"/>
    <w:rsid w:val="00D21927"/>
    <w:rsid w:val="00D22608"/>
    <w:rsid w:val="00D244F2"/>
    <w:rsid w:val="00D24BDF"/>
    <w:rsid w:val="00D25089"/>
    <w:rsid w:val="00D263B7"/>
    <w:rsid w:val="00D26A3F"/>
    <w:rsid w:val="00D26A70"/>
    <w:rsid w:val="00D26C29"/>
    <w:rsid w:val="00D26DBC"/>
    <w:rsid w:val="00D306EF"/>
    <w:rsid w:val="00D30FE9"/>
    <w:rsid w:val="00D3185C"/>
    <w:rsid w:val="00D31C39"/>
    <w:rsid w:val="00D3205F"/>
    <w:rsid w:val="00D32D9B"/>
    <w:rsid w:val="00D33041"/>
    <w:rsid w:val="00D3318E"/>
    <w:rsid w:val="00D33AF0"/>
    <w:rsid w:val="00D33E72"/>
    <w:rsid w:val="00D346F0"/>
    <w:rsid w:val="00D35973"/>
    <w:rsid w:val="00D35BD6"/>
    <w:rsid w:val="00D361B5"/>
    <w:rsid w:val="00D36292"/>
    <w:rsid w:val="00D36AAF"/>
    <w:rsid w:val="00D36AF9"/>
    <w:rsid w:val="00D411A2"/>
    <w:rsid w:val="00D41AB1"/>
    <w:rsid w:val="00D43D47"/>
    <w:rsid w:val="00D44E40"/>
    <w:rsid w:val="00D4606D"/>
    <w:rsid w:val="00D46D32"/>
    <w:rsid w:val="00D470C8"/>
    <w:rsid w:val="00D50B9C"/>
    <w:rsid w:val="00D50DEB"/>
    <w:rsid w:val="00D513AF"/>
    <w:rsid w:val="00D52D73"/>
    <w:rsid w:val="00D52E58"/>
    <w:rsid w:val="00D5364D"/>
    <w:rsid w:val="00D54EC6"/>
    <w:rsid w:val="00D56939"/>
    <w:rsid w:val="00D56B20"/>
    <w:rsid w:val="00D56C0A"/>
    <w:rsid w:val="00D56E38"/>
    <w:rsid w:val="00D574C3"/>
    <w:rsid w:val="00D578B3"/>
    <w:rsid w:val="00D600D7"/>
    <w:rsid w:val="00D60632"/>
    <w:rsid w:val="00D618F4"/>
    <w:rsid w:val="00D61ACD"/>
    <w:rsid w:val="00D62084"/>
    <w:rsid w:val="00D630BE"/>
    <w:rsid w:val="00D63636"/>
    <w:rsid w:val="00D640AD"/>
    <w:rsid w:val="00D66B96"/>
    <w:rsid w:val="00D66EE7"/>
    <w:rsid w:val="00D70AF4"/>
    <w:rsid w:val="00D714CC"/>
    <w:rsid w:val="00D72698"/>
    <w:rsid w:val="00D72989"/>
    <w:rsid w:val="00D7304D"/>
    <w:rsid w:val="00D73E07"/>
    <w:rsid w:val="00D73F36"/>
    <w:rsid w:val="00D75675"/>
    <w:rsid w:val="00D75736"/>
    <w:rsid w:val="00D75932"/>
    <w:rsid w:val="00D75EA7"/>
    <w:rsid w:val="00D77252"/>
    <w:rsid w:val="00D777B4"/>
    <w:rsid w:val="00D80791"/>
    <w:rsid w:val="00D80CCE"/>
    <w:rsid w:val="00D81ADF"/>
    <w:rsid w:val="00D81C8F"/>
    <w:rsid w:val="00D81D37"/>
    <w:rsid w:val="00D81F21"/>
    <w:rsid w:val="00D839A4"/>
    <w:rsid w:val="00D83A2D"/>
    <w:rsid w:val="00D83D06"/>
    <w:rsid w:val="00D83D1E"/>
    <w:rsid w:val="00D847F3"/>
    <w:rsid w:val="00D864F2"/>
    <w:rsid w:val="00D87254"/>
    <w:rsid w:val="00D87AC4"/>
    <w:rsid w:val="00D90F54"/>
    <w:rsid w:val="00D91003"/>
    <w:rsid w:val="00D91297"/>
    <w:rsid w:val="00D92B00"/>
    <w:rsid w:val="00D943F8"/>
    <w:rsid w:val="00D9508D"/>
    <w:rsid w:val="00D95470"/>
    <w:rsid w:val="00D95751"/>
    <w:rsid w:val="00D95C21"/>
    <w:rsid w:val="00D966E7"/>
    <w:rsid w:val="00D96B55"/>
    <w:rsid w:val="00D97265"/>
    <w:rsid w:val="00D97EE2"/>
    <w:rsid w:val="00DA2619"/>
    <w:rsid w:val="00DA2BFD"/>
    <w:rsid w:val="00DA2EC0"/>
    <w:rsid w:val="00DA312D"/>
    <w:rsid w:val="00DA32E6"/>
    <w:rsid w:val="00DA346C"/>
    <w:rsid w:val="00DA4239"/>
    <w:rsid w:val="00DA5471"/>
    <w:rsid w:val="00DA588C"/>
    <w:rsid w:val="00DA60A8"/>
    <w:rsid w:val="00DA65DE"/>
    <w:rsid w:val="00DB050D"/>
    <w:rsid w:val="00DB0B61"/>
    <w:rsid w:val="00DB0EF9"/>
    <w:rsid w:val="00DB1474"/>
    <w:rsid w:val="00DB26DF"/>
    <w:rsid w:val="00DB2962"/>
    <w:rsid w:val="00DB33B6"/>
    <w:rsid w:val="00DB38FD"/>
    <w:rsid w:val="00DB4473"/>
    <w:rsid w:val="00DB4F7F"/>
    <w:rsid w:val="00DB52FB"/>
    <w:rsid w:val="00DB5F7D"/>
    <w:rsid w:val="00DB6895"/>
    <w:rsid w:val="00DB73FE"/>
    <w:rsid w:val="00DB7C23"/>
    <w:rsid w:val="00DB7E2C"/>
    <w:rsid w:val="00DC00C1"/>
    <w:rsid w:val="00DC013B"/>
    <w:rsid w:val="00DC0599"/>
    <w:rsid w:val="00DC090B"/>
    <w:rsid w:val="00DC1679"/>
    <w:rsid w:val="00DC219B"/>
    <w:rsid w:val="00DC247C"/>
    <w:rsid w:val="00DC2CF1"/>
    <w:rsid w:val="00DC2DC7"/>
    <w:rsid w:val="00DC34F3"/>
    <w:rsid w:val="00DC36FC"/>
    <w:rsid w:val="00DC3749"/>
    <w:rsid w:val="00DC3A7C"/>
    <w:rsid w:val="00DC4FCF"/>
    <w:rsid w:val="00DC50E0"/>
    <w:rsid w:val="00DC5897"/>
    <w:rsid w:val="00DC6386"/>
    <w:rsid w:val="00DC6C82"/>
    <w:rsid w:val="00DD00E4"/>
    <w:rsid w:val="00DD0998"/>
    <w:rsid w:val="00DD1130"/>
    <w:rsid w:val="00DD1951"/>
    <w:rsid w:val="00DD1D34"/>
    <w:rsid w:val="00DD2133"/>
    <w:rsid w:val="00DD3E15"/>
    <w:rsid w:val="00DD487D"/>
    <w:rsid w:val="00DD4CC1"/>
    <w:rsid w:val="00DD4E83"/>
    <w:rsid w:val="00DD5260"/>
    <w:rsid w:val="00DD6628"/>
    <w:rsid w:val="00DD670C"/>
    <w:rsid w:val="00DD6945"/>
    <w:rsid w:val="00DE0353"/>
    <w:rsid w:val="00DE0A6C"/>
    <w:rsid w:val="00DE1A8C"/>
    <w:rsid w:val="00DE2929"/>
    <w:rsid w:val="00DE2C42"/>
    <w:rsid w:val="00DE2D04"/>
    <w:rsid w:val="00DE3250"/>
    <w:rsid w:val="00DE3615"/>
    <w:rsid w:val="00DE3BA9"/>
    <w:rsid w:val="00DE403B"/>
    <w:rsid w:val="00DE55FE"/>
    <w:rsid w:val="00DE6028"/>
    <w:rsid w:val="00DE61A1"/>
    <w:rsid w:val="00DE63EC"/>
    <w:rsid w:val="00DE6C85"/>
    <w:rsid w:val="00DE6EA1"/>
    <w:rsid w:val="00DE78A3"/>
    <w:rsid w:val="00DF16A2"/>
    <w:rsid w:val="00DF1A71"/>
    <w:rsid w:val="00DF26C1"/>
    <w:rsid w:val="00DF26F7"/>
    <w:rsid w:val="00DF27AE"/>
    <w:rsid w:val="00DF2FAF"/>
    <w:rsid w:val="00DF313A"/>
    <w:rsid w:val="00DF31DE"/>
    <w:rsid w:val="00DF397B"/>
    <w:rsid w:val="00DF3AC3"/>
    <w:rsid w:val="00DF401D"/>
    <w:rsid w:val="00DF40A5"/>
    <w:rsid w:val="00DF442A"/>
    <w:rsid w:val="00DF466E"/>
    <w:rsid w:val="00DF4BB5"/>
    <w:rsid w:val="00DF4F13"/>
    <w:rsid w:val="00DF50FC"/>
    <w:rsid w:val="00DF684C"/>
    <w:rsid w:val="00DF686B"/>
    <w:rsid w:val="00DF68C7"/>
    <w:rsid w:val="00DF6C5D"/>
    <w:rsid w:val="00DF731A"/>
    <w:rsid w:val="00DF746B"/>
    <w:rsid w:val="00E00764"/>
    <w:rsid w:val="00E00AD5"/>
    <w:rsid w:val="00E00D46"/>
    <w:rsid w:val="00E01664"/>
    <w:rsid w:val="00E01BE6"/>
    <w:rsid w:val="00E01E13"/>
    <w:rsid w:val="00E01F2F"/>
    <w:rsid w:val="00E02428"/>
    <w:rsid w:val="00E03CA7"/>
    <w:rsid w:val="00E04BBB"/>
    <w:rsid w:val="00E066CA"/>
    <w:rsid w:val="00E06B75"/>
    <w:rsid w:val="00E07B1E"/>
    <w:rsid w:val="00E1006F"/>
    <w:rsid w:val="00E11332"/>
    <w:rsid w:val="00E11352"/>
    <w:rsid w:val="00E122B2"/>
    <w:rsid w:val="00E12836"/>
    <w:rsid w:val="00E129A3"/>
    <w:rsid w:val="00E13F17"/>
    <w:rsid w:val="00E14F45"/>
    <w:rsid w:val="00E15577"/>
    <w:rsid w:val="00E170DC"/>
    <w:rsid w:val="00E17546"/>
    <w:rsid w:val="00E176CB"/>
    <w:rsid w:val="00E20C8B"/>
    <w:rsid w:val="00E210B5"/>
    <w:rsid w:val="00E21BBE"/>
    <w:rsid w:val="00E21EBF"/>
    <w:rsid w:val="00E25FF2"/>
    <w:rsid w:val="00E261B3"/>
    <w:rsid w:val="00E26818"/>
    <w:rsid w:val="00E27FFC"/>
    <w:rsid w:val="00E30033"/>
    <w:rsid w:val="00E30B15"/>
    <w:rsid w:val="00E30B45"/>
    <w:rsid w:val="00E31707"/>
    <w:rsid w:val="00E32414"/>
    <w:rsid w:val="00E32842"/>
    <w:rsid w:val="00E329C2"/>
    <w:rsid w:val="00E33237"/>
    <w:rsid w:val="00E37105"/>
    <w:rsid w:val="00E3719D"/>
    <w:rsid w:val="00E40181"/>
    <w:rsid w:val="00E40212"/>
    <w:rsid w:val="00E41FA4"/>
    <w:rsid w:val="00E437FA"/>
    <w:rsid w:val="00E44246"/>
    <w:rsid w:val="00E44D39"/>
    <w:rsid w:val="00E4557B"/>
    <w:rsid w:val="00E46B78"/>
    <w:rsid w:val="00E47657"/>
    <w:rsid w:val="00E50754"/>
    <w:rsid w:val="00E5140A"/>
    <w:rsid w:val="00E536CC"/>
    <w:rsid w:val="00E54950"/>
    <w:rsid w:val="00E55F67"/>
    <w:rsid w:val="00E55FB3"/>
    <w:rsid w:val="00E56A01"/>
    <w:rsid w:val="00E56DFD"/>
    <w:rsid w:val="00E574F4"/>
    <w:rsid w:val="00E57BBB"/>
    <w:rsid w:val="00E600C3"/>
    <w:rsid w:val="00E61D24"/>
    <w:rsid w:val="00E628D4"/>
    <w:rsid w:val="00E629A1"/>
    <w:rsid w:val="00E62D61"/>
    <w:rsid w:val="00E62F34"/>
    <w:rsid w:val="00E630AF"/>
    <w:rsid w:val="00E631E6"/>
    <w:rsid w:val="00E63CFC"/>
    <w:rsid w:val="00E63EEB"/>
    <w:rsid w:val="00E647E0"/>
    <w:rsid w:val="00E64C92"/>
    <w:rsid w:val="00E65727"/>
    <w:rsid w:val="00E66171"/>
    <w:rsid w:val="00E66FD7"/>
    <w:rsid w:val="00E6794C"/>
    <w:rsid w:val="00E71591"/>
    <w:rsid w:val="00E71A5D"/>
    <w:rsid w:val="00E71CEB"/>
    <w:rsid w:val="00E72EC8"/>
    <w:rsid w:val="00E73DC9"/>
    <w:rsid w:val="00E740B0"/>
    <w:rsid w:val="00E7470A"/>
    <w:rsid w:val="00E7474F"/>
    <w:rsid w:val="00E748DF"/>
    <w:rsid w:val="00E752A4"/>
    <w:rsid w:val="00E75376"/>
    <w:rsid w:val="00E7601C"/>
    <w:rsid w:val="00E76030"/>
    <w:rsid w:val="00E760FB"/>
    <w:rsid w:val="00E7793A"/>
    <w:rsid w:val="00E808E6"/>
    <w:rsid w:val="00E80B86"/>
    <w:rsid w:val="00E80DE3"/>
    <w:rsid w:val="00E812D1"/>
    <w:rsid w:val="00E81437"/>
    <w:rsid w:val="00E815E7"/>
    <w:rsid w:val="00E82C55"/>
    <w:rsid w:val="00E832F1"/>
    <w:rsid w:val="00E837CB"/>
    <w:rsid w:val="00E8537F"/>
    <w:rsid w:val="00E857B3"/>
    <w:rsid w:val="00E85C5D"/>
    <w:rsid w:val="00E86A7B"/>
    <w:rsid w:val="00E86E0A"/>
    <w:rsid w:val="00E874B4"/>
    <w:rsid w:val="00E8751C"/>
    <w:rsid w:val="00E8787E"/>
    <w:rsid w:val="00E90183"/>
    <w:rsid w:val="00E91368"/>
    <w:rsid w:val="00E918FC"/>
    <w:rsid w:val="00E91DB0"/>
    <w:rsid w:val="00E92711"/>
    <w:rsid w:val="00E9291D"/>
    <w:rsid w:val="00E929D7"/>
    <w:rsid w:val="00E92AC3"/>
    <w:rsid w:val="00E93A9C"/>
    <w:rsid w:val="00E93D67"/>
    <w:rsid w:val="00E97992"/>
    <w:rsid w:val="00EA0264"/>
    <w:rsid w:val="00EA0507"/>
    <w:rsid w:val="00EA05BD"/>
    <w:rsid w:val="00EA0873"/>
    <w:rsid w:val="00EA09C1"/>
    <w:rsid w:val="00EA1797"/>
    <w:rsid w:val="00EA2BDB"/>
    <w:rsid w:val="00EA2F6A"/>
    <w:rsid w:val="00EA6132"/>
    <w:rsid w:val="00EB00E0"/>
    <w:rsid w:val="00EB03CB"/>
    <w:rsid w:val="00EB05D5"/>
    <w:rsid w:val="00EB05E8"/>
    <w:rsid w:val="00EB11E7"/>
    <w:rsid w:val="00EB1FF2"/>
    <w:rsid w:val="00EB4BC7"/>
    <w:rsid w:val="00EB5290"/>
    <w:rsid w:val="00EB5B42"/>
    <w:rsid w:val="00EC059F"/>
    <w:rsid w:val="00EC1F24"/>
    <w:rsid w:val="00EC22F6"/>
    <w:rsid w:val="00EC308B"/>
    <w:rsid w:val="00EC3DB9"/>
    <w:rsid w:val="00EC6BAF"/>
    <w:rsid w:val="00ED0D37"/>
    <w:rsid w:val="00ED3E02"/>
    <w:rsid w:val="00ED4327"/>
    <w:rsid w:val="00ED58CA"/>
    <w:rsid w:val="00ED5B9B"/>
    <w:rsid w:val="00ED5D76"/>
    <w:rsid w:val="00ED6BAD"/>
    <w:rsid w:val="00ED7447"/>
    <w:rsid w:val="00ED7762"/>
    <w:rsid w:val="00ED77BC"/>
    <w:rsid w:val="00EE00D6"/>
    <w:rsid w:val="00EE11E7"/>
    <w:rsid w:val="00EE1488"/>
    <w:rsid w:val="00EE247F"/>
    <w:rsid w:val="00EE28FF"/>
    <w:rsid w:val="00EE29AD"/>
    <w:rsid w:val="00EE2D93"/>
    <w:rsid w:val="00EE319C"/>
    <w:rsid w:val="00EE3E24"/>
    <w:rsid w:val="00EE4AED"/>
    <w:rsid w:val="00EE4D5D"/>
    <w:rsid w:val="00EE5131"/>
    <w:rsid w:val="00EE5AEC"/>
    <w:rsid w:val="00EE664D"/>
    <w:rsid w:val="00EF0A95"/>
    <w:rsid w:val="00EF0D4D"/>
    <w:rsid w:val="00EF0EBB"/>
    <w:rsid w:val="00EF105F"/>
    <w:rsid w:val="00EF109B"/>
    <w:rsid w:val="00EF187B"/>
    <w:rsid w:val="00EF1B10"/>
    <w:rsid w:val="00EF201C"/>
    <w:rsid w:val="00EF24AA"/>
    <w:rsid w:val="00EF27FE"/>
    <w:rsid w:val="00EF2C72"/>
    <w:rsid w:val="00EF36AF"/>
    <w:rsid w:val="00EF375E"/>
    <w:rsid w:val="00EF3843"/>
    <w:rsid w:val="00EF42BF"/>
    <w:rsid w:val="00EF4734"/>
    <w:rsid w:val="00EF4B93"/>
    <w:rsid w:val="00EF58AA"/>
    <w:rsid w:val="00EF59A3"/>
    <w:rsid w:val="00EF6675"/>
    <w:rsid w:val="00EF781B"/>
    <w:rsid w:val="00EF79AD"/>
    <w:rsid w:val="00EF7D96"/>
    <w:rsid w:val="00F0063D"/>
    <w:rsid w:val="00F007B4"/>
    <w:rsid w:val="00F00E01"/>
    <w:rsid w:val="00F00F9C"/>
    <w:rsid w:val="00F01B77"/>
    <w:rsid w:val="00F01E5F"/>
    <w:rsid w:val="00F024F3"/>
    <w:rsid w:val="00F02ABA"/>
    <w:rsid w:val="00F02E08"/>
    <w:rsid w:val="00F03329"/>
    <w:rsid w:val="00F03C86"/>
    <w:rsid w:val="00F0437A"/>
    <w:rsid w:val="00F053E5"/>
    <w:rsid w:val="00F05939"/>
    <w:rsid w:val="00F065F2"/>
    <w:rsid w:val="00F101B8"/>
    <w:rsid w:val="00F104FC"/>
    <w:rsid w:val="00F11037"/>
    <w:rsid w:val="00F11E15"/>
    <w:rsid w:val="00F12007"/>
    <w:rsid w:val="00F12A63"/>
    <w:rsid w:val="00F14238"/>
    <w:rsid w:val="00F15144"/>
    <w:rsid w:val="00F16F1B"/>
    <w:rsid w:val="00F17AED"/>
    <w:rsid w:val="00F206A1"/>
    <w:rsid w:val="00F20874"/>
    <w:rsid w:val="00F20B6C"/>
    <w:rsid w:val="00F221CB"/>
    <w:rsid w:val="00F2242A"/>
    <w:rsid w:val="00F22902"/>
    <w:rsid w:val="00F22C46"/>
    <w:rsid w:val="00F23A70"/>
    <w:rsid w:val="00F24CB9"/>
    <w:rsid w:val="00F24EED"/>
    <w:rsid w:val="00F250A9"/>
    <w:rsid w:val="00F260B1"/>
    <w:rsid w:val="00F26472"/>
    <w:rsid w:val="00F26651"/>
    <w:rsid w:val="00F267AF"/>
    <w:rsid w:val="00F267C9"/>
    <w:rsid w:val="00F300D2"/>
    <w:rsid w:val="00F30EB4"/>
    <w:rsid w:val="00F30FF4"/>
    <w:rsid w:val="00F310B2"/>
    <w:rsid w:val="00F3122E"/>
    <w:rsid w:val="00F313A7"/>
    <w:rsid w:val="00F31E63"/>
    <w:rsid w:val="00F32170"/>
    <w:rsid w:val="00F32368"/>
    <w:rsid w:val="00F324A6"/>
    <w:rsid w:val="00F325E5"/>
    <w:rsid w:val="00F331AD"/>
    <w:rsid w:val="00F33E04"/>
    <w:rsid w:val="00F35287"/>
    <w:rsid w:val="00F36161"/>
    <w:rsid w:val="00F3724E"/>
    <w:rsid w:val="00F40A70"/>
    <w:rsid w:val="00F42088"/>
    <w:rsid w:val="00F426C9"/>
    <w:rsid w:val="00F43A37"/>
    <w:rsid w:val="00F443EC"/>
    <w:rsid w:val="00F44AD8"/>
    <w:rsid w:val="00F452CE"/>
    <w:rsid w:val="00F45672"/>
    <w:rsid w:val="00F4641B"/>
    <w:rsid w:val="00F465FF"/>
    <w:rsid w:val="00F46EB8"/>
    <w:rsid w:val="00F47053"/>
    <w:rsid w:val="00F504D9"/>
    <w:rsid w:val="00F50CD1"/>
    <w:rsid w:val="00F511E4"/>
    <w:rsid w:val="00F525C8"/>
    <w:rsid w:val="00F52D09"/>
    <w:rsid w:val="00F52E08"/>
    <w:rsid w:val="00F52F84"/>
    <w:rsid w:val="00F53A66"/>
    <w:rsid w:val="00F5462D"/>
    <w:rsid w:val="00F549F7"/>
    <w:rsid w:val="00F54E17"/>
    <w:rsid w:val="00F555A6"/>
    <w:rsid w:val="00F55B21"/>
    <w:rsid w:val="00F55C25"/>
    <w:rsid w:val="00F56029"/>
    <w:rsid w:val="00F56288"/>
    <w:rsid w:val="00F566C5"/>
    <w:rsid w:val="00F56DC5"/>
    <w:rsid w:val="00F56EF6"/>
    <w:rsid w:val="00F57032"/>
    <w:rsid w:val="00F5776F"/>
    <w:rsid w:val="00F60082"/>
    <w:rsid w:val="00F60678"/>
    <w:rsid w:val="00F6073C"/>
    <w:rsid w:val="00F61764"/>
    <w:rsid w:val="00F61A9F"/>
    <w:rsid w:val="00F61B5F"/>
    <w:rsid w:val="00F61B78"/>
    <w:rsid w:val="00F628A6"/>
    <w:rsid w:val="00F62CE0"/>
    <w:rsid w:val="00F6420A"/>
    <w:rsid w:val="00F64696"/>
    <w:rsid w:val="00F6516A"/>
    <w:rsid w:val="00F657F0"/>
    <w:rsid w:val="00F65AA9"/>
    <w:rsid w:val="00F66A45"/>
    <w:rsid w:val="00F6768F"/>
    <w:rsid w:val="00F6775A"/>
    <w:rsid w:val="00F7001D"/>
    <w:rsid w:val="00F70831"/>
    <w:rsid w:val="00F7107D"/>
    <w:rsid w:val="00F71CC5"/>
    <w:rsid w:val="00F71DCD"/>
    <w:rsid w:val="00F71FED"/>
    <w:rsid w:val="00F72C2C"/>
    <w:rsid w:val="00F73382"/>
    <w:rsid w:val="00F73A55"/>
    <w:rsid w:val="00F73EF6"/>
    <w:rsid w:val="00F741F2"/>
    <w:rsid w:val="00F763E9"/>
    <w:rsid w:val="00F76CAB"/>
    <w:rsid w:val="00F772C6"/>
    <w:rsid w:val="00F773F8"/>
    <w:rsid w:val="00F77593"/>
    <w:rsid w:val="00F815B5"/>
    <w:rsid w:val="00F83760"/>
    <w:rsid w:val="00F83BCD"/>
    <w:rsid w:val="00F84009"/>
    <w:rsid w:val="00F85195"/>
    <w:rsid w:val="00F852B9"/>
    <w:rsid w:val="00F857D4"/>
    <w:rsid w:val="00F868E3"/>
    <w:rsid w:val="00F87CE1"/>
    <w:rsid w:val="00F90C71"/>
    <w:rsid w:val="00F916A8"/>
    <w:rsid w:val="00F91862"/>
    <w:rsid w:val="00F9191D"/>
    <w:rsid w:val="00F91AFF"/>
    <w:rsid w:val="00F91BC3"/>
    <w:rsid w:val="00F91E06"/>
    <w:rsid w:val="00F938BA"/>
    <w:rsid w:val="00F93E83"/>
    <w:rsid w:val="00F94824"/>
    <w:rsid w:val="00F9504E"/>
    <w:rsid w:val="00F95B46"/>
    <w:rsid w:val="00F96968"/>
    <w:rsid w:val="00F96F91"/>
    <w:rsid w:val="00F973DB"/>
    <w:rsid w:val="00F97919"/>
    <w:rsid w:val="00FA1311"/>
    <w:rsid w:val="00FA1A66"/>
    <w:rsid w:val="00FA230B"/>
    <w:rsid w:val="00FA2409"/>
    <w:rsid w:val="00FA2768"/>
    <w:rsid w:val="00FA2C46"/>
    <w:rsid w:val="00FA2CD2"/>
    <w:rsid w:val="00FA3525"/>
    <w:rsid w:val="00FA360E"/>
    <w:rsid w:val="00FA5A53"/>
    <w:rsid w:val="00FA7926"/>
    <w:rsid w:val="00FA7B27"/>
    <w:rsid w:val="00FB16C9"/>
    <w:rsid w:val="00FB1F6E"/>
    <w:rsid w:val="00FB2F9C"/>
    <w:rsid w:val="00FB3411"/>
    <w:rsid w:val="00FB3C0B"/>
    <w:rsid w:val="00FB4433"/>
    <w:rsid w:val="00FB4769"/>
    <w:rsid w:val="00FB4CDA"/>
    <w:rsid w:val="00FB517B"/>
    <w:rsid w:val="00FB5CDB"/>
    <w:rsid w:val="00FB5E4B"/>
    <w:rsid w:val="00FB6481"/>
    <w:rsid w:val="00FB6D36"/>
    <w:rsid w:val="00FC0965"/>
    <w:rsid w:val="00FC0F81"/>
    <w:rsid w:val="00FC252F"/>
    <w:rsid w:val="00FC395C"/>
    <w:rsid w:val="00FC475F"/>
    <w:rsid w:val="00FC4784"/>
    <w:rsid w:val="00FC5A70"/>
    <w:rsid w:val="00FC5E8E"/>
    <w:rsid w:val="00FD143E"/>
    <w:rsid w:val="00FD2723"/>
    <w:rsid w:val="00FD3766"/>
    <w:rsid w:val="00FD3C5A"/>
    <w:rsid w:val="00FD3D05"/>
    <w:rsid w:val="00FD47C4"/>
    <w:rsid w:val="00FD47ED"/>
    <w:rsid w:val="00FD4ECD"/>
    <w:rsid w:val="00FD512A"/>
    <w:rsid w:val="00FD5170"/>
    <w:rsid w:val="00FD55F1"/>
    <w:rsid w:val="00FD579A"/>
    <w:rsid w:val="00FD5AC3"/>
    <w:rsid w:val="00FD5D1F"/>
    <w:rsid w:val="00FD651B"/>
    <w:rsid w:val="00FE060A"/>
    <w:rsid w:val="00FE1D97"/>
    <w:rsid w:val="00FE2DCF"/>
    <w:rsid w:val="00FE331E"/>
    <w:rsid w:val="00FE3891"/>
    <w:rsid w:val="00FE3FA7"/>
    <w:rsid w:val="00FE4081"/>
    <w:rsid w:val="00FE5D44"/>
    <w:rsid w:val="00FE5D59"/>
    <w:rsid w:val="00FF04C5"/>
    <w:rsid w:val="00FF04D5"/>
    <w:rsid w:val="00FF0D18"/>
    <w:rsid w:val="00FF2A1A"/>
    <w:rsid w:val="00FF2A4E"/>
    <w:rsid w:val="00FF2CBA"/>
    <w:rsid w:val="00FF2FCE"/>
    <w:rsid w:val="00FF30F4"/>
    <w:rsid w:val="00FF3E17"/>
    <w:rsid w:val="00FF4D46"/>
    <w:rsid w:val="00FF4F7D"/>
    <w:rsid w:val="00FF561C"/>
    <w:rsid w:val="00FF5F72"/>
    <w:rsid w:val="00FF6D9D"/>
    <w:rsid w:val="00FF75DD"/>
    <w:rsid w:val="00FF7620"/>
    <w:rsid w:val="00FF7D66"/>
    <w:rsid w:val="00FF7DD5"/>
    <w:rsid w:val="0110E4B4"/>
    <w:rsid w:val="01433139"/>
    <w:rsid w:val="01DC1AC5"/>
    <w:rsid w:val="021ED010"/>
    <w:rsid w:val="022C400D"/>
    <w:rsid w:val="022E68D1"/>
    <w:rsid w:val="0290807F"/>
    <w:rsid w:val="02A36271"/>
    <w:rsid w:val="02C531C8"/>
    <w:rsid w:val="02CBEDC9"/>
    <w:rsid w:val="02E11898"/>
    <w:rsid w:val="03324AFB"/>
    <w:rsid w:val="038C7183"/>
    <w:rsid w:val="03F30EDD"/>
    <w:rsid w:val="0405F576"/>
    <w:rsid w:val="0408720D"/>
    <w:rsid w:val="042C05CD"/>
    <w:rsid w:val="04393203"/>
    <w:rsid w:val="044E1010"/>
    <w:rsid w:val="04C57387"/>
    <w:rsid w:val="04C6D031"/>
    <w:rsid w:val="04C8B559"/>
    <w:rsid w:val="04ECC3D9"/>
    <w:rsid w:val="051F088E"/>
    <w:rsid w:val="0533C52D"/>
    <w:rsid w:val="0593A146"/>
    <w:rsid w:val="05DA8FCC"/>
    <w:rsid w:val="061AFD92"/>
    <w:rsid w:val="06362CBB"/>
    <w:rsid w:val="063B28B5"/>
    <w:rsid w:val="06491E7A"/>
    <w:rsid w:val="065A423A"/>
    <w:rsid w:val="065B6661"/>
    <w:rsid w:val="065FD422"/>
    <w:rsid w:val="068D827C"/>
    <w:rsid w:val="06971CC6"/>
    <w:rsid w:val="06B1E3CA"/>
    <w:rsid w:val="06BA12EC"/>
    <w:rsid w:val="06FBB70A"/>
    <w:rsid w:val="06FF5962"/>
    <w:rsid w:val="072E1E10"/>
    <w:rsid w:val="075967AF"/>
    <w:rsid w:val="0776F850"/>
    <w:rsid w:val="07864AF5"/>
    <w:rsid w:val="078F5F8E"/>
    <w:rsid w:val="0798A4BF"/>
    <w:rsid w:val="07C83CE4"/>
    <w:rsid w:val="07E8663B"/>
    <w:rsid w:val="07F1700C"/>
    <w:rsid w:val="081676BF"/>
    <w:rsid w:val="081F77CC"/>
    <w:rsid w:val="082B0E7A"/>
    <w:rsid w:val="08565361"/>
    <w:rsid w:val="085D4379"/>
    <w:rsid w:val="0862EE6E"/>
    <w:rsid w:val="08E77749"/>
    <w:rsid w:val="09462A64"/>
    <w:rsid w:val="09498999"/>
    <w:rsid w:val="09AF132C"/>
    <w:rsid w:val="09B2AB16"/>
    <w:rsid w:val="0A56BB16"/>
    <w:rsid w:val="0A62FF74"/>
    <w:rsid w:val="0A80FE49"/>
    <w:rsid w:val="0A89771E"/>
    <w:rsid w:val="0AD02263"/>
    <w:rsid w:val="0AE5288F"/>
    <w:rsid w:val="0AFB6915"/>
    <w:rsid w:val="0B089C72"/>
    <w:rsid w:val="0B68FA63"/>
    <w:rsid w:val="0B69C2A1"/>
    <w:rsid w:val="0B80BFD9"/>
    <w:rsid w:val="0BE6897F"/>
    <w:rsid w:val="0C020FBB"/>
    <w:rsid w:val="0C079C1C"/>
    <w:rsid w:val="0C1F1A62"/>
    <w:rsid w:val="0C29E18F"/>
    <w:rsid w:val="0C7FCBF9"/>
    <w:rsid w:val="0C82AC16"/>
    <w:rsid w:val="0C8608D0"/>
    <w:rsid w:val="0CA016E9"/>
    <w:rsid w:val="0CB94CA4"/>
    <w:rsid w:val="0CDEA3DF"/>
    <w:rsid w:val="0CE1F150"/>
    <w:rsid w:val="0D25EEF6"/>
    <w:rsid w:val="0D30373B"/>
    <w:rsid w:val="0D515086"/>
    <w:rsid w:val="0D6C9274"/>
    <w:rsid w:val="0D85806E"/>
    <w:rsid w:val="0D8791D7"/>
    <w:rsid w:val="0D8D8C05"/>
    <w:rsid w:val="0D8E8552"/>
    <w:rsid w:val="0DB86C58"/>
    <w:rsid w:val="0DC3802D"/>
    <w:rsid w:val="0DDF7D45"/>
    <w:rsid w:val="0DE9BB88"/>
    <w:rsid w:val="0DF23E88"/>
    <w:rsid w:val="0DF53E1F"/>
    <w:rsid w:val="0E08496D"/>
    <w:rsid w:val="0E1A45AF"/>
    <w:rsid w:val="0E1C1EBF"/>
    <w:rsid w:val="0E34E11A"/>
    <w:rsid w:val="0E450351"/>
    <w:rsid w:val="0E566DC8"/>
    <w:rsid w:val="0E5D0BC9"/>
    <w:rsid w:val="0E674BA0"/>
    <w:rsid w:val="0E8B6E76"/>
    <w:rsid w:val="0E9906DB"/>
    <w:rsid w:val="0EAB2479"/>
    <w:rsid w:val="0EE92B24"/>
    <w:rsid w:val="0EFEC865"/>
    <w:rsid w:val="0F09E5D2"/>
    <w:rsid w:val="0F5397E0"/>
    <w:rsid w:val="0F778F1D"/>
    <w:rsid w:val="0F7B6FC5"/>
    <w:rsid w:val="0FCCF7D1"/>
    <w:rsid w:val="0FFFDD76"/>
    <w:rsid w:val="101FCFAD"/>
    <w:rsid w:val="1021B28E"/>
    <w:rsid w:val="10362513"/>
    <w:rsid w:val="1059FD77"/>
    <w:rsid w:val="105B41E7"/>
    <w:rsid w:val="107B6FCF"/>
    <w:rsid w:val="10C54BD6"/>
    <w:rsid w:val="10CE4887"/>
    <w:rsid w:val="10E82BBC"/>
    <w:rsid w:val="1103A72E"/>
    <w:rsid w:val="1112E5AD"/>
    <w:rsid w:val="111F4D1D"/>
    <w:rsid w:val="11581FF1"/>
    <w:rsid w:val="119FB08E"/>
    <w:rsid w:val="11A5B743"/>
    <w:rsid w:val="120EBD3C"/>
    <w:rsid w:val="12183A53"/>
    <w:rsid w:val="126445CF"/>
    <w:rsid w:val="128930EE"/>
    <w:rsid w:val="13004493"/>
    <w:rsid w:val="1305282D"/>
    <w:rsid w:val="131C4BD4"/>
    <w:rsid w:val="13245192"/>
    <w:rsid w:val="1324FBC5"/>
    <w:rsid w:val="132E9555"/>
    <w:rsid w:val="1332FF0F"/>
    <w:rsid w:val="1333989F"/>
    <w:rsid w:val="1343BB44"/>
    <w:rsid w:val="134D21F1"/>
    <w:rsid w:val="13A37FAA"/>
    <w:rsid w:val="13B90FF7"/>
    <w:rsid w:val="13BD0BEE"/>
    <w:rsid w:val="13CEB08F"/>
    <w:rsid w:val="13D238A8"/>
    <w:rsid w:val="13F4F591"/>
    <w:rsid w:val="1426337A"/>
    <w:rsid w:val="14562C6D"/>
    <w:rsid w:val="14A9881F"/>
    <w:rsid w:val="14CE6DC4"/>
    <w:rsid w:val="14F7ED23"/>
    <w:rsid w:val="150D5C27"/>
    <w:rsid w:val="15258138"/>
    <w:rsid w:val="15445C01"/>
    <w:rsid w:val="15591CA3"/>
    <w:rsid w:val="1561D998"/>
    <w:rsid w:val="1589F0F8"/>
    <w:rsid w:val="15B6E121"/>
    <w:rsid w:val="15D29A7C"/>
    <w:rsid w:val="15DCD54C"/>
    <w:rsid w:val="15FD658C"/>
    <w:rsid w:val="16153BB6"/>
    <w:rsid w:val="161AB09F"/>
    <w:rsid w:val="161FD8A3"/>
    <w:rsid w:val="1631151D"/>
    <w:rsid w:val="164D5D2B"/>
    <w:rsid w:val="16570BCB"/>
    <w:rsid w:val="16A0C6A9"/>
    <w:rsid w:val="170A72EB"/>
    <w:rsid w:val="1722111C"/>
    <w:rsid w:val="177B75F1"/>
    <w:rsid w:val="17A3AE5A"/>
    <w:rsid w:val="1808334D"/>
    <w:rsid w:val="18083558"/>
    <w:rsid w:val="186BD68F"/>
    <w:rsid w:val="18A0D275"/>
    <w:rsid w:val="18E3BB68"/>
    <w:rsid w:val="1910FFA6"/>
    <w:rsid w:val="193DCF64"/>
    <w:rsid w:val="1941B9A0"/>
    <w:rsid w:val="1991471B"/>
    <w:rsid w:val="19B2391C"/>
    <w:rsid w:val="1A0E6B33"/>
    <w:rsid w:val="1A1F811B"/>
    <w:rsid w:val="1A229429"/>
    <w:rsid w:val="1A256EC8"/>
    <w:rsid w:val="1A5A0215"/>
    <w:rsid w:val="1A6162ED"/>
    <w:rsid w:val="1AFBE432"/>
    <w:rsid w:val="1B081A5E"/>
    <w:rsid w:val="1B0AC4FD"/>
    <w:rsid w:val="1B3F4315"/>
    <w:rsid w:val="1B47A828"/>
    <w:rsid w:val="1B6490B6"/>
    <w:rsid w:val="1B68BF12"/>
    <w:rsid w:val="1B9985EF"/>
    <w:rsid w:val="1BA3D6B4"/>
    <w:rsid w:val="1BBB0C0E"/>
    <w:rsid w:val="1BC65A73"/>
    <w:rsid w:val="1BD695B6"/>
    <w:rsid w:val="1BDA68A7"/>
    <w:rsid w:val="1BE27DAA"/>
    <w:rsid w:val="1BF64229"/>
    <w:rsid w:val="1C05AF0A"/>
    <w:rsid w:val="1CB42987"/>
    <w:rsid w:val="1D2BACE2"/>
    <w:rsid w:val="1D3920A0"/>
    <w:rsid w:val="1D5F23E0"/>
    <w:rsid w:val="1D726666"/>
    <w:rsid w:val="1DB55AB6"/>
    <w:rsid w:val="1DCDD9AF"/>
    <w:rsid w:val="1DE90159"/>
    <w:rsid w:val="1DE99F9F"/>
    <w:rsid w:val="1E2B891E"/>
    <w:rsid w:val="1E329A15"/>
    <w:rsid w:val="1E3690B9"/>
    <w:rsid w:val="1E4B15D4"/>
    <w:rsid w:val="1E57E892"/>
    <w:rsid w:val="1E7830F4"/>
    <w:rsid w:val="1E8DF12E"/>
    <w:rsid w:val="1ED5635E"/>
    <w:rsid w:val="1ED9067E"/>
    <w:rsid w:val="1F1E2A86"/>
    <w:rsid w:val="1F2EBE93"/>
    <w:rsid w:val="1F37F643"/>
    <w:rsid w:val="1F6C23AA"/>
    <w:rsid w:val="1F71F0CF"/>
    <w:rsid w:val="1F7A7BA6"/>
    <w:rsid w:val="1F91F18E"/>
    <w:rsid w:val="1FA7B69E"/>
    <w:rsid w:val="1FB2174D"/>
    <w:rsid w:val="1FE86649"/>
    <w:rsid w:val="20502768"/>
    <w:rsid w:val="2054AE83"/>
    <w:rsid w:val="20634305"/>
    <w:rsid w:val="207A0FFD"/>
    <w:rsid w:val="209160EA"/>
    <w:rsid w:val="21004378"/>
    <w:rsid w:val="2120DB9C"/>
    <w:rsid w:val="21513449"/>
    <w:rsid w:val="21606824"/>
    <w:rsid w:val="2199718E"/>
    <w:rsid w:val="21C25798"/>
    <w:rsid w:val="21D3C8D8"/>
    <w:rsid w:val="21DF2286"/>
    <w:rsid w:val="21F75E0C"/>
    <w:rsid w:val="2208D00A"/>
    <w:rsid w:val="22175E47"/>
    <w:rsid w:val="224947ED"/>
    <w:rsid w:val="2277E102"/>
    <w:rsid w:val="22A636C4"/>
    <w:rsid w:val="22AD3CBD"/>
    <w:rsid w:val="22E08D12"/>
    <w:rsid w:val="23C7708A"/>
    <w:rsid w:val="23F815AB"/>
    <w:rsid w:val="23FCD698"/>
    <w:rsid w:val="242AF3C1"/>
    <w:rsid w:val="251F6384"/>
    <w:rsid w:val="252466BF"/>
    <w:rsid w:val="255D5CBC"/>
    <w:rsid w:val="25895E61"/>
    <w:rsid w:val="25D726C6"/>
    <w:rsid w:val="25DC56B8"/>
    <w:rsid w:val="25ECDB64"/>
    <w:rsid w:val="269CD914"/>
    <w:rsid w:val="26ABC00E"/>
    <w:rsid w:val="27B69C8D"/>
    <w:rsid w:val="280FB454"/>
    <w:rsid w:val="28230235"/>
    <w:rsid w:val="28782653"/>
    <w:rsid w:val="287C1B8A"/>
    <w:rsid w:val="28A7460D"/>
    <w:rsid w:val="28B74AD3"/>
    <w:rsid w:val="28B820B6"/>
    <w:rsid w:val="28E94B98"/>
    <w:rsid w:val="28ECF25D"/>
    <w:rsid w:val="2911194C"/>
    <w:rsid w:val="2914E489"/>
    <w:rsid w:val="293DE811"/>
    <w:rsid w:val="2949C693"/>
    <w:rsid w:val="29AF0798"/>
    <w:rsid w:val="29BA0FC7"/>
    <w:rsid w:val="29C1E108"/>
    <w:rsid w:val="29FC35FE"/>
    <w:rsid w:val="2A0C7542"/>
    <w:rsid w:val="2A1077F8"/>
    <w:rsid w:val="2A8730DA"/>
    <w:rsid w:val="2A8C227A"/>
    <w:rsid w:val="2A958A52"/>
    <w:rsid w:val="2A9A570B"/>
    <w:rsid w:val="2A9B5914"/>
    <w:rsid w:val="2A9B8217"/>
    <w:rsid w:val="2ABDC0F0"/>
    <w:rsid w:val="2AE9F697"/>
    <w:rsid w:val="2B11B818"/>
    <w:rsid w:val="2B6274B1"/>
    <w:rsid w:val="2B682238"/>
    <w:rsid w:val="2B7249EF"/>
    <w:rsid w:val="2B7DEBE6"/>
    <w:rsid w:val="2B9727A3"/>
    <w:rsid w:val="2B98AEBD"/>
    <w:rsid w:val="2BAF4859"/>
    <w:rsid w:val="2BE54E10"/>
    <w:rsid w:val="2C2A3DE3"/>
    <w:rsid w:val="2C5A4312"/>
    <w:rsid w:val="2C6E45F3"/>
    <w:rsid w:val="2C75E7D9"/>
    <w:rsid w:val="2C7D2415"/>
    <w:rsid w:val="2C856650"/>
    <w:rsid w:val="2C9787E0"/>
    <w:rsid w:val="2CB15FE2"/>
    <w:rsid w:val="2CE40031"/>
    <w:rsid w:val="2CEF7739"/>
    <w:rsid w:val="2D0729CC"/>
    <w:rsid w:val="2D244264"/>
    <w:rsid w:val="2D39ADCD"/>
    <w:rsid w:val="2D5CA0CF"/>
    <w:rsid w:val="2D5FF842"/>
    <w:rsid w:val="2DECECC1"/>
    <w:rsid w:val="2DFA69DB"/>
    <w:rsid w:val="2E08067F"/>
    <w:rsid w:val="2E28DDE4"/>
    <w:rsid w:val="2E68B7B9"/>
    <w:rsid w:val="2E7B2152"/>
    <w:rsid w:val="2F16D131"/>
    <w:rsid w:val="2F17E3B3"/>
    <w:rsid w:val="2F32E087"/>
    <w:rsid w:val="2FA133D2"/>
    <w:rsid w:val="2FA92669"/>
    <w:rsid w:val="2FAFC90E"/>
    <w:rsid w:val="2FC0D76E"/>
    <w:rsid w:val="2FEAB457"/>
    <w:rsid w:val="301F75E2"/>
    <w:rsid w:val="3020C731"/>
    <w:rsid w:val="30265529"/>
    <w:rsid w:val="303D8F83"/>
    <w:rsid w:val="3083F8BD"/>
    <w:rsid w:val="31676B4F"/>
    <w:rsid w:val="31B28D43"/>
    <w:rsid w:val="324AD047"/>
    <w:rsid w:val="325F0F58"/>
    <w:rsid w:val="32C309FA"/>
    <w:rsid w:val="32D45B81"/>
    <w:rsid w:val="3338064C"/>
    <w:rsid w:val="33393229"/>
    <w:rsid w:val="334AACA4"/>
    <w:rsid w:val="33504230"/>
    <w:rsid w:val="338809AE"/>
    <w:rsid w:val="33A5AF44"/>
    <w:rsid w:val="33BF31CD"/>
    <w:rsid w:val="33DA29BB"/>
    <w:rsid w:val="34511FE8"/>
    <w:rsid w:val="345C7382"/>
    <w:rsid w:val="34C429B4"/>
    <w:rsid w:val="34D52ADF"/>
    <w:rsid w:val="34DAA2C0"/>
    <w:rsid w:val="34E1CA98"/>
    <w:rsid w:val="34E38780"/>
    <w:rsid w:val="34FB5762"/>
    <w:rsid w:val="3519BE68"/>
    <w:rsid w:val="351BF64F"/>
    <w:rsid w:val="353719D8"/>
    <w:rsid w:val="3542EB17"/>
    <w:rsid w:val="355F6801"/>
    <w:rsid w:val="356E104F"/>
    <w:rsid w:val="356E2005"/>
    <w:rsid w:val="3599915B"/>
    <w:rsid w:val="35BEA477"/>
    <w:rsid w:val="35FE64A5"/>
    <w:rsid w:val="36024AE8"/>
    <w:rsid w:val="361D960F"/>
    <w:rsid w:val="363D71EE"/>
    <w:rsid w:val="36514D33"/>
    <w:rsid w:val="3656BE07"/>
    <w:rsid w:val="365F9F56"/>
    <w:rsid w:val="36698D2E"/>
    <w:rsid w:val="36979565"/>
    <w:rsid w:val="36A0462E"/>
    <w:rsid w:val="36A085EC"/>
    <w:rsid w:val="36ABFA32"/>
    <w:rsid w:val="36CE6892"/>
    <w:rsid w:val="36D093B1"/>
    <w:rsid w:val="36E4C870"/>
    <w:rsid w:val="36EA762D"/>
    <w:rsid w:val="36F2374C"/>
    <w:rsid w:val="36FDCDD6"/>
    <w:rsid w:val="3700A1C1"/>
    <w:rsid w:val="37222349"/>
    <w:rsid w:val="373C98CF"/>
    <w:rsid w:val="374742F9"/>
    <w:rsid w:val="374A4295"/>
    <w:rsid w:val="3787711D"/>
    <w:rsid w:val="3797F3A9"/>
    <w:rsid w:val="37BD5518"/>
    <w:rsid w:val="37E3EFA2"/>
    <w:rsid w:val="37FA9ACD"/>
    <w:rsid w:val="3808539E"/>
    <w:rsid w:val="3820E175"/>
    <w:rsid w:val="382941B1"/>
    <w:rsid w:val="387D6D89"/>
    <w:rsid w:val="387FC138"/>
    <w:rsid w:val="388DE858"/>
    <w:rsid w:val="38B7A1C2"/>
    <w:rsid w:val="38C1F412"/>
    <w:rsid w:val="38DDD790"/>
    <w:rsid w:val="3900E77C"/>
    <w:rsid w:val="390A616E"/>
    <w:rsid w:val="391A8D26"/>
    <w:rsid w:val="3944F18E"/>
    <w:rsid w:val="39A41EB9"/>
    <w:rsid w:val="39F80903"/>
    <w:rsid w:val="3A17F8E3"/>
    <w:rsid w:val="3A367258"/>
    <w:rsid w:val="3A37BC42"/>
    <w:rsid w:val="3A3D05F6"/>
    <w:rsid w:val="3A590A7F"/>
    <w:rsid w:val="3A79B126"/>
    <w:rsid w:val="3A7FE88F"/>
    <w:rsid w:val="3AA9E7EF"/>
    <w:rsid w:val="3ABE0C7A"/>
    <w:rsid w:val="3B263D48"/>
    <w:rsid w:val="3B43246F"/>
    <w:rsid w:val="3B5484F4"/>
    <w:rsid w:val="3B74145E"/>
    <w:rsid w:val="3B7F6BC3"/>
    <w:rsid w:val="3B8AF9E0"/>
    <w:rsid w:val="3B903C06"/>
    <w:rsid w:val="3BA48436"/>
    <w:rsid w:val="3BB26273"/>
    <w:rsid w:val="3BDDF32B"/>
    <w:rsid w:val="3BDE1234"/>
    <w:rsid w:val="3BEBBAC9"/>
    <w:rsid w:val="3BECEF25"/>
    <w:rsid w:val="3BF65CF6"/>
    <w:rsid w:val="3BFFEE4B"/>
    <w:rsid w:val="3C286C3B"/>
    <w:rsid w:val="3C54FE46"/>
    <w:rsid w:val="3C67EDEE"/>
    <w:rsid w:val="3C6C1F98"/>
    <w:rsid w:val="3C6E2B4E"/>
    <w:rsid w:val="3CA3EA40"/>
    <w:rsid w:val="3D4405BA"/>
    <w:rsid w:val="3DB7FEA3"/>
    <w:rsid w:val="3DC5C614"/>
    <w:rsid w:val="3E06A497"/>
    <w:rsid w:val="3E1F7660"/>
    <w:rsid w:val="3E57E002"/>
    <w:rsid w:val="3E813FFE"/>
    <w:rsid w:val="3E82E068"/>
    <w:rsid w:val="3EA3D5BD"/>
    <w:rsid w:val="3EAABC7E"/>
    <w:rsid w:val="3EB950A9"/>
    <w:rsid w:val="3ECD3777"/>
    <w:rsid w:val="3F1A2E13"/>
    <w:rsid w:val="3F55A81D"/>
    <w:rsid w:val="3F6364B6"/>
    <w:rsid w:val="3F804BA3"/>
    <w:rsid w:val="3F95A20D"/>
    <w:rsid w:val="401DD1EC"/>
    <w:rsid w:val="403F6602"/>
    <w:rsid w:val="40468C62"/>
    <w:rsid w:val="404B2ACF"/>
    <w:rsid w:val="40597F7B"/>
    <w:rsid w:val="40848258"/>
    <w:rsid w:val="4097AB44"/>
    <w:rsid w:val="40AF3E21"/>
    <w:rsid w:val="40F13CA4"/>
    <w:rsid w:val="413C3179"/>
    <w:rsid w:val="4156A32D"/>
    <w:rsid w:val="4159764D"/>
    <w:rsid w:val="41BAE053"/>
    <w:rsid w:val="41F8FE96"/>
    <w:rsid w:val="42226EAE"/>
    <w:rsid w:val="425238B7"/>
    <w:rsid w:val="4270D5DD"/>
    <w:rsid w:val="4293EA2A"/>
    <w:rsid w:val="42942ADC"/>
    <w:rsid w:val="42CAFA8F"/>
    <w:rsid w:val="42EA86E7"/>
    <w:rsid w:val="432A0312"/>
    <w:rsid w:val="4369E7BC"/>
    <w:rsid w:val="4383E2BB"/>
    <w:rsid w:val="43B8419C"/>
    <w:rsid w:val="43DC8A0E"/>
    <w:rsid w:val="43FFFBB3"/>
    <w:rsid w:val="4425EC3A"/>
    <w:rsid w:val="44286163"/>
    <w:rsid w:val="444EC1D2"/>
    <w:rsid w:val="44503C78"/>
    <w:rsid w:val="4471BE31"/>
    <w:rsid w:val="44829BBD"/>
    <w:rsid w:val="44939762"/>
    <w:rsid w:val="44D75F50"/>
    <w:rsid w:val="44E3C985"/>
    <w:rsid w:val="44E50234"/>
    <w:rsid w:val="44E9F6D9"/>
    <w:rsid w:val="4511AE5A"/>
    <w:rsid w:val="45301639"/>
    <w:rsid w:val="454C4F82"/>
    <w:rsid w:val="454EC0F6"/>
    <w:rsid w:val="4559DE16"/>
    <w:rsid w:val="45776503"/>
    <w:rsid w:val="45969032"/>
    <w:rsid w:val="45A7CCD7"/>
    <w:rsid w:val="45C43110"/>
    <w:rsid w:val="45EC8856"/>
    <w:rsid w:val="462730F8"/>
    <w:rsid w:val="464CB38B"/>
    <w:rsid w:val="4666886A"/>
    <w:rsid w:val="46EC2467"/>
    <w:rsid w:val="4701D3DB"/>
    <w:rsid w:val="4734DF23"/>
    <w:rsid w:val="474AE648"/>
    <w:rsid w:val="4756F914"/>
    <w:rsid w:val="475F7393"/>
    <w:rsid w:val="4795D990"/>
    <w:rsid w:val="47BE285A"/>
    <w:rsid w:val="47CDFA61"/>
    <w:rsid w:val="480BA74F"/>
    <w:rsid w:val="4815386E"/>
    <w:rsid w:val="482C675C"/>
    <w:rsid w:val="48400A75"/>
    <w:rsid w:val="484ECDBD"/>
    <w:rsid w:val="4875F304"/>
    <w:rsid w:val="48A43DDE"/>
    <w:rsid w:val="48AE33DA"/>
    <w:rsid w:val="48B9B551"/>
    <w:rsid w:val="49098AB6"/>
    <w:rsid w:val="49165F02"/>
    <w:rsid w:val="491BC948"/>
    <w:rsid w:val="499880AE"/>
    <w:rsid w:val="49F29C8B"/>
    <w:rsid w:val="4A280B8E"/>
    <w:rsid w:val="4A3870EC"/>
    <w:rsid w:val="4A4EB292"/>
    <w:rsid w:val="4A7FE89D"/>
    <w:rsid w:val="4AAAB17B"/>
    <w:rsid w:val="4AE7F996"/>
    <w:rsid w:val="4B2D28AB"/>
    <w:rsid w:val="4B388A87"/>
    <w:rsid w:val="4BA57F64"/>
    <w:rsid w:val="4C29A0C7"/>
    <w:rsid w:val="4CCCBB8E"/>
    <w:rsid w:val="4D325E52"/>
    <w:rsid w:val="4D3B91A5"/>
    <w:rsid w:val="4D77F40E"/>
    <w:rsid w:val="4DEA5122"/>
    <w:rsid w:val="4DF133D3"/>
    <w:rsid w:val="4DF9A357"/>
    <w:rsid w:val="4E15EC5B"/>
    <w:rsid w:val="4E23D96C"/>
    <w:rsid w:val="4E24C00E"/>
    <w:rsid w:val="4E2E9B76"/>
    <w:rsid w:val="4E387780"/>
    <w:rsid w:val="4E4286D5"/>
    <w:rsid w:val="4E723335"/>
    <w:rsid w:val="4E7433BE"/>
    <w:rsid w:val="4E797384"/>
    <w:rsid w:val="4E7F6965"/>
    <w:rsid w:val="4EC222FC"/>
    <w:rsid w:val="4F11D3C1"/>
    <w:rsid w:val="4F1704AE"/>
    <w:rsid w:val="4F17244D"/>
    <w:rsid w:val="4F17CA59"/>
    <w:rsid w:val="4F1B50E6"/>
    <w:rsid w:val="4F1E3E61"/>
    <w:rsid w:val="4F1EBC90"/>
    <w:rsid w:val="4F271B35"/>
    <w:rsid w:val="4F43567A"/>
    <w:rsid w:val="4F4EC02C"/>
    <w:rsid w:val="4FD6D26A"/>
    <w:rsid w:val="50387A6B"/>
    <w:rsid w:val="503FED69"/>
    <w:rsid w:val="504F0405"/>
    <w:rsid w:val="505EFF5D"/>
    <w:rsid w:val="50744016"/>
    <w:rsid w:val="5087A25A"/>
    <w:rsid w:val="509E05F3"/>
    <w:rsid w:val="50A4F349"/>
    <w:rsid w:val="50BB4929"/>
    <w:rsid w:val="50BBF664"/>
    <w:rsid w:val="50D884E5"/>
    <w:rsid w:val="5100498A"/>
    <w:rsid w:val="510762F2"/>
    <w:rsid w:val="51205BF4"/>
    <w:rsid w:val="51379B14"/>
    <w:rsid w:val="5174FE4C"/>
    <w:rsid w:val="518FFEBD"/>
    <w:rsid w:val="51982ECF"/>
    <w:rsid w:val="51999908"/>
    <w:rsid w:val="51AF284B"/>
    <w:rsid w:val="51C719B7"/>
    <w:rsid w:val="51D20713"/>
    <w:rsid w:val="51FD9409"/>
    <w:rsid w:val="52451081"/>
    <w:rsid w:val="525E3096"/>
    <w:rsid w:val="52965A44"/>
    <w:rsid w:val="52AFC9B2"/>
    <w:rsid w:val="52F0DE3B"/>
    <w:rsid w:val="52F7B0D3"/>
    <w:rsid w:val="5308B789"/>
    <w:rsid w:val="5312E0C0"/>
    <w:rsid w:val="532F5BA9"/>
    <w:rsid w:val="5337F61F"/>
    <w:rsid w:val="53923B30"/>
    <w:rsid w:val="53AE8A3B"/>
    <w:rsid w:val="53DC4142"/>
    <w:rsid w:val="53E8C160"/>
    <w:rsid w:val="53EE8814"/>
    <w:rsid w:val="53FB1176"/>
    <w:rsid w:val="5427AFB8"/>
    <w:rsid w:val="5463D4BF"/>
    <w:rsid w:val="546B918B"/>
    <w:rsid w:val="54FCF767"/>
    <w:rsid w:val="55037CB2"/>
    <w:rsid w:val="553BF6D1"/>
    <w:rsid w:val="5566A9CC"/>
    <w:rsid w:val="558684FD"/>
    <w:rsid w:val="55A3CA81"/>
    <w:rsid w:val="55A584C5"/>
    <w:rsid w:val="55C41EB8"/>
    <w:rsid w:val="55F9EFBA"/>
    <w:rsid w:val="55FDB924"/>
    <w:rsid w:val="562C9EC2"/>
    <w:rsid w:val="566F77AA"/>
    <w:rsid w:val="56820FE0"/>
    <w:rsid w:val="56BE082D"/>
    <w:rsid w:val="5713DE6C"/>
    <w:rsid w:val="57288885"/>
    <w:rsid w:val="5738CA98"/>
    <w:rsid w:val="573EDDF0"/>
    <w:rsid w:val="57419187"/>
    <w:rsid w:val="574B745C"/>
    <w:rsid w:val="577690BF"/>
    <w:rsid w:val="578742F8"/>
    <w:rsid w:val="578F4982"/>
    <w:rsid w:val="57B5EFBC"/>
    <w:rsid w:val="57C20082"/>
    <w:rsid w:val="57F6CFD5"/>
    <w:rsid w:val="5837A94F"/>
    <w:rsid w:val="58426241"/>
    <w:rsid w:val="58486626"/>
    <w:rsid w:val="585EBC8B"/>
    <w:rsid w:val="588A60A7"/>
    <w:rsid w:val="588C0E2F"/>
    <w:rsid w:val="588CE8E4"/>
    <w:rsid w:val="58A82E8C"/>
    <w:rsid w:val="58EC5668"/>
    <w:rsid w:val="59272856"/>
    <w:rsid w:val="594E7F2C"/>
    <w:rsid w:val="5952EA54"/>
    <w:rsid w:val="5963FE64"/>
    <w:rsid w:val="5976E691"/>
    <w:rsid w:val="59779903"/>
    <w:rsid w:val="599A52D6"/>
    <w:rsid w:val="59B625B9"/>
    <w:rsid w:val="59C5FDAB"/>
    <w:rsid w:val="59FDDE00"/>
    <w:rsid w:val="5A13703D"/>
    <w:rsid w:val="5A436457"/>
    <w:rsid w:val="5A5696C3"/>
    <w:rsid w:val="5A76B479"/>
    <w:rsid w:val="5AA9BA9C"/>
    <w:rsid w:val="5AC15F93"/>
    <w:rsid w:val="5B1FC482"/>
    <w:rsid w:val="5B385F4B"/>
    <w:rsid w:val="5B3B589F"/>
    <w:rsid w:val="5B7B5802"/>
    <w:rsid w:val="5BA2BA94"/>
    <w:rsid w:val="5BA3D272"/>
    <w:rsid w:val="5BB19C7F"/>
    <w:rsid w:val="5BCBA32F"/>
    <w:rsid w:val="5C0A2BBB"/>
    <w:rsid w:val="5C31DD85"/>
    <w:rsid w:val="5C39A081"/>
    <w:rsid w:val="5C44C27C"/>
    <w:rsid w:val="5C58F2B0"/>
    <w:rsid w:val="5C793720"/>
    <w:rsid w:val="5CAFEA16"/>
    <w:rsid w:val="5CB27268"/>
    <w:rsid w:val="5CBF830F"/>
    <w:rsid w:val="5CD22DC9"/>
    <w:rsid w:val="5CDA9E60"/>
    <w:rsid w:val="5CF0B8BF"/>
    <w:rsid w:val="5D000FF9"/>
    <w:rsid w:val="5D2F06EF"/>
    <w:rsid w:val="5D5B77F8"/>
    <w:rsid w:val="5D61489B"/>
    <w:rsid w:val="5D98C749"/>
    <w:rsid w:val="5E53509A"/>
    <w:rsid w:val="5E5D9384"/>
    <w:rsid w:val="5E6EECD3"/>
    <w:rsid w:val="5E8A283D"/>
    <w:rsid w:val="5EAF5645"/>
    <w:rsid w:val="5EFA0147"/>
    <w:rsid w:val="5F1FC3F6"/>
    <w:rsid w:val="5F2D534C"/>
    <w:rsid w:val="5F35F8DD"/>
    <w:rsid w:val="5F71AFF5"/>
    <w:rsid w:val="5FF6A567"/>
    <w:rsid w:val="60240C64"/>
    <w:rsid w:val="604A9E20"/>
    <w:rsid w:val="607AF4D3"/>
    <w:rsid w:val="60DFCF03"/>
    <w:rsid w:val="610B3BC5"/>
    <w:rsid w:val="611982D8"/>
    <w:rsid w:val="6121D399"/>
    <w:rsid w:val="6131281A"/>
    <w:rsid w:val="616C68A3"/>
    <w:rsid w:val="617426F4"/>
    <w:rsid w:val="618145B2"/>
    <w:rsid w:val="6188D446"/>
    <w:rsid w:val="619D901B"/>
    <w:rsid w:val="61C7DC4F"/>
    <w:rsid w:val="62003D3C"/>
    <w:rsid w:val="6204B04D"/>
    <w:rsid w:val="6215B4DA"/>
    <w:rsid w:val="6268ABD1"/>
    <w:rsid w:val="629F6FB0"/>
    <w:rsid w:val="62A4E834"/>
    <w:rsid w:val="62B43E3A"/>
    <w:rsid w:val="630EE64E"/>
    <w:rsid w:val="631F88B9"/>
    <w:rsid w:val="632D2F6A"/>
    <w:rsid w:val="633BE3A1"/>
    <w:rsid w:val="63430A8E"/>
    <w:rsid w:val="6353A2EB"/>
    <w:rsid w:val="63672F06"/>
    <w:rsid w:val="636CF1AB"/>
    <w:rsid w:val="6372ADB2"/>
    <w:rsid w:val="6386CDB1"/>
    <w:rsid w:val="63939BB7"/>
    <w:rsid w:val="6395E43F"/>
    <w:rsid w:val="63DB24AB"/>
    <w:rsid w:val="63F01144"/>
    <w:rsid w:val="640CDC0F"/>
    <w:rsid w:val="641BB54A"/>
    <w:rsid w:val="6421CED8"/>
    <w:rsid w:val="64758D9B"/>
    <w:rsid w:val="649DE760"/>
    <w:rsid w:val="64A85B52"/>
    <w:rsid w:val="64AF132C"/>
    <w:rsid w:val="64EF3A67"/>
    <w:rsid w:val="6514417B"/>
    <w:rsid w:val="6514BA06"/>
    <w:rsid w:val="651634D7"/>
    <w:rsid w:val="654C8348"/>
    <w:rsid w:val="654D3A57"/>
    <w:rsid w:val="6560D9E2"/>
    <w:rsid w:val="65A59C02"/>
    <w:rsid w:val="65D07CB3"/>
    <w:rsid w:val="6620E0E4"/>
    <w:rsid w:val="663C459F"/>
    <w:rsid w:val="664494F1"/>
    <w:rsid w:val="66778526"/>
    <w:rsid w:val="66924C57"/>
    <w:rsid w:val="66BE7C4A"/>
    <w:rsid w:val="66E2D7E1"/>
    <w:rsid w:val="67723EE3"/>
    <w:rsid w:val="6795DFF7"/>
    <w:rsid w:val="67C96B8B"/>
    <w:rsid w:val="680B99E2"/>
    <w:rsid w:val="6844F9A3"/>
    <w:rsid w:val="686FA51B"/>
    <w:rsid w:val="689FEC27"/>
    <w:rsid w:val="68EC9E82"/>
    <w:rsid w:val="68F6CADC"/>
    <w:rsid w:val="6909DFAB"/>
    <w:rsid w:val="6918FBB1"/>
    <w:rsid w:val="693EC4BB"/>
    <w:rsid w:val="693EDAAE"/>
    <w:rsid w:val="694F152D"/>
    <w:rsid w:val="697A5D96"/>
    <w:rsid w:val="69D0003F"/>
    <w:rsid w:val="69DBD968"/>
    <w:rsid w:val="6A28850E"/>
    <w:rsid w:val="6A809FF1"/>
    <w:rsid w:val="6A87DA12"/>
    <w:rsid w:val="6A8EF0E5"/>
    <w:rsid w:val="6A962E91"/>
    <w:rsid w:val="6AB1AB3C"/>
    <w:rsid w:val="6AC01E44"/>
    <w:rsid w:val="6B6A0606"/>
    <w:rsid w:val="6B8AE424"/>
    <w:rsid w:val="6B98EFB5"/>
    <w:rsid w:val="6BA2F5D0"/>
    <w:rsid w:val="6BAAAC6B"/>
    <w:rsid w:val="6BCDBF73"/>
    <w:rsid w:val="6BD3F659"/>
    <w:rsid w:val="6BDF0487"/>
    <w:rsid w:val="6C298DA8"/>
    <w:rsid w:val="6C2BBCD8"/>
    <w:rsid w:val="6C31819E"/>
    <w:rsid w:val="6C6AC52A"/>
    <w:rsid w:val="6C80F91A"/>
    <w:rsid w:val="6C982E44"/>
    <w:rsid w:val="6CA7041E"/>
    <w:rsid w:val="6CEC0CF9"/>
    <w:rsid w:val="6D0A56F1"/>
    <w:rsid w:val="6D678EC7"/>
    <w:rsid w:val="6D8B9811"/>
    <w:rsid w:val="6DA29793"/>
    <w:rsid w:val="6DD1893D"/>
    <w:rsid w:val="6DDE5A17"/>
    <w:rsid w:val="6DE9E10A"/>
    <w:rsid w:val="6E38E110"/>
    <w:rsid w:val="6E7E26D4"/>
    <w:rsid w:val="6EB9852D"/>
    <w:rsid w:val="6ED0EF5F"/>
    <w:rsid w:val="6F0C0EF0"/>
    <w:rsid w:val="6F11C3BF"/>
    <w:rsid w:val="6F1ABD28"/>
    <w:rsid w:val="6F3C0BA7"/>
    <w:rsid w:val="6F4FC735"/>
    <w:rsid w:val="6F5E94B6"/>
    <w:rsid w:val="6F6AE566"/>
    <w:rsid w:val="6FB429CE"/>
    <w:rsid w:val="6FBB0377"/>
    <w:rsid w:val="6FE20220"/>
    <w:rsid w:val="6FFECFBE"/>
    <w:rsid w:val="70066485"/>
    <w:rsid w:val="7009F4A5"/>
    <w:rsid w:val="703F3C88"/>
    <w:rsid w:val="7089D41D"/>
    <w:rsid w:val="70A6477F"/>
    <w:rsid w:val="70C166FE"/>
    <w:rsid w:val="71347F73"/>
    <w:rsid w:val="7149095C"/>
    <w:rsid w:val="7151AD20"/>
    <w:rsid w:val="7171D3DB"/>
    <w:rsid w:val="71A5325E"/>
    <w:rsid w:val="71ABA0E4"/>
    <w:rsid w:val="71B770EE"/>
    <w:rsid w:val="720C831D"/>
    <w:rsid w:val="72449066"/>
    <w:rsid w:val="724B2FE7"/>
    <w:rsid w:val="72765D67"/>
    <w:rsid w:val="729CFFEB"/>
    <w:rsid w:val="72E18036"/>
    <w:rsid w:val="72E791AA"/>
    <w:rsid w:val="72FA6058"/>
    <w:rsid w:val="73154EEB"/>
    <w:rsid w:val="739525C4"/>
    <w:rsid w:val="7395CB71"/>
    <w:rsid w:val="73D11C6F"/>
    <w:rsid w:val="73D7170E"/>
    <w:rsid w:val="7400323D"/>
    <w:rsid w:val="7424C432"/>
    <w:rsid w:val="742A7738"/>
    <w:rsid w:val="747A3C7B"/>
    <w:rsid w:val="7492A010"/>
    <w:rsid w:val="74A3CB0F"/>
    <w:rsid w:val="74DBCE96"/>
    <w:rsid w:val="752CD6DC"/>
    <w:rsid w:val="752CE2FD"/>
    <w:rsid w:val="753A5B56"/>
    <w:rsid w:val="75521A12"/>
    <w:rsid w:val="755BC801"/>
    <w:rsid w:val="7561244F"/>
    <w:rsid w:val="75740785"/>
    <w:rsid w:val="75A64AD8"/>
    <w:rsid w:val="76034B36"/>
    <w:rsid w:val="7615605B"/>
    <w:rsid w:val="761CDFAF"/>
    <w:rsid w:val="762A70A4"/>
    <w:rsid w:val="76644BDE"/>
    <w:rsid w:val="766A731C"/>
    <w:rsid w:val="7687E166"/>
    <w:rsid w:val="76FAAAB8"/>
    <w:rsid w:val="77456DBD"/>
    <w:rsid w:val="777E4C3A"/>
    <w:rsid w:val="77A187D6"/>
    <w:rsid w:val="77B8B183"/>
    <w:rsid w:val="77D3CAF4"/>
    <w:rsid w:val="77E58F33"/>
    <w:rsid w:val="77E98814"/>
    <w:rsid w:val="77F20C4E"/>
    <w:rsid w:val="78266266"/>
    <w:rsid w:val="78700928"/>
    <w:rsid w:val="787B11B4"/>
    <w:rsid w:val="7888A81C"/>
    <w:rsid w:val="78AA3A3E"/>
    <w:rsid w:val="78D67B04"/>
    <w:rsid w:val="78F06D8E"/>
    <w:rsid w:val="79314A33"/>
    <w:rsid w:val="7934BC56"/>
    <w:rsid w:val="795A2CA7"/>
    <w:rsid w:val="796C9D1A"/>
    <w:rsid w:val="7982CBA9"/>
    <w:rsid w:val="7998E17D"/>
    <w:rsid w:val="79A64FD2"/>
    <w:rsid w:val="79D6558B"/>
    <w:rsid w:val="7A071062"/>
    <w:rsid w:val="7A115108"/>
    <w:rsid w:val="7A192417"/>
    <w:rsid w:val="7A353CA4"/>
    <w:rsid w:val="7A365476"/>
    <w:rsid w:val="7A77AD90"/>
    <w:rsid w:val="7AAD0F8D"/>
    <w:rsid w:val="7AAF8B4D"/>
    <w:rsid w:val="7AD58917"/>
    <w:rsid w:val="7B160FB3"/>
    <w:rsid w:val="7B2A8852"/>
    <w:rsid w:val="7B33EB43"/>
    <w:rsid w:val="7B3507E0"/>
    <w:rsid w:val="7B47E52A"/>
    <w:rsid w:val="7B84AA8C"/>
    <w:rsid w:val="7B8C61BA"/>
    <w:rsid w:val="7B90567B"/>
    <w:rsid w:val="7BAAE98A"/>
    <w:rsid w:val="7BED06EF"/>
    <w:rsid w:val="7BF29857"/>
    <w:rsid w:val="7C22CBB8"/>
    <w:rsid w:val="7C615F5B"/>
    <w:rsid w:val="7CBD1C49"/>
    <w:rsid w:val="7D0F2485"/>
    <w:rsid w:val="7D0F2B9E"/>
    <w:rsid w:val="7D446F12"/>
    <w:rsid w:val="7D51288F"/>
    <w:rsid w:val="7D5A9228"/>
    <w:rsid w:val="7D746AC7"/>
    <w:rsid w:val="7DAE7B1F"/>
    <w:rsid w:val="7DBA0B04"/>
    <w:rsid w:val="7DCF3D33"/>
    <w:rsid w:val="7DD39673"/>
    <w:rsid w:val="7DD3F6B6"/>
    <w:rsid w:val="7E193927"/>
    <w:rsid w:val="7E1B4AC3"/>
    <w:rsid w:val="7E5157B5"/>
    <w:rsid w:val="7E52B3D1"/>
    <w:rsid w:val="7E79F6B1"/>
    <w:rsid w:val="7EAC5E79"/>
    <w:rsid w:val="7EB0CE95"/>
    <w:rsid w:val="7EB50643"/>
    <w:rsid w:val="7ECDAE4F"/>
    <w:rsid w:val="7EE9DB0B"/>
    <w:rsid w:val="7EFDDA57"/>
    <w:rsid w:val="7EFF4F1A"/>
    <w:rsid w:val="7F22421F"/>
    <w:rsid w:val="7FE2FE4A"/>
    <w:rsid w:val="7FE3F938"/>
    <w:rsid w:val="7FEBA69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E1AA13"/>
  <w15:docId w15:val="{9F9851DA-EBA9-4C09-9463-AEB723A4F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977515"/>
    <w:pPr>
      <w:spacing w:after="120" w:line="280" w:lineRule="atLeast"/>
    </w:pPr>
    <w:rPr>
      <w:rFonts w:ascii="Avenir Book" w:hAnsi="Avenir Book"/>
      <w:sz w:val="21"/>
      <w:lang w:eastAsia="en-US"/>
    </w:rPr>
  </w:style>
  <w:style w:type="paragraph" w:styleId="Heading1">
    <w:name w:val="heading 1"/>
    <w:next w:val="Body"/>
    <w:link w:val="Heading1Char"/>
    <w:uiPriority w:val="1"/>
    <w:qFormat/>
    <w:rsid w:val="00803198"/>
    <w:pPr>
      <w:keepNext/>
      <w:keepLines/>
      <w:numPr>
        <w:numId w:val="47"/>
      </w:numPr>
      <w:spacing w:before="520" w:after="240" w:line="480" w:lineRule="atLeast"/>
      <w:outlineLvl w:val="0"/>
    </w:pPr>
    <w:rPr>
      <w:rFonts w:ascii="Avenir Medium" w:eastAsia="MS Gothic" w:hAnsi="Avenir Medium" w:cs="Arial"/>
      <w:bCs/>
      <w:color w:val="032833" w:themeColor="text1"/>
      <w:kern w:val="32"/>
      <w:sz w:val="44"/>
      <w:szCs w:val="44"/>
      <w:lang w:eastAsia="en-US"/>
    </w:rPr>
  </w:style>
  <w:style w:type="paragraph" w:styleId="Heading2">
    <w:name w:val="heading 2"/>
    <w:next w:val="Body"/>
    <w:link w:val="Heading2Char"/>
    <w:uiPriority w:val="1"/>
    <w:qFormat/>
    <w:rsid w:val="00025BC9"/>
    <w:pPr>
      <w:keepNext/>
      <w:keepLines/>
      <w:numPr>
        <w:ilvl w:val="1"/>
        <w:numId w:val="47"/>
      </w:numPr>
      <w:spacing w:before="360" w:after="120" w:line="360" w:lineRule="atLeast"/>
      <w:ind w:left="1021"/>
      <w:outlineLvl w:val="1"/>
    </w:pPr>
    <w:rPr>
      <w:rFonts w:ascii="Avenir Heavy" w:hAnsi="Avenir Heavy"/>
      <w:b/>
      <w:color w:val="032833" w:themeColor="text1"/>
      <w:sz w:val="32"/>
      <w:szCs w:val="28"/>
      <w:lang w:eastAsia="en-US"/>
    </w:rPr>
  </w:style>
  <w:style w:type="paragraph" w:styleId="Heading3">
    <w:name w:val="heading 3"/>
    <w:next w:val="Body"/>
    <w:link w:val="Heading3Char"/>
    <w:uiPriority w:val="1"/>
    <w:qFormat/>
    <w:rsid w:val="005B19D2"/>
    <w:pPr>
      <w:keepNext/>
      <w:keepLines/>
      <w:numPr>
        <w:ilvl w:val="2"/>
        <w:numId w:val="47"/>
      </w:numPr>
      <w:spacing w:before="280" w:after="120" w:line="320" w:lineRule="atLeast"/>
      <w:outlineLvl w:val="2"/>
    </w:pPr>
    <w:rPr>
      <w:rFonts w:ascii="Avenir Medium" w:eastAsia="MS Gothic" w:hAnsi="Avenir Medium"/>
      <w:b/>
      <w:bCs/>
      <w:color w:val="032833" w:themeColor="text1"/>
      <w:sz w:val="24"/>
      <w:szCs w:val="26"/>
      <w:lang w:eastAsia="en-US"/>
    </w:rPr>
  </w:style>
  <w:style w:type="paragraph" w:styleId="Heading4">
    <w:name w:val="heading 4"/>
    <w:next w:val="Body"/>
    <w:link w:val="Heading4Char"/>
    <w:uiPriority w:val="1"/>
    <w:qFormat/>
    <w:rsid w:val="00F504D9"/>
    <w:pPr>
      <w:keepNext/>
      <w:keepLines/>
      <w:numPr>
        <w:ilvl w:val="3"/>
        <w:numId w:val="47"/>
      </w:numPr>
      <w:spacing w:before="240" w:after="80" w:line="280" w:lineRule="atLeast"/>
      <w:outlineLvl w:val="3"/>
    </w:pPr>
    <w:rPr>
      <w:rFonts w:ascii="Avenir Medium" w:eastAsia="MS Mincho" w:hAnsi="Avenir Medium"/>
      <w:b/>
      <w:bCs/>
      <w:color w:val="032833" w:themeColor="text1"/>
      <w:sz w:val="24"/>
      <w:szCs w:val="22"/>
      <w:lang w:eastAsia="en-US"/>
    </w:rPr>
  </w:style>
  <w:style w:type="paragraph" w:styleId="Heading5">
    <w:name w:val="heading 5"/>
    <w:next w:val="Body"/>
    <w:link w:val="Heading5Char"/>
    <w:uiPriority w:val="98"/>
    <w:qFormat/>
    <w:rsid w:val="00803198"/>
    <w:pPr>
      <w:keepNext/>
      <w:keepLines/>
      <w:spacing w:before="240" w:after="80" w:line="240" w:lineRule="atLeast"/>
      <w:outlineLvl w:val="4"/>
    </w:pPr>
    <w:rPr>
      <w:rFonts w:ascii="Avenir Heavy" w:eastAsia="MS Mincho" w:hAnsi="Avenir Heavy"/>
      <w:b/>
      <w:bCs/>
      <w:iCs/>
      <w:color w:val="032833"/>
      <w:sz w:val="21"/>
      <w:szCs w:val="26"/>
      <w:lang w:eastAsia="en-US"/>
    </w:rPr>
  </w:style>
  <w:style w:type="paragraph" w:styleId="Heading6">
    <w:name w:val="heading 6"/>
    <w:basedOn w:val="Normal"/>
    <w:next w:val="Normal"/>
    <w:link w:val="Heading6Char"/>
    <w:uiPriority w:val="9"/>
    <w:semiHidden/>
    <w:unhideWhenUsed/>
    <w:qFormat/>
    <w:rsid w:val="004B25A0"/>
    <w:pPr>
      <w:keepNext/>
      <w:keepLines/>
      <w:numPr>
        <w:ilvl w:val="5"/>
        <w:numId w:val="9"/>
      </w:numPr>
      <w:spacing w:before="40" w:after="0"/>
      <w:ind w:left="0" w:firstLine="0"/>
      <w:outlineLvl w:val="5"/>
    </w:pPr>
    <w:rPr>
      <w:rFonts w:asciiTheme="majorHAnsi" w:eastAsiaTheme="majorEastAsia" w:hAnsiTheme="majorHAnsi" w:cstheme="majorBidi"/>
      <w:color w:val="073F49" w:themeColor="accent1" w:themeShade="7F"/>
    </w:rPr>
  </w:style>
  <w:style w:type="paragraph" w:styleId="Heading7">
    <w:name w:val="heading 7"/>
    <w:basedOn w:val="Normal"/>
    <w:next w:val="Normal"/>
    <w:link w:val="Heading7Char"/>
    <w:uiPriority w:val="9"/>
    <w:semiHidden/>
    <w:unhideWhenUsed/>
    <w:qFormat/>
    <w:rsid w:val="004B25A0"/>
    <w:pPr>
      <w:keepNext/>
      <w:keepLines/>
      <w:numPr>
        <w:ilvl w:val="6"/>
        <w:numId w:val="9"/>
      </w:numPr>
      <w:spacing w:before="40" w:after="0"/>
      <w:ind w:left="0" w:firstLine="0"/>
      <w:outlineLvl w:val="6"/>
    </w:pPr>
    <w:rPr>
      <w:rFonts w:asciiTheme="majorHAnsi" w:eastAsiaTheme="majorEastAsia" w:hAnsiTheme="majorHAnsi" w:cstheme="majorBidi"/>
      <w:i/>
      <w:iCs/>
      <w:color w:val="073F49" w:themeColor="accent1" w:themeShade="7F"/>
    </w:rPr>
  </w:style>
  <w:style w:type="paragraph" w:styleId="Heading8">
    <w:name w:val="heading 8"/>
    <w:basedOn w:val="Normal"/>
    <w:next w:val="Normal"/>
    <w:link w:val="Heading8Char"/>
    <w:uiPriority w:val="9"/>
    <w:semiHidden/>
    <w:unhideWhenUsed/>
    <w:qFormat/>
    <w:rsid w:val="004B25A0"/>
    <w:pPr>
      <w:keepNext/>
      <w:keepLines/>
      <w:numPr>
        <w:ilvl w:val="7"/>
        <w:numId w:val="9"/>
      </w:numPr>
      <w:spacing w:before="40" w:after="0"/>
      <w:ind w:left="0" w:firstLine="0"/>
      <w:outlineLvl w:val="7"/>
    </w:pPr>
    <w:rPr>
      <w:rFonts w:asciiTheme="majorHAnsi" w:eastAsiaTheme="majorEastAsia" w:hAnsiTheme="majorHAnsi" w:cstheme="majorBidi"/>
      <w:color w:val="075B74" w:themeColor="text1" w:themeTint="D8"/>
      <w:szCs w:val="21"/>
    </w:rPr>
  </w:style>
  <w:style w:type="paragraph" w:styleId="Heading9">
    <w:name w:val="heading 9"/>
    <w:basedOn w:val="Normal"/>
    <w:next w:val="Normal"/>
    <w:link w:val="Heading9Char"/>
    <w:uiPriority w:val="9"/>
    <w:semiHidden/>
    <w:unhideWhenUsed/>
    <w:qFormat/>
    <w:rsid w:val="004B25A0"/>
    <w:pPr>
      <w:keepNext/>
      <w:keepLines/>
      <w:numPr>
        <w:ilvl w:val="8"/>
        <w:numId w:val="9"/>
      </w:numPr>
      <w:spacing w:before="40" w:after="0"/>
      <w:ind w:left="0" w:firstLine="0"/>
      <w:outlineLvl w:val="8"/>
    </w:pPr>
    <w:rPr>
      <w:rFonts w:asciiTheme="majorHAnsi" w:eastAsiaTheme="majorEastAsia" w:hAnsiTheme="majorHAnsi" w:cstheme="majorBidi"/>
      <w:i/>
      <w:iCs/>
      <w:color w:val="075B74"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uiPriority w:val="11"/>
    <w:qFormat/>
    <w:rsid w:val="00803198"/>
    <w:pPr>
      <w:spacing w:after="120" w:line="280" w:lineRule="atLeast"/>
    </w:pPr>
    <w:rPr>
      <w:rFonts w:ascii="Avenir Book" w:eastAsia="Times" w:hAnsi="Avenir Book"/>
      <w:sz w:val="21"/>
      <w:lang w:eastAsia="en-US"/>
    </w:rPr>
  </w:style>
  <w:style w:type="character" w:customStyle="1" w:styleId="Heading1Char">
    <w:name w:val="Heading 1 Char"/>
    <w:link w:val="Heading1"/>
    <w:uiPriority w:val="1"/>
    <w:rsid w:val="00803198"/>
    <w:rPr>
      <w:rFonts w:ascii="Avenir Medium" w:eastAsia="MS Gothic" w:hAnsi="Avenir Medium" w:cs="Arial"/>
      <w:bCs/>
      <w:color w:val="032833" w:themeColor="text1"/>
      <w:kern w:val="32"/>
      <w:sz w:val="44"/>
      <w:szCs w:val="44"/>
      <w:lang w:eastAsia="en-US"/>
    </w:rPr>
  </w:style>
  <w:style w:type="character" w:customStyle="1" w:styleId="Heading2Char">
    <w:name w:val="Heading 2 Char"/>
    <w:link w:val="Heading2"/>
    <w:uiPriority w:val="1"/>
    <w:rsid w:val="00025BC9"/>
    <w:rPr>
      <w:rFonts w:ascii="Avenir Heavy" w:hAnsi="Avenir Heavy"/>
      <w:b/>
      <w:color w:val="032833" w:themeColor="text1"/>
      <w:sz w:val="32"/>
      <w:szCs w:val="28"/>
      <w:lang w:eastAsia="en-US"/>
    </w:rPr>
  </w:style>
  <w:style w:type="character" w:customStyle="1" w:styleId="Heading3Char">
    <w:name w:val="Heading 3 Char"/>
    <w:link w:val="Heading3"/>
    <w:uiPriority w:val="1"/>
    <w:rsid w:val="005B19D2"/>
    <w:rPr>
      <w:rFonts w:ascii="Avenir Medium" w:eastAsia="MS Gothic" w:hAnsi="Avenir Medium"/>
      <w:b/>
      <w:bCs/>
      <w:color w:val="032833" w:themeColor="text1"/>
      <w:sz w:val="24"/>
      <w:szCs w:val="26"/>
      <w:lang w:eastAsia="en-US"/>
    </w:rPr>
  </w:style>
  <w:style w:type="character" w:customStyle="1" w:styleId="Heading4Char">
    <w:name w:val="Heading 4 Char"/>
    <w:link w:val="Heading4"/>
    <w:uiPriority w:val="1"/>
    <w:rsid w:val="00F504D9"/>
    <w:rPr>
      <w:rFonts w:ascii="Avenir Medium" w:eastAsia="MS Mincho" w:hAnsi="Avenir Medium"/>
      <w:b/>
      <w:bCs/>
      <w:color w:val="032833" w:themeColor="text1"/>
      <w:sz w:val="24"/>
      <w:szCs w:val="22"/>
      <w:lang w:eastAsia="en-US"/>
    </w:rPr>
  </w:style>
  <w:style w:type="paragraph" w:styleId="Footer">
    <w:name w:val="footer"/>
    <w:link w:val="FooterChar"/>
    <w:uiPriority w:val="8"/>
    <w:rsid w:val="00803198"/>
    <w:rPr>
      <w:rFonts w:ascii="Avenir Book" w:hAnsi="Avenir Book" w:cs="Arial"/>
      <w:sz w:val="18"/>
      <w:szCs w:val="18"/>
      <w:lang w:eastAsia="en-US"/>
    </w:rPr>
  </w:style>
  <w:style w:type="character" w:styleId="FollowedHyperlink">
    <w:name w:val="FollowedHyperlink"/>
    <w:uiPriority w:val="99"/>
    <w:rsid w:val="00803198"/>
    <w:rPr>
      <w:rFonts w:ascii="Avenir Medium" w:hAnsi="Avenir Medium"/>
      <w:b w:val="0"/>
      <w:i w:val="0"/>
      <w:color w:val="8761A9" w:themeColor="accent6"/>
      <w:u w:val="dotted"/>
    </w:rPr>
  </w:style>
  <w:style w:type="paragraph" w:customStyle="1" w:styleId="Tabletext6pt">
    <w:name w:val="Table text + 6pt"/>
    <w:basedOn w:val="Tabletext"/>
    <w:rsid w:val="00803198"/>
    <w:pPr>
      <w:spacing w:after="120"/>
    </w:pPr>
  </w:style>
  <w:style w:type="paragraph" w:styleId="EndnoteText">
    <w:name w:val="endnote text"/>
    <w:basedOn w:val="Normal"/>
    <w:link w:val="EndnoteTextChar"/>
    <w:semiHidden/>
    <w:rsid w:val="00803198"/>
    <w:rPr>
      <w:sz w:val="24"/>
      <w:szCs w:val="24"/>
    </w:rPr>
  </w:style>
  <w:style w:type="character" w:customStyle="1" w:styleId="EndnoteTextChar">
    <w:name w:val="Endnote Text Char"/>
    <w:link w:val="EndnoteText"/>
    <w:semiHidden/>
    <w:rsid w:val="00803198"/>
    <w:rPr>
      <w:rFonts w:ascii="Avenir Book" w:hAnsi="Avenir Book"/>
      <w:sz w:val="24"/>
      <w:szCs w:val="24"/>
      <w:lang w:eastAsia="en-US"/>
    </w:rPr>
  </w:style>
  <w:style w:type="character" w:styleId="EndnoteReference">
    <w:name w:val="endnote reference"/>
    <w:semiHidden/>
    <w:rsid w:val="00803198"/>
    <w:rPr>
      <w:vertAlign w:val="superscript"/>
    </w:rPr>
  </w:style>
  <w:style w:type="table" w:styleId="TableGrid">
    <w:name w:val="Table Grid"/>
    <w:aliases w:val="ICB Table"/>
    <w:basedOn w:val="TableNormal"/>
    <w:uiPriority w:val="39"/>
    <w:rsid w:val="00803198"/>
    <w:tblPr/>
  </w:style>
  <w:style w:type="paragraph" w:customStyle="1" w:styleId="Bodynospace">
    <w:name w:val="Body no space"/>
    <w:basedOn w:val="Body"/>
    <w:uiPriority w:val="1"/>
    <w:rsid w:val="00803198"/>
    <w:pPr>
      <w:spacing w:after="0"/>
    </w:pPr>
  </w:style>
  <w:style w:type="paragraph" w:customStyle="1" w:styleId="Bullet1">
    <w:name w:val="Bullet 1"/>
    <w:basedOn w:val="Body"/>
    <w:link w:val="Bullet1Char"/>
    <w:qFormat/>
    <w:rsid w:val="00803198"/>
    <w:pPr>
      <w:numPr>
        <w:numId w:val="10"/>
      </w:numPr>
      <w:spacing w:after="40"/>
    </w:pPr>
  </w:style>
  <w:style w:type="paragraph" w:styleId="DocumentMap">
    <w:name w:val="Document Map"/>
    <w:basedOn w:val="Normal"/>
    <w:link w:val="DocumentMapChar"/>
    <w:uiPriority w:val="99"/>
    <w:semiHidden/>
    <w:unhideWhenUsed/>
    <w:rsid w:val="00803198"/>
    <w:rPr>
      <w:rFonts w:ascii="Lucida Grande" w:hAnsi="Lucida Grande" w:cs="Lucida Grande"/>
      <w:sz w:val="24"/>
      <w:szCs w:val="24"/>
    </w:rPr>
  </w:style>
  <w:style w:type="character" w:customStyle="1" w:styleId="DocumentMapChar">
    <w:name w:val="Document Map Char"/>
    <w:link w:val="DocumentMap"/>
    <w:uiPriority w:val="99"/>
    <w:semiHidden/>
    <w:rsid w:val="00803198"/>
    <w:rPr>
      <w:rFonts w:ascii="Lucida Grande" w:hAnsi="Lucida Grande" w:cs="Lucida Grande"/>
      <w:sz w:val="24"/>
      <w:szCs w:val="24"/>
      <w:lang w:eastAsia="en-US"/>
    </w:rPr>
  </w:style>
  <w:style w:type="character" w:styleId="PageNumber">
    <w:name w:val="page number"/>
    <w:uiPriority w:val="99"/>
    <w:semiHidden/>
    <w:unhideWhenUsed/>
    <w:rsid w:val="00803198"/>
    <w:rPr>
      <w:sz w:val="18"/>
    </w:rPr>
  </w:style>
  <w:style w:type="paragraph" w:styleId="TOC1">
    <w:name w:val="toc 1"/>
    <w:basedOn w:val="Normal"/>
    <w:next w:val="Normal"/>
    <w:uiPriority w:val="39"/>
    <w:rsid w:val="00803198"/>
    <w:pPr>
      <w:keepNext/>
      <w:keepLines/>
      <w:tabs>
        <w:tab w:val="right" w:leader="dot" w:pos="9299"/>
      </w:tabs>
      <w:spacing w:before="160" w:after="60"/>
    </w:pPr>
    <w:rPr>
      <w:rFonts w:ascii="Avenir Heavy" w:hAnsi="Avenir Heavy"/>
      <w:b/>
      <w:noProof/>
    </w:rPr>
  </w:style>
  <w:style w:type="character" w:customStyle="1" w:styleId="Heading5Char">
    <w:name w:val="Heading 5 Char"/>
    <w:link w:val="Heading5"/>
    <w:uiPriority w:val="98"/>
    <w:rsid w:val="00803198"/>
    <w:rPr>
      <w:rFonts w:ascii="Avenir Heavy" w:eastAsia="MS Mincho" w:hAnsi="Avenir Heavy"/>
      <w:b/>
      <w:bCs/>
      <w:iCs/>
      <w:color w:val="032833"/>
      <w:sz w:val="21"/>
      <w:szCs w:val="26"/>
      <w:lang w:eastAsia="en-US"/>
    </w:rPr>
  </w:style>
  <w:style w:type="character" w:styleId="Strong">
    <w:name w:val="Strong"/>
    <w:uiPriority w:val="22"/>
    <w:qFormat/>
    <w:rsid w:val="00803198"/>
    <w:rPr>
      <w:b/>
      <w:bCs/>
    </w:rPr>
  </w:style>
  <w:style w:type="paragraph" w:customStyle="1" w:styleId="TOCheadingreport">
    <w:name w:val="TOC heading report"/>
    <w:basedOn w:val="Heading1"/>
    <w:next w:val="Body"/>
    <w:link w:val="TOCheadingreportChar"/>
    <w:uiPriority w:val="4"/>
    <w:rsid w:val="00803198"/>
    <w:pPr>
      <w:pageBreakBefore/>
      <w:spacing w:before="0"/>
      <w:outlineLvl w:val="9"/>
    </w:pPr>
  </w:style>
  <w:style w:type="character" w:customStyle="1" w:styleId="TOCheadingreportChar">
    <w:name w:val="TOC heading report Char"/>
    <w:link w:val="TOCheadingreport"/>
    <w:uiPriority w:val="4"/>
    <w:rsid w:val="00803198"/>
    <w:rPr>
      <w:rFonts w:ascii="Avenir Medium" w:eastAsia="MS Gothic" w:hAnsi="Avenir Medium" w:cs="Arial"/>
      <w:bCs/>
      <w:color w:val="032833" w:themeColor="text1"/>
      <w:kern w:val="32"/>
      <w:sz w:val="44"/>
      <w:szCs w:val="44"/>
      <w:lang w:eastAsia="en-US"/>
    </w:rPr>
  </w:style>
  <w:style w:type="paragraph" w:styleId="TOC2">
    <w:name w:val="toc 2"/>
    <w:basedOn w:val="Normal"/>
    <w:next w:val="Normal"/>
    <w:uiPriority w:val="39"/>
    <w:rsid w:val="00803198"/>
    <w:pPr>
      <w:keepLines/>
      <w:tabs>
        <w:tab w:val="right" w:leader="dot" w:pos="9299"/>
      </w:tabs>
      <w:spacing w:after="60"/>
    </w:pPr>
    <w:rPr>
      <w:rFonts w:ascii="Avenir Medium" w:hAnsi="Avenir Medium"/>
      <w:noProof/>
    </w:rPr>
  </w:style>
  <w:style w:type="paragraph" w:styleId="TOC3">
    <w:name w:val="toc 3"/>
    <w:basedOn w:val="Normal"/>
    <w:next w:val="Normal"/>
    <w:uiPriority w:val="39"/>
    <w:rsid w:val="00803198"/>
    <w:pPr>
      <w:keepLines/>
      <w:tabs>
        <w:tab w:val="right" w:leader="dot" w:pos="9299"/>
      </w:tabs>
      <w:spacing w:after="60"/>
      <w:ind w:left="284"/>
    </w:pPr>
    <w:rPr>
      <w:rFonts w:cs="Arial"/>
    </w:rPr>
  </w:style>
  <w:style w:type="paragraph" w:styleId="TOC4">
    <w:name w:val="toc 4"/>
    <w:basedOn w:val="TOC3"/>
    <w:uiPriority w:val="39"/>
    <w:rsid w:val="00803198"/>
    <w:pPr>
      <w:ind w:left="567"/>
    </w:pPr>
  </w:style>
  <w:style w:type="paragraph" w:styleId="TOC5">
    <w:name w:val="toc 5"/>
    <w:basedOn w:val="TOC4"/>
    <w:rsid w:val="00803198"/>
    <w:pPr>
      <w:ind w:left="851"/>
    </w:pPr>
  </w:style>
  <w:style w:type="paragraph" w:styleId="TOC6">
    <w:name w:val="toc 6"/>
    <w:basedOn w:val="Normal"/>
    <w:next w:val="Normal"/>
    <w:autoRedefine/>
    <w:uiPriority w:val="39"/>
    <w:semiHidden/>
    <w:rsid w:val="00803198"/>
    <w:pPr>
      <w:ind w:left="1000"/>
    </w:pPr>
  </w:style>
  <w:style w:type="paragraph" w:styleId="TOC7">
    <w:name w:val="toc 7"/>
    <w:basedOn w:val="Normal"/>
    <w:next w:val="Normal"/>
    <w:autoRedefine/>
    <w:uiPriority w:val="39"/>
    <w:semiHidden/>
    <w:rsid w:val="00803198"/>
    <w:pPr>
      <w:ind w:left="1200"/>
    </w:pPr>
  </w:style>
  <w:style w:type="paragraph" w:styleId="TOC8">
    <w:name w:val="toc 8"/>
    <w:basedOn w:val="Normal"/>
    <w:next w:val="Normal"/>
    <w:autoRedefine/>
    <w:uiPriority w:val="39"/>
    <w:semiHidden/>
    <w:rsid w:val="00803198"/>
    <w:pPr>
      <w:ind w:left="1400"/>
    </w:pPr>
  </w:style>
  <w:style w:type="paragraph" w:styleId="TOC9">
    <w:name w:val="toc 9"/>
    <w:basedOn w:val="Normal"/>
    <w:next w:val="Normal"/>
    <w:autoRedefine/>
    <w:uiPriority w:val="39"/>
    <w:semiHidden/>
    <w:rsid w:val="00803198"/>
    <w:pPr>
      <w:ind w:left="1600"/>
    </w:pPr>
  </w:style>
  <w:style w:type="paragraph" w:styleId="Subtitle">
    <w:name w:val="Subtitle"/>
    <w:basedOn w:val="Normal"/>
    <w:next w:val="Normal"/>
    <w:link w:val="SubtitleChar"/>
    <w:uiPriority w:val="11"/>
    <w:qFormat/>
    <w:rsid w:val="00803198"/>
    <w:pPr>
      <w:spacing w:after="60"/>
      <w:jc w:val="center"/>
    </w:pPr>
    <w:rPr>
      <w:rFonts w:ascii="Calibri Light" w:hAnsi="Calibri Light"/>
      <w:sz w:val="24"/>
      <w:szCs w:val="24"/>
    </w:rPr>
  </w:style>
  <w:style w:type="paragraph" w:customStyle="1" w:styleId="Tabletext">
    <w:name w:val="Table text"/>
    <w:uiPriority w:val="3"/>
    <w:qFormat/>
    <w:rsid w:val="00803198"/>
    <w:pPr>
      <w:spacing w:before="80" w:after="60"/>
    </w:pPr>
    <w:rPr>
      <w:rFonts w:ascii="Avenir Book" w:hAnsi="Avenir Book"/>
      <w:sz w:val="21"/>
      <w:lang w:eastAsia="en-US"/>
    </w:rPr>
  </w:style>
  <w:style w:type="paragraph" w:customStyle="1" w:styleId="Tablecaption">
    <w:name w:val="Table caption"/>
    <w:next w:val="Body"/>
    <w:uiPriority w:val="3"/>
    <w:qFormat/>
    <w:rsid w:val="00803198"/>
    <w:pPr>
      <w:keepNext/>
      <w:keepLines/>
      <w:spacing w:before="240" w:after="120" w:line="250" w:lineRule="atLeast"/>
    </w:pPr>
    <w:rPr>
      <w:rFonts w:ascii="Avenir Heavy" w:hAnsi="Avenir Heavy"/>
      <w:b/>
      <w:sz w:val="21"/>
      <w:lang w:eastAsia="en-US"/>
    </w:rPr>
  </w:style>
  <w:style w:type="paragraph" w:customStyle="1" w:styleId="Documenttitle">
    <w:name w:val="Document title"/>
    <w:uiPriority w:val="8"/>
    <w:rsid w:val="00803198"/>
    <w:pPr>
      <w:spacing w:after="240" w:line="560" w:lineRule="atLeast"/>
    </w:pPr>
    <w:rPr>
      <w:rFonts w:ascii="Avenir Heavy" w:hAnsi="Avenir Heavy"/>
      <w:b/>
      <w:color w:val="032833" w:themeColor="text1"/>
      <w:sz w:val="48"/>
      <w:szCs w:val="50"/>
      <w:lang w:eastAsia="en-US"/>
    </w:rPr>
  </w:style>
  <w:style w:type="character" w:styleId="FootnoteReference">
    <w:name w:val="footnote reference"/>
    <w:uiPriority w:val="8"/>
    <w:rsid w:val="00803198"/>
    <w:rPr>
      <w:rFonts w:ascii="Avenir Book" w:hAnsi="Avenir Book"/>
      <w:b w:val="0"/>
      <w:i w:val="0"/>
      <w:vertAlign w:val="superscript"/>
    </w:rPr>
  </w:style>
  <w:style w:type="paragraph" w:customStyle="1" w:styleId="Accessibilitypara">
    <w:name w:val="Accessibility para"/>
    <w:uiPriority w:val="8"/>
    <w:rsid w:val="00803198"/>
    <w:pPr>
      <w:spacing w:before="120" w:after="200" w:line="300" w:lineRule="atLeast"/>
    </w:pPr>
    <w:rPr>
      <w:rFonts w:ascii="Avenir Book" w:eastAsia="Times" w:hAnsi="Avenir Book"/>
      <w:sz w:val="24"/>
      <w:szCs w:val="19"/>
      <w:lang w:eastAsia="en-US"/>
    </w:rPr>
  </w:style>
  <w:style w:type="paragraph" w:customStyle="1" w:styleId="Figurecaption">
    <w:name w:val="Figure caption"/>
    <w:next w:val="Body"/>
    <w:rsid w:val="00803198"/>
    <w:pPr>
      <w:keepNext/>
      <w:keepLines/>
      <w:spacing w:before="240" w:after="120" w:line="250" w:lineRule="atLeast"/>
    </w:pPr>
    <w:rPr>
      <w:rFonts w:ascii="Avenir Book" w:hAnsi="Avenir Book"/>
      <w:sz w:val="21"/>
      <w:lang w:eastAsia="en-US"/>
    </w:rPr>
  </w:style>
  <w:style w:type="paragraph" w:customStyle="1" w:styleId="Bullet2">
    <w:name w:val="Bullet 2"/>
    <w:basedOn w:val="Body"/>
    <w:uiPriority w:val="2"/>
    <w:qFormat/>
    <w:rsid w:val="00803198"/>
    <w:pPr>
      <w:numPr>
        <w:ilvl w:val="1"/>
        <w:numId w:val="10"/>
      </w:numPr>
      <w:spacing w:after="40"/>
    </w:pPr>
  </w:style>
  <w:style w:type="paragraph" w:customStyle="1" w:styleId="Bodyafterbullets">
    <w:name w:val="Body after bullets"/>
    <w:basedOn w:val="Body"/>
    <w:uiPriority w:val="11"/>
    <w:rsid w:val="00803198"/>
    <w:pPr>
      <w:spacing w:before="120"/>
    </w:pPr>
  </w:style>
  <w:style w:type="paragraph" w:customStyle="1" w:styleId="Tablebullet2">
    <w:name w:val="Table bullet 2"/>
    <w:basedOn w:val="Tabletext"/>
    <w:uiPriority w:val="11"/>
    <w:rsid w:val="00803198"/>
    <w:pPr>
      <w:numPr>
        <w:ilvl w:val="1"/>
        <w:numId w:val="14"/>
      </w:numPr>
      <w:tabs>
        <w:tab w:val="num" w:pos="360"/>
      </w:tabs>
      <w:ind w:left="0" w:firstLine="0"/>
    </w:pPr>
  </w:style>
  <w:style w:type="character" w:customStyle="1" w:styleId="SubtitleChar">
    <w:name w:val="Subtitle Char"/>
    <w:link w:val="Subtitle"/>
    <w:uiPriority w:val="11"/>
    <w:rsid w:val="00803198"/>
    <w:rPr>
      <w:rFonts w:ascii="Calibri Light" w:hAnsi="Calibri Light"/>
      <w:sz w:val="24"/>
      <w:szCs w:val="24"/>
      <w:lang w:eastAsia="en-US"/>
    </w:rPr>
  </w:style>
  <w:style w:type="paragraph" w:customStyle="1" w:styleId="Tablebullet1">
    <w:name w:val="Table bullet 1"/>
    <w:basedOn w:val="Tabletext"/>
    <w:uiPriority w:val="3"/>
    <w:qFormat/>
    <w:rsid w:val="00803198"/>
    <w:pPr>
      <w:numPr>
        <w:numId w:val="14"/>
      </w:numPr>
    </w:pPr>
  </w:style>
  <w:style w:type="numbering" w:customStyle="1" w:styleId="ZZTablebullets">
    <w:name w:val="ZZ Table bullets"/>
    <w:basedOn w:val="NoList"/>
    <w:rsid w:val="00803198"/>
    <w:pPr>
      <w:numPr>
        <w:numId w:val="8"/>
      </w:numPr>
    </w:pPr>
  </w:style>
  <w:style w:type="paragraph" w:customStyle="1" w:styleId="Tablecolhead">
    <w:name w:val="Table col head"/>
    <w:uiPriority w:val="3"/>
    <w:qFormat/>
    <w:rsid w:val="00803198"/>
    <w:pPr>
      <w:spacing w:before="80" w:after="60"/>
    </w:pPr>
    <w:rPr>
      <w:rFonts w:ascii="Avenir Black" w:hAnsi="Avenir Black"/>
      <w:b/>
      <w:color w:val="FFFFFF" w:themeColor="background1"/>
      <w:sz w:val="21"/>
      <w:lang w:eastAsia="en-US"/>
    </w:rPr>
  </w:style>
  <w:style w:type="paragraph" w:customStyle="1" w:styleId="Bulletafternumbers1">
    <w:name w:val="Bullet after numbers 1"/>
    <w:basedOn w:val="Body"/>
    <w:uiPriority w:val="4"/>
    <w:rsid w:val="00803198"/>
    <w:pPr>
      <w:numPr>
        <w:ilvl w:val="2"/>
        <w:numId w:val="11"/>
      </w:numPr>
      <w:tabs>
        <w:tab w:val="num" w:pos="360"/>
      </w:tabs>
    </w:pPr>
  </w:style>
  <w:style w:type="character" w:styleId="Hyperlink">
    <w:name w:val="Hyperlink"/>
    <w:uiPriority w:val="99"/>
    <w:rsid w:val="00803198"/>
    <w:rPr>
      <w:rFonts w:ascii="Avenir Medium" w:hAnsi="Avenir Medium"/>
      <w:b w:val="0"/>
      <w:i w:val="0"/>
      <w:color w:val="00865C"/>
      <w:u w:val="dotted"/>
    </w:rPr>
  </w:style>
  <w:style w:type="paragraph" w:customStyle="1" w:styleId="Documentsubtitle">
    <w:name w:val="Document subtitle"/>
    <w:uiPriority w:val="8"/>
    <w:rsid w:val="00803198"/>
    <w:pPr>
      <w:spacing w:after="120" w:line="360" w:lineRule="atLeast"/>
    </w:pPr>
    <w:rPr>
      <w:rFonts w:ascii="Avenir Medium" w:hAnsi="Avenir Medium"/>
      <w:color w:val="032833" w:themeColor="text1"/>
      <w:sz w:val="32"/>
      <w:szCs w:val="24"/>
      <w:lang w:eastAsia="en-US"/>
    </w:rPr>
  </w:style>
  <w:style w:type="paragraph" w:styleId="FootnoteText">
    <w:name w:val="footnote text"/>
    <w:basedOn w:val="Normal"/>
    <w:link w:val="FootnoteTextChar"/>
    <w:uiPriority w:val="8"/>
    <w:rsid w:val="00803198"/>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803198"/>
    <w:rPr>
      <w:rFonts w:ascii="Avenir Book" w:eastAsia="MS Gothic" w:hAnsi="Avenir Book" w:cs="Arial"/>
      <w:sz w:val="18"/>
      <w:szCs w:val="16"/>
      <w:lang w:eastAsia="en-US"/>
    </w:rPr>
  </w:style>
  <w:style w:type="paragraph" w:customStyle="1" w:styleId="Spacerparatopoffirstpage">
    <w:name w:val="Spacer para top of first page"/>
    <w:basedOn w:val="Bodynospace"/>
    <w:semiHidden/>
    <w:rsid w:val="00803198"/>
    <w:pPr>
      <w:spacing w:line="240" w:lineRule="auto"/>
    </w:pPr>
    <w:rPr>
      <w:noProof/>
      <w:sz w:val="12"/>
    </w:rPr>
  </w:style>
  <w:style w:type="paragraph" w:styleId="Title">
    <w:name w:val="Title"/>
    <w:basedOn w:val="Normal"/>
    <w:next w:val="Normal"/>
    <w:link w:val="TitleChar"/>
    <w:uiPriority w:val="10"/>
    <w:qFormat/>
    <w:rsid w:val="00803198"/>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803198"/>
    <w:rPr>
      <w:rFonts w:ascii="Calibri Light" w:hAnsi="Calibri Light"/>
      <w:b/>
      <w:bCs/>
      <w:kern w:val="28"/>
      <w:sz w:val="32"/>
      <w:szCs w:val="32"/>
      <w:lang w:eastAsia="en-US"/>
    </w:rPr>
  </w:style>
  <w:style w:type="numbering" w:customStyle="1" w:styleId="ZZBullets">
    <w:name w:val="ZZ Bullets"/>
    <w:rsid w:val="00803198"/>
    <w:pPr>
      <w:numPr>
        <w:numId w:val="3"/>
      </w:numPr>
    </w:pPr>
  </w:style>
  <w:style w:type="numbering" w:customStyle="1" w:styleId="ZZNumbersdigit">
    <w:name w:val="ZZ Numbers digit"/>
    <w:rsid w:val="00803198"/>
    <w:pPr>
      <w:numPr>
        <w:numId w:val="4"/>
      </w:numPr>
    </w:pPr>
  </w:style>
  <w:style w:type="numbering" w:customStyle="1" w:styleId="ZZQuotebullets">
    <w:name w:val="ZZ Quote bullets"/>
    <w:basedOn w:val="ZZNumbersdigit"/>
    <w:rsid w:val="00803198"/>
    <w:pPr>
      <w:numPr>
        <w:numId w:val="6"/>
      </w:numPr>
    </w:pPr>
  </w:style>
  <w:style w:type="paragraph" w:customStyle="1" w:styleId="Numberdigit">
    <w:name w:val="Number digit"/>
    <w:basedOn w:val="Body"/>
    <w:uiPriority w:val="2"/>
    <w:rsid w:val="00803198"/>
    <w:pPr>
      <w:numPr>
        <w:numId w:val="11"/>
      </w:numPr>
      <w:tabs>
        <w:tab w:val="num" w:pos="360"/>
      </w:tabs>
      <w:ind w:left="0" w:firstLine="0"/>
    </w:pPr>
  </w:style>
  <w:style w:type="paragraph" w:customStyle="1" w:styleId="Numberloweralphaindent">
    <w:name w:val="Number lower alpha indent"/>
    <w:basedOn w:val="Body"/>
    <w:uiPriority w:val="3"/>
    <w:rsid w:val="00803198"/>
    <w:pPr>
      <w:numPr>
        <w:ilvl w:val="1"/>
        <w:numId w:val="2"/>
      </w:numPr>
    </w:pPr>
  </w:style>
  <w:style w:type="paragraph" w:customStyle="1" w:styleId="Numberdigitindent">
    <w:name w:val="Number digit indent"/>
    <w:basedOn w:val="Body"/>
    <w:uiPriority w:val="3"/>
    <w:rsid w:val="00803198"/>
    <w:pPr>
      <w:numPr>
        <w:ilvl w:val="1"/>
        <w:numId w:val="11"/>
      </w:numPr>
      <w:tabs>
        <w:tab w:val="num" w:pos="360"/>
      </w:tabs>
      <w:ind w:left="0" w:firstLine="0"/>
    </w:pPr>
  </w:style>
  <w:style w:type="paragraph" w:customStyle="1" w:styleId="Numberloweralpha">
    <w:name w:val="Number lower alpha"/>
    <w:basedOn w:val="Body"/>
    <w:uiPriority w:val="3"/>
    <w:rsid w:val="00803198"/>
    <w:pPr>
      <w:numPr>
        <w:numId w:val="2"/>
      </w:numPr>
    </w:pPr>
  </w:style>
  <w:style w:type="paragraph" w:customStyle="1" w:styleId="Numberlowerroman">
    <w:name w:val="Number lower roman"/>
    <w:basedOn w:val="Body"/>
    <w:uiPriority w:val="3"/>
    <w:rsid w:val="00803198"/>
    <w:pPr>
      <w:numPr>
        <w:numId w:val="13"/>
      </w:numPr>
      <w:tabs>
        <w:tab w:val="num" w:pos="360"/>
      </w:tabs>
      <w:ind w:left="0" w:firstLine="0"/>
    </w:pPr>
  </w:style>
  <w:style w:type="paragraph" w:customStyle="1" w:styleId="Numberlowerromanindent">
    <w:name w:val="Number lower roman indent"/>
    <w:basedOn w:val="Body"/>
    <w:uiPriority w:val="3"/>
    <w:rsid w:val="00803198"/>
    <w:pPr>
      <w:numPr>
        <w:ilvl w:val="1"/>
        <w:numId w:val="13"/>
      </w:numPr>
      <w:tabs>
        <w:tab w:val="num" w:pos="360"/>
      </w:tabs>
      <w:ind w:left="0" w:firstLine="0"/>
    </w:pPr>
  </w:style>
  <w:style w:type="paragraph" w:customStyle="1" w:styleId="Quotetext">
    <w:name w:val="Quote text"/>
    <w:basedOn w:val="Body"/>
    <w:uiPriority w:val="4"/>
    <w:rsid w:val="00803198"/>
    <w:pPr>
      <w:ind w:left="397"/>
    </w:pPr>
    <w:rPr>
      <w:szCs w:val="18"/>
    </w:rPr>
  </w:style>
  <w:style w:type="paragraph" w:customStyle="1" w:styleId="Tablefigurenote">
    <w:name w:val="Table/figure note"/>
    <w:uiPriority w:val="4"/>
    <w:rsid w:val="00803198"/>
    <w:pPr>
      <w:spacing w:before="60" w:after="60" w:line="240" w:lineRule="exact"/>
    </w:pPr>
    <w:rPr>
      <w:rFonts w:ascii="Avenir Book" w:hAnsi="Avenir Book"/>
      <w:lang w:eastAsia="en-US"/>
    </w:rPr>
  </w:style>
  <w:style w:type="paragraph" w:customStyle="1" w:styleId="Bodyaftertablefigure">
    <w:name w:val="Body after table/figure"/>
    <w:basedOn w:val="Body"/>
    <w:next w:val="Body"/>
    <w:uiPriority w:val="1"/>
    <w:rsid w:val="00803198"/>
    <w:pPr>
      <w:spacing w:before="240"/>
    </w:pPr>
  </w:style>
  <w:style w:type="paragraph" w:customStyle="1" w:styleId="Bulletafternumbers2">
    <w:name w:val="Bullet after numbers 2"/>
    <w:basedOn w:val="Body"/>
    <w:rsid w:val="00803198"/>
    <w:pPr>
      <w:numPr>
        <w:ilvl w:val="3"/>
        <w:numId w:val="11"/>
      </w:numPr>
      <w:tabs>
        <w:tab w:val="num" w:pos="360"/>
      </w:tabs>
    </w:pPr>
  </w:style>
  <w:style w:type="numbering" w:customStyle="1" w:styleId="ZZNumberslowerroman">
    <w:name w:val="ZZ Numbers lower roman"/>
    <w:basedOn w:val="ZZQuotebullets"/>
    <w:rsid w:val="00803198"/>
    <w:pPr>
      <w:numPr>
        <w:numId w:val="7"/>
      </w:numPr>
    </w:pPr>
  </w:style>
  <w:style w:type="numbering" w:customStyle="1" w:styleId="ZZNumbersloweralpha">
    <w:name w:val="ZZ Numbers lower alpha"/>
    <w:basedOn w:val="NoList"/>
    <w:rsid w:val="00803198"/>
    <w:pPr>
      <w:numPr>
        <w:numId w:val="5"/>
      </w:numPr>
    </w:pPr>
  </w:style>
  <w:style w:type="paragraph" w:customStyle="1" w:styleId="Quotebullet1">
    <w:name w:val="Quote bullet 1"/>
    <w:basedOn w:val="Quotetext"/>
    <w:rsid w:val="00803198"/>
    <w:pPr>
      <w:numPr>
        <w:numId w:val="12"/>
      </w:numPr>
      <w:tabs>
        <w:tab w:val="num" w:pos="360"/>
      </w:tabs>
      <w:ind w:left="397" w:firstLine="0"/>
    </w:pPr>
  </w:style>
  <w:style w:type="paragraph" w:customStyle="1" w:styleId="Quotebullet2">
    <w:name w:val="Quote bullet 2"/>
    <w:basedOn w:val="Quotetext"/>
    <w:rsid w:val="00803198"/>
    <w:pPr>
      <w:numPr>
        <w:ilvl w:val="1"/>
        <w:numId w:val="12"/>
      </w:numPr>
      <w:tabs>
        <w:tab w:val="num" w:pos="360"/>
      </w:tabs>
      <w:ind w:left="397" w:firstLine="0"/>
    </w:pPr>
  </w:style>
  <w:style w:type="paragraph" w:styleId="CommentText">
    <w:name w:val="annotation text"/>
    <w:basedOn w:val="Normal"/>
    <w:link w:val="CommentTextChar"/>
    <w:uiPriority w:val="99"/>
    <w:unhideWhenUsed/>
    <w:rsid w:val="00803198"/>
  </w:style>
  <w:style w:type="character" w:customStyle="1" w:styleId="CommentTextChar">
    <w:name w:val="Comment Text Char"/>
    <w:basedOn w:val="DefaultParagraphFont"/>
    <w:link w:val="CommentText"/>
    <w:uiPriority w:val="99"/>
    <w:rsid w:val="00803198"/>
    <w:rPr>
      <w:rFonts w:ascii="Avenir Book" w:hAnsi="Avenir Book"/>
      <w:sz w:val="21"/>
      <w:lang w:eastAsia="en-US"/>
    </w:rPr>
  </w:style>
  <w:style w:type="character" w:styleId="CommentReference">
    <w:name w:val="annotation reference"/>
    <w:basedOn w:val="DefaultParagraphFont"/>
    <w:uiPriority w:val="99"/>
    <w:semiHidden/>
    <w:unhideWhenUsed/>
    <w:rsid w:val="00803198"/>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8031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198"/>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803198"/>
    <w:rPr>
      <w:b/>
      <w:bCs/>
    </w:rPr>
  </w:style>
  <w:style w:type="character" w:customStyle="1" w:styleId="CommentSubjectChar">
    <w:name w:val="Comment Subject Char"/>
    <w:basedOn w:val="CommentTextChar"/>
    <w:link w:val="CommentSubject"/>
    <w:uiPriority w:val="99"/>
    <w:semiHidden/>
    <w:rsid w:val="00803198"/>
    <w:rPr>
      <w:rFonts w:ascii="Avenir Book" w:hAnsi="Avenir Book"/>
      <w:b/>
      <w:bCs/>
      <w:sz w:val="21"/>
      <w:lang w:eastAsia="en-US"/>
    </w:rPr>
  </w:style>
  <w:style w:type="character" w:customStyle="1" w:styleId="BodyChar">
    <w:name w:val="Body Char"/>
    <w:basedOn w:val="DefaultParagraphFont"/>
    <w:link w:val="Body"/>
    <w:rsid w:val="00803198"/>
    <w:rPr>
      <w:rFonts w:ascii="Avenir Book" w:eastAsia="Times" w:hAnsi="Avenir Book"/>
      <w:sz w:val="21"/>
      <w:lang w:eastAsia="en-US"/>
    </w:rPr>
  </w:style>
  <w:style w:type="paragraph" w:customStyle="1" w:styleId="Bannermarking">
    <w:name w:val="Banner marking"/>
    <w:basedOn w:val="Body"/>
    <w:uiPriority w:val="11"/>
    <w:rsid w:val="00803198"/>
    <w:pPr>
      <w:spacing w:after="0"/>
    </w:pPr>
    <w:rPr>
      <w:rFonts w:ascii="Avenir Heavy" w:hAnsi="Avenir Heavy"/>
      <w:b/>
      <w:bCs/>
    </w:rPr>
  </w:style>
  <w:style w:type="character" w:styleId="UnresolvedMention">
    <w:name w:val="Unresolved Mention"/>
    <w:basedOn w:val="DefaultParagraphFont"/>
    <w:uiPriority w:val="99"/>
    <w:semiHidden/>
    <w:unhideWhenUsed/>
    <w:rsid w:val="00803198"/>
    <w:rPr>
      <w:color w:val="605E5C"/>
      <w:shd w:val="clear" w:color="auto" w:fill="E1DFDD"/>
    </w:rPr>
  </w:style>
  <w:style w:type="paragraph" w:customStyle="1" w:styleId="Imprint">
    <w:name w:val="Imprint"/>
    <w:basedOn w:val="Body"/>
    <w:uiPriority w:val="11"/>
    <w:rsid w:val="00803198"/>
    <w:pPr>
      <w:spacing w:after="60" w:line="270" w:lineRule="atLeast"/>
    </w:pPr>
    <w:rPr>
      <w:sz w:val="20"/>
    </w:rPr>
  </w:style>
  <w:style w:type="paragraph" w:customStyle="1" w:styleId="Introtext">
    <w:name w:val="Intro text"/>
    <w:basedOn w:val="Body"/>
    <w:uiPriority w:val="11"/>
    <w:rsid w:val="00803198"/>
    <w:pPr>
      <w:spacing w:line="320" w:lineRule="atLeast"/>
    </w:pPr>
    <w:rPr>
      <w:color w:val="032833" w:themeColor="text1"/>
      <w:sz w:val="24"/>
    </w:rPr>
  </w:style>
  <w:style w:type="character" w:styleId="Emphasis">
    <w:name w:val="Emphasis"/>
    <w:basedOn w:val="DefaultParagraphFont"/>
    <w:uiPriority w:val="20"/>
    <w:rsid w:val="00803198"/>
    <w:rPr>
      <w:rFonts w:ascii="AVENIR LIGHT OBLIQUE" w:hAnsi="AVENIR LIGHT OBLIQUE"/>
      <w:b w:val="0"/>
      <w:i/>
      <w:iCs/>
    </w:rPr>
  </w:style>
  <w:style w:type="character" w:customStyle="1" w:styleId="normaltextrun">
    <w:name w:val="normaltextrun"/>
    <w:basedOn w:val="DefaultParagraphFont"/>
    <w:rsid w:val="003F7E5B"/>
  </w:style>
  <w:style w:type="paragraph" w:styleId="ListParagraph">
    <w:name w:val="List Paragraph"/>
    <w:basedOn w:val="Normal"/>
    <w:uiPriority w:val="34"/>
    <w:qFormat/>
    <w:rsid w:val="00152C0A"/>
    <w:pPr>
      <w:ind w:left="720"/>
      <w:contextualSpacing/>
    </w:pPr>
    <w:rPr>
      <w:rFonts w:ascii="Verdana" w:hAnsi="Verdana"/>
    </w:rPr>
  </w:style>
  <w:style w:type="table" w:customStyle="1" w:styleId="TableGrid1">
    <w:name w:val="Table Grid1"/>
    <w:basedOn w:val="TableNormal"/>
    <w:next w:val="TableGrid"/>
    <w:rsid w:val="003E0BFE"/>
    <w:tblPr/>
  </w:style>
  <w:style w:type="paragraph" w:customStyle="1" w:styleId="Heading1Unnumbered">
    <w:name w:val="Heading 1 Unnumbered"/>
    <w:basedOn w:val="Heading1"/>
    <w:rsid w:val="003449A5"/>
    <w:pPr>
      <w:numPr>
        <w:numId w:val="0"/>
      </w:numPr>
      <w:spacing w:before="320" w:after="200" w:line="440" w:lineRule="atLeast"/>
    </w:pPr>
    <w:rPr>
      <w:rFonts w:ascii="Verdana" w:hAnsi="Verdana"/>
      <w:color w:val="032833"/>
      <w:sz w:val="40"/>
      <w:szCs w:val="40"/>
      <w14:ligatures w14:val="standardContextual"/>
    </w:rPr>
  </w:style>
  <w:style w:type="paragraph" w:styleId="Header">
    <w:name w:val="header"/>
    <w:basedOn w:val="Normal"/>
    <w:link w:val="HeaderChar"/>
    <w:uiPriority w:val="99"/>
    <w:unhideWhenUsed/>
    <w:rsid w:val="005B59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5983"/>
    <w:rPr>
      <w:rFonts w:ascii="Avenir Book" w:hAnsi="Avenir Book"/>
      <w:sz w:val="21"/>
      <w:lang w:eastAsia="en-US"/>
    </w:rPr>
  </w:style>
  <w:style w:type="character" w:styleId="Mention">
    <w:name w:val="Mention"/>
    <w:basedOn w:val="DefaultParagraphFont"/>
    <w:uiPriority w:val="99"/>
    <w:unhideWhenUsed/>
    <w:rsid w:val="00662B15"/>
    <w:rPr>
      <w:color w:val="2B579A"/>
      <w:shd w:val="clear" w:color="auto" w:fill="E1DFDD"/>
    </w:rPr>
  </w:style>
  <w:style w:type="paragraph" w:customStyle="1" w:styleId="DHHSTOCheadingreport">
    <w:name w:val="DHHS TOC heading report"/>
    <w:basedOn w:val="Normal"/>
    <w:link w:val="DHHSTOCheadingreportChar"/>
    <w:uiPriority w:val="5"/>
    <w:rsid w:val="51C719B7"/>
    <w:pPr>
      <w:keepNext/>
      <w:keepLines/>
      <w:spacing w:after="440"/>
    </w:pPr>
    <w:rPr>
      <w:rFonts w:ascii="Arial" w:hAnsi="Arial"/>
      <w:color w:val="201547"/>
      <w:sz w:val="44"/>
      <w:szCs w:val="44"/>
    </w:rPr>
  </w:style>
  <w:style w:type="character" w:customStyle="1" w:styleId="DHHSTOCheadingreportChar">
    <w:name w:val="DHHS TOC heading report Char"/>
    <w:basedOn w:val="DefaultParagraphFont"/>
    <w:link w:val="DHHSTOCheadingreport"/>
    <w:uiPriority w:val="5"/>
    <w:rsid w:val="51C719B7"/>
    <w:rPr>
      <w:rFonts w:ascii="Arial" w:eastAsia="Times New Roman" w:hAnsi="Arial" w:cs="Times New Roman"/>
      <w:color w:val="201547"/>
      <w:sz w:val="44"/>
      <w:szCs w:val="44"/>
      <w:lang w:eastAsia="en-US"/>
    </w:rPr>
  </w:style>
  <w:style w:type="paragraph" w:customStyle="1" w:styleId="DHHStablecolhead">
    <w:name w:val="DHHS table col head"/>
    <w:basedOn w:val="Normal"/>
    <w:uiPriority w:val="3"/>
    <w:qFormat/>
    <w:rsid w:val="126445CF"/>
    <w:pPr>
      <w:spacing w:before="80" w:after="60"/>
    </w:pPr>
    <w:rPr>
      <w:rFonts w:ascii="Arial" w:hAnsi="Arial"/>
      <w:b/>
      <w:bCs/>
      <w:color w:val="FFFFFF" w:themeColor="background1"/>
    </w:rPr>
  </w:style>
  <w:style w:type="paragraph" w:customStyle="1" w:styleId="DHHSbody">
    <w:name w:val="DHHS body"/>
    <w:basedOn w:val="Normal"/>
    <w:link w:val="DHHSbodyChar"/>
    <w:uiPriority w:val="99"/>
    <w:qFormat/>
    <w:rsid w:val="126445CF"/>
    <w:rPr>
      <w:rFonts w:ascii="Arial" w:eastAsia="Times" w:hAnsi="Arial"/>
    </w:rPr>
  </w:style>
  <w:style w:type="character" w:customStyle="1" w:styleId="DHHSbodyChar">
    <w:name w:val="DHHS body Char"/>
    <w:basedOn w:val="DefaultParagraphFont"/>
    <w:link w:val="DHHSbody"/>
    <w:uiPriority w:val="99"/>
    <w:rsid w:val="126445CF"/>
    <w:rPr>
      <w:rFonts w:ascii="Arial" w:eastAsia="Times" w:hAnsi="Arial" w:cs="Times New Roman"/>
      <w:lang w:eastAsia="en-US"/>
    </w:rPr>
  </w:style>
  <w:style w:type="character" w:customStyle="1" w:styleId="eop">
    <w:name w:val="eop"/>
    <w:basedOn w:val="DefaultParagraphFont"/>
    <w:uiPriority w:val="1"/>
    <w:rsid w:val="126445CF"/>
    <w:rPr>
      <w:rFonts w:ascii="Times New Roman" w:eastAsia="Times New Roman" w:hAnsi="Times New Roman" w:cs="Times New Roman"/>
    </w:rPr>
  </w:style>
  <w:style w:type="character" w:customStyle="1" w:styleId="Bullet1Char">
    <w:name w:val="Bullet 1 Char"/>
    <w:basedOn w:val="DefaultParagraphFont"/>
    <w:link w:val="Bullet1"/>
    <w:rsid w:val="00CF2EB7"/>
    <w:rPr>
      <w:rFonts w:ascii="Avenir Book" w:eastAsia="Times" w:hAnsi="Avenir Book"/>
      <w:sz w:val="21"/>
      <w:lang w:eastAsia="en-US"/>
    </w:rPr>
  </w:style>
  <w:style w:type="character" w:customStyle="1" w:styleId="Heading6Char">
    <w:name w:val="Heading 6 Char"/>
    <w:basedOn w:val="DefaultParagraphFont"/>
    <w:link w:val="Heading6"/>
    <w:uiPriority w:val="9"/>
    <w:semiHidden/>
    <w:rsid w:val="004B25A0"/>
    <w:rPr>
      <w:rFonts w:asciiTheme="majorHAnsi" w:eastAsiaTheme="majorEastAsia" w:hAnsiTheme="majorHAnsi" w:cstheme="majorBidi"/>
      <w:color w:val="073F49" w:themeColor="accent1" w:themeShade="7F"/>
      <w:sz w:val="21"/>
      <w:lang w:eastAsia="en-US"/>
    </w:rPr>
  </w:style>
  <w:style w:type="character" w:customStyle="1" w:styleId="Heading7Char">
    <w:name w:val="Heading 7 Char"/>
    <w:basedOn w:val="DefaultParagraphFont"/>
    <w:link w:val="Heading7"/>
    <w:uiPriority w:val="9"/>
    <w:semiHidden/>
    <w:rsid w:val="004B25A0"/>
    <w:rPr>
      <w:rFonts w:asciiTheme="majorHAnsi" w:eastAsiaTheme="majorEastAsia" w:hAnsiTheme="majorHAnsi" w:cstheme="majorBidi"/>
      <w:i/>
      <w:iCs/>
      <w:color w:val="073F49" w:themeColor="accent1" w:themeShade="7F"/>
      <w:sz w:val="21"/>
      <w:lang w:eastAsia="en-US"/>
    </w:rPr>
  </w:style>
  <w:style w:type="character" w:customStyle="1" w:styleId="Heading8Char">
    <w:name w:val="Heading 8 Char"/>
    <w:basedOn w:val="DefaultParagraphFont"/>
    <w:link w:val="Heading8"/>
    <w:uiPriority w:val="9"/>
    <w:semiHidden/>
    <w:rsid w:val="004B25A0"/>
    <w:rPr>
      <w:rFonts w:asciiTheme="majorHAnsi" w:eastAsiaTheme="majorEastAsia" w:hAnsiTheme="majorHAnsi" w:cstheme="majorBidi"/>
      <w:color w:val="075B74" w:themeColor="text1" w:themeTint="D8"/>
      <w:sz w:val="21"/>
      <w:szCs w:val="21"/>
      <w:lang w:eastAsia="en-US"/>
    </w:rPr>
  </w:style>
  <w:style w:type="character" w:customStyle="1" w:styleId="Heading9Char">
    <w:name w:val="Heading 9 Char"/>
    <w:basedOn w:val="DefaultParagraphFont"/>
    <w:link w:val="Heading9"/>
    <w:uiPriority w:val="9"/>
    <w:semiHidden/>
    <w:rsid w:val="004B25A0"/>
    <w:rPr>
      <w:rFonts w:asciiTheme="majorHAnsi" w:eastAsiaTheme="majorEastAsia" w:hAnsiTheme="majorHAnsi" w:cstheme="majorBidi"/>
      <w:i/>
      <w:iCs/>
      <w:color w:val="075B74" w:themeColor="text1" w:themeTint="D8"/>
      <w:sz w:val="21"/>
      <w:szCs w:val="21"/>
      <w:lang w:eastAsia="en-US"/>
    </w:rPr>
  </w:style>
  <w:style w:type="table" w:styleId="TableGridLight">
    <w:name w:val="Grid Table Light"/>
    <w:basedOn w:val="TableNormal"/>
    <w:uiPriority w:val="40"/>
    <w:rsid w:val="007A46E4"/>
    <w:tblPr/>
  </w:style>
  <w:style w:type="character" w:customStyle="1" w:styleId="FooterChar">
    <w:name w:val="Footer Char"/>
    <w:basedOn w:val="DefaultParagraphFont"/>
    <w:link w:val="Footer"/>
    <w:uiPriority w:val="8"/>
    <w:rsid w:val="00803198"/>
    <w:rPr>
      <w:rFonts w:ascii="Avenir Book" w:hAnsi="Avenir Book" w:cs="Arial"/>
      <w:sz w:val="18"/>
      <w:szCs w:val="18"/>
      <w:lang w:eastAsia="en-US"/>
    </w:rPr>
  </w:style>
  <w:style w:type="paragraph" w:customStyle="1" w:styleId="Heading2Unnumbered">
    <w:name w:val="Heading 2 Unnumbered"/>
    <w:basedOn w:val="Heading2"/>
    <w:uiPriority w:val="11"/>
    <w:rsid w:val="003449A5"/>
    <w:pPr>
      <w:numPr>
        <w:ilvl w:val="0"/>
        <w:numId w:val="0"/>
      </w:numPr>
    </w:pPr>
  </w:style>
  <w:style w:type="paragraph" w:customStyle="1" w:styleId="Heading3Unnumbered">
    <w:name w:val="Heading 3 Unnumbered"/>
    <w:basedOn w:val="Heading3"/>
    <w:uiPriority w:val="11"/>
    <w:rsid w:val="003449A5"/>
    <w:pPr>
      <w:numPr>
        <w:ilvl w:val="0"/>
        <w:numId w:val="0"/>
      </w:numPr>
    </w:pPr>
  </w:style>
  <w:style w:type="paragraph" w:customStyle="1" w:styleId="Heading4Unnumbered">
    <w:name w:val="Heading 4 Unnumbered"/>
    <w:basedOn w:val="Heading4"/>
    <w:uiPriority w:val="11"/>
    <w:rsid w:val="003449A5"/>
    <w:pPr>
      <w:numPr>
        <w:ilvl w:val="0"/>
        <w:numId w:val="0"/>
      </w:numPr>
    </w:pPr>
  </w:style>
  <w:style w:type="paragraph" w:customStyle="1" w:styleId="pf0">
    <w:name w:val="pf0"/>
    <w:basedOn w:val="Normal"/>
    <w:rsid w:val="00211D72"/>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211D72"/>
    <w:rPr>
      <w:rFonts w:ascii="Segoe UI" w:hAnsi="Segoe UI" w:cs="Segoe UI" w:hint="default"/>
      <w:sz w:val="18"/>
      <w:szCs w:val="18"/>
    </w:rPr>
  </w:style>
  <w:style w:type="table" w:customStyle="1" w:styleId="TableGrid2">
    <w:name w:val="Table Grid2"/>
    <w:basedOn w:val="TableNormal"/>
    <w:next w:val="TableGrid"/>
    <w:uiPriority w:val="39"/>
    <w:rsid w:val="00D44E40"/>
    <w:rPr>
      <w:kern w:val="2"/>
      <w14:ligatures w14:val="standardContextual"/>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02059001">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33668374">
      <w:bodyDiv w:val="1"/>
      <w:marLeft w:val="0"/>
      <w:marRight w:val="0"/>
      <w:marTop w:val="0"/>
      <w:marBottom w:val="0"/>
      <w:divBdr>
        <w:top w:val="none" w:sz="0" w:space="0" w:color="auto"/>
        <w:left w:val="none" w:sz="0" w:space="0" w:color="auto"/>
        <w:bottom w:val="none" w:sz="0" w:space="0" w:color="auto"/>
        <w:right w:val="none" w:sz="0" w:space="0" w:color="auto"/>
      </w:divBdr>
    </w:div>
    <w:div w:id="70112679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07349497">
      <w:bodyDiv w:val="1"/>
      <w:marLeft w:val="0"/>
      <w:marRight w:val="0"/>
      <w:marTop w:val="0"/>
      <w:marBottom w:val="0"/>
      <w:divBdr>
        <w:top w:val="none" w:sz="0" w:space="0" w:color="auto"/>
        <w:left w:val="none" w:sz="0" w:space="0" w:color="auto"/>
        <w:bottom w:val="none" w:sz="0" w:space="0" w:color="auto"/>
        <w:right w:val="none" w:sz="0" w:space="0" w:color="auto"/>
      </w:divBdr>
      <w:divsChild>
        <w:div w:id="1454865521">
          <w:marLeft w:val="0"/>
          <w:marRight w:val="0"/>
          <w:marTop w:val="0"/>
          <w:marBottom w:val="0"/>
          <w:divBdr>
            <w:top w:val="none" w:sz="0" w:space="0" w:color="auto"/>
            <w:left w:val="none" w:sz="0" w:space="0" w:color="auto"/>
            <w:bottom w:val="none" w:sz="0" w:space="0" w:color="auto"/>
            <w:right w:val="none" w:sz="0" w:space="0" w:color="auto"/>
          </w:divBdr>
        </w:div>
        <w:div w:id="1837765892">
          <w:marLeft w:val="0"/>
          <w:marRight w:val="0"/>
          <w:marTop w:val="0"/>
          <w:marBottom w:val="0"/>
          <w:divBdr>
            <w:top w:val="none" w:sz="0" w:space="0" w:color="auto"/>
            <w:left w:val="none" w:sz="0" w:space="0" w:color="auto"/>
            <w:bottom w:val="none" w:sz="0" w:space="0" w:color="auto"/>
            <w:right w:val="none" w:sz="0" w:space="0" w:color="auto"/>
          </w:divBdr>
          <w:divsChild>
            <w:div w:id="437485386">
              <w:marLeft w:val="-75"/>
              <w:marRight w:val="0"/>
              <w:marTop w:val="30"/>
              <w:marBottom w:val="30"/>
              <w:divBdr>
                <w:top w:val="none" w:sz="0" w:space="0" w:color="auto"/>
                <w:left w:val="none" w:sz="0" w:space="0" w:color="auto"/>
                <w:bottom w:val="none" w:sz="0" w:space="0" w:color="auto"/>
                <w:right w:val="none" w:sz="0" w:space="0" w:color="auto"/>
              </w:divBdr>
              <w:divsChild>
                <w:div w:id="230313245">
                  <w:marLeft w:val="0"/>
                  <w:marRight w:val="0"/>
                  <w:marTop w:val="0"/>
                  <w:marBottom w:val="0"/>
                  <w:divBdr>
                    <w:top w:val="none" w:sz="0" w:space="0" w:color="auto"/>
                    <w:left w:val="none" w:sz="0" w:space="0" w:color="auto"/>
                    <w:bottom w:val="none" w:sz="0" w:space="0" w:color="auto"/>
                    <w:right w:val="none" w:sz="0" w:space="0" w:color="auto"/>
                  </w:divBdr>
                  <w:divsChild>
                    <w:div w:id="1116143783">
                      <w:marLeft w:val="0"/>
                      <w:marRight w:val="0"/>
                      <w:marTop w:val="0"/>
                      <w:marBottom w:val="0"/>
                      <w:divBdr>
                        <w:top w:val="none" w:sz="0" w:space="0" w:color="auto"/>
                        <w:left w:val="none" w:sz="0" w:space="0" w:color="auto"/>
                        <w:bottom w:val="none" w:sz="0" w:space="0" w:color="auto"/>
                        <w:right w:val="none" w:sz="0" w:space="0" w:color="auto"/>
                      </w:divBdr>
                    </w:div>
                  </w:divsChild>
                </w:div>
                <w:div w:id="638268520">
                  <w:marLeft w:val="0"/>
                  <w:marRight w:val="0"/>
                  <w:marTop w:val="0"/>
                  <w:marBottom w:val="0"/>
                  <w:divBdr>
                    <w:top w:val="none" w:sz="0" w:space="0" w:color="auto"/>
                    <w:left w:val="none" w:sz="0" w:space="0" w:color="auto"/>
                    <w:bottom w:val="none" w:sz="0" w:space="0" w:color="auto"/>
                    <w:right w:val="none" w:sz="0" w:space="0" w:color="auto"/>
                  </w:divBdr>
                  <w:divsChild>
                    <w:div w:id="1389525769">
                      <w:marLeft w:val="0"/>
                      <w:marRight w:val="0"/>
                      <w:marTop w:val="0"/>
                      <w:marBottom w:val="0"/>
                      <w:divBdr>
                        <w:top w:val="none" w:sz="0" w:space="0" w:color="auto"/>
                        <w:left w:val="none" w:sz="0" w:space="0" w:color="auto"/>
                        <w:bottom w:val="none" w:sz="0" w:space="0" w:color="auto"/>
                        <w:right w:val="none" w:sz="0" w:space="0" w:color="auto"/>
                      </w:divBdr>
                    </w:div>
                  </w:divsChild>
                </w:div>
                <w:div w:id="675307670">
                  <w:marLeft w:val="0"/>
                  <w:marRight w:val="0"/>
                  <w:marTop w:val="0"/>
                  <w:marBottom w:val="0"/>
                  <w:divBdr>
                    <w:top w:val="none" w:sz="0" w:space="0" w:color="auto"/>
                    <w:left w:val="none" w:sz="0" w:space="0" w:color="auto"/>
                    <w:bottom w:val="none" w:sz="0" w:space="0" w:color="auto"/>
                    <w:right w:val="none" w:sz="0" w:space="0" w:color="auto"/>
                  </w:divBdr>
                  <w:divsChild>
                    <w:div w:id="1448164324">
                      <w:marLeft w:val="0"/>
                      <w:marRight w:val="0"/>
                      <w:marTop w:val="0"/>
                      <w:marBottom w:val="0"/>
                      <w:divBdr>
                        <w:top w:val="none" w:sz="0" w:space="0" w:color="auto"/>
                        <w:left w:val="none" w:sz="0" w:space="0" w:color="auto"/>
                        <w:bottom w:val="none" w:sz="0" w:space="0" w:color="auto"/>
                        <w:right w:val="none" w:sz="0" w:space="0" w:color="auto"/>
                      </w:divBdr>
                    </w:div>
                  </w:divsChild>
                </w:div>
                <w:div w:id="917982150">
                  <w:marLeft w:val="0"/>
                  <w:marRight w:val="0"/>
                  <w:marTop w:val="0"/>
                  <w:marBottom w:val="0"/>
                  <w:divBdr>
                    <w:top w:val="none" w:sz="0" w:space="0" w:color="auto"/>
                    <w:left w:val="none" w:sz="0" w:space="0" w:color="auto"/>
                    <w:bottom w:val="none" w:sz="0" w:space="0" w:color="auto"/>
                    <w:right w:val="none" w:sz="0" w:space="0" w:color="auto"/>
                  </w:divBdr>
                  <w:divsChild>
                    <w:div w:id="925574561">
                      <w:marLeft w:val="0"/>
                      <w:marRight w:val="0"/>
                      <w:marTop w:val="0"/>
                      <w:marBottom w:val="0"/>
                      <w:divBdr>
                        <w:top w:val="none" w:sz="0" w:space="0" w:color="auto"/>
                        <w:left w:val="none" w:sz="0" w:space="0" w:color="auto"/>
                        <w:bottom w:val="none" w:sz="0" w:space="0" w:color="auto"/>
                        <w:right w:val="none" w:sz="0" w:space="0" w:color="auto"/>
                      </w:divBdr>
                    </w:div>
                  </w:divsChild>
                </w:div>
                <w:div w:id="1012299993">
                  <w:marLeft w:val="0"/>
                  <w:marRight w:val="0"/>
                  <w:marTop w:val="0"/>
                  <w:marBottom w:val="0"/>
                  <w:divBdr>
                    <w:top w:val="none" w:sz="0" w:space="0" w:color="auto"/>
                    <w:left w:val="none" w:sz="0" w:space="0" w:color="auto"/>
                    <w:bottom w:val="none" w:sz="0" w:space="0" w:color="auto"/>
                    <w:right w:val="none" w:sz="0" w:space="0" w:color="auto"/>
                  </w:divBdr>
                  <w:divsChild>
                    <w:div w:id="1832519412">
                      <w:marLeft w:val="0"/>
                      <w:marRight w:val="0"/>
                      <w:marTop w:val="0"/>
                      <w:marBottom w:val="0"/>
                      <w:divBdr>
                        <w:top w:val="none" w:sz="0" w:space="0" w:color="auto"/>
                        <w:left w:val="none" w:sz="0" w:space="0" w:color="auto"/>
                        <w:bottom w:val="none" w:sz="0" w:space="0" w:color="auto"/>
                        <w:right w:val="none" w:sz="0" w:space="0" w:color="auto"/>
                      </w:divBdr>
                    </w:div>
                  </w:divsChild>
                </w:div>
                <w:div w:id="1232740970">
                  <w:marLeft w:val="0"/>
                  <w:marRight w:val="0"/>
                  <w:marTop w:val="0"/>
                  <w:marBottom w:val="0"/>
                  <w:divBdr>
                    <w:top w:val="none" w:sz="0" w:space="0" w:color="auto"/>
                    <w:left w:val="none" w:sz="0" w:space="0" w:color="auto"/>
                    <w:bottom w:val="none" w:sz="0" w:space="0" w:color="auto"/>
                    <w:right w:val="none" w:sz="0" w:space="0" w:color="auto"/>
                  </w:divBdr>
                  <w:divsChild>
                    <w:div w:id="391201900">
                      <w:marLeft w:val="0"/>
                      <w:marRight w:val="0"/>
                      <w:marTop w:val="0"/>
                      <w:marBottom w:val="0"/>
                      <w:divBdr>
                        <w:top w:val="none" w:sz="0" w:space="0" w:color="auto"/>
                        <w:left w:val="none" w:sz="0" w:space="0" w:color="auto"/>
                        <w:bottom w:val="none" w:sz="0" w:space="0" w:color="auto"/>
                        <w:right w:val="none" w:sz="0" w:space="0" w:color="auto"/>
                      </w:divBdr>
                    </w:div>
                    <w:div w:id="462887483">
                      <w:marLeft w:val="0"/>
                      <w:marRight w:val="0"/>
                      <w:marTop w:val="0"/>
                      <w:marBottom w:val="0"/>
                      <w:divBdr>
                        <w:top w:val="none" w:sz="0" w:space="0" w:color="auto"/>
                        <w:left w:val="none" w:sz="0" w:space="0" w:color="auto"/>
                        <w:bottom w:val="none" w:sz="0" w:space="0" w:color="auto"/>
                        <w:right w:val="none" w:sz="0" w:space="0" w:color="auto"/>
                      </w:divBdr>
                    </w:div>
                    <w:div w:id="833422009">
                      <w:marLeft w:val="0"/>
                      <w:marRight w:val="0"/>
                      <w:marTop w:val="0"/>
                      <w:marBottom w:val="0"/>
                      <w:divBdr>
                        <w:top w:val="none" w:sz="0" w:space="0" w:color="auto"/>
                        <w:left w:val="none" w:sz="0" w:space="0" w:color="auto"/>
                        <w:bottom w:val="none" w:sz="0" w:space="0" w:color="auto"/>
                        <w:right w:val="none" w:sz="0" w:space="0" w:color="auto"/>
                      </w:divBdr>
                    </w:div>
                    <w:div w:id="1536113770">
                      <w:marLeft w:val="0"/>
                      <w:marRight w:val="0"/>
                      <w:marTop w:val="0"/>
                      <w:marBottom w:val="0"/>
                      <w:divBdr>
                        <w:top w:val="none" w:sz="0" w:space="0" w:color="auto"/>
                        <w:left w:val="none" w:sz="0" w:space="0" w:color="auto"/>
                        <w:bottom w:val="none" w:sz="0" w:space="0" w:color="auto"/>
                        <w:right w:val="none" w:sz="0" w:space="0" w:color="auto"/>
                      </w:divBdr>
                    </w:div>
                  </w:divsChild>
                </w:div>
                <w:div w:id="1259945344">
                  <w:marLeft w:val="0"/>
                  <w:marRight w:val="0"/>
                  <w:marTop w:val="0"/>
                  <w:marBottom w:val="0"/>
                  <w:divBdr>
                    <w:top w:val="none" w:sz="0" w:space="0" w:color="auto"/>
                    <w:left w:val="none" w:sz="0" w:space="0" w:color="auto"/>
                    <w:bottom w:val="none" w:sz="0" w:space="0" w:color="auto"/>
                    <w:right w:val="none" w:sz="0" w:space="0" w:color="auto"/>
                  </w:divBdr>
                  <w:divsChild>
                    <w:div w:id="1467240185">
                      <w:marLeft w:val="0"/>
                      <w:marRight w:val="0"/>
                      <w:marTop w:val="0"/>
                      <w:marBottom w:val="0"/>
                      <w:divBdr>
                        <w:top w:val="none" w:sz="0" w:space="0" w:color="auto"/>
                        <w:left w:val="none" w:sz="0" w:space="0" w:color="auto"/>
                        <w:bottom w:val="none" w:sz="0" w:space="0" w:color="auto"/>
                        <w:right w:val="none" w:sz="0" w:space="0" w:color="auto"/>
                      </w:divBdr>
                    </w:div>
                  </w:divsChild>
                </w:div>
                <w:div w:id="1654019135">
                  <w:marLeft w:val="0"/>
                  <w:marRight w:val="0"/>
                  <w:marTop w:val="0"/>
                  <w:marBottom w:val="0"/>
                  <w:divBdr>
                    <w:top w:val="none" w:sz="0" w:space="0" w:color="auto"/>
                    <w:left w:val="none" w:sz="0" w:space="0" w:color="auto"/>
                    <w:bottom w:val="none" w:sz="0" w:space="0" w:color="auto"/>
                    <w:right w:val="none" w:sz="0" w:space="0" w:color="auto"/>
                  </w:divBdr>
                  <w:divsChild>
                    <w:div w:id="1177620016">
                      <w:marLeft w:val="0"/>
                      <w:marRight w:val="0"/>
                      <w:marTop w:val="0"/>
                      <w:marBottom w:val="0"/>
                      <w:divBdr>
                        <w:top w:val="none" w:sz="0" w:space="0" w:color="auto"/>
                        <w:left w:val="none" w:sz="0" w:space="0" w:color="auto"/>
                        <w:bottom w:val="none" w:sz="0" w:space="0" w:color="auto"/>
                        <w:right w:val="none" w:sz="0" w:space="0" w:color="auto"/>
                      </w:divBdr>
                    </w:div>
                  </w:divsChild>
                </w:div>
                <w:div w:id="1862473459">
                  <w:marLeft w:val="0"/>
                  <w:marRight w:val="0"/>
                  <w:marTop w:val="0"/>
                  <w:marBottom w:val="0"/>
                  <w:divBdr>
                    <w:top w:val="none" w:sz="0" w:space="0" w:color="auto"/>
                    <w:left w:val="none" w:sz="0" w:space="0" w:color="auto"/>
                    <w:bottom w:val="none" w:sz="0" w:space="0" w:color="auto"/>
                    <w:right w:val="none" w:sz="0" w:space="0" w:color="auto"/>
                  </w:divBdr>
                  <w:divsChild>
                    <w:div w:id="65733718">
                      <w:marLeft w:val="0"/>
                      <w:marRight w:val="0"/>
                      <w:marTop w:val="0"/>
                      <w:marBottom w:val="0"/>
                      <w:divBdr>
                        <w:top w:val="none" w:sz="0" w:space="0" w:color="auto"/>
                        <w:left w:val="none" w:sz="0" w:space="0" w:color="auto"/>
                        <w:bottom w:val="none" w:sz="0" w:space="0" w:color="auto"/>
                        <w:right w:val="none" w:sz="0" w:space="0" w:color="auto"/>
                      </w:divBdr>
                    </w:div>
                  </w:divsChild>
                </w:div>
                <w:div w:id="1958485327">
                  <w:marLeft w:val="0"/>
                  <w:marRight w:val="0"/>
                  <w:marTop w:val="0"/>
                  <w:marBottom w:val="0"/>
                  <w:divBdr>
                    <w:top w:val="none" w:sz="0" w:space="0" w:color="auto"/>
                    <w:left w:val="none" w:sz="0" w:space="0" w:color="auto"/>
                    <w:bottom w:val="none" w:sz="0" w:space="0" w:color="auto"/>
                    <w:right w:val="none" w:sz="0" w:space="0" w:color="auto"/>
                  </w:divBdr>
                  <w:divsChild>
                    <w:div w:id="2118718298">
                      <w:marLeft w:val="0"/>
                      <w:marRight w:val="0"/>
                      <w:marTop w:val="0"/>
                      <w:marBottom w:val="0"/>
                      <w:divBdr>
                        <w:top w:val="none" w:sz="0" w:space="0" w:color="auto"/>
                        <w:left w:val="none" w:sz="0" w:space="0" w:color="auto"/>
                        <w:bottom w:val="none" w:sz="0" w:space="0" w:color="auto"/>
                        <w:right w:val="none" w:sz="0" w:space="0" w:color="auto"/>
                      </w:divBdr>
                    </w:div>
                  </w:divsChild>
                </w:div>
                <w:div w:id="1999186445">
                  <w:marLeft w:val="0"/>
                  <w:marRight w:val="0"/>
                  <w:marTop w:val="0"/>
                  <w:marBottom w:val="0"/>
                  <w:divBdr>
                    <w:top w:val="none" w:sz="0" w:space="0" w:color="auto"/>
                    <w:left w:val="none" w:sz="0" w:space="0" w:color="auto"/>
                    <w:bottom w:val="none" w:sz="0" w:space="0" w:color="auto"/>
                    <w:right w:val="none" w:sz="0" w:space="0" w:color="auto"/>
                  </w:divBdr>
                  <w:divsChild>
                    <w:div w:id="1446731512">
                      <w:marLeft w:val="0"/>
                      <w:marRight w:val="0"/>
                      <w:marTop w:val="0"/>
                      <w:marBottom w:val="0"/>
                      <w:divBdr>
                        <w:top w:val="none" w:sz="0" w:space="0" w:color="auto"/>
                        <w:left w:val="none" w:sz="0" w:space="0" w:color="auto"/>
                        <w:bottom w:val="none" w:sz="0" w:space="0" w:color="auto"/>
                        <w:right w:val="none" w:sz="0" w:space="0" w:color="auto"/>
                      </w:divBdr>
                    </w:div>
                  </w:divsChild>
                </w:div>
                <w:div w:id="2072531662">
                  <w:marLeft w:val="0"/>
                  <w:marRight w:val="0"/>
                  <w:marTop w:val="0"/>
                  <w:marBottom w:val="0"/>
                  <w:divBdr>
                    <w:top w:val="none" w:sz="0" w:space="0" w:color="auto"/>
                    <w:left w:val="none" w:sz="0" w:space="0" w:color="auto"/>
                    <w:bottom w:val="none" w:sz="0" w:space="0" w:color="auto"/>
                    <w:right w:val="none" w:sz="0" w:space="0" w:color="auto"/>
                  </w:divBdr>
                  <w:divsChild>
                    <w:div w:id="207450690">
                      <w:marLeft w:val="0"/>
                      <w:marRight w:val="0"/>
                      <w:marTop w:val="0"/>
                      <w:marBottom w:val="0"/>
                      <w:divBdr>
                        <w:top w:val="none" w:sz="0" w:space="0" w:color="auto"/>
                        <w:left w:val="none" w:sz="0" w:space="0" w:color="auto"/>
                        <w:bottom w:val="none" w:sz="0" w:space="0" w:color="auto"/>
                        <w:right w:val="none" w:sz="0" w:space="0" w:color="auto"/>
                      </w:divBdr>
                    </w:div>
                    <w:div w:id="571739770">
                      <w:marLeft w:val="0"/>
                      <w:marRight w:val="0"/>
                      <w:marTop w:val="0"/>
                      <w:marBottom w:val="0"/>
                      <w:divBdr>
                        <w:top w:val="none" w:sz="0" w:space="0" w:color="auto"/>
                        <w:left w:val="none" w:sz="0" w:space="0" w:color="auto"/>
                        <w:bottom w:val="none" w:sz="0" w:space="0" w:color="auto"/>
                        <w:right w:val="none" w:sz="0" w:space="0" w:color="auto"/>
                      </w:divBdr>
                    </w:div>
                    <w:div w:id="213182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00576860">
      <w:bodyDiv w:val="1"/>
      <w:marLeft w:val="0"/>
      <w:marRight w:val="0"/>
      <w:marTop w:val="0"/>
      <w:marBottom w:val="0"/>
      <w:divBdr>
        <w:top w:val="none" w:sz="0" w:space="0" w:color="auto"/>
        <w:left w:val="none" w:sz="0" w:space="0" w:color="auto"/>
        <w:bottom w:val="none" w:sz="0" w:space="0" w:color="auto"/>
        <w:right w:val="none" w:sz="0" w:space="0" w:color="auto"/>
      </w:divBdr>
    </w:div>
    <w:div w:id="1326058275">
      <w:bodyDiv w:val="1"/>
      <w:marLeft w:val="0"/>
      <w:marRight w:val="0"/>
      <w:marTop w:val="0"/>
      <w:marBottom w:val="0"/>
      <w:divBdr>
        <w:top w:val="none" w:sz="0" w:space="0" w:color="auto"/>
        <w:left w:val="none" w:sz="0" w:space="0" w:color="auto"/>
        <w:bottom w:val="none" w:sz="0" w:space="0" w:color="auto"/>
        <w:right w:val="none" w:sz="0" w:space="0" w:color="auto"/>
      </w:divBdr>
      <w:divsChild>
        <w:div w:id="882182094">
          <w:marLeft w:val="0"/>
          <w:marRight w:val="0"/>
          <w:marTop w:val="0"/>
          <w:marBottom w:val="0"/>
          <w:divBdr>
            <w:top w:val="none" w:sz="0" w:space="0" w:color="auto"/>
            <w:left w:val="none" w:sz="0" w:space="0" w:color="auto"/>
            <w:bottom w:val="none" w:sz="0" w:space="0" w:color="auto"/>
            <w:right w:val="none" w:sz="0" w:space="0" w:color="auto"/>
          </w:divBdr>
          <w:divsChild>
            <w:div w:id="735976828">
              <w:marLeft w:val="-75"/>
              <w:marRight w:val="0"/>
              <w:marTop w:val="30"/>
              <w:marBottom w:val="30"/>
              <w:divBdr>
                <w:top w:val="none" w:sz="0" w:space="0" w:color="auto"/>
                <w:left w:val="none" w:sz="0" w:space="0" w:color="auto"/>
                <w:bottom w:val="none" w:sz="0" w:space="0" w:color="auto"/>
                <w:right w:val="none" w:sz="0" w:space="0" w:color="auto"/>
              </w:divBdr>
              <w:divsChild>
                <w:div w:id="71663333">
                  <w:marLeft w:val="0"/>
                  <w:marRight w:val="0"/>
                  <w:marTop w:val="0"/>
                  <w:marBottom w:val="0"/>
                  <w:divBdr>
                    <w:top w:val="none" w:sz="0" w:space="0" w:color="auto"/>
                    <w:left w:val="none" w:sz="0" w:space="0" w:color="auto"/>
                    <w:bottom w:val="none" w:sz="0" w:space="0" w:color="auto"/>
                    <w:right w:val="none" w:sz="0" w:space="0" w:color="auto"/>
                  </w:divBdr>
                  <w:divsChild>
                    <w:div w:id="1678465287">
                      <w:marLeft w:val="0"/>
                      <w:marRight w:val="0"/>
                      <w:marTop w:val="0"/>
                      <w:marBottom w:val="0"/>
                      <w:divBdr>
                        <w:top w:val="none" w:sz="0" w:space="0" w:color="auto"/>
                        <w:left w:val="none" w:sz="0" w:space="0" w:color="auto"/>
                        <w:bottom w:val="none" w:sz="0" w:space="0" w:color="auto"/>
                        <w:right w:val="none" w:sz="0" w:space="0" w:color="auto"/>
                      </w:divBdr>
                    </w:div>
                  </w:divsChild>
                </w:div>
                <w:div w:id="111096151">
                  <w:marLeft w:val="0"/>
                  <w:marRight w:val="0"/>
                  <w:marTop w:val="0"/>
                  <w:marBottom w:val="0"/>
                  <w:divBdr>
                    <w:top w:val="none" w:sz="0" w:space="0" w:color="auto"/>
                    <w:left w:val="none" w:sz="0" w:space="0" w:color="auto"/>
                    <w:bottom w:val="none" w:sz="0" w:space="0" w:color="auto"/>
                    <w:right w:val="none" w:sz="0" w:space="0" w:color="auto"/>
                  </w:divBdr>
                  <w:divsChild>
                    <w:div w:id="1015766263">
                      <w:marLeft w:val="0"/>
                      <w:marRight w:val="0"/>
                      <w:marTop w:val="0"/>
                      <w:marBottom w:val="0"/>
                      <w:divBdr>
                        <w:top w:val="none" w:sz="0" w:space="0" w:color="auto"/>
                        <w:left w:val="none" w:sz="0" w:space="0" w:color="auto"/>
                        <w:bottom w:val="none" w:sz="0" w:space="0" w:color="auto"/>
                        <w:right w:val="none" w:sz="0" w:space="0" w:color="auto"/>
                      </w:divBdr>
                    </w:div>
                  </w:divsChild>
                </w:div>
                <w:div w:id="114563065">
                  <w:marLeft w:val="0"/>
                  <w:marRight w:val="0"/>
                  <w:marTop w:val="0"/>
                  <w:marBottom w:val="0"/>
                  <w:divBdr>
                    <w:top w:val="none" w:sz="0" w:space="0" w:color="auto"/>
                    <w:left w:val="none" w:sz="0" w:space="0" w:color="auto"/>
                    <w:bottom w:val="none" w:sz="0" w:space="0" w:color="auto"/>
                    <w:right w:val="none" w:sz="0" w:space="0" w:color="auto"/>
                  </w:divBdr>
                  <w:divsChild>
                    <w:div w:id="1870488536">
                      <w:marLeft w:val="0"/>
                      <w:marRight w:val="0"/>
                      <w:marTop w:val="0"/>
                      <w:marBottom w:val="0"/>
                      <w:divBdr>
                        <w:top w:val="none" w:sz="0" w:space="0" w:color="auto"/>
                        <w:left w:val="none" w:sz="0" w:space="0" w:color="auto"/>
                        <w:bottom w:val="none" w:sz="0" w:space="0" w:color="auto"/>
                        <w:right w:val="none" w:sz="0" w:space="0" w:color="auto"/>
                      </w:divBdr>
                    </w:div>
                  </w:divsChild>
                </w:div>
                <w:div w:id="1175997387">
                  <w:marLeft w:val="0"/>
                  <w:marRight w:val="0"/>
                  <w:marTop w:val="0"/>
                  <w:marBottom w:val="0"/>
                  <w:divBdr>
                    <w:top w:val="none" w:sz="0" w:space="0" w:color="auto"/>
                    <w:left w:val="none" w:sz="0" w:space="0" w:color="auto"/>
                    <w:bottom w:val="none" w:sz="0" w:space="0" w:color="auto"/>
                    <w:right w:val="none" w:sz="0" w:space="0" w:color="auto"/>
                  </w:divBdr>
                  <w:divsChild>
                    <w:div w:id="226766151">
                      <w:marLeft w:val="0"/>
                      <w:marRight w:val="0"/>
                      <w:marTop w:val="0"/>
                      <w:marBottom w:val="0"/>
                      <w:divBdr>
                        <w:top w:val="none" w:sz="0" w:space="0" w:color="auto"/>
                        <w:left w:val="none" w:sz="0" w:space="0" w:color="auto"/>
                        <w:bottom w:val="none" w:sz="0" w:space="0" w:color="auto"/>
                        <w:right w:val="none" w:sz="0" w:space="0" w:color="auto"/>
                      </w:divBdr>
                    </w:div>
                    <w:div w:id="426385686">
                      <w:marLeft w:val="0"/>
                      <w:marRight w:val="0"/>
                      <w:marTop w:val="0"/>
                      <w:marBottom w:val="0"/>
                      <w:divBdr>
                        <w:top w:val="none" w:sz="0" w:space="0" w:color="auto"/>
                        <w:left w:val="none" w:sz="0" w:space="0" w:color="auto"/>
                        <w:bottom w:val="none" w:sz="0" w:space="0" w:color="auto"/>
                        <w:right w:val="none" w:sz="0" w:space="0" w:color="auto"/>
                      </w:divBdr>
                    </w:div>
                    <w:div w:id="1461219095">
                      <w:marLeft w:val="0"/>
                      <w:marRight w:val="0"/>
                      <w:marTop w:val="0"/>
                      <w:marBottom w:val="0"/>
                      <w:divBdr>
                        <w:top w:val="none" w:sz="0" w:space="0" w:color="auto"/>
                        <w:left w:val="none" w:sz="0" w:space="0" w:color="auto"/>
                        <w:bottom w:val="none" w:sz="0" w:space="0" w:color="auto"/>
                        <w:right w:val="none" w:sz="0" w:space="0" w:color="auto"/>
                      </w:divBdr>
                    </w:div>
                    <w:div w:id="1767572495">
                      <w:marLeft w:val="0"/>
                      <w:marRight w:val="0"/>
                      <w:marTop w:val="0"/>
                      <w:marBottom w:val="0"/>
                      <w:divBdr>
                        <w:top w:val="none" w:sz="0" w:space="0" w:color="auto"/>
                        <w:left w:val="none" w:sz="0" w:space="0" w:color="auto"/>
                        <w:bottom w:val="none" w:sz="0" w:space="0" w:color="auto"/>
                        <w:right w:val="none" w:sz="0" w:space="0" w:color="auto"/>
                      </w:divBdr>
                    </w:div>
                  </w:divsChild>
                </w:div>
                <w:div w:id="1259674657">
                  <w:marLeft w:val="0"/>
                  <w:marRight w:val="0"/>
                  <w:marTop w:val="0"/>
                  <w:marBottom w:val="0"/>
                  <w:divBdr>
                    <w:top w:val="none" w:sz="0" w:space="0" w:color="auto"/>
                    <w:left w:val="none" w:sz="0" w:space="0" w:color="auto"/>
                    <w:bottom w:val="none" w:sz="0" w:space="0" w:color="auto"/>
                    <w:right w:val="none" w:sz="0" w:space="0" w:color="auto"/>
                  </w:divBdr>
                  <w:divsChild>
                    <w:div w:id="1395589726">
                      <w:marLeft w:val="0"/>
                      <w:marRight w:val="0"/>
                      <w:marTop w:val="0"/>
                      <w:marBottom w:val="0"/>
                      <w:divBdr>
                        <w:top w:val="none" w:sz="0" w:space="0" w:color="auto"/>
                        <w:left w:val="none" w:sz="0" w:space="0" w:color="auto"/>
                        <w:bottom w:val="none" w:sz="0" w:space="0" w:color="auto"/>
                        <w:right w:val="none" w:sz="0" w:space="0" w:color="auto"/>
                      </w:divBdr>
                    </w:div>
                  </w:divsChild>
                </w:div>
                <w:div w:id="1364206477">
                  <w:marLeft w:val="0"/>
                  <w:marRight w:val="0"/>
                  <w:marTop w:val="0"/>
                  <w:marBottom w:val="0"/>
                  <w:divBdr>
                    <w:top w:val="none" w:sz="0" w:space="0" w:color="auto"/>
                    <w:left w:val="none" w:sz="0" w:space="0" w:color="auto"/>
                    <w:bottom w:val="none" w:sz="0" w:space="0" w:color="auto"/>
                    <w:right w:val="none" w:sz="0" w:space="0" w:color="auto"/>
                  </w:divBdr>
                  <w:divsChild>
                    <w:div w:id="1787263790">
                      <w:marLeft w:val="0"/>
                      <w:marRight w:val="0"/>
                      <w:marTop w:val="0"/>
                      <w:marBottom w:val="0"/>
                      <w:divBdr>
                        <w:top w:val="none" w:sz="0" w:space="0" w:color="auto"/>
                        <w:left w:val="none" w:sz="0" w:space="0" w:color="auto"/>
                        <w:bottom w:val="none" w:sz="0" w:space="0" w:color="auto"/>
                        <w:right w:val="none" w:sz="0" w:space="0" w:color="auto"/>
                      </w:divBdr>
                    </w:div>
                  </w:divsChild>
                </w:div>
                <w:div w:id="1429471983">
                  <w:marLeft w:val="0"/>
                  <w:marRight w:val="0"/>
                  <w:marTop w:val="0"/>
                  <w:marBottom w:val="0"/>
                  <w:divBdr>
                    <w:top w:val="none" w:sz="0" w:space="0" w:color="auto"/>
                    <w:left w:val="none" w:sz="0" w:space="0" w:color="auto"/>
                    <w:bottom w:val="none" w:sz="0" w:space="0" w:color="auto"/>
                    <w:right w:val="none" w:sz="0" w:space="0" w:color="auto"/>
                  </w:divBdr>
                  <w:divsChild>
                    <w:div w:id="21444942">
                      <w:marLeft w:val="0"/>
                      <w:marRight w:val="0"/>
                      <w:marTop w:val="0"/>
                      <w:marBottom w:val="0"/>
                      <w:divBdr>
                        <w:top w:val="none" w:sz="0" w:space="0" w:color="auto"/>
                        <w:left w:val="none" w:sz="0" w:space="0" w:color="auto"/>
                        <w:bottom w:val="none" w:sz="0" w:space="0" w:color="auto"/>
                        <w:right w:val="none" w:sz="0" w:space="0" w:color="auto"/>
                      </w:divBdr>
                    </w:div>
                    <w:div w:id="448158602">
                      <w:marLeft w:val="0"/>
                      <w:marRight w:val="0"/>
                      <w:marTop w:val="0"/>
                      <w:marBottom w:val="0"/>
                      <w:divBdr>
                        <w:top w:val="none" w:sz="0" w:space="0" w:color="auto"/>
                        <w:left w:val="none" w:sz="0" w:space="0" w:color="auto"/>
                        <w:bottom w:val="none" w:sz="0" w:space="0" w:color="auto"/>
                        <w:right w:val="none" w:sz="0" w:space="0" w:color="auto"/>
                      </w:divBdr>
                    </w:div>
                    <w:div w:id="1101148164">
                      <w:marLeft w:val="0"/>
                      <w:marRight w:val="0"/>
                      <w:marTop w:val="0"/>
                      <w:marBottom w:val="0"/>
                      <w:divBdr>
                        <w:top w:val="none" w:sz="0" w:space="0" w:color="auto"/>
                        <w:left w:val="none" w:sz="0" w:space="0" w:color="auto"/>
                        <w:bottom w:val="none" w:sz="0" w:space="0" w:color="auto"/>
                        <w:right w:val="none" w:sz="0" w:space="0" w:color="auto"/>
                      </w:divBdr>
                    </w:div>
                  </w:divsChild>
                </w:div>
                <w:div w:id="1666282437">
                  <w:marLeft w:val="0"/>
                  <w:marRight w:val="0"/>
                  <w:marTop w:val="0"/>
                  <w:marBottom w:val="0"/>
                  <w:divBdr>
                    <w:top w:val="none" w:sz="0" w:space="0" w:color="auto"/>
                    <w:left w:val="none" w:sz="0" w:space="0" w:color="auto"/>
                    <w:bottom w:val="none" w:sz="0" w:space="0" w:color="auto"/>
                    <w:right w:val="none" w:sz="0" w:space="0" w:color="auto"/>
                  </w:divBdr>
                  <w:divsChild>
                    <w:div w:id="1212228102">
                      <w:marLeft w:val="0"/>
                      <w:marRight w:val="0"/>
                      <w:marTop w:val="0"/>
                      <w:marBottom w:val="0"/>
                      <w:divBdr>
                        <w:top w:val="none" w:sz="0" w:space="0" w:color="auto"/>
                        <w:left w:val="none" w:sz="0" w:space="0" w:color="auto"/>
                        <w:bottom w:val="none" w:sz="0" w:space="0" w:color="auto"/>
                        <w:right w:val="none" w:sz="0" w:space="0" w:color="auto"/>
                      </w:divBdr>
                    </w:div>
                  </w:divsChild>
                </w:div>
                <w:div w:id="1694916667">
                  <w:marLeft w:val="0"/>
                  <w:marRight w:val="0"/>
                  <w:marTop w:val="0"/>
                  <w:marBottom w:val="0"/>
                  <w:divBdr>
                    <w:top w:val="none" w:sz="0" w:space="0" w:color="auto"/>
                    <w:left w:val="none" w:sz="0" w:space="0" w:color="auto"/>
                    <w:bottom w:val="none" w:sz="0" w:space="0" w:color="auto"/>
                    <w:right w:val="none" w:sz="0" w:space="0" w:color="auto"/>
                  </w:divBdr>
                  <w:divsChild>
                    <w:div w:id="1433168696">
                      <w:marLeft w:val="0"/>
                      <w:marRight w:val="0"/>
                      <w:marTop w:val="0"/>
                      <w:marBottom w:val="0"/>
                      <w:divBdr>
                        <w:top w:val="none" w:sz="0" w:space="0" w:color="auto"/>
                        <w:left w:val="none" w:sz="0" w:space="0" w:color="auto"/>
                        <w:bottom w:val="none" w:sz="0" w:space="0" w:color="auto"/>
                        <w:right w:val="none" w:sz="0" w:space="0" w:color="auto"/>
                      </w:divBdr>
                    </w:div>
                  </w:divsChild>
                </w:div>
                <w:div w:id="1991716650">
                  <w:marLeft w:val="0"/>
                  <w:marRight w:val="0"/>
                  <w:marTop w:val="0"/>
                  <w:marBottom w:val="0"/>
                  <w:divBdr>
                    <w:top w:val="none" w:sz="0" w:space="0" w:color="auto"/>
                    <w:left w:val="none" w:sz="0" w:space="0" w:color="auto"/>
                    <w:bottom w:val="none" w:sz="0" w:space="0" w:color="auto"/>
                    <w:right w:val="none" w:sz="0" w:space="0" w:color="auto"/>
                  </w:divBdr>
                  <w:divsChild>
                    <w:div w:id="483939143">
                      <w:marLeft w:val="0"/>
                      <w:marRight w:val="0"/>
                      <w:marTop w:val="0"/>
                      <w:marBottom w:val="0"/>
                      <w:divBdr>
                        <w:top w:val="none" w:sz="0" w:space="0" w:color="auto"/>
                        <w:left w:val="none" w:sz="0" w:space="0" w:color="auto"/>
                        <w:bottom w:val="none" w:sz="0" w:space="0" w:color="auto"/>
                        <w:right w:val="none" w:sz="0" w:space="0" w:color="auto"/>
                      </w:divBdr>
                    </w:div>
                  </w:divsChild>
                </w:div>
                <w:div w:id="2014531846">
                  <w:marLeft w:val="0"/>
                  <w:marRight w:val="0"/>
                  <w:marTop w:val="0"/>
                  <w:marBottom w:val="0"/>
                  <w:divBdr>
                    <w:top w:val="none" w:sz="0" w:space="0" w:color="auto"/>
                    <w:left w:val="none" w:sz="0" w:space="0" w:color="auto"/>
                    <w:bottom w:val="none" w:sz="0" w:space="0" w:color="auto"/>
                    <w:right w:val="none" w:sz="0" w:space="0" w:color="auto"/>
                  </w:divBdr>
                  <w:divsChild>
                    <w:div w:id="1654068609">
                      <w:marLeft w:val="0"/>
                      <w:marRight w:val="0"/>
                      <w:marTop w:val="0"/>
                      <w:marBottom w:val="0"/>
                      <w:divBdr>
                        <w:top w:val="none" w:sz="0" w:space="0" w:color="auto"/>
                        <w:left w:val="none" w:sz="0" w:space="0" w:color="auto"/>
                        <w:bottom w:val="none" w:sz="0" w:space="0" w:color="auto"/>
                        <w:right w:val="none" w:sz="0" w:space="0" w:color="auto"/>
                      </w:divBdr>
                    </w:div>
                  </w:divsChild>
                </w:div>
                <w:div w:id="2046560802">
                  <w:marLeft w:val="0"/>
                  <w:marRight w:val="0"/>
                  <w:marTop w:val="0"/>
                  <w:marBottom w:val="0"/>
                  <w:divBdr>
                    <w:top w:val="none" w:sz="0" w:space="0" w:color="auto"/>
                    <w:left w:val="none" w:sz="0" w:space="0" w:color="auto"/>
                    <w:bottom w:val="none" w:sz="0" w:space="0" w:color="auto"/>
                    <w:right w:val="none" w:sz="0" w:space="0" w:color="auto"/>
                  </w:divBdr>
                  <w:divsChild>
                    <w:div w:id="13551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831155">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2408215">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79931573">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ffh.vic.gov.au/homelessness-operational-guidelines?auHash=5nNzNDof62h0sHeI0tswNvHkH-Pxh8NTgca07L1FcpA" TargetMode="External"/><Relationship Id="rId26" Type="http://schemas.openxmlformats.org/officeDocument/2006/relationships/hyperlink" Target="https://chp.org.au/sector-learning-and-development/shs-learning-program/" TargetMode="External"/><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hyperlink" Target="https://www.aihw.gov.au/about-our-data/our-data-collections/specialist-homelessness-services-collection/specialist-homelessness-information-platform"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g"/><Relationship Id="rId25" Type="http://schemas.openxmlformats.org/officeDocument/2006/relationships/hyperlink" Target="https://fac.dffh.vic.gov.au/homelessness-and-housing-support-guidelines-2025-0" TargetMode="External"/><Relationship Id="rId33" Type="http://schemas.openxmlformats.org/officeDocument/2006/relationships/hyperlink" Target="https://fac.dffh.vic.gov.au/service-delivery-tracking"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29" Type="http://schemas.openxmlformats.org/officeDocument/2006/relationships/hyperlink" Target="https://www.health.vic.gov.au/aod-treatment-services/needle-and-syringe-progra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legislation.vic.gov.au/in-force/acts/residential-tenancies-act-1997/110" TargetMode="External"/><Relationship Id="rId32" Type="http://schemas.openxmlformats.org/officeDocument/2006/relationships/hyperlink" Target="https://fac.dffh.vic.gov.au/homelessness-services-guidelines-and-conditions-funding" TargetMode="External"/><Relationship Id="rId37" Type="http://schemas.openxmlformats.org/officeDocument/2006/relationships/header" Target="header4.xml"/><Relationship Id="rId40"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legislation.vic.gov.au/in-force/acts/social-services-regulation-act-2021/003" TargetMode="External"/><Relationship Id="rId28" Type="http://schemas.openxmlformats.org/officeDocument/2006/relationships/hyperlink" Target="https://fac.dffh.vic.gov.au/homelessness-and-housing-support-guidelines-2025-0"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fac.dffh.vic.gov.au/aboriginal-private-rental-assistance-program-aprap-guidelines" TargetMode="External"/><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fac.dhhs.vic.gov.au/service-agreement-requirements" TargetMode="External"/><Relationship Id="rId27" Type="http://schemas.openxmlformats.org/officeDocument/2006/relationships/hyperlink" Target="mailto:HHS@homes.vic.gov.au" TargetMode="External"/><Relationship Id="rId30" Type="http://schemas.openxmlformats.org/officeDocument/2006/relationships/hyperlink" Target="https://fac.dffh.vic.gov.au/private-rental-assistance-program-guidelines" TargetMode="External"/><Relationship Id="rId35" Type="http://schemas.openxmlformats.org/officeDocument/2006/relationships/hyperlink" Target="https://providers.dffh.vic.gov.au/cims" TargetMode="External"/><Relationship Id="rId43"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BB49A8B-B1C1-4537-9472-52C180D2A141}">
    <t:Anchor>
      <t:Comment id="64001072"/>
    </t:Anchor>
    <t:History>
      <t:Event id="{812AB915-2C40-4E47-ABA8-4DDB0E0112A5}" time="2024-12-11T21:45:37.592Z">
        <t:Attribution userId="S::paula.robinson@homes.vic.gov.au::0e925d02-6d1e-4f46-8996-7fc3973ea292" userProvider="AD" userName="Paula Robinson (Homes Victoria)"/>
        <t:Anchor>
          <t:Comment id="1581550221"/>
        </t:Anchor>
        <t:Create/>
      </t:Event>
      <t:Event id="{79CBFFEA-D953-4617-8B92-687A8A1808FB}" time="2024-12-11T21:45:37.592Z">
        <t:Attribution userId="S::paula.robinson@homes.vic.gov.au::0e925d02-6d1e-4f46-8996-7fc3973ea292" userProvider="AD" userName="Paula Robinson (Homes Victoria)"/>
        <t:Anchor>
          <t:Comment id="1581550221"/>
        </t:Anchor>
        <t:Assign userId="S::Elaine.Fallshaw@homes.vic.gov.au::24d9b4a9-897f-4f35-a02a-f16049a5de83" userProvider="AD" userName="Elaine Fallshaw (Homes Victoria)"/>
      </t:Event>
      <t:Event id="{F26C3B00-F5A2-4E10-B20E-40CEB4422308}" time="2024-12-11T21:45:37.592Z">
        <t:Attribution userId="S::paula.robinson@homes.vic.gov.au::0e925d02-6d1e-4f46-8996-7fc3973ea292" userProvider="AD" userName="Paula Robinson (Homes Victoria)"/>
        <t:Anchor>
          <t:Comment id="1581550221"/>
        </t:Anchor>
        <t:SetTitle title="@Elaine Fallshaw (Homes Victoria) sorry that a lazy cut and past, fixed it."/>
      </t:Event>
    </t:History>
  </t:Task>
</t:Tasks>
</file>

<file path=word/theme/theme1.xml><?xml version="1.0" encoding="utf-8"?>
<a:theme xmlns:a="http://schemas.openxmlformats.org/drawingml/2006/main" name="Office Theme">
  <a:themeElements>
    <a:clrScheme name="Home Victoria v1">
      <a:dk1>
        <a:srgbClr val="032833"/>
      </a:dk1>
      <a:lt1>
        <a:sysClr val="window" lastClr="FFFFFF"/>
      </a:lt1>
      <a:dk2>
        <a:srgbClr val="032833"/>
      </a:dk2>
      <a:lt2>
        <a:srgbClr val="EFE5DC"/>
      </a:lt2>
      <a:accent1>
        <a:srgbClr val="0F8194"/>
      </a:accent1>
      <a:accent2>
        <a:srgbClr val="CCA1CB"/>
      </a:accent2>
      <a:accent3>
        <a:srgbClr val="F9B63C"/>
      </a:accent3>
      <a:accent4>
        <a:srgbClr val="DC6426"/>
      </a:accent4>
      <a:accent5>
        <a:srgbClr val="57C9EB"/>
      </a:accent5>
      <a:accent6>
        <a:srgbClr val="8761A9"/>
      </a:accent6>
      <a:hlink>
        <a:srgbClr val="00865C"/>
      </a:hlink>
      <a:folHlink>
        <a:srgbClr val="8761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4BDC0A6DC64C2D459475585E949EC7C2" ma:contentTypeVersion="45" ma:contentTypeDescription="" ma:contentTypeScope="" ma:versionID="66437e2779133341883ff46d78cff3c0">
  <xsd:schema xmlns:xsd="http://www.w3.org/2001/XMLSchema" xmlns:xs="http://www.w3.org/2001/XMLSchema" xmlns:p="http://schemas.microsoft.com/office/2006/metadata/properties" xmlns:ns2="59098f23-3ca6-4eec-8c4e-6f77ceae2d9e" xmlns:ns3="131e7afd-8cb4-4255-a884-cbcde2747e4c" xmlns:ns4="f564a0ab-7d10-463c-8b8b-579d03fbf2e1" xmlns:ns5="4e6cfa50-9814-4036-b2f8-54bb7ef1e7f8" xmlns:ns6="5ce0f2b5-5be5-4508-bce9-d7011ece0659" targetNamespace="http://schemas.microsoft.com/office/2006/metadata/properties" ma:root="true" ma:fieldsID="4f1b7474b33dfb1a1904ceab426e97b2" ns2:_="" ns3:_="" ns4:_="" ns5:_="" ns6:_="">
    <xsd:import namespace="59098f23-3ca6-4eec-8c4e-6f77ceae2d9e"/>
    <xsd:import namespace="131e7afd-8cb4-4255-a884-cbcde2747e4c"/>
    <xsd:import namespace="f564a0ab-7d10-463c-8b8b-579d03fbf2e1"/>
    <xsd:import namespace="4e6cfa50-9814-4036-b2f8-54bb7ef1e7f8"/>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Memoranda" minOccurs="0"/>
                <xsd:element ref="ns5:RecordStatus"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2:SharedWithUsers" minOccurs="0"/>
                <xsd:element ref="ns2:SharedWithDetails" minOccurs="0"/>
                <xsd:element ref="ns4:MediaServiceLocation" minOccurs="0"/>
                <xsd:element ref="ns6:TaxCatchAll" minOccurs="0"/>
                <xsd:element ref="ns4:MediaServiceMetadata" minOccurs="0"/>
                <xsd:element ref="ns4:MediaLengthInSeconds" minOccurs="0"/>
                <xsd:element ref="ns4:MediaServiceObjectDetectorVersions" minOccurs="0"/>
                <xsd:element ref="ns4:MediaServiceSearchProperties" minOccurs="0"/>
                <xsd:element ref="ns4:Validate_x0020_File_x0020_Name_x0020_Memoranda"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dexed="true" ma:internalName="CBSDueBy">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64a0ab-7d10-463c-8b8b-579d03fbf2e1" elementFormDefault="qualified">
    <xsd:import namespace="http://schemas.microsoft.com/office/2006/documentManagement/types"/>
    <xsd:import namespace="http://schemas.microsoft.com/office/infopath/2007/PartnerControls"/>
    <xsd:element name="Update_x0020_File_x0020_Name_x0020_Memoranda" ma:index="16" nillable="true" ma:displayName="Update File Name Memoranda" ma:internalName="Up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Validate_x0020_File_x0020_Name_x0020_Memoranda" ma:index="34" nillable="true" ma:displayName="Validate File Name Memoranda" ma:internalName="Vali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RequestID xmlns="131e7afd-8cb4-4255-a884-cbcde2747e4c" xsi:nil="true"/>
    <Update_x0020_File_x0020_Name_x0020_Memoranda xmlns="f564a0ab-7d10-463c-8b8b-579d03fbf2e1">
      <Url xsi:nil="true"/>
      <Description xsi:nil="true"/>
    </Update_x0020_File_x0020_Name_x0020_Memoranda>
    <CBSFileName xmlns="59098f23-3ca6-4eec-8c4e-6f77ceae2d9e">Attachment 1 - Crisis Supported Accommodation - Therapeutic Model (CSA-TM) Guidelines 2025</CBSFileName>
    <CBSDocType xmlns="59098f23-3ca6-4eec-8c4e-6f77ceae2d9e" xsi:nil="true"/>
    <RecordStatus xmlns="4e6cfa50-9814-4036-b2f8-54bb7ef1e7f8" xsi:nil="true"/>
    <CBSStatus xmlns="59098f23-3ca6-4eec-8c4e-6f77ceae2d9e">Finalised</CBSStatus>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Validate_x0020_File_x0020_Name_x0020_Memoranda xmlns="f564a0ab-7d10-463c-8b8b-579d03fbf2e1">
      <Url>https://dhhsvicgovau.sharepoint.com/sites/ourbriefings/_layouts/15/wrkstat.aspx?List=f564a0ab-7d10-463c-8b8b-579d03fbf2e1&amp;WorkflowInstanceName=de848ef2-735f-4a84-93e6-126a2043a37b</Url>
      <Description>busy</Description>
    </Validate_x0020_File_x0020_Name_x0020_Memoranda>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CDE51226-5A5B-4A38-91B9-2261CD89C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8f23-3ca6-4eec-8c4e-6f77ceae2d9e"/>
    <ds:schemaRef ds:uri="131e7afd-8cb4-4255-a884-cbcde2747e4c"/>
    <ds:schemaRef ds:uri="f564a0ab-7d10-463c-8b8b-579d03fbf2e1"/>
    <ds:schemaRef ds:uri="4e6cfa50-9814-4036-b2f8-54bb7ef1e7f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59098f23-3ca6-4eec-8c4e-6f77ceae2d9e"/>
    <ds:schemaRef ds:uri="http://schemas.openxmlformats.org/package/2006/metadata/core-properties"/>
    <ds:schemaRef ds:uri="http://purl.org/dc/elements/1.1/"/>
    <ds:schemaRef ds:uri="http://schemas.microsoft.com/office/2006/metadata/properties"/>
    <ds:schemaRef ds:uri="f564a0ab-7d10-463c-8b8b-579d03fbf2e1"/>
    <ds:schemaRef ds:uri="4e6cfa50-9814-4036-b2f8-54bb7ef1e7f8"/>
    <ds:schemaRef ds:uri="http://purl.org/dc/terms/"/>
    <ds:schemaRef ds:uri="http://schemas.microsoft.com/office/infopath/2007/PartnerControls"/>
    <ds:schemaRef ds:uri="5ce0f2b5-5be5-4508-bce9-d7011ece0659"/>
    <ds:schemaRef ds:uri="http://schemas.microsoft.com/office/2006/documentManagement/types"/>
    <ds:schemaRef ds:uri="131e7afd-8cb4-4255-a884-cbcde2747e4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5819</Words>
  <Characters>33170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Crisis Supported Accommodation - Therapeutic Model (CSA-TM) Guidelines 2025</vt:lpstr>
    </vt:vector>
  </TitlesOfParts>
  <Manager/>
  <Company>Homes Victoria, Victoria State Government</Company>
  <LinksUpToDate>false</LinksUpToDate>
  <CharactersWithSpaces>38912</CharactersWithSpaces>
  <SharedDoc>false</SharedDoc>
  <HyperlinkBase/>
  <HLinks>
    <vt:vector size="228" baseType="variant">
      <vt:variant>
        <vt:i4>7536753</vt:i4>
      </vt:variant>
      <vt:variant>
        <vt:i4>171</vt:i4>
      </vt:variant>
      <vt:variant>
        <vt:i4>0</vt:i4>
      </vt:variant>
      <vt:variant>
        <vt:i4>5</vt:i4>
      </vt:variant>
      <vt:variant>
        <vt:lpwstr>https://providers.dffh.vic.gov.au/cims</vt:lpwstr>
      </vt:variant>
      <vt:variant>
        <vt:lpwstr/>
      </vt:variant>
      <vt:variant>
        <vt:i4>1966088</vt:i4>
      </vt:variant>
      <vt:variant>
        <vt:i4>168</vt:i4>
      </vt:variant>
      <vt:variant>
        <vt:i4>0</vt:i4>
      </vt:variant>
      <vt:variant>
        <vt:i4>5</vt:i4>
      </vt:variant>
      <vt:variant>
        <vt:lpwstr>https://www.aihw.gov.au/about-our-data/our-data-collections/specialist-homelessness-services-collection/specialist-homelessness-information-platform</vt:lpwstr>
      </vt:variant>
      <vt:variant>
        <vt:lpwstr/>
      </vt:variant>
      <vt:variant>
        <vt:i4>4653134</vt:i4>
      </vt:variant>
      <vt:variant>
        <vt:i4>165</vt:i4>
      </vt:variant>
      <vt:variant>
        <vt:i4>0</vt:i4>
      </vt:variant>
      <vt:variant>
        <vt:i4>5</vt:i4>
      </vt:variant>
      <vt:variant>
        <vt:lpwstr>https://fac.dffh.vic.gov.au/service-delivery-tracking</vt:lpwstr>
      </vt:variant>
      <vt:variant>
        <vt:lpwstr/>
      </vt:variant>
      <vt:variant>
        <vt:i4>2949151</vt:i4>
      </vt:variant>
      <vt:variant>
        <vt:i4>162</vt:i4>
      </vt:variant>
      <vt:variant>
        <vt:i4>0</vt:i4>
      </vt:variant>
      <vt:variant>
        <vt:i4>5</vt:i4>
      </vt:variant>
      <vt:variant>
        <vt:lpwstr/>
      </vt:variant>
      <vt:variant>
        <vt:lpwstr>_Data_collection_and</vt:lpwstr>
      </vt:variant>
      <vt:variant>
        <vt:i4>2949151</vt:i4>
      </vt:variant>
      <vt:variant>
        <vt:i4>159</vt:i4>
      </vt:variant>
      <vt:variant>
        <vt:i4>0</vt:i4>
      </vt:variant>
      <vt:variant>
        <vt:i4>5</vt:i4>
      </vt:variant>
      <vt:variant>
        <vt:lpwstr/>
      </vt:variant>
      <vt:variant>
        <vt:lpwstr>_Data_collection_and</vt:lpwstr>
      </vt:variant>
      <vt:variant>
        <vt:i4>2949151</vt:i4>
      </vt:variant>
      <vt:variant>
        <vt:i4>156</vt:i4>
      </vt:variant>
      <vt:variant>
        <vt:i4>0</vt:i4>
      </vt:variant>
      <vt:variant>
        <vt:i4>5</vt:i4>
      </vt:variant>
      <vt:variant>
        <vt:lpwstr/>
      </vt:variant>
      <vt:variant>
        <vt:lpwstr>_Data_collection_and</vt:lpwstr>
      </vt:variant>
      <vt:variant>
        <vt:i4>2949151</vt:i4>
      </vt:variant>
      <vt:variant>
        <vt:i4>153</vt:i4>
      </vt:variant>
      <vt:variant>
        <vt:i4>0</vt:i4>
      </vt:variant>
      <vt:variant>
        <vt:i4>5</vt:i4>
      </vt:variant>
      <vt:variant>
        <vt:lpwstr/>
      </vt:variant>
      <vt:variant>
        <vt:lpwstr>_Data_collection_and</vt:lpwstr>
      </vt:variant>
      <vt:variant>
        <vt:i4>6553656</vt:i4>
      </vt:variant>
      <vt:variant>
        <vt:i4>150</vt:i4>
      </vt:variant>
      <vt:variant>
        <vt:i4>0</vt:i4>
      </vt:variant>
      <vt:variant>
        <vt:i4>5</vt:i4>
      </vt:variant>
      <vt:variant>
        <vt:lpwstr>https://fac.dffh.vic.gov.au/homelessness-services-guidelines-and-conditions-funding</vt:lpwstr>
      </vt:variant>
      <vt:variant>
        <vt:lpwstr/>
      </vt:variant>
      <vt:variant>
        <vt:i4>4390976</vt:i4>
      </vt:variant>
      <vt:variant>
        <vt:i4>147</vt:i4>
      </vt:variant>
      <vt:variant>
        <vt:i4>0</vt:i4>
      </vt:variant>
      <vt:variant>
        <vt:i4>5</vt:i4>
      </vt:variant>
      <vt:variant>
        <vt:lpwstr>https://fac.dffh.vic.gov.au/aboriginal-private-rental-assistance-program-aprap-guidelines</vt:lpwstr>
      </vt:variant>
      <vt:variant>
        <vt:lpwstr/>
      </vt:variant>
      <vt:variant>
        <vt:i4>5046357</vt:i4>
      </vt:variant>
      <vt:variant>
        <vt:i4>144</vt:i4>
      </vt:variant>
      <vt:variant>
        <vt:i4>0</vt:i4>
      </vt:variant>
      <vt:variant>
        <vt:i4>5</vt:i4>
      </vt:variant>
      <vt:variant>
        <vt:lpwstr>https://fac.dffh.vic.gov.au/private-rental-assistance-program-guidelines</vt:lpwstr>
      </vt:variant>
      <vt:variant>
        <vt:lpwstr/>
      </vt:variant>
      <vt:variant>
        <vt:i4>3670069</vt:i4>
      </vt:variant>
      <vt:variant>
        <vt:i4>141</vt:i4>
      </vt:variant>
      <vt:variant>
        <vt:i4>0</vt:i4>
      </vt:variant>
      <vt:variant>
        <vt:i4>5</vt:i4>
      </vt:variant>
      <vt:variant>
        <vt:lpwstr>https://www.health.vic.gov.au/aod-treatment-services/needle-and-syringe-program</vt:lpwstr>
      </vt:variant>
      <vt:variant>
        <vt:lpwstr/>
      </vt:variant>
      <vt:variant>
        <vt:i4>6357051</vt:i4>
      </vt:variant>
      <vt:variant>
        <vt:i4>138</vt:i4>
      </vt:variant>
      <vt:variant>
        <vt:i4>0</vt:i4>
      </vt:variant>
      <vt:variant>
        <vt:i4>5</vt:i4>
      </vt:variant>
      <vt:variant>
        <vt:lpwstr>https://fac.dffh.vic.gov.au/homelessness-and-housing-support-guidelines-2025-0</vt:lpwstr>
      </vt:variant>
      <vt:variant>
        <vt:lpwstr/>
      </vt:variant>
      <vt:variant>
        <vt:i4>3866684</vt:i4>
      </vt:variant>
      <vt:variant>
        <vt:i4>135</vt:i4>
      </vt:variant>
      <vt:variant>
        <vt:i4>0</vt:i4>
      </vt:variant>
      <vt:variant>
        <vt:i4>5</vt:i4>
      </vt:variant>
      <vt:variant>
        <vt:lpwstr/>
      </vt:variant>
      <vt:variant>
        <vt:lpwstr>_Case_management</vt:lpwstr>
      </vt:variant>
      <vt:variant>
        <vt:i4>6357051</vt:i4>
      </vt:variant>
      <vt:variant>
        <vt:i4>132</vt:i4>
      </vt:variant>
      <vt:variant>
        <vt:i4>0</vt:i4>
      </vt:variant>
      <vt:variant>
        <vt:i4>5</vt:i4>
      </vt:variant>
      <vt:variant>
        <vt:lpwstr>https://fac.dffh.vic.gov.au/homelessness-and-housing-support-guidelines-2025-0</vt:lpwstr>
      </vt:variant>
      <vt:variant>
        <vt:lpwstr/>
      </vt:variant>
      <vt:variant>
        <vt:i4>6357051</vt:i4>
      </vt:variant>
      <vt:variant>
        <vt:i4>129</vt:i4>
      </vt:variant>
      <vt:variant>
        <vt:i4>0</vt:i4>
      </vt:variant>
      <vt:variant>
        <vt:i4>5</vt:i4>
      </vt:variant>
      <vt:variant>
        <vt:lpwstr>https://fac.dffh.vic.gov.au/homelessness-and-housing-support-guidelines-2025-0</vt:lpwstr>
      </vt:variant>
      <vt:variant>
        <vt:lpwstr/>
      </vt:variant>
      <vt:variant>
        <vt:i4>7995454</vt:i4>
      </vt:variant>
      <vt:variant>
        <vt:i4>126</vt:i4>
      </vt:variant>
      <vt:variant>
        <vt:i4>0</vt:i4>
      </vt:variant>
      <vt:variant>
        <vt:i4>5</vt:i4>
      </vt:variant>
      <vt:variant>
        <vt:lpwstr>https://www.legislation.vic.gov.au/in-force/acts/residential-tenancies-act-1997/110</vt:lpwstr>
      </vt:variant>
      <vt:variant>
        <vt:lpwstr/>
      </vt:variant>
      <vt:variant>
        <vt:i4>4521991</vt:i4>
      </vt:variant>
      <vt:variant>
        <vt:i4>123</vt:i4>
      </vt:variant>
      <vt:variant>
        <vt:i4>0</vt:i4>
      </vt:variant>
      <vt:variant>
        <vt:i4>5</vt:i4>
      </vt:variant>
      <vt:variant>
        <vt:lpwstr>https://www.legislation.vic.gov.au/in-force/acts/social-services-regulation-act-2021/003</vt:lpwstr>
      </vt:variant>
      <vt:variant>
        <vt:lpwstr/>
      </vt:variant>
      <vt:variant>
        <vt:i4>7077984</vt:i4>
      </vt:variant>
      <vt:variant>
        <vt:i4>120</vt:i4>
      </vt:variant>
      <vt:variant>
        <vt:i4>0</vt:i4>
      </vt:variant>
      <vt:variant>
        <vt:i4>5</vt:i4>
      </vt:variant>
      <vt:variant>
        <vt:lpwstr>https://fac.dhhs.vic.gov.au/service-agreement-requirements</vt:lpwstr>
      </vt:variant>
      <vt:variant>
        <vt:lpwstr/>
      </vt:variant>
      <vt:variant>
        <vt:i4>3276869</vt:i4>
      </vt:variant>
      <vt:variant>
        <vt:i4>117</vt:i4>
      </vt:variant>
      <vt:variant>
        <vt:i4>0</vt:i4>
      </vt:variant>
      <vt:variant>
        <vt:i4>5</vt:i4>
      </vt:variant>
      <vt:variant>
        <vt:lpwstr/>
      </vt:variant>
      <vt:variant>
        <vt:lpwstr>_The_CSA-TM_role</vt:lpwstr>
      </vt:variant>
      <vt:variant>
        <vt:i4>1376317</vt:i4>
      </vt:variant>
      <vt:variant>
        <vt:i4>110</vt:i4>
      </vt:variant>
      <vt:variant>
        <vt:i4>0</vt:i4>
      </vt:variant>
      <vt:variant>
        <vt:i4>5</vt:i4>
      </vt:variant>
      <vt:variant>
        <vt:lpwstr/>
      </vt:variant>
      <vt:variant>
        <vt:lpwstr>_Toc212646936</vt:lpwstr>
      </vt:variant>
      <vt:variant>
        <vt:i4>1376317</vt:i4>
      </vt:variant>
      <vt:variant>
        <vt:i4>104</vt:i4>
      </vt:variant>
      <vt:variant>
        <vt:i4>0</vt:i4>
      </vt:variant>
      <vt:variant>
        <vt:i4>5</vt:i4>
      </vt:variant>
      <vt:variant>
        <vt:lpwstr/>
      </vt:variant>
      <vt:variant>
        <vt:lpwstr>_Toc212646935</vt:lpwstr>
      </vt:variant>
      <vt:variant>
        <vt:i4>1376317</vt:i4>
      </vt:variant>
      <vt:variant>
        <vt:i4>98</vt:i4>
      </vt:variant>
      <vt:variant>
        <vt:i4>0</vt:i4>
      </vt:variant>
      <vt:variant>
        <vt:i4>5</vt:i4>
      </vt:variant>
      <vt:variant>
        <vt:lpwstr/>
      </vt:variant>
      <vt:variant>
        <vt:lpwstr>_Toc212646934</vt:lpwstr>
      </vt:variant>
      <vt:variant>
        <vt:i4>1376317</vt:i4>
      </vt:variant>
      <vt:variant>
        <vt:i4>92</vt:i4>
      </vt:variant>
      <vt:variant>
        <vt:i4>0</vt:i4>
      </vt:variant>
      <vt:variant>
        <vt:i4>5</vt:i4>
      </vt:variant>
      <vt:variant>
        <vt:lpwstr/>
      </vt:variant>
      <vt:variant>
        <vt:lpwstr>_Toc212646933</vt:lpwstr>
      </vt:variant>
      <vt:variant>
        <vt:i4>1376317</vt:i4>
      </vt:variant>
      <vt:variant>
        <vt:i4>86</vt:i4>
      </vt:variant>
      <vt:variant>
        <vt:i4>0</vt:i4>
      </vt:variant>
      <vt:variant>
        <vt:i4>5</vt:i4>
      </vt:variant>
      <vt:variant>
        <vt:lpwstr/>
      </vt:variant>
      <vt:variant>
        <vt:lpwstr>_Toc212646932</vt:lpwstr>
      </vt:variant>
      <vt:variant>
        <vt:i4>1310781</vt:i4>
      </vt:variant>
      <vt:variant>
        <vt:i4>80</vt:i4>
      </vt:variant>
      <vt:variant>
        <vt:i4>0</vt:i4>
      </vt:variant>
      <vt:variant>
        <vt:i4>5</vt:i4>
      </vt:variant>
      <vt:variant>
        <vt:lpwstr/>
      </vt:variant>
      <vt:variant>
        <vt:lpwstr>_Toc212646927</vt:lpwstr>
      </vt:variant>
      <vt:variant>
        <vt:i4>1310781</vt:i4>
      </vt:variant>
      <vt:variant>
        <vt:i4>74</vt:i4>
      </vt:variant>
      <vt:variant>
        <vt:i4>0</vt:i4>
      </vt:variant>
      <vt:variant>
        <vt:i4>5</vt:i4>
      </vt:variant>
      <vt:variant>
        <vt:lpwstr/>
      </vt:variant>
      <vt:variant>
        <vt:lpwstr>_Toc212646926</vt:lpwstr>
      </vt:variant>
      <vt:variant>
        <vt:i4>1310781</vt:i4>
      </vt:variant>
      <vt:variant>
        <vt:i4>68</vt:i4>
      </vt:variant>
      <vt:variant>
        <vt:i4>0</vt:i4>
      </vt:variant>
      <vt:variant>
        <vt:i4>5</vt:i4>
      </vt:variant>
      <vt:variant>
        <vt:lpwstr/>
      </vt:variant>
      <vt:variant>
        <vt:lpwstr>_Toc212646925</vt:lpwstr>
      </vt:variant>
      <vt:variant>
        <vt:i4>1310781</vt:i4>
      </vt:variant>
      <vt:variant>
        <vt:i4>62</vt:i4>
      </vt:variant>
      <vt:variant>
        <vt:i4>0</vt:i4>
      </vt:variant>
      <vt:variant>
        <vt:i4>5</vt:i4>
      </vt:variant>
      <vt:variant>
        <vt:lpwstr/>
      </vt:variant>
      <vt:variant>
        <vt:lpwstr>_Toc212646924</vt:lpwstr>
      </vt:variant>
      <vt:variant>
        <vt:i4>1310781</vt:i4>
      </vt:variant>
      <vt:variant>
        <vt:i4>56</vt:i4>
      </vt:variant>
      <vt:variant>
        <vt:i4>0</vt:i4>
      </vt:variant>
      <vt:variant>
        <vt:i4>5</vt:i4>
      </vt:variant>
      <vt:variant>
        <vt:lpwstr/>
      </vt:variant>
      <vt:variant>
        <vt:lpwstr>_Toc212646923</vt:lpwstr>
      </vt:variant>
      <vt:variant>
        <vt:i4>1310781</vt:i4>
      </vt:variant>
      <vt:variant>
        <vt:i4>50</vt:i4>
      </vt:variant>
      <vt:variant>
        <vt:i4>0</vt:i4>
      </vt:variant>
      <vt:variant>
        <vt:i4>5</vt:i4>
      </vt:variant>
      <vt:variant>
        <vt:lpwstr/>
      </vt:variant>
      <vt:variant>
        <vt:lpwstr>_Toc212646921</vt:lpwstr>
      </vt:variant>
      <vt:variant>
        <vt:i4>1310781</vt:i4>
      </vt:variant>
      <vt:variant>
        <vt:i4>44</vt:i4>
      </vt:variant>
      <vt:variant>
        <vt:i4>0</vt:i4>
      </vt:variant>
      <vt:variant>
        <vt:i4>5</vt:i4>
      </vt:variant>
      <vt:variant>
        <vt:lpwstr/>
      </vt:variant>
      <vt:variant>
        <vt:lpwstr>_Toc212646920</vt:lpwstr>
      </vt:variant>
      <vt:variant>
        <vt:i4>1507389</vt:i4>
      </vt:variant>
      <vt:variant>
        <vt:i4>38</vt:i4>
      </vt:variant>
      <vt:variant>
        <vt:i4>0</vt:i4>
      </vt:variant>
      <vt:variant>
        <vt:i4>5</vt:i4>
      </vt:variant>
      <vt:variant>
        <vt:lpwstr/>
      </vt:variant>
      <vt:variant>
        <vt:lpwstr>_Toc212646918</vt:lpwstr>
      </vt:variant>
      <vt:variant>
        <vt:i4>1507389</vt:i4>
      </vt:variant>
      <vt:variant>
        <vt:i4>32</vt:i4>
      </vt:variant>
      <vt:variant>
        <vt:i4>0</vt:i4>
      </vt:variant>
      <vt:variant>
        <vt:i4>5</vt:i4>
      </vt:variant>
      <vt:variant>
        <vt:lpwstr/>
      </vt:variant>
      <vt:variant>
        <vt:lpwstr>_Toc212646917</vt:lpwstr>
      </vt:variant>
      <vt:variant>
        <vt:i4>1507389</vt:i4>
      </vt:variant>
      <vt:variant>
        <vt:i4>26</vt:i4>
      </vt:variant>
      <vt:variant>
        <vt:i4>0</vt:i4>
      </vt:variant>
      <vt:variant>
        <vt:i4>5</vt:i4>
      </vt:variant>
      <vt:variant>
        <vt:lpwstr/>
      </vt:variant>
      <vt:variant>
        <vt:lpwstr>_Toc212646916</vt:lpwstr>
      </vt:variant>
      <vt:variant>
        <vt:i4>1507389</vt:i4>
      </vt:variant>
      <vt:variant>
        <vt:i4>20</vt:i4>
      </vt:variant>
      <vt:variant>
        <vt:i4>0</vt:i4>
      </vt:variant>
      <vt:variant>
        <vt:i4>5</vt:i4>
      </vt:variant>
      <vt:variant>
        <vt:lpwstr/>
      </vt:variant>
      <vt:variant>
        <vt:lpwstr>_Toc212646915</vt:lpwstr>
      </vt:variant>
      <vt:variant>
        <vt:i4>1507389</vt:i4>
      </vt:variant>
      <vt:variant>
        <vt:i4>14</vt:i4>
      </vt:variant>
      <vt:variant>
        <vt:i4>0</vt:i4>
      </vt:variant>
      <vt:variant>
        <vt:i4>5</vt:i4>
      </vt:variant>
      <vt:variant>
        <vt:lpwstr/>
      </vt:variant>
      <vt:variant>
        <vt:lpwstr>_Toc212646914</vt:lpwstr>
      </vt:variant>
      <vt:variant>
        <vt:i4>1507389</vt:i4>
      </vt:variant>
      <vt:variant>
        <vt:i4>8</vt:i4>
      </vt:variant>
      <vt:variant>
        <vt:i4>0</vt:i4>
      </vt:variant>
      <vt:variant>
        <vt:i4>5</vt:i4>
      </vt:variant>
      <vt:variant>
        <vt:lpwstr/>
      </vt:variant>
      <vt:variant>
        <vt:lpwstr>_Toc212646913</vt:lpwstr>
      </vt:variant>
      <vt:variant>
        <vt:i4>6881404</vt:i4>
      </vt:variant>
      <vt:variant>
        <vt:i4>3</vt:i4>
      </vt:variant>
      <vt:variant>
        <vt:i4>0</vt:i4>
      </vt:variant>
      <vt:variant>
        <vt:i4>5</vt:i4>
      </vt:variant>
      <vt:variant>
        <vt:lpwstr>https://www.dffh.vic.gov.au/homelessness-operational-guidelines?auHash=5nNzNDof62h0sHeI0tswNvHkH-Pxh8NTgca07L1FcpA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Crisis Supported Accommodation - Therapeutic Model (CSA-TM) Guidelines 2025</dc:title>
  <dc:subject>Crisis Supported Accommodation - Therapeutic Model (CSA-TM) Guidelines 2025</dc:subject>
  <dc:creator>Paula Robinson (Homes Victoria)</dc:creator>
  <cp:keywords>Homes Victoria; CSA-TM; homelessness services</cp:keywords>
  <dc:description/>
  <cp:lastModifiedBy>Maria Tsekouras (DFFH)</cp:lastModifiedBy>
  <cp:revision>2</cp:revision>
  <cp:lastPrinted>2021-02-07T17:27:00Z</cp:lastPrinted>
  <dcterms:created xsi:type="dcterms:W3CDTF">2025-12-05T02:36:00Z</dcterms:created>
  <dcterms:modified xsi:type="dcterms:W3CDTF">2025-12-05T02:36:00Z</dcterms:modified>
  <cp:category>Homes Victoria Construction Report Portrait</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0x010100A5FD4705EF695745935DCFF362D96FD9004BDC0A6DC64C2D459475585E949EC7C2</vt:lpwstr>
  </property>
  <property fmtid="{D5CDD505-2E9C-101B-9397-08002B2CF9AE}" pid="4" name="version">
    <vt:lpwstr>2022v1 15032022 sbv1 11072022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2022-02-28T01:49:00Z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_MarkAsFinal">
    <vt:bool>true</vt:bool>
  </property>
</Properties>
</file>