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729D4E6E" w:rsidR="00056EC4" w:rsidRDefault="00B27966" w:rsidP="00056EC4">
      <w:pPr>
        <w:pStyle w:val="Body"/>
      </w:pPr>
      <w:r>
        <w:rPr>
          <w:noProof/>
        </w:rPr>
        <w:drawing>
          <wp:anchor distT="0" distB="0" distL="114300" distR="114300" simplePos="0" relativeHeight="251658240" behindDoc="1" locked="1" layoutInCell="1" allowOverlap="1" wp14:anchorId="7AAD06B5" wp14:editId="60315207">
            <wp:simplePos x="0" y="0"/>
            <wp:positionH relativeFrom="page">
              <wp:align>left</wp:align>
            </wp:positionH>
            <wp:positionV relativeFrom="page">
              <wp:align>top</wp:align>
            </wp:positionV>
            <wp:extent cx="7559675" cy="10691495"/>
            <wp:effectExtent l="0" t="0" r="3175" b="0"/>
            <wp:wrapNone/>
            <wp:docPr id="2" name="Picture 2" descr="Funded agency channel,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nded agency channel, Victoria State Gover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326853">
        <w:tc>
          <w:tcPr>
            <w:tcW w:w="0" w:type="auto"/>
          </w:tcPr>
          <w:p w14:paraId="30E6956D" w14:textId="014CF109" w:rsidR="00AD784C" w:rsidRPr="00431F42" w:rsidRDefault="00871C88" w:rsidP="00431F42">
            <w:pPr>
              <w:pStyle w:val="Documenttitle"/>
            </w:pPr>
            <w:bookmarkStart w:id="0" w:name="_Hlk71902457"/>
            <w:r>
              <w:t>Service Agreement</w:t>
            </w:r>
            <w:r w:rsidR="48A92D81">
              <w:t xml:space="preserve"> </w:t>
            </w:r>
            <w:r w:rsidR="1B7B1127">
              <w:t>R</w:t>
            </w:r>
            <w:r w:rsidR="48A92D81">
              <w:t>equirements</w:t>
            </w:r>
            <w:bookmarkEnd w:id="0"/>
          </w:p>
        </w:tc>
      </w:tr>
      <w:tr w:rsidR="00AD784C" w14:paraId="246F9CB0" w14:textId="77777777" w:rsidTr="00326853">
        <w:tc>
          <w:tcPr>
            <w:tcW w:w="0" w:type="auto"/>
          </w:tcPr>
          <w:p w14:paraId="14EEB3AC" w14:textId="0EA4AAE9" w:rsidR="00036059" w:rsidRPr="00A1389F" w:rsidRDefault="00165C1E" w:rsidP="009315BE">
            <w:pPr>
              <w:pStyle w:val="Documentsubtitle"/>
            </w:pPr>
            <w:r>
              <w:br/>
            </w:r>
          </w:p>
        </w:tc>
      </w:tr>
      <w:tr w:rsidR="00430393" w14:paraId="2AE57792" w14:textId="77777777" w:rsidTr="00326853">
        <w:tc>
          <w:tcPr>
            <w:tcW w:w="0" w:type="auto"/>
          </w:tcPr>
          <w:p w14:paraId="3506B76D" w14:textId="77777777" w:rsidR="00430393" w:rsidRDefault="001A6272" w:rsidP="00430393">
            <w:pPr>
              <w:pStyle w:val="Bannermarking"/>
            </w:pPr>
            <w:fldSimple w:instr="FILLIN  &quot;Type the protective marking&quot; \d OFFICIAL \o  \* MERGEFORMAT">
              <w:r>
                <w:t>OFFICIAL</w:t>
              </w:r>
            </w:fldSimple>
          </w:p>
          <w:p w14:paraId="0B06EF9C" w14:textId="77777777" w:rsidR="00FD3756" w:rsidRDefault="00FD3756" w:rsidP="00430393">
            <w:pPr>
              <w:pStyle w:val="Bannermarking"/>
            </w:pPr>
          </w:p>
          <w:p w14:paraId="68DABF30" w14:textId="61AA7B67" w:rsidR="00FD3756" w:rsidRPr="00FD3756" w:rsidRDefault="00FD3756" w:rsidP="00430393">
            <w:pPr>
              <w:pStyle w:val="Bannermarking"/>
              <w:rPr>
                <w:sz w:val="24"/>
                <w:szCs w:val="24"/>
              </w:rPr>
            </w:pP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543E628E" w14:textId="7BA830D7" w:rsidR="00C1517B" w:rsidRPr="00B57329" w:rsidRDefault="00C1517B" w:rsidP="00136DD1">
      <w:pPr>
        <w:pStyle w:val="Heading1"/>
      </w:pPr>
      <w:bookmarkStart w:id="1" w:name="_Toc209175170"/>
      <w:r w:rsidRPr="00B57329">
        <w:lastRenderedPageBreak/>
        <w:t>Contents</w:t>
      </w:r>
      <w:bookmarkEnd w:id="1"/>
    </w:p>
    <w:p w14:paraId="44B8A648" w14:textId="01E3CDA5" w:rsidR="00AC564A" w:rsidRDefault="003D0BF5">
      <w:pPr>
        <w:pStyle w:val="TOC1"/>
        <w:rPr>
          <w:rFonts w:asciiTheme="minorHAnsi" w:eastAsiaTheme="minorEastAsia" w:hAnsiTheme="minorHAnsi" w:cstheme="minorBidi"/>
          <w:b w:val="0"/>
          <w:kern w:val="2"/>
          <w:sz w:val="24"/>
          <w:szCs w:val="24"/>
          <w:lang w:eastAsia="en-AU"/>
          <w14:ligatures w14:val="standardContextual"/>
        </w:rPr>
      </w:pPr>
      <w:r w:rsidRPr="007F626C">
        <w:fldChar w:fldCharType="begin"/>
      </w:r>
      <w:r w:rsidRPr="007F626C">
        <w:instrText xml:space="preserve"> TOC \o "1-3" \h \z \u </w:instrText>
      </w:r>
      <w:r w:rsidRPr="007F626C">
        <w:fldChar w:fldCharType="separate"/>
      </w:r>
      <w:hyperlink w:anchor="_Toc209175170" w:history="1">
        <w:r w:rsidR="00AC564A" w:rsidRPr="004850BE">
          <w:rPr>
            <w:rStyle w:val="Hyperlink"/>
          </w:rPr>
          <w:t>Contents</w:t>
        </w:r>
        <w:r w:rsidR="00AC564A">
          <w:rPr>
            <w:webHidden/>
          </w:rPr>
          <w:tab/>
        </w:r>
        <w:r w:rsidR="00AC564A">
          <w:rPr>
            <w:webHidden/>
          </w:rPr>
          <w:fldChar w:fldCharType="begin"/>
        </w:r>
        <w:r w:rsidR="00AC564A">
          <w:rPr>
            <w:webHidden/>
          </w:rPr>
          <w:instrText xml:space="preserve"> PAGEREF _Toc209175170 \h </w:instrText>
        </w:r>
        <w:r w:rsidR="00AC564A">
          <w:rPr>
            <w:webHidden/>
          </w:rPr>
        </w:r>
        <w:r w:rsidR="00AC564A">
          <w:rPr>
            <w:webHidden/>
          </w:rPr>
          <w:fldChar w:fldCharType="separate"/>
        </w:r>
        <w:r w:rsidR="009F3740">
          <w:rPr>
            <w:webHidden/>
          </w:rPr>
          <w:t>2</w:t>
        </w:r>
        <w:r w:rsidR="00AC564A">
          <w:rPr>
            <w:webHidden/>
          </w:rPr>
          <w:fldChar w:fldCharType="end"/>
        </w:r>
      </w:hyperlink>
    </w:p>
    <w:p w14:paraId="7ACFE4F4" w14:textId="2265E907" w:rsidR="00AC564A" w:rsidRDefault="00AC564A">
      <w:pPr>
        <w:pStyle w:val="TOC1"/>
        <w:rPr>
          <w:rFonts w:asciiTheme="minorHAnsi" w:eastAsiaTheme="minorEastAsia" w:hAnsiTheme="minorHAnsi" w:cstheme="minorBidi"/>
          <w:b w:val="0"/>
          <w:kern w:val="2"/>
          <w:sz w:val="24"/>
          <w:szCs w:val="24"/>
          <w:lang w:eastAsia="en-AU"/>
          <w14:ligatures w14:val="standardContextual"/>
        </w:rPr>
      </w:pPr>
      <w:hyperlink w:anchor="_Toc209175171" w:history="1">
        <w:r w:rsidRPr="004850BE">
          <w:rPr>
            <w:rStyle w:val="Hyperlink"/>
          </w:rPr>
          <w:t>Introduction</w:t>
        </w:r>
        <w:r>
          <w:rPr>
            <w:webHidden/>
          </w:rPr>
          <w:tab/>
        </w:r>
        <w:r>
          <w:rPr>
            <w:webHidden/>
          </w:rPr>
          <w:fldChar w:fldCharType="begin"/>
        </w:r>
        <w:r>
          <w:rPr>
            <w:webHidden/>
          </w:rPr>
          <w:instrText xml:space="preserve"> PAGEREF _Toc209175171 \h </w:instrText>
        </w:r>
        <w:r>
          <w:rPr>
            <w:webHidden/>
          </w:rPr>
        </w:r>
        <w:r>
          <w:rPr>
            <w:webHidden/>
          </w:rPr>
          <w:fldChar w:fldCharType="separate"/>
        </w:r>
        <w:r w:rsidR="009F3740">
          <w:rPr>
            <w:webHidden/>
          </w:rPr>
          <w:t>3</w:t>
        </w:r>
        <w:r>
          <w:rPr>
            <w:webHidden/>
          </w:rPr>
          <w:fldChar w:fldCharType="end"/>
        </w:r>
      </w:hyperlink>
    </w:p>
    <w:p w14:paraId="148F6BD0" w14:textId="0FC3406C" w:rsidR="00AC564A" w:rsidRDefault="00AC564A">
      <w:pPr>
        <w:pStyle w:val="TOC1"/>
        <w:rPr>
          <w:rFonts w:asciiTheme="minorHAnsi" w:eastAsiaTheme="minorEastAsia" w:hAnsiTheme="minorHAnsi" w:cstheme="minorBidi"/>
          <w:b w:val="0"/>
          <w:kern w:val="2"/>
          <w:sz w:val="24"/>
          <w:szCs w:val="24"/>
          <w:lang w:eastAsia="en-AU"/>
          <w14:ligatures w14:val="standardContextual"/>
        </w:rPr>
      </w:pPr>
      <w:hyperlink w:anchor="_Toc209175172" w:history="1">
        <w:r w:rsidRPr="004850BE">
          <w:rPr>
            <w:rStyle w:val="Hyperlink"/>
          </w:rPr>
          <w:t>Statement of expectations</w:t>
        </w:r>
        <w:r>
          <w:rPr>
            <w:webHidden/>
          </w:rPr>
          <w:tab/>
        </w:r>
        <w:r>
          <w:rPr>
            <w:webHidden/>
          </w:rPr>
          <w:fldChar w:fldCharType="begin"/>
        </w:r>
        <w:r>
          <w:rPr>
            <w:webHidden/>
          </w:rPr>
          <w:instrText xml:space="preserve"> PAGEREF _Toc209175172 \h </w:instrText>
        </w:r>
        <w:r>
          <w:rPr>
            <w:webHidden/>
          </w:rPr>
        </w:r>
        <w:r>
          <w:rPr>
            <w:webHidden/>
          </w:rPr>
          <w:fldChar w:fldCharType="separate"/>
        </w:r>
        <w:r w:rsidR="009F3740">
          <w:rPr>
            <w:webHidden/>
          </w:rPr>
          <w:t>3</w:t>
        </w:r>
        <w:r>
          <w:rPr>
            <w:webHidden/>
          </w:rPr>
          <w:fldChar w:fldCharType="end"/>
        </w:r>
      </w:hyperlink>
    </w:p>
    <w:p w14:paraId="5D27D81D" w14:textId="064C1FF2" w:rsidR="00AC564A" w:rsidRDefault="00AC564A">
      <w:pPr>
        <w:pStyle w:val="TOC2"/>
        <w:rPr>
          <w:rFonts w:asciiTheme="minorHAnsi" w:eastAsiaTheme="minorEastAsia" w:hAnsiTheme="minorHAnsi" w:cstheme="minorBidi"/>
          <w:kern w:val="2"/>
          <w:sz w:val="24"/>
          <w:szCs w:val="24"/>
          <w:lang w:eastAsia="en-AU"/>
          <w14:ligatures w14:val="standardContextual"/>
        </w:rPr>
      </w:pPr>
      <w:hyperlink w:anchor="_Toc209175173" w:history="1">
        <w:r w:rsidRPr="004850BE">
          <w:rPr>
            <w:rStyle w:val="Hyperlink"/>
            <w:bCs/>
          </w:rPr>
          <w:t>The departments’ approach</w:t>
        </w:r>
        <w:r>
          <w:rPr>
            <w:webHidden/>
          </w:rPr>
          <w:tab/>
        </w:r>
        <w:r>
          <w:rPr>
            <w:webHidden/>
          </w:rPr>
          <w:fldChar w:fldCharType="begin"/>
        </w:r>
        <w:r>
          <w:rPr>
            <w:webHidden/>
          </w:rPr>
          <w:instrText xml:space="preserve"> PAGEREF _Toc209175173 \h </w:instrText>
        </w:r>
        <w:r>
          <w:rPr>
            <w:webHidden/>
          </w:rPr>
        </w:r>
        <w:r>
          <w:rPr>
            <w:webHidden/>
          </w:rPr>
          <w:fldChar w:fldCharType="separate"/>
        </w:r>
        <w:r w:rsidR="009F3740">
          <w:rPr>
            <w:webHidden/>
          </w:rPr>
          <w:t>3</w:t>
        </w:r>
        <w:r>
          <w:rPr>
            <w:webHidden/>
          </w:rPr>
          <w:fldChar w:fldCharType="end"/>
        </w:r>
      </w:hyperlink>
    </w:p>
    <w:p w14:paraId="5C9AAA4C" w14:textId="07285524" w:rsidR="00AC564A" w:rsidRDefault="00AC564A">
      <w:pPr>
        <w:pStyle w:val="TOC2"/>
        <w:rPr>
          <w:rFonts w:asciiTheme="minorHAnsi" w:eastAsiaTheme="minorEastAsia" w:hAnsiTheme="minorHAnsi" w:cstheme="minorBidi"/>
          <w:kern w:val="2"/>
          <w:sz w:val="24"/>
          <w:szCs w:val="24"/>
          <w:lang w:eastAsia="en-AU"/>
          <w14:ligatures w14:val="standardContextual"/>
        </w:rPr>
      </w:pPr>
      <w:hyperlink w:anchor="_Toc209175174" w:history="1">
        <w:r w:rsidRPr="004850BE">
          <w:rPr>
            <w:rStyle w:val="Hyperlink"/>
            <w:bCs/>
          </w:rPr>
          <w:t>Funded organisation responsibilities</w:t>
        </w:r>
        <w:r>
          <w:rPr>
            <w:webHidden/>
          </w:rPr>
          <w:tab/>
        </w:r>
        <w:r>
          <w:rPr>
            <w:webHidden/>
          </w:rPr>
          <w:fldChar w:fldCharType="begin"/>
        </w:r>
        <w:r>
          <w:rPr>
            <w:webHidden/>
          </w:rPr>
          <w:instrText xml:space="preserve"> PAGEREF _Toc209175174 \h </w:instrText>
        </w:r>
        <w:r>
          <w:rPr>
            <w:webHidden/>
          </w:rPr>
        </w:r>
        <w:r>
          <w:rPr>
            <w:webHidden/>
          </w:rPr>
          <w:fldChar w:fldCharType="separate"/>
        </w:r>
        <w:r w:rsidR="009F3740">
          <w:rPr>
            <w:webHidden/>
          </w:rPr>
          <w:t>4</w:t>
        </w:r>
        <w:r>
          <w:rPr>
            <w:webHidden/>
          </w:rPr>
          <w:fldChar w:fldCharType="end"/>
        </w:r>
      </w:hyperlink>
    </w:p>
    <w:p w14:paraId="348416AD" w14:textId="707CD095"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75" w:history="1">
        <w:r w:rsidRPr="004850BE">
          <w:rPr>
            <w:rStyle w:val="Hyperlink"/>
            <w:noProof/>
          </w:rPr>
          <w:t>Act in the public interest</w:t>
        </w:r>
        <w:r>
          <w:rPr>
            <w:noProof/>
            <w:webHidden/>
          </w:rPr>
          <w:tab/>
        </w:r>
        <w:r>
          <w:rPr>
            <w:noProof/>
            <w:webHidden/>
          </w:rPr>
          <w:fldChar w:fldCharType="begin"/>
        </w:r>
        <w:r>
          <w:rPr>
            <w:noProof/>
            <w:webHidden/>
          </w:rPr>
          <w:instrText xml:space="preserve"> PAGEREF _Toc209175175 \h </w:instrText>
        </w:r>
        <w:r>
          <w:rPr>
            <w:noProof/>
            <w:webHidden/>
          </w:rPr>
        </w:r>
        <w:r>
          <w:rPr>
            <w:noProof/>
            <w:webHidden/>
          </w:rPr>
          <w:fldChar w:fldCharType="separate"/>
        </w:r>
        <w:r w:rsidR="009F3740">
          <w:rPr>
            <w:noProof/>
            <w:webHidden/>
          </w:rPr>
          <w:t>4</w:t>
        </w:r>
        <w:r>
          <w:rPr>
            <w:noProof/>
            <w:webHidden/>
          </w:rPr>
          <w:fldChar w:fldCharType="end"/>
        </w:r>
      </w:hyperlink>
    </w:p>
    <w:p w14:paraId="4A66C85C" w14:textId="5C8367CC"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76" w:history="1">
        <w:r w:rsidRPr="004850BE">
          <w:rPr>
            <w:rStyle w:val="Hyperlink"/>
            <w:noProof/>
          </w:rPr>
          <w:t>Be accountable and have effective governance</w:t>
        </w:r>
        <w:r>
          <w:rPr>
            <w:noProof/>
            <w:webHidden/>
          </w:rPr>
          <w:tab/>
        </w:r>
        <w:r>
          <w:rPr>
            <w:noProof/>
            <w:webHidden/>
          </w:rPr>
          <w:fldChar w:fldCharType="begin"/>
        </w:r>
        <w:r>
          <w:rPr>
            <w:noProof/>
            <w:webHidden/>
          </w:rPr>
          <w:instrText xml:space="preserve"> PAGEREF _Toc209175176 \h </w:instrText>
        </w:r>
        <w:r>
          <w:rPr>
            <w:noProof/>
            <w:webHidden/>
          </w:rPr>
        </w:r>
        <w:r>
          <w:rPr>
            <w:noProof/>
            <w:webHidden/>
          </w:rPr>
          <w:fldChar w:fldCharType="separate"/>
        </w:r>
        <w:r w:rsidR="009F3740">
          <w:rPr>
            <w:noProof/>
            <w:webHidden/>
          </w:rPr>
          <w:t>4</w:t>
        </w:r>
        <w:r>
          <w:rPr>
            <w:noProof/>
            <w:webHidden/>
          </w:rPr>
          <w:fldChar w:fldCharType="end"/>
        </w:r>
      </w:hyperlink>
    </w:p>
    <w:p w14:paraId="64213F45" w14:textId="6DC1DAE9"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77" w:history="1">
        <w:r w:rsidRPr="004850BE">
          <w:rPr>
            <w:rStyle w:val="Hyperlink"/>
            <w:noProof/>
          </w:rPr>
          <w:t>Cooperate with the departments and other providers to build an effective service system</w:t>
        </w:r>
        <w:r>
          <w:rPr>
            <w:noProof/>
            <w:webHidden/>
          </w:rPr>
          <w:tab/>
        </w:r>
        <w:r>
          <w:rPr>
            <w:noProof/>
            <w:webHidden/>
          </w:rPr>
          <w:fldChar w:fldCharType="begin"/>
        </w:r>
        <w:r>
          <w:rPr>
            <w:noProof/>
            <w:webHidden/>
          </w:rPr>
          <w:instrText xml:space="preserve"> PAGEREF _Toc209175177 \h </w:instrText>
        </w:r>
        <w:r>
          <w:rPr>
            <w:noProof/>
            <w:webHidden/>
          </w:rPr>
        </w:r>
        <w:r>
          <w:rPr>
            <w:noProof/>
            <w:webHidden/>
          </w:rPr>
          <w:fldChar w:fldCharType="separate"/>
        </w:r>
        <w:r w:rsidR="009F3740">
          <w:rPr>
            <w:noProof/>
            <w:webHidden/>
          </w:rPr>
          <w:t>4</w:t>
        </w:r>
        <w:r>
          <w:rPr>
            <w:noProof/>
            <w:webHidden/>
          </w:rPr>
          <w:fldChar w:fldCharType="end"/>
        </w:r>
      </w:hyperlink>
    </w:p>
    <w:p w14:paraId="6A852FB4" w14:textId="04E87717"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78" w:history="1">
        <w:r w:rsidRPr="004850BE">
          <w:rPr>
            <w:rStyle w:val="Hyperlink"/>
            <w:noProof/>
          </w:rPr>
          <w:t>Deliver services that contribute to effective service delivery outcomes</w:t>
        </w:r>
        <w:r>
          <w:rPr>
            <w:noProof/>
            <w:webHidden/>
          </w:rPr>
          <w:tab/>
        </w:r>
        <w:r>
          <w:rPr>
            <w:noProof/>
            <w:webHidden/>
          </w:rPr>
          <w:fldChar w:fldCharType="begin"/>
        </w:r>
        <w:r>
          <w:rPr>
            <w:noProof/>
            <w:webHidden/>
          </w:rPr>
          <w:instrText xml:space="preserve"> PAGEREF _Toc209175178 \h </w:instrText>
        </w:r>
        <w:r>
          <w:rPr>
            <w:noProof/>
            <w:webHidden/>
          </w:rPr>
        </w:r>
        <w:r>
          <w:rPr>
            <w:noProof/>
            <w:webHidden/>
          </w:rPr>
          <w:fldChar w:fldCharType="separate"/>
        </w:r>
        <w:r w:rsidR="009F3740">
          <w:rPr>
            <w:noProof/>
            <w:webHidden/>
          </w:rPr>
          <w:t>5</w:t>
        </w:r>
        <w:r>
          <w:rPr>
            <w:noProof/>
            <w:webHidden/>
          </w:rPr>
          <w:fldChar w:fldCharType="end"/>
        </w:r>
      </w:hyperlink>
    </w:p>
    <w:p w14:paraId="1283ECFA" w14:textId="17A98B69" w:rsidR="00AC564A" w:rsidRDefault="00AC564A">
      <w:pPr>
        <w:pStyle w:val="TOC1"/>
        <w:rPr>
          <w:rFonts w:asciiTheme="minorHAnsi" w:eastAsiaTheme="minorEastAsia" w:hAnsiTheme="minorHAnsi" w:cstheme="minorBidi"/>
          <w:b w:val="0"/>
          <w:kern w:val="2"/>
          <w:sz w:val="24"/>
          <w:szCs w:val="24"/>
          <w:lang w:eastAsia="en-AU"/>
          <w14:ligatures w14:val="standardContextual"/>
        </w:rPr>
      </w:pPr>
      <w:hyperlink w:anchor="_Toc209175179" w:history="1">
        <w:r w:rsidRPr="004850BE">
          <w:rPr>
            <w:rStyle w:val="Hyperlink"/>
          </w:rPr>
          <w:t>Requirements and policies</w:t>
        </w:r>
        <w:r>
          <w:rPr>
            <w:webHidden/>
          </w:rPr>
          <w:tab/>
        </w:r>
        <w:r>
          <w:rPr>
            <w:webHidden/>
          </w:rPr>
          <w:fldChar w:fldCharType="begin"/>
        </w:r>
        <w:r>
          <w:rPr>
            <w:webHidden/>
          </w:rPr>
          <w:instrText xml:space="preserve"> PAGEREF _Toc209175179 \h </w:instrText>
        </w:r>
        <w:r>
          <w:rPr>
            <w:webHidden/>
          </w:rPr>
        </w:r>
        <w:r>
          <w:rPr>
            <w:webHidden/>
          </w:rPr>
          <w:fldChar w:fldCharType="separate"/>
        </w:r>
        <w:r w:rsidR="009F3740">
          <w:rPr>
            <w:webHidden/>
          </w:rPr>
          <w:t>5</w:t>
        </w:r>
        <w:r>
          <w:rPr>
            <w:webHidden/>
          </w:rPr>
          <w:fldChar w:fldCharType="end"/>
        </w:r>
      </w:hyperlink>
    </w:p>
    <w:p w14:paraId="6A26EB77" w14:textId="212EC141"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0" w:history="1">
        <w:r w:rsidRPr="004850BE">
          <w:rPr>
            <w:rStyle w:val="Hyperlink"/>
            <w:noProof/>
          </w:rPr>
          <w:t>User audit management and privacy</w:t>
        </w:r>
        <w:r>
          <w:rPr>
            <w:noProof/>
            <w:webHidden/>
          </w:rPr>
          <w:tab/>
        </w:r>
        <w:r>
          <w:rPr>
            <w:noProof/>
            <w:webHidden/>
          </w:rPr>
          <w:fldChar w:fldCharType="begin"/>
        </w:r>
        <w:r>
          <w:rPr>
            <w:noProof/>
            <w:webHidden/>
          </w:rPr>
          <w:instrText xml:space="preserve"> PAGEREF _Toc209175180 \h </w:instrText>
        </w:r>
        <w:r>
          <w:rPr>
            <w:noProof/>
            <w:webHidden/>
          </w:rPr>
        </w:r>
        <w:r>
          <w:rPr>
            <w:noProof/>
            <w:webHidden/>
          </w:rPr>
          <w:fldChar w:fldCharType="separate"/>
        </w:r>
        <w:r w:rsidR="009F3740">
          <w:rPr>
            <w:noProof/>
            <w:webHidden/>
          </w:rPr>
          <w:t>5</w:t>
        </w:r>
        <w:r>
          <w:rPr>
            <w:noProof/>
            <w:webHidden/>
          </w:rPr>
          <w:fldChar w:fldCharType="end"/>
        </w:r>
      </w:hyperlink>
    </w:p>
    <w:p w14:paraId="72241A5B" w14:textId="5CEA0394"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1" w:history="1">
        <w:r w:rsidRPr="004850BE">
          <w:rPr>
            <w:rStyle w:val="Hyperlink"/>
            <w:noProof/>
          </w:rPr>
          <w:t>Acceptance of Service Agreements</w:t>
        </w:r>
        <w:r>
          <w:rPr>
            <w:noProof/>
            <w:webHidden/>
          </w:rPr>
          <w:tab/>
        </w:r>
        <w:r>
          <w:rPr>
            <w:noProof/>
            <w:webHidden/>
          </w:rPr>
          <w:fldChar w:fldCharType="begin"/>
        </w:r>
        <w:r>
          <w:rPr>
            <w:noProof/>
            <w:webHidden/>
          </w:rPr>
          <w:instrText xml:space="preserve"> PAGEREF _Toc209175181 \h </w:instrText>
        </w:r>
        <w:r>
          <w:rPr>
            <w:noProof/>
            <w:webHidden/>
          </w:rPr>
        </w:r>
        <w:r>
          <w:rPr>
            <w:noProof/>
            <w:webHidden/>
          </w:rPr>
          <w:fldChar w:fldCharType="separate"/>
        </w:r>
        <w:r w:rsidR="009F3740">
          <w:rPr>
            <w:noProof/>
            <w:webHidden/>
          </w:rPr>
          <w:t>5</w:t>
        </w:r>
        <w:r>
          <w:rPr>
            <w:noProof/>
            <w:webHidden/>
          </w:rPr>
          <w:fldChar w:fldCharType="end"/>
        </w:r>
      </w:hyperlink>
    </w:p>
    <w:p w14:paraId="6E140500" w14:textId="233EDF6B"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2" w:history="1">
        <w:r w:rsidRPr="004850BE">
          <w:rPr>
            <w:rStyle w:val="Hyperlink"/>
            <w:noProof/>
          </w:rPr>
          <w:t>Management of Service Agreements</w:t>
        </w:r>
        <w:r>
          <w:rPr>
            <w:noProof/>
            <w:webHidden/>
          </w:rPr>
          <w:tab/>
        </w:r>
        <w:r>
          <w:rPr>
            <w:noProof/>
            <w:webHidden/>
          </w:rPr>
          <w:fldChar w:fldCharType="begin"/>
        </w:r>
        <w:r>
          <w:rPr>
            <w:noProof/>
            <w:webHidden/>
          </w:rPr>
          <w:instrText xml:space="preserve"> PAGEREF _Toc209175182 \h </w:instrText>
        </w:r>
        <w:r>
          <w:rPr>
            <w:noProof/>
            <w:webHidden/>
          </w:rPr>
        </w:r>
        <w:r>
          <w:rPr>
            <w:noProof/>
            <w:webHidden/>
          </w:rPr>
          <w:fldChar w:fldCharType="separate"/>
        </w:r>
        <w:r w:rsidR="009F3740">
          <w:rPr>
            <w:noProof/>
            <w:webHidden/>
          </w:rPr>
          <w:t>5</w:t>
        </w:r>
        <w:r>
          <w:rPr>
            <w:noProof/>
            <w:webHidden/>
          </w:rPr>
          <w:fldChar w:fldCharType="end"/>
        </w:r>
      </w:hyperlink>
    </w:p>
    <w:p w14:paraId="1110B93A" w14:textId="305E6BE9"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3" w:history="1">
        <w:r w:rsidRPr="004850BE">
          <w:rPr>
            <w:rStyle w:val="Hyperlink"/>
            <w:noProof/>
          </w:rPr>
          <w:t>Funding</w:t>
        </w:r>
        <w:r>
          <w:rPr>
            <w:noProof/>
            <w:webHidden/>
          </w:rPr>
          <w:tab/>
        </w:r>
        <w:r>
          <w:rPr>
            <w:noProof/>
            <w:webHidden/>
          </w:rPr>
          <w:fldChar w:fldCharType="begin"/>
        </w:r>
        <w:r>
          <w:rPr>
            <w:noProof/>
            <w:webHidden/>
          </w:rPr>
          <w:instrText xml:space="preserve"> PAGEREF _Toc209175183 \h </w:instrText>
        </w:r>
        <w:r>
          <w:rPr>
            <w:noProof/>
            <w:webHidden/>
          </w:rPr>
        </w:r>
        <w:r>
          <w:rPr>
            <w:noProof/>
            <w:webHidden/>
          </w:rPr>
          <w:fldChar w:fldCharType="separate"/>
        </w:r>
        <w:r w:rsidR="009F3740">
          <w:rPr>
            <w:noProof/>
            <w:webHidden/>
          </w:rPr>
          <w:t>6</w:t>
        </w:r>
        <w:r>
          <w:rPr>
            <w:noProof/>
            <w:webHidden/>
          </w:rPr>
          <w:fldChar w:fldCharType="end"/>
        </w:r>
      </w:hyperlink>
    </w:p>
    <w:p w14:paraId="499EB305" w14:textId="15344EEC"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4" w:history="1">
        <w:r w:rsidRPr="004850BE">
          <w:rPr>
            <w:rStyle w:val="Hyperlink"/>
            <w:noProof/>
          </w:rPr>
          <w:t>Data collection</w:t>
        </w:r>
        <w:r>
          <w:rPr>
            <w:noProof/>
            <w:webHidden/>
          </w:rPr>
          <w:tab/>
        </w:r>
        <w:r>
          <w:rPr>
            <w:noProof/>
            <w:webHidden/>
          </w:rPr>
          <w:fldChar w:fldCharType="begin"/>
        </w:r>
        <w:r>
          <w:rPr>
            <w:noProof/>
            <w:webHidden/>
          </w:rPr>
          <w:instrText xml:space="preserve"> PAGEREF _Toc209175184 \h </w:instrText>
        </w:r>
        <w:r>
          <w:rPr>
            <w:noProof/>
            <w:webHidden/>
          </w:rPr>
        </w:r>
        <w:r>
          <w:rPr>
            <w:noProof/>
            <w:webHidden/>
          </w:rPr>
          <w:fldChar w:fldCharType="separate"/>
        </w:r>
        <w:r w:rsidR="009F3740">
          <w:rPr>
            <w:noProof/>
            <w:webHidden/>
          </w:rPr>
          <w:t>7</w:t>
        </w:r>
        <w:r>
          <w:rPr>
            <w:noProof/>
            <w:webHidden/>
          </w:rPr>
          <w:fldChar w:fldCharType="end"/>
        </w:r>
      </w:hyperlink>
    </w:p>
    <w:p w14:paraId="6846B58F" w14:textId="154DA20F"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5" w:history="1">
        <w:r w:rsidRPr="004850BE">
          <w:rPr>
            <w:rStyle w:val="Hyperlink"/>
            <w:noProof/>
          </w:rPr>
          <w:t>Financial accountability requirements</w:t>
        </w:r>
        <w:r>
          <w:rPr>
            <w:noProof/>
            <w:webHidden/>
          </w:rPr>
          <w:tab/>
        </w:r>
        <w:r>
          <w:rPr>
            <w:noProof/>
            <w:webHidden/>
          </w:rPr>
          <w:fldChar w:fldCharType="begin"/>
        </w:r>
        <w:r>
          <w:rPr>
            <w:noProof/>
            <w:webHidden/>
          </w:rPr>
          <w:instrText xml:space="preserve"> PAGEREF _Toc209175185 \h </w:instrText>
        </w:r>
        <w:r>
          <w:rPr>
            <w:noProof/>
            <w:webHidden/>
          </w:rPr>
        </w:r>
        <w:r>
          <w:rPr>
            <w:noProof/>
            <w:webHidden/>
          </w:rPr>
          <w:fldChar w:fldCharType="separate"/>
        </w:r>
        <w:r w:rsidR="009F3740">
          <w:rPr>
            <w:noProof/>
            <w:webHidden/>
          </w:rPr>
          <w:t>7</w:t>
        </w:r>
        <w:r>
          <w:rPr>
            <w:noProof/>
            <w:webHidden/>
          </w:rPr>
          <w:fldChar w:fldCharType="end"/>
        </w:r>
      </w:hyperlink>
    </w:p>
    <w:p w14:paraId="7BB01A9E" w14:textId="0F2F9C40"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6" w:history="1">
        <w:r w:rsidRPr="004850BE">
          <w:rPr>
            <w:rStyle w:val="Hyperlink"/>
            <w:noProof/>
          </w:rPr>
          <w:t>Service Agreement Compliance Certification</w:t>
        </w:r>
        <w:r>
          <w:rPr>
            <w:noProof/>
            <w:webHidden/>
          </w:rPr>
          <w:tab/>
        </w:r>
        <w:r>
          <w:rPr>
            <w:noProof/>
            <w:webHidden/>
          </w:rPr>
          <w:fldChar w:fldCharType="begin"/>
        </w:r>
        <w:r>
          <w:rPr>
            <w:noProof/>
            <w:webHidden/>
          </w:rPr>
          <w:instrText xml:space="preserve"> PAGEREF _Toc209175186 \h </w:instrText>
        </w:r>
        <w:r>
          <w:rPr>
            <w:noProof/>
            <w:webHidden/>
          </w:rPr>
        </w:r>
        <w:r>
          <w:rPr>
            <w:noProof/>
            <w:webHidden/>
          </w:rPr>
          <w:fldChar w:fldCharType="separate"/>
        </w:r>
        <w:r w:rsidR="009F3740">
          <w:rPr>
            <w:noProof/>
            <w:webHidden/>
          </w:rPr>
          <w:t>8</w:t>
        </w:r>
        <w:r>
          <w:rPr>
            <w:noProof/>
            <w:webHidden/>
          </w:rPr>
          <w:fldChar w:fldCharType="end"/>
        </w:r>
      </w:hyperlink>
    </w:p>
    <w:p w14:paraId="2DFA2047" w14:textId="360203CE"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7" w:history="1">
        <w:r w:rsidRPr="004850BE">
          <w:rPr>
            <w:rStyle w:val="Hyperlink"/>
            <w:noProof/>
          </w:rPr>
          <w:t>Insurance and risk management</w:t>
        </w:r>
        <w:r>
          <w:rPr>
            <w:noProof/>
            <w:webHidden/>
          </w:rPr>
          <w:tab/>
        </w:r>
        <w:r>
          <w:rPr>
            <w:noProof/>
            <w:webHidden/>
          </w:rPr>
          <w:fldChar w:fldCharType="begin"/>
        </w:r>
        <w:r>
          <w:rPr>
            <w:noProof/>
            <w:webHidden/>
          </w:rPr>
          <w:instrText xml:space="preserve"> PAGEREF _Toc209175187 \h </w:instrText>
        </w:r>
        <w:r>
          <w:rPr>
            <w:noProof/>
            <w:webHidden/>
          </w:rPr>
        </w:r>
        <w:r>
          <w:rPr>
            <w:noProof/>
            <w:webHidden/>
          </w:rPr>
          <w:fldChar w:fldCharType="separate"/>
        </w:r>
        <w:r w:rsidR="009F3740">
          <w:rPr>
            <w:noProof/>
            <w:webHidden/>
          </w:rPr>
          <w:t>8</w:t>
        </w:r>
        <w:r>
          <w:rPr>
            <w:noProof/>
            <w:webHidden/>
          </w:rPr>
          <w:fldChar w:fldCharType="end"/>
        </w:r>
      </w:hyperlink>
    </w:p>
    <w:p w14:paraId="6FB50773" w14:textId="18888CFF"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8" w:history="1">
        <w:r w:rsidRPr="004850BE">
          <w:rPr>
            <w:rStyle w:val="Hyperlink"/>
            <w:noProof/>
            <w:lang w:val="en-US"/>
          </w:rPr>
          <w:t>Background and Probity checks</w:t>
        </w:r>
        <w:r>
          <w:rPr>
            <w:noProof/>
            <w:webHidden/>
          </w:rPr>
          <w:tab/>
        </w:r>
        <w:r>
          <w:rPr>
            <w:noProof/>
            <w:webHidden/>
          </w:rPr>
          <w:fldChar w:fldCharType="begin"/>
        </w:r>
        <w:r>
          <w:rPr>
            <w:noProof/>
            <w:webHidden/>
          </w:rPr>
          <w:instrText xml:space="preserve"> PAGEREF _Toc209175188 \h </w:instrText>
        </w:r>
        <w:r>
          <w:rPr>
            <w:noProof/>
            <w:webHidden/>
          </w:rPr>
        </w:r>
        <w:r>
          <w:rPr>
            <w:noProof/>
            <w:webHidden/>
          </w:rPr>
          <w:fldChar w:fldCharType="separate"/>
        </w:r>
        <w:r w:rsidR="009F3740">
          <w:rPr>
            <w:noProof/>
            <w:webHidden/>
          </w:rPr>
          <w:t>9</w:t>
        </w:r>
        <w:r>
          <w:rPr>
            <w:noProof/>
            <w:webHidden/>
          </w:rPr>
          <w:fldChar w:fldCharType="end"/>
        </w:r>
      </w:hyperlink>
    </w:p>
    <w:p w14:paraId="0EEBC7CF" w14:textId="132E6914"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89" w:history="1">
        <w:r w:rsidRPr="004850BE">
          <w:rPr>
            <w:rStyle w:val="Hyperlink"/>
            <w:noProof/>
          </w:rPr>
          <w:t>Variations</w:t>
        </w:r>
        <w:r>
          <w:rPr>
            <w:noProof/>
            <w:webHidden/>
          </w:rPr>
          <w:tab/>
        </w:r>
        <w:r>
          <w:rPr>
            <w:noProof/>
            <w:webHidden/>
          </w:rPr>
          <w:fldChar w:fldCharType="begin"/>
        </w:r>
        <w:r>
          <w:rPr>
            <w:noProof/>
            <w:webHidden/>
          </w:rPr>
          <w:instrText xml:space="preserve"> PAGEREF _Toc209175189 \h </w:instrText>
        </w:r>
        <w:r>
          <w:rPr>
            <w:noProof/>
            <w:webHidden/>
          </w:rPr>
        </w:r>
        <w:r>
          <w:rPr>
            <w:noProof/>
            <w:webHidden/>
          </w:rPr>
          <w:fldChar w:fldCharType="separate"/>
        </w:r>
        <w:r w:rsidR="009F3740">
          <w:rPr>
            <w:noProof/>
            <w:webHidden/>
          </w:rPr>
          <w:t>10</w:t>
        </w:r>
        <w:r>
          <w:rPr>
            <w:noProof/>
            <w:webHidden/>
          </w:rPr>
          <w:fldChar w:fldCharType="end"/>
        </w:r>
      </w:hyperlink>
    </w:p>
    <w:p w14:paraId="065CFB96" w14:textId="70A869E3"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0" w:history="1">
        <w:r w:rsidRPr="004850BE">
          <w:rPr>
            <w:rStyle w:val="Hyperlink"/>
            <w:noProof/>
          </w:rPr>
          <w:t>Human rights and safety obligations</w:t>
        </w:r>
        <w:r>
          <w:rPr>
            <w:noProof/>
            <w:webHidden/>
          </w:rPr>
          <w:tab/>
        </w:r>
        <w:r>
          <w:rPr>
            <w:noProof/>
            <w:webHidden/>
          </w:rPr>
          <w:fldChar w:fldCharType="begin"/>
        </w:r>
        <w:r>
          <w:rPr>
            <w:noProof/>
            <w:webHidden/>
          </w:rPr>
          <w:instrText xml:space="preserve"> PAGEREF _Toc209175190 \h </w:instrText>
        </w:r>
        <w:r>
          <w:rPr>
            <w:noProof/>
            <w:webHidden/>
          </w:rPr>
        </w:r>
        <w:r>
          <w:rPr>
            <w:noProof/>
            <w:webHidden/>
          </w:rPr>
          <w:fldChar w:fldCharType="separate"/>
        </w:r>
        <w:r w:rsidR="009F3740">
          <w:rPr>
            <w:noProof/>
            <w:webHidden/>
          </w:rPr>
          <w:t>10</w:t>
        </w:r>
        <w:r>
          <w:rPr>
            <w:noProof/>
            <w:webHidden/>
          </w:rPr>
          <w:fldChar w:fldCharType="end"/>
        </w:r>
      </w:hyperlink>
    </w:p>
    <w:p w14:paraId="382C637D" w14:textId="15F71DDB" w:rsidR="00AC564A" w:rsidRDefault="00AC564A">
      <w:pPr>
        <w:pStyle w:val="TOC2"/>
        <w:rPr>
          <w:rFonts w:asciiTheme="minorHAnsi" w:eastAsiaTheme="minorEastAsia" w:hAnsiTheme="minorHAnsi" w:cstheme="minorBidi"/>
          <w:kern w:val="2"/>
          <w:sz w:val="24"/>
          <w:szCs w:val="24"/>
          <w:lang w:eastAsia="en-AU"/>
          <w14:ligatures w14:val="standardContextual"/>
        </w:rPr>
      </w:pPr>
      <w:hyperlink w:anchor="_Toc209175191" w:history="1">
        <w:r w:rsidRPr="004850BE">
          <w:rPr>
            <w:rStyle w:val="Hyperlink"/>
            <w:bCs/>
          </w:rPr>
          <w:t>Policies</w:t>
        </w:r>
        <w:r>
          <w:rPr>
            <w:webHidden/>
          </w:rPr>
          <w:tab/>
        </w:r>
        <w:r>
          <w:rPr>
            <w:webHidden/>
          </w:rPr>
          <w:fldChar w:fldCharType="begin"/>
        </w:r>
        <w:r>
          <w:rPr>
            <w:webHidden/>
          </w:rPr>
          <w:instrText xml:space="preserve"> PAGEREF _Toc209175191 \h </w:instrText>
        </w:r>
        <w:r>
          <w:rPr>
            <w:webHidden/>
          </w:rPr>
        </w:r>
        <w:r>
          <w:rPr>
            <w:webHidden/>
          </w:rPr>
          <w:fldChar w:fldCharType="separate"/>
        </w:r>
        <w:r w:rsidR="009F3740">
          <w:rPr>
            <w:webHidden/>
          </w:rPr>
          <w:t>13</w:t>
        </w:r>
        <w:r>
          <w:rPr>
            <w:webHidden/>
          </w:rPr>
          <w:fldChar w:fldCharType="end"/>
        </w:r>
      </w:hyperlink>
    </w:p>
    <w:p w14:paraId="19F17C84" w14:textId="0E9922E2"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2" w:history="1">
        <w:r w:rsidRPr="004850BE">
          <w:rPr>
            <w:rStyle w:val="Hyperlink"/>
            <w:noProof/>
          </w:rPr>
          <w:t>Aboriginal people and communities</w:t>
        </w:r>
        <w:r>
          <w:rPr>
            <w:noProof/>
            <w:webHidden/>
          </w:rPr>
          <w:tab/>
        </w:r>
        <w:r>
          <w:rPr>
            <w:noProof/>
            <w:webHidden/>
          </w:rPr>
          <w:fldChar w:fldCharType="begin"/>
        </w:r>
        <w:r>
          <w:rPr>
            <w:noProof/>
            <w:webHidden/>
          </w:rPr>
          <w:instrText xml:space="preserve"> PAGEREF _Toc209175192 \h </w:instrText>
        </w:r>
        <w:r>
          <w:rPr>
            <w:noProof/>
            <w:webHidden/>
          </w:rPr>
        </w:r>
        <w:r>
          <w:rPr>
            <w:noProof/>
            <w:webHidden/>
          </w:rPr>
          <w:fldChar w:fldCharType="separate"/>
        </w:r>
        <w:r w:rsidR="009F3740">
          <w:rPr>
            <w:noProof/>
            <w:webHidden/>
          </w:rPr>
          <w:t>13</w:t>
        </w:r>
        <w:r>
          <w:rPr>
            <w:noProof/>
            <w:webHidden/>
          </w:rPr>
          <w:fldChar w:fldCharType="end"/>
        </w:r>
      </w:hyperlink>
    </w:p>
    <w:p w14:paraId="6042A014" w14:textId="4A5BD6BC"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3" w:history="1">
        <w:r w:rsidRPr="004850BE">
          <w:rPr>
            <w:rStyle w:val="Hyperlink"/>
            <w:noProof/>
          </w:rPr>
          <w:t>Operational policies</w:t>
        </w:r>
        <w:r>
          <w:rPr>
            <w:noProof/>
            <w:webHidden/>
          </w:rPr>
          <w:tab/>
        </w:r>
        <w:r>
          <w:rPr>
            <w:noProof/>
            <w:webHidden/>
          </w:rPr>
          <w:fldChar w:fldCharType="begin"/>
        </w:r>
        <w:r>
          <w:rPr>
            <w:noProof/>
            <w:webHidden/>
          </w:rPr>
          <w:instrText xml:space="preserve"> PAGEREF _Toc209175193 \h </w:instrText>
        </w:r>
        <w:r>
          <w:rPr>
            <w:noProof/>
            <w:webHidden/>
          </w:rPr>
        </w:r>
        <w:r>
          <w:rPr>
            <w:noProof/>
            <w:webHidden/>
          </w:rPr>
          <w:fldChar w:fldCharType="separate"/>
        </w:r>
        <w:r w:rsidR="009F3740">
          <w:rPr>
            <w:noProof/>
            <w:webHidden/>
          </w:rPr>
          <w:t>14</w:t>
        </w:r>
        <w:r>
          <w:rPr>
            <w:noProof/>
            <w:webHidden/>
          </w:rPr>
          <w:fldChar w:fldCharType="end"/>
        </w:r>
      </w:hyperlink>
    </w:p>
    <w:p w14:paraId="77040E15" w14:textId="6904A3BD" w:rsidR="00AC564A" w:rsidRDefault="00AC564A">
      <w:pPr>
        <w:pStyle w:val="TOC1"/>
        <w:rPr>
          <w:rFonts w:asciiTheme="minorHAnsi" w:eastAsiaTheme="minorEastAsia" w:hAnsiTheme="minorHAnsi" w:cstheme="minorBidi"/>
          <w:b w:val="0"/>
          <w:kern w:val="2"/>
          <w:sz w:val="24"/>
          <w:szCs w:val="24"/>
          <w:lang w:eastAsia="en-AU"/>
          <w14:ligatures w14:val="standardContextual"/>
        </w:rPr>
      </w:pPr>
      <w:hyperlink w:anchor="_Toc209175194" w:history="1">
        <w:r w:rsidRPr="004850BE">
          <w:rPr>
            <w:rStyle w:val="Hyperlink"/>
          </w:rPr>
          <w:t>Recommended information</w:t>
        </w:r>
        <w:r>
          <w:rPr>
            <w:webHidden/>
          </w:rPr>
          <w:tab/>
        </w:r>
        <w:r>
          <w:rPr>
            <w:webHidden/>
          </w:rPr>
          <w:fldChar w:fldCharType="begin"/>
        </w:r>
        <w:r>
          <w:rPr>
            <w:webHidden/>
          </w:rPr>
          <w:instrText xml:space="preserve"> PAGEREF _Toc209175194 \h </w:instrText>
        </w:r>
        <w:r>
          <w:rPr>
            <w:webHidden/>
          </w:rPr>
        </w:r>
        <w:r>
          <w:rPr>
            <w:webHidden/>
          </w:rPr>
          <w:fldChar w:fldCharType="separate"/>
        </w:r>
        <w:r w:rsidR="009F3740">
          <w:rPr>
            <w:webHidden/>
          </w:rPr>
          <w:t>15</w:t>
        </w:r>
        <w:r>
          <w:rPr>
            <w:webHidden/>
          </w:rPr>
          <w:fldChar w:fldCharType="end"/>
        </w:r>
      </w:hyperlink>
    </w:p>
    <w:p w14:paraId="719D2E44" w14:textId="162FF94D"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5" w:history="1">
        <w:r w:rsidRPr="004850BE">
          <w:rPr>
            <w:rStyle w:val="Hyperlink"/>
            <w:noProof/>
          </w:rPr>
          <w:t>Information security</w:t>
        </w:r>
        <w:r>
          <w:rPr>
            <w:noProof/>
            <w:webHidden/>
          </w:rPr>
          <w:tab/>
        </w:r>
        <w:r>
          <w:rPr>
            <w:noProof/>
            <w:webHidden/>
          </w:rPr>
          <w:fldChar w:fldCharType="begin"/>
        </w:r>
        <w:r>
          <w:rPr>
            <w:noProof/>
            <w:webHidden/>
          </w:rPr>
          <w:instrText xml:space="preserve"> PAGEREF _Toc209175195 \h </w:instrText>
        </w:r>
        <w:r>
          <w:rPr>
            <w:noProof/>
            <w:webHidden/>
          </w:rPr>
        </w:r>
        <w:r>
          <w:rPr>
            <w:noProof/>
            <w:webHidden/>
          </w:rPr>
          <w:fldChar w:fldCharType="separate"/>
        </w:r>
        <w:r w:rsidR="009F3740">
          <w:rPr>
            <w:noProof/>
            <w:webHidden/>
          </w:rPr>
          <w:t>15</w:t>
        </w:r>
        <w:r>
          <w:rPr>
            <w:noProof/>
            <w:webHidden/>
          </w:rPr>
          <w:fldChar w:fldCharType="end"/>
        </w:r>
      </w:hyperlink>
    </w:p>
    <w:p w14:paraId="3604E39C" w14:textId="2A7C6BD0"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6" w:history="1">
        <w:r w:rsidRPr="004850BE">
          <w:rPr>
            <w:rStyle w:val="Hyperlink"/>
            <w:noProof/>
          </w:rPr>
          <w:t>Community Services Quality Governance Framework</w:t>
        </w:r>
        <w:r>
          <w:rPr>
            <w:noProof/>
            <w:webHidden/>
          </w:rPr>
          <w:tab/>
        </w:r>
        <w:r>
          <w:rPr>
            <w:noProof/>
            <w:webHidden/>
          </w:rPr>
          <w:fldChar w:fldCharType="begin"/>
        </w:r>
        <w:r>
          <w:rPr>
            <w:noProof/>
            <w:webHidden/>
          </w:rPr>
          <w:instrText xml:space="preserve"> PAGEREF _Toc209175196 \h </w:instrText>
        </w:r>
        <w:r>
          <w:rPr>
            <w:noProof/>
            <w:webHidden/>
          </w:rPr>
        </w:r>
        <w:r>
          <w:rPr>
            <w:noProof/>
            <w:webHidden/>
          </w:rPr>
          <w:fldChar w:fldCharType="separate"/>
        </w:r>
        <w:r w:rsidR="009F3740">
          <w:rPr>
            <w:noProof/>
            <w:webHidden/>
          </w:rPr>
          <w:t>16</w:t>
        </w:r>
        <w:r>
          <w:rPr>
            <w:noProof/>
            <w:webHidden/>
          </w:rPr>
          <w:fldChar w:fldCharType="end"/>
        </w:r>
      </w:hyperlink>
    </w:p>
    <w:p w14:paraId="749CA9B7" w14:textId="0A9EC219"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7" w:history="1">
        <w:r w:rsidRPr="004850BE">
          <w:rPr>
            <w:rStyle w:val="Hyperlink"/>
            <w:noProof/>
          </w:rPr>
          <w:t>Client voice framework for community services</w:t>
        </w:r>
        <w:r>
          <w:rPr>
            <w:noProof/>
            <w:webHidden/>
          </w:rPr>
          <w:tab/>
        </w:r>
        <w:r>
          <w:rPr>
            <w:noProof/>
            <w:webHidden/>
          </w:rPr>
          <w:fldChar w:fldCharType="begin"/>
        </w:r>
        <w:r>
          <w:rPr>
            <w:noProof/>
            <w:webHidden/>
          </w:rPr>
          <w:instrText xml:space="preserve"> PAGEREF _Toc209175197 \h </w:instrText>
        </w:r>
        <w:r>
          <w:rPr>
            <w:noProof/>
            <w:webHidden/>
          </w:rPr>
        </w:r>
        <w:r>
          <w:rPr>
            <w:noProof/>
            <w:webHidden/>
          </w:rPr>
          <w:fldChar w:fldCharType="separate"/>
        </w:r>
        <w:r w:rsidR="009F3740">
          <w:rPr>
            <w:noProof/>
            <w:webHidden/>
          </w:rPr>
          <w:t>16</w:t>
        </w:r>
        <w:r>
          <w:rPr>
            <w:noProof/>
            <w:webHidden/>
          </w:rPr>
          <w:fldChar w:fldCharType="end"/>
        </w:r>
      </w:hyperlink>
    </w:p>
    <w:p w14:paraId="3927CDB6" w14:textId="2D0A3A0B" w:rsidR="00AC564A" w:rsidRDefault="00AC564A">
      <w:pPr>
        <w:pStyle w:val="TOC3"/>
        <w:rPr>
          <w:rFonts w:asciiTheme="minorHAnsi" w:eastAsiaTheme="minorEastAsia" w:hAnsiTheme="minorHAnsi" w:cstheme="minorBidi"/>
          <w:noProof/>
          <w:kern w:val="2"/>
          <w:sz w:val="24"/>
          <w:szCs w:val="24"/>
          <w:lang w:eastAsia="en-AU"/>
          <w14:ligatures w14:val="standardContextual"/>
        </w:rPr>
      </w:pPr>
      <w:hyperlink w:anchor="_Toc209175198" w:history="1">
        <w:r w:rsidRPr="004850BE">
          <w:rPr>
            <w:rStyle w:val="Hyperlink"/>
            <w:noProof/>
          </w:rPr>
          <w:t>Additional information</w:t>
        </w:r>
        <w:r>
          <w:rPr>
            <w:noProof/>
            <w:webHidden/>
          </w:rPr>
          <w:tab/>
        </w:r>
        <w:r>
          <w:rPr>
            <w:noProof/>
            <w:webHidden/>
          </w:rPr>
          <w:fldChar w:fldCharType="begin"/>
        </w:r>
        <w:r>
          <w:rPr>
            <w:noProof/>
            <w:webHidden/>
          </w:rPr>
          <w:instrText xml:space="preserve"> PAGEREF _Toc209175198 \h </w:instrText>
        </w:r>
        <w:r>
          <w:rPr>
            <w:noProof/>
            <w:webHidden/>
          </w:rPr>
        </w:r>
        <w:r>
          <w:rPr>
            <w:noProof/>
            <w:webHidden/>
          </w:rPr>
          <w:fldChar w:fldCharType="separate"/>
        </w:r>
        <w:r w:rsidR="009F3740">
          <w:rPr>
            <w:noProof/>
            <w:webHidden/>
          </w:rPr>
          <w:t>16</w:t>
        </w:r>
        <w:r>
          <w:rPr>
            <w:noProof/>
            <w:webHidden/>
          </w:rPr>
          <w:fldChar w:fldCharType="end"/>
        </w:r>
      </w:hyperlink>
    </w:p>
    <w:p w14:paraId="4A87EC49" w14:textId="470B9F40" w:rsidR="00C1517B" w:rsidRDefault="003D0BF5" w:rsidP="00C1517B">
      <w:pPr>
        <w:spacing w:after="0" w:line="240" w:lineRule="auto"/>
      </w:pPr>
      <w:r w:rsidRPr="007F626C">
        <w:fldChar w:fldCharType="end"/>
      </w:r>
    </w:p>
    <w:p w14:paraId="5747FFDD" w14:textId="77777777" w:rsidR="00C1517B" w:rsidRDefault="00C1517B">
      <w:pPr>
        <w:spacing w:after="0" w:line="240" w:lineRule="auto"/>
      </w:pPr>
      <w:r>
        <w:br w:type="page"/>
      </w:r>
    </w:p>
    <w:p w14:paraId="43287790" w14:textId="608BD4DC" w:rsidR="00EE29AD" w:rsidRPr="00A71CE4" w:rsidRDefault="009720C9" w:rsidP="00562811">
      <w:pPr>
        <w:pStyle w:val="Heading1"/>
        <w:spacing w:before="0"/>
      </w:pPr>
      <w:bookmarkStart w:id="2" w:name="_Toc72421895"/>
      <w:bookmarkStart w:id="3" w:name="_Toc209175171"/>
      <w:r>
        <w:lastRenderedPageBreak/>
        <w:t>Introduction</w:t>
      </w:r>
      <w:bookmarkEnd w:id="2"/>
      <w:bookmarkEnd w:id="3"/>
    </w:p>
    <w:p w14:paraId="7F7A2064" w14:textId="5FDD18A9" w:rsidR="009720C9" w:rsidRPr="00E86460" w:rsidRDefault="78AC3980" w:rsidP="009720C9">
      <w:pPr>
        <w:pStyle w:val="Body"/>
        <w:rPr>
          <w:sz w:val="20"/>
        </w:rPr>
      </w:pPr>
      <w:r w:rsidRPr="00E86460">
        <w:rPr>
          <w:sz w:val="20"/>
        </w:rPr>
        <w:t xml:space="preserve">The </w:t>
      </w:r>
      <w:r w:rsidR="00871C88" w:rsidRPr="00E86460">
        <w:rPr>
          <w:sz w:val="20"/>
        </w:rPr>
        <w:t>Service Agreement</w:t>
      </w:r>
      <w:r w:rsidRPr="00E86460">
        <w:rPr>
          <w:sz w:val="20"/>
        </w:rPr>
        <w:t xml:space="preserve"> is the name of the contract used by the </w:t>
      </w:r>
      <w:r w:rsidR="00964307" w:rsidRPr="00E86460">
        <w:rPr>
          <w:sz w:val="20"/>
        </w:rPr>
        <w:t xml:space="preserve">Department </w:t>
      </w:r>
      <w:r w:rsidR="0064437E" w:rsidRPr="00E86460">
        <w:rPr>
          <w:sz w:val="20"/>
        </w:rPr>
        <w:t>of Families, Fairness and Housing and the Department of Health (</w:t>
      </w:r>
      <w:r w:rsidR="00FF666D" w:rsidRPr="00E86460">
        <w:rPr>
          <w:sz w:val="20"/>
        </w:rPr>
        <w:t xml:space="preserve">referred to as </w:t>
      </w:r>
      <w:r w:rsidR="0064437E" w:rsidRPr="00E86460">
        <w:rPr>
          <w:sz w:val="20"/>
        </w:rPr>
        <w:t xml:space="preserve">‘the </w:t>
      </w:r>
      <w:r w:rsidR="009720C9" w:rsidRPr="00E86460">
        <w:rPr>
          <w:sz w:val="20"/>
        </w:rPr>
        <w:t>department</w:t>
      </w:r>
      <w:r w:rsidR="005B6027" w:rsidRPr="00E86460">
        <w:rPr>
          <w:sz w:val="20"/>
        </w:rPr>
        <w:t>s</w:t>
      </w:r>
      <w:r w:rsidR="3FE74F59" w:rsidRPr="00E86460">
        <w:rPr>
          <w:sz w:val="20"/>
        </w:rPr>
        <w:t>)</w:t>
      </w:r>
      <w:r w:rsidR="009720C9" w:rsidRPr="00E86460">
        <w:rPr>
          <w:sz w:val="20"/>
        </w:rPr>
        <w:t xml:space="preserve"> to fund organisations </w:t>
      </w:r>
      <w:r w:rsidR="0037542C" w:rsidRPr="00E86460">
        <w:rPr>
          <w:sz w:val="20"/>
        </w:rPr>
        <w:t xml:space="preserve">for the </w:t>
      </w:r>
      <w:r w:rsidR="009720C9" w:rsidRPr="00E86460">
        <w:rPr>
          <w:sz w:val="20"/>
        </w:rPr>
        <w:t>deliver</w:t>
      </w:r>
      <w:r w:rsidR="0037542C" w:rsidRPr="00E86460">
        <w:rPr>
          <w:sz w:val="20"/>
        </w:rPr>
        <w:t>y of</w:t>
      </w:r>
      <w:r w:rsidR="009720C9" w:rsidRPr="00E86460">
        <w:rPr>
          <w:sz w:val="20"/>
        </w:rPr>
        <w:t xml:space="preserve"> crucial</w:t>
      </w:r>
      <w:r w:rsidR="00D50891" w:rsidRPr="00E86460">
        <w:rPr>
          <w:sz w:val="20"/>
        </w:rPr>
        <w:t xml:space="preserve"> community</w:t>
      </w:r>
      <w:r w:rsidR="009720C9" w:rsidRPr="00E86460">
        <w:rPr>
          <w:sz w:val="20"/>
        </w:rPr>
        <w:t xml:space="preserve"> services. </w:t>
      </w:r>
    </w:p>
    <w:p w14:paraId="0B398708" w14:textId="0F2D8435" w:rsidR="009720C9" w:rsidRPr="00E86460" w:rsidRDefault="009720C9" w:rsidP="009720C9">
      <w:pPr>
        <w:pStyle w:val="Body"/>
        <w:rPr>
          <w:sz w:val="20"/>
        </w:rPr>
      </w:pPr>
      <w:r w:rsidRPr="00E86460">
        <w:rPr>
          <w:sz w:val="20"/>
        </w:rPr>
        <w:t xml:space="preserve">The </w:t>
      </w:r>
      <w:r w:rsidR="00871C88" w:rsidRPr="00E86460">
        <w:rPr>
          <w:sz w:val="20"/>
        </w:rPr>
        <w:t>Service Agreement</w:t>
      </w:r>
      <w:r w:rsidRPr="00E86460">
        <w:rPr>
          <w:sz w:val="20"/>
        </w:rPr>
        <w:t xml:space="preserve"> establishes the standard terms and conditions that apply to all funded organisations and provides organisation-specific information regarding funding and payments in its schedules.  </w:t>
      </w:r>
      <w:r w:rsidR="63FC4F68" w:rsidRPr="00E86460">
        <w:rPr>
          <w:sz w:val="20"/>
        </w:rPr>
        <w:t xml:space="preserve"> </w:t>
      </w:r>
    </w:p>
    <w:p w14:paraId="38FDE432" w14:textId="45F107F5" w:rsidR="009720C9" w:rsidRPr="00E86460" w:rsidRDefault="0096297B" w:rsidP="009720C9">
      <w:pPr>
        <w:pStyle w:val="Body"/>
        <w:rPr>
          <w:sz w:val="20"/>
        </w:rPr>
      </w:pPr>
      <w:r w:rsidRPr="00E86460">
        <w:rPr>
          <w:sz w:val="20"/>
        </w:rPr>
        <w:t xml:space="preserve">The </w:t>
      </w:r>
      <w:r w:rsidR="00871C88" w:rsidRPr="00E86460">
        <w:rPr>
          <w:sz w:val="20"/>
        </w:rPr>
        <w:t>Service Agreement</w:t>
      </w:r>
      <w:r w:rsidRPr="00E86460">
        <w:rPr>
          <w:sz w:val="20"/>
        </w:rPr>
        <w:t xml:space="preserve"> Requirements </w:t>
      </w:r>
      <w:r w:rsidR="009720C9" w:rsidRPr="00E86460">
        <w:rPr>
          <w:sz w:val="20"/>
        </w:rPr>
        <w:t xml:space="preserve">document supports the </w:t>
      </w:r>
      <w:r w:rsidR="00871C88" w:rsidRPr="00E86460">
        <w:rPr>
          <w:sz w:val="20"/>
        </w:rPr>
        <w:t>Service Agreement</w:t>
      </w:r>
      <w:r w:rsidR="009720C9" w:rsidRPr="00E86460">
        <w:rPr>
          <w:sz w:val="20"/>
        </w:rPr>
        <w:t xml:space="preserve"> by outlining the responsibilities, policies and obligations that all funded organisations must comply with. It provides key information necessary for understanding</w:t>
      </w:r>
      <w:r w:rsidR="002752F3" w:rsidRPr="00E86460">
        <w:rPr>
          <w:sz w:val="20"/>
        </w:rPr>
        <w:t xml:space="preserve"> applicable policies and other information aligned with service delivery</w:t>
      </w:r>
      <w:r w:rsidR="00573A27" w:rsidRPr="00E86460">
        <w:rPr>
          <w:sz w:val="20"/>
        </w:rPr>
        <w:t>.</w:t>
      </w:r>
    </w:p>
    <w:p w14:paraId="7F282508" w14:textId="6A4E61C7" w:rsidR="009720C9" w:rsidRPr="00E86460" w:rsidRDefault="009720C9" w:rsidP="009720C9">
      <w:pPr>
        <w:pStyle w:val="Body"/>
        <w:rPr>
          <w:sz w:val="20"/>
        </w:rPr>
      </w:pPr>
      <w:r w:rsidRPr="00E86460">
        <w:rPr>
          <w:sz w:val="20"/>
        </w:rPr>
        <w:t xml:space="preserve">To meet the terms of the </w:t>
      </w:r>
      <w:r w:rsidR="00871C88" w:rsidRPr="00E86460">
        <w:rPr>
          <w:sz w:val="20"/>
        </w:rPr>
        <w:t>Service Agreement</w:t>
      </w:r>
      <w:r w:rsidRPr="00E86460">
        <w:rPr>
          <w:sz w:val="20"/>
        </w:rPr>
        <w:t xml:space="preserve"> funded organisations must ensure they comply with:</w:t>
      </w:r>
    </w:p>
    <w:p w14:paraId="4221A010" w14:textId="05835508" w:rsidR="009720C9" w:rsidRPr="00E86460" w:rsidRDefault="009720C9" w:rsidP="009720C9">
      <w:pPr>
        <w:pStyle w:val="Bullet1"/>
        <w:rPr>
          <w:sz w:val="20"/>
        </w:rPr>
      </w:pPr>
      <w:r w:rsidRPr="00E86460">
        <w:rPr>
          <w:sz w:val="20"/>
        </w:rPr>
        <w:t xml:space="preserve">the </w:t>
      </w:r>
      <w:r w:rsidR="00871C88" w:rsidRPr="00E86460">
        <w:rPr>
          <w:sz w:val="20"/>
        </w:rPr>
        <w:t>Service Agreement</w:t>
      </w:r>
    </w:p>
    <w:p w14:paraId="1F065EE8" w14:textId="36725205" w:rsidR="009720C9" w:rsidRPr="00E86460" w:rsidRDefault="009720C9" w:rsidP="009720C9">
      <w:pPr>
        <w:pStyle w:val="Bullet1"/>
        <w:rPr>
          <w:sz w:val="20"/>
        </w:rPr>
      </w:pPr>
      <w:r w:rsidRPr="00E86460">
        <w:rPr>
          <w:sz w:val="20"/>
        </w:rPr>
        <w:t xml:space="preserve">the standard policies and obligations in the </w:t>
      </w:r>
      <w:r w:rsidR="00871C88" w:rsidRPr="00E86460">
        <w:rPr>
          <w:sz w:val="20"/>
        </w:rPr>
        <w:t>Service Agreement</w:t>
      </w:r>
      <w:r w:rsidRPr="00E86460">
        <w:rPr>
          <w:sz w:val="20"/>
        </w:rPr>
        <w:t xml:space="preserve"> </w:t>
      </w:r>
      <w:r w:rsidR="0096297B" w:rsidRPr="00E86460">
        <w:rPr>
          <w:sz w:val="20"/>
        </w:rPr>
        <w:t>R</w:t>
      </w:r>
      <w:r w:rsidRPr="00E86460">
        <w:rPr>
          <w:sz w:val="20"/>
        </w:rPr>
        <w:t xml:space="preserve">equirements </w:t>
      </w:r>
      <w:r w:rsidR="6A724DE9" w:rsidRPr="00E86460">
        <w:rPr>
          <w:sz w:val="20"/>
        </w:rPr>
        <w:t xml:space="preserve"> </w:t>
      </w:r>
    </w:p>
    <w:p w14:paraId="55EC1B6D" w14:textId="0BC2C6FD" w:rsidR="001C7128" w:rsidRPr="00E86460" w:rsidRDefault="009720C9" w:rsidP="009720C9">
      <w:pPr>
        <w:pStyle w:val="Bullet1"/>
        <w:rPr>
          <w:sz w:val="20"/>
        </w:rPr>
      </w:pPr>
      <w:r w:rsidRPr="00E86460">
        <w:rPr>
          <w:sz w:val="20"/>
        </w:rPr>
        <w:t xml:space="preserve">the specific policies and obligations in each relevant </w:t>
      </w:r>
      <w:r w:rsidR="0096297B" w:rsidRPr="00E86460">
        <w:rPr>
          <w:sz w:val="20"/>
        </w:rPr>
        <w:t>A</w:t>
      </w:r>
      <w:r w:rsidRPr="00E86460">
        <w:rPr>
          <w:sz w:val="20"/>
        </w:rPr>
        <w:t xml:space="preserve">ctivity </w:t>
      </w:r>
      <w:r w:rsidR="0096297B" w:rsidRPr="00E86460">
        <w:rPr>
          <w:sz w:val="20"/>
        </w:rPr>
        <w:t>D</w:t>
      </w:r>
      <w:r w:rsidRPr="00E86460">
        <w:rPr>
          <w:sz w:val="20"/>
        </w:rPr>
        <w:t>escription</w:t>
      </w:r>
      <w:r w:rsidR="001C7128" w:rsidRPr="00E86460">
        <w:rPr>
          <w:sz w:val="20"/>
        </w:rPr>
        <w:t>.</w:t>
      </w:r>
    </w:p>
    <w:p w14:paraId="66BC6973" w14:textId="663DC8B7" w:rsidR="00ED7762" w:rsidRPr="00B57329" w:rsidRDefault="009720C9" w:rsidP="00B94C5E">
      <w:pPr>
        <w:pStyle w:val="Heading1"/>
      </w:pPr>
      <w:bookmarkStart w:id="4" w:name="_Toc72421896"/>
      <w:bookmarkStart w:id="5" w:name="_Toc209175172"/>
      <w:r>
        <w:t xml:space="preserve">Statement of </w:t>
      </w:r>
      <w:r w:rsidR="00EC33EF">
        <w:t>e</w:t>
      </w:r>
      <w:r>
        <w:t>xpectations</w:t>
      </w:r>
      <w:bookmarkEnd w:id="4"/>
      <w:bookmarkEnd w:id="5"/>
      <w:r w:rsidR="00ED7762">
        <w:t xml:space="preserve"> </w:t>
      </w:r>
      <w:bookmarkStart w:id="6" w:name="_Hlk63948051"/>
    </w:p>
    <w:bookmarkEnd w:id="6"/>
    <w:p w14:paraId="2320C45B" w14:textId="08C3EB86" w:rsidR="009720C9" w:rsidRPr="00E86460" w:rsidRDefault="009720C9" w:rsidP="009720C9">
      <w:pPr>
        <w:pStyle w:val="Body"/>
        <w:rPr>
          <w:sz w:val="20"/>
        </w:rPr>
      </w:pPr>
      <w:r w:rsidRPr="00E86460">
        <w:rPr>
          <w:sz w:val="20"/>
        </w:rPr>
        <w:t xml:space="preserve">The </w:t>
      </w:r>
      <w:r w:rsidR="00FF666D" w:rsidRPr="00E86460">
        <w:rPr>
          <w:sz w:val="20"/>
        </w:rPr>
        <w:t xml:space="preserve">departments </w:t>
      </w:r>
      <w:r w:rsidRPr="00E86460">
        <w:rPr>
          <w:sz w:val="20"/>
        </w:rPr>
        <w:t xml:space="preserve">fund over </w:t>
      </w:r>
      <w:r w:rsidR="004B00B7" w:rsidRPr="00E86460">
        <w:rPr>
          <w:sz w:val="20"/>
        </w:rPr>
        <w:t>1300</w:t>
      </w:r>
      <w:r w:rsidR="006E3252" w:rsidRPr="00E86460">
        <w:rPr>
          <w:sz w:val="20"/>
        </w:rPr>
        <w:t xml:space="preserve"> </w:t>
      </w:r>
      <w:r w:rsidRPr="00E86460">
        <w:rPr>
          <w:sz w:val="20"/>
        </w:rPr>
        <w:t xml:space="preserve">organisations to deliver health and community services on </w:t>
      </w:r>
      <w:r w:rsidR="00A16A8A" w:rsidRPr="00E86460">
        <w:rPr>
          <w:sz w:val="20"/>
        </w:rPr>
        <w:t xml:space="preserve">their </w:t>
      </w:r>
      <w:r w:rsidRPr="00E86460">
        <w:rPr>
          <w:sz w:val="20"/>
        </w:rPr>
        <w:t xml:space="preserve">behalf </w:t>
      </w:r>
      <w:r w:rsidR="00FE7B63">
        <w:rPr>
          <w:sz w:val="20"/>
        </w:rPr>
        <w:t>via</w:t>
      </w:r>
      <w:r w:rsidRPr="00E86460">
        <w:rPr>
          <w:sz w:val="20"/>
        </w:rPr>
        <w:t xml:space="preserve"> </w:t>
      </w:r>
      <w:r w:rsidR="00871C88" w:rsidRPr="00E86460">
        <w:rPr>
          <w:sz w:val="20"/>
        </w:rPr>
        <w:t>Service Agreement</w:t>
      </w:r>
      <w:r w:rsidRPr="00E86460">
        <w:rPr>
          <w:sz w:val="20"/>
        </w:rPr>
        <w:t>s.</w:t>
      </w:r>
      <w:r w:rsidR="008B6F93" w:rsidRPr="00E86460">
        <w:rPr>
          <w:sz w:val="20"/>
        </w:rPr>
        <w:t xml:space="preserve"> T</w:t>
      </w:r>
      <w:r w:rsidRPr="00E86460">
        <w:rPr>
          <w:sz w:val="20"/>
        </w:rPr>
        <w:t>he department</w:t>
      </w:r>
      <w:r w:rsidR="00FF666D" w:rsidRPr="00E86460">
        <w:rPr>
          <w:sz w:val="20"/>
        </w:rPr>
        <w:t>s</w:t>
      </w:r>
      <w:r w:rsidRPr="00E86460">
        <w:rPr>
          <w:sz w:val="20"/>
        </w:rPr>
        <w:t xml:space="preserve"> </w:t>
      </w:r>
      <w:r w:rsidR="00FF666D" w:rsidRPr="00E86460">
        <w:rPr>
          <w:sz w:val="20"/>
        </w:rPr>
        <w:t xml:space="preserve">have </w:t>
      </w:r>
      <w:r w:rsidRPr="00E86460">
        <w:rPr>
          <w:sz w:val="20"/>
        </w:rPr>
        <w:t>a duty of care to Victorians who access services, many of whom are particularly vulnerable</w:t>
      </w:r>
      <w:r w:rsidR="008424E1" w:rsidRPr="00E86460">
        <w:rPr>
          <w:sz w:val="20"/>
        </w:rPr>
        <w:t>,</w:t>
      </w:r>
      <w:r w:rsidRPr="00E86460">
        <w:rPr>
          <w:sz w:val="20"/>
        </w:rPr>
        <w:t xml:space="preserve"> </w:t>
      </w:r>
      <w:r w:rsidR="008424E1" w:rsidRPr="00E86460">
        <w:rPr>
          <w:sz w:val="20"/>
        </w:rPr>
        <w:t>and</w:t>
      </w:r>
      <w:r w:rsidRPr="00E86460">
        <w:rPr>
          <w:sz w:val="20"/>
        </w:rPr>
        <w:t xml:space="preserve"> </w:t>
      </w:r>
      <w:r w:rsidR="00FF666D" w:rsidRPr="00E86460">
        <w:rPr>
          <w:sz w:val="20"/>
        </w:rPr>
        <w:t xml:space="preserve">have </w:t>
      </w:r>
      <w:r w:rsidRPr="00E86460">
        <w:rPr>
          <w:sz w:val="20"/>
        </w:rPr>
        <w:t>obligations to the Victorian community to properly account for the use of public money. For these reasons, it is critical that our contract management framework is robust, effective and contributes to the delivery of positive outcomes for clients</w:t>
      </w:r>
      <w:r w:rsidR="008424E1" w:rsidRPr="00E86460">
        <w:rPr>
          <w:sz w:val="20"/>
        </w:rPr>
        <w:t xml:space="preserve"> whilst acquitting responsibilities relating to </w:t>
      </w:r>
      <w:r w:rsidR="002049D9" w:rsidRPr="00E86460">
        <w:rPr>
          <w:sz w:val="20"/>
        </w:rPr>
        <w:t>public monies</w:t>
      </w:r>
      <w:r w:rsidRPr="00E86460">
        <w:rPr>
          <w:sz w:val="20"/>
        </w:rPr>
        <w:t xml:space="preserve">.  </w:t>
      </w:r>
    </w:p>
    <w:p w14:paraId="487952C5" w14:textId="18EAE5D6" w:rsidR="009C245E" w:rsidRPr="00E86460" w:rsidRDefault="009720C9" w:rsidP="009720C9">
      <w:pPr>
        <w:pStyle w:val="Body"/>
        <w:rPr>
          <w:sz w:val="20"/>
        </w:rPr>
      </w:pPr>
      <w:r w:rsidRPr="00E86460">
        <w:rPr>
          <w:sz w:val="20"/>
        </w:rPr>
        <w:t>Th</w:t>
      </w:r>
      <w:r w:rsidR="001C73B4" w:rsidRPr="00E86460">
        <w:rPr>
          <w:sz w:val="20"/>
        </w:rPr>
        <w:t>e</w:t>
      </w:r>
      <w:r w:rsidRPr="00E86460" w:rsidDel="001C73B4">
        <w:rPr>
          <w:sz w:val="20"/>
        </w:rPr>
        <w:t xml:space="preserve"> </w:t>
      </w:r>
      <w:r w:rsidR="00871C88" w:rsidRPr="00E86460">
        <w:rPr>
          <w:sz w:val="20"/>
        </w:rPr>
        <w:t>Service Agreement</w:t>
      </w:r>
      <w:r w:rsidR="557FADE7" w:rsidRPr="00E86460">
        <w:rPr>
          <w:sz w:val="20"/>
        </w:rPr>
        <w:t xml:space="preserve"> </w:t>
      </w:r>
      <w:r w:rsidR="00D031EF" w:rsidRPr="00E86460">
        <w:rPr>
          <w:sz w:val="20"/>
        </w:rPr>
        <w:t>R</w:t>
      </w:r>
      <w:r w:rsidR="557FADE7" w:rsidRPr="00E86460">
        <w:rPr>
          <w:sz w:val="20"/>
        </w:rPr>
        <w:t>equirements</w:t>
      </w:r>
      <w:r w:rsidR="001C73B4" w:rsidRPr="00E86460">
        <w:rPr>
          <w:sz w:val="20"/>
        </w:rPr>
        <w:t xml:space="preserve"> document </w:t>
      </w:r>
      <w:r w:rsidR="002049D9" w:rsidRPr="00E86460">
        <w:rPr>
          <w:sz w:val="20"/>
        </w:rPr>
        <w:t>is intended to</w:t>
      </w:r>
      <w:r w:rsidRPr="00E86460">
        <w:rPr>
          <w:sz w:val="20"/>
        </w:rPr>
        <w:t xml:space="preserve"> help funded organisations understand the department</w:t>
      </w:r>
      <w:r w:rsidR="00FF666D" w:rsidRPr="00E86460">
        <w:rPr>
          <w:sz w:val="20"/>
        </w:rPr>
        <w:t>s</w:t>
      </w:r>
      <w:r w:rsidRPr="00E86460">
        <w:rPr>
          <w:sz w:val="20"/>
        </w:rPr>
        <w:t xml:space="preserve">’ expectations regarding key aspects of funded service delivery. It should be read in conjunction with the </w:t>
      </w:r>
      <w:r w:rsidR="00871C88" w:rsidRPr="00E86460">
        <w:rPr>
          <w:sz w:val="20"/>
        </w:rPr>
        <w:t>Service Agreement</w:t>
      </w:r>
      <w:r w:rsidRPr="00E86460">
        <w:rPr>
          <w:sz w:val="20"/>
        </w:rPr>
        <w:t xml:space="preserve"> which defines the comprehensive responsibilities and accountabilities of the department</w:t>
      </w:r>
      <w:r w:rsidR="00FF666D" w:rsidRPr="00E86460">
        <w:rPr>
          <w:sz w:val="20"/>
        </w:rPr>
        <w:t>s</w:t>
      </w:r>
      <w:r w:rsidRPr="00E86460">
        <w:rPr>
          <w:sz w:val="20"/>
        </w:rPr>
        <w:t xml:space="preserve"> and funded </w:t>
      </w:r>
      <w:r w:rsidR="00EE2BC1" w:rsidRPr="00E86460">
        <w:rPr>
          <w:sz w:val="20"/>
        </w:rPr>
        <w:t>organisations</w:t>
      </w:r>
      <w:r w:rsidRPr="00E86460">
        <w:rPr>
          <w:sz w:val="20"/>
        </w:rPr>
        <w:t xml:space="preserve"> specifying governance, financial management and service delivery requirements in addition to funding amounts</w:t>
      </w:r>
      <w:r w:rsidR="006868F7" w:rsidRPr="00E86460">
        <w:rPr>
          <w:sz w:val="20"/>
        </w:rPr>
        <w:t>,</w:t>
      </w:r>
      <w:r w:rsidR="00D36AB7" w:rsidRPr="00E86460">
        <w:rPr>
          <w:sz w:val="20"/>
        </w:rPr>
        <w:t xml:space="preserve"> performance targets</w:t>
      </w:r>
      <w:r w:rsidR="006868F7" w:rsidRPr="00E86460">
        <w:rPr>
          <w:sz w:val="20"/>
        </w:rPr>
        <w:t xml:space="preserve"> and reporting </w:t>
      </w:r>
      <w:r w:rsidR="004A2840" w:rsidRPr="00E86460">
        <w:rPr>
          <w:sz w:val="20"/>
        </w:rPr>
        <w:t>outputs</w:t>
      </w:r>
      <w:r w:rsidR="00D36AB7" w:rsidRPr="00E86460">
        <w:rPr>
          <w:sz w:val="20"/>
        </w:rPr>
        <w:t>.</w:t>
      </w:r>
    </w:p>
    <w:p w14:paraId="5839694D" w14:textId="5B2F0704" w:rsidR="00ED7762" w:rsidRPr="00136DD1" w:rsidRDefault="00007E3F" w:rsidP="00B94C5E">
      <w:pPr>
        <w:pStyle w:val="Heading2"/>
        <w:rPr>
          <w:b w:val="0"/>
          <w:bCs/>
        </w:rPr>
      </w:pPr>
      <w:bookmarkStart w:id="7" w:name="_Toc72421897"/>
      <w:bookmarkStart w:id="8" w:name="_Toc209175173"/>
      <w:r w:rsidRPr="00136DD1">
        <w:rPr>
          <w:b w:val="0"/>
          <w:bCs/>
        </w:rPr>
        <w:t xml:space="preserve">The </w:t>
      </w:r>
      <w:r w:rsidR="00EC33EF" w:rsidRPr="00136DD1">
        <w:rPr>
          <w:b w:val="0"/>
          <w:bCs/>
        </w:rPr>
        <w:t>d</w:t>
      </w:r>
      <w:r w:rsidRPr="00136DD1">
        <w:rPr>
          <w:b w:val="0"/>
          <w:bCs/>
        </w:rPr>
        <w:t xml:space="preserve">epartments’ </w:t>
      </w:r>
      <w:r w:rsidR="00EC33EF" w:rsidRPr="00136DD1">
        <w:rPr>
          <w:b w:val="0"/>
          <w:bCs/>
        </w:rPr>
        <w:t>a</w:t>
      </w:r>
      <w:r w:rsidRPr="00136DD1">
        <w:rPr>
          <w:b w:val="0"/>
          <w:bCs/>
        </w:rPr>
        <w:t>pproach</w:t>
      </w:r>
      <w:bookmarkEnd w:id="7"/>
      <w:bookmarkEnd w:id="8"/>
      <w:r w:rsidR="00ED7762" w:rsidRPr="00136DD1">
        <w:rPr>
          <w:b w:val="0"/>
          <w:bCs/>
        </w:rPr>
        <w:t xml:space="preserve"> </w:t>
      </w:r>
    </w:p>
    <w:p w14:paraId="1CBFD793" w14:textId="793CD0C1" w:rsidR="00EC022E" w:rsidRPr="00E86460" w:rsidRDefault="009F254B" w:rsidP="00007E3F">
      <w:pPr>
        <w:pStyle w:val="Body"/>
        <w:rPr>
          <w:sz w:val="20"/>
        </w:rPr>
      </w:pPr>
      <w:r w:rsidRPr="00E86460">
        <w:rPr>
          <w:sz w:val="20"/>
        </w:rPr>
        <w:t xml:space="preserve">The </w:t>
      </w:r>
      <w:r w:rsidR="4BFAA1C3" w:rsidRPr="00E86460">
        <w:rPr>
          <w:sz w:val="20"/>
        </w:rPr>
        <w:t>departments</w:t>
      </w:r>
      <w:r w:rsidR="461D6193" w:rsidRPr="00E86460">
        <w:rPr>
          <w:sz w:val="20"/>
        </w:rPr>
        <w:t xml:space="preserve"> are</w:t>
      </w:r>
      <w:r w:rsidRPr="00E86460">
        <w:rPr>
          <w:sz w:val="20"/>
        </w:rPr>
        <w:t xml:space="preserve"> committed </w:t>
      </w:r>
      <w:r w:rsidR="00FE41F1" w:rsidRPr="00E86460">
        <w:rPr>
          <w:sz w:val="20"/>
        </w:rPr>
        <w:t xml:space="preserve">to ensuring </w:t>
      </w:r>
      <w:r w:rsidR="004D1DC7" w:rsidRPr="00E86460">
        <w:rPr>
          <w:sz w:val="20"/>
        </w:rPr>
        <w:t xml:space="preserve">the </w:t>
      </w:r>
      <w:r w:rsidR="00FE41F1" w:rsidRPr="00E86460">
        <w:rPr>
          <w:sz w:val="20"/>
        </w:rPr>
        <w:t xml:space="preserve">performance of </w:t>
      </w:r>
      <w:r w:rsidR="00765E92">
        <w:rPr>
          <w:sz w:val="20"/>
        </w:rPr>
        <w:t>organisations</w:t>
      </w:r>
      <w:r w:rsidR="00FE41F1" w:rsidRPr="00E86460">
        <w:rPr>
          <w:sz w:val="20"/>
        </w:rPr>
        <w:t xml:space="preserve"> in </w:t>
      </w:r>
      <w:r w:rsidR="00EA43BD" w:rsidRPr="00E86460">
        <w:rPr>
          <w:sz w:val="20"/>
        </w:rPr>
        <w:t>achieving positive client outcomes</w:t>
      </w:r>
      <w:r w:rsidR="00A963EE" w:rsidRPr="00E86460">
        <w:rPr>
          <w:sz w:val="20"/>
        </w:rPr>
        <w:t xml:space="preserve"> by</w:t>
      </w:r>
      <w:r w:rsidR="00EB2985" w:rsidRPr="00E86460">
        <w:rPr>
          <w:sz w:val="20"/>
        </w:rPr>
        <w:t>:</w:t>
      </w:r>
    </w:p>
    <w:p w14:paraId="72B3C703" w14:textId="08571C38" w:rsidR="00A963EE" w:rsidRPr="00E86460" w:rsidRDefault="001145C2" w:rsidP="00056D64">
      <w:pPr>
        <w:pStyle w:val="Bullet1"/>
        <w:numPr>
          <w:ilvl w:val="0"/>
          <w:numId w:val="12"/>
        </w:numPr>
        <w:rPr>
          <w:sz w:val="20"/>
        </w:rPr>
      </w:pPr>
      <w:r w:rsidRPr="00E86460">
        <w:rPr>
          <w:sz w:val="20"/>
        </w:rPr>
        <w:t>p</w:t>
      </w:r>
      <w:r w:rsidR="00A963EE" w:rsidRPr="00E86460">
        <w:rPr>
          <w:sz w:val="20"/>
        </w:rPr>
        <w:t>rioritising client safety and wellbeing/quality and safety</w:t>
      </w:r>
    </w:p>
    <w:p w14:paraId="75E6A484" w14:textId="145ECEDB" w:rsidR="00A963EE" w:rsidRPr="00E86460" w:rsidRDefault="00062215" w:rsidP="00056D64">
      <w:pPr>
        <w:pStyle w:val="Bullet1"/>
        <w:numPr>
          <w:ilvl w:val="0"/>
          <w:numId w:val="12"/>
        </w:numPr>
        <w:rPr>
          <w:sz w:val="20"/>
        </w:rPr>
      </w:pPr>
      <w:r w:rsidRPr="00E86460">
        <w:rPr>
          <w:sz w:val="20"/>
        </w:rPr>
        <w:t>embedding</w:t>
      </w:r>
      <w:r w:rsidR="00A963EE" w:rsidRPr="00E86460">
        <w:rPr>
          <w:sz w:val="20"/>
        </w:rPr>
        <w:t xml:space="preserve"> performance targets/service delivery</w:t>
      </w:r>
    </w:p>
    <w:p w14:paraId="5A257647" w14:textId="48D769A2" w:rsidR="00A963EE" w:rsidRPr="00E86460" w:rsidRDefault="001145C2" w:rsidP="00056D64">
      <w:pPr>
        <w:pStyle w:val="Bullet1"/>
        <w:numPr>
          <w:ilvl w:val="0"/>
          <w:numId w:val="12"/>
        </w:numPr>
        <w:rPr>
          <w:sz w:val="20"/>
        </w:rPr>
      </w:pPr>
      <w:r w:rsidRPr="00E86460">
        <w:rPr>
          <w:sz w:val="20"/>
        </w:rPr>
        <w:t>m</w:t>
      </w:r>
      <w:r w:rsidR="00A963EE" w:rsidRPr="00E86460">
        <w:rPr>
          <w:sz w:val="20"/>
        </w:rPr>
        <w:t xml:space="preserve">eeting contractual requirements and obligations/service </w:t>
      </w:r>
      <w:r w:rsidR="00E86460" w:rsidRPr="00E86460">
        <w:rPr>
          <w:sz w:val="20"/>
        </w:rPr>
        <w:t>continuity</w:t>
      </w:r>
    </w:p>
    <w:p w14:paraId="36D18F4B" w14:textId="77777777" w:rsidR="008F712E" w:rsidRDefault="008F712E" w:rsidP="00007E3F">
      <w:pPr>
        <w:pStyle w:val="Body"/>
        <w:rPr>
          <w:sz w:val="20"/>
        </w:rPr>
      </w:pPr>
    </w:p>
    <w:p w14:paraId="06BDDE46" w14:textId="412EADE2" w:rsidR="00EC022E" w:rsidRPr="00E86460" w:rsidRDefault="007C219F" w:rsidP="00007E3F">
      <w:pPr>
        <w:pStyle w:val="Body"/>
        <w:rPr>
          <w:sz w:val="20"/>
        </w:rPr>
      </w:pPr>
      <w:r w:rsidRPr="00E86460">
        <w:rPr>
          <w:sz w:val="20"/>
        </w:rPr>
        <w:t>F</w:t>
      </w:r>
      <w:r w:rsidR="00EC022E" w:rsidRPr="00E86460">
        <w:rPr>
          <w:sz w:val="20"/>
        </w:rPr>
        <w:t>unded organisations can expect the department</w:t>
      </w:r>
      <w:r w:rsidR="00FF666D" w:rsidRPr="00E86460">
        <w:rPr>
          <w:sz w:val="20"/>
        </w:rPr>
        <w:t>s</w:t>
      </w:r>
      <w:r w:rsidR="00EC022E" w:rsidRPr="00E86460">
        <w:rPr>
          <w:sz w:val="20"/>
        </w:rPr>
        <w:t xml:space="preserve"> will: </w:t>
      </w:r>
    </w:p>
    <w:p w14:paraId="3D04DBED" w14:textId="3583A403" w:rsidR="00EC022E" w:rsidRPr="00E86460" w:rsidRDefault="00EC022E" w:rsidP="00056D64">
      <w:pPr>
        <w:pStyle w:val="Bullet1"/>
        <w:numPr>
          <w:ilvl w:val="0"/>
          <w:numId w:val="11"/>
        </w:numPr>
        <w:rPr>
          <w:sz w:val="20"/>
        </w:rPr>
      </w:pPr>
      <w:r w:rsidRPr="00E86460">
        <w:rPr>
          <w:sz w:val="20"/>
        </w:rPr>
        <w:t>be transparent in relation to processes and expectations</w:t>
      </w:r>
    </w:p>
    <w:p w14:paraId="7E75EB49" w14:textId="77777777" w:rsidR="00EC022E" w:rsidRPr="00E86460" w:rsidRDefault="00EC022E" w:rsidP="00056D64">
      <w:pPr>
        <w:pStyle w:val="Bullet1"/>
        <w:numPr>
          <w:ilvl w:val="0"/>
          <w:numId w:val="11"/>
        </w:numPr>
        <w:rPr>
          <w:sz w:val="20"/>
        </w:rPr>
      </w:pPr>
      <w:r w:rsidRPr="00E86460">
        <w:rPr>
          <w:sz w:val="20"/>
        </w:rPr>
        <w:lastRenderedPageBreak/>
        <w:t>provide supporting material that assists funded organisations to understand and fulfil their obligations</w:t>
      </w:r>
    </w:p>
    <w:p w14:paraId="0CD047B5" w14:textId="7A42E3E7" w:rsidR="00EC022E" w:rsidRPr="00E86460" w:rsidRDefault="00EC022E" w:rsidP="00056D64">
      <w:pPr>
        <w:pStyle w:val="Bullet1"/>
        <w:numPr>
          <w:ilvl w:val="0"/>
          <w:numId w:val="11"/>
        </w:numPr>
        <w:rPr>
          <w:sz w:val="20"/>
        </w:rPr>
      </w:pPr>
      <w:r w:rsidRPr="00E86460">
        <w:rPr>
          <w:sz w:val="20"/>
        </w:rPr>
        <w:t xml:space="preserve">work with funded organisations to achieve the agreed outcomes in the </w:t>
      </w:r>
      <w:r w:rsidR="00871C88" w:rsidRPr="00E86460">
        <w:rPr>
          <w:sz w:val="20"/>
        </w:rPr>
        <w:t>Service Agreement</w:t>
      </w:r>
    </w:p>
    <w:p w14:paraId="2D5BABB8" w14:textId="77777777" w:rsidR="00EC022E" w:rsidRPr="00E86460" w:rsidRDefault="00EC022E" w:rsidP="00056D64">
      <w:pPr>
        <w:pStyle w:val="Bullet1"/>
        <w:numPr>
          <w:ilvl w:val="0"/>
          <w:numId w:val="11"/>
        </w:numPr>
        <w:rPr>
          <w:sz w:val="20"/>
        </w:rPr>
      </w:pPr>
      <w:r w:rsidRPr="00E86460">
        <w:rPr>
          <w:sz w:val="20"/>
        </w:rPr>
        <w:t>act early if issues arise in relation to agreed outcomes</w:t>
      </w:r>
    </w:p>
    <w:p w14:paraId="30D777D4" w14:textId="25186369" w:rsidR="00EC022E" w:rsidRPr="00E86460" w:rsidRDefault="00EC022E" w:rsidP="00056D64">
      <w:pPr>
        <w:pStyle w:val="Bullet1"/>
        <w:numPr>
          <w:ilvl w:val="0"/>
          <w:numId w:val="11"/>
        </w:numPr>
        <w:rPr>
          <w:sz w:val="20"/>
        </w:rPr>
      </w:pPr>
      <w:r w:rsidRPr="00E86460">
        <w:rPr>
          <w:sz w:val="20"/>
        </w:rPr>
        <w:t xml:space="preserve">act honestly, with integrity and reasonably </w:t>
      </w:r>
      <w:proofErr w:type="gramStart"/>
      <w:r w:rsidRPr="00E86460">
        <w:rPr>
          <w:sz w:val="20"/>
        </w:rPr>
        <w:t>at all times</w:t>
      </w:r>
      <w:proofErr w:type="gramEnd"/>
      <w:r w:rsidRPr="00E86460">
        <w:rPr>
          <w:sz w:val="20"/>
        </w:rPr>
        <w:t xml:space="preserve"> </w:t>
      </w:r>
      <w:r w:rsidR="00E01E9B" w:rsidRPr="00E86460">
        <w:rPr>
          <w:sz w:val="20"/>
        </w:rPr>
        <w:t>during</w:t>
      </w:r>
      <w:r w:rsidRPr="00E86460">
        <w:rPr>
          <w:sz w:val="20"/>
        </w:rPr>
        <w:t xml:space="preserve"> interactions with funded organisations.</w:t>
      </w:r>
    </w:p>
    <w:p w14:paraId="6F7D3D12" w14:textId="256E2971" w:rsidR="00B840B3" w:rsidRPr="00845440" w:rsidRDefault="00B840B3" w:rsidP="00B840B3">
      <w:pPr>
        <w:pStyle w:val="Heading2"/>
        <w:rPr>
          <w:b w:val="0"/>
          <w:bCs/>
        </w:rPr>
      </w:pPr>
      <w:bookmarkStart w:id="9" w:name="_Toc72421898"/>
      <w:bookmarkStart w:id="10" w:name="_Toc209175174"/>
      <w:r w:rsidRPr="00845440">
        <w:rPr>
          <w:b w:val="0"/>
          <w:bCs/>
        </w:rPr>
        <w:t xml:space="preserve">Funded organisation </w:t>
      </w:r>
      <w:bookmarkEnd w:id="9"/>
      <w:r w:rsidR="00F148E9" w:rsidRPr="00845440">
        <w:rPr>
          <w:b w:val="0"/>
          <w:bCs/>
        </w:rPr>
        <w:t>responsibilities</w:t>
      </w:r>
      <w:bookmarkEnd w:id="10"/>
    </w:p>
    <w:p w14:paraId="568B43F5" w14:textId="4A155633" w:rsidR="00B840B3" w:rsidRPr="00E86460" w:rsidRDefault="00B840B3" w:rsidP="00B840B3">
      <w:pPr>
        <w:pStyle w:val="Body"/>
        <w:rPr>
          <w:sz w:val="20"/>
        </w:rPr>
      </w:pPr>
      <w:r w:rsidRPr="00E86460">
        <w:rPr>
          <w:sz w:val="20"/>
        </w:rPr>
        <w:t>The department</w:t>
      </w:r>
      <w:r w:rsidR="00FF666D" w:rsidRPr="00E86460">
        <w:rPr>
          <w:sz w:val="20"/>
        </w:rPr>
        <w:t>s</w:t>
      </w:r>
      <w:r w:rsidRPr="00E86460">
        <w:rPr>
          <w:sz w:val="20"/>
        </w:rPr>
        <w:t xml:space="preserve"> and funded organisations share responsibility for ensuring clients receive the services </w:t>
      </w:r>
      <w:r w:rsidR="001C4D41" w:rsidRPr="00E86460">
        <w:rPr>
          <w:sz w:val="20"/>
        </w:rPr>
        <w:t xml:space="preserve">funded via </w:t>
      </w:r>
      <w:r w:rsidR="00E01E9B" w:rsidRPr="00E86460">
        <w:rPr>
          <w:sz w:val="20"/>
        </w:rPr>
        <w:t xml:space="preserve">a </w:t>
      </w:r>
      <w:r w:rsidR="00871C88" w:rsidRPr="00E86460">
        <w:rPr>
          <w:sz w:val="20"/>
        </w:rPr>
        <w:t>Service Agreement</w:t>
      </w:r>
      <w:r w:rsidRPr="00E86460">
        <w:rPr>
          <w:sz w:val="20"/>
        </w:rPr>
        <w:t xml:space="preserve"> in a way that is effective, accountable and serves the interests of all Victorians. </w:t>
      </w:r>
    </w:p>
    <w:p w14:paraId="1A2EE36E" w14:textId="5C88F987" w:rsidR="00004223" w:rsidRPr="00E86460" w:rsidRDefault="00B840B3" w:rsidP="00B840B3">
      <w:pPr>
        <w:pStyle w:val="Body"/>
        <w:rPr>
          <w:sz w:val="20"/>
        </w:rPr>
      </w:pPr>
      <w:r w:rsidRPr="00E86460">
        <w:rPr>
          <w:sz w:val="20"/>
        </w:rPr>
        <w:t>In delivering services, the department</w:t>
      </w:r>
      <w:r w:rsidR="00FF666D" w:rsidRPr="00E86460">
        <w:rPr>
          <w:sz w:val="20"/>
        </w:rPr>
        <w:t>s</w:t>
      </w:r>
      <w:r w:rsidRPr="00E86460">
        <w:rPr>
          <w:sz w:val="20"/>
        </w:rPr>
        <w:t xml:space="preserve"> expect that collectively, funded organisations are </w:t>
      </w:r>
      <w:r w:rsidR="003C4FDB" w:rsidRPr="00E86460">
        <w:rPr>
          <w:sz w:val="20"/>
        </w:rPr>
        <w:t xml:space="preserve">contributing to </w:t>
      </w:r>
      <w:r w:rsidRPr="00E86460">
        <w:rPr>
          <w:sz w:val="20"/>
        </w:rPr>
        <w:t xml:space="preserve">the </w:t>
      </w:r>
      <w:r w:rsidR="00721617" w:rsidRPr="00E86460">
        <w:rPr>
          <w:sz w:val="20"/>
        </w:rPr>
        <w:t>departments</w:t>
      </w:r>
      <w:r w:rsidR="00553893" w:rsidRPr="00E86460">
        <w:rPr>
          <w:sz w:val="20"/>
        </w:rPr>
        <w:t>’</w:t>
      </w:r>
      <w:r w:rsidR="00721617" w:rsidRPr="00E86460">
        <w:rPr>
          <w:sz w:val="20"/>
        </w:rPr>
        <w:t xml:space="preserve"> </w:t>
      </w:r>
      <w:r w:rsidR="00DF02AE">
        <w:rPr>
          <w:sz w:val="20"/>
        </w:rPr>
        <w:t>objectives</w:t>
      </w:r>
      <w:r w:rsidR="00553893" w:rsidRPr="00E86460">
        <w:rPr>
          <w:sz w:val="20"/>
        </w:rPr>
        <w:t>.</w:t>
      </w:r>
    </w:p>
    <w:p w14:paraId="37BAFC99" w14:textId="512C609B" w:rsidR="00B840B3" w:rsidRPr="00E86460" w:rsidRDefault="0012518D" w:rsidP="00B840B3">
      <w:pPr>
        <w:pStyle w:val="Body"/>
        <w:rPr>
          <w:sz w:val="20"/>
        </w:rPr>
      </w:pPr>
      <w:r w:rsidRPr="00E86460">
        <w:rPr>
          <w:sz w:val="20"/>
        </w:rPr>
        <w:t xml:space="preserve">Information about </w:t>
      </w:r>
      <w:r w:rsidR="0036087C" w:rsidRPr="00E86460">
        <w:rPr>
          <w:sz w:val="20"/>
        </w:rPr>
        <w:t>DFFH</w:t>
      </w:r>
      <w:r w:rsidR="00B840B3" w:rsidRPr="00E86460">
        <w:rPr>
          <w:sz w:val="20"/>
        </w:rPr>
        <w:t xml:space="preserve"> </w:t>
      </w:r>
      <w:r w:rsidR="00BF4181">
        <w:rPr>
          <w:sz w:val="20"/>
        </w:rPr>
        <w:t>objectives</w:t>
      </w:r>
      <w:r w:rsidR="00BF4181" w:rsidRPr="00E86460">
        <w:rPr>
          <w:sz w:val="20"/>
        </w:rPr>
        <w:t xml:space="preserve"> </w:t>
      </w:r>
      <w:r w:rsidR="00004223" w:rsidRPr="00E86460">
        <w:rPr>
          <w:sz w:val="20"/>
        </w:rPr>
        <w:t>is available at</w:t>
      </w:r>
      <w:r w:rsidR="0036087C" w:rsidRPr="00E86460">
        <w:rPr>
          <w:sz w:val="20"/>
        </w:rPr>
        <w:t xml:space="preserve"> </w:t>
      </w:r>
      <w:hyperlink r:id="rId16" w:history="1">
        <w:r w:rsidR="001B6DC6" w:rsidRPr="00AB1BCE">
          <w:rPr>
            <w:rStyle w:val="Hyperlink"/>
            <w:sz w:val="20"/>
          </w:rPr>
          <w:t>DFFH</w:t>
        </w:r>
        <w:r w:rsidR="00BF4181" w:rsidRPr="00AB1BCE">
          <w:rPr>
            <w:rStyle w:val="Hyperlink"/>
            <w:sz w:val="20"/>
          </w:rPr>
          <w:t xml:space="preserve"> Strategic Plan </w:t>
        </w:r>
        <w:r w:rsidR="001B6DC6" w:rsidRPr="00AB1BCE">
          <w:rPr>
            <w:rStyle w:val="Hyperlink"/>
            <w:sz w:val="20"/>
          </w:rPr>
          <w:t xml:space="preserve">2025-2029 </w:t>
        </w:r>
        <w:r w:rsidR="006D1629" w:rsidRPr="00AB1BCE">
          <w:rPr>
            <w:rStyle w:val="Hyperlink"/>
            <w:sz w:val="20"/>
          </w:rPr>
          <w:t>&lt;</w:t>
        </w:r>
      </w:hyperlink>
      <w:r w:rsidR="001B6DC6" w:rsidRPr="001B6DC6">
        <w:rPr>
          <w:sz w:val="20"/>
        </w:rPr>
        <w:t>https://www.dffh.vic.gov.au/publications/dffh-strategic-plan</w:t>
      </w:r>
      <w:r w:rsidR="001B6DC6">
        <w:rPr>
          <w:sz w:val="20"/>
        </w:rPr>
        <w:t>&gt;</w:t>
      </w:r>
      <w:r w:rsidR="006D1629" w:rsidRPr="00E86460">
        <w:rPr>
          <w:sz w:val="20"/>
        </w:rPr>
        <w:t>.</w:t>
      </w:r>
    </w:p>
    <w:p w14:paraId="6979F87B" w14:textId="2DF9D5DC" w:rsidR="006D1629" w:rsidRPr="00E86460" w:rsidRDefault="006D1629" w:rsidP="006D1629">
      <w:pPr>
        <w:pStyle w:val="Body"/>
        <w:rPr>
          <w:sz w:val="20"/>
        </w:rPr>
      </w:pPr>
      <w:r w:rsidRPr="00E86460">
        <w:rPr>
          <w:sz w:val="20"/>
        </w:rPr>
        <w:t xml:space="preserve">Information about DH </w:t>
      </w:r>
      <w:r w:rsidR="001B6DC6">
        <w:rPr>
          <w:sz w:val="20"/>
        </w:rPr>
        <w:t xml:space="preserve">objectives </w:t>
      </w:r>
      <w:r w:rsidRPr="00E86460">
        <w:rPr>
          <w:sz w:val="20"/>
        </w:rPr>
        <w:t xml:space="preserve">is available at </w:t>
      </w:r>
      <w:hyperlink r:id="rId17" w:history="1">
        <w:r w:rsidR="00BF4181" w:rsidRPr="008A208C">
          <w:rPr>
            <w:rStyle w:val="Hyperlink"/>
            <w:sz w:val="20"/>
          </w:rPr>
          <w:t>Our strategic</w:t>
        </w:r>
        <w:r w:rsidR="00BF4181" w:rsidRPr="008A208C">
          <w:rPr>
            <w:rStyle w:val="Hyperlink"/>
          </w:rPr>
          <w:t xml:space="preserve"> plan</w:t>
        </w:r>
        <w:r w:rsidR="00BF4181" w:rsidRPr="008A208C">
          <w:rPr>
            <w:rStyle w:val="Hyperlink"/>
            <w:sz w:val="20"/>
          </w:rPr>
          <w:t xml:space="preserve"> </w:t>
        </w:r>
        <w:r w:rsidR="008A208C" w:rsidRPr="008A208C">
          <w:rPr>
            <w:rStyle w:val="Hyperlink"/>
            <w:sz w:val="20"/>
          </w:rPr>
          <w:t>2023-2027 (2025 update)</w:t>
        </w:r>
      </w:hyperlink>
      <w:r w:rsidR="00F91620" w:rsidRPr="00E86460">
        <w:rPr>
          <w:sz w:val="20"/>
        </w:rPr>
        <w:br/>
      </w:r>
      <w:r w:rsidRPr="00E86460">
        <w:rPr>
          <w:sz w:val="20"/>
        </w:rPr>
        <w:t>&lt;</w:t>
      </w:r>
      <w:r w:rsidR="00BF4181" w:rsidRPr="00BF4181">
        <w:t xml:space="preserve"> </w:t>
      </w:r>
      <w:r w:rsidR="00BF4181" w:rsidRPr="00BF4181">
        <w:rPr>
          <w:sz w:val="20"/>
        </w:rPr>
        <w:t>https://www.health.vic.gov.au/our-strategic-plan-2023-27</w:t>
      </w:r>
      <w:r w:rsidRPr="00E86460">
        <w:rPr>
          <w:sz w:val="20"/>
        </w:rPr>
        <w:t>&gt;.</w:t>
      </w:r>
    </w:p>
    <w:p w14:paraId="7B1D9D0E" w14:textId="5AD42B5B" w:rsidR="00B840B3" w:rsidRPr="00E86460" w:rsidRDefault="00B840B3" w:rsidP="00BA16C0">
      <w:pPr>
        <w:pStyle w:val="Bodyafterbullets"/>
        <w:rPr>
          <w:sz w:val="20"/>
        </w:rPr>
      </w:pPr>
      <w:r w:rsidRPr="00E86460">
        <w:rPr>
          <w:sz w:val="20"/>
        </w:rPr>
        <w:t>Each activity the department</w:t>
      </w:r>
      <w:r w:rsidR="00FF666D" w:rsidRPr="00E86460">
        <w:rPr>
          <w:sz w:val="20"/>
        </w:rPr>
        <w:t>s</w:t>
      </w:r>
      <w:r w:rsidRPr="00E86460">
        <w:rPr>
          <w:sz w:val="20"/>
        </w:rPr>
        <w:t xml:space="preserve"> fund is connected to one of these outcome objectives</w:t>
      </w:r>
      <w:r w:rsidR="00116B8E" w:rsidRPr="00E86460">
        <w:rPr>
          <w:sz w:val="20"/>
        </w:rPr>
        <w:t xml:space="preserve">, forming the basis </w:t>
      </w:r>
      <w:r w:rsidR="00B50BC1" w:rsidRPr="00E86460">
        <w:rPr>
          <w:sz w:val="20"/>
        </w:rPr>
        <w:t>for service delivery and performance outcomes</w:t>
      </w:r>
      <w:r w:rsidRPr="00E86460">
        <w:rPr>
          <w:sz w:val="20"/>
        </w:rPr>
        <w:t xml:space="preserve">. </w:t>
      </w:r>
    </w:p>
    <w:p w14:paraId="45E9224E" w14:textId="55C6F5F9" w:rsidR="00B840B3" w:rsidRPr="00E86460" w:rsidRDefault="00B840B3" w:rsidP="00B840B3">
      <w:pPr>
        <w:pStyle w:val="Body"/>
        <w:rPr>
          <w:sz w:val="20"/>
        </w:rPr>
      </w:pPr>
      <w:r w:rsidRPr="00E86460">
        <w:rPr>
          <w:sz w:val="20"/>
        </w:rPr>
        <w:t>In pursuing these outcomes, funded organisations are expected to:</w:t>
      </w:r>
    </w:p>
    <w:p w14:paraId="4CD73902" w14:textId="6D84A1D9" w:rsidR="00B840B3" w:rsidRDefault="00B840B3" w:rsidP="00B840B3">
      <w:pPr>
        <w:pStyle w:val="Heading3"/>
      </w:pPr>
      <w:bookmarkStart w:id="11" w:name="_Toc72421899"/>
      <w:bookmarkStart w:id="12" w:name="_Toc209175175"/>
      <w:r>
        <w:t>Act in the public interest</w:t>
      </w:r>
      <w:bookmarkEnd w:id="11"/>
      <w:bookmarkEnd w:id="12"/>
    </w:p>
    <w:p w14:paraId="1441EA23" w14:textId="25D35D36" w:rsidR="00B840B3" w:rsidRPr="00E86460" w:rsidRDefault="00B840B3" w:rsidP="00B840B3">
      <w:pPr>
        <w:pStyle w:val="Body"/>
        <w:rPr>
          <w:sz w:val="20"/>
        </w:rPr>
      </w:pPr>
      <w:r w:rsidRPr="00E86460">
        <w:rPr>
          <w:sz w:val="20"/>
        </w:rPr>
        <w:t>Services will be focused on the key outcomes of health, safety, participation and connectedness to culture and community</w:t>
      </w:r>
      <w:r w:rsidR="00F73F0D" w:rsidRPr="00E86460">
        <w:rPr>
          <w:sz w:val="20"/>
        </w:rPr>
        <w:t>,</w:t>
      </w:r>
      <w:r w:rsidRPr="00E86460">
        <w:rPr>
          <w:sz w:val="20"/>
        </w:rPr>
        <w:t xml:space="preserve"> and operate in a way that demonstrates the highest ethical standards and reflects transparency and honesty.</w:t>
      </w:r>
    </w:p>
    <w:p w14:paraId="03CA210F" w14:textId="77777777" w:rsidR="00B840B3" w:rsidRDefault="00B840B3" w:rsidP="00B840B3">
      <w:pPr>
        <w:pStyle w:val="Heading3"/>
      </w:pPr>
      <w:bookmarkStart w:id="13" w:name="_Toc72421900"/>
      <w:bookmarkStart w:id="14" w:name="_Toc209175176"/>
      <w:r>
        <w:t>Be accountable and have effective governance</w:t>
      </w:r>
      <w:bookmarkEnd w:id="13"/>
      <w:bookmarkEnd w:id="14"/>
    </w:p>
    <w:p w14:paraId="7C62F64A" w14:textId="3A22A512" w:rsidR="00B840B3" w:rsidRPr="00E86460" w:rsidRDefault="00B840B3" w:rsidP="00B840B3">
      <w:pPr>
        <w:pStyle w:val="Body"/>
        <w:rPr>
          <w:sz w:val="20"/>
        </w:rPr>
      </w:pPr>
      <w:r w:rsidRPr="00E86460">
        <w:rPr>
          <w:sz w:val="20"/>
        </w:rPr>
        <w:t xml:space="preserve">Organisations will be accountable against the policies and guidelines under the </w:t>
      </w:r>
      <w:r w:rsidR="00871C88" w:rsidRPr="00E86460">
        <w:rPr>
          <w:sz w:val="20"/>
        </w:rPr>
        <w:t>Service Agreement</w:t>
      </w:r>
      <w:r w:rsidRPr="00E86460">
        <w:rPr>
          <w:sz w:val="20"/>
        </w:rPr>
        <w:t xml:space="preserve"> </w:t>
      </w:r>
      <w:r w:rsidR="00AF656F" w:rsidRPr="00E86460">
        <w:rPr>
          <w:sz w:val="20"/>
        </w:rPr>
        <w:t xml:space="preserve">(see Schedule 3 of the </w:t>
      </w:r>
      <w:r w:rsidR="00871C88" w:rsidRPr="00E86460">
        <w:rPr>
          <w:sz w:val="20"/>
        </w:rPr>
        <w:t>Service Agreement</w:t>
      </w:r>
      <w:r w:rsidR="00430544" w:rsidRPr="00E86460">
        <w:rPr>
          <w:sz w:val="20"/>
        </w:rPr>
        <w:t xml:space="preserve"> – Applicable Departmental Policies)</w:t>
      </w:r>
      <w:r w:rsidRPr="00E86460">
        <w:rPr>
          <w:sz w:val="20"/>
        </w:rPr>
        <w:t xml:space="preserve"> and comply with relevant </w:t>
      </w:r>
      <w:r w:rsidR="008F712E">
        <w:rPr>
          <w:sz w:val="20"/>
        </w:rPr>
        <w:t>S</w:t>
      </w:r>
      <w:r w:rsidRPr="00E86460">
        <w:rPr>
          <w:sz w:val="20"/>
        </w:rPr>
        <w:t xml:space="preserve">tate and </w:t>
      </w:r>
      <w:r w:rsidR="008F712E">
        <w:rPr>
          <w:sz w:val="20"/>
        </w:rPr>
        <w:t>N</w:t>
      </w:r>
      <w:r w:rsidRPr="00E86460">
        <w:rPr>
          <w:sz w:val="20"/>
        </w:rPr>
        <w:t xml:space="preserve">ational laws that in any way affect or are applicable to the delivery of funded services. It is important that organisations have strong governance processes in place to support service delivery and ensure ongoing organisational viability. </w:t>
      </w:r>
    </w:p>
    <w:p w14:paraId="7B8F7DC6" w14:textId="757EF26F" w:rsidR="00B840B3" w:rsidRDefault="00B840B3" w:rsidP="00B840B3">
      <w:pPr>
        <w:pStyle w:val="Heading3"/>
      </w:pPr>
      <w:bookmarkStart w:id="15" w:name="_Toc72421901"/>
      <w:bookmarkStart w:id="16" w:name="_Toc209175177"/>
      <w:r>
        <w:t>Cooperate with the department</w:t>
      </w:r>
      <w:r w:rsidR="00FF666D">
        <w:t>s</w:t>
      </w:r>
      <w:r>
        <w:t xml:space="preserve"> and other providers to build an effective service system</w:t>
      </w:r>
      <w:bookmarkEnd w:id="15"/>
      <w:bookmarkEnd w:id="16"/>
    </w:p>
    <w:p w14:paraId="4AD90FBD" w14:textId="30D84072" w:rsidR="00B840B3" w:rsidRPr="00E86460" w:rsidRDefault="00022D55" w:rsidP="00B840B3">
      <w:pPr>
        <w:pStyle w:val="Body"/>
        <w:rPr>
          <w:sz w:val="20"/>
        </w:rPr>
      </w:pPr>
      <w:r w:rsidRPr="00E86460">
        <w:rPr>
          <w:sz w:val="20"/>
        </w:rPr>
        <w:t>Funded organisations</w:t>
      </w:r>
      <w:r w:rsidR="00B840B3" w:rsidRPr="00E86460">
        <w:rPr>
          <w:sz w:val="20"/>
        </w:rPr>
        <w:t xml:space="preserve"> </w:t>
      </w:r>
      <w:r w:rsidR="00C069F0" w:rsidRPr="00E86460">
        <w:rPr>
          <w:sz w:val="20"/>
        </w:rPr>
        <w:t>a</w:t>
      </w:r>
      <w:r w:rsidR="00B840B3" w:rsidRPr="00E86460">
        <w:rPr>
          <w:sz w:val="20"/>
        </w:rPr>
        <w:t xml:space="preserve">re at the </w:t>
      </w:r>
      <w:r w:rsidR="00D46322" w:rsidRPr="00E86460">
        <w:rPr>
          <w:sz w:val="20"/>
        </w:rPr>
        <w:t xml:space="preserve">forefront </w:t>
      </w:r>
      <w:r w:rsidR="00B840B3" w:rsidRPr="00E86460">
        <w:rPr>
          <w:sz w:val="20"/>
        </w:rPr>
        <w:t xml:space="preserve">of service delivery, with effective operation of the service system relying on each </w:t>
      </w:r>
      <w:r w:rsidR="00C069F0" w:rsidRPr="00E86460">
        <w:rPr>
          <w:sz w:val="20"/>
        </w:rPr>
        <w:t>organisation</w:t>
      </w:r>
      <w:r w:rsidR="00B840B3" w:rsidRPr="00E86460">
        <w:rPr>
          <w:sz w:val="20"/>
        </w:rPr>
        <w:t xml:space="preserve"> to apply their unique insight and expertise. Organisations are expected to be active players in the local community services industry. This includes</w:t>
      </w:r>
      <w:r w:rsidR="00EA0A57" w:rsidRPr="00E86460">
        <w:rPr>
          <w:sz w:val="20"/>
        </w:rPr>
        <w:t>, where applicable,</w:t>
      </w:r>
      <w:r w:rsidR="00B840B3" w:rsidRPr="00E86460">
        <w:rPr>
          <w:sz w:val="20"/>
        </w:rPr>
        <w:t xml:space="preserve"> sharing knowledge with each other, operating cooperatively and participating in sector capability building and reform initiatives. </w:t>
      </w:r>
    </w:p>
    <w:p w14:paraId="043D946A" w14:textId="77777777" w:rsidR="00B840B3" w:rsidRDefault="00B840B3" w:rsidP="00BD1855">
      <w:pPr>
        <w:pStyle w:val="Heading3"/>
      </w:pPr>
      <w:bookmarkStart w:id="17" w:name="_Toc209175178"/>
      <w:r>
        <w:lastRenderedPageBreak/>
        <w:t>Deliver services that contribute to effective service delivery outcomes</w:t>
      </w:r>
      <w:bookmarkEnd w:id="17"/>
    </w:p>
    <w:p w14:paraId="196BF05B" w14:textId="20D25BBA" w:rsidR="00B840B3" w:rsidRPr="00E86460" w:rsidRDefault="00F304CD" w:rsidP="00F2095C">
      <w:pPr>
        <w:pStyle w:val="Body"/>
        <w:rPr>
          <w:sz w:val="20"/>
        </w:rPr>
      </w:pPr>
      <w:r w:rsidRPr="00E86460">
        <w:rPr>
          <w:sz w:val="20"/>
        </w:rPr>
        <w:t>Organisations are expected to ensure that s</w:t>
      </w:r>
      <w:r w:rsidR="00B840B3" w:rsidRPr="00E86460">
        <w:rPr>
          <w:sz w:val="20"/>
        </w:rPr>
        <w:t xml:space="preserve">ervices are accessible to all Victorians and </w:t>
      </w:r>
      <w:r w:rsidR="00771E8D">
        <w:rPr>
          <w:sz w:val="20"/>
        </w:rPr>
        <w:t>able to be</w:t>
      </w:r>
      <w:r w:rsidR="00B840B3" w:rsidRPr="00E86460">
        <w:rPr>
          <w:sz w:val="20"/>
        </w:rPr>
        <w:t xml:space="preserve"> utilised by clients</w:t>
      </w:r>
      <w:r w:rsidR="00675B31" w:rsidRPr="00E86460">
        <w:rPr>
          <w:sz w:val="20"/>
        </w:rPr>
        <w:t xml:space="preserve">. </w:t>
      </w:r>
      <w:r w:rsidR="00B840B3" w:rsidRPr="00E86460">
        <w:rPr>
          <w:sz w:val="20"/>
        </w:rPr>
        <w:t xml:space="preserve">Services are </w:t>
      </w:r>
      <w:r w:rsidRPr="00E86460">
        <w:rPr>
          <w:sz w:val="20"/>
        </w:rPr>
        <w:t xml:space="preserve">to be </w:t>
      </w:r>
      <w:r w:rsidR="00B840B3" w:rsidRPr="00E86460">
        <w:rPr>
          <w:sz w:val="20"/>
        </w:rPr>
        <w:t>prioritised to clients according to need</w:t>
      </w:r>
      <w:r w:rsidR="00B840B3" w:rsidRPr="00E86460" w:rsidDel="00F304CD">
        <w:rPr>
          <w:sz w:val="20"/>
        </w:rPr>
        <w:t xml:space="preserve"> </w:t>
      </w:r>
      <w:r w:rsidRPr="00E86460">
        <w:rPr>
          <w:sz w:val="20"/>
        </w:rPr>
        <w:t xml:space="preserve">and </w:t>
      </w:r>
      <w:r w:rsidR="00B840B3" w:rsidRPr="00E86460">
        <w:rPr>
          <w:sz w:val="20"/>
        </w:rPr>
        <w:t>applied flexibly to meet individual client needs</w:t>
      </w:r>
      <w:r w:rsidR="00F2095C" w:rsidRPr="00E86460">
        <w:rPr>
          <w:sz w:val="20"/>
        </w:rPr>
        <w:t xml:space="preserve">. </w:t>
      </w:r>
      <w:r w:rsidR="00B840B3" w:rsidRPr="00E86460">
        <w:rPr>
          <w:sz w:val="20"/>
        </w:rPr>
        <w:t xml:space="preserve">Service engagement is </w:t>
      </w:r>
      <w:r w:rsidR="00397AE1" w:rsidRPr="00E86460">
        <w:rPr>
          <w:sz w:val="20"/>
        </w:rPr>
        <w:t xml:space="preserve">required to be </w:t>
      </w:r>
      <w:r w:rsidR="00B840B3" w:rsidRPr="00E86460">
        <w:rPr>
          <w:sz w:val="20"/>
        </w:rPr>
        <w:t>targeted to</w:t>
      </w:r>
      <w:r w:rsidR="00CA5757" w:rsidRPr="00E86460">
        <w:rPr>
          <w:sz w:val="20"/>
        </w:rPr>
        <w:t xml:space="preserve"> and effective in</w:t>
      </w:r>
      <w:r w:rsidR="00B840B3" w:rsidRPr="00E86460">
        <w:rPr>
          <w:sz w:val="20"/>
        </w:rPr>
        <w:t xml:space="preserve"> improving client outcomes.</w:t>
      </w:r>
    </w:p>
    <w:p w14:paraId="5CF084E2" w14:textId="6A12F1EE" w:rsidR="00B840B3" w:rsidRPr="00E86460" w:rsidRDefault="00B840B3" w:rsidP="00BA16C0">
      <w:pPr>
        <w:pStyle w:val="Bodyafterbullets"/>
        <w:rPr>
          <w:sz w:val="20"/>
        </w:rPr>
      </w:pPr>
      <w:r w:rsidRPr="00E86460">
        <w:rPr>
          <w:sz w:val="20"/>
        </w:rPr>
        <w:t xml:space="preserve">The </w:t>
      </w:r>
      <w:r w:rsidR="00871C88" w:rsidRPr="00E86460">
        <w:rPr>
          <w:sz w:val="20"/>
        </w:rPr>
        <w:t>Service Agreement</w:t>
      </w:r>
      <w:r w:rsidRPr="00E86460">
        <w:rPr>
          <w:sz w:val="20"/>
        </w:rPr>
        <w:t xml:space="preserve"> </w:t>
      </w:r>
      <w:r w:rsidR="00CA5757" w:rsidRPr="00E86460">
        <w:rPr>
          <w:sz w:val="20"/>
        </w:rPr>
        <w:t>requires</w:t>
      </w:r>
      <w:r w:rsidRPr="00E86460">
        <w:rPr>
          <w:sz w:val="20"/>
        </w:rPr>
        <w:t xml:space="preserve"> funded organisations to deliver client-centred services which produce the best possible outcomes for Victorians.</w:t>
      </w:r>
    </w:p>
    <w:p w14:paraId="1226CA4A" w14:textId="575627BF" w:rsidR="00B840B3" w:rsidRDefault="00B840B3" w:rsidP="00B840B3">
      <w:pPr>
        <w:pStyle w:val="Heading1"/>
      </w:pPr>
      <w:bookmarkStart w:id="18" w:name="_Toc72421902"/>
      <w:bookmarkStart w:id="19" w:name="_Toc209175179"/>
      <w:r>
        <w:t>Requirements and policies</w:t>
      </w:r>
      <w:bookmarkEnd w:id="18"/>
      <w:bookmarkEnd w:id="19"/>
    </w:p>
    <w:p w14:paraId="1656FFD1" w14:textId="1358B049" w:rsidR="00B840B3" w:rsidRPr="00E86460" w:rsidRDefault="00B840B3" w:rsidP="00B840B3">
      <w:pPr>
        <w:pStyle w:val="Body"/>
        <w:rPr>
          <w:sz w:val="20"/>
        </w:rPr>
      </w:pPr>
      <w:r w:rsidRPr="00E86460">
        <w:rPr>
          <w:sz w:val="20"/>
        </w:rPr>
        <w:t>This section describes the department</w:t>
      </w:r>
      <w:r w:rsidR="00FF666D" w:rsidRPr="00E86460">
        <w:rPr>
          <w:sz w:val="20"/>
        </w:rPr>
        <w:t>s’</w:t>
      </w:r>
      <w:r w:rsidRPr="00E86460">
        <w:rPr>
          <w:sz w:val="20"/>
        </w:rPr>
        <w:t xml:space="preserve"> requirements that all funded organisations must comply with</w:t>
      </w:r>
      <w:r w:rsidR="00964471">
        <w:rPr>
          <w:sz w:val="20"/>
        </w:rPr>
        <w:t>.</w:t>
      </w:r>
    </w:p>
    <w:p w14:paraId="0AD7E876" w14:textId="48ED852A" w:rsidR="00B840B3" w:rsidRDefault="00B840B3" w:rsidP="00FA71FE">
      <w:pPr>
        <w:pStyle w:val="Heading3"/>
      </w:pPr>
      <w:bookmarkStart w:id="20" w:name="_Toc72421909"/>
      <w:bookmarkStart w:id="21" w:name="_Toc209175180"/>
      <w:r>
        <w:t>User audit management</w:t>
      </w:r>
      <w:bookmarkEnd w:id="20"/>
      <w:r>
        <w:t xml:space="preserve"> </w:t>
      </w:r>
      <w:r w:rsidR="00B743AF">
        <w:t>and privacy</w:t>
      </w:r>
      <w:bookmarkEnd w:id="21"/>
    </w:p>
    <w:p w14:paraId="17FD9A76" w14:textId="347FAF62" w:rsidR="00B840B3" w:rsidRPr="00E86460" w:rsidRDefault="00B840B3" w:rsidP="00B840B3">
      <w:pPr>
        <w:pStyle w:val="Body"/>
        <w:rPr>
          <w:sz w:val="20"/>
        </w:rPr>
      </w:pPr>
      <w:r w:rsidRPr="00E86460">
        <w:rPr>
          <w:sz w:val="20"/>
        </w:rPr>
        <w:t>The department</w:t>
      </w:r>
      <w:r w:rsidR="00322893" w:rsidRPr="00E86460">
        <w:rPr>
          <w:sz w:val="20"/>
        </w:rPr>
        <w:t>s</w:t>
      </w:r>
      <w:r w:rsidRPr="00E86460">
        <w:rPr>
          <w:sz w:val="20"/>
        </w:rPr>
        <w:t xml:space="preserve"> provide funded organisations with access to applications and systems to support effective service delivery. These applications often contain sensitive client and financial information, meaning it is imperative that user access is strictly controlled. The department</w:t>
      </w:r>
      <w:r w:rsidR="00322893" w:rsidRPr="00E86460">
        <w:rPr>
          <w:sz w:val="20"/>
        </w:rPr>
        <w:t>s</w:t>
      </w:r>
      <w:r w:rsidRPr="00E86460">
        <w:rPr>
          <w:sz w:val="20"/>
        </w:rPr>
        <w:t xml:space="preserve"> ha</w:t>
      </w:r>
      <w:r w:rsidR="00322893" w:rsidRPr="00E86460">
        <w:rPr>
          <w:sz w:val="20"/>
        </w:rPr>
        <w:t>ve</w:t>
      </w:r>
      <w:r w:rsidRPr="00E86460">
        <w:rPr>
          <w:sz w:val="20"/>
        </w:rPr>
        <w:t xml:space="preserve"> processes in place for managing users, including revoking access when an employee ceases employment with a funded organisation. </w:t>
      </w:r>
    </w:p>
    <w:p w14:paraId="771B5F0E" w14:textId="45B7499F" w:rsidR="00B840B3" w:rsidRPr="00E86460" w:rsidRDefault="00B840B3" w:rsidP="00B840B3">
      <w:pPr>
        <w:pStyle w:val="Body"/>
        <w:rPr>
          <w:sz w:val="20"/>
        </w:rPr>
      </w:pPr>
      <w:r w:rsidRPr="00E86460">
        <w:rPr>
          <w:sz w:val="20"/>
        </w:rPr>
        <w:t>Organisations must comply with the departments</w:t>
      </w:r>
      <w:r w:rsidR="00322893" w:rsidRPr="00E86460">
        <w:rPr>
          <w:sz w:val="20"/>
        </w:rPr>
        <w:t>’</w:t>
      </w:r>
      <w:r w:rsidRPr="00E86460">
        <w:rPr>
          <w:sz w:val="20"/>
        </w:rPr>
        <w:t xml:space="preserve"> user management processes </w:t>
      </w:r>
      <w:r w:rsidR="00431F45" w:rsidRPr="00E86460">
        <w:rPr>
          <w:sz w:val="20"/>
        </w:rPr>
        <w:t xml:space="preserve">and policies </w:t>
      </w:r>
      <w:r w:rsidRPr="00E86460">
        <w:rPr>
          <w:sz w:val="20"/>
        </w:rPr>
        <w:t xml:space="preserve">for each system or application they are granted access to and must have adequate internal controls to audit their employee user credentials. Failure to do so may result in whole-of-organisation system or application access being terminated. </w:t>
      </w:r>
    </w:p>
    <w:p w14:paraId="003D53A4" w14:textId="196B9A17" w:rsidR="00B743AF" w:rsidRPr="00E86460" w:rsidRDefault="00B743AF" w:rsidP="00293E0F">
      <w:pPr>
        <w:pStyle w:val="size-141"/>
        <w:spacing w:before="0" w:beforeAutospacing="0" w:after="0" w:afterAutospacing="0" w:line="280" w:lineRule="atLeast"/>
        <w:textAlignment w:val="center"/>
        <w:rPr>
          <w:rFonts w:ascii="Arial" w:hAnsi="Arial" w:cs="Arial"/>
          <w:color w:val="000000"/>
          <w:position w:val="17"/>
          <w:sz w:val="20"/>
          <w:szCs w:val="20"/>
        </w:rPr>
      </w:pPr>
      <w:r w:rsidRPr="00E86460">
        <w:rPr>
          <w:rFonts w:ascii="Arial" w:hAnsi="Arial" w:cs="Arial"/>
          <w:color w:val="000000"/>
          <w:position w:val="17"/>
          <w:sz w:val="20"/>
          <w:szCs w:val="20"/>
        </w:rPr>
        <w:t>Through the provision of services to the community, and by accessing departmental applications and systems, organisations have privileged access to sensitive information about clients. This access is provided based on trust, and it is critical that we uphold this trust by protecting the privacy of this information. </w:t>
      </w:r>
    </w:p>
    <w:p w14:paraId="5000F978" w14:textId="18241580" w:rsidR="00455866" w:rsidRPr="007F626C" w:rsidRDefault="000F4956" w:rsidP="00FA71FE">
      <w:pPr>
        <w:pStyle w:val="Heading3"/>
      </w:pPr>
      <w:bookmarkStart w:id="22" w:name="_Toc209175181"/>
      <w:r w:rsidRPr="00A7111A">
        <w:t xml:space="preserve">Acceptance of </w:t>
      </w:r>
      <w:r w:rsidR="00871C88">
        <w:t>Service Agreement</w:t>
      </w:r>
      <w:r w:rsidRPr="00A7111A">
        <w:t>s</w:t>
      </w:r>
      <w:bookmarkEnd w:id="22"/>
    </w:p>
    <w:p w14:paraId="3E424293" w14:textId="605F6FB9" w:rsidR="00B840B3" w:rsidRPr="00E86460" w:rsidRDefault="00B840B3" w:rsidP="00B840B3">
      <w:pPr>
        <w:pStyle w:val="Body"/>
        <w:rPr>
          <w:sz w:val="20"/>
        </w:rPr>
      </w:pPr>
      <w:r w:rsidRPr="00E86460">
        <w:rPr>
          <w:sz w:val="20"/>
        </w:rPr>
        <w:t>Organisations with an existing funding and service delivery relationship with the department</w:t>
      </w:r>
      <w:r w:rsidR="00322893" w:rsidRPr="00E86460">
        <w:rPr>
          <w:sz w:val="20"/>
        </w:rPr>
        <w:t>s</w:t>
      </w:r>
      <w:r w:rsidRPr="00E86460">
        <w:rPr>
          <w:sz w:val="20"/>
        </w:rPr>
        <w:t xml:space="preserve"> are not required to physically sign the </w:t>
      </w:r>
      <w:r w:rsidR="00871C88" w:rsidRPr="00E86460">
        <w:rPr>
          <w:sz w:val="20"/>
        </w:rPr>
        <w:t>Service Agreement</w:t>
      </w:r>
      <w:r w:rsidR="000F4956" w:rsidRPr="00E86460">
        <w:rPr>
          <w:sz w:val="20"/>
        </w:rPr>
        <w:t xml:space="preserve"> to accept it</w:t>
      </w:r>
      <w:r w:rsidRPr="00E86460">
        <w:rPr>
          <w:sz w:val="20"/>
        </w:rPr>
        <w:t>.</w:t>
      </w:r>
      <w:r w:rsidR="472D707C" w:rsidRPr="00E86460">
        <w:rPr>
          <w:sz w:val="20"/>
        </w:rPr>
        <w:t xml:space="preserve"> </w:t>
      </w:r>
    </w:p>
    <w:p w14:paraId="5B8AB8E8" w14:textId="3D78904C" w:rsidR="00B840B3" w:rsidRPr="00E86460" w:rsidRDefault="00B840B3" w:rsidP="00B840B3">
      <w:pPr>
        <w:pStyle w:val="Body"/>
        <w:rPr>
          <w:sz w:val="20"/>
        </w:rPr>
      </w:pPr>
      <w:r w:rsidRPr="00E86460">
        <w:rPr>
          <w:sz w:val="20"/>
        </w:rPr>
        <w:t xml:space="preserve">Organisations are also not required to sign subsequent variations to the </w:t>
      </w:r>
      <w:r w:rsidR="00871C88" w:rsidRPr="00E86460">
        <w:rPr>
          <w:sz w:val="20"/>
        </w:rPr>
        <w:t>Service Agreement</w:t>
      </w:r>
      <w:r w:rsidRPr="00E86460">
        <w:rPr>
          <w:sz w:val="20"/>
        </w:rPr>
        <w:t xml:space="preserve"> where there is a change to funding, deliverables or other matters contained in the </w:t>
      </w:r>
      <w:r w:rsidR="00871C88" w:rsidRPr="00E86460">
        <w:rPr>
          <w:sz w:val="20"/>
        </w:rPr>
        <w:t>Service Agreement</w:t>
      </w:r>
      <w:r w:rsidRPr="00E86460">
        <w:rPr>
          <w:sz w:val="20"/>
        </w:rPr>
        <w:t>.</w:t>
      </w:r>
      <w:r w:rsidR="00A07BEF" w:rsidRPr="00E86460">
        <w:rPr>
          <w:sz w:val="20"/>
        </w:rPr>
        <w:t xml:space="preserve"> When a </w:t>
      </w:r>
      <w:r w:rsidR="00871C88" w:rsidRPr="00E86460">
        <w:rPr>
          <w:sz w:val="20"/>
        </w:rPr>
        <w:t>Service Agreement</w:t>
      </w:r>
      <w:r w:rsidR="00A07BEF" w:rsidRPr="00E86460">
        <w:rPr>
          <w:sz w:val="20"/>
        </w:rPr>
        <w:t xml:space="preserve"> is varied, t</w:t>
      </w:r>
      <w:r w:rsidRPr="00E86460">
        <w:rPr>
          <w:sz w:val="20"/>
        </w:rPr>
        <w:t>he department</w:t>
      </w:r>
      <w:r w:rsidR="00322893" w:rsidRPr="00E86460">
        <w:rPr>
          <w:sz w:val="20"/>
        </w:rPr>
        <w:t>s</w:t>
      </w:r>
      <w:r w:rsidRPr="00E86460">
        <w:rPr>
          <w:sz w:val="20"/>
        </w:rPr>
        <w:t xml:space="preserve"> will provide organisations with</w:t>
      </w:r>
      <w:r w:rsidR="00A07BEF" w:rsidRPr="00E86460">
        <w:rPr>
          <w:sz w:val="20"/>
        </w:rPr>
        <w:t xml:space="preserve"> a</w:t>
      </w:r>
      <w:r w:rsidRPr="00E86460">
        <w:rPr>
          <w:sz w:val="20"/>
        </w:rPr>
        <w:t xml:space="preserve"> notice of variation to enable organisations to consider the change to the </w:t>
      </w:r>
      <w:r w:rsidR="00871C88" w:rsidRPr="00E86460">
        <w:rPr>
          <w:sz w:val="20"/>
        </w:rPr>
        <w:t>Service Agreement</w:t>
      </w:r>
      <w:r w:rsidRPr="00E86460">
        <w:rPr>
          <w:sz w:val="20"/>
        </w:rPr>
        <w:t>.</w:t>
      </w:r>
      <w:r w:rsidR="008653AF" w:rsidRPr="00E86460">
        <w:rPr>
          <w:sz w:val="20"/>
        </w:rPr>
        <w:t xml:space="preserve"> </w:t>
      </w:r>
      <w:r w:rsidRPr="00E86460">
        <w:rPr>
          <w:sz w:val="20"/>
        </w:rPr>
        <w:t xml:space="preserve">Where an organisation prefers to hold/sign a paper copy of their </w:t>
      </w:r>
      <w:r w:rsidR="00871C88" w:rsidRPr="00E86460">
        <w:rPr>
          <w:sz w:val="20"/>
        </w:rPr>
        <w:t>Service Agreement</w:t>
      </w:r>
      <w:r w:rsidRPr="00E86460">
        <w:rPr>
          <w:sz w:val="20"/>
        </w:rPr>
        <w:t xml:space="preserve"> or variation, authorised staff can download a Portable Document Format (PDF) version of the </w:t>
      </w:r>
      <w:r w:rsidR="00871C88" w:rsidRPr="00E86460">
        <w:rPr>
          <w:sz w:val="20"/>
        </w:rPr>
        <w:t>Service Agreement</w:t>
      </w:r>
      <w:r w:rsidR="005F7B31" w:rsidRPr="00E86460">
        <w:rPr>
          <w:sz w:val="20"/>
        </w:rPr>
        <w:t xml:space="preserve"> </w:t>
      </w:r>
      <w:r w:rsidR="0032239B" w:rsidRPr="00E86460">
        <w:rPr>
          <w:sz w:val="20"/>
        </w:rPr>
        <w:t>through</w:t>
      </w:r>
      <w:r w:rsidRPr="00E86460">
        <w:rPr>
          <w:sz w:val="20"/>
        </w:rPr>
        <w:t xml:space="preserve"> the </w:t>
      </w:r>
      <w:r w:rsidR="00871C88" w:rsidRPr="00E86460">
        <w:rPr>
          <w:sz w:val="20"/>
        </w:rPr>
        <w:t>Service Agreement</w:t>
      </w:r>
      <w:r w:rsidRPr="00E86460">
        <w:rPr>
          <w:sz w:val="20"/>
        </w:rPr>
        <w:t xml:space="preserve"> Module in </w:t>
      </w:r>
      <w:hyperlink r:id="rId18" w:history="1">
        <w:r w:rsidR="00845AEC" w:rsidRPr="00E86460">
          <w:rPr>
            <w:rStyle w:val="Hyperlink"/>
            <w:sz w:val="20"/>
          </w:rPr>
          <w:t>My Agency</w:t>
        </w:r>
      </w:hyperlink>
      <w:r w:rsidRPr="00E86460">
        <w:rPr>
          <w:sz w:val="20"/>
        </w:rPr>
        <w:t xml:space="preserve"> &lt;https://fac.</w:t>
      </w:r>
      <w:r w:rsidR="00AD68F2" w:rsidRPr="00E86460">
        <w:rPr>
          <w:sz w:val="20"/>
        </w:rPr>
        <w:t>dffh</w:t>
      </w:r>
      <w:r w:rsidRPr="00E86460">
        <w:rPr>
          <w:sz w:val="20"/>
        </w:rPr>
        <w:t xml:space="preserve">.vic.gov.au/my-agency&gt;. </w:t>
      </w:r>
    </w:p>
    <w:p w14:paraId="73E48CE5" w14:textId="0AEA46C2" w:rsidR="00B840B3" w:rsidRDefault="00B840B3" w:rsidP="00A44F5C">
      <w:pPr>
        <w:pStyle w:val="Heading3"/>
      </w:pPr>
      <w:bookmarkStart w:id="23" w:name="_Toc72421913"/>
      <w:bookmarkStart w:id="24" w:name="_Toc209175182"/>
      <w:r>
        <w:t xml:space="preserve">Management of </w:t>
      </w:r>
      <w:bookmarkEnd w:id="23"/>
      <w:r w:rsidR="00871C88">
        <w:t>Service Agreement</w:t>
      </w:r>
      <w:r>
        <w:t>s</w:t>
      </w:r>
      <w:bookmarkEnd w:id="24"/>
    </w:p>
    <w:p w14:paraId="21FE2D9F" w14:textId="6C410012" w:rsidR="00B840B3" w:rsidRPr="00E86460" w:rsidRDefault="007F3048" w:rsidP="00B840B3">
      <w:pPr>
        <w:pStyle w:val="Body"/>
        <w:rPr>
          <w:sz w:val="20"/>
        </w:rPr>
      </w:pPr>
      <w:r w:rsidRPr="00E86460">
        <w:rPr>
          <w:sz w:val="20"/>
        </w:rPr>
        <w:t>V</w:t>
      </w:r>
      <w:r w:rsidR="00B840B3" w:rsidRPr="00E86460">
        <w:rPr>
          <w:sz w:val="20"/>
        </w:rPr>
        <w:t xml:space="preserve">ariations to </w:t>
      </w:r>
      <w:r w:rsidR="00871C88" w:rsidRPr="00E86460">
        <w:rPr>
          <w:sz w:val="20"/>
        </w:rPr>
        <w:t>Service Agreement</w:t>
      </w:r>
      <w:r w:rsidR="00B840B3" w:rsidRPr="00E86460">
        <w:rPr>
          <w:sz w:val="20"/>
        </w:rPr>
        <w:t xml:space="preserve">s </w:t>
      </w:r>
      <w:r w:rsidR="00942F68" w:rsidRPr="00E86460">
        <w:rPr>
          <w:sz w:val="20"/>
        </w:rPr>
        <w:t>are</w:t>
      </w:r>
      <w:r w:rsidR="00B840B3" w:rsidRPr="00E86460">
        <w:rPr>
          <w:sz w:val="20"/>
        </w:rPr>
        <w:t xml:space="preserve"> processed monthly, where required, to ensure that organisations receive funding for new or revised services in a timely manner.</w:t>
      </w:r>
    </w:p>
    <w:p w14:paraId="0A8B7B6A" w14:textId="4069F979" w:rsidR="000F1F1E" w:rsidRPr="00E86460" w:rsidRDefault="00A44F5C" w:rsidP="000F1F1E">
      <w:pPr>
        <w:pStyle w:val="Tablecaption"/>
        <w:rPr>
          <w:sz w:val="20"/>
        </w:rPr>
      </w:pPr>
      <w:r w:rsidRPr="00E86460">
        <w:rPr>
          <w:sz w:val="20"/>
        </w:rPr>
        <w:lastRenderedPageBreak/>
        <w:t xml:space="preserve">Key dates affecting </w:t>
      </w:r>
      <w:r w:rsidR="00871C88" w:rsidRPr="00E86460">
        <w:rPr>
          <w:sz w:val="20"/>
        </w:rPr>
        <w:t xml:space="preserve">Service </w:t>
      </w:r>
      <w:r w:rsidR="00F8307E" w:rsidRPr="00E86460">
        <w:rPr>
          <w:sz w:val="20"/>
        </w:rPr>
        <w:t>Agreements</w:t>
      </w:r>
    </w:p>
    <w:tbl>
      <w:tblPr>
        <w:tblStyle w:val="TableGrid"/>
        <w:tblW w:w="9067" w:type="dxa"/>
        <w:tblLook w:val="06A0" w:firstRow="1" w:lastRow="0" w:firstColumn="1" w:lastColumn="0" w:noHBand="1" w:noVBand="1"/>
      </w:tblPr>
      <w:tblGrid>
        <w:gridCol w:w="2320"/>
        <w:gridCol w:w="6747"/>
      </w:tblGrid>
      <w:tr w:rsidR="00A44F5C" w14:paraId="1EA1E504" w14:textId="77777777" w:rsidTr="00FE51EB">
        <w:trPr>
          <w:trHeight w:val="300"/>
          <w:tblHeader/>
        </w:trPr>
        <w:tc>
          <w:tcPr>
            <w:tcW w:w="2320" w:type="dxa"/>
          </w:tcPr>
          <w:p w14:paraId="240A59D1" w14:textId="4CF31F04" w:rsidR="00A44F5C" w:rsidRPr="00E86460" w:rsidRDefault="00A44F5C" w:rsidP="00B544E9">
            <w:pPr>
              <w:pStyle w:val="Tablecolhead"/>
              <w:rPr>
                <w:sz w:val="20"/>
              </w:rPr>
            </w:pPr>
            <w:r w:rsidRPr="00E86460">
              <w:rPr>
                <w:sz w:val="20"/>
              </w:rPr>
              <w:t>Dates</w:t>
            </w:r>
          </w:p>
        </w:tc>
        <w:tc>
          <w:tcPr>
            <w:tcW w:w="6747" w:type="dxa"/>
          </w:tcPr>
          <w:p w14:paraId="3C246544" w14:textId="44BB7AE0" w:rsidR="00A44F5C" w:rsidRPr="00E86460" w:rsidRDefault="00A44F5C" w:rsidP="002365B4">
            <w:pPr>
              <w:pStyle w:val="Tablecolhead"/>
              <w:rPr>
                <w:sz w:val="20"/>
              </w:rPr>
            </w:pPr>
            <w:r w:rsidRPr="00E86460">
              <w:rPr>
                <w:sz w:val="20"/>
              </w:rPr>
              <w:t>Item</w:t>
            </w:r>
          </w:p>
        </w:tc>
      </w:tr>
      <w:tr w:rsidR="00A44F5C" w14:paraId="1AF3E3C0" w14:textId="77777777" w:rsidTr="00FE51EB">
        <w:trPr>
          <w:trHeight w:val="300"/>
        </w:trPr>
        <w:tc>
          <w:tcPr>
            <w:tcW w:w="2320" w:type="dxa"/>
          </w:tcPr>
          <w:p w14:paraId="58552FCB" w14:textId="268675DC" w:rsidR="00A44F5C" w:rsidRPr="00E86460" w:rsidRDefault="00A44F5C" w:rsidP="00B544E9">
            <w:pPr>
              <w:pStyle w:val="Tabletext"/>
              <w:rPr>
                <w:b/>
                <w:bCs/>
                <w:sz w:val="20"/>
              </w:rPr>
            </w:pPr>
            <w:r w:rsidRPr="00E86460">
              <w:rPr>
                <w:b/>
                <w:bCs/>
                <w:sz w:val="20"/>
              </w:rPr>
              <w:t>Late June</w:t>
            </w:r>
          </w:p>
        </w:tc>
        <w:tc>
          <w:tcPr>
            <w:tcW w:w="6747" w:type="dxa"/>
          </w:tcPr>
          <w:p w14:paraId="2646F433" w14:textId="1FF8A841" w:rsidR="00A44F5C" w:rsidRPr="00E86460" w:rsidRDefault="00A44F5C" w:rsidP="002365B4">
            <w:pPr>
              <w:pStyle w:val="Tabletext"/>
              <w:rPr>
                <w:sz w:val="20"/>
              </w:rPr>
            </w:pPr>
            <w:r w:rsidRPr="00E86460">
              <w:rPr>
                <w:b/>
                <w:bCs/>
                <w:sz w:val="20"/>
              </w:rPr>
              <w:t xml:space="preserve">Annual </w:t>
            </w:r>
            <w:r w:rsidR="00871C88" w:rsidRPr="00E86460">
              <w:rPr>
                <w:b/>
                <w:bCs/>
                <w:sz w:val="20"/>
              </w:rPr>
              <w:t>Service Agreement</w:t>
            </w:r>
            <w:r w:rsidRPr="00E86460">
              <w:rPr>
                <w:b/>
                <w:bCs/>
                <w:sz w:val="20"/>
              </w:rPr>
              <w:t xml:space="preserve"> transition</w:t>
            </w:r>
            <w:r w:rsidRPr="00E86460">
              <w:rPr>
                <w:sz w:val="20"/>
              </w:rPr>
              <w:t xml:space="preserve"> </w:t>
            </w:r>
          </w:p>
          <w:p w14:paraId="373252B5" w14:textId="50B3B153" w:rsidR="00A44F5C" w:rsidRDefault="00A44F5C" w:rsidP="00B544E9">
            <w:pPr>
              <w:pStyle w:val="Tabletext"/>
            </w:pPr>
            <w:r w:rsidRPr="00E86460">
              <w:rPr>
                <w:sz w:val="20"/>
              </w:rPr>
              <w:t xml:space="preserve">Current year funding cannot be changed after the first week of June. </w:t>
            </w:r>
            <w:r w:rsidR="00CC5588" w:rsidRPr="00E86460">
              <w:rPr>
                <w:sz w:val="20"/>
              </w:rPr>
              <w:t xml:space="preserve">Funding for the next year </w:t>
            </w:r>
            <w:r w:rsidRPr="00E86460">
              <w:rPr>
                <w:sz w:val="20"/>
              </w:rPr>
              <w:t xml:space="preserve">can be viewed on </w:t>
            </w:r>
            <w:hyperlink r:id="rId19" w:history="1">
              <w:r w:rsidR="00845AEC" w:rsidRPr="00E86460">
                <w:rPr>
                  <w:rStyle w:val="Hyperlink"/>
                  <w:sz w:val="20"/>
                </w:rPr>
                <w:t>My Agency</w:t>
              </w:r>
            </w:hyperlink>
            <w:r w:rsidRPr="00E86460">
              <w:rPr>
                <w:sz w:val="20"/>
              </w:rPr>
              <w:t xml:space="preserve"> &lt;https://fac.</w:t>
            </w:r>
            <w:r w:rsidR="00722D3A" w:rsidRPr="00E86460">
              <w:rPr>
                <w:sz w:val="20"/>
              </w:rPr>
              <w:t>dffh</w:t>
            </w:r>
            <w:r w:rsidRPr="00E86460">
              <w:rPr>
                <w:sz w:val="20"/>
              </w:rPr>
              <w:t xml:space="preserve">.vic.gov.au/my-agency&gt;, where applicable. At the end of each </w:t>
            </w:r>
            <w:r w:rsidR="000925E7" w:rsidRPr="00E86460">
              <w:rPr>
                <w:sz w:val="20"/>
              </w:rPr>
              <w:t>four-year</w:t>
            </w:r>
            <w:r w:rsidRPr="00E86460">
              <w:rPr>
                <w:sz w:val="20"/>
              </w:rPr>
              <w:t xml:space="preserve"> cycle, </w:t>
            </w:r>
            <w:r w:rsidR="00871C88" w:rsidRPr="00E86460">
              <w:rPr>
                <w:sz w:val="20"/>
              </w:rPr>
              <w:t>Service Agreement</w:t>
            </w:r>
            <w:r w:rsidRPr="00E86460">
              <w:rPr>
                <w:sz w:val="20"/>
              </w:rPr>
              <w:t>s with approved future year funding are rolled over for the next four</w:t>
            </w:r>
            <w:r w:rsidR="00DD2327" w:rsidRPr="00E86460">
              <w:rPr>
                <w:sz w:val="20"/>
              </w:rPr>
              <w:t>-</w:t>
            </w:r>
            <w:r w:rsidRPr="00E86460">
              <w:rPr>
                <w:sz w:val="20"/>
              </w:rPr>
              <w:t>year cycle.</w:t>
            </w:r>
          </w:p>
        </w:tc>
      </w:tr>
      <w:tr w:rsidR="00A44F5C" w14:paraId="2E7AA82A" w14:textId="77777777" w:rsidTr="00FE51EB">
        <w:trPr>
          <w:trHeight w:val="586"/>
        </w:trPr>
        <w:tc>
          <w:tcPr>
            <w:tcW w:w="2320" w:type="dxa"/>
          </w:tcPr>
          <w:p w14:paraId="4A3035C3" w14:textId="4F227066" w:rsidR="32D2BF6C" w:rsidRPr="00E86460" w:rsidRDefault="32D2BF6C" w:rsidP="37812B23">
            <w:pPr>
              <w:pStyle w:val="Tabletext"/>
              <w:rPr>
                <w:b/>
                <w:bCs/>
                <w:sz w:val="20"/>
              </w:rPr>
            </w:pPr>
            <w:r w:rsidRPr="00E86460">
              <w:rPr>
                <w:b/>
                <w:bCs/>
                <w:sz w:val="20"/>
              </w:rPr>
              <w:t>First Tuesday of each month</w:t>
            </w:r>
          </w:p>
        </w:tc>
        <w:tc>
          <w:tcPr>
            <w:tcW w:w="6747" w:type="dxa"/>
          </w:tcPr>
          <w:p w14:paraId="04366383" w14:textId="77777777" w:rsidR="32D2BF6C" w:rsidRPr="00E86460" w:rsidRDefault="32D2BF6C" w:rsidP="37812B23">
            <w:pPr>
              <w:pStyle w:val="Tabletext"/>
              <w:rPr>
                <w:b/>
                <w:bCs/>
                <w:sz w:val="20"/>
              </w:rPr>
            </w:pPr>
            <w:r w:rsidRPr="00E86460">
              <w:rPr>
                <w:b/>
                <w:bCs/>
                <w:sz w:val="20"/>
              </w:rPr>
              <w:t>Monthly payments</w:t>
            </w:r>
          </w:p>
          <w:p w14:paraId="4BD93E28" w14:textId="302E5205" w:rsidR="32D2BF6C" w:rsidRPr="00E86460" w:rsidRDefault="32D2BF6C" w:rsidP="37812B23">
            <w:pPr>
              <w:pStyle w:val="Tabletext"/>
              <w:rPr>
                <w:b/>
                <w:bCs/>
                <w:sz w:val="20"/>
              </w:rPr>
            </w:pPr>
            <w:r w:rsidRPr="00E86460">
              <w:rPr>
                <w:sz w:val="20"/>
              </w:rPr>
              <w:t>Regular monthly payment is made.</w:t>
            </w:r>
          </w:p>
        </w:tc>
      </w:tr>
      <w:tr w:rsidR="00A44F5C" w14:paraId="7FCEEA59" w14:textId="77777777" w:rsidTr="00FE51EB">
        <w:trPr>
          <w:trHeight w:val="756"/>
        </w:trPr>
        <w:tc>
          <w:tcPr>
            <w:tcW w:w="2320" w:type="dxa"/>
          </w:tcPr>
          <w:p w14:paraId="629FA9DC" w14:textId="32ACCD7B" w:rsidR="2F02FEAF" w:rsidRPr="00E86460" w:rsidRDefault="002506FF" w:rsidP="37812B23">
            <w:pPr>
              <w:pStyle w:val="Tabletext"/>
              <w:rPr>
                <w:b/>
                <w:bCs/>
                <w:sz w:val="20"/>
              </w:rPr>
            </w:pPr>
            <w:r w:rsidRPr="00E86460">
              <w:rPr>
                <w:b/>
                <w:bCs/>
                <w:sz w:val="20"/>
              </w:rPr>
              <w:t>Third week of each month</w:t>
            </w:r>
          </w:p>
        </w:tc>
        <w:tc>
          <w:tcPr>
            <w:tcW w:w="6747" w:type="dxa"/>
          </w:tcPr>
          <w:p w14:paraId="04016633" w14:textId="77777777" w:rsidR="5F3BEDF6" w:rsidRPr="00E86460" w:rsidRDefault="5F3BEDF6" w:rsidP="37812B23">
            <w:pPr>
              <w:pStyle w:val="Tabletext"/>
              <w:rPr>
                <w:b/>
                <w:bCs/>
                <w:sz w:val="20"/>
              </w:rPr>
            </w:pPr>
            <w:r w:rsidRPr="00E86460">
              <w:rPr>
                <w:b/>
                <w:bCs/>
                <w:sz w:val="20"/>
              </w:rPr>
              <w:t>Monthly variations published</w:t>
            </w:r>
          </w:p>
          <w:p w14:paraId="02581146" w14:textId="3D04BFC2" w:rsidR="5F3BEDF6" w:rsidRPr="00E86460" w:rsidRDefault="5F3BEDF6" w:rsidP="37812B23">
            <w:pPr>
              <w:pStyle w:val="Tabletext"/>
              <w:rPr>
                <w:sz w:val="20"/>
              </w:rPr>
            </w:pPr>
            <w:r w:rsidRPr="00E86460">
              <w:rPr>
                <w:sz w:val="20"/>
              </w:rPr>
              <w:t xml:space="preserve">Organisations can view proposed changes on </w:t>
            </w:r>
            <w:hyperlink r:id="rId20">
              <w:r w:rsidRPr="00E86460">
                <w:rPr>
                  <w:rStyle w:val="Hyperlink"/>
                  <w:sz w:val="20"/>
                </w:rPr>
                <w:t>My Agency</w:t>
              </w:r>
            </w:hyperlink>
            <w:r w:rsidRPr="00E86460">
              <w:rPr>
                <w:sz w:val="20"/>
              </w:rPr>
              <w:t xml:space="preserve"> &lt;https://fac.dffh.vic.gov.au/my-agency&gt;. Email advice is sent to department and organisation signatories to undertake </w:t>
            </w:r>
            <w:r w:rsidR="005A30E4" w:rsidRPr="00E86460">
              <w:rPr>
                <w:sz w:val="20"/>
              </w:rPr>
              <w:t>validation of variation</w:t>
            </w:r>
            <w:r w:rsidRPr="00E86460">
              <w:rPr>
                <w:sz w:val="20"/>
              </w:rPr>
              <w:t>.</w:t>
            </w:r>
          </w:p>
          <w:p w14:paraId="4E58ED4F" w14:textId="12C9EEEC" w:rsidR="5F3BEDF6" w:rsidRPr="00E86460" w:rsidRDefault="5F3BEDF6" w:rsidP="37812B23">
            <w:pPr>
              <w:pStyle w:val="Tabletext"/>
              <w:rPr>
                <w:b/>
                <w:bCs/>
                <w:sz w:val="20"/>
              </w:rPr>
            </w:pPr>
            <w:r w:rsidRPr="00E86460">
              <w:rPr>
                <w:sz w:val="20"/>
              </w:rPr>
              <w:t xml:space="preserve">The organisation should contact their service plan lead </w:t>
            </w:r>
            <w:r w:rsidR="00967114" w:rsidRPr="00E86460">
              <w:rPr>
                <w:sz w:val="20"/>
              </w:rPr>
              <w:t>if there are any queries</w:t>
            </w:r>
            <w:r w:rsidRPr="00E86460">
              <w:rPr>
                <w:sz w:val="20"/>
              </w:rPr>
              <w:t>.</w:t>
            </w:r>
          </w:p>
        </w:tc>
      </w:tr>
      <w:tr w:rsidR="00A44F5C" w14:paraId="529812DC" w14:textId="77777777" w:rsidTr="00FE51EB">
        <w:trPr>
          <w:trHeight w:val="756"/>
        </w:trPr>
        <w:tc>
          <w:tcPr>
            <w:tcW w:w="2320" w:type="dxa"/>
          </w:tcPr>
          <w:p w14:paraId="0CC52F8D" w14:textId="57BA133E" w:rsidR="2F02FEAF" w:rsidRPr="00E86460" w:rsidRDefault="00D678DE" w:rsidP="37812B23">
            <w:pPr>
              <w:pStyle w:val="Tabletext"/>
              <w:rPr>
                <w:b/>
                <w:bCs/>
                <w:sz w:val="20"/>
              </w:rPr>
            </w:pPr>
            <w:r w:rsidRPr="00E86460">
              <w:rPr>
                <w:b/>
                <w:bCs/>
                <w:sz w:val="20"/>
              </w:rPr>
              <w:t>Fourth week of each month</w:t>
            </w:r>
          </w:p>
        </w:tc>
        <w:tc>
          <w:tcPr>
            <w:tcW w:w="6747" w:type="dxa"/>
          </w:tcPr>
          <w:p w14:paraId="12BFF218" w14:textId="77777777" w:rsidR="5F3BEDF6" w:rsidRPr="00E86460" w:rsidRDefault="5F3BEDF6" w:rsidP="37812B23">
            <w:pPr>
              <w:pStyle w:val="Tabletext"/>
              <w:rPr>
                <w:b/>
                <w:bCs/>
                <w:sz w:val="20"/>
              </w:rPr>
            </w:pPr>
            <w:r w:rsidRPr="00E86460">
              <w:rPr>
                <w:b/>
                <w:bCs/>
                <w:sz w:val="20"/>
              </w:rPr>
              <w:t xml:space="preserve">Monthly variation becomes effective </w:t>
            </w:r>
          </w:p>
          <w:p w14:paraId="27DFC862" w14:textId="7905E6E2" w:rsidR="5F3BEDF6" w:rsidRPr="00E86460" w:rsidRDefault="5F3BEDF6" w:rsidP="37812B23">
            <w:pPr>
              <w:pStyle w:val="Tabletext"/>
              <w:rPr>
                <w:b/>
                <w:bCs/>
                <w:sz w:val="20"/>
              </w:rPr>
            </w:pPr>
            <w:r w:rsidRPr="00E86460">
              <w:rPr>
                <w:sz w:val="20"/>
              </w:rPr>
              <w:t>Variation becomes effective once approved by the departments’ signator</w:t>
            </w:r>
            <w:r w:rsidR="00D416E8" w:rsidRPr="00E86460">
              <w:rPr>
                <w:sz w:val="20"/>
              </w:rPr>
              <w:t>y and organisation acceptance.</w:t>
            </w:r>
            <w:r w:rsidR="004C2DE5" w:rsidRPr="00E86460">
              <w:rPr>
                <w:sz w:val="20"/>
              </w:rPr>
              <w:t xml:space="preserve"> </w:t>
            </w:r>
            <w:r w:rsidRPr="00E86460">
              <w:rPr>
                <w:sz w:val="20"/>
              </w:rPr>
              <w:t>Where funding increases are backdated, any applicable funding arrears payments are processed.</w:t>
            </w:r>
          </w:p>
        </w:tc>
      </w:tr>
      <w:tr w:rsidR="00B544E9" w14:paraId="640733B2" w14:textId="77777777" w:rsidTr="00FE51EB">
        <w:trPr>
          <w:trHeight w:val="756"/>
        </w:trPr>
        <w:tc>
          <w:tcPr>
            <w:tcW w:w="2320" w:type="dxa"/>
          </w:tcPr>
          <w:p w14:paraId="7A6264ED" w14:textId="23C0FCA1" w:rsidR="5F3BEDF6" w:rsidRPr="00E86460" w:rsidRDefault="5F3BEDF6" w:rsidP="37812B23">
            <w:pPr>
              <w:pStyle w:val="Tabletext"/>
              <w:rPr>
                <w:b/>
                <w:bCs/>
                <w:sz w:val="20"/>
              </w:rPr>
            </w:pPr>
            <w:r w:rsidRPr="00E86460">
              <w:rPr>
                <w:b/>
                <w:bCs/>
                <w:sz w:val="20"/>
              </w:rPr>
              <w:t>As required based on reporting cycle</w:t>
            </w:r>
          </w:p>
        </w:tc>
        <w:tc>
          <w:tcPr>
            <w:tcW w:w="6747" w:type="dxa"/>
          </w:tcPr>
          <w:p w14:paraId="0C51506E" w14:textId="4A09BF4C" w:rsidR="5F3BEDF6" w:rsidRPr="00E86460" w:rsidRDefault="5F3BEDF6" w:rsidP="37812B23">
            <w:pPr>
              <w:pStyle w:val="Tabletext"/>
              <w:rPr>
                <w:b/>
                <w:bCs/>
                <w:sz w:val="20"/>
              </w:rPr>
            </w:pPr>
            <w:r w:rsidRPr="00E86460">
              <w:rPr>
                <w:b/>
                <w:bCs/>
                <w:sz w:val="20"/>
              </w:rPr>
              <w:t xml:space="preserve">Annual </w:t>
            </w:r>
            <w:r w:rsidR="00871C88" w:rsidRPr="00E86460">
              <w:rPr>
                <w:b/>
                <w:bCs/>
                <w:sz w:val="20"/>
              </w:rPr>
              <w:t>Service Agreement</w:t>
            </w:r>
            <w:r w:rsidRPr="00E86460">
              <w:rPr>
                <w:b/>
                <w:bCs/>
                <w:sz w:val="20"/>
              </w:rPr>
              <w:t xml:space="preserve"> Compliance Certification (SACC)</w:t>
            </w:r>
          </w:p>
          <w:p w14:paraId="5035FE4A" w14:textId="633C2F93" w:rsidR="5F3BEDF6" w:rsidRPr="00E86460" w:rsidRDefault="5F3BEDF6" w:rsidP="37812B23">
            <w:pPr>
              <w:pStyle w:val="Tabletext"/>
              <w:rPr>
                <w:b/>
                <w:bCs/>
                <w:sz w:val="20"/>
              </w:rPr>
            </w:pPr>
            <w:r w:rsidRPr="00E86460">
              <w:rPr>
                <w:sz w:val="20"/>
              </w:rPr>
              <w:t xml:space="preserve">The due date for the SACC is three months after the end of an organisation’s reporting period, or seven days after an organisation’s Annual General Meeting (AGM). Organisations can update their AGM date via the </w:t>
            </w:r>
            <w:r w:rsidR="00871C88" w:rsidRPr="00E86460">
              <w:rPr>
                <w:sz w:val="20"/>
              </w:rPr>
              <w:t>Service Agreement</w:t>
            </w:r>
            <w:r w:rsidRPr="00E86460">
              <w:rPr>
                <w:sz w:val="20"/>
              </w:rPr>
              <w:t xml:space="preserve"> Module on </w:t>
            </w:r>
            <w:hyperlink r:id="rId21">
              <w:r w:rsidRPr="00E86460">
                <w:rPr>
                  <w:rStyle w:val="Hyperlink"/>
                  <w:sz w:val="20"/>
                </w:rPr>
                <w:t>My Agency</w:t>
              </w:r>
            </w:hyperlink>
            <w:r w:rsidRPr="00E86460">
              <w:rPr>
                <w:sz w:val="20"/>
              </w:rPr>
              <w:t xml:space="preserve"> &lt;https://fac.dffh.vic.gov.au/my-agency&gt; and the due date for their SACC will be automatically updated.</w:t>
            </w:r>
          </w:p>
        </w:tc>
      </w:tr>
    </w:tbl>
    <w:p w14:paraId="77ECA3B6" w14:textId="155B848E" w:rsidR="00AC57D8" w:rsidRDefault="00AC57D8" w:rsidP="003603E0">
      <w:pPr>
        <w:pStyle w:val="Heading3"/>
      </w:pPr>
      <w:bookmarkStart w:id="25" w:name="_Toc72421914"/>
      <w:bookmarkStart w:id="26" w:name="_Toc209175183"/>
      <w:r>
        <w:t>Funding</w:t>
      </w:r>
      <w:bookmarkEnd w:id="25"/>
      <w:bookmarkEnd w:id="26"/>
    </w:p>
    <w:p w14:paraId="4C516A4A" w14:textId="4B638933" w:rsidR="00AC57D8" w:rsidRPr="00845440" w:rsidRDefault="00AC57D8" w:rsidP="003603E0">
      <w:pPr>
        <w:pStyle w:val="Heading4"/>
        <w:rPr>
          <w:b w:val="0"/>
          <w:bCs w:val="0"/>
        </w:rPr>
      </w:pPr>
      <w:r w:rsidRPr="00845440">
        <w:rPr>
          <w:b w:val="0"/>
          <w:bCs w:val="0"/>
        </w:rPr>
        <w:t xml:space="preserve">Price </w:t>
      </w:r>
      <w:r w:rsidR="008D7DB4" w:rsidRPr="00845440">
        <w:rPr>
          <w:b w:val="0"/>
          <w:bCs w:val="0"/>
        </w:rPr>
        <w:t>i</w:t>
      </w:r>
      <w:r w:rsidRPr="00845440">
        <w:rPr>
          <w:b w:val="0"/>
          <w:bCs w:val="0"/>
        </w:rPr>
        <w:t>ndexation</w:t>
      </w:r>
    </w:p>
    <w:p w14:paraId="2D4697DD" w14:textId="19FD3BE6" w:rsidR="011EE076" w:rsidRPr="00E86460" w:rsidRDefault="011EE076">
      <w:pPr>
        <w:rPr>
          <w:rFonts w:eastAsia="Arial"/>
          <w:sz w:val="20"/>
        </w:rPr>
      </w:pPr>
      <w:r w:rsidRPr="00E86460">
        <w:rPr>
          <w:rFonts w:eastAsia="Arial" w:cs="Arial"/>
          <w:sz w:val="20"/>
        </w:rPr>
        <w:t>The Victorian government applies a floating indexation rate for Community Services (as defined in the Victorian Fair Jobs Code for the Community Services Sector) calculated as follows:</w:t>
      </w:r>
    </w:p>
    <w:p w14:paraId="32B3F5BF" w14:textId="02313D3D" w:rsidR="011EE076" w:rsidRPr="00E86460" w:rsidRDefault="011EE076" w:rsidP="006A0AEF">
      <w:pPr>
        <w:ind w:left="720"/>
        <w:rPr>
          <w:rFonts w:eastAsia="Arial"/>
          <w:sz w:val="20"/>
        </w:rPr>
      </w:pPr>
      <w:r w:rsidRPr="00E86460">
        <w:rPr>
          <w:rFonts w:eastAsia="Arial" w:cs="Arial"/>
          <w:sz w:val="20"/>
        </w:rPr>
        <w:t>[(0.8 x AWRD Rate) + (0.2 x CPI Rate)],</w:t>
      </w:r>
    </w:p>
    <w:p w14:paraId="525D94AB" w14:textId="180D31A0" w:rsidR="011EE076" w:rsidRPr="00E86460" w:rsidRDefault="011EE076" w:rsidP="791084F5">
      <w:pPr>
        <w:spacing w:before="100" w:after="0" w:line="288" w:lineRule="auto"/>
        <w:rPr>
          <w:rFonts w:eastAsia="Arial"/>
          <w:sz w:val="20"/>
        </w:rPr>
      </w:pPr>
      <w:r w:rsidRPr="00E86460">
        <w:rPr>
          <w:rFonts w:eastAsia="Arial" w:cs="Arial"/>
          <w:sz w:val="20"/>
        </w:rPr>
        <w:t>where:</w:t>
      </w:r>
    </w:p>
    <w:p w14:paraId="7883549C" w14:textId="38E66E31" w:rsidR="011EE076" w:rsidRPr="00E86460" w:rsidRDefault="011EE076" w:rsidP="006A0AEF">
      <w:pPr>
        <w:spacing w:before="100" w:after="0" w:line="288" w:lineRule="auto"/>
        <w:ind w:left="720"/>
        <w:rPr>
          <w:rFonts w:eastAsia="Arial"/>
          <w:sz w:val="20"/>
        </w:rPr>
      </w:pPr>
      <w:r w:rsidRPr="00E86460">
        <w:rPr>
          <w:rFonts w:eastAsia="Arial" w:cs="Arial"/>
          <w:sz w:val="20"/>
        </w:rPr>
        <w:t xml:space="preserve">(a) </w:t>
      </w:r>
      <w:r w:rsidRPr="00E86460">
        <w:rPr>
          <w:rFonts w:eastAsia="Arial" w:cs="Arial"/>
          <w:b/>
          <w:bCs/>
          <w:i/>
          <w:iCs/>
          <w:sz w:val="20"/>
        </w:rPr>
        <w:t>AWRD Rate</w:t>
      </w:r>
      <w:r w:rsidRPr="00E86460">
        <w:rPr>
          <w:rFonts w:eastAsia="Arial" w:cs="Arial"/>
          <w:sz w:val="20"/>
        </w:rPr>
        <w:t xml:space="preserve"> means, in relation to a financial year, the percentage increase in the national minimum wage as determined under the Annual Wage Review Decision published by the Fair Work Commission for the applicable financial year; and</w:t>
      </w:r>
    </w:p>
    <w:p w14:paraId="60786BB8" w14:textId="1B87F83F" w:rsidR="011EE076" w:rsidRPr="00E86460" w:rsidRDefault="011EE076" w:rsidP="791084F5">
      <w:pPr>
        <w:spacing w:before="100" w:after="0" w:line="288" w:lineRule="auto"/>
        <w:ind w:left="720"/>
        <w:rPr>
          <w:rFonts w:eastAsia="Arial"/>
          <w:sz w:val="20"/>
        </w:rPr>
      </w:pPr>
      <w:r w:rsidRPr="00E86460">
        <w:rPr>
          <w:rFonts w:eastAsia="Arial" w:cs="Arial"/>
          <w:sz w:val="20"/>
        </w:rPr>
        <w:t xml:space="preserve">(b) </w:t>
      </w:r>
      <w:r w:rsidRPr="00E86460">
        <w:rPr>
          <w:rFonts w:eastAsia="Arial" w:cs="Arial"/>
          <w:b/>
          <w:bCs/>
          <w:sz w:val="20"/>
        </w:rPr>
        <w:t>CPI</w:t>
      </w:r>
      <w:r w:rsidRPr="00E86460">
        <w:rPr>
          <w:rFonts w:eastAsia="Arial" w:cs="Arial"/>
          <w:sz w:val="20"/>
        </w:rPr>
        <w:t xml:space="preserve"> means, in relation to a financial year, the projected rate of Consumer Price Index provided in the State Budget Papers. </w:t>
      </w:r>
    </w:p>
    <w:p w14:paraId="24BDC441" w14:textId="7DF47B05" w:rsidR="011EE076" w:rsidRPr="00E86460" w:rsidRDefault="011EE076" w:rsidP="006A0AEF">
      <w:pPr>
        <w:spacing w:before="100" w:after="0" w:line="288" w:lineRule="auto"/>
        <w:rPr>
          <w:rFonts w:eastAsia="Arial"/>
          <w:sz w:val="20"/>
        </w:rPr>
      </w:pPr>
      <w:r w:rsidRPr="00E86460">
        <w:rPr>
          <w:rFonts w:eastAsia="Arial" w:cs="Arial"/>
          <w:sz w:val="20"/>
        </w:rPr>
        <w:t xml:space="preserve">The department will increase the funding payable for a Community Service (as defined in the Victorian Fair Jobs Code for the Community Services Sector) each financial year of the term of a </w:t>
      </w:r>
      <w:r w:rsidR="00871C88" w:rsidRPr="00E86460">
        <w:rPr>
          <w:rFonts w:eastAsia="Arial" w:cs="Arial"/>
          <w:sz w:val="20"/>
        </w:rPr>
        <w:t>Service Agreement</w:t>
      </w:r>
      <w:r w:rsidRPr="00E86460">
        <w:rPr>
          <w:rFonts w:eastAsia="Arial" w:cs="Arial"/>
          <w:sz w:val="20"/>
        </w:rPr>
        <w:t xml:space="preserve"> in accordance with the floating indexation rate (as set out above).</w:t>
      </w:r>
    </w:p>
    <w:p w14:paraId="76E81254" w14:textId="17DA3BD2" w:rsidR="011EE076" w:rsidRPr="00E86460" w:rsidRDefault="011EE076" w:rsidP="006A0AEF">
      <w:pPr>
        <w:spacing w:before="100" w:after="0" w:line="288" w:lineRule="auto"/>
        <w:rPr>
          <w:rFonts w:eastAsia="Arial"/>
          <w:sz w:val="20"/>
        </w:rPr>
      </w:pPr>
      <w:r w:rsidRPr="00E86460">
        <w:rPr>
          <w:rFonts w:eastAsia="Arial" w:cs="Arial"/>
          <w:sz w:val="20"/>
        </w:rPr>
        <w:t>Annual funding indexation will be notified to organisations on or before 1 July of each financial year. It will also be published on the Funded Agency Channel on or before 1 July.</w:t>
      </w:r>
    </w:p>
    <w:p w14:paraId="1BB74B54" w14:textId="7E2A24B9" w:rsidR="011EE076" w:rsidRPr="00E86460" w:rsidRDefault="011EE076" w:rsidP="006A0AEF">
      <w:pPr>
        <w:spacing w:before="100" w:after="0" w:line="288" w:lineRule="auto"/>
        <w:rPr>
          <w:rFonts w:eastAsia="Arial"/>
          <w:sz w:val="20"/>
        </w:rPr>
      </w:pPr>
      <w:r w:rsidRPr="00E86460">
        <w:rPr>
          <w:rFonts w:eastAsia="Arial" w:cs="Arial"/>
          <w:sz w:val="20"/>
        </w:rPr>
        <w:lastRenderedPageBreak/>
        <w:t>The department will either pay the indexation amount each month at the time base funding is paid or as soon as reasonably practicable after the monthly payment (in which case the indexation payment will be backdated).</w:t>
      </w:r>
    </w:p>
    <w:p w14:paraId="4DA2BE3F" w14:textId="29E3A64D" w:rsidR="011EE076" w:rsidRPr="00E86460" w:rsidRDefault="011EE076" w:rsidP="006A0AEF">
      <w:pPr>
        <w:spacing w:before="100" w:after="0" w:line="288" w:lineRule="auto"/>
        <w:rPr>
          <w:rFonts w:eastAsia="Arial"/>
          <w:sz w:val="20"/>
        </w:rPr>
      </w:pPr>
      <w:r w:rsidRPr="00E86460">
        <w:rPr>
          <w:rFonts w:eastAsia="Arial" w:cs="Arial"/>
          <w:sz w:val="20"/>
        </w:rPr>
        <w:t>For the avoidance of doubt, the annual floating indexation rate applies to the funding for the period 1 July to 30 June of the relevant financial year.</w:t>
      </w:r>
    </w:p>
    <w:p w14:paraId="172CCBB4" w14:textId="1055A03E" w:rsidR="011EE076" w:rsidRPr="00E86460" w:rsidRDefault="011EE076" w:rsidP="006A0AEF">
      <w:pPr>
        <w:spacing w:before="100" w:after="0" w:line="288" w:lineRule="auto"/>
        <w:rPr>
          <w:rFonts w:eastAsia="Arial"/>
          <w:sz w:val="20"/>
        </w:rPr>
      </w:pPr>
      <w:r w:rsidRPr="00E86460">
        <w:rPr>
          <w:rFonts w:eastAsia="Arial" w:cs="Arial"/>
          <w:sz w:val="20"/>
        </w:rPr>
        <w:t>The department will not vary the formula used to set the floating indexation rate without first:</w:t>
      </w:r>
    </w:p>
    <w:p w14:paraId="5A793CF2" w14:textId="6FCDA30F" w:rsidR="011EE076" w:rsidRPr="00E86460" w:rsidRDefault="011EE076" w:rsidP="00056D64">
      <w:pPr>
        <w:pStyle w:val="ListParagraph"/>
        <w:numPr>
          <w:ilvl w:val="0"/>
          <w:numId w:val="10"/>
        </w:numPr>
        <w:spacing w:before="100" w:after="0" w:line="288" w:lineRule="auto"/>
        <w:rPr>
          <w:rFonts w:eastAsia="Arial" w:cs="Arial"/>
          <w:sz w:val="20"/>
        </w:rPr>
      </w:pPr>
      <w:r w:rsidRPr="00E86460">
        <w:rPr>
          <w:rFonts w:eastAsia="Arial" w:cs="Arial"/>
          <w:sz w:val="20"/>
        </w:rPr>
        <w:t xml:space="preserve">engaging in a reasonable process of consultation with the </w:t>
      </w:r>
      <w:r w:rsidR="00871C88" w:rsidRPr="00E86460">
        <w:rPr>
          <w:rFonts w:eastAsia="Arial" w:cs="Arial"/>
          <w:sz w:val="20"/>
        </w:rPr>
        <w:t>Service Agreement</w:t>
      </w:r>
      <w:r w:rsidRPr="00E86460">
        <w:rPr>
          <w:rFonts w:eastAsia="Arial" w:cs="Arial"/>
          <w:sz w:val="20"/>
        </w:rPr>
        <w:t xml:space="preserve"> Working Group and the Human Services and Health Partnership Implementation Committee and any committee, working group or other body which in effect replaces either of them; and</w:t>
      </w:r>
    </w:p>
    <w:p w14:paraId="4A0B5C85" w14:textId="2F875C49" w:rsidR="011EE076" w:rsidRPr="00E86460" w:rsidRDefault="011EE076" w:rsidP="00056D64">
      <w:pPr>
        <w:pStyle w:val="ListParagraph"/>
        <w:numPr>
          <w:ilvl w:val="0"/>
          <w:numId w:val="10"/>
        </w:numPr>
        <w:spacing w:before="100" w:after="0" w:line="288" w:lineRule="auto"/>
        <w:rPr>
          <w:rFonts w:eastAsia="Arial" w:cs="Arial"/>
          <w:sz w:val="20"/>
        </w:rPr>
      </w:pPr>
      <w:r w:rsidRPr="00E86460">
        <w:rPr>
          <w:rFonts w:eastAsia="Arial" w:cs="Arial"/>
          <w:sz w:val="20"/>
        </w:rPr>
        <w:t>taking reasonable steps in good faith to address any concerns raised by those bodies through the process of consultation.</w:t>
      </w:r>
    </w:p>
    <w:p w14:paraId="2B3E3D1F" w14:textId="24D08DC5" w:rsidR="00AC57D8" w:rsidRPr="00845440" w:rsidRDefault="00AC57D8" w:rsidP="003603E0">
      <w:pPr>
        <w:pStyle w:val="Heading4"/>
        <w:rPr>
          <w:b w:val="0"/>
          <w:bCs w:val="0"/>
        </w:rPr>
      </w:pPr>
      <w:r w:rsidRPr="00845440">
        <w:rPr>
          <w:b w:val="0"/>
          <w:bCs w:val="0"/>
        </w:rPr>
        <w:t>Price indexation exceptional events arrangement</w:t>
      </w:r>
    </w:p>
    <w:p w14:paraId="0DBBA70E" w14:textId="214D12A2" w:rsidR="00AC57D8" w:rsidRPr="00E86460" w:rsidRDefault="00AC57D8" w:rsidP="00AC57D8">
      <w:pPr>
        <w:pStyle w:val="Body"/>
        <w:rPr>
          <w:sz w:val="20"/>
        </w:rPr>
      </w:pPr>
      <w:r w:rsidRPr="00E86460">
        <w:rPr>
          <w:sz w:val="20"/>
        </w:rPr>
        <w:t>The price index</w:t>
      </w:r>
      <w:r w:rsidR="007B2909" w:rsidRPr="00E86460">
        <w:rPr>
          <w:sz w:val="20"/>
        </w:rPr>
        <w:t>ation</w:t>
      </w:r>
      <w:r w:rsidRPr="00E86460">
        <w:rPr>
          <w:sz w:val="20"/>
        </w:rPr>
        <w:t xml:space="preserve"> exceptional event arrangement provides a formal mechanism for peak bodies to seek price adjustments where industrial and regulatory decisions occur which result in cost increases that are over and above the price index. In these circumstances, peak bodies may request formal consideration for supplementary funding to cover such price increases from relevant departments. </w:t>
      </w:r>
    </w:p>
    <w:p w14:paraId="730480ED" w14:textId="68A44E49" w:rsidR="00AC57D8" w:rsidRPr="00E86460" w:rsidRDefault="00AC57D8" w:rsidP="00AC57D8">
      <w:pPr>
        <w:pStyle w:val="Body"/>
        <w:rPr>
          <w:sz w:val="20"/>
        </w:rPr>
      </w:pPr>
      <w:r w:rsidRPr="00E86460">
        <w:rPr>
          <w:sz w:val="20"/>
        </w:rPr>
        <w:t xml:space="preserve">The scope of this arrangement is outlined in the </w:t>
      </w:r>
      <w:r w:rsidRPr="00E86460">
        <w:rPr>
          <w:i/>
          <w:iCs/>
          <w:sz w:val="20"/>
        </w:rPr>
        <w:t>Price index exceptional event arrangements</w:t>
      </w:r>
      <w:r w:rsidR="00B73670" w:rsidRPr="00E86460">
        <w:rPr>
          <w:sz w:val="20"/>
        </w:rPr>
        <w:t xml:space="preserve"> </w:t>
      </w:r>
      <w:r w:rsidR="00665303" w:rsidRPr="00E86460">
        <w:rPr>
          <w:sz w:val="20"/>
        </w:rPr>
        <w:t>available at</w:t>
      </w:r>
      <w:r w:rsidR="00B73670" w:rsidRPr="00E86460">
        <w:rPr>
          <w:sz w:val="20"/>
        </w:rPr>
        <w:t xml:space="preserve"> </w:t>
      </w:r>
      <w:hyperlink r:id="rId22" w:history="1">
        <w:r w:rsidR="00BA3429" w:rsidRPr="00E86460">
          <w:rPr>
            <w:rStyle w:val="Hyperlink"/>
            <w:sz w:val="20"/>
          </w:rPr>
          <w:t>Funded Agency Channel – Price index exceptional event arrangements</w:t>
        </w:r>
      </w:hyperlink>
      <w:r w:rsidR="00B73670" w:rsidRPr="00E86460">
        <w:rPr>
          <w:sz w:val="20"/>
        </w:rPr>
        <w:t xml:space="preserve"> &lt;</w:t>
      </w:r>
      <w:r w:rsidRPr="00E86460">
        <w:rPr>
          <w:sz w:val="20"/>
        </w:rPr>
        <w:t>https://fac.d</w:t>
      </w:r>
      <w:r w:rsidR="00BA469A" w:rsidRPr="00E86460">
        <w:rPr>
          <w:sz w:val="20"/>
        </w:rPr>
        <w:t>ffh</w:t>
      </w:r>
      <w:r w:rsidRPr="00E86460">
        <w:rPr>
          <w:sz w:val="20"/>
        </w:rPr>
        <w:t>.vic.gov.au/price-index-exceptional-event-arrangements</w:t>
      </w:r>
      <w:r w:rsidR="00B73670" w:rsidRPr="00E86460">
        <w:rPr>
          <w:sz w:val="20"/>
        </w:rPr>
        <w:t>&gt;</w:t>
      </w:r>
      <w:r w:rsidRPr="00E86460">
        <w:rPr>
          <w:sz w:val="20"/>
        </w:rPr>
        <w:t xml:space="preserve">. </w:t>
      </w:r>
    </w:p>
    <w:p w14:paraId="60BA8CA9" w14:textId="513125C5" w:rsidR="000B0AEB" w:rsidRPr="00845440" w:rsidRDefault="00371C75" w:rsidP="702BD5FA">
      <w:pPr>
        <w:pStyle w:val="Heading4"/>
        <w:rPr>
          <w:b w:val="0"/>
          <w:bCs w:val="0"/>
        </w:rPr>
      </w:pPr>
      <w:r w:rsidRPr="00845440">
        <w:rPr>
          <w:b w:val="0"/>
          <w:bCs w:val="0"/>
        </w:rPr>
        <w:t xml:space="preserve">Acknowledgement and publicity guidelines for Victorian </w:t>
      </w:r>
      <w:r w:rsidR="002626C9" w:rsidRPr="00845440">
        <w:rPr>
          <w:b w:val="0"/>
          <w:bCs w:val="0"/>
        </w:rPr>
        <w:t xml:space="preserve">Government </w:t>
      </w:r>
      <w:r w:rsidRPr="00845440">
        <w:rPr>
          <w:b w:val="0"/>
          <w:bCs w:val="0"/>
        </w:rPr>
        <w:t>funding support</w:t>
      </w:r>
    </w:p>
    <w:p w14:paraId="050DC450" w14:textId="6638200E" w:rsidR="15D72355" w:rsidRPr="00E86460" w:rsidRDefault="15D72355" w:rsidP="702BD5FA">
      <w:pPr>
        <w:pStyle w:val="Body"/>
        <w:rPr>
          <w:sz w:val="20"/>
        </w:rPr>
      </w:pPr>
      <w:r w:rsidRPr="00E86460">
        <w:rPr>
          <w:sz w:val="20"/>
        </w:rPr>
        <w:t xml:space="preserve">Organisations </w:t>
      </w:r>
      <w:r w:rsidR="001D357A" w:rsidRPr="00E86460">
        <w:rPr>
          <w:sz w:val="20"/>
        </w:rPr>
        <w:t>must</w:t>
      </w:r>
      <w:r w:rsidRPr="00E86460">
        <w:rPr>
          <w:sz w:val="20"/>
        </w:rPr>
        <w:t xml:space="preserve"> acknowledge funding support provided by the Victorian Government </w:t>
      </w:r>
      <w:r w:rsidR="00F36861" w:rsidRPr="00E86460">
        <w:rPr>
          <w:sz w:val="20"/>
        </w:rPr>
        <w:t xml:space="preserve">via </w:t>
      </w:r>
      <w:r w:rsidRPr="00E86460">
        <w:rPr>
          <w:sz w:val="20"/>
        </w:rPr>
        <w:t xml:space="preserve">a </w:t>
      </w:r>
      <w:r w:rsidR="00871C88" w:rsidRPr="00E86460">
        <w:rPr>
          <w:sz w:val="20"/>
        </w:rPr>
        <w:t>Service Agreement</w:t>
      </w:r>
      <w:r w:rsidRPr="00E86460">
        <w:rPr>
          <w:sz w:val="20"/>
        </w:rPr>
        <w:t>.</w:t>
      </w:r>
    </w:p>
    <w:p w14:paraId="08067949" w14:textId="1825A59D" w:rsidR="00FA0922" w:rsidRPr="00E86460" w:rsidRDefault="00FA0922" w:rsidP="00371C75">
      <w:pPr>
        <w:pStyle w:val="Body"/>
        <w:rPr>
          <w:sz w:val="20"/>
        </w:rPr>
      </w:pPr>
      <w:r w:rsidRPr="00E86460">
        <w:rPr>
          <w:sz w:val="20"/>
        </w:rPr>
        <w:t>Information</w:t>
      </w:r>
      <w:r w:rsidR="00C9447F" w:rsidRPr="00E86460">
        <w:rPr>
          <w:sz w:val="20"/>
        </w:rPr>
        <w:t xml:space="preserve"> about an organisations obligations </w:t>
      </w:r>
      <w:r w:rsidRPr="00E86460">
        <w:rPr>
          <w:sz w:val="20"/>
        </w:rPr>
        <w:t xml:space="preserve">is available at: </w:t>
      </w:r>
      <w:hyperlink r:id="rId23">
        <w:r w:rsidRPr="00E86460">
          <w:rPr>
            <w:rStyle w:val="Hyperlink"/>
            <w:sz w:val="20"/>
          </w:rPr>
          <w:t xml:space="preserve">Acknowledgement and </w:t>
        </w:r>
        <w:bookmarkStart w:id="27" w:name="_Hlt169182937"/>
        <w:r w:rsidRPr="00E86460">
          <w:rPr>
            <w:rStyle w:val="Hyperlink"/>
            <w:sz w:val="20"/>
          </w:rPr>
          <w:t>p</w:t>
        </w:r>
        <w:bookmarkEnd w:id="27"/>
        <w:r w:rsidRPr="00E86460">
          <w:rPr>
            <w:rStyle w:val="Hyperlink"/>
            <w:sz w:val="20"/>
          </w:rPr>
          <w:t>ublicity guidelines for Victorian Government funding support</w:t>
        </w:r>
      </w:hyperlink>
      <w:r w:rsidR="15D72355" w:rsidRPr="00E86460">
        <w:rPr>
          <w:sz w:val="20"/>
        </w:rPr>
        <w:t xml:space="preserve"> &lt;https://fac.dffh.vic.gov.au/acknowledgement-and-publicity-guidelines-victorian-government-funding-support&gt;</w:t>
      </w:r>
      <w:r w:rsidR="00E304E4" w:rsidRPr="00E86460">
        <w:rPr>
          <w:sz w:val="20"/>
        </w:rPr>
        <w:t>.</w:t>
      </w:r>
    </w:p>
    <w:p w14:paraId="317D91B5" w14:textId="77777777" w:rsidR="00AC57D8" w:rsidRDefault="00AC57D8" w:rsidP="003603E0">
      <w:pPr>
        <w:pStyle w:val="Heading3"/>
      </w:pPr>
      <w:bookmarkStart w:id="28" w:name="_Toc72421916"/>
      <w:bookmarkStart w:id="29" w:name="_Toc209175184"/>
      <w:r>
        <w:t>Data collection</w:t>
      </w:r>
      <w:bookmarkEnd w:id="28"/>
      <w:bookmarkEnd w:id="29"/>
    </w:p>
    <w:p w14:paraId="394BA372" w14:textId="3D998D76" w:rsidR="00AC57D8" w:rsidRPr="00E86460" w:rsidRDefault="00AC57D8" w:rsidP="00AC57D8">
      <w:pPr>
        <w:pStyle w:val="Body"/>
        <w:rPr>
          <w:sz w:val="20"/>
        </w:rPr>
      </w:pPr>
      <w:r w:rsidRPr="00E86460">
        <w:rPr>
          <w:sz w:val="20"/>
        </w:rPr>
        <w:t>To ensure accountability, organisations are required to regularly report on the funded services through data collections and other reporting. This allows the organisation and department</w:t>
      </w:r>
      <w:r w:rsidR="00322893" w:rsidRPr="00E86460">
        <w:rPr>
          <w:sz w:val="20"/>
        </w:rPr>
        <w:t>s</w:t>
      </w:r>
      <w:r w:rsidRPr="00E86460">
        <w:rPr>
          <w:sz w:val="20"/>
        </w:rPr>
        <w:t xml:space="preserve"> to periodically review progress and to adjust the </w:t>
      </w:r>
      <w:r w:rsidR="00871C88" w:rsidRPr="00E86460">
        <w:rPr>
          <w:sz w:val="20"/>
        </w:rPr>
        <w:t>Service Agreement</w:t>
      </w:r>
      <w:r w:rsidRPr="00E86460">
        <w:rPr>
          <w:sz w:val="20"/>
        </w:rPr>
        <w:t xml:space="preserve"> if necessary.</w:t>
      </w:r>
    </w:p>
    <w:p w14:paraId="25CA2C53" w14:textId="6C40211A" w:rsidR="00AC57D8" w:rsidRPr="00E86460" w:rsidRDefault="00AC57D8" w:rsidP="00AC57D8">
      <w:pPr>
        <w:pStyle w:val="Body"/>
        <w:rPr>
          <w:sz w:val="20"/>
        </w:rPr>
      </w:pPr>
      <w:r w:rsidRPr="00E86460">
        <w:rPr>
          <w:sz w:val="20"/>
        </w:rPr>
        <w:t xml:space="preserve">Details of data collection requirements are in Schedule 2 of the </w:t>
      </w:r>
      <w:r w:rsidR="00871C88" w:rsidRPr="00E86460">
        <w:rPr>
          <w:sz w:val="20"/>
        </w:rPr>
        <w:t>Service Agreement</w:t>
      </w:r>
      <w:r w:rsidRPr="00E86460">
        <w:rPr>
          <w:sz w:val="20"/>
        </w:rPr>
        <w:t>.</w:t>
      </w:r>
    </w:p>
    <w:p w14:paraId="581332CF" w14:textId="21F8EF53" w:rsidR="00AC57D8" w:rsidRDefault="00AC57D8" w:rsidP="003603E0">
      <w:pPr>
        <w:pStyle w:val="Heading3"/>
      </w:pPr>
      <w:bookmarkStart w:id="30" w:name="_Toc72421917"/>
      <w:bookmarkStart w:id="31" w:name="_Toc209175185"/>
      <w:r>
        <w:t xml:space="preserve">Financial </w:t>
      </w:r>
      <w:r w:rsidR="00CF136F">
        <w:t>a</w:t>
      </w:r>
      <w:r>
        <w:t xml:space="preserve">ccountability </w:t>
      </w:r>
      <w:r w:rsidR="00CF136F">
        <w:t>r</w:t>
      </w:r>
      <w:r>
        <w:t>equirements</w:t>
      </w:r>
      <w:bookmarkEnd w:id="30"/>
      <w:bookmarkEnd w:id="31"/>
    </w:p>
    <w:p w14:paraId="7391140D" w14:textId="6DC200CD" w:rsidR="00AC57D8" w:rsidRPr="00E86460" w:rsidRDefault="00AC57D8" w:rsidP="00AC57D8">
      <w:pPr>
        <w:pStyle w:val="Body"/>
        <w:rPr>
          <w:sz w:val="20"/>
        </w:rPr>
      </w:pPr>
      <w:r w:rsidRPr="00E86460">
        <w:rPr>
          <w:sz w:val="20"/>
        </w:rPr>
        <w:t>Organisations are required to report their financial position to the department</w:t>
      </w:r>
      <w:r w:rsidR="00BF0B1B" w:rsidRPr="00E86460">
        <w:rPr>
          <w:sz w:val="20"/>
        </w:rPr>
        <w:t>s</w:t>
      </w:r>
      <w:r w:rsidRPr="00E86460">
        <w:rPr>
          <w:sz w:val="20"/>
        </w:rPr>
        <w:t xml:space="preserve"> and complete the </w:t>
      </w:r>
      <w:r w:rsidR="0091291A" w:rsidRPr="00E86460">
        <w:rPr>
          <w:sz w:val="20"/>
        </w:rPr>
        <w:t>F</w:t>
      </w:r>
      <w:r w:rsidRPr="00E86460">
        <w:rPr>
          <w:sz w:val="20"/>
        </w:rPr>
        <w:t xml:space="preserve">inancial </w:t>
      </w:r>
      <w:r w:rsidR="0091291A" w:rsidRPr="00E86460">
        <w:rPr>
          <w:sz w:val="20"/>
        </w:rPr>
        <w:t>A</w:t>
      </w:r>
      <w:r w:rsidRPr="00E86460">
        <w:rPr>
          <w:sz w:val="20"/>
        </w:rPr>
        <w:t xml:space="preserve">ccountability </w:t>
      </w:r>
      <w:r w:rsidR="0091291A" w:rsidRPr="00E86460">
        <w:rPr>
          <w:sz w:val="20"/>
        </w:rPr>
        <w:t>R</w:t>
      </w:r>
      <w:r w:rsidRPr="00E86460">
        <w:rPr>
          <w:sz w:val="20"/>
        </w:rPr>
        <w:t>equirement</w:t>
      </w:r>
      <w:r w:rsidR="0091291A" w:rsidRPr="00E86460">
        <w:rPr>
          <w:sz w:val="20"/>
        </w:rPr>
        <w:t xml:space="preserve"> (FAR)</w:t>
      </w:r>
      <w:r w:rsidRPr="00E86460">
        <w:rPr>
          <w:sz w:val="20"/>
        </w:rPr>
        <w:t xml:space="preserve"> in the </w:t>
      </w:r>
      <w:r w:rsidR="00871C88" w:rsidRPr="00E86460">
        <w:rPr>
          <w:sz w:val="20"/>
        </w:rPr>
        <w:t>Service Agreement</w:t>
      </w:r>
      <w:r w:rsidRPr="00E86460">
        <w:rPr>
          <w:sz w:val="20"/>
        </w:rPr>
        <w:t xml:space="preserve"> Compliance Certification (SACC) on an annual basis. This confirms the organisation’s compliance with the requirements of clauses 6 (</w:t>
      </w:r>
      <w:r w:rsidR="005110DB" w:rsidRPr="00E86460">
        <w:rPr>
          <w:sz w:val="20"/>
        </w:rPr>
        <w:t>R</w:t>
      </w:r>
      <w:r w:rsidRPr="00E86460">
        <w:rPr>
          <w:sz w:val="20"/>
        </w:rPr>
        <w:t>ecordkeeping), 7 (</w:t>
      </w:r>
      <w:r w:rsidR="005110DB" w:rsidRPr="00E86460">
        <w:rPr>
          <w:sz w:val="20"/>
        </w:rPr>
        <w:t>A</w:t>
      </w:r>
      <w:r w:rsidRPr="00E86460">
        <w:rPr>
          <w:sz w:val="20"/>
        </w:rPr>
        <w:t>ssets) and 8 (</w:t>
      </w:r>
      <w:r w:rsidR="005110DB" w:rsidRPr="00E86460">
        <w:rPr>
          <w:sz w:val="20"/>
        </w:rPr>
        <w:t>R</w:t>
      </w:r>
      <w:r w:rsidRPr="00E86460">
        <w:rPr>
          <w:sz w:val="20"/>
        </w:rPr>
        <w:t xml:space="preserve">eporting) of the </w:t>
      </w:r>
      <w:r w:rsidR="00871C88" w:rsidRPr="00E86460">
        <w:rPr>
          <w:sz w:val="20"/>
        </w:rPr>
        <w:t>Service Agreement</w:t>
      </w:r>
      <w:r w:rsidRPr="00E86460">
        <w:rPr>
          <w:sz w:val="20"/>
        </w:rPr>
        <w:t>.</w:t>
      </w:r>
    </w:p>
    <w:p w14:paraId="1FBB234C" w14:textId="5F45CF9C" w:rsidR="00AC57D8" w:rsidRPr="00E86460" w:rsidRDefault="00AC57D8" w:rsidP="00AC57D8">
      <w:pPr>
        <w:pStyle w:val="Body"/>
        <w:rPr>
          <w:sz w:val="20"/>
        </w:rPr>
      </w:pPr>
      <w:r w:rsidRPr="00E86460">
        <w:rPr>
          <w:sz w:val="20"/>
        </w:rPr>
        <w:t xml:space="preserve">Organisations need to attach relevant financial data and/or hyperlinks via the </w:t>
      </w:r>
      <w:r w:rsidR="00871C88" w:rsidRPr="00E86460">
        <w:rPr>
          <w:sz w:val="20"/>
        </w:rPr>
        <w:t>Service Agreement</w:t>
      </w:r>
      <w:r w:rsidRPr="00E86460">
        <w:rPr>
          <w:sz w:val="20"/>
        </w:rPr>
        <w:t xml:space="preserve"> Module of My Agency. This includes the information of the location of the organisation’s Annual Report, a Financial Indicator Statement (FIS) or a Cash Indicator Statement (CIS).</w:t>
      </w:r>
    </w:p>
    <w:p w14:paraId="6945D5BA" w14:textId="22A753D2" w:rsidR="00AC57D8" w:rsidRPr="00E86460" w:rsidRDefault="00AC57D8" w:rsidP="00AC57D8">
      <w:pPr>
        <w:pStyle w:val="Body"/>
        <w:rPr>
          <w:sz w:val="20"/>
        </w:rPr>
      </w:pPr>
      <w:r w:rsidRPr="00E86460">
        <w:rPr>
          <w:sz w:val="20"/>
        </w:rPr>
        <w:t xml:space="preserve">Where an organisation receives funding </w:t>
      </w:r>
      <w:r w:rsidR="00993CDF" w:rsidRPr="00E86460">
        <w:rPr>
          <w:sz w:val="20"/>
        </w:rPr>
        <w:t xml:space="preserve">via a </w:t>
      </w:r>
      <w:r w:rsidR="00871C88" w:rsidRPr="00E86460">
        <w:rPr>
          <w:sz w:val="20"/>
        </w:rPr>
        <w:t>Service Agreement</w:t>
      </w:r>
      <w:r w:rsidR="00993CDF" w:rsidRPr="00E86460">
        <w:rPr>
          <w:sz w:val="20"/>
        </w:rPr>
        <w:t xml:space="preserve"> </w:t>
      </w:r>
      <w:r w:rsidRPr="00E86460">
        <w:rPr>
          <w:sz w:val="20"/>
        </w:rPr>
        <w:t>from more than one department, only one FAR is required. The FAR is incorporated into the SACC.</w:t>
      </w:r>
    </w:p>
    <w:p w14:paraId="2741CAFF" w14:textId="77777777" w:rsidR="00AC57D8" w:rsidRPr="00845440" w:rsidRDefault="00AC57D8" w:rsidP="003603E0">
      <w:pPr>
        <w:pStyle w:val="Heading4"/>
        <w:rPr>
          <w:b w:val="0"/>
          <w:bCs w:val="0"/>
        </w:rPr>
      </w:pPr>
      <w:r w:rsidRPr="003D0DF5">
        <w:rPr>
          <w:b w:val="0"/>
          <w:bCs w:val="0"/>
        </w:rPr>
        <w:lastRenderedPageBreak/>
        <w:t>Standard financial reporting templates</w:t>
      </w:r>
    </w:p>
    <w:p w14:paraId="221566B7" w14:textId="77777777" w:rsidR="00AC57D8" w:rsidRPr="00E86460" w:rsidRDefault="00AC57D8" w:rsidP="00AC57D8">
      <w:pPr>
        <w:pStyle w:val="Body"/>
        <w:rPr>
          <w:sz w:val="20"/>
        </w:rPr>
      </w:pPr>
      <w:r w:rsidRPr="00E86460">
        <w:rPr>
          <w:sz w:val="20"/>
        </w:rPr>
        <w:t>The annual financial statements/annual report are the preferred documentation to be supplied in support of the FAR.</w:t>
      </w:r>
    </w:p>
    <w:p w14:paraId="2A12384C" w14:textId="50318323" w:rsidR="00AC57D8" w:rsidRPr="00E86460" w:rsidRDefault="00AC57D8" w:rsidP="00AC57D8">
      <w:pPr>
        <w:pStyle w:val="Body"/>
        <w:rPr>
          <w:sz w:val="20"/>
        </w:rPr>
      </w:pPr>
      <w:r w:rsidRPr="00E86460">
        <w:rPr>
          <w:sz w:val="20"/>
        </w:rPr>
        <w:t>If an organisation is not legally required to produce annual financial statements, the organisation may download and complete either the CIS (where total income is less than $250,000) or FIS and Auditor’s Statement templates from the Funded Agency Channel. Organisations should ensure that the applicable reporting period is inserted (for example 1 Jul</w:t>
      </w:r>
      <w:r w:rsidR="00AB2EB4" w:rsidRPr="00E86460">
        <w:rPr>
          <w:sz w:val="20"/>
        </w:rPr>
        <w:t>y</w:t>
      </w:r>
      <w:r w:rsidRPr="00E86460">
        <w:rPr>
          <w:sz w:val="20"/>
        </w:rPr>
        <w:t xml:space="preserve"> </w:t>
      </w:r>
      <w:r w:rsidR="00FB098A" w:rsidRPr="00E86460">
        <w:rPr>
          <w:sz w:val="20"/>
        </w:rPr>
        <w:t xml:space="preserve">2023 </w:t>
      </w:r>
      <w:r w:rsidRPr="00E86460">
        <w:rPr>
          <w:sz w:val="20"/>
        </w:rPr>
        <w:t>to 30 Jun</w:t>
      </w:r>
      <w:r w:rsidR="00AB2EB4" w:rsidRPr="00E86460">
        <w:rPr>
          <w:sz w:val="20"/>
        </w:rPr>
        <w:t>e</w:t>
      </w:r>
      <w:r w:rsidRPr="00E86460">
        <w:rPr>
          <w:sz w:val="20"/>
        </w:rPr>
        <w:t xml:space="preserve"> </w:t>
      </w:r>
      <w:r w:rsidR="00FB098A" w:rsidRPr="00E86460">
        <w:rPr>
          <w:sz w:val="20"/>
        </w:rPr>
        <w:t>2024</w:t>
      </w:r>
      <w:r w:rsidRPr="00E86460">
        <w:rPr>
          <w:sz w:val="20"/>
        </w:rPr>
        <w:t>) as well as details of the organisation.</w:t>
      </w:r>
    </w:p>
    <w:p w14:paraId="18068FD5" w14:textId="77777777" w:rsidR="00AC57D8" w:rsidRPr="00845440" w:rsidRDefault="00AC57D8" w:rsidP="003603E0">
      <w:pPr>
        <w:pStyle w:val="Heading4"/>
        <w:rPr>
          <w:b w:val="0"/>
          <w:bCs w:val="0"/>
        </w:rPr>
      </w:pPr>
      <w:r w:rsidRPr="003D0DF5">
        <w:rPr>
          <w:b w:val="0"/>
          <w:bCs w:val="0"/>
        </w:rPr>
        <w:t>Financial reporting standards</w:t>
      </w:r>
    </w:p>
    <w:p w14:paraId="4EC89826" w14:textId="0358FE36" w:rsidR="00AC57D8" w:rsidRPr="00E86460" w:rsidRDefault="00AC57D8" w:rsidP="00AC57D8">
      <w:pPr>
        <w:pStyle w:val="Body"/>
        <w:rPr>
          <w:sz w:val="20"/>
        </w:rPr>
      </w:pPr>
      <w:r w:rsidRPr="00E86460">
        <w:rPr>
          <w:sz w:val="20"/>
        </w:rPr>
        <w:t>Organisations are required to comply with the Australian equivalents of the International Financial Reporting Standards (A</w:t>
      </w:r>
      <w:r w:rsidR="00C30517" w:rsidRPr="00E86460">
        <w:rPr>
          <w:sz w:val="20"/>
        </w:rPr>
        <w:t>-</w:t>
      </w:r>
      <w:r w:rsidRPr="00E86460">
        <w:rPr>
          <w:sz w:val="20"/>
        </w:rPr>
        <w:t>IFRS) which came into effect in 2005.</w:t>
      </w:r>
    </w:p>
    <w:p w14:paraId="0081C55F" w14:textId="33420D03" w:rsidR="00AC57D8" w:rsidRPr="00E86460" w:rsidRDefault="00AC57D8" w:rsidP="00AC57D8">
      <w:pPr>
        <w:pStyle w:val="Body"/>
        <w:rPr>
          <w:sz w:val="20"/>
        </w:rPr>
      </w:pPr>
      <w:r w:rsidRPr="00E86460">
        <w:rPr>
          <w:sz w:val="20"/>
        </w:rPr>
        <w:t xml:space="preserve">Information about the AIFRS </w:t>
      </w:r>
      <w:r w:rsidR="00840759" w:rsidRPr="00E86460">
        <w:rPr>
          <w:sz w:val="20"/>
        </w:rPr>
        <w:t>is available at</w:t>
      </w:r>
      <w:r w:rsidRPr="00E86460">
        <w:rPr>
          <w:sz w:val="20"/>
        </w:rPr>
        <w:t xml:space="preserve"> </w:t>
      </w:r>
      <w:hyperlink r:id="rId24" w:history="1">
        <w:r w:rsidR="00BA3429" w:rsidRPr="00E86460">
          <w:rPr>
            <w:rStyle w:val="Hyperlink"/>
            <w:sz w:val="20"/>
          </w:rPr>
          <w:t>Australian Accounting Standards Board</w:t>
        </w:r>
      </w:hyperlink>
      <w:r w:rsidR="00BA3429" w:rsidRPr="00E86460">
        <w:rPr>
          <w:rStyle w:val="Hyperlink"/>
          <w:sz w:val="20"/>
        </w:rPr>
        <w:t xml:space="preserve"> </w:t>
      </w:r>
      <w:r w:rsidRPr="00E86460">
        <w:rPr>
          <w:sz w:val="20"/>
        </w:rPr>
        <w:t xml:space="preserve">&lt;http://www.aasb.gov.au&gt; </w:t>
      </w:r>
    </w:p>
    <w:p w14:paraId="0D7D7FA4" w14:textId="74EC0602" w:rsidR="00AC57D8" w:rsidRDefault="00871C88" w:rsidP="003603E0">
      <w:pPr>
        <w:pStyle w:val="Heading3"/>
      </w:pPr>
      <w:bookmarkStart w:id="32" w:name="_Toc72421918"/>
      <w:bookmarkStart w:id="33" w:name="_Toc209175186"/>
      <w:r>
        <w:t>Service Agreement</w:t>
      </w:r>
      <w:r w:rsidR="00AC57D8">
        <w:t xml:space="preserve"> Compliance Certification</w:t>
      </w:r>
      <w:bookmarkEnd w:id="32"/>
      <w:bookmarkEnd w:id="33"/>
      <w:r w:rsidR="00AC57D8">
        <w:t xml:space="preserve"> </w:t>
      </w:r>
    </w:p>
    <w:p w14:paraId="22967DEA" w14:textId="0FA8FDB2" w:rsidR="00AC57D8" w:rsidRPr="00E86460" w:rsidRDefault="00AC57D8" w:rsidP="00AC57D8">
      <w:pPr>
        <w:pStyle w:val="Body"/>
        <w:rPr>
          <w:sz w:val="20"/>
        </w:rPr>
      </w:pPr>
      <w:r w:rsidRPr="00E86460">
        <w:rPr>
          <w:sz w:val="20"/>
        </w:rPr>
        <w:t xml:space="preserve">Most organisations funded through a </w:t>
      </w:r>
      <w:r w:rsidR="00871C88" w:rsidRPr="00E86460">
        <w:rPr>
          <w:sz w:val="20"/>
        </w:rPr>
        <w:t>Service Agreement</w:t>
      </w:r>
      <w:r w:rsidRPr="00E86460">
        <w:rPr>
          <w:sz w:val="20"/>
        </w:rPr>
        <w:t xml:space="preserve"> will be required to submit an annual </w:t>
      </w:r>
      <w:r w:rsidR="00871C88" w:rsidRPr="00E86460">
        <w:rPr>
          <w:sz w:val="20"/>
        </w:rPr>
        <w:t>Service Agreement</w:t>
      </w:r>
      <w:r w:rsidRPr="00E86460">
        <w:rPr>
          <w:sz w:val="20"/>
        </w:rPr>
        <w:t xml:space="preserve"> Compliance Certification (SACC). </w:t>
      </w:r>
    </w:p>
    <w:p w14:paraId="026935FE" w14:textId="77777777" w:rsidR="00AC57D8" w:rsidRPr="00E86460" w:rsidRDefault="00AC57D8" w:rsidP="00AC57D8">
      <w:pPr>
        <w:pStyle w:val="Body"/>
        <w:rPr>
          <w:sz w:val="20"/>
        </w:rPr>
      </w:pPr>
      <w:r w:rsidRPr="00E86460">
        <w:rPr>
          <w:sz w:val="20"/>
        </w:rPr>
        <w:t>The SACC contains questions relating to:</w:t>
      </w:r>
    </w:p>
    <w:p w14:paraId="1949010B" w14:textId="217C82BC" w:rsidR="00AC57D8" w:rsidRPr="00E86460" w:rsidRDefault="00AC57D8" w:rsidP="00056D64">
      <w:pPr>
        <w:pStyle w:val="Bullet1"/>
        <w:numPr>
          <w:ilvl w:val="0"/>
          <w:numId w:val="13"/>
        </w:numPr>
        <w:rPr>
          <w:sz w:val="20"/>
        </w:rPr>
      </w:pPr>
      <w:r w:rsidRPr="00E86460">
        <w:rPr>
          <w:sz w:val="20"/>
        </w:rPr>
        <w:t>Financial management</w:t>
      </w:r>
      <w:r w:rsidR="00C11C73" w:rsidRPr="00E86460">
        <w:rPr>
          <w:sz w:val="20"/>
        </w:rPr>
        <w:t xml:space="preserve"> -</w:t>
      </w:r>
      <w:r w:rsidRPr="00E86460">
        <w:rPr>
          <w:sz w:val="20"/>
        </w:rPr>
        <w:t xml:space="preserve"> that the organisation has used funding as outlined in their </w:t>
      </w:r>
      <w:r w:rsidR="00871C88" w:rsidRPr="00E86460">
        <w:rPr>
          <w:sz w:val="20"/>
        </w:rPr>
        <w:t>Service Agreement</w:t>
      </w:r>
      <w:r w:rsidRPr="00E86460">
        <w:rPr>
          <w:sz w:val="20"/>
        </w:rPr>
        <w:t>, is financially viable, has prepared its financial reports and any audit reports and maintains an asset register.</w:t>
      </w:r>
    </w:p>
    <w:p w14:paraId="20B9C1D4" w14:textId="18799A2C" w:rsidR="00AC57D8" w:rsidRPr="00E86460" w:rsidRDefault="00AC57D8" w:rsidP="00056D64">
      <w:pPr>
        <w:pStyle w:val="Bullet1"/>
        <w:numPr>
          <w:ilvl w:val="0"/>
          <w:numId w:val="13"/>
        </w:numPr>
        <w:rPr>
          <w:sz w:val="20"/>
        </w:rPr>
      </w:pPr>
      <w:r w:rsidRPr="00E86460">
        <w:rPr>
          <w:sz w:val="20"/>
        </w:rPr>
        <w:t>Risk management</w:t>
      </w:r>
      <w:r w:rsidR="00C11C73" w:rsidRPr="00E86460">
        <w:rPr>
          <w:sz w:val="20"/>
        </w:rPr>
        <w:t xml:space="preserve"> -</w:t>
      </w:r>
      <w:r w:rsidRPr="00E86460">
        <w:rPr>
          <w:sz w:val="20"/>
        </w:rPr>
        <w:t xml:space="preserve"> that risks are managed in accordance with the Australian</w:t>
      </w:r>
      <w:r w:rsidR="003D64C9" w:rsidRPr="00E86460">
        <w:rPr>
          <w:sz w:val="20"/>
        </w:rPr>
        <w:t xml:space="preserve"> </w:t>
      </w:r>
      <w:r w:rsidRPr="00E86460">
        <w:rPr>
          <w:sz w:val="20"/>
        </w:rPr>
        <w:t>/</w:t>
      </w:r>
      <w:r w:rsidR="003D64C9" w:rsidRPr="00E86460">
        <w:rPr>
          <w:sz w:val="20"/>
        </w:rPr>
        <w:t xml:space="preserve"> </w:t>
      </w:r>
      <w:r w:rsidRPr="00E86460">
        <w:rPr>
          <w:sz w:val="20"/>
        </w:rPr>
        <w:t>New Zealand Risk Management Standard.</w:t>
      </w:r>
    </w:p>
    <w:p w14:paraId="114DA50B" w14:textId="39495EB1" w:rsidR="00AC57D8" w:rsidRPr="00E86460" w:rsidRDefault="00AC57D8" w:rsidP="00056D64">
      <w:pPr>
        <w:pStyle w:val="Bullet1"/>
        <w:numPr>
          <w:ilvl w:val="0"/>
          <w:numId w:val="13"/>
        </w:numPr>
        <w:rPr>
          <w:sz w:val="20"/>
        </w:rPr>
      </w:pPr>
      <w:r w:rsidRPr="00E86460">
        <w:rPr>
          <w:sz w:val="20"/>
        </w:rPr>
        <w:t>Staff safety screening</w:t>
      </w:r>
      <w:r w:rsidR="009B633A" w:rsidRPr="00E86460">
        <w:rPr>
          <w:sz w:val="20"/>
        </w:rPr>
        <w:t xml:space="preserve"> -</w:t>
      </w:r>
      <w:r w:rsidRPr="00E86460">
        <w:rPr>
          <w:sz w:val="20"/>
        </w:rPr>
        <w:t xml:space="preserve"> referee checks, police checks, and if relevant Working with Children </w:t>
      </w:r>
      <w:r w:rsidR="00A5619B" w:rsidRPr="00E86460">
        <w:rPr>
          <w:sz w:val="20"/>
        </w:rPr>
        <w:t>Check</w:t>
      </w:r>
      <w:r w:rsidRPr="00E86460">
        <w:rPr>
          <w:sz w:val="20"/>
        </w:rPr>
        <w:t>, have been completed.</w:t>
      </w:r>
    </w:p>
    <w:p w14:paraId="6AC1499C" w14:textId="2266424B" w:rsidR="00AC57D8" w:rsidRPr="00E86460" w:rsidRDefault="00AC57D8" w:rsidP="00056D64">
      <w:pPr>
        <w:pStyle w:val="Bullet1"/>
        <w:numPr>
          <w:ilvl w:val="0"/>
          <w:numId w:val="13"/>
        </w:numPr>
        <w:rPr>
          <w:sz w:val="20"/>
        </w:rPr>
      </w:pPr>
      <w:r w:rsidRPr="00E86460">
        <w:rPr>
          <w:sz w:val="20"/>
        </w:rPr>
        <w:t>Privacy and Data Protection</w:t>
      </w:r>
      <w:r w:rsidR="009B633A" w:rsidRPr="00E86460">
        <w:rPr>
          <w:sz w:val="20"/>
        </w:rPr>
        <w:t xml:space="preserve"> -</w:t>
      </w:r>
      <w:r w:rsidRPr="00E86460">
        <w:rPr>
          <w:sz w:val="20"/>
        </w:rPr>
        <w:t xml:space="preserve"> that the organisation’s practices and systems that do not contravene the </w:t>
      </w:r>
      <w:r w:rsidRPr="00E86460">
        <w:rPr>
          <w:i/>
          <w:iCs/>
          <w:sz w:val="20"/>
        </w:rPr>
        <w:t>Privacy and Data Protection Act 2014</w:t>
      </w:r>
      <w:r w:rsidRPr="00E86460">
        <w:rPr>
          <w:sz w:val="20"/>
        </w:rPr>
        <w:t xml:space="preserve"> and the </w:t>
      </w:r>
      <w:r w:rsidRPr="00E86460">
        <w:rPr>
          <w:i/>
          <w:iCs/>
          <w:sz w:val="20"/>
        </w:rPr>
        <w:t>Health Records Act 2001 (Vic)</w:t>
      </w:r>
      <w:r w:rsidRPr="00E86460">
        <w:rPr>
          <w:sz w:val="20"/>
        </w:rPr>
        <w:t xml:space="preserve"> and the </w:t>
      </w:r>
      <w:r w:rsidRPr="00E86460">
        <w:rPr>
          <w:i/>
          <w:iCs/>
          <w:sz w:val="20"/>
        </w:rPr>
        <w:t>Privacy Act (</w:t>
      </w:r>
      <w:proofErr w:type="spellStart"/>
      <w:r w:rsidRPr="00E86460">
        <w:rPr>
          <w:i/>
          <w:iCs/>
          <w:sz w:val="20"/>
        </w:rPr>
        <w:t>Cth</w:t>
      </w:r>
      <w:proofErr w:type="spellEnd"/>
      <w:r w:rsidRPr="00E86460">
        <w:rPr>
          <w:i/>
          <w:iCs/>
          <w:sz w:val="20"/>
        </w:rPr>
        <w:t>)</w:t>
      </w:r>
      <w:r w:rsidRPr="00E86460">
        <w:rPr>
          <w:sz w:val="20"/>
        </w:rPr>
        <w:t xml:space="preserve">, to protect personal and health information. </w:t>
      </w:r>
    </w:p>
    <w:p w14:paraId="16A61068" w14:textId="10CF7D90" w:rsidR="003603E0" w:rsidRPr="00E86460" w:rsidRDefault="00AC57D8" w:rsidP="00056D64">
      <w:pPr>
        <w:pStyle w:val="Bullet1"/>
        <w:numPr>
          <w:ilvl w:val="0"/>
          <w:numId w:val="13"/>
        </w:numPr>
        <w:rPr>
          <w:sz w:val="20"/>
        </w:rPr>
      </w:pPr>
      <w:r w:rsidRPr="00E86460">
        <w:rPr>
          <w:sz w:val="20"/>
        </w:rPr>
        <w:t>Occupational Health and Safety</w:t>
      </w:r>
      <w:r w:rsidR="009B633A" w:rsidRPr="00E86460">
        <w:rPr>
          <w:sz w:val="20"/>
        </w:rPr>
        <w:t xml:space="preserve"> -</w:t>
      </w:r>
      <w:r w:rsidRPr="00E86460">
        <w:rPr>
          <w:sz w:val="20"/>
        </w:rPr>
        <w:t xml:space="preserve"> that the health and welfare of the staff employed are protected by organisation’s policies and practices in accordance with OHS requirements</w:t>
      </w:r>
      <w:r w:rsidR="003603E0" w:rsidRPr="00E86460">
        <w:rPr>
          <w:sz w:val="20"/>
        </w:rPr>
        <w:t>.</w:t>
      </w:r>
      <w:r w:rsidR="003334CB" w:rsidRPr="00E86460">
        <w:rPr>
          <w:sz w:val="20"/>
        </w:rPr>
        <w:br/>
      </w:r>
    </w:p>
    <w:p w14:paraId="6E3A16FF" w14:textId="54B0992C" w:rsidR="00A44F5C" w:rsidRPr="00E86460" w:rsidRDefault="00AC57D8" w:rsidP="00AC57D8">
      <w:pPr>
        <w:pStyle w:val="Body"/>
        <w:rPr>
          <w:sz w:val="20"/>
        </w:rPr>
      </w:pPr>
      <w:r w:rsidRPr="00E86460">
        <w:rPr>
          <w:sz w:val="20"/>
        </w:rPr>
        <w:t>The SACC must be submitted to the department three months after the end of the organisation’s reporting period, or seven days after the organisation’s Annual General Meeting.</w:t>
      </w:r>
    </w:p>
    <w:p w14:paraId="69C65E95" w14:textId="4362DE5B" w:rsidR="00A36E00" w:rsidRPr="00E86460" w:rsidRDefault="006F7651" w:rsidP="00A36E00">
      <w:pPr>
        <w:pStyle w:val="Body"/>
        <w:rPr>
          <w:sz w:val="20"/>
        </w:rPr>
      </w:pPr>
      <w:r w:rsidRPr="00E86460">
        <w:rPr>
          <w:sz w:val="20"/>
        </w:rPr>
        <w:t xml:space="preserve">Further information is available on the </w:t>
      </w:r>
      <w:hyperlink r:id="rId25" w:history="1">
        <w:r w:rsidR="00BA3429" w:rsidRPr="00E86460">
          <w:rPr>
            <w:rStyle w:val="Hyperlink"/>
            <w:sz w:val="20"/>
          </w:rPr>
          <w:t xml:space="preserve">Funded Agency Channel – Guidelines for the </w:t>
        </w:r>
        <w:r w:rsidR="00871C88" w:rsidRPr="00E86460">
          <w:rPr>
            <w:rStyle w:val="Hyperlink"/>
            <w:sz w:val="20"/>
          </w:rPr>
          <w:t>Service Agreement</w:t>
        </w:r>
        <w:r w:rsidR="00BA3429" w:rsidRPr="00E86460">
          <w:rPr>
            <w:rStyle w:val="Hyperlink"/>
            <w:sz w:val="20"/>
          </w:rPr>
          <w:t xml:space="preserve"> Compliance Certification form</w:t>
        </w:r>
      </w:hyperlink>
      <w:r w:rsidR="00A36E00" w:rsidRPr="00E86460">
        <w:rPr>
          <w:sz w:val="20"/>
        </w:rPr>
        <w:t xml:space="preserve"> </w:t>
      </w:r>
      <w:r w:rsidRPr="00E86460">
        <w:rPr>
          <w:sz w:val="20"/>
        </w:rPr>
        <w:t>&lt;https://fac.dhhs.vic.gov.au/guidelines-service-agreement-compliance-certification-form</w:t>
      </w:r>
      <w:r w:rsidR="00E1255C" w:rsidRPr="00E86460">
        <w:rPr>
          <w:sz w:val="20"/>
        </w:rPr>
        <w:t>-0</w:t>
      </w:r>
      <w:r w:rsidRPr="00E86460">
        <w:rPr>
          <w:sz w:val="20"/>
        </w:rPr>
        <w:t>&gt;.</w:t>
      </w:r>
    </w:p>
    <w:p w14:paraId="7A27784E" w14:textId="659E2BEA" w:rsidR="00A36E00" w:rsidRPr="00E86460" w:rsidRDefault="00A36E00" w:rsidP="00A36E00">
      <w:pPr>
        <w:pStyle w:val="Body"/>
        <w:rPr>
          <w:sz w:val="20"/>
        </w:rPr>
      </w:pPr>
      <w:r w:rsidRPr="00E86460">
        <w:rPr>
          <w:sz w:val="20"/>
        </w:rPr>
        <w:t>For assistance in completing the SACC</w:t>
      </w:r>
      <w:r w:rsidR="00B57F6F" w:rsidRPr="00E86460">
        <w:rPr>
          <w:sz w:val="20"/>
        </w:rPr>
        <w:t>,</w:t>
      </w:r>
      <w:r w:rsidR="00AB2185" w:rsidRPr="00E86460">
        <w:rPr>
          <w:sz w:val="20"/>
        </w:rPr>
        <w:t xml:space="preserve"> </w:t>
      </w:r>
      <w:hyperlink r:id="rId26" w:history="1">
        <w:r w:rsidR="00256F52" w:rsidRPr="00E86460">
          <w:rPr>
            <w:rStyle w:val="Hyperlink"/>
            <w:sz w:val="20"/>
          </w:rPr>
          <w:t>email the OFAS Helpdesk</w:t>
        </w:r>
      </w:hyperlink>
      <w:r w:rsidR="00E90901" w:rsidRPr="00E86460">
        <w:rPr>
          <w:sz w:val="20"/>
        </w:rPr>
        <w:t xml:space="preserve"> </w:t>
      </w:r>
      <w:r w:rsidRPr="00E86460">
        <w:rPr>
          <w:sz w:val="20"/>
        </w:rPr>
        <w:t>&lt;OFAS.helpdesk@d</w:t>
      </w:r>
      <w:r w:rsidR="00F25D29" w:rsidRPr="00E86460">
        <w:rPr>
          <w:sz w:val="20"/>
        </w:rPr>
        <w:t>ffh</w:t>
      </w:r>
      <w:r w:rsidRPr="00E86460">
        <w:rPr>
          <w:sz w:val="20"/>
        </w:rPr>
        <w:t>.vic.gov.au</w:t>
      </w:r>
      <w:r w:rsidR="004740AE" w:rsidRPr="00E86460">
        <w:rPr>
          <w:sz w:val="20"/>
        </w:rPr>
        <w:t>&gt;.</w:t>
      </w:r>
    </w:p>
    <w:p w14:paraId="573F440B" w14:textId="77777777" w:rsidR="00A36E00" w:rsidRDefault="00A36E00" w:rsidP="00A36E00">
      <w:pPr>
        <w:pStyle w:val="Heading3"/>
      </w:pPr>
      <w:bookmarkStart w:id="34" w:name="_Toc72421920"/>
      <w:bookmarkStart w:id="35" w:name="_Toc209175187"/>
      <w:r>
        <w:t>Insurance and risk management</w:t>
      </w:r>
      <w:bookmarkEnd w:id="34"/>
      <w:bookmarkEnd w:id="35"/>
    </w:p>
    <w:p w14:paraId="4E90B9E2" w14:textId="6860FE62" w:rsidR="00A36E00" w:rsidRPr="00E86460" w:rsidRDefault="00A36E00" w:rsidP="00A36E00">
      <w:pPr>
        <w:pStyle w:val="Body"/>
        <w:rPr>
          <w:sz w:val="20"/>
        </w:rPr>
      </w:pPr>
      <w:r w:rsidRPr="00E86460">
        <w:rPr>
          <w:sz w:val="20"/>
        </w:rPr>
        <w:t xml:space="preserve">Funded organisations that enter into a </w:t>
      </w:r>
      <w:r w:rsidR="00871C88" w:rsidRPr="00E86460">
        <w:rPr>
          <w:sz w:val="20"/>
        </w:rPr>
        <w:t>Service Agreement</w:t>
      </w:r>
      <w:r w:rsidRPr="00E86460">
        <w:rPr>
          <w:sz w:val="20"/>
        </w:rPr>
        <w:t xml:space="preserve"> are required to have appropriate insurance to cover their operational and business risks</w:t>
      </w:r>
      <w:r w:rsidR="7624BCB6" w:rsidRPr="00E86460">
        <w:rPr>
          <w:sz w:val="20"/>
        </w:rPr>
        <w:t>, including the following minimum insured amounts:</w:t>
      </w:r>
    </w:p>
    <w:p w14:paraId="4FCC4D2E" w14:textId="62DD9E53" w:rsidR="00A36E00" w:rsidRPr="00E86460" w:rsidRDefault="7624BCB6" w:rsidP="00F60F65">
      <w:pPr>
        <w:pStyle w:val="Body"/>
        <w:numPr>
          <w:ilvl w:val="0"/>
          <w:numId w:val="14"/>
        </w:numPr>
        <w:ind w:left="723"/>
        <w:rPr>
          <w:sz w:val="20"/>
        </w:rPr>
      </w:pPr>
      <w:r w:rsidRPr="00E86460">
        <w:rPr>
          <w:sz w:val="20"/>
        </w:rPr>
        <w:t>Public L</w:t>
      </w:r>
      <w:r w:rsidR="6629CF32" w:rsidRPr="00E86460">
        <w:rPr>
          <w:sz w:val="20"/>
        </w:rPr>
        <w:t>i</w:t>
      </w:r>
      <w:r w:rsidRPr="00E86460">
        <w:rPr>
          <w:sz w:val="20"/>
        </w:rPr>
        <w:t>ability $</w:t>
      </w:r>
      <w:r w:rsidR="6F11D98D" w:rsidRPr="00E86460">
        <w:rPr>
          <w:sz w:val="20"/>
        </w:rPr>
        <w:t>10</w:t>
      </w:r>
      <w:r w:rsidR="0059592F" w:rsidRPr="00E86460">
        <w:rPr>
          <w:sz w:val="20"/>
        </w:rPr>
        <w:t>,000,000</w:t>
      </w:r>
    </w:p>
    <w:p w14:paraId="7EF537F4" w14:textId="24EBB5DB" w:rsidR="00A36E00" w:rsidRPr="00E86460" w:rsidRDefault="3580E8BE" w:rsidP="00F60F65">
      <w:pPr>
        <w:pStyle w:val="Body"/>
        <w:numPr>
          <w:ilvl w:val="0"/>
          <w:numId w:val="14"/>
        </w:numPr>
        <w:ind w:left="723"/>
        <w:rPr>
          <w:sz w:val="20"/>
        </w:rPr>
      </w:pPr>
      <w:r w:rsidRPr="00E86460">
        <w:rPr>
          <w:sz w:val="20"/>
        </w:rPr>
        <w:lastRenderedPageBreak/>
        <w:t>Professional Indemnity $</w:t>
      </w:r>
      <w:r w:rsidR="3973CA9A" w:rsidRPr="00E86460">
        <w:rPr>
          <w:sz w:val="20"/>
        </w:rPr>
        <w:t>5</w:t>
      </w:r>
      <w:r w:rsidR="0059592F" w:rsidRPr="00E86460">
        <w:rPr>
          <w:sz w:val="20"/>
        </w:rPr>
        <w:t>,000,000</w:t>
      </w:r>
      <w:r w:rsidR="009E5728" w:rsidRPr="00E86460">
        <w:rPr>
          <w:sz w:val="20"/>
        </w:rPr>
        <w:t>.</w:t>
      </w:r>
    </w:p>
    <w:p w14:paraId="31222FA4" w14:textId="1F46CF84" w:rsidR="00A36E00" w:rsidRPr="00E86460" w:rsidRDefault="00A36E00" w:rsidP="00A36E00">
      <w:pPr>
        <w:pStyle w:val="Body"/>
        <w:rPr>
          <w:sz w:val="20"/>
        </w:rPr>
      </w:pPr>
      <w:r w:rsidRPr="00E86460">
        <w:rPr>
          <w:sz w:val="20"/>
        </w:rPr>
        <w:t xml:space="preserve">The insurance cover must be maintained for the period of the </w:t>
      </w:r>
      <w:r w:rsidR="00871C88" w:rsidRPr="00E86460">
        <w:rPr>
          <w:sz w:val="20"/>
        </w:rPr>
        <w:t>Service Agreement</w:t>
      </w:r>
      <w:r w:rsidRPr="00E86460">
        <w:rPr>
          <w:sz w:val="20"/>
        </w:rPr>
        <w:t>.</w:t>
      </w:r>
    </w:p>
    <w:p w14:paraId="078A71A9" w14:textId="3FC388C2" w:rsidR="00A36E00" w:rsidRPr="00E86460" w:rsidRDefault="00A36E00" w:rsidP="00A36E00">
      <w:pPr>
        <w:pStyle w:val="Body"/>
        <w:rPr>
          <w:sz w:val="20"/>
        </w:rPr>
      </w:pPr>
      <w:r w:rsidRPr="00E86460">
        <w:rPr>
          <w:sz w:val="20"/>
        </w:rPr>
        <w:t>Since 1 July 2019 the Victorian Government has also required all non-government organisations, that are funded by the Victorian Government to deliver services to children, to be both incorporated and insured against child abuse. These</w:t>
      </w:r>
      <w:r w:rsidRPr="00E86460" w:rsidDel="00F77E4A">
        <w:rPr>
          <w:sz w:val="20"/>
        </w:rPr>
        <w:t xml:space="preserve"> </w:t>
      </w:r>
      <w:r w:rsidRPr="00E86460">
        <w:rPr>
          <w:sz w:val="20"/>
        </w:rPr>
        <w:t xml:space="preserve">requirements are part of the Victorian Government’s response to </w:t>
      </w:r>
      <w:r w:rsidR="00C2470A" w:rsidRPr="00E86460">
        <w:rPr>
          <w:sz w:val="20"/>
        </w:rPr>
        <w:t xml:space="preserve">the </w:t>
      </w:r>
      <w:r w:rsidRPr="00E86460">
        <w:rPr>
          <w:sz w:val="20"/>
        </w:rPr>
        <w:t xml:space="preserve">recommendations arising from the </w:t>
      </w:r>
      <w:r w:rsidR="00CB76EA" w:rsidRPr="00E86460">
        <w:rPr>
          <w:sz w:val="20"/>
        </w:rPr>
        <w:t xml:space="preserve">2013 </w:t>
      </w:r>
      <w:r w:rsidR="00CB76EA" w:rsidRPr="00E86460">
        <w:rPr>
          <w:i/>
          <w:iCs/>
          <w:sz w:val="20"/>
        </w:rPr>
        <w:t>Betrayal of Trust</w:t>
      </w:r>
      <w:r w:rsidR="00CB76EA" w:rsidRPr="00E86460">
        <w:rPr>
          <w:sz w:val="20"/>
        </w:rPr>
        <w:t xml:space="preserve"> report</w:t>
      </w:r>
      <w:r w:rsidRPr="00E86460" w:rsidDel="00CB76EA">
        <w:rPr>
          <w:sz w:val="20"/>
        </w:rPr>
        <w:t xml:space="preserve"> </w:t>
      </w:r>
      <w:r w:rsidRPr="00E86460">
        <w:rPr>
          <w:sz w:val="20"/>
        </w:rPr>
        <w:t xml:space="preserve">and the </w:t>
      </w:r>
      <w:hyperlink r:id="rId27" w:history="1">
        <w:r w:rsidR="002A3C38" w:rsidRPr="00E86460">
          <w:rPr>
            <w:rStyle w:val="Hyperlink"/>
            <w:sz w:val="20"/>
          </w:rPr>
          <w:t>Royal Commission into Institutional Responses to Child Sexual Abuse</w:t>
        </w:r>
      </w:hyperlink>
      <w:r w:rsidR="00C2470A" w:rsidRPr="00E86460">
        <w:rPr>
          <w:sz w:val="20"/>
        </w:rPr>
        <w:t xml:space="preserve"> &lt;https://www.childabuseroyalcommission.gov.au/&gt;</w:t>
      </w:r>
      <w:r w:rsidRPr="00E86460">
        <w:rPr>
          <w:sz w:val="20"/>
        </w:rPr>
        <w:t>.</w:t>
      </w:r>
    </w:p>
    <w:p w14:paraId="4ED021A1" w14:textId="569B312C" w:rsidR="00A36E00" w:rsidRPr="00E86460" w:rsidRDefault="00A36E00" w:rsidP="00A36E00">
      <w:pPr>
        <w:pStyle w:val="Body"/>
        <w:rPr>
          <w:sz w:val="20"/>
        </w:rPr>
      </w:pPr>
      <w:r w:rsidRPr="00E86460">
        <w:rPr>
          <w:sz w:val="20"/>
        </w:rPr>
        <w:t xml:space="preserve">Funded organisations providing services to children must provide evidence that their existing insurance cover </w:t>
      </w:r>
      <w:r w:rsidR="00771753" w:rsidRPr="00E86460">
        <w:rPr>
          <w:sz w:val="20"/>
        </w:rPr>
        <w:t>includes</w:t>
      </w:r>
      <w:r w:rsidR="00D252EE" w:rsidRPr="00E86460">
        <w:rPr>
          <w:sz w:val="20"/>
        </w:rPr>
        <w:t xml:space="preserve"> </w:t>
      </w:r>
      <w:r w:rsidR="004518CC" w:rsidRPr="00E86460">
        <w:rPr>
          <w:sz w:val="20"/>
        </w:rPr>
        <w:t>additional elements that meet</w:t>
      </w:r>
      <w:r w:rsidRPr="00E86460">
        <w:rPr>
          <w:sz w:val="20"/>
        </w:rPr>
        <w:t xml:space="preserve"> these requirements. </w:t>
      </w:r>
    </w:p>
    <w:p w14:paraId="21A6F5FB" w14:textId="77777777" w:rsidR="00A36E00" w:rsidRPr="00E86460" w:rsidRDefault="00A36E00" w:rsidP="00A36E00">
      <w:pPr>
        <w:pStyle w:val="Body"/>
        <w:rPr>
          <w:sz w:val="20"/>
        </w:rPr>
      </w:pPr>
      <w:r w:rsidRPr="00E86460">
        <w:rPr>
          <w:sz w:val="20"/>
        </w:rPr>
        <w:t>Some organisations may be eligible for insurance cover through the Victorian Managed Insurance Authority (VMIA).</w:t>
      </w:r>
    </w:p>
    <w:p w14:paraId="41D3A052" w14:textId="776297EF" w:rsidR="00A36E00" w:rsidRDefault="00A36E00" w:rsidP="00A36E00">
      <w:pPr>
        <w:pStyle w:val="Body"/>
        <w:rPr>
          <w:sz w:val="20"/>
        </w:rPr>
      </w:pPr>
      <w:r w:rsidRPr="00E86460">
        <w:rPr>
          <w:sz w:val="20"/>
        </w:rPr>
        <w:t xml:space="preserve">Further information </w:t>
      </w:r>
      <w:r w:rsidR="00172BC6" w:rsidRPr="00E86460">
        <w:rPr>
          <w:sz w:val="20"/>
        </w:rPr>
        <w:t>is available at</w:t>
      </w:r>
      <w:r w:rsidRPr="00E86460">
        <w:rPr>
          <w:sz w:val="20"/>
        </w:rPr>
        <w:t xml:space="preserve"> </w:t>
      </w:r>
      <w:hyperlink r:id="rId28" w:anchor="CSO" w:history="1">
        <w:r w:rsidR="006B3CD8" w:rsidRPr="00E86460">
          <w:rPr>
            <w:rStyle w:val="Hyperlink"/>
            <w:sz w:val="20"/>
          </w:rPr>
          <w:t>VMIA Community Service Organisation program</w:t>
        </w:r>
      </w:hyperlink>
      <w:r w:rsidR="00EE1EFB" w:rsidRPr="00E86460">
        <w:rPr>
          <w:rStyle w:val="Hyperlink"/>
          <w:sz w:val="20"/>
        </w:rPr>
        <w:br/>
      </w:r>
      <w:r w:rsidR="00EE1EFB" w:rsidRPr="00E86460">
        <w:rPr>
          <w:sz w:val="20"/>
        </w:rPr>
        <w:t>&lt;</w:t>
      </w:r>
      <w:r w:rsidR="00B920FE" w:rsidRPr="00E86460">
        <w:rPr>
          <w:sz w:val="20"/>
        </w:rPr>
        <w:t>https://www.vmia.vic.gov.au/insurance/policies-and-cover#CSO</w:t>
      </w:r>
      <w:r w:rsidRPr="00E86460">
        <w:rPr>
          <w:sz w:val="20"/>
        </w:rPr>
        <w:t>&gt;</w:t>
      </w:r>
      <w:r w:rsidR="00281804" w:rsidRPr="00E86460">
        <w:rPr>
          <w:sz w:val="20"/>
        </w:rPr>
        <w:t>.</w:t>
      </w:r>
    </w:p>
    <w:p w14:paraId="2F0BC74D" w14:textId="77777777" w:rsidR="00630366" w:rsidRPr="00630366" w:rsidRDefault="00630366" w:rsidP="00F5251C">
      <w:pPr>
        <w:pStyle w:val="Heading3"/>
      </w:pPr>
      <w:bookmarkStart w:id="36" w:name="_Toc209175188"/>
      <w:r w:rsidRPr="00A242ED">
        <w:rPr>
          <w:lang w:val="en-US"/>
        </w:rPr>
        <w:t>Background and Probity checks</w:t>
      </w:r>
      <w:bookmarkEnd w:id="36"/>
      <w:r w:rsidRPr="00A242ED">
        <w:rPr>
          <w:lang w:val="en-US"/>
        </w:rPr>
        <w:t> </w:t>
      </w:r>
      <w:r w:rsidRPr="00630366">
        <w:t> </w:t>
      </w:r>
    </w:p>
    <w:p w14:paraId="71E9999B" w14:textId="77777777" w:rsidR="00630366" w:rsidRPr="00630366" w:rsidRDefault="00630366" w:rsidP="00630366">
      <w:pPr>
        <w:pStyle w:val="Body"/>
        <w:rPr>
          <w:sz w:val="20"/>
        </w:rPr>
      </w:pPr>
      <w:r w:rsidRPr="00A242ED">
        <w:rPr>
          <w:sz w:val="20"/>
        </w:rPr>
        <w:t>It is the role of an organisation’s governing body to ensure that it is well governed, responsibly managed and meeting its obligations under the law. </w:t>
      </w:r>
      <w:r w:rsidRPr="00630366">
        <w:rPr>
          <w:sz w:val="20"/>
        </w:rPr>
        <w:t> </w:t>
      </w:r>
    </w:p>
    <w:p w14:paraId="29B6B7D6" w14:textId="77777777" w:rsidR="00630366" w:rsidRPr="00630366" w:rsidRDefault="00630366" w:rsidP="00630366">
      <w:pPr>
        <w:pStyle w:val="Body"/>
        <w:rPr>
          <w:sz w:val="20"/>
        </w:rPr>
      </w:pPr>
      <w:r w:rsidRPr="00C96234">
        <w:rPr>
          <w:sz w:val="20"/>
        </w:rPr>
        <w:t>This includes a requirement to take steps to be satisfied that all members of its governing body are suitable for the position they hold. Regulators such as the Social Services Regulator, the Office of the Registrar of Indigenous Corporations, the Australian Charities and Not-for-Profits Commission and the Australian Securities and Investments Commission require the organisations they regulate to undertake a range of screening measures for members of the organisation’s governing body. It is important that these requirements are complied with.</w:t>
      </w:r>
      <w:r w:rsidRPr="00630366">
        <w:rPr>
          <w:sz w:val="20"/>
        </w:rPr>
        <w:t> </w:t>
      </w:r>
    </w:p>
    <w:p w14:paraId="61B74F34" w14:textId="77777777" w:rsidR="00630366" w:rsidRPr="00630366" w:rsidRDefault="00630366" w:rsidP="00630366">
      <w:pPr>
        <w:pStyle w:val="Body"/>
        <w:rPr>
          <w:sz w:val="20"/>
        </w:rPr>
      </w:pPr>
      <w:r w:rsidRPr="00C96234">
        <w:rPr>
          <w:sz w:val="20"/>
        </w:rPr>
        <w:t>Where not already required by a regulator, recommended steps to take prior to, or on appointment of a person to a position in or reporting to an organisation’s governing body include: </w:t>
      </w:r>
      <w:r w:rsidRPr="00630366">
        <w:rPr>
          <w:sz w:val="20"/>
        </w:rPr>
        <w:t> </w:t>
      </w:r>
    </w:p>
    <w:p w14:paraId="50665C26" w14:textId="398FA560" w:rsidR="00630366" w:rsidRPr="00630366" w:rsidRDefault="00630366" w:rsidP="00630366">
      <w:pPr>
        <w:pStyle w:val="Body"/>
        <w:numPr>
          <w:ilvl w:val="0"/>
          <w:numId w:val="27"/>
        </w:numPr>
        <w:rPr>
          <w:sz w:val="20"/>
        </w:rPr>
      </w:pPr>
      <w:r w:rsidRPr="00C96234">
        <w:rPr>
          <w:sz w:val="20"/>
        </w:rPr>
        <w:t>Checks that members are not disqualified from holding a position on a governing body (for example persons may be disqualified from managing a corporation under the Corporations Act 2001 (</w:t>
      </w:r>
      <w:proofErr w:type="spellStart"/>
      <w:r w:rsidRPr="00C96234">
        <w:rPr>
          <w:sz w:val="20"/>
        </w:rPr>
        <w:t>Cth</w:t>
      </w:r>
      <w:proofErr w:type="spellEnd"/>
      <w:r w:rsidRPr="00C96234">
        <w:rPr>
          <w:sz w:val="20"/>
        </w:rPr>
        <w:t>) or from being a Responsible Person as defined by the Social Services Regulator and the Australian Charities and Not-for-Profits Commission</w:t>
      </w:r>
      <w:proofErr w:type="gramStart"/>
      <w:r w:rsidRPr="00C96234">
        <w:rPr>
          <w:sz w:val="20"/>
        </w:rPr>
        <w:t>)</w:t>
      </w:r>
      <w:r w:rsidR="00B106DF">
        <w:rPr>
          <w:sz w:val="20"/>
        </w:rPr>
        <w:t>;</w:t>
      </w:r>
      <w:proofErr w:type="gramEnd"/>
      <w:r w:rsidRPr="00630366">
        <w:rPr>
          <w:sz w:val="20"/>
        </w:rPr>
        <w:t> </w:t>
      </w:r>
    </w:p>
    <w:p w14:paraId="01EA0AFB" w14:textId="77777777" w:rsidR="00630366" w:rsidRPr="00630366" w:rsidRDefault="00630366" w:rsidP="00630366">
      <w:pPr>
        <w:pStyle w:val="Body"/>
        <w:numPr>
          <w:ilvl w:val="0"/>
          <w:numId w:val="28"/>
        </w:numPr>
        <w:rPr>
          <w:sz w:val="20"/>
        </w:rPr>
      </w:pPr>
      <w:r w:rsidRPr="00C96234">
        <w:rPr>
          <w:sz w:val="20"/>
        </w:rPr>
        <w:t xml:space="preserve">Identity checks and checks of any claimed </w:t>
      </w:r>
      <w:proofErr w:type="gramStart"/>
      <w:r w:rsidRPr="00C96234">
        <w:rPr>
          <w:sz w:val="20"/>
        </w:rPr>
        <w:t>qualifications;</w:t>
      </w:r>
      <w:proofErr w:type="gramEnd"/>
      <w:r w:rsidRPr="00C96234">
        <w:rPr>
          <w:sz w:val="20"/>
        </w:rPr>
        <w:t> </w:t>
      </w:r>
      <w:r w:rsidRPr="00630366">
        <w:rPr>
          <w:sz w:val="20"/>
        </w:rPr>
        <w:t> </w:t>
      </w:r>
    </w:p>
    <w:p w14:paraId="0AB3E540" w14:textId="77777777" w:rsidR="00630366" w:rsidRPr="00630366" w:rsidRDefault="00630366" w:rsidP="00630366">
      <w:pPr>
        <w:pStyle w:val="Body"/>
        <w:numPr>
          <w:ilvl w:val="0"/>
          <w:numId w:val="29"/>
        </w:numPr>
        <w:rPr>
          <w:sz w:val="20"/>
        </w:rPr>
      </w:pPr>
      <w:r w:rsidRPr="00C96234">
        <w:rPr>
          <w:sz w:val="20"/>
        </w:rPr>
        <w:t xml:space="preserve">Police and criminal records checks, bankruptcy checks, with appropriate policies and systems in place to manage identified issues. In some cases, the organisation may consider issues identified through a check may not be able to be managed and will disqualify the person from being a member of the governing </w:t>
      </w:r>
      <w:proofErr w:type="gramStart"/>
      <w:r w:rsidRPr="00C96234">
        <w:rPr>
          <w:sz w:val="20"/>
        </w:rPr>
        <w:t>body;</w:t>
      </w:r>
      <w:proofErr w:type="gramEnd"/>
      <w:r w:rsidRPr="00630366">
        <w:rPr>
          <w:sz w:val="20"/>
        </w:rPr>
        <w:t> </w:t>
      </w:r>
    </w:p>
    <w:p w14:paraId="326E8638" w14:textId="77777777" w:rsidR="00630366" w:rsidRPr="00630366" w:rsidRDefault="00630366" w:rsidP="00630366">
      <w:pPr>
        <w:pStyle w:val="Body"/>
        <w:numPr>
          <w:ilvl w:val="0"/>
          <w:numId w:val="30"/>
        </w:numPr>
        <w:rPr>
          <w:sz w:val="20"/>
        </w:rPr>
      </w:pPr>
      <w:r w:rsidRPr="00C96234">
        <w:rPr>
          <w:sz w:val="20"/>
        </w:rPr>
        <w:t>Bankruptcy checks; and</w:t>
      </w:r>
      <w:r w:rsidRPr="00630366">
        <w:rPr>
          <w:sz w:val="20"/>
        </w:rPr>
        <w:t> </w:t>
      </w:r>
    </w:p>
    <w:p w14:paraId="551FE521" w14:textId="77777777" w:rsidR="00630366" w:rsidRPr="00630366" w:rsidRDefault="00630366" w:rsidP="00630366">
      <w:pPr>
        <w:pStyle w:val="Body"/>
        <w:numPr>
          <w:ilvl w:val="0"/>
          <w:numId w:val="31"/>
        </w:numPr>
        <w:rPr>
          <w:sz w:val="20"/>
        </w:rPr>
      </w:pPr>
      <w:r w:rsidRPr="00C96234">
        <w:rPr>
          <w:sz w:val="20"/>
        </w:rPr>
        <w:t>Declarations of Conflict of Interest, as required by clause 5 of the Service Agreement, with appropriate policies and systems to record and manage declared conflicts.</w:t>
      </w:r>
      <w:r w:rsidRPr="00630366">
        <w:rPr>
          <w:sz w:val="20"/>
        </w:rPr>
        <w:t> </w:t>
      </w:r>
    </w:p>
    <w:p w14:paraId="37D02BA4" w14:textId="729A6098" w:rsidR="00630366" w:rsidRPr="00E86460" w:rsidRDefault="00630366" w:rsidP="00A36E00">
      <w:pPr>
        <w:pStyle w:val="Body"/>
        <w:rPr>
          <w:sz w:val="20"/>
        </w:rPr>
      </w:pPr>
      <w:r w:rsidRPr="00C96234">
        <w:rPr>
          <w:sz w:val="20"/>
        </w:rPr>
        <w:t>It is the funded organisation’s governing body’s responsibility to ensure that there are appropriate policies and systems in place to identify and manage risk relating to governance and probity on an ongoing basis. </w:t>
      </w:r>
      <w:r w:rsidRPr="00630366">
        <w:rPr>
          <w:sz w:val="20"/>
        </w:rPr>
        <w:t> </w:t>
      </w:r>
    </w:p>
    <w:p w14:paraId="6EBA4520" w14:textId="77777777" w:rsidR="00A36E00" w:rsidRDefault="00A36E00" w:rsidP="00A36E00">
      <w:pPr>
        <w:pStyle w:val="Heading3"/>
      </w:pPr>
      <w:bookmarkStart w:id="37" w:name="_Toc72421921"/>
      <w:bookmarkStart w:id="38" w:name="_Toc209175189"/>
      <w:r>
        <w:lastRenderedPageBreak/>
        <w:t>Variations</w:t>
      </w:r>
      <w:bookmarkEnd w:id="37"/>
      <w:bookmarkEnd w:id="38"/>
    </w:p>
    <w:p w14:paraId="7AFAC692" w14:textId="0E190954" w:rsidR="00A36E00" w:rsidRPr="00E86460" w:rsidRDefault="00A36E00" w:rsidP="00A36E00">
      <w:pPr>
        <w:pStyle w:val="Body"/>
        <w:rPr>
          <w:sz w:val="20"/>
        </w:rPr>
      </w:pPr>
      <w:r w:rsidRPr="00E86460">
        <w:rPr>
          <w:sz w:val="20"/>
        </w:rPr>
        <w:t xml:space="preserve">A variation is required when there is a change to funding, deliverables or to other requirements contained in the </w:t>
      </w:r>
      <w:r w:rsidR="00871C88" w:rsidRPr="00E86460">
        <w:rPr>
          <w:sz w:val="20"/>
        </w:rPr>
        <w:t>Service Agreement</w:t>
      </w:r>
      <w:r w:rsidRPr="00E86460">
        <w:rPr>
          <w:sz w:val="20"/>
        </w:rPr>
        <w:t>.</w:t>
      </w:r>
    </w:p>
    <w:p w14:paraId="01A0C940" w14:textId="76E78A91" w:rsidR="00A36E00" w:rsidRPr="00E86460" w:rsidRDefault="00A36E00" w:rsidP="00A36E00">
      <w:pPr>
        <w:pStyle w:val="Body"/>
        <w:rPr>
          <w:sz w:val="20"/>
        </w:rPr>
      </w:pPr>
      <w:r w:rsidRPr="00E86460">
        <w:rPr>
          <w:sz w:val="20"/>
        </w:rPr>
        <w:t>As outlined in clause 21.1 (Variation</w:t>
      </w:r>
      <w:r w:rsidR="00CC25D3" w:rsidRPr="00E86460">
        <w:rPr>
          <w:sz w:val="20"/>
        </w:rPr>
        <w:t>)</w:t>
      </w:r>
      <w:r w:rsidRPr="00E86460">
        <w:rPr>
          <w:sz w:val="20"/>
        </w:rPr>
        <w:t xml:space="preserve"> of the </w:t>
      </w:r>
      <w:r w:rsidR="00871C88" w:rsidRPr="00E86460">
        <w:rPr>
          <w:sz w:val="20"/>
        </w:rPr>
        <w:t>Service Agreement</w:t>
      </w:r>
      <w:r w:rsidRPr="00E86460">
        <w:rPr>
          <w:sz w:val="20"/>
        </w:rPr>
        <w:t>, variations must either be agreed in writing by both the organisation and the department</w:t>
      </w:r>
      <w:r w:rsidR="008C4CF9" w:rsidRPr="00E86460">
        <w:rPr>
          <w:sz w:val="20"/>
        </w:rPr>
        <w:t>s</w:t>
      </w:r>
      <w:r w:rsidRPr="00E86460">
        <w:rPr>
          <w:sz w:val="20"/>
        </w:rPr>
        <w:t xml:space="preserve"> </w:t>
      </w:r>
      <w:r w:rsidR="0092687F" w:rsidRPr="00E86460">
        <w:rPr>
          <w:sz w:val="20"/>
        </w:rPr>
        <w:t xml:space="preserve">or </w:t>
      </w:r>
      <w:r w:rsidRPr="00E86460">
        <w:rPr>
          <w:sz w:val="20"/>
        </w:rPr>
        <w:t>be evidenced by the organisation continuing to provide services after a proposed variation has been provided to the organisation by the department.</w:t>
      </w:r>
    </w:p>
    <w:p w14:paraId="1EC11CFC" w14:textId="2F7DF656" w:rsidR="00A36E00" w:rsidRPr="00E86460" w:rsidRDefault="00A36E00" w:rsidP="00A36E00">
      <w:pPr>
        <w:pStyle w:val="Body"/>
        <w:rPr>
          <w:sz w:val="20"/>
        </w:rPr>
      </w:pPr>
      <w:r w:rsidRPr="00E86460">
        <w:rPr>
          <w:sz w:val="20"/>
        </w:rPr>
        <w:t xml:space="preserve">Variations are </w:t>
      </w:r>
      <w:r w:rsidR="00AB2185" w:rsidRPr="00E86460">
        <w:rPr>
          <w:sz w:val="20"/>
        </w:rPr>
        <w:t xml:space="preserve">usually </w:t>
      </w:r>
      <w:r w:rsidRPr="00E86460">
        <w:rPr>
          <w:sz w:val="20"/>
        </w:rPr>
        <w:t>processed monthly, to ensure timely funding of services.</w:t>
      </w:r>
    </w:p>
    <w:p w14:paraId="6E5A047C" w14:textId="5DFC192D" w:rsidR="00A36E00" w:rsidRPr="00E86460" w:rsidRDefault="00512688" w:rsidP="00A704E9">
      <w:pPr>
        <w:pStyle w:val="Body"/>
        <w:rPr>
          <w:sz w:val="20"/>
        </w:rPr>
      </w:pPr>
      <w:r w:rsidRPr="00E86460">
        <w:rPr>
          <w:sz w:val="20"/>
        </w:rPr>
        <w:t>The</w:t>
      </w:r>
      <w:r w:rsidR="00A36E00" w:rsidRPr="00E86460">
        <w:rPr>
          <w:sz w:val="20"/>
        </w:rPr>
        <w:t xml:space="preserve"> amended version of the </w:t>
      </w:r>
      <w:r w:rsidR="00871C88" w:rsidRPr="00E86460">
        <w:rPr>
          <w:sz w:val="20"/>
        </w:rPr>
        <w:t>Service Agreement</w:t>
      </w:r>
      <w:r w:rsidR="00A36E00" w:rsidRPr="00E86460">
        <w:rPr>
          <w:sz w:val="20"/>
        </w:rPr>
        <w:t xml:space="preserve"> is </w:t>
      </w:r>
      <w:r w:rsidR="008A7521" w:rsidRPr="00E86460">
        <w:rPr>
          <w:sz w:val="20"/>
        </w:rPr>
        <w:t>published</w:t>
      </w:r>
      <w:r w:rsidR="00A704E9" w:rsidRPr="00E86460">
        <w:rPr>
          <w:sz w:val="20"/>
        </w:rPr>
        <w:t>,</w:t>
      </w:r>
      <w:r w:rsidR="00A36E00" w:rsidRPr="00E86460">
        <w:rPr>
          <w:sz w:val="20"/>
        </w:rPr>
        <w:t xml:space="preserve"> and an email is sent to authorised signatories (organisation and department</w:t>
      </w:r>
      <w:r w:rsidR="008C4CF9" w:rsidRPr="00E86460">
        <w:rPr>
          <w:sz w:val="20"/>
        </w:rPr>
        <w:t>s</w:t>
      </w:r>
      <w:r w:rsidR="00A36E00" w:rsidRPr="00E86460">
        <w:rPr>
          <w:sz w:val="20"/>
        </w:rPr>
        <w:t xml:space="preserve">) notifying them of the variation. </w:t>
      </w:r>
    </w:p>
    <w:p w14:paraId="3AC79400" w14:textId="6EDB45EB" w:rsidR="00A36E00" w:rsidRPr="00E86460" w:rsidRDefault="00A36E00" w:rsidP="00CF60D1">
      <w:pPr>
        <w:pStyle w:val="Body"/>
        <w:rPr>
          <w:sz w:val="20"/>
        </w:rPr>
      </w:pPr>
      <w:r w:rsidRPr="00E86460">
        <w:rPr>
          <w:sz w:val="20"/>
        </w:rPr>
        <w:t xml:space="preserve">The organisation signatory has five calendar days from the publication date to review the changes. The amended version of the </w:t>
      </w:r>
      <w:r w:rsidR="00871C88" w:rsidRPr="00E86460">
        <w:rPr>
          <w:sz w:val="20"/>
        </w:rPr>
        <w:t>Service Agreement</w:t>
      </w:r>
      <w:r w:rsidRPr="00E86460">
        <w:rPr>
          <w:sz w:val="20"/>
        </w:rPr>
        <w:t xml:space="preserve"> will move to contract status and will take effect after the five days</w:t>
      </w:r>
      <w:r w:rsidR="00AC4520" w:rsidRPr="00E86460">
        <w:rPr>
          <w:sz w:val="20"/>
        </w:rPr>
        <w:t>.</w:t>
      </w:r>
      <w:r w:rsidR="00A00F7A" w:rsidRPr="00E86460" w:rsidDel="00857796">
        <w:rPr>
          <w:sz w:val="20"/>
        </w:rPr>
        <w:t xml:space="preserve"> </w:t>
      </w:r>
    </w:p>
    <w:p w14:paraId="15859F44" w14:textId="7133EC1C" w:rsidR="00A36E00" w:rsidRPr="00E86460" w:rsidRDefault="00A36E00" w:rsidP="00A36E00">
      <w:pPr>
        <w:pStyle w:val="Body"/>
        <w:rPr>
          <w:sz w:val="20"/>
        </w:rPr>
      </w:pPr>
      <w:r w:rsidRPr="00E86460">
        <w:rPr>
          <w:sz w:val="20"/>
        </w:rPr>
        <w:t xml:space="preserve">Organisations can view a history of all the variations made to their </w:t>
      </w:r>
      <w:r w:rsidR="00871C88" w:rsidRPr="00E86460">
        <w:rPr>
          <w:sz w:val="20"/>
        </w:rPr>
        <w:t>Service Agreement</w:t>
      </w:r>
      <w:r w:rsidRPr="00E86460">
        <w:rPr>
          <w:sz w:val="20"/>
        </w:rPr>
        <w:t xml:space="preserve"> on the </w:t>
      </w:r>
      <w:hyperlink r:id="rId29" w:history="1">
        <w:r w:rsidR="00871C88" w:rsidRPr="00E86460">
          <w:rPr>
            <w:rStyle w:val="Hyperlink"/>
            <w:sz w:val="20"/>
          </w:rPr>
          <w:t>Service Agreement</w:t>
        </w:r>
        <w:r w:rsidR="008A7521" w:rsidRPr="00E86460">
          <w:rPr>
            <w:rStyle w:val="Hyperlink"/>
            <w:sz w:val="20"/>
          </w:rPr>
          <w:t xml:space="preserve"> Module of My Agency</w:t>
        </w:r>
      </w:hyperlink>
      <w:r w:rsidRPr="00E86460">
        <w:rPr>
          <w:sz w:val="20"/>
        </w:rPr>
        <w:t xml:space="preserve"> &lt;https://fac.d</w:t>
      </w:r>
      <w:r w:rsidR="004F53A3" w:rsidRPr="00E86460">
        <w:rPr>
          <w:sz w:val="20"/>
        </w:rPr>
        <w:t>ffh</w:t>
      </w:r>
      <w:r w:rsidRPr="00E86460">
        <w:rPr>
          <w:sz w:val="20"/>
        </w:rPr>
        <w:t xml:space="preserve">.vic.gov.au/my-agency&gt;. </w:t>
      </w:r>
    </w:p>
    <w:p w14:paraId="423BB052" w14:textId="64329FC1" w:rsidR="00A36E00" w:rsidRDefault="009D266D" w:rsidP="00A36E00">
      <w:pPr>
        <w:pStyle w:val="Heading3"/>
      </w:pPr>
      <w:bookmarkStart w:id="39" w:name="_Toc72421922"/>
      <w:bookmarkStart w:id="40" w:name="_Toc209175190"/>
      <w:r>
        <w:t>H</w:t>
      </w:r>
      <w:r w:rsidR="00A36E00">
        <w:t>uman rights and safety obligations</w:t>
      </w:r>
      <w:bookmarkEnd w:id="39"/>
      <w:bookmarkEnd w:id="40"/>
    </w:p>
    <w:p w14:paraId="06E8119C" w14:textId="77777777" w:rsidR="00A36E00" w:rsidRPr="00845440" w:rsidRDefault="00A36E00" w:rsidP="00845440">
      <w:pPr>
        <w:pStyle w:val="Heading4"/>
        <w:rPr>
          <w:b w:val="0"/>
          <w:bCs w:val="0"/>
        </w:rPr>
      </w:pPr>
      <w:r w:rsidRPr="00845440">
        <w:rPr>
          <w:b w:val="0"/>
          <w:bCs w:val="0"/>
        </w:rPr>
        <w:t>Victorian Charter of Human Rights and Responsibilities</w:t>
      </w:r>
    </w:p>
    <w:p w14:paraId="0FF83CA8" w14:textId="031B44F2" w:rsidR="00A36E00" w:rsidRPr="00E86460" w:rsidRDefault="00A36E00" w:rsidP="00A36E00">
      <w:pPr>
        <w:pStyle w:val="Body"/>
        <w:rPr>
          <w:sz w:val="20"/>
        </w:rPr>
      </w:pPr>
      <w:r w:rsidRPr="00E86460">
        <w:rPr>
          <w:sz w:val="20"/>
        </w:rPr>
        <w:t xml:space="preserve">Organisations are required to operate in accordance with the </w:t>
      </w:r>
      <w:r w:rsidRPr="00E86460">
        <w:rPr>
          <w:i/>
          <w:iCs/>
          <w:sz w:val="20"/>
        </w:rPr>
        <w:t>Victorian Charter of Human Rights and Responsibilities Act 2009</w:t>
      </w:r>
      <w:r w:rsidRPr="00E86460">
        <w:rPr>
          <w:sz w:val="20"/>
        </w:rPr>
        <w:t>. The Charter ensures that when the government makes laws and delivers services, it does so with civil and political rights in mind.</w:t>
      </w:r>
    </w:p>
    <w:p w14:paraId="413BA83D" w14:textId="53298C3C" w:rsidR="00A36E00" w:rsidRPr="00E86460" w:rsidRDefault="00A36E00" w:rsidP="00A36E00">
      <w:pPr>
        <w:pStyle w:val="Body"/>
        <w:rPr>
          <w:sz w:val="20"/>
        </w:rPr>
      </w:pPr>
      <w:r w:rsidRPr="00E86460">
        <w:rPr>
          <w:sz w:val="20"/>
        </w:rPr>
        <w:t xml:space="preserve">Further information is available </w:t>
      </w:r>
      <w:r w:rsidR="00A93DBB" w:rsidRPr="00E86460">
        <w:rPr>
          <w:sz w:val="20"/>
        </w:rPr>
        <w:t xml:space="preserve">at </w:t>
      </w:r>
      <w:hyperlink r:id="rId30" w:history="1">
        <w:r w:rsidR="0088735E" w:rsidRPr="00E86460">
          <w:rPr>
            <w:rStyle w:val="Hyperlink"/>
            <w:sz w:val="20"/>
          </w:rPr>
          <w:t>Victorian Equal Opportunity &amp; Human Rights Commission</w:t>
        </w:r>
      </w:hyperlink>
      <w:r w:rsidR="00A93DBB" w:rsidRPr="00E86460">
        <w:rPr>
          <w:sz w:val="20"/>
        </w:rPr>
        <w:t xml:space="preserve"> </w:t>
      </w:r>
      <w:r w:rsidR="006C1C52" w:rsidRPr="00E86460">
        <w:rPr>
          <w:sz w:val="20"/>
        </w:rPr>
        <w:br/>
      </w:r>
      <w:r w:rsidRPr="00E86460">
        <w:rPr>
          <w:sz w:val="20"/>
        </w:rPr>
        <w:t>&lt;</w:t>
      </w:r>
      <w:r w:rsidR="00B509B5" w:rsidRPr="00E86460">
        <w:rPr>
          <w:sz w:val="20"/>
        </w:rPr>
        <w:t>https://www.humanrights.vic.gov.au/</w:t>
      </w:r>
      <w:r w:rsidRPr="00E86460">
        <w:rPr>
          <w:sz w:val="20"/>
        </w:rPr>
        <w:t>&gt;</w:t>
      </w:r>
      <w:r w:rsidR="00C3389F" w:rsidRPr="00E86460">
        <w:rPr>
          <w:sz w:val="20"/>
        </w:rPr>
        <w:t>.</w:t>
      </w:r>
    </w:p>
    <w:p w14:paraId="28B1F046" w14:textId="77777777" w:rsidR="00A36E00" w:rsidRPr="00845440" w:rsidRDefault="00A36E00" w:rsidP="00BE324B">
      <w:pPr>
        <w:pStyle w:val="Heading4"/>
        <w:rPr>
          <w:b w:val="0"/>
          <w:bCs w:val="0"/>
        </w:rPr>
      </w:pPr>
      <w:r w:rsidRPr="00845440">
        <w:rPr>
          <w:b w:val="0"/>
          <w:bCs w:val="0"/>
        </w:rPr>
        <w:t>Child Safe Standards</w:t>
      </w:r>
    </w:p>
    <w:p w14:paraId="4D5B652D" w14:textId="77777777" w:rsidR="00A36E00" w:rsidRPr="00E86460" w:rsidRDefault="00A36E00" w:rsidP="00A36E00">
      <w:pPr>
        <w:pStyle w:val="Body"/>
        <w:rPr>
          <w:sz w:val="20"/>
        </w:rPr>
      </w:pPr>
      <w:r w:rsidRPr="00E86460">
        <w:rPr>
          <w:sz w:val="20"/>
        </w:rPr>
        <w:t>Organisations that provide services or facilities for children, are required to operate in accordance with and comply with Child Safe Standards. Child Safe Standards work towards ensuring that the safety of children is promoted, child abuse is prevented, and allegations of child abuse are properly responded to.</w:t>
      </w:r>
    </w:p>
    <w:p w14:paraId="6BE47ECC" w14:textId="625F762A" w:rsidR="00A36E00" w:rsidRPr="00E86460" w:rsidRDefault="00A36E00" w:rsidP="00A36E00">
      <w:pPr>
        <w:pStyle w:val="Body"/>
        <w:rPr>
          <w:sz w:val="20"/>
        </w:rPr>
      </w:pPr>
      <w:r w:rsidRPr="00E86460">
        <w:rPr>
          <w:sz w:val="20"/>
        </w:rPr>
        <w:t xml:space="preserve">Further information is available at </w:t>
      </w:r>
      <w:hyperlink r:id="rId31">
        <w:r w:rsidR="1182A95C" w:rsidRPr="00E86460">
          <w:rPr>
            <w:rStyle w:val="Hyperlink"/>
            <w:sz w:val="20"/>
          </w:rPr>
          <w:t>Child Safe Standards</w:t>
        </w:r>
      </w:hyperlink>
      <w:r w:rsidR="00A93DBB" w:rsidRPr="00E86460">
        <w:rPr>
          <w:sz w:val="20"/>
        </w:rPr>
        <w:t xml:space="preserve"> </w:t>
      </w:r>
      <w:r w:rsidRPr="00E86460">
        <w:rPr>
          <w:sz w:val="20"/>
        </w:rPr>
        <w:t>&lt;https://www.d</w:t>
      </w:r>
      <w:r w:rsidR="002D10EC" w:rsidRPr="00E86460">
        <w:rPr>
          <w:sz w:val="20"/>
        </w:rPr>
        <w:t>ffh</w:t>
      </w:r>
      <w:r w:rsidRPr="00E86460">
        <w:rPr>
          <w:sz w:val="20"/>
        </w:rPr>
        <w:t xml:space="preserve">.vic.gov.au/publications/child-safe-standards&gt; </w:t>
      </w:r>
    </w:p>
    <w:p w14:paraId="37E13BB1" w14:textId="73654D15" w:rsidR="00A36E00" w:rsidRPr="00845440" w:rsidRDefault="00A36E00" w:rsidP="00BE324B">
      <w:pPr>
        <w:pStyle w:val="Heading4"/>
        <w:rPr>
          <w:b w:val="0"/>
          <w:bCs w:val="0"/>
        </w:rPr>
      </w:pPr>
      <w:r w:rsidRPr="00845440">
        <w:rPr>
          <w:b w:val="0"/>
          <w:bCs w:val="0"/>
        </w:rPr>
        <w:t>National Redress Scheme</w:t>
      </w:r>
      <w:r w:rsidR="00C846FB" w:rsidRPr="00845440">
        <w:rPr>
          <w:b w:val="0"/>
          <w:bCs w:val="0"/>
        </w:rPr>
        <w:t xml:space="preserve"> for Institutional Child Sexual Abuse</w:t>
      </w:r>
    </w:p>
    <w:p w14:paraId="75727816" w14:textId="77777777" w:rsidR="00915575" w:rsidRPr="00E86460" w:rsidRDefault="00915575" w:rsidP="00915575">
      <w:pPr>
        <w:pStyle w:val="Body"/>
        <w:rPr>
          <w:sz w:val="20"/>
        </w:rPr>
      </w:pPr>
      <w:r w:rsidRPr="00E86460">
        <w:rPr>
          <w:sz w:val="20"/>
        </w:rPr>
        <w:t xml:space="preserve">In March 2020, the Victorian Government determined that any institution that has been named in a redress application, and which is assessed as eligible to join the Scheme by the Scheme Operator, must join the Scheme as a condition of receiving Victorian Government funding. </w:t>
      </w:r>
    </w:p>
    <w:p w14:paraId="0AC737D4" w14:textId="7EAC9CF9" w:rsidR="00C37185" w:rsidRPr="00E86460" w:rsidRDefault="00C37185" w:rsidP="00C37185">
      <w:pPr>
        <w:pStyle w:val="Body"/>
        <w:rPr>
          <w:sz w:val="20"/>
        </w:rPr>
      </w:pPr>
      <w:r w:rsidRPr="00E86460">
        <w:rPr>
          <w:sz w:val="20"/>
        </w:rPr>
        <w:t xml:space="preserve">To enter into a </w:t>
      </w:r>
      <w:r w:rsidR="00871C88" w:rsidRPr="00E86460">
        <w:rPr>
          <w:sz w:val="20"/>
        </w:rPr>
        <w:t>Service Agreement</w:t>
      </w:r>
      <w:r w:rsidR="006E1ED5" w:rsidRPr="00E86460">
        <w:rPr>
          <w:sz w:val="20"/>
        </w:rPr>
        <w:t xml:space="preserve"> or</w:t>
      </w:r>
      <w:r w:rsidR="00D962B0" w:rsidRPr="00E86460">
        <w:rPr>
          <w:sz w:val="20"/>
        </w:rPr>
        <w:t xml:space="preserve"> </w:t>
      </w:r>
      <w:r w:rsidR="009E2ED7" w:rsidRPr="00E86460">
        <w:rPr>
          <w:sz w:val="20"/>
        </w:rPr>
        <w:t>during the</w:t>
      </w:r>
      <w:r w:rsidR="00AA6517" w:rsidRPr="00E86460">
        <w:rPr>
          <w:sz w:val="20"/>
        </w:rPr>
        <w:t xml:space="preserve"> </w:t>
      </w:r>
      <w:r w:rsidR="00F61D5F" w:rsidRPr="00E86460">
        <w:rPr>
          <w:sz w:val="20"/>
        </w:rPr>
        <w:t xml:space="preserve">life of the </w:t>
      </w:r>
      <w:r w:rsidR="00871C88" w:rsidRPr="00E86460">
        <w:rPr>
          <w:sz w:val="20"/>
        </w:rPr>
        <w:t>Service Agreement</w:t>
      </w:r>
      <w:r w:rsidR="009C3CD9" w:rsidRPr="00E86460">
        <w:rPr>
          <w:sz w:val="20"/>
        </w:rPr>
        <w:t>,</w:t>
      </w:r>
      <w:r w:rsidRPr="00E86460">
        <w:rPr>
          <w:sz w:val="20"/>
        </w:rPr>
        <w:t xml:space="preserve"> an organisation needs to have signed up to </w:t>
      </w:r>
      <w:r w:rsidR="001B22B6" w:rsidRPr="00E86460">
        <w:rPr>
          <w:sz w:val="20"/>
        </w:rPr>
        <w:t>the Scheme</w:t>
      </w:r>
      <w:r w:rsidRPr="00E86460">
        <w:rPr>
          <w:sz w:val="20"/>
        </w:rPr>
        <w:t xml:space="preserve"> if they have been named. </w:t>
      </w:r>
    </w:p>
    <w:p w14:paraId="06E9319A" w14:textId="5BB59822" w:rsidR="00A36E00" w:rsidRPr="00E86460" w:rsidRDefault="00A36E00" w:rsidP="00A36E00">
      <w:pPr>
        <w:pStyle w:val="Body"/>
        <w:rPr>
          <w:sz w:val="20"/>
        </w:rPr>
      </w:pPr>
      <w:r w:rsidRPr="00E86460">
        <w:rPr>
          <w:sz w:val="20"/>
        </w:rPr>
        <w:t xml:space="preserve">Further information is available at </w:t>
      </w:r>
      <w:hyperlink r:id="rId32" w:history="1">
        <w:r w:rsidR="0088735E" w:rsidRPr="00E86460">
          <w:rPr>
            <w:rStyle w:val="Hyperlink"/>
            <w:sz w:val="20"/>
          </w:rPr>
          <w:t>Department of Justice a</w:t>
        </w:r>
        <w:bookmarkStart w:id="41" w:name="_Hlt169184584"/>
        <w:bookmarkStart w:id="42" w:name="_Hlt169184585"/>
        <w:r w:rsidR="0088735E" w:rsidRPr="00E86460">
          <w:rPr>
            <w:rStyle w:val="Hyperlink"/>
            <w:sz w:val="20"/>
          </w:rPr>
          <w:t>n</w:t>
        </w:r>
        <w:bookmarkEnd w:id="41"/>
        <w:bookmarkEnd w:id="42"/>
        <w:r w:rsidR="0088735E" w:rsidRPr="00E86460">
          <w:rPr>
            <w:rStyle w:val="Hyperlink"/>
            <w:sz w:val="20"/>
          </w:rPr>
          <w:t>d Community Safety – National Redress Scheme</w:t>
        </w:r>
      </w:hyperlink>
      <w:r w:rsidR="000925E7" w:rsidRPr="00E86460">
        <w:rPr>
          <w:sz w:val="20"/>
        </w:rPr>
        <w:t xml:space="preserve"> &lt;</w:t>
      </w:r>
      <w:r w:rsidR="00EC5687" w:rsidRPr="00E86460">
        <w:rPr>
          <w:sz w:val="20"/>
        </w:rPr>
        <w:t>https://www.justice.vic.gov.au/safer-communities/protecting-children-and-families/national-redress-scheme</w:t>
      </w:r>
      <w:r w:rsidR="000925E7" w:rsidRPr="00E86460">
        <w:rPr>
          <w:sz w:val="20"/>
        </w:rPr>
        <w:t>&gt;</w:t>
      </w:r>
      <w:r w:rsidR="00EC5687" w:rsidRPr="00E86460">
        <w:rPr>
          <w:sz w:val="20"/>
        </w:rPr>
        <w:t>.</w:t>
      </w:r>
    </w:p>
    <w:p w14:paraId="3B208955" w14:textId="77777777" w:rsidR="00A36E00" w:rsidRPr="00845440" w:rsidRDefault="00A36E00" w:rsidP="00BE324B">
      <w:pPr>
        <w:pStyle w:val="Heading4"/>
        <w:rPr>
          <w:b w:val="0"/>
          <w:bCs w:val="0"/>
        </w:rPr>
      </w:pPr>
      <w:r w:rsidRPr="00845440">
        <w:rPr>
          <w:b w:val="0"/>
          <w:bCs w:val="0"/>
        </w:rPr>
        <w:lastRenderedPageBreak/>
        <w:t>Reportable conduct scheme</w:t>
      </w:r>
    </w:p>
    <w:p w14:paraId="6A41580B" w14:textId="77777777" w:rsidR="00A36E00" w:rsidRPr="00E86460" w:rsidRDefault="00A36E00" w:rsidP="00A36E00">
      <w:pPr>
        <w:pStyle w:val="Body"/>
        <w:rPr>
          <w:sz w:val="20"/>
        </w:rPr>
      </w:pPr>
      <w:r w:rsidRPr="00E86460">
        <w:rPr>
          <w:sz w:val="20"/>
        </w:rPr>
        <w:t>Organisations are required to operate in accordance with the Reportable conduct scheme and to notify the Commission for Children and Young People (CCYP) of all allegations of reportable conduct by employees and volunteers.</w:t>
      </w:r>
    </w:p>
    <w:p w14:paraId="67DB99DA" w14:textId="714C82B5" w:rsidR="00A36E00" w:rsidRPr="00E86460" w:rsidRDefault="00A36E00" w:rsidP="00A36E00">
      <w:pPr>
        <w:pStyle w:val="Body"/>
        <w:rPr>
          <w:sz w:val="20"/>
        </w:rPr>
      </w:pPr>
      <w:bookmarkStart w:id="43" w:name="_Hlk168479776"/>
      <w:r w:rsidRPr="00E86460">
        <w:rPr>
          <w:sz w:val="20"/>
        </w:rPr>
        <w:t xml:space="preserve">Further information is available at </w:t>
      </w:r>
      <w:bookmarkEnd w:id="43"/>
      <w:r w:rsidR="005745D1" w:rsidRPr="00E86460">
        <w:rPr>
          <w:sz w:val="20"/>
        </w:rPr>
        <w:fldChar w:fldCharType="begin"/>
      </w:r>
      <w:r w:rsidR="005745D1" w:rsidRPr="00E86460">
        <w:rPr>
          <w:sz w:val="20"/>
        </w:rPr>
        <w:instrText>HYPERLINK "https://ccyp.vic.gov.au/reportable-conduct-scheme/"</w:instrText>
      </w:r>
      <w:r w:rsidR="005745D1" w:rsidRPr="00E86460">
        <w:rPr>
          <w:sz w:val="20"/>
        </w:rPr>
      </w:r>
      <w:r w:rsidR="005745D1" w:rsidRPr="00E86460">
        <w:rPr>
          <w:sz w:val="20"/>
        </w:rPr>
        <w:fldChar w:fldCharType="separate"/>
      </w:r>
      <w:r w:rsidR="007800FC" w:rsidRPr="00E86460">
        <w:rPr>
          <w:rStyle w:val="Hyperlink"/>
          <w:sz w:val="20"/>
        </w:rPr>
        <w:t>Commission for Children and Young People</w:t>
      </w:r>
      <w:r w:rsidR="005745D1" w:rsidRPr="00E86460">
        <w:rPr>
          <w:sz w:val="20"/>
        </w:rPr>
        <w:fldChar w:fldCharType="end"/>
      </w:r>
      <w:r w:rsidRPr="00E86460">
        <w:rPr>
          <w:sz w:val="20"/>
        </w:rPr>
        <w:t xml:space="preserve"> </w:t>
      </w:r>
      <w:r w:rsidR="00497C5B" w:rsidRPr="00E86460">
        <w:rPr>
          <w:sz w:val="20"/>
        </w:rPr>
        <w:t>&lt;</w:t>
      </w:r>
      <w:hyperlink r:id="rId33" w:history="1">
        <w:r w:rsidR="00497C5B" w:rsidRPr="00E86460">
          <w:rPr>
            <w:rStyle w:val="Hyperlink"/>
            <w:sz w:val="20"/>
          </w:rPr>
          <w:t>CCYP | Reportable Conduct Scheme</w:t>
        </w:r>
      </w:hyperlink>
      <w:r w:rsidR="00497C5B" w:rsidRPr="00E86460">
        <w:rPr>
          <w:sz w:val="20"/>
        </w:rPr>
        <w:t>&gt;</w:t>
      </w:r>
      <w:r w:rsidR="00AC4520" w:rsidRPr="00E86460">
        <w:rPr>
          <w:sz w:val="20"/>
        </w:rPr>
        <w:t>.</w:t>
      </w:r>
    </w:p>
    <w:p w14:paraId="3927B1E4" w14:textId="70EFC3E6" w:rsidR="5ED99A24" w:rsidRPr="00845440" w:rsidRDefault="28930A15" w:rsidP="00C97E35">
      <w:pPr>
        <w:pStyle w:val="Heading4"/>
        <w:rPr>
          <w:b w:val="0"/>
          <w:bCs w:val="0"/>
        </w:rPr>
      </w:pPr>
      <w:r w:rsidRPr="00845440">
        <w:rPr>
          <w:b w:val="0"/>
          <w:bCs w:val="0"/>
        </w:rPr>
        <w:t>Social Services Regulator</w:t>
      </w:r>
    </w:p>
    <w:p w14:paraId="729FB72A" w14:textId="1BB6F6A5" w:rsidR="549CB847" w:rsidRPr="00E86460" w:rsidRDefault="70EA192D" w:rsidP="5D2C8DF1">
      <w:pPr>
        <w:pStyle w:val="Body"/>
        <w:rPr>
          <w:sz w:val="20"/>
        </w:rPr>
      </w:pPr>
      <w:r w:rsidRPr="00E86460">
        <w:rPr>
          <w:sz w:val="20"/>
        </w:rPr>
        <w:t xml:space="preserve">The Social Services Regulator is an independent statutory authority established under the Social Services Regulation Act 2021 (Vic) (SSR Act). </w:t>
      </w:r>
      <w:r w:rsidR="549CB847" w:rsidRPr="00E86460">
        <w:rPr>
          <w:sz w:val="20"/>
        </w:rPr>
        <w:t xml:space="preserve">The </w:t>
      </w:r>
      <w:r w:rsidR="00B91084" w:rsidRPr="00E86460">
        <w:rPr>
          <w:sz w:val="20"/>
        </w:rPr>
        <w:t xml:space="preserve">SSR </w:t>
      </w:r>
      <w:r w:rsidR="549CB847" w:rsidRPr="00E86460">
        <w:rPr>
          <w:sz w:val="20"/>
        </w:rPr>
        <w:t>Act establishes a framework for social services regulation in Victoria</w:t>
      </w:r>
      <w:r w:rsidR="003651DD" w:rsidRPr="00E86460">
        <w:rPr>
          <w:sz w:val="20"/>
        </w:rPr>
        <w:t xml:space="preserve"> from </w:t>
      </w:r>
      <w:r w:rsidR="549CB847" w:rsidRPr="00E86460">
        <w:rPr>
          <w:sz w:val="20"/>
        </w:rPr>
        <w:t>1 July 2024.</w:t>
      </w:r>
    </w:p>
    <w:p w14:paraId="43DB8709" w14:textId="222AE1F7" w:rsidR="549CB847" w:rsidRPr="00E86460" w:rsidRDefault="549CB847" w:rsidP="00127697">
      <w:pPr>
        <w:pStyle w:val="Body"/>
        <w:rPr>
          <w:sz w:val="20"/>
        </w:rPr>
      </w:pPr>
      <w:r w:rsidRPr="00E86460">
        <w:rPr>
          <w:sz w:val="20"/>
        </w:rPr>
        <w:t>The initiatives in the SSR Act will:</w:t>
      </w:r>
    </w:p>
    <w:p w14:paraId="66784DB2" w14:textId="01A4CBF1" w:rsidR="549CB847" w:rsidRPr="00E86460" w:rsidRDefault="549CB847" w:rsidP="00F60F65">
      <w:pPr>
        <w:pStyle w:val="Body"/>
        <w:numPr>
          <w:ilvl w:val="0"/>
          <w:numId w:val="15"/>
        </w:numPr>
        <w:ind w:left="723"/>
        <w:rPr>
          <w:sz w:val="20"/>
        </w:rPr>
      </w:pPr>
      <w:r w:rsidRPr="00E86460">
        <w:rPr>
          <w:sz w:val="20"/>
        </w:rPr>
        <w:t>support the safe delivery of social services</w:t>
      </w:r>
    </w:p>
    <w:p w14:paraId="4FE4A2C4" w14:textId="718A3AD7" w:rsidR="549CB847" w:rsidRPr="00E86460" w:rsidRDefault="549CB847" w:rsidP="00F60F65">
      <w:pPr>
        <w:pStyle w:val="Body"/>
        <w:numPr>
          <w:ilvl w:val="0"/>
          <w:numId w:val="15"/>
        </w:numPr>
        <w:ind w:left="723"/>
        <w:rPr>
          <w:sz w:val="20"/>
        </w:rPr>
      </w:pPr>
      <w:r w:rsidRPr="00E86460">
        <w:rPr>
          <w:sz w:val="20"/>
        </w:rPr>
        <w:t>ensure social service providers understand their role in protecting the rights of social service users</w:t>
      </w:r>
    </w:p>
    <w:p w14:paraId="110BE898" w14:textId="1845A189" w:rsidR="549CB847" w:rsidRPr="00E86460" w:rsidRDefault="549CB847" w:rsidP="00F60F65">
      <w:pPr>
        <w:pStyle w:val="Body"/>
        <w:numPr>
          <w:ilvl w:val="0"/>
          <w:numId w:val="15"/>
        </w:numPr>
        <w:ind w:left="723"/>
        <w:rPr>
          <w:sz w:val="20"/>
        </w:rPr>
      </w:pPr>
      <w:r w:rsidRPr="00E86460">
        <w:rPr>
          <w:sz w:val="20"/>
        </w:rPr>
        <w:t>define roles and responsibilities of social service providers</w:t>
      </w:r>
    </w:p>
    <w:p w14:paraId="581693DF" w14:textId="10DD8D50" w:rsidR="549CB847" w:rsidRPr="00E86460" w:rsidRDefault="549CB847" w:rsidP="00F60F65">
      <w:pPr>
        <w:pStyle w:val="Body"/>
        <w:numPr>
          <w:ilvl w:val="0"/>
          <w:numId w:val="15"/>
        </w:numPr>
        <w:ind w:left="723"/>
        <w:rPr>
          <w:sz w:val="20"/>
        </w:rPr>
      </w:pPr>
      <w:r w:rsidRPr="00E86460">
        <w:rPr>
          <w:sz w:val="20"/>
        </w:rPr>
        <w:t>give the new regulator monitoring and enforcement powers, so it can respond to risks of harm</w:t>
      </w:r>
    </w:p>
    <w:p w14:paraId="295CE009" w14:textId="2A4EEF92" w:rsidR="549CB847" w:rsidRPr="00E86460" w:rsidRDefault="549CB847" w:rsidP="00F60F65">
      <w:pPr>
        <w:pStyle w:val="Body"/>
        <w:numPr>
          <w:ilvl w:val="0"/>
          <w:numId w:val="15"/>
        </w:numPr>
        <w:ind w:left="723"/>
        <w:rPr>
          <w:sz w:val="20"/>
        </w:rPr>
      </w:pPr>
      <w:r w:rsidRPr="00E86460">
        <w:rPr>
          <w:sz w:val="20"/>
        </w:rPr>
        <w:t>improve information sharing between regulators so they can identify and respond to any risks of harm to service users.</w:t>
      </w:r>
    </w:p>
    <w:p w14:paraId="32CED236" w14:textId="2E20FC36" w:rsidR="6BE3EBBE" w:rsidRPr="00E86460" w:rsidRDefault="38758ACF" w:rsidP="0020605C">
      <w:pPr>
        <w:pStyle w:val="Body"/>
        <w:rPr>
          <w:sz w:val="20"/>
        </w:rPr>
      </w:pPr>
      <w:r w:rsidRPr="00E86460">
        <w:rPr>
          <w:sz w:val="20"/>
        </w:rPr>
        <w:t>Services within the scope of the new regulatory framework include:</w:t>
      </w:r>
    </w:p>
    <w:p w14:paraId="4202C109" w14:textId="2E22E4D3" w:rsidR="6BE3EBBE" w:rsidRPr="00E86460" w:rsidRDefault="38758ACF" w:rsidP="00F60F65">
      <w:pPr>
        <w:pStyle w:val="Body"/>
        <w:numPr>
          <w:ilvl w:val="0"/>
          <w:numId w:val="16"/>
        </w:numPr>
        <w:ind w:left="720" w:hanging="357"/>
        <w:rPr>
          <w:sz w:val="20"/>
        </w:rPr>
      </w:pPr>
      <w:r w:rsidRPr="00E86460">
        <w:rPr>
          <w:sz w:val="20"/>
        </w:rPr>
        <w:t>out of home care services for children and young people</w:t>
      </w:r>
    </w:p>
    <w:p w14:paraId="3DEEE2E4" w14:textId="5A6B5322" w:rsidR="6BE3EBBE" w:rsidRPr="00E86460" w:rsidRDefault="38758ACF" w:rsidP="00F60F65">
      <w:pPr>
        <w:pStyle w:val="Body"/>
        <w:numPr>
          <w:ilvl w:val="0"/>
          <w:numId w:val="16"/>
        </w:numPr>
        <w:ind w:left="720" w:hanging="357"/>
        <w:rPr>
          <w:sz w:val="20"/>
        </w:rPr>
      </w:pPr>
      <w:r w:rsidRPr="00E86460">
        <w:rPr>
          <w:sz w:val="20"/>
        </w:rPr>
        <w:t>community-based child and family services including early parenting, intake services, Aboriginal child specialist advice support services and counselling services</w:t>
      </w:r>
    </w:p>
    <w:p w14:paraId="3A96C92B" w14:textId="79FF434E" w:rsidR="6BE3EBBE" w:rsidRPr="00E86460" w:rsidRDefault="38758ACF" w:rsidP="00F60F65">
      <w:pPr>
        <w:pStyle w:val="Body"/>
        <w:numPr>
          <w:ilvl w:val="0"/>
          <w:numId w:val="16"/>
        </w:numPr>
        <w:ind w:left="720" w:hanging="357"/>
        <w:rPr>
          <w:sz w:val="20"/>
        </w:rPr>
      </w:pPr>
      <w:r w:rsidRPr="00E86460">
        <w:rPr>
          <w:sz w:val="20"/>
        </w:rPr>
        <w:t>disability services offered or funded by DFFH, or funded by the Transport Accident Commission or WorkSafe</w:t>
      </w:r>
    </w:p>
    <w:p w14:paraId="370B87BB" w14:textId="579FED1D" w:rsidR="6BE3EBBE" w:rsidRPr="00E86460" w:rsidRDefault="38758ACF" w:rsidP="00F60F65">
      <w:pPr>
        <w:pStyle w:val="Body"/>
        <w:numPr>
          <w:ilvl w:val="0"/>
          <w:numId w:val="16"/>
        </w:numPr>
        <w:ind w:left="720" w:hanging="357"/>
        <w:rPr>
          <w:sz w:val="20"/>
        </w:rPr>
      </w:pPr>
      <w:r w:rsidRPr="00E86460">
        <w:rPr>
          <w:sz w:val="20"/>
        </w:rPr>
        <w:t>supported residential services</w:t>
      </w:r>
    </w:p>
    <w:p w14:paraId="037E251A" w14:textId="253AB08E" w:rsidR="6BE3EBBE" w:rsidRPr="00E86460" w:rsidRDefault="38758ACF" w:rsidP="00F60F65">
      <w:pPr>
        <w:pStyle w:val="Body"/>
        <w:numPr>
          <w:ilvl w:val="0"/>
          <w:numId w:val="16"/>
        </w:numPr>
        <w:ind w:left="720" w:hanging="357"/>
        <w:rPr>
          <w:sz w:val="20"/>
        </w:rPr>
      </w:pPr>
      <w:r w:rsidRPr="00E86460">
        <w:rPr>
          <w:sz w:val="20"/>
        </w:rPr>
        <w:t>family violence services such as case management, support, and accommodation services (for those at risk of or who have experienced family violence) and services for perpetrators</w:t>
      </w:r>
    </w:p>
    <w:p w14:paraId="3E081178" w14:textId="29596EA3" w:rsidR="6BE3EBBE" w:rsidRPr="00E86460" w:rsidRDefault="38758ACF" w:rsidP="00F60F65">
      <w:pPr>
        <w:pStyle w:val="Body"/>
        <w:numPr>
          <w:ilvl w:val="0"/>
          <w:numId w:val="16"/>
        </w:numPr>
        <w:ind w:left="720" w:hanging="357"/>
        <w:rPr>
          <w:sz w:val="20"/>
        </w:rPr>
      </w:pPr>
      <w:r w:rsidRPr="00E86460">
        <w:rPr>
          <w:sz w:val="20"/>
        </w:rPr>
        <w:t>sexual assault services such as specialist services for survivors of sexual assault and specialist harmful sexual behaviour services</w:t>
      </w:r>
    </w:p>
    <w:p w14:paraId="69E02A0B" w14:textId="3DEA30E2" w:rsidR="6BE3EBBE" w:rsidRPr="00E86460" w:rsidRDefault="38758ACF" w:rsidP="00F60F65">
      <w:pPr>
        <w:pStyle w:val="Body"/>
        <w:numPr>
          <w:ilvl w:val="0"/>
          <w:numId w:val="16"/>
        </w:numPr>
        <w:ind w:left="720" w:hanging="357"/>
        <w:rPr>
          <w:sz w:val="20"/>
        </w:rPr>
      </w:pPr>
      <w:r w:rsidRPr="00E86460">
        <w:rPr>
          <w:sz w:val="20"/>
        </w:rPr>
        <w:t>homelessness services such as assessment, case management, support and accommodation services.</w:t>
      </w:r>
    </w:p>
    <w:p w14:paraId="6A1A2C5F" w14:textId="0239D080" w:rsidR="6BE3EBBE" w:rsidRPr="00E86460" w:rsidRDefault="3898CF06" w:rsidP="00DC7C33">
      <w:pPr>
        <w:pStyle w:val="Body"/>
        <w:rPr>
          <w:sz w:val="20"/>
        </w:rPr>
      </w:pPr>
      <w:r w:rsidRPr="00E86460">
        <w:rPr>
          <w:sz w:val="20"/>
        </w:rPr>
        <w:t xml:space="preserve">The Social Services Regulator </w:t>
      </w:r>
      <w:r w:rsidR="52BB8678" w:rsidRPr="00E86460">
        <w:rPr>
          <w:sz w:val="20"/>
        </w:rPr>
        <w:t>regulate</w:t>
      </w:r>
      <w:r w:rsidR="171EBDC0" w:rsidRPr="00E86460">
        <w:rPr>
          <w:sz w:val="20"/>
        </w:rPr>
        <w:t>s</w:t>
      </w:r>
      <w:r w:rsidRPr="00E86460">
        <w:rPr>
          <w:sz w:val="20"/>
        </w:rPr>
        <w:t xml:space="preserve"> the Social Services Standards. </w:t>
      </w:r>
      <w:r w:rsidR="6DA8529B" w:rsidRPr="00E86460">
        <w:rPr>
          <w:sz w:val="20"/>
        </w:rPr>
        <w:t xml:space="preserve">Providers of social services in Victoria </w:t>
      </w:r>
      <w:r w:rsidR="00CB5C46" w:rsidRPr="00E86460">
        <w:rPr>
          <w:sz w:val="20"/>
        </w:rPr>
        <w:t>that</w:t>
      </w:r>
      <w:r w:rsidR="6DA8529B" w:rsidRPr="00E86460">
        <w:rPr>
          <w:sz w:val="20"/>
        </w:rPr>
        <w:t xml:space="preserve"> are in scope of the scheme must register with the Social Services Regulator</w:t>
      </w:r>
      <w:r w:rsidR="574B9069" w:rsidRPr="00E86460">
        <w:rPr>
          <w:sz w:val="20"/>
        </w:rPr>
        <w:t xml:space="preserve"> and comply with the Social Services Standards.</w:t>
      </w:r>
    </w:p>
    <w:p w14:paraId="3C97CD48" w14:textId="6E36F29A" w:rsidR="6DAEE4B0" w:rsidRPr="00E86460" w:rsidRDefault="55B2C3F1" w:rsidP="6DAEE4B0">
      <w:pPr>
        <w:pStyle w:val="Body"/>
        <w:rPr>
          <w:sz w:val="20"/>
        </w:rPr>
      </w:pPr>
      <w:r w:rsidRPr="00E86460">
        <w:rPr>
          <w:sz w:val="20"/>
        </w:rPr>
        <w:t>The department and the Social Services Regulator will share information about funded organisations and registered service providers in accordance wi</w:t>
      </w:r>
      <w:r w:rsidR="6F5895E9" w:rsidRPr="00E86460">
        <w:rPr>
          <w:sz w:val="20"/>
        </w:rPr>
        <w:t>t</w:t>
      </w:r>
      <w:r w:rsidRPr="00E86460">
        <w:rPr>
          <w:sz w:val="20"/>
        </w:rPr>
        <w:t xml:space="preserve">h </w:t>
      </w:r>
      <w:r w:rsidR="4507A592" w:rsidRPr="00E86460">
        <w:rPr>
          <w:sz w:val="20"/>
        </w:rPr>
        <w:t xml:space="preserve">their </w:t>
      </w:r>
      <w:r w:rsidR="1E50DAB9" w:rsidRPr="00E86460">
        <w:rPr>
          <w:sz w:val="20"/>
        </w:rPr>
        <w:t>obligations under the SSR Act.</w:t>
      </w:r>
    </w:p>
    <w:p w14:paraId="313BC9EB" w14:textId="48ACB1D3" w:rsidR="5D9C1AE5" w:rsidRPr="00E86460" w:rsidRDefault="1B995BEA" w:rsidP="5D9C1AE5">
      <w:pPr>
        <w:pStyle w:val="Body"/>
        <w:rPr>
          <w:sz w:val="20"/>
        </w:rPr>
      </w:pPr>
      <w:r w:rsidRPr="00E86460">
        <w:rPr>
          <w:sz w:val="20"/>
        </w:rPr>
        <w:t>Further information is availa</w:t>
      </w:r>
      <w:r w:rsidR="1EA2239A" w:rsidRPr="00E86460">
        <w:rPr>
          <w:sz w:val="20"/>
        </w:rPr>
        <w:t>ble at</w:t>
      </w:r>
      <w:r w:rsidR="00C3389F" w:rsidRPr="00E86460">
        <w:rPr>
          <w:sz w:val="20"/>
        </w:rPr>
        <w:t xml:space="preserve"> </w:t>
      </w:r>
      <w:hyperlink r:id="rId34" w:history="1">
        <w:r w:rsidR="008A3B02" w:rsidRPr="00E86460">
          <w:rPr>
            <w:rStyle w:val="Hyperlink"/>
            <w:sz w:val="20"/>
          </w:rPr>
          <w:t>Social Services Regulator</w:t>
        </w:r>
      </w:hyperlink>
      <w:r w:rsidR="1EA2239A" w:rsidRPr="00E86460">
        <w:rPr>
          <w:sz w:val="20"/>
        </w:rPr>
        <w:t xml:space="preserve"> </w:t>
      </w:r>
      <w:r w:rsidR="00CB5C46" w:rsidRPr="00E86460">
        <w:rPr>
          <w:sz w:val="20"/>
        </w:rPr>
        <w:t>&lt;</w:t>
      </w:r>
      <w:r w:rsidR="00576336" w:rsidRPr="00E86460">
        <w:rPr>
          <w:sz w:val="20"/>
        </w:rPr>
        <w:t>https://www.vic.gov.au/social-services-regulator&gt;.</w:t>
      </w:r>
    </w:p>
    <w:p w14:paraId="012B480D" w14:textId="1EB9CC38" w:rsidR="000F7A65" w:rsidRPr="00845440" w:rsidRDefault="000F7A65" w:rsidP="00BD7B10">
      <w:pPr>
        <w:pStyle w:val="Heading4"/>
        <w:rPr>
          <w:b w:val="0"/>
          <w:bCs w:val="0"/>
        </w:rPr>
      </w:pPr>
      <w:r w:rsidRPr="00845440">
        <w:rPr>
          <w:b w:val="0"/>
          <w:bCs w:val="0"/>
        </w:rPr>
        <w:lastRenderedPageBreak/>
        <w:t>Statement of Recognition Act</w:t>
      </w:r>
    </w:p>
    <w:p w14:paraId="6AFAE95A" w14:textId="77777777" w:rsidR="00BD7B10" w:rsidRPr="00E86460" w:rsidRDefault="00BD7B10" w:rsidP="00BD7B10">
      <w:pPr>
        <w:pStyle w:val="Body"/>
        <w:rPr>
          <w:sz w:val="20"/>
        </w:rPr>
      </w:pPr>
      <w:r w:rsidRPr="00E86460">
        <w:rPr>
          <w:sz w:val="20"/>
        </w:rPr>
        <w:t xml:space="preserve">Community services should recognise, respect, and support the right to self-determination for Aboriginal people. Amendments to the Children, Youth and Families Act 2005 introduced through the Statement of Recognition Act 2023 require community service organisations to have regard and give effect to the recognition principles (s.7E) when making decisions and </w:t>
      </w:r>
      <w:proofErr w:type="gramStart"/>
      <w:r w:rsidRPr="00E86460">
        <w:rPr>
          <w:sz w:val="20"/>
        </w:rPr>
        <w:t>taking action</w:t>
      </w:r>
      <w:proofErr w:type="gramEnd"/>
      <w:r w:rsidRPr="00E86460">
        <w:rPr>
          <w:sz w:val="20"/>
        </w:rPr>
        <w:t xml:space="preserve"> when providing services for Aboriginal children under the CYFA 2005. The provision of services should include direct responsibility or participation in making decisions and </w:t>
      </w:r>
      <w:proofErr w:type="gramStart"/>
      <w:r w:rsidRPr="00E86460">
        <w:rPr>
          <w:sz w:val="20"/>
        </w:rPr>
        <w:t>taking action</w:t>
      </w:r>
      <w:proofErr w:type="gramEnd"/>
      <w:r w:rsidRPr="00E86460">
        <w:rPr>
          <w:sz w:val="20"/>
        </w:rPr>
        <w:t xml:space="preserve"> which support the best interests of a child as delivered under the CYFA 2005. </w:t>
      </w:r>
    </w:p>
    <w:p w14:paraId="4A041052" w14:textId="41C2A6F6" w:rsidR="000F7A65" w:rsidRPr="00E86460" w:rsidRDefault="00BD7B10" w:rsidP="00A36E00">
      <w:pPr>
        <w:pStyle w:val="Body"/>
        <w:rPr>
          <w:sz w:val="20"/>
        </w:rPr>
      </w:pPr>
      <w:r w:rsidRPr="00E86460">
        <w:rPr>
          <w:sz w:val="20"/>
        </w:rPr>
        <w:t xml:space="preserve">Further information is available at </w:t>
      </w:r>
      <w:hyperlink r:id="rId35" w:history="1">
        <w:r w:rsidR="001D3CDF" w:rsidRPr="00E86460">
          <w:rPr>
            <w:rStyle w:val="Hyperlink"/>
            <w:sz w:val="20"/>
          </w:rPr>
          <w:t>Funded Agency Chann</w:t>
        </w:r>
        <w:r w:rsidR="00BE2BF4" w:rsidRPr="00E86460">
          <w:rPr>
            <w:rStyle w:val="Hyperlink"/>
            <w:sz w:val="20"/>
          </w:rPr>
          <w:t xml:space="preserve">el Policies and </w:t>
        </w:r>
        <w:r w:rsidR="004B76FF" w:rsidRPr="00E86460">
          <w:rPr>
            <w:rStyle w:val="Hyperlink"/>
            <w:sz w:val="20"/>
          </w:rPr>
          <w:t>p</w:t>
        </w:r>
        <w:r w:rsidR="00BE2BF4" w:rsidRPr="00E86460">
          <w:rPr>
            <w:rStyle w:val="Hyperlink"/>
            <w:sz w:val="20"/>
          </w:rPr>
          <w:t>rocedures</w:t>
        </w:r>
      </w:hyperlink>
      <w:r w:rsidR="00BE2BF4" w:rsidRPr="00E86460">
        <w:rPr>
          <w:sz w:val="20"/>
        </w:rPr>
        <w:t xml:space="preserve"> &lt;</w:t>
      </w:r>
      <w:r w:rsidR="001D3CDF" w:rsidRPr="00E86460">
        <w:rPr>
          <w:sz w:val="20"/>
        </w:rPr>
        <w:t>https://fac.dffh.vic.gov.au/policies-and-procedures</w:t>
      </w:r>
      <w:r w:rsidR="00BE2BF4" w:rsidRPr="00E86460">
        <w:rPr>
          <w:sz w:val="20"/>
        </w:rPr>
        <w:t>&gt;.</w:t>
      </w:r>
    </w:p>
    <w:p w14:paraId="50B140A6" w14:textId="77777777" w:rsidR="003F2A9E" w:rsidRPr="00845440" w:rsidRDefault="003F2A9E" w:rsidP="003F2A9E">
      <w:pPr>
        <w:pStyle w:val="Heading4"/>
        <w:rPr>
          <w:b w:val="0"/>
          <w:bCs w:val="0"/>
        </w:rPr>
      </w:pPr>
      <w:r w:rsidRPr="00845440">
        <w:rPr>
          <w:b w:val="0"/>
          <w:bCs w:val="0"/>
        </w:rPr>
        <w:t>The Victims’ Charter</w:t>
      </w:r>
    </w:p>
    <w:p w14:paraId="182C2D95" w14:textId="688C813F" w:rsidR="004B092D" w:rsidRPr="00E86460" w:rsidRDefault="004B092D" w:rsidP="0070575D">
      <w:pPr>
        <w:pStyle w:val="Body"/>
        <w:rPr>
          <w:sz w:val="20"/>
        </w:rPr>
      </w:pPr>
      <w:r w:rsidRPr="00E86460">
        <w:rPr>
          <w:sz w:val="20"/>
        </w:rPr>
        <w:t>Specific victims’ services have obligations to treat victims and persons adversely affected by crime in line with the principles outlined in the Victims’ Charter.</w:t>
      </w:r>
    </w:p>
    <w:p w14:paraId="4EBB6101" w14:textId="1E0CD7BF" w:rsidR="00901463" w:rsidRPr="00E86460" w:rsidRDefault="00901463" w:rsidP="0070575D">
      <w:pPr>
        <w:pStyle w:val="Body"/>
        <w:rPr>
          <w:sz w:val="20"/>
        </w:rPr>
      </w:pPr>
      <w:r w:rsidRPr="00E86460">
        <w:rPr>
          <w:sz w:val="20"/>
        </w:rPr>
        <w:t xml:space="preserve">If </w:t>
      </w:r>
      <w:r w:rsidR="004B092D" w:rsidRPr="00E86460">
        <w:rPr>
          <w:sz w:val="20"/>
        </w:rPr>
        <w:t>a funded organisation i</w:t>
      </w:r>
      <w:r w:rsidRPr="00E86460">
        <w:rPr>
          <w:sz w:val="20"/>
        </w:rPr>
        <w:t xml:space="preserve">s one of the following, </w:t>
      </w:r>
      <w:r w:rsidR="00C013FD" w:rsidRPr="00E86460">
        <w:rPr>
          <w:sz w:val="20"/>
        </w:rPr>
        <w:t>it is</w:t>
      </w:r>
      <w:r w:rsidRPr="00E86460">
        <w:rPr>
          <w:sz w:val="20"/>
        </w:rPr>
        <w:t xml:space="preserve"> required to comply.</w:t>
      </w:r>
    </w:p>
    <w:p w14:paraId="05853B55" w14:textId="77777777" w:rsidR="00901463" w:rsidRPr="00E86460" w:rsidRDefault="00901463" w:rsidP="00901463">
      <w:pPr>
        <w:spacing w:after="0" w:line="240" w:lineRule="auto"/>
        <w:rPr>
          <w:sz w:val="20"/>
        </w:rPr>
      </w:pPr>
    </w:p>
    <w:p w14:paraId="6341E8CB" w14:textId="77777777" w:rsidR="00901463" w:rsidRPr="00373BB8" w:rsidRDefault="00901463" w:rsidP="00056D64">
      <w:pPr>
        <w:pStyle w:val="Body"/>
        <w:numPr>
          <w:ilvl w:val="0"/>
          <w:numId w:val="17"/>
        </w:numPr>
        <w:rPr>
          <w:sz w:val="20"/>
        </w:rPr>
      </w:pPr>
      <w:r w:rsidRPr="00373BB8">
        <w:rPr>
          <w:sz w:val="20"/>
        </w:rPr>
        <w:t>An entity established under an enactment that is responsible for the provision of services to persons adversely affected by crime.</w:t>
      </w:r>
    </w:p>
    <w:p w14:paraId="728CA76F" w14:textId="77777777" w:rsidR="00901463" w:rsidRPr="00373BB8" w:rsidRDefault="00901463" w:rsidP="00056D64">
      <w:pPr>
        <w:pStyle w:val="Body"/>
        <w:numPr>
          <w:ilvl w:val="0"/>
          <w:numId w:val="17"/>
        </w:numPr>
        <w:rPr>
          <w:sz w:val="20"/>
        </w:rPr>
      </w:pPr>
      <w:r w:rsidRPr="00373BB8">
        <w:rPr>
          <w:sz w:val="20"/>
        </w:rPr>
        <w:t>A public official within the meaning of the Public Administration Act 2004 who is responsible for the provision of services to persons adversely affected by crime.</w:t>
      </w:r>
    </w:p>
    <w:p w14:paraId="3E73B4CD" w14:textId="77777777" w:rsidR="00EB2C1B" w:rsidRPr="00373BB8" w:rsidRDefault="00901463" w:rsidP="00056D64">
      <w:pPr>
        <w:pStyle w:val="Body"/>
        <w:numPr>
          <w:ilvl w:val="0"/>
          <w:numId w:val="17"/>
        </w:numPr>
        <w:rPr>
          <w:rFonts w:eastAsia="MS Mincho"/>
          <w:b/>
          <w:bCs/>
          <w:color w:val="201547"/>
          <w:sz w:val="20"/>
        </w:rPr>
      </w:pPr>
      <w:r w:rsidRPr="00373BB8">
        <w:rPr>
          <w:sz w:val="20"/>
        </w:rPr>
        <w:t xml:space="preserve">An entity that is publicly funded to provide services to persons adversely affected by crime. </w:t>
      </w:r>
    </w:p>
    <w:p w14:paraId="49A738C2" w14:textId="77777777" w:rsidR="00184D00" w:rsidRPr="00E86460" w:rsidRDefault="00184D00" w:rsidP="00184D00">
      <w:pPr>
        <w:spacing w:after="0" w:line="240" w:lineRule="auto"/>
        <w:rPr>
          <w:sz w:val="20"/>
        </w:rPr>
      </w:pPr>
    </w:p>
    <w:p w14:paraId="27FF4242" w14:textId="5584BB72" w:rsidR="00184D00" w:rsidRPr="00E86460" w:rsidRDefault="00184D00" w:rsidP="00184D00">
      <w:pPr>
        <w:pStyle w:val="Body"/>
        <w:rPr>
          <w:sz w:val="20"/>
        </w:rPr>
      </w:pPr>
      <w:r w:rsidRPr="00E86460">
        <w:rPr>
          <w:sz w:val="20"/>
        </w:rPr>
        <w:t xml:space="preserve">Further information is available at </w:t>
      </w:r>
      <w:hyperlink r:id="rId36" w:history="1">
        <w:r w:rsidR="0070575D" w:rsidRPr="00E86460">
          <w:rPr>
            <w:rStyle w:val="Hyperlink"/>
            <w:sz w:val="20"/>
          </w:rPr>
          <w:t>Victims of Crime Commissioner</w:t>
        </w:r>
      </w:hyperlink>
      <w:r w:rsidR="0070575D" w:rsidRPr="00E86460">
        <w:rPr>
          <w:sz w:val="20"/>
        </w:rPr>
        <w:t xml:space="preserve"> </w:t>
      </w:r>
      <w:r w:rsidR="00327BE8" w:rsidRPr="00E86460">
        <w:rPr>
          <w:sz w:val="20"/>
        </w:rPr>
        <w:t>&lt;https://victimsofcrimecommissioner.vic.gov.au/agencies/obligations-under-the-victims-charter&gt;</w:t>
      </w:r>
      <w:r w:rsidR="0070575D" w:rsidRPr="00E86460">
        <w:rPr>
          <w:sz w:val="20"/>
        </w:rPr>
        <w:t>.</w:t>
      </w:r>
    </w:p>
    <w:p w14:paraId="6EAA23B3" w14:textId="24197F2B" w:rsidR="00A36E00" w:rsidRPr="00845440" w:rsidRDefault="00A36E00" w:rsidP="00BE324B">
      <w:pPr>
        <w:pStyle w:val="Heading4"/>
        <w:rPr>
          <w:b w:val="0"/>
          <w:bCs w:val="0"/>
        </w:rPr>
      </w:pPr>
      <w:r w:rsidRPr="00845440">
        <w:rPr>
          <w:b w:val="0"/>
          <w:bCs w:val="0"/>
        </w:rPr>
        <w:t xml:space="preserve">Family </w:t>
      </w:r>
      <w:r w:rsidR="00E86460" w:rsidRPr="00845440">
        <w:rPr>
          <w:b w:val="0"/>
          <w:bCs w:val="0"/>
        </w:rPr>
        <w:t>V</w:t>
      </w:r>
      <w:r w:rsidRPr="00845440">
        <w:rPr>
          <w:b w:val="0"/>
          <w:bCs w:val="0"/>
        </w:rPr>
        <w:t xml:space="preserve">iolence </w:t>
      </w:r>
      <w:r w:rsidR="00E86460" w:rsidRPr="00845440">
        <w:rPr>
          <w:b w:val="0"/>
          <w:bCs w:val="0"/>
        </w:rPr>
        <w:t>M</w:t>
      </w:r>
      <w:r w:rsidRPr="00845440">
        <w:rPr>
          <w:b w:val="0"/>
          <w:bCs w:val="0"/>
        </w:rPr>
        <w:t>ulti-</w:t>
      </w:r>
      <w:r w:rsidR="00E86460" w:rsidRPr="00845440">
        <w:rPr>
          <w:b w:val="0"/>
          <w:bCs w:val="0"/>
        </w:rPr>
        <w:t>A</w:t>
      </w:r>
      <w:r w:rsidRPr="00845440">
        <w:rPr>
          <w:b w:val="0"/>
          <w:bCs w:val="0"/>
        </w:rPr>
        <w:t xml:space="preserve">gency </w:t>
      </w:r>
      <w:r w:rsidR="00E86460" w:rsidRPr="00845440">
        <w:rPr>
          <w:b w:val="0"/>
          <w:bCs w:val="0"/>
        </w:rPr>
        <w:t>R</w:t>
      </w:r>
      <w:r w:rsidRPr="00845440">
        <w:rPr>
          <w:b w:val="0"/>
          <w:bCs w:val="0"/>
        </w:rPr>
        <w:t xml:space="preserve">isk </w:t>
      </w:r>
      <w:r w:rsidR="00E86460" w:rsidRPr="00845440">
        <w:rPr>
          <w:b w:val="0"/>
          <w:bCs w:val="0"/>
        </w:rPr>
        <w:t>A</w:t>
      </w:r>
      <w:r w:rsidRPr="00845440">
        <w:rPr>
          <w:b w:val="0"/>
          <w:bCs w:val="0"/>
        </w:rPr>
        <w:t xml:space="preserve">ssessment and </w:t>
      </w:r>
      <w:r w:rsidR="00E86460" w:rsidRPr="00845440">
        <w:rPr>
          <w:b w:val="0"/>
          <w:bCs w:val="0"/>
        </w:rPr>
        <w:t>M</w:t>
      </w:r>
      <w:r w:rsidRPr="00845440">
        <w:rPr>
          <w:b w:val="0"/>
          <w:bCs w:val="0"/>
        </w:rPr>
        <w:t xml:space="preserve">anagement </w:t>
      </w:r>
      <w:r w:rsidR="00E86460" w:rsidRPr="00845440">
        <w:rPr>
          <w:b w:val="0"/>
          <w:bCs w:val="0"/>
        </w:rPr>
        <w:t>f</w:t>
      </w:r>
      <w:r w:rsidRPr="00845440">
        <w:rPr>
          <w:b w:val="0"/>
          <w:bCs w:val="0"/>
        </w:rPr>
        <w:t xml:space="preserve">ramework, </w:t>
      </w:r>
      <w:r w:rsidR="00E86460" w:rsidRPr="00845440">
        <w:rPr>
          <w:b w:val="0"/>
          <w:bCs w:val="0"/>
        </w:rPr>
        <w:t>F</w:t>
      </w:r>
      <w:r w:rsidRPr="00845440">
        <w:rPr>
          <w:b w:val="0"/>
          <w:bCs w:val="0"/>
        </w:rPr>
        <w:t xml:space="preserve">amily </w:t>
      </w:r>
      <w:r w:rsidR="00E86460" w:rsidRPr="00845440">
        <w:rPr>
          <w:b w:val="0"/>
          <w:bCs w:val="0"/>
        </w:rPr>
        <w:t>V</w:t>
      </w:r>
      <w:r w:rsidRPr="00845440">
        <w:rPr>
          <w:b w:val="0"/>
          <w:bCs w:val="0"/>
        </w:rPr>
        <w:t>iolence Information Sharing Scheme and Child Information Sharing Scheme</w:t>
      </w:r>
    </w:p>
    <w:p w14:paraId="10286C43" w14:textId="77777777" w:rsidR="00A36E00" w:rsidRPr="00E86460" w:rsidRDefault="00A36E00" w:rsidP="00A36E00">
      <w:pPr>
        <w:pStyle w:val="Body"/>
        <w:rPr>
          <w:sz w:val="20"/>
        </w:rPr>
      </w:pPr>
      <w:r w:rsidRPr="00E86460">
        <w:rPr>
          <w:sz w:val="20"/>
        </w:rPr>
        <w:t xml:space="preserve">Prescribed organisations are required to operate in accordance with the Family Violence Multi-Agency Risk Assessment and Management (MARAM) framework as established in law under Part 11 of the </w:t>
      </w:r>
      <w:r w:rsidRPr="00E86460">
        <w:rPr>
          <w:i/>
          <w:iCs/>
          <w:sz w:val="20"/>
        </w:rPr>
        <w:t>Family Violence Protection Act 2008</w:t>
      </w:r>
      <w:r w:rsidRPr="00E86460">
        <w:rPr>
          <w:sz w:val="20"/>
        </w:rPr>
        <w:t>. The MARAM framework has been designed to increase the safety and wellbeing of Victorians by supporting relevant organisations to identify, assess and manage family violence risk effectively.</w:t>
      </w:r>
    </w:p>
    <w:p w14:paraId="79CDFEE8" w14:textId="36BB158E" w:rsidR="00A36E00" w:rsidRPr="00E86460" w:rsidRDefault="00A36E00" w:rsidP="00A36E00">
      <w:pPr>
        <w:pStyle w:val="Body"/>
        <w:rPr>
          <w:sz w:val="20"/>
        </w:rPr>
      </w:pPr>
      <w:r w:rsidRPr="00E86460">
        <w:rPr>
          <w:sz w:val="20"/>
        </w:rPr>
        <w:t xml:space="preserve">In conjunction with the MARAM framework, prescribed entities are also required to operate in accordance with the Family Violence </w:t>
      </w:r>
      <w:r w:rsidRPr="00E86460">
        <w:rPr>
          <w:i/>
          <w:sz w:val="20"/>
        </w:rPr>
        <w:t>Information</w:t>
      </w:r>
      <w:r w:rsidRPr="00E86460">
        <w:rPr>
          <w:sz w:val="20"/>
        </w:rPr>
        <w:t xml:space="preserve"> Sharing Scheme (FVISS) which is established under Part 5A of the </w:t>
      </w:r>
      <w:r w:rsidRPr="00E86460">
        <w:rPr>
          <w:i/>
          <w:iCs/>
          <w:sz w:val="20"/>
        </w:rPr>
        <w:t>Family Violence Protection Act</w:t>
      </w:r>
      <w:r w:rsidR="008D3B8E" w:rsidRPr="00E86460">
        <w:rPr>
          <w:i/>
          <w:iCs/>
          <w:sz w:val="20"/>
        </w:rPr>
        <w:t xml:space="preserve"> 2008</w:t>
      </w:r>
      <w:r w:rsidRPr="00E86460">
        <w:rPr>
          <w:sz w:val="20"/>
        </w:rPr>
        <w:t xml:space="preserve"> and enables information to be shared to assess or manage family violence risk, and the Child Information Sharing Scheme (CISS), which is established under Part 6A of the </w:t>
      </w:r>
      <w:r w:rsidRPr="00E86460">
        <w:rPr>
          <w:i/>
          <w:iCs/>
          <w:sz w:val="20"/>
        </w:rPr>
        <w:t>Child Wellbeing and Safety Act 2005</w:t>
      </w:r>
      <w:r w:rsidRPr="00E86460">
        <w:rPr>
          <w:sz w:val="20"/>
        </w:rPr>
        <w:t xml:space="preserve"> and enables information to be shared to promote the wellbeing or safety of a child or a group of children. </w:t>
      </w:r>
    </w:p>
    <w:p w14:paraId="6EB90FCD" w14:textId="1F3F50F8" w:rsidR="00A36E00" w:rsidRPr="00E86460" w:rsidRDefault="00A36E00" w:rsidP="00A36E00">
      <w:pPr>
        <w:pStyle w:val="Body"/>
        <w:rPr>
          <w:sz w:val="20"/>
        </w:rPr>
      </w:pPr>
      <w:r w:rsidRPr="00E86460">
        <w:rPr>
          <w:sz w:val="20"/>
        </w:rPr>
        <w:t xml:space="preserve">Schedules detailing prescribed information sharing entities and MARAM framework organisations </w:t>
      </w:r>
      <w:r w:rsidR="00F95642" w:rsidRPr="00E86460">
        <w:rPr>
          <w:sz w:val="20"/>
        </w:rPr>
        <w:t>are available at</w:t>
      </w:r>
      <w:r w:rsidRPr="00E86460">
        <w:rPr>
          <w:sz w:val="20"/>
        </w:rPr>
        <w:t xml:space="preserve"> </w:t>
      </w:r>
      <w:hyperlink r:id="rId37" w:history="1">
        <w:r w:rsidRPr="00E86460">
          <w:rPr>
            <w:rStyle w:val="Hyperlink"/>
            <w:sz w:val="20"/>
          </w:rPr>
          <w:t>Family Violence Protection (Information Sharing and Risk Management) Regulations 2018</w:t>
        </w:r>
      </w:hyperlink>
      <w:r w:rsidRPr="00E86460">
        <w:rPr>
          <w:sz w:val="20"/>
        </w:rPr>
        <w:t xml:space="preserve"> </w:t>
      </w:r>
      <w:r w:rsidR="000A04DD" w:rsidRPr="00E86460">
        <w:rPr>
          <w:sz w:val="20"/>
        </w:rPr>
        <w:t xml:space="preserve">&lt;https://www.legislation.vic.gov.au/in-force/statutory-rules/family-violence-protection-information-sharing-and-risk-management/003&gt; </w:t>
      </w:r>
      <w:r w:rsidRPr="00E86460">
        <w:rPr>
          <w:sz w:val="20"/>
        </w:rPr>
        <w:t xml:space="preserve">and the </w:t>
      </w:r>
      <w:hyperlink r:id="rId38" w:history="1">
        <w:r w:rsidRPr="00E86460">
          <w:rPr>
            <w:rStyle w:val="Hyperlink"/>
            <w:sz w:val="20"/>
          </w:rPr>
          <w:t>Child Wellbeing and Safety (Information Sharing) Regulations 2018</w:t>
        </w:r>
      </w:hyperlink>
      <w:r w:rsidR="000A04DD" w:rsidRPr="00E86460">
        <w:rPr>
          <w:sz w:val="20"/>
        </w:rPr>
        <w:t xml:space="preserve"> &lt;https://www.legislation.vic.gov.au/in-force/statutory-rules/child-wellbeing-and-safety-information-sharing-regulations-2018/002&gt;.</w:t>
      </w:r>
    </w:p>
    <w:p w14:paraId="4CA01FB0" w14:textId="47DF83D1" w:rsidR="00A36E00" w:rsidRPr="00E86460" w:rsidRDefault="00A36E00" w:rsidP="00A36E00">
      <w:pPr>
        <w:pStyle w:val="Body"/>
        <w:rPr>
          <w:sz w:val="20"/>
        </w:rPr>
      </w:pPr>
      <w:r w:rsidRPr="00E86460">
        <w:rPr>
          <w:sz w:val="20"/>
        </w:rPr>
        <w:lastRenderedPageBreak/>
        <w:t xml:space="preserve">Further information is available </w:t>
      </w:r>
      <w:r w:rsidR="00172BC6" w:rsidRPr="00E86460">
        <w:rPr>
          <w:sz w:val="20"/>
        </w:rPr>
        <w:t>at</w:t>
      </w:r>
      <w:r w:rsidRPr="00E86460">
        <w:rPr>
          <w:sz w:val="20"/>
        </w:rPr>
        <w:t xml:space="preserve"> </w:t>
      </w:r>
      <w:hyperlink r:id="rId39" w:history="1">
        <w:r w:rsidR="00F90F21" w:rsidRPr="00E86460">
          <w:rPr>
            <w:rStyle w:val="Hyperlink"/>
            <w:sz w:val="20"/>
          </w:rPr>
          <w:t>Victorian Government Information Sharing and MARAM framework</w:t>
        </w:r>
      </w:hyperlink>
      <w:r w:rsidRPr="00E86460">
        <w:rPr>
          <w:sz w:val="20"/>
        </w:rPr>
        <w:t xml:space="preserve"> </w:t>
      </w:r>
      <w:r w:rsidR="00D95B06" w:rsidRPr="00E86460">
        <w:rPr>
          <w:sz w:val="20"/>
        </w:rPr>
        <w:t>&lt;https://www.vic.gov.au/information-sharing-schemes-and-the-maram-framework&gt;.</w:t>
      </w:r>
    </w:p>
    <w:p w14:paraId="35EC724A" w14:textId="77777777" w:rsidR="00A36E00" w:rsidRPr="00845440" w:rsidRDefault="00A36E00" w:rsidP="00BE324B">
      <w:pPr>
        <w:pStyle w:val="Heading4"/>
        <w:rPr>
          <w:b w:val="0"/>
          <w:bCs w:val="0"/>
        </w:rPr>
      </w:pPr>
      <w:r w:rsidRPr="00845440">
        <w:rPr>
          <w:b w:val="0"/>
          <w:bCs w:val="0"/>
        </w:rPr>
        <w:t>Occupational Health and Safety</w:t>
      </w:r>
    </w:p>
    <w:p w14:paraId="4AE94212" w14:textId="192AB9D2" w:rsidR="00A36E00" w:rsidRPr="00E86460" w:rsidRDefault="00A36E00" w:rsidP="00BE1ED7">
      <w:pPr>
        <w:pStyle w:val="Body"/>
        <w:rPr>
          <w:sz w:val="20"/>
        </w:rPr>
      </w:pPr>
      <w:r w:rsidRPr="00E86460">
        <w:rPr>
          <w:sz w:val="20"/>
        </w:rPr>
        <w:t xml:space="preserve">Organisations are required to operate in accordance with the </w:t>
      </w:r>
      <w:r w:rsidRPr="00E86460">
        <w:rPr>
          <w:i/>
          <w:iCs/>
          <w:sz w:val="20"/>
        </w:rPr>
        <w:t>Occupational Health and Safety Act</w:t>
      </w:r>
      <w:r w:rsidRPr="00E86460">
        <w:rPr>
          <w:sz w:val="20"/>
        </w:rPr>
        <w:t xml:space="preserve"> </w:t>
      </w:r>
      <w:r w:rsidR="00BE1ED7" w:rsidRPr="00E86460">
        <w:rPr>
          <w:rStyle w:val="CommentReference"/>
          <w:rFonts w:eastAsia="Times New Roman"/>
          <w:i/>
          <w:iCs/>
          <w:sz w:val="20"/>
          <w:szCs w:val="20"/>
        </w:rPr>
        <w:t xml:space="preserve">2004 </w:t>
      </w:r>
      <w:r w:rsidRPr="00E86460">
        <w:rPr>
          <w:sz w:val="20"/>
        </w:rPr>
        <w:t>and regulations, and to have policies and procedures in place to support these legislative requirements.</w:t>
      </w:r>
    </w:p>
    <w:p w14:paraId="0AC42CEC" w14:textId="75AA91A9" w:rsidR="004E2C08" w:rsidRPr="00E86460" w:rsidRDefault="00A36E00" w:rsidP="00A36E00">
      <w:pPr>
        <w:pStyle w:val="Body"/>
        <w:rPr>
          <w:sz w:val="20"/>
        </w:rPr>
      </w:pPr>
      <w:r w:rsidRPr="00E86460">
        <w:rPr>
          <w:sz w:val="20"/>
        </w:rPr>
        <w:t xml:space="preserve">Further information is available at </w:t>
      </w:r>
      <w:hyperlink r:id="rId40" w:history="1">
        <w:r w:rsidR="000B6406" w:rsidRPr="00E86460">
          <w:rPr>
            <w:rStyle w:val="Hyperlink"/>
            <w:sz w:val="20"/>
          </w:rPr>
          <w:t>Worksafe Victoria Occupational Health and Safety Act and Regulations</w:t>
        </w:r>
      </w:hyperlink>
      <w:r w:rsidRPr="00E86460">
        <w:rPr>
          <w:sz w:val="20"/>
        </w:rPr>
        <w:t xml:space="preserve"> </w:t>
      </w:r>
      <w:r w:rsidR="00D95B06" w:rsidRPr="00E86460">
        <w:rPr>
          <w:sz w:val="20"/>
        </w:rPr>
        <w:t>&lt;</w:t>
      </w:r>
      <w:r w:rsidR="00BE324B" w:rsidRPr="00E86460">
        <w:rPr>
          <w:sz w:val="20"/>
        </w:rPr>
        <w:t>https://www.worksafe.vic.gov.au/occupational-health-and-safety-act-and-regulations</w:t>
      </w:r>
      <w:r w:rsidR="00D95B06" w:rsidRPr="00E86460">
        <w:rPr>
          <w:rStyle w:val="Hyperlink"/>
          <w:sz w:val="20"/>
        </w:rPr>
        <w:t>&gt;.</w:t>
      </w:r>
    </w:p>
    <w:p w14:paraId="28F71DE3" w14:textId="027C4D0C" w:rsidR="00657632" w:rsidRPr="00845440" w:rsidRDefault="00657632" w:rsidP="00657632">
      <w:pPr>
        <w:pStyle w:val="Heading2"/>
        <w:rPr>
          <w:b w:val="0"/>
          <w:bCs/>
        </w:rPr>
      </w:pPr>
      <w:bookmarkStart w:id="44" w:name="_Toc72421923"/>
      <w:bookmarkStart w:id="45" w:name="_Toc209175191"/>
      <w:r w:rsidRPr="00845440">
        <w:rPr>
          <w:b w:val="0"/>
          <w:bCs/>
        </w:rPr>
        <w:t>Policies</w:t>
      </w:r>
      <w:bookmarkEnd w:id="44"/>
      <w:bookmarkEnd w:id="45"/>
      <w:r w:rsidRPr="00845440">
        <w:rPr>
          <w:b w:val="0"/>
          <w:bCs/>
        </w:rPr>
        <w:t xml:space="preserve"> </w:t>
      </w:r>
    </w:p>
    <w:p w14:paraId="44EF4DBA" w14:textId="3F332EB9" w:rsidR="00D044C2" w:rsidRPr="00E86460" w:rsidRDefault="00E6505B" w:rsidP="00D044C2">
      <w:pPr>
        <w:pStyle w:val="Body"/>
        <w:rPr>
          <w:rStyle w:val="CommentReference"/>
          <w:rFonts w:eastAsia="Times New Roman"/>
          <w:sz w:val="20"/>
          <w:szCs w:val="20"/>
        </w:rPr>
      </w:pPr>
      <w:bookmarkStart w:id="46" w:name="_Toc72421924"/>
      <w:r w:rsidRPr="00E86460">
        <w:rPr>
          <w:sz w:val="20"/>
        </w:rPr>
        <w:t xml:space="preserve">All funded organisations </w:t>
      </w:r>
      <w:r w:rsidR="00A16E93" w:rsidRPr="00E86460">
        <w:rPr>
          <w:sz w:val="20"/>
        </w:rPr>
        <w:t xml:space="preserve">that have a </w:t>
      </w:r>
      <w:r w:rsidR="00871C88" w:rsidRPr="00E86460">
        <w:rPr>
          <w:sz w:val="20"/>
        </w:rPr>
        <w:t>Service Agreement</w:t>
      </w:r>
      <w:r w:rsidR="00A16E93" w:rsidRPr="00E86460">
        <w:rPr>
          <w:sz w:val="20"/>
        </w:rPr>
        <w:t xml:space="preserve"> must comply with the following policies and obligations</w:t>
      </w:r>
      <w:r w:rsidR="00BC1C64" w:rsidRPr="00E86460">
        <w:rPr>
          <w:sz w:val="20"/>
        </w:rPr>
        <w:t>.</w:t>
      </w:r>
    </w:p>
    <w:p w14:paraId="29999A04" w14:textId="73FDBD2B" w:rsidR="00657632" w:rsidRDefault="00657632" w:rsidP="00657632">
      <w:pPr>
        <w:pStyle w:val="Heading3"/>
      </w:pPr>
      <w:bookmarkStart w:id="47" w:name="_Toc209175192"/>
      <w:r>
        <w:t xml:space="preserve">Aboriginal </w:t>
      </w:r>
      <w:r w:rsidR="00E86460">
        <w:t>p</w:t>
      </w:r>
      <w:r>
        <w:t xml:space="preserve">eople and </w:t>
      </w:r>
      <w:r w:rsidR="00E86460">
        <w:t>c</w:t>
      </w:r>
      <w:r>
        <w:t>ommunities</w:t>
      </w:r>
      <w:bookmarkEnd w:id="46"/>
      <w:bookmarkEnd w:id="47"/>
    </w:p>
    <w:p w14:paraId="04B64D2B" w14:textId="3156CD2A" w:rsidR="00657632" w:rsidRPr="00845440" w:rsidRDefault="00657632" w:rsidP="00657632">
      <w:pPr>
        <w:pStyle w:val="Heading4"/>
        <w:rPr>
          <w:b w:val="0"/>
          <w:bCs w:val="0"/>
        </w:rPr>
      </w:pPr>
      <w:r w:rsidRPr="00845440">
        <w:rPr>
          <w:b w:val="0"/>
          <w:bCs w:val="0"/>
        </w:rPr>
        <w:t xml:space="preserve">Aboriginal </w:t>
      </w:r>
      <w:r w:rsidR="00E8611E" w:rsidRPr="00845440">
        <w:rPr>
          <w:b w:val="0"/>
          <w:bCs w:val="0"/>
        </w:rPr>
        <w:t xml:space="preserve">and Torres Strait Islander </w:t>
      </w:r>
      <w:r w:rsidRPr="00845440">
        <w:rPr>
          <w:b w:val="0"/>
          <w:bCs w:val="0"/>
        </w:rPr>
        <w:t>cultural safety framework</w:t>
      </w:r>
    </w:p>
    <w:p w14:paraId="60BB298F" w14:textId="42E49E07" w:rsidR="00657632" w:rsidRPr="00E86460" w:rsidRDefault="00657632" w:rsidP="00657632">
      <w:pPr>
        <w:pStyle w:val="Body"/>
        <w:rPr>
          <w:sz w:val="20"/>
        </w:rPr>
      </w:pPr>
      <w:r w:rsidRPr="00E86460">
        <w:rPr>
          <w:sz w:val="20"/>
        </w:rPr>
        <w:t>Mainstream health and community services</w:t>
      </w:r>
      <w:r w:rsidR="00CA03FF" w:rsidRPr="00E86460">
        <w:rPr>
          <w:sz w:val="20"/>
        </w:rPr>
        <w:t xml:space="preserve"> organisations</w:t>
      </w:r>
      <w:r w:rsidRPr="00E86460">
        <w:rPr>
          <w:sz w:val="20"/>
        </w:rPr>
        <w:t xml:space="preserve"> are required to provide culturally safe workplaces and services through the development of strategies, policies, practices and workplace cultures that address unconscious bias, discrimination and racism.</w:t>
      </w:r>
    </w:p>
    <w:p w14:paraId="073642F9" w14:textId="15AE093D" w:rsidR="00657632" w:rsidRPr="00E86460" w:rsidRDefault="00657632" w:rsidP="00657632">
      <w:pPr>
        <w:pStyle w:val="Body"/>
        <w:rPr>
          <w:sz w:val="20"/>
        </w:rPr>
      </w:pPr>
      <w:r w:rsidRPr="00E86460">
        <w:rPr>
          <w:sz w:val="20"/>
        </w:rPr>
        <w:t xml:space="preserve">Further information is available at </w:t>
      </w:r>
      <w:hyperlink r:id="rId41" w:history="1">
        <w:r w:rsidR="008974E8" w:rsidRPr="00E86460">
          <w:rPr>
            <w:rStyle w:val="Hyperlink"/>
            <w:sz w:val="20"/>
          </w:rPr>
          <w:t>Aboriginal and Torres Strait Islander cultural safety framework</w:t>
        </w:r>
      </w:hyperlink>
      <w:r w:rsidRPr="00E86460">
        <w:rPr>
          <w:sz w:val="20"/>
        </w:rPr>
        <w:t xml:space="preserve"> </w:t>
      </w:r>
      <w:r w:rsidR="000B4297" w:rsidRPr="00E86460">
        <w:rPr>
          <w:sz w:val="20"/>
        </w:rPr>
        <w:t>&lt;https://www.d</w:t>
      </w:r>
      <w:r w:rsidR="000B4643" w:rsidRPr="00E86460">
        <w:rPr>
          <w:sz w:val="20"/>
        </w:rPr>
        <w:t>ffh</w:t>
      </w:r>
      <w:r w:rsidR="000B4297" w:rsidRPr="00E86460">
        <w:rPr>
          <w:sz w:val="20"/>
        </w:rPr>
        <w:t>.vic.gov.au/publications/aboriginal-and-torres-strait-islander-cultural-safety-framework&gt;.</w:t>
      </w:r>
    </w:p>
    <w:p w14:paraId="47B3ECC6" w14:textId="77777777" w:rsidR="00657632" w:rsidRPr="00845440" w:rsidRDefault="00657632" w:rsidP="00657632">
      <w:pPr>
        <w:pStyle w:val="Heading4"/>
        <w:rPr>
          <w:b w:val="0"/>
          <w:bCs w:val="0"/>
        </w:rPr>
      </w:pPr>
      <w:r w:rsidRPr="00845440">
        <w:rPr>
          <w:b w:val="0"/>
          <w:bCs w:val="0"/>
        </w:rPr>
        <w:t xml:space="preserve">Supporting self-determination: prioritising funding to Aboriginal organisations </w:t>
      </w:r>
    </w:p>
    <w:p w14:paraId="5C8F491C" w14:textId="77777777" w:rsidR="00657632" w:rsidRPr="00E86460" w:rsidRDefault="00657632" w:rsidP="00657632">
      <w:pPr>
        <w:pStyle w:val="Body"/>
        <w:rPr>
          <w:sz w:val="20"/>
        </w:rPr>
      </w:pPr>
      <w:r w:rsidRPr="00E86460">
        <w:rPr>
          <w:sz w:val="20"/>
        </w:rPr>
        <w:t xml:space="preserve">This policy supports the transfer of Aboriginal specific funding to Aboriginal organisations and outlines the governance, monitoring and reporting processes to support the sustainable implementation of this policy. Mainstream services retaining funding will be required to have a transition plan with Aboriginal organisations. </w:t>
      </w:r>
    </w:p>
    <w:p w14:paraId="7FF4A790" w14:textId="6F0E77BC" w:rsidR="00657632" w:rsidRPr="00E86460" w:rsidRDefault="00657632" w:rsidP="00657632">
      <w:pPr>
        <w:pStyle w:val="Body"/>
        <w:rPr>
          <w:sz w:val="20"/>
        </w:rPr>
      </w:pPr>
      <w:r w:rsidRPr="00E86460">
        <w:rPr>
          <w:sz w:val="20"/>
        </w:rPr>
        <w:t xml:space="preserve">Further information is available at </w:t>
      </w:r>
      <w:hyperlink r:id="rId42">
        <w:r w:rsidR="008974E8" w:rsidRPr="00E86460">
          <w:rPr>
            <w:rStyle w:val="Hyperlink"/>
            <w:sz w:val="20"/>
          </w:rPr>
          <w:t xml:space="preserve">Supporting </w:t>
        </w:r>
        <w:r w:rsidR="00691931" w:rsidRPr="00E86460">
          <w:rPr>
            <w:rStyle w:val="Hyperlink"/>
            <w:sz w:val="20"/>
          </w:rPr>
          <w:t>S</w:t>
        </w:r>
        <w:r w:rsidR="008974E8" w:rsidRPr="00E86460">
          <w:rPr>
            <w:rStyle w:val="Hyperlink"/>
            <w:sz w:val="20"/>
          </w:rPr>
          <w:t xml:space="preserve">elf-determination: </w:t>
        </w:r>
        <w:r w:rsidR="00691931" w:rsidRPr="00E86460">
          <w:rPr>
            <w:rStyle w:val="Hyperlink"/>
            <w:sz w:val="20"/>
          </w:rPr>
          <w:t>P</w:t>
        </w:r>
        <w:r w:rsidR="008974E8" w:rsidRPr="00E86460">
          <w:rPr>
            <w:rStyle w:val="Hyperlink"/>
            <w:sz w:val="20"/>
          </w:rPr>
          <w:t>rioritising funding to Aboriginal organisations policy</w:t>
        </w:r>
      </w:hyperlink>
      <w:r w:rsidRPr="00E86460">
        <w:rPr>
          <w:sz w:val="20"/>
        </w:rPr>
        <w:t xml:space="preserve"> </w:t>
      </w:r>
      <w:r w:rsidR="000B4297" w:rsidRPr="00E86460">
        <w:rPr>
          <w:sz w:val="20"/>
        </w:rPr>
        <w:t>&lt;</w:t>
      </w:r>
      <w:r w:rsidR="00BA404A" w:rsidRPr="00E86460">
        <w:rPr>
          <w:sz w:val="20"/>
        </w:rPr>
        <w:t xml:space="preserve"> https://www.dffh.vic.gov.au/publications/supporting-self-determination-prioritising-funding-aboriginal-organisations-policy</w:t>
      </w:r>
      <w:r w:rsidR="000B4297" w:rsidRPr="00E86460">
        <w:rPr>
          <w:sz w:val="20"/>
        </w:rPr>
        <w:t>&gt;.</w:t>
      </w:r>
      <w:r w:rsidRPr="00E86460">
        <w:rPr>
          <w:sz w:val="20"/>
        </w:rPr>
        <w:t xml:space="preserve"> </w:t>
      </w:r>
    </w:p>
    <w:p w14:paraId="551BC52F" w14:textId="67A69868" w:rsidR="6457A8B0" w:rsidRPr="00845440" w:rsidRDefault="6457A8B0" w:rsidP="00A077D0">
      <w:pPr>
        <w:pStyle w:val="Heading4"/>
        <w:rPr>
          <w:b w:val="0"/>
          <w:bCs w:val="0"/>
        </w:rPr>
      </w:pPr>
      <w:r w:rsidRPr="00845440">
        <w:rPr>
          <w:b w:val="0"/>
          <w:bCs w:val="0"/>
        </w:rPr>
        <w:t>Community Services Fair Jobs Code</w:t>
      </w:r>
      <w:r w:rsidR="002403B9" w:rsidRPr="00845440">
        <w:rPr>
          <w:b w:val="0"/>
          <w:bCs w:val="0"/>
        </w:rPr>
        <w:t xml:space="preserve"> (CS Code)</w:t>
      </w:r>
    </w:p>
    <w:p w14:paraId="06068C0C" w14:textId="30937668" w:rsidR="6457A8B0" w:rsidRPr="00E86460" w:rsidRDefault="6457A8B0">
      <w:pPr>
        <w:rPr>
          <w:rFonts w:eastAsia="Arial" w:cs="Arial"/>
          <w:sz w:val="20"/>
        </w:rPr>
      </w:pPr>
      <w:r w:rsidRPr="00E86460">
        <w:rPr>
          <w:rFonts w:eastAsia="Arial" w:cs="Arial"/>
          <w:sz w:val="20"/>
        </w:rPr>
        <w:t>The CS Code seeks to:</w:t>
      </w:r>
    </w:p>
    <w:p w14:paraId="3499853A" w14:textId="6598D69F"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promote secure employment opportunities</w:t>
      </w:r>
    </w:p>
    <w:p w14:paraId="38DB3BFC" w14:textId="075DA283"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recognise the community services sector's employment, industrial relations and workplace health and safety obligations in government funding contracts</w:t>
      </w:r>
    </w:p>
    <w:p w14:paraId="089B9B27" w14:textId="4F3B51CD"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foster cooperative relationships between employers, employees and their representatives</w:t>
      </w:r>
    </w:p>
    <w:p w14:paraId="004E9BBC" w14:textId="7F534733"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promote workplace equity and diversity.</w:t>
      </w:r>
    </w:p>
    <w:p w14:paraId="3F16AFF9" w14:textId="627E7D89" w:rsidR="7FF097E5" w:rsidRPr="00E86460" w:rsidRDefault="7FF097E5" w:rsidP="00B538FA">
      <w:pPr>
        <w:spacing w:after="0"/>
        <w:rPr>
          <w:rFonts w:eastAsia="Arial" w:cs="Arial"/>
          <w:sz w:val="20"/>
        </w:rPr>
      </w:pPr>
    </w:p>
    <w:p w14:paraId="5F76617B" w14:textId="1F18B387" w:rsidR="6457A8B0" w:rsidRPr="00E86460" w:rsidRDefault="6457A8B0">
      <w:pPr>
        <w:rPr>
          <w:rFonts w:eastAsia="Arial" w:cs="Arial"/>
          <w:sz w:val="20"/>
        </w:rPr>
      </w:pPr>
      <w:r w:rsidRPr="00E86460">
        <w:rPr>
          <w:rFonts w:eastAsia="Arial" w:cs="Arial"/>
          <w:sz w:val="20"/>
        </w:rPr>
        <w:t xml:space="preserve">All community </w:t>
      </w:r>
      <w:r w:rsidR="00DF13AC" w:rsidRPr="00E86460">
        <w:rPr>
          <w:rFonts w:eastAsia="Arial" w:cs="Arial"/>
          <w:sz w:val="20"/>
        </w:rPr>
        <w:t>s</w:t>
      </w:r>
      <w:r w:rsidRPr="00E86460">
        <w:rPr>
          <w:rFonts w:eastAsia="Arial" w:cs="Arial"/>
          <w:sz w:val="20"/>
        </w:rPr>
        <w:t>ervices to which the CS Code applies must comply with the Standards issued under the CS Code.</w:t>
      </w:r>
    </w:p>
    <w:p w14:paraId="436BA83D" w14:textId="0133BAB2" w:rsidR="6457A8B0" w:rsidRPr="00E86460" w:rsidRDefault="6457A8B0">
      <w:pPr>
        <w:rPr>
          <w:rFonts w:eastAsia="Arial" w:cs="Arial"/>
          <w:sz w:val="20"/>
        </w:rPr>
      </w:pPr>
      <w:r w:rsidRPr="00E86460">
        <w:rPr>
          <w:rFonts w:eastAsia="Arial" w:cs="Arial"/>
          <w:sz w:val="20"/>
        </w:rPr>
        <w:t xml:space="preserve">Further information is available at </w:t>
      </w:r>
      <w:hyperlink r:id="rId43" w:history="1">
        <w:r w:rsidR="00B538FA" w:rsidRPr="00E86460">
          <w:rPr>
            <w:rStyle w:val="Hyperlink"/>
            <w:rFonts w:eastAsia="Arial" w:cs="Arial"/>
            <w:sz w:val="20"/>
          </w:rPr>
          <w:t>The Victorian Fair Jobs Code for the Community Services Sector</w:t>
        </w:r>
      </w:hyperlink>
      <w:r w:rsidR="00B538FA" w:rsidRPr="00E86460">
        <w:rPr>
          <w:rFonts w:eastAsia="Arial" w:cs="Arial"/>
          <w:sz w:val="20"/>
        </w:rPr>
        <w:t xml:space="preserve"> &lt;</w:t>
      </w:r>
      <w:hyperlink r:id="rId44" w:history="1">
        <w:r w:rsidRPr="009E628C">
          <w:rPr>
            <w:rStyle w:val="Hyperlink"/>
            <w:rFonts w:eastAsia="Arial" w:cs="Arial"/>
            <w:sz w:val="20"/>
          </w:rPr>
          <w:t>https://www.dffh.vic.gov.au/victorian-fair-jobs-code-community-services-sector</w:t>
        </w:r>
      </w:hyperlink>
      <w:r w:rsidR="00B538FA" w:rsidRPr="00556EAE">
        <w:rPr>
          <w:rFonts w:eastAsia="Arial" w:cs="Arial"/>
          <w:sz w:val="20"/>
        </w:rPr>
        <w:t>&gt;</w:t>
      </w:r>
      <w:r w:rsidRPr="00556EAE">
        <w:rPr>
          <w:rFonts w:eastAsia="Arial" w:cs="Arial"/>
          <w:sz w:val="20"/>
        </w:rPr>
        <w:t>.</w:t>
      </w:r>
    </w:p>
    <w:p w14:paraId="67CD2AD5" w14:textId="77777777" w:rsidR="00657632" w:rsidRDefault="00657632" w:rsidP="00657632">
      <w:pPr>
        <w:pStyle w:val="Heading3"/>
      </w:pPr>
      <w:bookmarkStart w:id="48" w:name="_Toc72421925"/>
      <w:bookmarkStart w:id="49" w:name="_Toc209175193"/>
      <w:r>
        <w:lastRenderedPageBreak/>
        <w:t>Operational policies</w:t>
      </w:r>
      <w:bookmarkEnd w:id="48"/>
      <w:bookmarkEnd w:id="49"/>
    </w:p>
    <w:p w14:paraId="44F12065" w14:textId="77777777" w:rsidR="00657632" w:rsidRPr="00845440" w:rsidRDefault="00657632" w:rsidP="00657632">
      <w:pPr>
        <w:pStyle w:val="Heading4"/>
        <w:rPr>
          <w:b w:val="0"/>
          <w:bCs w:val="0"/>
        </w:rPr>
      </w:pPr>
      <w:r w:rsidRPr="00845440">
        <w:rPr>
          <w:b w:val="0"/>
          <w:bCs w:val="0"/>
        </w:rPr>
        <w:t>Fire risk management</w:t>
      </w:r>
    </w:p>
    <w:p w14:paraId="7174958F" w14:textId="3945AEA4" w:rsidR="00657632" w:rsidRPr="00E86460" w:rsidRDefault="00657632" w:rsidP="00657632">
      <w:pPr>
        <w:pStyle w:val="Body"/>
        <w:rPr>
          <w:sz w:val="20"/>
        </w:rPr>
      </w:pPr>
      <w:r w:rsidRPr="00E86460">
        <w:rPr>
          <w:sz w:val="20"/>
        </w:rPr>
        <w:t xml:space="preserve">Organisations that provide bed-based care, support or sleeping accommodation for clients under their care are responsible for ensuring </w:t>
      </w:r>
      <w:r w:rsidR="170016EC" w:rsidRPr="00E86460">
        <w:rPr>
          <w:sz w:val="20"/>
        </w:rPr>
        <w:t>the</w:t>
      </w:r>
      <w:r w:rsidRPr="00E86460">
        <w:rPr>
          <w:sz w:val="20"/>
        </w:rPr>
        <w:t xml:space="preserve"> implementation of appropriate fire risk management measures and requirements.</w:t>
      </w:r>
    </w:p>
    <w:p w14:paraId="209A8B1C" w14:textId="63685541" w:rsidR="00657632" w:rsidRPr="00E86460" w:rsidRDefault="00657632" w:rsidP="00657632">
      <w:pPr>
        <w:pStyle w:val="Body"/>
        <w:rPr>
          <w:sz w:val="20"/>
        </w:rPr>
      </w:pPr>
      <w:r w:rsidRPr="00E86460">
        <w:rPr>
          <w:sz w:val="20"/>
        </w:rPr>
        <w:t xml:space="preserve">Further information is available at </w:t>
      </w:r>
      <w:hyperlink r:id="rId45" w:history="1">
        <w:r w:rsidR="008974E8" w:rsidRPr="00E86460">
          <w:rPr>
            <w:rStyle w:val="Hyperlink"/>
            <w:sz w:val="20"/>
          </w:rPr>
          <w:t>Fire risk management procedures and guidelines</w:t>
        </w:r>
      </w:hyperlink>
      <w:r w:rsidRPr="00E86460">
        <w:rPr>
          <w:sz w:val="20"/>
        </w:rPr>
        <w:t xml:space="preserve"> </w:t>
      </w:r>
      <w:r w:rsidR="00EA27A7" w:rsidRPr="00E86460">
        <w:rPr>
          <w:sz w:val="20"/>
        </w:rPr>
        <w:t>&lt;https://providers.dffh.vic.gov.au/fire-risk-management-procedures-and-guidelines</w:t>
      </w:r>
      <w:r w:rsidR="000B4297" w:rsidRPr="00E86460">
        <w:rPr>
          <w:sz w:val="20"/>
        </w:rPr>
        <w:t>&gt;.</w:t>
      </w:r>
    </w:p>
    <w:p w14:paraId="63D763E5" w14:textId="3C1B758A" w:rsidR="00657632" w:rsidRPr="00845440" w:rsidRDefault="00657632" w:rsidP="00657632">
      <w:pPr>
        <w:pStyle w:val="Heading4"/>
        <w:rPr>
          <w:b w:val="0"/>
          <w:bCs w:val="0"/>
        </w:rPr>
      </w:pPr>
      <w:r w:rsidRPr="00845440">
        <w:rPr>
          <w:b w:val="0"/>
          <w:bCs w:val="0"/>
        </w:rPr>
        <w:t xml:space="preserve">Incident </w:t>
      </w:r>
      <w:r w:rsidR="00E86460" w:rsidRPr="00845440">
        <w:rPr>
          <w:b w:val="0"/>
          <w:bCs w:val="0"/>
        </w:rPr>
        <w:t>r</w:t>
      </w:r>
      <w:r w:rsidRPr="00845440">
        <w:rPr>
          <w:b w:val="0"/>
          <w:bCs w:val="0"/>
        </w:rPr>
        <w:t>eporting</w:t>
      </w:r>
    </w:p>
    <w:p w14:paraId="59204745" w14:textId="45909709" w:rsidR="00657632" w:rsidRPr="00E86460" w:rsidRDefault="00657632" w:rsidP="00657632">
      <w:pPr>
        <w:pStyle w:val="Body"/>
        <w:rPr>
          <w:sz w:val="20"/>
        </w:rPr>
      </w:pPr>
      <w:r w:rsidRPr="00E86460">
        <w:rPr>
          <w:sz w:val="20"/>
        </w:rPr>
        <w:t>Organisations are required to report and manage incidents or alleged incidents that involve or impact upon clients during service delivery. Incidents are to be reported on the relevant systems</w:t>
      </w:r>
      <w:r w:rsidR="0008460B" w:rsidRPr="00E86460">
        <w:rPr>
          <w:sz w:val="20"/>
        </w:rPr>
        <w:t>.</w:t>
      </w:r>
    </w:p>
    <w:p w14:paraId="10D55CC2" w14:textId="1EBA7E61" w:rsidR="00752A46" w:rsidRPr="00E86460" w:rsidRDefault="00657632" w:rsidP="00657632">
      <w:pPr>
        <w:pStyle w:val="Body"/>
        <w:rPr>
          <w:sz w:val="20"/>
        </w:rPr>
      </w:pPr>
      <w:r w:rsidRPr="00E86460">
        <w:rPr>
          <w:sz w:val="20"/>
        </w:rPr>
        <w:t>Further information</w:t>
      </w:r>
      <w:r w:rsidR="00CE5602" w:rsidRPr="00E86460">
        <w:rPr>
          <w:sz w:val="20"/>
        </w:rPr>
        <w:t>, including descriptions of the services in</w:t>
      </w:r>
      <w:r w:rsidR="0008460B" w:rsidRPr="00E86460">
        <w:rPr>
          <w:sz w:val="20"/>
        </w:rPr>
        <w:t xml:space="preserve"> </w:t>
      </w:r>
      <w:r w:rsidR="00CE5602" w:rsidRPr="00E86460">
        <w:rPr>
          <w:sz w:val="20"/>
        </w:rPr>
        <w:t>scope for each reporting system,</w:t>
      </w:r>
      <w:r w:rsidRPr="00E86460">
        <w:rPr>
          <w:sz w:val="20"/>
        </w:rPr>
        <w:t xml:space="preserve"> is available at </w:t>
      </w:r>
    </w:p>
    <w:p w14:paraId="7EA79E28" w14:textId="023BD146" w:rsidR="00752A46" w:rsidRPr="00E86460" w:rsidRDefault="008974E8" w:rsidP="00056D64">
      <w:pPr>
        <w:pStyle w:val="Body"/>
        <w:numPr>
          <w:ilvl w:val="0"/>
          <w:numId w:val="18"/>
        </w:numPr>
        <w:rPr>
          <w:sz w:val="20"/>
        </w:rPr>
      </w:pPr>
      <w:hyperlink r:id="rId46" w:history="1">
        <w:r w:rsidRPr="00E86460">
          <w:rPr>
            <w:rStyle w:val="Hyperlink"/>
            <w:sz w:val="20"/>
          </w:rPr>
          <w:t xml:space="preserve">Victorian </w:t>
        </w:r>
        <w:r w:rsidR="002E51F4" w:rsidRPr="00E86460">
          <w:rPr>
            <w:rStyle w:val="Hyperlink"/>
            <w:sz w:val="20"/>
          </w:rPr>
          <w:t>Agency for Health Information</w:t>
        </w:r>
      </w:hyperlink>
      <w:r w:rsidR="00752A46" w:rsidRPr="00E86460">
        <w:rPr>
          <w:sz w:val="20"/>
        </w:rPr>
        <w:t xml:space="preserve"> </w:t>
      </w:r>
      <w:r w:rsidR="002E51F4" w:rsidRPr="00E86460">
        <w:rPr>
          <w:sz w:val="20"/>
        </w:rPr>
        <w:br/>
      </w:r>
      <w:r w:rsidR="00925893" w:rsidRPr="00E86460">
        <w:rPr>
          <w:sz w:val="20"/>
        </w:rPr>
        <w:t>&lt;</w:t>
      </w:r>
      <w:r w:rsidR="00F944CD" w:rsidRPr="00E86460">
        <w:rPr>
          <w:sz w:val="20"/>
        </w:rPr>
        <w:t>https://vahi.vic.gov.au/ourwork/vhims-program-of-reforms</w:t>
      </w:r>
      <w:r w:rsidR="00925893" w:rsidRPr="00E86460">
        <w:rPr>
          <w:sz w:val="20"/>
        </w:rPr>
        <w:t>&gt;</w:t>
      </w:r>
    </w:p>
    <w:p w14:paraId="2BDAC0D1" w14:textId="7442EA2D" w:rsidR="00657632" w:rsidRPr="00E86460" w:rsidRDefault="008974E8" w:rsidP="00056D64">
      <w:pPr>
        <w:pStyle w:val="Body"/>
        <w:numPr>
          <w:ilvl w:val="0"/>
          <w:numId w:val="18"/>
        </w:numPr>
        <w:rPr>
          <w:sz w:val="20"/>
        </w:rPr>
      </w:pPr>
      <w:hyperlink r:id="rId47" w:history="1">
        <w:r w:rsidRPr="00E86460">
          <w:rPr>
            <w:rStyle w:val="Hyperlink"/>
            <w:sz w:val="20"/>
          </w:rPr>
          <w:t>Client incident management system</w:t>
        </w:r>
      </w:hyperlink>
      <w:r w:rsidR="00657632" w:rsidRPr="00E86460">
        <w:rPr>
          <w:sz w:val="20"/>
        </w:rPr>
        <w:t xml:space="preserve"> &lt;https://providers.d</w:t>
      </w:r>
      <w:r w:rsidR="00EA27A7" w:rsidRPr="00E86460">
        <w:rPr>
          <w:sz w:val="20"/>
        </w:rPr>
        <w:t>ffh</w:t>
      </w:r>
      <w:r w:rsidR="00657632" w:rsidRPr="00E86460">
        <w:rPr>
          <w:sz w:val="20"/>
        </w:rPr>
        <w:t>.vic.gov.au/cims&gt;.</w:t>
      </w:r>
    </w:p>
    <w:p w14:paraId="34836D9F" w14:textId="51737267" w:rsidR="00657632" w:rsidRPr="00845440" w:rsidRDefault="00657632" w:rsidP="00657632">
      <w:pPr>
        <w:pStyle w:val="Heading4"/>
        <w:rPr>
          <w:b w:val="0"/>
          <w:bCs w:val="0"/>
        </w:rPr>
      </w:pPr>
      <w:r w:rsidRPr="00845440">
        <w:rPr>
          <w:b w:val="0"/>
          <w:bCs w:val="0"/>
        </w:rPr>
        <w:t>Safety screening</w:t>
      </w:r>
    </w:p>
    <w:p w14:paraId="31113AEA" w14:textId="77777777" w:rsidR="00657632" w:rsidRPr="00E86460" w:rsidRDefault="00657632" w:rsidP="00657632">
      <w:pPr>
        <w:pStyle w:val="Body"/>
        <w:rPr>
          <w:sz w:val="20"/>
        </w:rPr>
      </w:pPr>
      <w:r w:rsidRPr="00E86460">
        <w:rPr>
          <w:sz w:val="20"/>
        </w:rPr>
        <w:t>Organisations are required to undertake employment safety screening to ensure safe service delivery for clients who receive support and services.</w:t>
      </w:r>
    </w:p>
    <w:p w14:paraId="7D0DFECB" w14:textId="2E628CA0" w:rsidR="00657632" w:rsidRPr="00E86460" w:rsidRDefault="00657632" w:rsidP="00657632">
      <w:pPr>
        <w:pStyle w:val="Body"/>
        <w:rPr>
          <w:sz w:val="20"/>
        </w:rPr>
      </w:pPr>
      <w:r w:rsidRPr="00E86460">
        <w:rPr>
          <w:sz w:val="20"/>
        </w:rPr>
        <w:t xml:space="preserve"> </w:t>
      </w:r>
      <w:r w:rsidR="007E5818" w:rsidRPr="00E86460">
        <w:rPr>
          <w:sz w:val="20"/>
        </w:rPr>
        <w:t>F</w:t>
      </w:r>
      <w:r w:rsidRPr="00E86460">
        <w:rPr>
          <w:sz w:val="20"/>
        </w:rPr>
        <w:t xml:space="preserve">urther information is available </w:t>
      </w:r>
      <w:r w:rsidR="00087798" w:rsidRPr="00E86460">
        <w:rPr>
          <w:sz w:val="20"/>
        </w:rPr>
        <w:t>at</w:t>
      </w:r>
      <w:r w:rsidRPr="00E86460">
        <w:rPr>
          <w:sz w:val="20"/>
        </w:rPr>
        <w:t xml:space="preserve"> </w:t>
      </w:r>
      <w:hyperlink r:id="rId48" w:history="1">
        <w:r w:rsidR="008974E8" w:rsidRPr="00E86460">
          <w:rPr>
            <w:rStyle w:val="Hyperlink"/>
            <w:sz w:val="20"/>
          </w:rPr>
          <w:t>Safety screening policy for funded organisations</w:t>
        </w:r>
      </w:hyperlink>
      <w:r w:rsidRPr="00E86460">
        <w:rPr>
          <w:sz w:val="20"/>
        </w:rPr>
        <w:t xml:space="preserve"> &lt;</w:t>
      </w:r>
      <w:r w:rsidR="00087798" w:rsidRPr="00E86460">
        <w:rPr>
          <w:sz w:val="20"/>
        </w:rPr>
        <w:t>https://providers.dffh.vic.gov.au/safety-screening-policy</w:t>
      </w:r>
      <w:r w:rsidRPr="00E86460">
        <w:rPr>
          <w:sz w:val="20"/>
        </w:rPr>
        <w:t>&gt;.</w:t>
      </w:r>
    </w:p>
    <w:p w14:paraId="1CF49F25" w14:textId="77777777" w:rsidR="00657632" w:rsidRPr="00845440" w:rsidRDefault="00657632" w:rsidP="00657632">
      <w:pPr>
        <w:pStyle w:val="Heading4"/>
        <w:rPr>
          <w:b w:val="0"/>
          <w:bCs w:val="0"/>
        </w:rPr>
      </w:pPr>
      <w:r w:rsidRPr="00845440">
        <w:rPr>
          <w:b w:val="0"/>
          <w:bCs w:val="0"/>
        </w:rPr>
        <w:t xml:space="preserve">Emergency management </w:t>
      </w:r>
    </w:p>
    <w:p w14:paraId="6F8A0968" w14:textId="5006D2D3" w:rsidR="00657632" w:rsidRPr="00E86460" w:rsidRDefault="00657632" w:rsidP="00657632">
      <w:pPr>
        <w:pStyle w:val="Body"/>
        <w:rPr>
          <w:sz w:val="20"/>
        </w:rPr>
      </w:pPr>
      <w:r w:rsidRPr="00E86460">
        <w:rPr>
          <w:sz w:val="20"/>
        </w:rPr>
        <w:t xml:space="preserve">Organisations are required to operate in accordance with the emergency management policy that supports the </w:t>
      </w:r>
      <w:r w:rsidR="00744287" w:rsidRPr="00E86460">
        <w:rPr>
          <w:sz w:val="20"/>
        </w:rPr>
        <w:t>social</w:t>
      </w:r>
      <w:r w:rsidRPr="00E86460">
        <w:rPr>
          <w:sz w:val="20"/>
        </w:rPr>
        <w:t xml:space="preserve"> services sector to maximise the health, wellbeing and safety of Victorians who access their services before, during and after emergencies.</w:t>
      </w:r>
    </w:p>
    <w:p w14:paraId="1D97D91D" w14:textId="18EF1BA6" w:rsidR="00657632" w:rsidRPr="00E86460" w:rsidRDefault="007E5818" w:rsidP="00657632">
      <w:pPr>
        <w:pStyle w:val="Body"/>
        <w:rPr>
          <w:sz w:val="20"/>
        </w:rPr>
      </w:pPr>
      <w:r w:rsidRPr="00E86460">
        <w:rPr>
          <w:sz w:val="20"/>
        </w:rPr>
        <w:t>F</w:t>
      </w:r>
      <w:r w:rsidR="00657632" w:rsidRPr="00E86460">
        <w:rPr>
          <w:sz w:val="20"/>
        </w:rPr>
        <w:t xml:space="preserve">urther information is available </w:t>
      </w:r>
      <w:r w:rsidR="00087798" w:rsidRPr="00E86460">
        <w:rPr>
          <w:sz w:val="20"/>
        </w:rPr>
        <w:t>at</w:t>
      </w:r>
      <w:r w:rsidR="00657632" w:rsidRPr="00E86460">
        <w:rPr>
          <w:sz w:val="20"/>
        </w:rPr>
        <w:t xml:space="preserve"> </w:t>
      </w:r>
      <w:hyperlink r:id="rId49" w:history="1">
        <w:r w:rsidR="008974E8" w:rsidRPr="00E86460">
          <w:rPr>
            <w:rStyle w:val="Hyperlink"/>
            <w:sz w:val="20"/>
          </w:rPr>
          <w:t>Emergency management</w:t>
        </w:r>
      </w:hyperlink>
      <w:r w:rsidR="00087798" w:rsidRPr="00E86460">
        <w:rPr>
          <w:sz w:val="20"/>
        </w:rPr>
        <w:t xml:space="preserve"> </w:t>
      </w:r>
      <w:r w:rsidR="00657632" w:rsidRPr="00E86460">
        <w:rPr>
          <w:sz w:val="20"/>
        </w:rPr>
        <w:t>&lt;</w:t>
      </w:r>
      <w:r w:rsidR="00087798" w:rsidRPr="00E86460">
        <w:rPr>
          <w:sz w:val="20"/>
        </w:rPr>
        <w:t>https://providers.dffh.vic.gov.au/emergency-management</w:t>
      </w:r>
      <w:r w:rsidR="00657632" w:rsidRPr="00E86460">
        <w:rPr>
          <w:sz w:val="20"/>
        </w:rPr>
        <w:t>&gt;.</w:t>
      </w:r>
    </w:p>
    <w:p w14:paraId="6570EA9A" w14:textId="77777777" w:rsidR="00657632" w:rsidRPr="00845440" w:rsidRDefault="00657632" w:rsidP="00657632">
      <w:pPr>
        <w:pStyle w:val="Heading4"/>
        <w:rPr>
          <w:b w:val="0"/>
          <w:bCs w:val="0"/>
        </w:rPr>
      </w:pPr>
      <w:r w:rsidRPr="00845440">
        <w:rPr>
          <w:b w:val="0"/>
          <w:bCs w:val="0"/>
        </w:rPr>
        <w:t xml:space="preserve">Vulnerable people in emergencies </w:t>
      </w:r>
    </w:p>
    <w:p w14:paraId="37E4F135" w14:textId="77777777" w:rsidR="00657632" w:rsidRPr="00E86460" w:rsidRDefault="00657632" w:rsidP="00657632">
      <w:pPr>
        <w:pStyle w:val="Body"/>
        <w:rPr>
          <w:sz w:val="20"/>
        </w:rPr>
      </w:pPr>
      <w:r w:rsidRPr="00E86460">
        <w:rPr>
          <w:sz w:val="20"/>
        </w:rPr>
        <w:t>Organisations are required to operate in accordance with the Vulnerable people in emergencies policy that integrates emergency preparedness planning with the delivery of funded services.</w:t>
      </w:r>
    </w:p>
    <w:p w14:paraId="6506613B" w14:textId="65BCB017" w:rsidR="00657632" w:rsidRPr="00E86460" w:rsidRDefault="007E5818" w:rsidP="00657632">
      <w:pPr>
        <w:pStyle w:val="Body"/>
        <w:rPr>
          <w:sz w:val="20"/>
        </w:rPr>
      </w:pPr>
      <w:r w:rsidRPr="00E86460">
        <w:rPr>
          <w:sz w:val="20"/>
        </w:rPr>
        <w:t>F</w:t>
      </w:r>
      <w:r w:rsidR="00657632" w:rsidRPr="00E86460">
        <w:rPr>
          <w:sz w:val="20"/>
        </w:rPr>
        <w:t xml:space="preserve">urther information is available at </w:t>
      </w:r>
      <w:hyperlink r:id="rId50" w:history="1">
        <w:r w:rsidR="008974E8" w:rsidRPr="00E86460">
          <w:rPr>
            <w:rStyle w:val="Hyperlink"/>
            <w:sz w:val="20"/>
          </w:rPr>
          <w:t>Emergency management</w:t>
        </w:r>
      </w:hyperlink>
      <w:r w:rsidR="00657632" w:rsidRPr="00E86460">
        <w:rPr>
          <w:sz w:val="20"/>
        </w:rPr>
        <w:t xml:space="preserve"> &lt;</w:t>
      </w:r>
      <w:r w:rsidR="00087798" w:rsidRPr="00E86460">
        <w:rPr>
          <w:sz w:val="20"/>
        </w:rPr>
        <w:t>https://providers.dffh.vic.gov.au/emergency-management</w:t>
      </w:r>
      <w:r w:rsidR="00657632" w:rsidRPr="00E86460">
        <w:rPr>
          <w:sz w:val="20"/>
        </w:rPr>
        <w:t>&gt;.</w:t>
      </w:r>
    </w:p>
    <w:p w14:paraId="40CD129D" w14:textId="77777777" w:rsidR="00657632" w:rsidRPr="00845440" w:rsidRDefault="00657632" w:rsidP="00657632">
      <w:pPr>
        <w:pStyle w:val="Heading4"/>
        <w:rPr>
          <w:b w:val="0"/>
          <w:bCs w:val="0"/>
        </w:rPr>
      </w:pPr>
      <w:r w:rsidRPr="00845440">
        <w:rPr>
          <w:b w:val="0"/>
          <w:bCs w:val="0"/>
        </w:rPr>
        <w:t xml:space="preserve">Language services </w:t>
      </w:r>
    </w:p>
    <w:p w14:paraId="164FE662" w14:textId="77777777" w:rsidR="00657632" w:rsidRPr="00E86460" w:rsidRDefault="00657632" w:rsidP="00657632">
      <w:pPr>
        <w:pStyle w:val="Body"/>
        <w:rPr>
          <w:sz w:val="20"/>
        </w:rPr>
      </w:pPr>
      <w:r w:rsidRPr="00E86460">
        <w:rPr>
          <w:sz w:val="20"/>
        </w:rPr>
        <w:t>Organisations are required to operate in accordance with the Language services policy and are encouraged to develop local language services policies and procedures consistent with this policy and legislative requirements. Carers of clients, where appropriate, may also require the language services.</w:t>
      </w:r>
    </w:p>
    <w:p w14:paraId="1245ECCF" w14:textId="5408E808" w:rsidR="00657632" w:rsidRPr="00E86460" w:rsidRDefault="00657632" w:rsidP="00657632">
      <w:pPr>
        <w:pStyle w:val="Body"/>
        <w:rPr>
          <w:sz w:val="20"/>
        </w:rPr>
      </w:pPr>
      <w:r w:rsidRPr="00E86460">
        <w:rPr>
          <w:sz w:val="20"/>
        </w:rPr>
        <w:t xml:space="preserve">Further information is available at </w:t>
      </w:r>
      <w:hyperlink r:id="rId51" w:history="1">
        <w:r w:rsidR="001B1E95" w:rsidRPr="00E86460">
          <w:rPr>
            <w:rStyle w:val="Hyperlink"/>
            <w:sz w:val="20"/>
          </w:rPr>
          <w:t>Language services policy</w:t>
        </w:r>
      </w:hyperlink>
      <w:r w:rsidR="00087798" w:rsidRPr="00E86460">
        <w:rPr>
          <w:sz w:val="20"/>
        </w:rPr>
        <w:t xml:space="preserve"> </w:t>
      </w:r>
      <w:r w:rsidR="001D517B" w:rsidRPr="00E86460">
        <w:rPr>
          <w:sz w:val="20"/>
        </w:rPr>
        <w:t>&lt;</w:t>
      </w:r>
      <w:r w:rsidR="00EF6690" w:rsidRPr="00E86460">
        <w:rPr>
          <w:sz w:val="20"/>
        </w:rPr>
        <w:t>https://www.dffh.vic.gov.au/publications/language-services-policy</w:t>
      </w:r>
      <w:r w:rsidR="00EF6690" w:rsidRPr="00E86460" w:rsidDel="00EF6690">
        <w:rPr>
          <w:sz w:val="20"/>
        </w:rPr>
        <w:t xml:space="preserve"> </w:t>
      </w:r>
      <w:r w:rsidRPr="00E86460">
        <w:rPr>
          <w:sz w:val="20"/>
        </w:rPr>
        <w:t>&gt;.</w:t>
      </w:r>
    </w:p>
    <w:p w14:paraId="1F9A8550" w14:textId="77777777" w:rsidR="00657632" w:rsidRPr="00845440" w:rsidRDefault="00657632" w:rsidP="00ED618A">
      <w:pPr>
        <w:pStyle w:val="Heading4"/>
        <w:rPr>
          <w:b w:val="0"/>
          <w:bCs w:val="0"/>
        </w:rPr>
      </w:pPr>
      <w:r w:rsidRPr="00845440">
        <w:rPr>
          <w:b w:val="0"/>
          <w:bCs w:val="0"/>
        </w:rPr>
        <w:lastRenderedPageBreak/>
        <w:t xml:space="preserve">Complaints management </w:t>
      </w:r>
    </w:p>
    <w:p w14:paraId="1CAD945A" w14:textId="77777777" w:rsidR="00CE5602" w:rsidRPr="00E86460" w:rsidRDefault="00CE5602" w:rsidP="00C65682">
      <w:pPr>
        <w:pStyle w:val="Body"/>
        <w:rPr>
          <w:sz w:val="20"/>
        </w:rPr>
      </w:pPr>
      <w:r w:rsidRPr="00E86460">
        <w:rPr>
          <w:sz w:val="20"/>
        </w:rPr>
        <w:t>Funded organisations must record and respond to feedback, including compliments and complaints regarding the services funded by the department.</w:t>
      </w:r>
    </w:p>
    <w:p w14:paraId="421D37FE" w14:textId="3EEF83B0" w:rsidR="00657632" w:rsidRPr="00E86460" w:rsidRDefault="00657632" w:rsidP="00657632">
      <w:pPr>
        <w:pStyle w:val="Body"/>
        <w:rPr>
          <w:sz w:val="20"/>
        </w:rPr>
      </w:pPr>
      <w:r w:rsidRPr="00E86460">
        <w:rPr>
          <w:sz w:val="20"/>
        </w:rPr>
        <w:t xml:space="preserve">Further information </w:t>
      </w:r>
      <w:r w:rsidR="00CE5602" w:rsidRPr="00E86460">
        <w:rPr>
          <w:sz w:val="20"/>
        </w:rPr>
        <w:t xml:space="preserve">regarding what is required in a funded organisation’s complaints management approach </w:t>
      </w:r>
      <w:r w:rsidRPr="00E86460">
        <w:rPr>
          <w:sz w:val="20"/>
        </w:rPr>
        <w:t xml:space="preserve">is available at </w:t>
      </w:r>
      <w:hyperlink r:id="rId52" w:history="1">
        <w:r w:rsidR="00DD5734" w:rsidRPr="00DD5734">
          <w:rPr>
            <w:rStyle w:val="Hyperlink"/>
            <w:sz w:val="20"/>
          </w:rPr>
          <w:t>Managing Complaints</w:t>
        </w:r>
      </w:hyperlink>
      <w:r w:rsidR="00DD5734">
        <w:rPr>
          <w:sz w:val="20"/>
        </w:rPr>
        <w:t xml:space="preserve"> </w:t>
      </w:r>
      <w:hyperlink r:id="rId53" w:history="1">
        <w:r w:rsidR="00DD5734" w:rsidRPr="00DD5734">
          <w:rPr>
            <w:rStyle w:val="Hyperlink"/>
            <w:sz w:val="20"/>
          </w:rPr>
          <w:t xml:space="preserve"> </w:t>
        </w:r>
      </w:hyperlink>
      <w:r w:rsidR="00E43FB3" w:rsidRPr="00E86460" w:rsidDel="00E43FB3">
        <w:rPr>
          <w:sz w:val="20"/>
        </w:rPr>
        <w:t xml:space="preserve"> </w:t>
      </w:r>
      <w:r w:rsidRPr="00E86460">
        <w:rPr>
          <w:sz w:val="20"/>
        </w:rPr>
        <w:t xml:space="preserve"> &lt;</w:t>
      </w:r>
      <w:r w:rsidR="00DD5734" w:rsidRPr="00DD5734">
        <w:t xml:space="preserve"> </w:t>
      </w:r>
      <w:r w:rsidR="00DD5734" w:rsidRPr="00DD5734">
        <w:rPr>
          <w:sz w:val="20"/>
        </w:rPr>
        <w:t>https://providers.dffh.vic.gov.au/managing-complaints</w:t>
      </w:r>
      <w:r w:rsidR="00DD5734" w:rsidRPr="00DD5734" w:rsidDel="00DD5734">
        <w:rPr>
          <w:sz w:val="20"/>
        </w:rPr>
        <w:t xml:space="preserve"> </w:t>
      </w:r>
      <w:r w:rsidRPr="00E86460">
        <w:rPr>
          <w:sz w:val="20"/>
        </w:rPr>
        <w:t xml:space="preserve">&gt;. </w:t>
      </w:r>
    </w:p>
    <w:p w14:paraId="75F9EEDA" w14:textId="2A600583" w:rsidR="00657632" w:rsidRPr="00845440" w:rsidRDefault="00657632" w:rsidP="00ED618A">
      <w:pPr>
        <w:pStyle w:val="Heading4"/>
        <w:rPr>
          <w:b w:val="0"/>
          <w:bCs w:val="0"/>
        </w:rPr>
      </w:pPr>
      <w:r w:rsidRPr="00845440">
        <w:rPr>
          <w:b w:val="0"/>
          <w:bCs w:val="0"/>
        </w:rPr>
        <w:t>Fraud</w:t>
      </w:r>
      <w:r w:rsidR="008631A1" w:rsidRPr="00845440">
        <w:rPr>
          <w:b w:val="0"/>
          <w:bCs w:val="0"/>
        </w:rPr>
        <w:t>,</w:t>
      </w:r>
      <w:r w:rsidRPr="00845440" w:rsidDel="008631A1">
        <w:rPr>
          <w:b w:val="0"/>
          <w:bCs w:val="0"/>
        </w:rPr>
        <w:t xml:space="preserve"> </w:t>
      </w:r>
      <w:r w:rsidRPr="00845440">
        <w:rPr>
          <w:b w:val="0"/>
          <w:bCs w:val="0"/>
        </w:rPr>
        <w:t xml:space="preserve">corruption </w:t>
      </w:r>
      <w:r w:rsidR="008631A1" w:rsidRPr="00845440">
        <w:rPr>
          <w:b w:val="0"/>
          <w:bCs w:val="0"/>
        </w:rPr>
        <w:t>and other losses</w:t>
      </w:r>
    </w:p>
    <w:p w14:paraId="104D0A66" w14:textId="77777777" w:rsidR="00657632" w:rsidRPr="00E86460" w:rsidRDefault="00657632" w:rsidP="00657632">
      <w:pPr>
        <w:pStyle w:val="Body"/>
        <w:rPr>
          <w:sz w:val="20"/>
        </w:rPr>
      </w:pPr>
      <w:r w:rsidRPr="00E86460">
        <w:rPr>
          <w:sz w:val="20"/>
        </w:rPr>
        <w:t xml:space="preserve">Organisations must have in place their own reporting, investigation and fraud risk management strategies. </w:t>
      </w:r>
    </w:p>
    <w:p w14:paraId="491D47FF" w14:textId="0BACBC11" w:rsidR="00AF3189" w:rsidRDefault="00657632" w:rsidP="00C839AE">
      <w:pPr>
        <w:pStyle w:val="Body"/>
        <w:rPr>
          <w:sz w:val="20"/>
        </w:rPr>
      </w:pPr>
      <w:r w:rsidRPr="00E86460">
        <w:rPr>
          <w:sz w:val="20"/>
        </w:rPr>
        <w:t xml:space="preserve">Further information is available at </w:t>
      </w:r>
      <w:hyperlink r:id="rId54" w:history="1">
        <w:r w:rsidR="008023C9" w:rsidRPr="00E86460">
          <w:rPr>
            <w:rStyle w:val="Hyperlink"/>
            <w:sz w:val="20"/>
          </w:rPr>
          <w:t>Fraud</w:t>
        </w:r>
        <w:r w:rsidR="008F3647" w:rsidRPr="00E86460">
          <w:rPr>
            <w:rStyle w:val="Hyperlink"/>
            <w:sz w:val="20"/>
          </w:rPr>
          <w:t>,</w:t>
        </w:r>
        <w:r w:rsidR="008023C9" w:rsidRPr="00E86460">
          <w:rPr>
            <w:rStyle w:val="Hyperlink"/>
            <w:sz w:val="20"/>
          </w:rPr>
          <w:t xml:space="preserve">corruption </w:t>
        </w:r>
        <w:r w:rsidR="008F3647" w:rsidRPr="00E86460">
          <w:rPr>
            <w:rStyle w:val="Hyperlink"/>
            <w:sz w:val="20"/>
          </w:rPr>
          <w:t>and other losses</w:t>
        </w:r>
      </w:hyperlink>
      <w:r w:rsidRPr="00E86460">
        <w:rPr>
          <w:sz w:val="20"/>
        </w:rPr>
        <w:t xml:space="preserve"> </w:t>
      </w:r>
      <w:r w:rsidR="00250672" w:rsidRPr="00E86460">
        <w:rPr>
          <w:sz w:val="20"/>
        </w:rPr>
        <w:br/>
      </w:r>
      <w:r w:rsidRPr="00E86460">
        <w:rPr>
          <w:sz w:val="20"/>
        </w:rPr>
        <w:t>&lt;</w:t>
      </w:r>
      <w:r w:rsidR="008F3647" w:rsidRPr="00E86460">
        <w:rPr>
          <w:sz w:val="20"/>
        </w:rPr>
        <w:t>https://www.dffh.vic.gov.au/publications/fraud-corruption-and-other-losses</w:t>
      </w:r>
      <w:r w:rsidRPr="00E86460">
        <w:rPr>
          <w:sz w:val="20"/>
        </w:rPr>
        <w:t xml:space="preserve">&gt;. </w:t>
      </w:r>
      <w:bookmarkStart w:id="50" w:name="_Toc72421926"/>
    </w:p>
    <w:p w14:paraId="714DA441" w14:textId="46CA2A9F" w:rsidR="00670027" w:rsidRPr="00777F8E" w:rsidRDefault="00670027" w:rsidP="00777F8E">
      <w:pPr>
        <w:pStyle w:val="Heading4"/>
        <w:rPr>
          <w:b w:val="0"/>
          <w:bCs w:val="0"/>
        </w:rPr>
      </w:pPr>
      <w:r w:rsidRPr="00777F8E">
        <w:rPr>
          <w:b w:val="0"/>
          <w:bCs w:val="0"/>
        </w:rPr>
        <w:t>Privacy</w:t>
      </w:r>
    </w:p>
    <w:p w14:paraId="11DB666F" w14:textId="77777777" w:rsidR="00670027" w:rsidRPr="001F7250" w:rsidRDefault="00670027" w:rsidP="59E36EDA">
      <w:pPr>
        <w:pStyle w:val="Body"/>
        <w:rPr>
          <w:sz w:val="20"/>
        </w:rPr>
      </w:pPr>
      <w:r w:rsidRPr="59E36EDA">
        <w:rPr>
          <w:sz w:val="20"/>
        </w:rPr>
        <w:t xml:space="preserve">Funded organisations have access to a client’s personal, health and sensitive information, which is often provided </w:t>
      </w:r>
      <w:proofErr w:type="gramStart"/>
      <w:r w:rsidRPr="59E36EDA">
        <w:rPr>
          <w:sz w:val="20"/>
        </w:rPr>
        <w:t>on the basis of</w:t>
      </w:r>
      <w:proofErr w:type="gramEnd"/>
      <w:r w:rsidRPr="59E36EDA">
        <w:rPr>
          <w:sz w:val="20"/>
        </w:rPr>
        <w:t xml:space="preserve"> trust.</w:t>
      </w:r>
    </w:p>
    <w:p w14:paraId="28F57BA1" w14:textId="77777777" w:rsidR="00670027" w:rsidRPr="001F7250" w:rsidRDefault="00670027" w:rsidP="59E36EDA">
      <w:pPr>
        <w:pStyle w:val="Body"/>
        <w:rPr>
          <w:sz w:val="20"/>
        </w:rPr>
      </w:pPr>
      <w:r w:rsidRPr="59E36EDA">
        <w:rPr>
          <w:sz w:val="20"/>
        </w:rPr>
        <w:t>It is critical that funded organisations protect the privacy of this information. When a privacy breach, possible breach or near miss has occurred, funded organisations must capture this information and report this privacy breach to the departments.</w:t>
      </w:r>
    </w:p>
    <w:p w14:paraId="1B98CB10" w14:textId="6BB670CB" w:rsidR="00670027" w:rsidRPr="00E86460" w:rsidRDefault="00670027" w:rsidP="59E36EDA">
      <w:pPr>
        <w:pStyle w:val="Body"/>
        <w:rPr>
          <w:sz w:val="20"/>
        </w:rPr>
      </w:pPr>
      <w:r w:rsidRPr="59E36EDA">
        <w:rPr>
          <w:sz w:val="20"/>
        </w:rPr>
        <w:t xml:space="preserve">Further information is available at </w:t>
      </w:r>
      <w:hyperlink r:id="rId55">
        <w:r w:rsidRPr="59E36EDA">
          <w:rPr>
            <w:rStyle w:val="Hyperlink"/>
            <w:sz w:val="20"/>
          </w:rPr>
          <w:t>DFFH</w:t>
        </w:r>
      </w:hyperlink>
      <w:r w:rsidRPr="59E36EDA">
        <w:rPr>
          <w:sz w:val="20"/>
        </w:rPr>
        <w:t xml:space="preserve"> </w:t>
      </w:r>
      <w:hyperlink r:id="rId56">
        <w:r w:rsidRPr="59E36EDA">
          <w:rPr>
            <w:rStyle w:val="Hyperlink"/>
            <w:sz w:val="20"/>
          </w:rPr>
          <w:t>Privacy Policy</w:t>
        </w:r>
        <w:r>
          <w:br/>
        </w:r>
      </w:hyperlink>
      <w:r w:rsidRPr="59E36EDA">
        <w:rPr>
          <w:sz w:val="20"/>
        </w:rPr>
        <w:t xml:space="preserve">&lt;https://www.dffh.vic.gov.au/publications/privacy-policy&gt; and at </w:t>
      </w:r>
      <w:hyperlink r:id="rId57">
        <w:r w:rsidRPr="59E36EDA">
          <w:rPr>
            <w:rStyle w:val="Hyperlink"/>
            <w:sz w:val="20"/>
          </w:rPr>
          <w:t xml:space="preserve">Department of Health Privacy Policy </w:t>
        </w:r>
        <w:r>
          <w:br/>
        </w:r>
      </w:hyperlink>
      <w:r w:rsidRPr="59E36EDA">
        <w:rPr>
          <w:sz w:val="20"/>
        </w:rPr>
        <w:t>&lt;</w:t>
      </w:r>
      <w:bookmarkStart w:id="51" w:name="_Hlk169879574"/>
      <w:r w:rsidRPr="59E36EDA">
        <w:rPr>
          <w:sz w:val="20"/>
        </w:rPr>
        <w:t>https://www.health.vic.gov.au/department-of-health-privacy-policy</w:t>
      </w:r>
      <w:bookmarkEnd w:id="51"/>
      <w:r w:rsidRPr="59E36EDA">
        <w:rPr>
          <w:sz w:val="20"/>
        </w:rPr>
        <w:t>&gt;.</w:t>
      </w:r>
    </w:p>
    <w:p w14:paraId="196587E2" w14:textId="7B2AD994" w:rsidR="00F8495E" w:rsidRDefault="00F8495E" w:rsidP="00F8495E">
      <w:pPr>
        <w:pStyle w:val="Heading1"/>
      </w:pPr>
      <w:bookmarkStart w:id="52" w:name="_Toc209175194"/>
      <w:r>
        <w:t>Recommended information</w:t>
      </w:r>
      <w:bookmarkEnd w:id="52"/>
    </w:p>
    <w:p w14:paraId="3E8727CE" w14:textId="41634A5E" w:rsidR="009347F9" w:rsidRPr="001F7250" w:rsidRDefault="009347F9" w:rsidP="7F8330C7">
      <w:pPr>
        <w:pStyle w:val="Heading3"/>
      </w:pPr>
      <w:bookmarkStart w:id="53" w:name="_Toc209175195"/>
      <w:bookmarkEnd w:id="50"/>
      <w:r>
        <w:t>Information security</w:t>
      </w:r>
      <w:bookmarkEnd w:id="53"/>
    </w:p>
    <w:p w14:paraId="1513566F" w14:textId="3C3D3DC8" w:rsidR="0023583C" w:rsidRPr="0098260F" w:rsidRDefault="00FE6450" w:rsidP="7F8330C7">
      <w:pPr>
        <w:pStyle w:val="Body"/>
        <w:rPr>
          <w:sz w:val="20"/>
        </w:rPr>
      </w:pPr>
      <w:r w:rsidRPr="0098260F">
        <w:rPr>
          <w:sz w:val="20"/>
        </w:rPr>
        <w:t xml:space="preserve">Funded </w:t>
      </w:r>
      <w:r w:rsidR="00F461DD" w:rsidRPr="0098260F">
        <w:rPr>
          <w:sz w:val="20"/>
        </w:rPr>
        <w:t>organisations</w:t>
      </w:r>
      <w:r w:rsidRPr="0098260F">
        <w:rPr>
          <w:sz w:val="20"/>
        </w:rPr>
        <w:t xml:space="preserve"> access and/or manage public sector data to enable delivery of services to the Victorian community. The Service Agreement outlines funded </w:t>
      </w:r>
      <w:r w:rsidR="00ED7241" w:rsidRPr="0098260F">
        <w:rPr>
          <w:sz w:val="20"/>
        </w:rPr>
        <w:t>organisations</w:t>
      </w:r>
      <w:r w:rsidRPr="0098260F">
        <w:rPr>
          <w:sz w:val="20"/>
        </w:rPr>
        <w:t>’ responsibilities in relation to information security.</w:t>
      </w:r>
    </w:p>
    <w:p w14:paraId="690C2D3D" w14:textId="313AD82A" w:rsidR="008318A8" w:rsidRPr="0098260F" w:rsidRDefault="00762257" w:rsidP="7F8330C7">
      <w:pPr>
        <w:pStyle w:val="Body"/>
        <w:rPr>
          <w:sz w:val="20"/>
        </w:rPr>
      </w:pPr>
      <w:r w:rsidRPr="0098260F">
        <w:rPr>
          <w:sz w:val="20"/>
        </w:rPr>
        <w:t>The Information Security and Funded Agencies SharePoint site provides information resources to increase information security awareness and manage public sector information securely.</w:t>
      </w:r>
    </w:p>
    <w:p w14:paraId="0CAF9DE5" w14:textId="06B5FC01" w:rsidR="00155284" w:rsidRPr="0098260F" w:rsidRDefault="00AD49B9" w:rsidP="7F8330C7">
      <w:pPr>
        <w:pStyle w:val="Body"/>
        <w:rPr>
          <w:sz w:val="20"/>
        </w:rPr>
      </w:pPr>
      <w:r w:rsidRPr="0098260F">
        <w:rPr>
          <w:sz w:val="20"/>
        </w:rPr>
        <w:t xml:space="preserve">The site provides </w:t>
      </w:r>
      <w:r w:rsidR="00155284" w:rsidRPr="0098260F">
        <w:rPr>
          <w:sz w:val="20"/>
        </w:rPr>
        <w:t xml:space="preserve">the </w:t>
      </w:r>
      <w:proofErr w:type="gramStart"/>
      <w:r w:rsidR="00155284" w:rsidRPr="0098260F">
        <w:rPr>
          <w:b/>
          <w:bCs/>
          <w:sz w:val="20"/>
        </w:rPr>
        <w:t>Third Party</w:t>
      </w:r>
      <w:proofErr w:type="gramEnd"/>
      <w:r w:rsidR="00155284" w:rsidRPr="0098260F">
        <w:rPr>
          <w:b/>
          <w:bCs/>
          <w:sz w:val="20"/>
        </w:rPr>
        <w:t xml:space="preserve"> Standard</w:t>
      </w:r>
      <w:r w:rsidR="00155284" w:rsidRPr="0098260F">
        <w:rPr>
          <w:sz w:val="20"/>
        </w:rPr>
        <w:t xml:space="preserve"> which outlines the actions organisations should take to ensure data security and mitigate cyber security risks</w:t>
      </w:r>
      <w:r w:rsidR="00802E5C" w:rsidRPr="0098260F">
        <w:rPr>
          <w:sz w:val="20"/>
        </w:rPr>
        <w:t xml:space="preserve">. This </w:t>
      </w:r>
      <w:r w:rsidR="00155284" w:rsidRPr="0098260F">
        <w:rPr>
          <w:sz w:val="20"/>
        </w:rPr>
        <w:t>is the benchmark for the department’s expectations of all third parties working with public sector information, data and/or IT systems.</w:t>
      </w:r>
    </w:p>
    <w:p w14:paraId="0E8ACB92" w14:textId="0875C938" w:rsidR="00EC0E95" w:rsidRPr="0098260F" w:rsidRDefault="00802E5C" w:rsidP="7F8330C7">
      <w:pPr>
        <w:pStyle w:val="Body"/>
        <w:rPr>
          <w:sz w:val="20"/>
        </w:rPr>
      </w:pPr>
      <w:r w:rsidRPr="0098260F">
        <w:rPr>
          <w:sz w:val="20"/>
        </w:rPr>
        <w:t xml:space="preserve">The site also provides </w:t>
      </w:r>
      <w:r w:rsidR="00AD49B9" w:rsidRPr="0098260F">
        <w:rPr>
          <w:sz w:val="20"/>
        </w:rPr>
        <w:t xml:space="preserve">tools and templates that will help funded </w:t>
      </w:r>
      <w:r w:rsidR="009F7CB2" w:rsidRPr="0098260F">
        <w:rPr>
          <w:sz w:val="20"/>
        </w:rPr>
        <w:t>organisations</w:t>
      </w:r>
      <w:r w:rsidR="00AD49B9" w:rsidRPr="0098260F">
        <w:rPr>
          <w:sz w:val="20"/>
        </w:rPr>
        <w:t xml:space="preserve"> to undertake key activities to support the assurance process</w:t>
      </w:r>
      <w:r w:rsidR="00363D02" w:rsidRPr="0098260F">
        <w:rPr>
          <w:sz w:val="20"/>
        </w:rPr>
        <w:t xml:space="preserve">. </w:t>
      </w:r>
    </w:p>
    <w:p w14:paraId="27D0CFEE" w14:textId="40A2CEB8" w:rsidR="00543ADC" w:rsidRDefault="004D2CD2" w:rsidP="00887982">
      <w:pPr>
        <w:pStyle w:val="Body"/>
        <w:rPr>
          <w:sz w:val="20"/>
        </w:rPr>
      </w:pPr>
      <w:r w:rsidRPr="0098260F">
        <w:rPr>
          <w:sz w:val="20"/>
        </w:rPr>
        <w:t xml:space="preserve">Further information can be found at </w:t>
      </w:r>
      <w:hyperlink r:id="rId58">
        <w:r w:rsidRPr="0098260F">
          <w:rPr>
            <w:rStyle w:val="Hyperlink"/>
            <w:sz w:val="20"/>
          </w:rPr>
          <w:t>Funded Agency Channel – Information Security Resources</w:t>
        </w:r>
      </w:hyperlink>
      <w:r w:rsidRPr="0098260F">
        <w:rPr>
          <w:sz w:val="20"/>
        </w:rPr>
        <w:t xml:space="preserve"> &lt;</w:t>
      </w:r>
      <w:r w:rsidR="00BC4754" w:rsidRPr="00E635E3">
        <w:rPr>
          <w:sz w:val="20"/>
          <w:lang w:val="en-US"/>
        </w:rPr>
        <w:t>https://fac.dffh.vic.gov.au/information-security</w:t>
      </w:r>
      <w:r w:rsidRPr="00E635E3">
        <w:rPr>
          <w:sz w:val="20"/>
          <w:lang w:val="en-US"/>
        </w:rPr>
        <w:t>&gt;</w:t>
      </w:r>
      <w:r w:rsidRPr="0098260F">
        <w:rPr>
          <w:sz w:val="20"/>
        </w:rPr>
        <w:t>.</w:t>
      </w:r>
    </w:p>
    <w:p w14:paraId="2570C6F0" w14:textId="4163AC2B" w:rsidR="00B93D6C" w:rsidRPr="001F7250" w:rsidRDefault="0023583C" w:rsidP="00543ADC">
      <w:pPr>
        <w:pStyle w:val="Heading3"/>
      </w:pPr>
      <w:bookmarkStart w:id="54" w:name="_Toc209175196"/>
      <w:r>
        <w:lastRenderedPageBreak/>
        <w:t>Community Services Qu</w:t>
      </w:r>
      <w:r w:rsidR="00B93D6C">
        <w:t>ality Governance Framework</w:t>
      </w:r>
      <w:bookmarkEnd w:id="54"/>
    </w:p>
    <w:p w14:paraId="0725935F" w14:textId="53AC486C" w:rsidR="00B93D6C" w:rsidRPr="00B92D96" w:rsidRDefault="00FB230F" w:rsidP="7F8330C7">
      <w:pPr>
        <w:pStyle w:val="Body"/>
        <w:rPr>
          <w:sz w:val="20"/>
        </w:rPr>
      </w:pPr>
      <w:r w:rsidRPr="00B92D96">
        <w:rPr>
          <w:sz w:val="20"/>
        </w:rPr>
        <w:t xml:space="preserve">The Community Services Quality Governance Framework outlines the principles, domains, roles and responsibilities of quality governance and includes measures of success, and indicators of </w:t>
      </w:r>
      <w:proofErr w:type="gramStart"/>
      <w:r w:rsidRPr="00B92D96">
        <w:rPr>
          <w:sz w:val="20"/>
        </w:rPr>
        <w:t>poor quality</w:t>
      </w:r>
      <w:proofErr w:type="gramEnd"/>
      <w:r w:rsidRPr="00B92D96">
        <w:rPr>
          <w:sz w:val="20"/>
        </w:rPr>
        <w:t xml:space="preserve"> governance.</w:t>
      </w:r>
    </w:p>
    <w:p w14:paraId="4F661D8D" w14:textId="77777777" w:rsidR="00B86C7B" w:rsidRPr="00B92D96" w:rsidRDefault="00B86C7B" w:rsidP="7F8330C7">
      <w:pPr>
        <w:pStyle w:val="Bullet1"/>
        <w:numPr>
          <w:ilvl w:val="0"/>
          <w:numId w:val="0"/>
        </w:numPr>
        <w:rPr>
          <w:sz w:val="20"/>
        </w:rPr>
      </w:pPr>
      <w:r w:rsidRPr="00B92D96">
        <w:rPr>
          <w:sz w:val="20"/>
        </w:rPr>
        <w:t xml:space="preserve">Further information can be found at </w:t>
      </w:r>
      <w:hyperlink r:id="rId59">
        <w:r w:rsidRPr="00B92D96">
          <w:rPr>
            <w:rStyle w:val="Hyperlink"/>
            <w:sz w:val="20"/>
          </w:rPr>
          <w:t>Community services quality governance framework</w:t>
        </w:r>
        <w:r w:rsidRPr="00B92D96">
          <w:rPr>
            <w:sz w:val="20"/>
          </w:rPr>
          <w:br/>
        </w:r>
      </w:hyperlink>
      <w:r w:rsidRPr="00B92D96">
        <w:rPr>
          <w:sz w:val="20"/>
        </w:rPr>
        <w:t>&lt;https://www.dffh.vic.gov.au/publications/community-services-quality-governance-framework&gt;</w:t>
      </w:r>
    </w:p>
    <w:p w14:paraId="68CB1BC2" w14:textId="5211A8B4" w:rsidR="00B93D6C" w:rsidRPr="001F7250" w:rsidRDefault="00B93D6C" w:rsidP="7F8330C7">
      <w:pPr>
        <w:pStyle w:val="Heading3"/>
      </w:pPr>
      <w:bookmarkStart w:id="55" w:name="_Toc209175197"/>
      <w:r>
        <w:t>Client voice framework for community services</w:t>
      </w:r>
      <w:bookmarkEnd w:id="55"/>
    </w:p>
    <w:p w14:paraId="338A8F2F" w14:textId="5FF9A869" w:rsidR="00B93D6C" w:rsidRPr="00B92D96" w:rsidRDefault="00B932B8" w:rsidP="7F8330C7">
      <w:pPr>
        <w:pStyle w:val="Body"/>
        <w:rPr>
          <w:sz w:val="20"/>
        </w:rPr>
      </w:pPr>
      <w:r w:rsidRPr="00B92D96">
        <w:rPr>
          <w:sz w:val="20"/>
        </w:rPr>
        <w:t>The Client voice framework provides the broad principles and guidance to drive and anchor related work across the department and emphasise</w:t>
      </w:r>
      <w:r w:rsidR="001C503C" w:rsidRPr="00B92D96">
        <w:rPr>
          <w:sz w:val="20"/>
        </w:rPr>
        <w:t>s</w:t>
      </w:r>
      <w:r w:rsidRPr="00B92D96">
        <w:rPr>
          <w:sz w:val="20"/>
        </w:rPr>
        <w:t xml:space="preserve"> the critical link between quality governance, client voice and outcomes. It provides useful information on how to translate the principles into practice. </w:t>
      </w:r>
    </w:p>
    <w:p w14:paraId="201357A9" w14:textId="77777777" w:rsidR="001C503C" w:rsidRPr="00B92D96" w:rsidRDefault="001C503C" w:rsidP="7F8330C7">
      <w:pPr>
        <w:pStyle w:val="Bullet1"/>
        <w:numPr>
          <w:ilvl w:val="0"/>
          <w:numId w:val="0"/>
        </w:numPr>
        <w:rPr>
          <w:sz w:val="20"/>
        </w:rPr>
      </w:pPr>
      <w:r w:rsidRPr="00B92D96">
        <w:rPr>
          <w:sz w:val="20"/>
        </w:rPr>
        <w:t xml:space="preserve">Further information can be found at </w:t>
      </w:r>
      <w:hyperlink r:id="rId60">
        <w:r w:rsidRPr="00B92D96">
          <w:rPr>
            <w:rStyle w:val="Hyperlink"/>
            <w:sz w:val="20"/>
          </w:rPr>
          <w:t>Client voice framework for community services</w:t>
        </w:r>
        <w:r w:rsidRPr="00B92D96">
          <w:rPr>
            <w:sz w:val="20"/>
          </w:rPr>
          <w:br/>
        </w:r>
      </w:hyperlink>
      <w:r w:rsidRPr="00B92D96">
        <w:rPr>
          <w:sz w:val="20"/>
        </w:rPr>
        <w:t>&lt;https://www.dffh.vic.gov.au/publications/client-voice-framework-community-services&gt;</w:t>
      </w:r>
    </w:p>
    <w:p w14:paraId="4868A24A" w14:textId="0F023AFD" w:rsidR="003322E2" w:rsidRPr="001F7250" w:rsidRDefault="00103F83" w:rsidP="7F8330C7">
      <w:pPr>
        <w:pStyle w:val="Heading3"/>
      </w:pPr>
      <w:bookmarkStart w:id="56" w:name="_Toc209175198"/>
      <w:r>
        <w:t>Additional</w:t>
      </w:r>
      <w:r w:rsidR="003322E2">
        <w:t xml:space="preserve"> information</w:t>
      </w:r>
      <w:bookmarkEnd w:id="56"/>
    </w:p>
    <w:p w14:paraId="74A0166E" w14:textId="207D71C8" w:rsidR="00657632" w:rsidRPr="001F7250" w:rsidRDefault="003322E2" w:rsidP="7F8330C7">
      <w:pPr>
        <w:pStyle w:val="Body"/>
        <w:rPr>
          <w:sz w:val="20"/>
        </w:rPr>
      </w:pPr>
      <w:r>
        <w:t xml:space="preserve">The following information </w:t>
      </w:r>
      <w:r w:rsidR="00657632" w:rsidRPr="7F8330C7">
        <w:rPr>
          <w:sz w:val="20"/>
        </w:rPr>
        <w:t xml:space="preserve">may </w:t>
      </w:r>
      <w:r w:rsidR="00103F83" w:rsidRPr="7F8330C7">
        <w:rPr>
          <w:sz w:val="20"/>
        </w:rPr>
        <w:t xml:space="preserve">also </w:t>
      </w:r>
      <w:r w:rsidR="00657632" w:rsidRPr="7F8330C7">
        <w:rPr>
          <w:sz w:val="20"/>
        </w:rPr>
        <w:t>be useful</w:t>
      </w:r>
      <w:r w:rsidR="00D852EE" w:rsidRPr="7F8330C7">
        <w:rPr>
          <w:sz w:val="20"/>
        </w:rPr>
        <w:t>:</w:t>
      </w:r>
    </w:p>
    <w:p w14:paraId="00DC3159" w14:textId="274D2B68" w:rsidR="00657632" w:rsidRPr="00887982" w:rsidRDefault="008023C9" w:rsidP="00AD1AC6">
      <w:pPr>
        <w:pStyle w:val="Bullet1"/>
        <w:numPr>
          <w:ilvl w:val="0"/>
          <w:numId w:val="32"/>
        </w:numPr>
        <w:ind w:left="720" w:hanging="357"/>
        <w:rPr>
          <w:sz w:val="20"/>
        </w:rPr>
      </w:pPr>
      <w:hyperlink r:id="rId61">
        <w:r w:rsidRPr="00887982">
          <w:rPr>
            <w:rStyle w:val="Hyperlink"/>
            <w:sz w:val="20"/>
          </w:rPr>
          <w:t>Not-for-profit Law - Legal help for community organisations</w:t>
        </w:r>
        <w:r w:rsidRPr="00887982">
          <w:rPr>
            <w:sz w:val="20"/>
          </w:rPr>
          <w:br/>
        </w:r>
      </w:hyperlink>
      <w:r w:rsidR="00657632" w:rsidRPr="00887982">
        <w:rPr>
          <w:sz w:val="20"/>
        </w:rPr>
        <w:t>&lt;https://nfplaw.org.au/&gt;</w:t>
      </w:r>
    </w:p>
    <w:p w14:paraId="7B28B879" w14:textId="76AF239B" w:rsidR="00657632" w:rsidRPr="0038650D" w:rsidRDefault="00902784" w:rsidP="00AD1AC6">
      <w:pPr>
        <w:pStyle w:val="Bullet1"/>
        <w:ind w:left="720" w:hanging="357"/>
        <w:rPr>
          <w:sz w:val="20"/>
        </w:rPr>
      </w:pPr>
      <w:hyperlink r:id="rId62">
        <w:r w:rsidRPr="0038650D">
          <w:rPr>
            <w:rStyle w:val="Hyperlink"/>
            <w:sz w:val="20"/>
          </w:rPr>
          <w:t>Records</w:t>
        </w:r>
        <w:r w:rsidRPr="0038650D">
          <w:rPr>
            <w:sz w:val="20"/>
          </w:rPr>
          <w:br/>
        </w:r>
      </w:hyperlink>
      <w:r w:rsidR="00657632" w:rsidRPr="0038650D">
        <w:rPr>
          <w:sz w:val="20"/>
        </w:rPr>
        <w:t>&lt;https://fac.d</w:t>
      </w:r>
      <w:r w:rsidR="001576A0" w:rsidRPr="0038650D">
        <w:rPr>
          <w:sz w:val="20"/>
        </w:rPr>
        <w:t>ffh</w:t>
      </w:r>
      <w:r w:rsidR="00657632" w:rsidRPr="0038650D">
        <w:rPr>
          <w:sz w:val="20"/>
        </w:rPr>
        <w:t>.vic.gov.au/policies-and-procedures&gt;</w:t>
      </w:r>
    </w:p>
    <w:p w14:paraId="1D1121BC" w14:textId="3D24FF6D" w:rsidR="00657632" w:rsidRPr="0038650D" w:rsidRDefault="004759FD" w:rsidP="00AD1AC6">
      <w:pPr>
        <w:pStyle w:val="Bullet1"/>
        <w:ind w:left="720" w:hanging="357"/>
        <w:rPr>
          <w:sz w:val="20"/>
        </w:rPr>
      </w:pPr>
      <w:hyperlink r:id="rId63" w:history="1">
        <w:r w:rsidRPr="0038650D">
          <w:rPr>
            <w:rStyle w:val="Hyperlink"/>
            <w:sz w:val="20"/>
          </w:rPr>
          <w:t>Victorian</w:t>
        </w:r>
        <w:r w:rsidR="00657632" w:rsidRPr="0038650D">
          <w:rPr>
            <w:rStyle w:val="Hyperlink"/>
            <w:sz w:val="20"/>
          </w:rPr>
          <w:t xml:space="preserve"> </w:t>
        </w:r>
        <w:r w:rsidRPr="0038650D">
          <w:rPr>
            <w:rStyle w:val="Hyperlink"/>
            <w:sz w:val="20"/>
          </w:rPr>
          <w:t>Healthcare Association - Integrity Gove</w:t>
        </w:r>
        <w:bookmarkStart w:id="57" w:name="_Hlt169185046"/>
        <w:r w:rsidRPr="0038650D">
          <w:rPr>
            <w:rStyle w:val="Hyperlink"/>
            <w:sz w:val="20"/>
          </w:rPr>
          <w:t>r</w:t>
        </w:r>
        <w:bookmarkEnd w:id="57"/>
        <w:r w:rsidRPr="0038650D">
          <w:rPr>
            <w:rStyle w:val="Hyperlink"/>
            <w:sz w:val="20"/>
          </w:rPr>
          <w:t>nance Framework and Assessment Tool</w:t>
        </w:r>
      </w:hyperlink>
      <w:r w:rsidRPr="0038650D">
        <w:rPr>
          <w:sz w:val="20"/>
        </w:rPr>
        <w:t xml:space="preserve"> </w:t>
      </w:r>
      <w:r w:rsidRPr="0038650D">
        <w:rPr>
          <w:sz w:val="20"/>
        </w:rPr>
        <w:br/>
      </w:r>
      <w:r w:rsidR="00657632" w:rsidRPr="0038650D">
        <w:rPr>
          <w:sz w:val="20"/>
        </w:rPr>
        <w:t>&lt;</w:t>
      </w:r>
      <w:r w:rsidR="00125B0C" w:rsidRPr="0038650D">
        <w:rPr>
          <w:sz w:val="20"/>
        </w:rPr>
        <w:t>https://www.vha.org.au/index.cfm//members-networks/resources/governance-resources/integrity-governance-framework-and-assessment-tool</w:t>
      </w:r>
      <w:r w:rsidR="003A464A" w:rsidRPr="0038650D">
        <w:rPr>
          <w:sz w:val="20"/>
        </w:rPr>
        <w:t>/</w:t>
      </w:r>
      <w:r w:rsidR="00657632" w:rsidRPr="0038650D">
        <w:rPr>
          <w:sz w:val="20"/>
        </w:rPr>
        <w:t>&gt;</w:t>
      </w:r>
    </w:p>
    <w:p w14:paraId="20FBC8F5" w14:textId="30D8905C" w:rsidR="00657632" w:rsidRPr="0038650D" w:rsidRDefault="00985E58" w:rsidP="00AD1AC6">
      <w:pPr>
        <w:pStyle w:val="Bullet1"/>
        <w:ind w:left="720" w:hanging="357"/>
        <w:rPr>
          <w:sz w:val="20"/>
        </w:rPr>
      </w:pPr>
      <w:hyperlink r:id="rId64">
        <w:r w:rsidRPr="0038650D">
          <w:rPr>
            <w:rStyle w:val="Hyperlink"/>
            <w:sz w:val="20"/>
          </w:rPr>
          <w:t>Asset management resources</w:t>
        </w:r>
        <w:r w:rsidRPr="0038650D">
          <w:rPr>
            <w:sz w:val="20"/>
          </w:rPr>
          <w:br/>
        </w:r>
      </w:hyperlink>
      <w:r w:rsidR="00C3590D">
        <w:rPr>
          <w:sz w:val="20"/>
        </w:rPr>
        <w:t xml:space="preserve"> </w:t>
      </w:r>
      <w:r w:rsidR="00657632" w:rsidRPr="0038650D">
        <w:rPr>
          <w:sz w:val="20"/>
        </w:rPr>
        <w:t>&lt;</w:t>
      </w:r>
      <w:r w:rsidR="00557DE9" w:rsidRPr="00557DE9">
        <w:rPr>
          <w:sz w:val="20"/>
        </w:rPr>
        <w:t>https://fac.dffh.vic.gov.au/asset-management-resources</w:t>
      </w:r>
      <w:r w:rsidR="00657632" w:rsidRPr="0038650D">
        <w:rPr>
          <w:sz w:val="20"/>
        </w:rPr>
        <w:t xml:space="preserve">&gt; </w:t>
      </w:r>
    </w:p>
    <w:p w14:paraId="04E06DE4" w14:textId="631EDC1B" w:rsidR="002B0F75" w:rsidRPr="0038650D" w:rsidRDefault="002B0F75" w:rsidP="00AD1AC6">
      <w:pPr>
        <w:pStyle w:val="Bullet1"/>
        <w:tabs>
          <w:tab w:val="num" w:pos="397"/>
        </w:tabs>
        <w:ind w:left="720" w:hanging="357"/>
        <w:rPr>
          <w:sz w:val="20"/>
        </w:rPr>
      </w:pPr>
      <w:hyperlink r:id="rId65">
        <w:r w:rsidRPr="0038650D">
          <w:rPr>
            <w:rStyle w:val="Hyperlink"/>
            <w:sz w:val="20"/>
          </w:rPr>
          <w:t>Criminal offences to improve responses to child sexual abuse</w:t>
        </w:r>
      </w:hyperlink>
      <w:r w:rsidRPr="0038650D">
        <w:rPr>
          <w:sz w:val="20"/>
        </w:rPr>
        <w:t xml:space="preserve"> &lt;https://providers.dffh.vic.gov.au/criminal-offences-improve-responses-child-sex-abuse&gt;.</w:t>
      </w:r>
    </w:p>
    <w:p w14:paraId="1431E303" w14:textId="004FA009" w:rsidR="00BE324B" w:rsidRPr="0038650D" w:rsidRDefault="7504DD48" w:rsidP="00AD1AC6">
      <w:pPr>
        <w:pStyle w:val="Bullet1"/>
        <w:ind w:left="720" w:hanging="357"/>
        <w:rPr>
          <w:sz w:val="20"/>
        </w:rPr>
      </w:pPr>
      <w:hyperlink r:id="rId66">
        <w:r w:rsidRPr="0038650D">
          <w:rPr>
            <w:rStyle w:val="Hyperlink"/>
            <w:sz w:val="20"/>
          </w:rPr>
          <w:t>Social Services Regulator</w:t>
        </w:r>
      </w:hyperlink>
      <w:r w:rsidR="268209E4" w:rsidRPr="0038650D">
        <w:rPr>
          <w:sz w:val="20"/>
        </w:rPr>
        <w:t xml:space="preserve"> </w:t>
      </w:r>
    </w:p>
    <w:p w14:paraId="62207A30" w14:textId="2CE0FC31" w:rsidR="0086076A" w:rsidRDefault="005951A4" w:rsidP="00AD1AC6">
      <w:pPr>
        <w:pStyle w:val="Bullet1"/>
        <w:numPr>
          <w:ilvl w:val="0"/>
          <w:numId w:val="0"/>
        </w:numPr>
        <w:ind w:left="720"/>
        <w:rPr>
          <w:sz w:val="20"/>
        </w:rPr>
      </w:pPr>
      <w:hyperlink r:id="rId67" w:history="1">
        <w:r w:rsidRPr="007E3E10">
          <w:rPr>
            <w:rStyle w:val="Hyperlink"/>
            <w:sz w:val="20"/>
          </w:rPr>
          <w:t>https://www.vic.gov.au/social-services-regulator</w:t>
        </w:r>
      </w:hyperlink>
    </w:p>
    <w:p w14:paraId="36897C9F" w14:textId="77777777" w:rsidR="005951A4" w:rsidRDefault="005951A4" w:rsidP="00AD1AC6">
      <w:pPr>
        <w:pStyle w:val="Bullet1"/>
        <w:numPr>
          <w:ilvl w:val="0"/>
          <w:numId w:val="0"/>
        </w:numPr>
        <w:ind w:left="720"/>
        <w:rPr>
          <w:sz w:val="20"/>
        </w:rPr>
      </w:pPr>
    </w:p>
    <w:p w14:paraId="065C0DA4" w14:textId="77777777" w:rsidR="005951A4" w:rsidRDefault="005951A4" w:rsidP="00AD1AC6">
      <w:pPr>
        <w:pStyle w:val="Bullet1"/>
        <w:numPr>
          <w:ilvl w:val="0"/>
          <w:numId w:val="0"/>
        </w:numPr>
        <w:ind w:left="720"/>
        <w:rPr>
          <w:sz w:val="20"/>
        </w:rPr>
      </w:pPr>
    </w:p>
    <w:p w14:paraId="276D45F9" w14:textId="77777777" w:rsidR="005951A4" w:rsidRPr="0038650D" w:rsidRDefault="005951A4" w:rsidP="00AD1AC6">
      <w:pPr>
        <w:pStyle w:val="Bullet1"/>
        <w:numPr>
          <w:ilvl w:val="0"/>
          <w:numId w:val="0"/>
        </w:numPr>
        <w:ind w:left="720"/>
        <w:rPr>
          <w:sz w:val="20"/>
        </w:rPr>
      </w:pPr>
    </w:p>
    <w:p w14:paraId="0915A159" w14:textId="75D908A6" w:rsidR="00CF1087" w:rsidRPr="00D60976" w:rsidRDefault="00CF1087" w:rsidP="005951A4">
      <w:pPr>
        <w:pStyle w:val="Accessibilitypara"/>
        <w:pBdr>
          <w:top w:val="single" w:sz="4" w:space="1" w:color="auto"/>
          <w:left w:val="single" w:sz="4" w:space="4" w:color="auto"/>
          <w:bottom w:val="single" w:sz="4" w:space="1" w:color="auto"/>
          <w:right w:val="single" w:sz="4" w:space="4" w:color="auto"/>
        </w:pBdr>
        <w:spacing w:before="0"/>
        <w:rPr>
          <w:sz w:val="20"/>
          <w:szCs w:val="20"/>
        </w:rPr>
      </w:pPr>
      <w:r w:rsidRPr="00E86460">
        <w:rPr>
          <w:sz w:val="20"/>
          <w:szCs w:val="20"/>
        </w:rPr>
        <w:t xml:space="preserve">To receive this document in another format, </w:t>
      </w:r>
      <w:hyperlink r:id="rId68" w:history="1">
        <w:r w:rsidR="00630366" w:rsidRPr="0065644E">
          <w:rPr>
            <w:rStyle w:val="Hyperlink"/>
            <w:sz w:val="20"/>
            <w:szCs w:val="20"/>
          </w:rPr>
          <w:t>email Service Agreement Communications</w:t>
        </w:r>
      </w:hyperlink>
      <w:r w:rsidRPr="00E86460">
        <w:rPr>
          <w:sz w:val="20"/>
          <w:szCs w:val="20"/>
        </w:rPr>
        <w:t xml:space="preserve"> &lt;sacomms@dffh.vic.gov.au&gt;.</w:t>
      </w:r>
    </w:p>
    <w:p w14:paraId="1DDB9592" w14:textId="7777777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Authorised and published by the Victorian Government, 1 Treasury Place, Melbourne.</w:t>
      </w:r>
    </w:p>
    <w:p w14:paraId="0C05CB66" w14:textId="3EB8A21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 State of Victoria, Australia, Department of Families, Fairness and Housing, first released January 2020, updated and reissued January 2022, updated and reissued September 2022, updated and reissued July 2024</w:t>
      </w:r>
      <w:r w:rsidR="00AC3345" w:rsidRPr="00E86460">
        <w:t>, updated and reissued</w:t>
      </w:r>
      <w:r w:rsidR="00AC3345">
        <w:t xml:space="preserve"> November 2025</w:t>
      </w:r>
      <w:r w:rsidRPr="00E86460">
        <w:t>.</w:t>
      </w:r>
    </w:p>
    <w:p w14:paraId="5558B4DC" w14:textId="7777777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In this document, ‘Aboriginal’ refers to both Aboriginal and Torres Strait Islander people. ‘Indigenous’ or ‘Koori/Koorie’ is retained when part of the title of a report, program or quotation.</w:t>
      </w:r>
    </w:p>
    <w:p w14:paraId="471F4D97" w14:textId="7777777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rPr>
          <w:b/>
          <w:bCs/>
        </w:rPr>
        <w:lastRenderedPageBreak/>
        <w:t xml:space="preserve">ISBN </w:t>
      </w:r>
      <w:r w:rsidRPr="00E86460">
        <w:rPr>
          <w:highlight w:val="yellow"/>
        </w:rPr>
        <w:t xml:space="preserve">NEW </w:t>
      </w:r>
      <w:r w:rsidRPr="00E86460">
        <w:rPr>
          <w:b/>
          <w:bCs/>
        </w:rPr>
        <w:t>(pdf/online/MS word)</w:t>
      </w:r>
      <w:r w:rsidRPr="00E86460">
        <w:t xml:space="preserve"> Available at </w:t>
      </w:r>
      <w:hyperlink r:id="rId69" w:history="1">
        <w:r w:rsidRPr="00E86460">
          <w:rPr>
            <w:rStyle w:val="Hyperlink"/>
          </w:rPr>
          <w:t>Funded Agency Channel Service Agreement Requirements</w:t>
        </w:r>
      </w:hyperlink>
      <w:r w:rsidRPr="00E86460">
        <w:t xml:space="preserve"> </w:t>
      </w:r>
      <w:r w:rsidRPr="00E86460">
        <w:rPr>
          <w:rStyle w:val="Hyperlink"/>
        </w:rPr>
        <w:t>&lt;</w:t>
      </w:r>
      <w:r w:rsidRPr="00E86460">
        <w:t>https://fac.dhhs.vic.gov.au/service-agreement-requirements&gt;</w:t>
      </w:r>
    </w:p>
    <w:p w14:paraId="7D9B3BCD" w14:textId="74BA10BD" w:rsidR="00BE324B" w:rsidRPr="00845440" w:rsidRDefault="00BE324B" w:rsidP="00845440">
      <w:pPr>
        <w:spacing w:after="0" w:line="240" w:lineRule="auto"/>
        <w:rPr>
          <w:rFonts w:eastAsia="Times"/>
          <w:sz w:val="20"/>
        </w:rPr>
      </w:pPr>
    </w:p>
    <w:sectPr w:rsidR="00BE324B" w:rsidRPr="00845440" w:rsidSect="00D74754">
      <w:headerReference w:type="even" r:id="rId70"/>
      <w:headerReference w:type="default" r:id="rId71"/>
      <w:footerReference w:type="even" r:id="rId72"/>
      <w:footerReference w:type="default" r:id="rId73"/>
      <w:pgSz w:w="11906" w:h="16838" w:code="9"/>
      <w:pgMar w:top="1418" w:right="1304" w:bottom="1418"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EA8A" w14:textId="77777777" w:rsidR="00315A53" w:rsidRDefault="00315A53">
      <w:r>
        <w:separator/>
      </w:r>
    </w:p>
    <w:p w14:paraId="4E4275E4" w14:textId="77777777" w:rsidR="00315A53" w:rsidRDefault="00315A53"/>
  </w:endnote>
  <w:endnote w:type="continuationSeparator" w:id="0">
    <w:p w14:paraId="43FFDBAE" w14:textId="77777777" w:rsidR="00315A53" w:rsidRDefault="00315A53">
      <w:r>
        <w:continuationSeparator/>
      </w:r>
    </w:p>
    <w:p w14:paraId="499B7F1F" w14:textId="77777777" w:rsidR="00315A53" w:rsidRDefault="00315A53"/>
  </w:endnote>
  <w:endnote w:type="continuationNotice" w:id="1">
    <w:p w14:paraId="63788199" w14:textId="77777777" w:rsidR="00315A53" w:rsidRDefault="00315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744287" w:rsidRDefault="0074428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F3DE" w14:textId="01BFCABB" w:rsidR="7806EB88" w:rsidRDefault="7806EB88" w:rsidP="7806EB88">
    <w:pPr>
      <w:pStyle w:val="Footer"/>
      <w:jc w:val="right"/>
    </w:pPr>
    <w:r>
      <w:fldChar w:fldCharType="begin"/>
    </w:r>
    <w:r>
      <w:instrText>PAGE</w:instrText>
    </w:r>
    <w:r>
      <w:fldChar w:fldCharType="separate"/>
    </w:r>
    <w:r w:rsidR="001D74D4">
      <w:rPr>
        <w:noProof/>
      </w:rPr>
      <w:t>1</w:t>
    </w:r>
    <w:r>
      <w:fldChar w:fldCharType="end"/>
    </w:r>
  </w:p>
  <w:p w14:paraId="2057A6C4" w14:textId="3B5C472B" w:rsidR="7806EB88" w:rsidRDefault="7806EB88" w:rsidP="7806EB88">
    <w:pPr>
      <w:pStyle w:val="Footer"/>
      <w:jc w:val="right"/>
    </w:pPr>
  </w:p>
  <w:p w14:paraId="795C27F3" w14:textId="735E2BCF" w:rsidR="00744287" w:rsidRDefault="0074428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744287" w:rsidRPr="00EB4BC7" w:rsidRDefault="0074428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744287" w:rsidRPr="00EB4BC7" w:rsidRDefault="0074428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744287" w:rsidRDefault="0074428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744287" w:rsidRDefault="00744287">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744287" w:rsidRPr="002C5B7C" w:rsidRDefault="0074428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744287" w:rsidRPr="002C5B7C" w:rsidRDefault="0074428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52B169B7" w:rsidR="00744287" w:rsidRPr="00B27966" w:rsidRDefault="7806EB88" w:rsidP="009E628C">
    <w:pPr>
      <w:pStyle w:val="Footer"/>
      <w:spacing w:before="100" w:beforeAutospacing="1"/>
      <w:jc w:val="right"/>
    </w:pPr>
    <w:r>
      <w:fldChar w:fldCharType="begin"/>
    </w:r>
    <w:r>
      <w:instrText>PAGE</w:instrText>
    </w:r>
    <w:r>
      <w:fldChar w:fldCharType="separate"/>
    </w:r>
    <w:r w:rsidR="00D031EF">
      <w:rPr>
        <w:noProof/>
      </w:rPr>
      <w:t>3</w:t>
    </w:r>
    <w:r>
      <w:fldChar w:fldCharType="end"/>
    </w:r>
    <w:r w:rsidR="00744287">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744287" w:rsidRPr="001C7128" w:rsidRDefault="00744287"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744287" w:rsidRPr="001C7128" w:rsidRDefault="00744287"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74428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94B1" w14:textId="77777777" w:rsidR="00315A53" w:rsidRDefault="00315A53" w:rsidP="00207717">
      <w:pPr>
        <w:spacing w:before="120"/>
      </w:pPr>
      <w:r>
        <w:separator/>
      </w:r>
    </w:p>
  </w:footnote>
  <w:footnote w:type="continuationSeparator" w:id="0">
    <w:p w14:paraId="573C89EB" w14:textId="77777777" w:rsidR="00315A53" w:rsidRDefault="00315A53">
      <w:r>
        <w:continuationSeparator/>
      </w:r>
    </w:p>
    <w:p w14:paraId="4883D17D" w14:textId="77777777" w:rsidR="00315A53" w:rsidRDefault="00315A53"/>
  </w:footnote>
  <w:footnote w:type="continuationNotice" w:id="1">
    <w:p w14:paraId="57738C29" w14:textId="77777777" w:rsidR="00315A53" w:rsidRDefault="00315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155F" w14:textId="1AC60443" w:rsidR="00744287" w:rsidRPr="001C7128" w:rsidRDefault="37812B23" w:rsidP="005B3085">
    <w:pPr>
      <w:pStyle w:val="Header"/>
      <w:rPr>
        <w:b w:val="0"/>
      </w:rPr>
    </w:pPr>
    <w:r w:rsidRPr="00A66BBA">
      <w:t>Service Agreement Requirements</w:t>
    </w:r>
    <w:r w:rsidR="00744287">
      <w:br/>
    </w:r>
    <w:r w:rsidR="00744287">
      <w:ptab w:relativeTo="margin" w:alignment="right" w:leader="none"/>
    </w:r>
  </w:p>
  <w:p w14:paraId="73025958" w14:textId="35DF0A21" w:rsidR="00744287" w:rsidRDefault="00744287" w:rsidP="001C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744287" w:rsidRDefault="00744287">
    <w:pPr>
      <w:pStyle w:val="Header"/>
    </w:pPr>
    <w:r>
      <w:rPr>
        <w:bCs/>
      </w:rPr>
      <w:t>11</w:t>
    </w:r>
    <w:r>
      <w:rPr>
        <w:bCs/>
      </w:rPr>
      <w:ptab w:relativeTo="margin" w:alignment="right" w:leader="none"/>
    </w:r>
    <w:r>
      <w:t>Document title</w:t>
    </w:r>
    <w:r>
      <w:rPr>
        <w:noProof/>
      </w:rPr>
      <w:t xml:space="preserve"> </w:t>
    </w:r>
    <w:r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8B543CA" w:rsidR="00744287" w:rsidRPr="001C7128" w:rsidRDefault="37812B23" w:rsidP="001C7128">
    <w:pPr>
      <w:pStyle w:val="Header"/>
      <w:rPr>
        <w:b w:val="0"/>
      </w:rPr>
    </w:pPr>
    <w:r w:rsidRPr="00A66BBA">
      <w:t>Service Agreement Requirements</w:t>
    </w:r>
    <w:r w:rsidR="00744287">
      <w:br/>
    </w:r>
    <w:r w:rsidR="0074428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7D2BBF"/>
    <w:multiLevelType w:val="multilevel"/>
    <w:tmpl w:val="EF5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50056"/>
    <w:multiLevelType w:val="multilevel"/>
    <w:tmpl w:val="B33A2DBC"/>
    <w:numStyleLink w:val="ZZNumbersloweralpha"/>
  </w:abstractNum>
  <w:abstractNum w:abstractNumId="3" w15:restartNumberingAfterBreak="0">
    <w:nsid w:val="0898703B"/>
    <w:multiLevelType w:val="hybridMultilevel"/>
    <w:tmpl w:val="4974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B33A2DBC"/>
    <w:styleLink w:val="ZZBullets"/>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0BAD2E30"/>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211C8D"/>
    <w:multiLevelType w:val="multilevel"/>
    <w:tmpl w:val="2544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42FDC"/>
    <w:multiLevelType w:val="hybridMultilevel"/>
    <w:tmpl w:val="9A149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C565F"/>
    <w:multiLevelType w:val="hybridMultilevel"/>
    <w:tmpl w:val="8C9E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C3E4A"/>
    <w:multiLevelType w:val="hybridMultilevel"/>
    <w:tmpl w:val="D166C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EB1D0B"/>
    <w:multiLevelType w:val="hybridMultilevel"/>
    <w:tmpl w:val="DBD8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986E24B0"/>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EC54A41"/>
    <w:multiLevelType w:val="multilevel"/>
    <w:tmpl w:val="B33A2DBC"/>
    <w:styleLink w:val="ZZNumberslowerroman"/>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F0E37AB"/>
    <w:multiLevelType w:val="multilevel"/>
    <w:tmpl w:val="A61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563DC"/>
    <w:multiLevelType w:val="hybridMultilevel"/>
    <w:tmpl w:val="85CC7E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F55915B"/>
    <w:multiLevelType w:val="hybridMultilevel"/>
    <w:tmpl w:val="0A547AF0"/>
    <w:lvl w:ilvl="0" w:tplc="EFD44F80">
      <w:start w:val="1"/>
      <w:numFmt w:val="lowerLetter"/>
      <w:lvlText w:val="%1."/>
      <w:lvlJc w:val="left"/>
      <w:pPr>
        <w:ind w:left="720" w:hanging="360"/>
      </w:pPr>
    </w:lvl>
    <w:lvl w:ilvl="1" w:tplc="59F0DB76">
      <w:start w:val="1"/>
      <w:numFmt w:val="lowerLetter"/>
      <w:lvlText w:val="%2."/>
      <w:lvlJc w:val="left"/>
      <w:pPr>
        <w:ind w:left="1440" w:hanging="360"/>
      </w:pPr>
    </w:lvl>
    <w:lvl w:ilvl="2" w:tplc="BB5C315E">
      <w:start w:val="1"/>
      <w:numFmt w:val="lowerRoman"/>
      <w:lvlText w:val="%3."/>
      <w:lvlJc w:val="right"/>
      <w:pPr>
        <w:ind w:left="2160" w:hanging="180"/>
      </w:pPr>
    </w:lvl>
    <w:lvl w:ilvl="3" w:tplc="3CDC55C2">
      <w:start w:val="1"/>
      <w:numFmt w:val="decimal"/>
      <w:lvlText w:val="%4."/>
      <w:lvlJc w:val="left"/>
      <w:pPr>
        <w:ind w:left="2880" w:hanging="360"/>
      </w:pPr>
    </w:lvl>
    <w:lvl w:ilvl="4" w:tplc="7D022CF6">
      <w:start w:val="1"/>
      <w:numFmt w:val="lowerLetter"/>
      <w:lvlText w:val="%5."/>
      <w:lvlJc w:val="left"/>
      <w:pPr>
        <w:ind w:left="3600" w:hanging="360"/>
      </w:pPr>
    </w:lvl>
    <w:lvl w:ilvl="5" w:tplc="3EEE86F4">
      <w:start w:val="1"/>
      <w:numFmt w:val="lowerRoman"/>
      <w:lvlText w:val="%6."/>
      <w:lvlJc w:val="right"/>
      <w:pPr>
        <w:ind w:left="4320" w:hanging="180"/>
      </w:pPr>
    </w:lvl>
    <w:lvl w:ilvl="6" w:tplc="A1D26E4C">
      <w:start w:val="1"/>
      <w:numFmt w:val="decimal"/>
      <w:lvlText w:val="%7."/>
      <w:lvlJc w:val="left"/>
      <w:pPr>
        <w:ind w:left="5040" w:hanging="360"/>
      </w:pPr>
    </w:lvl>
    <w:lvl w:ilvl="7" w:tplc="DBA27D90">
      <w:start w:val="1"/>
      <w:numFmt w:val="lowerLetter"/>
      <w:lvlText w:val="%8."/>
      <w:lvlJc w:val="left"/>
      <w:pPr>
        <w:ind w:left="5760" w:hanging="360"/>
      </w:pPr>
    </w:lvl>
    <w:lvl w:ilvl="8" w:tplc="A36289AA">
      <w:start w:val="1"/>
      <w:numFmt w:val="lowerRoman"/>
      <w:lvlText w:val="%9."/>
      <w:lvlJc w:val="right"/>
      <w:pPr>
        <w:ind w:left="6480" w:hanging="180"/>
      </w:pPr>
    </w:lvl>
  </w:abstractNum>
  <w:abstractNum w:abstractNumId="16" w15:restartNumberingAfterBreak="0">
    <w:nsid w:val="510A2BFE"/>
    <w:multiLevelType w:val="multilevel"/>
    <w:tmpl w:val="D08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B33A2DBC"/>
    <w:styleLink w:val="ZZNumbersloweralpha"/>
    <w:lvl w:ilvl="0">
      <w:start w:val="1"/>
      <w:numFmt w:val="decimal"/>
      <w:pStyle w:val="Bullet1"/>
      <w:lvlText w:val="%1."/>
      <w:lvlJc w:val="left"/>
      <w:pPr>
        <w:tabs>
          <w:tab w:val="num" w:pos="397"/>
        </w:tabs>
        <w:ind w:left="397" w:hanging="397"/>
      </w:pPr>
      <w:rPr>
        <w:rFonts w:hint="default"/>
      </w:rPr>
    </w:lvl>
    <w:lvl w:ilvl="1">
      <w:start w:val="1"/>
      <w:numFmt w:val="decimal"/>
      <w:pStyle w:val="Bullet2"/>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A3A7197"/>
    <w:multiLevelType w:val="hybridMultilevel"/>
    <w:tmpl w:val="98B02E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736866"/>
    <w:multiLevelType w:val="hybridMultilevel"/>
    <w:tmpl w:val="98EE7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5E17ACF"/>
    <w:multiLevelType w:val="hybridMultilevel"/>
    <w:tmpl w:val="4ED8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927EDB"/>
    <w:multiLevelType w:val="hybridMultilevel"/>
    <w:tmpl w:val="FFFFFFFF"/>
    <w:lvl w:ilvl="0" w:tplc="92C878D0">
      <w:start w:val="1"/>
      <w:numFmt w:val="bullet"/>
      <w:lvlText w:val="·"/>
      <w:lvlJc w:val="left"/>
      <w:pPr>
        <w:ind w:left="720" w:hanging="360"/>
      </w:pPr>
      <w:rPr>
        <w:rFonts w:ascii="Symbol" w:hAnsi="Symbol" w:hint="default"/>
      </w:rPr>
    </w:lvl>
    <w:lvl w:ilvl="1" w:tplc="6622A82E">
      <w:start w:val="1"/>
      <w:numFmt w:val="bullet"/>
      <w:lvlText w:val="o"/>
      <w:lvlJc w:val="left"/>
      <w:pPr>
        <w:ind w:left="1440" w:hanging="360"/>
      </w:pPr>
      <w:rPr>
        <w:rFonts w:ascii="Courier New" w:hAnsi="Courier New" w:hint="default"/>
      </w:rPr>
    </w:lvl>
    <w:lvl w:ilvl="2" w:tplc="748A3E12">
      <w:start w:val="1"/>
      <w:numFmt w:val="bullet"/>
      <w:lvlText w:val=""/>
      <w:lvlJc w:val="left"/>
      <w:pPr>
        <w:ind w:left="2160" w:hanging="360"/>
      </w:pPr>
      <w:rPr>
        <w:rFonts w:ascii="Wingdings" w:hAnsi="Wingdings" w:hint="default"/>
      </w:rPr>
    </w:lvl>
    <w:lvl w:ilvl="3" w:tplc="8C8A01F2">
      <w:start w:val="1"/>
      <w:numFmt w:val="bullet"/>
      <w:lvlText w:val=""/>
      <w:lvlJc w:val="left"/>
      <w:pPr>
        <w:ind w:left="2880" w:hanging="360"/>
      </w:pPr>
      <w:rPr>
        <w:rFonts w:ascii="Symbol" w:hAnsi="Symbol" w:hint="default"/>
      </w:rPr>
    </w:lvl>
    <w:lvl w:ilvl="4" w:tplc="E0A4A090">
      <w:start w:val="1"/>
      <w:numFmt w:val="bullet"/>
      <w:lvlText w:val="o"/>
      <w:lvlJc w:val="left"/>
      <w:pPr>
        <w:ind w:left="3600" w:hanging="360"/>
      </w:pPr>
      <w:rPr>
        <w:rFonts w:ascii="Courier New" w:hAnsi="Courier New" w:hint="default"/>
      </w:rPr>
    </w:lvl>
    <w:lvl w:ilvl="5" w:tplc="1B4ECF56">
      <w:start w:val="1"/>
      <w:numFmt w:val="bullet"/>
      <w:lvlText w:val=""/>
      <w:lvlJc w:val="left"/>
      <w:pPr>
        <w:ind w:left="4320" w:hanging="360"/>
      </w:pPr>
      <w:rPr>
        <w:rFonts w:ascii="Wingdings" w:hAnsi="Wingdings" w:hint="default"/>
      </w:rPr>
    </w:lvl>
    <w:lvl w:ilvl="6" w:tplc="AC5A741E">
      <w:start w:val="1"/>
      <w:numFmt w:val="bullet"/>
      <w:lvlText w:val=""/>
      <w:lvlJc w:val="left"/>
      <w:pPr>
        <w:ind w:left="5040" w:hanging="360"/>
      </w:pPr>
      <w:rPr>
        <w:rFonts w:ascii="Symbol" w:hAnsi="Symbol" w:hint="default"/>
      </w:rPr>
    </w:lvl>
    <w:lvl w:ilvl="7" w:tplc="02F609E0">
      <w:start w:val="1"/>
      <w:numFmt w:val="bullet"/>
      <w:lvlText w:val="o"/>
      <w:lvlJc w:val="left"/>
      <w:pPr>
        <w:ind w:left="5760" w:hanging="360"/>
      </w:pPr>
      <w:rPr>
        <w:rFonts w:ascii="Courier New" w:hAnsi="Courier New" w:hint="default"/>
      </w:rPr>
    </w:lvl>
    <w:lvl w:ilvl="8" w:tplc="540E31B0">
      <w:start w:val="1"/>
      <w:numFmt w:val="bullet"/>
      <w:lvlText w:val=""/>
      <w:lvlJc w:val="left"/>
      <w:pPr>
        <w:ind w:left="6480" w:hanging="360"/>
      </w:pPr>
      <w:rPr>
        <w:rFonts w:ascii="Wingdings" w:hAnsi="Wingdings" w:hint="default"/>
      </w:rPr>
    </w:lvl>
  </w:abstractNum>
  <w:abstractNum w:abstractNumId="24" w15:restartNumberingAfterBreak="0">
    <w:nsid w:val="7EA84B5E"/>
    <w:multiLevelType w:val="hybridMultilevel"/>
    <w:tmpl w:val="1DEADB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ED92AC0"/>
    <w:multiLevelType w:val="hybridMultilevel"/>
    <w:tmpl w:val="8B722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7E56B8"/>
    <w:multiLevelType w:val="multilevel"/>
    <w:tmpl w:val="46F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44686">
    <w:abstractNumId w:val="11"/>
  </w:num>
  <w:num w:numId="2" w16cid:durableId="1620604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721147">
    <w:abstractNumId w:val="18"/>
  </w:num>
  <w:num w:numId="4" w16cid:durableId="1292905025">
    <w:abstractNumId w:val="17"/>
  </w:num>
  <w:num w:numId="5" w16cid:durableId="613705792">
    <w:abstractNumId w:val="19"/>
  </w:num>
  <w:num w:numId="6" w16cid:durableId="1488206748">
    <w:abstractNumId w:val="12"/>
  </w:num>
  <w:num w:numId="7" w16cid:durableId="259026531">
    <w:abstractNumId w:val="5"/>
  </w:num>
  <w:num w:numId="8" w16cid:durableId="34127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3349318">
    <w:abstractNumId w:val="23"/>
  </w:num>
  <w:num w:numId="10" w16cid:durableId="1809130267">
    <w:abstractNumId w:val="15"/>
  </w:num>
  <w:num w:numId="11" w16cid:durableId="1553035794">
    <w:abstractNumId w:val="22"/>
  </w:num>
  <w:num w:numId="12" w16cid:durableId="1970477465">
    <w:abstractNumId w:val="10"/>
  </w:num>
  <w:num w:numId="13" w16cid:durableId="1449815497">
    <w:abstractNumId w:val="25"/>
  </w:num>
  <w:num w:numId="14" w16cid:durableId="1234004971">
    <w:abstractNumId w:val="21"/>
  </w:num>
  <w:num w:numId="15" w16cid:durableId="653530638">
    <w:abstractNumId w:val="14"/>
  </w:num>
  <w:num w:numId="16" w16cid:durableId="18358393">
    <w:abstractNumId w:val="24"/>
  </w:num>
  <w:num w:numId="17" w16cid:durableId="982661013">
    <w:abstractNumId w:val="9"/>
  </w:num>
  <w:num w:numId="18" w16cid:durableId="1333069167">
    <w:abstractNumId w:val="8"/>
  </w:num>
  <w:num w:numId="19" w16cid:durableId="616722335">
    <w:abstractNumId w:val="20"/>
  </w:num>
  <w:num w:numId="20" w16cid:durableId="868298074">
    <w:abstractNumId w:val="7"/>
  </w:num>
  <w:num w:numId="21" w16cid:durableId="1911187769">
    <w:abstractNumId w:val="3"/>
  </w:num>
  <w:num w:numId="22" w16cid:durableId="1879200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505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85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359455">
    <w:abstractNumId w:val="0"/>
  </w:num>
  <w:num w:numId="26" w16cid:durableId="1178151997">
    <w:abstractNumId w:val="4"/>
  </w:num>
  <w:num w:numId="27" w16cid:durableId="194849816">
    <w:abstractNumId w:val="1"/>
  </w:num>
  <w:num w:numId="28" w16cid:durableId="984360217">
    <w:abstractNumId w:val="16"/>
  </w:num>
  <w:num w:numId="29" w16cid:durableId="1509980994">
    <w:abstractNumId w:val="26"/>
  </w:num>
  <w:num w:numId="30" w16cid:durableId="54790066">
    <w:abstractNumId w:val="6"/>
  </w:num>
  <w:num w:numId="31" w16cid:durableId="1079016515">
    <w:abstractNumId w:val="13"/>
  </w:num>
  <w:num w:numId="32" w16cid:durableId="1384527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B9D"/>
    <w:rsid w:val="00000C84"/>
    <w:rsid w:val="000018A6"/>
    <w:rsid w:val="00002D68"/>
    <w:rsid w:val="000033F7"/>
    <w:rsid w:val="00003403"/>
    <w:rsid w:val="0000371C"/>
    <w:rsid w:val="00004223"/>
    <w:rsid w:val="00004DFB"/>
    <w:rsid w:val="00004FC6"/>
    <w:rsid w:val="00005347"/>
    <w:rsid w:val="000072B6"/>
    <w:rsid w:val="00007410"/>
    <w:rsid w:val="00007E3F"/>
    <w:rsid w:val="00010104"/>
    <w:rsid w:val="0001021B"/>
    <w:rsid w:val="000102AD"/>
    <w:rsid w:val="00011D89"/>
    <w:rsid w:val="00013CFF"/>
    <w:rsid w:val="000154FD"/>
    <w:rsid w:val="00015A19"/>
    <w:rsid w:val="0002015F"/>
    <w:rsid w:val="00020496"/>
    <w:rsid w:val="00022271"/>
    <w:rsid w:val="00022354"/>
    <w:rsid w:val="00022841"/>
    <w:rsid w:val="00022D55"/>
    <w:rsid w:val="00023071"/>
    <w:rsid w:val="00023550"/>
    <w:rsid w:val="000235E8"/>
    <w:rsid w:val="00023FE9"/>
    <w:rsid w:val="00024805"/>
    <w:rsid w:val="0002485A"/>
    <w:rsid w:val="00024D89"/>
    <w:rsid w:val="000250B6"/>
    <w:rsid w:val="000265F5"/>
    <w:rsid w:val="0002720C"/>
    <w:rsid w:val="00027601"/>
    <w:rsid w:val="00030131"/>
    <w:rsid w:val="0003093F"/>
    <w:rsid w:val="00030E9F"/>
    <w:rsid w:val="00031A29"/>
    <w:rsid w:val="00033D81"/>
    <w:rsid w:val="00033DC9"/>
    <w:rsid w:val="00035CD9"/>
    <w:rsid w:val="00035F5B"/>
    <w:rsid w:val="00036059"/>
    <w:rsid w:val="0003645D"/>
    <w:rsid w:val="00037366"/>
    <w:rsid w:val="00037580"/>
    <w:rsid w:val="00040515"/>
    <w:rsid w:val="00041BF0"/>
    <w:rsid w:val="00042C8A"/>
    <w:rsid w:val="0004536B"/>
    <w:rsid w:val="0004637A"/>
    <w:rsid w:val="00046B68"/>
    <w:rsid w:val="00047038"/>
    <w:rsid w:val="00047E3C"/>
    <w:rsid w:val="000503C9"/>
    <w:rsid w:val="00050851"/>
    <w:rsid w:val="000527DD"/>
    <w:rsid w:val="0005318B"/>
    <w:rsid w:val="00056D64"/>
    <w:rsid w:val="00056EC4"/>
    <w:rsid w:val="000578B2"/>
    <w:rsid w:val="0006042E"/>
    <w:rsid w:val="00060959"/>
    <w:rsid w:val="00060C8F"/>
    <w:rsid w:val="000612F5"/>
    <w:rsid w:val="00062215"/>
    <w:rsid w:val="00062771"/>
    <w:rsid w:val="0006298A"/>
    <w:rsid w:val="0006346D"/>
    <w:rsid w:val="00064274"/>
    <w:rsid w:val="000646D1"/>
    <w:rsid w:val="00065C6A"/>
    <w:rsid w:val="000663CD"/>
    <w:rsid w:val="00066A51"/>
    <w:rsid w:val="0007100A"/>
    <w:rsid w:val="000733FE"/>
    <w:rsid w:val="00074219"/>
    <w:rsid w:val="00074ED5"/>
    <w:rsid w:val="000779BF"/>
    <w:rsid w:val="0008170F"/>
    <w:rsid w:val="0008204A"/>
    <w:rsid w:val="00082418"/>
    <w:rsid w:val="00083FF1"/>
    <w:rsid w:val="000844AC"/>
    <w:rsid w:val="0008460B"/>
    <w:rsid w:val="0008508E"/>
    <w:rsid w:val="0008633B"/>
    <w:rsid w:val="00087798"/>
    <w:rsid w:val="00087951"/>
    <w:rsid w:val="00087C46"/>
    <w:rsid w:val="00087E94"/>
    <w:rsid w:val="00091101"/>
    <w:rsid w:val="0009113B"/>
    <w:rsid w:val="000925E7"/>
    <w:rsid w:val="00093402"/>
    <w:rsid w:val="00094431"/>
    <w:rsid w:val="00094DA3"/>
    <w:rsid w:val="00095B0B"/>
    <w:rsid w:val="00096CD1"/>
    <w:rsid w:val="00097A11"/>
    <w:rsid w:val="000A012C"/>
    <w:rsid w:val="000A04DD"/>
    <w:rsid w:val="000A0EB9"/>
    <w:rsid w:val="000A186C"/>
    <w:rsid w:val="000A1C56"/>
    <w:rsid w:val="000A1EA4"/>
    <w:rsid w:val="000A2476"/>
    <w:rsid w:val="000A4CDC"/>
    <w:rsid w:val="000A4F54"/>
    <w:rsid w:val="000A5511"/>
    <w:rsid w:val="000A5FB4"/>
    <w:rsid w:val="000A641A"/>
    <w:rsid w:val="000A6E4A"/>
    <w:rsid w:val="000A72C0"/>
    <w:rsid w:val="000A7F6F"/>
    <w:rsid w:val="000B0AEB"/>
    <w:rsid w:val="000B2A1F"/>
    <w:rsid w:val="000B382A"/>
    <w:rsid w:val="000B3B14"/>
    <w:rsid w:val="000B3EDB"/>
    <w:rsid w:val="000B4297"/>
    <w:rsid w:val="000B4643"/>
    <w:rsid w:val="000B481A"/>
    <w:rsid w:val="000B49C4"/>
    <w:rsid w:val="000B4E84"/>
    <w:rsid w:val="000B543D"/>
    <w:rsid w:val="000B55F9"/>
    <w:rsid w:val="000B5BF7"/>
    <w:rsid w:val="000B6406"/>
    <w:rsid w:val="000B6BC8"/>
    <w:rsid w:val="000B7321"/>
    <w:rsid w:val="000B7489"/>
    <w:rsid w:val="000C00BA"/>
    <w:rsid w:val="000C01DD"/>
    <w:rsid w:val="000C0303"/>
    <w:rsid w:val="000C2A7C"/>
    <w:rsid w:val="000C35BB"/>
    <w:rsid w:val="000C42EA"/>
    <w:rsid w:val="000C4424"/>
    <w:rsid w:val="000C4546"/>
    <w:rsid w:val="000C6379"/>
    <w:rsid w:val="000C6858"/>
    <w:rsid w:val="000D0D55"/>
    <w:rsid w:val="000D10AE"/>
    <w:rsid w:val="000D1242"/>
    <w:rsid w:val="000D1D5E"/>
    <w:rsid w:val="000D2355"/>
    <w:rsid w:val="000D2ABA"/>
    <w:rsid w:val="000D2C00"/>
    <w:rsid w:val="000D2DB3"/>
    <w:rsid w:val="000D47B5"/>
    <w:rsid w:val="000D4990"/>
    <w:rsid w:val="000D6E3A"/>
    <w:rsid w:val="000D7DED"/>
    <w:rsid w:val="000E0970"/>
    <w:rsid w:val="000E13F3"/>
    <w:rsid w:val="000E22F7"/>
    <w:rsid w:val="000E3CC7"/>
    <w:rsid w:val="000E4F22"/>
    <w:rsid w:val="000E637A"/>
    <w:rsid w:val="000E6BD4"/>
    <w:rsid w:val="000E6D6D"/>
    <w:rsid w:val="000F15E3"/>
    <w:rsid w:val="000F1F1E"/>
    <w:rsid w:val="000F21D0"/>
    <w:rsid w:val="000F2259"/>
    <w:rsid w:val="000F2DDA"/>
    <w:rsid w:val="000F2EA0"/>
    <w:rsid w:val="000F45D8"/>
    <w:rsid w:val="000F4666"/>
    <w:rsid w:val="000F4956"/>
    <w:rsid w:val="000F4BC3"/>
    <w:rsid w:val="000F5213"/>
    <w:rsid w:val="000F531F"/>
    <w:rsid w:val="000F5EC9"/>
    <w:rsid w:val="000F67E0"/>
    <w:rsid w:val="000F7A65"/>
    <w:rsid w:val="000F7B99"/>
    <w:rsid w:val="00101001"/>
    <w:rsid w:val="00103276"/>
    <w:rsid w:val="0010392D"/>
    <w:rsid w:val="00103F83"/>
    <w:rsid w:val="0010447F"/>
    <w:rsid w:val="00104FE3"/>
    <w:rsid w:val="00105975"/>
    <w:rsid w:val="00106392"/>
    <w:rsid w:val="00106663"/>
    <w:rsid w:val="0010714F"/>
    <w:rsid w:val="00107C33"/>
    <w:rsid w:val="00107E2E"/>
    <w:rsid w:val="001115F5"/>
    <w:rsid w:val="001120C5"/>
    <w:rsid w:val="00112379"/>
    <w:rsid w:val="00113661"/>
    <w:rsid w:val="001142A2"/>
    <w:rsid w:val="001145C2"/>
    <w:rsid w:val="00114DAE"/>
    <w:rsid w:val="0011660F"/>
    <w:rsid w:val="00116B8E"/>
    <w:rsid w:val="00117A15"/>
    <w:rsid w:val="00120BD3"/>
    <w:rsid w:val="0012125A"/>
    <w:rsid w:val="00121804"/>
    <w:rsid w:val="00122FEA"/>
    <w:rsid w:val="001232BD"/>
    <w:rsid w:val="00124ED5"/>
    <w:rsid w:val="0012518D"/>
    <w:rsid w:val="00125B0C"/>
    <w:rsid w:val="00127643"/>
    <w:rsid w:val="00127697"/>
    <w:rsid w:val="001276FA"/>
    <w:rsid w:val="001336EC"/>
    <w:rsid w:val="001349DB"/>
    <w:rsid w:val="00136DD1"/>
    <w:rsid w:val="0014154F"/>
    <w:rsid w:val="0014375E"/>
    <w:rsid w:val="00143A3F"/>
    <w:rsid w:val="00143F36"/>
    <w:rsid w:val="001447B3"/>
    <w:rsid w:val="001454DF"/>
    <w:rsid w:val="0014563B"/>
    <w:rsid w:val="00145A40"/>
    <w:rsid w:val="00145DD5"/>
    <w:rsid w:val="00147ECA"/>
    <w:rsid w:val="00152073"/>
    <w:rsid w:val="0015212B"/>
    <w:rsid w:val="00152329"/>
    <w:rsid w:val="001532EE"/>
    <w:rsid w:val="00155284"/>
    <w:rsid w:val="001553B3"/>
    <w:rsid w:val="001555ED"/>
    <w:rsid w:val="00156598"/>
    <w:rsid w:val="001576A0"/>
    <w:rsid w:val="00161939"/>
    <w:rsid w:val="00161AA0"/>
    <w:rsid w:val="00161D2E"/>
    <w:rsid w:val="00161F3E"/>
    <w:rsid w:val="00162093"/>
    <w:rsid w:val="00162BC2"/>
    <w:rsid w:val="00162CA9"/>
    <w:rsid w:val="00165459"/>
    <w:rsid w:val="00165A57"/>
    <w:rsid w:val="00165BF9"/>
    <w:rsid w:val="00165C1E"/>
    <w:rsid w:val="001712C2"/>
    <w:rsid w:val="00172BAF"/>
    <w:rsid w:val="00172BC6"/>
    <w:rsid w:val="00173586"/>
    <w:rsid w:val="00173743"/>
    <w:rsid w:val="001749AD"/>
    <w:rsid w:val="00175391"/>
    <w:rsid w:val="0017631D"/>
    <w:rsid w:val="0017674D"/>
    <w:rsid w:val="001771DD"/>
    <w:rsid w:val="001774C9"/>
    <w:rsid w:val="0017796B"/>
    <w:rsid w:val="00177995"/>
    <w:rsid w:val="00177A8C"/>
    <w:rsid w:val="00180258"/>
    <w:rsid w:val="00181019"/>
    <w:rsid w:val="00181952"/>
    <w:rsid w:val="0018244E"/>
    <w:rsid w:val="001827FF"/>
    <w:rsid w:val="00183FA0"/>
    <w:rsid w:val="0018421B"/>
    <w:rsid w:val="00184D00"/>
    <w:rsid w:val="00185FB1"/>
    <w:rsid w:val="00186B33"/>
    <w:rsid w:val="001878FC"/>
    <w:rsid w:val="001900BF"/>
    <w:rsid w:val="00192F9D"/>
    <w:rsid w:val="00193CA2"/>
    <w:rsid w:val="0019518B"/>
    <w:rsid w:val="001955DC"/>
    <w:rsid w:val="001963EF"/>
    <w:rsid w:val="00196EB8"/>
    <w:rsid w:val="00196EFB"/>
    <w:rsid w:val="001979FF"/>
    <w:rsid w:val="00197B17"/>
    <w:rsid w:val="001A15AB"/>
    <w:rsid w:val="001A1950"/>
    <w:rsid w:val="001A1C54"/>
    <w:rsid w:val="001A253C"/>
    <w:rsid w:val="001A3ACE"/>
    <w:rsid w:val="001A5CFF"/>
    <w:rsid w:val="001A6170"/>
    <w:rsid w:val="001A6272"/>
    <w:rsid w:val="001A7769"/>
    <w:rsid w:val="001B058F"/>
    <w:rsid w:val="001B1CDA"/>
    <w:rsid w:val="001B1E95"/>
    <w:rsid w:val="001B22B6"/>
    <w:rsid w:val="001B3527"/>
    <w:rsid w:val="001B618B"/>
    <w:rsid w:val="001B67E8"/>
    <w:rsid w:val="001B6B96"/>
    <w:rsid w:val="001B6DC6"/>
    <w:rsid w:val="001B738B"/>
    <w:rsid w:val="001C09DB"/>
    <w:rsid w:val="001C15AD"/>
    <w:rsid w:val="001C15F9"/>
    <w:rsid w:val="001C277E"/>
    <w:rsid w:val="001C2A72"/>
    <w:rsid w:val="001C2C4E"/>
    <w:rsid w:val="001C31B7"/>
    <w:rsid w:val="001C4D41"/>
    <w:rsid w:val="001C503C"/>
    <w:rsid w:val="001C711D"/>
    <w:rsid w:val="001C7128"/>
    <w:rsid w:val="001C73B4"/>
    <w:rsid w:val="001D06D8"/>
    <w:rsid w:val="001D0B75"/>
    <w:rsid w:val="001D1419"/>
    <w:rsid w:val="001D1F52"/>
    <w:rsid w:val="001D2546"/>
    <w:rsid w:val="001D357A"/>
    <w:rsid w:val="001D39A5"/>
    <w:rsid w:val="001D3C09"/>
    <w:rsid w:val="001D3CDF"/>
    <w:rsid w:val="001D44E8"/>
    <w:rsid w:val="001D517B"/>
    <w:rsid w:val="001D5624"/>
    <w:rsid w:val="001D60EC"/>
    <w:rsid w:val="001D6F59"/>
    <w:rsid w:val="001D74D4"/>
    <w:rsid w:val="001E0866"/>
    <w:rsid w:val="001E3FC9"/>
    <w:rsid w:val="001E44DF"/>
    <w:rsid w:val="001E58C5"/>
    <w:rsid w:val="001E68A5"/>
    <w:rsid w:val="001E6BB0"/>
    <w:rsid w:val="001E6E46"/>
    <w:rsid w:val="001E7282"/>
    <w:rsid w:val="001F0D61"/>
    <w:rsid w:val="001F1BA4"/>
    <w:rsid w:val="001F1C10"/>
    <w:rsid w:val="001F3826"/>
    <w:rsid w:val="001F3BF2"/>
    <w:rsid w:val="001F6611"/>
    <w:rsid w:val="001F6E46"/>
    <w:rsid w:val="001F7250"/>
    <w:rsid w:val="001F7C11"/>
    <w:rsid w:val="001F7C91"/>
    <w:rsid w:val="0020137D"/>
    <w:rsid w:val="0020182D"/>
    <w:rsid w:val="00201AD6"/>
    <w:rsid w:val="00202421"/>
    <w:rsid w:val="002033B7"/>
    <w:rsid w:val="002049D9"/>
    <w:rsid w:val="00204CEE"/>
    <w:rsid w:val="002056AD"/>
    <w:rsid w:val="0020605C"/>
    <w:rsid w:val="00206463"/>
    <w:rsid w:val="00206F2F"/>
    <w:rsid w:val="00207717"/>
    <w:rsid w:val="0021053D"/>
    <w:rsid w:val="00210A92"/>
    <w:rsid w:val="0021148C"/>
    <w:rsid w:val="00212B95"/>
    <w:rsid w:val="00212FCF"/>
    <w:rsid w:val="002130B1"/>
    <w:rsid w:val="0021323F"/>
    <w:rsid w:val="002146B8"/>
    <w:rsid w:val="00215CC8"/>
    <w:rsid w:val="00216199"/>
    <w:rsid w:val="00216C03"/>
    <w:rsid w:val="00220A1A"/>
    <w:rsid w:val="00220C04"/>
    <w:rsid w:val="0022278D"/>
    <w:rsid w:val="002236A4"/>
    <w:rsid w:val="0022444E"/>
    <w:rsid w:val="00224F8F"/>
    <w:rsid w:val="002256C7"/>
    <w:rsid w:val="0022701F"/>
    <w:rsid w:val="00227764"/>
    <w:rsid w:val="00227C68"/>
    <w:rsid w:val="00227F64"/>
    <w:rsid w:val="00231950"/>
    <w:rsid w:val="002320DB"/>
    <w:rsid w:val="002333F5"/>
    <w:rsid w:val="00233724"/>
    <w:rsid w:val="0023583C"/>
    <w:rsid w:val="0023615A"/>
    <w:rsid w:val="002365B4"/>
    <w:rsid w:val="00236859"/>
    <w:rsid w:val="00236E3B"/>
    <w:rsid w:val="00236E77"/>
    <w:rsid w:val="00237254"/>
    <w:rsid w:val="002403B9"/>
    <w:rsid w:val="002405E7"/>
    <w:rsid w:val="002406B6"/>
    <w:rsid w:val="00240951"/>
    <w:rsid w:val="00240C67"/>
    <w:rsid w:val="002432E1"/>
    <w:rsid w:val="00244DE2"/>
    <w:rsid w:val="00244E44"/>
    <w:rsid w:val="00245AEE"/>
    <w:rsid w:val="00246207"/>
    <w:rsid w:val="00246C5E"/>
    <w:rsid w:val="0024768D"/>
    <w:rsid w:val="002502DA"/>
    <w:rsid w:val="00250672"/>
    <w:rsid w:val="002506FF"/>
    <w:rsid w:val="00250960"/>
    <w:rsid w:val="00250E77"/>
    <w:rsid w:val="00251343"/>
    <w:rsid w:val="002536A4"/>
    <w:rsid w:val="00253A3E"/>
    <w:rsid w:val="00254F58"/>
    <w:rsid w:val="00255509"/>
    <w:rsid w:val="00256F52"/>
    <w:rsid w:val="002600BD"/>
    <w:rsid w:val="002601CE"/>
    <w:rsid w:val="00260406"/>
    <w:rsid w:val="0026168D"/>
    <w:rsid w:val="002620BC"/>
    <w:rsid w:val="002620F7"/>
    <w:rsid w:val="002626C9"/>
    <w:rsid w:val="00262802"/>
    <w:rsid w:val="002629A2"/>
    <w:rsid w:val="00263A90"/>
    <w:rsid w:val="00263BCC"/>
    <w:rsid w:val="0026408B"/>
    <w:rsid w:val="00264239"/>
    <w:rsid w:val="00265CC4"/>
    <w:rsid w:val="00265DB4"/>
    <w:rsid w:val="00265F16"/>
    <w:rsid w:val="00267C3E"/>
    <w:rsid w:val="002709BB"/>
    <w:rsid w:val="0027131C"/>
    <w:rsid w:val="00271595"/>
    <w:rsid w:val="00271E73"/>
    <w:rsid w:val="00272C87"/>
    <w:rsid w:val="0027356D"/>
    <w:rsid w:val="00273BAC"/>
    <w:rsid w:val="00275181"/>
    <w:rsid w:val="002752F3"/>
    <w:rsid w:val="002763B3"/>
    <w:rsid w:val="00277515"/>
    <w:rsid w:val="00277919"/>
    <w:rsid w:val="00277C0A"/>
    <w:rsid w:val="002802E3"/>
    <w:rsid w:val="00280508"/>
    <w:rsid w:val="00281804"/>
    <w:rsid w:val="0028213D"/>
    <w:rsid w:val="00282BC9"/>
    <w:rsid w:val="0028572D"/>
    <w:rsid w:val="00285D66"/>
    <w:rsid w:val="002862F1"/>
    <w:rsid w:val="00286C0B"/>
    <w:rsid w:val="00286D10"/>
    <w:rsid w:val="002901DD"/>
    <w:rsid w:val="00291373"/>
    <w:rsid w:val="0029211D"/>
    <w:rsid w:val="002935DB"/>
    <w:rsid w:val="00293B9F"/>
    <w:rsid w:val="00293E0F"/>
    <w:rsid w:val="00294F5C"/>
    <w:rsid w:val="00295011"/>
    <w:rsid w:val="0029597D"/>
    <w:rsid w:val="002962C3"/>
    <w:rsid w:val="00296A09"/>
    <w:rsid w:val="0029752B"/>
    <w:rsid w:val="002A075E"/>
    <w:rsid w:val="002A0A9C"/>
    <w:rsid w:val="002A0C29"/>
    <w:rsid w:val="002A32AF"/>
    <w:rsid w:val="002A3430"/>
    <w:rsid w:val="002A390B"/>
    <w:rsid w:val="002A3A93"/>
    <w:rsid w:val="002A3C38"/>
    <w:rsid w:val="002A3D4E"/>
    <w:rsid w:val="002A4038"/>
    <w:rsid w:val="002A483C"/>
    <w:rsid w:val="002A4D82"/>
    <w:rsid w:val="002A6306"/>
    <w:rsid w:val="002A639E"/>
    <w:rsid w:val="002A784D"/>
    <w:rsid w:val="002B06F5"/>
    <w:rsid w:val="002B09D8"/>
    <w:rsid w:val="002B0C7C"/>
    <w:rsid w:val="002B0F75"/>
    <w:rsid w:val="002B1729"/>
    <w:rsid w:val="002B19EE"/>
    <w:rsid w:val="002B19F5"/>
    <w:rsid w:val="002B2DB8"/>
    <w:rsid w:val="002B3541"/>
    <w:rsid w:val="002B36C7"/>
    <w:rsid w:val="002B45FE"/>
    <w:rsid w:val="002B4DD4"/>
    <w:rsid w:val="002B5277"/>
    <w:rsid w:val="002B5375"/>
    <w:rsid w:val="002B56D7"/>
    <w:rsid w:val="002B77C1"/>
    <w:rsid w:val="002C0ED7"/>
    <w:rsid w:val="002C2728"/>
    <w:rsid w:val="002C5B7C"/>
    <w:rsid w:val="002C6115"/>
    <w:rsid w:val="002C7B11"/>
    <w:rsid w:val="002D06E4"/>
    <w:rsid w:val="002D10EC"/>
    <w:rsid w:val="002D1E0D"/>
    <w:rsid w:val="002D4C14"/>
    <w:rsid w:val="002D5006"/>
    <w:rsid w:val="002D5B0E"/>
    <w:rsid w:val="002D6BE9"/>
    <w:rsid w:val="002D7C61"/>
    <w:rsid w:val="002E01D0"/>
    <w:rsid w:val="002E09E5"/>
    <w:rsid w:val="002E161D"/>
    <w:rsid w:val="002E28A2"/>
    <w:rsid w:val="002E3100"/>
    <w:rsid w:val="002E4252"/>
    <w:rsid w:val="002E51F4"/>
    <w:rsid w:val="002E63F6"/>
    <w:rsid w:val="002E6C95"/>
    <w:rsid w:val="002E7C36"/>
    <w:rsid w:val="002F12E3"/>
    <w:rsid w:val="002F2447"/>
    <w:rsid w:val="002F3D32"/>
    <w:rsid w:val="002F467E"/>
    <w:rsid w:val="002F5218"/>
    <w:rsid w:val="002F5F31"/>
    <w:rsid w:val="002F5F46"/>
    <w:rsid w:val="002F7133"/>
    <w:rsid w:val="002F75DA"/>
    <w:rsid w:val="003007F3"/>
    <w:rsid w:val="00302216"/>
    <w:rsid w:val="00303D42"/>
    <w:rsid w:val="00303E53"/>
    <w:rsid w:val="00304E54"/>
    <w:rsid w:val="003056A5"/>
    <w:rsid w:val="00305CC1"/>
    <w:rsid w:val="00306E51"/>
    <w:rsid w:val="00306E5F"/>
    <w:rsid w:val="00307E14"/>
    <w:rsid w:val="0031022F"/>
    <w:rsid w:val="0031132B"/>
    <w:rsid w:val="0031261F"/>
    <w:rsid w:val="00313599"/>
    <w:rsid w:val="00314054"/>
    <w:rsid w:val="003147F1"/>
    <w:rsid w:val="00315A53"/>
    <w:rsid w:val="0031633B"/>
    <w:rsid w:val="00316F27"/>
    <w:rsid w:val="00316FF1"/>
    <w:rsid w:val="00317924"/>
    <w:rsid w:val="00320B86"/>
    <w:rsid w:val="00320D1E"/>
    <w:rsid w:val="003214F1"/>
    <w:rsid w:val="0032210C"/>
    <w:rsid w:val="0032239B"/>
    <w:rsid w:val="00322893"/>
    <w:rsid w:val="00322E4B"/>
    <w:rsid w:val="00323557"/>
    <w:rsid w:val="00325148"/>
    <w:rsid w:val="003261B7"/>
    <w:rsid w:val="00326774"/>
    <w:rsid w:val="00326853"/>
    <w:rsid w:val="00326856"/>
    <w:rsid w:val="00327870"/>
    <w:rsid w:val="00327BE8"/>
    <w:rsid w:val="003313C8"/>
    <w:rsid w:val="0033210E"/>
    <w:rsid w:val="003322E2"/>
    <w:rsid w:val="0033259D"/>
    <w:rsid w:val="003333D2"/>
    <w:rsid w:val="003334CB"/>
    <w:rsid w:val="00334604"/>
    <w:rsid w:val="00334686"/>
    <w:rsid w:val="003351E1"/>
    <w:rsid w:val="00335416"/>
    <w:rsid w:val="00335505"/>
    <w:rsid w:val="00336539"/>
    <w:rsid w:val="00336C46"/>
    <w:rsid w:val="00337339"/>
    <w:rsid w:val="0033773C"/>
    <w:rsid w:val="00340345"/>
    <w:rsid w:val="003406C6"/>
    <w:rsid w:val="003418CC"/>
    <w:rsid w:val="003421B6"/>
    <w:rsid w:val="003423AE"/>
    <w:rsid w:val="003434EE"/>
    <w:rsid w:val="00344AE0"/>
    <w:rsid w:val="003458C8"/>
    <w:rsid w:val="003459BD"/>
    <w:rsid w:val="003467E7"/>
    <w:rsid w:val="00347D8C"/>
    <w:rsid w:val="003507B1"/>
    <w:rsid w:val="00350D38"/>
    <w:rsid w:val="00351B36"/>
    <w:rsid w:val="003528E8"/>
    <w:rsid w:val="00352C3E"/>
    <w:rsid w:val="0035310B"/>
    <w:rsid w:val="003531D7"/>
    <w:rsid w:val="003532AA"/>
    <w:rsid w:val="003543F6"/>
    <w:rsid w:val="003551CA"/>
    <w:rsid w:val="0035719C"/>
    <w:rsid w:val="00357B4E"/>
    <w:rsid w:val="003603E0"/>
    <w:rsid w:val="0036087C"/>
    <w:rsid w:val="003619B4"/>
    <w:rsid w:val="00363248"/>
    <w:rsid w:val="00363D02"/>
    <w:rsid w:val="0036493E"/>
    <w:rsid w:val="00364F9F"/>
    <w:rsid w:val="003651DD"/>
    <w:rsid w:val="00366CA1"/>
    <w:rsid w:val="00366E75"/>
    <w:rsid w:val="00370015"/>
    <w:rsid w:val="00370261"/>
    <w:rsid w:val="0037086E"/>
    <w:rsid w:val="00371099"/>
    <w:rsid w:val="003716FD"/>
    <w:rsid w:val="00371C75"/>
    <w:rsid w:val="0037204B"/>
    <w:rsid w:val="003734A2"/>
    <w:rsid w:val="00373BB8"/>
    <w:rsid w:val="003744CF"/>
    <w:rsid w:val="00374717"/>
    <w:rsid w:val="00374E48"/>
    <w:rsid w:val="0037542C"/>
    <w:rsid w:val="0037676C"/>
    <w:rsid w:val="00376D0C"/>
    <w:rsid w:val="0037727C"/>
    <w:rsid w:val="003802E8"/>
    <w:rsid w:val="0038057B"/>
    <w:rsid w:val="00381043"/>
    <w:rsid w:val="0038196C"/>
    <w:rsid w:val="003821B7"/>
    <w:rsid w:val="003829E5"/>
    <w:rsid w:val="003831AC"/>
    <w:rsid w:val="003833AE"/>
    <w:rsid w:val="0038383F"/>
    <w:rsid w:val="00384446"/>
    <w:rsid w:val="003848DD"/>
    <w:rsid w:val="003860B3"/>
    <w:rsid w:val="00386109"/>
    <w:rsid w:val="0038650D"/>
    <w:rsid w:val="00386944"/>
    <w:rsid w:val="00387D01"/>
    <w:rsid w:val="003911F3"/>
    <w:rsid w:val="003934FC"/>
    <w:rsid w:val="003947B7"/>
    <w:rsid w:val="00394857"/>
    <w:rsid w:val="00394F6A"/>
    <w:rsid w:val="003956CC"/>
    <w:rsid w:val="00395C9A"/>
    <w:rsid w:val="00397AE1"/>
    <w:rsid w:val="003A0853"/>
    <w:rsid w:val="003A0CAD"/>
    <w:rsid w:val="003A0CDB"/>
    <w:rsid w:val="003A1135"/>
    <w:rsid w:val="003A1316"/>
    <w:rsid w:val="003A24C2"/>
    <w:rsid w:val="003A2830"/>
    <w:rsid w:val="003A464A"/>
    <w:rsid w:val="003A5869"/>
    <w:rsid w:val="003A612D"/>
    <w:rsid w:val="003A6B67"/>
    <w:rsid w:val="003A78F5"/>
    <w:rsid w:val="003B0F91"/>
    <w:rsid w:val="003B13B6"/>
    <w:rsid w:val="003B14C3"/>
    <w:rsid w:val="003B15E6"/>
    <w:rsid w:val="003B22EF"/>
    <w:rsid w:val="003B408A"/>
    <w:rsid w:val="003B4CE1"/>
    <w:rsid w:val="003B7DA4"/>
    <w:rsid w:val="003C04CD"/>
    <w:rsid w:val="003C08A2"/>
    <w:rsid w:val="003C2045"/>
    <w:rsid w:val="003C43A1"/>
    <w:rsid w:val="003C49E1"/>
    <w:rsid w:val="003C4C72"/>
    <w:rsid w:val="003C4FC0"/>
    <w:rsid w:val="003C4FDB"/>
    <w:rsid w:val="003C55F4"/>
    <w:rsid w:val="003C760B"/>
    <w:rsid w:val="003C7897"/>
    <w:rsid w:val="003C7A3F"/>
    <w:rsid w:val="003D0BF5"/>
    <w:rsid w:val="003D0DF5"/>
    <w:rsid w:val="003D2699"/>
    <w:rsid w:val="003D2766"/>
    <w:rsid w:val="003D293F"/>
    <w:rsid w:val="003D2A74"/>
    <w:rsid w:val="003D2F99"/>
    <w:rsid w:val="003D3D88"/>
    <w:rsid w:val="003D3E8F"/>
    <w:rsid w:val="003D4687"/>
    <w:rsid w:val="003D6475"/>
    <w:rsid w:val="003D64C9"/>
    <w:rsid w:val="003D6832"/>
    <w:rsid w:val="003D6837"/>
    <w:rsid w:val="003D69D6"/>
    <w:rsid w:val="003D6BE0"/>
    <w:rsid w:val="003D6EE6"/>
    <w:rsid w:val="003E0D5B"/>
    <w:rsid w:val="003E147C"/>
    <w:rsid w:val="003E375C"/>
    <w:rsid w:val="003E4086"/>
    <w:rsid w:val="003E5A6D"/>
    <w:rsid w:val="003E639E"/>
    <w:rsid w:val="003E71E5"/>
    <w:rsid w:val="003F0445"/>
    <w:rsid w:val="003F0CF0"/>
    <w:rsid w:val="003F1153"/>
    <w:rsid w:val="003F14B1"/>
    <w:rsid w:val="003F1810"/>
    <w:rsid w:val="003F2A9E"/>
    <w:rsid w:val="003F2B20"/>
    <w:rsid w:val="003F2CD4"/>
    <w:rsid w:val="003F3289"/>
    <w:rsid w:val="003F3C62"/>
    <w:rsid w:val="003F403F"/>
    <w:rsid w:val="003F4446"/>
    <w:rsid w:val="003F46FC"/>
    <w:rsid w:val="003F55B5"/>
    <w:rsid w:val="003F5CB9"/>
    <w:rsid w:val="003F6260"/>
    <w:rsid w:val="003F6389"/>
    <w:rsid w:val="004013C7"/>
    <w:rsid w:val="00401FCF"/>
    <w:rsid w:val="00403876"/>
    <w:rsid w:val="0040442A"/>
    <w:rsid w:val="00405397"/>
    <w:rsid w:val="00405603"/>
    <w:rsid w:val="00405875"/>
    <w:rsid w:val="00406285"/>
    <w:rsid w:val="00406D30"/>
    <w:rsid w:val="00406DFC"/>
    <w:rsid w:val="004115A2"/>
    <w:rsid w:val="00413DC6"/>
    <w:rsid w:val="004142B0"/>
    <w:rsid w:val="004148F9"/>
    <w:rsid w:val="00414FCC"/>
    <w:rsid w:val="0041584A"/>
    <w:rsid w:val="00415E70"/>
    <w:rsid w:val="00416798"/>
    <w:rsid w:val="00416A2E"/>
    <w:rsid w:val="00416E39"/>
    <w:rsid w:val="00416E6D"/>
    <w:rsid w:val="00417BF4"/>
    <w:rsid w:val="0042084E"/>
    <w:rsid w:val="00420F77"/>
    <w:rsid w:val="00421EEF"/>
    <w:rsid w:val="00422381"/>
    <w:rsid w:val="0042304A"/>
    <w:rsid w:val="00424D65"/>
    <w:rsid w:val="00426792"/>
    <w:rsid w:val="004275E3"/>
    <w:rsid w:val="00430393"/>
    <w:rsid w:val="00430544"/>
    <w:rsid w:val="00431806"/>
    <w:rsid w:val="00431A70"/>
    <w:rsid w:val="00431B3D"/>
    <w:rsid w:val="00431D73"/>
    <w:rsid w:val="00431F42"/>
    <w:rsid w:val="00431F45"/>
    <w:rsid w:val="00432A77"/>
    <w:rsid w:val="0043358D"/>
    <w:rsid w:val="00436046"/>
    <w:rsid w:val="0043684C"/>
    <w:rsid w:val="0043785D"/>
    <w:rsid w:val="00437EA9"/>
    <w:rsid w:val="00440A17"/>
    <w:rsid w:val="00440B59"/>
    <w:rsid w:val="004428FE"/>
    <w:rsid w:val="00442C6C"/>
    <w:rsid w:val="00443CBE"/>
    <w:rsid w:val="00443E8A"/>
    <w:rsid w:val="004441BC"/>
    <w:rsid w:val="00444204"/>
    <w:rsid w:val="0044462D"/>
    <w:rsid w:val="00444F2D"/>
    <w:rsid w:val="004468B4"/>
    <w:rsid w:val="00446910"/>
    <w:rsid w:val="00446D86"/>
    <w:rsid w:val="00447183"/>
    <w:rsid w:val="004518CC"/>
    <w:rsid w:val="0045230A"/>
    <w:rsid w:val="004529D1"/>
    <w:rsid w:val="00452CFC"/>
    <w:rsid w:val="00453271"/>
    <w:rsid w:val="0045407E"/>
    <w:rsid w:val="00454A4F"/>
    <w:rsid w:val="00454AD0"/>
    <w:rsid w:val="00455866"/>
    <w:rsid w:val="004561A1"/>
    <w:rsid w:val="00456B02"/>
    <w:rsid w:val="004572F6"/>
    <w:rsid w:val="00457337"/>
    <w:rsid w:val="00461832"/>
    <w:rsid w:val="00461BEA"/>
    <w:rsid w:val="004624CD"/>
    <w:rsid w:val="004629A6"/>
    <w:rsid w:val="00462E3D"/>
    <w:rsid w:val="00466E79"/>
    <w:rsid w:val="00466ECA"/>
    <w:rsid w:val="00467965"/>
    <w:rsid w:val="00467D4B"/>
    <w:rsid w:val="00470043"/>
    <w:rsid w:val="00470B53"/>
    <w:rsid w:val="00470D7D"/>
    <w:rsid w:val="00471255"/>
    <w:rsid w:val="004717A8"/>
    <w:rsid w:val="0047290F"/>
    <w:rsid w:val="0047372D"/>
    <w:rsid w:val="00473BA3"/>
    <w:rsid w:val="004740AE"/>
    <w:rsid w:val="004743DD"/>
    <w:rsid w:val="00474BD1"/>
    <w:rsid w:val="00474CEA"/>
    <w:rsid w:val="004759FD"/>
    <w:rsid w:val="00480D79"/>
    <w:rsid w:val="00481F40"/>
    <w:rsid w:val="00483968"/>
    <w:rsid w:val="00484147"/>
    <w:rsid w:val="004841BE"/>
    <w:rsid w:val="00484F86"/>
    <w:rsid w:val="0048638B"/>
    <w:rsid w:val="0049036B"/>
    <w:rsid w:val="00490471"/>
    <w:rsid w:val="00490746"/>
    <w:rsid w:val="00490852"/>
    <w:rsid w:val="00490D70"/>
    <w:rsid w:val="00491C9C"/>
    <w:rsid w:val="00492F30"/>
    <w:rsid w:val="004946F4"/>
    <w:rsid w:val="0049487E"/>
    <w:rsid w:val="00496CEC"/>
    <w:rsid w:val="0049769F"/>
    <w:rsid w:val="00497C5B"/>
    <w:rsid w:val="00497F0A"/>
    <w:rsid w:val="004A08D6"/>
    <w:rsid w:val="004A160D"/>
    <w:rsid w:val="004A2840"/>
    <w:rsid w:val="004A33B1"/>
    <w:rsid w:val="004A3E81"/>
    <w:rsid w:val="004A4195"/>
    <w:rsid w:val="004A5893"/>
    <w:rsid w:val="004A5C62"/>
    <w:rsid w:val="004A5CE5"/>
    <w:rsid w:val="004A707D"/>
    <w:rsid w:val="004B00B7"/>
    <w:rsid w:val="004B092D"/>
    <w:rsid w:val="004B0974"/>
    <w:rsid w:val="004B1BDC"/>
    <w:rsid w:val="004B2662"/>
    <w:rsid w:val="004B385E"/>
    <w:rsid w:val="004B406D"/>
    <w:rsid w:val="004B4084"/>
    <w:rsid w:val="004B4185"/>
    <w:rsid w:val="004B47CD"/>
    <w:rsid w:val="004B5141"/>
    <w:rsid w:val="004B7279"/>
    <w:rsid w:val="004B76FF"/>
    <w:rsid w:val="004B79EB"/>
    <w:rsid w:val="004B7DEF"/>
    <w:rsid w:val="004C2DE5"/>
    <w:rsid w:val="004C3E4B"/>
    <w:rsid w:val="004C44D6"/>
    <w:rsid w:val="004C5541"/>
    <w:rsid w:val="004C6EEE"/>
    <w:rsid w:val="004C702B"/>
    <w:rsid w:val="004C7328"/>
    <w:rsid w:val="004C7385"/>
    <w:rsid w:val="004C7944"/>
    <w:rsid w:val="004D0033"/>
    <w:rsid w:val="004D016B"/>
    <w:rsid w:val="004D0E44"/>
    <w:rsid w:val="004D1B22"/>
    <w:rsid w:val="004D1DC7"/>
    <w:rsid w:val="004D23CC"/>
    <w:rsid w:val="004D25F7"/>
    <w:rsid w:val="004D2CD2"/>
    <w:rsid w:val="004D36F2"/>
    <w:rsid w:val="004D5BC8"/>
    <w:rsid w:val="004E1106"/>
    <w:rsid w:val="004E138F"/>
    <w:rsid w:val="004E2C08"/>
    <w:rsid w:val="004E3BC2"/>
    <w:rsid w:val="004E4168"/>
    <w:rsid w:val="004E4649"/>
    <w:rsid w:val="004E5C2B"/>
    <w:rsid w:val="004E6B5F"/>
    <w:rsid w:val="004E73E4"/>
    <w:rsid w:val="004E7459"/>
    <w:rsid w:val="004E7B35"/>
    <w:rsid w:val="004F00DD"/>
    <w:rsid w:val="004F0FA0"/>
    <w:rsid w:val="004F1A52"/>
    <w:rsid w:val="004F1C9B"/>
    <w:rsid w:val="004F2133"/>
    <w:rsid w:val="004F2C55"/>
    <w:rsid w:val="004F3480"/>
    <w:rsid w:val="004F3E6F"/>
    <w:rsid w:val="004F5215"/>
    <w:rsid w:val="004F5398"/>
    <w:rsid w:val="004F53A3"/>
    <w:rsid w:val="004F55F1"/>
    <w:rsid w:val="004F6936"/>
    <w:rsid w:val="004F6AD6"/>
    <w:rsid w:val="004F7B8A"/>
    <w:rsid w:val="005004FC"/>
    <w:rsid w:val="00500CEE"/>
    <w:rsid w:val="00501872"/>
    <w:rsid w:val="00502BA3"/>
    <w:rsid w:val="00502CAB"/>
    <w:rsid w:val="00503179"/>
    <w:rsid w:val="00503683"/>
    <w:rsid w:val="00503DC6"/>
    <w:rsid w:val="00504DFE"/>
    <w:rsid w:val="00504EAB"/>
    <w:rsid w:val="00505EB7"/>
    <w:rsid w:val="00506F5D"/>
    <w:rsid w:val="00510C37"/>
    <w:rsid w:val="005110DB"/>
    <w:rsid w:val="00511203"/>
    <w:rsid w:val="00512688"/>
    <w:rsid w:val="005126D0"/>
    <w:rsid w:val="00514667"/>
    <w:rsid w:val="00514C3A"/>
    <w:rsid w:val="0051500A"/>
    <w:rsid w:val="00515138"/>
    <w:rsid w:val="0051568D"/>
    <w:rsid w:val="00516E9F"/>
    <w:rsid w:val="005217FD"/>
    <w:rsid w:val="00521D7F"/>
    <w:rsid w:val="00523359"/>
    <w:rsid w:val="00523667"/>
    <w:rsid w:val="005257A1"/>
    <w:rsid w:val="00526375"/>
    <w:rsid w:val="005263ED"/>
    <w:rsid w:val="00526AC7"/>
    <w:rsid w:val="00526C15"/>
    <w:rsid w:val="0053095E"/>
    <w:rsid w:val="00536499"/>
    <w:rsid w:val="00536AEA"/>
    <w:rsid w:val="00536DD4"/>
    <w:rsid w:val="00542209"/>
    <w:rsid w:val="0054234A"/>
    <w:rsid w:val="00542A03"/>
    <w:rsid w:val="00543368"/>
    <w:rsid w:val="00543903"/>
    <w:rsid w:val="00543ADC"/>
    <w:rsid w:val="00543BCC"/>
    <w:rsid w:val="00543F11"/>
    <w:rsid w:val="00544B49"/>
    <w:rsid w:val="00544BC0"/>
    <w:rsid w:val="005456F4"/>
    <w:rsid w:val="00546305"/>
    <w:rsid w:val="00547A95"/>
    <w:rsid w:val="0055119B"/>
    <w:rsid w:val="00553821"/>
    <w:rsid w:val="00553893"/>
    <w:rsid w:val="00553E63"/>
    <w:rsid w:val="0055449B"/>
    <w:rsid w:val="00556EAE"/>
    <w:rsid w:val="00557674"/>
    <w:rsid w:val="00557DE9"/>
    <w:rsid w:val="00561202"/>
    <w:rsid w:val="00561C0C"/>
    <w:rsid w:val="0056233D"/>
    <w:rsid w:val="00562507"/>
    <w:rsid w:val="00562811"/>
    <w:rsid w:val="005648A1"/>
    <w:rsid w:val="00564CDE"/>
    <w:rsid w:val="005666DB"/>
    <w:rsid w:val="00566ED2"/>
    <w:rsid w:val="0057050C"/>
    <w:rsid w:val="005707BC"/>
    <w:rsid w:val="0057103D"/>
    <w:rsid w:val="005717B9"/>
    <w:rsid w:val="00571A3D"/>
    <w:rsid w:val="00572031"/>
    <w:rsid w:val="00572282"/>
    <w:rsid w:val="00573A27"/>
    <w:rsid w:val="00573CE3"/>
    <w:rsid w:val="005745CC"/>
    <w:rsid w:val="005745D1"/>
    <w:rsid w:val="0057485C"/>
    <w:rsid w:val="00574B67"/>
    <w:rsid w:val="0057503F"/>
    <w:rsid w:val="00576336"/>
    <w:rsid w:val="00576E84"/>
    <w:rsid w:val="005770CE"/>
    <w:rsid w:val="0057791D"/>
    <w:rsid w:val="00580394"/>
    <w:rsid w:val="005806EB"/>
    <w:rsid w:val="005809CD"/>
    <w:rsid w:val="005817FA"/>
    <w:rsid w:val="00582B8C"/>
    <w:rsid w:val="0058554F"/>
    <w:rsid w:val="005859F7"/>
    <w:rsid w:val="00585CF3"/>
    <w:rsid w:val="0058757E"/>
    <w:rsid w:val="0059154D"/>
    <w:rsid w:val="00591747"/>
    <w:rsid w:val="005927B3"/>
    <w:rsid w:val="00593810"/>
    <w:rsid w:val="005951A4"/>
    <w:rsid w:val="0059592F"/>
    <w:rsid w:val="00596A4B"/>
    <w:rsid w:val="00597507"/>
    <w:rsid w:val="005979B2"/>
    <w:rsid w:val="00597B8B"/>
    <w:rsid w:val="005A1788"/>
    <w:rsid w:val="005A30E4"/>
    <w:rsid w:val="005A454C"/>
    <w:rsid w:val="005A479D"/>
    <w:rsid w:val="005A4964"/>
    <w:rsid w:val="005B115C"/>
    <w:rsid w:val="005B1C6D"/>
    <w:rsid w:val="005B21B6"/>
    <w:rsid w:val="005B3085"/>
    <w:rsid w:val="005B3210"/>
    <w:rsid w:val="005B3A08"/>
    <w:rsid w:val="005B3B88"/>
    <w:rsid w:val="005B45A5"/>
    <w:rsid w:val="005B6027"/>
    <w:rsid w:val="005B6AB9"/>
    <w:rsid w:val="005B6D08"/>
    <w:rsid w:val="005B7A63"/>
    <w:rsid w:val="005C081A"/>
    <w:rsid w:val="005C0955"/>
    <w:rsid w:val="005C1035"/>
    <w:rsid w:val="005C3AF2"/>
    <w:rsid w:val="005C3C4B"/>
    <w:rsid w:val="005C49DA"/>
    <w:rsid w:val="005C50F3"/>
    <w:rsid w:val="005C534D"/>
    <w:rsid w:val="005C54B5"/>
    <w:rsid w:val="005C5994"/>
    <w:rsid w:val="005C5D80"/>
    <w:rsid w:val="005C5D91"/>
    <w:rsid w:val="005C6285"/>
    <w:rsid w:val="005C655C"/>
    <w:rsid w:val="005C661A"/>
    <w:rsid w:val="005C6F9E"/>
    <w:rsid w:val="005C717D"/>
    <w:rsid w:val="005D02A9"/>
    <w:rsid w:val="005D07B8"/>
    <w:rsid w:val="005D1CAB"/>
    <w:rsid w:val="005D3DBC"/>
    <w:rsid w:val="005D5388"/>
    <w:rsid w:val="005D60C1"/>
    <w:rsid w:val="005D6597"/>
    <w:rsid w:val="005D6D66"/>
    <w:rsid w:val="005E14E7"/>
    <w:rsid w:val="005E231C"/>
    <w:rsid w:val="005E26A3"/>
    <w:rsid w:val="005E2CB3"/>
    <w:rsid w:val="005E2ECB"/>
    <w:rsid w:val="005E447E"/>
    <w:rsid w:val="005E4937"/>
    <w:rsid w:val="005E4CC4"/>
    <w:rsid w:val="005E4FD1"/>
    <w:rsid w:val="005E57BE"/>
    <w:rsid w:val="005E59B7"/>
    <w:rsid w:val="005E792E"/>
    <w:rsid w:val="005E7CFC"/>
    <w:rsid w:val="005E7DCD"/>
    <w:rsid w:val="005F0775"/>
    <w:rsid w:val="005F0CF5"/>
    <w:rsid w:val="005F1E11"/>
    <w:rsid w:val="005F21EB"/>
    <w:rsid w:val="005F64CF"/>
    <w:rsid w:val="005F66FD"/>
    <w:rsid w:val="005F7B31"/>
    <w:rsid w:val="00600047"/>
    <w:rsid w:val="00601C9B"/>
    <w:rsid w:val="006035F8"/>
    <w:rsid w:val="006041AD"/>
    <w:rsid w:val="00604D22"/>
    <w:rsid w:val="006058A0"/>
    <w:rsid w:val="00605908"/>
    <w:rsid w:val="00605A98"/>
    <w:rsid w:val="00606F2F"/>
    <w:rsid w:val="00607850"/>
    <w:rsid w:val="00607EF7"/>
    <w:rsid w:val="00610D7C"/>
    <w:rsid w:val="00613414"/>
    <w:rsid w:val="00614A2C"/>
    <w:rsid w:val="00614D92"/>
    <w:rsid w:val="0061659B"/>
    <w:rsid w:val="00616CC0"/>
    <w:rsid w:val="00617668"/>
    <w:rsid w:val="00620151"/>
    <w:rsid w:val="00620154"/>
    <w:rsid w:val="00623B69"/>
    <w:rsid w:val="00623C52"/>
    <w:rsid w:val="0062408D"/>
    <w:rsid w:val="006240CC"/>
    <w:rsid w:val="00624940"/>
    <w:rsid w:val="006254F8"/>
    <w:rsid w:val="00626D4C"/>
    <w:rsid w:val="00627DA7"/>
    <w:rsid w:val="00630190"/>
    <w:rsid w:val="00630366"/>
    <w:rsid w:val="00630968"/>
    <w:rsid w:val="00630DA4"/>
    <w:rsid w:val="00631060"/>
    <w:rsid w:val="00631CD4"/>
    <w:rsid w:val="00632597"/>
    <w:rsid w:val="00633360"/>
    <w:rsid w:val="006343FD"/>
    <w:rsid w:val="00634593"/>
    <w:rsid w:val="00634D13"/>
    <w:rsid w:val="00635673"/>
    <w:rsid w:val="006358B4"/>
    <w:rsid w:val="00635D9E"/>
    <w:rsid w:val="00636B18"/>
    <w:rsid w:val="00636CE4"/>
    <w:rsid w:val="00641724"/>
    <w:rsid w:val="006419AA"/>
    <w:rsid w:val="00641CF1"/>
    <w:rsid w:val="006427BE"/>
    <w:rsid w:val="006442BE"/>
    <w:rsid w:val="0064437E"/>
    <w:rsid w:val="00644B1F"/>
    <w:rsid w:val="00644B7E"/>
    <w:rsid w:val="006454E6"/>
    <w:rsid w:val="00646235"/>
    <w:rsid w:val="00646A68"/>
    <w:rsid w:val="00647F3B"/>
    <w:rsid w:val="006505BD"/>
    <w:rsid w:val="006508EA"/>
    <w:rsid w:val="0065092E"/>
    <w:rsid w:val="00650A7F"/>
    <w:rsid w:val="006520BD"/>
    <w:rsid w:val="006529D6"/>
    <w:rsid w:val="00652BC8"/>
    <w:rsid w:val="00652E5D"/>
    <w:rsid w:val="006557A7"/>
    <w:rsid w:val="00656290"/>
    <w:rsid w:val="00657632"/>
    <w:rsid w:val="006601C9"/>
    <w:rsid w:val="006608D8"/>
    <w:rsid w:val="00661C1D"/>
    <w:rsid w:val="00661F6F"/>
    <w:rsid w:val="006621D7"/>
    <w:rsid w:val="0066302A"/>
    <w:rsid w:val="00663D54"/>
    <w:rsid w:val="0066514A"/>
    <w:rsid w:val="00665303"/>
    <w:rsid w:val="00667770"/>
    <w:rsid w:val="00670027"/>
    <w:rsid w:val="00670597"/>
    <w:rsid w:val="006706D0"/>
    <w:rsid w:val="00670703"/>
    <w:rsid w:val="00670B69"/>
    <w:rsid w:val="00671DE8"/>
    <w:rsid w:val="00675B31"/>
    <w:rsid w:val="006769D2"/>
    <w:rsid w:val="0067720F"/>
    <w:rsid w:val="00677574"/>
    <w:rsid w:val="00680201"/>
    <w:rsid w:val="006812ED"/>
    <w:rsid w:val="00681955"/>
    <w:rsid w:val="00683878"/>
    <w:rsid w:val="00683A3F"/>
    <w:rsid w:val="00684380"/>
    <w:rsid w:val="00684448"/>
    <w:rsid w:val="0068454C"/>
    <w:rsid w:val="00684A07"/>
    <w:rsid w:val="00685066"/>
    <w:rsid w:val="00685645"/>
    <w:rsid w:val="006868F7"/>
    <w:rsid w:val="00690BEA"/>
    <w:rsid w:val="00691931"/>
    <w:rsid w:val="00691B62"/>
    <w:rsid w:val="00692D81"/>
    <w:rsid w:val="006933B5"/>
    <w:rsid w:val="00693751"/>
    <w:rsid w:val="00693D14"/>
    <w:rsid w:val="00693E54"/>
    <w:rsid w:val="0069513E"/>
    <w:rsid w:val="00695A11"/>
    <w:rsid w:val="00695EAA"/>
    <w:rsid w:val="00695F6D"/>
    <w:rsid w:val="00696F27"/>
    <w:rsid w:val="0069732A"/>
    <w:rsid w:val="00697356"/>
    <w:rsid w:val="00697982"/>
    <w:rsid w:val="006A079F"/>
    <w:rsid w:val="006A07FD"/>
    <w:rsid w:val="006A0AEF"/>
    <w:rsid w:val="006A168D"/>
    <w:rsid w:val="006A18C2"/>
    <w:rsid w:val="006A3383"/>
    <w:rsid w:val="006A499F"/>
    <w:rsid w:val="006A57C0"/>
    <w:rsid w:val="006A583D"/>
    <w:rsid w:val="006A654E"/>
    <w:rsid w:val="006A720B"/>
    <w:rsid w:val="006A7F56"/>
    <w:rsid w:val="006B077C"/>
    <w:rsid w:val="006B0C81"/>
    <w:rsid w:val="006B0CDB"/>
    <w:rsid w:val="006B10D9"/>
    <w:rsid w:val="006B198B"/>
    <w:rsid w:val="006B2704"/>
    <w:rsid w:val="006B3CD8"/>
    <w:rsid w:val="006B6325"/>
    <w:rsid w:val="006B6803"/>
    <w:rsid w:val="006B6B5A"/>
    <w:rsid w:val="006B77DF"/>
    <w:rsid w:val="006B7AD3"/>
    <w:rsid w:val="006B7F0B"/>
    <w:rsid w:val="006C007E"/>
    <w:rsid w:val="006C0EF7"/>
    <w:rsid w:val="006C1C52"/>
    <w:rsid w:val="006C1EC4"/>
    <w:rsid w:val="006C21A7"/>
    <w:rsid w:val="006C5076"/>
    <w:rsid w:val="006C56DA"/>
    <w:rsid w:val="006C598E"/>
    <w:rsid w:val="006C65CC"/>
    <w:rsid w:val="006C692E"/>
    <w:rsid w:val="006C714A"/>
    <w:rsid w:val="006D0F16"/>
    <w:rsid w:val="006D1246"/>
    <w:rsid w:val="006D1629"/>
    <w:rsid w:val="006D2A3F"/>
    <w:rsid w:val="006D2E95"/>
    <w:rsid w:val="006D2FBC"/>
    <w:rsid w:val="006D36B4"/>
    <w:rsid w:val="006D3993"/>
    <w:rsid w:val="006D3E06"/>
    <w:rsid w:val="006D4876"/>
    <w:rsid w:val="006D5142"/>
    <w:rsid w:val="006D60B6"/>
    <w:rsid w:val="006D668B"/>
    <w:rsid w:val="006D6E34"/>
    <w:rsid w:val="006D7535"/>
    <w:rsid w:val="006E015D"/>
    <w:rsid w:val="006E0D25"/>
    <w:rsid w:val="006E0E2D"/>
    <w:rsid w:val="006E10CD"/>
    <w:rsid w:val="006E138B"/>
    <w:rsid w:val="006E1867"/>
    <w:rsid w:val="006E1ED5"/>
    <w:rsid w:val="006E2E35"/>
    <w:rsid w:val="006E3252"/>
    <w:rsid w:val="006E4DE2"/>
    <w:rsid w:val="006E62CC"/>
    <w:rsid w:val="006F0330"/>
    <w:rsid w:val="006F0E01"/>
    <w:rsid w:val="006F1FDC"/>
    <w:rsid w:val="006F20DC"/>
    <w:rsid w:val="006F2D26"/>
    <w:rsid w:val="006F345C"/>
    <w:rsid w:val="006F4168"/>
    <w:rsid w:val="006F651A"/>
    <w:rsid w:val="006F6B8C"/>
    <w:rsid w:val="006F7651"/>
    <w:rsid w:val="00701376"/>
    <w:rsid w:val="007013EF"/>
    <w:rsid w:val="007022AD"/>
    <w:rsid w:val="0070291F"/>
    <w:rsid w:val="00703F1E"/>
    <w:rsid w:val="00704029"/>
    <w:rsid w:val="007040E3"/>
    <w:rsid w:val="007055BD"/>
    <w:rsid w:val="0070575D"/>
    <w:rsid w:val="00705B07"/>
    <w:rsid w:val="0070661E"/>
    <w:rsid w:val="00706CB8"/>
    <w:rsid w:val="00707836"/>
    <w:rsid w:val="00710456"/>
    <w:rsid w:val="00710E32"/>
    <w:rsid w:val="00711286"/>
    <w:rsid w:val="007145B6"/>
    <w:rsid w:val="007153C2"/>
    <w:rsid w:val="00717371"/>
    <w:rsid w:val="007173CA"/>
    <w:rsid w:val="00717B2C"/>
    <w:rsid w:val="0072086C"/>
    <w:rsid w:val="00721617"/>
    <w:rsid w:val="007216AA"/>
    <w:rsid w:val="00721AB5"/>
    <w:rsid w:val="00721CFB"/>
    <w:rsid w:val="00721DEF"/>
    <w:rsid w:val="007228FB"/>
    <w:rsid w:val="00722D3A"/>
    <w:rsid w:val="0072362D"/>
    <w:rsid w:val="00724A43"/>
    <w:rsid w:val="00724ABD"/>
    <w:rsid w:val="007273AC"/>
    <w:rsid w:val="007301B7"/>
    <w:rsid w:val="00730743"/>
    <w:rsid w:val="00730BF3"/>
    <w:rsid w:val="0073122C"/>
    <w:rsid w:val="00731781"/>
    <w:rsid w:val="00731AD4"/>
    <w:rsid w:val="00732D8F"/>
    <w:rsid w:val="007346E4"/>
    <w:rsid w:val="00735564"/>
    <w:rsid w:val="00740F22"/>
    <w:rsid w:val="00741CF0"/>
    <w:rsid w:val="00741F1A"/>
    <w:rsid w:val="007420DD"/>
    <w:rsid w:val="0074299E"/>
    <w:rsid w:val="00744287"/>
    <w:rsid w:val="007447DA"/>
    <w:rsid w:val="007450CF"/>
    <w:rsid w:val="007450F8"/>
    <w:rsid w:val="00745313"/>
    <w:rsid w:val="0074696E"/>
    <w:rsid w:val="00747DE8"/>
    <w:rsid w:val="00750135"/>
    <w:rsid w:val="007508F6"/>
    <w:rsid w:val="00750EC2"/>
    <w:rsid w:val="007514A0"/>
    <w:rsid w:val="007529F0"/>
    <w:rsid w:val="00752A46"/>
    <w:rsid w:val="00752B28"/>
    <w:rsid w:val="007536BC"/>
    <w:rsid w:val="00753A59"/>
    <w:rsid w:val="007541A9"/>
    <w:rsid w:val="00754E36"/>
    <w:rsid w:val="00754F77"/>
    <w:rsid w:val="0075638C"/>
    <w:rsid w:val="00756982"/>
    <w:rsid w:val="007569D0"/>
    <w:rsid w:val="007603C3"/>
    <w:rsid w:val="00760CA8"/>
    <w:rsid w:val="00762257"/>
    <w:rsid w:val="00762720"/>
    <w:rsid w:val="00762844"/>
    <w:rsid w:val="00763113"/>
    <w:rsid w:val="00763139"/>
    <w:rsid w:val="007632F1"/>
    <w:rsid w:val="00764C5F"/>
    <w:rsid w:val="007656DE"/>
    <w:rsid w:val="007659B8"/>
    <w:rsid w:val="00765E92"/>
    <w:rsid w:val="007672C0"/>
    <w:rsid w:val="00767C74"/>
    <w:rsid w:val="00767ED5"/>
    <w:rsid w:val="00770F37"/>
    <w:rsid w:val="007711A0"/>
    <w:rsid w:val="00771753"/>
    <w:rsid w:val="00771E8D"/>
    <w:rsid w:val="00772D5E"/>
    <w:rsid w:val="0077463E"/>
    <w:rsid w:val="00775317"/>
    <w:rsid w:val="007756CC"/>
    <w:rsid w:val="00775A99"/>
    <w:rsid w:val="00776928"/>
    <w:rsid w:val="00776D56"/>
    <w:rsid w:val="00776E0F"/>
    <w:rsid w:val="007774B1"/>
    <w:rsid w:val="00777BE1"/>
    <w:rsid w:val="00777F8E"/>
    <w:rsid w:val="007800FC"/>
    <w:rsid w:val="00781AA2"/>
    <w:rsid w:val="00781C08"/>
    <w:rsid w:val="00782222"/>
    <w:rsid w:val="00782E67"/>
    <w:rsid w:val="007833D8"/>
    <w:rsid w:val="007833E4"/>
    <w:rsid w:val="00785677"/>
    <w:rsid w:val="00786F16"/>
    <w:rsid w:val="00787213"/>
    <w:rsid w:val="00790829"/>
    <w:rsid w:val="00791447"/>
    <w:rsid w:val="007914B8"/>
    <w:rsid w:val="00791BD7"/>
    <w:rsid w:val="007933F7"/>
    <w:rsid w:val="0079375B"/>
    <w:rsid w:val="00794262"/>
    <w:rsid w:val="00796A1B"/>
    <w:rsid w:val="00796B78"/>
    <w:rsid w:val="00796E20"/>
    <w:rsid w:val="00796F13"/>
    <w:rsid w:val="00797A67"/>
    <w:rsid w:val="00797C32"/>
    <w:rsid w:val="007A11E8"/>
    <w:rsid w:val="007A13BD"/>
    <w:rsid w:val="007A16F9"/>
    <w:rsid w:val="007A1A18"/>
    <w:rsid w:val="007A1CCE"/>
    <w:rsid w:val="007A3829"/>
    <w:rsid w:val="007A3AAC"/>
    <w:rsid w:val="007A447B"/>
    <w:rsid w:val="007A4D04"/>
    <w:rsid w:val="007A4E77"/>
    <w:rsid w:val="007A664A"/>
    <w:rsid w:val="007B0262"/>
    <w:rsid w:val="007B0914"/>
    <w:rsid w:val="007B1374"/>
    <w:rsid w:val="007B1B8C"/>
    <w:rsid w:val="007B2909"/>
    <w:rsid w:val="007B32E5"/>
    <w:rsid w:val="007B3DB9"/>
    <w:rsid w:val="007B589F"/>
    <w:rsid w:val="007B6186"/>
    <w:rsid w:val="007B68FF"/>
    <w:rsid w:val="007B6F0C"/>
    <w:rsid w:val="007B73BC"/>
    <w:rsid w:val="007C1838"/>
    <w:rsid w:val="007C1973"/>
    <w:rsid w:val="007C20B9"/>
    <w:rsid w:val="007C219F"/>
    <w:rsid w:val="007C2DF0"/>
    <w:rsid w:val="007C2F6C"/>
    <w:rsid w:val="007C308B"/>
    <w:rsid w:val="007C3899"/>
    <w:rsid w:val="007C3CAE"/>
    <w:rsid w:val="007C4153"/>
    <w:rsid w:val="007C5A1C"/>
    <w:rsid w:val="007C5AA1"/>
    <w:rsid w:val="007C5D0C"/>
    <w:rsid w:val="007C7301"/>
    <w:rsid w:val="007C7859"/>
    <w:rsid w:val="007C7F28"/>
    <w:rsid w:val="007D1466"/>
    <w:rsid w:val="007D1C84"/>
    <w:rsid w:val="007D2BDE"/>
    <w:rsid w:val="007D2F51"/>
    <w:rsid w:val="007D2FB6"/>
    <w:rsid w:val="007D412D"/>
    <w:rsid w:val="007D49EB"/>
    <w:rsid w:val="007D5003"/>
    <w:rsid w:val="007D58AC"/>
    <w:rsid w:val="007D5E1C"/>
    <w:rsid w:val="007D7AB5"/>
    <w:rsid w:val="007E0DE2"/>
    <w:rsid w:val="007E2C34"/>
    <w:rsid w:val="007E3166"/>
    <w:rsid w:val="007E3667"/>
    <w:rsid w:val="007E3B98"/>
    <w:rsid w:val="007E417A"/>
    <w:rsid w:val="007E5818"/>
    <w:rsid w:val="007E5C3B"/>
    <w:rsid w:val="007F01EE"/>
    <w:rsid w:val="007F1108"/>
    <w:rsid w:val="007F2C96"/>
    <w:rsid w:val="007F3048"/>
    <w:rsid w:val="007F31B6"/>
    <w:rsid w:val="007F3761"/>
    <w:rsid w:val="007F3B2D"/>
    <w:rsid w:val="007F3B93"/>
    <w:rsid w:val="007F546C"/>
    <w:rsid w:val="007F5C5B"/>
    <w:rsid w:val="007F6017"/>
    <w:rsid w:val="007F6222"/>
    <w:rsid w:val="007F625F"/>
    <w:rsid w:val="007F626C"/>
    <w:rsid w:val="007F6329"/>
    <w:rsid w:val="007F665E"/>
    <w:rsid w:val="007F68C7"/>
    <w:rsid w:val="007F6D4B"/>
    <w:rsid w:val="007F77FA"/>
    <w:rsid w:val="007F7DD0"/>
    <w:rsid w:val="00800412"/>
    <w:rsid w:val="00800997"/>
    <w:rsid w:val="0080119C"/>
    <w:rsid w:val="008023C9"/>
    <w:rsid w:val="00802E5C"/>
    <w:rsid w:val="00803C1D"/>
    <w:rsid w:val="00803CBE"/>
    <w:rsid w:val="0080417C"/>
    <w:rsid w:val="008056D1"/>
    <w:rsid w:val="0080587B"/>
    <w:rsid w:val="00805F0A"/>
    <w:rsid w:val="00806468"/>
    <w:rsid w:val="008078B2"/>
    <w:rsid w:val="00807A81"/>
    <w:rsid w:val="0081009B"/>
    <w:rsid w:val="008119CA"/>
    <w:rsid w:val="008130C4"/>
    <w:rsid w:val="00813A71"/>
    <w:rsid w:val="00813FE1"/>
    <w:rsid w:val="00814F53"/>
    <w:rsid w:val="008150DB"/>
    <w:rsid w:val="008155F0"/>
    <w:rsid w:val="00816735"/>
    <w:rsid w:val="0081696F"/>
    <w:rsid w:val="008173DC"/>
    <w:rsid w:val="008176C0"/>
    <w:rsid w:val="00820141"/>
    <w:rsid w:val="00820E0C"/>
    <w:rsid w:val="00821812"/>
    <w:rsid w:val="00823275"/>
    <w:rsid w:val="0082366F"/>
    <w:rsid w:val="008238EF"/>
    <w:rsid w:val="008267A2"/>
    <w:rsid w:val="00830605"/>
    <w:rsid w:val="008317BB"/>
    <w:rsid w:val="008318A8"/>
    <w:rsid w:val="00831B47"/>
    <w:rsid w:val="00832813"/>
    <w:rsid w:val="00833357"/>
    <w:rsid w:val="008333B8"/>
    <w:rsid w:val="008334AB"/>
    <w:rsid w:val="008338A2"/>
    <w:rsid w:val="008347AD"/>
    <w:rsid w:val="00836281"/>
    <w:rsid w:val="0083668E"/>
    <w:rsid w:val="00836FB2"/>
    <w:rsid w:val="00837668"/>
    <w:rsid w:val="00840759"/>
    <w:rsid w:val="00841AA9"/>
    <w:rsid w:val="008424E1"/>
    <w:rsid w:val="00843E5E"/>
    <w:rsid w:val="00845440"/>
    <w:rsid w:val="00845678"/>
    <w:rsid w:val="00845AC5"/>
    <w:rsid w:val="00845AEC"/>
    <w:rsid w:val="008465E8"/>
    <w:rsid w:val="008474FE"/>
    <w:rsid w:val="00852793"/>
    <w:rsid w:val="00853CE5"/>
    <w:rsid w:val="00853EE4"/>
    <w:rsid w:val="00855535"/>
    <w:rsid w:val="00857796"/>
    <w:rsid w:val="00857C5A"/>
    <w:rsid w:val="00857CE3"/>
    <w:rsid w:val="008605BE"/>
    <w:rsid w:val="0086076A"/>
    <w:rsid w:val="0086255E"/>
    <w:rsid w:val="008631A1"/>
    <w:rsid w:val="008633F0"/>
    <w:rsid w:val="00863AD8"/>
    <w:rsid w:val="00865148"/>
    <w:rsid w:val="008653AF"/>
    <w:rsid w:val="008658F5"/>
    <w:rsid w:val="00865D79"/>
    <w:rsid w:val="008672E7"/>
    <w:rsid w:val="00867D9D"/>
    <w:rsid w:val="00871C88"/>
    <w:rsid w:val="00872E0A"/>
    <w:rsid w:val="00872E6B"/>
    <w:rsid w:val="0087312E"/>
    <w:rsid w:val="00873594"/>
    <w:rsid w:val="008737A2"/>
    <w:rsid w:val="00875285"/>
    <w:rsid w:val="00875ECC"/>
    <w:rsid w:val="0088084E"/>
    <w:rsid w:val="00881B70"/>
    <w:rsid w:val="00884B62"/>
    <w:rsid w:val="0088529C"/>
    <w:rsid w:val="00885AE6"/>
    <w:rsid w:val="00885B8C"/>
    <w:rsid w:val="0088666F"/>
    <w:rsid w:val="0088735E"/>
    <w:rsid w:val="0088773F"/>
    <w:rsid w:val="00887797"/>
    <w:rsid w:val="00887903"/>
    <w:rsid w:val="00887982"/>
    <w:rsid w:val="00890D18"/>
    <w:rsid w:val="00892187"/>
    <w:rsid w:val="0089270A"/>
    <w:rsid w:val="008927DB"/>
    <w:rsid w:val="00893AF6"/>
    <w:rsid w:val="00894BC4"/>
    <w:rsid w:val="00895D1E"/>
    <w:rsid w:val="00896890"/>
    <w:rsid w:val="008974E8"/>
    <w:rsid w:val="008A1F7F"/>
    <w:rsid w:val="008A208C"/>
    <w:rsid w:val="008A28A8"/>
    <w:rsid w:val="008A3B02"/>
    <w:rsid w:val="008A5B32"/>
    <w:rsid w:val="008A7521"/>
    <w:rsid w:val="008B1536"/>
    <w:rsid w:val="008B1546"/>
    <w:rsid w:val="008B1F74"/>
    <w:rsid w:val="008B2029"/>
    <w:rsid w:val="008B21C7"/>
    <w:rsid w:val="008B2EE4"/>
    <w:rsid w:val="008B37CF"/>
    <w:rsid w:val="008B3821"/>
    <w:rsid w:val="008B4D3D"/>
    <w:rsid w:val="008B5248"/>
    <w:rsid w:val="008B57C7"/>
    <w:rsid w:val="008B6F93"/>
    <w:rsid w:val="008C099F"/>
    <w:rsid w:val="008C15ED"/>
    <w:rsid w:val="008C1C41"/>
    <w:rsid w:val="008C2415"/>
    <w:rsid w:val="008C2F92"/>
    <w:rsid w:val="008C308A"/>
    <w:rsid w:val="008C3546"/>
    <w:rsid w:val="008C4CF9"/>
    <w:rsid w:val="008C589D"/>
    <w:rsid w:val="008C59B8"/>
    <w:rsid w:val="008C6D51"/>
    <w:rsid w:val="008D01EA"/>
    <w:rsid w:val="008D250A"/>
    <w:rsid w:val="008D2846"/>
    <w:rsid w:val="008D3B8E"/>
    <w:rsid w:val="008D4236"/>
    <w:rsid w:val="008D43B6"/>
    <w:rsid w:val="008D462F"/>
    <w:rsid w:val="008D53EF"/>
    <w:rsid w:val="008D5EA8"/>
    <w:rsid w:val="008D6DCF"/>
    <w:rsid w:val="008D7DB4"/>
    <w:rsid w:val="008E08B5"/>
    <w:rsid w:val="008E1AB1"/>
    <w:rsid w:val="008E20A8"/>
    <w:rsid w:val="008E2648"/>
    <w:rsid w:val="008E26E4"/>
    <w:rsid w:val="008E4376"/>
    <w:rsid w:val="008E654D"/>
    <w:rsid w:val="008E71C8"/>
    <w:rsid w:val="008E7A0A"/>
    <w:rsid w:val="008E7B49"/>
    <w:rsid w:val="008F052C"/>
    <w:rsid w:val="008F07B6"/>
    <w:rsid w:val="008F12C5"/>
    <w:rsid w:val="008F1577"/>
    <w:rsid w:val="008F242B"/>
    <w:rsid w:val="008F3647"/>
    <w:rsid w:val="008F51F6"/>
    <w:rsid w:val="008F56E0"/>
    <w:rsid w:val="008F59F6"/>
    <w:rsid w:val="008F63A6"/>
    <w:rsid w:val="008F712E"/>
    <w:rsid w:val="008F7EAB"/>
    <w:rsid w:val="00900719"/>
    <w:rsid w:val="009011D3"/>
    <w:rsid w:val="00901463"/>
    <w:rsid w:val="009014CA"/>
    <w:rsid w:val="009017AC"/>
    <w:rsid w:val="0090181E"/>
    <w:rsid w:val="00901B79"/>
    <w:rsid w:val="00902784"/>
    <w:rsid w:val="00902A9A"/>
    <w:rsid w:val="00904A1C"/>
    <w:rsid w:val="00905030"/>
    <w:rsid w:val="00905CF2"/>
    <w:rsid w:val="00906490"/>
    <w:rsid w:val="00906958"/>
    <w:rsid w:val="0090742A"/>
    <w:rsid w:val="009108F9"/>
    <w:rsid w:val="009111B2"/>
    <w:rsid w:val="0091291A"/>
    <w:rsid w:val="00912AA0"/>
    <w:rsid w:val="009136A9"/>
    <w:rsid w:val="0091380B"/>
    <w:rsid w:val="0091475D"/>
    <w:rsid w:val="009151F5"/>
    <w:rsid w:val="009153C3"/>
    <w:rsid w:val="00915575"/>
    <w:rsid w:val="00915C86"/>
    <w:rsid w:val="00920E5F"/>
    <w:rsid w:val="00922D5B"/>
    <w:rsid w:val="00922EB4"/>
    <w:rsid w:val="009234D9"/>
    <w:rsid w:val="00923527"/>
    <w:rsid w:val="00923B31"/>
    <w:rsid w:val="00924AE1"/>
    <w:rsid w:val="00924B57"/>
    <w:rsid w:val="00925893"/>
    <w:rsid w:val="0092687F"/>
    <w:rsid w:val="009269B1"/>
    <w:rsid w:val="0092724D"/>
    <w:rsid w:val="009272B3"/>
    <w:rsid w:val="009315BE"/>
    <w:rsid w:val="009316BB"/>
    <w:rsid w:val="009326DD"/>
    <w:rsid w:val="0093338F"/>
    <w:rsid w:val="009347F9"/>
    <w:rsid w:val="009363C6"/>
    <w:rsid w:val="00937BD9"/>
    <w:rsid w:val="00940466"/>
    <w:rsid w:val="0094159D"/>
    <w:rsid w:val="0094204C"/>
    <w:rsid w:val="00942F68"/>
    <w:rsid w:val="00944AB0"/>
    <w:rsid w:val="009454DA"/>
    <w:rsid w:val="00950E2C"/>
    <w:rsid w:val="00951CB2"/>
    <w:rsid w:val="00951D50"/>
    <w:rsid w:val="009525EB"/>
    <w:rsid w:val="009537B0"/>
    <w:rsid w:val="00953BBD"/>
    <w:rsid w:val="0095470B"/>
    <w:rsid w:val="00954874"/>
    <w:rsid w:val="00954DF6"/>
    <w:rsid w:val="009556C6"/>
    <w:rsid w:val="00955DD9"/>
    <w:rsid w:val="0095615A"/>
    <w:rsid w:val="00961400"/>
    <w:rsid w:val="0096297B"/>
    <w:rsid w:val="00963646"/>
    <w:rsid w:val="00964307"/>
    <w:rsid w:val="00964471"/>
    <w:rsid w:val="0096632D"/>
    <w:rsid w:val="00966C48"/>
    <w:rsid w:val="00967114"/>
    <w:rsid w:val="00967124"/>
    <w:rsid w:val="0096721F"/>
    <w:rsid w:val="0096746C"/>
    <w:rsid w:val="0097166C"/>
    <w:rsid w:val="009718C7"/>
    <w:rsid w:val="009720C9"/>
    <w:rsid w:val="00973E87"/>
    <w:rsid w:val="00974D50"/>
    <w:rsid w:val="0097559F"/>
    <w:rsid w:val="00975F7F"/>
    <w:rsid w:val="009761EA"/>
    <w:rsid w:val="0097761E"/>
    <w:rsid w:val="00977665"/>
    <w:rsid w:val="00977FA5"/>
    <w:rsid w:val="0098058C"/>
    <w:rsid w:val="00981B3B"/>
    <w:rsid w:val="00981BAF"/>
    <w:rsid w:val="00982454"/>
    <w:rsid w:val="0098260F"/>
    <w:rsid w:val="00982CF0"/>
    <w:rsid w:val="009853E1"/>
    <w:rsid w:val="00985E58"/>
    <w:rsid w:val="00986E6B"/>
    <w:rsid w:val="00990032"/>
    <w:rsid w:val="00990B19"/>
    <w:rsid w:val="0099153B"/>
    <w:rsid w:val="00991769"/>
    <w:rsid w:val="00991F9D"/>
    <w:rsid w:val="0099232C"/>
    <w:rsid w:val="00993A51"/>
    <w:rsid w:val="00993CDF"/>
    <w:rsid w:val="00994386"/>
    <w:rsid w:val="00995B12"/>
    <w:rsid w:val="009A0D08"/>
    <w:rsid w:val="009A13D8"/>
    <w:rsid w:val="009A1ABA"/>
    <w:rsid w:val="009A226A"/>
    <w:rsid w:val="009A279E"/>
    <w:rsid w:val="009A2E94"/>
    <w:rsid w:val="009A3015"/>
    <w:rsid w:val="009A3490"/>
    <w:rsid w:val="009A3734"/>
    <w:rsid w:val="009A3E33"/>
    <w:rsid w:val="009A5DBE"/>
    <w:rsid w:val="009A6D6C"/>
    <w:rsid w:val="009B0A6F"/>
    <w:rsid w:val="009B0A94"/>
    <w:rsid w:val="009B0C62"/>
    <w:rsid w:val="009B27E8"/>
    <w:rsid w:val="009B2AE8"/>
    <w:rsid w:val="009B3B7E"/>
    <w:rsid w:val="009B5622"/>
    <w:rsid w:val="009B59E9"/>
    <w:rsid w:val="009B5B9A"/>
    <w:rsid w:val="009B633A"/>
    <w:rsid w:val="009B70AA"/>
    <w:rsid w:val="009B7F5D"/>
    <w:rsid w:val="009C245E"/>
    <w:rsid w:val="009C280E"/>
    <w:rsid w:val="009C3CD9"/>
    <w:rsid w:val="009C4F09"/>
    <w:rsid w:val="009C5C17"/>
    <w:rsid w:val="009C5E0D"/>
    <w:rsid w:val="009C5E77"/>
    <w:rsid w:val="009C6FE3"/>
    <w:rsid w:val="009C7A7E"/>
    <w:rsid w:val="009D02E8"/>
    <w:rsid w:val="009D02E9"/>
    <w:rsid w:val="009D069A"/>
    <w:rsid w:val="009D266D"/>
    <w:rsid w:val="009D3450"/>
    <w:rsid w:val="009D38B1"/>
    <w:rsid w:val="009D40F6"/>
    <w:rsid w:val="009D51D0"/>
    <w:rsid w:val="009D70A4"/>
    <w:rsid w:val="009D7B14"/>
    <w:rsid w:val="009E08D1"/>
    <w:rsid w:val="009E0BA9"/>
    <w:rsid w:val="009E0D96"/>
    <w:rsid w:val="009E1B95"/>
    <w:rsid w:val="009E2C34"/>
    <w:rsid w:val="009E2ED7"/>
    <w:rsid w:val="009E496F"/>
    <w:rsid w:val="009E4B0D"/>
    <w:rsid w:val="009E5250"/>
    <w:rsid w:val="009E5728"/>
    <w:rsid w:val="009E628C"/>
    <w:rsid w:val="009E7068"/>
    <w:rsid w:val="009E7A69"/>
    <w:rsid w:val="009E7F92"/>
    <w:rsid w:val="009F02A3"/>
    <w:rsid w:val="009F2182"/>
    <w:rsid w:val="009F254B"/>
    <w:rsid w:val="009F2F27"/>
    <w:rsid w:val="009F3188"/>
    <w:rsid w:val="009F34AA"/>
    <w:rsid w:val="009F3740"/>
    <w:rsid w:val="009F3C16"/>
    <w:rsid w:val="009F6BCB"/>
    <w:rsid w:val="009F7952"/>
    <w:rsid w:val="009F7B78"/>
    <w:rsid w:val="009F7CB2"/>
    <w:rsid w:val="00A003ED"/>
    <w:rsid w:val="00A0057A"/>
    <w:rsid w:val="00A00946"/>
    <w:rsid w:val="00A00F7A"/>
    <w:rsid w:val="00A01914"/>
    <w:rsid w:val="00A01A63"/>
    <w:rsid w:val="00A01FF8"/>
    <w:rsid w:val="00A02FA1"/>
    <w:rsid w:val="00A04CCE"/>
    <w:rsid w:val="00A058F7"/>
    <w:rsid w:val="00A06234"/>
    <w:rsid w:val="00A07421"/>
    <w:rsid w:val="00A0776B"/>
    <w:rsid w:val="00A077D0"/>
    <w:rsid w:val="00A07BEF"/>
    <w:rsid w:val="00A07C3E"/>
    <w:rsid w:val="00A07FD0"/>
    <w:rsid w:val="00A10A19"/>
    <w:rsid w:val="00A10FB9"/>
    <w:rsid w:val="00A110A9"/>
    <w:rsid w:val="00A11421"/>
    <w:rsid w:val="00A11A59"/>
    <w:rsid w:val="00A120ED"/>
    <w:rsid w:val="00A12881"/>
    <w:rsid w:val="00A128EF"/>
    <w:rsid w:val="00A132D4"/>
    <w:rsid w:val="00A13764"/>
    <w:rsid w:val="00A1389F"/>
    <w:rsid w:val="00A13F03"/>
    <w:rsid w:val="00A14777"/>
    <w:rsid w:val="00A14AB2"/>
    <w:rsid w:val="00A157B1"/>
    <w:rsid w:val="00A158AA"/>
    <w:rsid w:val="00A16A8A"/>
    <w:rsid w:val="00A16E93"/>
    <w:rsid w:val="00A1738F"/>
    <w:rsid w:val="00A22229"/>
    <w:rsid w:val="00A22D61"/>
    <w:rsid w:val="00A2300B"/>
    <w:rsid w:val="00A23EF6"/>
    <w:rsid w:val="00A242ED"/>
    <w:rsid w:val="00A24442"/>
    <w:rsid w:val="00A24ADA"/>
    <w:rsid w:val="00A2526F"/>
    <w:rsid w:val="00A25C0F"/>
    <w:rsid w:val="00A264CA"/>
    <w:rsid w:val="00A2760E"/>
    <w:rsid w:val="00A276D1"/>
    <w:rsid w:val="00A27E21"/>
    <w:rsid w:val="00A30257"/>
    <w:rsid w:val="00A30A30"/>
    <w:rsid w:val="00A32577"/>
    <w:rsid w:val="00A32B00"/>
    <w:rsid w:val="00A32D7D"/>
    <w:rsid w:val="00A330BB"/>
    <w:rsid w:val="00A330DF"/>
    <w:rsid w:val="00A33F5C"/>
    <w:rsid w:val="00A34A5C"/>
    <w:rsid w:val="00A35DB8"/>
    <w:rsid w:val="00A36501"/>
    <w:rsid w:val="00A36707"/>
    <w:rsid w:val="00A36E00"/>
    <w:rsid w:val="00A404A3"/>
    <w:rsid w:val="00A414D1"/>
    <w:rsid w:val="00A43892"/>
    <w:rsid w:val="00A43A1C"/>
    <w:rsid w:val="00A446F5"/>
    <w:rsid w:val="00A44882"/>
    <w:rsid w:val="00A44F5C"/>
    <w:rsid w:val="00A45125"/>
    <w:rsid w:val="00A4567C"/>
    <w:rsid w:val="00A51178"/>
    <w:rsid w:val="00A51F81"/>
    <w:rsid w:val="00A54715"/>
    <w:rsid w:val="00A5619B"/>
    <w:rsid w:val="00A57D80"/>
    <w:rsid w:val="00A6061C"/>
    <w:rsid w:val="00A62D44"/>
    <w:rsid w:val="00A63B56"/>
    <w:rsid w:val="00A64607"/>
    <w:rsid w:val="00A64616"/>
    <w:rsid w:val="00A650B3"/>
    <w:rsid w:val="00A65BFD"/>
    <w:rsid w:val="00A665E7"/>
    <w:rsid w:val="00A66BBA"/>
    <w:rsid w:val="00A67263"/>
    <w:rsid w:val="00A704E9"/>
    <w:rsid w:val="00A7074F"/>
    <w:rsid w:val="00A7111A"/>
    <w:rsid w:val="00A714FF"/>
    <w:rsid w:val="00A7161C"/>
    <w:rsid w:val="00A719E9"/>
    <w:rsid w:val="00A71CE4"/>
    <w:rsid w:val="00A7380D"/>
    <w:rsid w:val="00A747DA"/>
    <w:rsid w:val="00A7511B"/>
    <w:rsid w:val="00A77AA3"/>
    <w:rsid w:val="00A8236D"/>
    <w:rsid w:val="00A849C9"/>
    <w:rsid w:val="00A854EB"/>
    <w:rsid w:val="00A862F5"/>
    <w:rsid w:val="00A872E5"/>
    <w:rsid w:val="00A87ECC"/>
    <w:rsid w:val="00A91406"/>
    <w:rsid w:val="00A92B92"/>
    <w:rsid w:val="00A93DBB"/>
    <w:rsid w:val="00A95310"/>
    <w:rsid w:val="00A9628E"/>
    <w:rsid w:val="00A963EE"/>
    <w:rsid w:val="00A96E65"/>
    <w:rsid w:val="00A96ECE"/>
    <w:rsid w:val="00A97326"/>
    <w:rsid w:val="00A97C72"/>
    <w:rsid w:val="00AA0094"/>
    <w:rsid w:val="00AA1378"/>
    <w:rsid w:val="00AA204E"/>
    <w:rsid w:val="00AA2AE7"/>
    <w:rsid w:val="00AA310B"/>
    <w:rsid w:val="00AA4FA6"/>
    <w:rsid w:val="00AA63D4"/>
    <w:rsid w:val="00AA6517"/>
    <w:rsid w:val="00AA6B31"/>
    <w:rsid w:val="00AA7732"/>
    <w:rsid w:val="00AA7CAA"/>
    <w:rsid w:val="00AB05E0"/>
    <w:rsid w:val="00AB06E8"/>
    <w:rsid w:val="00AB0A14"/>
    <w:rsid w:val="00AB1BCE"/>
    <w:rsid w:val="00AB1CD3"/>
    <w:rsid w:val="00AB2185"/>
    <w:rsid w:val="00AB229A"/>
    <w:rsid w:val="00AB2C06"/>
    <w:rsid w:val="00AB2EB4"/>
    <w:rsid w:val="00AB352F"/>
    <w:rsid w:val="00AB3BE1"/>
    <w:rsid w:val="00AB4CD7"/>
    <w:rsid w:val="00AB5271"/>
    <w:rsid w:val="00AB5627"/>
    <w:rsid w:val="00AB61E9"/>
    <w:rsid w:val="00AC0141"/>
    <w:rsid w:val="00AC0C54"/>
    <w:rsid w:val="00AC17DA"/>
    <w:rsid w:val="00AC19F9"/>
    <w:rsid w:val="00AC23EB"/>
    <w:rsid w:val="00AC274B"/>
    <w:rsid w:val="00AC3345"/>
    <w:rsid w:val="00AC4520"/>
    <w:rsid w:val="00AC4764"/>
    <w:rsid w:val="00AC564A"/>
    <w:rsid w:val="00AC57D8"/>
    <w:rsid w:val="00AC6D36"/>
    <w:rsid w:val="00AC7DA0"/>
    <w:rsid w:val="00AD06E6"/>
    <w:rsid w:val="00AD0CBA"/>
    <w:rsid w:val="00AD1AC6"/>
    <w:rsid w:val="00AD21EE"/>
    <w:rsid w:val="00AD26E2"/>
    <w:rsid w:val="00AD2C57"/>
    <w:rsid w:val="00AD3C31"/>
    <w:rsid w:val="00AD442C"/>
    <w:rsid w:val="00AD49B9"/>
    <w:rsid w:val="00AD5144"/>
    <w:rsid w:val="00AD659A"/>
    <w:rsid w:val="00AD68F2"/>
    <w:rsid w:val="00AD784C"/>
    <w:rsid w:val="00AE126A"/>
    <w:rsid w:val="00AE1BAE"/>
    <w:rsid w:val="00AE2E8C"/>
    <w:rsid w:val="00AE3005"/>
    <w:rsid w:val="00AE3A90"/>
    <w:rsid w:val="00AE3BD5"/>
    <w:rsid w:val="00AE3E0D"/>
    <w:rsid w:val="00AE4A58"/>
    <w:rsid w:val="00AE59A0"/>
    <w:rsid w:val="00AE5BAC"/>
    <w:rsid w:val="00AE7C10"/>
    <w:rsid w:val="00AF046C"/>
    <w:rsid w:val="00AF0ABB"/>
    <w:rsid w:val="00AF0C57"/>
    <w:rsid w:val="00AF14B3"/>
    <w:rsid w:val="00AF18DA"/>
    <w:rsid w:val="00AF26F3"/>
    <w:rsid w:val="00AF3189"/>
    <w:rsid w:val="00AF33DB"/>
    <w:rsid w:val="00AF3E45"/>
    <w:rsid w:val="00AF40C3"/>
    <w:rsid w:val="00AF4D10"/>
    <w:rsid w:val="00AF574B"/>
    <w:rsid w:val="00AF5F04"/>
    <w:rsid w:val="00AF656F"/>
    <w:rsid w:val="00AF7E0E"/>
    <w:rsid w:val="00B0038E"/>
    <w:rsid w:val="00B00672"/>
    <w:rsid w:val="00B007A9"/>
    <w:rsid w:val="00B01B4D"/>
    <w:rsid w:val="00B04489"/>
    <w:rsid w:val="00B04A5E"/>
    <w:rsid w:val="00B05E7F"/>
    <w:rsid w:val="00B061D7"/>
    <w:rsid w:val="00B06571"/>
    <w:rsid w:val="00B068BA"/>
    <w:rsid w:val="00B07217"/>
    <w:rsid w:val="00B101ED"/>
    <w:rsid w:val="00B106DF"/>
    <w:rsid w:val="00B1234F"/>
    <w:rsid w:val="00B13230"/>
    <w:rsid w:val="00B13851"/>
    <w:rsid w:val="00B13B1C"/>
    <w:rsid w:val="00B14B5F"/>
    <w:rsid w:val="00B1713A"/>
    <w:rsid w:val="00B21F90"/>
    <w:rsid w:val="00B22291"/>
    <w:rsid w:val="00B22849"/>
    <w:rsid w:val="00B229B3"/>
    <w:rsid w:val="00B23077"/>
    <w:rsid w:val="00B23197"/>
    <w:rsid w:val="00B23F9A"/>
    <w:rsid w:val="00B2417B"/>
    <w:rsid w:val="00B24E6F"/>
    <w:rsid w:val="00B252DE"/>
    <w:rsid w:val="00B25C7A"/>
    <w:rsid w:val="00B25DDC"/>
    <w:rsid w:val="00B26259"/>
    <w:rsid w:val="00B26CB5"/>
    <w:rsid w:val="00B2752E"/>
    <w:rsid w:val="00B276DB"/>
    <w:rsid w:val="00B27966"/>
    <w:rsid w:val="00B302AF"/>
    <w:rsid w:val="00B307CC"/>
    <w:rsid w:val="00B326B7"/>
    <w:rsid w:val="00B32BE3"/>
    <w:rsid w:val="00B33052"/>
    <w:rsid w:val="00B33CCB"/>
    <w:rsid w:val="00B3588E"/>
    <w:rsid w:val="00B366CA"/>
    <w:rsid w:val="00B40A2A"/>
    <w:rsid w:val="00B40B71"/>
    <w:rsid w:val="00B4198F"/>
    <w:rsid w:val="00B41F3D"/>
    <w:rsid w:val="00B420F2"/>
    <w:rsid w:val="00B42450"/>
    <w:rsid w:val="00B431E8"/>
    <w:rsid w:val="00B43654"/>
    <w:rsid w:val="00B436B2"/>
    <w:rsid w:val="00B43A86"/>
    <w:rsid w:val="00B45141"/>
    <w:rsid w:val="00B453A8"/>
    <w:rsid w:val="00B509B5"/>
    <w:rsid w:val="00B50BC1"/>
    <w:rsid w:val="00B519CD"/>
    <w:rsid w:val="00B524C2"/>
    <w:rsid w:val="00B5273A"/>
    <w:rsid w:val="00B538FA"/>
    <w:rsid w:val="00B544E9"/>
    <w:rsid w:val="00B55651"/>
    <w:rsid w:val="00B56463"/>
    <w:rsid w:val="00B56859"/>
    <w:rsid w:val="00B568A2"/>
    <w:rsid w:val="00B56932"/>
    <w:rsid w:val="00B5695F"/>
    <w:rsid w:val="00B56F79"/>
    <w:rsid w:val="00B57329"/>
    <w:rsid w:val="00B57F6F"/>
    <w:rsid w:val="00B6016D"/>
    <w:rsid w:val="00B60E61"/>
    <w:rsid w:val="00B62485"/>
    <w:rsid w:val="00B62B50"/>
    <w:rsid w:val="00B635B7"/>
    <w:rsid w:val="00B63AE8"/>
    <w:rsid w:val="00B653F5"/>
    <w:rsid w:val="00B65950"/>
    <w:rsid w:val="00B66D83"/>
    <w:rsid w:val="00B672C0"/>
    <w:rsid w:val="00B676FD"/>
    <w:rsid w:val="00B678B6"/>
    <w:rsid w:val="00B71D43"/>
    <w:rsid w:val="00B73670"/>
    <w:rsid w:val="00B7416D"/>
    <w:rsid w:val="00B743AF"/>
    <w:rsid w:val="00B746DE"/>
    <w:rsid w:val="00B751CD"/>
    <w:rsid w:val="00B75646"/>
    <w:rsid w:val="00B75BE4"/>
    <w:rsid w:val="00B7629E"/>
    <w:rsid w:val="00B76913"/>
    <w:rsid w:val="00B76C69"/>
    <w:rsid w:val="00B77BED"/>
    <w:rsid w:val="00B811E8"/>
    <w:rsid w:val="00B814B8"/>
    <w:rsid w:val="00B83B59"/>
    <w:rsid w:val="00B840B3"/>
    <w:rsid w:val="00B84706"/>
    <w:rsid w:val="00B84CDE"/>
    <w:rsid w:val="00B84F88"/>
    <w:rsid w:val="00B85953"/>
    <w:rsid w:val="00B86C7B"/>
    <w:rsid w:val="00B87531"/>
    <w:rsid w:val="00B90729"/>
    <w:rsid w:val="00B907DA"/>
    <w:rsid w:val="00B91084"/>
    <w:rsid w:val="00B920FE"/>
    <w:rsid w:val="00B927AF"/>
    <w:rsid w:val="00B92BEE"/>
    <w:rsid w:val="00B92D96"/>
    <w:rsid w:val="00B932B8"/>
    <w:rsid w:val="00B93D6C"/>
    <w:rsid w:val="00B94C5E"/>
    <w:rsid w:val="00B950BC"/>
    <w:rsid w:val="00B952CE"/>
    <w:rsid w:val="00B95F0C"/>
    <w:rsid w:val="00B9714C"/>
    <w:rsid w:val="00BA0033"/>
    <w:rsid w:val="00BA0453"/>
    <w:rsid w:val="00BA072E"/>
    <w:rsid w:val="00BA16C0"/>
    <w:rsid w:val="00BA24CE"/>
    <w:rsid w:val="00BA29AD"/>
    <w:rsid w:val="00BA33CF"/>
    <w:rsid w:val="00BA3429"/>
    <w:rsid w:val="00BA3F74"/>
    <w:rsid w:val="00BA3F8D"/>
    <w:rsid w:val="00BA404A"/>
    <w:rsid w:val="00BA469A"/>
    <w:rsid w:val="00BA62A4"/>
    <w:rsid w:val="00BA7893"/>
    <w:rsid w:val="00BB09DC"/>
    <w:rsid w:val="00BB4AF4"/>
    <w:rsid w:val="00BB5C32"/>
    <w:rsid w:val="00BB6475"/>
    <w:rsid w:val="00BB7780"/>
    <w:rsid w:val="00BB7A10"/>
    <w:rsid w:val="00BB7F48"/>
    <w:rsid w:val="00BC1B2D"/>
    <w:rsid w:val="00BC1C64"/>
    <w:rsid w:val="00BC22D6"/>
    <w:rsid w:val="00BC2E36"/>
    <w:rsid w:val="00BC30D8"/>
    <w:rsid w:val="00BC348E"/>
    <w:rsid w:val="00BC35C2"/>
    <w:rsid w:val="00BC4754"/>
    <w:rsid w:val="00BC59CF"/>
    <w:rsid w:val="00BC5C98"/>
    <w:rsid w:val="00BC60BE"/>
    <w:rsid w:val="00BC7468"/>
    <w:rsid w:val="00BC7D4F"/>
    <w:rsid w:val="00BC7ED7"/>
    <w:rsid w:val="00BD1855"/>
    <w:rsid w:val="00BD19F0"/>
    <w:rsid w:val="00BD1A05"/>
    <w:rsid w:val="00BD2850"/>
    <w:rsid w:val="00BD3312"/>
    <w:rsid w:val="00BD46E4"/>
    <w:rsid w:val="00BD4725"/>
    <w:rsid w:val="00BD479F"/>
    <w:rsid w:val="00BD63A7"/>
    <w:rsid w:val="00BD6B43"/>
    <w:rsid w:val="00BD7980"/>
    <w:rsid w:val="00BD7B10"/>
    <w:rsid w:val="00BD7C46"/>
    <w:rsid w:val="00BE1ED7"/>
    <w:rsid w:val="00BE28D2"/>
    <w:rsid w:val="00BE2BF4"/>
    <w:rsid w:val="00BE324B"/>
    <w:rsid w:val="00BE4065"/>
    <w:rsid w:val="00BE4A64"/>
    <w:rsid w:val="00BE5E43"/>
    <w:rsid w:val="00BE650B"/>
    <w:rsid w:val="00BE6918"/>
    <w:rsid w:val="00BE7891"/>
    <w:rsid w:val="00BF0B1B"/>
    <w:rsid w:val="00BF3176"/>
    <w:rsid w:val="00BF4181"/>
    <w:rsid w:val="00BF557D"/>
    <w:rsid w:val="00BF63D1"/>
    <w:rsid w:val="00BF658D"/>
    <w:rsid w:val="00BF72E2"/>
    <w:rsid w:val="00BF7F58"/>
    <w:rsid w:val="00C01381"/>
    <w:rsid w:val="00C013FD"/>
    <w:rsid w:val="00C01AB1"/>
    <w:rsid w:val="00C026A0"/>
    <w:rsid w:val="00C03C44"/>
    <w:rsid w:val="00C04CFE"/>
    <w:rsid w:val="00C053F3"/>
    <w:rsid w:val="00C06137"/>
    <w:rsid w:val="00C06929"/>
    <w:rsid w:val="00C06970"/>
    <w:rsid w:val="00C069F0"/>
    <w:rsid w:val="00C079B8"/>
    <w:rsid w:val="00C10037"/>
    <w:rsid w:val="00C11326"/>
    <w:rsid w:val="00C115E1"/>
    <w:rsid w:val="00C11C73"/>
    <w:rsid w:val="00C123EA"/>
    <w:rsid w:val="00C1268D"/>
    <w:rsid w:val="00C12A49"/>
    <w:rsid w:val="00C133EE"/>
    <w:rsid w:val="00C149D0"/>
    <w:rsid w:val="00C1517B"/>
    <w:rsid w:val="00C1526F"/>
    <w:rsid w:val="00C153EF"/>
    <w:rsid w:val="00C15805"/>
    <w:rsid w:val="00C15D95"/>
    <w:rsid w:val="00C175C0"/>
    <w:rsid w:val="00C2470A"/>
    <w:rsid w:val="00C26588"/>
    <w:rsid w:val="00C267EA"/>
    <w:rsid w:val="00C27DE9"/>
    <w:rsid w:val="00C30517"/>
    <w:rsid w:val="00C306E5"/>
    <w:rsid w:val="00C32989"/>
    <w:rsid w:val="00C33388"/>
    <w:rsid w:val="00C3389F"/>
    <w:rsid w:val="00C34066"/>
    <w:rsid w:val="00C348E8"/>
    <w:rsid w:val="00C34A1E"/>
    <w:rsid w:val="00C35484"/>
    <w:rsid w:val="00C3551A"/>
    <w:rsid w:val="00C3590D"/>
    <w:rsid w:val="00C35939"/>
    <w:rsid w:val="00C35C8B"/>
    <w:rsid w:val="00C37185"/>
    <w:rsid w:val="00C373BC"/>
    <w:rsid w:val="00C4173A"/>
    <w:rsid w:val="00C4175B"/>
    <w:rsid w:val="00C42D4F"/>
    <w:rsid w:val="00C43E3E"/>
    <w:rsid w:val="00C4626A"/>
    <w:rsid w:val="00C47C02"/>
    <w:rsid w:val="00C502EE"/>
    <w:rsid w:val="00C503C3"/>
    <w:rsid w:val="00C50DED"/>
    <w:rsid w:val="00C52217"/>
    <w:rsid w:val="00C563F2"/>
    <w:rsid w:val="00C60023"/>
    <w:rsid w:val="00C602FF"/>
    <w:rsid w:val="00C60411"/>
    <w:rsid w:val="00C61174"/>
    <w:rsid w:val="00C6148F"/>
    <w:rsid w:val="00C61B8E"/>
    <w:rsid w:val="00C621B1"/>
    <w:rsid w:val="00C62F7A"/>
    <w:rsid w:val="00C63B9C"/>
    <w:rsid w:val="00C65682"/>
    <w:rsid w:val="00C66709"/>
    <w:rsid w:val="00C6682F"/>
    <w:rsid w:val="00C67871"/>
    <w:rsid w:val="00C67BF4"/>
    <w:rsid w:val="00C67EB2"/>
    <w:rsid w:val="00C70028"/>
    <w:rsid w:val="00C7275E"/>
    <w:rsid w:val="00C7300E"/>
    <w:rsid w:val="00C731AF"/>
    <w:rsid w:val="00C74C5D"/>
    <w:rsid w:val="00C753F4"/>
    <w:rsid w:val="00C80D2F"/>
    <w:rsid w:val="00C82DE3"/>
    <w:rsid w:val="00C83029"/>
    <w:rsid w:val="00C839AE"/>
    <w:rsid w:val="00C83B8C"/>
    <w:rsid w:val="00C843E9"/>
    <w:rsid w:val="00C846FB"/>
    <w:rsid w:val="00C862CC"/>
    <w:rsid w:val="00C863C4"/>
    <w:rsid w:val="00C90DAB"/>
    <w:rsid w:val="00C91D4E"/>
    <w:rsid w:val="00C920EA"/>
    <w:rsid w:val="00C92402"/>
    <w:rsid w:val="00C930C6"/>
    <w:rsid w:val="00C93C3E"/>
    <w:rsid w:val="00C9447F"/>
    <w:rsid w:val="00C948E2"/>
    <w:rsid w:val="00C9511C"/>
    <w:rsid w:val="00C9526E"/>
    <w:rsid w:val="00C95EC6"/>
    <w:rsid w:val="00C96234"/>
    <w:rsid w:val="00C96ABC"/>
    <w:rsid w:val="00C97E35"/>
    <w:rsid w:val="00CA03FF"/>
    <w:rsid w:val="00CA0894"/>
    <w:rsid w:val="00CA0B02"/>
    <w:rsid w:val="00CA12E3"/>
    <w:rsid w:val="00CA1476"/>
    <w:rsid w:val="00CA1B18"/>
    <w:rsid w:val="00CA3DA8"/>
    <w:rsid w:val="00CA4425"/>
    <w:rsid w:val="00CA5757"/>
    <w:rsid w:val="00CA6611"/>
    <w:rsid w:val="00CA6AE6"/>
    <w:rsid w:val="00CA6BBD"/>
    <w:rsid w:val="00CA782F"/>
    <w:rsid w:val="00CB0E7A"/>
    <w:rsid w:val="00CB187B"/>
    <w:rsid w:val="00CB1EF3"/>
    <w:rsid w:val="00CB2835"/>
    <w:rsid w:val="00CB3285"/>
    <w:rsid w:val="00CB3A22"/>
    <w:rsid w:val="00CB4047"/>
    <w:rsid w:val="00CB4500"/>
    <w:rsid w:val="00CB4D21"/>
    <w:rsid w:val="00CB5595"/>
    <w:rsid w:val="00CB5C46"/>
    <w:rsid w:val="00CB5EA8"/>
    <w:rsid w:val="00CB76EA"/>
    <w:rsid w:val="00CC0C72"/>
    <w:rsid w:val="00CC1D9B"/>
    <w:rsid w:val="00CC21BF"/>
    <w:rsid w:val="00CC25D3"/>
    <w:rsid w:val="00CC2BFD"/>
    <w:rsid w:val="00CC44D6"/>
    <w:rsid w:val="00CC5588"/>
    <w:rsid w:val="00CC6F40"/>
    <w:rsid w:val="00CD1B81"/>
    <w:rsid w:val="00CD1E63"/>
    <w:rsid w:val="00CD3339"/>
    <w:rsid w:val="00CD3476"/>
    <w:rsid w:val="00CD3AA5"/>
    <w:rsid w:val="00CD43DF"/>
    <w:rsid w:val="00CD5B1C"/>
    <w:rsid w:val="00CD64DF"/>
    <w:rsid w:val="00CE07B2"/>
    <w:rsid w:val="00CE16FE"/>
    <w:rsid w:val="00CE1F1E"/>
    <w:rsid w:val="00CE225F"/>
    <w:rsid w:val="00CE2587"/>
    <w:rsid w:val="00CE5602"/>
    <w:rsid w:val="00CE69D1"/>
    <w:rsid w:val="00CF1087"/>
    <w:rsid w:val="00CF136F"/>
    <w:rsid w:val="00CF1F3A"/>
    <w:rsid w:val="00CF2F50"/>
    <w:rsid w:val="00CF32EE"/>
    <w:rsid w:val="00CF3BA3"/>
    <w:rsid w:val="00CF498B"/>
    <w:rsid w:val="00CF4AE7"/>
    <w:rsid w:val="00CF4B8B"/>
    <w:rsid w:val="00CF60D1"/>
    <w:rsid w:val="00CF6198"/>
    <w:rsid w:val="00CF64B8"/>
    <w:rsid w:val="00CF74A3"/>
    <w:rsid w:val="00D00775"/>
    <w:rsid w:val="00D0222A"/>
    <w:rsid w:val="00D02919"/>
    <w:rsid w:val="00D030E7"/>
    <w:rsid w:val="00D031EF"/>
    <w:rsid w:val="00D044C2"/>
    <w:rsid w:val="00D04655"/>
    <w:rsid w:val="00D04C61"/>
    <w:rsid w:val="00D05B8D"/>
    <w:rsid w:val="00D05B9B"/>
    <w:rsid w:val="00D065A2"/>
    <w:rsid w:val="00D06F9B"/>
    <w:rsid w:val="00D079AA"/>
    <w:rsid w:val="00D07EE7"/>
    <w:rsid w:val="00D07F00"/>
    <w:rsid w:val="00D1130F"/>
    <w:rsid w:val="00D11ED1"/>
    <w:rsid w:val="00D121E8"/>
    <w:rsid w:val="00D122C2"/>
    <w:rsid w:val="00D12F94"/>
    <w:rsid w:val="00D13A06"/>
    <w:rsid w:val="00D14289"/>
    <w:rsid w:val="00D15C81"/>
    <w:rsid w:val="00D16108"/>
    <w:rsid w:val="00D16609"/>
    <w:rsid w:val="00D17546"/>
    <w:rsid w:val="00D17B72"/>
    <w:rsid w:val="00D20175"/>
    <w:rsid w:val="00D221B3"/>
    <w:rsid w:val="00D23A3B"/>
    <w:rsid w:val="00D24B39"/>
    <w:rsid w:val="00D2527F"/>
    <w:rsid w:val="00D252EE"/>
    <w:rsid w:val="00D26EE4"/>
    <w:rsid w:val="00D30692"/>
    <w:rsid w:val="00D3185C"/>
    <w:rsid w:val="00D3205F"/>
    <w:rsid w:val="00D3277F"/>
    <w:rsid w:val="00D3318E"/>
    <w:rsid w:val="00D33E72"/>
    <w:rsid w:val="00D342BE"/>
    <w:rsid w:val="00D353DA"/>
    <w:rsid w:val="00D35BD6"/>
    <w:rsid w:val="00D361B5"/>
    <w:rsid w:val="00D364A1"/>
    <w:rsid w:val="00D36A49"/>
    <w:rsid w:val="00D36AB7"/>
    <w:rsid w:val="00D36F9B"/>
    <w:rsid w:val="00D411A2"/>
    <w:rsid w:val="00D416E8"/>
    <w:rsid w:val="00D422EB"/>
    <w:rsid w:val="00D431CF"/>
    <w:rsid w:val="00D43899"/>
    <w:rsid w:val="00D4435C"/>
    <w:rsid w:val="00D4606D"/>
    <w:rsid w:val="00D460F6"/>
    <w:rsid w:val="00D46322"/>
    <w:rsid w:val="00D50891"/>
    <w:rsid w:val="00D50B9C"/>
    <w:rsid w:val="00D513AF"/>
    <w:rsid w:val="00D52B83"/>
    <w:rsid w:val="00D52D73"/>
    <w:rsid w:val="00D52E58"/>
    <w:rsid w:val="00D541FF"/>
    <w:rsid w:val="00D551F0"/>
    <w:rsid w:val="00D5623B"/>
    <w:rsid w:val="00D56321"/>
    <w:rsid w:val="00D56B20"/>
    <w:rsid w:val="00D56DF7"/>
    <w:rsid w:val="00D56E24"/>
    <w:rsid w:val="00D578B3"/>
    <w:rsid w:val="00D60976"/>
    <w:rsid w:val="00D618F4"/>
    <w:rsid w:val="00D62796"/>
    <w:rsid w:val="00D63636"/>
    <w:rsid w:val="00D63E88"/>
    <w:rsid w:val="00D66FD1"/>
    <w:rsid w:val="00D678DE"/>
    <w:rsid w:val="00D67D3A"/>
    <w:rsid w:val="00D702FB"/>
    <w:rsid w:val="00D704DF"/>
    <w:rsid w:val="00D714CC"/>
    <w:rsid w:val="00D7187F"/>
    <w:rsid w:val="00D71AD8"/>
    <w:rsid w:val="00D7273B"/>
    <w:rsid w:val="00D74754"/>
    <w:rsid w:val="00D75EA7"/>
    <w:rsid w:val="00D76BC5"/>
    <w:rsid w:val="00D77058"/>
    <w:rsid w:val="00D77A79"/>
    <w:rsid w:val="00D8040F"/>
    <w:rsid w:val="00D81ADF"/>
    <w:rsid w:val="00D81F21"/>
    <w:rsid w:val="00D81FF6"/>
    <w:rsid w:val="00D8463A"/>
    <w:rsid w:val="00D852EE"/>
    <w:rsid w:val="00D86201"/>
    <w:rsid w:val="00D864F2"/>
    <w:rsid w:val="00D867C9"/>
    <w:rsid w:val="00D86B19"/>
    <w:rsid w:val="00D86C7C"/>
    <w:rsid w:val="00D87752"/>
    <w:rsid w:val="00D91410"/>
    <w:rsid w:val="00D9201B"/>
    <w:rsid w:val="00D92595"/>
    <w:rsid w:val="00D9410A"/>
    <w:rsid w:val="00D943F8"/>
    <w:rsid w:val="00D95470"/>
    <w:rsid w:val="00D95B06"/>
    <w:rsid w:val="00D962B0"/>
    <w:rsid w:val="00D966CA"/>
    <w:rsid w:val="00D967D2"/>
    <w:rsid w:val="00D96B55"/>
    <w:rsid w:val="00D96D6A"/>
    <w:rsid w:val="00D97E7B"/>
    <w:rsid w:val="00DA2619"/>
    <w:rsid w:val="00DA4239"/>
    <w:rsid w:val="00DA570C"/>
    <w:rsid w:val="00DA588C"/>
    <w:rsid w:val="00DA65DE"/>
    <w:rsid w:val="00DA7CCF"/>
    <w:rsid w:val="00DB019C"/>
    <w:rsid w:val="00DB0B61"/>
    <w:rsid w:val="00DB1474"/>
    <w:rsid w:val="00DB2962"/>
    <w:rsid w:val="00DB2F5A"/>
    <w:rsid w:val="00DB42D7"/>
    <w:rsid w:val="00DB4B0C"/>
    <w:rsid w:val="00DB52FB"/>
    <w:rsid w:val="00DB58E6"/>
    <w:rsid w:val="00DB7DA1"/>
    <w:rsid w:val="00DC00C1"/>
    <w:rsid w:val="00DC013B"/>
    <w:rsid w:val="00DC090B"/>
    <w:rsid w:val="00DC09D6"/>
    <w:rsid w:val="00DC1679"/>
    <w:rsid w:val="00DC219B"/>
    <w:rsid w:val="00DC22C1"/>
    <w:rsid w:val="00DC2CF1"/>
    <w:rsid w:val="00DC2DC7"/>
    <w:rsid w:val="00DC304E"/>
    <w:rsid w:val="00DC30C0"/>
    <w:rsid w:val="00DC3A7C"/>
    <w:rsid w:val="00DC4FCF"/>
    <w:rsid w:val="00DC50E0"/>
    <w:rsid w:val="00DC5573"/>
    <w:rsid w:val="00DC6386"/>
    <w:rsid w:val="00DC728D"/>
    <w:rsid w:val="00DC7C33"/>
    <w:rsid w:val="00DD1130"/>
    <w:rsid w:val="00DD1406"/>
    <w:rsid w:val="00DD1951"/>
    <w:rsid w:val="00DD2327"/>
    <w:rsid w:val="00DD2E4D"/>
    <w:rsid w:val="00DD450A"/>
    <w:rsid w:val="00DD487D"/>
    <w:rsid w:val="00DD4E83"/>
    <w:rsid w:val="00DD5734"/>
    <w:rsid w:val="00DD60AA"/>
    <w:rsid w:val="00DD6628"/>
    <w:rsid w:val="00DD6945"/>
    <w:rsid w:val="00DD7A96"/>
    <w:rsid w:val="00DE2CAC"/>
    <w:rsid w:val="00DE2D04"/>
    <w:rsid w:val="00DE3250"/>
    <w:rsid w:val="00DE33FA"/>
    <w:rsid w:val="00DE373B"/>
    <w:rsid w:val="00DE3D55"/>
    <w:rsid w:val="00DE4CBB"/>
    <w:rsid w:val="00DE6028"/>
    <w:rsid w:val="00DE6C85"/>
    <w:rsid w:val="00DE78A3"/>
    <w:rsid w:val="00DE7F8A"/>
    <w:rsid w:val="00DF02AE"/>
    <w:rsid w:val="00DF13AC"/>
    <w:rsid w:val="00DF1A71"/>
    <w:rsid w:val="00DF50FC"/>
    <w:rsid w:val="00DF54B2"/>
    <w:rsid w:val="00DF68C7"/>
    <w:rsid w:val="00DF731A"/>
    <w:rsid w:val="00DF772A"/>
    <w:rsid w:val="00E01D60"/>
    <w:rsid w:val="00E01E9B"/>
    <w:rsid w:val="00E01F21"/>
    <w:rsid w:val="00E02547"/>
    <w:rsid w:val="00E02DDA"/>
    <w:rsid w:val="00E03523"/>
    <w:rsid w:val="00E05F63"/>
    <w:rsid w:val="00E06B75"/>
    <w:rsid w:val="00E11057"/>
    <w:rsid w:val="00E1108A"/>
    <w:rsid w:val="00E11332"/>
    <w:rsid w:val="00E11352"/>
    <w:rsid w:val="00E11551"/>
    <w:rsid w:val="00E1255C"/>
    <w:rsid w:val="00E14D1C"/>
    <w:rsid w:val="00E15C28"/>
    <w:rsid w:val="00E170DC"/>
    <w:rsid w:val="00E17546"/>
    <w:rsid w:val="00E210B5"/>
    <w:rsid w:val="00E21F2A"/>
    <w:rsid w:val="00E25531"/>
    <w:rsid w:val="00E257DF"/>
    <w:rsid w:val="00E261B3"/>
    <w:rsid w:val="00E26593"/>
    <w:rsid w:val="00E26818"/>
    <w:rsid w:val="00E27FFC"/>
    <w:rsid w:val="00E304E4"/>
    <w:rsid w:val="00E30698"/>
    <w:rsid w:val="00E308A7"/>
    <w:rsid w:val="00E30B15"/>
    <w:rsid w:val="00E31C18"/>
    <w:rsid w:val="00E33237"/>
    <w:rsid w:val="00E35635"/>
    <w:rsid w:val="00E40181"/>
    <w:rsid w:val="00E41239"/>
    <w:rsid w:val="00E422BE"/>
    <w:rsid w:val="00E43B4E"/>
    <w:rsid w:val="00E43FB3"/>
    <w:rsid w:val="00E46384"/>
    <w:rsid w:val="00E468D5"/>
    <w:rsid w:val="00E47483"/>
    <w:rsid w:val="00E50070"/>
    <w:rsid w:val="00E50175"/>
    <w:rsid w:val="00E5202E"/>
    <w:rsid w:val="00E52BB3"/>
    <w:rsid w:val="00E53495"/>
    <w:rsid w:val="00E53D33"/>
    <w:rsid w:val="00E54672"/>
    <w:rsid w:val="00E54950"/>
    <w:rsid w:val="00E54A15"/>
    <w:rsid w:val="00E55FB3"/>
    <w:rsid w:val="00E56A01"/>
    <w:rsid w:val="00E60D5E"/>
    <w:rsid w:val="00E61B07"/>
    <w:rsid w:val="00E629A1"/>
    <w:rsid w:val="00E635E3"/>
    <w:rsid w:val="00E63BCA"/>
    <w:rsid w:val="00E63E46"/>
    <w:rsid w:val="00E643B6"/>
    <w:rsid w:val="00E6505B"/>
    <w:rsid w:val="00E66D20"/>
    <w:rsid w:val="00E6794C"/>
    <w:rsid w:val="00E701F4"/>
    <w:rsid w:val="00E704B8"/>
    <w:rsid w:val="00E71591"/>
    <w:rsid w:val="00E71CEB"/>
    <w:rsid w:val="00E74545"/>
    <w:rsid w:val="00E7474F"/>
    <w:rsid w:val="00E764BF"/>
    <w:rsid w:val="00E7672F"/>
    <w:rsid w:val="00E804A8"/>
    <w:rsid w:val="00E80DE3"/>
    <w:rsid w:val="00E82C55"/>
    <w:rsid w:val="00E83B43"/>
    <w:rsid w:val="00E8611E"/>
    <w:rsid w:val="00E8620A"/>
    <w:rsid w:val="00E86460"/>
    <w:rsid w:val="00E86F1F"/>
    <w:rsid w:val="00E8787E"/>
    <w:rsid w:val="00E87BE5"/>
    <w:rsid w:val="00E90901"/>
    <w:rsid w:val="00E90F07"/>
    <w:rsid w:val="00E92AC3"/>
    <w:rsid w:val="00E95A02"/>
    <w:rsid w:val="00E9602C"/>
    <w:rsid w:val="00E970DF"/>
    <w:rsid w:val="00E9750E"/>
    <w:rsid w:val="00EA070D"/>
    <w:rsid w:val="00EA081B"/>
    <w:rsid w:val="00EA0A57"/>
    <w:rsid w:val="00EA0D0E"/>
    <w:rsid w:val="00EA0E8D"/>
    <w:rsid w:val="00EA1D4B"/>
    <w:rsid w:val="00EA2326"/>
    <w:rsid w:val="00EA27A7"/>
    <w:rsid w:val="00EA2F6A"/>
    <w:rsid w:val="00EA43BD"/>
    <w:rsid w:val="00EB00E0"/>
    <w:rsid w:val="00EB05D5"/>
    <w:rsid w:val="00EB0926"/>
    <w:rsid w:val="00EB2985"/>
    <w:rsid w:val="00EB2C1B"/>
    <w:rsid w:val="00EB414A"/>
    <w:rsid w:val="00EB4BC7"/>
    <w:rsid w:val="00EB5770"/>
    <w:rsid w:val="00EB58E1"/>
    <w:rsid w:val="00EB6654"/>
    <w:rsid w:val="00EB745D"/>
    <w:rsid w:val="00EC022E"/>
    <w:rsid w:val="00EC0366"/>
    <w:rsid w:val="00EC059F"/>
    <w:rsid w:val="00EC0E95"/>
    <w:rsid w:val="00EC19AD"/>
    <w:rsid w:val="00EC1F24"/>
    <w:rsid w:val="00EC22F6"/>
    <w:rsid w:val="00EC33EF"/>
    <w:rsid w:val="00EC3DB9"/>
    <w:rsid w:val="00EC5687"/>
    <w:rsid w:val="00EC7FAB"/>
    <w:rsid w:val="00ED15E1"/>
    <w:rsid w:val="00ED1DE9"/>
    <w:rsid w:val="00ED3693"/>
    <w:rsid w:val="00ED5B9B"/>
    <w:rsid w:val="00ED618A"/>
    <w:rsid w:val="00ED6B67"/>
    <w:rsid w:val="00ED6BAD"/>
    <w:rsid w:val="00ED7241"/>
    <w:rsid w:val="00ED7447"/>
    <w:rsid w:val="00ED7762"/>
    <w:rsid w:val="00EE00D6"/>
    <w:rsid w:val="00EE09FA"/>
    <w:rsid w:val="00EE0FAE"/>
    <w:rsid w:val="00EE11E7"/>
    <w:rsid w:val="00EE1488"/>
    <w:rsid w:val="00EE14D4"/>
    <w:rsid w:val="00EE1EFB"/>
    <w:rsid w:val="00EE29AD"/>
    <w:rsid w:val="00EE2BC1"/>
    <w:rsid w:val="00EE3E24"/>
    <w:rsid w:val="00EE4D5D"/>
    <w:rsid w:val="00EE5131"/>
    <w:rsid w:val="00EE59CC"/>
    <w:rsid w:val="00EE783C"/>
    <w:rsid w:val="00EF109B"/>
    <w:rsid w:val="00EF16D1"/>
    <w:rsid w:val="00EF201C"/>
    <w:rsid w:val="00EF2C72"/>
    <w:rsid w:val="00EF36AF"/>
    <w:rsid w:val="00EF56B0"/>
    <w:rsid w:val="00EF59A3"/>
    <w:rsid w:val="00EF6675"/>
    <w:rsid w:val="00EF6690"/>
    <w:rsid w:val="00F0063D"/>
    <w:rsid w:val="00F00F9C"/>
    <w:rsid w:val="00F01437"/>
    <w:rsid w:val="00F0151E"/>
    <w:rsid w:val="00F01E5F"/>
    <w:rsid w:val="00F024F3"/>
    <w:rsid w:val="00F02ABA"/>
    <w:rsid w:val="00F02B46"/>
    <w:rsid w:val="00F02DF7"/>
    <w:rsid w:val="00F03852"/>
    <w:rsid w:val="00F0437A"/>
    <w:rsid w:val="00F04876"/>
    <w:rsid w:val="00F0765F"/>
    <w:rsid w:val="00F101B8"/>
    <w:rsid w:val="00F1087D"/>
    <w:rsid w:val="00F10D80"/>
    <w:rsid w:val="00F1101A"/>
    <w:rsid w:val="00F11037"/>
    <w:rsid w:val="00F116EB"/>
    <w:rsid w:val="00F12AEF"/>
    <w:rsid w:val="00F147FE"/>
    <w:rsid w:val="00F148E9"/>
    <w:rsid w:val="00F1667C"/>
    <w:rsid w:val="00F16F1B"/>
    <w:rsid w:val="00F17EFC"/>
    <w:rsid w:val="00F2095C"/>
    <w:rsid w:val="00F20BE1"/>
    <w:rsid w:val="00F2326E"/>
    <w:rsid w:val="00F24C5F"/>
    <w:rsid w:val="00F250A9"/>
    <w:rsid w:val="00F25D29"/>
    <w:rsid w:val="00F260C7"/>
    <w:rsid w:val="00F261B5"/>
    <w:rsid w:val="00F266DD"/>
    <w:rsid w:val="00F26744"/>
    <w:rsid w:val="00F267AF"/>
    <w:rsid w:val="00F274FA"/>
    <w:rsid w:val="00F304CD"/>
    <w:rsid w:val="00F30FF4"/>
    <w:rsid w:val="00F3122E"/>
    <w:rsid w:val="00F316F4"/>
    <w:rsid w:val="00F32368"/>
    <w:rsid w:val="00F331AD"/>
    <w:rsid w:val="00F33FD4"/>
    <w:rsid w:val="00F344FD"/>
    <w:rsid w:val="00F34DA0"/>
    <w:rsid w:val="00F35287"/>
    <w:rsid w:val="00F35AC6"/>
    <w:rsid w:val="00F36861"/>
    <w:rsid w:val="00F36F7E"/>
    <w:rsid w:val="00F40359"/>
    <w:rsid w:val="00F40A70"/>
    <w:rsid w:val="00F40FD8"/>
    <w:rsid w:val="00F425D4"/>
    <w:rsid w:val="00F42715"/>
    <w:rsid w:val="00F42A13"/>
    <w:rsid w:val="00F43A37"/>
    <w:rsid w:val="00F43B35"/>
    <w:rsid w:val="00F45719"/>
    <w:rsid w:val="00F4575E"/>
    <w:rsid w:val="00F461DD"/>
    <w:rsid w:val="00F4641B"/>
    <w:rsid w:val="00F46EB8"/>
    <w:rsid w:val="00F470A4"/>
    <w:rsid w:val="00F50CD1"/>
    <w:rsid w:val="00F511E4"/>
    <w:rsid w:val="00F5251C"/>
    <w:rsid w:val="00F52BE0"/>
    <w:rsid w:val="00F52D09"/>
    <w:rsid w:val="00F52DA3"/>
    <w:rsid w:val="00F52E08"/>
    <w:rsid w:val="00F53A66"/>
    <w:rsid w:val="00F5443E"/>
    <w:rsid w:val="00F5462D"/>
    <w:rsid w:val="00F558CB"/>
    <w:rsid w:val="00F55B21"/>
    <w:rsid w:val="00F56EF6"/>
    <w:rsid w:val="00F56F25"/>
    <w:rsid w:val="00F60082"/>
    <w:rsid w:val="00F603DA"/>
    <w:rsid w:val="00F60F65"/>
    <w:rsid w:val="00F61A9F"/>
    <w:rsid w:val="00F61B5F"/>
    <w:rsid w:val="00F61D5F"/>
    <w:rsid w:val="00F6257C"/>
    <w:rsid w:val="00F64696"/>
    <w:rsid w:val="00F65AA9"/>
    <w:rsid w:val="00F66681"/>
    <w:rsid w:val="00F6768F"/>
    <w:rsid w:val="00F72C2C"/>
    <w:rsid w:val="00F73619"/>
    <w:rsid w:val="00F73C31"/>
    <w:rsid w:val="00F73F0D"/>
    <w:rsid w:val="00F73FE4"/>
    <w:rsid w:val="00F741F2"/>
    <w:rsid w:val="00F74DF2"/>
    <w:rsid w:val="00F76CAB"/>
    <w:rsid w:val="00F77130"/>
    <w:rsid w:val="00F772C6"/>
    <w:rsid w:val="00F77E4A"/>
    <w:rsid w:val="00F80C85"/>
    <w:rsid w:val="00F815B5"/>
    <w:rsid w:val="00F81E1B"/>
    <w:rsid w:val="00F82760"/>
    <w:rsid w:val="00F8307E"/>
    <w:rsid w:val="00F8495E"/>
    <w:rsid w:val="00F85195"/>
    <w:rsid w:val="00F857D4"/>
    <w:rsid w:val="00F868E3"/>
    <w:rsid w:val="00F90922"/>
    <w:rsid w:val="00F90F21"/>
    <w:rsid w:val="00F912E2"/>
    <w:rsid w:val="00F91620"/>
    <w:rsid w:val="00F92435"/>
    <w:rsid w:val="00F938BA"/>
    <w:rsid w:val="00F93F87"/>
    <w:rsid w:val="00F944CD"/>
    <w:rsid w:val="00F95642"/>
    <w:rsid w:val="00F97919"/>
    <w:rsid w:val="00FA0922"/>
    <w:rsid w:val="00FA2C46"/>
    <w:rsid w:val="00FA3525"/>
    <w:rsid w:val="00FA40DA"/>
    <w:rsid w:val="00FA5A53"/>
    <w:rsid w:val="00FA6D74"/>
    <w:rsid w:val="00FA71FE"/>
    <w:rsid w:val="00FA7985"/>
    <w:rsid w:val="00FB098A"/>
    <w:rsid w:val="00FB12B1"/>
    <w:rsid w:val="00FB1F6E"/>
    <w:rsid w:val="00FB230F"/>
    <w:rsid w:val="00FB3740"/>
    <w:rsid w:val="00FB3DED"/>
    <w:rsid w:val="00FB3E97"/>
    <w:rsid w:val="00FB4769"/>
    <w:rsid w:val="00FB4CDA"/>
    <w:rsid w:val="00FB5545"/>
    <w:rsid w:val="00FB60B4"/>
    <w:rsid w:val="00FB6481"/>
    <w:rsid w:val="00FB6D36"/>
    <w:rsid w:val="00FB75E7"/>
    <w:rsid w:val="00FC0965"/>
    <w:rsid w:val="00FC0F81"/>
    <w:rsid w:val="00FC100F"/>
    <w:rsid w:val="00FC1875"/>
    <w:rsid w:val="00FC252F"/>
    <w:rsid w:val="00FC286C"/>
    <w:rsid w:val="00FC37A3"/>
    <w:rsid w:val="00FC395C"/>
    <w:rsid w:val="00FC4891"/>
    <w:rsid w:val="00FC5E8E"/>
    <w:rsid w:val="00FC5EE7"/>
    <w:rsid w:val="00FC67C7"/>
    <w:rsid w:val="00FC6C4A"/>
    <w:rsid w:val="00FD09CB"/>
    <w:rsid w:val="00FD1695"/>
    <w:rsid w:val="00FD173E"/>
    <w:rsid w:val="00FD3739"/>
    <w:rsid w:val="00FD3756"/>
    <w:rsid w:val="00FD3766"/>
    <w:rsid w:val="00FD38C2"/>
    <w:rsid w:val="00FD3D05"/>
    <w:rsid w:val="00FD47C4"/>
    <w:rsid w:val="00FD6760"/>
    <w:rsid w:val="00FE1964"/>
    <w:rsid w:val="00FE24ED"/>
    <w:rsid w:val="00FE2DCF"/>
    <w:rsid w:val="00FE3B99"/>
    <w:rsid w:val="00FE3FA7"/>
    <w:rsid w:val="00FE4081"/>
    <w:rsid w:val="00FE41F1"/>
    <w:rsid w:val="00FE4D10"/>
    <w:rsid w:val="00FE51EB"/>
    <w:rsid w:val="00FE5852"/>
    <w:rsid w:val="00FE6450"/>
    <w:rsid w:val="00FE7B63"/>
    <w:rsid w:val="00FF15C8"/>
    <w:rsid w:val="00FF2A4E"/>
    <w:rsid w:val="00FF2FCE"/>
    <w:rsid w:val="00FF4ED9"/>
    <w:rsid w:val="00FF4F7D"/>
    <w:rsid w:val="00FF5B26"/>
    <w:rsid w:val="00FF666D"/>
    <w:rsid w:val="00FF6D9D"/>
    <w:rsid w:val="00FF7620"/>
    <w:rsid w:val="00FF7DD5"/>
    <w:rsid w:val="011EE076"/>
    <w:rsid w:val="013F56DD"/>
    <w:rsid w:val="01B532CC"/>
    <w:rsid w:val="01D90A3B"/>
    <w:rsid w:val="02032772"/>
    <w:rsid w:val="02E27283"/>
    <w:rsid w:val="034DD167"/>
    <w:rsid w:val="034F9CA9"/>
    <w:rsid w:val="0374A17B"/>
    <w:rsid w:val="03ED2801"/>
    <w:rsid w:val="04F05F63"/>
    <w:rsid w:val="04F8B190"/>
    <w:rsid w:val="0507D108"/>
    <w:rsid w:val="058931E4"/>
    <w:rsid w:val="05B0232B"/>
    <w:rsid w:val="05D0B1D8"/>
    <w:rsid w:val="0603014E"/>
    <w:rsid w:val="06925BA0"/>
    <w:rsid w:val="0692F318"/>
    <w:rsid w:val="06C5E390"/>
    <w:rsid w:val="06FA0DB0"/>
    <w:rsid w:val="07175C42"/>
    <w:rsid w:val="07D169B8"/>
    <w:rsid w:val="07ED957C"/>
    <w:rsid w:val="083376E7"/>
    <w:rsid w:val="0858D923"/>
    <w:rsid w:val="08D076B3"/>
    <w:rsid w:val="08EC35E0"/>
    <w:rsid w:val="0967D73D"/>
    <w:rsid w:val="098C4DCC"/>
    <w:rsid w:val="0A205C3B"/>
    <w:rsid w:val="0A460AB4"/>
    <w:rsid w:val="0A70464D"/>
    <w:rsid w:val="0AF83962"/>
    <w:rsid w:val="0B428EA1"/>
    <w:rsid w:val="0C5E5055"/>
    <w:rsid w:val="0C628352"/>
    <w:rsid w:val="0CE36A14"/>
    <w:rsid w:val="0D14FDD1"/>
    <w:rsid w:val="0D48FF23"/>
    <w:rsid w:val="0D9BB3D4"/>
    <w:rsid w:val="0E0F836C"/>
    <w:rsid w:val="0E3E41ED"/>
    <w:rsid w:val="0E5B345F"/>
    <w:rsid w:val="0EC9ABB0"/>
    <w:rsid w:val="0F23FCA6"/>
    <w:rsid w:val="1026F79A"/>
    <w:rsid w:val="102E6FDF"/>
    <w:rsid w:val="10325E9B"/>
    <w:rsid w:val="104803B1"/>
    <w:rsid w:val="1053CCE3"/>
    <w:rsid w:val="10AA644B"/>
    <w:rsid w:val="10E30C69"/>
    <w:rsid w:val="118006B3"/>
    <w:rsid w:val="1182A95C"/>
    <w:rsid w:val="11E9DBC8"/>
    <w:rsid w:val="122ED2B7"/>
    <w:rsid w:val="12C18ACC"/>
    <w:rsid w:val="133D7502"/>
    <w:rsid w:val="136FDDCB"/>
    <w:rsid w:val="13F750E0"/>
    <w:rsid w:val="142A5500"/>
    <w:rsid w:val="148C9EFB"/>
    <w:rsid w:val="150BB329"/>
    <w:rsid w:val="159AFBD1"/>
    <w:rsid w:val="15BA7C06"/>
    <w:rsid w:val="15D72355"/>
    <w:rsid w:val="16003980"/>
    <w:rsid w:val="168CDFFC"/>
    <w:rsid w:val="16993813"/>
    <w:rsid w:val="16A85A57"/>
    <w:rsid w:val="170016EC"/>
    <w:rsid w:val="171EBDC0"/>
    <w:rsid w:val="18A67ACF"/>
    <w:rsid w:val="193AB5FE"/>
    <w:rsid w:val="198A447E"/>
    <w:rsid w:val="1B278071"/>
    <w:rsid w:val="1B41670F"/>
    <w:rsid w:val="1B7B1127"/>
    <w:rsid w:val="1B995BEA"/>
    <w:rsid w:val="1BF3BF44"/>
    <w:rsid w:val="1C237175"/>
    <w:rsid w:val="1C8509AA"/>
    <w:rsid w:val="1CB45E3E"/>
    <w:rsid w:val="1CD6BA33"/>
    <w:rsid w:val="1CD9F82E"/>
    <w:rsid w:val="1CFA0147"/>
    <w:rsid w:val="1D2A5C7E"/>
    <w:rsid w:val="1DD270CE"/>
    <w:rsid w:val="1E0D12BA"/>
    <w:rsid w:val="1E50DAB9"/>
    <w:rsid w:val="1EA2239A"/>
    <w:rsid w:val="1F35F28B"/>
    <w:rsid w:val="1F593D1A"/>
    <w:rsid w:val="1F688773"/>
    <w:rsid w:val="1F9FD895"/>
    <w:rsid w:val="20AA5D07"/>
    <w:rsid w:val="2129FD36"/>
    <w:rsid w:val="21A12804"/>
    <w:rsid w:val="2211D97D"/>
    <w:rsid w:val="22168834"/>
    <w:rsid w:val="2283C494"/>
    <w:rsid w:val="22C404AC"/>
    <w:rsid w:val="22F7812B"/>
    <w:rsid w:val="237A4B43"/>
    <w:rsid w:val="240ABEC6"/>
    <w:rsid w:val="251F0F6F"/>
    <w:rsid w:val="2523D823"/>
    <w:rsid w:val="261EE748"/>
    <w:rsid w:val="2626CFC0"/>
    <w:rsid w:val="268209E4"/>
    <w:rsid w:val="2692292D"/>
    <w:rsid w:val="27C46689"/>
    <w:rsid w:val="287E3251"/>
    <w:rsid w:val="28930A15"/>
    <w:rsid w:val="28F052A4"/>
    <w:rsid w:val="2A19EF69"/>
    <w:rsid w:val="2A741C43"/>
    <w:rsid w:val="2B2C3693"/>
    <w:rsid w:val="2B7BA9C3"/>
    <w:rsid w:val="2BDD66DF"/>
    <w:rsid w:val="2BEDE488"/>
    <w:rsid w:val="2C03179B"/>
    <w:rsid w:val="2C491EF5"/>
    <w:rsid w:val="2C5145FC"/>
    <w:rsid w:val="2D586719"/>
    <w:rsid w:val="2DAC315C"/>
    <w:rsid w:val="2E421770"/>
    <w:rsid w:val="2E633FDD"/>
    <w:rsid w:val="2E638163"/>
    <w:rsid w:val="2E73C01B"/>
    <w:rsid w:val="2E93FC05"/>
    <w:rsid w:val="2EC6A0C3"/>
    <w:rsid w:val="2EF21D42"/>
    <w:rsid w:val="2F02FEAF"/>
    <w:rsid w:val="2F2FD2FD"/>
    <w:rsid w:val="30363424"/>
    <w:rsid w:val="311EBEEF"/>
    <w:rsid w:val="31B6F615"/>
    <w:rsid w:val="31CEF268"/>
    <w:rsid w:val="31E0338E"/>
    <w:rsid w:val="32D2BF6C"/>
    <w:rsid w:val="32E363CE"/>
    <w:rsid w:val="331AA05F"/>
    <w:rsid w:val="335F14AB"/>
    <w:rsid w:val="345FEF6D"/>
    <w:rsid w:val="3580E8BE"/>
    <w:rsid w:val="35ACECB5"/>
    <w:rsid w:val="35D31531"/>
    <w:rsid w:val="36A218F1"/>
    <w:rsid w:val="37607B6A"/>
    <w:rsid w:val="37812B23"/>
    <w:rsid w:val="38108691"/>
    <w:rsid w:val="38758ACF"/>
    <w:rsid w:val="3898CF06"/>
    <w:rsid w:val="3973CA9A"/>
    <w:rsid w:val="39E2FCE8"/>
    <w:rsid w:val="3A1B827A"/>
    <w:rsid w:val="3A3B0394"/>
    <w:rsid w:val="3A979E26"/>
    <w:rsid w:val="3B5A286A"/>
    <w:rsid w:val="3B92B6A3"/>
    <w:rsid w:val="3BB74B37"/>
    <w:rsid w:val="3C2B5B51"/>
    <w:rsid w:val="3C6CCC0A"/>
    <w:rsid w:val="3CBBD656"/>
    <w:rsid w:val="3CD152C1"/>
    <w:rsid w:val="3CE4DC71"/>
    <w:rsid w:val="3D76AD77"/>
    <w:rsid w:val="3D7E366E"/>
    <w:rsid w:val="3D99B053"/>
    <w:rsid w:val="3DBB550A"/>
    <w:rsid w:val="3DECEB2B"/>
    <w:rsid w:val="3E7148B9"/>
    <w:rsid w:val="3EB42E1C"/>
    <w:rsid w:val="3F4C5612"/>
    <w:rsid w:val="3F9D4E15"/>
    <w:rsid w:val="3FE74F59"/>
    <w:rsid w:val="3FFA08D5"/>
    <w:rsid w:val="4037F885"/>
    <w:rsid w:val="409BD552"/>
    <w:rsid w:val="40DB8CD6"/>
    <w:rsid w:val="413CD03F"/>
    <w:rsid w:val="427396E2"/>
    <w:rsid w:val="42AC11C9"/>
    <w:rsid w:val="42D8A0A0"/>
    <w:rsid w:val="4338028B"/>
    <w:rsid w:val="43D87355"/>
    <w:rsid w:val="43E93B1C"/>
    <w:rsid w:val="446A67D5"/>
    <w:rsid w:val="44C2EC0A"/>
    <w:rsid w:val="4507A592"/>
    <w:rsid w:val="461D6193"/>
    <w:rsid w:val="46226ADC"/>
    <w:rsid w:val="46246F88"/>
    <w:rsid w:val="46826F9B"/>
    <w:rsid w:val="472D707C"/>
    <w:rsid w:val="4731E723"/>
    <w:rsid w:val="487EBED3"/>
    <w:rsid w:val="48A92D81"/>
    <w:rsid w:val="48FB77FB"/>
    <w:rsid w:val="4947E224"/>
    <w:rsid w:val="495B1F70"/>
    <w:rsid w:val="4AC4D619"/>
    <w:rsid w:val="4AD2F9C6"/>
    <w:rsid w:val="4B10A190"/>
    <w:rsid w:val="4BB65F95"/>
    <w:rsid w:val="4BFAA1C3"/>
    <w:rsid w:val="4C4A48DC"/>
    <w:rsid w:val="4C50A1D0"/>
    <w:rsid w:val="4C7A5A36"/>
    <w:rsid w:val="4D2E37F2"/>
    <w:rsid w:val="4D57D261"/>
    <w:rsid w:val="4DE0C661"/>
    <w:rsid w:val="4E091E40"/>
    <w:rsid w:val="4E1CC9B2"/>
    <w:rsid w:val="4F3891F9"/>
    <w:rsid w:val="4F56ADA2"/>
    <w:rsid w:val="4F5D7061"/>
    <w:rsid w:val="4F87638F"/>
    <w:rsid w:val="5089B65A"/>
    <w:rsid w:val="50DCFC10"/>
    <w:rsid w:val="50FE4763"/>
    <w:rsid w:val="519021CC"/>
    <w:rsid w:val="51944890"/>
    <w:rsid w:val="523F03A5"/>
    <w:rsid w:val="527BC563"/>
    <w:rsid w:val="52846B59"/>
    <w:rsid w:val="52A6C8AE"/>
    <w:rsid w:val="52B4A0E7"/>
    <w:rsid w:val="52BB8678"/>
    <w:rsid w:val="5368ECE1"/>
    <w:rsid w:val="538FA364"/>
    <w:rsid w:val="53FC6977"/>
    <w:rsid w:val="545A3CF7"/>
    <w:rsid w:val="545B1CD5"/>
    <w:rsid w:val="549CB847"/>
    <w:rsid w:val="55093CEB"/>
    <w:rsid w:val="557FADE7"/>
    <w:rsid w:val="55B2C3F1"/>
    <w:rsid w:val="55B88174"/>
    <w:rsid w:val="5642B1E6"/>
    <w:rsid w:val="56AF0E0C"/>
    <w:rsid w:val="572926C4"/>
    <w:rsid w:val="574B9069"/>
    <w:rsid w:val="5768B11C"/>
    <w:rsid w:val="576A7F1C"/>
    <w:rsid w:val="57B76E3B"/>
    <w:rsid w:val="57BBF143"/>
    <w:rsid w:val="582913F3"/>
    <w:rsid w:val="585002A8"/>
    <w:rsid w:val="58C046A4"/>
    <w:rsid w:val="58EA6325"/>
    <w:rsid w:val="59407108"/>
    <w:rsid w:val="5948B327"/>
    <w:rsid w:val="59E2D19F"/>
    <w:rsid w:val="59E36EDA"/>
    <w:rsid w:val="59FFD849"/>
    <w:rsid w:val="5A8F19C5"/>
    <w:rsid w:val="5AC4AAFA"/>
    <w:rsid w:val="5B0B23A2"/>
    <w:rsid w:val="5B0C8791"/>
    <w:rsid w:val="5BA85256"/>
    <w:rsid w:val="5BC3E9DA"/>
    <w:rsid w:val="5BF5531F"/>
    <w:rsid w:val="5C14B020"/>
    <w:rsid w:val="5C798239"/>
    <w:rsid w:val="5C9C4A0C"/>
    <w:rsid w:val="5D100101"/>
    <w:rsid w:val="5D2C8DF1"/>
    <w:rsid w:val="5D3512EF"/>
    <w:rsid w:val="5D512FA9"/>
    <w:rsid w:val="5D6D9881"/>
    <w:rsid w:val="5D9C1AE5"/>
    <w:rsid w:val="5E9839A2"/>
    <w:rsid w:val="5EB984B2"/>
    <w:rsid w:val="5ED8DDBA"/>
    <w:rsid w:val="5ED99A24"/>
    <w:rsid w:val="5F3A0A13"/>
    <w:rsid w:val="5F3BEDF6"/>
    <w:rsid w:val="5FDB2CFA"/>
    <w:rsid w:val="5FFB3397"/>
    <w:rsid w:val="60746D6B"/>
    <w:rsid w:val="607FDADA"/>
    <w:rsid w:val="60CE03C8"/>
    <w:rsid w:val="613F0132"/>
    <w:rsid w:val="62296E98"/>
    <w:rsid w:val="6269D03C"/>
    <w:rsid w:val="62C41C8F"/>
    <w:rsid w:val="62EC3A23"/>
    <w:rsid w:val="633066C9"/>
    <w:rsid w:val="634A588F"/>
    <w:rsid w:val="63FC4F68"/>
    <w:rsid w:val="6457A8B0"/>
    <w:rsid w:val="64A91F6C"/>
    <w:rsid w:val="65151F90"/>
    <w:rsid w:val="6540EE22"/>
    <w:rsid w:val="6569F35B"/>
    <w:rsid w:val="65A897B8"/>
    <w:rsid w:val="65D24298"/>
    <w:rsid w:val="66194B13"/>
    <w:rsid w:val="6624725D"/>
    <w:rsid w:val="6629CF32"/>
    <w:rsid w:val="67B0ECF8"/>
    <w:rsid w:val="68694252"/>
    <w:rsid w:val="68938CA2"/>
    <w:rsid w:val="694EFB95"/>
    <w:rsid w:val="695517F7"/>
    <w:rsid w:val="6A0FA480"/>
    <w:rsid w:val="6A3D0DE5"/>
    <w:rsid w:val="6A724DE9"/>
    <w:rsid w:val="6A76E7F8"/>
    <w:rsid w:val="6B3F67C6"/>
    <w:rsid w:val="6B612E50"/>
    <w:rsid w:val="6B671C70"/>
    <w:rsid w:val="6BCF9A51"/>
    <w:rsid w:val="6BE3EBBE"/>
    <w:rsid w:val="6C3C04DC"/>
    <w:rsid w:val="6CBBC827"/>
    <w:rsid w:val="6D75481B"/>
    <w:rsid w:val="6DA8529B"/>
    <w:rsid w:val="6DAEE4B0"/>
    <w:rsid w:val="6E12901B"/>
    <w:rsid w:val="6E5BC72B"/>
    <w:rsid w:val="6F11D98D"/>
    <w:rsid w:val="6F31800D"/>
    <w:rsid w:val="6F5895E9"/>
    <w:rsid w:val="6F6D6828"/>
    <w:rsid w:val="6F81F5D6"/>
    <w:rsid w:val="6FD50796"/>
    <w:rsid w:val="702BD5FA"/>
    <w:rsid w:val="70C50BE3"/>
    <w:rsid w:val="70C897B8"/>
    <w:rsid w:val="70EA192D"/>
    <w:rsid w:val="7149A7F8"/>
    <w:rsid w:val="7198A068"/>
    <w:rsid w:val="71B423ED"/>
    <w:rsid w:val="72640372"/>
    <w:rsid w:val="7345AD2F"/>
    <w:rsid w:val="7441D9D9"/>
    <w:rsid w:val="7443045A"/>
    <w:rsid w:val="74C274FC"/>
    <w:rsid w:val="7504DD48"/>
    <w:rsid w:val="7624BCB6"/>
    <w:rsid w:val="763BDAF6"/>
    <w:rsid w:val="76854B2D"/>
    <w:rsid w:val="768EA86D"/>
    <w:rsid w:val="77904C92"/>
    <w:rsid w:val="77B68177"/>
    <w:rsid w:val="7806EB88"/>
    <w:rsid w:val="78653DCE"/>
    <w:rsid w:val="78AC3980"/>
    <w:rsid w:val="790582D3"/>
    <w:rsid w:val="791084F5"/>
    <w:rsid w:val="793E1819"/>
    <w:rsid w:val="796658E7"/>
    <w:rsid w:val="79E50CC0"/>
    <w:rsid w:val="7BDF824E"/>
    <w:rsid w:val="7C5139DC"/>
    <w:rsid w:val="7CDA2F2C"/>
    <w:rsid w:val="7D274DB3"/>
    <w:rsid w:val="7DAEA2A4"/>
    <w:rsid w:val="7DB0CBAD"/>
    <w:rsid w:val="7DE9BAA4"/>
    <w:rsid w:val="7EB4945C"/>
    <w:rsid w:val="7F8330C7"/>
    <w:rsid w:val="7FA56B23"/>
    <w:rsid w:val="7FF097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EB671268-CC46-4CA2-BD67-7C8E2031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C373BC"/>
    <w:pPr>
      <w:keepNext/>
      <w:keepLines/>
      <w:spacing w:before="36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C373BC"/>
    <w:rPr>
      <w:rFonts w:ascii="Arial" w:eastAsia="MS Gothic" w:hAnsi="Arial"/>
      <w:bCs/>
      <w:color w:val="201547"/>
      <w:sz w:val="28"/>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08170F"/>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8"/>
      </w:numPr>
      <w:tabs>
        <w:tab w:val="clear" w:pos="397"/>
      </w:tabs>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8"/>
      </w:numPr>
      <w:tabs>
        <w:tab w:val="clear" w:pos="794"/>
      </w:tabs>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6"/>
      </w:numPr>
    </w:pPr>
  </w:style>
  <w:style w:type="numbering" w:customStyle="1" w:styleId="ZZNumbersdigit">
    <w:name w:val="ZZ Numbers digit"/>
    <w:rsid w:val="00C60411"/>
    <w:pPr>
      <w:numPr>
        <w:numId w:val="25"/>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tabs>
        <w:tab w:val="clear" w:pos="397"/>
      </w:tabs>
      <w:ind w:left="284" w:hanging="284"/>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clear" w:pos="794"/>
        <w:tab w:val="num" w:pos="397"/>
      </w:tabs>
      <w:ind w:left="284" w:hanging="284"/>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567" w:hanging="283"/>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3"/>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1C7128"/>
    <w:pPr>
      <w:spacing w:line="320" w:lineRule="atLeast"/>
    </w:pPr>
    <w:rPr>
      <w:color w:val="201547"/>
      <w:sz w:val="24"/>
    </w:rPr>
  </w:style>
  <w:style w:type="paragraph" w:customStyle="1" w:styleId="DHHSbody">
    <w:name w:val="DHHS body"/>
    <w:link w:val="DHHSbodyChar"/>
    <w:qFormat/>
    <w:rsid w:val="00CE5602"/>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CE5602"/>
    <w:rPr>
      <w:rFonts w:ascii="Arial" w:eastAsia="Times" w:hAnsi="Arial"/>
      <w:lang w:eastAsia="en-US"/>
    </w:rPr>
  </w:style>
  <w:style w:type="paragraph" w:styleId="ListParagraph">
    <w:name w:val="List Paragraph"/>
    <w:basedOn w:val="Normal"/>
    <w:uiPriority w:val="72"/>
    <w:semiHidden/>
    <w:qFormat/>
    <w:rsid w:val="00C013FD"/>
    <w:pPr>
      <w:ind w:left="720"/>
      <w:contextualSpacing/>
    </w:pPr>
  </w:style>
  <w:style w:type="character" w:styleId="Mention">
    <w:name w:val="Mention"/>
    <w:basedOn w:val="DefaultParagraphFont"/>
    <w:uiPriority w:val="99"/>
    <w:unhideWhenUsed/>
    <w:rsid w:val="00BC1B2D"/>
    <w:rPr>
      <w:color w:val="2B579A"/>
      <w:shd w:val="clear" w:color="auto" w:fill="E1DFDD"/>
    </w:rPr>
  </w:style>
  <w:style w:type="paragraph" w:styleId="NormalWeb">
    <w:name w:val="Normal (Web)"/>
    <w:basedOn w:val="Normal"/>
    <w:uiPriority w:val="99"/>
    <w:semiHidden/>
    <w:unhideWhenUsed/>
    <w:rsid w:val="00A963EE"/>
    <w:pPr>
      <w:spacing w:before="100" w:beforeAutospacing="1" w:after="100" w:afterAutospacing="1" w:line="240" w:lineRule="auto"/>
    </w:pPr>
    <w:rPr>
      <w:rFonts w:ascii="Times New Roman" w:hAnsi="Times New Roman"/>
      <w:sz w:val="24"/>
      <w:szCs w:val="24"/>
      <w:lang w:eastAsia="en-AU"/>
    </w:rPr>
  </w:style>
  <w:style w:type="paragraph" w:customStyle="1" w:styleId="size-141">
    <w:name w:val="size-141"/>
    <w:basedOn w:val="Normal"/>
    <w:rsid w:val="00B743AF"/>
    <w:pPr>
      <w:spacing w:before="100" w:beforeAutospacing="1" w:after="100" w:afterAutospacing="1" w:line="315" w:lineRule="atLeast"/>
    </w:pPr>
    <w:rPr>
      <w:rFonts w:ascii="Calibri" w:eastAsiaTheme="minorHAnsi" w:hAnsi="Calibri" w:cs="Calibri"/>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82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4426990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4572163">
      <w:bodyDiv w:val="1"/>
      <w:marLeft w:val="0"/>
      <w:marRight w:val="0"/>
      <w:marTop w:val="0"/>
      <w:marBottom w:val="0"/>
      <w:divBdr>
        <w:top w:val="none" w:sz="0" w:space="0" w:color="auto"/>
        <w:left w:val="none" w:sz="0" w:space="0" w:color="auto"/>
        <w:bottom w:val="none" w:sz="0" w:space="0" w:color="auto"/>
        <w:right w:val="none" w:sz="0" w:space="0" w:color="auto"/>
      </w:divBdr>
    </w:div>
    <w:div w:id="361439739">
      <w:bodyDiv w:val="1"/>
      <w:marLeft w:val="0"/>
      <w:marRight w:val="0"/>
      <w:marTop w:val="0"/>
      <w:marBottom w:val="0"/>
      <w:divBdr>
        <w:top w:val="none" w:sz="0" w:space="0" w:color="auto"/>
        <w:left w:val="none" w:sz="0" w:space="0" w:color="auto"/>
        <w:bottom w:val="none" w:sz="0" w:space="0" w:color="auto"/>
        <w:right w:val="none" w:sz="0" w:space="0" w:color="auto"/>
      </w:divBdr>
      <w:divsChild>
        <w:div w:id="311982059">
          <w:marLeft w:val="0"/>
          <w:marRight w:val="0"/>
          <w:marTop w:val="0"/>
          <w:marBottom w:val="0"/>
          <w:divBdr>
            <w:top w:val="none" w:sz="0" w:space="0" w:color="auto"/>
            <w:left w:val="none" w:sz="0" w:space="0" w:color="auto"/>
            <w:bottom w:val="none" w:sz="0" w:space="0" w:color="auto"/>
            <w:right w:val="none" w:sz="0" w:space="0" w:color="auto"/>
          </w:divBdr>
        </w:div>
        <w:div w:id="1202086037">
          <w:marLeft w:val="0"/>
          <w:marRight w:val="0"/>
          <w:marTop w:val="0"/>
          <w:marBottom w:val="0"/>
          <w:divBdr>
            <w:top w:val="none" w:sz="0" w:space="0" w:color="auto"/>
            <w:left w:val="none" w:sz="0" w:space="0" w:color="auto"/>
            <w:bottom w:val="none" w:sz="0" w:space="0" w:color="auto"/>
            <w:right w:val="none" w:sz="0" w:space="0" w:color="auto"/>
          </w:divBdr>
        </w:div>
        <w:div w:id="1322654478">
          <w:marLeft w:val="0"/>
          <w:marRight w:val="0"/>
          <w:marTop w:val="0"/>
          <w:marBottom w:val="0"/>
          <w:divBdr>
            <w:top w:val="none" w:sz="0" w:space="0" w:color="auto"/>
            <w:left w:val="none" w:sz="0" w:space="0" w:color="auto"/>
            <w:bottom w:val="none" w:sz="0" w:space="0" w:color="auto"/>
            <w:right w:val="none" w:sz="0" w:space="0" w:color="auto"/>
          </w:divBdr>
        </w:div>
        <w:div w:id="1710909412">
          <w:marLeft w:val="0"/>
          <w:marRight w:val="0"/>
          <w:marTop w:val="0"/>
          <w:marBottom w:val="0"/>
          <w:divBdr>
            <w:top w:val="none" w:sz="0" w:space="0" w:color="auto"/>
            <w:left w:val="none" w:sz="0" w:space="0" w:color="auto"/>
            <w:bottom w:val="none" w:sz="0" w:space="0" w:color="auto"/>
            <w:right w:val="none" w:sz="0" w:space="0" w:color="auto"/>
          </w:divBdr>
        </w:div>
        <w:div w:id="1777166886">
          <w:marLeft w:val="0"/>
          <w:marRight w:val="0"/>
          <w:marTop w:val="0"/>
          <w:marBottom w:val="0"/>
          <w:divBdr>
            <w:top w:val="none" w:sz="0" w:space="0" w:color="auto"/>
            <w:left w:val="none" w:sz="0" w:space="0" w:color="auto"/>
            <w:bottom w:val="none" w:sz="0" w:space="0" w:color="auto"/>
            <w:right w:val="none" w:sz="0" w:space="0" w:color="auto"/>
          </w:divBdr>
        </w:div>
        <w:div w:id="1831827358">
          <w:marLeft w:val="0"/>
          <w:marRight w:val="0"/>
          <w:marTop w:val="0"/>
          <w:marBottom w:val="0"/>
          <w:divBdr>
            <w:top w:val="none" w:sz="0" w:space="0" w:color="auto"/>
            <w:left w:val="none" w:sz="0" w:space="0" w:color="auto"/>
            <w:bottom w:val="none" w:sz="0" w:space="0" w:color="auto"/>
            <w:right w:val="none" w:sz="0" w:space="0" w:color="auto"/>
          </w:divBdr>
        </w:div>
        <w:div w:id="1872188686">
          <w:marLeft w:val="0"/>
          <w:marRight w:val="0"/>
          <w:marTop w:val="0"/>
          <w:marBottom w:val="0"/>
          <w:divBdr>
            <w:top w:val="none" w:sz="0" w:space="0" w:color="auto"/>
            <w:left w:val="none" w:sz="0" w:space="0" w:color="auto"/>
            <w:bottom w:val="none" w:sz="0" w:space="0" w:color="auto"/>
            <w:right w:val="none" w:sz="0" w:space="0" w:color="auto"/>
          </w:divBdr>
        </w:div>
        <w:div w:id="1951161380">
          <w:marLeft w:val="0"/>
          <w:marRight w:val="0"/>
          <w:marTop w:val="0"/>
          <w:marBottom w:val="0"/>
          <w:divBdr>
            <w:top w:val="none" w:sz="0" w:space="0" w:color="auto"/>
            <w:left w:val="none" w:sz="0" w:space="0" w:color="auto"/>
            <w:bottom w:val="none" w:sz="0" w:space="0" w:color="auto"/>
            <w:right w:val="none" w:sz="0" w:space="0" w:color="auto"/>
          </w:divBdr>
        </w:div>
        <w:div w:id="1990163431">
          <w:marLeft w:val="0"/>
          <w:marRight w:val="0"/>
          <w:marTop w:val="0"/>
          <w:marBottom w:val="0"/>
          <w:divBdr>
            <w:top w:val="none" w:sz="0" w:space="0" w:color="auto"/>
            <w:left w:val="none" w:sz="0" w:space="0" w:color="auto"/>
            <w:bottom w:val="none" w:sz="0" w:space="0" w:color="auto"/>
            <w:right w:val="none" w:sz="0" w:space="0" w:color="auto"/>
          </w:divBdr>
        </w:div>
        <w:div w:id="2020814636">
          <w:marLeft w:val="0"/>
          <w:marRight w:val="0"/>
          <w:marTop w:val="0"/>
          <w:marBottom w:val="0"/>
          <w:divBdr>
            <w:top w:val="none" w:sz="0" w:space="0" w:color="auto"/>
            <w:left w:val="none" w:sz="0" w:space="0" w:color="auto"/>
            <w:bottom w:val="none" w:sz="0" w:space="0" w:color="auto"/>
            <w:right w:val="none" w:sz="0" w:space="0" w:color="auto"/>
          </w:divBdr>
        </w:div>
      </w:divsChild>
    </w:div>
    <w:div w:id="514850891">
      <w:bodyDiv w:val="1"/>
      <w:marLeft w:val="0"/>
      <w:marRight w:val="0"/>
      <w:marTop w:val="0"/>
      <w:marBottom w:val="0"/>
      <w:divBdr>
        <w:top w:val="none" w:sz="0" w:space="0" w:color="auto"/>
        <w:left w:val="none" w:sz="0" w:space="0" w:color="auto"/>
        <w:bottom w:val="none" w:sz="0" w:space="0" w:color="auto"/>
        <w:right w:val="none" w:sz="0" w:space="0" w:color="auto"/>
      </w:divBdr>
      <w:divsChild>
        <w:div w:id="1126306">
          <w:marLeft w:val="0"/>
          <w:marRight w:val="0"/>
          <w:marTop w:val="0"/>
          <w:marBottom w:val="0"/>
          <w:divBdr>
            <w:top w:val="none" w:sz="0" w:space="0" w:color="auto"/>
            <w:left w:val="none" w:sz="0" w:space="0" w:color="auto"/>
            <w:bottom w:val="none" w:sz="0" w:space="0" w:color="auto"/>
            <w:right w:val="none" w:sz="0" w:space="0" w:color="auto"/>
          </w:divBdr>
        </w:div>
        <w:div w:id="203057600">
          <w:marLeft w:val="0"/>
          <w:marRight w:val="0"/>
          <w:marTop w:val="0"/>
          <w:marBottom w:val="0"/>
          <w:divBdr>
            <w:top w:val="none" w:sz="0" w:space="0" w:color="auto"/>
            <w:left w:val="none" w:sz="0" w:space="0" w:color="auto"/>
            <w:bottom w:val="none" w:sz="0" w:space="0" w:color="auto"/>
            <w:right w:val="none" w:sz="0" w:space="0" w:color="auto"/>
          </w:divBdr>
        </w:div>
        <w:div w:id="339358357">
          <w:marLeft w:val="0"/>
          <w:marRight w:val="0"/>
          <w:marTop w:val="0"/>
          <w:marBottom w:val="0"/>
          <w:divBdr>
            <w:top w:val="none" w:sz="0" w:space="0" w:color="auto"/>
            <w:left w:val="none" w:sz="0" w:space="0" w:color="auto"/>
            <w:bottom w:val="none" w:sz="0" w:space="0" w:color="auto"/>
            <w:right w:val="none" w:sz="0" w:space="0" w:color="auto"/>
          </w:divBdr>
        </w:div>
        <w:div w:id="489366871">
          <w:marLeft w:val="0"/>
          <w:marRight w:val="0"/>
          <w:marTop w:val="0"/>
          <w:marBottom w:val="0"/>
          <w:divBdr>
            <w:top w:val="none" w:sz="0" w:space="0" w:color="auto"/>
            <w:left w:val="none" w:sz="0" w:space="0" w:color="auto"/>
            <w:bottom w:val="none" w:sz="0" w:space="0" w:color="auto"/>
            <w:right w:val="none" w:sz="0" w:space="0" w:color="auto"/>
          </w:divBdr>
        </w:div>
        <w:div w:id="648485576">
          <w:marLeft w:val="0"/>
          <w:marRight w:val="0"/>
          <w:marTop w:val="0"/>
          <w:marBottom w:val="0"/>
          <w:divBdr>
            <w:top w:val="none" w:sz="0" w:space="0" w:color="auto"/>
            <w:left w:val="none" w:sz="0" w:space="0" w:color="auto"/>
            <w:bottom w:val="none" w:sz="0" w:space="0" w:color="auto"/>
            <w:right w:val="none" w:sz="0" w:space="0" w:color="auto"/>
          </w:divBdr>
        </w:div>
        <w:div w:id="1004359957">
          <w:marLeft w:val="0"/>
          <w:marRight w:val="0"/>
          <w:marTop w:val="0"/>
          <w:marBottom w:val="0"/>
          <w:divBdr>
            <w:top w:val="none" w:sz="0" w:space="0" w:color="auto"/>
            <w:left w:val="none" w:sz="0" w:space="0" w:color="auto"/>
            <w:bottom w:val="none" w:sz="0" w:space="0" w:color="auto"/>
            <w:right w:val="none" w:sz="0" w:space="0" w:color="auto"/>
          </w:divBdr>
        </w:div>
        <w:div w:id="1751150471">
          <w:marLeft w:val="0"/>
          <w:marRight w:val="0"/>
          <w:marTop w:val="0"/>
          <w:marBottom w:val="0"/>
          <w:divBdr>
            <w:top w:val="none" w:sz="0" w:space="0" w:color="auto"/>
            <w:left w:val="none" w:sz="0" w:space="0" w:color="auto"/>
            <w:bottom w:val="none" w:sz="0" w:space="0" w:color="auto"/>
            <w:right w:val="none" w:sz="0" w:space="0" w:color="auto"/>
          </w:divBdr>
        </w:div>
        <w:div w:id="1791125314">
          <w:marLeft w:val="0"/>
          <w:marRight w:val="0"/>
          <w:marTop w:val="0"/>
          <w:marBottom w:val="0"/>
          <w:divBdr>
            <w:top w:val="none" w:sz="0" w:space="0" w:color="auto"/>
            <w:left w:val="none" w:sz="0" w:space="0" w:color="auto"/>
            <w:bottom w:val="none" w:sz="0" w:space="0" w:color="auto"/>
            <w:right w:val="none" w:sz="0" w:space="0" w:color="auto"/>
          </w:divBdr>
        </w:div>
        <w:div w:id="2050374018">
          <w:marLeft w:val="0"/>
          <w:marRight w:val="0"/>
          <w:marTop w:val="0"/>
          <w:marBottom w:val="0"/>
          <w:divBdr>
            <w:top w:val="none" w:sz="0" w:space="0" w:color="auto"/>
            <w:left w:val="none" w:sz="0" w:space="0" w:color="auto"/>
            <w:bottom w:val="none" w:sz="0" w:space="0" w:color="auto"/>
            <w:right w:val="none" w:sz="0" w:space="0" w:color="auto"/>
          </w:divBdr>
        </w:div>
        <w:div w:id="211289113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1533738">
      <w:bodyDiv w:val="1"/>
      <w:marLeft w:val="0"/>
      <w:marRight w:val="0"/>
      <w:marTop w:val="0"/>
      <w:marBottom w:val="0"/>
      <w:divBdr>
        <w:top w:val="none" w:sz="0" w:space="0" w:color="auto"/>
        <w:left w:val="none" w:sz="0" w:space="0" w:color="auto"/>
        <w:bottom w:val="none" w:sz="0" w:space="0" w:color="auto"/>
        <w:right w:val="none" w:sz="0" w:space="0" w:color="auto"/>
      </w:divBdr>
    </w:div>
    <w:div w:id="1208027669">
      <w:bodyDiv w:val="1"/>
      <w:marLeft w:val="0"/>
      <w:marRight w:val="0"/>
      <w:marTop w:val="0"/>
      <w:marBottom w:val="0"/>
      <w:divBdr>
        <w:top w:val="none" w:sz="0" w:space="0" w:color="auto"/>
        <w:left w:val="none" w:sz="0" w:space="0" w:color="auto"/>
        <w:bottom w:val="none" w:sz="0" w:space="0" w:color="auto"/>
        <w:right w:val="none" w:sz="0" w:space="0" w:color="auto"/>
      </w:divBdr>
      <w:divsChild>
        <w:div w:id="258830803">
          <w:marLeft w:val="0"/>
          <w:marRight w:val="0"/>
          <w:marTop w:val="0"/>
          <w:marBottom w:val="0"/>
          <w:divBdr>
            <w:top w:val="none" w:sz="0" w:space="0" w:color="auto"/>
            <w:left w:val="none" w:sz="0" w:space="0" w:color="auto"/>
            <w:bottom w:val="none" w:sz="0" w:space="0" w:color="auto"/>
            <w:right w:val="none" w:sz="0" w:space="0" w:color="auto"/>
          </w:divBdr>
        </w:div>
        <w:div w:id="352731343">
          <w:marLeft w:val="0"/>
          <w:marRight w:val="0"/>
          <w:marTop w:val="0"/>
          <w:marBottom w:val="0"/>
          <w:divBdr>
            <w:top w:val="none" w:sz="0" w:space="0" w:color="auto"/>
            <w:left w:val="none" w:sz="0" w:space="0" w:color="auto"/>
            <w:bottom w:val="none" w:sz="0" w:space="0" w:color="auto"/>
            <w:right w:val="none" w:sz="0" w:space="0" w:color="auto"/>
          </w:divBdr>
        </w:div>
        <w:div w:id="366106348">
          <w:marLeft w:val="0"/>
          <w:marRight w:val="0"/>
          <w:marTop w:val="0"/>
          <w:marBottom w:val="0"/>
          <w:divBdr>
            <w:top w:val="none" w:sz="0" w:space="0" w:color="auto"/>
            <w:left w:val="none" w:sz="0" w:space="0" w:color="auto"/>
            <w:bottom w:val="none" w:sz="0" w:space="0" w:color="auto"/>
            <w:right w:val="none" w:sz="0" w:space="0" w:color="auto"/>
          </w:divBdr>
        </w:div>
        <w:div w:id="584337039">
          <w:marLeft w:val="0"/>
          <w:marRight w:val="0"/>
          <w:marTop w:val="0"/>
          <w:marBottom w:val="0"/>
          <w:divBdr>
            <w:top w:val="none" w:sz="0" w:space="0" w:color="auto"/>
            <w:left w:val="none" w:sz="0" w:space="0" w:color="auto"/>
            <w:bottom w:val="none" w:sz="0" w:space="0" w:color="auto"/>
            <w:right w:val="none" w:sz="0" w:space="0" w:color="auto"/>
          </w:divBdr>
        </w:div>
        <w:div w:id="1223637569">
          <w:marLeft w:val="0"/>
          <w:marRight w:val="0"/>
          <w:marTop w:val="0"/>
          <w:marBottom w:val="0"/>
          <w:divBdr>
            <w:top w:val="none" w:sz="0" w:space="0" w:color="auto"/>
            <w:left w:val="none" w:sz="0" w:space="0" w:color="auto"/>
            <w:bottom w:val="none" w:sz="0" w:space="0" w:color="auto"/>
            <w:right w:val="none" w:sz="0" w:space="0" w:color="auto"/>
          </w:divBdr>
        </w:div>
        <w:div w:id="1527672749">
          <w:marLeft w:val="0"/>
          <w:marRight w:val="0"/>
          <w:marTop w:val="0"/>
          <w:marBottom w:val="0"/>
          <w:divBdr>
            <w:top w:val="none" w:sz="0" w:space="0" w:color="auto"/>
            <w:left w:val="none" w:sz="0" w:space="0" w:color="auto"/>
            <w:bottom w:val="none" w:sz="0" w:space="0" w:color="auto"/>
            <w:right w:val="none" w:sz="0" w:space="0" w:color="auto"/>
          </w:divBdr>
        </w:div>
        <w:div w:id="1590388248">
          <w:marLeft w:val="0"/>
          <w:marRight w:val="0"/>
          <w:marTop w:val="0"/>
          <w:marBottom w:val="0"/>
          <w:divBdr>
            <w:top w:val="none" w:sz="0" w:space="0" w:color="auto"/>
            <w:left w:val="none" w:sz="0" w:space="0" w:color="auto"/>
            <w:bottom w:val="none" w:sz="0" w:space="0" w:color="auto"/>
            <w:right w:val="none" w:sz="0" w:space="0" w:color="auto"/>
          </w:divBdr>
        </w:div>
        <w:div w:id="1738161841">
          <w:marLeft w:val="0"/>
          <w:marRight w:val="0"/>
          <w:marTop w:val="0"/>
          <w:marBottom w:val="0"/>
          <w:divBdr>
            <w:top w:val="none" w:sz="0" w:space="0" w:color="auto"/>
            <w:left w:val="none" w:sz="0" w:space="0" w:color="auto"/>
            <w:bottom w:val="none" w:sz="0" w:space="0" w:color="auto"/>
            <w:right w:val="none" w:sz="0" w:space="0" w:color="auto"/>
          </w:divBdr>
        </w:div>
        <w:div w:id="1833641620">
          <w:marLeft w:val="0"/>
          <w:marRight w:val="0"/>
          <w:marTop w:val="0"/>
          <w:marBottom w:val="0"/>
          <w:divBdr>
            <w:top w:val="none" w:sz="0" w:space="0" w:color="auto"/>
            <w:left w:val="none" w:sz="0" w:space="0" w:color="auto"/>
            <w:bottom w:val="none" w:sz="0" w:space="0" w:color="auto"/>
            <w:right w:val="none" w:sz="0" w:space="0" w:color="auto"/>
          </w:divBdr>
        </w:div>
        <w:div w:id="1840267870">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3532495">
      <w:bodyDiv w:val="1"/>
      <w:marLeft w:val="0"/>
      <w:marRight w:val="0"/>
      <w:marTop w:val="0"/>
      <w:marBottom w:val="0"/>
      <w:divBdr>
        <w:top w:val="none" w:sz="0" w:space="0" w:color="auto"/>
        <w:left w:val="none" w:sz="0" w:space="0" w:color="auto"/>
        <w:bottom w:val="none" w:sz="0" w:space="0" w:color="auto"/>
        <w:right w:val="none" w:sz="0" w:space="0" w:color="auto"/>
      </w:divBdr>
      <w:divsChild>
        <w:div w:id="33969666">
          <w:marLeft w:val="0"/>
          <w:marRight w:val="0"/>
          <w:marTop w:val="0"/>
          <w:marBottom w:val="0"/>
          <w:divBdr>
            <w:top w:val="none" w:sz="0" w:space="0" w:color="auto"/>
            <w:left w:val="none" w:sz="0" w:space="0" w:color="auto"/>
            <w:bottom w:val="none" w:sz="0" w:space="0" w:color="auto"/>
            <w:right w:val="none" w:sz="0" w:space="0" w:color="auto"/>
          </w:divBdr>
        </w:div>
        <w:div w:id="245919297">
          <w:marLeft w:val="0"/>
          <w:marRight w:val="0"/>
          <w:marTop w:val="0"/>
          <w:marBottom w:val="0"/>
          <w:divBdr>
            <w:top w:val="none" w:sz="0" w:space="0" w:color="auto"/>
            <w:left w:val="none" w:sz="0" w:space="0" w:color="auto"/>
            <w:bottom w:val="none" w:sz="0" w:space="0" w:color="auto"/>
            <w:right w:val="none" w:sz="0" w:space="0" w:color="auto"/>
          </w:divBdr>
        </w:div>
        <w:div w:id="604918935">
          <w:marLeft w:val="0"/>
          <w:marRight w:val="0"/>
          <w:marTop w:val="0"/>
          <w:marBottom w:val="0"/>
          <w:divBdr>
            <w:top w:val="none" w:sz="0" w:space="0" w:color="auto"/>
            <w:left w:val="none" w:sz="0" w:space="0" w:color="auto"/>
            <w:bottom w:val="none" w:sz="0" w:space="0" w:color="auto"/>
            <w:right w:val="none" w:sz="0" w:space="0" w:color="auto"/>
          </w:divBdr>
        </w:div>
        <w:div w:id="637615356">
          <w:marLeft w:val="0"/>
          <w:marRight w:val="0"/>
          <w:marTop w:val="0"/>
          <w:marBottom w:val="0"/>
          <w:divBdr>
            <w:top w:val="none" w:sz="0" w:space="0" w:color="auto"/>
            <w:left w:val="none" w:sz="0" w:space="0" w:color="auto"/>
            <w:bottom w:val="none" w:sz="0" w:space="0" w:color="auto"/>
            <w:right w:val="none" w:sz="0" w:space="0" w:color="auto"/>
          </w:divBdr>
        </w:div>
        <w:div w:id="708800030">
          <w:marLeft w:val="0"/>
          <w:marRight w:val="0"/>
          <w:marTop w:val="0"/>
          <w:marBottom w:val="0"/>
          <w:divBdr>
            <w:top w:val="none" w:sz="0" w:space="0" w:color="auto"/>
            <w:left w:val="none" w:sz="0" w:space="0" w:color="auto"/>
            <w:bottom w:val="none" w:sz="0" w:space="0" w:color="auto"/>
            <w:right w:val="none" w:sz="0" w:space="0" w:color="auto"/>
          </w:divBdr>
        </w:div>
        <w:div w:id="987899192">
          <w:marLeft w:val="0"/>
          <w:marRight w:val="0"/>
          <w:marTop w:val="0"/>
          <w:marBottom w:val="0"/>
          <w:divBdr>
            <w:top w:val="none" w:sz="0" w:space="0" w:color="auto"/>
            <w:left w:val="none" w:sz="0" w:space="0" w:color="auto"/>
            <w:bottom w:val="none" w:sz="0" w:space="0" w:color="auto"/>
            <w:right w:val="none" w:sz="0" w:space="0" w:color="auto"/>
          </w:divBdr>
        </w:div>
        <w:div w:id="1389717885">
          <w:marLeft w:val="0"/>
          <w:marRight w:val="0"/>
          <w:marTop w:val="0"/>
          <w:marBottom w:val="0"/>
          <w:divBdr>
            <w:top w:val="none" w:sz="0" w:space="0" w:color="auto"/>
            <w:left w:val="none" w:sz="0" w:space="0" w:color="auto"/>
            <w:bottom w:val="none" w:sz="0" w:space="0" w:color="auto"/>
            <w:right w:val="none" w:sz="0" w:space="0" w:color="auto"/>
          </w:divBdr>
        </w:div>
        <w:div w:id="1522626743">
          <w:marLeft w:val="0"/>
          <w:marRight w:val="0"/>
          <w:marTop w:val="0"/>
          <w:marBottom w:val="0"/>
          <w:divBdr>
            <w:top w:val="none" w:sz="0" w:space="0" w:color="auto"/>
            <w:left w:val="none" w:sz="0" w:space="0" w:color="auto"/>
            <w:bottom w:val="none" w:sz="0" w:space="0" w:color="auto"/>
            <w:right w:val="none" w:sz="0" w:space="0" w:color="auto"/>
          </w:divBdr>
        </w:div>
        <w:div w:id="1959793750">
          <w:marLeft w:val="0"/>
          <w:marRight w:val="0"/>
          <w:marTop w:val="0"/>
          <w:marBottom w:val="0"/>
          <w:divBdr>
            <w:top w:val="none" w:sz="0" w:space="0" w:color="auto"/>
            <w:left w:val="none" w:sz="0" w:space="0" w:color="auto"/>
            <w:bottom w:val="none" w:sz="0" w:space="0" w:color="auto"/>
            <w:right w:val="none" w:sz="0" w:space="0" w:color="auto"/>
          </w:divBdr>
        </w:div>
        <w:div w:id="21310477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FAS.helpdesk@dffh.vic.gov.au" TargetMode="External"/><Relationship Id="rId21" Type="http://schemas.openxmlformats.org/officeDocument/2006/relationships/hyperlink" Target="https://fac.dffh.vic.gov.au/my-agency" TargetMode="External"/><Relationship Id="rId42" Type="http://schemas.openxmlformats.org/officeDocument/2006/relationships/hyperlink" Target="https://www.dffh.vic.gov.au/publications/privacy-policy" TargetMode="External"/><Relationship Id="rId47" Type="http://schemas.openxmlformats.org/officeDocument/2006/relationships/hyperlink" Target="https://www.health.vic.gov.au/our-strategic-plan-2023-27" TargetMode="External"/><Relationship Id="rId63" Type="http://schemas.openxmlformats.org/officeDocument/2006/relationships/hyperlink" Target="https://www.vha.org.au/index.cfm/members-networks/resources/governance-resources/integrity-governance-framework-and-assessment-tool/" TargetMode="External"/><Relationship Id="rId68" Type="http://schemas.openxmlformats.org/officeDocument/2006/relationships/hyperlink" Target="https://fac.dffh.vic.gov.au/my-agency" TargetMode="External"/><Relationship Id="rId2" Type="http://schemas.openxmlformats.org/officeDocument/2006/relationships/customXml" Target="../customXml/item2.xml"/><Relationship Id="rId16" Type="http://schemas.openxmlformats.org/officeDocument/2006/relationships/hyperlink" Target="https://www.dffh.vic.gov.au/publications/dffh-strategic-plan" TargetMode="External"/><Relationship Id="rId29" Type="http://schemas.openxmlformats.org/officeDocument/2006/relationships/hyperlink" Target="https://www.vic.gov.au/social-services-regulator" TargetMode="External"/><Relationship Id="rId11" Type="http://schemas.openxmlformats.org/officeDocument/2006/relationships/image" Target="media/image1.jpeg"/><Relationship Id="rId24" Type="http://schemas.openxmlformats.org/officeDocument/2006/relationships/hyperlink" Target="https://www.justice.vic.gov.au/safer-communities/protecting-children-and-families/national-redress-scheme" TargetMode="External"/><Relationship Id="rId32" Type="http://schemas.openxmlformats.org/officeDocument/2006/relationships/hyperlink" Target="https://providers.dffh.vic.gov.au/fire-risk-management-procedures-and-guidelines" TargetMode="External"/><Relationship Id="rId37" Type="http://schemas.openxmlformats.org/officeDocument/2006/relationships/hyperlink" Target="https://providers.dffh.vic.gov.au/emergency-management" TargetMode="External"/><Relationship Id="rId40" Type="http://schemas.openxmlformats.org/officeDocument/2006/relationships/hyperlink" Target="https://providers.dffh.vic.gov.au/safety-screening-policy" TargetMode="External"/><Relationship Id="rId45" Type="http://schemas.openxmlformats.org/officeDocument/2006/relationships/hyperlink" Target="https://www.dffh.vic.gov.au/publications/fraud-corruption-and-other-losses" TargetMode="External"/><Relationship Id="rId53" Type="http://schemas.openxmlformats.org/officeDocument/2006/relationships/hyperlink" Target="https://nfplaw.org.au/" TargetMode="External"/><Relationship Id="rId58" Type="http://schemas.openxmlformats.org/officeDocument/2006/relationships/hyperlink" Target="https://fac.dffh.vic.gov.au/information-security" TargetMode="External"/><Relationship Id="rId66" Type="http://schemas.openxmlformats.org/officeDocument/2006/relationships/hyperlink" Target="https://providers.dffh.vic.gov.au/cim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vic.gov.au/social-services-regulator" TargetMode="External"/><Relationship Id="rId19" Type="http://schemas.openxmlformats.org/officeDocument/2006/relationships/hyperlink" Target="https://www.aasb.gov.au/" TargetMode="External"/><Relationship Id="rId14" Type="http://schemas.openxmlformats.org/officeDocument/2006/relationships/header" Target="header1.xml"/><Relationship Id="rId22" Type="http://schemas.openxmlformats.org/officeDocument/2006/relationships/hyperlink" Target="https://fac.dffh.vic.gov.au/price-index-exceptional-event-arrangements" TargetMode="External"/><Relationship Id="rId27" Type="http://schemas.openxmlformats.org/officeDocument/2006/relationships/hyperlink" Target="https://www.worksafe.vic.gov.au/occupational-health-and-safety-act-and-regulations" TargetMode="External"/><Relationship Id="rId30" Type="http://schemas.openxmlformats.org/officeDocument/2006/relationships/hyperlink" Target="https://vahi.vic.gov.au/ourwork/vhims-program-of-reforms" TargetMode="External"/><Relationship Id="rId35" Type="http://schemas.openxmlformats.org/officeDocument/2006/relationships/hyperlink" Target="https://www.humanrights.vic.gov.au/" TargetMode="External"/><Relationship Id="rId43" Type="http://schemas.openxmlformats.org/officeDocument/2006/relationships/hyperlink" Target="https://www.dffh.vic.gov.au/victorian-fair-jobs-code-community-services-sector" TargetMode="External"/><Relationship Id="rId48" Type="http://schemas.openxmlformats.org/officeDocument/2006/relationships/hyperlink" Target="https://www.health.vic.gov.au/department-of-health-privacy-policy" TargetMode="External"/><Relationship Id="rId56" Type="http://schemas.openxmlformats.org/officeDocument/2006/relationships/hyperlink" Target="https://fac.dffh.vic.gov.au/service-agreement" TargetMode="External"/><Relationship Id="rId64" Type="http://schemas.openxmlformats.org/officeDocument/2006/relationships/hyperlink" Target="https://www.legislation.vic.gov.au/in-force/statutory-rules/family-violence-protection-information-sharing-and-risk-management/003" TargetMode="External"/><Relationship Id="rId69" Type="http://schemas.openxmlformats.org/officeDocument/2006/relationships/hyperlink" Target="https://fac.dhhs.vic.gov.au/guidelines-service-agreement-compliance-certification-form-0" TargetMode="External"/><Relationship Id="rId8" Type="http://schemas.openxmlformats.org/officeDocument/2006/relationships/webSettings" Target="webSettings.xml"/><Relationship Id="rId51" Type="http://schemas.openxmlformats.org/officeDocument/2006/relationships/hyperlink" Target="https://fac.dhhs.vic.gov.au/service-agreement-requirements" TargetMode="External"/><Relationship Id="rId72"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ac.dffh.vic.gov.au/my-agency" TargetMode="External"/><Relationship Id="rId25" Type="http://schemas.openxmlformats.org/officeDocument/2006/relationships/hyperlink" Target="https://fac.dffh.vic.gov.au/price-index-exceptional-event-arrangements" TargetMode="External"/><Relationship Id="rId33" Type="http://schemas.openxmlformats.org/officeDocument/2006/relationships/hyperlink" Target="https://ccyp.vic.gov.au/reportable-conduct-scheme/" TargetMode="External"/><Relationship Id="rId38" Type="http://schemas.openxmlformats.org/officeDocument/2006/relationships/hyperlink" Target="https://www.legislation.vic.gov.au/in-force/statutory-rules/child-wellbeing-and-safety-information-sharing-regulations-2018/002" TargetMode="External"/><Relationship Id="rId46" Type="http://schemas.openxmlformats.org/officeDocument/2006/relationships/hyperlink" Target="https://www.dffh.vic.gov.au/publications/language-services-policy" TargetMode="External"/><Relationship Id="rId59" Type="http://schemas.openxmlformats.org/officeDocument/2006/relationships/hyperlink" Target="mailto:email%20Service%20Agreement%20Communications" TargetMode="External"/><Relationship Id="rId67" Type="http://schemas.openxmlformats.org/officeDocument/2006/relationships/hyperlink" Target="https://www.vic.gov.au/social-services-regulator" TargetMode="External"/><Relationship Id="rId20" Type="http://schemas.openxmlformats.org/officeDocument/2006/relationships/hyperlink" Target="https://fac.dffh.vic.gov.au/my-agency" TargetMode="External"/><Relationship Id="rId41" Type="http://schemas.openxmlformats.org/officeDocument/2006/relationships/hyperlink" Target="https://www.dffh.vic.gov.au/publications/aboriginal-and-torres-strait-islander-cultural-safety-framework" TargetMode="External"/><Relationship Id="rId54" Type="http://schemas.openxmlformats.org/officeDocument/2006/relationships/hyperlink" Target="https://www.childabuseroyalcommission.gov.au/" TargetMode="External"/><Relationship Id="rId62" Type="http://schemas.openxmlformats.org/officeDocument/2006/relationships/hyperlink" Target="https://fac.dffh.vic.gov.au/policies-and-procedures" TargetMode="External"/><Relationship Id="rId70" Type="http://schemas.openxmlformats.org/officeDocument/2006/relationships/header" Target="head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fac.dffh.vic.gov.au/acknowledgement-and-publicity-guidelines-victorian-government-funding-support" TargetMode="External"/><Relationship Id="rId28" Type="http://schemas.openxmlformats.org/officeDocument/2006/relationships/hyperlink" Target="https://www.vmia.vic.gov.au/insurance/policies-and-cover" TargetMode="External"/><Relationship Id="rId36" Type="http://schemas.openxmlformats.org/officeDocument/2006/relationships/hyperlink" Target="https://victimsofcrimecommissioner.vic.gov.au/agencies/obligations-under-the-victims-charter" TargetMode="External"/><Relationship Id="rId49" Type="http://schemas.openxmlformats.org/officeDocument/2006/relationships/hyperlink" Target="https://providers.dffh.vic.gov.au/emergency-management" TargetMode="External"/><Relationship Id="rId57" Type="http://schemas.openxmlformats.org/officeDocument/2006/relationships/hyperlink" Target="https://fac.dffh.vic.gov.au/policies-and-procedures" TargetMode="External"/><Relationship Id="rId10" Type="http://schemas.openxmlformats.org/officeDocument/2006/relationships/endnotes" Target="endnotes.xml"/><Relationship Id="rId31" Type="http://schemas.openxmlformats.org/officeDocument/2006/relationships/hyperlink" Target="https://www.dffh.vic.gov.au/publications/child-safe-standards" TargetMode="External"/><Relationship Id="rId44" Type="http://schemas.openxmlformats.org/officeDocument/2006/relationships/hyperlink" Target="https://www.dffh.vic.gov.au/victorian-fair-jobs-code-community-services-sector" TargetMode="External"/><Relationship Id="rId52" Type="http://schemas.openxmlformats.org/officeDocument/2006/relationships/hyperlink" Target="https://providers.dffh.vic.gov.au/managing-complaints" TargetMode="External"/><Relationship Id="rId60" Type="http://schemas.openxmlformats.org/officeDocument/2006/relationships/hyperlink" Target="https://www.dffh.vic.gov.au/publications/client-voice-framework-community-services" TargetMode="External"/><Relationship Id="rId65" Type="http://schemas.openxmlformats.org/officeDocument/2006/relationships/hyperlink" Target="https://providers.dffh.vic.gov.au/criminal-offences-improve-responses-child-sex-abuse" TargetMode="External"/><Relationship Id="rId73"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fac.dffh.vic.gov.au/my-agency" TargetMode="External"/><Relationship Id="rId39" Type="http://schemas.openxmlformats.org/officeDocument/2006/relationships/hyperlink" Target="https://www.vic.gov.au/information-sharing-schemes-and-the-maram-framework" TargetMode="External"/><Relationship Id="rId34" Type="http://schemas.openxmlformats.org/officeDocument/2006/relationships/hyperlink" Target="https://www.dffh.vic.gov.au/publications/supporting-self-determination-prioritising-funding-aboriginal-organisations-policy" TargetMode="External"/><Relationship Id="rId50" Type="http://schemas.openxmlformats.org/officeDocument/2006/relationships/hyperlink" Target="https://www.dffh.vic.gov.au/publications/community-services-quality-governance-framework" TargetMode="External"/><Relationship Id="rId55" Type="http://schemas.openxmlformats.org/officeDocument/2006/relationships/hyperlink" Target="https://www.dffh.vic.gov.au/publications/privacy-policy" TargetMode="External"/><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19" ma:contentTypeDescription="Create a new document." ma:contentTypeScope="" ma:versionID="888275cd9518b2b1a5eb67f738e980b6">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bdd2e6d4d2885a103fee10942787f559"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E957-AB52-41CA-8018-1A9738BA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2fd516b9-533a-4c39-aa95-d1ccfc9bb0de"/>
    <ds:schemaRef ds:uri="http://schemas.microsoft.com/office/2006/documentManagement/types"/>
    <ds:schemaRef ds:uri="http://purl.org/dc/terms/"/>
    <ds:schemaRef ds:uri="5ce0f2b5-5be5-4508-bce9-d7011ece0659"/>
    <ds:schemaRef ds:uri="a0a1cdb3-76af-40bd-93b0-f7d150250ba2"/>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16B039C-D202-43EA-8433-97CB744C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5126</Words>
  <Characters>40135</Characters>
  <Application>Microsoft Office Word</Application>
  <DocSecurity>0</DocSecurity>
  <Lines>334</Lines>
  <Paragraphs>90</Paragraphs>
  <ScaleCrop>false</ScaleCrop>
  <HeadingPairs>
    <vt:vector size="2" baseType="variant">
      <vt:variant>
        <vt:lpstr>Title</vt:lpstr>
      </vt:variant>
      <vt:variant>
        <vt:i4>1</vt:i4>
      </vt:variant>
    </vt:vector>
  </HeadingPairs>
  <TitlesOfParts>
    <vt:vector size="1" baseType="lpstr">
      <vt:lpstr>Service agreement requirements</vt:lpstr>
    </vt:vector>
  </TitlesOfParts>
  <Company>Victoria State Government, Department of Familes, Fairness and Housing</Company>
  <LinksUpToDate>false</LinksUpToDate>
  <CharactersWithSpaces>45171</CharactersWithSpaces>
  <SharedDoc>false</SharedDoc>
  <HyperlinkBase/>
  <HLinks>
    <vt:vector size="504" baseType="variant">
      <vt:variant>
        <vt:i4>7077984</vt:i4>
      </vt:variant>
      <vt:variant>
        <vt:i4>342</vt:i4>
      </vt:variant>
      <vt:variant>
        <vt:i4>0</vt:i4>
      </vt:variant>
      <vt:variant>
        <vt:i4>5</vt:i4>
      </vt:variant>
      <vt:variant>
        <vt:lpwstr>https://fac.dhhs.vic.gov.au/service-agreement-requirements</vt:lpwstr>
      </vt:variant>
      <vt:variant>
        <vt:lpwstr/>
      </vt:variant>
      <vt:variant>
        <vt:i4>2490430</vt:i4>
      </vt:variant>
      <vt:variant>
        <vt:i4>339</vt:i4>
      </vt:variant>
      <vt:variant>
        <vt:i4>0</vt:i4>
      </vt:variant>
      <vt:variant>
        <vt:i4>5</vt:i4>
      </vt:variant>
      <vt:variant>
        <vt:lpwstr>mailto:email%20Service%20Agreement%20Communications</vt:lpwstr>
      </vt:variant>
      <vt:variant>
        <vt:lpwstr/>
      </vt:variant>
      <vt:variant>
        <vt:i4>1769566</vt:i4>
      </vt:variant>
      <vt:variant>
        <vt:i4>336</vt:i4>
      </vt:variant>
      <vt:variant>
        <vt:i4>0</vt:i4>
      </vt:variant>
      <vt:variant>
        <vt:i4>5</vt:i4>
      </vt:variant>
      <vt:variant>
        <vt:lpwstr>https://www.vic.gov.au/social-services-regulator</vt:lpwstr>
      </vt:variant>
      <vt:variant>
        <vt:lpwstr/>
      </vt:variant>
      <vt:variant>
        <vt:i4>6029391</vt:i4>
      </vt:variant>
      <vt:variant>
        <vt:i4>333</vt:i4>
      </vt:variant>
      <vt:variant>
        <vt:i4>0</vt:i4>
      </vt:variant>
      <vt:variant>
        <vt:i4>5</vt:i4>
      </vt:variant>
      <vt:variant>
        <vt:lpwstr>https://providers.dffh.vic.gov.au/criminal-offences-improve-responses-child-sex-abuse</vt:lpwstr>
      </vt:variant>
      <vt:variant>
        <vt:lpwstr/>
      </vt:variant>
      <vt:variant>
        <vt:i4>4587524</vt:i4>
      </vt:variant>
      <vt:variant>
        <vt:i4>330</vt:i4>
      </vt:variant>
      <vt:variant>
        <vt:i4>0</vt:i4>
      </vt:variant>
      <vt:variant>
        <vt:i4>5</vt:i4>
      </vt:variant>
      <vt:variant>
        <vt:lpwstr>https://fac.dffh.vic.gov.au/service-agreement</vt:lpwstr>
      </vt:variant>
      <vt:variant>
        <vt:lpwstr/>
      </vt:variant>
      <vt:variant>
        <vt:i4>4587524</vt:i4>
      </vt:variant>
      <vt:variant>
        <vt:i4>327</vt:i4>
      </vt:variant>
      <vt:variant>
        <vt:i4>0</vt:i4>
      </vt:variant>
      <vt:variant>
        <vt:i4>5</vt:i4>
      </vt:variant>
      <vt:variant>
        <vt:lpwstr>https://fac.dffh.vic.gov.au/service-agreement</vt:lpwstr>
      </vt:variant>
      <vt:variant>
        <vt:lpwstr/>
      </vt:variant>
      <vt:variant>
        <vt:i4>5242956</vt:i4>
      </vt:variant>
      <vt:variant>
        <vt:i4>324</vt:i4>
      </vt:variant>
      <vt:variant>
        <vt:i4>0</vt:i4>
      </vt:variant>
      <vt:variant>
        <vt:i4>5</vt:i4>
      </vt:variant>
      <vt:variant>
        <vt:lpwstr>https://www.vha.org.au/index.cfm/members-networks/resources/governance-resources/integrity-governance-framework-and-assessment-tool/</vt:lpwstr>
      </vt:variant>
      <vt:variant>
        <vt:lpwstr/>
      </vt:variant>
      <vt:variant>
        <vt:i4>6881385</vt:i4>
      </vt:variant>
      <vt:variant>
        <vt:i4>321</vt:i4>
      </vt:variant>
      <vt:variant>
        <vt:i4>0</vt:i4>
      </vt:variant>
      <vt:variant>
        <vt:i4>5</vt:i4>
      </vt:variant>
      <vt:variant>
        <vt:lpwstr>https://fac.dffh.vic.gov.au/policies-and-procedures</vt:lpwstr>
      </vt:variant>
      <vt:variant>
        <vt:lpwstr/>
      </vt:variant>
      <vt:variant>
        <vt:i4>2752568</vt:i4>
      </vt:variant>
      <vt:variant>
        <vt:i4>318</vt:i4>
      </vt:variant>
      <vt:variant>
        <vt:i4>0</vt:i4>
      </vt:variant>
      <vt:variant>
        <vt:i4>5</vt:i4>
      </vt:variant>
      <vt:variant>
        <vt:lpwstr>https://nfplaw.org.au/</vt:lpwstr>
      </vt:variant>
      <vt:variant>
        <vt:lpwstr/>
      </vt:variant>
      <vt:variant>
        <vt:i4>7798826</vt:i4>
      </vt:variant>
      <vt:variant>
        <vt:i4>315</vt:i4>
      </vt:variant>
      <vt:variant>
        <vt:i4>0</vt:i4>
      </vt:variant>
      <vt:variant>
        <vt:i4>5</vt:i4>
      </vt:variant>
      <vt:variant>
        <vt:lpwstr>https://www.dffh.vic.gov.au/publications/client-voice-framework-community-services</vt:lpwstr>
      </vt:variant>
      <vt:variant>
        <vt:lpwstr/>
      </vt:variant>
      <vt:variant>
        <vt:i4>1835085</vt:i4>
      </vt:variant>
      <vt:variant>
        <vt:i4>312</vt:i4>
      </vt:variant>
      <vt:variant>
        <vt:i4>0</vt:i4>
      </vt:variant>
      <vt:variant>
        <vt:i4>5</vt:i4>
      </vt:variant>
      <vt:variant>
        <vt:lpwstr>https://www.dffh.vic.gov.au/publications/community-services-quality-governance-framework</vt:lpwstr>
      </vt:variant>
      <vt:variant>
        <vt:lpwstr/>
      </vt:variant>
      <vt:variant>
        <vt:i4>4194327</vt:i4>
      </vt:variant>
      <vt:variant>
        <vt:i4>309</vt:i4>
      </vt:variant>
      <vt:variant>
        <vt:i4>0</vt:i4>
      </vt:variant>
      <vt:variant>
        <vt:i4>5</vt:i4>
      </vt:variant>
      <vt:variant>
        <vt:lpwstr>https://fac.dffh.vic.gov.au/information-security</vt:lpwstr>
      </vt:variant>
      <vt:variant>
        <vt:lpwstr/>
      </vt:variant>
      <vt:variant>
        <vt:i4>4194327</vt:i4>
      </vt:variant>
      <vt:variant>
        <vt:i4>306</vt:i4>
      </vt:variant>
      <vt:variant>
        <vt:i4>0</vt:i4>
      </vt:variant>
      <vt:variant>
        <vt:i4>5</vt:i4>
      </vt:variant>
      <vt:variant>
        <vt:lpwstr>https://fac.dffh.vic.gov.au/information-security</vt:lpwstr>
      </vt:variant>
      <vt:variant>
        <vt:lpwstr/>
      </vt:variant>
      <vt:variant>
        <vt:i4>6226002</vt:i4>
      </vt:variant>
      <vt:variant>
        <vt:i4>303</vt:i4>
      </vt:variant>
      <vt:variant>
        <vt:i4>0</vt:i4>
      </vt:variant>
      <vt:variant>
        <vt:i4>5</vt:i4>
      </vt:variant>
      <vt:variant>
        <vt:lpwstr>https://www.health.vic.gov.au/department-of-health-privacy-policy</vt:lpwstr>
      </vt:variant>
      <vt:variant>
        <vt:lpwstr/>
      </vt:variant>
      <vt:variant>
        <vt:i4>6291553</vt:i4>
      </vt:variant>
      <vt:variant>
        <vt:i4>300</vt:i4>
      </vt:variant>
      <vt:variant>
        <vt:i4>0</vt:i4>
      </vt:variant>
      <vt:variant>
        <vt:i4>5</vt:i4>
      </vt:variant>
      <vt:variant>
        <vt:lpwstr>https://www.dffh.vic.gov.au/publications/privacy-policy</vt:lpwstr>
      </vt:variant>
      <vt:variant>
        <vt:lpwstr/>
      </vt:variant>
      <vt:variant>
        <vt:i4>6291553</vt:i4>
      </vt:variant>
      <vt:variant>
        <vt:i4>297</vt:i4>
      </vt:variant>
      <vt:variant>
        <vt:i4>0</vt:i4>
      </vt:variant>
      <vt:variant>
        <vt:i4>5</vt:i4>
      </vt:variant>
      <vt:variant>
        <vt:lpwstr>https://www.dffh.vic.gov.au/publications/privacy-policy</vt:lpwstr>
      </vt:variant>
      <vt:variant>
        <vt:lpwstr/>
      </vt:variant>
      <vt:variant>
        <vt:i4>4128871</vt:i4>
      </vt:variant>
      <vt:variant>
        <vt:i4>294</vt:i4>
      </vt:variant>
      <vt:variant>
        <vt:i4>0</vt:i4>
      </vt:variant>
      <vt:variant>
        <vt:i4>5</vt:i4>
      </vt:variant>
      <vt:variant>
        <vt:lpwstr>https://www.dffh.vic.gov.au/publications/fraud-corruption-and-other-losses</vt:lpwstr>
      </vt:variant>
      <vt:variant>
        <vt:lpwstr/>
      </vt:variant>
      <vt:variant>
        <vt:i4>6488176</vt:i4>
      </vt:variant>
      <vt:variant>
        <vt:i4>291</vt:i4>
      </vt:variant>
      <vt:variant>
        <vt:i4>0</vt:i4>
      </vt:variant>
      <vt:variant>
        <vt:i4>5</vt:i4>
      </vt:variant>
      <vt:variant>
        <vt:lpwstr>https://providers.dffh.vic.gov.au/complaints-management-policy-funded-organisations</vt:lpwstr>
      </vt:variant>
      <vt:variant>
        <vt:lpwstr/>
      </vt:variant>
      <vt:variant>
        <vt:i4>6225929</vt:i4>
      </vt:variant>
      <vt:variant>
        <vt:i4>288</vt:i4>
      </vt:variant>
      <vt:variant>
        <vt:i4>0</vt:i4>
      </vt:variant>
      <vt:variant>
        <vt:i4>5</vt:i4>
      </vt:variant>
      <vt:variant>
        <vt:lpwstr>https://www.dffh.vic.gov.au/publications/language-services-policy</vt:lpwstr>
      </vt:variant>
      <vt:variant>
        <vt:lpwstr/>
      </vt:variant>
      <vt:variant>
        <vt:i4>2687080</vt:i4>
      </vt:variant>
      <vt:variant>
        <vt:i4>285</vt:i4>
      </vt:variant>
      <vt:variant>
        <vt:i4>0</vt:i4>
      </vt:variant>
      <vt:variant>
        <vt:i4>5</vt:i4>
      </vt:variant>
      <vt:variant>
        <vt:lpwstr>https://providers.dffh.vic.gov.au/emergency-management</vt:lpwstr>
      </vt:variant>
      <vt:variant>
        <vt:lpwstr/>
      </vt:variant>
      <vt:variant>
        <vt:i4>2687080</vt:i4>
      </vt:variant>
      <vt:variant>
        <vt:i4>282</vt:i4>
      </vt:variant>
      <vt:variant>
        <vt:i4>0</vt:i4>
      </vt:variant>
      <vt:variant>
        <vt:i4>5</vt:i4>
      </vt:variant>
      <vt:variant>
        <vt:lpwstr>https://providers.dffh.vic.gov.au/emergency-management</vt:lpwstr>
      </vt:variant>
      <vt:variant>
        <vt:lpwstr/>
      </vt:variant>
      <vt:variant>
        <vt:i4>65566</vt:i4>
      </vt:variant>
      <vt:variant>
        <vt:i4>279</vt:i4>
      </vt:variant>
      <vt:variant>
        <vt:i4>0</vt:i4>
      </vt:variant>
      <vt:variant>
        <vt:i4>5</vt:i4>
      </vt:variant>
      <vt:variant>
        <vt:lpwstr>https://providers.dffh.vic.gov.au/safety-screening-policy</vt:lpwstr>
      </vt:variant>
      <vt:variant>
        <vt:lpwstr/>
      </vt:variant>
      <vt:variant>
        <vt:i4>7536753</vt:i4>
      </vt:variant>
      <vt:variant>
        <vt:i4>276</vt:i4>
      </vt:variant>
      <vt:variant>
        <vt:i4>0</vt:i4>
      </vt:variant>
      <vt:variant>
        <vt:i4>5</vt:i4>
      </vt:variant>
      <vt:variant>
        <vt:lpwstr>https://providers.dffh.vic.gov.au/cims</vt:lpwstr>
      </vt:variant>
      <vt:variant>
        <vt:lpwstr/>
      </vt:variant>
      <vt:variant>
        <vt:i4>917587</vt:i4>
      </vt:variant>
      <vt:variant>
        <vt:i4>273</vt:i4>
      </vt:variant>
      <vt:variant>
        <vt:i4>0</vt:i4>
      </vt:variant>
      <vt:variant>
        <vt:i4>5</vt:i4>
      </vt:variant>
      <vt:variant>
        <vt:lpwstr>https://vahi.vic.gov.au/ourwork/vhims-program-of-reforms</vt:lpwstr>
      </vt:variant>
      <vt:variant>
        <vt:lpwstr/>
      </vt:variant>
      <vt:variant>
        <vt:i4>5832728</vt:i4>
      </vt:variant>
      <vt:variant>
        <vt:i4>270</vt:i4>
      </vt:variant>
      <vt:variant>
        <vt:i4>0</vt:i4>
      </vt:variant>
      <vt:variant>
        <vt:i4>5</vt:i4>
      </vt:variant>
      <vt:variant>
        <vt:lpwstr>https://providers.dffh.vic.gov.au/fire-risk-management-procedures-and-guidelines</vt:lpwstr>
      </vt:variant>
      <vt:variant>
        <vt:lpwstr/>
      </vt:variant>
      <vt:variant>
        <vt:i4>3866687</vt:i4>
      </vt:variant>
      <vt:variant>
        <vt:i4>267</vt:i4>
      </vt:variant>
      <vt:variant>
        <vt:i4>0</vt:i4>
      </vt:variant>
      <vt:variant>
        <vt:i4>5</vt:i4>
      </vt:variant>
      <vt:variant>
        <vt:lpwstr>https://www.dffh.vic.gov.au/victorian-fair-jobs-code-community-services-sector</vt:lpwstr>
      </vt:variant>
      <vt:variant>
        <vt:lpwstr/>
      </vt:variant>
      <vt:variant>
        <vt:i4>3866687</vt:i4>
      </vt:variant>
      <vt:variant>
        <vt:i4>264</vt:i4>
      </vt:variant>
      <vt:variant>
        <vt:i4>0</vt:i4>
      </vt:variant>
      <vt:variant>
        <vt:i4>5</vt:i4>
      </vt:variant>
      <vt:variant>
        <vt:lpwstr>https://www.dffh.vic.gov.au/victorian-fair-jobs-code-community-services-sector</vt:lpwstr>
      </vt:variant>
      <vt:variant>
        <vt:lpwstr/>
      </vt:variant>
      <vt:variant>
        <vt:i4>2162739</vt:i4>
      </vt:variant>
      <vt:variant>
        <vt:i4>261</vt:i4>
      </vt:variant>
      <vt:variant>
        <vt:i4>0</vt:i4>
      </vt:variant>
      <vt:variant>
        <vt:i4>5</vt:i4>
      </vt:variant>
      <vt:variant>
        <vt:lpwstr>https://www.dffh.vic.gov.au/publications/supporting-self-determination-prioritising-funding-aboriginal-organisations-policy</vt:lpwstr>
      </vt:variant>
      <vt:variant>
        <vt:lpwstr/>
      </vt:variant>
      <vt:variant>
        <vt:i4>1900568</vt:i4>
      </vt:variant>
      <vt:variant>
        <vt:i4>258</vt:i4>
      </vt:variant>
      <vt:variant>
        <vt:i4>0</vt:i4>
      </vt:variant>
      <vt:variant>
        <vt:i4>5</vt:i4>
      </vt:variant>
      <vt:variant>
        <vt:lpwstr>https://www.dffh.vic.gov.au/publications/aboriginal-and-torres-strait-islander-cultural-safety-framework</vt:lpwstr>
      </vt:variant>
      <vt:variant>
        <vt:lpwstr/>
      </vt:variant>
      <vt:variant>
        <vt:i4>7405685</vt:i4>
      </vt:variant>
      <vt:variant>
        <vt:i4>255</vt:i4>
      </vt:variant>
      <vt:variant>
        <vt:i4>0</vt:i4>
      </vt:variant>
      <vt:variant>
        <vt:i4>5</vt:i4>
      </vt:variant>
      <vt:variant>
        <vt:lpwstr>https://www.worksafe.vic.gov.au/occupational-health-and-safety-act-and-regulations</vt:lpwstr>
      </vt:variant>
      <vt:variant>
        <vt:lpwstr/>
      </vt:variant>
      <vt:variant>
        <vt:i4>3735670</vt:i4>
      </vt:variant>
      <vt:variant>
        <vt:i4>252</vt:i4>
      </vt:variant>
      <vt:variant>
        <vt:i4>0</vt:i4>
      </vt:variant>
      <vt:variant>
        <vt:i4>5</vt:i4>
      </vt:variant>
      <vt:variant>
        <vt:lpwstr>https://www.vic.gov.au/information-sharing-schemes-and-the-maram-framework</vt:lpwstr>
      </vt:variant>
      <vt:variant>
        <vt:lpwstr/>
      </vt:variant>
      <vt:variant>
        <vt:i4>3080231</vt:i4>
      </vt:variant>
      <vt:variant>
        <vt:i4>249</vt:i4>
      </vt:variant>
      <vt:variant>
        <vt:i4>0</vt:i4>
      </vt:variant>
      <vt:variant>
        <vt:i4>5</vt:i4>
      </vt:variant>
      <vt:variant>
        <vt:lpwstr>https://www.legislation.vic.gov.au/in-force/statutory-rules/child-wellbeing-and-safety-information-sharing-regulations-2018/002</vt:lpwstr>
      </vt:variant>
      <vt:variant>
        <vt:lpwstr/>
      </vt:variant>
      <vt:variant>
        <vt:i4>6619173</vt:i4>
      </vt:variant>
      <vt:variant>
        <vt:i4>246</vt:i4>
      </vt:variant>
      <vt:variant>
        <vt:i4>0</vt:i4>
      </vt:variant>
      <vt:variant>
        <vt:i4>5</vt:i4>
      </vt:variant>
      <vt:variant>
        <vt:lpwstr>https://www.legislation.vic.gov.au/in-force/statutory-rules/family-violence-protection-information-sharing-and-risk-management/003</vt:lpwstr>
      </vt:variant>
      <vt:variant>
        <vt:lpwstr/>
      </vt:variant>
      <vt:variant>
        <vt:i4>4784217</vt:i4>
      </vt:variant>
      <vt:variant>
        <vt:i4>243</vt:i4>
      </vt:variant>
      <vt:variant>
        <vt:i4>0</vt:i4>
      </vt:variant>
      <vt:variant>
        <vt:i4>5</vt:i4>
      </vt:variant>
      <vt:variant>
        <vt:lpwstr>https://victimsofcrimecommissioner.vic.gov.au/agencies/obligations-under-the-victims-charter</vt:lpwstr>
      </vt:variant>
      <vt:variant>
        <vt:lpwstr/>
      </vt:variant>
      <vt:variant>
        <vt:i4>6881385</vt:i4>
      </vt:variant>
      <vt:variant>
        <vt:i4>240</vt:i4>
      </vt:variant>
      <vt:variant>
        <vt:i4>0</vt:i4>
      </vt:variant>
      <vt:variant>
        <vt:i4>5</vt:i4>
      </vt:variant>
      <vt:variant>
        <vt:lpwstr>https://fac.dffh.vic.gov.au/policies-and-procedures</vt:lpwstr>
      </vt:variant>
      <vt:variant>
        <vt:lpwstr/>
      </vt:variant>
      <vt:variant>
        <vt:i4>1769566</vt:i4>
      </vt:variant>
      <vt:variant>
        <vt:i4>237</vt:i4>
      </vt:variant>
      <vt:variant>
        <vt:i4>0</vt:i4>
      </vt:variant>
      <vt:variant>
        <vt:i4>5</vt:i4>
      </vt:variant>
      <vt:variant>
        <vt:lpwstr>https://www.vic.gov.au/social-services-regulator</vt:lpwstr>
      </vt:variant>
      <vt:variant>
        <vt:lpwstr/>
      </vt:variant>
      <vt:variant>
        <vt:i4>6553713</vt:i4>
      </vt:variant>
      <vt:variant>
        <vt:i4>234</vt:i4>
      </vt:variant>
      <vt:variant>
        <vt:i4>0</vt:i4>
      </vt:variant>
      <vt:variant>
        <vt:i4>5</vt:i4>
      </vt:variant>
      <vt:variant>
        <vt:lpwstr>https://ccyp.vic.gov.au/reportable-conduct-scheme/</vt:lpwstr>
      </vt:variant>
      <vt:variant>
        <vt:lpwstr/>
      </vt:variant>
      <vt:variant>
        <vt:i4>6553713</vt:i4>
      </vt:variant>
      <vt:variant>
        <vt:i4>231</vt:i4>
      </vt:variant>
      <vt:variant>
        <vt:i4>0</vt:i4>
      </vt:variant>
      <vt:variant>
        <vt:i4>5</vt:i4>
      </vt:variant>
      <vt:variant>
        <vt:lpwstr>https://ccyp.vic.gov.au/reportable-conduct-scheme/</vt:lpwstr>
      </vt:variant>
      <vt:variant>
        <vt:lpwstr/>
      </vt:variant>
      <vt:variant>
        <vt:i4>1638414</vt:i4>
      </vt:variant>
      <vt:variant>
        <vt:i4>228</vt:i4>
      </vt:variant>
      <vt:variant>
        <vt:i4>0</vt:i4>
      </vt:variant>
      <vt:variant>
        <vt:i4>5</vt:i4>
      </vt:variant>
      <vt:variant>
        <vt:lpwstr>https://www.justice.vic.gov.au/safer-communities/protecting-children-and-families/national-redress-scheme</vt:lpwstr>
      </vt:variant>
      <vt:variant>
        <vt:lpwstr/>
      </vt:variant>
      <vt:variant>
        <vt:i4>5701636</vt:i4>
      </vt:variant>
      <vt:variant>
        <vt:i4>225</vt:i4>
      </vt:variant>
      <vt:variant>
        <vt:i4>0</vt:i4>
      </vt:variant>
      <vt:variant>
        <vt:i4>5</vt:i4>
      </vt:variant>
      <vt:variant>
        <vt:lpwstr>https://www.dffh.vic.gov.au/publications/child-safe-standards</vt:lpwstr>
      </vt:variant>
      <vt:variant>
        <vt:lpwstr/>
      </vt:variant>
      <vt:variant>
        <vt:i4>6291516</vt:i4>
      </vt:variant>
      <vt:variant>
        <vt:i4>222</vt:i4>
      </vt:variant>
      <vt:variant>
        <vt:i4>0</vt:i4>
      </vt:variant>
      <vt:variant>
        <vt:i4>5</vt:i4>
      </vt:variant>
      <vt:variant>
        <vt:lpwstr>https://www.humanrights.vic.gov.au/</vt:lpwstr>
      </vt:variant>
      <vt:variant>
        <vt:lpwstr/>
      </vt:variant>
      <vt:variant>
        <vt:i4>262227</vt:i4>
      </vt:variant>
      <vt:variant>
        <vt:i4>219</vt:i4>
      </vt:variant>
      <vt:variant>
        <vt:i4>0</vt:i4>
      </vt:variant>
      <vt:variant>
        <vt:i4>5</vt:i4>
      </vt:variant>
      <vt:variant>
        <vt:lpwstr>https://fac.dffh.vic.gov.au/my-agency</vt:lpwstr>
      </vt:variant>
      <vt:variant>
        <vt:lpwstr/>
      </vt:variant>
      <vt:variant>
        <vt:i4>3473532</vt:i4>
      </vt:variant>
      <vt:variant>
        <vt:i4>216</vt:i4>
      </vt:variant>
      <vt:variant>
        <vt:i4>0</vt:i4>
      </vt:variant>
      <vt:variant>
        <vt:i4>5</vt:i4>
      </vt:variant>
      <vt:variant>
        <vt:lpwstr>https://www.vmia.vic.gov.au/insurance/policies-and-cover</vt:lpwstr>
      </vt:variant>
      <vt:variant>
        <vt:lpwstr>CSO</vt:lpwstr>
      </vt:variant>
      <vt:variant>
        <vt:i4>5374046</vt:i4>
      </vt:variant>
      <vt:variant>
        <vt:i4>213</vt:i4>
      </vt:variant>
      <vt:variant>
        <vt:i4>0</vt:i4>
      </vt:variant>
      <vt:variant>
        <vt:i4>5</vt:i4>
      </vt:variant>
      <vt:variant>
        <vt:lpwstr>https://www.childabuseroyalcommission.gov.au/</vt:lpwstr>
      </vt:variant>
      <vt:variant>
        <vt:lpwstr/>
      </vt:variant>
      <vt:variant>
        <vt:i4>393319</vt:i4>
      </vt:variant>
      <vt:variant>
        <vt:i4>210</vt:i4>
      </vt:variant>
      <vt:variant>
        <vt:i4>0</vt:i4>
      </vt:variant>
      <vt:variant>
        <vt:i4>5</vt:i4>
      </vt:variant>
      <vt:variant>
        <vt:lpwstr>mailto:OFAS.helpdesk@dffh.vic.gov.au</vt:lpwstr>
      </vt:variant>
      <vt:variant>
        <vt:lpwstr/>
      </vt:variant>
      <vt:variant>
        <vt:i4>5767196</vt:i4>
      </vt:variant>
      <vt:variant>
        <vt:i4>207</vt:i4>
      </vt:variant>
      <vt:variant>
        <vt:i4>0</vt:i4>
      </vt:variant>
      <vt:variant>
        <vt:i4>5</vt:i4>
      </vt:variant>
      <vt:variant>
        <vt:lpwstr>https://fac.dhhs.vic.gov.au/guidelines-service-agreement-compliance-certification-form-0</vt:lpwstr>
      </vt:variant>
      <vt:variant>
        <vt:lpwstr/>
      </vt:variant>
      <vt:variant>
        <vt:i4>1310792</vt:i4>
      </vt:variant>
      <vt:variant>
        <vt:i4>204</vt:i4>
      </vt:variant>
      <vt:variant>
        <vt:i4>0</vt:i4>
      </vt:variant>
      <vt:variant>
        <vt:i4>5</vt:i4>
      </vt:variant>
      <vt:variant>
        <vt:lpwstr>https://www.aasb.gov.au/</vt:lpwstr>
      </vt:variant>
      <vt:variant>
        <vt:lpwstr/>
      </vt:variant>
      <vt:variant>
        <vt:i4>5832731</vt:i4>
      </vt:variant>
      <vt:variant>
        <vt:i4>201</vt:i4>
      </vt:variant>
      <vt:variant>
        <vt:i4>0</vt:i4>
      </vt:variant>
      <vt:variant>
        <vt:i4>5</vt:i4>
      </vt:variant>
      <vt:variant>
        <vt:lpwstr>https://fac.dffh.vic.gov.au/acknowledgement-and-publicity-guidelines-victorian-government-funding-support</vt:lpwstr>
      </vt:variant>
      <vt:variant>
        <vt:lpwstr/>
      </vt:variant>
      <vt:variant>
        <vt:i4>8061043</vt:i4>
      </vt:variant>
      <vt:variant>
        <vt:i4>198</vt:i4>
      </vt:variant>
      <vt:variant>
        <vt:i4>0</vt:i4>
      </vt:variant>
      <vt:variant>
        <vt:i4>5</vt:i4>
      </vt:variant>
      <vt:variant>
        <vt:lpwstr>https://fac.dffh.vic.gov.au/price-index-exceptional-event-arrangements</vt:lpwstr>
      </vt:variant>
      <vt:variant>
        <vt:lpwstr/>
      </vt:variant>
      <vt:variant>
        <vt:i4>262227</vt:i4>
      </vt:variant>
      <vt:variant>
        <vt:i4>195</vt:i4>
      </vt:variant>
      <vt:variant>
        <vt:i4>0</vt:i4>
      </vt:variant>
      <vt:variant>
        <vt:i4>5</vt:i4>
      </vt:variant>
      <vt:variant>
        <vt:lpwstr>https://fac.dffh.vic.gov.au/my-agency</vt:lpwstr>
      </vt:variant>
      <vt:variant>
        <vt:lpwstr/>
      </vt:variant>
      <vt:variant>
        <vt:i4>262227</vt:i4>
      </vt:variant>
      <vt:variant>
        <vt:i4>192</vt:i4>
      </vt:variant>
      <vt:variant>
        <vt:i4>0</vt:i4>
      </vt:variant>
      <vt:variant>
        <vt:i4>5</vt:i4>
      </vt:variant>
      <vt:variant>
        <vt:lpwstr>https://fac.dffh.vic.gov.au/my-agency</vt:lpwstr>
      </vt:variant>
      <vt:variant>
        <vt:lpwstr/>
      </vt:variant>
      <vt:variant>
        <vt:i4>262227</vt:i4>
      </vt:variant>
      <vt:variant>
        <vt:i4>189</vt:i4>
      </vt:variant>
      <vt:variant>
        <vt:i4>0</vt:i4>
      </vt:variant>
      <vt:variant>
        <vt:i4>5</vt:i4>
      </vt:variant>
      <vt:variant>
        <vt:lpwstr>https://fac.dffh.vic.gov.au/my-agency</vt:lpwstr>
      </vt:variant>
      <vt:variant>
        <vt:lpwstr/>
      </vt:variant>
      <vt:variant>
        <vt:i4>262227</vt:i4>
      </vt:variant>
      <vt:variant>
        <vt:i4>186</vt:i4>
      </vt:variant>
      <vt:variant>
        <vt:i4>0</vt:i4>
      </vt:variant>
      <vt:variant>
        <vt:i4>5</vt:i4>
      </vt:variant>
      <vt:variant>
        <vt:lpwstr>https://fac.dffh.vic.gov.au/my-agency</vt:lpwstr>
      </vt:variant>
      <vt:variant>
        <vt:lpwstr/>
      </vt:variant>
      <vt:variant>
        <vt:i4>1769485</vt:i4>
      </vt:variant>
      <vt:variant>
        <vt:i4>183</vt:i4>
      </vt:variant>
      <vt:variant>
        <vt:i4>0</vt:i4>
      </vt:variant>
      <vt:variant>
        <vt:i4>5</vt:i4>
      </vt:variant>
      <vt:variant>
        <vt:lpwstr>https://www.health.vic.gov.au/our-strategic-plan-2023-27/our-outcomes</vt:lpwstr>
      </vt:variant>
      <vt:variant>
        <vt:lpwstr/>
      </vt:variant>
      <vt:variant>
        <vt:i4>1179662</vt:i4>
      </vt:variant>
      <vt:variant>
        <vt:i4>180</vt:i4>
      </vt:variant>
      <vt:variant>
        <vt:i4>0</vt:i4>
      </vt:variant>
      <vt:variant>
        <vt:i4>5</vt:i4>
      </vt:variant>
      <vt:variant>
        <vt:lpwstr>https://www.dffh.vic.gov.au/publications/our-outcomes</vt:lpwstr>
      </vt:variant>
      <vt:variant>
        <vt:lpwstr/>
      </vt:variant>
      <vt:variant>
        <vt:i4>2031675</vt:i4>
      </vt:variant>
      <vt:variant>
        <vt:i4>173</vt:i4>
      </vt:variant>
      <vt:variant>
        <vt:i4>0</vt:i4>
      </vt:variant>
      <vt:variant>
        <vt:i4>5</vt:i4>
      </vt:variant>
      <vt:variant>
        <vt:lpwstr/>
      </vt:variant>
      <vt:variant>
        <vt:lpwstr>_Toc209171788</vt:lpwstr>
      </vt:variant>
      <vt:variant>
        <vt:i4>2031675</vt:i4>
      </vt:variant>
      <vt:variant>
        <vt:i4>167</vt:i4>
      </vt:variant>
      <vt:variant>
        <vt:i4>0</vt:i4>
      </vt:variant>
      <vt:variant>
        <vt:i4>5</vt:i4>
      </vt:variant>
      <vt:variant>
        <vt:lpwstr/>
      </vt:variant>
      <vt:variant>
        <vt:lpwstr>_Toc209171787</vt:lpwstr>
      </vt:variant>
      <vt:variant>
        <vt:i4>2031675</vt:i4>
      </vt:variant>
      <vt:variant>
        <vt:i4>161</vt:i4>
      </vt:variant>
      <vt:variant>
        <vt:i4>0</vt:i4>
      </vt:variant>
      <vt:variant>
        <vt:i4>5</vt:i4>
      </vt:variant>
      <vt:variant>
        <vt:lpwstr/>
      </vt:variant>
      <vt:variant>
        <vt:lpwstr>_Toc209171786</vt:lpwstr>
      </vt:variant>
      <vt:variant>
        <vt:i4>2031675</vt:i4>
      </vt:variant>
      <vt:variant>
        <vt:i4>155</vt:i4>
      </vt:variant>
      <vt:variant>
        <vt:i4>0</vt:i4>
      </vt:variant>
      <vt:variant>
        <vt:i4>5</vt:i4>
      </vt:variant>
      <vt:variant>
        <vt:lpwstr/>
      </vt:variant>
      <vt:variant>
        <vt:lpwstr>_Toc209171785</vt:lpwstr>
      </vt:variant>
      <vt:variant>
        <vt:i4>2031675</vt:i4>
      </vt:variant>
      <vt:variant>
        <vt:i4>149</vt:i4>
      </vt:variant>
      <vt:variant>
        <vt:i4>0</vt:i4>
      </vt:variant>
      <vt:variant>
        <vt:i4>5</vt:i4>
      </vt:variant>
      <vt:variant>
        <vt:lpwstr/>
      </vt:variant>
      <vt:variant>
        <vt:lpwstr>_Toc209171784</vt:lpwstr>
      </vt:variant>
      <vt:variant>
        <vt:i4>2031675</vt:i4>
      </vt:variant>
      <vt:variant>
        <vt:i4>143</vt:i4>
      </vt:variant>
      <vt:variant>
        <vt:i4>0</vt:i4>
      </vt:variant>
      <vt:variant>
        <vt:i4>5</vt:i4>
      </vt:variant>
      <vt:variant>
        <vt:lpwstr/>
      </vt:variant>
      <vt:variant>
        <vt:lpwstr>_Toc209171783</vt:lpwstr>
      </vt:variant>
      <vt:variant>
        <vt:i4>2031675</vt:i4>
      </vt:variant>
      <vt:variant>
        <vt:i4>137</vt:i4>
      </vt:variant>
      <vt:variant>
        <vt:i4>0</vt:i4>
      </vt:variant>
      <vt:variant>
        <vt:i4>5</vt:i4>
      </vt:variant>
      <vt:variant>
        <vt:lpwstr/>
      </vt:variant>
      <vt:variant>
        <vt:lpwstr>_Toc209171782</vt:lpwstr>
      </vt:variant>
      <vt:variant>
        <vt:i4>2031675</vt:i4>
      </vt:variant>
      <vt:variant>
        <vt:i4>131</vt:i4>
      </vt:variant>
      <vt:variant>
        <vt:i4>0</vt:i4>
      </vt:variant>
      <vt:variant>
        <vt:i4>5</vt:i4>
      </vt:variant>
      <vt:variant>
        <vt:lpwstr/>
      </vt:variant>
      <vt:variant>
        <vt:lpwstr>_Toc209171781</vt:lpwstr>
      </vt:variant>
      <vt:variant>
        <vt:i4>2031675</vt:i4>
      </vt:variant>
      <vt:variant>
        <vt:i4>125</vt:i4>
      </vt:variant>
      <vt:variant>
        <vt:i4>0</vt:i4>
      </vt:variant>
      <vt:variant>
        <vt:i4>5</vt:i4>
      </vt:variant>
      <vt:variant>
        <vt:lpwstr/>
      </vt:variant>
      <vt:variant>
        <vt:lpwstr>_Toc209171780</vt:lpwstr>
      </vt:variant>
      <vt:variant>
        <vt:i4>1048635</vt:i4>
      </vt:variant>
      <vt:variant>
        <vt:i4>119</vt:i4>
      </vt:variant>
      <vt:variant>
        <vt:i4>0</vt:i4>
      </vt:variant>
      <vt:variant>
        <vt:i4>5</vt:i4>
      </vt:variant>
      <vt:variant>
        <vt:lpwstr/>
      </vt:variant>
      <vt:variant>
        <vt:lpwstr>_Toc209171779</vt:lpwstr>
      </vt:variant>
      <vt:variant>
        <vt:i4>1048635</vt:i4>
      </vt:variant>
      <vt:variant>
        <vt:i4>113</vt:i4>
      </vt:variant>
      <vt:variant>
        <vt:i4>0</vt:i4>
      </vt:variant>
      <vt:variant>
        <vt:i4>5</vt:i4>
      </vt:variant>
      <vt:variant>
        <vt:lpwstr/>
      </vt:variant>
      <vt:variant>
        <vt:lpwstr>_Toc209171778</vt:lpwstr>
      </vt:variant>
      <vt:variant>
        <vt:i4>1048635</vt:i4>
      </vt:variant>
      <vt:variant>
        <vt:i4>107</vt:i4>
      </vt:variant>
      <vt:variant>
        <vt:i4>0</vt:i4>
      </vt:variant>
      <vt:variant>
        <vt:i4>5</vt:i4>
      </vt:variant>
      <vt:variant>
        <vt:lpwstr/>
      </vt:variant>
      <vt:variant>
        <vt:lpwstr>_Toc209171777</vt:lpwstr>
      </vt:variant>
      <vt:variant>
        <vt:i4>1048635</vt:i4>
      </vt:variant>
      <vt:variant>
        <vt:i4>101</vt:i4>
      </vt:variant>
      <vt:variant>
        <vt:i4>0</vt:i4>
      </vt:variant>
      <vt:variant>
        <vt:i4>5</vt:i4>
      </vt:variant>
      <vt:variant>
        <vt:lpwstr/>
      </vt:variant>
      <vt:variant>
        <vt:lpwstr>_Toc209171776</vt:lpwstr>
      </vt:variant>
      <vt:variant>
        <vt:i4>1048635</vt:i4>
      </vt:variant>
      <vt:variant>
        <vt:i4>95</vt:i4>
      </vt:variant>
      <vt:variant>
        <vt:i4>0</vt:i4>
      </vt:variant>
      <vt:variant>
        <vt:i4>5</vt:i4>
      </vt:variant>
      <vt:variant>
        <vt:lpwstr/>
      </vt:variant>
      <vt:variant>
        <vt:lpwstr>_Toc209171775</vt:lpwstr>
      </vt:variant>
      <vt:variant>
        <vt:i4>1048635</vt:i4>
      </vt:variant>
      <vt:variant>
        <vt:i4>89</vt:i4>
      </vt:variant>
      <vt:variant>
        <vt:i4>0</vt:i4>
      </vt:variant>
      <vt:variant>
        <vt:i4>5</vt:i4>
      </vt:variant>
      <vt:variant>
        <vt:lpwstr/>
      </vt:variant>
      <vt:variant>
        <vt:lpwstr>_Toc209171774</vt:lpwstr>
      </vt:variant>
      <vt:variant>
        <vt:i4>1048635</vt:i4>
      </vt:variant>
      <vt:variant>
        <vt:i4>83</vt:i4>
      </vt:variant>
      <vt:variant>
        <vt:i4>0</vt:i4>
      </vt:variant>
      <vt:variant>
        <vt:i4>5</vt:i4>
      </vt:variant>
      <vt:variant>
        <vt:lpwstr/>
      </vt:variant>
      <vt:variant>
        <vt:lpwstr>_Toc209171773</vt:lpwstr>
      </vt:variant>
      <vt:variant>
        <vt:i4>1048635</vt:i4>
      </vt:variant>
      <vt:variant>
        <vt:i4>77</vt:i4>
      </vt:variant>
      <vt:variant>
        <vt:i4>0</vt:i4>
      </vt:variant>
      <vt:variant>
        <vt:i4>5</vt:i4>
      </vt:variant>
      <vt:variant>
        <vt:lpwstr/>
      </vt:variant>
      <vt:variant>
        <vt:lpwstr>_Toc209171772</vt:lpwstr>
      </vt:variant>
      <vt:variant>
        <vt:i4>1048635</vt:i4>
      </vt:variant>
      <vt:variant>
        <vt:i4>71</vt:i4>
      </vt:variant>
      <vt:variant>
        <vt:i4>0</vt:i4>
      </vt:variant>
      <vt:variant>
        <vt:i4>5</vt:i4>
      </vt:variant>
      <vt:variant>
        <vt:lpwstr/>
      </vt:variant>
      <vt:variant>
        <vt:lpwstr>_Toc209171771</vt:lpwstr>
      </vt:variant>
      <vt:variant>
        <vt:i4>1048635</vt:i4>
      </vt:variant>
      <vt:variant>
        <vt:i4>65</vt:i4>
      </vt:variant>
      <vt:variant>
        <vt:i4>0</vt:i4>
      </vt:variant>
      <vt:variant>
        <vt:i4>5</vt:i4>
      </vt:variant>
      <vt:variant>
        <vt:lpwstr/>
      </vt:variant>
      <vt:variant>
        <vt:lpwstr>_Toc209171770</vt:lpwstr>
      </vt:variant>
      <vt:variant>
        <vt:i4>1114171</vt:i4>
      </vt:variant>
      <vt:variant>
        <vt:i4>59</vt:i4>
      </vt:variant>
      <vt:variant>
        <vt:i4>0</vt:i4>
      </vt:variant>
      <vt:variant>
        <vt:i4>5</vt:i4>
      </vt:variant>
      <vt:variant>
        <vt:lpwstr/>
      </vt:variant>
      <vt:variant>
        <vt:lpwstr>_Toc209171769</vt:lpwstr>
      </vt:variant>
      <vt:variant>
        <vt:i4>1114171</vt:i4>
      </vt:variant>
      <vt:variant>
        <vt:i4>53</vt:i4>
      </vt:variant>
      <vt:variant>
        <vt:i4>0</vt:i4>
      </vt:variant>
      <vt:variant>
        <vt:i4>5</vt:i4>
      </vt:variant>
      <vt:variant>
        <vt:lpwstr/>
      </vt:variant>
      <vt:variant>
        <vt:lpwstr>_Toc209171768</vt:lpwstr>
      </vt:variant>
      <vt:variant>
        <vt:i4>1114171</vt:i4>
      </vt:variant>
      <vt:variant>
        <vt:i4>47</vt:i4>
      </vt:variant>
      <vt:variant>
        <vt:i4>0</vt:i4>
      </vt:variant>
      <vt:variant>
        <vt:i4>5</vt:i4>
      </vt:variant>
      <vt:variant>
        <vt:lpwstr/>
      </vt:variant>
      <vt:variant>
        <vt:lpwstr>_Toc209171767</vt:lpwstr>
      </vt:variant>
      <vt:variant>
        <vt:i4>1114171</vt:i4>
      </vt:variant>
      <vt:variant>
        <vt:i4>41</vt:i4>
      </vt:variant>
      <vt:variant>
        <vt:i4>0</vt:i4>
      </vt:variant>
      <vt:variant>
        <vt:i4>5</vt:i4>
      </vt:variant>
      <vt:variant>
        <vt:lpwstr/>
      </vt:variant>
      <vt:variant>
        <vt:lpwstr>_Toc209171766</vt:lpwstr>
      </vt:variant>
      <vt:variant>
        <vt:i4>1114171</vt:i4>
      </vt:variant>
      <vt:variant>
        <vt:i4>35</vt:i4>
      </vt:variant>
      <vt:variant>
        <vt:i4>0</vt:i4>
      </vt:variant>
      <vt:variant>
        <vt:i4>5</vt:i4>
      </vt:variant>
      <vt:variant>
        <vt:lpwstr/>
      </vt:variant>
      <vt:variant>
        <vt:lpwstr>_Toc209171765</vt:lpwstr>
      </vt:variant>
      <vt:variant>
        <vt:i4>1114171</vt:i4>
      </vt:variant>
      <vt:variant>
        <vt:i4>29</vt:i4>
      </vt:variant>
      <vt:variant>
        <vt:i4>0</vt:i4>
      </vt:variant>
      <vt:variant>
        <vt:i4>5</vt:i4>
      </vt:variant>
      <vt:variant>
        <vt:lpwstr/>
      </vt:variant>
      <vt:variant>
        <vt:lpwstr>_Toc209171764</vt:lpwstr>
      </vt:variant>
      <vt:variant>
        <vt:i4>1114171</vt:i4>
      </vt:variant>
      <vt:variant>
        <vt:i4>23</vt:i4>
      </vt:variant>
      <vt:variant>
        <vt:i4>0</vt:i4>
      </vt:variant>
      <vt:variant>
        <vt:i4>5</vt:i4>
      </vt:variant>
      <vt:variant>
        <vt:lpwstr/>
      </vt:variant>
      <vt:variant>
        <vt:lpwstr>_Toc209171763</vt:lpwstr>
      </vt:variant>
      <vt:variant>
        <vt:i4>1114171</vt:i4>
      </vt:variant>
      <vt:variant>
        <vt:i4>17</vt:i4>
      </vt:variant>
      <vt:variant>
        <vt:i4>0</vt:i4>
      </vt:variant>
      <vt:variant>
        <vt:i4>5</vt:i4>
      </vt:variant>
      <vt:variant>
        <vt:lpwstr/>
      </vt:variant>
      <vt:variant>
        <vt:lpwstr>_Toc209171762</vt:lpwstr>
      </vt:variant>
      <vt:variant>
        <vt:i4>1114171</vt:i4>
      </vt:variant>
      <vt:variant>
        <vt:i4>11</vt:i4>
      </vt:variant>
      <vt:variant>
        <vt:i4>0</vt:i4>
      </vt:variant>
      <vt:variant>
        <vt:i4>5</vt:i4>
      </vt:variant>
      <vt:variant>
        <vt:lpwstr/>
      </vt:variant>
      <vt:variant>
        <vt:lpwstr>_Toc209171761</vt:lpwstr>
      </vt:variant>
      <vt:variant>
        <vt:i4>1114171</vt:i4>
      </vt:variant>
      <vt:variant>
        <vt:i4>5</vt:i4>
      </vt:variant>
      <vt:variant>
        <vt:i4>0</vt:i4>
      </vt:variant>
      <vt:variant>
        <vt:i4>5</vt:i4>
      </vt:variant>
      <vt:variant>
        <vt:lpwstr/>
      </vt:variant>
      <vt:variant>
        <vt:lpwstr>_Toc209171760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requirements</dc:title>
  <dc:subject>Service agreement requirements 1 July 2021 reissued</dc:subject>
  <dc:creator>Service Agreement Performance Unit</dc:creator>
  <cp:keywords>Service agreement; requirements;  funded organisations; service agreement requirements; SAR; SARs; MARAM; national redress scheme; working with children clearance; service agreement compliance certification; service agreement policies; price indexation; exceptional events arrangements; funding for substitute holidays; financial accountability requirements; betrayal of trust; insurance; information sharing scheme; family violence; updated 1 July 2021,</cp:keywords>
  <cp:lastModifiedBy>Leigh Garde (DFFH)</cp:lastModifiedBy>
  <cp:revision>6</cp:revision>
  <cp:lastPrinted>2025-10-01T00:02:00Z</cp:lastPrinted>
  <dcterms:created xsi:type="dcterms:W3CDTF">2025-11-26T22:40:00Z</dcterms:created>
  <dcterms:modified xsi:type="dcterms:W3CDTF">2025-11-26T22:53:00Z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v5 16032021 sbv1 30042021</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MediaServiceImageTags">
    <vt:lpwstr/>
  </property>
  <property fmtid="{D5CDD505-2E9C-101B-9397-08002B2CF9AE}" pid="11" name="MSIP_Label_43e64453-338c-4f93-8a4d-0039a0a41f2a_SetDate">
    <vt:lpwstr>2024-06-25T05:23:22Z</vt:lpwstr>
  </property>
  <property fmtid="{D5CDD505-2E9C-101B-9397-08002B2CF9AE}" pid="12" name="MSIP_Label_43e64453-338c-4f93-8a4d-0039a0a41f2a_ActionId">
    <vt:lpwstr>3eb130f7-3dfb-4b4d-9799-bc0bc81ea230</vt:lpwstr>
  </property>
  <property fmtid="{D5CDD505-2E9C-101B-9397-08002B2CF9AE}" pid="13" name="_MarkAsFinal">
    <vt:bool>true</vt:bool>
  </property>
</Properties>
</file>