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90"/>
        <w:tblW w:w="9498" w:type="dxa"/>
        <w:tblLook w:val="04A0" w:firstRow="1" w:lastRow="0" w:firstColumn="1" w:lastColumn="0" w:noHBand="0" w:noVBand="1"/>
      </w:tblPr>
      <w:tblGrid>
        <w:gridCol w:w="9498"/>
      </w:tblGrid>
      <w:tr w:rsidR="008A09F8" w14:paraId="07DE8CE5" w14:textId="77777777" w:rsidTr="001E3AFD">
        <w:trPr>
          <w:trHeight w:val="1122"/>
        </w:trPr>
        <w:tc>
          <w:tcPr>
            <w:tcW w:w="9498" w:type="dxa"/>
          </w:tcPr>
          <w:p w14:paraId="72AD929D" w14:textId="36CAF2ED" w:rsidR="008A09F8" w:rsidRPr="00123B73" w:rsidRDefault="007C2631" w:rsidP="00123B73">
            <w:pPr>
              <w:pStyle w:val="Documenttitle"/>
            </w:pPr>
            <w:r w:rsidRPr="007C2631">
              <w:t>Initial Assessment and Planning in Victorian prisons</w:t>
            </w:r>
            <w:r w:rsidR="00CB72BC">
              <w:t xml:space="preserve"> - </w:t>
            </w:r>
            <w:r w:rsidR="00CB72BC" w:rsidRPr="00CB72BC">
              <w:t>Corrections</w:t>
            </w:r>
            <w:r w:rsidR="00D56A3B">
              <w:t xml:space="preserve"> </w:t>
            </w:r>
            <w:r w:rsidR="00CB72BC" w:rsidRPr="00CB72BC">
              <w:t>Housing Pathways Initiative</w:t>
            </w:r>
          </w:p>
        </w:tc>
      </w:tr>
      <w:tr w:rsidR="008A09F8" w14:paraId="666080FB" w14:textId="77777777" w:rsidTr="001E3AFD">
        <w:trPr>
          <w:trHeight w:val="693"/>
        </w:trPr>
        <w:tc>
          <w:tcPr>
            <w:tcW w:w="9498" w:type="dxa"/>
          </w:tcPr>
          <w:p w14:paraId="7FCFEA67" w14:textId="0490BBB6" w:rsidR="008A09F8" w:rsidRPr="00A1389F" w:rsidRDefault="00677485" w:rsidP="00A42F56">
            <w:pPr>
              <w:pStyle w:val="Documentsubtitle"/>
            </w:pPr>
            <w:r>
              <w:t>Operational Program G</w:t>
            </w:r>
            <w:r w:rsidR="008B3E31">
              <w:t>u</w:t>
            </w:r>
            <w:r>
              <w:t>idelines</w:t>
            </w:r>
            <w:r w:rsidR="28E94B98">
              <w:t xml:space="preserve"> (</w:t>
            </w:r>
            <w:r w:rsidR="1C3AA222">
              <w:t>2025</w:t>
            </w:r>
            <w:r w:rsidR="28E94B98">
              <w:t>)</w:t>
            </w:r>
          </w:p>
        </w:tc>
      </w:tr>
      <w:tr w:rsidR="008A09F8" w14:paraId="1A73F14D" w14:textId="77777777" w:rsidTr="001E3AFD">
        <w:trPr>
          <w:trHeight w:val="376"/>
        </w:trPr>
        <w:tc>
          <w:tcPr>
            <w:tcW w:w="9498" w:type="dxa"/>
          </w:tcPr>
          <w:p w14:paraId="1F40F7ED" w14:textId="77777777" w:rsidR="008A09F8" w:rsidRDefault="008A09F8" w:rsidP="00A42F56">
            <w:pPr>
              <w:pStyle w:val="Bannermarking"/>
            </w:pPr>
            <w:fldSimple w:instr="FILLIN  &quot;Type the protective marking&quot; \d OFFICIAL \o  \* MERGEFORMAT">
              <w:r>
                <w:t>OFFICIAL</w:t>
              </w:r>
            </w:fldSimple>
          </w:p>
        </w:tc>
      </w:tr>
    </w:tbl>
    <w:p w14:paraId="6CFCE545" w14:textId="77777777" w:rsidR="00056EC4" w:rsidRDefault="00DF40A5" w:rsidP="00056EC4">
      <w:pPr>
        <w:pStyle w:val="Body"/>
      </w:pPr>
      <w:r>
        <w:rPr>
          <w:noProof/>
        </w:rPr>
        <w:drawing>
          <wp:anchor distT="0" distB="0" distL="114300" distR="114300" simplePos="0" relativeHeight="251658240" behindDoc="1" locked="0" layoutInCell="1" allowOverlap="1" wp14:anchorId="7A072F11" wp14:editId="48166F89">
            <wp:simplePos x="0" y="0"/>
            <wp:positionH relativeFrom="column">
              <wp:posOffset>-828040</wp:posOffset>
            </wp:positionH>
            <wp:positionV relativeFrom="page">
              <wp:posOffset>-7426</wp:posOffset>
            </wp:positionV>
            <wp:extent cx="7559643" cy="10679898"/>
            <wp:effectExtent l="0" t="0" r="0" b="1270"/>
            <wp:wrapNone/>
            <wp:docPr id="12" name="Picture 12" descr="Person sitting at a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erson sitting at a table. "/>
                    <pic:cNvPicPr/>
                  </pic:nvPicPr>
                  <pic:blipFill>
                    <a:blip r:embed="rId11"/>
                    <a:stretch>
                      <a:fillRect/>
                    </a:stretch>
                  </pic:blipFill>
                  <pic:spPr>
                    <a:xfrm>
                      <a:off x="0" y="0"/>
                      <a:ext cx="7559643" cy="10679898"/>
                    </a:xfrm>
                    <a:prstGeom prst="rect">
                      <a:avLst/>
                    </a:prstGeom>
                  </pic:spPr>
                </pic:pic>
              </a:graphicData>
            </a:graphic>
            <wp14:sizeRelH relativeFrom="page">
              <wp14:pctWidth>0</wp14:pctWidth>
            </wp14:sizeRelH>
            <wp14:sizeRelV relativeFrom="page">
              <wp14:pctHeight>0</wp14:pctHeight>
            </wp14:sizeRelV>
          </wp:anchor>
        </w:drawing>
      </w:r>
      <w:r w:rsidR="008A09F8">
        <w:rPr>
          <w:noProof/>
        </w:rPr>
        <w:t xml:space="preserve"> </w:t>
      </w:r>
    </w:p>
    <w:p w14:paraId="3CF48127" w14:textId="77777777" w:rsidR="00FE4081" w:rsidRDefault="00FE4081" w:rsidP="00FE4081">
      <w:pPr>
        <w:pStyle w:val="Body"/>
      </w:pPr>
    </w:p>
    <w:p w14:paraId="0B0B7D07" w14:textId="77777777" w:rsidR="00FE4081" w:rsidRPr="00FE4081" w:rsidRDefault="00FE4081" w:rsidP="00FE4081">
      <w:pPr>
        <w:pStyle w:val="Body"/>
        <w:sectPr w:rsidR="00FE4081" w:rsidRPr="00FE4081" w:rsidSect="007713D8">
          <w:headerReference w:type="default" r:id="rId12"/>
          <w:footerReference w:type="even" r:id="rId13"/>
          <w:footerReference w:type="default" r:id="rId14"/>
          <w:headerReference w:type="first" r:id="rId15"/>
          <w:footerReference w:type="first" r:id="rId16"/>
          <w:type w:val="continuous"/>
          <w:pgSz w:w="11906" w:h="16838" w:code="9"/>
          <w:pgMar w:top="3969" w:right="1304" w:bottom="851" w:left="1304" w:header="680" w:footer="567" w:gutter="0"/>
          <w:cols w:space="340"/>
          <w:titlePg/>
          <w:docGrid w:linePitch="360"/>
        </w:sectPr>
      </w:pPr>
    </w:p>
    <w:p w14:paraId="52C83070" w14:textId="77777777" w:rsidR="00CF230C" w:rsidRDefault="00EF187B">
      <w:pPr>
        <w:spacing w:after="0" w:line="240" w:lineRule="auto"/>
        <w:rPr>
          <w:rFonts w:eastAsia="Times"/>
        </w:rPr>
      </w:pPr>
      <w:r>
        <w:rPr>
          <w:noProof/>
        </w:rPr>
        <w:lastRenderedPageBreak/>
        <w:drawing>
          <wp:anchor distT="0" distB="0" distL="114300" distR="114300" simplePos="0" relativeHeight="251658241" behindDoc="1" locked="0" layoutInCell="1" allowOverlap="1" wp14:anchorId="6C16E709" wp14:editId="48DF2952">
            <wp:simplePos x="0" y="0"/>
            <wp:positionH relativeFrom="column">
              <wp:posOffset>-848137</wp:posOffset>
            </wp:positionH>
            <wp:positionV relativeFrom="page">
              <wp:posOffset>10048</wp:posOffset>
            </wp:positionV>
            <wp:extent cx="7574914" cy="10706728"/>
            <wp:effectExtent l="0" t="0" r="0" b="0"/>
            <wp:wrapNone/>
            <wp:docPr id="14" name="Picture 14" descr="Desig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sign graphic"/>
                    <pic:cNvPicPr/>
                  </pic:nvPicPr>
                  <pic:blipFill>
                    <a:blip r:embed="rId17"/>
                    <a:stretch>
                      <a:fillRect/>
                    </a:stretch>
                  </pic:blipFill>
                  <pic:spPr>
                    <a:xfrm>
                      <a:off x="0" y="0"/>
                      <a:ext cx="7574914" cy="10706728"/>
                    </a:xfrm>
                    <a:prstGeom prst="rect">
                      <a:avLst/>
                    </a:prstGeom>
                  </pic:spPr>
                </pic:pic>
              </a:graphicData>
            </a:graphic>
            <wp14:sizeRelH relativeFrom="page">
              <wp14:pctWidth>0</wp14:pctWidth>
            </wp14:sizeRelH>
            <wp14:sizeRelV relativeFrom="page">
              <wp14:pctHeight>0</wp14:pctHeight>
            </wp14:sizeRelV>
          </wp:anchor>
        </w:drawing>
      </w:r>
      <w:r w:rsidR="00CF230C">
        <w:br w:type="page"/>
      </w:r>
    </w:p>
    <w:tbl>
      <w:tblPr>
        <w:tblW w:w="7598" w:type="dxa"/>
        <w:tblLook w:val="04A0" w:firstRow="1" w:lastRow="0" w:firstColumn="1" w:lastColumn="0" w:noHBand="0" w:noVBand="1"/>
      </w:tblPr>
      <w:tblGrid>
        <w:gridCol w:w="7598"/>
      </w:tblGrid>
      <w:tr w:rsidR="00431F42" w14:paraId="25C3F4C6" w14:textId="77777777" w:rsidTr="001E3AFD">
        <w:trPr>
          <w:trHeight w:val="7371"/>
        </w:trPr>
        <w:tc>
          <w:tcPr>
            <w:tcW w:w="7598" w:type="dxa"/>
          </w:tcPr>
          <w:p w14:paraId="3F4037B2" w14:textId="66338FC1" w:rsidR="00EA2B47" w:rsidRDefault="00CB72BC" w:rsidP="00431F42">
            <w:pPr>
              <w:pStyle w:val="Documentsubtitle"/>
              <w:rPr>
                <w:rFonts w:ascii="Avenir Heavy" w:hAnsi="Avenir Heavy"/>
                <w:b/>
                <w:sz w:val="48"/>
                <w:szCs w:val="50"/>
              </w:rPr>
            </w:pPr>
            <w:r w:rsidRPr="00CB72BC">
              <w:rPr>
                <w:rFonts w:ascii="Avenir Heavy" w:hAnsi="Avenir Heavy"/>
                <w:b/>
                <w:sz w:val="48"/>
                <w:szCs w:val="50"/>
              </w:rPr>
              <w:lastRenderedPageBreak/>
              <w:t>Initial Assessment and Planning in Victorian prisons - Corrections</w:t>
            </w:r>
            <w:r w:rsidR="006836E1">
              <w:rPr>
                <w:rFonts w:ascii="Avenir Heavy" w:hAnsi="Avenir Heavy"/>
                <w:b/>
                <w:sz w:val="48"/>
                <w:szCs w:val="50"/>
              </w:rPr>
              <w:t xml:space="preserve"> </w:t>
            </w:r>
            <w:r w:rsidRPr="00CB72BC">
              <w:rPr>
                <w:rFonts w:ascii="Avenir Heavy" w:hAnsi="Avenir Heavy"/>
                <w:b/>
                <w:sz w:val="48"/>
                <w:szCs w:val="50"/>
              </w:rPr>
              <w:t>Housing Pathways Initiative</w:t>
            </w:r>
          </w:p>
          <w:p w14:paraId="743B65F9" w14:textId="7A5CE689" w:rsidR="00431F42" w:rsidRDefault="00EA2B47" w:rsidP="00EA2B47">
            <w:pPr>
              <w:pStyle w:val="Documentsubtitle"/>
            </w:pPr>
            <w:r>
              <w:t xml:space="preserve">Operational Program </w:t>
            </w:r>
            <w:r w:rsidRPr="00CC1FF2">
              <w:t>Guidelines (</w:t>
            </w:r>
            <w:r w:rsidR="00CC1FF2" w:rsidRPr="00CC1FF2">
              <w:t>2025</w:t>
            </w:r>
            <w:r w:rsidRPr="00CC1FF2">
              <w:t>)</w:t>
            </w:r>
          </w:p>
        </w:tc>
      </w:tr>
      <w:tr w:rsidR="00431F42" w14:paraId="24BE5A3E" w14:textId="77777777" w:rsidTr="001E3AFD">
        <w:tc>
          <w:tcPr>
            <w:tcW w:w="7598" w:type="dxa"/>
          </w:tcPr>
          <w:p w14:paraId="69921862" w14:textId="77777777" w:rsidR="00431F42" w:rsidRDefault="00431F42" w:rsidP="00431F42">
            <w:pPr>
              <w:pStyle w:val="Body"/>
            </w:pPr>
          </w:p>
        </w:tc>
      </w:tr>
    </w:tbl>
    <w:p w14:paraId="3598D2EB" w14:textId="77777777" w:rsidR="000D2ABA" w:rsidRDefault="000D2ABA" w:rsidP="00431F42">
      <w:pPr>
        <w:pStyle w:val="Body"/>
      </w:pPr>
      <w:r>
        <w:br w:type="page"/>
      </w:r>
    </w:p>
    <w:tbl>
      <w:tblPr>
        <w:tblW w:w="0" w:type="auto"/>
        <w:tblLook w:val="04A0" w:firstRow="1" w:lastRow="0" w:firstColumn="1" w:lastColumn="0" w:noHBand="0" w:noVBand="1"/>
      </w:tblPr>
      <w:tblGrid>
        <w:gridCol w:w="9288"/>
      </w:tblGrid>
      <w:tr w:rsidR="009F2182" w14:paraId="004F6394" w14:textId="77777777" w:rsidTr="001E3AFD">
        <w:trPr>
          <w:trHeight w:val="7088"/>
        </w:trPr>
        <w:tc>
          <w:tcPr>
            <w:tcW w:w="9288" w:type="dxa"/>
          </w:tcPr>
          <w:p w14:paraId="536B13D8" w14:textId="60934DD3" w:rsidR="003E0BFE" w:rsidRDefault="003E0BFE" w:rsidP="009D5504">
            <w:pPr>
              <w:rPr>
                <w:rFonts w:eastAsia="Times"/>
              </w:rPr>
            </w:pPr>
          </w:p>
          <w:p w14:paraId="103AC0B2" w14:textId="77777777" w:rsidR="00DD53B2" w:rsidRDefault="00DD53B2" w:rsidP="00DD53B2">
            <w:pPr>
              <w:rPr>
                <w:rFonts w:eastAsia="Times"/>
              </w:rPr>
            </w:pPr>
          </w:p>
          <w:p w14:paraId="38FF3798" w14:textId="77777777" w:rsidR="00DD53B2" w:rsidRDefault="00DD53B2" w:rsidP="00DD53B2">
            <w:pPr>
              <w:rPr>
                <w:rFonts w:eastAsia="Times"/>
              </w:rPr>
            </w:pPr>
          </w:p>
          <w:p w14:paraId="32048E46" w14:textId="77777777" w:rsidR="00DD53B2" w:rsidRDefault="00DD53B2" w:rsidP="00DD53B2">
            <w:pPr>
              <w:rPr>
                <w:rFonts w:eastAsia="Times"/>
              </w:rPr>
            </w:pPr>
          </w:p>
          <w:p w14:paraId="73D2D4EA" w14:textId="77777777" w:rsidR="00DD53B2" w:rsidRDefault="00DD53B2" w:rsidP="00DD53B2">
            <w:pPr>
              <w:rPr>
                <w:rFonts w:eastAsia="Times"/>
              </w:rPr>
            </w:pPr>
          </w:p>
          <w:p w14:paraId="7A3F0BC4" w14:textId="77777777" w:rsidR="00DD53B2" w:rsidRDefault="00DD53B2" w:rsidP="00DD53B2">
            <w:pPr>
              <w:rPr>
                <w:rFonts w:eastAsia="Times"/>
              </w:rPr>
            </w:pPr>
          </w:p>
          <w:p w14:paraId="5FB35AA8" w14:textId="77777777" w:rsidR="00DD53B2" w:rsidRDefault="00DD53B2" w:rsidP="00DD53B2">
            <w:pPr>
              <w:rPr>
                <w:rFonts w:eastAsia="Times"/>
              </w:rPr>
            </w:pPr>
          </w:p>
          <w:p w14:paraId="7EA9D3FE" w14:textId="77777777" w:rsidR="00DD53B2" w:rsidRDefault="00DD53B2" w:rsidP="00DD53B2">
            <w:pPr>
              <w:rPr>
                <w:rFonts w:eastAsia="Times"/>
              </w:rPr>
            </w:pPr>
          </w:p>
          <w:p w14:paraId="5436A5DE" w14:textId="77777777" w:rsidR="00DD53B2" w:rsidRDefault="00DD53B2" w:rsidP="00DD53B2">
            <w:pPr>
              <w:rPr>
                <w:rFonts w:eastAsia="Times"/>
              </w:rPr>
            </w:pPr>
          </w:p>
          <w:p w14:paraId="4F861362" w14:textId="77777777" w:rsidR="00DD53B2" w:rsidRDefault="00DD53B2" w:rsidP="00DD53B2">
            <w:pPr>
              <w:rPr>
                <w:rFonts w:eastAsia="Times"/>
              </w:rPr>
            </w:pPr>
          </w:p>
          <w:p w14:paraId="65A2795B" w14:textId="77777777" w:rsidR="00DD53B2" w:rsidRDefault="00DD53B2" w:rsidP="00DD53B2">
            <w:pPr>
              <w:rPr>
                <w:rFonts w:eastAsia="Times"/>
              </w:rPr>
            </w:pPr>
          </w:p>
          <w:p w14:paraId="25168156" w14:textId="77777777" w:rsidR="00DD53B2" w:rsidRDefault="00DD53B2" w:rsidP="00DD53B2">
            <w:pPr>
              <w:rPr>
                <w:rFonts w:eastAsia="Times"/>
              </w:rPr>
            </w:pPr>
          </w:p>
          <w:p w14:paraId="6B6C7B95" w14:textId="77777777" w:rsidR="00DD53B2" w:rsidRDefault="00DD53B2" w:rsidP="00DD53B2">
            <w:pPr>
              <w:rPr>
                <w:rFonts w:eastAsia="Times"/>
              </w:rPr>
            </w:pPr>
          </w:p>
          <w:p w14:paraId="3BCDFDF0" w14:textId="77777777" w:rsidR="00DD53B2" w:rsidRDefault="00DD53B2" w:rsidP="00DD53B2">
            <w:pPr>
              <w:rPr>
                <w:rFonts w:eastAsia="Times"/>
              </w:rPr>
            </w:pPr>
          </w:p>
          <w:p w14:paraId="6893AEEF" w14:textId="77777777" w:rsidR="00DD53B2" w:rsidRDefault="00DD53B2" w:rsidP="00DD53B2">
            <w:pPr>
              <w:rPr>
                <w:rFonts w:eastAsia="Times"/>
              </w:rPr>
            </w:pPr>
          </w:p>
          <w:p w14:paraId="04AB035C" w14:textId="77777777" w:rsidR="00DD53B2" w:rsidRDefault="00DD53B2" w:rsidP="00DD53B2">
            <w:pPr>
              <w:rPr>
                <w:rFonts w:eastAsia="Times"/>
              </w:rPr>
            </w:pPr>
          </w:p>
          <w:p w14:paraId="2FAC8F8E" w14:textId="77777777" w:rsidR="00DD53B2" w:rsidRDefault="00DD53B2" w:rsidP="00DD53B2">
            <w:pPr>
              <w:rPr>
                <w:rFonts w:eastAsia="Times"/>
              </w:rPr>
            </w:pPr>
          </w:p>
          <w:p w14:paraId="0A0BF7BB" w14:textId="77777777" w:rsidR="00DD53B2" w:rsidRDefault="00DD53B2" w:rsidP="00DD53B2">
            <w:pPr>
              <w:rPr>
                <w:rFonts w:eastAsia="Times"/>
              </w:rPr>
            </w:pPr>
          </w:p>
          <w:p w14:paraId="082B7CCE" w14:textId="77777777" w:rsidR="00DD53B2" w:rsidRDefault="00DD53B2" w:rsidP="00DD53B2">
            <w:pPr>
              <w:rPr>
                <w:rFonts w:eastAsia="Times"/>
              </w:rPr>
            </w:pPr>
          </w:p>
          <w:p w14:paraId="075FA356" w14:textId="77777777" w:rsidR="00DD53B2" w:rsidRDefault="00DD53B2" w:rsidP="00DD53B2">
            <w:pPr>
              <w:rPr>
                <w:rFonts w:eastAsia="Times"/>
              </w:rPr>
            </w:pPr>
          </w:p>
          <w:p w14:paraId="41E6A05C" w14:textId="77777777" w:rsidR="00DD53B2" w:rsidRDefault="00DD53B2" w:rsidP="00DD53B2">
            <w:pPr>
              <w:rPr>
                <w:rFonts w:eastAsia="Times"/>
              </w:rPr>
            </w:pPr>
          </w:p>
          <w:p w14:paraId="47A2D0BF" w14:textId="77777777" w:rsidR="00DD53B2" w:rsidRDefault="00DD53B2" w:rsidP="00DD53B2">
            <w:pPr>
              <w:rPr>
                <w:rFonts w:eastAsia="Times"/>
              </w:rPr>
            </w:pPr>
          </w:p>
          <w:p w14:paraId="4C2F1BBC" w14:textId="77777777" w:rsidR="00DD53B2" w:rsidRDefault="00DD53B2" w:rsidP="00DD53B2">
            <w:pPr>
              <w:rPr>
                <w:rFonts w:eastAsia="Times"/>
              </w:rPr>
            </w:pPr>
          </w:p>
          <w:p w14:paraId="4647C7CC" w14:textId="77777777" w:rsidR="00DD53B2" w:rsidRDefault="00DD53B2" w:rsidP="00DD53B2">
            <w:pPr>
              <w:rPr>
                <w:rFonts w:eastAsia="Times"/>
              </w:rPr>
            </w:pPr>
          </w:p>
          <w:p w14:paraId="4AC8C868" w14:textId="77777777" w:rsidR="00DD53B2" w:rsidRDefault="00DD53B2" w:rsidP="00DD53B2">
            <w:pPr>
              <w:rPr>
                <w:rFonts w:eastAsia="Times"/>
              </w:rPr>
            </w:pPr>
          </w:p>
          <w:p w14:paraId="13BD1BD2" w14:textId="77777777" w:rsidR="00DD53B2" w:rsidRDefault="00DD53B2" w:rsidP="00DD53B2">
            <w:pPr>
              <w:rPr>
                <w:rFonts w:eastAsia="Times"/>
              </w:rPr>
            </w:pPr>
          </w:p>
          <w:p w14:paraId="58E0F931" w14:textId="77777777" w:rsidR="00DD53B2" w:rsidRDefault="00DD53B2" w:rsidP="00DD53B2">
            <w:pPr>
              <w:rPr>
                <w:rFonts w:eastAsia="Times"/>
              </w:rPr>
            </w:pPr>
          </w:p>
          <w:p w14:paraId="611BBE02" w14:textId="38F8E9C3" w:rsidR="009D5504" w:rsidRPr="009D5504" w:rsidRDefault="009D5504" w:rsidP="009D5504">
            <w:r>
              <w:t xml:space="preserve">The </w:t>
            </w:r>
            <w:r w:rsidR="00DB5F73" w:rsidRPr="00D67E23">
              <w:rPr>
                <w:rStyle w:val="BodyChar"/>
              </w:rPr>
              <w:t xml:space="preserve">Corrections Housing Pathways Initiative – Operational Program </w:t>
            </w:r>
            <w:r w:rsidR="00DB5F73" w:rsidRPr="00117D72">
              <w:rPr>
                <w:rStyle w:val="BodyChar"/>
              </w:rPr>
              <w:t>Guidelines (</w:t>
            </w:r>
            <w:r w:rsidR="00117D72" w:rsidRPr="00117D72">
              <w:rPr>
                <w:rStyle w:val="BodyChar"/>
              </w:rPr>
              <w:t>2025</w:t>
            </w:r>
            <w:r w:rsidR="00DB5F73" w:rsidRPr="00117D72">
              <w:rPr>
                <w:rStyle w:val="BodyChar"/>
              </w:rPr>
              <w:t>)</w:t>
            </w:r>
            <w:r w:rsidR="00DB5F73" w:rsidRPr="00D67E23">
              <w:rPr>
                <w:rStyle w:val="BodyChar"/>
              </w:rPr>
              <w:t xml:space="preserve"> </w:t>
            </w:r>
            <w:r w:rsidRPr="00D67E23">
              <w:rPr>
                <w:rStyle w:val="BodyChar"/>
              </w:rPr>
              <w:t xml:space="preserve">will </w:t>
            </w:r>
            <w:r>
              <w:t xml:space="preserve">be routinely reviewed every five years. Should there be significant changes to the Victorian Homelessness System before the scheduled review, the Guidelines will be updated to reflect these changes. </w:t>
            </w:r>
          </w:p>
          <w:p w14:paraId="00553569" w14:textId="77777777" w:rsidR="009D5504" w:rsidRPr="009D5504" w:rsidRDefault="009D5504" w:rsidP="009D5504">
            <w:pPr>
              <w:rPr>
                <w:szCs w:val="21"/>
              </w:rPr>
            </w:pPr>
            <w:r w:rsidRPr="009D5504">
              <w:rPr>
                <w:szCs w:val="21"/>
              </w:rPr>
              <w:t>Version and Review History</w:t>
            </w:r>
          </w:p>
          <w:tbl>
            <w:tblPr>
              <w:tblStyle w:val="TableGrid"/>
              <w:tblW w:w="5000" w:type="pct"/>
              <w:tblInd w:w="0" w:type="dxa"/>
              <w:tblLook w:val="04A0" w:firstRow="1" w:lastRow="0" w:firstColumn="1" w:lastColumn="0" w:noHBand="0" w:noVBand="1"/>
            </w:tblPr>
            <w:tblGrid>
              <w:gridCol w:w="2336"/>
              <w:gridCol w:w="2245"/>
              <w:gridCol w:w="2408"/>
              <w:gridCol w:w="2083"/>
            </w:tblGrid>
            <w:tr w:rsidR="009D5504" w14:paraId="6870F548" w14:textId="77777777" w:rsidTr="00A04389">
              <w:tc>
                <w:tcPr>
                  <w:tcW w:w="1287" w:type="pct"/>
                  <w:tcBorders>
                    <w:bottom w:val="single" w:sz="4" w:space="0" w:color="auto"/>
                  </w:tcBorders>
                </w:tcPr>
                <w:p w14:paraId="5FEEB916" w14:textId="77777777" w:rsidR="009D5504" w:rsidRDefault="009D5504" w:rsidP="009D5504">
                  <w:pPr>
                    <w:pStyle w:val="Tablecolhead"/>
                  </w:pPr>
                  <w:r>
                    <w:t>Version</w:t>
                  </w:r>
                </w:p>
              </w:tc>
              <w:tc>
                <w:tcPr>
                  <w:tcW w:w="1237" w:type="pct"/>
                  <w:tcBorders>
                    <w:bottom w:val="single" w:sz="4" w:space="0" w:color="auto"/>
                  </w:tcBorders>
                </w:tcPr>
                <w:p w14:paraId="643F66D2" w14:textId="77777777" w:rsidR="009D5504" w:rsidRDefault="009D5504" w:rsidP="009D5504">
                  <w:pPr>
                    <w:pStyle w:val="Tablecolhead"/>
                  </w:pPr>
                  <w:r>
                    <w:t>Approved by</w:t>
                  </w:r>
                </w:p>
              </w:tc>
              <w:tc>
                <w:tcPr>
                  <w:tcW w:w="1327" w:type="pct"/>
                  <w:tcBorders>
                    <w:bottom w:val="single" w:sz="4" w:space="0" w:color="auto"/>
                  </w:tcBorders>
                </w:tcPr>
                <w:p w14:paraId="6F5868BE" w14:textId="77777777" w:rsidR="009D5504" w:rsidRDefault="009D5504" w:rsidP="009D5504">
                  <w:pPr>
                    <w:pStyle w:val="Tablecolhead"/>
                  </w:pPr>
                  <w:r>
                    <w:t>Date</w:t>
                  </w:r>
                </w:p>
              </w:tc>
              <w:tc>
                <w:tcPr>
                  <w:tcW w:w="1148" w:type="pct"/>
                  <w:tcBorders>
                    <w:bottom w:val="single" w:sz="4" w:space="0" w:color="auto"/>
                  </w:tcBorders>
                </w:tcPr>
                <w:p w14:paraId="2DB734CA" w14:textId="77777777" w:rsidR="009D5504" w:rsidRDefault="009D5504" w:rsidP="009D5504">
                  <w:pPr>
                    <w:pStyle w:val="Tablecolhead"/>
                  </w:pPr>
                  <w:r>
                    <w:t>Next Revision Due</w:t>
                  </w:r>
                </w:p>
              </w:tc>
            </w:tr>
            <w:tr w:rsidR="009D5504" w14:paraId="1BCB302E" w14:textId="77777777" w:rsidTr="00A04389">
              <w:tc>
                <w:tcPr>
                  <w:tcW w:w="1287" w:type="pct"/>
                  <w:tcBorders>
                    <w:top w:val="single" w:sz="4" w:space="0" w:color="auto"/>
                    <w:left w:val="single" w:sz="4" w:space="0" w:color="auto"/>
                    <w:bottom w:val="single" w:sz="4" w:space="0" w:color="auto"/>
                    <w:right w:val="single" w:sz="4" w:space="0" w:color="auto"/>
                  </w:tcBorders>
                  <w:shd w:val="clear" w:color="auto" w:fill="auto"/>
                </w:tcPr>
                <w:p w14:paraId="507ECB6F" w14:textId="3578087C" w:rsidR="009D5504" w:rsidRDefault="009D5504" w:rsidP="009D5504">
                  <w:pPr>
                    <w:pStyle w:val="Body"/>
                  </w:pPr>
                  <w:r>
                    <w:t xml:space="preserve">Version </w:t>
                  </w:r>
                  <w:r w:rsidR="00ED4274">
                    <w:t>2</w:t>
                  </w:r>
                  <w:r>
                    <w:t>.0</w:t>
                  </w:r>
                </w:p>
              </w:tc>
              <w:tc>
                <w:tcPr>
                  <w:tcW w:w="1237" w:type="pct"/>
                  <w:tcBorders>
                    <w:top w:val="single" w:sz="4" w:space="0" w:color="auto"/>
                    <w:left w:val="single" w:sz="4" w:space="0" w:color="auto"/>
                    <w:bottom w:val="single" w:sz="4" w:space="0" w:color="auto"/>
                    <w:right w:val="single" w:sz="4" w:space="0" w:color="auto"/>
                  </w:tcBorders>
                  <w:shd w:val="clear" w:color="auto" w:fill="auto"/>
                </w:tcPr>
                <w:p w14:paraId="2B4F39F7" w14:textId="370177E2" w:rsidR="009D5504" w:rsidRPr="00697F31" w:rsidRDefault="00697F31" w:rsidP="009D5504">
                  <w:pPr>
                    <w:pStyle w:val="Body"/>
                  </w:pPr>
                  <w:r w:rsidRPr="00697F31">
                    <w:t>Executive Director</w:t>
                  </w:r>
                </w:p>
              </w:tc>
              <w:tc>
                <w:tcPr>
                  <w:tcW w:w="1327" w:type="pct"/>
                  <w:tcBorders>
                    <w:top w:val="single" w:sz="4" w:space="0" w:color="auto"/>
                    <w:left w:val="single" w:sz="4" w:space="0" w:color="auto"/>
                    <w:bottom w:val="single" w:sz="4" w:space="0" w:color="auto"/>
                    <w:right w:val="single" w:sz="4" w:space="0" w:color="auto"/>
                  </w:tcBorders>
                  <w:shd w:val="clear" w:color="auto" w:fill="auto"/>
                </w:tcPr>
                <w:p w14:paraId="196F8E00" w14:textId="717F00F6" w:rsidR="009D5504" w:rsidRPr="00423B60" w:rsidRDefault="001F4EAE" w:rsidP="009D5504">
                  <w:pPr>
                    <w:pStyle w:val="Body"/>
                    <w:rPr>
                      <w:highlight w:val="yellow"/>
                    </w:rPr>
                  </w:pPr>
                  <w:r>
                    <w:t>November</w:t>
                  </w:r>
                  <w:r w:rsidR="002A3181" w:rsidRPr="002A3181">
                    <w:t xml:space="preserve"> 2025</w:t>
                  </w:r>
                </w:p>
              </w:tc>
              <w:tc>
                <w:tcPr>
                  <w:tcW w:w="1148" w:type="pct"/>
                  <w:tcBorders>
                    <w:top w:val="single" w:sz="4" w:space="0" w:color="auto"/>
                    <w:left w:val="single" w:sz="4" w:space="0" w:color="auto"/>
                    <w:bottom w:val="single" w:sz="4" w:space="0" w:color="auto"/>
                    <w:right w:val="single" w:sz="4" w:space="0" w:color="auto"/>
                  </w:tcBorders>
                  <w:shd w:val="clear" w:color="auto" w:fill="auto"/>
                </w:tcPr>
                <w:p w14:paraId="67A76499" w14:textId="3102492E" w:rsidR="009D5504" w:rsidRDefault="001F4EAE" w:rsidP="009D5504">
                  <w:pPr>
                    <w:pStyle w:val="Body"/>
                  </w:pPr>
                  <w:r>
                    <w:t xml:space="preserve">November </w:t>
                  </w:r>
                  <w:r w:rsidR="00DB5F73">
                    <w:t>2030</w:t>
                  </w:r>
                </w:p>
              </w:tc>
            </w:tr>
          </w:tbl>
          <w:p w14:paraId="72820038" w14:textId="2FE84BA8" w:rsidR="009D5504" w:rsidRPr="00DF4F13" w:rsidRDefault="009D5504" w:rsidP="003E0BFE">
            <w:pPr>
              <w:pStyle w:val="Body"/>
              <w:spacing w:before="120"/>
              <w:rPr>
                <w:rFonts w:eastAsia="Times New Roman"/>
                <w:color w:val="8761A9"/>
                <w:sz w:val="24"/>
                <w:szCs w:val="24"/>
              </w:rPr>
            </w:pPr>
          </w:p>
        </w:tc>
      </w:tr>
      <w:tr w:rsidR="009F2182" w14:paraId="654F5002" w14:textId="77777777" w:rsidTr="001E3AFD">
        <w:trPr>
          <w:trHeight w:val="5103"/>
        </w:trPr>
        <w:tc>
          <w:tcPr>
            <w:tcW w:w="9288" w:type="dxa"/>
          </w:tcPr>
          <w:p w14:paraId="00ABC25E" w14:textId="77777777" w:rsidR="008531B7" w:rsidRPr="0055119B" w:rsidRDefault="008531B7" w:rsidP="008531B7">
            <w:pPr>
              <w:pStyle w:val="Imprint"/>
            </w:pPr>
            <w:r w:rsidRPr="0055119B">
              <w:lastRenderedPageBreak/>
              <w:t>Authorised and published by the Victorian Government, 1 Treasury Place, Melbourne.</w:t>
            </w:r>
          </w:p>
          <w:p w14:paraId="584C39F5" w14:textId="2F4D4349" w:rsidR="008531B7" w:rsidRPr="00117D72" w:rsidRDefault="27B69C8D" w:rsidP="008531B7">
            <w:pPr>
              <w:pStyle w:val="Imprint"/>
            </w:pPr>
            <w:r>
              <w:t>© State of Victoria, Australia, Homes Victoria</w:t>
            </w:r>
            <w:r w:rsidRPr="00117D72">
              <w:t xml:space="preserve">, </w:t>
            </w:r>
            <w:r w:rsidR="001F4EAE">
              <w:t xml:space="preserve">November </w:t>
            </w:r>
            <w:r w:rsidR="00117D72" w:rsidRPr="00117D72">
              <w:t>2025</w:t>
            </w:r>
            <w:r w:rsidRPr="00117D72">
              <w:t>.</w:t>
            </w:r>
          </w:p>
          <w:p w14:paraId="7F5861DA" w14:textId="77777777" w:rsidR="008531B7" w:rsidRPr="00461963" w:rsidRDefault="008531B7" w:rsidP="51C719B7">
            <w:pPr>
              <w:pStyle w:val="Imprint"/>
            </w:pPr>
            <w:bookmarkStart w:id="0" w:name="_Hlk62746129"/>
            <w:r w:rsidRPr="00461963">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7CAED24A" w14:textId="77777777" w:rsidR="008531B7" w:rsidRDefault="008531B7" w:rsidP="51C719B7">
            <w:pPr>
              <w:pStyle w:val="Imprint"/>
            </w:pPr>
            <w:r w:rsidRPr="00461963">
              <w:t>In this document, ‘Aboriginal’ refers to both Aboriginal and Torres Strait Islander people. ‘Indigenous’ or ‘Koori/Koorie’ is retained when part of the title of a report, program or quotation.</w:t>
            </w:r>
          </w:p>
          <w:p w14:paraId="3E442CE6" w14:textId="5910C4A5" w:rsidR="002E7F1C" w:rsidRPr="00461963" w:rsidRDefault="00277426" w:rsidP="51C719B7">
            <w:pPr>
              <w:pStyle w:val="Imprint"/>
            </w:pPr>
            <w:r>
              <w:t>I</w:t>
            </w:r>
            <w:r w:rsidR="00AA67D7">
              <w:t>SBN</w:t>
            </w:r>
            <w:r>
              <w:t xml:space="preserve"> </w:t>
            </w:r>
            <w:r w:rsidR="002E7F1C" w:rsidRPr="002E7F1C">
              <w:t>978-1-76130-881-9</w:t>
            </w:r>
            <w:r w:rsidR="002878C9">
              <w:t xml:space="preserve"> (online)</w:t>
            </w:r>
          </w:p>
          <w:p w14:paraId="2BB24D4A" w14:textId="33862AE8" w:rsidR="008531B7" w:rsidRPr="0055119B" w:rsidRDefault="27B69C8D" w:rsidP="008531B7">
            <w:pPr>
              <w:pStyle w:val="Imprint"/>
            </w:pPr>
            <w:r w:rsidRPr="00277426">
              <w:t xml:space="preserve">Available at </w:t>
            </w:r>
            <w:r w:rsidR="00277426" w:rsidRPr="00277426">
              <w:t>https://fac.dffh.vic.gov.au/policies-and-procedures</w:t>
            </w:r>
          </w:p>
          <w:bookmarkEnd w:id="0"/>
          <w:p w14:paraId="1B3AAAE9" w14:textId="43CDD6B7" w:rsidR="009F2182" w:rsidRDefault="009F2182" w:rsidP="51C719B7">
            <w:pPr>
              <w:pStyle w:val="Imprint"/>
              <w:rPr>
                <w:color w:val="8761A9" w:themeColor="accent6"/>
              </w:rPr>
            </w:pPr>
          </w:p>
          <w:p w14:paraId="25C6E4B7" w14:textId="77996B8E" w:rsidR="009F2182" w:rsidRDefault="009F2182" w:rsidP="51C719B7">
            <w:pPr>
              <w:pStyle w:val="Imprint"/>
              <w:rPr>
                <w:color w:val="8761A9" w:themeColor="accent6"/>
              </w:rPr>
            </w:pPr>
          </w:p>
          <w:p w14:paraId="77AE8D38" w14:textId="7B85793C" w:rsidR="009F2182" w:rsidRDefault="009F2182" w:rsidP="51C719B7">
            <w:pPr>
              <w:pStyle w:val="Imprint"/>
              <w:rPr>
                <w:color w:val="8761A9" w:themeColor="accent6"/>
              </w:rPr>
            </w:pPr>
          </w:p>
          <w:p w14:paraId="37DF6DFF" w14:textId="3A1C845F" w:rsidR="009F2182" w:rsidRDefault="009F2182" w:rsidP="51C719B7">
            <w:pPr>
              <w:pStyle w:val="Imprint"/>
              <w:rPr>
                <w:color w:val="8761A9" w:themeColor="accent6"/>
              </w:rPr>
            </w:pPr>
          </w:p>
          <w:p w14:paraId="3CE054D1" w14:textId="65980B40" w:rsidR="009F2182" w:rsidRDefault="009F2182" w:rsidP="51C719B7">
            <w:pPr>
              <w:pStyle w:val="Imprint"/>
              <w:rPr>
                <w:color w:val="8761A9" w:themeColor="accent6"/>
              </w:rPr>
            </w:pPr>
          </w:p>
          <w:p w14:paraId="596F467D" w14:textId="2B1C6830" w:rsidR="009F2182" w:rsidRDefault="009F2182" w:rsidP="51C719B7">
            <w:pPr>
              <w:pStyle w:val="Imprint"/>
              <w:rPr>
                <w:color w:val="8761A9" w:themeColor="accent6"/>
              </w:rPr>
            </w:pPr>
          </w:p>
          <w:p w14:paraId="02802162" w14:textId="70E04C23" w:rsidR="009F2182" w:rsidRDefault="009F2182" w:rsidP="51C719B7">
            <w:pPr>
              <w:pStyle w:val="Imprint"/>
              <w:rPr>
                <w:color w:val="8761A9" w:themeColor="accent6"/>
              </w:rPr>
            </w:pPr>
          </w:p>
          <w:p w14:paraId="4CEDF890" w14:textId="2562F2D9" w:rsidR="009F2182" w:rsidRDefault="009F2182" w:rsidP="51C719B7">
            <w:pPr>
              <w:pStyle w:val="Imprint"/>
              <w:rPr>
                <w:color w:val="8761A9" w:themeColor="accent6"/>
              </w:rPr>
            </w:pPr>
          </w:p>
          <w:p w14:paraId="657DD314" w14:textId="1DE071A0" w:rsidR="009F2182" w:rsidRDefault="009F2182" w:rsidP="51C719B7">
            <w:pPr>
              <w:pStyle w:val="Imprint"/>
              <w:rPr>
                <w:color w:val="8761A9" w:themeColor="accent6"/>
              </w:rPr>
            </w:pPr>
          </w:p>
          <w:p w14:paraId="45AADA32" w14:textId="22BEF6F2" w:rsidR="009F2182" w:rsidRDefault="009F2182" w:rsidP="51C719B7">
            <w:pPr>
              <w:pStyle w:val="Imprint"/>
              <w:rPr>
                <w:color w:val="8761A9" w:themeColor="accent6"/>
              </w:rPr>
            </w:pPr>
          </w:p>
          <w:p w14:paraId="0E1F128D" w14:textId="166D51C2" w:rsidR="009F2182" w:rsidRDefault="009F2182" w:rsidP="51C719B7">
            <w:pPr>
              <w:pStyle w:val="Imprint"/>
              <w:rPr>
                <w:color w:val="8761A9" w:themeColor="accent6"/>
              </w:rPr>
            </w:pPr>
          </w:p>
          <w:p w14:paraId="14B7F20F" w14:textId="4450BC35" w:rsidR="009F2182" w:rsidRDefault="009F2182" w:rsidP="51C719B7">
            <w:pPr>
              <w:pStyle w:val="Imprint"/>
              <w:rPr>
                <w:color w:val="8761A9" w:themeColor="accent6"/>
              </w:rPr>
            </w:pPr>
          </w:p>
          <w:p w14:paraId="5246D4A0" w14:textId="3E59A163" w:rsidR="009F2182" w:rsidRDefault="009F2182" w:rsidP="51C719B7">
            <w:pPr>
              <w:pStyle w:val="Imprint"/>
              <w:rPr>
                <w:color w:val="8761A9" w:themeColor="accent6"/>
              </w:rPr>
            </w:pPr>
          </w:p>
          <w:p w14:paraId="75FA8919" w14:textId="0A7F948B" w:rsidR="009F2182" w:rsidRPr="005F6460" w:rsidRDefault="097DDCAB" w:rsidP="1C4A336D">
            <w:pPr>
              <w:pStyle w:val="Body"/>
              <w:rPr>
                <w:b/>
                <w:bCs/>
                <w:sz w:val="32"/>
                <w:szCs w:val="32"/>
              </w:rPr>
            </w:pPr>
            <w:r w:rsidRPr="005F6460">
              <w:rPr>
                <w:b/>
                <w:bCs/>
                <w:sz w:val="32"/>
                <w:szCs w:val="32"/>
              </w:rPr>
              <w:t>Acknowledgement</w:t>
            </w:r>
          </w:p>
          <w:p w14:paraId="1DE87E1D" w14:textId="246E3E3E" w:rsidR="009F2182" w:rsidRDefault="33DA29BB" w:rsidP="00755A6D">
            <w:pPr>
              <w:pStyle w:val="Body"/>
              <w:rPr>
                <w:sz w:val="32"/>
                <w:szCs w:val="32"/>
              </w:rPr>
            </w:pPr>
            <w:r w:rsidRPr="00461963">
              <w:rPr>
                <w:sz w:val="32"/>
                <w:szCs w:val="32"/>
              </w:rPr>
              <w:t>The Department of Families, Fairness and Housing acknowledges Aboriginal and</w:t>
            </w:r>
            <w:r w:rsidRPr="00461963">
              <w:rPr>
                <w:rFonts w:eastAsia="Arial" w:cs="Arial"/>
              </w:rPr>
              <w:t xml:space="preserve"> </w:t>
            </w:r>
            <w:r w:rsidRPr="00461963">
              <w:rPr>
                <w:sz w:val="32"/>
                <w:szCs w:val="32"/>
              </w:rPr>
              <w:t>Torres Strait Islander people as the Traditional Custodians of the land and acknowledges and pays respect to their Elders, past and present.</w:t>
            </w:r>
          </w:p>
          <w:p w14:paraId="58D4C78E" w14:textId="08F72F8A" w:rsidR="009F2182" w:rsidRPr="00461963" w:rsidRDefault="33DA29BB" w:rsidP="00755A6D">
            <w:pPr>
              <w:pStyle w:val="Body"/>
              <w:rPr>
                <w:sz w:val="32"/>
                <w:szCs w:val="32"/>
              </w:rPr>
            </w:pPr>
            <w:r w:rsidRPr="00461963">
              <w:rPr>
                <w:sz w:val="32"/>
                <w:szCs w:val="32"/>
              </w:rPr>
              <w:t>The department is committed to safe and inclusive workplaces, policies and services for people of LGBTIQ</w:t>
            </w:r>
            <w:r w:rsidRPr="51C719B7">
              <w:rPr>
                <w:sz w:val="32"/>
                <w:szCs w:val="32"/>
              </w:rPr>
              <w:t>A+</w:t>
            </w:r>
            <w:r w:rsidRPr="00461963">
              <w:rPr>
                <w:sz w:val="32"/>
                <w:szCs w:val="32"/>
              </w:rPr>
              <w:t xml:space="preserve"> communities and their families.</w:t>
            </w:r>
          </w:p>
          <w:p w14:paraId="0392DC03" w14:textId="3169AB7E" w:rsidR="009F2182" w:rsidRDefault="33DA29BB" w:rsidP="00461963">
            <w:pPr>
              <w:spacing w:after="0" w:line="240" w:lineRule="auto"/>
              <w:rPr>
                <w:rFonts w:ascii="Arial" w:eastAsia="Arial" w:hAnsi="Arial" w:cs="Arial"/>
                <w:color w:val="201547"/>
                <w:sz w:val="44"/>
                <w:szCs w:val="44"/>
              </w:rPr>
            </w:pPr>
            <w:r>
              <w:rPr>
                <w:noProof/>
              </w:rPr>
              <w:drawing>
                <wp:inline distT="0" distB="0" distL="0" distR="0" wp14:anchorId="6B14D0A3" wp14:editId="61580D6E">
                  <wp:extent cx="609600" cy="390525"/>
                  <wp:effectExtent l="0" t="0" r="0" b="0"/>
                  <wp:docPr id="1956213547" name="Picture 1956213547"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09600" cy="390525"/>
                          </a:xfrm>
                          <a:prstGeom prst="rect">
                            <a:avLst/>
                          </a:prstGeom>
                        </pic:spPr>
                      </pic:pic>
                    </a:graphicData>
                  </a:graphic>
                </wp:inline>
              </w:drawing>
            </w:r>
            <w:r w:rsidRPr="51C719B7">
              <w:rPr>
                <w:rFonts w:ascii="Arial" w:eastAsia="Arial" w:hAnsi="Arial" w:cs="Arial"/>
                <w:color w:val="201547"/>
                <w:sz w:val="44"/>
                <w:szCs w:val="44"/>
              </w:rPr>
              <w:t> </w:t>
            </w:r>
            <w:r>
              <w:rPr>
                <w:noProof/>
              </w:rPr>
              <w:drawing>
                <wp:inline distT="0" distB="0" distL="0" distR="0" wp14:anchorId="0B67FC6E" wp14:editId="6CDD260E">
                  <wp:extent cx="600075" cy="390525"/>
                  <wp:effectExtent l="0" t="0" r="0" b="0"/>
                  <wp:docPr id="1959104505" name="Picture 1959104505" descr="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00075" cy="390525"/>
                          </a:xfrm>
                          <a:prstGeom prst="rect">
                            <a:avLst/>
                          </a:prstGeom>
                        </pic:spPr>
                      </pic:pic>
                    </a:graphicData>
                  </a:graphic>
                </wp:inline>
              </w:drawing>
            </w:r>
            <w:r w:rsidRPr="51C719B7">
              <w:rPr>
                <w:rFonts w:ascii="Arial" w:eastAsia="Arial" w:hAnsi="Arial" w:cs="Arial"/>
                <w:color w:val="201547"/>
                <w:sz w:val="44"/>
                <w:szCs w:val="44"/>
              </w:rPr>
              <w:t> </w:t>
            </w:r>
            <w:r>
              <w:rPr>
                <w:noProof/>
              </w:rPr>
              <w:drawing>
                <wp:inline distT="0" distB="0" distL="0" distR="0" wp14:anchorId="0E74CD59" wp14:editId="6C9EE8C3">
                  <wp:extent cx="600075" cy="390525"/>
                  <wp:effectExtent l="0" t="0" r="0" b="0"/>
                  <wp:docPr id="270082921" name="Picture 270082921" descr="Prid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00075" cy="390525"/>
                          </a:xfrm>
                          <a:prstGeom prst="rect">
                            <a:avLst/>
                          </a:prstGeom>
                        </pic:spPr>
                      </pic:pic>
                    </a:graphicData>
                  </a:graphic>
                </wp:inline>
              </w:drawing>
            </w:r>
          </w:p>
          <w:p w14:paraId="724BE9A5" w14:textId="3BFD435D" w:rsidR="009F2182" w:rsidRDefault="009F2182" w:rsidP="51C719B7">
            <w:pPr>
              <w:pStyle w:val="Imprint"/>
              <w:rPr>
                <w:color w:val="8761A9" w:themeColor="accent6"/>
              </w:rPr>
            </w:pPr>
          </w:p>
        </w:tc>
      </w:tr>
      <w:tr w:rsidR="0008204A" w14:paraId="2C72E3E2" w14:textId="77777777" w:rsidTr="001E3AFD">
        <w:tc>
          <w:tcPr>
            <w:tcW w:w="9288" w:type="dxa"/>
          </w:tcPr>
          <w:p w14:paraId="2EBD3A50" w14:textId="77777777" w:rsidR="0008204A" w:rsidRPr="0055119B" w:rsidRDefault="0008204A" w:rsidP="0008204A">
            <w:pPr>
              <w:pStyle w:val="Body"/>
            </w:pPr>
          </w:p>
        </w:tc>
      </w:tr>
    </w:tbl>
    <w:p w14:paraId="4E9D2041" w14:textId="77777777" w:rsidR="0008204A" w:rsidRPr="0008204A" w:rsidRDefault="0008204A" w:rsidP="0008204A">
      <w:pPr>
        <w:pStyle w:val="Body"/>
      </w:pPr>
      <w:r w:rsidRPr="0008204A">
        <w:br w:type="page"/>
      </w:r>
    </w:p>
    <w:p w14:paraId="7CEB3E91" w14:textId="53EC8088" w:rsidR="00AD784C" w:rsidRPr="00B57329" w:rsidRDefault="00AD784C" w:rsidP="00715A28">
      <w:pPr>
        <w:pStyle w:val="Heading1"/>
        <w:numPr>
          <w:ilvl w:val="0"/>
          <w:numId w:val="0"/>
        </w:numPr>
        <w:ind w:left="432" w:hanging="432"/>
      </w:pPr>
      <w:bookmarkStart w:id="1" w:name="_Toc207868805"/>
      <w:r w:rsidRPr="00B57329">
        <w:lastRenderedPageBreak/>
        <w:t>Contents</w:t>
      </w:r>
      <w:bookmarkEnd w:id="1"/>
    </w:p>
    <w:p w14:paraId="028497AB" w14:textId="58EDE133" w:rsidR="002878C9" w:rsidRDefault="005A0AC3">
      <w:pPr>
        <w:pStyle w:val="TOC1"/>
        <w:rPr>
          <w:rFonts w:asciiTheme="minorHAnsi" w:eastAsiaTheme="minorEastAsia" w:hAnsiTheme="minorHAnsi" w:cstheme="minorBidi"/>
          <w:b w:val="0"/>
          <w:kern w:val="2"/>
          <w:sz w:val="24"/>
          <w:szCs w:val="24"/>
          <w:lang w:eastAsia="en-AU"/>
          <w14:ligatures w14:val="standardContextual"/>
        </w:rPr>
      </w:pPr>
      <w:r>
        <w:rPr>
          <w:b w:val="0"/>
        </w:rPr>
        <w:fldChar w:fldCharType="begin"/>
      </w:r>
      <w:r>
        <w:rPr>
          <w:b w:val="0"/>
        </w:rPr>
        <w:instrText xml:space="preserve"> TOC \o "1-2" \h \z </w:instrText>
      </w:r>
      <w:r>
        <w:rPr>
          <w:b w:val="0"/>
        </w:rPr>
        <w:fldChar w:fldCharType="separate"/>
      </w:r>
      <w:hyperlink w:anchor="_Toc207868805" w:history="1">
        <w:r w:rsidR="002878C9" w:rsidRPr="00A95F7C">
          <w:rPr>
            <w:rStyle w:val="Hyperlink"/>
          </w:rPr>
          <w:t>Contents</w:t>
        </w:r>
        <w:r w:rsidR="002878C9">
          <w:rPr>
            <w:webHidden/>
          </w:rPr>
          <w:tab/>
        </w:r>
        <w:r w:rsidR="002878C9">
          <w:rPr>
            <w:webHidden/>
          </w:rPr>
          <w:fldChar w:fldCharType="begin"/>
        </w:r>
        <w:r w:rsidR="002878C9">
          <w:rPr>
            <w:webHidden/>
          </w:rPr>
          <w:instrText xml:space="preserve"> PAGEREF _Toc207868805 \h </w:instrText>
        </w:r>
        <w:r w:rsidR="002878C9">
          <w:rPr>
            <w:webHidden/>
          </w:rPr>
        </w:r>
        <w:r w:rsidR="002878C9">
          <w:rPr>
            <w:webHidden/>
          </w:rPr>
          <w:fldChar w:fldCharType="separate"/>
        </w:r>
        <w:r w:rsidR="002878C9">
          <w:rPr>
            <w:webHidden/>
          </w:rPr>
          <w:t>6</w:t>
        </w:r>
        <w:r w:rsidR="002878C9">
          <w:rPr>
            <w:webHidden/>
          </w:rPr>
          <w:fldChar w:fldCharType="end"/>
        </w:r>
      </w:hyperlink>
    </w:p>
    <w:p w14:paraId="33BB3D95" w14:textId="50CC6CA9" w:rsidR="002878C9" w:rsidRDefault="002878C9">
      <w:pPr>
        <w:pStyle w:val="TOC1"/>
        <w:rPr>
          <w:rFonts w:asciiTheme="minorHAnsi" w:eastAsiaTheme="minorEastAsia" w:hAnsiTheme="minorHAnsi" w:cstheme="minorBidi"/>
          <w:b w:val="0"/>
          <w:kern w:val="2"/>
          <w:sz w:val="24"/>
          <w:szCs w:val="24"/>
          <w:lang w:eastAsia="en-AU"/>
          <w14:ligatures w14:val="standardContextual"/>
        </w:rPr>
      </w:pPr>
      <w:hyperlink w:anchor="_Toc207868806" w:history="1">
        <w:r w:rsidRPr="00A95F7C">
          <w:rPr>
            <w:rStyle w:val="Hyperlink"/>
          </w:rPr>
          <w:t>Acronyms and abbreviations</w:t>
        </w:r>
        <w:r>
          <w:rPr>
            <w:webHidden/>
          </w:rPr>
          <w:tab/>
        </w:r>
        <w:r>
          <w:rPr>
            <w:webHidden/>
          </w:rPr>
          <w:fldChar w:fldCharType="begin"/>
        </w:r>
        <w:r>
          <w:rPr>
            <w:webHidden/>
          </w:rPr>
          <w:instrText xml:space="preserve"> PAGEREF _Toc207868806 \h </w:instrText>
        </w:r>
        <w:r>
          <w:rPr>
            <w:webHidden/>
          </w:rPr>
        </w:r>
        <w:r>
          <w:rPr>
            <w:webHidden/>
          </w:rPr>
          <w:fldChar w:fldCharType="separate"/>
        </w:r>
        <w:r>
          <w:rPr>
            <w:webHidden/>
          </w:rPr>
          <w:t>7</w:t>
        </w:r>
        <w:r>
          <w:rPr>
            <w:webHidden/>
          </w:rPr>
          <w:fldChar w:fldCharType="end"/>
        </w:r>
      </w:hyperlink>
    </w:p>
    <w:p w14:paraId="31365B64" w14:textId="12B0F68B" w:rsidR="002878C9" w:rsidRDefault="002878C9">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07868807" w:history="1">
        <w:r w:rsidRPr="00A95F7C">
          <w:rPr>
            <w:rStyle w:val="Hyperlink"/>
          </w:rPr>
          <w:t>1</w:t>
        </w:r>
        <w:r>
          <w:rPr>
            <w:rFonts w:asciiTheme="minorHAnsi" w:eastAsiaTheme="minorEastAsia" w:hAnsiTheme="minorHAnsi" w:cstheme="minorBidi"/>
            <w:b w:val="0"/>
            <w:kern w:val="2"/>
            <w:sz w:val="24"/>
            <w:szCs w:val="24"/>
            <w:lang w:eastAsia="en-AU"/>
            <w14:ligatures w14:val="standardContextual"/>
          </w:rPr>
          <w:tab/>
        </w:r>
        <w:r w:rsidRPr="00A95F7C">
          <w:rPr>
            <w:rStyle w:val="Hyperlink"/>
          </w:rPr>
          <w:t>Program overview</w:t>
        </w:r>
        <w:r>
          <w:rPr>
            <w:webHidden/>
          </w:rPr>
          <w:tab/>
        </w:r>
        <w:r>
          <w:rPr>
            <w:webHidden/>
          </w:rPr>
          <w:fldChar w:fldCharType="begin"/>
        </w:r>
        <w:r>
          <w:rPr>
            <w:webHidden/>
          </w:rPr>
          <w:instrText xml:space="preserve"> PAGEREF _Toc207868807 \h </w:instrText>
        </w:r>
        <w:r>
          <w:rPr>
            <w:webHidden/>
          </w:rPr>
        </w:r>
        <w:r>
          <w:rPr>
            <w:webHidden/>
          </w:rPr>
          <w:fldChar w:fldCharType="separate"/>
        </w:r>
        <w:r>
          <w:rPr>
            <w:webHidden/>
          </w:rPr>
          <w:t>8</w:t>
        </w:r>
        <w:r>
          <w:rPr>
            <w:webHidden/>
          </w:rPr>
          <w:fldChar w:fldCharType="end"/>
        </w:r>
      </w:hyperlink>
    </w:p>
    <w:p w14:paraId="0D5CE924" w14:textId="4B4A2687" w:rsidR="002878C9" w:rsidRDefault="002878C9">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07868808" w:history="1">
        <w:r w:rsidRPr="00A95F7C">
          <w:rPr>
            <w:rStyle w:val="Hyperlink"/>
          </w:rPr>
          <w:t>2</w:t>
        </w:r>
        <w:r>
          <w:rPr>
            <w:rFonts w:asciiTheme="minorHAnsi" w:eastAsiaTheme="minorEastAsia" w:hAnsiTheme="minorHAnsi" w:cstheme="minorBidi"/>
            <w:b w:val="0"/>
            <w:kern w:val="2"/>
            <w:sz w:val="24"/>
            <w:szCs w:val="24"/>
            <w:lang w:eastAsia="en-AU"/>
            <w14:ligatures w14:val="standardContextual"/>
          </w:rPr>
          <w:tab/>
        </w:r>
        <w:r w:rsidRPr="00A95F7C">
          <w:rPr>
            <w:rStyle w:val="Hyperlink"/>
          </w:rPr>
          <w:t>Eligibility and access</w:t>
        </w:r>
        <w:r>
          <w:rPr>
            <w:webHidden/>
          </w:rPr>
          <w:tab/>
        </w:r>
        <w:r>
          <w:rPr>
            <w:webHidden/>
          </w:rPr>
          <w:fldChar w:fldCharType="begin"/>
        </w:r>
        <w:r>
          <w:rPr>
            <w:webHidden/>
          </w:rPr>
          <w:instrText xml:space="preserve"> PAGEREF _Toc207868808 \h </w:instrText>
        </w:r>
        <w:r>
          <w:rPr>
            <w:webHidden/>
          </w:rPr>
        </w:r>
        <w:r>
          <w:rPr>
            <w:webHidden/>
          </w:rPr>
          <w:fldChar w:fldCharType="separate"/>
        </w:r>
        <w:r>
          <w:rPr>
            <w:webHidden/>
          </w:rPr>
          <w:t>8</w:t>
        </w:r>
        <w:r>
          <w:rPr>
            <w:webHidden/>
          </w:rPr>
          <w:fldChar w:fldCharType="end"/>
        </w:r>
      </w:hyperlink>
    </w:p>
    <w:p w14:paraId="4068CD70" w14:textId="1506430D" w:rsidR="002878C9" w:rsidRDefault="002878C9">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7868809" w:history="1">
        <w:r w:rsidRPr="00A95F7C">
          <w:rPr>
            <w:rStyle w:val="Hyperlink"/>
          </w:rPr>
          <w:t>2.1</w:t>
        </w:r>
        <w:r>
          <w:rPr>
            <w:rFonts w:asciiTheme="minorHAnsi" w:eastAsiaTheme="minorEastAsia" w:hAnsiTheme="minorHAnsi" w:cstheme="minorBidi"/>
            <w:kern w:val="2"/>
            <w:sz w:val="24"/>
            <w:szCs w:val="24"/>
            <w:lang w:eastAsia="en-AU"/>
            <w14:ligatures w14:val="standardContextual"/>
          </w:rPr>
          <w:tab/>
        </w:r>
        <w:r w:rsidRPr="00A95F7C">
          <w:rPr>
            <w:rStyle w:val="Hyperlink"/>
          </w:rPr>
          <w:t>Eligibility criteria</w:t>
        </w:r>
        <w:r>
          <w:rPr>
            <w:webHidden/>
          </w:rPr>
          <w:tab/>
        </w:r>
        <w:r>
          <w:rPr>
            <w:webHidden/>
          </w:rPr>
          <w:fldChar w:fldCharType="begin"/>
        </w:r>
        <w:r>
          <w:rPr>
            <w:webHidden/>
          </w:rPr>
          <w:instrText xml:space="preserve"> PAGEREF _Toc207868809 \h </w:instrText>
        </w:r>
        <w:r>
          <w:rPr>
            <w:webHidden/>
          </w:rPr>
        </w:r>
        <w:r>
          <w:rPr>
            <w:webHidden/>
          </w:rPr>
          <w:fldChar w:fldCharType="separate"/>
        </w:r>
        <w:r>
          <w:rPr>
            <w:webHidden/>
          </w:rPr>
          <w:t>9</w:t>
        </w:r>
        <w:r>
          <w:rPr>
            <w:webHidden/>
          </w:rPr>
          <w:fldChar w:fldCharType="end"/>
        </w:r>
      </w:hyperlink>
    </w:p>
    <w:p w14:paraId="0F9E26D8" w14:textId="3CC2444D" w:rsidR="002878C9" w:rsidRDefault="002878C9">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7868810" w:history="1">
        <w:r w:rsidRPr="00A95F7C">
          <w:rPr>
            <w:rStyle w:val="Hyperlink"/>
          </w:rPr>
          <w:t>2.2</w:t>
        </w:r>
        <w:r>
          <w:rPr>
            <w:rFonts w:asciiTheme="minorHAnsi" w:eastAsiaTheme="minorEastAsia" w:hAnsiTheme="minorHAnsi" w:cstheme="minorBidi"/>
            <w:kern w:val="2"/>
            <w:sz w:val="24"/>
            <w:szCs w:val="24"/>
            <w:lang w:eastAsia="en-AU"/>
            <w14:ligatures w14:val="standardContextual"/>
          </w:rPr>
          <w:tab/>
        </w:r>
        <w:r w:rsidRPr="00A95F7C">
          <w:rPr>
            <w:rStyle w:val="Hyperlink"/>
          </w:rPr>
          <w:t>Assessment, access and allocation pathways</w:t>
        </w:r>
        <w:r>
          <w:rPr>
            <w:webHidden/>
          </w:rPr>
          <w:tab/>
        </w:r>
        <w:r>
          <w:rPr>
            <w:webHidden/>
          </w:rPr>
          <w:fldChar w:fldCharType="begin"/>
        </w:r>
        <w:r>
          <w:rPr>
            <w:webHidden/>
          </w:rPr>
          <w:instrText xml:space="preserve"> PAGEREF _Toc207868810 \h </w:instrText>
        </w:r>
        <w:r>
          <w:rPr>
            <w:webHidden/>
          </w:rPr>
        </w:r>
        <w:r>
          <w:rPr>
            <w:webHidden/>
          </w:rPr>
          <w:fldChar w:fldCharType="separate"/>
        </w:r>
        <w:r>
          <w:rPr>
            <w:webHidden/>
          </w:rPr>
          <w:t>9</w:t>
        </w:r>
        <w:r>
          <w:rPr>
            <w:webHidden/>
          </w:rPr>
          <w:fldChar w:fldCharType="end"/>
        </w:r>
      </w:hyperlink>
    </w:p>
    <w:p w14:paraId="4144E830" w14:textId="6C6A2FC5" w:rsidR="002878C9" w:rsidRDefault="002878C9">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7868811" w:history="1">
        <w:r w:rsidRPr="00A95F7C">
          <w:rPr>
            <w:rStyle w:val="Hyperlink"/>
          </w:rPr>
          <w:t>2.3</w:t>
        </w:r>
        <w:r>
          <w:rPr>
            <w:rFonts w:asciiTheme="minorHAnsi" w:eastAsiaTheme="minorEastAsia" w:hAnsiTheme="minorHAnsi" w:cstheme="minorBidi"/>
            <w:kern w:val="2"/>
            <w:sz w:val="24"/>
            <w:szCs w:val="24"/>
            <w:lang w:eastAsia="en-AU"/>
            <w14:ligatures w14:val="standardContextual"/>
          </w:rPr>
          <w:tab/>
        </w:r>
        <w:r w:rsidRPr="00A95F7C">
          <w:rPr>
            <w:rStyle w:val="Hyperlink"/>
          </w:rPr>
          <w:t>Intersection between CHPI and other programs, systems or initiatives</w:t>
        </w:r>
        <w:r>
          <w:rPr>
            <w:webHidden/>
          </w:rPr>
          <w:tab/>
        </w:r>
        <w:r>
          <w:rPr>
            <w:webHidden/>
          </w:rPr>
          <w:fldChar w:fldCharType="begin"/>
        </w:r>
        <w:r>
          <w:rPr>
            <w:webHidden/>
          </w:rPr>
          <w:instrText xml:space="preserve"> PAGEREF _Toc207868811 \h </w:instrText>
        </w:r>
        <w:r>
          <w:rPr>
            <w:webHidden/>
          </w:rPr>
        </w:r>
        <w:r>
          <w:rPr>
            <w:webHidden/>
          </w:rPr>
          <w:fldChar w:fldCharType="separate"/>
        </w:r>
        <w:r>
          <w:rPr>
            <w:webHidden/>
          </w:rPr>
          <w:t>9</w:t>
        </w:r>
        <w:r>
          <w:rPr>
            <w:webHidden/>
          </w:rPr>
          <w:fldChar w:fldCharType="end"/>
        </w:r>
      </w:hyperlink>
    </w:p>
    <w:p w14:paraId="0B8C4A5D" w14:textId="5BC62DD5" w:rsidR="002878C9" w:rsidRDefault="002878C9">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07868812" w:history="1">
        <w:r w:rsidRPr="00A95F7C">
          <w:rPr>
            <w:rStyle w:val="Hyperlink"/>
          </w:rPr>
          <w:t>3</w:t>
        </w:r>
        <w:r>
          <w:rPr>
            <w:rFonts w:asciiTheme="minorHAnsi" w:eastAsiaTheme="minorEastAsia" w:hAnsiTheme="minorHAnsi" w:cstheme="minorBidi"/>
            <w:b w:val="0"/>
            <w:kern w:val="2"/>
            <w:sz w:val="24"/>
            <w:szCs w:val="24"/>
            <w:lang w:eastAsia="en-AU"/>
            <w14:ligatures w14:val="standardContextual"/>
          </w:rPr>
          <w:tab/>
        </w:r>
        <w:r w:rsidRPr="00A95F7C">
          <w:rPr>
            <w:rStyle w:val="Hyperlink"/>
          </w:rPr>
          <w:t>Program components</w:t>
        </w:r>
        <w:r>
          <w:rPr>
            <w:webHidden/>
          </w:rPr>
          <w:tab/>
        </w:r>
        <w:r>
          <w:rPr>
            <w:webHidden/>
          </w:rPr>
          <w:fldChar w:fldCharType="begin"/>
        </w:r>
        <w:r>
          <w:rPr>
            <w:webHidden/>
          </w:rPr>
          <w:instrText xml:space="preserve"> PAGEREF _Toc207868812 \h </w:instrText>
        </w:r>
        <w:r>
          <w:rPr>
            <w:webHidden/>
          </w:rPr>
        </w:r>
        <w:r>
          <w:rPr>
            <w:webHidden/>
          </w:rPr>
          <w:fldChar w:fldCharType="separate"/>
        </w:r>
        <w:r>
          <w:rPr>
            <w:webHidden/>
          </w:rPr>
          <w:t>15</w:t>
        </w:r>
        <w:r>
          <w:rPr>
            <w:webHidden/>
          </w:rPr>
          <w:fldChar w:fldCharType="end"/>
        </w:r>
      </w:hyperlink>
    </w:p>
    <w:p w14:paraId="200D8BDB" w14:textId="1368997D" w:rsidR="002878C9" w:rsidRDefault="002878C9">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7868813" w:history="1">
        <w:r w:rsidRPr="00A95F7C">
          <w:rPr>
            <w:rStyle w:val="Hyperlink"/>
          </w:rPr>
          <w:t>3.1</w:t>
        </w:r>
        <w:r>
          <w:rPr>
            <w:rFonts w:asciiTheme="minorHAnsi" w:eastAsiaTheme="minorEastAsia" w:hAnsiTheme="minorHAnsi" w:cstheme="minorBidi"/>
            <w:kern w:val="2"/>
            <w:sz w:val="24"/>
            <w:szCs w:val="24"/>
            <w:lang w:eastAsia="en-AU"/>
            <w14:ligatures w14:val="standardContextual"/>
          </w:rPr>
          <w:tab/>
        </w:r>
        <w:r w:rsidRPr="00A95F7C">
          <w:rPr>
            <w:rStyle w:val="Hyperlink"/>
          </w:rPr>
          <w:t>The CHPI IAP role</w:t>
        </w:r>
        <w:r>
          <w:rPr>
            <w:webHidden/>
          </w:rPr>
          <w:tab/>
        </w:r>
        <w:r>
          <w:rPr>
            <w:webHidden/>
          </w:rPr>
          <w:fldChar w:fldCharType="begin"/>
        </w:r>
        <w:r>
          <w:rPr>
            <w:webHidden/>
          </w:rPr>
          <w:instrText xml:space="preserve"> PAGEREF _Toc207868813 \h </w:instrText>
        </w:r>
        <w:r>
          <w:rPr>
            <w:webHidden/>
          </w:rPr>
        </w:r>
        <w:r>
          <w:rPr>
            <w:webHidden/>
          </w:rPr>
          <w:fldChar w:fldCharType="separate"/>
        </w:r>
        <w:r>
          <w:rPr>
            <w:webHidden/>
          </w:rPr>
          <w:t>15</w:t>
        </w:r>
        <w:r>
          <w:rPr>
            <w:webHidden/>
          </w:rPr>
          <w:fldChar w:fldCharType="end"/>
        </w:r>
      </w:hyperlink>
    </w:p>
    <w:p w14:paraId="42BB21A2" w14:textId="3EC638D5" w:rsidR="002878C9" w:rsidRDefault="002878C9">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7868814" w:history="1">
        <w:r w:rsidRPr="00A95F7C">
          <w:rPr>
            <w:rStyle w:val="Hyperlink"/>
          </w:rPr>
          <w:t>3.2</w:t>
        </w:r>
        <w:r>
          <w:rPr>
            <w:rFonts w:asciiTheme="minorHAnsi" w:eastAsiaTheme="minorEastAsia" w:hAnsiTheme="minorHAnsi" w:cstheme="minorBidi"/>
            <w:kern w:val="2"/>
            <w:sz w:val="24"/>
            <w:szCs w:val="24"/>
            <w:lang w:eastAsia="en-AU"/>
            <w14:ligatures w14:val="standardContextual"/>
          </w:rPr>
          <w:tab/>
        </w:r>
        <w:r w:rsidRPr="00A95F7C">
          <w:rPr>
            <w:rStyle w:val="Hyperlink"/>
          </w:rPr>
          <w:t>Brokerage</w:t>
        </w:r>
        <w:r>
          <w:rPr>
            <w:webHidden/>
          </w:rPr>
          <w:tab/>
        </w:r>
        <w:r>
          <w:rPr>
            <w:webHidden/>
          </w:rPr>
          <w:fldChar w:fldCharType="begin"/>
        </w:r>
        <w:r>
          <w:rPr>
            <w:webHidden/>
          </w:rPr>
          <w:instrText xml:space="preserve"> PAGEREF _Toc207868814 \h </w:instrText>
        </w:r>
        <w:r>
          <w:rPr>
            <w:webHidden/>
          </w:rPr>
        </w:r>
        <w:r>
          <w:rPr>
            <w:webHidden/>
          </w:rPr>
          <w:fldChar w:fldCharType="separate"/>
        </w:r>
        <w:r>
          <w:rPr>
            <w:webHidden/>
          </w:rPr>
          <w:t>17</w:t>
        </w:r>
        <w:r>
          <w:rPr>
            <w:webHidden/>
          </w:rPr>
          <w:fldChar w:fldCharType="end"/>
        </w:r>
      </w:hyperlink>
    </w:p>
    <w:p w14:paraId="20060BDC" w14:textId="0945D6DF" w:rsidR="002878C9" w:rsidRDefault="002878C9">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7868815" w:history="1">
        <w:r w:rsidRPr="00A95F7C">
          <w:rPr>
            <w:rStyle w:val="Hyperlink"/>
          </w:rPr>
          <w:t>3.3</w:t>
        </w:r>
        <w:r>
          <w:rPr>
            <w:rFonts w:asciiTheme="minorHAnsi" w:eastAsiaTheme="minorEastAsia" w:hAnsiTheme="minorHAnsi" w:cstheme="minorBidi"/>
            <w:kern w:val="2"/>
            <w:sz w:val="24"/>
            <w:szCs w:val="24"/>
            <w:lang w:eastAsia="en-AU"/>
            <w14:ligatures w14:val="standardContextual"/>
          </w:rPr>
          <w:tab/>
        </w:r>
        <w:r w:rsidRPr="00A95F7C">
          <w:rPr>
            <w:rStyle w:val="Hyperlink"/>
          </w:rPr>
          <w:t>Working environment</w:t>
        </w:r>
        <w:r>
          <w:rPr>
            <w:webHidden/>
          </w:rPr>
          <w:tab/>
        </w:r>
        <w:r>
          <w:rPr>
            <w:webHidden/>
          </w:rPr>
          <w:fldChar w:fldCharType="begin"/>
        </w:r>
        <w:r>
          <w:rPr>
            <w:webHidden/>
          </w:rPr>
          <w:instrText xml:space="preserve"> PAGEREF _Toc207868815 \h </w:instrText>
        </w:r>
        <w:r>
          <w:rPr>
            <w:webHidden/>
          </w:rPr>
        </w:r>
        <w:r>
          <w:rPr>
            <w:webHidden/>
          </w:rPr>
          <w:fldChar w:fldCharType="separate"/>
        </w:r>
        <w:r>
          <w:rPr>
            <w:webHidden/>
          </w:rPr>
          <w:t>18</w:t>
        </w:r>
        <w:r>
          <w:rPr>
            <w:webHidden/>
          </w:rPr>
          <w:fldChar w:fldCharType="end"/>
        </w:r>
      </w:hyperlink>
    </w:p>
    <w:p w14:paraId="2301BFC1" w14:textId="556C4A78" w:rsidR="002878C9" w:rsidRDefault="002878C9">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7868816" w:history="1">
        <w:r w:rsidRPr="00A95F7C">
          <w:rPr>
            <w:rStyle w:val="Hyperlink"/>
          </w:rPr>
          <w:t>3.4</w:t>
        </w:r>
        <w:r>
          <w:rPr>
            <w:rFonts w:asciiTheme="minorHAnsi" w:eastAsiaTheme="minorEastAsia" w:hAnsiTheme="minorHAnsi" w:cstheme="minorBidi"/>
            <w:kern w:val="2"/>
            <w:sz w:val="24"/>
            <w:szCs w:val="24"/>
            <w:lang w:eastAsia="en-AU"/>
            <w14:ligatures w14:val="standardContextual"/>
          </w:rPr>
          <w:tab/>
        </w:r>
        <w:r w:rsidRPr="00A95F7C">
          <w:rPr>
            <w:rStyle w:val="Hyperlink"/>
          </w:rPr>
          <w:t>Culturally appropriate service</w:t>
        </w:r>
        <w:r>
          <w:rPr>
            <w:webHidden/>
          </w:rPr>
          <w:tab/>
        </w:r>
        <w:r>
          <w:rPr>
            <w:webHidden/>
          </w:rPr>
          <w:fldChar w:fldCharType="begin"/>
        </w:r>
        <w:r>
          <w:rPr>
            <w:webHidden/>
          </w:rPr>
          <w:instrText xml:space="preserve"> PAGEREF _Toc207868816 \h </w:instrText>
        </w:r>
        <w:r>
          <w:rPr>
            <w:webHidden/>
          </w:rPr>
        </w:r>
        <w:r>
          <w:rPr>
            <w:webHidden/>
          </w:rPr>
          <w:fldChar w:fldCharType="separate"/>
        </w:r>
        <w:r>
          <w:rPr>
            <w:webHidden/>
          </w:rPr>
          <w:t>19</w:t>
        </w:r>
        <w:r>
          <w:rPr>
            <w:webHidden/>
          </w:rPr>
          <w:fldChar w:fldCharType="end"/>
        </w:r>
      </w:hyperlink>
    </w:p>
    <w:p w14:paraId="152617DF" w14:textId="42B998F4" w:rsidR="002878C9" w:rsidRDefault="002878C9">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07868817" w:history="1">
        <w:r w:rsidRPr="00A95F7C">
          <w:rPr>
            <w:rStyle w:val="Hyperlink"/>
          </w:rPr>
          <w:t>4</w:t>
        </w:r>
        <w:r>
          <w:rPr>
            <w:rFonts w:asciiTheme="minorHAnsi" w:eastAsiaTheme="minorEastAsia" w:hAnsiTheme="minorHAnsi" w:cstheme="minorBidi"/>
            <w:b w:val="0"/>
            <w:kern w:val="2"/>
            <w:sz w:val="24"/>
            <w:szCs w:val="24"/>
            <w:lang w:eastAsia="en-AU"/>
            <w14:ligatures w14:val="standardContextual"/>
          </w:rPr>
          <w:tab/>
        </w:r>
        <w:r w:rsidRPr="00A95F7C">
          <w:rPr>
            <w:rStyle w:val="Hyperlink"/>
          </w:rPr>
          <w:t>Data collection and reporting</w:t>
        </w:r>
        <w:r>
          <w:rPr>
            <w:webHidden/>
          </w:rPr>
          <w:tab/>
        </w:r>
        <w:r>
          <w:rPr>
            <w:webHidden/>
          </w:rPr>
          <w:fldChar w:fldCharType="begin"/>
        </w:r>
        <w:r>
          <w:rPr>
            <w:webHidden/>
          </w:rPr>
          <w:instrText xml:space="preserve"> PAGEREF _Toc207868817 \h </w:instrText>
        </w:r>
        <w:r>
          <w:rPr>
            <w:webHidden/>
          </w:rPr>
        </w:r>
        <w:r>
          <w:rPr>
            <w:webHidden/>
          </w:rPr>
          <w:fldChar w:fldCharType="separate"/>
        </w:r>
        <w:r>
          <w:rPr>
            <w:webHidden/>
          </w:rPr>
          <w:t>19</w:t>
        </w:r>
        <w:r>
          <w:rPr>
            <w:webHidden/>
          </w:rPr>
          <w:fldChar w:fldCharType="end"/>
        </w:r>
      </w:hyperlink>
    </w:p>
    <w:p w14:paraId="716E87CC" w14:textId="243D6928" w:rsidR="002878C9" w:rsidRDefault="002878C9">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7868818" w:history="1">
        <w:r w:rsidRPr="00A95F7C">
          <w:rPr>
            <w:rStyle w:val="Hyperlink"/>
          </w:rPr>
          <w:t>4.1</w:t>
        </w:r>
        <w:r>
          <w:rPr>
            <w:rFonts w:asciiTheme="minorHAnsi" w:eastAsiaTheme="minorEastAsia" w:hAnsiTheme="minorHAnsi" w:cstheme="minorBidi"/>
            <w:kern w:val="2"/>
            <w:sz w:val="24"/>
            <w:szCs w:val="24"/>
            <w:lang w:eastAsia="en-AU"/>
            <w14:ligatures w14:val="standardContextual"/>
          </w:rPr>
          <w:tab/>
        </w:r>
        <w:r w:rsidRPr="00A95F7C">
          <w:rPr>
            <w:rStyle w:val="Hyperlink"/>
          </w:rPr>
          <w:t>Reporting</w:t>
        </w:r>
        <w:r>
          <w:rPr>
            <w:webHidden/>
          </w:rPr>
          <w:tab/>
        </w:r>
        <w:r>
          <w:rPr>
            <w:webHidden/>
          </w:rPr>
          <w:fldChar w:fldCharType="begin"/>
        </w:r>
        <w:r>
          <w:rPr>
            <w:webHidden/>
          </w:rPr>
          <w:instrText xml:space="preserve"> PAGEREF _Toc207868818 \h </w:instrText>
        </w:r>
        <w:r>
          <w:rPr>
            <w:webHidden/>
          </w:rPr>
        </w:r>
        <w:r>
          <w:rPr>
            <w:webHidden/>
          </w:rPr>
          <w:fldChar w:fldCharType="separate"/>
        </w:r>
        <w:r>
          <w:rPr>
            <w:webHidden/>
          </w:rPr>
          <w:t>19</w:t>
        </w:r>
        <w:r>
          <w:rPr>
            <w:webHidden/>
          </w:rPr>
          <w:fldChar w:fldCharType="end"/>
        </w:r>
      </w:hyperlink>
    </w:p>
    <w:p w14:paraId="385C8962" w14:textId="5D082AF8" w:rsidR="002878C9" w:rsidRDefault="002878C9">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7868819" w:history="1">
        <w:r w:rsidRPr="00A95F7C">
          <w:rPr>
            <w:rStyle w:val="Hyperlink"/>
          </w:rPr>
          <w:t>4.2</w:t>
        </w:r>
        <w:r>
          <w:rPr>
            <w:rFonts w:asciiTheme="minorHAnsi" w:eastAsiaTheme="minorEastAsia" w:hAnsiTheme="minorHAnsi" w:cstheme="minorBidi"/>
            <w:kern w:val="2"/>
            <w:sz w:val="24"/>
            <w:szCs w:val="24"/>
            <w:lang w:eastAsia="en-AU"/>
            <w14:ligatures w14:val="standardContextual"/>
          </w:rPr>
          <w:tab/>
        </w:r>
        <w:r w:rsidRPr="00A95F7C">
          <w:rPr>
            <w:rStyle w:val="Hyperlink"/>
          </w:rPr>
          <w:t>Financial acquittal</w:t>
        </w:r>
        <w:r>
          <w:rPr>
            <w:webHidden/>
          </w:rPr>
          <w:tab/>
        </w:r>
        <w:r>
          <w:rPr>
            <w:webHidden/>
          </w:rPr>
          <w:fldChar w:fldCharType="begin"/>
        </w:r>
        <w:r>
          <w:rPr>
            <w:webHidden/>
          </w:rPr>
          <w:instrText xml:space="preserve"> PAGEREF _Toc207868819 \h </w:instrText>
        </w:r>
        <w:r>
          <w:rPr>
            <w:webHidden/>
          </w:rPr>
        </w:r>
        <w:r>
          <w:rPr>
            <w:webHidden/>
          </w:rPr>
          <w:fldChar w:fldCharType="separate"/>
        </w:r>
        <w:r>
          <w:rPr>
            <w:webHidden/>
          </w:rPr>
          <w:t>20</w:t>
        </w:r>
        <w:r>
          <w:rPr>
            <w:webHidden/>
          </w:rPr>
          <w:fldChar w:fldCharType="end"/>
        </w:r>
      </w:hyperlink>
    </w:p>
    <w:p w14:paraId="510F3A36" w14:textId="53A8776E" w:rsidR="002878C9" w:rsidRDefault="002878C9">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07868820" w:history="1">
        <w:r w:rsidRPr="00A95F7C">
          <w:rPr>
            <w:rStyle w:val="Hyperlink"/>
          </w:rPr>
          <w:t>5</w:t>
        </w:r>
        <w:r>
          <w:rPr>
            <w:rFonts w:asciiTheme="minorHAnsi" w:eastAsiaTheme="minorEastAsia" w:hAnsiTheme="minorHAnsi" w:cstheme="minorBidi"/>
            <w:b w:val="0"/>
            <w:kern w:val="2"/>
            <w:sz w:val="24"/>
            <w:szCs w:val="24"/>
            <w:lang w:eastAsia="en-AU"/>
            <w14:ligatures w14:val="standardContextual"/>
          </w:rPr>
          <w:tab/>
        </w:r>
        <w:r w:rsidRPr="00A95F7C">
          <w:rPr>
            <w:rStyle w:val="Hyperlink"/>
          </w:rPr>
          <w:t>Governance</w:t>
        </w:r>
        <w:r>
          <w:rPr>
            <w:webHidden/>
          </w:rPr>
          <w:tab/>
        </w:r>
        <w:r>
          <w:rPr>
            <w:webHidden/>
          </w:rPr>
          <w:fldChar w:fldCharType="begin"/>
        </w:r>
        <w:r>
          <w:rPr>
            <w:webHidden/>
          </w:rPr>
          <w:instrText xml:space="preserve"> PAGEREF _Toc207868820 \h </w:instrText>
        </w:r>
        <w:r>
          <w:rPr>
            <w:webHidden/>
          </w:rPr>
        </w:r>
        <w:r>
          <w:rPr>
            <w:webHidden/>
          </w:rPr>
          <w:fldChar w:fldCharType="separate"/>
        </w:r>
        <w:r>
          <w:rPr>
            <w:webHidden/>
          </w:rPr>
          <w:t>20</w:t>
        </w:r>
        <w:r>
          <w:rPr>
            <w:webHidden/>
          </w:rPr>
          <w:fldChar w:fldCharType="end"/>
        </w:r>
      </w:hyperlink>
    </w:p>
    <w:p w14:paraId="5038F9A4" w14:textId="2B774D45" w:rsidR="002878C9" w:rsidRDefault="002878C9">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7868821" w:history="1">
        <w:r w:rsidRPr="00A95F7C">
          <w:rPr>
            <w:rStyle w:val="Hyperlink"/>
          </w:rPr>
          <w:t>5.1</w:t>
        </w:r>
        <w:r>
          <w:rPr>
            <w:rFonts w:asciiTheme="minorHAnsi" w:eastAsiaTheme="minorEastAsia" w:hAnsiTheme="minorHAnsi" w:cstheme="minorBidi"/>
            <w:kern w:val="2"/>
            <w:sz w:val="24"/>
            <w:szCs w:val="24"/>
            <w:lang w:eastAsia="en-AU"/>
            <w14:ligatures w14:val="standardContextual"/>
          </w:rPr>
          <w:tab/>
        </w:r>
        <w:r w:rsidRPr="00A95F7C">
          <w:rPr>
            <w:rStyle w:val="Hyperlink"/>
          </w:rPr>
          <w:t>Role of DFFH</w:t>
        </w:r>
        <w:r>
          <w:rPr>
            <w:webHidden/>
          </w:rPr>
          <w:tab/>
        </w:r>
        <w:r>
          <w:rPr>
            <w:webHidden/>
          </w:rPr>
          <w:fldChar w:fldCharType="begin"/>
        </w:r>
        <w:r>
          <w:rPr>
            <w:webHidden/>
          </w:rPr>
          <w:instrText xml:space="preserve"> PAGEREF _Toc207868821 \h </w:instrText>
        </w:r>
        <w:r>
          <w:rPr>
            <w:webHidden/>
          </w:rPr>
        </w:r>
        <w:r>
          <w:rPr>
            <w:webHidden/>
          </w:rPr>
          <w:fldChar w:fldCharType="separate"/>
        </w:r>
        <w:r>
          <w:rPr>
            <w:webHidden/>
          </w:rPr>
          <w:t>20</w:t>
        </w:r>
        <w:r>
          <w:rPr>
            <w:webHidden/>
          </w:rPr>
          <w:fldChar w:fldCharType="end"/>
        </w:r>
      </w:hyperlink>
    </w:p>
    <w:p w14:paraId="34CDE21E" w14:textId="0999F978" w:rsidR="002878C9" w:rsidRDefault="002878C9">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7868822" w:history="1">
        <w:r w:rsidRPr="00A95F7C">
          <w:rPr>
            <w:rStyle w:val="Hyperlink"/>
          </w:rPr>
          <w:t>5.2</w:t>
        </w:r>
        <w:r>
          <w:rPr>
            <w:rFonts w:asciiTheme="minorHAnsi" w:eastAsiaTheme="minorEastAsia" w:hAnsiTheme="minorHAnsi" w:cstheme="minorBidi"/>
            <w:kern w:val="2"/>
            <w:sz w:val="24"/>
            <w:szCs w:val="24"/>
            <w:lang w:eastAsia="en-AU"/>
            <w14:ligatures w14:val="standardContextual"/>
          </w:rPr>
          <w:tab/>
        </w:r>
        <w:r w:rsidRPr="00A95F7C">
          <w:rPr>
            <w:rStyle w:val="Hyperlink"/>
          </w:rPr>
          <w:t>Role of CV Transition and Reintegration Unit</w:t>
        </w:r>
        <w:r>
          <w:rPr>
            <w:webHidden/>
          </w:rPr>
          <w:tab/>
        </w:r>
        <w:r>
          <w:rPr>
            <w:webHidden/>
          </w:rPr>
          <w:fldChar w:fldCharType="begin"/>
        </w:r>
        <w:r>
          <w:rPr>
            <w:webHidden/>
          </w:rPr>
          <w:instrText xml:space="preserve"> PAGEREF _Toc207868822 \h </w:instrText>
        </w:r>
        <w:r>
          <w:rPr>
            <w:webHidden/>
          </w:rPr>
        </w:r>
        <w:r>
          <w:rPr>
            <w:webHidden/>
          </w:rPr>
          <w:fldChar w:fldCharType="separate"/>
        </w:r>
        <w:r>
          <w:rPr>
            <w:webHidden/>
          </w:rPr>
          <w:t>21</w:t>
        </w:r>
        <w:r>
          <w:rPr>
            <w:webHidden/>
          </w:rPr>
          <w:fldChar w:fldCharType="end"/>
        </w:r>
      </w:hyperlink>
    </w:p>
    <w:p w14:paraId="5968750F" w14:textId="01D5BD8C" w:rsidR="002878C9" w:rsidRDefault="002878C9">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207868823" w:history="1">
        <w:r w:rsidRPr="00A95F7C">
          <w:rPr>
            <w:rStyle w:val="Hyperlink"/>
          </w:rPr>
          <w:t>5.3</w:t>
        </w:r>
        <w:r>
          <w:rPr>
            <w:rFonts w:asciiTheme="minorHAnsi" w:eastAsiaTheme="minorEastAsia" w:hAnsiTheme="minorHAnsi" w:cstheme="minorBidi"/>
            <w:kern w:val="2"/>
            <w:sz w:val="24"/>
            <w:szCs w:val="24"/>
            <w:lang w:eastAsia="en-AU"/>
            <w14:ligatures w14:val="standardContextual"/>
          </w:rPr>
          <w:tab/>
        </w:r>
        <w:r w:rsidRPr="00A95F7C">
          <w:rPr>
            <w:rStyle w:val="Hyperlink"/>
          </w:rPr>
          <w:t>Corrections Housing Pathways Initiative Network</w:t>
        </w:r>
        <w:r>
          <w:rPr>
            <w:webHidden/>
          </w:rPr>
          <w:tab/>
        </w:r>
        <w:r>
          <w:rPr>
            <w:webHidden/>
          </w:rPr>
          <w:fldChar w:fldCharType="begin"/>
        </w:r>
        <w:r>
          <w:rPr>
            <w:webHidden/>
          </w:rPr>
          <w:instrText xml:space="preserve"> PAGEREF _Toc207868823 \h </w:instrText>
        </w:r>
        <w:r>
          <w:rPr>
            <w:webHidden/>
          </w:rPr>
        </w:r>
        <w:r>
          <w:rPr>
            <w:webHidden/>
          </w:rPr>
          <w:fldChar w:fldCharType="separate"/>
        </w:r>
        <w:r>
          <w:rPr>
            <w:webHidden/>
          </w:rPr>
          <w:t>21</w:t>
        </w:r>
        <w:r>
          <w:rPr>
            <w:webHidden/>
          </w:rPr>
          <w:fldChar w:fldCharType="end"/>
        </w:r>
      </w:hyperlink>
    </w:p>
    <w:p w14:paraId="175FAA53" w14:textId="3462287D" w:rsidR="002878C9" w:rsidRDefault="002878C9">
      <w:pPr>
        <w:pStyle w:val="TOC1"/>
        <w:rPr>
          <w:rFonts w:asciiTheme="minorHAnsi" w:eastAsiaTheme="minorEastAsia" w:hAnsiTheme="minorHAnsi" w:cstheme="minorBidi"/>
          <w:b w:val="0"/>
          <w:kern w:val="2"/>
          <w:sz w:val="24"/>
          <w:szCs w:val="24"/>
          <w:lang w:eastAsia="en-AU"/>
          <w14:ligatures w14:val="standardContextual"/>
        </w:rPr>
      </w:pPr>
      <w:hyperlink w:anchor="_Toc207868824" w:history="1">
        <w:r w:rsidRPr="00A95F7C">
          <w:rPr>
            <w:rStyle w:val="Hyperlink"/>
          </w:rPr>
          <w:t>Appendix 1 – Reintegration Assessment, ReGroup, ReConnect, ReLink and ReStart</w:t>
        </w:r>
        <w:r>
          <w:rPr>
            <w:webHidden/>
          </w:rPr>
          <w:tab/>
        </w:r>
        <w:r>
          <w:rPr>
            <w:webHidden/>
          </w:rPr>
          <w:fldChar w:fldCharType="begin"/>
        </w:r>
        <w:r>
          <w:rPr>
            <w:webHidden/>
          </w:rPr>
          <w:instrText xml:space="preserve"> PAGEREF _Toc207868824 \h </w:instrText>
        </w:r>
        <w:r>
          <w:rPr>
            <w:webHidden/>
          </w:rPr>
        </w:r>
        <w:r>
          <w:rPr>
            <w:webHidden/>
          </w:rPr>
          <w:fldChar w:fldCharType="separate"/>
        </w:r>
        <w:r>
          <w:rPr>
            <w:webHidden/>
          </w:rPr>
          <w:t>23</w:t>
        </w:r>
        <w:r>
          <w:rPr>
            <w:webHidden/>
          </w:rPr>
          <w:fldChar w:fldCharType="end"/>
        </w:r>
      </w:hyperlink>
    </w:p>
    <w:p w14:paraId="4C15FEE1" w14:textId="1646F1ED" w:rsidR="002878C9" w:rsidRDefault="002878C9">
      <w:pPr>
        <w:pStyle w:val="TOC2"/>
        <w:rPr>
          <w:rFonts w:asciiTheme="minorHAnsi" w:eastAsiaTheme="minorEastAsia" w:hAnsiTheme="minorHAnsi" w:cstheme="minorBidi"/>
          <w:kern w:val="2"/>
          <w:sz w:val="24"/>
          <w:szCs w:val="24"/>
          <w:lang w:eastAsia="en-AU"/>
          <w14:ligatures w14:val="standardContextual"/>
        </w:rPr>
      </w:pPr>
      <w:hyperlink w:anchor="_Toc207868825" w:history="1">
        <w:r w:rsidRPr="00A95F7C">
          <w:rPr>
            <w:rStyle w:val="Hyperlink"/>
          </w:rPr>
          <w:t>Receptions Transition Triage</w:t>
        </w:r>
        <w:r>
          <w:rPr>
            <w:webHidden/>
          </w:rPr>
          <w:tab/>
        </w:r>
        <w:r>
          <w:rPr>
            <w:webHidden/>
          </w:rPr>
          <w:fldChar w:fldCharType="begin"/>
        </w:r>
        <w:r>
          <w:rPr>
            <w:webHidden/>
          </w:rPr>
          <w:instrText xml:space="preserve"> PAGEREF _Toc207868825 \h </w:instrText>
        </w:r>
        <w:r>
          <w:rPr>
            <w:webHidden/>
          </w:rPr>
        </w:r>
        <w:r>
          <w:rPr>
            <w:webHidden/>
          </w:rPr>
          <w:fldChar w:fldCharType="separate"/>
        </w:r>
        <w:r>
          <w:rPr>
            <w:webHidden/>
          </w:rPr>
          <w:t>23</w:t>
        </w:r>
        <w:r>
          <w:rPr>
            <w:webHidden/>
          </w:rPr>
          <w:fldChar w:fldCharType="end"/>
        </w:r>
      </w:hyperlink>
    </w:p>
    <w:p w14:paraId="02DFD795" w14:textId="505FCDD9" w:rsidR="002878C9" w:rsidRDefault="002878C9">
      <w:pPr>
        <w:pStyle w:val="TOC2"/>
        <w:rPr>
          <w:rFonts w:asciiTheme="minorHAnsi" w:eastAsiaTheme="minorEastAsia" w:hAnsiTheme="minorHAnsi" w:cstheme="minorBidi"/>
          <w:kern w:val="2"/>
          <w:sz w:val="24"/>
          <w:szCs w:val="24"/>
          <w:lang w:eastAsia="en-AU"/>
          <w14:ligatures w14:val="standardContextual"/>
        </w:rPr>
      </w:pPr>
      <w:hyperlink w:anchor="_Toc207868826" w:history="1">
        <w:r w:rsidRPr="00A95F7C">
          <w:rPr>
            <w:rStyle w:val="Hyperlink"/>
          </w:rPr>
          <w:t>Case Planning Transition</w:t>
        </w:r>
        <w:r>
          <w:rPr>
            <w:webHidden/>
          </w:rPr>
          <w:tab/>
        </w:r>
        <w:r>
          <w:rPr>
            <w:webHidden/>
          </w:rPr>
          <w:fldChar w:fldCharType="begin"/>
        </w:r>
        <w:r>
          <w:rPr>
            <w:webHidden/>
          </w:rPr>
          <w:instrText xml:space="preserve"> PAGEREF _Toc207868826 \h </w:instrText>
        </w:r>
        <w:r>
          <w:rPr>
            <w:webHidden/>
          </w:rPr>
        </w:r>
        <w:r>
          <w:rPr>
            <w:webHidden/>
          </w:rPr>
          <w:fldChar w:fldCharType="separate"/>
        </w:r>
        <w:r>
          <w:rPr>
            <w:webHidden/>
          </w:rPr>
          <w:t>23</w:t>
        </w:r>
        <w:r>
          <w:rPr>
            <w:webHidden/>
          </w:rPr>
          <w:fldChar w:fldCharType="end"/>
        </w:r>
      </w:hyperlink>
    </w:p>
    <w:p w14:paraId="605E1A70" w14:textId="02CA0942" w:rsidR="002878C9" w:rsidRDefault="002878C9">
      <w:pPr>
        <w:pStyle w:val="TOC2"/>
        <w:rPr>
          <w:rFonts w:asciiTheme="minorHAnsi" w:eastAsiaTheme="minorEastAsia" w:hAnsiTheme="minorHAnsi" w:cstheme="minorBidi"/>
          <w:kern w:val="2"/>
          <w:sz w:val="24"/>
          <w:szCs w:val="24"/>
          <w:lang w:eastAsia="en-AU"/>
          <w14:ligatures w14:val="standardContextual"/>
        </w:rPr>
      </w:pPr>
      <w:hyperlink w:anchor="_Toc207868827" w:history="1">
        <w:r w:rsidRPr="00A95F7C">
          <w:rPr>
            <w:rStyle w:val="Hyperlink"/>
          </w:rPr>
          <w:t>ReGroup</w:t>
        </w:r>
        <w:r>
          <w:rPr>
            <w:webHidden/>
          </w:rPr>
          <w:tab/>
        </w:r>
        <w:r>
          <w:rPr>
            <w:webHidden/>
          </w:rPr>
          <w:fldChar w:fldCharType="begin"/>
        </w:r>
        <w:r>
          <w:rPr>
            <w:webHidden/>
          </w:rPr>
          <w:instrText xml:space="preserve"> PAGEREF _Toc207868827 \h </w:instrText>
        </w:r>
        <w:r>
          <w:rPr>
            <w:webHidden/>
          </w:rPr>
        </w:r>
        <w:r>
          <w:rPr>
            <w:webHidden/>
          </w:rPr>
          <w:fldChar w:fldCharType="separate"/>
        </w:r>
        <w:r>
          <w:rPr>
            <w:webHidden/>
          </w:rPr>
          <w:t>23</w:t>
        </w:r>
        <w:r>
          <w:rPr>
            <w:webHidden/>
          </w:rPr>
          <w:fldChar w:fldCharType="end"/>
        </w:r>
      </w:hyperlink>
    </w:p>
    <w:p w14:paraId="15291415" w14:textId="5E1153A8" w:rsidR="002878C9" w:rsidRDefault="002878C9">
      <w:pPr>
        <w:pStyle w:val="TOC2"/>
        <w:rPr>
          <w:rFonts w:asciiTheme="minorHAnsi" w:eastAsiaTheme="minorEastAsia" w:hAnsiTheme="minorHAnsi" w:cstheme="minorBidi"/>
          <w:kern w:val="2"/>
          <w:sz w:val="24"/>
          <w:szCs w:val="24"/>
          <w:lang w:eastAsia="en-AU"/>
          <w14:ligatures w14:val="standardContextual"/>
        </w:rPr>
      </w:pPr>
      <w:hyperlink w:anchor="_Toc207868828" w:history="1">
        <w:r w:rsidRPr="00A95F7C">
          <w:rPr>
            <w:rStyle w:val="Hyperlink"/>
          </w:rPr>
          <w:t>ReConnect</w:t>
        </w:r>
        <w:r>
          <w:rPr>
            <w:webHidden/>
          </w:rPr>
          <w:tab/>
        </w:r>
        <w:r>
          <w:rPr>
            <w:webHidden/>
          </w:rPr>
          <w:fldChar w:fldCharType="begin"/>
        </w:r>
        <w:r>
          <w:rPr>
            <w:webHidden/>
          </w:rPr>
          <w:instrText xml:space="preserve"> PAGEREF _Toc207868828 \h </w:instrText>
        </w:r>
        <w:r>
          <w:rPr>
            <w:webHidden/>
          </w:rPr>
        </w:r>
        <w:r>
          <w:rPr>
            <w:webHidden/>
          </w:rPr>
          <w:fldChar w:fldCharType="separate"/>
        </w:r>
        <w:r>
          <w:rPr>
            <w:webHidden/>
          </w:rPr>
          <w:t>24</w:t>
        </w:r>
        <w:r>
          <w:rPr>
            <w:webHidden/>
          </w:rPr>
          <w:fldChar w:fldCharType="end"/>
        </w:r>
      </w:hyperlink>
    </w:p>
    <w:p w14:paraId="63F4287E" w14:textId="32951539" w:rsidR="002878C9" w:rsidRDefault="002878C9">
      <w:pPr>
        <w:pStyle w:val="TOC2"/>
        <w:rPr>
          <w:rFonts w:asciiTheme="minorHAnsi" w:eastAsiaTheme="minorEastAsia" w:hAnsiTheme="minorHAnsi" w:cstheme="minorBidi"/>
          <w:kern w:val="2"/>
          <w:sz w:val="24"/>
          <w:szCs w:val="24"/>
          <w:lang w:eastAsia="en-AU"/>
          <w14:ligatures w14:val="standardContextual"/>
        </w:rPr>
      </w:pPr>
      <w:hyperlink w:anchor="_Toc207868829" w:history="1">
        <w:r w:rsidRPr="00A95F7C">
          <w:rPr>
            <w:rStyle w:val="Hyperlink"/>
          </w:rPr>
          <w:t>ReLink</w:t>
        </w:r>
        <w:r>
          <w:rPr>
            <w:webHidden/>
          </w:rPr>
          <w:tab/>
        </w:r>
        <w:r>
          <w:rPr>
            <w:webHidden/>
          </w:rPr>
          <w:fldChar w:fldCharType="begin"/>
        </w:r>
        <w:r>
          <w:rPr>
            <w:webHidden/>
          </w:rPr>
          <w:instrText xml:space="preserve"> PAGEREF _Toc207868829 \h </w:instrText>
        </w:r>
        <w:r>
          <w:rPr>
            <w:webHidden/>
          </w:rPr>
        </w:r>
        <w:r>
          <w:rPr>
            <w:webHidden/>
          </w:rPr>
          <w:fldChar w:fldCharType="separate"/>
        </w:r>
        <w:r>
          <w:rPr>
            <w:webHidden/>
          </w:rPr>
          <w:t>24</w:t>
        </w:r>
        <w:r>
          <w:rPr>
            <w:webHidden/>
          </w:rPr>
          <w:fldChar w:fldCharType="end"/>
        </w:r>
      </w:hyperlink>
    </w:p>
    <w:p w14:paraId="28C252D3" w14:textId="1172FBDA" w:rsidR="002878C9" w:rsidRDefault="002878C9">
      <w:pPr>
        <w:pStyle w:val="TOC2"/>
        <w:rPr>
          <w:rFonts w:asciiTheme="minorHAnsi" w:eastAsiaTheme="minorEastAsia" w:hAnsiTheme="minorHAnsi" w:cstheme="minorBidi"/>
          <w:kern w:val="2"/>
          <w:sz w:val="24"/>
          <w:szCs w:val="24"/>
          <w:lang w:eastAsia="en-AU"/>
          <w14:ligatures w14:val="standardContextual"/>
        </w:rPr>
      </w:pPr>
      <w:hyperlink w:anchor="_Toc207868830" w:history="1">
        <w:r w:rsidRPr="00A95F7C">
          <w:rPr>
            <w:rStyle w:val="Hyperlink"/>
          </w:rPr>
          <w:t>ReStart</w:t>
        </w:r>
        <w:r>
          <w:rPr>
            <w:webHidden/>
          </w:rPr>
          <w:tab/>
        </w:r>
        <w:r>
          <w:rPr>
            <w:webHidden/>
          </w:rPr>
          <w:fldChar w:fldCharType="begin"/>
        </w:r>
        <w:r>
          <w:rPr>
            <w:webHidden/>
          </w:rPr>
          <w:instrText xml:space="preserve"> PAGEREF _Toc207868830 \h </w:instrText>
        </w:r>
        <w:r>
          <w:rPr>
            <w:webHidden/>
          </w:rPr>
        </w:r>
        <w:r>
          <w:rPr>
            <w:webHidden/>
          </w:rPr>
          <w:fldChar w:fldCharType="separate"/>
        </w:r>
        <w:r>
          <w:rPr>
            <w:webHidden/>
          </w:rPr>
          <w:t>25</w:t>
        </w:r>
        <w:r>
          <w:rPr>
            <w:webHidden/>
          </w:rPr>
          <w:fldChar w:fldCharType="end"/>
        </w:r>
      </w:hyperlink>
    </w:p>
    <w:p w14:paraId="6E71D89D" w14:textId="41F03574" w:rsidR="00FB1F6E" w:rsidRDefault="005A0AC3" w:rsidP="00D079AA">
      <w:pPr>
        <w:pStyle w:val="Body"/>
      </w:pPr>
      <w:r>
        <w:rPr>
          <w:rFonts w:ascii="Avenir Heavy" w:eastAsia="Times New Roman" w:hAnsi="Avenir Heavy"/>
          <w:b/>
          <w:noProof/>
        </w:rPr>
        <w:fldChar w:fldCharType="end"/>
      </w:r>
    </w:p>
    <w:p w14:paraId="208FF486" w14:textId="5C8B953D" w:rsidR="00FB1F6E" w:rsidRPr="00954DE7" w:rsidRDefault="00FB1F6E" w:rsidP="00DD53B2">
      <w:pPr>
        <w:pStyle w:val="Body"/>
      </w:pPr>
      <w:r w:rsidRPr="00954DE7">
        <w:br w:type="page"/>
      </w:r>
    </w:p>
    <w:p w14:paraId="1D30D555" w14:textId="5FE616A0" w:rsidR="003B07CC" w:rsidRDefault="006D4E31" w:rsidP="006D4E31">
      <w:pPr>
        <w:pStyle w:val="Heading1Unnumbered"/>
      </w:pPr>
      <w:bookmarkStart w:id="2" w:name="_Toc207868806"/>
      <w:r w:rsidRPr="006D4E31">
        <w:lastRenderedPageBreak/>
        <w:t>Acronyms and abbreviations</w:t>
      </w:r>
      <w:bookmarkEnd w:id="2"/>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733"/>
      </w:tblGrid>
      <w:tr w:rsidR="00904DA9" w14:paraId="6A8F1D4D" w14:textId="77777777" w:rsidTr="001F4E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Borders>
              <w:bottom w:val="none" w:sz="0" w:space="0" w:color="auto"/>
              <w:right w:val="none" w:sz="0" w:space="0" w:color="auto"/>
            </w:tcBorders>
          </w:tcPr>
          <w:p w14:paraId="287101CF" w14:textId="48CCDBDB" w:rsidR="00904DA9" w:rsidRDefault="00904DA9" w:rsidP="00032A32">
            <w:pPr>
              <w:pStyle w:val="Tablecolhead"/>
            </w:pPr>
            <w:r w:rsidRPr="009A2EF6">
              <w:t>Acronyms and abbreviations</w:t>
            </w:r>
          </w:p>
        </w:tc>
        <w:tc>
          <w:tcPr>
            <w:tcW w:w="7733" w:type="dxa"/>
          </w:tcPr>
          <w:p w14:paraId="125F3C0B" w14:textId="761B311B" w:rsidR="00904DA9" w:rsidRDefault="00904DA9" w:rsidP="00032A32">
            <w:pPr>
              <w:pStyle w:val="Tablecolhead"/>
              <w:cnfStyle w:val="100000000000" w:firstRow="1" w:lastRow="0" w:firstColumn="0" w:lastColumn="0" w:oddVBand="0" w:evenVBand="0" w:oddHBand="0" w:evenHBand="0" w:firstRowFirstColumn="0" w:firstRowLastColumn="0" w:lastRowFirstColumn="0" w:lastRowLastColumn="0"/>
            </w:pPr>
            <w:r w:rsidRPr="009A2EF6">
              <w:t>Full name</w:t>
            </w:r>
          </w:p>
        </w:tc>
      </w:tr>
      <w:tr w:rsidR="00032A32" w14:paraId="677C58DC" w14:textId="77777777" w:rsidTr="001F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tcPr>
          <w:p w14:paraId="0F6412BB" w14:textId="6CDC4CA6" w:rsidR="00032A32" w:rsidRDefault="00032A32" w:rsidP="00032A32">
            <w:pPr>
              <w:pStyle w:val="Tabletext"/>
            </w:pPr>
            <w:r w:rsidRPr="00CA5321">
              <w:t>ACHPI</w:t>
            </w:r>
          </w:p>
        </w:tc>
        <w:tc>
          <w:tcPr>
            <w:tcW w:w="7733" w:type="dxa"/>
            <w:tcBorders>
              <w:top w:val="none" w:sz="0" w:space="0" w:color="auto"/>
              <w:bottom w:val="none" w:sz="0" w:space="0" w:color="auto"/>
            </w:tcBorders>
          </w:tcPr>
          <w:p w14:paraId="0D2F37CD" w14:textId="5A756401" w:rsidR="00032A32" w:rsidRDefault="00032A32" w:rsidP="00032A32">
            <w:pPr>
              <w:pStyle w:val="Tabletext"/>
              <w:cnfStyle w:val="000000100000" w:firstRow="0" w:lastRow="0" w:firstColumn="0" w:lastColumn="0" w:oddVBand="0" w:evenVBand="0" w:oddHBand="1" w:evenHBand="0" w:firstRowFirstColumn="0" w:firstRowLastColumn="0" w:lastRowFirstColumn="0" w:lastRowLastColumn="0"/>
            </w:pPr>
            <w:r w:rsidRPr="00CA5321">
              <w:t>Aboriginal Corrections Housing Pathways Initiative</w:t>
            </w:r>
          </w:p>
        </w:tc>
      </w:tr>
      <w:tr w:rsidR="00032A32" w14:paraId="5E47303A" w14:textId="77777777" w:rsidTr="001F4EAE">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tcPr>
          <w:p w14:paraId="2869E244" w14:textId="648A6330" w:rsidR="00032A32" w:rsidRDefault="00032A32" w:rsidP="00032A32">
            <w:pPr>
              <w:pStyle w:val="Tabletext"/>
            </w:pPr>
            <w:r w:rsidRPr="00CA5321">
              <w:t>APRAP</w:t>
            </w:r>
          </w:p>
        </w:tc>
        <w:tc>
          <w:tcPr>
            <w:tcW w:w="7733" w:type="dxa"/>
          </w:tcPr>
          <w:p w14:paraId="011A053A" w14:textId="2C0C06B3" w:rsidR="00032A32" w:rsidRDefault="00032A32" w:rsidP="00032A32">
            <w:pPr>
              <w:pStyle w:val="Tabletext"/>
              <w:cnfStyle w:val="000000000000" w:firstRow="0" w:lastRow="0" w:firstColumn="0" w:lastColumn="0" w:oddVBand="0" w:evenVBand="0" w:oddHBand="0" w:evenHBand="0" w:firstRowFirstColumn="0" w:firstRowLastColumn="0" w:lastRowFirstColumn="0" w:lastRowLastColumn="0"/>
            </w:pPr>
            <w:r w:rsidRPr="00CA5321">
              <w:t>Aboriginal Private Rental Assistance Program</w:t>
            </w:r>
          </w:p>
        </w:tc>
      </w:tr>
      <w:tr w:rsidR="00032A32" w14:paraId="1958353B" w14:textId="77777777" w:rsidTr="001F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tcPr>
          <w:p w14:paraId="6C11F6B6" w14:textId="6469C7D5" w:rsidR="00032A32" w:rsidRDefault="00032A32" w:rsidP="00032A32">
            <w:pPr>
              <w:pStyle w:val="Tabletext"/>
            </w:pPr>
            <w:r w:rsidRPr="00CA5321">
              <w:t>APSS</w:t>
            </w:r>
          </w:p>
        </w:tc>
        <w:tc>
          <w:tcPr>
            <w:tcW w:w="7733" w:type="dxa"/>
            <w:tcBorders>
              <w:top w:val="none" w:sz="0" w:space="0" w:color="auto"/>
              <w:bottom w:val="none" w:sz="0" w:space="0" w:color="auto"/>
            </w:tcBorders>
          </w:tcPr>
          <w:p w14:paraId="0832A107" w14:textId="4924292B" w:rsidR="00032A32" w:rsidRDefault="00032A32" w:rsidP="00032A32">
            <w:pPr>
              <w:pStyle w:val="Tabletext"/>
              <w:cnfStyle w:val="000000100000" w:firstRow="0" w:lastRow="0" w:firstColumn="0" w:lastColumn="0" w:oddVBand="0" w:evenVBand="0" w:oddHBand="1" w:evenHBand="0" w:firstRowFirstColumn="0" w:firstRowLastColumn="0" w:lastRowFirstColumn="0" w:lastRowLastColumn="0"/>
            </w:pPr>
            <w:r w:rsidRPr="00CA5321">
              <w:t>Agency Performance System Support</w:t>
            </w:r>
          </w:p>
        </w:tc>
      </w:tr>
      <w:tr w:rsidR="00032A32" w14:paraId="74B0BF9B" w14:textId="77777777" w:rsidTr="001F4EAE">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tcPr>
          <w:p w14:paraId="67FEC7F0" w14:textId="0B4C3AF4" w:rsidR="00032A32" w:rsidRDefault="00032A32" w:rsidP="00032A32">
            <w:pPr>
              <w:pStyle w:val="Tabletext"/>
            </w:pPr>
            <w:r w:rsidRPr="00CA5321">
              <w:t>ATC</w:t>
            </w:r>
          </w:p>
        </w:tc>
        <w:tc>
          <w:tcPr>
            <w:tcW w:w="7733" w:type="dxa"/>
          </w:tcPr>
          <w:p w14:paraId="3449222C" w14:textId="067E5E70" w:rsidR="00032A32" w:rsidRDefault="00032A32" w:rsidP="00032A32">
            <w:pPr>
              <w:pStyle w:val="Tabletext"/>
              <w:cnfStyle w:val="000000000000" w:firstRow="0" w:lastRow="0" w:firstColumn="0" w:lastColumn="0" w:oddVBand="0" w:evenVBand="0" w:oddHBand="0" w:evenHBand="0" w:firstRowFirstColumn="0" w:firstRowLastColumn="0" w:lastRowFirstColumn="0" w:lastRowLastColumn="0"/>
            </w:pPr>
            <w:r w:rsidRPr="00CA5321">
              <w:t>Assessment and Transition Coordinator</w:t>
            </w:r>
          </w:p>
        </w:tc>
      </w:tr>
      <w:tr w:rsidR="00032A32" w14:paraId="0632DD8B" w14:textId="77777777" w:rsidTr="001F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tcPr>
          <w:p w14:paraId="3BB3A468" w14:textId="38F9A037" w:rsidR="00032A32" w:rsidRDefault="00032A32" w:rsidP="00032A32">
            <w:pPr>
              <w:pStyle w:val="Tabletext"/>
            </w:pPr>
            <w:r w:rsidRPr="00CA5321">
              <w:t xml:space="preserve">CHP </w:t>
            </w:r>
          </w:p>
        </w:tc>
        <w:tc>
          <w:tcPr>
            <w:tcW w:w="7733" w:type="dxa"/>
            <w:tcBorders>
              <w:top w:val="none" w:sz="0" w:space="0" w:color="auto"/>
              <w:bottom w:val="none" w:sz="0" w:space="0" w:color="auto"/>
            </w:tcBorders>
          </w:tcPr>
          <w:p w14:paraId="75B6F070" w14:textId="5B843A4A" w:rsidR="00032A32" w:rsidRDefault="00032A32" w:rsidP="00032A32">
            <w:pPr>
              <w:pStyle w:val="Tabletext"/>
              <w:cnfStyle w:val="000000100000" w:firstRow="0" w:lastRow="0" w:firstColumn="0" w:lastColumn="0" w:oddVBand="0" w:evenVBand="0" w:oddHBand="1" w:evenHBand="0" w:firstRowFirstColumn="0" w:firstRowLastColumn="0" w:lastRowFirstColumn="0" w:lastRowLastColumn="0"/>
            </w:pPr>
            <w:r w:rsidRPr="00CA5321">
              <w:t xml:space="preserve">Council to Homeless Persons </w:t>
            </w:r>
          </w:p>
        </w:tc>
      </w:tr>
      <w:tr w:rsidR="00032A32" w14:paraId="4067535F" w14:textId="77777777" w:rsidTr="001F4EAE">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tcPr>
          <w:p w14:paraId="788B03AD" w14:textId="7ABD20B1" w:rsidR="00032A32" w:rsidRDefault="00032A32" w:rsidP="00032A32">
            <w:pPr>
              <w:pStyle w:val="Tabletext"/>
            </w:pPr>
            <w:r w:rsidRPr="00CA5321">
              <w:t xml:space="preserve">CHPI </w:t>
            </w:r>
          </w:p>
        </w:tc>
        <w:tc>
          <w:tcPr>
            <w:tcW w:w="7733" w:type="dxa"/>
          </w:tcPr>
          <w:p w14:paraId="0818F478" w14:textId="449C1126" w:rsidR="00032A32" w:rsidRDefault="00032A32" w:rsidP="00032A32">
            <w:pPr>
              <w:pStyle w:val="Tabletext"/>
              <w:cnfStyle w:val="000000000000" w:firstRow="0" w:lastRow="0" w:firstColumn="0" w:lastColumn="0" w:oddVBand="0" w:evenVBand="0" w:oddHBand="0" w:evenHBand="0" w:firstRowFirstColumn="0" w:firstRowLastColumn="0" w:lastRowFirstColumn="0" w:lastRowLastColumn="0"/>
            </w:pPr>
            <w:r w:rsidRPr="00CA5321">
              <w:t xml:space="preserve">Corrections Housing Pathways Initiative </w:t>
            </w:r>
          </w:p>
        </w:tc>
      </w:tr>
      <w:tr w:rsidR="00032A32" w14:paraId="07DA204C" w14:textId="77777777" w:rsidTr="001F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tcPr>
          <w:p w14:paraId="2E1F2BC4" w14:textId="324AB98B" w:rsidR="00032A32" w:rsidRDefault="00032A32" w:rsidP="00032A32">
            <w:pPr>
              <w:pStyle w:val="Tabletext"/>
            </w:pPr>
            <w:r w:rsidRPr="00CA5321">
              <w:t>CHPI Network</w:t>
            </w:r>
          </w:p>
        </w:tc>
        <w:tc>
          <w:tcPr>
            <w:tcW w:w="7733" w:type="dxa"/>
            <w:tcBorders>
              <w:top w:val="none" w:sz="0" w:space="0" w:color="auto"/>
              <w:bottom w:val="none" w:sz="0" w:space="0" w:color="auto"/>
            </w:tcBorders>
          </w:tcPr>
          <w:p w14:paraId="7CDEBBDE" w14:textId="77BCE20F" w:rsidR="00032A32" w:rsidRDefault="00032A32" w:rsidP="00032A32">
            <w:pPr>
              <w:pStyle w:val="Tabletext"/>
              <w:cnfStyle w:val="000000100000" w:firstRow="0" w:lastRow="0" w:firstColumn="0" w:lastColumn="0" w:oddVBand="0" w:evenVBand="0" w:oddHBand="1" w:evenHBand="0" w:firstRowFirstColumn="0" w:firstRowLastColumn="0" w:lastRowFirstColumn="0" w:lastRowLastColumn="0"/>
            </w:pPr>
            <w:r w:rsidRPr="00CA5321">
              <w:t>Corrections Housing Pathways Initiative Network</w:t>
            </w:r>
          </w:p>
        </w:tc>
      </w:tr>
      <w:tr w:rsidR="00032A32" w14:paraId="359D85FC" w14:textId="77777777" w:rsidTr="001F4EAE">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tcPr>
          <w:p w14:paraId="6A5F9DB7" w14:textId="24394E1D" w:rsidR="00032A32" w:rsidRDefault="00032A32" w:rsidP="00032A32">
            <w:pPr>
              <w:pStyle w:val="Tabletext"/>
            </w:pPr>
            <w:r w:rsidRPr="00CA5321">
              <w:t>CV</w:t>
            </w:r>
          </w:p>
        </w:tc>
        <w:tc>
          <w:tcPr>
            <w:tcW w:w="7733" w:type="dxa"/>
          </w:tcPr>
          <w:p w14:paraId="713266C5" w14:textId="45768155" w:rsidR="00032A32" w:rsidRDefault="00032A32" w:rsidP="00032A32">
            <w:pPr>
              <w:pStyle w:val="Tabletext"/>
              <w:cnfStyle w:val="000000000000" w:firstRow="0" w:lastRow="0" w:firstColumn="0" w:lastColumn="0" w:oddVBand="0" w:evenVBand="0" w:oddHBand="0" w:evenHBand="0" w:firstRowFirstColumn="0" w:firstRowLastColumn="0" w:lastRowFirstColumn="0" w:lastRowLastColumn="0"/>
            </w:pPr>
            <w:r w:rsidRPr="00CA5321">
              <w:t>Corrections Victoria</w:t>
            </w:r>
          </w:p>
        </w:tc>
      </w:tr>
      <w:tr w:rsidR="00032A32" w14:paraId="075602C1" w14:textId="77777777" w:rsidTr="001F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tcPr>
          <w:p w14:paraId="147ECB2F" w14:textId="6E4C68B3" w:rsidR="00032A32" w:rsidRDefault="00032A32" w:rsidP="00032A32">
            <w:pPr>
              <w:pStyle w:val="Tabletext"/>
            </w:pPr>
            <w:r w:rsidRPr="00CA5321">
              <w:t>DFFH</w:t>
            </w:r>
          </w:p>
        </w:tc>
        <w:tc>
          <w:tcPr>
            <w:tcW w:w="7733" w:type="dxa"/>
            <w:tcBorders>
              <w:top w:val="none" w:sz="0" w:space="0" w:color="auto"/>
              <w:bottom w:val="none" w:sz="0" w:space="0" w:color="auto"/>
            </w:tcBorders>
          </w:tcPr>
          <w:p w14:paraId="5F457994" w14:textId="04599E88" w:rsidR="00032A32" w:rsidRDefault="00032A32" w:rsidP="00032A32">
            <w:pPr>
              <w:pStyle w:val="Tabletext"/>
              <w:cnfStyle w:val="000000100000" w:firstRow="0" w:lastRow="0" w:firstColumn="0" w:lastColumn="0" w:oddVBand="0" w:evenVBand="0" w:oddHBand="1" w:evenHBand="0" w:firstRowFirstColumn="0" w:firstRowLastColumn="0" w:lastRowFirstColumn="0" w:lastRowLastColumn="0"/>
            </w:pPr>
            <w:r w:rsidRPr="00CA5321">
              <w:t>Department of Families, Fairness and Housing</w:t>
            </w:r>
          </w:p>
        </w:tc>
      </w:tr>
      <w:tr w:rsidR="00032A32" w14:paraId="0A9412D5" w14:textId="77777777" w:rsidTr="001F4EAE">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tcPr>
          <w:p w14:paraId="2E66F341" w14:textId="7D23727D" w:rsidR="00032A32" w:rsidRDefault="00032A32" w:rsidP="00032A32">
            <w:pPr>
              <w:pStyle w:val="Tabletext"/>
            </w:pPr>
            <w:r w:rsidRPr="00CA5321">
              <w:t>DJCS</w:t>
            </w:r>
          </w:p>
        </w:tc>
        <w:tc>
          <w:tcPr>
            <w:tcW w:w="7733" w:type="dxa"/>
          </w:tcPr>
          <w:p w14:paraId="3E8EE280" w14:textId="53EC1042" w:rsidR="00032A32" w:rsidRDefault="00032A32" w:rsidP="00032A32">
            <w:pPr>
              <w:pStyle w:val="Tabletext"/>
              <w:cnfStyle w:val="000000000000" w:firstRow="0" w:lastRow="0" w:firstColumn="0" w:lastColumn="0" w:oddVBand="0" w:evenVBand="0" w:oddHBand="0" w:evenHBand="0" w:firstRowFirstColumn="0" w:firstRowLastColumn="0" w:lastRowFirstColumn="0" w:lastRowLastColumn="0"/>
            </w:pPr>
            <w:r w:rsidRPr="00CA5321">
              <w:t>Department of Justice and Community Safety</w:t>
            </w:r>
          </w:p>
        </w:tc>
      </w:tr>
      <w:tr w:rsidR="00032A32" w14:paraId="31B65DD9" w14:textId="77777777" w:rsidTr="001F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tcPr>
          <w:p w14:paraId="7CE60579" w14:textId="22388EB8" w:rsidR="00032A32" w:rsidRDefault="00032A32" w:rsidP="00032A32">
            <w:pPr>
              <w:pStyle w:val="Tabletext"/>
            </w:pPr>
            <w:r w:rsidRPr="00CA5321">
              <w:t>EHP</w:t>
            </w:r>
          </w:p>
        </w:tc>
        <w:tc>
          <w:tcPr>
            <w:tcW w:w="7733" w:type="dxa"/>
            <w:tcBorders>
              <w:top w:val="none" w:sz="0" w:space="0" w:color="auto"/>
              <w:bottom w:val="none" w:sz="0" w:space="0" w:color="auto"/>
            </w:tcBorders>
          </w:tcPr>
          <w:p w14:paraId="1F6CF316" w14:textId="6EC7DB0B" w:rsidR="00032A32" w:rsidRDefault="00032A32" w:rsidP="00032A32">
            <w:pPr>
              <w:pStyle w:val="Tabletext"/>
              <w:cnfStyle w:val="000000100000" w:firstRow="0" w:lastRow="0" w:firstColumn="0" w:lastColumn="0" w:oddVBand="0" w:evenVBand="0" w:oddHBand="1" w:evenHBand="0" w:firstRowFirstColumn="0" w:firstRowLastColumn="0" w:lastRowFirstColumn="0" w:lastRowLastColumn="0"/>
            </w:pPr>
            <w:r w:rsidRPr="00CA5321">
              <w:t>Enhanced Housing Pathways</w:t>
            </w:r>
          </w:p>
        </w:tc>
      </w:tr>
      <w:tr w:rsidR="00032A32" w14:paraId="590CDCFB" w14:textId="77777777" w:rsidTr="001F4EAE">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tcPr>
          <w:p w14:paraId="6FB41B34" w14:textId="042B29AA" w:rsidR="00032A32" w:rsidRDefault="00032A32" w:rsidP="00032A32">
            <w:pPr>
              <w:pStyle w:val="Tabletext"/>
            </w:pPr>
            <w:r w:rsidRPr="00CA5321">
              <w:t>IAP</w:t>
            </w:r>
          </w:p>
        </w:tc>
        <w:tc>
          <w:tcPr>
            <w:tcW w:w="7733" w:type="dxa"/>
          </w:tcPr>
          <w:p w14:paraId="6B8499CA" w14:textId="06EA0B32" w:rsidR="00032A32" w:rsidRDefault="00032A32" w:rsidP="00032A32">
            <w:pPr>
              <w:pStyle w:val="Tabletext"/>
              <w:cnfStyle w:val="000000000000" w:firstRow="0" w:lastRow="0" w:firstColumn="0" w:lastColumn="0" w:oddVBand="0" w:evenVBand="0" w:oddHBand="0" w:evenHBand="0" w:firstRowFirstColumn="0" w:firstRowLastColumn="0" w:lastRowFirstColumn="0" w:lastRowLastColumn="0"/>
            </w:pPr>
            <w:r w:rsidRPr="00CA5321">
              <w:t>Initial Assessment and Planning</w:t>
            </w:r>
          </w:p>
        </w:tc>
      </w:tr>
      <w:tr w:rsidR="00032A32" w14:paraId="7A25AE3E" w14:textId="77777777" w:rsidTr="001F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tcPr>
          <w:p w14:paraId="27A520E9" w14:textId="5BBC25A0" w:rsidR="00032A32" w:rsidRDefault="00032A32" w:rsidP="00032A32">
            <w:pPr>
              <w:pStyle w:val="Tabletext"/>
            </w:pPr>
            <w:r w:rsidRPr="00CA5321">
              <w:t>OSM</w:t>
            </w:r>
          </w:p>
        </w:tc>
        <w:tc>
          <w:tcPr>
            <w:tcW w:w="7733" w:type="dxa"/>
            <w:tcBorders>
              <w:top w:val="none" w:sz="0" w:space="0" w:color="auto"/>
              <w:bottom w:val="none" w:sz="0" w:space="0" w:color="auto"/>
            </w:tcBorders>
          </w:tcPr>
          <w:p w14:paraId="04EC592C" w14:textId="5BFC4842" w:rsidR="00032A32" w:rsidRDefault="00032A32" w:rsidP="00032A32">
            <w:pPr>
              <w:pStyle w:val="Tabletext"/>
              <w:cnfStyle w:val="000000100000" w:firstRow="0" w:lastRow="0" w:firstColumn="0" w:lastColumn="0" w:oddVBand="0" w:evenVBand="0" w:oddHBand="1" w:evenHBand="0" w:firstRowFirstColumn="0" w:firstRowLastColumn="0" w:lastRowFirstColumn="0" w:lastRowLastColumn="0"/>
            </w:pPr>
            <w:r w:rsidRPr="00CA5321">
              <w:t>Offender Services Manager</w:t>
            </w:r>
          </w:p>
        </w:tc>
      </w:tr>
      <w:tr w:rsidR="00032A32" w14:paraId="2A54E170" w14:textId="77777777" w:rsidTr="001F4EAE">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tcPr>
          <w:p w14:paraId="4666F2F5" w14:textId="786D03B5" w:rsidR="00032A32" w:rsidRDefault="00032A32" w:rsidP="00032A32">
            <w:pPr>
              <w:pStyle w:val="Tabletext"/>
            </w:pPr>
            <w:r w:rsidRPr="00CA5321">
              <w:t>OSS</w:t>
            </w:r>
          </w:p>
        </w:tc>
        <w:tc>
          <w:tcPr>
            <w:tcW w:w="7733" w:type="dxa"/>
          </w:tcPr>
          <w:p w14:paraId="768368B5" w14:textId="09344100" w:rsidR="00032A32" w:rsidRDefault="00032A32" w:rsidP="00032A32">
            <w:pPr>
              <w:pStyle w:val="Tabletext"/>
              <w:cnfStyle w:val="000000000000" w:firstRow="0" w:lastRow="0" w:firstColumn="0" w:lastColumn="0" w:oddVBand="0" w:evenVBand="0" w:oddHBand="0" w:evenHBand="0" w:firstRowFirstColumn="0" w:firstRowLastColumn="0" w:lastRowFirstColumn="0" w:lastRowLastColumn="0"/>
            </w:pPr>
            <w:r w:rsidRPr="00CA5321">
              <w:t>Offender Services Supervisor</w:t>
            </w:r>
          </w:p>
        </w:tc>
      </w:tr>
      <w:tr w:rsidR="00032A32" w14:paraId="2B13E1F6" w14:textId="77777777" w:rsidTr="001F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tcPr>
          <w:p w14:paraId="0B0CE9C0" w14:textId="34AE556C" w:rsidR="00032A32" w:rsidRDefault="00032A32" w:rsidP="00032A32">
            <w:pPr>
              <w:pStyle w:val="Tabletext"/>
            </w:pPr>
            <w:r w:rsidRPr="00CA5321">
              <w:t>PRAP</w:t>
            </w:r>
          </w:p>
        </w:tc>
        <w:tc>
          <w:tcPr>
            <w:tcW w:w="7733" w:type="dxa"/>
            <w:tcBorders>
              <w:top w:val="none" w:sz="0" w:space="0" w:color="auto"/>
              <w:bottom w:val="none" w:sz="0" w:space="0" w:color="auto"/>
            </w:tcBorders>
          </w:tcPr>
          <w:p w14:paraId="09700F9E" w14:textId="1F0FE175" w:rsidR="00032A32" w:rsidRDefault="00032A32" w:rsidP="00032A32">
            <w:pPr>
              <w:pStyle w:val="Tabletext"/>
              <w:cnfStyle w:val="000000100000" w:firstRow="0" w:lastRow="0" w:firstColumn="0" w:lastColumn="0" w:oddVBand="0" w:evenVBand="0" w:oddHBand="1" w:evenHBand="0" w:firstRowFirstColumn="0" w:firstRowLastColumn="0" w:lastRowFirstColumn="0" w:lastRowLastColumn="0"/>
            </w:pPr>
            <w:r w:rsidRPr="00CA5321">
              <w:t>Private Rental Assistance Program</w:t>
            </w:r>
          </w:p>
        </w:tc>
      </w:tr>
      <w:tr w:rsidR="00032A32" w14:paraId="5BA8BDCA" w14:textId="77777777" w:rsidTr="001F4EAE">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tcPr>
          <w:p w14:paraId="38C24519" w14:textId="3F491B72" w:rsidR="00032A32" w:rsidRDefault="00032A32" w:rsidP="00032A32">
            <w:pPr>
              <w:pStyle w:val="Tabletext"/>
            </w:pPr>
            <w:r w:rsidRPr="00CA5321">
              <w:t>RPS</w:t>
            </w:r>
          </w:p>
        </w:tc>
        <w:tc>
          <w:tcPr>
            <w:tcW w:w="7733" w:type="dxa"/>
          </w:tcPr>
          <w:p w14:paraId="0FE191F2" w14:textId="72AECB5D" w:rsidR="00032A32" w:rsidRDefault="00032A32" w:rsidP="00032A32">
            <w:pPr>
              <w:pStyle w:val="Tabletext"/>
              <w:cnfStyle w:val="000000000000" w:firstRow="0" w:lastRow="0" w:firstColumn="0" w:lastColumn="0" w:oddVBand="0" w:evenVBand="0" w:oddHBand="0" w:evenHBand="0" w:firstRowFirstColumn="0" w:firstRowLastColumn="0" w:lastRowFirstColumn="0" w:lastRowLastColumn="0"/>
            </w:pPr>
            <w:r w:rsidRPr="00CA5321">
              <w:t>Reintegration Pathways System</w:t>
            </w:r>
          </w:p>
        </w:tc>
      </w:tr>
      <w:tr w:rsidR="00032A32" w14:paraId="109B0ED1" w14:textId="77777777" w:rsidTr="001F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tcPr>
          <w:p w14:paraId="6D60C64A" w14:textId="36BC9EA7" w:rsidR="00032A32" w:rsidRDefault="00032A32" w:rsidP="00032A32">
            <w:pPr>
              <w:pStyle w:val="Tabletext"/>
            </w:pPr>
            <w:r w:rsidRPr="00CA5321">
              <w:t>SHIP</w:t>
            </w:r>
          </w:p>
        </w:tc>
        <w:tc>
          <w:tcPr>
            <w:tcW w:w="7733" w:type="dxa"/>
            <w:tcBorders>
              <w:top w:val="none" w:sz="0" w:space="0" w:color="auto"/>
              <w:bottom w:val="none" w:sz="0" w:space="0" w:color="auto"/>
            </w:tcBorders>
          </w:tcPr>
          <w:p w14:paraId="34A3F281" w14:textId="7D1F4DD9" w:rsidR="00032A32" w:rsidRDefault="00032A32" w:rsidP="00032A32">
            <w:pPr>
              <w:pStyle w:val="Tabletext"/>
              <w:cnfStyle w:val="000000100000" w:firstRow="0" w:lastRow="0" w:firstColumn="0" w:lastColumn="0" w:oddVBand="0" w:evenVBand="0" w:oddHBand="1" w:evenHBand="0" w:firstRowFirstColumn="0" w:firstRowLastColumn="0" w:lastRowFirstColumn="0" w:lastRowLastColumn="0"/>
            </w:pPr>
            <w:r w:rsidRPr="00CA5321">
              <w:t>Specialist Homelessness Information Platform</w:t>
            </w:r>
          </w:p>
        </w:tc>
      </w:tr>
      <w:tr w:rsidR="00032A32" w14:paraId="4CB38412" w14:textId="77777777" w:rsidTr="001F4EAE">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tcPr>
          <w:p w14:paraId="6D83FC59" w14:textId="34FA6E3A" w:rsidR="00032A32" w:rsidRDefault="00032A32" w:rsidP="00032A32">
            <w:pPr>
              <w:pStyle w:val="Tabletext"/>
            </w:pPr>
            <w:r w:rsidRPr="00CA5321">
              <w:t>THM</w:t>
            </w:r>
          </w:p>
        </w:tc>
        <w:tc>
          <w:tcPr>
            <w:tcW w:w="7733" w:type="dxa"/>
          </w:tcPr>
          <w:p w14:paraId="7B74D8F1" w14:textId="06636C3C" w:rsidR="00032A32" w:rsidRDefault="00032A32" w:rsidP="00032A32">
            <w:pPr>
              <w:pStyle w:val="Tabletext"/>
              <w:cnfStyle w:val="000000000000" w:firstRow="0" w:lastRow="0" w:firstColumn="0" w:lastColumn="0" w:oddVBand="0" w:evenVBand="0" w:oddHBand="0" w:evenHBand="0" w:firstRowFirstColumn="0" w:firstRowLastColumn="0" w:lastRowFirstColumn="0" w:lastRowLastColumn="0"/>
            </w:pPr>
            <w:r w:rsidRPr="00CA5321">
              <w:t>Transitional Housing Management</w:t>
            </w:r>
          </w:p>
        </w:tc>
      </w:tr>
      <w:tr w:rsidR="00032A32" w14:paraId="54235E00" w14:textId="77777777" w:rsidTr="001F4E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tcPr>
          <w:p w14:paraId="00AD6A69" w14:textId="2F3BE003" w:rsidR="00032A32" w:rsidRDefault="00032A32" w:rsidP="00032A32">
            <w:pPr>
              <w:pStyle w:val="Tabletext"/>
            </w:pPr>
            <w:r w:rsidRPr="00CA5321">
              <w:t>VAAHF</w:t>
            </w:r>
          </w:p>
        </w:tc>
        <w:tc>
          <w:tcPr>
            <w:tcW w:w="7733" w:type="dxa"/>
            <w:tcBorders>
              <w:top w:val="none" w:sz="0" w:space="0" w:color="auto"/>
              <w:bottom w:val="none" w:sz="0" w:space="0" w:color="auto"/>
            </w:tcBorders>
          </w:tcPr>
          <w:p w14:paraId="17D7FD76" w14:textId="270D9EFE" w:rsidR="00032A32" w:rsidRDefault="00032A32" w:rsidP="00032A32">
            <w:pPr>
              <w:pStyle w:val="Tabletext"/>
              <w:cnfStyle w:val="000000100000" w:firstRow="0" w:lastRow="0" w:firstColumn="0" w:lastColumn="0" w:oddVBand="0" w:evenVBand="0" w:oddHBand="1" w:evenHBand="0" w:firstRowFirstColumn="0" w:firstRowLastColumn="0" w:lastRowFirstColumn="0" w:lastRowLastColumn="0"/>
            </w:pPr>
            <w:r w:rsidRPr="00CA5321">
              <w:t>Victorian Aboriginal Housing and Homelessness Framework – Mana-Na Woorn-Tyeen Maar-Takoort</w:t>
            </w:r>
          </w:p>
        </w:tc>
      </w:tr>
      <w:tr w:rsidR="00032A32" w14:paraId="3E488833" w14:textId="77777777" w:rsidTr="001F4EAE">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tcPr>
          <w:p w14:paraId="1BB6651D" w14:textId="50995030" w:rsidR="00032A32" w:rsidRDefault="00032A32" w:rsidP="00032A32">
            <w:pPr>
              <w:pStyle w:val="Tabletext"/>
            </w:pPr>
            <w:r w:rsidRPr="00CA5321">
              <w:t>VHR</w:t>
            </w:r>
          </w:p>
        </w:tc>
        <w:tc>
          <w:tcPr>
            <w:tcW w:w="7733" w:type="dxa"/>
          </w:tcPr>
          <w:p w14:paraId="3F51C03C" w14:textId="24A61A14" w:rsidR="00032A32" w:rsidRDefault="00032A32" w:rsidP="00032A32">
            <w:pPr>
              <w:pStyle w:val="Tabletext"/>
              <w:cnfStyle w:val="000000000000" w:firstRow="0" w:lastRow="0" w:firstColumn="0" w:lastColumn="0" w:oddVBand="0" w:evenVBand="0" w:oddHBand="0" w:evenHBand="0" w:firstRowFirstColumn="0" w:firstRowLastColumn="0" w:lastRowFirstColumn="0" w:lastRowLastColumn="0"/>
            </w:pPr>
            <w:r w:rsidRPr="00CA5321">
              <w:t>Victorian Housing Register</w:t>
            </w:r>
          </w:p>
        </w:tc>
      </w:tr>
    </w:tbl>
    <w:p w14:paraId="566474CC" w14:textId="77777777" w:rsidR="006D4E31" w:rsidRDefault="006D4E31" w:rsidP="00013DFD">
      <w:pPr>
        <w:pStyle w:val="Body"/>
      </w:pPr>
    </w:p>
    <w:p w14:paraId="1D8663D9" w14:textId="50BAC6CA" w:rsidR="00032A32" w:rsidRDefault="00032A32">
      <w:pPr>
        <w:spacing w:after="0" w:line="240" w:lineRule="auto"/>
        <w:rPr>
          <w:rFonts w:eastAsia="Times"/>
        </w:rPr>
      </w:pPr>
      <w:r>
        <w:br w:type="page"/>
      </w:r>
    </w:p>
    <w:p w14:paraId="62E3EB29" w14:textId="69CD0A88" w:rsidR="4FD6D26A" w:rsidRPr="003312AF" w:rsidRDefault="4FD6D26A" w:rsidP="00CD1B1A">
      <w:pPr>
        <w:pStyle w:val="Heading1"/>
      </w:pPr>
      <w:bookmarkStart w:id="3" w:name="_Toc207868807"/>
      <w:r w:rsidRPr="003312AF">
        <w:lastRenderedPageBreak/>
        <w:t xml:space="preserve">Program </w:t>
      </w:r>
      <w:r w:rsidR="00847808">
        <w:t>o</w:t>
      </w:r>
      <w:r w:rsidRPr="003312AF">
        <w:t>verview</w:t>
      </w:r>
      <w:bookmarkEnd w:id="3"/>
    </w:p>
    <w:p w14:paraId="0A30CD3D" w14:textId="77777777" w:rsidR="004E434E" w:rsidRDefault="004E434E" w:rsidP="004E434E">
      <w:pPr>
        <w:pStyle w:val="Body"/>
      </w:pPr>
      <w:bookmarkStart w:id="4" w:name="_Toc197694739"/>
      <w:bookmarkStart w:id="5" w:name="_Toc197694860"/>
      <w:bookmarkStart w:id="6" w:name="_Toc197694988"/>
      <w:bookmarkStart w:id="7" w:name="_Toc197694740"/>
      <w:bookmarkStart w:id="8" w:name="_Toc197694861"/>
      <w:bookmarkStart w:id="9" w:name="_Toc197694989"/>
      <w:bookmarkStart w:id="10" w:name="_Toc197694741"/>
      <w:bookmarkStart w:id="11" w:name="_Toc197694862"/>
      <w:bookmarkStart w:id="12" w:name="_Toc197694990"/>
      <w:bookmarkStart w:id="13" w:name="_Toc197694742"/>
      <w:bookmarkStart w:id="14" w:name="_Toc197694863"/>
      <w:bookmarkStart w:id="15" w:name="_Toc197694991"/>
      <w:bookmarkStart w:id="16" w:name="_Toc197694743"/>
      <w:bookmarkStart w:id="17" w:name="_Toc197694864"/>
      <w:bookmarkStart w:id="18" w:name="_Toc197694992"/>
      <w:bookmarkStart w:id="19" w:name="_Toc197694744"/>
      <w:bookmarkStart w:id="20" w:name="_Toc197694865"/>
      <w:bookmarkStart w:id="21" w:name="_Toc197694993"/>
      <w:bookmarkStart w:id="22" w:name="_Toc197694745"/>
      <w:bookmarkStart w:id="23" w:name="_Toc197694866"/>
      <w:bookmarkStart w:id="24" w:name="_Toc197694994"/>
      <w:bookmarkStart w:id="25" w:name="_Toc197694746"/>
      <w:bookmarkStart w:id="26" w:name="_Toc197694867"/>
      <w:bookmarkStart w:id="27" w:name="_Toc197694995"/>
      <w:bookmarkStart w:id="28" w:name="_Toc197694747"/>
      <w:bookmarkStart w:id="29" w:name="_Toc197694868"/>
      <w:bookmarkStart w:id="30" w:name="_Toc197694996"/>
      <w:bookmarkStart w:id="31" w:name="_Toc197694748"/>
      <w:bookmarkStart w:id="32" w:name="_Toc197694869"/>
      <w:bookmarkStart w:id="33" w:name="_Toc197694997"/>
      <w:bookmarkStart w:id="34" w:name="_Toc197694749"/>
      <w:bookmarkStart w:id="35" w:name="_Toc197694870"/>
      <w:bookmarkStart w:id="36" w:name="_Toc197694998"/>
      <w:bookmarkStart w:id="37" w:name="_Toc197694750"/>
      <w:bookmarkStart w:id="38" w:name="_Toc197694871"/>
      <w:bookmarkStart w:id="39" w:name="_Toc197694999"/>
      <w:bookmarkStart w:id="40" w:name="_Toc197694751"/>
      <w:bookmarkStart w:id="41" w:name="_Toc197694872"/>
      <w:bookmarkStart w:id="42" w:name="_Toc197695000"/>
      <w:bookmarkStart w:id="43" w:name="_Toc197694752"/>
      <w:bookmarkStart w:id="44" w:name="_Toc197694873"/>
      <w:bookmarkStart w:id="45" w:name="_Toc197695001"/>
      <w:bookmarkStart w:id="46" w:name="_Toc197694753"/>
      <w:bookmarkStart w:id="47" w:name="_Toc197694874"/>
      <w:bookmarkStart w:id="48" w:name="_Toc197695002"/>
      <w:bookmarkStart w:id="49" w:name="_Toc197694754"/>
      <w:bookmarkStart w:id="50" w:name="_Toc197694875"/>
      <w:bookmarkStart w:id="51" w:name="_Toc197695003"/>
      <w:bookmarkStart w:id="52" w:name="_Toc197694755"/>
      <w:bookmarkStart w:id="53" w:name="_Toc197694876"/>
      <w:bookmarkStart w:id="54" w:name="_Toc197695004"/>
      <w:bookmarkStart w:id="55" w:name="_Toc197694756"/>
      <w:bookmarkStart w:id="56" w:name="_Toc197694877"/>
      <w:bookmarkStart w:id="57" w:name="_Toc197695005"/>
      <w:bookmarkStart w:id="58" w:name="_Toc197694757"/>
      <w:bookmarkStart w:id="59" w:name="_Toc197694878"/>
      <w:bookmarkStart w:id="60" w:name="_Toc197695006"/>
      <w:bookmarkStart w:id="61" w:name="_Toc197694758"/>
      <w:bookmarkStart w:id="62" w:name="_Toc197694879"/>
      <w:bookmarkStart w:id="63" w:name="_Toc19769500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t xml:space="preserve">Homes Victoria, as a part of the Department of Families, Fairness and Housing (DFFH) funds several homelessness service providers to deliver the Corrections Housing Pathways Initiative (CHPI) which supports people within correctional facilities who are at risk of losing their current tenancy or will experience homelessness on their release from prison/remand. </w:t>
      </w:r>
    </w:p>
    <w:p w14:paraId="0D3E5C41" w14:textId="77777777" w:rsidR="004E434E" w:rsidRDefault="004E434E" w:rsidP="004E434E">
      <w:pPr>
        <w:pStyle w:val="Body"/>
      </w:pPr>
      <w:r>
        <w:t>CHPI provides Initial Assessment and Planning (IAP) services within a range of Victorian correctional facilities. The CHPI IAP program operates in the following correctional facilities:</w:t>
      </w:r>
    </w:p>
    <w:p w14:paraId="2C65DAD8" w14:textId="77777777" w:rsidR="004E434E" w:rsidRDefault="004E434E" w:rsidP="004E434E">
      <w:pPr>
        <w:pStyle w:val="Caption"/>
        <w:keepNext/>
      </w:pPr>
      <w:bookmarkStart w:id="64" w:name="_Ref198285900"/>
      <w:r>
        <w:t xml:space="preserve">Table </w:t>
      </w:r>
      <w:r>
        <w:fldChar w:fldCharType="begin"/>
      </w:r>
      <w:r>
        <w:instrText xml:space="preserve"> SEQ Table \* ARABIC </w:instrText>
      </w:r>
      <w:r>
        <w:fldChar w:fldCharType="separate"/>
      </w:r>
      <w:r>
        <w:rPr>
          <w:noProof/>
        </w:rPr>
        <w:t>1</w:t>
      </w:r>
      <w:r>
        <w:rPr>
          <w:noProof/>
        </w:rPr>
        <w:fldChar w:fldCharType="end"/>
      </w:r>
      <w:bookmarkEnd w:id="64"/>
      <w:r>
        <w:t>: CHPI correctional facilities by provider</w:t>
      </w:r>
    </w:p>
    <w:tbl>
      <w:tblPr>
        <w:tblStyle w:val="TableGrid"/>
        <w:tblW w:w="0" w:type="auto"/>
        <w:tblInd w:w="0" w:type="dxa"/>
        <w:tblLook w:val="04A0" w:firstRow="1" w:lastRow="0" w:firstColumn="1" w:lastColumn="0" w:noHBand="0" w:noVBand="1"/>
      </w:tblPr>
      <w:tblGrid>
        <w:gridCol w:w="4644"/>
        <w:gridCol w:w="4644"/>
      </w:tblGrid>
      <w:tr w:rsidR="004E434E" w14:paraId="33E81EF8" w14:textId="77777777" w:rsidTr="007B22B8">
        <w:tc>
          <w:tcPr>
            <w:tcW w:w="4644" w:type="dxa"/>
            <w:tcBorders>
              <w:bottom w:val="single" w:sz="4" w:space="0" w:color="auto"/>
            </w:tcBorders>
          </w:tcPr>
          <w:p w14:paraId="5A8950E8" w14:textId="77777777" w:rsidR="004E434E" w:rsidRDefault="004E434E">
            <w:pPr>
              <w:pStyle w:val="Tablecolhead"/>
            </w:pPr>
            <w:r w:rsidRPr="00381081">
              <w:t xml:space="preserve">Correctional </w:t>
            </w:r>
            <w:r>
              <w:t>f</w:t>
            </w:r>
            <w:r w:rsidRPr="00381081">
              <w:t xml:space="preserve">acility </w:t>
            </w:r>
          </w:p>
        </w:tc>
        <w:tc>
          <w:tcPr>
            <w:tcW w:w="4644" w:type="dxa"/>
            <w:tcBorders>
              <w:bottom w:val="single" w:sz="4" w:space="0" w:color="auto"/>
            </w:tcBorders>
          </w:tcPr>
          <w:p w14:paraId="60F1B636" w14:textId="77777777" w:rsidR="004E434E" w:rsidRDefault="004E434E">
            <w:pPr>
              <w:pStyle w:val="Tablecolhead"/>
            </w:pPr>
            <w:r w:rsidRPr="00381081">
              <w:t>CHPI provider</w:t>
            </w:r>
          </w:p>
        </w:tc>
      </w:tr>
      <w:tr w:rsidR="004E434E" w14:paraId="09ECCADD" w14:textId="77777777" w:rsidTr="007B22B8">
        <w:tc>
          <w:tcPr>
            <w:tcW w:w="4644" w:type="dxa"/>
            <w:tcBorders>
              <w:top w:val="single" w:sz="4" w:space="0" w:color="auto"/>
              <w:left w:val="single" w:sz="4" w:space="0" w:color="auto"/>
              <w:bottom w:val="single" w:sz="4" w:space="0" w:color="auto"/>
              <w:right w:val="single" w:sz="4" w:space="0" w:color="auto"/>
            </w:tcBorders>
            <w:shd w:val="clear" w:color="auto" w:fill="auto"/>
          </w:tcPr>
          <w:p w14:paraId="6AF8D267" w14:textId="77777777" w:rsidR="004E434E" w:rsidRDefault="004E434E">
            <w:pPr>
              <w:pStyle w:val="Tabletext"/>
            </w:pPr>
            <w:r w:rsidRPr="009D61A0">
              <w:t>Beechworth Correctional Centre</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66ACB01A" w14:textId="77777777" w:rsidR="004E434E" w:rsidRDefault="004E434E">
            <w:pPr>
              <w:pStyle w:val="Tabletext"/>
            </w:pPr>
            <w:r w:rsidRPr="009D61A0">
              <w:t>Beyond Housing</w:t>
            </w:r>
          </w:p>
        </w:tc>
      </w:tr>
      <w:tr w:rsidR="004E434E" w14:paraId="139BFAA6" w14:textId="77777777" w:rsidTr="007B22B8">
        <w:tc>
          <w:tcPr>
            <w:tcW w:w="4644" w:type="dxa"/>
            <w:tcBorders>
              <w:top w:val="single" w:sz="4" w:space="0" w:color="auto"/>
              <w:left w:val="single" w:sz="4" w:space="0" w:color="auto"/>
              <w:bottom w:val="single" w:sz="4" w:space="0" w:color="auto"/>
              <w:right w:val="single" w:sz="4" w:space="0" w:color="auto"/>
            </w:tcBorders>
            <w:shd w:val="clear" w:color="auto" w:fill="auto"/>
          </w:tcPr>
          <w:p w14:paraId="5C2F2599" w14:textId="77777777" w:rsidR="004E434E" w:rsidRDefault="004E434E">
            <w:pPr>
              <w:pStyle w:val="Tabletext"/>
            </w:pPr>
            <w:r w:rsidRPr="009D61A0">
              <w:t>Fulham Correctional Centre</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17C249F5" w14:textId="77777777" w:rsidR="004E434E" w:rsidRDefault="004E434E">
            <w:pPr>
              <w:pStyle w:val="Tabletext"/>
            </w:pPr>
            <w:r w:rsidRPr="009D61A0">
              <w:t>Community Housing Limited</w:t>
            </w:r>
          </w:p>
        </w:tc>
      </w:tr>
      <w:tr w:rsidR="004E434E" w14:paraId="1D1CAF38" w14:textId="77777777" w:rsidTr="007B22B8">
        <w:tc>
          <w:tcPr>
            <w:tcW w:w="4644" w:type="dxa"/>
            <w:tcBorders>
              <w:top w:val="single" w:sz="4" w:space="0" w:color="auto"/>
              <w:left w:val="single" w:sz="4" w:space="0" w:color="auto"/>
              <w:bottom w:val="single" w:sz="4" w:space="0" w:color="auto"/>
              <w:right w:val="single" w:sz="4" w:space="0" w:color="auto"/>
            </w:tcBorders>
            <w:shd w:val="clear" w:color="auto" w:fill="auto"/>
          </w:tcPr>
          <w:p w14:paraId="61EB6016" w14:textId="77777777" w:rsidR="004E434E" w:rsidRDefault="004E434E">
            <w:pPr>
              <w:pStyle w:val="Tabletext"/>
            </w:pPr>
            <w:r w:rsidRPr="009D61A0">
              <w:t>Loddon Prison (Middleton)</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1DD20529" w14:textId="77777777" w:rsidR="004E434E" w:rsidRDefault="004E434E">
            <w:pPr>
              <w:pStyle w:val="Tabletext"/>
            </w:pPr>
            <w:r w:rsidRPr="009D61A0">
              <w:t>Haven Home Safe</w:t>
            </w:r>
          </w:p>
        </w:tc>
      </w:tr>
      <w:tr w:rsidR="004E434E" w14:paraId="5A9C3258" w14:textId="77777777" w:rsidTr="007B22B8">
        <w:tc>
          <w:tcPr>
            <w:tcW w:w="4644" w:type="dxa"/>
            <w:tcBorders>
              <w:top w:val="single" w:sz="4" w:space="0" w:color="auto"/>
              <w:left w:val="single" w:sz="4" w:space="0" w:color="auto"/>
              <w:bottom w:val="single" w:sz="4" w:space="0" w:color="auto"/>
              <w:right w:val="single" w:sz="4" w:space="0" w:color="auto"/>
            </w:tcBorders>
            <w:shd w:val="clear" w:color="auto" w:fill="auto"/>
          </w:tcPr>
          <w:p w14:paraId="707AA918" w14:textId="77777777" w:rsidR="004E434E" w:rsidRDefault="004E434E">
            <w:pPr>
              <w:pStyle w:val="Tabletext"/>
            </w:pPr>
            <w:r w:rsidRPr="009D61A0">
              <w:t>Tarrengower Prison</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2CB5EEF0" w14:textId="77777777" w:rsidR="004E434E" w:rsidRDefault="004E434E">
            <w:pPr>
              <w:pStyle w:val="Tabletext"/>
            </w:pPr>
            <w:r w:rsidRPr="009D61A0">
              <w:t>Haven Home Safe</w:t>
            </w:r>
          </w:p>
        </w:tc>
      </w:tr>
      <w:tr w:rsidR="004E434E" w14:paraId="03369EC7" w14:textId="77777777" w:rsidTr="007B22B8">
        <w:tc>
          <w:tcPr>
            <w:tcW w:w="4644" w:type="dxa"/>
            <w:tcBorders>
              <w:top w:val="single" w:sz="4" w:space="0" w:color="auto"/>
              <w:left w:val="single" w:sz="4" w:space="0" w:color="auto"/>
              <w:bottom w:val="single" w:sz="4" w:space="0" w:color="auto"/>
              <w:right w:val="single" w:sz="4" w:space="0" w:color="auto"/>
            </w:tcBorders>
            <w:shd w:val="clear" w:color="auto" w:fill="auto"/>
          </w:tcPr>
          <w:p w14:paraId="35444CE9" w14:textId="77777777" w:rsidR="004E434E" w:rsidRDefault="004E434E">
            <w:pPr>
              <w:pStyle w:val="Tabletext"/>
            </w:pPr>
            <w:r w:rsidRPr="009D61A0">
              <w:t>Barwon Prison</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1847528D" w14:textId="77777777" w:rsidR="004E434E" w:rsidRDefault="004E434E">
            <w:pPr>
              <w:pStyle w:val="Tabletext"/>
            </w:pPr>
            <w:r w:rsidRPr="009D61A0">
              <w:t>The Salvation Army</w:t>
            </w:r>
          </w:p>
        </w:tc>
      </w:tr>
      <w:tr w:rsidR="004E434E" w14:paraId="470F944D" w14:textId="77777777" w:rsidTr="007B22B8">
        <w:tc>
          <w:tcPr>
            <w:tcW w:w="4644" w:type="dxa"/>
            <w:tcBorders>
              <w:top w:val="single" w:sz="4" w:space="0" w:color="auto"/>
              <w:left w:val="single" w:sz="4" w:space="0" w:color="auto"/>
              <w:bottom w:val="single" w:sz="4" w:space="0" w:color="auto"/>
              <w:right w:val="single" w:sz="4" w:space="0" w:color="auto"/>
            </w:tcBorders>
            <w:shd w:val="clear" w:color="auto" w:fill="auto"/>
          </w:tcPr>
          <w:p w14:paraId="6175EA91" w14:textId="77777777" w:rsidR="004E434E" w:rsidRDefault="004E434E">
            <w:pPr>
              <w:pStyle w:val="Tabletext"/>
            </w:pPr>
            <w:r w:rsidRPr="009D61A0">
              <w:t>Judy Lazarus Transition Centre</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03B4B850" w14:textId="77777777" w:rsidR="004E434E" w:rsidRDefault="004E434E">
            <w:pPr>
              <w:pStyle w:val="Tabletext"/>
            </w:pPr>
            <w:r w:rsidRPr="009D61A0">
              <w:t>The Salvation Army</w:t>
            </w:r>
          </w:p>
        </w:tc>
      </w:tr>
      <w:tr w:rsidR="004E434E" w14:paraId="63B1E621" w14:textId="77777777" w:rsidTr="007B22B8">
        <w:tc>
          <w:tcPr>
            <w:tcW w:w="4644" w:type="dxa"/>
            <w:tcBorders>
              <w:top w:val="single" w:sz="4" w:space="0" w:color="auto"/>
              <w:left w:val="single" w:sz="4" w:space="0" w:color="auto"/>
              <w:bottom w:val="single" w:sz="4" w:space="0" w:color="auto"/>
              <w:right w:val="single" w:sz="4" w:space="0" w:color="auto"/>
            </w:tcBorders>
            <w:shd w:val="clear" w:color="auto" w:fill="auto"/>
          </w:tcPr>
          <w:p w14:paraId="3BB93380" w14:textId="77777777" w:rsidR="004E434E" w:rsidRDefault="004E434E">
            <w:pPr>
              <w:pStyle w:val="Tabletext"/>
            </w:pPr>
            <w:r w:rsidRPr="009D61A0">
              <w:t>Marngoneet Correctional Centre (Karreenga)</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4AF9940F" w14:textId="77777777" w:rsidR="004E434E" w:rsidRDefault="004E434E">
            <w:pPr>
              <w:pStyle w:val="Tabletext"/>
            </w:pPr>
            <w:r w:rsidRPr="009D61A0">
              <w:t>The Salvation Army</w:t>
            </w:r>
          </w:p>
        </w:tc>
      </w:tr>
      <w:tr w:rsidR="004E434E" w14:paraId="1EB355F9" w14:textId="77777777" w:rsidTr="007B22B8">
        <w:tc>
          <w:tcPr>
            <w:tcW w:w="4644" w:type="dxa"/>
            <w:tcBorders>
              <w:top w:val="single" w:sz="4" w:space="0" w:color="auto"/>
              <w:left w:val="single" w:sz="4" w:space="0" w:color="auto"/>
              <w:bottom w:val="single" w:sz="4" w:space="0" w:color="auto"/>
              <w:right w:val="single" w:sz="4" w:space="0" w:color="auto"/>
            </w:tcBorders>
            <w:shd w:val="clear" w:color="auto" w:fill="auto"/>
          </w:tcPr>
          <w:p w14:paraId="3AD6624B" w14:textId="77777777" w:rsidR="004E434E" w:rsidRDefault="004E434E">
            <w:pPr>
              <w:pStyle w:val="Tabletext"/>
            </w:pPr>
            <w:r w:rsidRPr="009D61A0">
              <w:t>Melbourne Assessment Prison</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4D85BD13" w14:textId="77777777" w:rsidR="004E434E" w:rsidRDefault="004E434E">
            <w:pPr>
              <w:pStyle w:val="Tabletext"/>
            </w:pPr>
            <w:r w:rsidRPr="009D61A0">
              <w:t>The Salvation Army</w:t>
            </w:r>
          </w:p>
        </w:tc>
      </w:tr>
      <w:tr w:rsidR="004E434E" w14:paraId="170056B3" w14:textId="77777777" w:rsidTr="007B22B8">
        <w:tc>
          <w:tcPr>
            <w:tcW w:w="4644" w:type="dxa"/>
            <w:tcBorders>
              <w:top w:val="single" w:sz="4" w:space="0" w:color="auto"/>
              <w:left w:val="single" w:sz="4" w:space="0" w:color="auto"/>
              <w:bottom w:val="single" w:sz="4" w:space="0" w:color="auto"/>
              <w:right w:val="single" w:sz="4" w:space="0" w:color="auto"/>
            </w:tcBorders>
            <w:shd w:val="clear" w:color="auto" w:fill="auto"/>
          </w:tcPr>
          <w:p w14:paraId="60F603A7" w14:textId="77777777" w:rsidR="004E434E" w:rsidRDefault="004E434E">
            <w:pPr>
              <w:pStyle w:val="Tabletext"/>
            </w:pPr>
            <w:r w:rsidRPr="009D61A0">
              <w:t>Metropolitan Remand Centre</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58F70179" w14:textId="77777777" w:rsidR="004E434E" w:rsidRDefault="004E434E">
            <w:pPr>
              <w:pStyle w:val="Tabletext"/>
            </w:pPr>
            <w:r w:rsidRPr="009D61A0">
              <w:t>The Salvation Army</w:t>
            </w:r>
          </w:p>
        </w:tc>
      </w:tr>
      <w:tr w:rsidR="004E434E" w14:paraId="725991E8" w14:textId="77777777" w:rsidTr="007B22B8">
        <w:tc>
          <w:tcPr>
            <w:tcW w:w="4644" w:type="dxa"/>
            <w:tcBorders>
              <w:top w:val="single" w:sz="4" w:space="0" w:color="auto"/>
              <w:left w:val="single" w:sz="4" w:space="0" w:color="auto"/>
              <w:bottom w:val="single" w:sz="4" w:space="0" w:color="auto"/>
              <w:right w:val="single" w:sz="4" w:space="0" w:color="auto"/>
            </w:tcBorders>
            <w:shd w:val="clear" w:color="auto" w:fill="auto"/>
          </w:tcPr>
          <w:p w14:paraId="030ADF68" w14:textId="77777777" w:rsidR="004E434E" w:rsidRDefault="004E434E">
            <w:pPr>
              <w:pStyle w:val="Tabletext"/>
            </w:pPr>
            <w:r w:rsidRPr="009D61A0">
              <w:t>Port Phillip Prison</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53294C1B" w14:textId="77777777" w:rsidR="004E434E" w:rsidRDefault="004E434E">
            <w:pPr>
              <w:pStyle w:val="Tabletext"/>
            </w:pPr>
            <w:r w:rsidRPr="009D61A0">
              <w:t>The Salvation Army</w:t>
            </w:r>
          </w:p>
        </w:tc>
      </w:tr>
      <w:tr w:rsidR="004E434E" w14:paraId="2D2F2C18" w14:textId="77777777" w:rsidTr="007B22B8">
        <w:tc>
          <w:tcPr>
            <w:tcW w:w="4644" w:type="dxa"/>
            <w:tcBorders>
              <w:top w:val="single" w:sz="4" w:space="0" w:color="auto"/>
              <w:left w:val="single" w:sz="4" w:space="0" w:color="auto"/>
              <w:bottom w:val="single" w:sz="4" w:space="0" w:color="auto"/>
              <w:right w:val="single" w:sz="4" w:space="0" w:color="auto"/>
            </w:tcBorders>
            <w:shd w:val="clear" w:color="auto" w:fill="auto"/>
          </w:tcPr>
          <w:p w14:paraId="713F69EA" w14:textId="77777777" w:rsidR="004E434E" w:rsidRDefault="004E434E">
            <w:pPr>
              <w:pStyle w:val="Tabletext"/>
            </w:pPr>
            <w:r w:rsidRPr="009D61A0">
              <w:t>Western Plains Correctional Centre</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28CF20EF" w14:textId="77777777" w:rsidR="004E434E" w:rsidRDefault="004E434E">
            <w:pPr>
              <w:pStyle w:val="Tabletext"/>
            </w:pPr>
            <w:r w:rsidRPr="009D61A0">
              <w:t>The Salvation Army</w:t>
            </w:r>
          </w:p>
        </w:tc>
      </w:tr>
      <w:tr w:rsidR="004E434E" w14:paraId="6AECAE31" w14:textId="77777777" w:rsidTr="007B22B8">
        <w:tc>
          <w:tcPr>
            <w:tcW w:w="4644" w:type="dxa"/>
            <w:tcBorders>
              <w:top w:val="single" w:sz="4" w:space="0" w:color="auto"/>
              <w:left w:val="single" w:sz="4" w:space="0" w:color="auto"/>
              <w:bottom w:val="single" w:sz="4" w:space="0" w:color="auto"/>
              <w:right w:val="single" w:sz="4" w:space="0" w:color="auto"/>
            </w:tcBorders>
            <w:shd w:val="clear" w:color="auto" w:fill="auto"/>
          </w:tcPr>
          <w:p w14:paraId="05BB6233" w14:textId="77777777" w:rsidR="004E434E" w:rsidRDefault="004E434E">
            <w:pPr>
              <w:pStyle w:val="Tabletext"/>
            </w:pPr>
            <w:r w:rsidRPr="009D61A0">
              <w:t>Thomas Embling Hospital</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00B2EAF7" w14:textId="77777777" w:rsidR="004E434E" w:rsidRDefault="004E434E">
            <w:pPr>
              <w:pStyle w:val="Tabletext"/>
            </w:pPr>
            <w:r w:rsidRPr="009D61A0">
              <w:t>The Salvation Army</w:t>
            </w:r>
          </w:p>
        </w:tc>
      </w:tr>
      <w:tr w:rsidR="004E434E" w14:paraId="1D18BFC9" w14:textId="77777777" w:rsidTr="007B22B8">
        <w:tc>
          <w:tcPr>
            <w:tcW w:w="4644" w:type="dxa"/>
            <w:tcBorders>
              <w:top w:val="single" w:sz="4" w:space="0" w:color="auto"/>
              <w:left w:val="single" w:sz="4" w:space="0" w:color="auto"/>
              <w:bottom w:val="single" w:sz="4" w:space="0" w:color="auto"/>
              <w:right w:val="single" w:sz="4" w:space="0" w:color="auto"/>
            </w:tcBorders>
            <w:shd w:val="clear" w:color="auto" w:fill="auto"/>
          </w:tcPr>
          <w:p w14:paraId="14E36AF1" w14:textId="77777777" w:rsidR="004E434E" w:rsidRDefault="004E434E">
            <w:pPr>
              <w:pStyle w:val="Tabletext"/>
            </w:pPr>
            <w:r w:rsidRPr="009D61A0">
              <w:t>Hopkins Correctional Centre</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738A562C" w14:textId="77777777" w:rsidR="004E434E" w:rsidRDefault="004E434E">
            <w:pPr>
              <w:pStyle w:val="Tabletext"/>
            </w:pPr>
            <w:r w:rsidRPr="009D61A0">
              <w:t>Uniting</w:t>
            </w:r>
          </w:p>
        </w:tc>
      </w:tr>
      <w:tr w:rsidR="004E434E" w14:paraId="3E6D3DE9" w14:textId="77777777" w:rsidTr="007B22B8">
        <w:tc>
          <w:tcPr>
            <w:tcW w:w="4644" w:type="dxa"/>
            <w:tcBorders>
              <w:top w:val="single" w:sz="4" w:space="0" w:color="auto"/>
              <w:left w:val="single" w:sz="4" w:space="0" w:color="auto"/>
              <w:bottom w:val="single" w:sz="4" w:space="0" w:color="auto"/>
              <w:right w:val="single" w:sz="4" w:space="0" w:color="auto"/>
            </w:tcBorders>
            <w:shd w:val="clear" w:color="auto" w:fill="auto"/>
          </w:tcPr>
          <w:p w14:paraId="598247C7" w14:textId="77777777" w:rsidR="004E434E" w:rsidRDefault="004E434E">
            <w:pPr>
              <w:pStyle w:val="Tabletext"/>
            </w:pPr>
            <w:r w:rsidRPr="009D61A0">
              <w:t xml:space="preserve">Langi Kal </w:t>
            </w:r>
            <w:proofErr w:type="spellStart"/>
            <w:r w:rsidRPr="009D61A0">
              <w:t>Kal</w:t>
            </w:r>
            <w:proofErr w:type="spellEnd"/>
            <w:r w:rsidRPr="009D61A0">
              <w:t xml:space="preserve"> Prison</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76087B40" w14:textId="77777777" w:rsidR="004E434E" w:rsidRDefault="004E434E">
            <w:pPr>
              <w:pStyle w:val="Tabletext"/>
            </w:pPr>
            <w:r w:rsidRPr="009D61A0">
              <w:t>Uniting</w:t>
            </w:r>
          </w:p>
        </w:tc>
      </w:tr>
      <w:tr w:rsidR="004E434E" w14:paraId="6540EEA4" w14:textId="77777777" w:rsidTr="007B22B8">
        <w:tc>
          <w:tcPr>
            <w:tcW w:w="4644" w:type="dxa"/>
            <w:tcBorders>
              <w:top w:val="single" w:sz="4" w:space="0" w:color="auto"/>
              <w:left w:val="single" w:sz="4" w:space="0" w:color="auto"/>
              <w:bottom w:val="single" w:sz="4" w:space="0" w:color="auto"/>
              <w:right w:val="single" w:sz="4" w:space="0" w:color="auto"/>
            </w:tcBorders>
            <w:shd w:val="clear" w:color="auto" w:fill="auto"/>
          </w:tcPr>
          <w:p w14:paraId="7FECF0A1" w14:textId="77777777" w:rsidR="004E434E" w:rsidRDefault="004E434E">
            <w:pPr>
              <w:pStyle w:val="Tabletext"/>
            </w:pPr>
            <w:r w:rsidRPr="009D61A0">
              <w:t>Dame Phyllis Frost Centre</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3FD83A4A" w14:textId="48AA6BA7" w:rsidR="004E434E" w:rsidRDefault="00596A3E">
            <w:pPr>
              <w:pStyle w:val="Tabletext"/>
            </w:pPr>
            <w:r w:rsidRPr="009D61A0">
              <w:t>Women’s</w:t>
            </w:r>
            <w:r w:rsidR="004E434E" w:rsidRPr="009D61A0">
              <w:t xml:space="preserve"> Housing</w:t>
            </w:r>
          </w:p>
        </w:tc>
      </w:tr>
    </w:tbl>
    <w:p w14:paraId="070FE78B" w14:textId="77777777" w:rsidR="004E434E" w:rsidDel="005A2709" w:rsidRDefault="004E434E" w:rsidP="004E434E">
      <w:pPr>
        <w:pStyle w:val="Body"/>
        <w:rPr>
          <w:highlight w:val="yellow"/>
        </w:rPr>
      </w:pPr>
    </w:p>
    <w:p w14:paraId="08326A6F" w14:textId="521EA3FA" w:rsidR="004E434E" w:rsidRDefault="004E434E" w:rsidP="004E434E">
      <w:pPr>
        <w:pStyle w:val="Body"/>
      </w:pPr>
      <w:r w:rsidRPr="00BB3C38">
        <w:t xml:space="preserve">These guidelines are to be read in conjunction with each organisations Funding and Service Agreement that they have with DFFH. These guidelines should also be read in conjunction with the </w:t>
      </w:r>
      <w:hyperlink r:id="rId21" w:history="1">
        <w:r w:rsidRPr="00F82DF3">
          <w:rPr>
            <w:rStyle w:val="Hyperlink"/>
            <w:rFonts w:ascii="Avenir Book" w:hAnsi="Avenir Book"/>
            <w:i/>
            <w:iCs/>
            <w:color w:val="005C2C"/>
          </w:rPr>
          <w:t>Homelessness and Housing Support Guidelines 2025</w:t>
        </w:r>
      </w:hyperlink>
      <w:r w:rsidRPr="00F82DF3">
        <w:t xml:space="preserve"> which</w:t>
      </w:r>
      <w:r w:rsidRPr="00BB3C38">
        <w:t xml:space="preserve"> outlines the fundamental requirements and standards of practice for all homelessness funded services within Victoria as well as the </w:t>
      </w:r>
      <w:hyperlink r:id="rId22" w:history="1">
        <w:r w:rsidRPr="0056672D">
          <w:rPr>
            <w:rStyle w:val="Hyperlink"/>
            <w:rFonts w:ascii="Avenir Book" w:hAnsi="Avenir Book"/>
            <w:i/>
            <w:iCs/>
          </w:rPr>
          <w:t>Enhanced Housing Pathways 2023 Guidelines</w:t>
        </w:r>
      </w:hyperlink>
      <w:r w:rsidRPr="00BB3C38">
        <w:t xml:space="preserve"> </w:t>
      </w:r>
      <w:r w:rsidR="00F134D8" w:rsidRPr="0056672D">
        <w:rPr>
          <w:rFonts w:ascii="Avenir Medium" w:hAnsi="Avenir Medium"/>
        </w:rPr>
        <w:t>https://fac.dffh.vic.gov.au/enhanced-housing-pathways-guidelines</w:t>
      </w:r>
      <w:r w:rsidRPr="00BB3C38">
        <w:t>.</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964E2C" w14:paraId="076099A2" w14:textId="77777777" w:rsidTr="00964E2C">
        <w:tc>
          <w:tcPr>
            <w:tcW w:w="9209" w:type="dxa"/>
            <w:shd w:val="clear" w:color="auto" w:fill="auto"/>
          </w:tcPr>
          <w:p w14:paraId="132C5647" w14:textId="77777777" w:rsidR="00964E2C" w:rsidRDefault="00964E2C" w:rsidP="004E434E">
            <w:pPr>
              <w:pStyle w:val="Body"/>
            </w:pPr>
            <w:hyperlink r:id="rId23" w:history="1">
              <w:r w:rsidRPr="00F82DF3">
                <w:rPr>
                  <w:rStyle w:val="Hyperlink"/>
                  <w:rFonts w:ascii="Avenir Book" w:hAnsi="Avenir Book"/>
                </w:rPr>
                <w:t>Homelessness and Housing Support Guidelines 2025</w:t>
              </w:r>
            </w:hyperlink>
          </w:p>
          <w:p w14:paraId="12628B3A" w14:textId="26F6AB26" w:rsidR="00964E2C" w:rsidRPr="00F82DF3" w:rsidRDefault="00964E2C" w:rsidP="004E434E">
            <w:pPr>
              <w:pStyle w:val="Body"/>
            </w:pPr>
            <w:r w:rsidRPr="00F82DF3">
              <w:t>https://www.dffh.vic.gov.au/homelessness-and-housing-support-guidelines-2025</w:t>
            </w:r>
          </w:p>
        </w:tc>
      </w:tr>
      <w:tr w:rsidR="00964E2C" w14:paraId="109EFB8D" w14:textId="77777777" w:rsidTr="00964E2C">
        <w:tc>
          <w:tcPr>
            <w:tcW w:w="9209" w:type="dxa"/>
            <w:shd w:val="clear" w:color="auto" w:fill="auto"/>
          </w:tcPr>
          <w:p w14:paraId="1F4177AC" w14:textId="77777777" w:rsidR="00964E2C" w:rsidRDefault="00964E2C" w:rsidP="004E434E">
            <w:pPr>
              <w:pStyle w:val="Body"/>
            </w:pPr>
            <w:hyperlink r:id="rId24" w:history="1">
              <w:r w:rsidRPr="00B607B1">
                <w:rPr>
                  <w:rStyle w:val="Hyperlink"/>
                  <w:rFonts w:ascii="Avenir Book" w:hAnsi="Avenir Book"/>
                </w:rPr>
                <w:t>Enhanced Housing Pathways 2023 Guidelines</w:t>
              </w:r>
            </w:hyperlink>
          </w:p>
          <w:p w14:paraId="1FF2965F" w14:textId="2D98BB55" w:rsidR="00964E2C" w:rsidRDefault="00964E2C" w:rsidP="004E434E">
            <w:pPr>
              <w:pStyle w:val="Body"/>
            </w:pPr>
            <w:r w:rsidRPr="0056672D">
              <w:rPr>
                <w:rFonts w:ascii="Avenir Medium" w:hAnsi="Avenir Medium"/>
              </w:rPr>
              <w:t>https://fac.dffh.vic.gov.au/enhanced-housing-pathways-guidelines</w:t>
            </w:r>
          </w:p>
        </w:tc>
      </w:tr>
    </w:tbl>
    <w:p w14:paraId="12E050BD" w14:textId="77777777" w:rsidR="00F134D8" w:rsidDel="005A2709" w:rsidRDefault="00F134D8" w:rsidP="004E434E">
      <w:pPr>
        <w:pStyle w:val="Body"/>
      </w:pPr>
    </w:p>
    <w:p w14:paraId="1129DAE0" w14:textId="77777777" w:rsidR="004E434E" w:rsidRPr="003449A5" w:rsidRDefault="004E434E" w:rsidP="004E434E">
      <w:pPr>
        <w:pStyle w:val="Heading1"/>
      </w:pPr>
      <w:bookmarkStart w:id="65" w:name="_Toc207868808"/>
      <w:r w:rsidRPr="003449A5">
        <w:lastRenderedPageBreak/>
        <w:t xml:space="preserve">Eligibility and </w:t>
      </w:r>
      <w:r>
        <w:t>a</w:t>
      </w:r>
      <w:r w:rsidRPr="003449A5">
        <w:t>ccess</w:t>
      </w:r>
      <w:bookmarkEnd w:id="65"/>
    </w:p>
    <w:p w14:paraId="0DBE7FD8" w14:textId="77777777" w:rsidR="004E434E" w:rsidRDefault="004E434E" w:rsidP="004E434E">
      <w:pPr>
        <w:pStyle w:val="Body"/>
      </w:pPr>
      <w:r w:rsidRPr="119FB08E">
        <w:t xml:space="preserve">This section outlines the specific eligibility criteria and access pathways for </w:t>
      </w:r>
      <w:r>
        <w:t>CHPI</w:t>
      </w:r>
      <w:r w:rsidRPr="0053213A">
        <w:t>.</w:t>
      </w:r>
      <w:r w:rsidRPr="119FB08E">
        <w:t xml:space="preserve"> While the 2025 Homelessness Services Guidelines establish foundational eligibility </w:t>
      </w:r>
      <w:r w:rsidRPr="008B527A">
        <w:t xml:space="preserve">requirements, </w:t>
      </w:r>
      <w:r w:rsidRPr="000A2F5B">
        <w:t>this program has additional parameters and focuses on specific cohorts as detailed below.</w:t>
      </w:r>
      <w:r w:rsidRPr="008B527A">
        <w:t xml:space="preserve"> Understanding these criteria is essential for both service providers and potential participants</w:t>
      </w:r>
      <w:r w:rsidRPr="119FB08E">
        <w:t xml:space="preserve"> to ensure appropriate referrals and service delivery.</w:t>
      </w:r>
    </w:p>
    <w:p w14:paraId="603B4B59" w14:textId="77777777" w:rsidR="004E434E" w:rsidRPr="003449A5" w:rsidRDefault="004E434E" w:rsidP="004E434E">
      <w:pPr>
        <w:pStyle w:val="Heading2"/>
      </w:pPr>
      <w:bookmarkStart w:id="66" w:name="_Toc207868809"/>
      <w:r w:rsidRPr="003449A5">
        <w:t>Eligibility criteria</w:t>
      </w:r>
      <w:bookmarkEnd w:id="66"/>
    </w:p>
    <w:p w14:paraId="5DC672EA" w14:textId="77777777" w:rsidR="004E434E" w:rsidRDefault="004E434E" w:rsidP="004E434E">
      <w:pPr>
        <w:pStyle w:val="Body"/>
      </w:pPr>
      <w:r w:rsidRPr="00865C8E">
        <w:t>The program is open to people 18 years and older</w:t>
      </w:r>
      <w:r>
        <w:t xml:space="preserve"> who:</w:t>
      </w:r>
    </w:p>
    <w:p w14:paraId="21337631" w14:textId="77777777" w:rsidR="004E434E" w:rsidRDefault="004E434E" w:rsidP="004E434E">
      <w:pPr>
        <w:pStyle w:val="Bullet1"/>
      </w:pPr>
      <w:r w:rsidRPr="008A700D">
        <w:t xml:space="preserve">are in the correctional facilities outlined in </w:t>
      </w:r>
      <w:r w:rsidRPr="008A700D">
        <w:fldChar w:fldCharType="begin"/>
      </w:r>
      <w:r w:rsidRPr="008A700D">
        <w:instrText xml:space="preserve"> REF _Ref198285900 \h </w:instrText>
      </w:r>
      <w:r>
        <w:instrText xml:space="preserve"> \* MERGEFORMAT </w:instrText>
      </w:r>
      <w:r w:rsidRPr="008A700D">
        <w:fldChar w:fldCharType="separate"/>
      </w:r>
      <w:r w:rsidRPr="008A700D">
        <w:t>Table 1</w:t>
      </w:r>
      <w:r w:rsidRPr="008A700D">
        <w:fldChar w:fldCharType="end"/>
      </w:r>
      <w:r w:rsidRPr="008A700D">
        <w:t xml:space="preserve"> above,</w:t>
      </w:r>
    </w:p>
    <w:p w14:paraId="4E4A00F4" w14:textId="77777777" w:rsidR="004E434E" w:rsidRPr="008A700D" w:rsidRDefault="004E434E" w:rsidP="004E434E">
      <w:pPr>
        <w:pStyle w:val="Bullet1"/>
      </w:pPr>
      <w:r>
        <w:t>have an identified housing need,</w:t>
      </w:r>
      <w:r w:rsidRPr="008A700D">
        <w:t xml:space="preserve"> and</w:t>
      </w:r>
    </w:p>
    <w:p w14:paraId="0813719A" w14:textId="77777777" w:rsidR="004E434E" w:rsidRDefault="004E434E" w:rsidP="004E434E">
      <w:pPr>
        <w:pStyle w:val="Bullet1"/>
      </w:pPr>
      <w:r>
        <w:t>are homeless, or at risk of homelessness, on exit from the facility.</w:t>
      </w:r>
    </w:p>
    <w:p w14:paraId="6CF9D611" w14:textId="77777777" w:rsidR="004E434E" w:rsidRPr="003449A5" w:rsidRDefault="004E434E" w:rsidP="004E434E">
      <w:pPr>
        <w:pStyle w:val="Heading2"/>
      </w:pPr>
      <w:bookmarkStart w:id="67" w:name="_Toc207868810"/>
      <w:r w:rsidRPr="003449A5">
        <w:t>Assessment</w:t>
      </w:r>
      <w:r>
        <w:t>, access and allocation pathways</w:t>
      </w:r>
      <w:bookmarkEnd w:id="67"/>
      <w:r>
        <w:t xml:space="preserve"> </w:t>
      </w:r>
    </w:p>
    <w:p w14:paraId="47964210" w14:textId="77777777" w:rsidR="004E434E" w:rsidRDefault="004E434E" w:rsidP="004E434E">
      <w:pPr>
        <w:pStyle w:val="Heading3"/>
      </w:pPr>
      <w:r>
        <w:t>Assessment, access and referral</w:t>
      </w:r>
    </w:p>
    <w:p w14:paraId="6A712B43" w14:textId="77777777" w:rsidR="004E434E" w:rsidRPr="003813A0" w:rsidRDefault="004E434E" w:rsidP="004E434E">
      <w:pPr>
        <w:pStyle w:val="Body"/>
      </w:pPr>
      <w:r w:rsidRPr="003813A0">
        <w:t>The CHPI IAP program provides people who are entering and/or exiting prison with access to a housing and support assessment. The assessment is completed in consultation with the client to review their needs, risks and housing priorities.</w:t>
      </w:r>
    </w:p>
    <w:p w14:paraId="1295A62C" w14:textId="77777777" w:rsidR="004E434E" w:rsidRPr="003813A0" w:rsidRDefault="004E434E" w:rsidP="004E434E">
      <w:pPr>
        <w:pStyle w:val="Body"/>
      </w:pPr>
      <w:r w:rsidRPr="003813A0">
        <w:t>Following the assessment, the IAP worker will provide information and advice to the client allowing them to make informed decisions regarding the development of their housing plan. A housing plan is designed to assist the client to achieve their housing goals and may include:</w:t>
      </w:r>
    </w:p>
    <w:p w14:paraId="1214B0FE" w14:textId="77777777" w:rsidR="004E434E" w:rsidRPr="000A2F5B" w:rsidRDefault="004E434E" w:rsidP="004E434E">
      <w:pPr>
        <w:pStyle w:val="Bullet1"/>
      </w:pPr>
      <w:r w:rsidRPr="000A2F5B">
        <w:t>retention of current housing if they are on remand or a short-term sentence</w:t>
      </w:r>
    </w:p>
    <w:p w14:paraId="3ED6ACEE" w14:textId="77777777" w:rsidR="004E434E" w:rsidRPr="000A2F5B" w:rsidRDefault="004E434E" w:rsidP="004E434E">
      <w:pPr>
        <w:pStyle w:val="Bullet1"/>
      </w:pPr>
      <w:r w:rsidRPr="000A2F5B">
        <w:t xml:space="preserve">emergency accommodation (hotel and/or rooming house) and support coordination for people who may experience homelessness on release from prison </w:t>
      </w:r>
    </w:p>
    <w:p w14:paraId="4CB50A31" w14:textId="77777777" w:rsidR="004E434E" w:rsidRPr="000A2F5B" w:rsidRDefault="004E434E" w:rsidP="004E434E">
      <w:pPr>
        <w:pStyle w:val="Bullet1"/>
      </w:pPr>
      <w:r w:rsidRPr="000A2F5B">
        <w:t>referrals to specialist housing support workers such as the Enhanced Housing Pathways (EHP) workers on release from prison</w:t>
      </w:r>
    </w:p>
    <w:p w14:paraId="5854CA93" w14:textId="77777777" w:rsidR="004E434E" w:rsidRPr="000A2F5B" w:rsidRDefault="004E434E" w:rsidP="004E434E">
      <w:pPr>
        <w:pStyle w:val="Bullet1"/>
      </w:pPr>
      <w:r w:rsidRPr="000A2F5B">
        <w:t>complete referrals for supportive housing options (congregate care) where available</w:t>
      </w:r>
    </w:p>
    <w:p w14:paraId="47EC3BE6" w14:textId="77777777" w:rsidR="004E434E" w:rsidRPr="000A2F5B" w:rsidRDefault="004E434E" w:rsidP="004E434E">
      <w:pPr>
        <w:pStyle w:val="Bullet1"/>
      </w:pPr>
      <w:r w:rsidRPr="000A2F5B">
        <w:t>applications for long-term housing such as through the Victorian Housing Register (VHR) or private rental for those who do not have secure housing.</w:t>
      </w:r>
      <w:r>
        <w:t xml:space="preserve"> </w:t>
      </w:r>
    </w:p>
    <w:p w14:paraId="4CC2BFDE" w14:textId="77777777" w:rsidR="004E434E" w:rsidRPr="003449A5" w:rsidRDefault="004E434E" w:rsidP="004E434E">
      <w:pPr>
        <w:pStyle w:val="Heading2"/>
      </w:pPr>
      <w:bookmarkStart w:id="68" w:name="_Toc207868811"/>
      <w:r w:rsidRPr="003449A5">
        <w:t xml:space="preserve">Intersection between </w:t>
      </w:r>
      <w:r>
        <w:t>CHPI</w:t>
      </w:r>
      <w:r w:rsidRPr="003449A5">
        <w:t xml:space="preserve"> and other programs, systems or initiatives</w:t>
      </w:r>
      <w:bookmarkEnd w:id="68"/>
      <w:r>
        <w:t xml:space="preserve"> </w:t>
      </w:r>
    </w:p>
    <w:p w14:paraId="66479544" w14:textId="77777777" w:rsidR="004E434E" w:rsidRDefault="004E434E" w:rsidP="004E434E">
      <w:pPr>
        <w:pStyle w:val="Body"/>
      </w:pPr>
      <w:r>
        <w:t xml:space="preserve">To effectively serve clients experiencing homelessness, collaboration and coordination with other systems and programs is crucial. </w:t>
      </w:r>
      <w:r w:rsidRPr="119FB08E">
        <w:rPr>
          <w:szCs w:val="21"/>
        </w:rPr>
        <w:t>This</w:t>
      </w:r>
      <w:r w:rsidRPr="119FB08E">
        <w:rPr>
          <w:color w:val="0F8194" w:themeColor="accent1"/>
        </w:rPr>
        <w:t xml:space="preserve"> </w:t>
      </w:r>
      <w:r>
        <w:t xml:space="preserve">section highlights </w:t>
      </w:r>
      <w:r w:rsidRPr="00821817">
        <w:t xml:space="preserve">how </w:t>
      </w:r>
      <w:r w:rsidRPr="00722873">
        <w:t xml:space="preserve">CHPI </w:t>
      </w:r>
      <w:r w:rsidRPr="00821817">
        <w:t>interacts</w:t>
      </w:r>
      <w:r w:rsidRPr="119FB08E">
        <w:t xml:space="preserve"> </w:t>
      </w:r>
      <w:r w:rsidRPr="00241CF8">
        <w:t xml:space="preserve">with </w:t>
      </w:r>
      <w:r w:rsidRPr="00722873">
        <w:t xml:space="preserve">the Department of Justice and Community Safety, and homelessness services, </w:t>
      </w:r>
      <w:r w:rsidRPr="00241CF8">
        <w:t>ensuring comprehensive support</w:t>
      </w:r>
      <w:r>
        <w:t xml:space="preserve"> while avoiding duplication of efforts. Understanding these interconnected relationships empowers workers to navigate referrals, share resources, and ultimately maximise client outcomes.</w:t>
      </w:r>
    </w:p>
    <w:p w14:paraId="633647F0" w14:textId="77777777" w:rsidR="004E434E" w:rsidRDefault="004E434E" w:rsidP="004E434E">
      <w:pPr>
        <w:pStyle w:val="Heading3"/>
      </w:pPr>
      <w:bookmarkStart w:id="69" w:name="_Ref198304017"/>
      <w:r w:rsidRPr="004C0D77">
        <w:t>Interface with Department of Justice and Community Safety</w:t>
      </w:r>
      <w:bookmarkEnd w:id="69"/>
    </w:p>
    <w:p w14:paraId="3472B428" w14:textId="77777777" w:rsidR="004E434E" w:rsidRDefault="004E434E" w:rsidP="004E434E">
      <w:pPr>
        <w:pStyle w:val="Body"/>
      </w:pPr>
      <w:r>
        <w:t xml:space="preserve">The CHPI IAP program is part of a wider system response designed to reduce homelessness and recidivism for those leaving custody. IAP workers collaborate closely with the Department of Justice </w:t>
      </w:r>
      <w:r>
        <w:lastRenderedPageBreak/>
        <w:t xml:space="preserve">and Community Safety (DJCS), specifically with staff from Corrections Victoria (CV) and their funded services. </w:t>
      </w:r>
    </w:p>
    <w:p w14:paraId="2F762093" w14:textId="35B5CBBB" w:rsidR="004E434E" w:rsidRDefault="004E434E" w:rsidP="004E434E">
      <w:pPr>
        <w:pStyle w:val="Body"/>
      </w:pPr>
      <w:r>
        <w:t>Please note that information contained within this document refers to state run prisons only. IAP workers based at Fulham prison may use this information as a guide, however, are encouraged to seek advice from their local prison regarding the policies and procedures applicable to their location.</w:t>
      </w:r>
    </w:p>
    <w:p w14:paraId="61CC6A29" w14:textId="77777777" w:rsidR="004E434E" w:rsidRDefault="004E434E" w:rsidP="004E434E">
      <w:pPr>
        <w:pStyle w:val="Heading4Unnumbered"/>
      </w:pPr>
      <w:r>
        <w:t>Reintegration Pathways System</w:t>
      </w:r>
    </w:p>
    <w:p w14:paraId="7A11A106" w14:textId="77777777" w:rsidR="004E434E" w:rsidRDefault="004E434E" w:rsidP="004E434E">
      <w:pPr>
        <w:pStyle w:val="Body"/>
      </w:pPr>
      <w:r>
        <w:t xml:space="preserve">The Reintegration Pathways System (RPS) is an IT web-based application which has been developed to support the work conducted by CV staff both inside and outside of the prison. RPS has been designed to capture the program activity which takes place throughout the prisoner’s correctional journey, which commences upon a prisoner’s reception into prison and continues through to post-release support. RPS has been designed with a ‘tab’ for each stage identified in the Corrections Victoria Reintegration Pathway (CVRP). </w:t>
      </w:r>
    </w:p>
    <w:p w14:paraId="115B663C" w14:textId="7A45003E" w:rsidR="004E434E" w:rsidRDefault="004E434E" w:rsidP="004E434E">
      <w:pPr>
        <w:pStyle w:val="Body"/>
      </w:pPr>
      <w:r>
        <w:t xml:space="preserve">IAP workers can only view the profiles of people in prison who have been referred to the CHPI IAP service. IAP workers can view the information recorded under the Reception Transition Triage (RTT), Case Planning Transition (CPT) and ReGroup stages. IAP workers can only edit the sessions, attachments, case notes and ‘my notes’ in these tabs in RPS. All other tabs are available in read only format. </w:t>
      </w:r>
    </w:p>
    <w:p w14:paraId="7A6DB36E" w14:textId="77777777" w:rsidR="004E434E" w:rsidRDefault="004E434E" w:rsidP="004E434E">
      <w:pPr>
        <w:pStyle w:val="Body"/>
      </w:pPr>
      <w:r>
        <w:t>The RPS system is a valuable resource to facilitate two-way communication between IAP workers and prison-based Assessment and Transition Coordinators through access to relevant information such as client expected release date/s, client engagement with other programs and client housing exit plans upon release. Adding case notes to RPS is highly encouraged.</w:t>
      </w:r>
    </w:p>
    <w:p w14:paraId="5D898689" w14:textId="77777777" w:rsidR="004E434E" w:rsidRDefault="004E434E" w:rsidP="004E434E">
      <w:pPr>
        <w:pStyle w:val="Body"/>
      </w:pPr>
      <w:r>
        <w:t xml:space="preserve">If there is a business need, CHPI IAP workers can request access to the RPS system by contacting the Transition and Reintegration Unit (TRU) from Corrections Victoria email: </w:t>
      </w:r>
      <w:hyperlink r:id="rId25" w:history="1">
        <w:r w:rsidRPr="00A52BCE">
          <w:rPr>
            <w:rStyle w:val="Hyperlink"/>
            <w:rFonts w:ascii="Avenir Book" w:hAnsi="Avenir Book"/>
          </w:rPr>
          <w:t>tru@justice.vic.gov.au</w:t>
        </w:r>
      </w:hyperlink>
      <w:r>
        <w:t>.</w:t>
      </w:r>
    </w:p>
    <w:p w14:paraId="7FFB0E1B" w14:textId="77777777" w:rsidR="004E434E" w:rsidRDefault="004E434E" w:rsidP="004E434E">
      <w:pPr>
        <w:pStyle w:val="Heading4Unnumbered"/>
      </w:pPr>
      <w:r>
        <w:t>Corrections Victoria Reintegration Pathway (CVRP)</w:t>
      </w:r>
    </w:p>
    <w:p w14:paraId="5D5927EE" w14:textId="77777777" w:rsidR="004E434E" w:rsidRDefault="004E434E" w:rsidP="004E434E">
      <w:pPr>
        <w:pStyle w:val="Body"/>
      </w:pPr>
      <w:r>
        <w:t>To support people in prison to transition or reintegrate back into the community at the end of their prison sentence, CV has developed a consistent definition of what is meant by ‘transitional needs’. This definition is comprised of seven critical intervention domains:</w:t>
      </w:r>
    </w:p>
    <w:p w14:paraId="405DB4B2" w14:textId="77777777" w:rsidR="004E434E" w:rsidRDefault="004E434E" w:rsidP="004E434E">
      <w:pPr>
        <w:pStyle w:val="Caption"/>
        <w:keepNext/>
      </w:pPr>
      <w:r>
        <w:t xml:space="preserve">Table </w:t>
      </w:r>
      <w:r>
        <w:fldChar w:fldCharType="begin"/>
      </w:r>
      <w:r>
        <w:instrText xml:space="preserve"> SEQ Table \* ARABIC </w:instrText>
      </w:r>
      <w:r>
        <w:fldChar w:fldCharType="separate"/>
      </w:r>
      <w:r>
        <w:rPr>
          <w:noProof/>
        </w:rPr>
        <w:t>2</w:t>
      </w:r>
      <w:r>
        <w:rPr>
          <w:noProof/>
        </w:rPr>
        <w:fldChar w:fldCharType="end"/>
      </w:r>
      <w:r>
        <w:t>: Corrections critical intervention domains</w:t>
      </w: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58"/>
      </w:tblGrid>
      <w:tr w:rsidR="004E434E" w14:paraId="4EE35EB4" w14:textId="77777777" w:rsidTr="00964E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tcPr>
          <w:p w14:paraId="65E9E555" w14:textId="77777777" w:rsidR="004E434E" w:rsidRDefault="004E434E">
            <w:pPr>
              <w:pStyle w:val="Tablecolhead"/>
            </w:pPr>
            <w:r w:rsidRPr="00E630C4">
              <w:t xml:space="preserve">Critical Intervention Domain </w:t>
            </w:r>
          </w:p>
        </w:tc>
        <w:tc>
          <w:tcPr>
            <w:tcW w:w="0" w:type="dxa"/>
          </w:tcPr>
          <w:p w14:paraId="590FD175" w14:textId="77777777" w:rsidR="004E434E" w:rsidRDefault="004E434E">
            <w:pPr>
              <w:pStyle w:val="Tablecolhead"/>
              <w:cnfStyle w:val="100000000000" w:firstRow="1" w:lastRow="0" w:firstColumn="0" w:lastColumn="0" w:oddVBand="0" w:evenVBand="0" w:oddHBand="0" w:evenHBand="0" w:firstRowFirstColumn="0" w:firstRowLastColumn="0" w:lastRowFirstColumn="0" w:lastRowLastColumn="0"/>
            </w:pPr>
            <w:r w:rsidRPr="00E630C4">
              <w:t xml:space="preserve">What is meant by this? </w:t>
            </w:r>
          </w:p>
        </w:tc>
      </w:tr>
      <w:tr w:rsidR="004E434E" w14:paraId="203EC1E3" w14:textId="77777777" w:rsidTr="00964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tcPr>
          <w:p w14:paraId="03B4FA22" w14:textId="77777777" w:rsidR="004E434E" w:rsidRDefault="004E434E">
            <w:pPr>
              <w:pStyle w:val="Body"/>
            </w:pPr>
            <w:r w:rsidRPr="00E87241">
              <w:t xml:space="preserve">Housing </w:t>
            </w:r>
          </w:p>
        </w:tc>
        <w:tc>
          <w:tcPr>
            <w:tcW w:w="6458" w:type="dxa"/>
            <w:tcBorders>
              <w:top w:val="none" w:sz="0" w:space="0" w:color="auto"/>
              <w:bottom w:val="none" w:sz="0" w:space="0" w:color="auto"/>
            </w:tcBorders>
          </w:tcPr>
          <w:p w14:paraId="50EC9C8E" w14:textId="77777777" w:rsidR="004E434E" w:rsidRDefault="004E434E">
            <w:pPr>
              <w:pStyle w:val="Body"/>
              <w:cnfStyle w:val="000000100000" w:firstRow="0" w:lastRow="0" w:firstColumn="0" w:lastColumn="0" w:oddVBand="0" w:evenVBand="0" w:oddHBand="1" w:evenHBand="0" w:firstRowFirstColumn="0" w:firstRowLastColumn="0" w:lastRowFirstColumn="0" w:lastRowLastColumn="0"/>
            </w:pPr>
            <w:r w:rsidRPr="00E87241">
              <w:t xml:space="preserve">Does the prisoner have safe, suitable, and sustainable accommodation that will support them to live a proactive lifestyle (i.e., avoid reoffending)? </w:t>
            </w:r>
          </w:p>
        </w:tc>
      </w:tr>
      <w:tr w:rsidR="004E434E" w14:paraId="78D32780" w14:textId="77777777" w:rsidTr="00964E2C">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tcPr>
          <w:p w14:paraId="22A0F430" w14:textId="77777777" w:rsidR="004E434E" w:rsidRDefault="004E434E">
            <w:pPr>
              <w:pStyle w:val="Body"/>
            </w:pPr>
            <w:r w:rsidRPr="00E87241">
              <w:t xml:space="preserve">Employment </w:t>
            </w:r>
          </w:p>
        </w:tc>
        <w:tc>
          <w:tcPr>
            <w:tcW w:w="6458" w:type="dxa"/>
          </w:tcPr>
          <w:p w14:paraId="13C49D4C" w14:textId="77777777" w:rsidR="004E434E" w:rsidRDefault="004E434E">
            <w:pPr>
              <w:pStyle w:val="Body"/>
              <w:cnfStyle w:val="000000000000" w:firstRow="0" w:lastRow="0" w:firstColumn="0" w:lastColumn="0" w:oddVBand="0" w:evenVBand="0" w:oddHBand="0" w:evenHBand="0" w:firstRowFirstColumn="0" w:firstRowLastColumn="0" w:lastRowFirstColumn="0" w:lastRowLastColumn="0"/>
            </w:pPr>
            <w:r w:rsidRPr="00E87241">
              <w:t xml:space="preserve">Does the prisoner have means to financially support themselves through a safe, legal, and sustainable income? </w:t>
            </w:r>
          </w:p>
        </w:tc>
      </w:tr>
      <w:tr w:rsidR="004E434E" w14:paraId="6405EFF9" w14:textId="77777777" w:rsidTr="00964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tcPr>
          <w:p w14:paraId="579F50DC" w14:textId="77777777" w:rsidR="004E434E" w:rsidRDefault="004E434E">
            <w:pPr>
              <w:pStyle w:val="Body"/>
            </w:pPr>
            <w:r w:rsidRPr="00E87241">
              <w:t xml:space="preserve">Education and Training </w:t>
            </w:r>
          </w:p>
        </w:tc>
        <w:tc>
          <w:tcPr>
            <w:tcW w:w="6458" w:type="dxa"/>
            <w:tcBorders>
              <w:top w:val="none" w:sz="0" w:space="0" w:color="auto"/>
              <w:bottom w:val="none" w:sz="0" w:space="0" w:color="auto"/>
            </w:tcBorders>
          </w:tcPr>
          <w:p w14:paraId="15EDEF67" w14:textId="77777777" w:rsidR="004E434E" w:rsidRDefault="004E434E">
            <w:pPr>
              <w:pStyle w:val="Body"/>
              <w:cnfStyle w:val="000000100000" w:firstRow="0" w:lastRow="0" w:firstColumn="0" w:lastColumn="0" w:oddVBand="0" w:evenVBand="0" w:oddHBand="1" w:evenHBand="0" w:firstRowFirstColumn="0" w:firstRowLastColumn="0" w:lastRowFirstColumn="0" w:lastRowLastColumn="0"/>
            </w:pPr>
            <w:r w:rsidRPr="00E87241">
              <w:t xml:space="preserve">Does the prisoner have skills and/or qualifications that will allow them to secure legal sustainable employment after release? </w:t>
            </w:r>
          </w:p>
        </w:tc>
      </w:tr>
      <w:tr w:rsidR="004E434E" w14:paraId="5598310E" w14:textId="77777777" w:rsidTr="00964E2C">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tcPr>
          <w:p w14:paraId="52D40E14" w14:textId="77777777" w:rsidR="004E434E" w:rsidRDefault="004E434E">
            <w:pPr>
              <w:pStyle w:val="Body"/>
            </w:pPr>
            <w:r w:rsidRPr="00E87241">
              <w:t xml:space="preserve">Independent Living Skills </w:t>
            </w:r>
          </w:p>
        </w:tc>
        <w:tc>
          <w:tcPr>
            <w:tcW w:w="6458" w:type="dxa"/>
          </w:tcPr>
          <w:p w14:paraId="2C2D0150" w14:textId="77777777" w:rsidR="004E434E" w:rsidRDefault="004E434E">
            <w:pPr>
              <w:pStyle w:val="Body"/>
              <w:cnfStyle w:val="000000000000" w:firstRow="0" w:lastRow="0" w:firstColumn="0" w:lastColumn="0" w:oddVBand="0" w:evenVBand="0" w:oddHBand="0" w:evenHBand="0" w:firstRowFirstColumn="0" w:firstRowLastColumn="0" w:lastRowFirstColumn="0" w:lastRowLastColumn="0"/>
            </w:pPr>
            <w:r w:rsidRPr="00E87241">
              <w:t xml:space="preserve">Does the prisoner have appropriate skills and ability to be able to generally look after themselves (i.e. ability to cook, clean, manage their money, access transport, or manage their health)? </w:t>
            </w:r>
          </w:p>
        </w:tc>
      </w:tr>
      <w:tr w:rsidR="004E434E" w14:paraId="08C3CF69" w14:textId="77777777" w:rsidTr="00964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tcPr>
          <w:p w14:paraId="4A9EBB81" w14:textId="77777777" w:rsidR="004E434E" w:rsidRDefault="004E434E">
            <w:pPr>
              <w:pStyle w:val="Body"/>
            </w:pPr>
            <w:r w:rsidRPr="00E87241">
              <w:t xml:space="preserve">Mental Health </w:t>
            </w:r>
          </w:p>
        </w:tc>
        <w:tc>
          <w:tcPr>
            <w:tcW w:w="6458" w:type="dxa"/>
            <w:tcBorders>
              <w:top w:val="none" w:sz="0" w:space="0" w:color="auto"/>
              <w:bottom w:val="none" w:sz="0" w:space="0" w:color="auto"/>
            </w:tcBorders>
          </w:tcPr>
          <w:p w14:paraId="468C2066" w14:textId="77777777" w:rsidR="004E434E" w:rsidRDefault="004E434E">
            <w:pPr>
              <w:pStyle w:val="Body"/>
              <w:cnfStyle w:val="000000100000" w:firstRow="0" w:lastRow="0" w:firstColumn="0" w:lastColumn="0" w:oddVBand="0" w:evenVBand="0" w:oddHBand="1" w:evenHBand="0" w:firstRowFirstColumn="0" w:firstRowLastColumn="0" w:lastRowFirstColumn="0" w:lastRowLastColumn="0"/>
            </w:pPr>
            <w:r w:rsidRPr="00E87241">
              <w:t xml:space="preserve">Is the prisoner engaged in or have access to relevant mental health supports? </w:t>
            </w:r>
          </w:p>
        </w:tc>
      </w:tr>
      <w:tr w:rsidR="004E434E" w14:paraId="77CA43EF" w14:textId="77777777" w:rsidTr="00964E2C">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tcPr>
          <w:p w14:paraId="5AF8A744" w14:textId="77777777" w:rsidR="004E434E" w:rsidRDefault="004E434E">
            <w:pPr>
              <w:pStyle w:val="Body"/>
            </w:pPr>
            <w:r w:rsidRPr="00E87241">
              <w:lastRenderedPageBreak/>
              <w:t xml:space="preserve">Alcohol and Drugs </w:t>
            </w:r>
          </w:p>
        </w:tc>
        <w:tc>
          <w:tcPr>
            <w:tcW w:w="6458" w:type="dxa"/>
          </w:tcPr>
          <w:p w14:paraId="1035B76B" w14:textId="77777777" w:rsidR="004E434E" w:rsidRDefault="004E434E">
            <w:pPr>
              <w:pStyle w:val="Body"/>
              <w:cnfStyle w:val="000000000000" w:firstRow="0" w:lastRow="0" w:firstColumn="0" w:lastColumn="0" w:oddVBand="0" w:evenVBand="0" w:oddHBand="0" w:evenHBand="0" w:firstRowFirstColumn="0" w:firstRowLastColumn="0" w:lastRowFirstColumn="0" w:lastRowLastColumn="0"/>
            </w:pPr>
            <w:r w:rsidRPr="00E87241">
              <w:t xml:space="preserve">Where required, is the prisoner engaged in or have access to support services around alcohol and drug use including, where appropriate, harm minimisation information? </w:t>
            </w:r>
          </w:p>
        </w:tc>
      </w:tr>
      <w:tr w:rsidR="004E434E" w14:paraId="1CD33A26" w14:textId="77777777" w:rsidTr="00964E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tcPr>
          <w:p w14:paraId="259D0D47" w14:textId="77777777" w:rsidR="004E434E" w:rsidRDefault="004E434E">
            <w:pPr>
              <w:pStyle w:val="Body"/>
            </w:pPr>
            <w:r w:rsidRPr="00E87241">
              <w:t xml:space="preserve">Family and Community Connectedness </w:t>
            </w:r>
          </w:p>
        </w:tc>
        <w:tc>
          <w:tcPr>
            <w:tcW w:w="6458" w:type="dxa"/>
            <w:tcBorders>
              <w:top w:val="none" w:sz="0" w:space="0" w:color="auto"/>
              <w:bottom w:val="none" w:sz="0" w:space="0" w:color="auto"/>
            </w:tcBorders>
          </w:tcPr>
          <w:p w14:paraId="15133489" w14:textId="77777777" w:rsidR="004E434E" w:rsidRDefault="004E434E">
            <w:pPr>
              <w:pStyle w:val="Body"/>
              <w:cnfStyle w:val="000000100000" w:firstRow="0" w:lastRow="0" w:firstColumn="0" w:lastColumn="0" w:oddVBand="0" w:evenVBand="0" w:oddHBand="1" w:evenHBand="0" w:firstRowFirstColumn="0" w:firstRowLastColumn="0" w:lastRowFirstColumn="0" w:lastRowLastColumn="0"/>
            </w:pPr>
            <w:r w:rsidRPr="00E87241">
              <w:t xml:space="preserve">Is the prisoner engaged in family, friend or broader community or cultural networks that will support them to maintain a pro-social, active, crime-free lifestyle? </w:t>
            </w:r>
          </w:p>
        </w:tc>
      </w:tr>
    </w:tbl>
    <w:p w14:paraId="6E6A7721" w14:textId="77777777" w:rsidR="004E434E" w:rsidRDefault="004E434E" w:rsidP="004E434E">
      <w:pPr>
        <w:pStyle w:val="Bodyaftertablefigure"/>
      </w:pPr>
      <w:r>
        <w:t xml:space="preserve">All people in prison are eligible to participate in various parts of the CVRP, although each phase will have its own specific eligibility criteria, and it is entirely voluntary. </w:t>
      </w:r>
    </w:p>
    <w:p w14:paraId="05691717" w14:textId="77777777" w:rsidR="004E434E" w:rsidRDefault="004E434E" w:rsidP="004E434E">
      <w:pPr>
        <w:pStyle w:val="Body"/>
      </w:pPr>
      <w:r>
        <w:t xml:space="preserve">For further information about the CVRP, please refer </w:t>
      </w:r>
      <w:r w:rsidRPr="00D97635">
        <w:t xml:space="preserve">to </w:t>
      </w:r>
      <w:hyperlink w:anchor="Appendix1" w:history="1">
        <w:r w:rsidRPr="00D97635">
          <w:rPr>
            <w:rStyle w:val="Hyperlink"/>
            <w:rFonts w:ascii="Avenir Book" w:hAnsi="Avenir Book"/>
          </w:rPr>
          <w:t>Appendix 1</w:t>
        </w:r>
      </w:hyperlink>
      <w:r w:rsidRPr="00D97635">
        <w:t>.</w:t>
      </w:r>
    </w:p>
    <w:p w14:paraId="2BA788A0" w14:textId="77777777" w:rsidR="004E434E" w:rsidRDefault="004E434E" w:rsidP="004E434E">
      <w:pPr>
        <w:pStyle w:val="Heading4Unnumbered"/>
      </w:pPr>
      <w:r>
        <w:t>CHPI interface with Assessment and Transition Coordinators</w:t>
      </w:r>
    </w:p>
    <w:p w14:paraId="55312F9A" w14:textId="77777777" w:rsidR="004E434E" w:rsidRDefault="004E434E" w:rsidP="004E434E">
      <w:pPr>
        <w:pStyle w:val="Body"/>
      </w:pPr>
      <w:r>
        <w:t xml:space="preserve">Assessment and Transition Coordinators (ATCs) are a key contact for CHPI IAP workers at each prison. ATC’s complete reintegration assessments with people in prison to determine support needs while in prison and post release. </w:t>
      </w:r>
    </w:p>
    <w:p w14:paraId="5AFBF9BD" w14:textId="77777777" w:rsidR="004E434E" w:rsidRDefault="004E434E" w:rsidP="004E434E">
      <w:pPr>
        <w:pStyle w:val="Body"/>
      </w:pPr>
      <w:r>
        <w:t xml:space="preserve">The ATC is obligated to refer all people in prison who meet the eligibility criteria for housing support to the IAP for housing support regardless of their risk. In line with the reintegration assessments that are undertaken by the ATC’s to assess needs, the IAP’s may see referrals being made when someone first enters prison, while on remand and 12 months out from their release date. </w:t>
      </w:r>
    </w:p>
    <w:p w14:paraId="0FA8BCDA" w14:textId="77777777" w:rsidR="004E434E" w:rsidRDefault="004E434E" w:rsidP="004E434E">
      <w:pPr>
        <w:pStyle w:val="Body"/>
      </w:pPr>
      <w:r>
        <w:t>IAP workers are to work in partnership with ATCs and prison managers. These guidelines document the roles and responsibilities of both IAP workers and ATC staff in working together to deliver positive outcomes for CHPI clients in a safe working environment.</w:t>
      </w:r>
    </w:p>
    <w:p w14:paraId="5761ADF7" w14:textId="77777777" w:rsidR="004E434E" w:rsidRDefault="004E434E" w:rsidP="004E434E">
      <w:pPr>
        <w:pStyle w:val="Heading4Unnumbered"/>
      </w:pPr>
      <w:r>
        <w:t>Collaboration between the CHPI IAP and ReConnect and ReStart programs</w:t>
      </w:r>
    </w:p>
    <w:p w14:paraId="595BD477" w14:textId="77777777" w:rsidR="004E434E" w:rsidRDefault="004E434E" w:rsidP="004E434E">
      <w:pPr>
        <w:pStyle w:val="Heading5"/>
      </w:pPr>
      <w:r>
        <w:t>ReConnect</w:t>
      </w:r>
    </w:p>
    <w:p w14:paraId="32F2BD1C" w14:textId="77777777" w:rsidR="004E434E" w:rsidRDefault="004E434E" w:rsidP="004E434E">
      <w:pPr>
        <w:pStyle w:val="Body"/>
      </w:pPr>
      <w:r>
        <w:t>ReConnect is a voluntary post-release transition and reintegration support program funded by CV for high risk, high need people who are going to be released into community on parole, straight release or to a community corrections order (CCO).</w:t>
      </w:r>
    </w:p>
    <w:p w14:paraId="254DB9E2" w14:textId="77777777" w:rsidR="004E434E" w:rsidRDefault="004E434E" w:rsidP="004E434E">
      <w:pPr>
        <w:pStyle w:val="Body"/>
      </w:pPr>
      <w:r>
        <w:t xml:space="preserve">The ReConnect program builds upon the transitional work completed pre-release, ensuring a thorough care approach and targeted support in the community. </w:t>
      </w:r>
    </w:p>
    <w:p w14:paraId="31E0DD5B" w14:textId="77777777" w:rsidR="004E434E" w:rsidRDefault="004E434E" w:rsidP="004E434E">
      <w:pPr>
        <w:pStyle w:val="Body"/>
      </w:pPr>
      <w:r>
        <w:t>ReConnect commences support approximately six weeks prior to a client’s release. The duration and intensity of support will vary depending on if they are placed in a brief, extended or intensive support stream.</w:t>
      </w:r>
    </w:p>
    <w:p w14:paraId="1A98C620" w14:textId="77777777" w:rsidR="004E434E" w:rsidRDefault="004E434E" w:rsidP="004E434E">
      <w:pPr>
        <w:pStyle w:val="Heading5"/>
      </w:pPr>
      <w:r>
        <w:t>ReStart</w:t>
      </w:r>
    </w:p>
    <w:p w14:paraId="71F579D6" w14:textId="77777777" w:rsidR="004E434E" w:rsidRDefault="004E434E" w:rsidP="004E434E">
      <w:pPr>
        <w:pStyle w:val="Body"/>
      </w:pPr>
      <w:r>
        <w:t xml:space="preserve">ReStart is a voluntary pre and post-release support program, provided by the Australian Community Support Organisation (ACSO). It is available to people on remand, and people with a sentence of three (3) months or less, who have been identified as having High Reintegration Needs through the administration of the Reintegration Assessments. </w:t>
      </w:r>
    </w:p>
    <w:p w14:paraId="714FFA21" w14:textId="77777777" w:rsidR="004E434E" w:rsidRDefault="004E434E" w:rsidP="004E434E">
      <w:pPr>
        <w:pStyle w:val="Body"/>
      </w:pPr>
      <w:r>
        <w:t>ReStart provides eligible people with up to three (3) months post-release intensive, assertive outreach support to promote sustainable links and reintegration back into the community, by engaging pre-release and developing individualised transition plans.</w:t>
      </w:r>
    </w:p>
    <w:p w14:paraId="243BB9B4" w14:textId="77777777" w:rsidR="004E434E" w:rsidRDefault="004E434E" w:rsidP="004E434E">
      <w:pPr>
        <w:pStyle w:val="Body"/>
      </w:pPr>
      <w:r>
        <w:t>Remand prisoners present a unique set of challenges to referral and eligibility for post release support programs as things can change very quickly following a court appearance.</w:t>
      </w:r>
    </w:p>
    <w:p w14:paraId="224FEFA8" w14:textId="77777777" w:rsidR="004E434E" w:rsidRDefault="004E434E" w:rsidP="004E434E">
      <w:pPr>
        <w:pStyle w:val="Body"/>
      </w:pPr>
      <w:r>
        <w:t>People accepted on to ReStart will receive a direct service provision within five business days of the referral accepted date.</w:t>
      </w:r>
    </w:p>
    <w:p w14:paraId="6FA9BB86" w14:textId="77777777" w:rsidR="004E434E" w:rsidRDefault="004E434E" w:rsidP="004E434E">
      <w:pPr>
        <w:pStyle w:val="Body"/>
      </w:pPr>
      <w:r>
        <w:lastRenderedPageBreak/>
        <w:t xml:space="preserve">For further information in relation to ReConnect and ReStart, refer </w:t>
      </w:r>
      <w:r w:rsidRPr="00F262C2">
        <w:t xml:space="preserve">to </w:t>
      </w:r>
      <w:hyperlink w:anchor="Appendix1" w:history="1">
        <w:r w:rsidRPr="00F262C2">
          <w:rPr>
            <w:rStyle w:val="Hyperlink"/>
            <w:rFonts w:ascii="Avenir Book" w:hAnsi="Avenir Book"/>
          </w:rPr>
          <w:t>Appendix 1</w:t>
        </w:r>
      </w:hyperlink>
      <w:r w:rsidRPr="00F262C2">
        <w:t>.</w:t>
      </w:r>
    </w:p>
    <w:p w14:paraId="5D8BE60F" w14:textId="77777777" w:rsidR="004E434E" w:rsidRDefault="004E434E" w:rsidP="004E434E">
      <w:pPr>
        <w:pStyle w:val="Body"/>
      </w:pPr>
      <w:r>
        <w:t>If a client accessing CHPI IAP commences actively participating with the ReConnect/ReStart program, the ReConnect/ReStart worker will collaborate with the IAP worker to consider available housing options. With consent from the client, the IAP worker will provide the ReConnect/ReStart worker with a copy of the current housing plan.</w:t>
      </w:r>
    </w:p>
    <w:p w14:paraId="5B05BA52" w14:textId="77777777" w:rsidR="004E434E" w:rsidRDefault="004E434E" w:rsidP="004E434E">
      <w:pPr>
        <w:pStyle w:val="Body"/>
      </w:pPr>
      <w:r>
        <w:t xml:space="preserve">In most cases, ReConnect will not usually commence support prior to six weeks pre-release, ReStart within five days of a referral being accepted. Not all those who meet eligibility criteria will engage with this voluntary program. Therefore, it is critical that all clients referred to the IAP worker are supported to explore affordable and social housing options prior to commencing with ReConnect/ReStart. </w:t>
      </w:r>
    </w:p>
    <w:p w14:paraId="05C9B2B6" w14:textId="77777777" w:rsidR="004E434E" w:rsidRDefault="004E434E" w:rsidP="004E434E">
      <w:pPr>
        <w:pStyle w:val="Body"/>
      </w:pPr>
      <w:r>
        <w:t>Where a client is accessing ReConnect/ReStart support, the supply of accommodation for release will be the responsibility of the ReConnect/ReStart worker. In cases where the ReConnect/ReStart worker is unable to access suitable accommodation or brokerage they may request assistance from the CHPI IAP worker. The IAP worker should provide support where they have the resources to do so.</w:t>
      </w:r>
    </w:p>
    <w:p w14:paraId="25D99835" w14:textId="77777777" w:rsidR="004E434E" w:rsidRDefault="004E434E" w:rsidP="004E434E">
      <w:pPr>
        <w:pStyle w:val="Body"/>
      </w:pPr>
      <w:r>
        <w:t xml:space="preserve">When a client commences engaging with ReConnect/ReStart and an application for the VHR has not yet been completed, then the ReConnect/ReStart worker will refer the client to the IAP worker to complete this application with, or on behalf of, the client. For clients with existing VHR applications, the ReConnect/ReStart worker can work with the client to update the application. VHR applications should be completed as early as possible to increase the client’s opportunity of receiving an offer of housing upon release. </w:t>
      </w:r>
    </w:p>
    <w:p w14:paraId="27B0E38D" w14:textId="77777777" w:rsidR="004E434E" w:rsidRDefault="004E434E" w:rsidP="004E434E">
      <w:pPr>
        <w:pStyle w:val="Body"/>
      </w:pPr>
      <w:r>
        <w:t xml:space="preserve">The CHPI IAP worker will complete a handover with the ReConnect/ReStart worker at the commencement of Reconnect/ReStart, prior to closing with the client. Where time permits and it is required, ReConnect/ReStart may invite the IAP to join in the case conferencing to assist with handover. </w:t>
      </w:r>
    </w:p>
    <w:p w14:paraId="481657D6" w14:textId="77777777" w:rsidR="004E434E" w:rsidRDefault="004E434E" w:rsidP="004E434E">
      <w:pPr>
        <w:pStyle w:val="Body"/>
      </w:pPr>
      <w:r>
        <w:t xml:space="preserve">For those who choose not to engage with either ReConnect or ReStart, the IAP worker will assist with a housing plan for their release. </w:t>
      </w:r>
    </w:p>
    <w:p w14:paraId="1C348EC0" w14:textId="77777777" w:rsidR="004E434E" w:rsidRDefault="004E434E" w:rsidP="004E434E">
      <w:pPr>
        <w:pStyle w:val="Body"/>
      </w:pPr>
      <w:r>
        <w:t>The below example workflow (</w:t>
      </w:r>
      <w:r>
        <w:rPr>
          <w:highlight w:val="yellow"/>
        </w:rPr>
        <w:fldChar w:fldCharType="begin"/>
      </w:r>
      <w:r>
        <w:instrText xml:space="preserve"> REF _Ref197695200 \h </w:instrText>
      </w:r>
      <w:r>
        <w:rPr>
          <w:highlight w:val="yellow"/>
        </w:rPr>
      </w:r>
      <w:r>
        <w:rPr>
          <w:highlight w:val="yellow"/>
        </w:rPr>
        <w:fldChar w:fldCharType="separate"/>
      </w:r>
      <w:r>
        <w:t xml:space="preserve">Figure </w:t>
      </w:r>
      <w:r>
        <w:rPr>
          <w:noProof/>
        </w:rPr>
        <w:t>1</w:t>
      </w:r>
      <w:r>
        <w:rPr>
          <w:highlight w:val="yellow"/>
        </w:rPr>
        <w:fldChar w:fldCharType="end"/>
      </w:r>
      <w:r>
        <w:t>) outlines the various referral pathways clients may take into the CHPI IAP program including the role of an ATC (or similar) and the intersect between CHPI IAP and ReConnect. CHPI IAP workers are to work collaboratively with both prison staff and other services to ensure positive, client-led outcomes.</w:t>
      </w:r>
    </w:p>
    <w:p w14:paraId="275525B5" w14:textId="77777777" w:rsidR="004E434E" w:rsidRDefault="004E434E" w:rsidP="004E434E">
      <w:pPr>
        <w:pStyle w:val="Caption"/>
        <w:keepNext/>
      </w:pPr>
      <w:bookmarkStart w:id="70" w:name="_Ref197695200"/>
      <w:r>
        <w:lastRenderedPageBreak/>
        <w:t xml:space="preserve">Figure </w:t>
      </w:r>
      <w:r>
        <w:fldChar w:fldCharType="begin"/>
      </w:r>
      <w:r>
        <w:instrText xml:space="preserve"> SEQ Figure \* ARABIC </w:instrText>
      </w:r>
      <w:r>
        <w:fldChar w:fldCharType="separate"/>
      </w:r>
      <w:r>
        <w:rPr>
          <w:noProof/>
        </w:rPr>
        <w:t>1</w:t>
      </w:r>
      <w:r>
        <w:rPr>
          <w:noProof/>
        </w:rPr>
        <w:fldChar w:fldCharType="end"/>
      </w:r>
      <w:bookmarkEnd w:id="70"/>
      <w:r>
        <w:t xml:space="preserve">: </w:t>
      </w:r>
      <w:r w:rsidRPr="00F0127A">
        <w:t>Example referral pathways into CHPI IAP</w:t>
      </w:r>
    </w:p>
    <w:p w14:paraId="08944EF3" w14:textId="77777777" w:rsidR="004E434E" w:rsidRDefault="004E434E" w:rsidP="004E434E">
      <w:pPr>
        <w:pStyle w:val="Body"/>
      </w:pPr>
      <w:r>
        <w:rPr>
          <w:noProof/>
        </w:rPr>
        <w:drawing>
          <wp:inline distT="0" distB="0" distL="0" distR="0" wp14:anchorId="1E2F76F6" wp14:editId="5641C4F5">
            <wp:extent cx="6179124" cy="5711190"/>
            <wp:effectExtent l="0" t="0" r="0" b="3810"/>
            <wp:docPr id="752807357" name="Picture 1" descr="This is a pictorial representation of the referral pathways for ATC referrals and self-referrals. A description of this flowchart is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07357" name="Picture 1" descr="This is a pictorial representation of the referral pathways for ATC referrals and self-referrals. A description of this flowchart is provided belo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8032" cy="5719423"/>
                    </a:xfrm>
                    <a:prstGeom prst="rect">
                      <a:avLst/>
                    </a:prstGeom>
                    <a:noFill/>
                  </pic:spPr>
                </pic:pic>
              </a:graphicData>
            </a:graphic>
          </wp:inline>
        </w:drawing>
      </w:r>
    </w:p>
    <w:p w14:paraId="3CA56A9D" w14:textId="77777777" w:rsidR="004E434E" w:rsidRDefault="004E434E" w:rsidP="004E434E">
      <w:pPr>
        <w:pStyle w:val="Body"/>
      </w:pPr>
      <w:r>
        <w:t>This is a pictorial representation of the referral pathways for ATC referrals and self-referrals. A description of this flowchart is provided below.</w:t>
      </w:r>
    </w:p>
    <w:p w14:paraId="30F7D490" w14:textId="77777777" w:rsidR="004E434E" w:rsidRDefault="004E434E" w:rsidP="004E434E">
      <w:pPr>
        <w:pStyle w:val="Body"/>
      </w:pPr>
      <w:r w:rsidRPr="00FE74B1">
        <w:rPr>
          <w:b/>
          <w:bCs/>
        </w:rPr>
        <w:t>ATC referral pathway</w:t>
      </w:r>
      <w:r>
        <w:t>:</w:t>
      </w:r>
    </w:p>
    <w:p w14:paraId="2EA275C0" w14:textId="77777777" w:rsidR="004E434E" w:rsidRDefault="004E434E" w:rsidP="004E434E">
      <w:pPr>
        <w:pStyle w:val="Body"/>
      </w:pPr>
      <w:r>
        <w:t>ATC conducts reintegration assessment. Decision point: “Is the person eligible for ReConnect?”</w:t>
      </w:r>
    </w:p>
    <w:p w14:paraId="298C0DA2" w14:textId="77777777" w:rsidR="004E434E" w:rsidRDefault="004E434E" w:rsidP="004E434E">
      <w:pPr>
        <w:pStyle w:val="Bullet1"/>
      </w:pPr>
      <w:r>
        <w:t>If yes, a referral to ReConnect completed. Decision point: “Do they need assistance with housing before ReConnect?”</w:t>
      </w:r>
    </w:p>
    <w:p w14:paraId="7CF3D33E" w14:textId="2385F888" w:rsidR="004E434E" w:rsidRDefault="004E434E" w:rsidP="004E434E">
      <w:pPr>
        <w:pStyle w:val="Bullet2"/>
      </w:pPr>
      <w:r>
        <w:t>If yes, refer to CHPI IAP</w:t>
      </w:r>
      <w:r w:rsidR="00175F4B">
        <w:t xml:space="preserve"> for housing support</w:t>
      </w:r>
      <w:r w:rsidR="00547CAC">
        <w:t>.</w:t>
      </w:r>
    </w:p>
    <w:p w14:paraId="30FBF819" w14:textId="77777777" w:rsidR="004E434E" w:rsidRDefault="004E434E" w:rsidP="004E434E">
      <w:pPr>
        <w:pStyle w:val="Bullet2"/>
      </w:pPr>
      <w:r>
        <w:t>If no, refer to other services as required.</w:t>
      </w:r>
    </w:p>
    <w:p w14:paraId="4D699340" w14:textId="77777777" w:rsidR="004E434E" w:rsidRDefault="004E434E" w:rsidP="004E434E">
      <w:pPr>
        <w:pStyle w:val="Bullet1"/>
      </w:pPr>
      <w:r>
        <w:t>If no, Decision point: “Does this person need assistance with housing?”</w:t>
      </w:r>
    </w:p>
    <w:p w14:paraId="6642D29E" w14:textId="77777777" w:rsidR="004E434E" w:rsidRDefault="004E434E" w:rsidP="004E434E">
      <w:pPr>
        <w:pStyle w:val="Bullet2"/>
      </w:pPr>
      <w:r>
        <w:t>If yes, person engages with CHPI IAP to access or sustain housing.</w:t>
      </w:r>
    </w:p>
    <w:p w14:paraId="2C96E578" w14:textId="77777777" w:rsidR="004E434E" w:rsidRDefault="004E434E" w:rsidP="004E434E">
      <w:pPr>
        <w:pStyle w:val="Bullet2"/>
      </w:pPr>
      <w:r>
        <w:t>If no, person is referred to other services as required.</w:t>
      </w:r>
    </w:p>
    <w:p w14:paraId="33EDFFEA" w14:textId="77777777" w:rsidR="004E434E" w:rsidRPr="00DC4108" w:rsidRDefault="004E434E" w:rsidP="004E434E">
      <w:pPr>
        <w:pStyle w:val="Body"/>
        <w:rPr>
          <w:b/>
          <w:bCs/>
        </w:rPr>
      </w:pPr>
      <w:r w:rsidRPr="00DC4108">
        <w:rPr>
          <w:b/>
          <w:bCs/>
        </w:rPr>
        <w:t>Self-referral, referral pathway:</w:t>
      </w:r>
    </w:p>
    <w:p w14:paraId="4C7F8D3F" w14:textId="3885F152" w:rsidR="004E434E" w:rsidRDefault="004E434E" w:rsidP="004E434E">
      <w:pPr>
        <w:pStyle w:val="Body"/>
      </w:pPr>
      <w:r>
        <w:t>Person engages with CHPI IAP to access or sustain housing. CHPI IAP will provide housing support, for exampl</w:t>
      </w:r>
      <w:r w:rsidR="00547CAC">
        <w:t>e</w:t>
      </w:r>
      <w:r>
        <w:t xml:space="preserve"> to lodge a VHR Application or provide access to brokerage for the purpose of sustaining a tenancy Decision Point: “Is this person receiving ReConnect support on release?”</w:t>
      </w:r>
    </w:p>
    <w:p w14:paraId="545A908A" w14:textId="0F3BFDF3" w:rsidR="004E434E" w:rsidRDefault="004E434E" w:rsidP="004E434E">
      <w:pPr>
        <w:pStyle w:val="Bullet1"/>
      </w:pPr>
      <w:r>
        <w:lastRenderedPageBreak/>
        <w:t xml:space="preserve">If yes, </w:t>
      </w:r>
      <w:r w:rsidR="002F38C0">
        <w:t xml:space="preserve">provide housing support then </w:t>
      </w:r>
      <w:r>
        <w:t xml:space="preserve">handover to ReConnect. </w:t>
      </w:r>
    </w:p>
    <w:p w14:paraId="3167D221" w14:textId="77777777" w:rsidR="004E434E" w:rsidRDefault="004E434E" w:rsidP="004E434E">
      <w:pPr>
        <w:pStyle w:val="Bullet1"/>
      </w:pPr>
      <w:r>
        <w:t>If no, Decision point: “Would this person like housing support on release?”</w:t>
      </w:r>
    </w:p>
    <w:p w14:paraId="76F50737" w14:textId="77777777" w:rsidR="004E434E" w:rsidRDefault="004E434E" w:rsidP="004E434E">
      <w:pPr>
        <w:pStyle w:val="Bullet2"/>
      </w:pPr>
      <w:r>
        <w:t>If yes, person referred to EHP or local entry point.</w:t>
      </w:r>
    </w:p>
    <w:p w14:paraId="3122B0E8" w14:textId="77777777" w:rsidR="004E434E" w:rsidRDefault="004E434E" w:rsidP="004E434E">
      <w:pPr>
        <w:pStyle w:val="Bullet2"/>
      </w:pPr>
      <w:r>
        <w:t>If no, person referred to other services as required.</w:t>
      </w:r>
    </w:p>
    <w:p w14:paraId="1AE98BBA" w14:textId="77777777" w:rsidR="004E434E" w:rsidRDefault="004E434E" w:rsidP="004E434E">
      <w:pPr>
        <w:pStyle w:val="Heading3"/>
      </w:pPr>
      <w:r>
        <w:t xml:space="preserve">Interface with homelessness services </w:t>
      </w:r>
    </w:p>
    <w:p w14:paraId="0CA21113" w14:textId="77777777" w:rsidR="004E434E" w:rsidRDefault="004E434E" w:rsidP="004E434E">
      <w:pPr>
        <w:pStyle w:val="Heading4Unnumbered"/>
      </w:pPr>
      <w:r>
        <w:t xml:space="preserve">Homelessness entry points </w:t>
      </w:r>
    </w:p>
    <w:p w14:paraId="4075C9B6" w14:textId="77777777" w:rsidR="004E434E" w:rsidRDefault="004E434E" w:rsidP="004E434E">
      <w:pPr>
        <w:pStyle w:val="Body"/>
      </w:pPr>
      <w:r>
        <w:t xml:space="preserve">Local homelessness entry points manage a suite of resources, this may include Housing Establishment Funds (HEF), flexible funds, and access pathways to other relevant supports. </w:t>
      </w:r>
    </w:p>
    <w:p w14:paraId="01C833B9" w14:textId="77777777" w:rsidR="004E434E" w:rsidRDefault="004E434E" w:rsidP="004E434E">
      <w:pPr>
        <w:pStyle w:val="Body"/>
      </w:pPr>
      <w:r>
        <w:t xml:space="preserve">The CHPI IAP referral tool provides a referral summary which should be discussed with the client to ensure it both accurately reflects the client’s situation and provides the information required by the entry point to allocate resources effectively. </w:t>
      </w:r>
    </w:p>
    <w:p w14:paraId="7874E332" w14:textId="77777777" w:rsidR="004E434E" w:rsidRDefault="004E434E" w:rsidP="004E434E">
      <w:pPr>
        <w:pStyle w:val="Body"/>
      </w:pPr>
      <w:r>
        <w:t xml:space="preserve">After filling out the CHPI IAP referral tool as outlined in section </w:t>
      </w:r>
      <w:r>
        <w:fldChar w:fldCharType="begin"/>
      </w:r>
      <w:r>
        <w:instrText xml:space="preserve"> REF _Ref198304017 \r \h </w:instrText>
      </w:r>
      <w:r>
        <w:fldChar w:fldCharType="separate"/>
      </w:r>
      <w:r>
        <w:t>2.2.1</w:t>
      </w:r>
      <w:r>
        <w:fldChar w:fldCharType="end"/>
      </w:r>
      <w:r>
        <w:t xml:space="preserve">, the CHPI IAP worker will: </w:t>
      </w:r>
    </w:p>
    <w:p w14:paraId="373CEEB3" w14:textId="77777777" w:rsidR="004E434E" w:rsidRDefault="004E434E" w:rsidP="004E434E">
      <w:pPr>
        <w:pStyle w:val="Bullet1"/>
      </w:pPr>
      <w:r>
        <w:t>Discuss with clients the referral pathways available to them including their local homelessness entry point or Aboriginal homelessness entry point, where available.</w:t>
      </w:r>
    </w:p>
    <w:p w14:paraId="379E2B69" w14:textId="77777777" w:rsidR="004E434E" w:rsidRDefault="004E434E" w:rsidP="004E434E">
      <w:pPr>
        <w:pStyle w:val="Bullet1"/>
      </w:pPr>
      <w:r>
        <w:t xml:space="preserve">With consent, refer eligible people to the relevant homelessness entry point at least one month prior to the client’s release (acknowledging timing is dependent on prison staff alerting IAP workers on the persons release date). </w:t>
      </w:r>
    </w:p>
    <w:p w14:paraId="49F42194" w14:textId="77777777" w:rsidR="004E434E" w:rsidRDefault="004E434E" w:rsidP="004E434E">
      <w:pPr>
        <w:pStyle w:val="Bullet1"/>
      </w:pPr>
      <w:r>
        <w:t xml:space="preserve">Provide the entry point with the completed IAP tool and housing plan. </w:t>
      </w:r>
    </w:p>
    <w:p w14:paraId="35B8FAB7" w14:textId="77777777" w:rsidR="004E434E" w:rsidRDefault="004E434E" w:rsidP="004E434E">
      <w:pPr>
        <w:pStyle w:val="Bullet1"/>
      </w:pPr>
      <w:r>
        <w:t xml:space="preserve">Liaise with the local homelessness entry point for access to resources and ensure those eligible are registered on the prioritisation list for housing support. </w:t>
      </w:r>
    </w:p>
    <w:p w14:paraId="1477110E" w14:textId="77777777" w:rsidR="004E434E" w:rsidRDefault="004E434E" w:rsidP="004E434E">
      <w:pPr>
        <w:pStyle w:val="Bullet1"/>
      </w:pPr>
      <w:r>
        <w:t xml:space="preserve">Offer a referral to a specialist family violence service if made aware that a client has experienced family violence or is a perpetrator of family violence. </w:t>
      </w:r>
    </w:p>
    <w:p w14:paraId="36D60002" w14:textId="77777777" w:rsidR="004E434E" w:rsidRDefault="004E434E" w:rsidP="004E434E">
      <w:pPr>
        <w:pStyle w:val="Bodyafterbullets"/>
      </w:pPr>
      <w:r>
        <w:t>Role of the local entry point:</w:t>
      </w:r>
    </w:p>
    <w:p w14:paraId="4ACB0FDD" w14:textId="77777777" w:rsidR="004E434E" w:rsidRDefault="004E434E" w:rsidP="004E434E">
      <w:pPr>
        <w:pStyle w:val="Bullet1"/>
      </w:pPr>
      <w:r>
        <w:t>Accept eligible referrals (where consent has been obtained) from the prison IAP worker and place eligible referrals on the prioritisation waiting list for requested resources.</w:t>
      </w:r>
    </w:p>
    <w:p w14:paraId="6B2C6188" w14:textId="77777777" w:rsidR="004E434E" w:rsidRDefault="004E434E" w:rsidP="004E434E">
      <w:pPr>
        <w:pStyle w:val="Bullet1"/>
      </w:pPr>
      <w:r>
        <w:t>Provide confirmation within 48 hours to the prison IAP worker on the outcome of the referral.</w:t>
      </w:r>
    </w:p>
    <w:p w14:paraId="20A68CDA" w14:textId="77777777" w:rsidR="004E434E" w:rsidRDefault="004E434E" w:rsidP="004E434E">
      <w:pPr>
        <w:pStyle w:val="Bullet1"/>
      </w:pPr>
      <w:r>
        <w:t>Liaise with the prison IAP worker and provide any updates on the allocation of resources for the client.</w:t>
      </w:r>
    </w:p>
    <w:p w14:paraId="30765725" w14:textId="77777777" w:rsidR="004E434E" w:rsidRDefault="004E434E" w:rsidP="004E434E">
      <w:pPr>
        <w:pStyle w:val="Heading4Unnumbered"/>
      </w:pPr>
      <w:r>
        <w:t xml:space="preserve">Enhanced Housing Pathways </w:t>
      </w:r>
    </w:p>
    <w:p w14:paraId="46F9F903" w14:textId="77777777" w:rsidR="004E434E" w:rsidRDefault="004E434E" w:rsidP="004E434E">
      <w:pPr>
        <w:pStyle w:val="Body"/>
      </w:pPr>
      <w:r>
        <w:t xml:space="preserve">The Enhanced Housing Pathways (EHP) program is an extension of the CHPI program operating in three DFFH local areas: </w:t>
      </w:r>
    </w:p>
    <w:p w14:paraId="7ED2C85F" w14:textId="77777777" w:rsidR="004E434E" w:rsidRDefault="004E434E" w:rsidP="004E434E">
      <w:pPr>
        <w:pStyle w:val="Bullet1"/>
      </w:pPr>
      <w:r>
        <w:t xml:space="preserve">Hume Merri-bek area, office site location: VincentCare, Glenroy. </w:t>
      </w:r>
    </w:p>
    <w:p w14:paraId="775DCE02" w14:textId="77777777" w:rsidR="004E434E" w:rsidRDefault="004E434E" w:rsidP="004E434E">
      <w:pPr>
        <w:pStyle w:val="Bullet1"/>
      </w:pPr>
      <w:r>
        <w:t xml:space="preserve">Brimbank Melton area, office site location: The Salvation Army, Sunshine. </w:t>
      </w:r>
    </w:p>
    <w:p w14:paraId="64B51956" w14:textId="77777777" w:rsidR="004E434E" w:rsidRDefault="004E434E" w:rsidP="004E434E">
      <w:pPr>
        <w:pStyle w:val="Bullet1"/>
      </w:pPr>
      <w:r>
        <w:t xml:space="preserve">Inner Gippsland area, office site location: Community Housing Limited, Morwell. </w:t>
      </w:r>
    </w:p>
    <w:p w14:paraId="1299E6C4" w14:textId="041DC931" w:rsidR="004E434E" w:rsidRDefault="004E434E" w:rsidP="004E434E">
      <w:pPr>
        <w:pStyle w:val="Body"/>
      </w:pPr>
      <w:r>
        <w:t xml:space="preserve">The EHP program provides short term case management and flexible funding to help people who are to be released and those who have recently been released from correctional facilities to access housing to prevent homelessness. The EHP program also supports people to engage with a range of other allied services so they can maintain their housing. </w:t>
      </w:r>
    </w:p>
    <w:p w14:paraId="35369D9C" w14:textId="58EFD727" w:rsidR="004E434E" w:rsidRDefault="004E434E" w:rsidP="004E434E">
      <w:pPr>
        <w:pStyle w:val="Body"/>
      </w:pPr>
      <w:r>
        <w:t xml:space="preserve">The </w:t>
      </w:r>
      <w:hyperlink r:id="rId27" w:history="1">
        <w:r w:rsidR="00C14A44">
          <w:rPr>
            <w:rStyle w:val="Hyperlink"/>
            <w:rFonts w:ascii="Avenir Book" w:hAnsi="Avenir Book"/>
          </w:rPr>
          <w:t xml:space="preserve"> </w:t>
        </w:r>
        <w:r w:rsidR="00C14A44" w:rsidRPr="006F4F8F">
          <w:rPr>
            <w:rStyle w:val="Hyperlink"/>
            <w:rFonts w:ascii="Avenir Book" w:hAnsi="Avenir Book"/>
            <w:i/>
            <w:iCs/>
          </w:rPr>
          <w:t>EHP program guidelines</w:t>
        </w:r>
      </w:hyperlink>
      <w:r>
        <w:t xml:space="preserve"> are available on the </w:t>
      </w:r>
      <w:r w:rsidR="00B64957" w:rsidRPr="00C14A44">
        <w:t>Funded Agency Channel</w:t>
      </w:r>
      <w:r>
        <w:t xml:space="preserve"> https://fac.dffh.vic.gov.au/enhanced-housing-pathways-guidelines. </w:t>
      </w:r>
    </w:p>
    <w:p w14:paraId="0B492A30" w14:textId="77777777" w:rsidR="004E434E" w:rsidRDefault="004E434E" w:rsidP="004E434E">
      <w:pPr>
        <w:pStyle w:val="Body"/>
      </w:pPr>
      <w:r>
        <w:t>Where a client is exiting custody in need of housing support and is in Inner Gippsland, Brimbank Melton or Hume Moreland areas, a referral to EHP must be offered.</w:t>
      </w:r>
    </w:p>
    <w:p w14:paraId="7B0D2DBB" w14:textId="77777777" w:rsidR="0035053D" w:rsidRDefault="0035053D" w:rsidP="004E434E">
      <w:pPr>
        <w:pStyle w:val="Body"/>
      </w:pPr>
    </w:p>
    <w:tbl>
      <w:tblPr>
        <w:tblStyle w:val="TableGridLight"/>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35053D" w14:paraId="5490901C" w14:textId="77777777" w:rsidTr="0035053D">
        <w:tc>
          <w:tcPr>
            <w:tcW w:w="9209" w:type="dxa"/>
          </w:tcPr>
          <w:p w14:paraId="07DBDE1E" w14:textId="77777777" w:rsidR="0035053D" w:rsidRDefault="0035053D" w:rsidP="004E434E">
            <w:pPr>
              <w:pStyle w:val="Body"/>
            </w:pPr>
            <w:hyperlink r:id="rId28" w:history="1">
              <w:r w:rsidRPr="00C14A44">
                <w:rPr>
                  <w:rStyle w:val="Hyperlink"/>
                  <w:rFonts w:ascii="Avenir Book" w:hAnsi="Avenir Book"/>
                </w:rPr>
                <w:t>Enhanced Housing Pathways 2023 Guideline</w:t>
              </w:r>
              <w:r w:rsidRPr="0056672D">
                <w:rPr>
                  <w:rStyle w:val="Hyperlink"/>
                  <w:rFonts w:ascii="Avenir Book" w:hAnsi="Avenir Book"/>
                  <w:i/>
                  <w:iCs/>
                </w:rPr>
                <w:t>s</w:t>
              </w:r>
            </w:hyperlink>
          </w:p>
          <w:p w14:paraId="668BD85C" w14:textId="18E4E7D0" w:rsidR="0035053D" w:rsidRDefault="0035053D" w:rsidP="004E434E">
            <w:pPr>
              <w:pStyle w:val="Body"/>
            </w:pPr>
            <w:r w:rsidRPr="00B64957">
              <w:t>https://fac.dffh.vic.gov.au/enhanced-housing-pathways-guidelines</w:t>
            </w:r>
          </w:p>
        </w:tc>
      </w:tr>
    </w:tbl>
    <w:p w14:paraId="306BA8D4" w14:textId="77777777" w:rsidR="0056672D" w:rsidRDefault="0056672D" w:rsidP="004E434E">
      <w:pPr>
        <w:pStyle w:val="Body"/>
      </w:pPr>
    </w:p>
    <w:p w14:paraId="10E435FA" w14:textId="77777777" w:rsidR="004E434E" w:rsidRDefault="004E434E" w:rsidP="004E434E">
      <w:pPr>
        <w:pStyle w:val="Heading4Unnumbered"/>
      </w:pPr>
      <w:r>
        <w:t>Aboriginal Corrections Housing Pathways Initiative</w:t>
      </w:r>
    </w:p>
    <w:p w14:paraId="1DF776B0" w14:textId="77777777" w:rsidR="004E434E" w:rsidRDefault="004E434E" w:rsidP="004E434E">
      <w:pPr>
        <w:pStyle w:val="Body"/>
      </w:pPr>
      <w:r>
        <w:t>The Aboriginal Corrections Housing Pathways Initiative (ACHPI) is a voluntary pre and post release initiative available to First People incarcerated in Victorian prisons. CHPI IAP workers may refer a client to ACHPI for support to sustain housing when on a short-term sentence or up to 10 weeks pre-release.</w:t>
      </w:r>
    </w:p>
    <w:p w14:paraId="399100A0" w14:textId="77777777" w:rsidR="004E434E" w:rsidRDefault="004E434E" w:rsidP="004E434E">
      <w:pPr>
        <w:pStyle w:val="Body"/>
      </w:pPr>
      <w:r>
        <w:t>ACHPI is currently operating in two DFFH local areas:</w:t>
      </w:r>
    </w:p>
    <w:p w14:paraId="0AD1C6EE" w14:textId="77777777" w:rsidR="004E434E" w:rsidRDefault="004E434E" w:rsidP="004E434E">
      <w:pPr>
        <w:pStyle w:val="Bullet1"/>
      </w:pPr>
      <w:bookmarkStart w:id="71" w:name="_Int_YFBA0wu3"/>
      <w:r>
        <w:t>North East</w:t>
      </w:r>
      <w:bookmarkEnd w:id="71"/>
      <w:r>
        <w:t xml:space="preserve"> Melbourne Area, delivered by Victorian Aboriginal Community Services Association Ltd (VACSAL). Working within Wurundjeri and Bunurong country lines.</w:t>
      </w:r>
    </w:p>
    <w:p w14:paraId="2CC952E8" w14:textId="77777777" w:rsidR="004E434E" w:rsidRDefault="004E434E" w:rsidP="004E434E">
      <w:pPr>
        <w:pStyle w:val="Bullet1"/>
      </w:pPr>
      <w:r>
        <w:t xml:space="preserve">Mallee Area, delivered by Mallee District Aboriginal Services. Working within </w:t>
      </w:r>
      <w:proofErr w:type="spellStart"/>
      <w:r>
        <w:t>Latje</w:t>
      </w:r>
      <w:proofErr w:type="spellEnd"/>
      <w:r>
        <w:t xml:space="preserve"> </w:t>
      </w:r>
      <w:bookmarkStart w:id="72" w:name="_Int_LcRXzN7W"/>
      <w:proofErr w:type="spellStart"/>
      <w:r>
        <w:t>Latje</w:t>
      </w:r>
      <w:bookmarkEnd w:id="72"/>
      <w:proofErr w:type="spellEnd"/>
      <w:r>
        <w:t xml:space="preserve">, Nyeri </w:t>
      </w:r>
      <w:proofErr w:type="spellStart"/>
      <w:r>
        <w:t>Nyeri</w:t>
      </w:r>
      <w:proofErr w:type="spellEnd"/>
      <w:r>
        <w:t xml:space="preserve">, Tati </w:t>
      </w:r>
      <w:proofErr w:type="spellStart"/>
      <w:r>
        <w:t>Tati</w:t>
      </w:r>
      <w:proofErr w:type="spellEnd"/>
      <w:r>
        <w:t xml:space="preserve">, Wadi </w:t>
      </w:r>
      <w:proofErr w:type="spellStart"/>
      <w:r>
        <w:t>Wadi</w:t>
      </w:r>
      <w:proofErr w:type="spellEnd"/>
      <w:r>
        <w:t xml:space="preserve"> and Wemba </w:t>
      </w:r>
      <w:proofErr w:type="spellStart"/>
      <w:r>
        <w:t>Wemba</w:t>
      </w:r>
      <w:proofErr w:type="spellEnd"/>
      <w:r>
        <w:t xml:space="preserve"> country lines.</w:t>
      </w:r>
    </w:p>
    <w:p w14:paraId="427E5BD5" w14:textId="77777777" w:rsidR="004E434E" w:rsidRDefault="004E434E" w:rsidP="004E434E">
      <w:pPr>
        <w:pStyle w:val="Body"/>
      </w:pPr>
      <w:r>
        <w:t>If CHPI IAP workers are unsure of the appropriate country lines, it is recommended they contact the relevant above organisation to determine eligibility.</w:t>
      </w:r>
    </w:p>
    <w:p w14:paraId="0495D426" w14:textId="77777777" w:rsidR="004E434E" w:rsidRDefault="004E434E" w:rsidP="004E434E">
      <w:pPr>
        <w:pStyle w:val="Body"/>
      </w:pPr>
      <w:r>
        <w:t>Engagement with Aboriginal specific programs is voluntary.</w:t>
      </w:r>
    </w:p>
    <w:p w14:paraId="7A154F95" w14:textId="4DAEC4B2" w:rsidR="0097060B" w:rsidRDefault="004E434E" w:rsidP="004E434E">
      <w:pPr>
        <w:pStyle w:val="Body"/>
      </w:pPr>
      <w:r w:rsidRPr="0097060B">
        <w:t xml:space="preserve">The ACHPI program guidelines are available on the </w:t>
      </w:r>
      <w:hyperlink r:id="rId29" w:history="1">
        <w:r w:rsidR="004E7B8F" w:rsidRPr="000802CE">
          <w:rPr>
            <w:rStyle w:val="Hyperlink"/>
            <w:rFonts w:ascii="Avenir Book" w:hAnsi="Avenir Book"/>
          </w:rPr>
          <w:t>Funded Agency Channel</w:t>
        </w:r>
      </w:hyperlink>
      <w:r w:rsidR="004E7B8F">
        <w:t xml:space="preserve"> </w:t>
      </w:r>
      <w:r w:rsidR="0097060B">
        <w:t xml:space="preserve">and the </w:t>
      </w:r>
      <w:hyperlink r:id="rId30" w:history="1">
        <w:r w:rsidR="0097060B" w:rsidRPr="0097060B">
          <w:rPr>
            <w:rStyle w:val="Hyperlink"/>
            <w:rFonts w:ascii="Avenir Book" w:hAnsi="Avenir Book"/>
          </w:rPr>
          <w:t>Operational program guidelines webpage</w:t>
        </w:r>
      </w:hyperlink>
    </w:p>
    <w:p w14:paraId="0CA71AF5" w14:textId="77777777" w:rsidR="004E434E" w:rsidRDefault="004E434E" w:rsidP="004E434E">
      <w:pPr>
        <w:pStyle w:val="Heading4Unnumbered"/>
      </w:pPr>
      <w:r>
        <w:t>Links to housing and support resources</w:t>
      </w:r>
    </w:p>
    <w:p w14:paraId="6734F1A1" w14:textId="39204CCD" w:rsidR="004E434E" w:rsidRDefault="004E434E" w:rsidP="0031341E">
      <w:pPr>
        <w:pStyle w:val="Bullet1"/>
        <w:numPr>
          <w:ilvl w:val="0"/>
          <w:numId w:val="0"/>
        </w:numPr>
        <w:ind w:left="284" w:hanging="284"/>
      </w:pPr>
    </w:p>
    <w:tbl>
      <w:tblPr>
        <w:tblStyle w:val="TableGrid"/>
        <w:tblW w:w="0" w:type="auto"/>
        <w:tblInd w:w="0" w:type="dxa"/>
        <w:tblLook w:val="04A0" w:firstRow="1" w:lastRow="0" w:firstColumn="1" w:lastColumn="0" w:noHBand="0" w:noVBand="1"/>
      </w:tblPr>
      <w:tblGrid>
        <w:gridCol w:w="9067"/>
      </w:tblGrid>
      <w:tr w:rsidR="00480435" w14:paraId="68C38E81" w14:textId="77777777" w:rsidTr="00480435">
        <w:tc>
          <w:tcPr>
            <w:tcW w:w="9067" w:type="dxa"/>
            <w:tcBorders>
              <w:top w:val="single" w:sz="4" w:space="0" w:color="auto"/>
              <w:left w:val="single" w:sz="4" w:space="0" w:color="auto"/>
              <w:bottom w:val="single" w:sz="4" w:space="0" w:color="auto"/>
              <w:right w:val="single" w:sz="4" w:space="0" w:color="auto"/>
            </w:tcBorders>
            <w:shd w:val="clear" w:color="auto" w:fill="auto"/>
          </w:tcPr>
          <w:p w14:paraId="664759F8" w14:textId="77777777" w:rsidR="00480435" w:rsidRDefault="00480435" w:rsidP="006D05BB">
            <w:pPr>
              <w:pStyle w:val="Bullet1"/>
              <w:numPr>
                <w:ilvl w:val="0"/>
                <w:numId w:val="0"/>
              </w:numPr>
            </w:pPr>
            <w:hyperlink r:id="rId31" w:history="1">
              <w:r>
                <w:rPr>
                  <w:rStyle w:val="Hyperlink"/>
                  <w:rFonts w:ascii="Avenir Book" w:hAnsi="Avenir Book"/>
                </w:rPr>
                <w:t>Getting Help</w:t>
              </w:r>
            </w:hyperlink>
          </w:p>
          <w:p w14:paraId="3A6DD657" w14:textId="4CC0988E" w:rsidR="00480435" w:rsidRDefault="00480435" w:rsidP="006D05BB">
            <w:pPr>
              <w:pStyle w:val="Bullet1"/>
              <w:numPr>
                <w:ilvl w:val="0"/>
                <w:numId w:val="0"/>
              </w:numPr>
            </w:pPr>
            <w:r w:rsidRPr="009F419A">
              <w:t>https://services.dffh.vic.gov.au/getting-help</w:t>
            </w:r>
          </w:p>
        </w:tc>
      </w:tr>
      <w:tr w:rsidR="00480435" w14:paraId="38FD09BD" w14:textId="77777777" w:rsidTr="0048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7" w:type="dxa"/>
            <w:tcBorders>
              <w:top w:val="single" w:sz="4" w:space="0" w:color="auto"/>
            </w:tcBorders>
            <w:shd w:val="clear" w:color="auto" w:fill="auto"/>
          </w:tcPr>
          <w:p w14:paraId="0BC55C8C" w14:textId="77777777" w:rsidR="00480435" w:rsidRDefault="00480435" w:rsidP="006D05BB">
            <w:pPr>
              <w:pStyle w:val="Bullet1"/>
              <w:numPr>
                <w:ilvl w:val="0"/>
                <w:numId w:val="0"/>
              </w:numPr>
            </w:pPr>
            <w:hyperlink r:id="rId32" w:history="1">
              <w:r>
                <w:rPr>
                  <w:rStyle w:val="Hyperlink"/>
                  <w:rFonts w:ascii="Avenir Book" w:hAnsi="Avenir Book"/>
                </w:rPr>
                <w:t>Victorian Housing Register</w:t>
              </w:r>
            </w:hyperlink>
          </w:p>
          <w:p w14:paraId="313ECD3F" w14:textId="2D7C10AC" w:rsidR="00480435" w:rsidRDefault="00480435" w:rsidP="006D05BB">
            <w:pPr>
              <w:pStyle w:val="Bullet1"/>
              <w:numPr>
                <w:ilvl w:val="0"/>
                <w:numId w:val="0"/>
              </w:numPr>
            </w:pPr>
            <w:r w:rsidRPr="00BF562A">
              <w:t>https://www.housing.vic.gov.au/victorian-housing-register</w:t>
            </w:r>
          </w:p>
        </w:tc>
      </w:tr>
      <w:tr w:rsidR="00480435" w14:paraId="30CE0AFB" w14:textId="77777777" w:rsidTr="0048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7" w:type="dxa"/>
            <w:shd w:val="clear" w:color="auto" w:fill="auto"/>
          </w:tcPr>
          <w:p w14:paraId="5D86A78F" w14:textId="77777777" w:rsidR="00480435" w:rsidRDefault="00480435" w:rsidP="006D05BB">
            <w:pPr>
              <w:pStyle w:val="Bullet1"/>
              <w:numPr>
                <w:ilvl w:val="0"/>
                <w:numId w:val="0"/>
              </w:numPr>
            </w:pPr>
            <w:hyperlink r:id="rId33" w:history="1">
              <w:r>
                <w:rPr>
                  <w:rStyle w:val="Hyperlink"/>
                  <w:rFonts w:ascii="Avenir Book" w:hAnsi="Avenir Book"/>
                </w:rPr>
                <w:t>Temporary absence in public housing</w:t>
              </w:r>
            </w:hyperlink>
          </w:p>
          <w:p w14:paraId="5E6B6A3B" w14:textId="11D7109D" w:rsidR="00480435" w:rsidRDefault="00480435" w:rsidP="006D05BB">
            <w:pPr>
              <w:pStyle w:val="Bullet1"/>
              <w:numPr>
                <w:ilvl w:val="0"/>
                <w:numId w:val="0"/>
              </w:numPr>
            </w:pPr>
            <w:r w:rsidRPr="004E7D70">
              <w:t>https://providers.dffh.vic.gov.au/tenancy-management-manual</w:t>
            </w:r>
          </w:p>
        </w:tc>
      </w:tr>
      <w:tr w:rsidR="00480435" w14:paraId="646EAEBA" w14:textId="77777777" w:rsidTr="0048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67" w:type="dxa"/>
            <w:shd w:val="clear" w:color="auto" w:fill="auto"/>
          </w:tcPr>
          <w:p w14:paraId="1D618F13" w14:textId="77777777" w:rsidR="00480435" w:rsidRDefault="00480435" w:rsidP="006D05BB">
            <w:pPr>
              <w:pStyle w:val="Bullet1"/>
              <w:numPr>
                <w:ilvl w:val="0"/>
                <w:numId w:val="0"/>
              </w:numPr>
            </w:pPr>
            <w:hyperlink r:id="rId34" w:history="1">
              <w:r w:rsidRPr="0031341E">
                <w:rPr>
                  <w:rStyle w:val="Hyperlink"/>
                  <w:rFonts w:ascii="Avenir Book" w:hAnsi="Avenir Book"/>
                </w:rPr>
                <w:t>Housing allocations manual</w:t>
              </w:r>
            </w:hyperlink>
          </w:p>
          <w:p w14:paraId="6B880F6E" w14:textId="42BA97E1" w:rsidR="00480435" w:rsidRDefault="00480435" w:rsidP="006D05BB">
            <w:pPr>
              <w:pStyle w:val="Bullet1"/>
              <w:numPr>
                <w:ilvl w:val="0"/>
                <w:numId w:val="0"/>
              </w:numPr>
            </w:pPr>
            <w:r w:rsidRPr="004E7D70">
              <w:t>https://providers.dffh.vic.gov.au/tenancy-management-manual</w:t>
            </w:r>
          </w:p>
        </w:tc>
      </w:tr>
    </w:tbl>
    <w:p w14:paraId="3ECA00E9" w14:textId="77777777" w:rsidR="006D05BB" w:rsidRDefault="006D05BB" w:rsidP="006D05BB">
      <w:pPr>
        <w:pStyle w:val="Bullet1"/>
        <w:numPr>
          <w:ilvl w:val="0"/>
          <w:numId w:val="0"/>
        </w:numPr>
      </w:pPr>
    </w:p>
    <w:p w14:paraId="7526A871" w14:textId="77777777" w:rsidR="004E434E" w:rsidRDefault="004E434E" w:rsidP="004E434E">
      <w:pPr>
        <w:pStyle w:val="Heading3"/>
      </w:pPr>
      <w:r>
        <w:t>Interface with other services</w:t>
      </w:r>
    </w:p>
    <w:p w14:paraId="6718FA06" w14:textId="77777777" w:rsidR="004E434E" w:rsidRDefault="004E434E" w:rsidP="004E434E">
      <w:pPr>
        <w:pStyle w:val="Body"/>
      </w:pPr>
      <w:r>
        <w:t xml:space="preserve">The CHPI IAP worker will work in collaboration with initial assessment workers and appointed case managers from a variety of allied services. Allied services may include a range of community and health services that can provide or are providing support to the client pre or post release. </w:t>
      </w:r>
    </w:p>
    <w:p w14:paraId="443CA580" w14:textId="77777777" w:rsidR="004E434E" w:rsidRDefault="004E434E" w:rsidP="004E434E">
      <w:pPr>
        <w:pStyle w:val="Body"/>
      </w:pPr>
      <w:r>
        <w:t xml:space="preserve">Acknowledging that clients may be released to any part of the state, CHPI IAP workers are encouraged to utilise the CHPI Network to share information, resources and contacts that may be useful in their local area. </w:t>
      </w:r>
    </w:p>
    <w:p w14:paraId="65A5F9DD" w14:textId="77777777" w:rsidR="004E434E" w:rsidRDefault="004E434E" w:rsidP="004E434E">
      <w:pPr>
        <w:pStyle w:val="Heading4Unnumbered"/>
      </w:pPr>
      <w:r>
        <w:t>Family Violence</w:t>
      </w:r>
    </w:p>
    <w:p w14:paraId="2B6F6F60" w14:textId="77777777" w:rsidR="004E434E" w:rsidRDefault="004E434E" w:rsidP="004E434E">
      <w:pPr>
        <w:pStyle w:val="Body"/>
      </w:pPr>
      <w:r>
        <w:t xml:space="preserve">All CHPI IAP workers must complete a minimum of level two: brief and intermediate Multi-Agency Risk Assessment and Management (MARAM) training. MARAM seeks to ensure all professionals have a shared understanding of family violence. This enables a more consistent approach to risk </w:t>
      </w:r>
      <w:r>
        <w:lastRenderedPageBreak/>
        <w:t xml:space="preserve">assessment and management across the service system, helps keep perpetrators in view and accountable and victim survivors safe. Safe and Equal are the identified training provider for MARAM training in Victoria. </w:t>
      </w:r>
      <w:hyperlink r:id="rId35" w:history="1">
        <w:r w:rsidRPr="00AD102A">
          <w:rPr>
            <w:rStyle w:val="Hyperlink"/>
            <w:rFonts w:ascii="Avenir Book" w:hAnsi="Avenir Book"/>
          </w:rPr>
          <w:t>Safe and Equal</w:t>
        </w:r>
      </w:hyperlink>
      <w:r>
        <w:t xml:space="preserve"> https://safeandequal.org.au/training-events/maram-courses/.</w:t>
      </w:r>
    </w:p>
    <w:p w14:paraId="6D10726A" w14:textId="14728C6C" w:rsidR="004E434E" w:rsidRDefault="004E434E" w:rsidP="004E434E">
      <w:pPr>
        <w:pStyle w:val="Body"/>
      </w:pPr>
      <w:r>
        <w:t xml:space="preserve">If made aware that a client has experienced family violence or is a perpetrator of family violence, the IAP worker should offer a referral to a specialist family violence support service. The Orange Door provides information for clients and workers supporting women’s safety and working with men to end family violence in Victoria. </w:t>
      </w:r>
      <w:hyperlink r:id="rId36" w:history="1">
        <w:r w:rsidRPr="00AD102A">
          <w:rPr>
            <w:rStyle w:val="Hyperlink"/>
            <w:rFonts w:ascii="Avenir Book" w:hAnsi="Avenir Book"/>
          </w:rPr>
          <w:t>The Orange Door</w:t>
        </w:r>
      </w:hyperlink>
      <w:r>
        <w:t xml:space="preserve"> </w:t>
      </w:r>
      <w:r w:rsidR="00F11DCF" w:rsidRPr="00F11DCF">
        <w:t>https://www.orangedoor.vic.gov.au/</w:t>
      </w:r>
      <w:r>
        <w:t>.</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35053D" w14:paraId="2D300C5F" w14:textId="77777777" w:rsidTr="0035053D">
        <w:tc>
          <w:tcPr>
            <w:tcW w:w="9209" w:type="dxa"/>
            <w:shd w:val="clear" w:color="auto" w:fill="auto"/>
          </w:tcPr>
          <w:p w14:paraId="41810830" w14:textId="77777777" w:rsidR="0035053D" w:rsidRDefault="0035053D" w:rsidP="004E434E">
            <w:pPr>
              <w:pStyle w:val="Body"/>
            </w:pPr>
            <w:hyperlink r:id="rId37" w:history="1">
              <w:r w:rsidRPr="00AD102A">
                <w:rPr>
                  <w:rStyle w:val="Hyperlink"/>
                  <w:rFonts w:ascii="Avenir Book" w:hAnsi="Avenir Book"/>
                </w:rPr>
                <w:t>The Orange Door</w:t>
              </w:r>
            </w:hyperlink>
          </w:p>
          <w:p w14:paraId="1803F9EB" w14:textId="0E23DF6D" w:rsidR="0035053D" w:rsidRPr="00B41A44" w:rsidRDefault="0035053D" w:rsidP="004E434E">
            <w:pPr>
              <w:pStyle w:val="Body"/>
            </w:pPr>
            <w:r w:rsidRPr="00B41A44">
              <w:t>https://www.orangedoor.vic.gov.au/</w:t>
            </w:r>
          </w:p>
        </w:tc>
      </w:tr>
    </w:tbl>
    <w:p w14:paraId="77D4210A" w14:textId="77777777" w:rsidR="00F11DCF" w:rsidRDefault="00F11DCF" w:rsidP="004E434E">
      <w:pPr>
        <w:pStyle w:val="Body"/>
      </w:pPr>
    </w:p>
    <w:p w14:paraId="2B0243B8" w14:textId="77777777" w:rsidR="004E434E" w:rsidRDefault="004E434E" w:rsidP="004E434E">
      <w:pPr>
        <w:pStyle w:val="Heading4Unnumbered"/>
      </w:pPr>
      <w:r>
        <w:t>Local Community Health services</w:t>
      </w:r>
    </w:p>
    <w:p w14:paraId="10ECC363" w14:textId="77777777" w:rsidR="004E434E" w:rsidRPr="004C0D77" w:rsidRDefault="004E434E" w:rsidP="004E434E">
      <w:pPr>
        <w:pStyle w:val="Body"/>
      </w:pPr>
      <w:r>
        <w:t>CHPI IAP workers are encouraged to maintain a network of appropriate contacts within local community health services to support continuity of care for client on release. CHPI IAP workers should ensure clients who disclose support needs such as mental health or drug or alcohol dependencies know where to seek support on release, encourage engagement and complete any necessary referrals required to ensure support is available for these people on their release.</w:t>
      </w:r>
    </w:p>
    <w:p w14:paraId="661062C3" w14:textId="77777777" w:rsidR="004E434E" w:rsidRPr="0069032C" w:rsidRDefault="004E434E" w:rsidP="004E434E">
      <w:pPr>
        <w:pStyle w:val="Heading1"/>
      </w:pPr>
      <w:bookmarkStart w:id="73" w:name="_Toc197694712"/>
      <w:bookmarkStart w:id="74" w:name="_Toc197694832"/>
      <w:bookmarkStart w:id="75" w:name="_Toc197694960"/>
      <w:bookmarkStart w:id="76" w:name="_Toc207868812"/>
      <w:bookmarkEnd w:id="73"/>
      <w:bookmarkEnd w:id="74"/>
      <w:bookmarkEnd w:id="75"/>
      <w:r w:rsidRPr="0069032C">
        <w:t>Program components</w:t>
      </w:r>
      <w:bookmarkEnd w:id="76"/>
      <w:r w:rsidRPr="0069032C">
        <w:t xml:space="preserve"> </w:t>
      </w:r>
    </w:p>
    <w:p w14:paraId="1DA9BCB7" w14:textId="77777777" w:rsidR="004E434E" w:rsidRDefault="004E434E" w:rsidP="004E434E">
      <w:pPr>
        <w:pStyle w:val="Body"/>
      </w:pPr>
      <w:r>
        <w:t xml:space="preserve">This chapter provides an overview of the Corrections Housing Pathways Initiative (CHPI) and the Initial Assessment and Planning (IAP) worker's role. It outlines the specific responsibilities, procedures, and resources available to IAP workers to effectively support clients transitioning from prison into stable housing. The following sections detail the engagement process, support services, brokerage options, working environments, and cultural considerations essential for delivering high-quality housing support to people exiting </w:t>
      </w:r>
    </w:p>
    <w:p w14:paraId="13B98536" w14:textId="77777777" w:rsidR="004E434E" w:rsidRPr="003449A5" w:rsidRDefault="004E434E" w:rsidP="004E434E">
      <w:pPr>
        <w:pStyle w:val="Heading2"/>
      </w:pPr>
      <w:bookmarkStart w:id="77" w:name="_Toc197694714"/>
      <w:bookmarkStart w:id="78" w:name="_Toc197694834"/>
      <w:bookmarkStart w:id="79" w:name="_Toc197694962"/>
      <w:bookmarkStart w:id="80" w:name="_Toc207868813"/>
      <w:bookmarkEnd w:id="77"/>
      <w:bookmarkEnd w:id="78"/>
      <w:bookmarkEnd w:id="79"/>
      <w:r w:rsidRPr="003449A5">
        <w:t xml:space="preserve">The </w:t>
      </w:r>
      <w:r>
        <w:t>CHPI IAP</w:t>
      </w:r>
      <w:r w:rsidRPr="003449A5">
        <w:t xml:space="preserve"> </w:t>
      </w:r>
      <w:r>
        <w:t>r</w:t>
      </w:r>
      <w:r w:rsidRPr="003449A5">
        <w:t>ole</w:t>
      </w:r>
      <w:bookmarkEnd w:id="80"/>
    </w:p>
    <w:p w14:paraId="4F381C18" w14:textId="77777777" w:rsidR="004E434E" w:rsidRPr="006A5D97" w:rsidRDefault="004E434E" w:rsidP="004E434E">
      <w:pPr>
        <w:pStyle w:val="Body"/>
      </w:pPr>
      <w:r w:rsidRPr="006A5D97">
        <w:t xml:space="preserve">When the IAP worker receives the referral, they will meet with the client as soon as practicable to assist the client with their housing and other support needs. </w:t>
      </w:r>
    </w:p>
    <w:p w14:paraId="369A9664" w14:textId="77777777" w:rsidR="004E434E" w:rsidRDefault="004E434E" w:rsidP="004E434E">
      <w:pPr>
        <w:pStyle w:val="Body"/>
      </w:pPr>
      <w:r w:rsidRPr="006A5D97">
        <w:t>Communication with clients should be clear and easy to understand. IAP workers are required to provide any correspondence in an easy-to-read format and provide practical support to those who require assistance with reading and filling in forms. Where practicable, if a client wishes to utilise a support person while engaging with CHPI IAP, this should be supported.</w:t>
      </w:r>
    </w:p>
    <w:p w14:paraId="638853B7" w14:textId="77777777" w:rsidR="004E434E" w:rsidRPr="003449A5" w:rsidRDefault="004E434E" w:rsidP="004E434E">
      <w:pPr>
        <w:pStyle w:val="Heading3"/>
      </w:pPr>
      <w:bookmarkStart w:id="81" w:name="_Ref200028960"/>
      <w:r w:rsidRPr="003449A5">
        <w:t>Engagement</w:t>
      </w:r>
      <w:bookmarkEnd w:id="81"/>
    </w:p>
    <w:p w14:paraId="00008813" w14:textId="77777777" w:rsidR="004E434E" w:rsidRPr="0052131F" w:rsidRDefault="004E434E" w:rsidP="004E434E">
      <w:pPr>
        <w:pStyle w:val="Body"/>
      </w:pPr>
      <w:r w:rsidRPr="0052131F">
        <w:t xml:space="preserve">The IAP worker is required to: </w:t>
      </w:r>
    </w:p>
    <w:p w14:paraId="2F70E64B" w14:textId="77777777" w:rsidR="004E434E" w:rsidRPr="0052131F" w:rsidRDefault="004E434E" w:rsidP="004E434E">
      <w:pPr>
        <w:pStyle w:val="Bullet1"/>
      </w:pPr>
      <w:r>
        <w:t>O</w:t>
      </w:r>
      <w:r w:rsidRPr="0052131F">
        <w:t>btain written consent from the client prior to collecting data, sharing any information, for the purpose of securing housing or support, or working with ATC and ReConnect workers on the client’s behalf</w:t>
      </w:r>
      <w:r>
        <w:t>.</w:t>
      </w:r>
      <w:r w:rsidRPr="0052131F">
        <w:t xml:space="preserve"> </w:t>
      </w:r>
    </w:p>
    <w:p w14:paraId="193F973A" w14:textId="77777777" w:rsidR="004E434E" w:rsidRPr="0052131F" w:rsidRDefault="004E434E" w:rsidP="004E434E">
      <w:pPr>
        <w:pStyle w:val="Bullet1"/>
      </w:pPr>
      <w:r>
        <w:t>R</w:t>
      </w:r>
      <w:r w:rsidRPr="0052131F">
        <w:t xml:space="preserve">ecord information on the IAP tool (see </w:t>
      </w:r>
      <w:r w:rsidRPr="00D85523">
        <w:rPr>
          <w:b/>
          <w:bCs/>
        </w:rPr>
        <w:t>Attachment 1</w:t>
      </w:r>
      <w:r>
        <w:t>)</w:t>
      </w:r>
      <w:r w:rsidRPr="0052131F">
        <w:t xml:space="preserve"> to complete a housing assessment with the client, identifying the housing and support needs, any risks or vulnerabilities. This includes documenting any post-release legal restrictions or factors that may impact on the suitability of housing options.</w:t>
      </w:r>
    </w:p>
    <w:p w14:paraId="37995461" w14:textId="77777777" w:rsidR="004E434E" w:rsidRPr="0052131F" w:rsidRDefault="004E434E" w:rsidP="004E434E">
      <w:pPr>
        <w:pStyle w:val="Bullet1"/>
      </w:pPr>
      <w:r>
        <w:lastRenderedPageBreak/>
        <w:t>A</w:t>
      </w:r>
      <w:r w:rsidRPr="0052131F">
        <w:t xml:space="preserve">ccess and update the DJCS Reintegration Pathways System (RPS) where appropriate to ensure communication between DJCS staff and the CHPI IAP worker is recorded effectively. </w:t>
      </w:r>
    </w:p>
    <w:p w14:paraId="1046CB95" w14:textId="77777777" w:rsidR="004E434E" w:rsidRDefault="004E434E" w:rsidP="004E434E">
      <w:pPr>
        <w:pStyle w:val="Bullet1"/>
      </w:pPr>
      <w:r>
        <w:t>W</w:t>
      </w:r>
      <w:r w:rsidRPr="0052131F">
        <w:t>ork with ATC and ReConnect worker (where applicable) to improve housing and support outcomes for the client</w:t>
      </w:r>
      <w:r>
        <w:t>.</w:t>
      </w:r>
    </w:p>
    <w:p w14:paraId="06FCCB67" w14:textId="77777777" w:rsidR="004E434E" w:rsidRDefault="004E434E" w:rsidP="004E434E">
      <w:pPr>
        <w:pStyle w:val="Heading3"/>
      </w:pPr>
      <w:r w:rsidRPr="003449A5">
        <w:t xml:space="preserve">Providing support </w:t>
      </w:r>
    </w:p>
    <w:p w14:paraId="2B13F1B5" w14:textId="77777777" w:rsidR="004E434E" w:rsidRDefault="004E434E" w:rsidP="004E434E">
      <w:pPr>
        <w:pStyle w:val="Heading4Unnumbered"/>
      </w:pPr>
      <w:r w:rsidRPr="00007E1D">
        <w:t>Support clients to sustain housing (short</w:t>
      </w:r>
      <w:r>
        <w:t>-</w:t>
      </w:r>
      <w:r w:rsidRPr="00007E1D">
        <w:t>term sentence)</w:t>
      </w:r>
    </w:p>
    <w:p w14:paraId="372C6494" w14:textId="77777777" w:rsidR="004E434E" w:rsidRDefault="004E434E" w:rsidP="004E434E">
      <w:pPr>
        <w:pStyle w:val="Body"/>
      </w:pPr>
      <w:r>
        <w:t>Upon entry to prison, Clients may be referred to the CHPI IAP program if they have housing which may be at risk and require advice regarding whether this housing can be sustained while they are incarcerated.</w:t>
      </w:r>
    </w:p>
    <w:p w14:paraId="3D1B419B" w14:textId="77777777" w:rsidR="004E434E" w:rsidRDefault="004E434E" w:rsidP="004E434E">
      <w:pPr>
        <w:pStyle w:val="Body"/>
      </w:pPr>
      <w:r>
        <w:t xml:space="preserve">Tenancies should be sustained where possible, particularly if clients are either on a short-term sentence (of typically less than six months) or are on remand. Tenancies where sentences are longer than six months may be sustained pending agreement with the housing provider and availability of funding to cover the cost of rent where applicable. The IAP worker will complete an assessment of their current housing situation to see what support may be provided. The CHPI IAP worker is required to: </w:t>
      </w:r>
    </w:p>
    <w:p w14:paraId="59B0A7DB" w14:textId="77777777" w:rsidR="004E434E" w:rsidRDefault="004E434E" w:rsidP="004E434E">
      <w:pPr>
        <w:pStyle w:val="Bullet1"/>
      </w:pPr>
      <w:r>
        <w:t xml:space="preserve">Apply for a temporary absence and rental rebate for clients on remand or a short-term sentence who have existing public housing. See the </w:t>
      </w:r>
      <w:r w:rsidRPr="00B01D97">
        <w:t>temporary absence in public housing</w:t>
      </w:r>
      <w:r>
        <w:t xml:space="preserve"> section in the  </w:t>
      </w:r>
      <w:hyperlink r:id="rId38">
        <w:r w:rsidRPr="7A8AF31E">
          <w:rPr>
            <w:rStyle w:val="Hyperlink"/>
            <w:rFonts w:ascii="Avenir Book" w:hAnsi="Avenir Book"/>
          </w:rPr>
          <w:t>Tenancy Management Manual</w:t>
        </w:r>
      </w:hyperlink>
      <w:r>
        <w:t xml:space="preserve"> </w:t>
      </w:r>
      <w:r w:rsidRPr="004E7D70">
        <w:t>https://providers.dffh.vic.gov.au/tenancy-management-manual</w:t>
      </w:r>
      <w:r>
        <w:t>.</w:t>
      </w:r>
    </w:p>
    <w:p w14:paraId="69246083" w14:textId="77777777" w:rsidR="004E434E" w:rsidRDefault="004E434E" w:rsidP="004E434E">
      <w:pPr>
        <w:pStyle w:val="Bullet1"/>
      </w:pPr>
      <w:r>
        <w:t xml:space="preserve">Advocate to sustain current housing arrangements and access brokerage (see section </w:t>
      </w:r>
      <w:r>
        <w:fldChar w:fldCharType="begin"/>
      </w:r>
      <w:r>
        <w:instrText xml:space="preserve"> REF _Ref198305263 \r \h </w:instrText>
      </w:r>
      <w:r>
        <w:fldChar w:fldCharType="separate"/>
      </w:r>
      <w:r>
        <w:t>3.2</w:t>
      </w:r>
      <w:r>
        <w:fldChar w:fldCharType="end"/>
      </w:r>
      <w:r>
        <w:t xml:space="preserve">) for clients on remand or a short-term sentence, this includes: </w:t>
      </w:r>
    </w:p>
    <w:p w14:paraId="33976745" w14:textId="77777777" w:rsidR="004E434E" w:rsidRDefault="004E434E" w:rsidP="004E434E">
      <w:pPr>
        <w:pStyle w:val="Bullet2"/>
      </w:pPr>
      <w:r>
        <w:t xml:space="preserve">Transitional Housing Management (THM) </w:t>
      </w:r>
    </w:p>
    <w:p w14:paraId="52618833" w14:textId="77777777" w:rsidR="004E434E" w:rsidRDefault="004E434E" w:rsidP="004E434E">
      <w:pPr>
        <w:pStyle w:val="Bullet2"/>
      </w:pPr>
      <w:r>
        <w:t xml:space="preserve">Long-term community housing </w:t>
      </w:r>
    </w:p>
    <w:p w14:paraId="02B2E6F8" w14:textId="77777777" w:rsidR="004E434E" w:rsidRPr="00007E1D" w:rsidRDefault="004E434E" w:rsidP="004E434E">
      <w:pPr>
        <w:pStyle w:val="Bullet2"/>
      </w:pPr>
      <w:r>
        <w:t>Private rental housing.</w:t>
      </w:r>
    </w:p>
    <w:p w14:paraId="245374CA" w14:textId="77777777" w:rsidR="004E434E" w:rsidRDefault="004E434E" w:rsidP="004E434E">
      <w:pPr>
        <w:pStyle w:val="Heading4Unnumbered"/>
      </w:pPr>
      <w:r>
        <w:t>Support clients to obtain accommodation and housing</w:t>
      </w:r>
    </w:p>
    <w:p w14:paraId="30B421CF" w14:textId="77777777" w:rsidR="004E434E" w:rsidRDefault="004E434E" w:rsidP="004E434E">
      <w:pPr>
        <w:pStyle w:val="Body"/>
      </w:pPr>
      <w:r>
        <w:t xml:space="preserve">Clients exiting prison are assisted through an assessment of their current housing situation or a revision of their initial assessment. The CHPI IAP worker is required to: </w:t>
      </w:r>
    </w:p>
    <w:p w14:paraId="0981C411" w14:textId="77777777" w:rsidR="004E434E" w:rsidRDefault="004E434E" w:rsidP="004E434E">
      <w:pPr>
        <w:pStyle w:val="Bullet1"/>
      </w:pPr>
      <w:r>
        <w:t xml:space="preserve">Access brokerage funds (see section </w:t>
      </w:r>
      <w:r>
        <w:fldChar w:fldCharType="begin"/>
      </w:r>
      <w:r>
        <w:instrText xml:space="preserve"> REF _Ref198305274 \r \h </w:instrText>
      </w:r>
      <w:r>
        <w:fldChar w:fldCharType="separate"/>
      </w:r>
      <w:r>
        <w:t>3.2</w:t>
      </w:r>
      <w:r>
        <w:fldChar w:fldCharType="end"/>
      </w:r>
      <w:r>
        <w:t>) to purchase emergency accommodation when a person is released from prison without stable accommodation.</w:t>
      </w:r>
    </w:p>
    <w:p w14:paraId="524B66B0" w14:textId="77777777" w:rsidR="004E434E" w:rsidRDefault="004E434E" w:rsidP="004E434E">
      <w:pPr>
        <w:pStyle w:val="Bullet1"/>
      </w:pPr>
      <w:r>
        <w:t xml:space="preserve">Work collaboratively with homelessness services entry points to create seamless pathways for people exiting prison into housing and support. </w:t>
      </w:r>
    </w:p>
    <w:p w14:paraId="31AF55B7" w14:textId="77777777" w:rsidR="004E434E" w:rsidRDefault="004E434E" w:rsidP="004E434E">
      <w:pPr>
        <w:pStyle w:val="Bullet1"/>
      </w:pPr>
      <w:r>
        <w:t xml:space="preserve">Complete referrals to local homelessness entry points and other relevant services for post release housing and support as needed. </w:t>
      </w:r>
    </w:p>
    <w:p w14:paraId="2E7816E9" w14:textId="77777777" w:rsidR="004E434E" w:rsidRDefault="004E434E" w:rsidP="004E434E">
      <w:pPr>
        <w:pStyle w:val="Bullet1"/>
      </w:pPr>
      <w:r>
        <w:t xml:space="preserve">Complete an application for social housing through the Victorian Housing Register (VHR), if eligible. </w:t>
      </w:r>
    </w:p>
    <w:p w14:paraId="5013C2C8" w14:textId="77777777" w:rsidR="004E434E" w:rsidRDefault="004E434E" w:rsidP="004E434E">
      <w:pPr>
        <w:pStyle w:val="Heading4Unnumbered"/>
      </w:pPr>
      <w:r>
        <w:t>Assisting with unplanned exits</w:t>
      </w:r>
    </w:p>
    <w:p w14:paraId="21246034" w14:textId="77777777" w:rsidR="004E434E" w:rsidRDefault="004E434E" w:rsidP="004E434E">
      <w:pPr>
        <w:pStyle w:val="Body"/>
      </w:pPr>
      <w:r>
        <w:t xml:space="preserve">There may be times when a person is exited from custody ahead of their scheduled date such as via early release or following a court hearing. Where this occurs during business hours, the CHPI IAP worker should work in partnership with prison staff to ensure the client is provided with a minimum level of service regardless of whether the CHPI IAP worker has an open file with the client or is present onsite. This would include an appropriate risk assessment, provision of emergency accommodation where required and contact information for their local homelessness entry point. </w:t>
      </w:r>
    </w:p>
    <w:p w14:paraId="0B8B73CD" w14:textId="77777777" w:rsidR="004E434E" w:rsidRDefault="004E434E" w:rsidP="004E434E">
      <w:pPr>
        <w:pStyle w:val="Body"/>
      </w:pPr>
      <w:r>
        <w:t xml:space="preserve">Where this occurs outside of business hours the client should be provided with the contact details for the Homelessness After Hours service (1800 627 727) who can provide the support outlined </w:t>
      </w:r>
      <w:r>
        <w:lastRenderedPageBreak/>
        <w:t xml:space="preserve">above. The IAP worker is required to make every attempt to contact the client on the next business day to ensure they can access the support they require. </w:t>
      </w:r>
    </w:p>
    <w:p w14:paraId="7FE628D4" w14:textId="77777777" w:rsidR="004E434E" w:rsidRDefault="004E434E" w:rsidP="004E434E">
      <w:pPr>
        <w:pStyle w:val="Heading4Unnumbered"/>
      </w:pPr>
      <w:r>
        <w:t>Case closure</w:t>
      </w:r>
    </w:p>
    <w:p w14:paraId="3BB95769" w14:textId="77777777" w:rsidR="004E434E" w:rsidRDefault="004E434E" w:rsidP="004E434E">
      <w:pPr>
        <w:pStyle w:val="Body"/>
      </w:pPr>
      <w:r>
        <w:t>There may be instances where a client’s support period remains open with a CHPI IAP worker for an extended period such as when they may require accommodation on release. Support periods should remain open with the CHPI IAP worker until one of the following situations occur:</w:t>
      </w:r>
    </w:p>
    <w:p w14:paraId="505B1D80" w14:textId="77777777" w:rsidR="004E434E" w:rsidRDefault="004E434E" w:rsidP="004E434E">
      <w:pPr>
        <w:pStyle w:val="Bullet1"/>
      </w:pPr>
      <w:r>
        <w:t xml:space="preserve">the client advises they no longer wish to engage with CHPI </w:t>
      </w:r>
    </w:p>
    <w:p w14:paraId="5287A6D8" w14:textId="77777777" w:rsidR="004E434E" w:rsidRDefault="004E434E" w:rsidP="004E434E">
      <w:pPr>
        <w:pStyle w:val="Bullet1"/>
      </w:pPr>
      <w:r>
        <w:t>handover to ReConnect is complete</w:t>
      </w:r>
    </w:p>
    <w:p w14:paraId="39188329" w14:textId="6B8CB697" w:rsidR="004E434E" w:rsidRDefault="004E434E" w:rsidP="004E434E">
      <w:pPr>
        <w:pStyle w:val="Bullet1"/>
      </w:pPr>
      <w:r>
        <w:t xml:space="preserve">upon transfer to a different prison, </w:t>
      </w:r>
      <w:r w:rsidR="00210194">
        <w:t xml:space="preserve">warm </w:t>
      </w:r>
      <w:r>
        <w:t>handover to the applicable CHPI IAP is complete</w:t>
      </w:r>
    </w:p>
    <w:p w14:paraId="7C6C9BCD" w14:textId="77777777" w:rsidR="004E434E" w:rsidRDefault="004E434E" w:rsidP="004E434E">
      <w:pPr>
        <w:pStyle w:val="Bullet1"/>
      </w:pPr>
      <w:r>
        <w:t>all goals identified by the client are complete upon release.</w:t>
      </w:r>
    </w:p>
    <w:p w14:paraId="6DA1F47E" w14:textId="77777777" w:rsidR="004E434E" w:rsidRDefault="004E434E" w:rsidP="004E434E">
      <w:pPr>
        <w:pStyle w:val="Heading3"/>
      </w:pPr>
      <w:r>
        <w:t>Practice when a prisoner is transferred between prisons</w:t>
      </w:r>
    </w:p>
    <w:p w14:paraId="792D6AB3" w14:textId="77777777" w:rsidR="004E434E" w:rsidRDefault="004E434E" w:rsidP="004E434E">
      <w:pPr>
        <w:pStyle w:val="Body"/>
      </w:pPr>
      <w:r>
        <w:t>When a client is transferred to a different prison, CHPI IAP workers should work collaboratively to ensure continuity of care and reduce repetition of the initial assessment process. Where an CHPI IAP worker becomes aware their client has transferred they must initiate contact with the receiving CHPI IAP worker to exchange information.</w:t>
      </w:r>
    </w:p>
    <w:p w14:paraId="5E6348A4" w14:textId="77777777" w:rsidR="004E434E" w:rsidRDefault="004E434E" w:rsidP="004E434E">
      <w:pPr>
        <w:pStyle w:val="Body"/>
      </w:pPr>
      <w:r>
        <w:t>The CHPI IAP worker at the receiving prison is required to:</w:t>
      </w:r>
    </w:p>
    <w:p w14:paraId="21E69FE9" w14:textId="77777777" w:rsidR="004E434E" w:rsidRDefault="004E434E" w:rsidP="004E434E">
      <w:pPr>
        <w:pStyle w:val="Bullet1"/>
      </w:pPr>
      <w:r>
        <w:t>Build on the existing initial assessment and housing plans and provide the ATC worker with an updated version, with written consent from the client.</w:t>
      </w:r>
    </w:p>
    <w:p w14:paraId="27916970" w14:textId="77777777" w:rsidR="004E434E" w:rsidRDefault="004E434E" w:rsidP="004E434E">
      <w:pPr>
        <w:pStyle w:val="Bullet1"/>
      </w:pPr>
      <w:r>
        <w:t>Update contact details and relevant information on the VHR.</w:t>
      </w:r>
    </w:p>
    <w:p w14:paraId="1086C595" w14:textId="77777777" w:rsidR="004E434E" w:rsidRDefault="004E434E" w:rsidP="004E434E">
      <w:pPr>
        <w:pStyle w:val="Bullet1"/>
      </w:pPr>
      <w:r>
        <w:t>Update contact details where a person has been registered for housing and/or support, for example at homelessness entry points.</w:t>
      </w:r>
    </w:p>
    <w:p w14:paraId="1D569B14" w14:textId="77777777" w:rsidR="004E434E" w:rsidRPr="001F06E8" w:rsidRDefault="004E434E" w:rsidP="004E434E">
      <w:pPr>
        <w:pStyle w:val="Heading2"/>
      </w:pPr>
      <w:bookmarkStart w:id="82" w:name="_Ref197699705"/>
      <w:bookmarkStart w:id="83" w:name="_Ref198305263"/>
      <w:bookmarkStart w:id="84" w:name="_Ref198305274"/>
      <w:bookmarkStart w:id="85" w:name="_Toc207868814"/>
      <w:r w:rsidRPr="001F06E8">
        <w:t>Brokerage</w:t>
      </w:r>
      <w:bookmarkEnd w:id="82"/>
      <w:bookmarkEnd w:id="83"/>
      <w:bookmarkEnd w:id="84"/>
      <w:bookmarkEnd w:id="85"/>
      <w:r w:rsidRPr="001F06E8">
        <w:t xml:space="preserve"> </w:t>
      </w:r>
    </w:p>
    <w:p w14:paraId="1E881FB7" w14:textId="77777777" w:rsidR="004E434E" w:rsidRDefault="004E434E" w:rsidP="004E434E">
      <w:pPr>
        <w:pStyle w:val="Heading3"/>
      </w:pPr>
      <w:bookmarkStart w:id="86" w:name="_Ref198304606"/>
      <w:r w:rsidRPr="003449A5">
        <w:t>Program brokerage</w:t>
      </w:r>
      <w:bookmarkEnd w:id="86"/>
    </w:p>
    <w:p w14:paraId="673573F6" w14:textId="77777777" w:rsidR="004E434E" w:rsidRDefault="004E434E" w:rsidP="004E434E">
      <w:pPr>
        <w:pStyle w:val="Body"/>
      </w:pPr>
      <w:r>
        <w:t>CHPI providers have access to a fixed amount of brokerage funds. These funds are aimed at preventing people from experiencing homelessness when released from prison.</w:t>
      </w:r>
    </w:p>
    <w:p w14:paraId="08AEA553" w14:textId="77777777" w:rsidR="004E434E" w:rsidRPr="001902A3" w:rsidRDefault="004E434E" w:rsidP="004E434E">
      <w:pPr>
        <w:pStyle w:val="Body"/>
      </w:pPr>
      <w:r>
        <w:t xml:space="preserve">CHPI Brokerage is allocated under the activity Homelessness Flexible Funding and can be used flexibly to alleviate a person’s housing needs as well as to address holistic needs that will support clients to support themselves. </w:t>
      </w:r>
      <w:r w:rsidRPr="001902A3">
        <w:t>Examples of acceptable use of flexible brokerage include client vocational certification, or specialist services such as (but not limited to):</w:t>
      </w:r>
    </w:p>
    <w:p w14:paraId="2F09056B" w14:textId="77777777" w:rsidR="004E434E" w:rsidRPr="001902A3" w:rsidRDefault="004E434E" w:rsidP="004E434E">
      <w:pPr>
        <w:pStyle w:val="Bullet1"/>
      </w:pPr>
      <w:r w:rsidRPr="001902A3">
        <w:t>alcohol and other drugs detox and rehabilitation </w:t>
      </w:r>
    </w:p>
    <w:p w14:paraId="0821B06B" w14:textId="77777777" w:rsidR="004E434E" w:rsidRPr="001902A3" w:rsidRDefault="004E434E" w:rsidP="004E434E">
      <w:pPr>
        <w:pStyle w:val="Bullet1"/>
      </w:pPr>
      <w:r w:rsidRPr="001902A3">
        <w:t>access to a private General Practitioner (GP) when access to a bulk billing GP has a long waiting list, or a psychologist when a person has used all Medicare-funded sessions in their mental health care plan  </w:t>
      </w:r>
    </w:p>
    <w:p w14:paraId="0F79A47C" w14:textId="77777777" w:rsidR="004E434E" w:rsidRPr="001902A3" w:rsidRDefault="004E434E" w:rsidP="004E434E">
      <w:pPr>
        <w:pStyle w:val="Bullet1"/>
      </w:pPr>
      <w:r w:rsidRPr="001902A3">
        <w:t>dental services when there is limited access to free dental care </w:t>
      </w:r>
    </w:p>
    <w:p w14:paraId="48A7D195" w14:textId="77777777" w:rsidR="004E434E" w:rsidRPr="001902A3" w:rsidRDefault="004E434E" w:rsidP="004E434E">
      <w:pPr>
        <w:pStyle w:val="Bullet1"/>
      </w:pPr>
      <w:r w:rsidRPr="001902A3">
        <w:t>pay for car registration or repairs where this will assist a person to gain employment or reunite with family </w:t>
      </w:r>
    </w:p>
    <w:p w14:paraId="6920253B" w14:textId="77777777" w:rsidR="004E434E" w:rsidRPr="001902A3" w:rsidRDefault="004E434E" w:rsidP="004E434E">
      <w:pPr>
        <w:pStyle w:val="Bullet1"/>
      </w:pPr>
      <w:r w:rsidRPr="001902A3">
        <w:t>staffing and accommodation where its provision is key to engagement and forms part of a pathway to permanent housing options.  </w:t>
      </w:r>
    </w:p>
    <w:p w14:paraId="11413C0D" w14:textId="77777777" w:rsidR="004E434E" w:rsidRPr="001902A3" w:rsidRDefault="004E434E" w:rsidP="004E434E">
      <w:pPr>
        <w:pStyle w:val="Body"/>
      </w:pPr>
      <w:r w:rsidRPr="001902A3">
        <w:t>Funds are only to be expended for client related expenditure and assistance. Brokerage cannot be used for: </w:t>
      </w:r>
    </w:p>
    <w:p w14:paraId="0EA97C9E" w14:textId="77777777" w:rsidR="004E434E" w:rsidRPr="001902A3" w:rsidRDefault="004E434E" w:rsidP="004E434E">
      <w:pPr>
        <w:pStyle w:val="Bullet1"/>
      </w:pPr>
      <w:r w:rsidRPr="001902A3">
        <w:t>products or services that have not been identified in the client plan </w:t>
      </w:r>
    </w:p>
    <w:p w14:paraId="171E6E3A" w14:textId="77777777" w:rsidR="004E434E" w:rsidRPr="001902A3" w:rsidRDefault="004E434E" w:rsidP="004E434E">
      <w:pPr>
        <w:pStyle w:val="Bullet1"/>
      </w:pPr>
      <w:r w:rsidRPr="001902A3">
        <w:lastRenderedPageBreak/>
        <w:t>staff related activities </w:t>
      </w:r>
    </w:p>
    <w:p w14:paraId="05775CB9" w14:textId="77777777" w:rsidR="004E434E" w:rsidRPr="001902A3" w:rsidRDefault="004E434E" w:rsidP="004E434E">
      <w:pPr>
        <w:pStyle w:val="Bullet1"/>
      </w:pPr>
      <w:r w:rsidRPr="001902A3">
        <w:t>available support services that are already accessible to the person through other funding sources  </w:t>
      </w:r>
    </w:p>
    <w:p w14:paraId="4F2CDAC8" w14:textId="77777777" w:rsidR="004E434E" w:rsidRPr="001902A3" w:rsidRDefault="004E434E" w:rsidP="004E434E">
      <w:pPr>
        <w:pStyle w:val="Bullet1"/>
      </w:pPr>
      <w:r w:rsidRPr="001902A3">
        <w:t>any illegal purposes. </w:t>
      </w:r>
    </w:p>
    <w:p w14:paraId="06D1FFA1" w14:textId="77777777" w:rsidR="004E434E" w:rsidRPr="00BB3C38" w:rsidRDefault="004E434E" w:rsidP="004E434E">
      <w:pPr>
        <w:pStyle w:val="Heading3"/>
      </w:pPr>
      <w:r w:rsidRPr="000D3211">
        <w:t>Homelessness Services brokerage</w:t>
      </w:r>
    </w:p>
    <w:p w14:paraId="41487637" w14:textId="77777777" w:rsidR="004E434E" w:rsidRPr="00DF0315" w:rsidRDefault="004E434E" w:rsidP="004E434E">
      <w:pPr>
        <w:pStyle w:val="Body"/>
      </w:pPr>
      <w:r w:rsidRPr="00DF0315">
        <w:t xml:space="preserve">To access or sustain housing, workers of </w:t>
      </w:r>
      <w:r w:rsidRPr="00CB4947">
        <w:t xml:space="preserve">CHPI </w:t>
      </w:r>
      <w:r w:rsidRPr="00DF0315">
        <w:t>may apply for funding through one of the below brokerage programs. Any allocation of the below brokerage is at the discretion of the organisation providing the brokerage in accordance with relevant program guidelines.</w:t>
      </w:r>
    </w:p>
    <w:p w14:paraId="13EBF4B3" w14:textId="77777777" w:rsidR="004E434E" w:rsidRPr="00CB4947" w:rsidRDefault="004E434E" w:rsidP="004E434E">
      <w:pPr>
        <w:pStyle w:val="Heading4Unnumbered"/>
      </w:pPr>
      <w:r w:rsidRPr="007C20A7">
        <w:t>Private Rental Assistance Program (PRAP)</w:t>
      </w:r>
    </w:p>
    <w:p w14:paraId="5E172CE6" w14:textId="056F855B" w:rsidR="004E434E" w:rsidRDefault="004E434E" w:rsidP="004E434E">
      <w:pPr>
        <w:pStyle w:val="Body"/>
      </w:pPr>
      <w:r w:rsidRPr="00CB4947">
        <w:t>CHPI</w:t>
      </w:r>
      <w:r w:rsidRPr="00DF0315">
        <w:t xml:space="preserve"> </w:t>
      </w:r>
      <w:r>
        <w:t>IAP workers</w:t>
      </w:r>
      <w:r w:rsidRPr="00DF0315">
        <w:t xml:space="preserve"> are</w:t>
      </w:r>
      <w:r w:rsidRPr="126445CF">
        <w:t xml:space="preserve"> encouraged to utilise local area PRAP funds where available to establish or sustain private rental tenancies.</w:t>
      </w:r>
      <w:r>
        <w:t xml:space="preserve"> </w:t>
      </w:r>
      <w:r w:rsidRPr="126445CF">
        <w:t xml:space="preserve">The </w:t>
      </w:r>
      <w:hyperlink r:id="rId39">
        <w:r w:rsidR="008E2FF1" w:rsidRPr="008E2FF1">
          <w:t>Private Rental Assistance Program Guidelines</w:t>
        </w:r>
      </w:hyperlink>
      <w:r w:rsidR="008E2FF1">
        <w:t xml:space="preserve"> </w:t>
      </w:r>
      <w:r w:rsidRPr="126445CF">
        <w:t>provide oversight and guidance for the use of PRAP funds.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480435" w14:paraId="4A6B9489" w14:textId="77777777" w:rsidTr="00480435">
        <w:tc>
          <w:tcPr>
            <w:tcW w:w="9209" w:type="dxa"/>
            <w:shd w:val="clear" w:color="auto" w:fill="auto"/>
          </w:tcPr>
          <w:p w14:paraId="39BAE8BC" w14:textId="77777777" w:rsidR="00480435" w:rsidRDefault="00480435" w:rsidP="004E434E">
            <w:pPr>
              <w:pStyle w:val="Body"/>
            </w:pPr>
            <w:hyperlink r:id="rId40">
              <w:r w:rsidRPr="009F4083">
                <w:rPr>
                  <w:rStyle w:val="Hyperlink"/>
                  <w:rFonts w:ascii="Avenir Book" w:hAnsi="Avenir Book"/>
                </w:rPr>
                <w:t>Private Rental Assistance Program Guidelines</w:t>
              </w:r>
            </w:hyperlink>
          </w:p>
          <w:p w14:paraId="6DC70B1A" w14:textId="527F59F9" w:rsidR="00480435" w:rsidRDefault="00480435" w:rsidP="004E434E">
            <w:pPr>
              <w:pStyle w:val="Body"/>
              <w:rPr>
                <w:rFonts w:ascii="Arial" w:eastAsia="Arial" w:hAnsi="Arial" w:cs="Arial"/>
                <w:color w:val="000000"/>
              </w:rPr>
            </w:pPr>
            <w:r w:rsidRPr="126445CF">
              <w:t>https://fac.dffh.vic.gov.au/private-rental-assistance-program-guidelines</w:t>
            </w:r>
          </w:p>
        </w:tc>
      </w:tr>
    </w:tbl>
    <w:p w14:paraId="0773E830" w14:textId="77777777" w:rsidR="003E1FD9" w:rsidRDefault="003E1FD9" w:rsidP="004E434E">
      <w:pPr>
        <w:pStyle w:val="Body"/>
        <w:rPr>
          <w:rFonts w:ascii="Arial" w:eastAsia="Arial" w:hAnsi="Arial" w:cs="Arial"/>
          <w:color w:val="000000"/>
        </w:rPr>
      </w:pPr>
    </w:p>
    <w:p w14:paraId="3A226466" w14:textId="77777777" w:rsidR="004E434E" w:rsidRPr="00CB4947" w:rsidRDefault="004E434E" w:rsidP="004E434E">
      <w:pPr>
        <w:pStyle w:val="Heading4Unnumbered"/>
      </w:pPr>
      <w:r w:rsidRPr="007C20A7">
        <w:t>Aboriginal Private Rental Assistance Program (APRAP)</w:t>
      </w:r>
    </w:p>
    <w:p w14:paraId="547265A9" w14:textId="5E35D44E" w:rsidR="004E434E" w:rsidRDefault="004E434E" w:rsidP="004E434E">
      <w:pPr>
        <w:pStyle w:val="Body"/>
      </w:pPr>
      <w:r w:rsidRPr="00CB4947">
        <w:t>CHPI</w:t>
      </w:r>
      <w:r w:rsidRPr="00DF0315">
        <w:t xml:space="preserve"> </w:t>
      </w:r>
      <w:r>
        <w:t>IAP workers</w:t>
      </w:r>
      <w:r w:rsidRPr="00DF0315">
        <w:t xml:space="preserve"> are</w:t>
      </w:r>
      <w:r w:rsidRPr="126445CF">
        <w:t xml:space="preserve"> encouraged to utilise local area APRAP funds for First People where available to establish or sustain private rental tenancies. Please refer to the </w:t>
      </w:r>
      <w:hyperlink r:id="rId41">
        <w:r w:rsidRPr="009F4083">
          <w:rPr>
            <w:rStyle w:val="Hyperlink"/>
            <w:rFonts w:ascii="Avenir Book" w:hAnsi="Avenir Book"/>
          </w:rPr>
          <w:t>Aboriginal Private Rental Assistance Program Guidelines</w:t>
        </w:r>
      </w:hyperlink>
      <w:r w:rsidRPr="009F4083">
        <w:rPr>
          <w:rStyle w:val="Hyperlink"/>
          <w:rFonts w:ascii="Avenir Book" w:hAnsi="Avenir Book"/>
        </w:rPr>
        <w:t xml:space="preserve"> </w:t>
      </w:r>
      <w:r w:rsidRPr="009F4083">
        <w:rPr>
          <w:rStyle w:val="Hyperlink"/>
          <w:rFonts w:ascii="Avenir Book" w:hAnsi="Avenir Book"/>
          <w:color w:val="auto"/>
        </w:rPr>
        <w:t>which</w:t>
      </w:r>
      <w:r w:rsidRPr="009F4083">
        <w:t xml:space="preserve"> </w:t>
      </w:r>
      <w:r w:rsidRPr="126445CF">
        <w:t xml:space="preserve">provide oversight and guidance for the use of APRAP funds. </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480435" w14:paraId="31A3EB56" w14:textId="77777777" w:rsidTr="00480435">
        <w:tc>
          <w:tcPr>
            <w:tcW w:w="9209" w:type="dxa"/>
            <w:shd w:val="clear" w:color="auto" w:fill="auto"/>
          </w:tcPr>
          <w:p w14:paraId="56C6B4AA" w14:textId="77777777" w:rsidR="00480435" w:rsidRDefault="00480435" w:rsidP="004E434E">
            <w:pPr>
              <w:pStyle w:val="Body"/>
            </w:pPr>
            <w:hyperlink r:id="rId42">
              <w:r w:rsidRPr="009F4083">
                <w:rPr>
                  <w:rStyle w:val="Hyperlink"/>
                  <w:rFonts w:ascii="Avenir Book" w:hAnsi="Avenir Book"/>
                </w:rPr>
                <w:t>Aboriginal Private Rental Assistance Program Guidelines</w:t>
              </w:r>
            </w:hyperlink>
          </w:p>
          <w:p w14:paraId="3885CA6F" w14:textId="200DC204" w:rsidR="00480435" w:rsidRDefault="00480435" w:rsidP="004E434E">
            <w:pPr>
              <w:pStyle w:val="Body"/>
              <w:rPr>
                <w:rFonts w:ascii="Verdana" w:eastAsia="Verdana" w:hAnsi="Verdana" w:cs="Verdana"/>
                <w:color w:val="000000"/>
                <w:szCs w:val="21"/>
              </w:rPr>
            </w:pPr>
            <w:r w:rsidRPr="003E1FD9">
              <w:t>https://fac.dffh.vic.gov.au/aboriginal-private-rental-assistance-program-aprap-guidelines</w:t>
            </w:r>
          </w:p>
        </w:tc>
      </w:tr>
    </w:tbl>
    <w:p w14:paraId="29FB2312" w14:textId="77777777" w:rsidR="003E1FD9" w:rsidRDefault="003E1FD9" w:rsidP="004E434E">
      <w:pPr>
        <w:pStyle w:val="Body"/>
        <w:rPr>
          <w:rFonts w:ascii="Verdana" w:eastAsia="Verdana" w:hAnsi="Verdana" w:cs="Verdana"/>
          <w:color w:val="000000"/>
          <w:szCs w:val="21"/>
        </w:rPr>
      </w:pPr>
    </w:p>
    <w:p w14:paraId="43B2DE9C" w14:textId="2681B116" w:rsidR="004E434E" w:rsidRPr="00CB4947" w:rsidRDefault="004E434E" w:rsidP="004E434E">
      <w:pPr>
        <w:pStyle w:val="Heading4Unnumbered"/>
      </w:pPr>
      <w:r w:rsidRPr="007C20A7">
        <w:t xml:space="preserve">Housing Establishment Fund </w:t>
      </w:r>
    </w:p>
    <w:p w14:paraId="2D5C44BC" w14:textId="7DD48363" w:rsidR="00976B40" w:rsidRDefault="004E434E" w:rsidP="00976B40">
      <w:r w:rsidRPr="00CB4947">
        <w:t>CHPI</w:t>
      </w:r>
      <w:r w:rsidRPr="00DF0315">
        <w:t xml:space="preserve"> </w:t>
      </w:r>
      <w:r>
        <w:t>IAP workers</w:t>
      </w:r>
      <w:r w:rsidRPr="00DF0315">
        <w:t xml:space="preserve"> may request</w:t>
      </w:r>
      <w:r w:rsidRPr="126445CF">
        <w:t xml:space="preserve"> HEF brokerage from the local homelessness entry point when all other sources of funding have been exhausted. Refer to the</w:t>
      </w:r>
      <w:r w:rsidRPr="00B87B87">
        <w:t xml:space="preserve"> </w:t>
      </w:r>
      <w:hyperlink r:id="rId43" w:history="1">
        <w:r w:rsidR="00B87B87" w:rsidRPr="00B87B87">
          <w:rPr>
            <w:rStyle w:val="Hyperlink"/>
            <w:rFonts w:ascii="Avenir Book" w:hAnsi="Avenir Book"/>
          </w:rPr>
          <w:t>HEF guidelines</w:t>
        </w:r>
      </w:hyperlink>
      <w:r w:rsidR="00B87B87">
        <w:t xml:space="preserve"> appropriate use of HEF</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480435" w14:paraId="1D67EBD7" w14:textId="77777777" w:rsidTr="00480435">
        <w:tc>
          <w:tcPr>
            <w:tcW w:w="9209" w:type="dxa"/>
            <w:shd w:val="clear" w:color="auto" w:fill="auto"/>
          </w:tcPr>
          <w:p w14:paraId="0F6A7D98" w14:textId="77777777" w:rsidR="00480435" w:rsidRDefault="00480435" w:rsidP="001C3F2E">
            <w:pPr>
              <w:pStyle w:val="Body"/>
            </w:pPr>
            <w:hyperlink r:id="rId44" w:history="1">
              <w:r w:rsidRPr="00B87B87">
                <w:rPr>
                  <w:rStyle w:val="Hyperlink"/>
                  <w:rFonts w:ascii="Avenir Book" w:hAnsi="Avenir Book"/>
                </w:rPr>
                <w:t>HEF guidelines</w:t>
              </w:r>
            </w:hyperlink>
          </w:p>
          <w:p w14:paraId="1EF46F09" w14:textId="0360E56C" w:rsidR="00480435" w:rsidRDefault="00480435" w:rsidP="001C3F2E">
            <w:pPr>
              <w:pStyle w:val="Body"/>
            </w:pPr>
            <w:r w:rsidRPr="001C3F2E">
              <w:t>https://fac.dffh.vic.gov.au/housing-establishment-guidelines-hef</w:t>
            </w:r>
          </w:p>
        </w:tc>
      </w:tr>
    </w:tbl>
    <w:p w14:paraId="79C91E53" w14:textId="77777777" w:rsidR="00B87B87" w:rsidRPr="00CA3DD7" w:rsidRDefault="00B87B87" w:rsidP="00976B40"/>
    <w:p w14:paraId="2D7B6770" w14:textId="77777777" w:rsidR="004E434E" w:rsidRDefault="004E434E" w:rsidP="004E434E">
      <w:pPr>
        <w:pStyle w:val="Heading3"/>
      </w:pPr>
      <w:r>
        <w:t>Corrections Victoria brokerage program</w:t>
      </w:r>
    </w:p>
    <w:p w14:paraId="723C03C8" w14:textId="77777777" w:rsidR="004E434E" w:rsidRDefault="004E434E" w:rsidP="004E434E">
      <w:pPr>
        <w:pStyle w:val="Body"/>
      </w:pPr>
      <w:r>
        <w:t>The Corrections Victoria Brokerage Program (CVBP) provides exiting prisoners with assistance to establish or maintain stable housing. Aiming to enhance an individual’s capacity to reintegrate into the community through accessing accommodation. The CVBP supports sentenced and remand prisoners with costs associated with sustaining tenancy.</w:t>
      </w:r>
    </w:p>
    <w:p w14:paraId="036A1688" w14:textId="77777777" w:rsidR="004E434E" w:rsidRDefault="004E434E" w:rsidP="004E434E">
      <w:pPr>
        <w:pStyle w:val="Body"/>
      </w:pPr>
      <w:r>
        <w:t xml:space="preserve">Applications for brokerage must be sent to the CVPB team via email: </w:t>
      </w:r>
      <w:hyperlink r:id="rId45" w:history="1">
        <w:r w:rsidRPr="00B570E7">
          <w:rPr>
            <w:rStyle w:val="Hyperlink"/>
            <w:rFonts w:ascii="Avenir Book" w:hAnsi="Avenir Book"/>
          </w:rPr>
          <w:t>cvbrokerage.program@justice.vic.gov.au</w:t>
        </w:r>
      </w:hyperlink>
      <w:r>
        <w:t>. The completed brokerage application form, along with any supporting documents (such as rental invoices) must be provided, for applications to be considered.</w:t>
      </w:r>
    </w:p>
    <w:p w14:paraId="17EF1116" w14:textId="77777777" w:rsidR="004E434E" w:rsidRDefault="004E434E" w:rsidP="004E434E">
      <w:pPr>
        <w:pStyle w:val="Body"/>
      </w:pPr>
      <w:r>
        <w:t xml:space="preserve">For a copy of the CVBP guidelines please email: </w:t>
      </w:r>
      <w:hyperlink r:id="rId46" w:history="1">
        <w:r w:rsidRPr="00DC522F">
          <w:rPr>
            <w:rStyle w:val="Hyperlink"/>
            <w:rFonts w:ascii="Avenir Book" w:hAnsi="Avenir Book"/>
          </w:rPr>
          <w:t>cvbrokerage.program@justice.vic.gov.au</w:t>
        </w:r>
      </w:hyperlink>
      <w:r>
        <w:t>.</w:t>
      </w:r>
    </w:p>
    <w:p w14:paraId="496F3CE1" w14:textId="77777777" w:rsidR="004E434E" w:rsidRDefault="004E434E" w:rsidP="004E434E">
      <w:pPr>
        <w:pStyle w:val="Heading2"/>
      </w:pPr>
      <w:bookmarkStart w:id="87" w:name="_Toc200721586"/>
      <w:bookmarkStart w:id="88" w:name="_Toc200721587"/>
      <w:bookmarkStart w:id="89" w:name="_Toc200721588"/>
      <w:bookmarkStart w:id="90" w:name="_Toc200721589"/>
      <w:bookmarkStart w:id="91" w:name="_Toc207868815"/>
      <w:bookmarkStart w:id="92" w:name="_Toc256778633"/>
      <w:bookmarkEnd w:id="87"/>
      <w:bookmarkEnd w:id="88"/>
      <w:bookmarkEnd w:id="89"/>
      <w:bookmarkEnd w:id="90"/>
      <w:r>
        <w:lastRenderedPageBreak/>
        <w:t>Working environment</w:t>
      </w:r>
      <w:bookmarkEnd w:id="91"/>
      <w:r>
        <w:t xml:space="preserve"> </w:t>
      </w:r>
    </w:p>
    <w:p w14:paraId="4B7F4CF1" w14:textId="77777777" w:rsidR="004E434E" w:rsidRDefault="004E434E" w:rsidP="004E434E">
      <w:pPr>
        <w:pStyle w:val="Heading3"/>
      </w:pPr>
      <w:r>
        <w:t>Prison access and induction</w:t>
      </w:r>
    </w:p>
    <w:p w14:paraId="6DB7A525" w14:textId="26BC31FB" w:rsidR="004E434E" w:rsidRDefault="004E434E" w:rsidP="004E434E">
      <w:pPr>
        <w:pStyle w:val="Body"/>
      </w:pPr>
      <w:r>
        <w:t>The IAP</w:t>
      </w:r>
      <w:r w:rsidR="00C36B38">
        <w:t xml:space="preserve"> worker</w:t>
      </w:r>
      <w:r>
        <w:t xml:space="preserve">’s managers are required to communicate with the Offender Service Manager (OSM) and/or Offender Services Supervisor (OSS), or equivalent, at the relevant prison location when a new staff member has commenced as an IAP and requires access to the prison for their role. </w:t>
      </w:r>
    </w:p>
    <w:p w14:paraId="3947765A" w14:textId="5D4184F3" w:rsidR="004E434E" w:rsidRDefault="004E434E" w:rsidP="004E434E">
      <w:pPr>
        <w:pStyle w:val="Body"/>
      </w:pPr>
      <w:r>
        <w:t xml:space="preserve">It is important that IAP </w:t>
      </w:r>
      <w:proofErr w:type="spellStart"/>
      <w:proofErr w:type="gramStart"/>
      <w:r w:rsidR="00F95376">
        <w:t>workers</w:t>
      </w:r>
      <w:r>
        <w:t>‘</w:t>
      </w:r>
      <w:proofErr w:type="gramEnd"/>
      <w:r>
        <w:t>s</w:t>
      </w:r>
      <w:proofErr w:type="spellEnd"/>
      <w:r>
        <w:t xml:space="preserve"> declare all associations (people they know or have contact with) within the criminal justice system, as well as if they have lived experience of the criminal justice system during the recruitment phase and must keep their organisation informed of any changes to their associations. </w:t>
      </w:r>
    </w:p>
    <w:p w14:paraId="0594228E" w14:textId="77777777" w:rsidR="004E434E" w:rsidRDefault="004E434E" w:rsidP="004E434E">
      <w:pPr>
        <w:pStyle w:val="Body"/>
      </w:pPr>
      <w:r>
        <w:t>Failing to disclose all relevant information may result in access being delayed, restricted or rejected.</w:t>
      </w:r>
    </w:p>
    <w:p w14:paraId="1EFE5C7B" w14:textId="77777777" w:rsidR="004E434E" w:rsidRDefault="004E434E" w:rsidP="004E434E">
      <w:pPr>
        <w:pStyle w:val="Body"/>
      </w:pPr>
      <w:r>
        <w:t>All IAP workers will be required to be cleared by the prison General Manager before they are able to commence onsite work within prisons in Victoria. This must be completed at each prison location, noting that privately owned prisons may undertake a different process to CV prisons. Please note that it is the prison General Manager’s decision who is cleared to enter the prison and there may be reasons someone is not approved.</w:t>
      </w:r>
    </w:p>
    <w:p w14:paraId="1F2EABAF" w14:textId="7891CA1D" w:rsidR="004E434E" w:rsidRDefault="004E434E" w:rsidP="004E434E">
      <w:pPr>
        <w:pStyle w:val="Body"/>
      </w:pPr>
      <w:r>
        <w:t>When an IAP</w:t>
      </w:r>
      <w:r w:rsidR="00E63F6F">
        <w:t xml:space="preserve"> worker</w:t>
      </w:r>
      <w:r>
        <w:t xml:space="preserve">’s clearance is not supported by CV, the decision will be communicated by the relevant prison staff within the scope of maintaining the </w:t>
      </w:r>
      <w:r w:rsidR="009007E2">
        <w:t>worker</w:t>
      </w:r>
      <w:r>
        <w:t>’s personal privacy, therefore exact reasons may not always be able to be provided.</w:t>
      </w:r>
    </w:p>
    <w:p w14:paraId="5C7D199C" w14:textId="30E90208" w:rsidR="004E434E" w:rsidRDefault="004E434E" w:rsidP="004E434E">
      <w:pPr>
        <w:pStyle w:val="Body"/>
      </w:pPr>
      <w:r>
        <w:t>Depending on the IAP worker</w:t>
      </w:r>
      <w:r w:rsidR="000306E8">
        <w:t>’</w:t>
      </w:r>
      <w:r>
        <w:t xml:space="preserve">s approved level of access to a prison, such as escorted (red pass) or unescorted (orange or green pass), the IAP Workers may be required to complete a Fit2work application or a Victorian Police </w:t>
      </w:r>
      <w:r w:rsidR="00E63E85">
        <w:t>check and</w:t>
      </w:r>
      <w:r>
        <w:t xml:space="preserve"> participate in a location specific induction training at each prison, as directed by prison staff. </w:t>
      </w:r>
    </w:p>
    <w:p w14:paraId="464C68FD" w14:textId="77777777" w:rsidR="004E434E" w:rsidRDefault="004E434E" w:rsidP="004E434E">
      <w:pPr>
        <w:pStyle w:val="Heading3"/>
      </w:pPr>
      <w:r>
        <w:t>Staff leave arrangements</w:t>
      </w:r>
    </w:p>
    <w:p w14:paraId="7C647A4A" w14:textId="77777777" w:rsidR="004E434E" w:rsidRDefault="004E434E" w:rsidP="004E434E">
      <w:pPr>
        <w:pStyle w:val="Body"/>
      </w:pPr>
      <w:r>
        <w:t>Providers will take due care and responsibility for ensuring that delivery of services remains constant and will implement measures to ensure that situations such as leave arrangements or staff illness have a minimal impact on services.</w:t>
      </w:r>
    </w:p>
    <w:p w14:paraId="35B4548E" w14:textId="77777777" w:rsidR="004E434E" w:rsidRDefault="004E434E" w:rsidP="004E434E">
      <w:pPr>
        <w:pStyle w:val="Body"/>
      </w:pPr>
      <w:r>
        <w:t>Service providers will liaise with the prison managers or nominated contacts to put contingency arrangements in place during periods of staff absences.</w:t>
      </w:r>
    </w:p>
    <w:p w14:paraId="621CA62C" w14:textId="77777777" w:rsidR="004E434E" w:rsidRDefault="004E434E" w:rsidP="004E434E">
      <w:pPr>
        <w:pStyle w:val="Heading3"/>
      </w:pPr>
      <w:r>
        <w:t>Training</w:t>
      </w:r>
    </w:p>
    <w:p w14:paraId="001FD6FB" w14:textId="77777777" w:rsidR="004E434E" w:rsidRDefault="004E434E" w:rsidP="004E434E">
      <w:pPr>
        <w:pStyle w:val="Body"/>
      </w:pPr>
      <w:r>
        <w:t xml:space="preserve">IAP workers are encouraged to attend training opportunities to enhance their knowledge and skills, improve service delivery and produce better outcomes for the individuals they are supporting. Homes Victoria funds The Council to Homeless Persons (CHP) to deliver a </w:t>
      </w:r>
      <w:hyperlink r:id="rId47" w:history="1">
        <w:r w:rsidRPr="00AE2587">
          <w:rPr>
            <w:rStyle w:val="Hyperlink"/>
            <w:rFonts w:ascii="Avenir Book" w:hAnsi="Avenir Book"/>
          </w:rPr>
          <w:t>learning program</w:t>
        </w:r>
      </w:hyperlink>
      <w:r>
        <w:t xml:space="preserve"> https://chp.org.au/sector-learning-and-development/shs-learning-program/, including trauma informed practice and motivational interviewing which could be beneficial for CHPI IAP workers.</w:t>
      </w:r>
    </w:p>
    <w:p w14:paraId="60870B5C" w14:textId="77777777" w:rsidR="004E434E" w:rsidRDefault="004E434E" w:rsidP="004E434E">
      <w:pPr>
        <w:pStyle w:val="Heading3"/>
      </w:pPr>
      <w:r>
        <w:t>Use of computers and tablets in Victorian Correctional Facilities</w:t>
      </w:r>
    </w:p>
    <w:p w14:paraId="37CBC0C2" w14:textId="77777777" w:rsidR="004E434E" w:rsidRDefault="004E434E" w:rsidP="004E434E">
      <w:pPr>
        <w:pStyle w:val="Body"/>
      </w:pPr>
      <w:r>
        <w:t xml:space="preserve">The use of tablets or laptop computers in prisons can assist with creating efficiencies in the IAP role through reducing administration time and potential duplication of tasks. </w:t>
      </w:r>
    </w:p>
    <w:p w14:paraId="1EAEAFC4" w14:textId="77777777" w:rsidR="004E434E" w:rsidRDefault="004E434E" w:rsidP="004E434E">
      <w:pPr>
        <w:pStyle w:val="Body"/>
      </w:pPr>
      <w:r>
        <w:t xml:space="preserve">The IAP and their manager can request, via the OSM/OSS, that an external tablet or laptop be brought into the prison for use by the IAP. This is an individual prison location’s decision, and the TRU team has no oversight of decisions made by the prison. This request is not guaranteed to be approved. </w:t>
      </w:r>
    </w:p>
    <w:p w14:paraId="2E99AB26" w14:textId="77777777" w:rsidR="004E434E" w:rsidRDefault="004E434E" w:rsidP="004E434E">
      <w:pPr>
        <w:pStyle w:val="Body"/>
      </w:pPr>
      <w:r>
        <w:lastRenderedPageBreak/>
        <w:t>Workspaces in prisons are limited and often may need to be shared with several service providers, therefore where possible the OSM/OSS, or equivalent, may consider making access to a DJCS computer available for the IAP’s use. This is a local prison decision and is based on a business need.</w:t>
      </w:r>
    </w:p>
    <w:p w14:paraId="5847AC71" w14:textId="77777777" w:rsidR="004E434E" w:rsidRDefault="004E434E" w:rsidP="004E434E">
      <w:pPr>
        <w:pStyle w:val="Heading2"/>
      </w:pPr>
      <w:bookmarkStart w:id="93" w:name="_Toc207868816"/>
      <w:r>
        <w:t>Culturally appropriate service</w:t>
      </w:r>
      <w:bookmarkEnd w:id="93"/>
      <w:r>
        <w:t xml:space="preserve"> </w:t>
      </w:r>
    </w:p>
    <w:p w14:paraId="50AF4A82" w14:textId="77777777" w:rsidR="004E434E" w:rsidRDefault="004E434E" w:rsidP="004E434E">
      <w:pPr>
        <w:pStyle w:val="Body"/>
      </w:pPr>
      <w:r>
        <w:t xml:space="preserve">All CHPI IAP workers are required to provide culturally appropriate and culturally safe services to First People clients. Training requirements and practices are outlined in the Aboriginal Housing and Homelessness section of the Homelessness and </w:t>
      </w:r>
      <w:hyperlink r:id="rId48" w:history="1">
        <w:r w:rsidRPr="00396543">
          <w:rPr>
            <w:rStyle w:val="Hyperlink"/>
            <w:rFonts w:ascii="Avenir Book" w:hAnsi="Avenir Book"/>
            <w:i/>
            <w:iCs/>
          </w:rPr>
          <w:t>Homelessness and Housing Support Guidelines 2025</w:t>
        </w:r>
      </w:hyperlink>
      <w:r w:rsidRPr="00A43A38">
        <w:t xml:space="preserve"> </w:t>
      </w:r>
      <w:r w:rsidRPr="00396543">
        <w:t>https://www.dffh.vic.gov.au/homelessness-and-housing-support-guidelines-2025</w:t>
      </w:r>
      <w:r>
        <w:t>.</w:t>
      </w:r>
    </w:p>
    <w:p w14:paraId="6FCA46CC" w14:textId="77777777" w:rsidR="004E434E" w:rsidRDefault="004E434E" w:rsidP="004E434E">
      <w:pPr>
        <w:pStyle w:val="Heading1"/>
      </w:pPr>
      <w:bookmarkStart w:id="94" w:name="_Toc197694728"/>
      <w:bookmarkStart w:id="95" w:name="_Toc197694849"/>
      <w:bookmarkStart w:id="96" w:name="_Toc197694977"/>
      <w:bookmarkStart w:id="97" w:name="_Toc207868817"/>
      <w:bookmarkEnd w:id="94"/>
      <w:bookmarkEnd w:id="95"/>
      <w:bookmarkEnd w:id="96"/>
      <w:r>
        <w:t>Data collection and reporting</w:t>
      </w:r>
      <w:bookmarkEnd w:id="97"/>
      <w:r>
        <w:t xml:space="preserve"> </w:t>
      </w:r>
    </w:p>
    <w:p w14:paraId="3E0AFDB1" w14:textId="77777777" w:rsidR="004E434E" w:rsidRDefault="004E434E" w:rsidP="004E434E">
      <w:pPr>
        <w:pStyle w:val="Heading2"/>
      </w:pPr>
      <w:bookmarkStart w:id="98" w:name="_Toc207868818"/>
      <w:r w:rsidRPr="003449A5">
        <w:t>Reporting</w:t>
      </w:r>
      <w:bookmarkEnd w:id="98"/>
    </w:p>
    <w:p w14:paraId="46B33343" w14:textId="77777777" w:rsidR="004E434E" w:rsidRPr="009048E7" w:rsidRDefault="004E434E" w:rsidP="004E434E">
      <w:pPr>
        <w:pStyle w:val="Body"/>
        <w:keepNext/>
      </w:pPr>
      <w:r>
        <w:t>Service delivery is</w:t>
      </w:r>
      <w:r w:rsidRPr="009048E7">
        <w:t xml:space="preserve"> captured through client data and manual reporting. This includes:</w:t>
      </w:r>
    </w:p>
    <w:p w14:paraId="63C26183" w14:textId="77777777" w:rsidR="004E434E" w:rsidRPr="005C1097" w:rsidRDefault="004E434E" w:rsidP="004E434E">
      <w:pPr>
        <w:pStyle w:val="Bullet1"/>
      </w:pPr>
      <w:r w:rsidRPr="005C1097">
        <w:t>Service Delivery Tracking (SDT) via the Funded Agency Channel</w:t>
      </w:r>
    </w:p>
    <w:p w14:paraId="3323C611" w14:textId="77777777" w:rsidR="004E434E" w:rsidRPr="005C1097" w:rsidRDefault="004E434E" w:rsidP="004E434E">
      <w:pPr>
        <w:pStyle w:val="Bullet1"/>
      </w:pPr>
      <w:r w:rsidRPr="005C1097">
        <w:t>the monthly SHS Extracts from the Specialist Homelessness Information Platform (SHIP) or equivalent client management system certified by the Australian Institute of Health and Welfare (AIHW) to provide SHS client data</w:t>
      </w:r>
    </w:p>
    <w:p w14:paraId="7E724E18" w14:textId="77777777" w:rsidR="004E434E" w:rsidRPr="005C1097" w:rsidRDefault="004E434E" w:rsidP="004E434E">
      <w:pPr>
        <w:pStyle w:val="Bullet1"/>
      </w:pPr>
      <w:r w:rsidRPr="005C1097">
        <w:t xml:space="preserve">any specific data requirements for homelessness activities as outlined in each of the Homelessness Service Responses. Refer to section twelve for further information on homelessness activities </w:t>
      </w:r>
    </w:p>
    <w:p w14:paraId="022AD959" w14:textId="77777777" w:rsidR="004E434E" w:rsidRPr="005C1097" w:rsidRDefault="004E434E" w:rsidP="004E434E">
      <w:pPr>
        <w:pStyle w:val="Bullet1"/>
      </w:pPr>
      <w:r w:rsidRPr="005C1097">
        <w:t>ad hoc requests related to program monitoring and evaluation, such as program evaluation required when funding is due to lapse.</w:t>
      </w:r>
    </w:p>
    <w:p w14:paraId="40E0CABA" w14:textId="77777777" w:rsidR="004E434E" w:rsidRPr="003449A5" w:rsidRDefault="004E434E" w:rsidP="004E434E">
      <w:pPr>
        <w:pStyle w:val="Heading3"/>
      </w:pPr>
      <w:r w:rsidRPr="003449A5">
        <w:t>Performance and monitoring</w:t>
      </w:r>
    </w:p>
    <w:p w14:paraId="0ACE1F89" w14:textId="77777777" w:rsidR="004E434E" w:rsidRPr="00B60599" w:rsidRDefault="004E434E" w:rsidP="004E434E">
      <w:pPr>
        <w:rPr>
          <w:rFonts w:eastAsia="Times"/>
        </w:rPr>
      </w:pPr>
      <w:r w:rsidRPr="00B60599">
        <w:rPr>
          <w:rFonts w:eastAsia="Times"/>
        </w:rPr>
        <w:t>As part of the Service Agreement between each SHS and DFFH contract management role, the DFFH local area APSS teams meet regularly with SHS to monitor performance, and an annual desktop review is undertaken. Some programs may be centrally contract managed and monitored by DFFH.</w:t>
      </w:r>
    </w:p>
    <w:p w14:paraId="209C8CB5" w14:textId="77777777" w:rsidR="004E434E" w:rsidRPr="00B60599" w:rsidRDefault="004E434E" w:rsidP="004E434E">
      <w:pPr>
        <w:rPr>
          <w:rFonts w:eastAsia="Times"/>
        </w:rPr>
      </w:pPr>
      <w:r w:rsidRPr="00B60599">
        <w:rPr>
          <w:rFonts w:eastAsia="Times"/>
        </w:rPr>
        <w:t>SHS are required to deliver services against the outputs outlined in their service plans. There may be instances where the DFFH local area will negotiate new targets with SHS.</w:t>
      </w:r>
    </w:p>
    <w:p w14:paraId="30CECF9A" w14:textId="77777777" w:rsidR="004E434E" w:rsidRPr="00B60599" w:rsidRDefault="004E434E" w:rsidP="004E434E">
      <w:pPr>
        <w:rPr>
          <w:rFonts w:eastAsia="Times"/>
        </w:rPr>
      </w:pPr>
      <w:r w:rsidRPr="00B60599">
        <w:rPr>
          <w:rFonts w:eastAsia="Times"/>
        </w:rPr>
        <w:t xml:space="preserve">Performance measures communicate performance expectations and measure outcomes of activities performed by SHS. These measures are quantifiable service goals for funded activities under the Service Agreement. They provide the basis for assessment of services’ performance against agreed targets. </w:t>
      </w:r>
    </w:p>
    <w:p w14:paraId="08FF043E" w14:textId="77777777" w:rsidR="004E434E" w:rsidRPr="00B60599" w:rsidRDefault="004E434E" w:rsidP="004E434E">
      <w:pPr>
        <w:rPr>
          <w:rFonts w:eastAsia="Times"/>
        </w:rPr>
      </w:pPr>
      <w:r w:rsidRPr="00B60599">
        <w:rPr>
          <w:rFonts w:eastAsia="Times"/>
        </w:rPr>
        <w:t>Issues with performance and/or monitoring will be managed by the relevant APSS team using their local area guidance to ensure arrangements are appropriate.</w:t>
      </w:r>
    </w:p>
    <w:p w14:paraId="3A5261F7" w14:textId="77777777" w:rsidR="004E434E" w:rsidRPr="003449A5" w:rsidRDefault="004E434E" w:rsidP="004E434E">
      <w:pPr>
        <w:pStyle w:val="Heading2"/>
      </w:pPr>
      <w:bookmarkStart w:id="99" w:name="_Toc207868819"/>
      <w:r w:rsidRPr="003449A5">
        <w:t>Financial acquittal</w:t>
      </w:r>
      <w:bookmarkEnd w:id="99"/>
      <w:r w:rsidRPr="003449A5">
        <w:t xml:space="preserve"> </w:t>
      </w:r>
    </w:p>
    <w:p w14:paraId="0585175A" w14:textId="27F51C8F" w:rsidR="004E434E" w:rsidRPr="004D00D4" w:rsidRDefault="004E434E" w:rsidP="004E434E">
      <w:pPr>
        <w:pStyle w:val="Body"/>
      </w:pPr>
      <w:r w:rsidRPr="004D00D4">
        <w:t>Allocation of</w:t>
      </w:r>
      <w:r w:rsidR="00DA3BC3">
        <w:t xml:space="preserve"> </w:t>
      </w:r>
      <w:r w:rsidRPr="004D00D4">
        <w:t xml:space="preserve">HEF to SHS is conditional upon satisfactory compliance with these requirements. </w:t>
      </w:r>
    </w:p>
    <w:p w14:paraId="5DDD8A45" w14:textId="77777777" w:rsidR="004E434E" w:rsidRPr="004D00D4" w:rsidRDefault="004E434E" w:rsidP="004E434E">
      <w:pPr>
        <w:pStyle w:val="Body"/>
      </w:pPr>
      <w:r w:rsidRPr="004D00D4">
        <w:t xml:space="preserve">SHS are required to acquit HEF to the department in June of each financial year. The acquittal process will ensure funds are used in accordance with the outcomes and principles of the program. </w:t>
      </w:r>
      <w:r w:rsidRPr="004D00D4">
        <w:lastRenderedPageBreak/>
        <w:t xml:space="preserve">The acquittal process will involve the DFFH local areas notifying agencies that HEF acquittal reports are due. The SHS agencies then run a payment list report with selected fields and submitting these reports to the department.  </w:t>
      </w:r>
    </w:p>
    <w:p w14:paraId="170E6A36" w14:textId="77777777" w:rsidR="004E434E" w:rsidRPr="004D00D4" w:rsidRDefault="004E434E" w:rsidP="004E434E">
      <w:pPr>
        <w:pStyle w:val="Body"/>
      </w:pPr>
      <w:r w:rsidRPr="004D00D4">
        <w:t xml:space="preserve">SHS are expected to fully expend allocated brokerage funding over the relevant funding period. Service providers must report any unspent brokerage funds within one month after the end of the funding period. The treatment of any unspent funds will be negotiated with the department, depending on the amount and reasons. Brokerage is reportable and captured in Service Delivery Tracking. </w:t>
      </w:r>
    </w:p>
    <w:p w14:paraId="1F0D57BC" w14:textId="77777777" w:rsidR="004E434E" w:rsidRDefault="004E434E" w:rsidP="004E434E">
      <w:pPr>
        <w:pStyle w:val="Body"/>
      </w:pPr>
      <w:r w:rsidRPr="004D00D4">
        <w:t xml:space="preserve">The department reserves the right to recoup unspent funds. The department may undertake a forensic audit of the expenditure to ensure funds have been acquitted as reported and in line with the guidelines. </w:t>
      </w:r>
    </w:p>
    <w:p w14:paraId="5DEB9106" w14:textId="77777777" w:rsidR="004E434E" w:rsidRPr="008C7809" w:rsidRDefault="004E434E" w:rsidP="004E434E">
      <w:pPr>
        <w:pStyle w:val="Heading1"/>
      </w:pPr>
      <w:bookmarkStart w:id="100" w:name="_Toc200721595"/>
      <w:bookmarkStart w:id="101" w:name="_Toc207868820"/>
      <w:bookmarkEnd w:id="92"/>
      <w:bookmarkEnd w:id="100"/>
      <w:r w:rsidRPr="007C1D47">
        <w:t>Governance</w:t>
      </w:r>
      <w:bookmarkEnd w:id="101"/>
    </w:p>
    <w:p w14:paraId="31278931" w14:textId="77777777" w:rsidR="004E434E" w:rsidRDefault="004E434E" w:rsidP="004E434E">
      <w:pPr>
        <w:pStyle w:val="Body"/>
        <w:keepNext/>
      </w:pPr>
      <w:r>
        <w:t>This section outlines the governance structures to support the resourcing and delivery of the CHPI Program.</w:t>
      </w:r>
    </w:p>
    <w:p w14:paraId="54C6F9DC" w14:textId="77777777" w:rsidR="004E434E" w:rsidRDefault="004E434E" w:rsidP="004E434E">
      <w:pPr>
        <w:pStyle w:val="Heading2"/>
      </w:pPr>
      <w:bookmarkStart w:id="102" w:name="_Toc207868821"/>
      <w:r>
        <w:t>Role of DFFH</w:t>
      </w:r>
      <w:bookmarkEnd w:id="102"/>
    </w:p>
    <w:p w14:paraId="706C5DB0" w14:textId="77777777" w:rsidR="004E434E" w:rsidRDefault="004E434E" w:rsidP="004E434E">
      <w:pPr>
        <w:pStyle w:val="Body"/>
      </w:pPr>
      <w:r>
        <w:t>To prevent clients exiting prison into homelessness, DFFH provides funding to seven homelessness service providers to deliver on-site IAP in all Victorian prisons (excluding Ravenhall Correctional Centre). DFFH manages each agency’s funding through their Funding and Service Agreement (Agreement or FSA).</w:t>
      </w:r>
    </w:p>
    <w:p w14:paraId="085310F1" w14:textId="77777777" w:rsidR="004E434E" w:rsidRDefault="004E434E" w:rsidP="004E434E">
      <w:pPr>
        <w:pStyle w:val="Body"/>
      </w:pPr>
      <w:r>
        <w:t xml:space="preserve">Service providers funded to provide IAP services must adhere to the conditions outlined in their Agreement. DFFH local area Agency Performance System Support (APSS) manage the agreement with the service provider. </w:t>
      </w:r>
    </w:p>
    <w:p w14:paraId="75BDA585" w14:textId="77777777" w:rsidR="004E434E" w:rsidRDefault="004E434E" w:rsidP="004E434E">
      <w:pPr>
        <w:pStyle w:val="Heading3"/>
      </w:pPr>
      <w:r>
        <w:t>Performance (targets and reporting)</w:t>
      </w:r>
    </w:p>
    <w:p w14:paraId="0783D376" w14:textId="77777777" w:rsidR="004E434E" w:rsidRDefault="004E434E" w:rsidP="004E434E">
      <w:pPr>
        <w:pStyle w:val="Body"/>
      </w:pPr>
      <w:r>
        <w:t xml:space="preserve">IAP Workers are required to deliver services and meet performance targets as outlined in their funding and service agreement. </w:t>
      </w:r>
    </w:p>
    <w:p w14:paraId="6753F7F5" w14:textId="77777777" w:rsidR="004E434E" w:rsidRDefault="004E434E" w:rsidP="004E434E">
      <w:pPr>
        <w:pStyle w:val="Body"/>
      </w:pPr>
      <w:r>
        <w:t>Service providers will use the Specialist Homelessness Information Platform (SHIP), or similar, to record all client data including the use of the brokerage funds.</w:t>
      </w:r>
    </w:p>
    <w:p w14:paraId="1B5C64A6" w14:textId="77777777" w:rsidR="004E434E" w:rsidRDefault="004E434E" w:rsidP="004E434E">
      <w:pPr>
        <w:pStyle w:val="Body"/>
      </w:pPr>
      <w:r>
        <w:t>Service providers will complete the reporting requirements as outlined in their agreement and meet with their local area APSS representative regularly to discuss the delivery of the program.</w:t>
      </w:r>
    </w:p>
    <w:p w14:paraId="428DE455" w14:textId="77777777" w:rsidR="004E434E" w:rsidRDefault="004E434E" w:rsidP="004E434E">
      <w:pPr>
        <w:pStyle w:val="Heading3"/>
      </w:pPr>
      <w:r>
        <w:t>Flexible brokerage acquittal</w:t>
      </w:r>
    </w:p>
    <w:p w14:paraId="587D7B47" w14:textId="77777777" w:rsidR="004E434E" w:rsidRDefault="004E434E" w:rsidP="004E434E">
      <w:pPr>
        <w:pStyle w:val="Body"/>
      </w:pPr>
      <w:r>
        <w:t xml:space="preserve">Service providers are required to acquit brokerage funding to the department monthly. The acquittal process will ensure funds are used in accordance with the outcomes and principles of the program. The acquittal process will involve service providers submitting expenditure and client numbers assisted through Service Delivery Tracking. </w:t>
      </w:r>
    </w:p>
    <w:p w14:paraId="60EF29EF" w14:textId="77777777" w:rsidR="004E434E" w:rsidRDefault="004E434E" w:rsidP="004E434E">
      <w:pPr>
        <w:pStyle w:val="Body"/>
      </w:pPr>
      <w:r>
        <w:t xml:space="preserve">Service providers are expected to fully expend allocated brokerage funding over the relevant funding period. Service providers must report any unspent brokerage funds within one month after the end of the funding period. </w:t>
      </w:r>
    </w:p>
    <w:p w14:paraId="5228992E" w14:textId="77777777" w:rsidR="004E434E" w:rsidRDefault="004E434E" w:rsidP="004E434E">
      <w:pPr>
        <w:pStyle w:val="Body"/>
      </w:pPr>
      <w:r>
        <w:t xml:space="preserve">The treatment of any unspent funds at the end of the financial year will be negotiated with the department, depending on the amount and reasons. The department reserves the right to recoup </w:t>
      </w:r>
      <w:r>
        <w:lastRenderedPageBreak/>
        <w:t>the unspent funds. The department may undertake a forensic audit of the brokerage expenditure to ensure funds have been acquitted as reported and in line with the guidelines.</w:t>
      </w:r>
    </w:p>
    <w:p w14:paraId="7A894E01" w14:textId="77777777" w:rsidR="004E434E" w:rsidRDefault="004E434E" w:rsidP="004E434E">
      <w:pPr>
        <w:pStyle w:val="Heading2"/>
      </w:pPr>
      <w:bookmarkStart w:id="103" w:name="_Toc207868822"/>
      <w:r>
        <w:t>Role of CV Transition and Reintegration Unit</w:t>
      </w:r>
      <w:bookmarkEnd w:id="103"/>
    </w:p>
    <w:p w14:paraId="00826378" w14:textId="77777777" w:rsidR="004E434E" w:rsidRDefault="004E434E" w:rsidP="004E434E">
      <w:pPr>
        <w:pStyle w:val="Body"/>
      </w:pPr>
      <w:r>
        <w:t>Corrections Victoria’s Transition and Reintegration Unit (TRU) are an active part of the CHPI Network and can assist CHPI IAP workers in the following areas:</w:t>
      </w:r>
    </w:p>
    <w:p w14:paraId="252EA3AC" w14:textId="77777777" w:rsidR="004E434E" w:rsidRDefault="004E434E" w:rsidP="004E434E">
      <w:pPr>
        <w:pStyle w:val="Bullet1"/>
      </w:pPr>
      <w:r>
        <w:t>conflict resolution between the IAPs and any CV prison staff member</w:t>
      </w:r>
    </w:p>
    <w:p w14:paraId="0949D65B" w14:textId="77777777" w:rsidR="004E434E" w:rsidRDefault="004E434E" w:rsidP="004E434E">
      <w:pPr>
        <w:pStyle w:val="Bullet1"/>
      </w:pPr>
      <w:r>
        <w:t>assist in addressing issues with prison staff where the IAP or their management are not comfortable</w:t>
      </w:r>
    </w:p>
    <w:p w14:paraId="70B10A01" w14:textId="77777777" w:rsidR="004E434E" w:rsidRDefault="004E434E" w:rsidP="004E434E">
      <w:pPr>
        <w:pStyle w:val="Bullet1"/>
      </w:pPr>
      <w:r>
        <w:t xml:space="preserve">support the IAPs to gain access to RPS </w:t>
      </w:r>
    </w:p>
    <w:p w14:paraId="52D9BF9C" w14:textId="77777777" w:rsidR="004E434E" w:rsidRDefault="004E434E" w:rsidP="004E434E">
      <w:pPr>
        <w:pStyle w:val="Bullet1"/>
      </w:pPr>
      <w:r>
        <w:t xml:space="preserve">process brokerage applications made by the IAP’s made on behalf of people in prison </w:t>
      </w:r>
    </w:p>
    <w:p w14:paraId="0698B3D8" w14:textId="77777777" w:rsidR="004E434E" w:rsidRDefault="004E434E" w:rsidP="004E434E">
      <w:pPr>
        <w:pStyle w:val="Bullet1"/>
      </w:pPr>
      <w:r>
        <w:t>work with prison locations to ensure the IAP service are being delivered satisfactorily.</w:t>
      </w:r>
    </w:p>
    <w:p w14:paraId="2B3815B9" w14:textId="77777777" w:rsidR="004E434E" w:rsidRDefault="004E434E" w:rsidP="004E434E">
      <w:pPr>
        <w:pStyle w:val="Heading2"/>
      </w:pPr>
      <w:bookmarkStart w:id="104" w:name="_Toc207868823"/>
      <w:r>
        <w:t>Corrections Housing Pathways Initiative Network</w:t>
      </w:r>
      <w:bookmarkEnd w:id="104"/>
    </w:p>
    <w:p w14:paraId="21A63326" w14:textId="77777777" w:rsidR="004E434E" w:rsidRDefault="004E434E" w:rsidP="004E434E">
      <w:pPr>
        <w:pStyle w:val="Body"/>
      </w:pPr>
      <w:r>
        <w:t>The Network is intended to improve outcomes for clients exiting prison through enhancing worker skills, collective problem solving, promoting the work of IAP within prisons, and strengthening the relationship between CHPI IAP, ACHPI and EHP programs. The network meets on a quarterly basis and is convened by network members (IAP and EHP Workers). This network is the forum for service providers to raise issues affecting the delivery of service.</w:t>
      </w:r>
    </w:p>
    <w:p w14:paraId="00050396" w14:textId="77777777" w:rsidR="004E434E" w:rsidRDefault="004E434E" w:rsidP="004E434E">
      <w:pPr>
        <w:pStyle w:val="Body"/>
      </w:pPr>
      <w:r>
        <w:t>Representatives of both Homes Victoria and DJCS attend network meetings and provide strategic direction, policy advice and oversight of the program.</w:t>
      </w:r>
    </w:p>
    <w:p w14:paraId="5B674F9B" w14:textId="77777777" w:rsidR="004E434E" w:rsidRDefault="004E434E" w:rsidP="004E434E">
      <w:pPr>
        <w:pStyle w:val="Heading3"/>
      </w:pPr>
      <w:r>
        <w:t>Accountabilities</w:t>
      </w:r>
    </w:p>
    <w:p w14:paraId="2565DD68" w14:textId="77777777" w:rsidR="004E434E" w:rsidRDefault="004E434E" w:rsidP="004E434E">
      <w:pPr>
        <w:pStyle w:val="Body"/>
      </w:pPr>
      <w:r>
        <w:t>Network member agencies are responsible for:</w:t>
      </w:r>
    </w:p>
    <w:p w14:paraId="4FEB95EE" w14:textId="77777777" w:rsidR="004E434E" w:rsidRDefault="004E434E" w:rsidP="004E434E">
      <w:pPr>
        <w:pStyle w:val="Bullet1"/>
      </w:pPr>
      <w:r>
        <w:t>setting meeting dates</w:t>
      </w:r>
    </w:p>
    <w:p w14:paraId="1BE39950" w14:textId="77777777" w:rsidR="004E434E" w:rsidRDefault="004E434E" w:rsidP="004E434E">
      <w:pPr>
        <w:pStyle w:val="Bullet1"/>
      </w:pPr>
      <w:r>
        <w:t>ensuring their contact details are up to date on the network member list</w:t>
      </w:r>
    </w:p>
    <w:p w14:paraId="057D6157" w14:textId="77777777" w:rsidR="004E434E" w:rsidRDefault="004E434E" w:rsidP="004E434E">
      <w:pPr>
        <w:pStyle w:val="Bullet1"/>
      </w:pPr>
      <w:r>
        <w:t>chairing the meeting</w:t>
      </w:r>
    </w:p>
    <w:p w14:paraId="360C00D3" w14:textId="77777777" w:rsidR="004E434E" w:rsidRDefault="004E434E" w:rsidP="004E434E">
      <w:pPr>
        <w:pStyle w:val="Bullet1"/>
      </w:pPr>
      <w:r>
        <w:t>distributing the agenda</w:t>
      </w:r>
    </w:p>
    <w:p w14:paraId="05887DAA" w14:textId="77777777" w:rsidR="004E434E" w:rsidRDefault="004E434E" w:rsidP="004E434E">
      <w:pPr>
        <w:pStyle w:val="Bullet1"/>
      </w:pPr>
      <w:r>
        <w:t xml:space="preserve">recording and distributing minutes. </w:t>
      </w:r>
    </w:p>
    <w:p w14:paraId="6049A285" w14:textId="77777777" w:rsidR="004E434E" w:rsidRDefault="004E434E" w:rsidP="004E434E">
      <w:pPr>
        <w:pStyle w:val="Body"/>
      </w:pPr>
      <w:r>
        <w:t>When a member leaves or commences in the network, the applicable agency will notify the Homes Victoria representative who will updates the contact list and provide a copy to all members, including the representatives from DJCS.</w:t>
      </w:r>
    </w:p>
    <w:p w14:paraId="03ECB843" w14:textId="77777777" w:rsidR="004E434E" w:rsidRDefault="004E434E" w:rsidP="004E434E">
      <w:pPr>
        <w:spacing w:after="0" w:line="240" w:lineRule="auto"/>
        <w:rPr>
          <w:rFonts w:eastAsia="Times"/>
        </w:rPr>
      </w:pPr>
      <w:r>
        <w:br w:type="page"/>
      </w:r>
    </w:p>
    <w:p w14:paraId="2B65A40E" w14:textId="77777777" w:rsidR="004E434E" w:rsidRPr="000553E6" w:rsidRDefault="004E434E" w:rsidP="004E434E">
      <w:pPr>
        <w:pStyle w:val="Heading1Unnumbered"/>
      </w:pPr>
      <w:bookmarkStart w:id="105" w:name="_Toc207868824"/>
      <w:bookmarkStart w:id="106" w:name="Appendix1"/>
      <w:r w:rsidRPr="000553E6">
        <w:lastRenderedPageBreak/>
        <w:t>Appendix 1 – Reintegration Assessment, ReGroup</w:t>
      </w:r>
      <w:r>
        <w:t>,</w:t>
      </w:r>
      <w:r w:rsidRPr="000553E6">
        <w:t xml:space="preserve"> ReConnect</w:t>
      </w:r>
      <w:r>
        <w:t>, ReLink and ReStart</w:t>
      </w:r>
      <w:bookmarkEnd w:id="105"/>
    </w:p>
    <w:p w14:paraId="75536C06" w14:textId="77777777" w:rsidR="004E434E" w:rsidRDefault="004E434E" w:rsidP="004E434E">
      <w:pPr>
        <w:pStyle w:val="Heading2Unnumbered"/>
      </w:pPr>
      <w:bookmarkStart w:id="107" w:name="_Toc207868825"/>
      <w:bookmarkEnd w:id="106"/>
      <w:r w:rsidRPr="007871F6">
        <w:t>Receptions Transition Triage</w:t>
      </w:r>
      <w:bookmarkEnd w:id="107"/>
    </w:p>
    <w:p w14:paraId="1C641233" w14:textId="77777777" w:rsidR="004E434E" w:rsidRDefault="004E434E" w:rsidP="004E434E">
      <w:pPr>
        <w:pStyle w:val="Body"/>
      </w:pPr>
      <w:r>
        <w:t xml:space="preserve">The Reception Transition Triage (RTT) phase is a short check-in process that commences upon a prisoner’s entry into prison. This phase considers practical supports which, if addressed immediately, may prevent the escalation of transitional needs later. A ‘triage’ is a quick prioritisation process that assists CV to decide which needs should be prioritised first. The RTT is referred to as a triage, rather than an ‘assessment’, because is it a short, sharp prioritisation process solely focused on identifying transitional supports that need to be addressed immediately upon reception to prison. </w:t>
      </w:r>
    </w:p>
    <w:p w14:paraId="461AF748" w14:textId="77777777" w:rsidR="004E434E" w:rsidRDefault="004E434E" w:rsidP="004E434E">
      <w:pPr>
        <w:pStyle w:val="Body"/>
      </w:pPr>
      <w:r>
        <w:t xml:space="preserve">The RTT assesses a person in prisons need for housing support by exploring whether the prisoner requires assistance to keep an existing housing arrangement, avoiding an accumulation of debt or future housing difficulties. A referral is made to the prisons Initial Assessment and Planning (IAP) worker. </w:t>
      </w:r>
    </w:p>
    <w:p w14:paraId="138D6D4F" w14:textId="77777777" w:rsidR="004E434E" w:rsidRDefault="004E434E" w:rsidP="004E434E">
      <w:pPr>
        <w:pStyle w:val="Body"/>
      </w:pPr>
      <w:r>
        <w:t>A more comprehensive assessment of the prisoner’s transitional needs is provided at later stages of the CVRP (refer to the (CPT) and ReGroup.</w:t>
      </w:r>
    </w:p>
    <w:p w14:paraId="33A7359C" w14:textId="77777777" w:rsidR="004E434E" w:rsidRDefault="004E434E" w:rsidP="004E434E">
      <w:pPr>
        <w:pStyle w:val="Heading2Unnumbered"/>
      </w:pPr>
      <w:bookmarkStart w:id="108" w:name="_Toc207868826"/>
      <w:r>
        <w:t>Case Planning Transition</w:t>
      </w:r>
      <w:bookmarkEnd w:id="108"/>
      <w:r>
        <w:t xml:space="preserve"> </w:t>
      </w:r>
    </w:p>
    <w:p w14:paraId="30C06735" w14:textId="77777777" w:rsidR="004E434E" w:rsidRDefault="004E434E" w:rsidP="004E434E">
      <w:pPr>
        <w:pStyle w:val="Body"/>
      </w:pPr>
      <w:r>
        <w:t>The purpose of the CPT Assessment is to gather information, assess needs and risks and disseminate that information to our service providers, to allow them to plan a more holistic and informed transition for Participants leaving the custodial setting. The role of the ATC in this process is invaluable and we acknowledge their continued commitment to achieving positive outcomes for the Participants in their care.</w:t>
      </w:r>
    </w:p>
    <w:p w14:paraId="6044254F" w14:textId="77777777" w:rsidR="004E434E" w:rsidRDefault="004E434E" w:rsidP="004E434E">
      <w:pPr>
        <w:pStyle w:val="Body"/>
      </w:pPr>
      <w:r>
        <w:t>People in prison should be assessed between one (1) and four (4) weeks of their initial reception, or immediately thereafter.</w:t>
      </w:r>
    </w:p>
    <w:p w14:paraId="3158255C" w14:textId="77777777" w:rsidR="004E434E" w:rsidRDefault="004E434E" w:rsidP="004E434E">
      <w:pPr>
        <w:pStyle w:val="Body"/>
      </w:pPr>
      <w:r>
        <w:t xml:space="preserve">Eligibility: </w:t>
      </w:r>
    </w:p>
    <w:p w14:paraId="1D9E1636" w14:textId="77777777" w:rsidR="004E434E" w:rsidRDefault="004E434E" w:rsidP="004E434E">
      <w:pPr>
        <w:pStyle w:val="Bullet1"/>
      </w:pPr>
      <w:r>
        <w:t>all remand Participants</w:t>
      </w:r>
    </w:p>
    <w:p w14:paraId="54C6DCA6" w14:textId="77777777" w:rsidR="004E434E" w:rsidRDefault="004E434E" w:rsidP="004E434E">
      <w:pPr>
        <w:pStyle w:val="Bullet1"/>
      </w:pPr>
      <w:r>
        <w:t>all sentenced Participants who have greater than twelve (12) months until their EED, or EDD where there is no EED (twelve months or less progress directly to ReGroup.</w:t>
      </w:r>
    </w:p>
    <w:p w14:paraId="6C0BADA2" w14:textId="77777777" w:rsidR="004E434E" w:rsidRDefault="004E434E" w:rsidP="004E434E">
      <w:pPr>
        <w:pStyle w:val="Body"/>
      </w:pPr>
      <w:r>
        <w:t xml:space="preserve">People in prison may be eligible to be referred to ReStart, if their CPT score meets CV’s eligibility criteria. </w:t>
      </w:r>
    </w:p>
    <w:p w14:paraId="17111E2F" w14:textId="77777777" w:rsidR="004E434E" w:rsidRDefault="004E434E" w:rsidP="004E434E">
      <w:pPr>
        <w:pStyle w:val="Body"/>
      </w:pPr>
      <w:r>
        <w:t>If an identified housing need via the CPT is evident, for example sustaining a tenancy the ATC will refer the person in prison to the IAP for assistance.</w:t>
      </w:r>
    </w:p>
    <w:p w14:paraId="06BFAE25" w14:textId="77777777" w:rsidR="004E434E" w:rsidRDefault="004E434E" w:rsidP="004E434E">
      <w:pPr>
        <w:pStyle w:val="Heading2Unnumbered"/>
      </w:pPr>
      <w:bookmarkStart w:id="109" w:name="_Toc207868827"/>
      <w:r>
        <w:t>ReGroup</w:t>
      </w:r>
      <w:bookmarkEnd w:id="109"/>
      <w:r>
        <w:t xml:space="preserve"> </w:t>
      </w:r>
    </w:p>
    <w:p w14:paraId="02887658" w14:textId="77777777" w:rsidR="004E434E" w:rsidRDefault="004E434E" w:rsidP="004E434E">
      <w:pPr>
        <w:pStyle w:val="Body"/>
      </w:pPr>
      <w:r>
        <w:t>People in Prison will complete a ReGroup assessment with the ATC within twelve months of release to determine what critical needs or risks need to be addressed prior to their release.</w:t>
      </w:r>
    </w:p>
    <w:p w14:paraId="4830CA96" w14:textId="77777777" w:rsidR="004E434E" w:rsidRDefault="004E434E" w:rsidP="004E434E">
      <w:pPr>
        <w:pStyle w:val="Body"/>
      </w:pPr>
      <w:r>
        <w:t xml:space="preserve">This assessment is in depth and addresses all reintegration domains such as housing, education, employment, AOD, mental and physical health, financial, family connectedness, children, cultural support, use of spare time and stress. All these domains play a critical role in a person’s successful transition. </w:t>
      </w:r>
    </w:p>
    <w:p w14:paraId="12D8B450" w14:textId="77777777" w:rsidR="004E434E" w:rsidRDefault="004E434E" w:rsidP="004E434E">
      <w:pPr>
        <w:pStyle w:val="Body"/>
      </w:pPr>
      <w:r>
        <w:lastRenderedPageBreak/>
        <w:t>Referrals are completed to assist and address any risk factors and notes are made of any relevant information such as protective factors or risk concerns, appropriate personal supports, drug use, intervention orders information and the like to better inform post release supports of the client’s needs so as they can better assist that person in the community.</w:t>
      </w:r>
    </w:p>
    <w:p w14:paraId="1E8A270C" w14:textId="77777777" w:rsidR="004E434E" w:rsidRDefault="004E434E" w:rsidP="004E434E">
      <w:pPr>
        <w:pStyle w:val="Body"/>
      </w:pPr>
      <w:r>
        <w:t>The ATC will co-ordinate the service providers involved in a person’s release to provide a holistic approach to their transition into the community, for clients with a housing need this will include a referral to the IAP worker.</w:t>
      </w:r>
    </w:p>
    <w:p w14:paraId="3508C3DD" w14:textId="77777777" w:rsidR="004E434E" w:rsidRDefault="004E434E" w:rsidP="004E434E">
      <w:pPr>
        <w:pStyle w:val="Body"/>
      </w:pPr>
      <w:r>
        <w:t xml:space="preserve">People in prison may be referred to ReConnect, if their ReGroup score and their risk rating meets CV’s eligibility criteria. </w:t>
      </w:r>
    </w:p>
    <w:p w14:paraId="2C4EBA39" w14:textId="77777777" w:rsidR="004E434E" w:rsidRDefault="004E434E" w:rsidP="004E434E">
      <w:pPr>
        <w:pStyle w:val="Heading2Unnumbered"/>
      </w:pPr>
      <w:bookmarkStart w:id="110" w:name="_Toc207868828"/>
      <w:r>
        <w:t>ReConnect</w:t>
      </w:r>
      <w:bookmarkEnd w:id="110"/>
      <w:r>
        <w:t xml:space="preserve"> </w:t>
      </w:r>
    </w:p>
    <w:p w14:paraId="634AD460" w14:textId="77777777" w:rsidR="004E434E" w:rsidRDefault="004E434E" w:rsidP="004E434E">
      <w:pPr>
        <w:pStyle w:val="Body"/>
      </w:pPr>
      <w:r>
        <w:t xml:space="preserve">ReConnect is a Corrections Victoria funded post-release program that provides assertive outreach and practical assistance to clients to assist with their successful reintegration back into the community. </w:t>
      </w:r>
    </w:p>
    <w:p w14:paraId="48C26581" w14:textId="77777777" w:rsidR="004E434E" w:rsidRDefault="004E434E" w:rsidP="004E434E">
      <w:pPr>
        <w:pStyle w:val="Body"/>
      </w:pPr>
      <w:r>
        <w:t xml:space="preserve">The ReConnect program provides targeted support in the community through assertive outreach and a referring agency to external services. Throughout its service delivery, ReConnect ensures a level of empowerment and self-efficacy has been established with the participant, to support the ability to maintain progress following the end of the program, as well as ensuring any continuing services remain engaged at the time of exit. </w:t>
      </w:r>
    </w:p>
    <w:p w14:paraId="64BCDEA7" w14:textId="77777777" w:rsidR="004E434E" w:rsidRDefault="004E434E" w:rsidP="004E434E">
      <w:pPr>
        <w:pStyle w:val="Body"/>
      </w:pPr>
      <w:r>
        <w:t>It is designed to provide targeted, flexible, intensive levels of support through the provision of three (3) streams:</w:t>
      </w:r>
    </w:p>
    <w:p w14:paraId="3CB68FE0" w14:textId="77777777" w:rsidR="004E434E" w:rsidRDefault="004E434E" w:rsidP="004E434E">
      <w:pPr>
        <w:pStyle w:val="Bullet1"/>
      </w:pPr>
      <w:r>
        <w:t>brief (three months)</w:t>
      </w:r>
    </w:p>
    <w:p w14:paraId="42BA4ABC" w14:textId="77777777" w:rsidR="004E434E" w:rsidRDefault="004E434E" w:rsidP="004E434E">
      <w:pPr>
        <w:pStyle w:val="Bullet1"/>
      </w:pPr>
      <w:r>
        <w:t xml:space="preserve">extended (six months) </w:t>
      </w:r>
    </w:p>
    <w:p w14:paraId="7FD1D746" w14:textId="77777777" w:rsidR="004E434E" w:rsidRDefault="004E434E" w:rsidP="004E434E">
      <w:pPr>
        <w:pStyle w:val="Bullet1"/>
      </w:pPr>
      <w:r>
        <w:t xml:space="preserve">intensive (nine months) support stream. </w:t>
      </w:r>
    </w:p>
    <w:p w14:paraId="303C957C" w14:textId="77777777" w:rsidR="004E434E" w:rsidRDefault="004E434E" w:rsidP="004E434E">
      <w:pPr>
        <w:pStyle w:val="Body"/>
      </w:pPr>
      <w:r>
        <w:t>It is up to the service providers to choose the stream that best suits the needs of the participants. This is usually established following the first pre-release meeting.</w:t>
      </w:r>
    </w:p>
    <w:p w14:paraId="1F3F9608" w14:textId="77777777" w:rsidR="004E434E" w:rsidRDefault="004E434E" w:rsidP="004E434E">
      <w:pPr>
        <w:pStyle w:val="Body"/>
      </w:pPr>
      <w:r>
        <w:t>There are four (4) ReConnect Service Providers contracted to service allocated regions around the state:</w:t>
      </w:r>
    </w:p>
    <w:p w14:paraId="656B7E88" w14:textId="77777777" w:rsidR="004E434E" w:rsidRDefault="004E434E" w:rsidP="004E434E">
      <w:pPr>
        <w:pStyle w:val="Numberdigit"/>
      </w:pPr>
      <w:r>
        <w:t>Australian Community Support Organisation (ACSO) – Gippsland, Hume, South-East Metro, East Metro and Bayside areas.</w:t>
      </w:r>
    </w:p>
    <w:p w14:paraId="67E20823" w14:textId="77777777" w:rsidR="004E434E" w:rsidRDefault="004E434E" w:rsidP="004E434E">
      <w:pPr>
        <w:pStyle w:val="Numberdigit"/>
      </w:pPr>
      <w:r>
        <w:t>Vacro - Barwon Southwest, Grampians, Loddon and Mallee areas.</w:t>
      </w:r>
    </w:p>
    <w:p w14:paraId="655F13A9" w14:textId="77777777" w:rsidR="004E434E" w:rsidRDefault="004E434E" w:rsidP="004E434E">
      <w:pPr>
        <w:pStyle w:val="Numberdigit"/>
      </w:pPr>
      <w:r>
        <w:t>Jesuit Social Services (JSS) - North Metro, Northeast Metro and West Metro areas.</w:t>
      </w:r>
    </w:p>
    <w:p w14:paraId="0B821849" w14:textId="77777777" w:rsidR="004E434E" w:rsidRDefault="004E434E" w:rsidP="004E434E">
      <w:pPr>
        <w:pStyle w:val="Numberdigit"/>
      </w:pPr>
      <w:r>
        <w:t>Drummond Street Services (DS) services participants released from Dame Phyllis Frost Centre (DPFC) and Tarrengower Prison.</w:t>
      </w:r>
    </w:p>
    <w:p w14:paraId="18EA4C7D" w14:textId="77777777" w:rsidR="004E434E" w:rsidRDefault="004E434E" w:rsidP="004E434E">
      <w:pPr>
        <w:pStyle w:val="Body"/>
      </w:pPr>
      <w:r>
        <w:t xml:space="preserve">It is designed to provide targeted, flexible, intensive levels of support through the provision of three streams of services based on the client’s needs. ReConnect targets prisoners with medium to high transitional needs, and who have been assessed as high risk. </w:t>
      </w:r>
    </w:p>
    <w:p w14:paraId="6F851214" w14:textId="77777777" w:rsidR="004E434E" w:rsidRDefault="004E434E" w:rsidP="004E434E">
      <w:pPr>
        <w:pStyle w:val="Body"/>
      </w:pPr>
      <w:r>
        <w:t>ReConnect commences working with participants at least six weeks prior to the prisoner’s release from custody.</w:t>
      </w:r>
    </w:p>
    <w:p w14:paraId="5F136BB8" w14:textId="2E2F4117" w:rsidR="004E434E" w:rsidRDefault="004E434E" w:rsidP="004E434E">
      <w:pPr>
        <w:pStyle w:val="Body"/>
      </w:pPr>
      <w:r>
        <w:t xml:space="preserve">Only ATCs can refer to ReConnect. The ReConnect worker will contact the IAP worker to advise that ReConnect are providing support to maintain or establish a client’s housing. ReConnect will also contact IAP to arrange a handover of </w:t>
      </w:r>
      <w:r w:rsidR="002F6900">
        <w:t xml:space="preserve">applicable </w:t>
      </w:r>
      <w:r>
        <w:t>housing support that has been provided to date</w:t>
      </w:r>
      <w:r w:rsidR="00A17871">
        <w:t xml:space="preserve">, noting ReConnect cannot </w:t>
      </w:r>
      <w:r w:rsidR="005F47B9">
        <w:t>access the Corrections Victoria Brokerage Program and are not a specialised housing service.</w:t>
      </w:r>
    </w:p>
    <w:p w14:paraId="071865C3" w14:textId="77777777" w:rsidR="004E434E" w:rsidRDefault="004E434E" w:rsidP="004E434E">
      <w:pPr>
        <w:pStyle w:val="Heading5"/>
      </w:pPr>
      <w:r>
        <w:lastRenderedPageBreak/>
        <w:t xml:space="preserve">The role of ReConnect when someone returns to custody </w:t>
      </w:r>
    </w:p>
    <w:p w14:paraId="4E049D3D" w14:textId="77777777" w:rsidR="004E434E" w:rsidRDefault="004E434E" w:rsidP="004E434E">
      <w:pPr>
        <w:pStyle w:val="Body"/>
      </w:pPr>
      <w:r>
        <w:t xml:space="preserve">If a ReConnect participant returns to custody, and the participant was on an extended (6 months) or intensive (9 months) ReConnect stream, Reconnect may continue to support the person for up to three months while in custody. </w:t>
      </w:r>
    </w:p>
    <w:p w14:paraId="22111E3B" w14:textId="77777777" w:rsidR="004E434E" w:rsidRDefault="004E434E" w:rsidP="004E434E">
      <w:pPr>
        <w:pStyle w:val="Heading2Unnumbered"/>
      </w:pPr>
      <w:bookmarkStart w:id="111" w:name="_Toc207868829"/>
      <w:r>
        <w:t>ReLink</w:t>
      </w:r>
      <w:bookmarkEnd w:id="111"/>
    </w:p>
    <w:p w14:paraId="05C17496" w14:textId="77777777" w:rsidR="004E434E" w:rsidRPr="00CA6872" w:rsidRDefault="004E434E" w:rsidP="004E434E">
      <w:r w:rsidRPr="00CA6872">
        <w:t>ReLink, is run by the Victorian Association for the Care and Resettlement of Offenders (VACRO) and is available for eligible prisoners up to 12 months prior to release.</w:t>
      </w:r>
    </w:p>
    <w:p w14:paraId="69A245FA" w14:textId="77777777" w:rsidR="004E434E" w:rsidRPr="00CA6872" w:rsidRDefault="004E434E" w:rsidP="004E434E">
      <w:r w:rsidRPr="00CA6872">
        <w:t>There are two components, which provide practical advice and tailored transitional support, particularly for women, Aboriginal and Torres Strait Islander prisoners.</w:t>
      </w:r>
    </w:p>
    <w:p w14:paraId="11637D76" w14:textId="77777777" w:rsidR="004E434E" w:rsidRPr="00CA6872" w:rsidRDefault="004E434E" w:rsidP="004E434E">
      <w:r w:rsidRPr="00CA6872">
        <w:rPr>
          <w:b/>
          <w:bCs/>
        </w:rPr>
        <w:t>Level One - Group Program</w:t>
      </w:r>
      <w:r w:rsidRPr="00CA6872">
        <w:t>: Facilitated group sessions focus on practical strategies and provide an opportunity for positive behaviour change influenced by peers, while allowing for practice of positive skills.</w:t>
      </w:r>
    </w:p>
    <w:p w14:paraId="30D0D216" w14:textId="77777777" w:rsidR="004E434E" w:rsidRPr="00CA6872" w:rsidRDefault="004E434E" w:rsidP="004E434E">
      <w:r w:rsidRPr="00CA6872">
        <w:rPr>
          <w:b/>
          <w:bCs/>
        </w:rPr>
        <w:t>Level Two - Individual Program:</w:t>
      </w:r>
      <w:r w:rsidRPr="00CA6872">
        <w:t> This program supports individual transition case planning for prisoners identified in the group program as having significant transitional needs.</w:t>
      </w:r>
    </w:p>
    <w:p w14:paraId="56187500" w14:textId="77777777" w:rsidR="004E434E" w:rsidRPr="00CA6872" w:rsidRDefault="004E434E" w:rsidP="004E434E">
      <w:r w:rsidRPr="00CA6872">
        <w:t>ReLink includes intensive planning,</w:t>
      </w:r>
      <w:r>
        <w:t xml:space="preserve"> </w:t>
      </w:r>
      <w:r w:rsidRPr="00CA6872">
        <w:t>with regards to prisoner goals and formulates manageable steps for the prisoner to work through. Other support, including medical assessments, Office of Housing applications and referrals for post-release support agencies before release, is also covered in this program.</w:t>
      </w:r>
    </w:p>
    <w:p w14:paraId="034D6722" w14:textId="77777777" w:rsidR="004E434E" w:rsidRDefault="004E434E" w:rsidP="004E434E">
      <w:pPr>
        <w:pStyle w:val="Heading2Unnumbered"/>
      </w:pPr>
      <w:bookmarkStart w:id="112" w:name="_Toc207868830"/>
      <w:r>
        <w:t>ReStart</w:t>
      </w:r>
      <w:bookmarkEnd w:id="112"/>
      <w:r>
        <w:t xml:space="preserve"> </w:t>
      </w:r>
    </w:p>
    <w:p w14:paraId="4B7A2691" w14:textId="77777777" w:rsidR="004E434E" w:rsidRDefault="004E434E" w:rsidP="004E434E">
      <w:pPr>
        <w:pStyle w:val="Body"/>
      </w:pPr>
      <w:r>
        <w:t xml:space="preserve">ReStart workers are based on-site at the following eight (8) prison locations, to provide immediate pre-release support to participants following the identification, assessment and referral. </w:t>
      </w:r>
    </w:p>
    <w:p w14:paraId="282670C1" w14:textId="77777777" w:rsidR="004E434E" w:rsidRDefault="004E434E" w:rsidP="004E434E">
      <w:pPr>
        <w:pStyle w:val="Bullet1"/>
      </w:pPr>
      <w:r>
        <w:t>Melbourne Remand Centre</w:t>
      </w:r>
    </w:p>
    <w:p w14:paraId="65C0720E" w14:textId="77777777" w:rsidR="004E434E" w:rsidRDefault="004E434E" w:rsidP="004E434E">
      <w:pPr>
        <w:pStyle w:val="Bullet1"/>
      </w:pPr>
      <w:r>
        <w:t>Melbourne Assessment Prison</w:t>
      </w:r>
    </w:p>
    <w:p w14:paraId="22E46A0A" w14:textId="77777777" w:rsidR="004E434E" w:rsidRDefault="004E434E" w:rsidP="004E434E">
      <w:pPr>
        <w:pStyle w:val="Bullet1"/>
      </w:pPr>
      <w:r>
        <w:t>Barwon Prison</w:t>
      </w:r>
    </w:p>
    <w:p w14:paraId="2FC4CB24" w14:textId="77777777" w:rsidR="004E434E" w:rsidRDefault="004E434E" w:rsidP="004E434E">
      <w:pPr>
        <w:pStyle w:val="Bullet1"/>
      </w:pPr>
      <w:r>
        <w:t>Marngoneet Correctional Centre (including Karreenga)</w:t>
      </w:r>
    </w:p>
    <w:p w14:paraId="2BB1DED3" w14:textId="77777777" w:rsidR="004E434E" w:rsidRDefault="004E434E" w:rsidP="004E434E">
      <w:pPr>
        <w:pStyle w:val="Bullet1"/>
      </w:pPr>
      <w:r>
        <w:t xml:space="preserve">Dame Phyllis Frost Centre </w:t>
      </w:r>
    </w:p>
    <w:p w14:paraId="61BE07B6" w14:textId="77777777" w:rsidR="004E434E" w:rsidRDefault="004E434E" w:rsidP="004E434E">
      <w:pPr>
        <w:pStyle w:val="Bullet1"/>
      </w:pPr>
      <w:r>
        <w:t>Western Plains Correctional Centre</w:t>
      </w:r>
    </w:p>
    <w:p w14:paraId="523AC0C2" w14:textId="77777777" w:rsidR="004E434E" w:rsidRDefault="004E434E" w:rsidP="004E434E">
      <w:pPr>
        <w:pStyle w:val="Bullet1"/>
      </w:pPr>
      <w:r>
        <w:t>Dhurringile Prison</w:t>
      </w:r>
    </w:p>
    <w:p w14:paraId="3301C50B" w14:textId="77777777" w:rsidR="004E434E" w:rsidRDefault="004E434E" w:rsidP="004E434E">
      <w:pPr>
        <w:pStyle w:val="Bullet1"/>
      </w:pPr>
      <w:r>
        <w:t>Fulham Correctional Centre.</w:t>
      </w:r>
    </w:p>
    <w:p w14:paraId="65F1066B" w14:textId="77777777" w:rsidR="004E434E" w:rsidRDefault="004E434E" w:rsidP="004E434E">
      <w:pPr>
        <w:pStyle w:val="Body"/>
      </w:pPr>
      <w:r>
        <w:t xml:space="preserve">Participants that have been accepted onto the ReStart program from a primary ReStart prison location (one of the locations that ReStart is available and is delivered at) are able to access the entirety of the program, within the parameters of the stream they are allocated to. </w:t>
      </w:r>
    </w:p>
    <w:p w14:paraId="6A902563" w14:textId="77777777" w:rsidR="004E434E" w:rsidRDefault="004E434E" w:rsidP="004E434E">
      <w:pPr>
        <w:pStyle w:val="Body"/>
      </w:pPr>
      <w:r>
        <w:t xml:space="preserve">Occasionally, a participant may transfer to a non-primary ReStart location. On these occasions, ReStart will continue to provide pre-release support to the participant in a remote capacity. </w:t>
      </w:r>
    </w:p>
    <w:p w14:paraId="36F74419" w14:textId="77777777" w:rsidR="004E434E" w:rsidRDefault="004E434E" w:rsidP="004E434E">
      <w:pPr>
        <w:pStyle w:val="Body"/>
      </w:pPr>
      <w:r>
        <w:t>There are three service streams within the ReStart program. These are the:</w:t>
      </w:r>
    </w:p>
    <w:p w14:paraId="46FC3398" w14:textId="77777777" w:rsidR="004E434E" w:rsidRDefault="004E434E" w:rsidP="004E434E">
      <w:pPr>
        <w:pStyle w:val="Bullet1"/>
      </w:pPr>
      <w:r>
        <w:t>Pre-Release Stream</w:t>
      </w:r>
    </w:p>
    <w:p w14:paraId="5454371E" w14:textId="77777777" w:rsidR="004E434E" w:rsidRDefault="004E434E" w:rsidP="004E434E">
      <w:pPr>
        <w:pStyle w:val="Bullet1"/>
      </w:pPr>
      <w:r>
        <w:t>Post Release – Brief Stream (Two-Weeks)</w:t>
      </w:r>
    </w:p>
    <w:p w14:paraId="3DD35F21" w14:textId="77777777" w:rsidR="004E434E" w:rsidRDefault="004E434E" w:rsidP="004E434E">
      <w:pPr>
        <w:pStyle w:val="Bullet1"/>
      </w:pPr>
      <w:r>
        <w:t>Post Release – Full Stream (Three Months).</w:t>
      </w:r>
    </w:p>
    <w:p w14:paraId="70F537AC" w14:textId="77777777" w:rsidR="004E434E" w:rsidRDefault="004E434E" w:rsidP="004E434E">
      <w:pPr>
        <w:pStyle w:val="Body"/>
      </w:pPr>
      <w:r>
        <w:t xml:space="preserve">The allocated Forensic Case Worker is responsible for determining which post release stream is most suitable for the participant based on the first pre-release meeting with the participant. </w:t>
      </w:r>
    </w:p>
    <w:p w14:paraId="0A65B4A7" w14:textId="3081A843" w:rsidR="004E434E" w:rsidRPr="009C66F6" w:rsidRDefault="004E434E" w:rsidP="004E434E">
      <w:pPr>
        <w:pStyle w:val="Body"/>
      </w:pPr>
      <w:r>
        <w:t xml:space="preserve">Only ATC’s can refer to ReStart. The ReStart worker will contact the IAP worker to advise that ReStart are providing support </w:t>
      </w:r>
      <w:r w:rsidR="009B7521">
        <w:t xml:space="preserve">and to advise </w:t>
      </w:r>
      <w:r w:rsidR="00446071">
        <w:t xml:space="preserve">where IAP workers still have a role in supporting a </w:t>
      </w:r>
      <w:r w:rsidR="00446071">
        <w:lastRenderedPageBreak/>
        <w:t xml:space="preserve">client </w:t>
      </w:r>
      <w:r>
        <w:t>to maintain or establish housing. ReStart will also contact IAP to arrange a handover of any housing support that has been provided to date.</w:t>
      </w:r>
    </w:p>
    <w:sectPr w:rsidR="004E434E" w:rsidRPr="009C66F6" w:rsidSect="007713D8">
      <w:headerReference w:type="even" r:id="rId49"/>
      <w:headerReference w:type="default" r:id="rId50"/>
      <w:footerReference w:type="even" r:id="rId51"/>
      <w:footerReference w:type="default" r:id="rId52"/>
      <w:headerReference w:type="first" r:id="rId53"/>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54F42" w14:textId="77777777" w:rsidR="00352DAA" w:rsidRDefault="00352DAA">
      <w:r>
        <w:separator/>
      </w:r>
    </w:p>
    <w:p w14:paraId="5B7E95D4" w14:textId="77777777" w:rsidR="00352DAA" w:rsidRDefault="00352DAA"/>
  </w:endnote>
  <w:endnote w:type="continuationSeparator" w:id="0">
    <w:p w14:paraId="1237A3D5" w14:textId="77777777" w:rsidR="00352DAA" w:rsidRDefault="00352DAA">
      <w:r>
        <w:continuationSeparator/>
      </w:r>
    </w:p>
    <w:p w14:paraId="7B94E5BC" w14:textId="77777777" w:rsidR="00352DAA" w:rsidRDefault="00352DAA"/>
  </w:endnote>
  <w:endnote w:type="continuationNotice" w:id="1">
    <w:p w14:paraId="6747D5CB" w14:textId="77777777" w:rsidR="00352DAA" w:rsidRDefault="00352D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altName w:val="Arial"/>
    <w:charset w:val="00"/>
    <w:family w:val="auto"/>
    <w:pitch w:val="variable"/>
    <w:sig w:usb0="800000AF" w:usb1="5000204A" w:usb2="00000000" w:usb3="00000000" w:csb0="0000009B" w:csb1="00000000"/>
  </w:font>
  <w:font w:name="Avenir Medium">
    <w:altName w:val="Calibri"/>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venir Heavy">
    <w:altName w:val="Calibri"/>
    <w:charset w:val="4D"/>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Lucida Grande">
    <w:altName w:val="Ebrima"/>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Avenir Black">
    <w:altName w:val="Calibri"/>
    <w:charset w:val="4D"/>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 LIGHT OBLIQUE">
    <w:charset w:val="4D"/>
    <w:family w:val="swiss"/>
    <w:pitch w:val="variable"/>
    <w:sig w:usb0="800000AF"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B0315" w14:textId="77777777" w:rsidR="00EB4BC7" w:rsidRDefault="00EB4BC7">
    <w:pPr>
      <w:pStyle w:val="Footer"/>
    </w:pPr>
    <w:r>
      <w:rPr>
        <w:noProof/>
      </w:rPr>
      <mc:AlternateContent>
        <mc:Choice Requires="wps">
          <w:drawing>
            <wp:anchor distT="0" distB="0" distL="114300" distR="114300" simplePos="0" relativeHeight="251658242" behindDoc="0" locked="0" layoutInCell="0" allowOverlap="1" wp14:anchorId="0D33A0F6" wp14:editId="10B2C0A8">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8A2E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D33A0F6"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40F8A2E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A5519" w14:textId="77777777"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3495A4DB" wp14:editId="6BE22565">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7B2F5D"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95A4DB"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597B2F5D"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59C88" w14:textId="77777777" w:rsidR="00EB4BC7" w:rsidRDefault="00EB4BC7">
    <w:pPr>
      <w:pStyle w:val="Footer"/>
    </w:pPr>
    <w:r>
      <w:rPr>
        <w:noProof/>
      </w:rPr>
      <mc:AlternateContent>
        <mc:Choice Requires="wps">
          <w:drawing>
            <wp:anchor distT="0" distB="0" distL="114300" distR="114300" simplePos="0" relativeHeight="251658241" behindDoc="0" locked="0" layoutInCell="0" allowOverlap="1" wp14:anchorId="5DC18A9A" wp14:editId="64EF19F9">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79FF4D"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C18A9A"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3179FF4D"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2B083" w14:textId="77777777"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43C4521A" wp14:editId="5D8E97D2">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485EF7"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C4521A"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38485EF7"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916BD" w14:textId="77777777" w:rsidR="00431A70" w:rsidRDefault="001C7128" w:rsidP="00DC00C1">
    <w:pPr>
      <w:pStyle w:val="Footer"/>
      <w:tabs>
        <w:tab w:val="left" w:pos="3667"/>
      </w:tabs>
    </w:pPr>
    <w:r>
      <w:rPr>
        <w:noProof/>
        <w:lang w:eastAsia="en-AU"/>
      </w:rPr>
      <mc:AlternateContent>
        <mc:Choice Requires="wps">
          <w:drawing>
            <wp:anchor distT="0" distB="0" distL="114300" distR="114300" simplePos="0" relativeHeight="251658245" behindDoc="0" locked="0" layoutInCell="0" allowOverlap="1" wp14:anchorId="42632E1A" wp14:editId="71EC7AFA">
              <wp:simplePos x="0" y="0"/>
              <wp:positionH relativeFrom="page">
                <wp:posOffset>0</wp:posOffset>
              </wp:positionH>
              <wp:positionV relativeFrom="page">
                <wp:posOffset>10189210</wp:posOffset>
              </wp:positionV>
              <wp:extent cx="7560310" cy="311785"/>
              <wp:effectExtent l="0" t="0" r="0" b="12065"/>
              <wp:wrapNone/>
              <wp:docPr id="3"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068C8F" w14:textId="77777777"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632E1A" id="_x0000_t202" coordsize="21600,21600" o:spt="202" path="m,l,21600r21600,l21600,xe">
              <v:stroke joinstyle="miter"/>
              <v:path gradientshapeok="t" o:connecttype="rect"/>
            </v:shapetype>
            <v:shape id="MSIPCMcda5461fada7660fda7e169a"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23068C8F" w14:textId="77777777"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1836B95E" wp14:editId="0671F809">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EE78FD"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836B95E" id="MSIPCM82764d688816a9dc96a1b608" o:spid="_x0000_s1031" type="#_x0000_t202" alt="{&quot;HashCode&quot;:904758361,&quot;Height&quot;:841.0,&quot;Width&quot;:595.0,&quot;Placement&quot;:&quot;Footer&quot;,&quot;Index&quot;:&quot;Primary&quot;,&quot;Section&quot;:3,&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52EE78FD"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B3869" w14:textId="77777777" w:rsidR="00352DAA" w:rsidRDefault="00352DAA" w:rsidP="00207717">
      <w:pPr>
        <w:spacing w:before="120"/>
      </w:pPr>
      <w:r>
        <w:separator/>
      </w:r>
    </w:p>
  </w:footnote>
  <w:footnote w:type="continuationSeparator" w:id="0">
    <w:p w14:paraId="748B33E8" w14:textId="77777777" w:rsidR="00352DAA" w:rsidRDefault="00352DAA">
      <w:r>
        <w:continuationSeparator/>
      </w:r>
    </w:p>
    <w:p w14:paraId="1B53408C" w14:textId="77777777" w:rsidR="00352DAA" w:rsidRDefault="00352DAA"/>
  </w:footnote>
  <w:footnote w:type="continuationNotice" w:id="1">
    <w:p w14:paraId="2253D912" w14:textId="77777777" w:rsidR="00352DAA" w:rsidRDefault="00352D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119FB08E" w14:paraId="3CC6E31F" w14:textId="77777777" w:rsidTr="119FB08E">
      <w:trPr>
        <w:trHeight w:val="300"/>
      </w:trPr>
      <w:tc>
        <w:tcPr>
          <w:tcW w:w="3095" w:type="dxa"/>
        </w:tcPr>
        <w:p w14:paraId="5D9DACFF" w14:textId="329AE6A8" w:rsidR="119FB08E" w:rsidRDefault="119FB08E" w:rsidP="119FB08E">
          <w:pPr>
            <w:pStyle w:val="Header"/>
            <w:ind w:left="-115"/>
          </w:pPr>
        </w:p>
      </w:tc>
      <w:tc>
        <w:tcPr>
          <w:tcW w:w="3095" w:type="dxa"/>
        </w:tcPr>
        <w:p w14:paraId="63571932" w14:textId="45495FDD" w:rsidR="119FB08E" w:rsidRDefault="119FB08E" w:rsidP="119FB08E">
          <w:pPr>
            <w:pStyle w:val="Header"/>
            <w:jc w:val="center"/>
          </w:pPr>
        </w:p>
      </w:tc>
      <w:tc>
        <w:tcPr>
          <w:tcW w:w="3095" w:type="dxa"/>
        </w:tcPr>
        <w:p w14:paraId="190E1120" w14:textId="624B5A51" w:rsidR="119FB08E" w:rsidRDefault="119FB08E" w:rsidP="119FB08E">
          <w:pPr>
            <w:pStyle w:val="Header"/>
            <w:ind w:right="-115"/>
            <w:jc w:val="right"/>
          </w:pPr>
        </w:p>
      </w:tc>
    </w:tr>
  </w:tbl>
  <w:p w14:paraId="66E436F7" w14:textId="5C43028B" w:rsidR="119FB08E" w:rsidRDefault="119FB08E" w:rsidP="119FB0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35D9E132" w14:paraId="1F255995" w14:textId="77777777" w:rsidTr="35D9E132">
      <w:trPr>
        <w:trHeight w:val="300"/>
      </w:trPr>
      <w:tc>
        <w:tcPr>
          <w:tcW w:w="3095" w:type="dxa"/>
        </w:tcPr>
        <w:p w14:paraId="0473F30D" w14:textId="037B2A31" w:rsidR="35D9E132" w:rsidRDefault="35D9E132" w:rsidP="35D9E132">
          <w:pPr>
            <w:pStyle w:val="Header"/>
            <w:ind w:left="-115"/>
          </w:pPr>
        </w:p>
      </w:tc>
      <w:tc>
        <w:tcPr>
          <w:tcW w:w="3095" w:type="dxa"/>
        </w:tcPr>
        <w:p w14:paraId="0CB704C0" w14:textId="563B2A15" w:rsidR="35D9E132" w:rsidRDefault="35D9E132" w:rsidP="35D9E132">
          <w:pPr>
            <w:pStyle w:val="Header"/>
            <w:jc w:val="center"/>
          </w:pPr>
        </w:p>
      </w:tc>
      <w:tc>
        <w:tcPr>
          <w:tcW w:w="3095" w:type="dxa"/>
        </w:tcPr>
        <w:p w14:paraId="6D9CEDEE" w14:textId="163B076E" w:rsidR="35D9E132" w:rsidRDefault="35D9E132" w:rsidP="35D9E132">
          <w:pPr>
            <w:pStyle w:val="Header"/>
            <w:ind w:right="-115"/>
            <w:jc w:val="right"/>
          </w:pPr>
        </w:p>
      </w:tc>
    </w:tr>
  </w:tbl>
  <w:p w14:paraId="2AF04F0D" w14:textId="668A5FED" w:rsidR="0040791D" w:rsidRDefault="004079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F0549" w14:textId="77777777" w:rsidR="00431A70" w:rsidRDefault="00C60411">
    <w:r w:rsidRPr="00DE6C85">
      <w:rPr>
        <w:b/>
        <w:bCs/>
      </w:rPr>
      <w:fldChar w:fldCharType="begin"/>
    </w:r>
    <w:r w:rsidRPr="00DE6C85">
      <w:rPr>
        <w:bCs/>
      </w:rPr>
      <w:instrText xml:space="preserve"> PAGE </w:instrText>
    </w:r>
    <w:r w:rsidRPr="00DE6C85">
      <w:rPr>
        <w:b/>
        <w:bCs/>
      </w:rPr>
      <w:fldChar w:fldCharType="separate"/>
    </w:r>
    <w:r>
      <w:rPr>
        <w:bCs/>
      </w:rPr>
      <w:t>11</w:t>
    </w:r>
    <w:r w:rsidRPr="00DE6C85">
      <w:rPr>
        <w:b/>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A20FD" w14:textId="4FED19DD" w:rsidR="00562811" w:rsidRPr="001C7128" w:rsidRDefault="00CB72BC" w:rsidP="00697EE1">
    <w:r>
      <w:t>IAP in Victorian prisons CHPI</w:t>
    </w:r>
    <w:r w:rsidR="00697EE1">
      <w:t xml:space="preserve"> – Operational Program Guidelines </w:t>
    </w:r>
    <w:r w:rsidR="00697EE1" w:rsidRPr="35D9E132">
      <w:t>(</w:t>
    </w:r>
    <w:r w:rsidR="35D9E132" w:rsidRPr="35D9E132">
      <w:t>2025</w:t>
    </w:r>
    <w:r w:rsidR="00697EE1" w:rsidRPr="35D9E132">
      <w:t>)</w:t>
    </w:r>
    <w:r w:rsidR="001C7128">
      <w:ptab w:relativeTo="margin" w:alignment="right" w:leader="none"/>
    </w:r>
    <w:r w:rsidR="001C7128" w:rsidRPr="35D9E132">
      <w:fldChar w:fldCharType="begin"/>
    </w:r>
    <w:r w:rsidR="001C7128" w:rsidRPr="00DE6C85">
      <w:rPr>
        <w:bCs/>
      </w:rPr>
      <w:instrText xml:space="preserve"> PAGE </w:instrText>
    </w:r>
    <w:r w:rsidR="001C7128" w:rsidRPr="35D9E132">
      <w:rPr>
        <w:b/>
        <w:bCs/>
      </w:rPr>
      <w:fldChar w:fldCharType="separate"/>
    </w:r>
    <w:r w:rsidR="001C7128">
      <w:rPr>
        <w:bCs/>
      </w:rPr>
      <w:t>7</w:t>
    </w:r>
    <w:r w:rsidR="001C7128" w:rsidRPr="35D9E132">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35D9E132" w14:paraId="68BC7128" w14:textId="77777777" w:rsidTr="35D9E132">
      <w:trPr>
        <w:trHeight w:val="300"/>
      </w:trPr>
      <w:tc>
        <w:tcPr>
          <w:tcW w:w="3095" w:type="dxa"/>
        </w:tcPr>
        <w:p w14:paraId="4763BF6C" w14:textId="7B9166A8" w:rsidR="35D9E132" w:rsidRDefault="35D9E132" w:rsidP="35D9E132">
          <w:pPr>
            <w:pStyle w:val="Header"/>
            <w:ind w:left="-115"/>
          </w:pPr>
        </w:p>
      </w:tc>
      <w:tc>
        <w:tcPr>
          <w:tcW w:w="3095" w:type="dxa"/>
        </w:tcPr>
        <w:p w14:paraId="00AAA96A" w14:textId="2A14EBCA" w:rsidR="35D9E132" w:rsidRDefault="35D9E132" w:rsidP="35D9E132">
          <w:pPr>
            <w:pStyle w:val="Header"/>
            <w:jc w:val="center"/>
          </w:pPr>
        </w:p>
      </w:tc>
      <w:tc>
        <w:tcPr>
          <w:tcW w:w="3095" w:type="dxa"/>
        </w:tcPr>
        <w:p w14:paraId="49B26F58" w14:textId="36BD8762" w:rsidR="35D9E132" w:rsidRDefault="35D9E132" w:rsidP="35D9E132">
          <w:pPr>
            <w:pStyle w:val="Header"/>
            <w:ind w:right="-115"/>
            <w:jc w:val="right"/>
          </w:pPr>
        </w:p>
      </w:tc>
    </w:tr>
  </w:tbl>
  <w:p w14:paraId="3B861207" w14:textId="6F48BBB4" w:rsidR="0040791D" w:rsidRDefault="0040791D">
    <w:pPr>
      <w:pStyle w:val="Header"/>
    </w:pPr>
  </w:p>
</w:hdr>
</file>

<file path=word/intelligence2.xml><?xml version="1.0" encoding="utf-8"?>
<int2:intelligence xmlns:int2="http://schemas.microsoft.com/office/intelligence/2020/intelligence" xmlns:oel="http://schemas.microsoft.com/office/2019/extlst">
  <int2:observations>
    <int2:textHash int2:hashCode="s7ivXB0SsDqCAU" int2:id="38nVfy80">
      <int2:state int2:value="Rejected" int2:type="spell"/>
    </int2:textHash>
    <int2:bookmark int2:bookmarkName="_Int_YFBA0wu3" int2:invalidationBookmarkName="" int2:hashCode="i33lLgnrOq2Y05" int2:id="BP2LmPCe">
      <int2:state int2:value="Rejected" int2:type="gram"/>
    </int2:bookmark>
    <int2:bookmark int2:bookmarkName="_Int_LcRXzN7W" int2:invalidationBookmarkName="" int2:hashCode="y+RImRd7Xgw7rT" int2:id="MWmSoiKb">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0056"/>
    <w:multiLevelType w:val="multilevel"/>
    <w:tmpl w:val="4D10C7E2"/>
    <w:numStyleLink w:val="ZZNumbersloweralpha"/>
  </w:abstractNum>
  <w:abstractNum w:abstractNumId="1" w15:restartNumberingAfterBreak="0">
    <w:nsid w:val="0BAD2E30"/>
    <w:multiLevelType w:val="multilevel"/>
    <w:tmpl w:val="4D10C7E2"/>
    <w:styleLink w:val="ZZNumbersloweralpha"/>
    <w:lvl w:ilvl="0">
      <w:start w:val="1"/>
      <w:numFmt w:val="lowerLetter"/>
      <w:pStyle w:val="Numberloweralpha"/>
      <w:lvlText w:val="(%1)"/>
      <w:lvlJc w:val="left"/>
      <w:pPr>
        <w:tabs>
          <w:tab w:val="num" w:pos="454"/>
        </w:tabs>
        <w:ind w:left="454" w:hanging="454"/>
      </w:pPr>
      <w:rPr>
        <w:rFonts w:hint="default"/>
      </w:rPr>
    </w:lvl>
    <w:lvl w:ilvl="1">
      <w:start w:val="1"/>
      <w:numFmt w:val="lowerLetter"/>
      <w:pStyle w:val="Numberloweralpha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D49F2E3"/>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487099"/>
    <w:multiLevelType w:val="multilevel"/>
    <w:tmpl w:val="693A564C"/>
    <w:lvl w:ilvl="0">
      <w:start w:val="1"/>
      <w:numFmt w:val="bullet"/>
      <w:lvlText w:val=""/>
      <w:lvlJc w:val="left"/>
      <w:pPr>
        <w:tabs>
          <w:tab w:val="num" w:pos="397"/>
        </w:tabs>
        <w:ind w:left="397" w:hanging="397"/>
      </w:pPr>
      <w:rPr>
        <w:rFonts w:ascii="Symbol" w:hAnsi="Symbol"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72110DD"/>
    <w:multiLevelType w:val="multilevel"/>
    <w:tmpl w:val="DE945170"/>
    <w:lvl w:ilvl="0">
      <w:start w:val="3"/>
      <w:numFmt w:val="none"/>
      <w:lvlText w:val="1"/>
      <w:lvlJc w:val="left"/>
      <w:pPr>
        <w:ind w:left="432" w:hanging="432"/>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C0A51F8"/>
    <w:multiLevelType w:val="multilevel"/>
    <w:tmpl w:val="D14E56D8"/>
    <w:lvl w:ilvl="0">
      <w:start w:val="1"/>
      <w:numFmt w:val="decimal"/>
      <w:isLg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2B4F727"/>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ADF4F55"/>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3D907620"/>
    <w:multiLevelType w:val="hybridMultilevel"/>
    <w:tmpl w:val="FE34B2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E6C68D4"/>
    <w:multiLevelType w:val="multilevel"/>
    <w:tmpl w:val="9C40C040"/>
    <w:styleLink w:val="ZZNumbersdigit"/>
    <w:lvl w:ilvl="0">
      <w:start w:val="1"/>
      <w:numFmt w:val="decimal"/>
      <w:pStyle w:val="Numberdigit"/>
      <w:lvlText w:val="%1."/>
      <w:lvlJc w:val="left"/>
      <w:pPr>
        <w:tabs>
          <w:tab w:val="num" w:pos="454"/>
        </w:tabs>
        <w:ind w:left="454" w:hanging="454"/>
      </w:pPr>
      <w:rPr>
        <w:rFonts w:hint="default"/>
      </w:rPr>
    </w:lvl>
    <w:lvl w:ilvl="1">
      <w:start w:val="1"/>
      <w:numFmt w:val="decimal"/>
      <w:pStyle w:val="Numberdigitindent"/>
      <w:lvlText w:val="%2."/>
      <w:lvlJc w:val="left"/>
      <w:pPr>
        <w:tabs>
          <w:tab w:val="num" w:pos="907"/>
        </w:tabs>
        <w:ind w:left="907" w:hanging="453"/>
      </w:pPr>
      <w:rPr>
        <w:rFonts w:hint="default"/>
      </w:rPr>
    </w:lvl>
    <w:lvl w:ilvl="2">
      <w:start w:val="1"/>
      <w:numFmt w:val="bullet"/>
      <w:lvlRestart w:val="0"/>
      <w:pStyle w:val="Bulletafternumbers1"/>
      <w:lvlText w:val="•"/>
      <w:lvlJc w:val="left"/>
      <w:pPr>
        <w:ind w:left="907" w:hanging="453"/>
      </w:pPr>
      <w:rPr>
        <w:rFonts w:ascii="Calibri" w:hAnsi="Calibri" w:hint="default"/>
        <w:color w:val="auto"/>
      </w:rPr>
    </w:lvl>
    <w:lvl w:ilvl="3">
      <w:start w:val="1"/>
      <w:numFmt w:val="bullet"/>
      <w:lvlRestart w:val="0"/>
      <w:pStyle w:val="Bulletafternumbers2"/>
      <w:lvlText w:val="–"/>
      <w:lvlJc w:val="left"/>
      <w:pPr>
        <w:ind w:left="1361" w:hanging="45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6FF2F6"/>
    <w:multiLevelType w:val="multilevel"/>
    <w:tmpl w:val="FFFFFFFF"/>
    <w:lvl w:ilvl="0">
      <w:start w:val="1"/>
      <w:numFmt w:val="decimal"/>
      <w:lvlText w:val="%1."/>
      <w:lvlJc w:val="left"/>
      <w:pPr>
        <w:ind w:left="1021" w:hanging="10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C54A41"/>
    <w:multiLevelType w:val="multilevel"/>
    <w:tmpl w:val="580635D0"/>
    <w:styleLink w:val="ZZNumberslowerroman"/>
    <w:lvl w:ilvl="0">
      <w:start w:val="1"/>
      <w:numFmt w:val="lowerRoman"/>
      <w:pStyle w:val="Numberlowerroman"/>
      <w:lvlText w:val="(%1)"/>
      <w:lvlJc w:val="left"/>
      <w:pPr>
        <w:tabs>
          <w:tab w:val="num" w:pos="454"/>
        </w:tabs>
        <w:ind w:left="454" w:hanging="454"/>
      </w:pPr>
      <w:rPr>
        <w:rFonts w:hint="default"/>
      </w:rPr>
    </w:lvl>
    <w:lvl w:ilvl="1">
      <w:start w:val="1"/>
      <w:numFmt w:val="lowerRoman"/>
      <w:pStyle w:val="Numberlowerroman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3F6580BA"/>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FCA64F"/>
    <w:multiLevelType w:val="multilevel"/>
    <w:tmpl w:val="FFFFFFFF"/>
    <w:lvl w:ilvl="0">
      <w:start w:val="1"/>
      <w:numFmt w:val="decimal"/>
      <w:lvlText w:val="%1."/>
      <w:lvlJc w:val="left"/>
      <w:pPr>
        <w:ind w:left="1021" w:hanging="10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087EE7"/>
    <w:multiLevelType w:val="multilevel"/>
    <w:tmpl w:val="503A2C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D306669"/>
    <w:multiLevelType w:val="hybridMultilevel"/>
    <w:tmpl w:val="184448CE"/>
    <w:lvl w:ilvl="0" w:tplc="FFFFFFFF">
      <w:start w:val="1"/>
      <w:numFmt w:val="decimal"/>
      <w:lvlText w:val="%1."/>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4BA1E5A"/>
    <w:multiLevelType w:val="multilevel"/>
    <w:tmpl w:val="DCE24E98"/>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6A341C9C"/>
    <w:multiLevelType w:val="hybridMultilevel"/>
    <w:tmpl w:val="91166236"/>
    <w:lvl w:ilvl="0" w:tplc="E300298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C37F3B"/>
    <w:multiLevelType w:val="multilevel"/>
    <w:tmpl w:val="D8F49390"/>
    <w:lvl w:ilvl="0">
      <w:start w:val="1"/>
      <w:numFmt w:val="decimal"/>
      <w:lvlText w:val="%1."/>
      <w:lvlJc w:val="left"/>
      <w:pPr>
        <w:ind w:left="1021" w:hanging="1021"/>
      </w:pPr>
    </w:lvl>
    <w:lvl w:ilvl="1">
      <w:start w:val="1"/>
      <w:numFmt w:val="decimal"/>
      <w:lvlText w:val="%1.%2."/>
      <w:lvlJc w:val="left"/>
      <w:pPr>
        <w:ind w:left="1021" w:hanging="1021"/>
      </w:p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BF27200"/>
    <w:multiLevelType w:val="hybridMultilevel"/>
    <w:tmpl w:val="522CBF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0E10B75"/>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8F77AD9"/>
    <w:multiLevelType w:val="hybridMultilevel"/>
    <w:tmpl w:val="4E22C164"/>
    <w:lvl w:ilvl="0" w:tplc="9EE64C4E">
      <w:start w:val="1"/>
      <w:numFmt w:val="decimal"/>
      <w:lvlText w:val="%1."/>
      <w:lvlJc w:val="left"/>
      <w:pPr>
        <w:ind w:left="1440" w:hanging="360"/>
      </w:pPr>
    </w:lvl>
    <w:lvl w:ilvl="1" w:tplc="D9D2DFD4">
      <w:start w:val="1"/>
      <w:numFmt w:val="decimal"/>
      <w:lvlText w:val="%2."/>
      <w:lvlJc w:val="left"/>
      <w:pPr>
        <w:ind w:left="1440" w:hanging="360"/>
      </w:pPr>
    </w:lvl>
    <w:lvl w:ilvl="2" w:tplc="7CC06AA6">
      <w:start w:val="1"/>
      <w:numFmt w:val="decimal"/>
      <w:lvlText w:val="%3."/>
      <w:lvlJc w:val="left"/>
      <w:pPr>
        <w:ind w:left="1440" w:hanging="360"/>
      </w:pPr>
    </w:lvl>
    <w:lvl w:ilvl="3" w:tplc="D09A2000">
      <w:start w:val="1"/>
      <w:numFmt w:val="decimal"/>
      <w:lvlText w:val="%4."/>
      <w:lvlJc w:val="left"/>
      <w:pPr>
        <w:ind w:left="1440" w:hanging="360"/>
      </w:pPr>
    </w:lvl>
    <w:lvl w:ilvl="4" w:tplc="28F2238E">
      <w:start w:val="1"/>
      <w:numFmt w:val="decimal"/>
      <w:lvlText w:val="%5."/>
      <w:lvlJc w:val="left"/>
      <w:pPr>
        <w:ind w:left="1440" w:hanging="360"/>
      </w:pPr>
    </w:lvl>
    <w:lvl w:ilvl="5" w:tplc="4A18D210">
      <w:start w:val="1"/>
      <w:numFmt w:val="decimal"/>
      <w:lvlText w:val="%6."/>
      <w:lvlJc w:val="left"/>
      <w:pPr>
        <w:ind w:left="1440" w:hanging="360"/>
      </w:pPr>
    </w:lvl>
    <w:lvl w:ilvl="6" w:tplc="46CA3BD6">
      <w:start w:val="1"/>
      <w:numFmt w:val="decimal"/>
      <w:lvlText w:val="%7."/>
      <w:lvlJc w:val="left"/>
      <w:pPr>
        <w:ind w:left="1440" w:hanging="360"/>
      </w:pPr>
    </w:lvl>
    <w:lvl w:ilvl="7" w:tplc="F3B4C548">
      <w:start w:val="1"/>
      <w:numFmt w:val="decimal"/>
      <w:lvlText w:val="%8."/>
      <w:lvlJc w:val="left"/>
      <w:pPr>
        <w:ind w:left="1440" w:hanging="360"/>
      </w:pPr>
    </w:lvl>
    <w:lvl w:ilvl="8" w:tplc="01685CDC">
      <w:start w:val="1"/>
      <w:numFmt w:val="decimal"/>
      <w:lvlText w:val="%9."/>
      <w:lvlJc w:val="left"/>
      <w:pPr>
        <w:ind w:left="1440" w:hanging="360"/>
      </w:pPr>
    </w:lvl>
  </w:abstractNum>
  <w:abstractNum w:abstractNumId="24" w15:restartNumberingAfterBreak="0">
    <w:nsid w:val="7E026D75"/>
    <w:multiLevelType w:val="hybridMultilevel"/>
    <w:tmpl w:val="F53CB31A"/>
    <w:lvl w:ilvl="0" w:tplc="A1EEABC0">
      <w:start w:val="1"/>
      <w:numFmt w:val="bullet"/>
      <w:lvlText w:val=""/>
      <w:lvlJc w:val="left"/>
      <w:pPr>
        <w:ind w:left="1000" w:hanging="360"/>
      </w:pPr>
      <w:rPr>
        <w:rFonts w:ascii="Symbol" w:hAnsi="Symbol"/>
      </w:rPr>
    </w:lvl>
    <w:lvl w:ilvl="1" w:tplc="67967B86">
      <w:start w:val="1"/>
      <w:numFmt w:val="bullet"/>
      <w:lvlText w:val=""/>
      <w:lvlJc w:val="left"/>
      <w:pPr>
        <w:ind w:left="1000" w:hanging="360"/>
      </w:pPr>
      <w:rPr>
        <w:rFonts w:ascii="Symbol" w:hAnsi="Symbol"/>
      </w:rPr>
    </w:lvl>
    <w:lvl w:ilvl="2" w:tplc="44E092A6">
      <w:start w:val="1"/>
      <w:numFmt w:val="bullet"/>
      <w:lvlText w:val=""/>
      <w:lvlJc w:val="left"/>
      <w:pPr>
        <w:ind w:left="1000" w:hanging="360"/>
      </w:pPr>
      <w:rPr>
        <w:rFonts w:ascii="Symbol" w:hAnsi="Symbol"/>
      </w:rPr>
    </w:lvl>
    <w:lvl w:ilvl="3" w:tplc="5FAA5A30">
      <w:start w:val="1"/>
      <w:numFmt w:val="bullet"/>
      <w:lvlText w:val=""/>
      <w:lvlJc w:val="left"/>
      <w:pPr>
        <w:ind w:left="1000" w:hanging="360"/>
      </w:pPr>
      <w:rPr>
        <w:rFonts w:ascii="Symbol" w:hAnsi="Symbol"/>
      </w:rPr>
    </w:lvl>
    <w:lvl w:ilvl="4" w:tplc="6D78EC66">
      <w:start w:val="1"/>
      <w:numFmt w:val="bullet"/>
      <w:lvlText w:val=""/>
      <w:lvlJc w:val="left"/>
      <w:pPr>
        <w:ind w:left="1000" w:hanging="360"/>
      </w:pPr>
      <w:rPr>
        <w:rFonts w:ascii="Symbol" w:hAnsi="Symbol"/>
      </w:rPr>
    </w:lvl>
    <w:lvl w:ilvl="5" w:tplc="86DE7C6E">
      <w:start w:val="1"/>
      <w:numFmt w:val="bullet"/>
      <w:lvlText w:val=""/>
      <w:lvlJc w:val="left"/>
      <w:pPr>
        <w:ind w:left="1000" w:hanging="360"/>
      </w:pPr>
      <w:rPr>
        <w:rFonts w:ascii="Symbol" w:hAnsi="Symbol"/>
      </w:rPr>
    </w:lvl>
    <w:lvl w:ilvl="6" w:tplc="266690A8">
      <w:start w:val="1"/>
      <w:numFmt w:val="bullet"/>
      <w:lvlText w:val=""/>
      <w:lvlJc w:val="left"/>
      <w:pPr>
        <w:ind w:left="1000" w:hanging="360"/>
      </w:pPr>
      <w:rPr>
        <w:rFonts w:ascii="Symbol" w:hAnsi="Symbol"/>
      </w:rPr>
    </w:lvl>
    <w:lvl w:ilvl="7" w:tplc="F0A69D0C">
      <w:start w:val="1"/>
      <w:numFmt w:val="bullet"/>
      <w:lvlText w:val=""/>
      <w:lvlJc w:val="left"/>
      <w:pPr>
        <w:ind w:left="1000" w:hanging="360"/>
      </w:pPr>
      <w:rPr>
        <w:rFonts w:ascii="Symbol" w:hAnsi="Symbol"/>
      </w:rPr>
    </w:lvl>
    <w:lvl w:ilvl="8" w:tplc="6F50EC1A">
      <w:start w:val="1"/>
      <w:numFmt w:val="bullet"/>
      <w:lvlText w:val=""/>
      <w:lvlJc w:val="left"/>
      <w:pPr>
        <w:ind w:left="1000" w:hanging="360"/>
      </w:pPr>
      <w:rPr>
        <w:rFonts w:ascii="Symbol" w:hAnsi="Symbol"/>
      </w:rPr>
    </w:lvl>
  </w:abstractNum>
  <w:num w:numId="1" w16cid:durableId="14635775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11020616">
    <w:abstractNumId w:val="17"/>
  </w:num>
  <w:num w:numId="3" w16cid:durableId="1276016069">
    <w:abstractNumId w:val="9"/>
  </w:num>
  <w:num w:numId="4" w16cid:durableId="1695694935">
    <w:abstractNumId w:val="1"/>
  </w:num>
  <w:num w:numId="5" w16cid:durableId="2118480366">
    <w:abstractNumId w:val="18"/>
  </w:num>
  <w:num w:numId="6" w16cid:durableId="64109112">
    <w:abstractNumId w:val="11"/>
  </w:num>
  <w:num w:numId="7" w16cid:durableId="877351973">
    <w:abstractNumId w:val="16"/>
  </w:num>
  <w:num w:numId="8" w16cid:durableId="701709052">
    <w:abstractNumId w:val="17"/>
  </w:num>
  <w:num w:numId="9" w16cid:durableId="1891573132">
    <w:abstractNumId w:val="15"/>
  </w:num>
  <w:num w:numId="10" w16cid:durableId="2065253903">
    <w:abstractNumId w:val="19"/>
  </w:num>
  <w:num w:numId="11" w16cid:durableId="1365473656">
    <w:abstractNumId w:val="14"/>
  </w:num>
  <w:num w:numId="12" w16cid:durableId="98066431">
    <w:abstractNumId w:val="4"/>
  </w:num>
  <w:num w:numId="13" w16cid:durableId="461384094">
    <w:abstractNumId w:val="17"/>
  </w:num>
  <w:num w:numId="14" w16cid:durableId="1563180518">
    <w:abstractNumId w:val="17"/>
  </w:num>
  <w:num w:numId="15" w16cid:durableId="1910455021">
    <w:abstractNumId w:val="9"/>
  </w:num>
  <w:num w:numId="16" w16cid:durableId="1656256235">
    <w:abstractNumId w:val="9"/>
  </w:num>
  <w:num w:numId="17" w16cid:durableId="1530950238">
    <w:abstractNumId w:val="9"/>
  </w:num>
  <w:num w:numId="18" w16cid:durableId="1642266921">
    <w:abstractNumId w:val="9"/>
  </w:num>
  <w:num w:numId="19" w16cid:durableId="954024703">
    <w:abstractNumId w:val="1"/>
  </w:num>
  <w:num w:numId="20" w16cid:durableId="1794321080">
    <w:abstractNumId w:val="1"/>
  </w:num>
  <w:num w:numId="21" w16cid:durableId="135296908">
    <w:abstractNumId w:val="11"/>
  </w:num>
  <w:num w:numId="22" w16cid:durableId="316304689">
    <w:abstractNumId w:val="11"/>
  </w:num>
  <w:num w:numId="23" w16cid:durableId="864174552">
    <w:abstractNumId w:val="18"/>
  </w:num>
  <w:num w:numId="24" w16cid:durableId="1045912504">
    <w:abstractNumId w:val="18"/>
  </w:num>
  <w:num w:numId="25" w16cid:durableId="1494102816">
    <w:abstractNumId w:val="16"/>
  </w:num>
  <w:num w:numId="26" w16cid:durableId="270818589">
    <w:abstractNumId w:val="16"/>
  </w:num>
  <w:num w:numId="27" w16cid:durableId="1786728179">
    <w:abstractNumId w:val="17"/>
    <w:lvlOverride w:ilvl="0">
      <w:lvl w:ilvl="0">
        <w:start w:val="1"/>
        <w:numFmt w:val="bullet"/>
        <w:pStyle w:val="Bullet1"/>
        <w:lvlText w:val="•"/>
        <w:lvlJc w:val="left"/>
        <w:pPr>
          <w:ind w:left="284" w:hanging="284"/>
        </w:pPr>
        <w:rPr>
          <w:rFonts w:ascii="Calibri" w:hAnsi="Calibri" w:hint="default"/>
          <w:color w:val="auto"/>
        </w:rPr>
      </w:lvl>
    </w:lvlOverride>
  </w:num>
  <w:num w:numId="28" w16cid:durableId="341013241">
    <w:abstractNumId w:val="9"/>
  </w:num>
  <w:num w:numId="29" w16cid:durableId="14818930">
    <w:abstractNumId w:val="1"/>
  </w:num>
  <w:num w:numId="30" w16cid:durableId="607277163">
    <w:abstractNumId w:val="18"/>
  </w:num>
  <w:num w:numId="31" w16cid:durableId="1402219640">
    <w:abstractNumId w:val="11"/>
  </w:num>
  <w:num w:numId="32" w16cid:durableId="863246002">
    <w:abstractNumId w:val="16"/>
  </w:num>
  <w:num w:numId="33" w16cid:durableId="2089113225">
    <w:abstractNumId w:val="5"/>
  </w:num>
  <w:num w:numId="34" w16cid:durableId="415516722">
    <w:abstractNumId w:val="20"/>
  </w:num>
  <w:num w:numId="35" w16cid:durableId="1965581099">
    <w:abstractNumId w:val="3"/>
  </w:num>
  <w:num w:numId="36" w16cid:durableId="957179254">
    <w:abstractNumId w:val="8"/>
  </w:num>
  <w:num w:numId="37" w16cid:durableId="472331573">
    <w:abstractNumId w:val="21"/>
  </w:num>
  <w:num w:numId="38" w16cid:durableId="383716892">
    <w:abstractNumId w:val="24"/>
  </w:num>
  <w:num w:numId="39" w16cid:durableId="95254768">
    <w:abstractNumId w:val="2"/>
  </w:num>
  <w:num w:numId="40" w16cid:durableId="1504932150">
    <w:abstractNumId w:val="22"/>
  </w:num>
  <w:num w:numId="41" w16cid:durableId="1640264533">
    <w:abstractNumId w:val="10"/>
  </w:num>
  <w:num w:numId="42" w16cid:durableId="361443771">
    <w:abstractNumId w:val="13"/>
  </w:num>
  <w:num w:numId="43" w16cid:durableId="1069114212">
    <w:abstractNumId w:val="7"/>
  </w:num>
  <w:num w:numId="44" w16cid:durableId="1633631201">
    <w:abstractNumId w:val="23"/>
  </w:num>
  <w:num w:numId="45" w16cid:durableId="1039941455">
    <w:abstractNumId w:val="12"/>
  </w:num>
  <w:num w:numId="46" w16cid:durableId="1268002439">
    <w:abstractNumId w:val="6"/>
  </w:num>
  <w:num w:numId="47" w16cid:durableId="50921785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1765"/>
    <w:rsid w:val="00002D68"/>
    <w:rsid w:val="000033F7"/>
    <w:rsid w:val="00003403"/>
    <w:rsid w:val="00003CA6"/>
    <w:rsid w:val="000049D0"/>
    <w:rsid w:val="00005347"/>
    <w:rsid w:val="00005891"/>
    <w:rsid w:val="000072B6"/>
    <w:rsid w:val="000072BE"/>
    <w:rsid w:val="00007E1D"/>
    <w:rsid w:val="0001021B"/>
    <w:rsid w:val="00011D89"/>
    <w:rsid w:val="00013DFD"/>
    <w:rsid w:val="00014E21"/>
    <w:rsid w:val="000154FD"/>
    <w:rsid w:val="00020678"/>
    <w:rsid w:val="000208EB"/>
    <w:rsid w:val="00022271"/>
    <w:rsid w:val="00022299"/>
    <w:rsid w:val="000223BB"/>
    <w:rsid w:val="000235E8"/>
    <w:rsid w:val="000243FC"/>
    <w:rsid w:val="00024AE0"/>
    <w:rsid w:val="00024D89"/>
    <w:rsid w:val="000250B6"/>
    <w:rsid w:val="000268BC"/>
    <w:rsid w:val="000306E8"/>
    <w:rsid w:val="000317F2"/>
    <w:rsid w:val="00032A32"/>
    <w:rsid w:val="00033C03"/>
    <w:rsid w:val="00033D81"/>
    <w:rsid w:val="00033DC9"/>
    <w:rsid w:val="00034EBF"/>
    <w:rsid w:val="000353D4"/>
    <w:rsid w:val="00037366"/>
    <w:rsid w:val="000401AC"/>
    <w:rsid w:val="00041BF0"/>
    <w:rsid w:val="00042005"/>
    <w:rsid w:val="000426D3"/>
    <w:rsid w:val="00042C8A"/>
    <w:rsid w:val="0004536B"/>
    <w:rsid w:val="000454A7"/>
    <w:rsid w:val="00045FA9"/>
    <w:rsid w:val="00046B68"/>
    <w:rsid w:val="000527DD"/>
    <w:rsid w:val="00052B02"/>
    <w:rsid w:val="000553E6"/>
    <w:rsid w:val="0005569A"/>
    <w:rsid w:val="00056EC4"/>
    <w:rsid w:val="000578B2"/>
    <w:rsid w:val="00060959"/>
    <w:rsid w:val="00060C8F"/>
    <w:rsid w:val="0006195E"/>
    <w:rsid w:val="000627DB"/>
    <w:rsid w:val="0006298A"/>
    <w:rsid w:val="00062BB4"/>
    <w:rsid w:val="000630E6"/>
    <w:rsid w:val="00063DB9"/>
    <w:rsid w:val="00065BFA"/>
    <w:rsid w:val="000663CD"/>
    <w:rsid w:val="00067013"/>
    <w:rsid w:val="00071AE1"/>
    <w:rsid w:val="000733FE"/>
    <w:rsid w:val="00073C19"/>
    <w:rsid w:val="00074219"/>
    <w:rsid w:val="00074ED5"/>
    <w:rsid w:val="00075D76"/>
    <w:rsid w:val="000760E7"/>
    <w:rsid w:val="0007648C"/>
    <w:rsid w:val="00076886"/>
    <w:rsid w:val="00077109"/>
    <w:rsid w:val="000802CE"/>
    <w:rsid w:val="0008170F"/>
    <w:rsid w:val="0008204A"/>
    <w:rsid w:val="000821F3"/>
    <w:rsid w:val="000822E1"/>
    <w:rsid w:val="00083179"/>
    <w:rsid w:val="00084220"/>
    <w:rsid w:val="0008508E"/>
    <w:rsid w:val="00087951"/>
    <w:rsid w:val="0009113B"/>
    <w:rsid w:val="00093402"/>
    <w:rsid w:val="000939ED"/>
    <w:rsid w:val="00094156"/>
    <w:rsid w:val="00094A94"/>
    <w:rsid w:val="00094DA3"/>
    <w:rsid w:val="00096B98"/>
    <w:rsid w:val="00096CD1"/>
    <w:rsid w:val="000A012C"/>
    <w:rsid w:val="000A0B5B"/>
    <w:rsid w:val="000A0EB9"/>
    <w:rsid w:val="000A0F5A"/>
    <w:rsid w:val="000A186C"/>
    <w:rsid w:val="000A1EA4"/>
    <w:rsid w:val="000A20B2"/>
    <w:rsid w:val="000A2476"/>
    <w:rsid w:val="000A2F5B"/>
    <w:rsid w:val="000A3395"/>
    <w:rsid w:val="000A4194"/>
    <w:rsid w:val="000A4F41"/>
    <w:rsid w:val="000A5583"/>
    <w:rsid w:val="000A58D1"/>
    <w:rsid w:val="000A5ABD"/>
    <w:rsid w:val="000A5F30"/>
    <w:rsid w:val="000A6183"/>
    <w:rsid w:val="000A641A"/>
    <w:rsid w:val="000B0FE1"/>
    <w:rsid w:val="000B135A"/>
    <w:rsid w:val="000B26FF"/>
    <w:rsid w:val="000B3EDB"/>
    <w:rsid w:val="000B41E7"/>
    <w:rsid w:val="000B543D"/>
    <w:rsid w:val="000B55F9"/>
    <w:rsid w:val="000B5BF7"/>
    <w:rsid w:val="000B6BC8"/>
    <w:rsid w:val="000C0303"/>
    <w:rsid w:val="000C0AE3"/>
    <w:rsid w:val="000C1C0F"/>
    <w:rsid w:val="000C3F13"/>
    <w:rsid w:val="000C42EA"/>
    <w:rsid w:val="000C4546"/>
    <w:rsid w:val="000C5464"/>
    <w:rsid w:val="000C5608"/>
    <w:rsid w:val="000C5B9F"/>
    <w:rsid w:val="000C6A23"/>
    <w:rsid w:val="000C79ED"/>
    <w:rsid w:val="000D02EC"/>
    <w:rsid w:val="000D041B"/>
    <w:rsid w:val="000D0E51"/>
    <w:rsid w:val="000D1242"/>
    <w:rsid w:val="000D2ABA"/>
    <w:rsid w:val="000D2C99"/>
    <w:rsid w:val="000D3211"/>
    <w:rsid w:val="000D3C3B"/>
    <w:rsid w:val="000D3DB8"/>
    <w:rsid w:val="000D48F6"/>
    <w:rsid w:val="000D6545"/>
    <w:rsid w:val="000D718B"/>
    <w:rsid w:val="000E0970"/>
    <w:rsid w:val="000E0EC3"/>
    <w:rsid w:val="000E3CC7"/>
    <w:rsid w:val="000E40C1"/>
    <w:rsid w:val="000E41A6"/>
    <w:rsid w:val="000E4F86"/>
    <w:rsid w:val="000E58F9"/>
    <w:rsid w:val="000E6BD4"/>
    <w:rsid w:val="000E6D6D"/>
    <w:rsid w:val="000F1E58"/>
    <w:rsid w:val="000F1F1E"/>
    <w:rsid w:val="000F1F25"/>
    <w:rsid w:val="000F2259"/>
    <w:rsid w:val="000F2DDA"/>
    <w:rsid w:val="000F2EA0"/>
    <w:rsid w:val="000F5213"/>
    <w:rsid w:val="000F7C5A"/>
    <w:rsid w:val="00101001"/>
    <w:rsid w:val="00101251"/>
    <w:rsid w:val="00103276"/>
    <w:rsid w:val="0010392D"/>
    <w:rsid w:val="0010447F"/>
    <w:rsid w:val="00104948"/>
    <w:rsid w:val="00104FE3"/>
    <w:rsid w:val="00106023"/>
    <w:rsid w:val="00106549"/>
    <w:rsid w:val="0010714F"/>
    <w:rsid w:val="001120C5"/>
    <w:rsid w:val="001140FC"/>
    <w:rsid w:val="001141C9"/>
    <w:rsid w:val="00116A41"/>
    <w:rsid w:val="00117411"/>
    <w:rsid w:val="001175C2"/>
    <w:rsid w:val="00117D72"/>
    <w:rsid w:val="001208CD"/>
    <w:rsid w:val="00120BD3"/>
    <w:rsid w:val="00122FEA"/>
    <w:rsid w:val="001232BD"/>
    <w:rsid w:val="00123B73"/>
    <w:rsid w:val="0012439D"/>
    <w:rsid w:val="00124DD5"/>
    <w:rsid w:val="00124ED5"/>
    <w:rsid w:val="001276FA"/>
    <w:rsid w:val="001306E2"/>
    <w:rsid w:val="00130D73"/>
    <w:rsid w:val="00130FBC"/>
    <w:rsid w:val="00132C18"/>
    <w:rsid w:val="00134A0B"/>
    <w:rsid w:val="00135085"/>
    <w:rsid w:val="00135F7E"/>
    <w:rsid w:val="00142912"/>
    <w:rsid w:val="00143B25"/>
    <w:rsid w:val="001447B3"/>
    <w:rsid w:val="00144C1E"/>
    <w:rsid w:val="0015134B"/>
    <w:rsid w:val="001516FE"/>
    <w:rsid w:val="00151717"/>
    <w:rsid w:val="00152073"/>
    <w:rsid w:val="001520EA"/>
    <w:rsid w:val="00152329"/>
    <w:rsid w:val="00152C0A"/>
    <w:rsid w:val="00153A21"/>
    <w:rsid w:val="00153DAC"/>
    <w:rsid w:val="00154F47"/>
    <w:rsid w:val="00156139"/>
    <w:rsid w:val="00156598"/>
    <w:rsid w:val="00156D7C"/>
    <w:rsid w:val="00161939"/>
    <w:rsid w:val="00161AA0"/>
    <w:rsid w:val="00161D2E"/>
    <w:rsid w:val="00161F3E"/>
    <w:rsid w:val="00162093"/>
    <w:rsid w:val="00162CA9"/>
    <w:rsid w:val="00165245"/>
    <w:rsid w:val="00165459"/>
    <w:rsid w:val="00165A57"/>
    <w:rsid w:val="001708A9"/>
    <w:rsid w:val="001712C2"/>
    <w:rsid w:val="00172A32"/>
    <w:rsid w:val="00172BAF"/>
    <w:rsid w:val="00172ED0"/>
    <w:rsid w:val="00175F4B"/>
    <w:rsid w:val="0017651B"/>
    <w:rsid w:val="0017674D"/>
    <w:rsid w:val="001771DD"/>
    <w:rsid w:val="00177995"/>
    <w:rsid w:val="00177A8C"/>
    <w:rsid w:val="0018122D"/>
    <w:rsid w:val="0018244E"/>
    <w:rsid w:val="00182904"/>
    <w:rsid w:val="00182B16"/>
    <w:rsid w:val="00183356"/>
    <w:rsid w:val="00183A8B"/>
    <w:rsid w:val="0018462F"/>
    <w:rsid w:val="0018467F"/>
    <w:rsid w:val="00184E9E"/>
    <w:rsid w:val="001854B2"/>
    <w:rsid w:val="00186B33"/>
    <w:rsid w:val="001902A3"/>
    <w:rsid w:val="00192F9D"/>
    <w:rsid w:val="00194BBA"/>
    <w:rsid w:val="00194FAF"/>
    <w:rsid w:val="00196EB8"/>
    <w:rsid w:val="00196EFB"/>
    <w:rsid w:val="00197039"/>
    <w:rsid w:val="00197185"/>
    <w:rsid w:val="00197621"/>
    <w:rsid w:val="001979FF"/>
    <w:rsid w:val="00197B17"/>
    <w:rsid w:val="001A0E45"/>
    <w:rsid w:val="001A1950"/>
    <w:rsid w:val="001A1C54"/>
    <w:rsid w:val="001A2551"/>
    <w:rsid w:val="001A28FE"/>
    <w:rsid w:val="001A3ACE"/>
    <w:rsid w:val="001A552F"/>
    <w:rsid w:val="001A5DC3"/>
    <w:rsid w:val="001A6272"/>
    <w:rsid w:val="001A69C4"/>
    <w:rsid w:val="001A73D8"/>
    <w:rsid w:val="001A7BD9"/>
    <w:rsid w:val="001B058F"/>
    <w:rsid w:val="001B0C47"/>
    <w:rsid w:val="001B2E70"/>
    <w:rsid w:val="001B4086"/>
    <w:rsid w:val="001B6B96"/>
    <w:rsid w:val="001B738B"/>
    <w:rsid w:val="001B7CDB"/>
    <w:rsid w:val="001C09DB"/>
    <w:rsid w:val="001C1C9E"/>
    <w:rsid w:val="001C277E"/>
    <w:rsid w:val="001C2A72"/>
    <w:rsid w:val="001C31B7"/>
    <w:rsid w:val="001C343F"/>
    <w:rsid w:val="001C3F2E"/>
    <w:rsid w:val="001C7128"/>
    <w:rsid w:val="001C796B"/>
    <w:rsid w:val="001D0475"/>
    <w:rsid w:val="001D0B75"/>
    <w:rsid w:val="001D1B37"/>
    <w:rsid w:val="001D39A5"/>
    <w:rsid w:val="001D3C09"/>
    <w:rsid w:val="001D3E4E"/>
    <w:rsid w:val="001D3F73"/>
    <w:rsid w:val="001D44E8"/>
    <w:rsid w:val="001D5B14"/>
    <w:rsid w:val="001D60EC"/>
    <w:rsid w:val="001D6F59"/>
    <w:rsid w:val="001D7E3D"/>
    <w:rsid w:val="001E0647"/>
    <w:rsid w:val="001E1135"/>
    <w:rsid w:val="001E1410"/>
    <w:rsid w:val="001E293A"/>
    <w:rsid w:val="001E3AFD"/>
    <w:rsid w:val="001E3D14"/>
    <w:rsid w:val="001E42C0"/>
    <w:rsid w:val="001E44DF"/>
    <w:rsid w:val="001E4B0D"/>
    <w:rsid w:val="001E66B0"/>
    <w:rsid w:val="001E68A5"/>
    <w:rsid w:val="001E6BB0"/>
    <w:rsid w:val="001E7282"/>
    <w:rsid w:val="001E7CE9"/>
    <w:rsid w:val="001E7DBF"/>
    <w:rsid w:val="001F06E8"/>
    <w:rsid w:val="001F1C2A"/>
    <w:rsid w:val="001F1EAD"/>
    <w:rsid w:val="001F30B6"/>
    <w:rsid w:val="001F3826"/>
    <w:rsid w:val="001F4B05"/>
    <w:rsid w:val="001F4EAE"/>
    <w:rsid w:val="001F549F"/>
    <w:rsid w:val="001F6E46"/>
    <w:rsid w:val="001F7C91"/>
    <w:rsid w:val="0020036A"/>
    <w:rsid w:val="002033B7"/>
    <w:rsid w:val="00205150"/>
    <w:rsid w:val="00206463"/>
    <w:rsid w:val="00206F2F"/>
    <w:rsid w:val="00207717"/>
    <w:rsid w:val="00210194"/>
    <w:rsid w:val="0021053D"/>
    <w:rsid w:val="00210A92"/>
    <w:rsid w:val="002119DC"/>
    <w:rsid w:val="002127A6"/>
    <w:rsid w:val="00212954"/>
    <w:rsid w:val="00212B95"/>
    <w:rsid w:val="00214BE9"/>
    <w:rsid w:val="0021546A"/>
    <w:rsid w:val="00215C3E"/>
    <w:rsid w:val="00215CC8"/>
    <w:rsid w:val="00216612"/>
    <w:rsid w:val="00216C03"/>
    <w:rsid w:val="0021717B"/>
    <w:rsid w:val="00217C06"/>
    <w:rsid w:val="00220A1A"/>
    <w:rsid w:val="00220C04"/>
    <w:rsid w:val="002210E6"/>
    <w:rsid w:val="0022278D"/>
    <w:rsid w:val="00222A73"/>
    <w:rsid w:val="00222D3C"/>
    <w:rsid w:val="002231A8"/>
    <w:rsid w:val="00225520"/>
    <w:rsid w:val="0022701F"/>
    <w:rsid w:val="00227C68"/>
    <w:rsid w:val="00227F14"/>
    <w:rsid w:val="00232714"/>
    <w:rsid w:val="002333F5"/>
    <w:rsid w:val="00233724"/>
    <w:rsid w:val="002344D0"/>
    <w:rsid w:val="002365B4"/>
    <w:rsid w:val="00241CF8"/>
    <w:rsid w:val="002432E1"/>
    <w:rsid w:val="00244B43"/>
    <w:rsid w:val="0024554C"/>
    <w:rsid w:val="00245B22"/>
    <w:rsid w:val="00246138"/>
    <w:rsid w:val="002461FA"/>
    <w:rsid w:val="00246207"/>
    <w:rsid w:val="00246C5E"/>
    <w:rsid w:val="002475ED"/>
    <w:rsid w:val="00250960"/>
    <w:rsid w:val="00250BF0"/>
    <w:rsid w:val="002512D3"/>
    <w:rsid w:val="00251343"/>
    <w:rsid w:val="00251ABC"/>
    <w:rsid w:val="00252335"/>
    <w:rsid w:val="00252416"/>
    <w:rsid w:val="002536A4"/>
    <w:rsid w:val="00253A3E"/>
    <w:rsid w:val="00254F58"/>
    <w:rsid w:val="00255AA1"/>
    <w:rsid w:val="0025770D"/>
    <w:rsid w:val="002600BD"/>
    <w:rsid w:val="0026208A"/>
    <w:rsid w:val="002620BC"/>
    <w:rsid w:val="00262317"/>
    <w:rsid w:val="00262563"/>
    <w:rsid w:val="00262802"/>
    <w:rsid w:val="00263263"/>
    <w:rsid w:val="00263A90"/>
    <w:rsid w:val="00263CF1"/>
    <w:rsid w:val="0026408B"/>
    <w:rsid w:val="00265A6E"/>
    <w:rsid w:val="00266AD4"/>
    <w:rsid w:val="00266E88"/>
    <w:rsid w:val="00267C3E"/>
    <w:rsid w:val="002709BB"/>
    <w:rsid w:val="0027131C"/>
    <w:rsid w:val="00271D9F"/>
    <w:rsid w:val="002724F5"/>
    <w:rsid w:val="00272988"/>
    <w:rsid w:val="00273BAC"/>
    <w:rsid w:val="00274BE0"/>
    <w:rsid w:val="00275A59"/>
    <w:rsid w:val="002763B3"/>
    <w:rsid w:val="00276593"/>
    <w:rsid w:val="0027670C"/>
    <w:rsid w:val="002767B5"/>
    <w:rsid w:val="00276AE0"/>
    <w:rsid w:val="00277426"/>
    <w:rsid w:val="002802E3"/>
    <w:rsid w:val="00281000"/>
    <w:rsid w:val="0028199B"/>
    <w:rsid w:val="0028213D"/>
    <w:rsid w:val="002828FA"/>
    <w:rsid w:val="00282A7F"/>
    <w:rsid w:val="00284281"/>
    <w:rsid w:val="00285C7B"/>
    <w:rsid w:val="002862F1"/>
    <w:rsid w:val="00286C37"/>
    <w:rsid w:val="00287699"/>
    <w:rsid w:val="002878C9"/>
    <w:rsid w:val="00287C33"/>
    <w:rsid w:val="00291373"/>
    <w:rsid w:val="002917B1"/>
    <w:rsid w:val="00294354"/>
    <w:rsid w:val="002945F1"/>
    <w:rsid w:val="00295358"/>
    <w:rsid w:val="0029597D"/>
    <w:rsid w:val="002962C3"/>
    <w:rsid w:val="0029752B"/>
    <w:rsid w:val="002A0A9C"/>
    <w:rsid w:val="002A1904"/>
    <w:rsid w:val="002A28B4"/>
    <w:rsid w:val="002A2C90"/>
    <w:rsid w:val="002A3181"/>
    <w:rsid w:val="002A337F"/>
    <w:rsid w:val="002A4604"/>
    <w:rsid w:val="002A462F"/>
    <w:rsid w:val="002A483C"/>
    <w:rsid w:val="002A6DA8"/>
    <w:rsid w:val="002B0626"/>
    <w:rsid w:val="002B0C7C"/>
    <w:rsid w:val="002B0F92"/>
    <w:rsid w:val="002B1729"/>
    <w:rsid w:val="002B2255"/>
    <w:rsid w:val="002B36C7"/>
    <w:rsid w:val="002B3BB8"/>
    <w:rsid w:val="002B4DD4"/>
    <w:rsid w:val="002B5277"/>
    <w:rsid w:val="002B5375"/>
    <w:rsid w:val="002B60C2"/>
    <w:rsid w:val="002B76E3"/>
    <w:rsid w:val="002B77C1"/>
    <w:rsid w:val="002B7967"/>
    <w:rsid w:val="002B7993"/>
    <w:rsid w:val="002C0ED7"/>
    <w:rsid w:val="002C24BA"/>
    <w:rsid w:val="002C2728"/>
    <w:rsid w:val="002C3953"/>
    <w:rsid w:val="002C4EDA"/>
    <w:rsid w:val="002C506D"/>
    <w:rsid w:val="002C5B7C"/>
    <w:rsid w:val="002C6239"/>
    <w:rsid w:val="002D1498"/>
    <w:rsid w:val="002D1E0D"/>
    <w:rsid w:val="002D3941"/>
    <w:rsid w:val="002D4D0D"/>
    <w:rsid w:val="002D4F4F"/>
    <w:rsid w:val="002D5006"/>
    <w:rsid w:val="002D6222"/>
    <w:rsid w:val="002D7C61"/>
    <w:rsid w:val="002E01D0"/>
    <w:rsid w:val="002E0EEE"/>
    <w:rsid w:val="002E161D"/>
    <w:rsid w:val="002E216A"/>
    <w:rsid w:val="002E28A2"/>
    <w:rsid w:val="002E2D7E"/>
    <w:rsid w:val="002E3100"/>
    <w:rsid w:val="002E4B97"/>
    <w:rsid w:val="002E6C95"/>
    <w:rsid w:val="002E7560"/>
    <w:rsid w:val="002E7C36"/>
    <w:rsid w:val="002E7F1C"/>
    <w:rsid w:val="002F2531"/>
    <w:rsid w:val="002F25A6"/>
    <w:rsid w:val="002F38C0"/>
    <w:rsid w:val="002F3D32"/>
    <w:rsid w:val="002F4860"/>
    <w:rsid w:val="002F4D24"/>
    <w:rsid w:val="002F512E"/>
    <w:rsid w:val="002F5F08"/>
    <w:rsid w:val="002F5F31"/>
    <w:rsid w:val="002F5F46"/>
    <w:rsid w:val="002F607D"/>
    <w:rsid w:val="002F6900"/>
    <w:rsid w:val="002F6D87"/>
    <w:rsid w:val="002F6FAE"/>
    <w:rsid w:val="002F7F26"/>
    <w:rsid w:val="0030133A"/>
    <w:rsid w:val="00301AA3"/>
    <w:rsid w:val="0030200F"/>
    <w:rsid w:val="00302216"/>
    <w:rsid w:val="00303E53"/>
    <w:rsid w:val="003058AE"/>
    <w:rsid w:val="00305CC1"/>
    <w:rsid w:val="00306E5F"/>
    <w:rsid w:val="00307E14"/>
    <w:rsid w:val="00310751"/>
    <w:rsid w:val="00311DCE"/>
    <w:rsid w:val="0031341E"/>
    <w:rsid w:val="00313B37"/>
    <w:rsid w:val="00314054"/>
    <w:rsid w:val="003156CB"/>
    <w:rsid w:val="00315943"/>
    <w:rsid w:val="00316C59"/>
    <w:rsid w:val="00316F27"/>
    <w:rsid w:val="003176EF"/>
    <w:rsid w:val="003203CF"/>
    <w:rsid w:val="003211E2"/>
    <w:rsid w:val="003214F1"/>
    <w:rsid w:val="00322C0F"/>
    <w:rsid w:val="00322E4B"/>
    <w:rsid w:val="003233B3"/>
    <w:rsid w:val="00326EB3"/>
    <w:rsid w:val="00327870"/>
    <w:rsid w:val="00327A4E"/>
    <w:rsid w:val="003312AF"/>
    <w:rsid w:val="0033259D"/>
    <w:rsid w:val="003333D2"/>
    <w:rsid w:val="00334686"/>
    <w:rsid w:val="003360B7"/>
    <w:rsid w:val="003368AC"/>
    <w:rsid w:val="00336BF6"/>
    <w:rsid w:val="00337005"/>
    <w:rsid w:val="00337339"/>
    <w:rsid w:val="003377D8"/>
    <w:rsid w:val="00337F13"/>
    <w:rsid w:val="00340345"/>
    <w:rsid w:val="00340673"/>
    <w:rsid w:val="003406C6"/>
    <w:rsid w:val="0034181B"/>
    <w:rsid w:val="003418CC"/>
    <w:rsid w:val="003434EE"/>
    <w:rsid w:val="003449A5"/>
    <w:rsid w:val="003457D3"/>
    <w:rsid w:val="003459BD"/>
    <w:rsid w:val="0034697C"/>
    <w:rsid w:val="00350031"/>
    <w:rsid w:val="00350291"/>
    <w:rsid w:val="0035053D"/>
    <w:rsid w:val="00350D38"/>
    <w:rsid w:val="00351B36"/>
    <w:rsid w:val="00351D57"/>
    <w:rsid w:val="003520E3"/>
    <w:rsid w:val="00352DAA"/>
    <w:rsid w:val="0035309C"/>
    <w:rsid w:val="0035773A"/>
    <w:rsid w:val="00357B4E"/>
    <w:rsid w:val="00370F08"/>
    <w:rsid w:val="003716FD"/>
    <w:rsid w:val="0037204B"/>
    <w:rsid w:val="00374352"/>
    <w:rsid w:val="003744CF"/>
    <w:rsid w:val="0037450F"/>
    <w:rsid w:val="00374717"/>
    <w:rsid w:val="00374E0A"/>
    <w:rsid w:val="00375381"/>
    <w:rsid w:val="0037555B"/>
    <w:rsid w:val="0037676C"/>
    <w:rsid w:val="00376D05"/>
    <w:rsid w:val="00377986"/>
    <w:rsid w:val="00381043"/>
    <w:rsid w:val="003813A0"/>
    <w:rsid w:val="0038187B"/>
    <w:rsid w:val="003829E5"/>
    <w:rsid w:val="003834F8"/>
    <w:rsid w:val="0038565F"/>
    <w:rsid w:val="00386109"/>
    <w:rsid w:val="00386944"/>
    <w:rsid w:val="00387277"/>
    <w:rsid w:val="0038782E"/>
    <w:rsid w:val="00392069"/>
    <w:rsid w:val="003956CC"/>
    <w:rsid w:val="00395C9A"/>
    <w:rsid w:val="00396543"/>
    <w:rsid w:val="0039777B"/>
    <w:rsid w:val="003A0240"/>
    <w:rsid w:val="003A0853"/>
    <w:rsid w:val="003A17CB"/>
    <w:rsid w:val="003A1905"/>
    <w:rsid w:val="003A57F6"/>
    <w:rsid w:val="003A5DBA"/>
    <w:rsid w:val="003A5DF3"/>
    <w:rsid w:val="003A6B67"/>
    <w:rsid w:val="003A6D2D"/>
    <w:rsid w:val="003A6F8A"/>
    <w:rsid w:val="003A7BF7"/>
    <w:rsid w:val="003B020D"/>
    <w:rsid w:val="003B07CC"/>
    <w:rsid w:val="003B13B6"/>
    <w:rsid w:val="003B14C3"/>
    <w:rsid w:val="003B15E6"/>
    <w:rsid w:val="003B1965"/>
    <w:rsid w:val="003B22EF"/>
    <w:rsid w:val="003B2BB0"/>
    <w:rsid w:val="003B3CA2"/>
    <w:rsid w:val="003B408A"/>
    <w:rsid w:val="003B4D9D"/>
    <w:rsid w:val="003B68DB"/>
    <w:rsid w:val="003B6DDD"/>
    <w:rsid w:val="003C03DA"/>
    <w:rsid w:val="003C08A2"/>
    <w:rsid w:val="003C1BD1"/>
    <w:rsid w:val="003C2045"/>
    <w:rsid w:val="003C33DE"/>
    <w:rsid w:val="003C3E7B"/>
    <w:rsid w:val="003C43A1"/>
    <w:rsid w:val="003C4FC0"/>
    <w:rsid w:val="003C55F4"/>
    <w:rsid w:val="003C5643"/>
    <w:rsid w:val="003C5C7B"/>
    <w:rsid w:val="003C5F5D"/>
    <w:rsid w:val="003C7747"/>
    <w:rsid w:val="003C7897"/>
    <w:rsid w:val="003C7A3F"/>
    <w:rsid w:val="003D1543"/>
    <w:rsid w:val="003D2766"/>
    <w:rsid w:val="003D2A74"/>
    <w:rsid w:val="003D2E81"/>
    <w:rsid w:val="003D38A2"/>
    <w:rsid w:val="003D3D88"/>
    <w:rsid w:val="003D3E8F"/>
    <w:rsid w:val="003D6475"/>
    <w:rsid w:val="003D6D5F"/>
    <w:rsid w:val="003D6EE6"/>
    <w:rsid w:val="003E0BFE"/>
    <w:rsid w:val="003E0E0E"/>
    <w:rsid w:val="003E1FD9"/>
    <w:rsid w:val="003E375C"/>
    <w:rsid w:val="003E4086"/>
    <w:rsid w:val="003E5403"/>
    <w:rsid w:val="003E639E"/>
    <w:rsid w:val="003E6DC9"/>
    <w:rsid w:val="003E71E5"/>
    <w:rsid w:val="003F0445"/>
    <w:rsid w:val="003F0CF0"/>
    <w:rsid w:val="003F14B1"/>
    <w:rsid w:val="003F1833"/>
    <w:rsid w:val="003F1D04"/>
    <w:rsid w:val="003F2ACD"/>
    <w:rsid w:val="003F2AEE"/>
    <w:rsid w:val="003F2B20"/>
    <w:rsid w:val="003F3289"/>
    <w:rsid w:val="003F39B7"/>
    <w:rsid w:val="003F3C62"/>
    <w:rsid w:val="003F4947"/>
    <w:rsid w:val="003F4B0C"/>
    <w:rsid w:val="003F4DCE"/>
    <w:rsid w:val="003F5CB9"/>
    <w:rsid w:val="003F63A8"/>
    <w:rsid w:val="003F7E5B"/>
    <w:rsid w:val="00400E89"/>
    <w:rsid w:val="004013C7"/>
    <w:rsid w:val="00401FCF"/>
    <w:rsid w:val="00404AB1"/>
    <w:rsid w:val="004061CF"/>
    <w:rsid w:val="00406224"/>
    <w:rsid w:val="00406285"/>
    <w:rsid w:val="0040791D"/>
    <w:rsid w:val="00410050"/>
    <w:rsid w:val="004115A2"/>
    <w:rsid w:val="0041358A"/>
    <w:rsid w:val="00413B22"/>
    <w:rsid w:val="004148F9"/>
    <w:rsid w:val="00415C35"/>
    <w:rsid w:val="00417BF4"/>
    <w:rsid w:val="0042084E"/>
    <w:rsid w:val="0042097B"/>
    <w:rsid w:val="00420D11"/>
    <w:rsid w:val="00421C40"/>
    <w:rsid w:val="00421EEF"/>
    <w:rsid w:val="004222AD"/>
    <w:rsid w:val="00422A32"/>
    <w:rsid w:val="00422D21"/>
    <w:rsid w:val="0042372A"/>
    <w:rsid w:val="00423B60"/>
    <w:rsid w:val="00423D08"/>
    <w:rsid w:val="00424217"/>
    <w:rsid w:val="00424837"/>
    <w:rsid w:val="00424D65"/>
    <w:rsid w:val="0042526D"/>
    <w:rsid w:val="004300FA"/>
    <w:rsid w:val="00430393"/>
    <w:rsid w:val="00430529"/>
    <w:rsid w:val="00430F6A"/>
    <w:rsid w:val="00431806"/>
    <w:rsid w:val="00431A48"/>
    <w:rsid w:val="00431A70"/>
    <w:rsid w:val="00431F42"/>
    <w:rsid w:val="00432A67"/>
    <w:rsid w:val="00433C91"/>
    <w:rsid w:val="00437689"/>
    <w:rsid w:val="00437DA0"/>
    <w:rsid w:val="0044031C"/>
    <w:rsid w:val="00442C6C"/>
    <w:rsid w:val="00443CBE"/>
    <w:rsid w:val="00443E8A"/>
    <w:rsid w:val="004441BC"/>
    <w:rsid w:val="0044464C"/>
    <w:rsid w:val="00446071"/>
    <w:rsid w:val="004468B4"/>
    <w:rsid w:val="00446D86"/>
    <w:rsid w:val="0044767F"/>
    <w:rsid w:val="00447B2E"/>
    <w:rsid w:val="0045230A"/>
    <w:rsid w:val="004540A6"/>
    <w:rsid w:val="004540FC"/>
    <w:rsid w:val="00454AD0"/>
    <w:rsid w:val="00454E30"/>
    <w:rsid w:val="00457337"/>
    <w:rsid w:val="00461963"/>
    <w:rsid w:val="00462E3D"/>
    <w:rsid w:val="00464F62"/>
    <w:rsid w:val="004650E6"/>
    <w:rsid w:val="00466E79"/>
    <w:rsid w:val="004706B5"/>
    <w:rsid w:val="00470D7D"/>
    <w:rsid w:val="0047172F"/>
    <w:rsid w:val="00471CAA"/>
    <w:rsid w:val="0047372D"/>
    <w:rsid w:val="00473BA3"/>
    <w:rsid w:val="00473D22"/>
    <w:rsid w:val="0047423A"/>
    <w:rsid w:val="004743DD"/>
    <w:rsid w:val="00474CEA"/>
    <w:rsid w:val="00480435"/>
    <w:rsid w:val="00480CFA"/>
    <w:rsid w:val="00482B79"/>
    <w:rsid w:val="00483968"/>
    <w:rsid w:val="004841BE"/>
    <w:rsid w:val="00484513"/>
    <w:rsid w:val="00484923"/>
    <w:rsid w:val="00484C48"/>
    <w:rsid w:val="00484DD4"/>
    <w:rsid w:val="00484F86"/>
    <w:rsid w:val="00485381"/>
    <w:rsid w:val="00485E31"/>
    <w:rsid w:val="00486D39"/>
    <w:rsid w:val="00490746"/>
    <w:rsid w:val="00490852"/>
    <w:rsid w:val="00490DF9"/>
    <w:rsid w:val="00490EEB"/>
    <w:rsid w:val="004917B6"/>
    <w:rsid w:val="00491C9C"/>
    <w:rsid w:val="00492F30"/>
    <w:rsid w:val="00493982"/>
    <w:rsid w:val="004946F4"/>
    <w:rsid w:val="0049487E"/>
    <w:rsid w:val="00496A24"/>
    <w:rsid w:val="004A160D"/>
    <w:rsid w:val="004A3E81"/>
    <w:rsid w:val="004A4195"/>
    <w:rsid w:val="004A5C62"/>
    <w:rsid w:val="004A5CE5"/>
    <w:rsid w:val="004A707D"/>
    <w:rsid w:val="004A7E2B"/>
    <w:rsid w:val="004A7EB6"/>
    <w:rsid w:val="004B0231"/>
    <w:rsid w:val="004B0974"/>
    <w:rsid w:val="004B1542"/>
    <w:rsid w:val="004B25A0"/>
    <w:rsid w:val="004B25A9"/>
    <w:rsid w:val="004B25F8"/>
    <w:rsid w:val="004B4185"/>
    <w:rsid w:val="004B49A7"/>
    <w:rsid w:val="004B57A4"/>
    <w:rsid w:val="004B7B79"/>
    <w:rsid w:val="004C0073"/>
    <w:rsid w:val="004C014B"/>
    <w:rsid w:val="004C0D77"/>
    <w:rsid w:val="004C1E52"/>
    <w:rsid w:val="004C34DD"/>
    <w:rsid w:val="004C3DE2"/>
    <w:rsid w:val="004C5541"/>
    <w:rsid w:val="004C6EEE"/>
    <w:rsid w:val="004C702B"/>
    <w:rsid w:val="004D0033"/>
    <w:rsid w:val="004D00D4"/>
    <w:rsid w:val="004D016B"/>
    <w:rsid w:val="004D1B22"/>
    <w:rsid w:val="004D23CC"/>
    <w:rsid w:val="004D36F2"/>
    <w:rsid w:val="004D5DB7"/>
    <w:rsid w:val="004D79A2"/>
    <w:rsid w:val="004E1106"/>
    <w:rsid w:val="004E1274"/>
    <w:rsid w:val="004E138F"/>
    <w:rsid w:val="004E1D06"/>
    <w:rsid w:val="004E434E"/>
    <w:rsid w:val="004E4649"/>
    <w:rsid w:val="004E5C2B"/>
    <w:rsid w:val="004E6077"/>
    <w:rsid w:val="004E65F3"/>
    <w:rsid w:val="004E7B8F"/>
    <w:rsid w:val="004E7D70"/>
    <w:rsid w:val="004F00DD"/>
    <w:rsid w:val="004F10C9"/>
    <w:rsid w:val="004F1EEB"/>
    <w:rsid w:val="004F2133"/>
    <w:rsid w:val="004F4051"/>
    <w:rsid w:val="004F4ECB"/>
    <w:rsid w:val="004F5398"/>
    <w:rsid w:val="004F55F1"/>
    <w:rsid w:val="004F6936"/>
    <w:rsid w:val="00500E4B"/>
    <w:rsid w:val="00501294"/>
    <w:rsid w:val="00503DC6"/>
    <w:rsid w:val="005041A8"/>
    <w:rsid w:val="00504333"/>
    <w:rsid w:val="00505E13"/>
    <w:rsid w:val="005065A8"/>
    <w:rsid w:val="00506867"/>
    <w:rsid w:val="00506F5D"/>
    <w:rsid w:val="00506FFA"/>
    <w:rsid w:val="00507D89"/>
    <w:rsid w:val="00510449"/>
    <w:rsid w:val="00510C37"/>
    <w:rsid w:val="005126D0"/>
    <w:rsid w:val="00512BA3"/>
    <w:rsid w:val="00514667"/>
    <w:rsid w:val="0051568D"/>
    <w:rsid w:val="00517258"/>
    <w:rsid w:val="00517B86"/>
    <w:rsid w:val="005204DE"/>
    <w:rsid w:val="0052131F"/>
    <w:rsid w:val="005222EE"/>
    <w:rsid w:val="0052320E"/>
    <w:rsid w:val="00523E99"/>
    <w:rsid w:val="00526AC7"/>
    <w:rsid w:val="00526C15"/>
    <w:rsid w:val="00526F9B"/>
    <w:rsid w:val="005272D3"/>
    <w:rsid w:val="0052C0D4"/>
    <w:rsid w:val="005309D9"/>
    <w:rsid w:val="00531257"/>
    <w:rsid w:val="005319DA"/>
    <w:rsid w:val="0053213A"/>
    <w:rsid w:val="00532B02"/>
    <w:rsid w:val="00534CDA"/>
    <w:rsid w:val="00536499"/>
    <w:rsid w:val="00542A03"/>
    <w:rsid w:val="0054333A"/>
    <w:rsid w:val="00543903"/>
    <w:rsid w:val="00543BCC"/>
    <w:rsid w:val="00543F11"/>
    <w:rsid w:val="00546305"/>
    <w:rsid w:val="00547A95"/>
    <w:rsid w:val="00547CAC"/>
    <w:rsid w:val="0055119B"/>
    <w:rsid w:val="00551EB2"/>
    <w:rsid w:val="005526FC"/>
    <w:rsid w:val="00552B5E"/>
    <w:rsid w:val="005534A1"/>
    <w:rsid w:val="005560B1"/>
    <w:rsid w:val="00556F80"/>
    <w:rsid w:val="00561202"/>
    <w:rsid w:val="0056150C"/>
    <w:rsid w:val="005619C7"/>
    <w:rsid w:val="00562507"/>
    <w:rsid w:val="00562572"/>
    <w:rsid w:val="00562811"/>
    <w:rsid w:val="005659AD"/>
    <w:rsid w:val="0056672D"/>
    <w:rsid w:val="00567021"/>
    <w:rsid w:val="00570A50"/>
    <w:rsid w:val="0057116B"/>
    <w:rsid w:val="00572031"/>
    <w:rsid w:val="0057217B"/>
    <w:rsid w:val="00572282"/>
    <w:rsid w:val="00573478"/>
    <w:rsid w:val="00573CE3"/>
    <w:rsid w:val="00573E61"/>
    <w:rsid w:val="00575D68"/>
    <w:rsid w:val="00576E84"/>
    <w:rsid w:val="00576FA0"/>
    <w:rsid w:val="00580394"/>
    <w:rsid w:val="005809CD"/>
    <w:rsid w:val="00581137"/>
    <w:rsid w:val="00581537"/>
    <w:rsid w:val="005822A1"/>
    <w:rsid w:val="00582B8C"/>
    <w:rsid w:val="00586E88"/>
    <w:rsid w:val="0058757E"/>
    <w:rsid w:val="0058768B"/>
    <w:rsid w:val="00590314"/>
    <w:rsid w:val="00592379"/>
    <w:rsid w:val="00595333"/>
    <w:rsid w:val="00596A3E"/>
    <w:rsid w:val="00596A4B"/>
    <w:rsid w:val="00597507"/>
    <w:rsid w:val="005A03D5"/>
    <w:rsid w:val="005A0AC3"/>
    <w:rsid w:val="005A0D8C"/>
    <w:rsid w:val="005A1552"/>
    <w:rsid w:val="005A159C"/>
    <w:rsid w:val="005A2709"/>
    <w:rsid w:val="005A2EC4"/>
    <w:rsid w:val="005A4382"/>
    <w:rsid w:val="005A4758"/>
    <w:rsid w:val="005A479D"/>
    <w:rsid w:val="005A709F"/>
    <w:rsid w:val="005A7B5D"/>
    <w:rsid w:val="005B04F3"/>
    <w:rsid w:val="005B0ECB"/>
    <w:rsid w:val="005B1C6D"/>
    <w:rsid w:val="005B21B6"/>
    <w:rsid w:val="005B2C63"/>
    <w:rsid w:val="005B3A08"/>
    <w:rsid w:val="005B45C0"/>
    <w:rsid w:val="005B5983"/>
    <w:rsid w:val="005B6AB9"/>
    <w:rsid w:val="005B6F46"/>
    <w:rsid w:val="005B7A63"/>
    <w:rsid w:val="005C01EB"/>
    <w:rsid w:val="005C0955"/>
    <w:rsid w:val="005C1097"/>
    <w:rsid w:val="005C2AC1"/>
    <w:rsid w:val="005C3B6C"/>
    <w:rsid w:val="005C49DA"/>
    <w:rsid w:val="005C50F3"/>
    <w:rsid w:val="005C54B5"/>
    <w:rsid w:val="005C54F2"/>
    <w:rsid w:val="005C5D80"/>
    <w:rsid w:val="005C5D91"/>
    <w:rsid w:val="005C600E"/>
    <w:rsid w:val="005C6136"/>
    <w:rsid w:val="005C6181"/>
    <w:rsid w:val="005C6E5B"/>
    <w:rsid w:val="005C77EF"/>
    <w:rsid w:val="005D07B8"/>
    <w:rsid w:val="005D0ABA"/>
    <w:rsid w:val="005D16A0"/>
    <w:rsid w:val="005D1C80"/>
    <w:rsid w:val="005D2C57"/>
    <w:rsid w:val="005D3D28"/>
    <w:rsid w:val="005D6597"/>
    <w:rsid w:val="005E118D"/>
    <w:rsid w:val="005E13F0"/>
    <w:rsid w:val="005E14E7"/>
    <w:rsid w:val="005E24A1"/>
    <w:rsid w:val="005E26A3"/>
    <w:rsid w:val="005E2ECB"/>
    <w:rsid w:val="005E4107"/>
    <w:rsid w:val="005E447E"/>
    <w:rsid w:val="005E4FD1"/>
    <w:rsid w:val="005E5A7E"/>
    <w:rsid w:val="005E628B"/>
    <w:rsid w:val="005F0775"/>
    <w:rsid w:val="005F0CF5"/>
    <w:rsid w:val="005F0EDC"/>
    <w:rsid w:val="005F10B0"/>
    <w:rsid w:val="005F142E"/>
    <w:rsid w:val="005F21EB"/>
    <w:rsid w:val="005F2232"/>
    <w:rsid w:val="005F47B9"/>
    <w:rsid w:val="005F4988"/>
    <w:rsid w:val="005F6460"/>
    <w:rsid w:val="005F64CF"/>
    <w:rsid w:val="00601FCE"/>
    <w:rsid w:val="00603DCB"/>
    <w:rsid w:val="006041AD"/>
    <w:rsid w:val="00604955"/>
    <w:rsid w:val="00605908"/>
    <w:rsid w:val="00607850"/>
    <w:rsid w:val="00607EF7"/>
    <w:rsid w:val="00610783"/>
    <w:rsid w:val="00610A2D"/>
    <w:rsid w:val="00610D7C"/>
    <w:rsid w:val="006118BA"/>
    <w:rsid w:val="00611BB2"/>
    <w:rsid w:val="00613414"/>
    <w:rsid w:val="00613672"/>
    <w:rsid w:val="006138F5"/>
    <w:rsid w:val="00613C3B"/>
    <w:rsid w:val="00615D5E"/>
    <w:rsid w:val="00617CBB"/>
    <w:rsid w:val="00620154"/>
    <w:rsid w:val="00620382"/>
    <w:rsid w:val="006211B9"/>
    <w:rsid w:val="0062168C"/>
    <w:rsid w:val="0062408D"/>
    <w:rsid w:val="006240CC"/>
    <w:rsid w:val="006245D2"/>
    <w:rsid w:val="00624940"/>
    <w:rsid w:val="00624F88"/>
    <w:rsid w:val="006254F8"/>
    <w:rsid w:val="00625740"/>
    <w:rsid w:val="0062767D"/>
    <w:rsid w:val="00627D65"/>
    <w:rsid w:val="00627DA7"/>
    <w:rsid w:val="00630DA4"/>
    <w:rsid w:val="00631CD4"/>
    <w:rsid w:val="00632597"/>
    <w:rsid w:val="00633B9E"/>
    <w:rsid w:val="00634D13"/>
    <w:rsid w:val="00634DA8"/>
    <w:rsid w:val="00634F0C"/>
    <w:rsid w:val="006358B4"/>
    <w:rsid w:val="00641724"/>
    <w:rsid w:val="006419AA"/>
    <w:rsid w:val="00642D9E"/>
    <w:rsid w:val="00643FC5"/>
    <w:rsid w:val="00644B1F"/>
    <w:rsid w:val="00644B7E"/>
    <w:rsid w:val="006454E6"/>
    <w:rsid w:val="00645FB7"/>
    <w:rsid w:val="00646235"/>
    <w:rsid w:val="00646A68"/>
    <w:rsid w:val="006473AF"/>
    <w:rsid w:val="006505BD"/>
    <w:rsid w:val="006508EA"/>
    <w:rsid w:val="0065092E"/>
    <w:rsid w:val="00652548"/>
    <w:rsid w:val="00654716"/>
    <w:rsid w:val="006557A7"/>
    <w:rsid w:val="00655EAD"/>
    <w:rsid w:val="00656290"/>
    <w:rsid w:val="00657012"/>
    <w:rsid w:val="006572A7"/>
    <w:rsid w:val="006575D2"/>
    <w:rsid w:val="006601C9"/>
    <w:rsid w:val="006608D8"/>
    <w:rsid w:val="0066105A"/>
    <w:rsid w:val="006621D7"/>
    <w:rsid w:val="00662639"/>
    <w:rsid w:val="00662B15"/>
    <w:rsid w:val="0066302A"/>
    <w:rsid w:val="006665BF"/>
    <w:rsid w:val="00666DC6"/>
    <w:rsid w:val="00667770"/>
    <w:rsid w:val="00670597"/>
    <w:rsid w:val="006706D0"/>
    <w:rsid w:val="006711B5"/>
    <w:rsid w:val="006731D3"/>
    <w:rsid w:val="00673FB9"/>
    <w:rsid w:val="0067417A"/>
    <w:rsid w:val="00675AFA"/>
    <w:rsid w:val="00675FF6"/>
    <w:rsid w:val="00676151"/>
    <w:rsid w:val="006773AD"/>
    <w:rsid w:val="00677485"/>
    <w:rsid w:val="00677574"/>
    <w:rsid w:val="00677AB8"/>
    <w:rsid w:val="006802F3"/>
    <w:rsid w:val="006812ED"/>
    <w:rsid w:val="00681EF9"/>
    <w:rsid w:val="00682204"/>
    <w:rsid w:val="006836E1"/>
    <w:rsid w:val="00683878"/>
    <w:rsid w:val="00683C13"/>
    <w:rsid w:val="00684380"/>
    <w:rsid w:val="0068452E"/>
    <w:rsid w:val="0068454C"/>
    <w:rsid w:val="00684E94"/>
    <w:rsid w:val="00684FC8"/>
    <w:rsid w:val="006852FD"/>
    <w:rsid w:val="006860F9"/>
    <w:rsid w:val="0069032C"/>
    <w:rsid w:val="00690D75"/>
    <w:rsid w:val="00690E85"/>
    <w:rsid w:val="00691B62"/>
    <w:rsid w:val="00692442"/>
    <w:rsid w:val="0069273D"/>
    <w:rsid w:val="00692E29"/>
    <w:rsid w:val="00693213"/>
    <w:rsid w:val="006933B5"/>
    <w:rsid w:val="00693546"/>
    <w:rsid w:val="00693733"/>
    <w:rsid w:val="00693D14"/>
    <w:rsid w:val="00695B84"/>
    <w:rsid w:val="00696F27"/>
    <w:rsid w:val="00697EE1"/>
    <w:rsid w:val="00697F31"/>
    <w:rsid w:val="006A18C2"/>
    <w:rsid w:val="006A2717"/>
    <w:rsid w:val="006A30B8"/>
    <w:rsid w:val="006A3383"/>
    <w:rsid w:val="006A5D97"/>
    <w:rsid w:val="006A5D9A"/>
    <w:rsid w:val="006B077C"/>
    <w:rsid w:val="006B0C81"/>
    <w:rsid w:val="006B6803"/>
    <w:rsid w:val="006B753D"/>
    <w:rsid w:val="006B76DD"/>
    <w:rsid w:val="006C00EE"/>
    <w:rsid w:val="006C0DAF"/>
    <w:rsid w:val="006C4D51"/>
    <w:rsid w:val="006C60FF"/>
    <w:rsid w:val="006C7393"/>
    <w:rsid w:val="006D05BB"/>
    <w:rsid w:val="006D0F16"/>
    <w:rsid w:val="006D12D3"/>
    <w:rsid w:val="006D22FF"/>
    <w:rsid w:val="006D2A3F"/>
    <w:rsid w:val="006D2FBC"/>
    <w:rsid w:val="006D3EF9"/>
    <w:rsid w:val="006D4E31"/>
    <w:rsid w:val="006D561D"/>
    <w:rsid w:val="006D6E34"/>
    <w:rsid w:val="006E138B"/>
    <w:rsid w:val="006E1867"/>
    <w:rsid w:val="006E3167"/>
    <w:rsid w:val="006E374B"/>
    <w:rsid w:val="006E483E"/>
    <w:rsid w:val="006E4E98"/>
    <w:rsid w:val="006E57B6"/>
    <w:rsid w:val="006E582B"/>
    <w:rsid w:val="006E5E5E"/>
    <w:rsid w:val="006E607E"/>
    <w:rsid w:val="006E749B"/>
    <w:rsid w:val="006F0330"/>
    <w:rsid w:val="006F0F85"/>
    <w:rsid w:val="006F1FDC"/>
    <w:rsid w:val="006F4F8F"/>
    <w:rsid w:val="006F53FD"/>
    <w:rsid w:val="006F6B76"/>
    <w:rsid w:val="006F6B8C"/>
    <w:rsid w:val="006F74D1"/>
    <w:rsid w:val="00700293"/>
    <w:rsid w:val="00701160"/>
    <w:rsid w:val="007013EF"/>
    <w:rsid w:val="00702224"/>
    <w:rsid w:val="00703DC8"/>
    <w:rsid w:val="00704B40"/>
    <w:rsid w:val="00704E52"/>
    <w:rsid w:val="00704F6B"/>
    <w:rsid w:val="00705205"/>
    <w:rsid w:val="007055BD"/>
    <w:rsid w:val="00705CC5"/>
    <w:rsid w:val="0070636C"/>
    <w:rsid w:val="007071E3"/>
    <w:rsid w:val="00707412"/>
    <w:rsid w:val="0071261F"/>
    <w:rsid w:val="0071552F"/>
    <w:rsid w:val="00715A28"/>
    <w:rsid w:val="00716C17"/>
    <w:rsid w:val="007173CA"/>
    <w:rsid w:val="00717499"/>
    <w:rsid w:val="007216AA"/>
    <w:rsid w:val="0072191F"/>
    <w:rsid w:val="00721AB5"/>
    <w:rsid w:val="00721C72"/>
    <w:rsid w:val="00721CFB"/>
    <w:rsid w:val="00721DEF"/>
    <w:rsid w:val="00722873"/>
    <w:rsid w:val="007229C4"/>
    <w:rsid w:val="00724A43"/>
    <w:rsid w:val="007254F6"/>
    <w:rsid w:val="00725B4C"/>
    <w:rsid w:val="007273AC"/>
    <w:rsid w:val="00731AD4"/>
    <w:rsid w:val="0073275B"/>
    <w:rsid w:val="00733B8F"/>
    <w:rsid w:val="00733FF4"/>
    <w:rsid w:val="007346E4"/>
    <w:rsid w:val="00735472"/>
    <w:rsid w:val="00735564"/>
    <w:rsid w:val="007358BA"/>
    <w:rsid w:val="007372AE"/>
    <w:rsid w:val="007372C8"/>
    <w:rsid w:val="00740F22"/>
    <w:rsid w:val="00741B30"/>
    <w:rsid w:val="00741CF0"/>
    <w:rsid w:val="00741F1A"/>
    <w:rsid w:val="0074217F"/>
    <w:rsid w:val="007434FD"/>
    <w:rsid w:val="007447DA"/>
    <w:rsid w:val="007450F8"/>
    <w:rsid w:val="0074520D"/>
    <w:rsid w:val="0074696E"/>
    <w:rsid w:val="00750135"/>
    <w:rsid w:val="00750EC2"/>
    <w:rsid w:val="00752091"/>
    <w:rsid w:val="00752702"/>
    <w:rsid w:val="00752B28"/>
    <w:rsid w:val="007536BC"/>
    <w:rsid w:val="007541A9"/>
    <w:rsid w:val="00754601"/>
    <w:rsid w:val="00754E36"/>
    <w:rsid w:val="00754E4D"/>
    <w:rsid w:val="00755A6D"/>
    <w:rsid w:val="0075600E"/>
    <w:rsid w:val="00756811"/>
    <w:rsid w:val="00760E51"/>
    <w:rsid w:val="00761485"/>
    <w:rsid w:val="007617A0"/>
    <w:rsid w:val="0076211D"/>
    <w:rsid w:val="00763139"/>
    <w:rsid w:val="00770F37"/>
    <w:rsid w:val="007711A0"/>
    <w:rsid w:val="007713D8"/>
    <w:rsid w:val="00772D5E"/>
    <w:rsid w:val="00773529"/>
    <w:rsid w:val="0077463E"/>
    <w:rsid w:val="00776928"/>
    <w:rsid w:val="00776D56"/>
    <w:rsid w:val="00776E0F"/>
    <w:rsid w:val="007774B1"/>
    <w:rsid w:val="00777BE1"/>
    <w:rsid w:val="00777F12"/>
    <w:rsid w:val="00780980"/>
    <w:rsid w:val="007816EA"/>
    <w:rsid w:val="00781D71"/>
    <w:rsid w:val="00782222"/>
    <w:rsid w:val="007833D8"/>
    <w:rsid w:val="00783BB4"/>
    <w:rsid w:val="00784172"/>
    <w:rsid w:val="00785677"/>
    <w:rsid w:val="00786F16"/>
    <w:rsid w:val="007871F6"/>
    <w:rsid w:val="00787BD0"/>
    <w:rsid w:val="007900BA"/>
    <w:rsid w:val="007905A8"/>
    <w:rsid w:val="0079065D"/>
    <w:rsid w:val="007912E8"/>
    <w:rsid w:val="00791BD7"/>
    <w:rsid w:val="00791C2D"/>
    <w:rsid w:val="00793013"/>
    <w:rsid w:val="007933F7"/>
    <w:rsid w:val="00796E20"/>
    <w:rsid w:val="00797C32"/>
    <w:rsid w:val="007A030E"/>
    <w:rsid w:val="007A0C09"/>
    <w:rsid w:val="007A0DED"/>
    <w:rsid w:val="007A11E8"/>
    <w:rsid w:val="007A2060"/>
    <w:rsid w:val="007A46E4"/>
    <w:rsid w:val="007A7087"/>
    <w:rsid w:val="007A7BCD"/>
    <w:rsid w:val="007B0914"/>
    <w:rsid w:val="007B1374"/>
    <w:rsid w:val="007B22B8"/>
    <w:rsid w:val="007B32E5"/>
    <w:rsid w:val="007B3848"/>
    <w:rsid w:val="007B3DB9"/>
    <w:rsid w:val="007B5802"/>
    <w:rsid w:val="007B589F"/>
    <w:rsid w:val="007B5D73"/>
    <w:rsid w:val="007B6186"/>
    <w:rsid w:val="007B67EE"/>
    <w:rsid w:val="007B70B4"/>
    <w:rsid w:val="007B73BC"/>
    <w:rsid w:val="007B78F0"/>
    <w:rsid w:val="007C0727"/>
    <w:rsid w:val="007C1027"/>
    <w:rsid w:val="007C1838"/>
    <w:rsid w:val="007C1CAC"/>
    <w:rsid w:val="007C1D47"/>
    <w:rsid w:val="007C20A7"/>
    <w:rsid w:val="007C20B9"/>
    <w:rsid w:val="007C2631"/>
    <w:rsid w:val="007C3C0E"/>
    <w:rsid w:val="007C409E"/>
    <w:rsid w:val="007C59F9"/>
    <w:rsid w:val="007C6277"/>
    <w:rsid w:val="007C6940"/>
    <w:rsid w:val="007C7301"/>
    <w:rsid w:val="007C759D"/>
    <w:rsid w:val="007C7859"/>
    <w:rsid w:val="007C7E3E"/>
    <w:rsid w:val="007C7F28"/>
    <w:rsid w:val="007D1466"/>
    <w:rsid w:val="007D28CE"/>
    <w:rsid w:val="007D2BDE"/>
    <w:rsid w:val="007D2E75"/>
    <w:rsid w:val="007D2FB6"/>
    <w:rsid w:val="007D3688"/>
    <w:rsid w:val="007D4417"/>
    <w:rsid w:val="007D49EB"/>
    <w:rsid w:val="007D4BA1"/>
    <w:rsid w:val="007D5E1C"/>
    <w:rsid w:val="007E003A"/>
    <w:rsid w:val="007E0DE2"/>
    <w:rsid w:val="007E2635"/>
    <w:rsid w:val="007E3667"/>
    <w:rsid w:val="007E36DB"/>
    <w:rsid w:val="007E38C9"/>
    <w:rsid w:val="007E3B98"/>
    <w:rsid w:val="007E417A"/>
    <w:rsid w:val="007E4630"/>
    <w:rsid w:val="007E674A"/>
    <w:rsid w:val="007E69DB"/>
    <w:rsid w:val="007E76B4"/>
    <w:rsid w:val="007E79A7"/>
    <w:rsid w:val="007F0A9C"/>
    <w:rsid w:val="007F13E8"/>
    <w:rsid w:val="007F2EC6"/>
    <w:rsid w:val="007F31B6"/>
    <w:rsid w:val="007F323D"/>
    <w:rsid w:val="007F3B04"/>
    <w:rsid w:val="007F4884"/>
    <w:rsid w:val="007F546C"/>
    <w:rsid w:val="007F5931"/>
    <w:rsid w:val="007F625F"/>
    <w:rsid w:val="007F665E"/>
    <w:rsid w:val="007F667D"/>
    <w:rsid w:val="00800412"/>
    <w:rsid w:val="008005D8"/>
    <w:rsid w:val="00801EB4"/>
    <w:rsid w:val="00803198"/>
    <w:rsid w:val="008038CC"/>
    <w:rsid w:val="008047F9"/>
    <w:rsid w:val="0080587B"/>
    <w:rsid w:val="00806468"/>
    <w:rsid w:val="008069E2"/>
    <w:rsid w:val="0080718D"/>
    <w:rsid w:val="008072AC"/>
    <w:rsid w:val="00807A3C"/>
    <w:rsid w:val="00807B06"/>
    <w:rsid w:val="00810DA7"/>
    <w:rsid w:val="008119CA"/>
    <w:rsid w:val="008130C4"/>
    <w:rsid w:val="008151CE"/>
    <w:rsid w:val="008155F0"/>
    <w:rsid w:val="00816735"/>
    <w:rsid w:val="00816760"/>
    <w:rsid w:val="00816B24"/>
    <w:rsid w:val="00820141"/>
    <w:rsid w:val="00820E0C"/>
    <w:rsid w:val="00821817"/>
    <w:rsid w:val="00821DCA"/>
    <w:rsid w:val="00821E3A"/>
    <w:rsid w:val="00823275"/>
    <w:rsid w:val="0082366F"/>
    <w:rsid w:val="00825DE5"/>
    <w:rsid w:val="00830178"/>
    <w:rsid w:val="00830359"/>
    <w:rsid w:val="008310A6"/>
    <w:rsid w:val="00831B47"/>
    <w:rsid w:val="00831EFD"/>
    <w:rsid w:val="008338A2"/>
    <w:rsid w:val="00833E00"/>
    <w:rsid w:val="0083573B"/>
    <w:rsid w:val="00835B5A"/>
    <w:rsid w:val="00837D72"/>
    <w:rsid w:val="00837EA4"/>
    <w:rsid w:val="008409F3"/>
    <w:rsid w:val="00841224"/>
    <w:rsid w:val="00841AA9"/>
    <w:rsid w:val="00841CED"/>
    <w:rsid w:val="008434AC"/>
    <w:rsid w:val="008444C8"/>
    <w:rsid w:val="0084546C"/>
    <w:rsid w:val="00845A04"/>
    <w:rsid w:val="00845A6A"/>
    <w:rsid w:val="00845DFF"/>
    <w:rsid w:val="008474FE"/>
    <w:rsid w:val="00847808"/>
    <w:rsid w:val="00850029"/>
    <w:rsid w:val="008501CC"/>
    <w:rsid w:val="008505C4"/>
    <w:rsid w:val="00851423"/>
    <w:rsid w:val="00851BCF"/>
    <w:rsid w:val="008531B7"/>
    <w:rsid w:val="00853EE4"/>
    <w:rsid w:val="00855535"/>
    <w:rsid w:val="00857C5A"/>
    <w:rsid w:val="0086251B"/>
    <w:rsid w:val="0086255E"/>
    <w:rsid w:val="008633F0"/>
    <w:rsid w:val="00863B7C"/>
    <w:rsid w:val="00865345"/>
    <w:rsid w:val="00865C8E"/>
    <w:rsid w:val="00867D9D"/>
    <w:rsid w:val="00870DD1"/>
    <w:rsid w:val="00872263"/>
    <w:rsid w:val="00872E0A"/>
    <w:rsid w:val="00873265"/>
    <w:rsid w:val="00873594"/>
    <w:rsid w:val="0087418A"/>
    <w:rsid w:val="00874209"/>
    <w:rsid w:val="008749C0"/>
    <w:rsid w:val="00874B28"/>
    <w:rsid w:val="0087518A"/>
    <w:rsid w:val="00875285"/>
    <w:rsid w:val="00877635"/>
    <w:rsid w:val="008779D8"/>
    <w:rsid w:val="008802F8"/>
    <w:rsid w:val="00880934"/>
    <w:rsid w:val="0088186E"/>
    <w:rsid w:val="008823C2"/>
    <w:rsid w:val="008834F7"/>
    <w:rsid w:val="00884B62"/>
    <w:rsid w:val="0088529C"/>
    <w:rsid w:val="00887903"/>
    <w:rsid w:val="0089211D"/>
    <w:rsid w:val="0089270A"/>
    <w:rsid w:val="0089367F"/>
    <w:rsid w:val="00893AF6"/>
    <w:rsid w:val="00894B12"/>
    <w:rsid w:val="00894BC4"/>
    <w:rsid w:val="008958DD"/>
    <w:rsid w:val="00896890"/>
    <w:rsid w:val="008977B1"/>
    <w:rsid w:val="008A09F8"/>
    <w:rsid w:val="008A0C74"/>
    <w:rsid w:val="008A1C0F"/>
    <w:rsid w:val="008A28A8"/>
    <w:rsid w:val="008A3FCE"/>
    <w:rsid w:val="008A45C4"/>
    <w:rsid w:val="008A4B58"/>
    <w:rsid w:val="008A4E74"/>
    <w:rsid w:val="008A5B32"/>
    <w:rsid w:val="008A700D"/>
    <w:rsid w:val="008B09CB"/>
    <w:rsid w:val="008B1496"/>
    <w:rsid w:val="008B2029"/>
    <w:rsid w:val="008B2EE4"/>
    <w:rsid w:val="008B3821"/>
    <w:rsid w:val="008B3E31"/>
    <w:rsid w:val="008B46A1"/>
    <w:rsid w:val="008B4D3D"/>
    <w:rsid w:val="008B527A"/>
    <w:rsid w:val="008B57C7"/>
    <w:rsid w:val="008B7313"/>
    <w:rsid w:val="008B784C"/>
    <w:rsid w:val="008C1083"/>
    <w:rsid w:val="008C1D3B"/>
    <w:rsid w:val="008C2F92"/>
    <w:rsid w:val="008C34D0"/>
    <w:rsid w:val="008C3546"/>
    <w:rsid w:val="008C3EEF"/>
    <w:rsid w:val="008C589D"/>
    <w:rsid w:val="008C63B9"/>
    <w:rsid w:val="008C676D"/>
    <w:rsid w:val="008C69DA"/>
    <w:rsid w:val="008C6BC3"/>
    <w:rsid w:val="008C6D51"/>
    <w:rsid w:val="008C7809"/>
    <w:rsid w:val="008D105B"/>
    <w:rsid w:val="008D1472"/>
    <w:rsid w:val="008D1B8E"/>
    <w:rsid w:val="008D2330"/>
    <w:rsid w:val="008D2846"/>
    <w:rsid w:val="008D3CF0"/>
    <w:rsid w:val="008D3F61"/>
    <w:rsid w:val="008D4236"/>
    <w:rsid w:val="008D462F"/>
    <w:rsid w:val="008D51A0"/>
    <w:rsid w:val="008D6DCF"/>
    <w:rsid w:val="008E0EAA"/>
    <w:rsid w:val="008E2FF1"/>
    <w:rsid w:val="008E36E6"/>
    <w:rsid w:val="008E397E"/>
    <w:rsid w:val="008E4376"/>
    <w:rsid w:val="008E65C2"/>
    <w:rsid w:val="008E680B"/>
    <w:rsid w:val="008E7807"/>
    <w:rsid w:val="008E7A0A"/>
    <w:rsid w:val="008E7B20"/>
    <w:rsid w:val="008E7B49"/>
    <w:rsid w:val="008F058A"/>
    <w:rsid w:val="008F522A"/>
    <w:rsid w:val="008F59F6"/>
    <w:rsid w:val="008F6DD8"/>
    <w:rsid w:val="00900719"/>
    <w:rsid w:val="009007E2"/>
    <w:rsid w:val="00901163"/>
    <w:rsid w:val="009017AC"/>
    <w:rsid w:val="009028B9"/>
    <w:rsid w:val="00902A9A"/>
    <w:rsid w:val="00903392"/>
    <w:rsid w:val="009038B3"/>
    <w:rsid w:val="009043B8"/>
    <w:rsid w:val="00904A1C"/>
    <w:rsid w:val="00904DA9"/>
    <w:rsid w:val="00905030"/>
    <w:rsid w:val="00906490"/>
    <w:rsid w:val="00906ED8"/>
    <w:rsid w:val="00907B69"/>
    <w:rsid w:val="00910301"/>
    <w:rsid w:val="009111B2"/>
    <w:rsid w:val="00912F0A"/>
    <w:rsid w:val="00914535"/>
    <w:rsid w:val="009151F5"/>
    <w:rsid w:val="009157EB"/>
    <w:rsid w:val="00916222"/>
    <w:rsid w:val="009239F2"/>
    <w:rsid w:val="00923C17"/>
    <w:rsid w:val="00924AE1"/>
    <w:rsid w:val="00924B57"/>
    <w:rsid w:val="009264C2"/>
    <w:rsid w:val="009266F8"/>
    <w:rsid w:val="009269B1"/>
    <w:rsid w:val="0092724D"/>
    <w:rsid w:val="009272B3"/>
    <w:rsid w:val="009303C4"/>
    <w:rsid w:val="009315BE"/>
    <w:rsid w:val="009326DD"/>
    <w:rsid w:val="0093338F"/>
    <w:rsid w:val="00934513"/>
    <w:rsid w:val="00934E26"/>
    <w:rsid w:val="00935DB3"/>
    <w:rsid w:val="009372FA"/>
    <w:rsid w:val="00937BD9"/>
    <w:rsid w:val="00939521"/>
    <w:rsid w:val="00941111"/>
    <w:rsid w:val="0094158E"/>
    <w:rsid w:val="0094536F"/>
    <w:rsid w:val="00945AF6"/>
    <w:rsid w:val="009465FE"/>
    <w:rsid w:val="00947164"/>
    <w:rsid w:val="009508F4"/>
    <w:rsid w:val="00950E2C"/>
    <w:rsid w:val="00951782"/>
    <w:rsid w:val="00951D50"/>
    <w:rsid w:val="009525EB"/>
    <w:rsid w:val="00953EDF"/>
    <w:rsid w:val="0095470B"/>
    <w:rsid w:val="00954874"/>
    <w:rsid w:val="00954DE7"/>
    <w:rsid w:val="0095615A"/>
    <w:rsid w:val="00957671"/>
    <w:rsid w:val="009579B0"/>
    <w:rsid w:val="00961400"/>
    <w:rsid w:val="00963646"/>
    <w:rsid w:val="00964E2C"/>
    <w:rsid w:val="0096506F"/>
    <w:rsid w:val="0096632D"/>
    <w:rsid w:val="00966A31"/>
    <w:rsid w:val="00967124"/>
    <w:rsid w:val="0097060B"/>
    <w:rsid w:val="0097153D"/>
    <w:rsid w:val="0097166C"/>
    <w:rsid w:val="009718C7"/>
    <w:rsid w:val="00971BC1"/>
    <w:rsid w:val="00972B0F"/>
    <w:rsid w:val="00973EAF"/>
    <w:rsid w:val="00974244"/>
    <w:rsid w:val="0097559F"/>
    <w:rsid w:val="009761EA"/>
    <w:rsid w:val="00976B40"/>
    <w:rsid w:val="0097761E"/>
    <w:rsid w:val="00982454"/>
    <w:rsid w:val="00982595"/>
    <w:rsid w:val="00982A7B"/>
    <w:rsid w:val="00982ACD"/>
    <w:rsid w:val="00982CF0"/>
    <w:rsid w:val="009831BA"/>
    <w:rsid w:val="009853E1"/>
    <w:rsid w:val="00985CA2"/>
    <w:rsid w:val="00986555"/>
    <w:rsid w:val="00986E6B"/>
    <w:rsid w:val="00990032"/>
    <w:rsid w:val="00990B19"/>
    <w:rsid w:val="00990CA2"/>
    <w:rsid w:val="0099124F"/>
    <w:rsid w:val="0099153B"/>
    <w:rsid w:val="00991769"/>
    <w:rsid w:val="0099232C"/>
    <w:rsid w:val="00993E8C"/>
    <w:rsid w:val="00994386"/>
    <w:rsid w:val="00996412"/>
    <w:rsid w:val="0099752C"/>
    <w:rsid w:val="00997807"/>
    <w:rsid w:val="009A13D8"/>
    <w:rsid w:val="009A26BF"/>
    <w:rsid w:val="009A279E"/>
    <w:rsid w:val="009A3015"/>
    <w:rsid w:val="009A3490"/>
    <w:rsid w:val="009A4715"/>
    <w:rsid w:val="009A6930"/>
    <w:rsid w:val="009B04B0"/>
    <w:rsid w:val="009B05FD"/>
    <w:rsid w:val="009B0A6F"/>
    <w:rsid w:val="009B0A94"/>
    <w:rsid w:val="009B0C59"/>
    <w:rsid w:val="009B0C62"/>
    <w:rsid w:val="009B1E24"/>
    <w:rsid w:val="009B2AE8"/>
    <w:rsid w:val="009B3BB8"/>
    <w:rsid w:val="009B5622"/>
    <w:rsid w:val="009B59E9"/>
    <w:rsid w:val="009B5A61"/>
    <w:rsid w:val="009B6D6B"/>
    <w:rsid w:val="009B70AA"/>
    <w:rsid w:val="009B7521"/>
    <w:rsid w:val="009B76DB"/>
    <w:rsid w:val="009C245E"/>
    <w:rsid w:val="009C27D1"/>
    <w:rsid w:val="009C38D8"/>
    <w:rsid w:val="009C3CF1"/>
    <w:rsid w:val="009C5E77"/>
    <w:rsid w:val="009C63D3"/>
    <w:rsid w:val="009C66F6"/>
    <w:rsid w:val="009C7A7E"/>
    <w:rsid w:val="009D02E8"/>
    <w:rsid w:val="009D328F"/>
    <w:rsid w:val="009D51D0"/>
    <w:rsid w:val="009D5504"/>
    <w:rsid w:val="009D5941"/>
    <w:rsid w:val="009D5D8F"/>
    <w:rsid w:val="009D6CA8"/>
    <w:rsid w:val="009D70A4"/>
    <w:rsid w:val="009D7B14"/>
    <w:rsid w:val="009D7E3A"/>
    <w:rsid w:val="009E08D1"/>
    <w:rsid w:val="009E0D96"/>
    <w:rsid w:val="009E1B95"/>
    <w:rsid w:val="009E496F"/>
    <w:rsid w:val="009E4A0D"/>
    <w:rsid w:val="009E4B0D"/>
    <w:rsid w:val="009E5250"/>
    <w:rsid w:val="009E7A69"/>
    <w:rsid w:val="009E7F92"/>
    <w:rsid w:val="009F02A3"/>
    <w:rsid w:val="009F0DE6"/>
    <w:rsid w:val="009F0E43"/>
    <w:rsid w:val="009F2182"/>
    <w:rsid w:val="009F2F27"/>
    <w:rsid w:val="009F34AA"/>
    <w:rsid w:val="009F4083"/>
    <w:rsid w:val="009F419A"/>
    <w:rsid w:val="009F4250"/>
    <w:rsid w:val="009F44B9"/>
    <w:rsid w:val="009F5C3F"/>
    <w:rsid w:val="009F6BCB"/>
    <w:rsid w:val="009F7B78"/>
    <w:rsid w:val="00A0057A"/>
    <w:rsid w:val="00A008F1"/>
    <w:rsid w:val="00A01FB1"/>
    <w:rsid w:val="00A0293B"/>
    <w:rsid w:val="00A02FA1"/>
    <w:rsid w:val="00A04389"/>
    <w:rsid w:val="00A04CCE"/>
    <w:rsid w:val="00A07421"/>
    <w:rsid w:val="00A0776B"/>
    <w:rsid w:val="00A07DD2"/>
    <w:rsid w:val="00A10A65"/>
    <w:rsid w:val="00A10FB9"/>
    <w:rsid w:val="00A11421"/>
    <w:rsid w:val="00A11F73"/>
    <w:rsid w:val="00A1389F"/>
    <w:rsid w:val="00A157B1"/>
    <w:rsid w:val="00A15E43"/>
    <w:rsid w:val="00A17871"/>
    <w:rsid w:val="00A21B4C"/>
    <w:rsid w:val="00A22229"/>
    <w:rsid w:val="00A22FB3"/>
    <w:rsid w:val="00A24442"/>
    <w:rsid w:val="00A24ADA"/>
    <w:rsid w:val="00A25CAB"/>
    <w:rsid w:val="00A31871"/>
    <w:rsid w:val="00A32164"/>
    <w:rsid w:val="00A322A5"/>
    <w:rsid w:val="00A32577"/>
    <w:rsid w:val="00A329A9"/>
    <w:rsid w:val="00A330BB"/>
    <w:rsid w:val="00A36505"/>
    <w:rsid w:val="00A37679"/>
    <w:rsid w:val="00A37684"/>
    <w:rsid w:val="00A37B7B"/>
    <w:rsid w:val="00A42F56"/>
    <w:rsid w:val="00A43759"/>
    <w:rsid w:val="00A43A38"/>
    <w:rsid w:val="00A446F5"/>
    <w:rsid w:val="00A44882"/>
    <w:rsid w:val="00A44D89"/>
    <w:rsid w:val="00A450E9"/>
    <w:rsid w:val="00A45125"/>
    <w:rsid w:val="00A45599"/>
    <w:rsid w:val="00A477C3"/>
    <w:rsid w:val="00A47D7B"/>
    <w:rsid w:val="00A50032"/>
    <w:rsid w:val="00A516A4"/>
    <w:rsid w:val="00A53A07"/>
    <w:rsid w:val="00A54715"/>
    <w:rsid w:val="00A54980"/>
    <w:rsid w:val="00A55AB9"/>
    <w:rsid w:val="00A56D98"/>
    <w:rsid w:val="00A6061C"/>
    <w:rsid w:val="00A60C21"/>
    <w:rsid w:val="00A61EAA"/>
    <w:rsid w:val="00A6218E"/>
    <w:rsid w:val="00A62D44"/>
    <w:rsid w:val="00A63F7A"/>
    <w:rsid w:val="00A66274"/>
    <w:rsid w:val="00A67263"/>
    <w:rsid w:val="00A676E4"/>
    <w:rsid w:val="00A7039E"/>
    <w:rsid w:val="00A70D8E"/>
    <w:rsid w:val="00A7161C"/>
    <w:rsid w:val="00A71CDB"/>
    <w:rsid w:val="00A71CE4"/>
    <w:rsid w:val="00A7308A"/>
    <w:rsid w:val="00A73A4B"/>
    <w:rsid w:val="00A75124"/>
    <w:rsid w:val="00A752AD"/>
    <w:rsid w:val="00A76E14"/>
    <w:rsid w:val="00A7708C"/>
    <w:rsid w:val="00A77AA3"/>
    <w:rsid w:val="00A815A8"/>
    <w:rsid w:val="00A8236D"/>
    <w:rsid w:val="00A8257F"/>
    <w:rsid w:val="00A83009"/>
    <w:rsid w:val="00A854EB"/>
    <w:rsid w:val="00A85CEB"/>
    <w:rsid w:val="00A85E66"/>
    <w:rsid w:val="00A8669D"/>
    <w:rsid w:val="00A872E5"/>
    <w:rsid w:val="00A904EB"/>
    <w:rsid w:val="00A91406"/>
    <w:rsid w:val="00A92778"/>
    <w:rsid w:val="00A933CE"/>
    <w:rsid w:val="00A9523C"/>
    <w:rsid w:val="00A9613C"/>
    <w:rsid w:val="00A968D6"/>
    <w:rsid w:val="00A96E65"/>
    <w:rsid w:val="00A96ECE"/>
    <w:rsid w:val="00A97434"/>
    <w:rsid w:val="00A979BE"/>
    <w:rsid w:val="00A97C72"/>
    <w:rsid w:val="00AA0056"/>
    <w:rsid w:val="00AA056C"/>
    <w:rsid w:val="00AA1665"/>
    <w:rsid w:val="00AA1C69"/>
    <w:rsid w:val="00AA23FB"/>
    <w:rsid w:val="00AA310B"/>
    <w:rsid w:val="00AA32C0"/>
    <w:rsid w:val="00AA36EE"/>
    <w:rsid w:val="00AA3F45"/>
    <w:rsid w:val="00AA63D4"/>
    <w:rsid w:val="00AA67D7"/>
    <w:rsid w:val="00AA6DD3"/>
    <w:rsid w:val="00AA72AA"/>
    <w:rsid w:val="00AB01C4"/>
    <w:rsid w:val="00AB06E8"/>
    <w:rsid w:val="00AB0E85"/>
    <w:rsid w:val="00AB1CD3"/>
    <w:rsid w:val="00AB352F"/>
    <w:rsid w:val="00AB54D9"/>
    <w:rsid w:val="00AB54F7"/>
    <w:rsid w:val="00AB611E"/>
    <w:rsid w:val="00AB61ED"/>
    <w:rsid w:val="00AB7014"/>
    <w:rsid w:val="00AB7727"/>
    <w:rsid w:val="00AC0918"/>
    <w:rsid w:val="00AC102A"/>
    <w:rsid w:val="00AC1701"/>
    <w:rsid w:val="00AC2385"/>
    <w:rsid w:val="00AC274B"/>
    <w:rsid w:val="00AC2D52"/>
    <w:rsid w:val="00AC3F66"/>
    <w:rsid w:val="00AC4764"/>
    <w:rsid w:val="00AC5184"/>
    <w:rsid w:val="00AC69D4"/>
    <w:rsid w:val="00AC6D36"/>
    <w:rsid w:val="00AD0CBA"/>
    <w:rsid w:val="00AD102A"/>
    <w:rsid w:val="00AD18E4"/>
    <w:rsid w:val="00AD26E2"/>
    <w:rsid w:val="00AD3C5A"/>
    <w:rsid w:val="00AD3C71"/>
    <w:rsid w:val="00AD4660"/>
    <w:rsid w:val="00AD547A"/>
    <w:rsid w:val="00AD6DBA"/>
    <w:rsid w:val="00AD744C"/>
    <w:rsid w:val="00AD784C"/>
    <w:rsid w:val="00AE031B"/>
    <w:rsid w:val="00AE0A27"/>
    <w:rsid w:val="00AE0DB1"/>
    <w:rsid w:val="00AE126A"/>
    <w:rsid w:val="00AE1BAE"/>
    <w:rsid w:val="00AE2587"/>
    <w:rsid w:val="00AE3005"/>
    <w:rsid w:val="00AE323A"/>
    <w:rsid w:val="00AE3BD5"/>
    <w:rsid w:val="00AE58BF"/>
    <w:rsid w:val="00AE59A0"/>
    <w:rsid w:val="00AE6226"/>
    <w:rsid w:val="00AF0598"/>
    <w:rsid w:val="00AF0C57"/>
    <w:rsid w:val="00AF0EAC"/>
    <w:rsid w:val="00AF11FF"/>
    <w:rsid w:val="00AF26F3"/>
    <w:rsid w:val="00AF40F7"/>
    <w:rsid w:val="00AF5F04"/>
    <w:rsid w:val="00AF6B56"/>
    <w:rsid w:val="00B00465"/>
    <w:rsid w:val="00B00672"/>
    <w:rsid w:val="00B01B4D"/>
    <w:rsid w:val="00B03075"/>
    <w:rsid w:val="00B04489"/>
    <w:rsid w:val="00B051B3"/>
    <w:rsid w:val="00B05923"/>
    <w:rsid w:val="00B059C2"/>
    <w:rsid w:val="00B061BD"/>
    <w:rsid w:val="00B06571"/>
    <w:rsid w:val="00B068BA"/>
    <w:rsid w:val="00B07217"/>
    <w:rsid w:val="00B07E68"/>
    <w:rsid w:val="00B109B8"/>
    <w:rsid w:val="00B1332F"/>
    <w:rsid w:val="00B13851"/>
    <w:rsid w:val="00B139D4"/>
    <w:rsid w:val="00B13B1C"/>
    <w:rsid w:val="00B14172"/>
    <w:rsid w:val="00B14B5F"/>
    <w:rsid w:val="00B15FC5"/>
    <w:rsid w:val="00B171E1"/>
    <w:rsid w:val="00B17DDD"/>
    <w:rsid w:val="00B21F90"/>
    <w:rsid w:val="00B22291"/>
    <w:rsid w:val="00B23F9A"/>
    <w:rsid w:val="00B2417B"/>
    <w:rsid w:val="00B24E6F"/>
    <w:rsid w:val="00B2552D"/>
    <w:rsid w:val="00B26CB5"/>
    <w:rsid w:val="00B2752E"/>
    <w:rsid w:val="00B27C5F"/>
    <w:rsid w:val="00B30575"/>
    <w:rsid w:val="00B307CC"/>
    <w:rsid w:val="00B326B7"/>
    <w:rsid w:val="00B33E41"/>
    <w:rsid w:val="00B3588E"/>
    <w:rsid w:val="00B3678E"/>
    <w:rsid w:val="00B4198F"/>
    <w:rsid w:val="00B41A44"/>
    <w:rsid w:val="00B41F3D"/>
    <w:rsid w:val="00B422AA"/>
    <w:rsid w:val="00B431E8"/>
    <w:rsid w:val="00B45141"/>
    <w:rsid w:val="00B47B4D"/>
    <w:rsid w:val="00B5121A"/>
    <w:rsid w:val="00B519CD"/>
    <w:rsid w:val="00B5273A"/>
    <w:rsid w:val="00B52827"/>
    <w:rsid w:val="00B52C6E"/>
    <w:rsid w:val="00B53535"/>
    <w:rsid w:val="00B53CA0"/>
    <w:rsid w:val="00B54245"/>
    <w:rsid w:val="00B54F29"/>
    <w:rsid w:val="00B5690B"/>
    <w:rsid w:val="00B57329"/>
    <w:rsid w:val="00B60599"/>
    <w:rsid w:val="00B607B1"/>
    <w:rsid w:val="00B60E61"/>
    <w:rsid w:val="00B61BE6"/>
    <w:rsid w:val="00B62434"/>
    <w:rsid w:val="00B62B50"/>
    <w:rsid w:val="00B62B67"/>
    <w:rsid w:val="00B635B7"/>
    <w:rsid w:val="00B63AE8"/>
    <w:rsid w:val="00B64957"/>
    <w:rsid w:val="00B64D52"/>
    <w:rsid w:val="00B65019"/>
    <w:rsid w:val="00B65950"/>
    <w:rsid w:val="00B66261"/>
    <w:rsid w:val="00B66D83"/>
    <w:rsid w:val="00B672C0"/>
    <w:rsid w:val="00B676FD"/>
    <w:rsid w:val="00B678B6"/>
    <w:rsid w:val="00B7134B"/>
    <w:rsid w:val="00B714CF"/>
    <w:rsid w:val="00B75646"/>
    <w:rsid w:val="00B7629E"/>
    <w:rsid w:val="00B80A37"/>
    <w:rsid w:val="00B820DD"/>
    <w:rsid w:val="00B833CA"/>
    <w:rsid w:val="00B8352E"/>
    <w:rsid w:val="00B8356E"/>
    <w:rsid w:val="00B864A4"/>
    <w:rsid w:val="00B87B87"/>
    <w:rsid w:val="00B90729"/>
    <w:rsid w:val="00B907DA"/>
    <w:rsid w:val="00B908F5"/>
    <w:rsid w:val="00B91651"/>
    <w:rsid w:val="00B91691"/>
    <w:rsid w:val="00B94C5E"/>
    <w:rsid w:val="00B950BC"/>
    <w:rsid w:val="00B95D85"/>
    <w:rsid w:val="00B95FC6"/>
    <w:rsid w:val="00B962C7"/>
    <w:rsid w:val="00B96FEB"/>
    <w:rsid w:val="00B9714C"/>
    <w:rsid w:val="00BA1E5E"/>
    <w:rsid w:val="00BA29AD"/>
    <w:rsid w:val="00BA33CF"/>
    <w:rsid w:val="00BA377C"/>
    <w:rsid w:val="00BA3F8D"/>
    <w:rsid w:val="00BA4095"/>
    <w:rsid w:val="00BA53FA"/>
    <w:rsid w:val="00BA676F"/>
    <w:rsid w:val="00BA6EE9"/>
    <w:rsid w:val="00BB2449"/>
    <w:rsid w:val="00BB3C38"/>
    <w:rsid w:val="00BB4B1F"/>
    <w:rsid w:val="00BB6F90"/>
    <w:rsid w:val="00BB74D2"/>
    <w:rsid w:val="00BB764C"/>
    <w:rsid w:val="00BB7A10"/>
    <w:rsid w:val="00BC12F0"/>
    <w:rsid w:val="00BC4635"/>
    <w:rsid w:val="00BC503F"/>
    <w:rsid w:val="00BC60BE"/>
    <w:rsid w:val="00BC632C"/>
    <w:rsid w:val="00BC6390"/>
    <w:rsid w:val="00BC7468"/>
    <w:rsid w:val="00BC787C"/>
    <w:rsid w:val="00BC7D4F"/>
    <w:rsid w:val="00BC7ED7"/>
    <w:rsid w:val="00BD2636"/>
    <w:rsid w:val="00BD2850"/>
    <w:rsid w:val="00BD55F5"/>
    <w:rsid w:val="00BD6875"/>
    <w:rsid w:val="00BD77F8"/>
    <w:rsid w:val="00BE045F"/>
    <w:rsid w:val="00BE20BF"/>
    <w:rsid w:val="00BE28D2"/>
    <w:rsid w:val="00BE381D"/>
    <w:rsid w:val="00BE4A64"/>
    <w:rsid w:val="00BE4AB1"/>
    <w:rsid w:val="00BE58D0"/>
    <w:rsid w:val="00BE5E43"/>
    <w:rsid w:val="00BE687A"/>
    <w:rsid w:val="00BF360A"/>
    <w:rsid w:val="00BF39E7"/>
    <w:rsid w:val="00BF3C0E"/>
    <w:rsid w:val="00BF557D"/>
    <w:rsid w:val="00BF562A"/>
    <w:rsid w:val="00BF658D"/>
    <w:rsid w:val="00BF6815"/>
    <w:rsid w:val="00BF7F58"/>
    <w:rsid w:val="00C00610"/>
    <w:rsid w:val="00C01381"/>
    <w:rsid w:val="00C01AB1"/>
    <w:rsid w:val="00C022A1"/>
    <w:rsid w:val="00C026A0"/>
    <w:rsid w:val="00C03CC0"/>
    <w:rsid w:val="00C06137"/>
    <w:rsid w:val="00C06929"/>
    <w:rsid w:val="00C07043"/>
    <w:rsid w:val="00C079B8"/>
    <w:rsid w:val="00C10037"/>
    <w:rsid w:val="00C115E1"/>
    <w:rsid w:val="00C1170E"/>
    <w:rsid w:val="00C123EA"/>
    <w:rsid w:val="00C12A49"/>
    <w:rsid w:val="00C12B05"/>
    <w:rsid w:val="00C133EE"/>
    <w:rsid w:val="00C13E0E"/>
    <w:rsid w:val="00C14117"/>
    <w:rsid w:val="00C149D0"/>
    <w:rsid w:val="00C14A44"/>
    <w:rsid w:val="00C15D95"/>
    <w:rsid w:val="00C1674D"/>
    <w:rsid w:val="00C16C71"/>
    <w:rsid w:val="00C16D8C"/>
    <w:rsid w:val="00C24CBC"/>
    <w:rsid w:val="00C26588"/>
    <w:rsid w:val="00C27A05"/>
    <w:rsid w:val="00C27DE9"/>
    <w:rsid w:val="00C3060E"/>
    <w:rsid w:val="00C31FAC"/>
    <w:rsid w:val="00C32989"/>
    <w:rsid w:val="00C33388"/>
    <w:rsid w:val="00C33F59"/>
    <w:rsid w:val="00C34EAB"/>
    <w:rsid w:val="00C35484"/>
    <w:rsid w:val="00C36305"/>
    <w:rsid w:val="00C365A7"/>
    <w:rsid w:val="00C36B38"/>
    <w:rsid w:val="00C36C5B"/>
    <w:rsid w:val="00C36F1A"/>
    <w:rsid w:val="00C377DB"/>
    <w:rsid w:val="00C37B78"/>
    <w:rsid w:val="00C4173A"/>
    <w:rsid w:val="00C423CE"/>
    <w:rsid w:val="00C44EBE"/>
    <w:rsid w:val="00C4503C"/>
    <w:rsid w:val="00C457B7"/>
    <w:rsid w:val="00C47A15"/>
    <w:rsid w:val="00C508C8"/>
    <w:rsid w:val="00C50C35"/>
    <w:rsid w:val="00C50DED"/>
    <w:rsid w:val="00C514A2"/>
    <w:rsid w:val="00C52217"/>
    <w:rsid w:val="00C52AD2"/>
    <w:rsid w:val="00C57212"/>
    <w:rsid w:val="00C5750B"/>
    <w:rsid w:val="00C602FF"/>
    <w:rsid w:val="00C60411"/>
    <w:rsid w:val="00C61174"/>
    <w:rsid w:val="00C6148F"/>
    <w:rsid w:val="00C61ECC"/>
    <w:rsid w:val="00C621B1"/>
    <w:rsid w:val="00C6276E"/>
    <w:rsid w:val="00C62F7A"/>
    <w:rsid w:val="00C63574"/>
    <w:rsid w:val="00C635F2"/>
    <w:rsid w:val="00C63B9C"/>
    <w:rsid w:val="00C63D1E"/>
    <w:rsid w:val="00C64B3E"/>
    <w:rsid w:val="00C6682F"/>
    <w:rsid w:val="00C67159"/>
    <w:rsid w:val="00C67AD9"/>
    <w:rsid w:val="00C67BF4"/>
    <w:rsid w:val="00C7275E"/>
    <w:rsid w:val="00C731AF"/>
    <w:rsid w:val="00C73689"/>
    <w:rsid w:val="00C73C8A"/>
    <w:rsid w:val="00C73F5D"/>
    <w:rsid w:val="00C74742"/>
    <w:rsid w:val="00C74A65"/>
    <w:rsid w:val="00C74C5D"/>
    <w:rsid w:val="00C75D8B"/>
    <w:rsid w:val="00C77DC2"/>
    <w:rsid w:val="00C77F6E"/>
    <w:rsid w:val="00C8182A"/>
    <w:rsid w:val="00C85882"/>
    <w:rsid w:val="00C85AD8"/>
    <w:rsid w:val="00C863C4"/>
    <w:rsid w:val="00C87EF0"/>
    <w:rsid w:val="00C90DAB"/>
    <w:rsid w:val="00C92029"/>
    <w:rsid w:val="00C920EA"/>
    <w:rsid w:val="00C93C3E"/>
    <w:rsid w:val="00C957DB"/>
    <w:rsid w:val="00C96C38"/>
    <w:rsid w:val="00CA12E3"/>
    <w:rsid w:val="00CA1476"/>
    <w:rsid w:val="00CA1871"/>
    <w:rsid w:val="00CA2263"/>
    <w:rsid w:val="00CA241E"/>
    <w:rsid w:val="00CA4164"/>
    <w:rsid w:val="00CA6611"/>
    <w:rsid w:val="00CA6872"/>
    <w:rsid w:val="00CA6AE6"/>
    <w:rsid w:val="00CA782F"/>
    <w:rsid w:val="00CB187B"/>
    <w:rsid w:val="00CB2216"/>
    <w:rsid w:val="00CB2835"/>
    <w:rsid w:val="00CB3285"/>
    <w:rsid w:val="00CB4500"/>
    <w:rsid w:val="00CB4947"/>
    <w:rsid w:val="00CB5EA8"/>
    <w:rsid w:val="00CB72BC"/>
    <w:rsid w:val="00CC0C72"/>
    <w:rsid w:val="00CC0DFF"/>
    <w:rsid w:val="00CC1FF2"/>
    <w:rsid w:val="00CC29A3"/>
    <w:rsid w:val="00CC2BFD"/>
    <w:rsid w:val="00CC300C"/>
    <w:rsid w:val="00CC42C3"/>
    <w:rsid w:val="00CC6177"/>
    <w:rsid w:val="00CC6F40"/>
    <w:rsid w:val="00CC72E4"/>
    <w:rsid w:val="00CD0792"/>
    <w:rsid w:val="00CD081E"/>
    <w:rsid w:val="00CD0C02"/>
    <w:rsid w:val="00CD1572"/>
    <w:rsid w:val="00CD1B1A"/>
    <w:rsid w:val="00CD3005"/>
    <w:rsid w:val="00CD3476"/>
    <w:rsid w:val="00CD50D4"/>
    <w:rsid w:val="00CD64DF"/>
    <w:rsid w:val="00CD768F"/>
    <w:rsid w:val="00CE1360"/>
    <w:rsid w:val="00CE219E"/>
    <w:rsid w:val="00CE225F"/>
    <w:rsid w:val="00CE304E"/>
    <w:rsid w:val="00CE748C"/>
    <w:rsid w:val="00CE7E45"/>
    <w:rsid w:val="00CF230C"/>
    <w:rsid w:val="00CF2EB7"/>
    <w:rsid w:val="00CF2F50"/>
    <w:rsid w:val="00CF5357"/>
    <w:rsid w:val="00CF5828"/>
    <w:rsid w:val="00CF6198"/>
    <w:rsid w:val="00CF6755"/>
    <w:rsid w:val="00D00E08"/>
    <w:rsid w:val="00D021B5"/>
    <w:rsid w:val="00D02525"/>
    <w:rsid w:val="00D02919"/>
    <w:rsid w:val="00D04474"/>
    <w:rsid w:val="00D044EF"/>
    <w:rsid w:val="00D04C61"/>
    <w:rsid w:val="00D05B8D"/>
    <w:rsid w:val="00D05B9B"/>
    <w:rsid w:val="00D065A2"/>
    <w:rsid w:val="00D079AA"/>
    <w:rsid w:val="00D07F00"/>
    <w:rsid w:val="00D112DD"/>
    <w:rsid w:val="00D1130F"/>
    <w:rsid w:val="00D14EDF"/>
    <w:rsid w:val="00D150A0"/>
    <w:rsid w:val="00D1571F"/>
    <w:rsid w:val="00D17637"/>
    <w:rsid w:val="00D17B72"/>
    <w:rsid w:val="00D24BDF"/>
    <w:rsid w:val="00D25089"/>
    <w:rsid w:val="00D263B7"/>
    <w:rsid w:val="00D266AE"/>
    <w:rsid w:val="00D26A3F"/>
    <w:rsid w:val="00D26A70"/>
    <w:rsid w:val="00D26DBC"/>
    <w:rsid w:val="00D30107"/>
    <w:rsid w:val="00D3185C"/>
    <w:rsid w:val="00D31CDD"/>
    <w:rsid w:val="00D31E90"/>
    <w:rsid w:val="00D3205F"/>
    <w:rsid w:val="00D32A44"/>
    <w:rsid w:val="00D3318E"/>
    <w:rsid w:val="00D33E72"/>
    <w:rsid w:val="00D35BD6"/>
    <w:rsid w:val="00D35CB3"/>
    <w:rsid w:val="00D361B5"/>
    <w:rsid w:val="00D36292"/>
    <w:rsid w:val="00D36AAF"/>
    <w:rsid w:val="00D36AF9"/>
    <w:rsid w:val="00D411A2"/>
    <w:rsid w:val="00D446D1"/>
    <w:rsid w:val="00D4606D"/>
    <w:rsid w:val="00D46AEF"/>
    <w:rsid w:val="00D470C8"/>
    <w:rsid w:val="00D50816"/>
    <w:rsid w:val="00D50B9C"/>
    <w:rsid w:val="00D50DEB"/>
    <w:rsid w:val="00D50F48"/>
    <w:rsid w:val="00D513AF"/>
    <w:rsid w:val="00D51430"/>
    <w:rsid w:val="00D52D73"/>
    <w:rsid w:val="00D52D9D"/>
    <w:rsid w:val="00D52E58"/>
    <w:rsid w:val="00D56939"/>
    <w:rsid w:val="00D56A3B"/>
    <w:rsid w:val="00D56B20"/>
    <w:rsid w:val="00D574C3"/>
    <w:rsid w:val="00D578B3"/>
    <w:rsid w:val="00D60DC6"/>
    <w:rsid w:val="00D618F4"/>
    <w:rsid w:val="00D62084"/>
    <w:rsid w:val="00D6281D"/>
    <w:rsid w:val="00D63636"/>
    <w:rsid w:val="00D63D20"/>
    <w:rsid w:val="00D640AD"/>
    <w:rsid w:val="00D660DB"/>
    <w:rsid w:val="00D67E23"/>
    <w:rsid w:val="00D7038D"/>
    <w:rsid w:val="00D71280"/>
    <w:rsid w:val="00D714CC"/>
    <w:rsid w:val="00D72698"/>
    <w:rsid w:val="00D755C7"/>
    <w:rsid w:val="00D75EA7"/>
    <w:rsid w:val="00D77252"/>
    <w:rsid w:val="00D80CCE"/>
    <w:rsid w:val="00D81ADF"/>
    <w:rsid w:val="00D81F21"/>
    <w:rsid w:val="00D824BE"/>
    <w:rsid w:val="00D837A5"/>
    <w:rsid w:val="00D83D06"/>
    <w:rsid w:val="00D83E02"/>
    <w:rsid w:val="00D847F3"/>
    <w:rsid w:val="00D85523"/>
    <w:rsid w:val="00D864F2"/>
    <w:rsid w:val="00D87254"/>
    <w:rsid w:val="00D9050C"/>
    <w:rsid w:val="00D90FFC"/>
    <w:rsid w:val="00D92B00"/>
    <w:rsid w:val="00D92C30"/>
    <w:rsid w:val="00D943F8"/>
    <w:rsid w:val="00D952A2"/>
    <w:rsid w:val="00D95470"/>
    <w:rsid w:val="00D96B55"/>
    <w:rsid w:val="00D97635"/>
    <w:rsid w:val="00D97EE2"/>
    <w:rsid w:val="00DA2619"/>
    <w:rsid w:val="00DA3BC3"/>
    <w:rsid w:val="00DA4239"/>
    <w:rsid w:val="00DA5471"/>
    <w:rsid w:val="00DA588C"/>
    <w:rsid w:val="00DA65DE"/>
    <w:rsid w:val="00DA726C"/>
    <w:rsid w:val="00DA751B"/>
    <w:rsid w:val="00DB0B61"/>
    <w:rsid w:val="00DB1474"/>
    <w:rsid w:val="00DB2962"/>
    <w:rsid w:val="00DB38A2"/>
    <w:rsid w:val="00DB4F7F"/>
    <w:rsid w:val="00DB52FB"/>
    <w:rsid w:val="00DB5AAD"/>
    <w:rsid w:val="00DB5F73"/>
    <w:rsid w:val="00DB5F7D"/>
    <w:rsid w:val="00DB7C23"/>
    <w:rsid w:val="00DC00C1"/>
    <w:rsid w:val="00DC013B"/>
    <w:rsid w:val="00DC0599"/>
    <w:rsid w:val="00DC090B"/>
    <w:rsid w:val="00DC0C0F"/>
    <w:rsid w:val="00DC1641"/>
    <w:rsid w:val="00DC1679"/>
    <w:rsid w:val="00DC219B"/>
    <w:rsid w:val="00DC29C9"/>
    <w:rsid w:val="00DC2CF1"/>
    <w:rsid w:val="00DC2DC7"/>
    <w:rsid w:val="00DC3A7C"/>
    <w:rsid w:val="00DC3FB7"/>
    <w:rsid w:val="00DC4108"/>
    <w:rsid w:val="00DC4FCF"/>
    <w:rsid w:val="00DC5044"/>
    <w:rsid w:val="00DC50E0"/>
    <w:rsid w:val="00DC522F"/>
    <w:rsid w:val="00DC6386"/>
    <w:rsid w:val="00DC6C72"/>
    <w:rsid w:val="00DD0998"/>
    <w:rsid w:val="00DD1130"/>
    <w:rsid w:val="00DD1951"/>
    <w:rsid w:val="00DD1D34"/>
    <w:rsid w:val="00DD227B"/>
    <w:rsid w:val="00DD3E15"/>
    <w:rsid w:val="00DD487D"/>
    <w:rsid w:val="00DD4E83"/>
    <w:rsid w:val="00DD53B2"/>
    <w:rsid w:val="00DD6628"/>
    <w:rsid w:val="00DD6945"/>
    <w:rsid w:val="00DE0EA4"/>
    <w:rsid w:val="00DE2C42"/>
    <w:rsid w:val="00DE2D04"/>
    <w:rsid w:val="00DE3250"/>
    <w:rsid w:val="00DE3615"/>
    <w:rsid w:val="00DE403B"/>
    <w:rsid w:val="00DE5967"/>
    <w:rsid w:val="00DE6028"/>
    <w:rsid w:val="00DE647B"/>
    <w:rsid w:val="00DE67A3"/>
    <w:rsid w:val="00DE6C85"/>
    <w:rsid w:val="00DE78A3"/>
    <w:rsid w:val="00DF0315"/>
    <w:rsid w:val="00DF1A71"/>
    <w:rsid w:val="00DF26D9"/>
    <w:rsid w:val="00DF26F7"/>
    <w:rsid w:val="00DF27AE"/>
    <w:rsid w:val="00DF30B1"/>
    <w:rsid w:val="00DF397B"/>
    <w:rsid w:val="00DF40A5"/>
    <w:rsid w:val="00DF41E2"/>
    <w:rsid w:val="00DF4F13"/>
    <w:rsid w:val="00DF50FC"/>
    <w:rsid w:val="00DF684C"/>
    <w:rsid w:val="00DF686B"/>
    <w:rsid w:val="00DF68C7"/>
    <w:rsid w:val="00DF731A"/>
    <w:rsid w:val="00E01E13"/>
    <w:rsid w:val="00E01F2F"/>
    <w:rsid w:val="00E02428"/>
    <w:rsid w:val="00E04BBB"/>
    <w:rsid w:val="00E06B75"/>
    <w:rsid w:val="00E07609"/>
    <w:rsid w:val="00E07B1E"/>
    <w:rsid w:val="00E11332"/>
    <w:rsid w:val="00E11352"/>
    <w:rsid w:val="00E11D7D"/>
    <w:rsid w:val="00E122B2"/>
    <w:rsid w:val="00E129A3"/>
    <w:rsid w:val="00E170DC"/>
    <w:rsid w:val="00E17451"/>
    <w:rsid w:val="00E17546"/>
    <w:rsid w:val="00E204B4"/>
    <w:rsid w:val="00E210B5"/>
    <w:rsid w:val="00E21BBE"/>
    <w:rsid w:val="00E23B1F"/>
    <w:rsid w:val="00E261B3"/>
    <w:rsid w:val="00E26818"/>
    <w:rsid w:val="00E27094"/>
    <w:rsid w:val="00E27FFC"/>
    <w:rsid w:val="00E30033"/>
    <w:rsid w:val="00E30B15"/>
    <w:rsid w:val="00E33237"/>
    <w:rsid w:val="00E3745E"/>
    <w:rsid w:val="00E4008A"/>
    <w:rsid w:val="00E40181"/>
    <w:rsid w:val="00E40212"/>
    <w:rsid w:val="00E4557B"/>
    <w:rsid w:val="00E45DEF"/>
    <w:rsid w:val="00E5405C"/>
    <w:rsid w:val="00E54950"/>
    <w:rsid w:val="00E55FB3"/>
    <w:rsid w:val="00E56A01"/>
    <w:rsid w:val="00E574F4"/>
    <w:rsid w:val="00E600C3"/>
    <w:rsid w:val="00E613E4"/>
    <w:rsid w:val="00E628D4"/>
    <w:rsid w:val="00E629A1"/>
    <w:rsid w:val="00E62D61"/>
    <w:rsid w:val="00E630AF"/>
    <w:rsid w:val="00E63E85"/>
    <w:rsid w:val="00E63F6F"/>
    <w:rsid w:val="00E64C92"/>
    <w:rsid w:val="00E65727"/>
    <w:rsid w:val="00E65C74"/>
    <w:rsid w:val="00E65D68"/>
    <w:rsid w:val="00E66171"/>
    <w:rsid w:val="00E665DA"/>
    <w:rsid w:val="00E66FD7"/>
    <w:rsid w:val="00E6794C"/>
    <w:rsid w:val="00E679E0"/>
    <w:rsid w:val="00E71591"/>
    <w:rsid w:val="00E71CEB"/>
    <w:rsid w:val="00E72EC8"/>
    <w:rsid w:val="00E72FC6"/>
    <w:rsid w:val="00E73DC9"/>
    <w:rsid w:val="00E7470A"/>
    <w:rsid w:val="00E7474F"/>
    <w:rsid w:val="00E752A4"/>
    <w:rsid w:val="00E7601C"/>
    <w:rsid w:val="00E76841"/>
    <w:rsid w:val="00E808D2"/>
    <w:rsid w:val="00E80DE3"/>
    <w:rsid w:val="00E815E7"/>
    <w:rsid w:val="00E82C55"/>
    <w:rsid w:val="00E832F1"/>
    <w:rsid w:val="00E835C3"/>
    <w:rsid w:val="00E84A43"/>
    <w:rsid w:val="00E8537F"/>
    <w:rsid w:val="00E86A7B"/>
    <w:rsid w:val="00E86E0A"/>
    <w:rsid w:val="00E874B4"/>
    <w:rsid w:val="00E8787E"/>
    <w:rsid w:val="00E90F34"/>
    <w:rsid w:val="00E911FE"/>
    <w:rsid w:val="00E91368"/>
    <w:rsid w:val="00E91DB0"/>
    <w:rsid w:val="00E92711"/>
    <w:rsid w:val="00E92AC3"/>
    <w:rsid w:val="00E93CCE"/>
    <w:rsid w:val="00E945C5"/>
    <w:rsid w:val="00E950E5"/>
    <w:rsid w:val="00E95CCC"/>
    <w:rsid w:val="00E965BA"/>
    <w:rsid w:val="00EA0264"/>
    <w:rsid w:val="00EA0507"/>
    <w:rsid w:val="00EA226D"/>
    <w:rsid w:val="00EA2B47"/>
    <w:rsid w:val="00EA2F6A"/>
    <w:rsid w:val="00EA3D3C"/>
    <w:rsid w:val="00EA5957"/>
    <w:rsid w:val="00EB00E0"/>
    <w:rsid w:val="00EB03CB"/>
    <w:rsid w:val="00EB05D5"/>
    <w:rsid w:val="00EB1FF2"/>
    <w:rsid w:val="00EB295B"/>
    <w:rsid w:val="00EB2EC0"/>
    <w:rsid w:val="00EB4BC7"/>
    <w:rsid w:val="00EC059F"/>
    <w:rsid w:val="00EC1F24"/>
    <w:rsid w:val="00EC22F6"/>
    <w:rsid w:val="00EC3DB9"/>
    <w:rsid w:val="00ED1575"/>
    <w:rsid w:val="00ED1BA4"/>
    <w:rsid w:val="00ED3813"/>
    <w:rsid w:val="00ED3F20"/>
    <w:rsid w:val="00ED4274"/>
    <w:rsid w:val="00ED58CA"/>
    <w:rsid w:val="00ED5B9B"/>
    <w:rsid w:val="00ED5D76"/>
    <w:rsid w:val="00ED6886"/>
    <w:rsid w:val="00ED6BAD"/>
    <w:rsid w:val="00ED7447"/>
    <w:rsid w:val="00ED7762"/>
    <w:rsid w:val="00ED77BC"/>
    <w:rsid w:val="00EE00D6"/>
    <w:rsid w:val="00EE11E7"/>
    <w:rsid w:val="00EE1488"/>
    <w:rsid w:val="00EE16B6"/>
    <w:rsid w:val="00EE29AD"/>
    <w:rsid w:val="00EE319C"/>
    <w:rsid w:val="00EE3E24"/>
    <w:rsid w:val="00EE4D5D"/>
    <w:rsid w:val="00EE5131"/>
    <w:rsid w:val="00EF0A95"/>
    <w:rsid w:val="00EF0EBB"/>
    <w:rsid w:val="00EF105F"/>
    <w:rsid w:val="00EF109B"/>
    <w:rsid w:val="00EF14A6"/>
    <w:rsid w:val="00EF187B"/>
    <w:rsid w:val="00EF1B10"/>
    <w:rsid w:val="00EF201C"/>
    <w:rsid w:val="00EF29DF"/>
    <w:rsid w:val="00EF2C72"/>
    <w:rsid w:val="00EF33CB"/>
    <w:rsid w:val="00EF36AF"/>
    <w:rsid w:val="00EF42BF"/>
    <w:rsid w:val="00EF4343"/>
    <w:rsid w:val="00EF4734"/>
    <w:rsid w:val="00EF59A3"/>
    <w:rsid w:val="00EF6675"/>
    <w:rsid w:val="00EF79AD"/>
    <w:rsid w:val="00F0063D"/>
    <w:rsid w:val="00F007B4"/>
    <w:rsid w:val="00F00B58"/>
    <w:rsid w:val="00F00E01"/>
    <w:rsid w:val="00F00F9C"/>
    <w:rsid w:val="00F0127A"/>
    <w:rsid w:val="00F01E5F"/>
    <w:rsid w:val="00F0238E"/>
    <w:rsid w:val="00F024F3"/>
    <w:rsid w:val="00F02ABA"/>
    <w:rsid w:val="00F0437A"/>
    <w:rsid w:val="00F05939"/>
    <w:rsid w:val="00F05AA0"/>
    <w:rsid w:val="00F0683A"/>
    <w:rsid w:val="00F101B8"/>
    <w:rsid w:val="00F104FC"/>
    <w:rsid w:val="00F11037"/>
    <w:rsid w:val="00F11DCF"/>
    <w:rsid w:val="00F11E15"/>
    <w:rsid w:val="00F134D8"/>
    <w:rsid w:val="00F15144"/>
    <w:rsid w:val="00F16F1B"/>
    <w:rsid w:val="00F17218"/>
    <w:rsid w:val="00F21281"/>
    <w:rsid w:val="00F23A70"/>
    <w:rsid w:val="00F250A9"/>
    <w:rsid w:val="00F262C2"/>
    <w:rsid w:val="00F26651"/>
    <w:rsid w:val="00F267AF"/>
    <w:rsid w:val="00F300D2"/>
    <w:rsid w:val="00F30FF4"/>
    <w:rsid w:val="00F3122E"/>
    <w:rsid w:val="00F32170"/>
    <w:rsid w:val="00F32368"/>
    <w:rsid w:val="00F325E5"/>
    <w:rsid w:val="00F33027"/>
    <w:rsid w:val="00F331AD"/>
    <w:rsid w:val="00F35287"/>
    <w:rsid w:val="00F3579E"/>
    <w:rsid w:val="00F3724E"/>
    <w:rsid w:val="00F40A70"/>
    <w:rsid w:val="00F43A37"/>
    <w:rsid w:val="00F452CE"/>
    <w:rsid w:val="00F4641B"/>
    <w:rsid w:val="00F465FF"/>
    <w:rsid w:val="00F46ABD"/>
    <w:rsid w:val="00F46EB8"/>
    <w:rsid w:val="00F47053"/>
    <w:rsid w:val="00F50CD1"/>
    <w:rsid w:val="00F511E4"/>
    <w:rsid w:val="00F52D09"/>
    <w:rsid w:val="00F52E08"/>
    <w:rsid w:val="00F53A66"/>
    <w:rsid w:val="00F5446D"/>
    <w:rsid w:val="00F5462D"/>
    <w:rsid w:val="00F555A6"/>
    <w:rsid w:val="00F55833"/>
    <w:rsid w:val="00F55A45"/>
    <w:rsid w:val="00F55B21"/>
    <w:rsid w:val="00F55C25"/>
    <w:rsid w:val="00F56DC5"/>
    <w:rsid w:val="00F56EF6"/>
    <w:rsid w:val="00F5776F"/>
    <w:rsid w:val="00F60082"/>
    <w:rsid w:val="00F6045A"/>
    <w:rsid w:val="00F6073C"/>
    <w:rsid w:val="00F61A9F"/>
    <w:rsid w:val="00F61B5F"/>
    <w:rsid w:val="00F61C65"/>
    <w:rsid w:val="00F64696"/>
    <w:rsid w:val="00F65AA9"/>
    <w:rsid w:val="00F6747D"/>
    <w:rsid w:val="00F6768F"/>
    <w:rsid w:val="00F71FED"/>
    <w:rsid w:val="00F72C2C"/>
    <w:rsid w:val="00F73EF6"/>
    <w:rsid w:val="00F741F2"/>
    <w:rsid w:val="00F74710"/>
    <w:rsid w:val="00F74A49"/>
    <w:rsid w:val="00F74A7F"/>
    <w:rsid w:val="00F74D1B"/>
    <w:rsid w:val="00F76CAB"/>
    <w:rsid w:val="00F772C6"/>
    <w:rsid w:val="00F7734B"/>
    <w:rsid w:val="00F815B5"/>
    <w:rsid w:val="00F82DF3"/>
    <w:rsid w:val="00F85195"/>
    <w:rsid w:val="00F852B9"/>
    <w:rsid w:val="00F857D4"/>
    <w:rsid w:val="00F868E3"/>
    <w:rsid w:val="00F90C71"/>
    <w:rsid w:val="00F916BE"/>
    <w:rsid w:val="00F9191D"/>
    <w:rsid w:val="00F91BC3"/>
    <w:rsid w:val="00F92087"/>
    <w:rsid w:val="00F9258B"/>
    <w:rsid w:val="00F938BA"/>
    <w:rsid w:val="00F94824"/>
    <w:rsid w:val="00F95376"/>
    <w:rsid w:val="00F96968"/>
    <w:rsid w:val="00F97919"/>
    <w:rsid w:val="00F97DFD"/>
    <w:rsid w:val="00FA0969"/>
    <w:rsid w:val="00FA0B97"/>
    <w:rsid w:val="00FA230B"/>
    <w:rsid w:val="00FA2C46"/>
    <w:rsid w:val="00FA2C5F"/>
    <w:rsid w:val="00FA3525"/>
    <w:rsid w:val="00FA5A53"/>
    <w:rsid w:val="00FA5D9E"/>
    <w:rsid w:val="00FA7FAB"/>
    <w:rsid w:val="00FB1F6E"/>
    <w:rsid w:val="00FB25A7"/>
    <w:rsid w:val="00FB4433"/>
    <w:rsid w:val="00FB4769"/>
    <w:rsid w:val="00FB4CDA"/>
    <w:rsid w:val="00FB5CDB"/>
    <w:rsid w:val="00FB6481"/>
    <w:rsid w:val="00FB6D36"/>
    <w:rsid w:val="00FC0965"/>
    <w:rsid w:val="00FC0F81"/>
    <w:rsid w:val="00FC252F"/>
    <w:rsid w:val="00FC395C"/>
    <w:rsid w:val="00FC4206"/>
    <w:rsid w:val="00FC475F"/>
    <w:rsid w:val="00FC5A70"/>
    <w:rsid w:val="00FC5E8E"/>
    <w:rsid w:val="00FD143E"/>
    <w:rsid w:val="00FD3766"/>
    <w:rsid w:val="00FD3D05"/>
    <w:rsid w:val="00FD47C4"/>
    <w:rsid w:val="00FD49F2"/>
    <w:rsid w:val="00FD5170"/>
    <w:rsid w:val="00FD5A25"/>
    <w:rsid w:val="00FD651B"/>
    <w:rsid w:val="00FD7AA6"/>
    <w:rsid w:val="00FE060A"/>
    <w:rsid w:val="00FE1D97"/>
    <w:rsid w:val="00FE2DCF"/>
    <w:rsid w:val="00FE3092"/>
    <w:rsid w:val="00FE3290"/>
    <w:rsid w:val="00FE331E"/>
    <w:rsid w:val="00FE3B07"/>
    <w:rsid w:val="00FE3FA7"/>
    <w:rsid w:val="00FE4081"/>
    <w:rsid w:val="00FE57AA"/>
    <w:rsid w:val="00FE66AC"/>
    <w:rsid w:val="00FE74B1"/>
    <w:rsid w:val="00FE7C8E"/>
    <w:rsid w:val="00FF2A1A"/>
    <w:rsid w:val="00FF2A4E"/>
    <w:rsid w:val="00FF2CBA"/>
    <w:rsid w:val="00FF2FCE"/>
    <w:rsid w:val="00FF30F4"/>
    <w:rsid w:val="00FF3E17"/>
    <w:rsid w:val="00FF4F7D"/>
    <w:rsid w:val="00FF561C"/>
    <w:rsid w:val="00FF5F72"/>
    <w:rsid w:val="00FF6D9D"/>
    <w:rsid w:val="00FF6DF8"/>
    <w:rsid w:val="00FF7620"/>
    <w:rsid w:val="00FF7D66"/>
    <w:rsid w:val="00FF7DD5"/>
    <w:rsid w:val="0110E4B4"/>
    <w:rsid w:val="01433139"/>
    <w:rsid w:val="021ED010"/>
    <w:rsid w:val="022C400D"/>
    <w:rsid w:val="02362B98"/>
    <w:rsid w:val="02A36271"/>
    <w:rsid w:val="02C531C8"/>
    <w:rsid w:val="02CBEDC9"/>
    <w:rsid w:val="03324AFB"/>
    <w:rsid w:val="03F30EDD"/>
    <w:rsid w:val="0405F576"/>
    <w:rsid w:val="0408720D"/>
    <w:rsid w:val="042C05CD"/>
    <w:rsid w:val="04393203"/>
    <w:rsid w:val="044E1010"/>
    <w:rsid w:val="048229C9"/>
    <w:rsid w:val="04C57387"/>
    <w:rsid w:val="04C6D031"/>
    <w:rsid w:val="04C8B559"/>
    <w:rsid w:val="04ECC3D9"/>
    <w:rsid w:val="051F088E"/>
    <w:rsid w:val="0533C52D"/>
    <w:rsid w:val="0593A146"/>
    <w:rsid w:val="05DA8FCC"/>
    <w:rsid w:val="061AFD92"/>
    <w:rsid w:val="06362CBB"/>
    <w:rsid w:val="063B28B5"/>
    <w:rsid w:val="06491E7A"/>
    <w:rsid w:val="065A423A"/>
    <w:rsid w:val="065B6661"/>
    <w:rsid w:val="065FD422"/>
    <w:rsid w:val="068D827C"/>
    <w:rsid w:val="06971CC6"/>
    <w:rsid w:val="06B1E3CA"/>
    <w:rsid w:val="06BA12EC"/>
    <w:rsid w:val="06FBB70A"/>
    <w:rsid w:val="06FF5962"/>
    <w:rsid w:val="072E1E10"/>
    <w:rsid w:val="075967AF"/>
    <w:rsid w:val="0776F850"/>
    <w:rsid w:val="07864AF5"/>
    <w:rsid w:val="078F5F8E"/>
    <w:rsid w:val="07C83CE4"/>
    <w:rsid w:val="07E8663B"/>
    <w:rsid w:val="07F1700C"/>
    <w:rsid w:val="081F77CC"/>
    <w:rsid w:val="08565361"/>
    <w:rsid w:val="085D4379"/>
    <w:rsid w:val="0862EE6E"/>
    <w:rsid w:val="08E77749"/>
    <w:rsid w:val="09462A64"/>
    <w:rsid w:val="09498999"/>
    <w:rsid w:val="097DDCAB"/>
    <w:rsid w:val="09AF132C"/>
    <w:rsid w:val="09B2AB16"/>
    <w:rsid w:val="0A62FF74"/>
    <w:rsid w:val="0A80FE49"/>
    <w:rsid w:val="0A89771E"/>
    <w:rsid w:val="0AD02263"/>
    <w:rsid w:val="0AE5288F"/>
    <w:rsid w:val="0AFB6915"/>
    <w:rsid w:val="0B089C72"/>
    <w:rsid w:val="0B68FA63"/>
    <w:rsid w:val="0B69C2A1"/>
    <w:rsid w:val="0BE6897F"/>
    <w:rsid w:val="0C079C1C"/>
    <w:rsid w:val="0C1F1A62"/>
    <w:rsid w:val="0C29E18F"/>
    <w:rsid w:val="0C535AA9"/>
    <w:rsid w:val="0C7FCBF9"/>
    <w:rsid w:val="0C82AC16"/>
    <w:rsid w:val="0C8608D0"/>
    <w:rsid w:val="0CA016E9"/>
    <w:rsid w:val="0CE1F150"/>
    <w:rsid w:val="0D25EEF6"/>
    <w:rsid w:val="0D30373B"/>
    <w:rsid w:val="0D515086"/>
    <w:rsid w:val="0D6C9274"/>
    <w:rsid w:val="0D78E28C"/>
    <w:rsid w:val="0D85806E"/>
    <w:rsid w:val="0D8791D7"/>
    <w:rsid w:val="0D8E8552"/>
    <w:rsid w:val="0DB86C58"/>
    <w:rsid w:val="0DDF7D45"/>
    <w:rsid w:val="0DE9BB88"/>
    <w:rsid w:val="0DF23E88"/>
    <w:rsid w:val="0DF53E1F"/>
    <w:rsid w:val="0E08496D"/>
    <w:rsid w:val="0E1A45AF"/>
    <w:rsid w:val="0E1C1EBF"/>
    <w:rsid w:val="0E34E11A"/>
    <w:rsid w:val="0E450351"/>
    <w:rsid w:val="0E5D0BC9"/>
    <w:rsid w:val="0E674BA0"/>
    <w:rsid w:val="0EAB2479"/>
    <w:rsid w:val="0EE92B24"/>
    <w:rsid w:val="0EFEC865"/>
    <w:rsid w:val="0F09E5D2"/>
    <w:rsid w:val="0F5397E0"/>
    <w:rsid w:val="0F778F1D"/>
    <w:rsid w:val="0F7B6FC5"/>
    <w:rsid w:val="0FCCF7D1"/>
    <w:rsid w:val="1021B28E"/>
    <w:rsid w:val="1059FD77"/>
    <w:rsid w:val="105B41E7"/>
    <w:rsid w:val="10863E4C"/>
    <w:rsid w:val="10CE4887"/>
    <w:rsid w:val="10E82BBC"/>
    <w:rsid w:val="111F4D1D"/>
    <w:rsid w:val="119FB08E"/>
    <w:rsid w:val="11A5B743"/>
    <w:rsid w:val="126445CF"/>
    <w:rsid w:val="128930EE"/>
    <w:rsid w:val="13004493"/>
    <w:rsid w:val="1305282D"/>
    <w:rsid w:val="131C4BD4"/>
    <w:rsid w:val="13245192"/>
    <w:rsid w:val="1324FBC5"/>
    <w:rsid w:val="132E9555"/>
    <w:rsid w:val="1333989F"/>
    <w:rsid w:val="1343BB44"/>
    <w:rsid w:val="134D21F1"/>
    <w:rsid w:val="13A37FAA"/>
    <w:rsid w:val="13B90FF7"/>
    <w:rsid w:val="13BD0BEE"/>
    <w:rsid w:val="13CEB08F"/>
    <w:rsid w:val="13D238A8"/>
    <w:rsid w:val="1426337A"/>
    <w:rsid w:val="14A9881F"/>
    <w:rsid w:val="14CE6DC4"/>
    <w:rsid w:val="14F7ED23"/>
    <w:rsid w:val="150D5C27"/>
    <w:rsid w:val="15258138"/>
    <w:rsid w:val="15445C01"/>
    <w:rsid w:val="15591CA3"/>
    <w:rsid w:val="1561D998"/>
    <w:rsid w:val="1589F0F8"/>
    <w:rsid w:val="15D29A7C"/>
    <w:rsid w:val="15DCD54C"/>
    <w:rsid w:val="15FD658C"/>
    <w:rsid w:val="16153BB6"/>
    <w:rsid w:val="161AB09F"/>
    <w:rsid w:val="161FD8A3"/>
    <w:rsid w:val="1631151D"/>
    <w:rsid w:val="164D5D2B"/>
    <w:rsid w:val="16570BCB"/>
    <w:rsid w:val="16A0C6A9"/>
    <w:rsid w:val="170A72EB"/>
    <w:rsid w:val="1722111C"/>
    <w:rsid w:val="177B75F1"/>
    <w:rsid w:val="17A3AE5A"/>
    <w:rsid w:val="1808334D"/>
    <w:rsid w:val="18083558"/>
    <w:rsid w:val="189DE6B2"/>
    <w:rsid w:val="18A0D275"/>
    <w:rsid w:val="18E3BB68"/>
    <w:rsid w:val="1910FFA6"/>
    <w:rsid w:val="193DCF64"/>
    <w:rsid w:val="1991471B"/>
    <w:rsid w:val="19B2391C"/>
    <w:rsid w:val="1A0E6B33"/>
    <w:rsid w:val="1A1F811B"/>
    <w:rsid w:val="1A229429"/>
    <w:rsid w:val="1A256EC8"/>
    <w:rsid w:val="1A5A0215"/>
    <w:rsid w:val="1A6162ED"/>
    <w:rsid w:val="1AFBE432"/>
    <w:rsid w:val="1B081A5E"/>
    <w:rsid w:val="1B0AC4FD"/>
    <w:rsid w:val="1B3F4315"/>
    <w:rsid w:val="1B47A828"/>
    <w:rsid w:val="1B6490B6"/>
    <w:rsid w:val="1B9985EF"/>
    <w:rsid w:val="1BA3D6B4"/>
    <w:rsid w:val="1BC65A73"/>
    <w:rsid w:val="1BD695B6"/>
    <w:rsid w:val="1BDA68A7"/>
    <w:rsid w:val="1BE27DAA"/>
    <w:rsid w:val="1BF64229"/>
    <w:rsid w:val="1C05AF0A"/>
    <w:rsid w:val="1C3AA222"/>
    <w:rsid w:val="1C4A336D"/>
    <w:rsid w:val="1CB42987"/>
    <w:rsid w:val="1D2BACE2"/>
    <w:rsid w:val="1D3920A0"/>
    <w:rsid w:val="1D5F23E0"/>
    <w:rsid w:val="1D726666"/>
    <w:rsid w:val="1DB55AB6"/>
    <w:rsid w:val="1DCDD9AF"/>
    <w:rsid w:val="1DE90159"/>
    <w:rsid w:val="1DE99F9F"/>
    <w:rsid w:val="1E2B891E"/>
    <w:rsid w:val="1E329A15"/>
    <w:rsid w:val="1E4B15D4"/>
    <w:rsid w:val="1E57E892"/>
    <w:rsid w:val="1E7830F4"/>
    <w:rsid w:val="1ED5635E"/>
    <w:rsid w:val="1F1E2A86"/>
    <w:rsid w:val="1F2EBE93"/>
    <w:rsid w:val="1F37F643"/>
    <w:rsid w:val="1F6C23AA"/>
    <w:rsid w:val="1F71F0CF"/>
    <w:rsid w:val="1F7A7BA6"/>
    <w:rsid w:val="1F91F18E"/>
    <w:rsid w:val="1F98D249"/>
    <w:rsid w:val="1FA7B69E"/>
    <w:rsid w:val="1FE86649"/>
    <w:rsid w:val="20502768"/>
    <w:rsid w:val="2054AE83"/>
    <w:rsid w:val="20634305"/>
    <w:rsid w:val="207A0FFD"/>
    <w:rsid w:val="209160EA"/>
    <w:rsid w:val="20A8525F"/>
    <w:rsid w:val="21004378"/>
    <w:rsid w:val="2120DB9C"/>
    <w:rsid w:val="21513449"/>
    <w:rsid w:val="2199718E"/>
    <w:rsid w:val="21C25798"/>
    <w:rsid w:val="21DF2286"/>
    <w:rsid w:val="21F75E0C"/>
    <w:rsid w:val="2208D00A"/>
    <w:rsid w:val="22175E47"/>
    <w:rsid w:val="224947ED"/>
    <w:rsid w:val="2283CF5C"/>
    <w:rsid w:val="22A636C4"/>
    <w:rsid w:val="22AD3CBD"/>
    <w:rsid w:val="22E08D12"/>
    <w:rsid w:val="23C7708A"/>
    <w:rsid w:val="23FCD698"/>
    <w:rsid w:val="242266CE"/>
    <w:rsid w:val="242AF3C1"/>
    <w:rsid w:val="255D5CBC"/>
    <w:rsid w:val="25895E61"/>
    <w:rsid w:val="25D726C6"/>
    <w:rsid w:val="25DC56B8"/>
    <w:rsid w:val="25ECDB64"/>
    <w:rsid w:val="26ABC00E"/>
    <w:rsid w:val="27B69C8D"/>
    <w:rsid w:val="28782653"/>
    <w:rsid w:val="28A7460D"/>
    <w:rsid w:val="28B820B6"/>
    <w:rsid w:val="28E94B98"/>
    <w:rsid w:val="28ECF25D"/>
    <w:rsid w:val="290122AF"/>
    <w:rsid w:val="2911194C"/>
    <w:rsid w:val="2914E489"/>
    <w:rsid w:val="293DE811"/>
    <w:rsid w:val="2949C693"/>
    <w:rsid w:val="29BA0FC7"/>
    <w:rsid w:val="29C1E108"/>
    <w:rsid w:val="29FC35FE"/>
    <w:rsid w:val="2A1077F8"/>
    <w:rsid w:val="2A8730DA"/>
    <w:rsid w:val="2A8C227A"/>
    <w:rsid w:val="2A958A52"/>
    <w:rsid w:val="2A9A570B"/>
    <w:rsid w:val="2A9B5914"/>
    <w:rsid w:val="2AE9F697"/>
    <w:rsid w:val="2B11B818"/>
    <w:rsid w:val="2B682238"/>
    <w:rsid w:val="2B7DEBE6"/>
    <w:rsid w:val="2B9727A3"/>
    <w:rsid w:val="2B98AEBD"/>
    <w:rsid w:val="2BAF4859"/>
    <w:rsid w:val="2BE54E10"/>
    <w:rsid w:val="2C2A3DE3"/>
    <w:rsid w:val="2C6E45F3"/>
    <w:rsid w:val="2C75E7D9"/>
    <w:rsid w:val="2C7D2415"/>
    <w:rsid w:val="2C856650"/>
    <w:rsid w:val="2CB15FE2"/>
    <w:rsid w:val="2CE40031"/>
    <w:rsid w:val="2CEF7739"/>
    <w:rsid w:val="2D0729CC"/>
    <w:rsid w:val="2D12DFBB"/>
    <w:rsid w:val="2D244264"/>
    <w:rsid w:val="2D5CA0CF"/>
    <w:rsid w:val="2D5FF842"/>
    <w:rsid w:val="2DECECC1"/>
    <w:rsid w:val="2DFA69DB"/>
    <w:rsid w:val="2E08067F"/>
    <w:rsid w:val="2E28DDE4"/>
    <w:rsid w:val="2E30BB0B"/>
    <w:rsid w:val="2E7B2152"/>
    <w:rsid w:val="2EE674FA"/>
    <w:rsid w:val="2F16D131"/>
    <w:rsid w:val="2F17E3B3"/>
    <w:rsid w:val="2F32E087"/>
    <w:rsid w:val="2FA133D2"/>
    <w:rsid w:val="2FA92669"/>
    <w:rsid w:val="2FAFC90E"/>
    <w:rsid w:val="2FC0D76E"/>
    <w:rsid w:val="301F75E2"/>
    <w:rsid w:val="3020C731"/>
    <w:rsid w:val="30265529"/>
    <w:rsid w:val="303D8F83"/>
    <w:rsid w:val="3083F8BD"/>
    <w:rsid w:val="30E70D86"/>
    <w:rsid w:val="31B28D43"/>
    <w:rsid w:val="324AD047"/>
    <w:rsid w:val="325F0F58"/>
    <w:rsid w:val="32C309FA"/>
    <w:rsid w:val="32D45B81"/>
    <w:rsid w:val="3338064C"/>
    <w:rsid w:val="33393229"/>
    <w:rsid w:val="334AACA4"/>
    <w:rsid w:val="33504230"/>
    <w:rsid w:val="338809AE"/>
    <w:rsid w:val="33A5AF44"/>
    <w:rsid w:val="33BF31CD"/>
    <w:rsid w:val="33DA29BB"/>
    <w:rsid w:val="34511FE8"/>
    <w:rsid w:val="345C7382"/>
    <w:rsid w:val="34C429B4"/>
    <w:rsid w:val="34D52ADF"/>
    <w:rsid w:val="34E1CA98"/>
    <w:rsid w:val="34E38780"/>
    <w:rsid w:val="34FB5762"/>
    <w:rsid w:val="3519BE68"/>
    <w:rsid w:val="351BF64F"/>
    <w:rsid w:val="353719D8"/>
    <w:rsid w:val="3542EB17"/>
    <w:rsid w:val="355F6801"/>
    <w:rsid w:val="356E104F"/>
    <w:rsid w:val="356E2005"/>
    <w:rsid w:val="3599915B"/>
    <w:rsid w:val="35BEA477"/>
    <w:rsid w:val="35D9E132"/>
    <w:rsid w:val="35FE64A5"/>
    <w:rsid w:val="361D960F"/>
    <w:rsid w:val="363D71EE"/>
    <w:rsid w:val="36514D33"/>
    <w:rsid w:val="3656BE07"/>
    <w:rsid w:val="365F9F56"/>
    <w:rsid w:val="36698D2E"/>
    <w:rsid w:val="36979565"/>
    <w:rsid w:val="36A0462E"/>
    <w:rsid w:val="36A085EC"/>
    <w:rsid w:val="36ABFA32"/>
    <w:rsid w:val="36E4C870"/>
    <w:rsid w:val="36EA762D"/>
    <w:rsid w:val="36FDCDD6"/>
    <w:rsid w:val="3700A1C1"/>
    <w:rsid w:val="37222349"/>
    <w:rsid w:val="373C98CF"/>
    <w:rsid w:val="374742F9"/>
    <w:rsid w:val="3787711D"/>
    <w:rsid w:val="3797F3A9"/>
    <w:rsid w:val="37BD5518"/>
    <w:rsid w:val="37E3EFA2"/>
    <w:rsid w:val="37FA9ACD"/>
    <w:rsid w:val="3808539E"/>
    <w:rsid w:val="3820E175"/>
    <w:rsid w:val="382941B1"/>
    <w:rsid w:val="387D6D89"/>
    <w:rsid w:val="387FC138"/>
    <w:rsid w:val="388DE858"/>
    <w:rsid w:val="38B7A1C2"/>
    <w:rsid w:val="3900E77C"/>
    <w:rsid w:val="391A8D26"/>
    <w:rsid w:val="3944F18E"/>
    <w:rsid w:val="39F80903"/>
    <w:rsid w:val="3A37BC42"/>
    <w:rsid w:val="3A3D05F6"/>
    <w:rsid w:val="3A590A7F"/>
    <w:rsid w:val="3A7FE88F"/>
    <w:rsid w:val="3AA9E7EF"/>
    <w:rsid w:val="3ABE0C7A"/>
    <w:rsid w:val="3B43246F"/>
    <w:rsid w:val="3B5484F4"/>
    <w:rsid w:val="3B74145E"/>
    <w:rsid w:val="3B7F6BC3"/>
    <w:rsid w:val="3B8AF9E0"/>
    <w:rsid w:val="3B903C06"/>
    <w:rsid w:val="3BA48436"/>
    <w:rsid w:val="3BB26273"/>
    <w:rsid w:val="3BDDF32B"/>
    <w:rsid w:val="3BDE1234"/>
    <w:rsid w:val="3BEBBAC9"/>
    <w:rsid w:val="3BF65CF6"/>
    <w:rsid w:val="3C286C3B"/>
    <w:rsid w:val="3C54FE46"/>
    <w:rsid w:val="3C67EDEE"/>
    <w:rsid w:val="3C6C1F98"/>
    <w:rsid w:val="3C6E2B4E"/>
    <w:rsid w:val="3CA3EA40"/>
    <w:rsid w:val="3D4405BA"/>
    <w:rsid w:val="3DB7FEA3"/>
    <w:rsid w:val="3DD8F0E4"/>
    <w:rsid w:val="3E1F7660"/>
    <w:rsid w:val="3EA3D5BD"/>
    <w:rsid w:val="3EAABC7E"/>
    <w:rsid w:val="3EAE9D93"/>
    <w:rsid w:val="3EB950A9"/>
    <w:rsid w:val="3ECD3777"/>
    <w:rsid w:val="3F1A2E13"/>
    <w:rsid w:val="3F55A81D"/>
    <w:rsid w:val="3F6364B6"/>
    <w:rsid w:val="3F804BA3"/>
    <w:rsid w:val="3F95A20D"/>
    <w:rsid w:val="401DD1EC"/>
    <w:rsid w:val="403F6602"/>
    <w:rsid w:val="40468C62"/>
    <w:rsid w:val="404B2ACF"/>
    <w:rsid w:val="40AF3E21"/>
    <w:rsid w:val="40F13CA4"/>
    <w:rsid w:val="413C3179"/>
    <w:rsid w:val="4156A32D"/>
    <w:rsid w:val="4159764D"/>
    <w:rsid w:val="41F8FE96"/>
    <w:rsid w:val="42226EAE"/>
    <w:rsid w:val="423A9030"/>
    <w:rsid w:val="425238B7"/>
    <w:rsid w:val="4270D5DD"/>
    <w:rsid w:val="4293EA2A"/>
    <w:rsid w:val="42942ADC"/>
    <w:rsid w:val="42CAFA8F"/>
    <w:rsid w:val="4369E7BC"/>
    <w:rsid w:val="43DC8A0E"/>
    <w:rsid w:val="43FFFBB3"/>
    <w:rsid w:val="4425EC3A"/>
    <w:rsid w:val="44286163"/>
    <w:rsid w:val="444EC1D2"/>
    <w:rsid w:val="4471BE31"/>
    <w:rsid w:val="44829BBD"/>
    <w:rsid w:val="44939762"/>
    <w:rsid w:val="44D75F50"/>
    <w:rsid w:val="44E3C985"/>
    <w:rsid w:val="44E50234"/>
    <w:rsid w:val="44E9F6D9"/>
    <w:rsid w:val="454C4F82"/>
    <w:rsid w:val="454EC0F6"/>
    <w:rsid w:val="4559DE16"/>
    <w:rsid w:val="45776503"/>
    <w:rsid w:val="45969032"/>
    <w:rsid w:val="45A7CCD7"/>
    <w:rsid w:val="45C43110"/>
    <w:rsid w:val="45EC8856"/>
    <w:rsid w:val="462730F8"/>
    <w:rsid w:val="464CB38B"/>
    <w:rsid w:val="4666886A"/>
    <w:rsid w:val="46EC2467"/>
    <w:rsid w:val="4701D3DB"/>
    <w:rsid w:val="4734DF23"/>
    <w:rsid w:val="474AE648"/>
    <w:rsid w:val="4756F914"/>
    <w:rsid w:val="475F7393"/>
    <w:rsid w:val="4795D990"/>
    <w:rsid w:val="47BE285A"/>
    <w:rsid w:val="47CDFA61"/>
    <w:rsid w:val="480BA74F"/>
    <w:rsid w:val="4815386E"/>
    <w:rsid w:val="482C675C"/>
    <w:rsid w:val="48400A75"/>
    <w:rsid w:val="484ECDBD"/>
    <w:rsid w:val="4875F304"/>
    <w:rsid w:val="48A43DDE"/>
    <w:rsid w:val="48AE33DA"/>
    <w:rsid w:val="49098AB6"/>
    <w:rsid w:val="491BC948"/>
    <w:rsid w:val="499880AE"/>
    <w:rsid w:val="49F29C8B"/>
    <w:rsid w:val="4A280B8E"/>
    <w:rsid w:val="4A3870EC"/>
    <w:rsid w:val="4A4055CA"/>
    <w:rsid w:val="4A4EB292"/>
    <w:rsid w:val="4A7AC852"/>
    <w:rsid w:val="4A7FE89D"/>
    <w:rsid w:val="4AE7F996"/>
    <w:rsid w:val="4B4C288B"/>
    <w:rsid w:val="4BA57F64"/>
    <w:rsid w:val="4CCCBB8E"/>
    <w:rsid w:val="4D3B91A5"/>
    <w:rsid w:val="4D77F40E"/>
    <w:rsid w:val="4DEA5122"/>
    <w:rsid w:val="4DF133D3"/>
    <w:rsid w:val="4DF9A357"/>
    <w:rsid w:val="4E15EC5B"/>
    <w:rsid w:val="4E23D96C"/>
    <w:rsid w:val="4E24C00E"/>
    <w:rsid w:val="4E2E9B76"/>
    <w:rsid w:val="4E387780"/>
    <w:rsid w:val="4E4286D5"/>
    <w:rsid w:val="4E723335"/>
    <w:rsid w:val="4E7433BE"/>
    <w:rsid w:val="4E7F6965"/>
    <w:rsid w:val="4EC222FC"/>
    <w:rsid w:val="4F11D3C1"/>
    <w:rsid w:val="4F17244D"/>
    <w:rsid w:val="4F17CA59"/>
    <w:rsid w:val="4F1B50E6"/>
    <w:rsid w:val="4F1E3E61"/>
    <w:rsid w:val="4F1EBC90"/>
    <w:rsid w:val="4F43567A"/>
    <w:rsid w:val="4F4EC02C"/>
    <w:rsid w:val="4FD6D26A"/>
    <w:rsid w:val="50387A6B"/>
    <w:rsid w:val="503FED69"/>
    <w:rsid w:val="504F0405"/>
    <w:rsid w:val="5087A25A"/>
    <w:rsid w:val="508DA324"/>
    <w:rsid w:val="509E05F3"/>
    <w:rsid w:val="50A4F349"/>
    <w:rsid w:val="50BBF664"/>
    <w:rsid w:val="50D884E5"/>
    <w:rsid w:val="510762F2"/>
    <w:rsid w:val="51205BF4"/>
    <w:rsid w:val="51379B14"/>
    <w:rsid w:val="51604858"/>
    <w:rsid w:val="5174FE4C"/>
    <w:rsid w:val="518FFEBD"/>
    <w:rsid w:val="51982ECF"/>
    <w:rsid w:val="51999908"/>
    <w:rsid w:val="51AF284B"/>
    <w:rsid w:val="51C719B7"/>
    <w:rsid w:val="51D20713"/>
    <w:rsid w:val="51FD9409"/>
    <w:rsid w:val="52965A44"/>
    <w:rsid w:val="52AFC9B2"/>
    <w:rsid w:val="52F0DE3B"/>
    <w:rsid w:val="52F7B0D3"/>
    <w:rsid w:val="5312E0C0"/>
    <w:rsid w:val="532F5BA9"/>
    <w:rsid w:val="5337F61F"/>
    <w:rsid w:val="53923B30"/>
    <w:rsid w:val="53AE8A3B"/>
    <w:rsid w:val="53DC4142"/>
    <w:rsid w:val="53E8C160"/>
    <w:rsid w:val="53EE8814"/>
    <w:rsid w:val="53FB1176"/>
    <w:rsid w:val="5427AFB8"/>
    <w:rsid w:val="5463D4BF"/>
    <w:rsid w:val="546B918B"/>
    <w:rsid w:val="5474E602"/>
    <w:rsid w:val="54FCF767"/>
    <w:rsid w:val="55037CB2"/>
    <w:rsid w:val="553BF6D1"/>
    <w:rsid w:val="5566A9CC"/>
    <w:rsid w:val="558684FD"/>
    <w:rsid w:val="55A3CA81"/>
    <w:rsid w:val="55A584C5"/>
    <w:rsid w:val="55C41EB8"/>
    <w:rsid w:val="55C8F548"/>
    <w:rsid w:val="55F9EFBA"/>
    <w:rsid w:val="55FDB924"/>
    <w:rsid w:val="562C9EC2"/>
    <w:rsid w:val="56BE082D"/>
    <w:rsid w:val="5713DE6C"/>
    <w:rsid w:val="57288885"/>
    <w:rsid w:val="5738CA98"/>
    <w:rsid w:val="573EDDF0"/>
    <w:rsid w:val="57419187"/>
    <w:rsid w:val="574B745C"/>
    <w:rsid w:val="578742F8"/>
    <w:rsid w:val="578F4982"/>
    <w:rsid w:val="57B5EFBC"/>
    <w:rsid w:val="57C20082"/>
    <w:rsid w:val="57CA0EB2"/>
    <w:rsid w:val="57F6CFD5"/>
    <w:rsid w:val="5834C694"/>
    <w:rsid w:val="5837A94F"/>
    <w:rsid w:val="58486626"/>
    <w:rsid w:val="585EBC8B"/>
    <w:rsid w:val="588A60A7"/>
    <w:rsid w:val="588C0E2F"/>
    <w:rsid w:val="588CE8E4"/>
    <w:rsid w:val="58A82E8C"/>
    <w:rsid w:val="58EC5668"/>
    <w:rsid w:val="593F551E"/>
    <w:rsid w:val="5952EA54"/>
    <w:rsid w:val="5963FE64"/>
    <w:rsid w:val="5976E691"/>
    <w:rsid w:val="59779903"/>
    <w:rsid w:val="599A52D6"/>
    <w:rsid w:val="59B625B9"/>
    <w:rsid w:val="59C5FDAB"/>
    <w:rsid w:val="59FDDE00"/>
    <w:rsid w:val="5A13703D"/>
    <w:rsid w:val="5A436457"/>
    <w:rsid w:val="5A5696C3"/>
    <w:rsid w:val="5A908329"/>
    <w:rsid w:val="5AA9BA9C"/>
    <w:rsid w:val="5AC15F93"/>
    <w:rsid w:val="5B1FC482"/>
    <w:rsid w:val="5B3B589F"/>
    <w:rsid w:val="5B7B5802"/>
    <w:rsid w:val="5BA2BA94"/>
    <w:rsid w:val="5BA3D272"/>
    <w:rsid w:val="5BCBA32F"/>
    <w:rsid w:val="5C0A2BBB"/>
    <w:rsid w:val="5C31DD85"/>
    <w:rsid w:val="5C39A081"/>
    <w:rsid w:val="5C44C27C"/>
    <w:rsid w:val="5C58F2B0"/>
    <w:rsid w:val="5C793720"/>
    <w:rsid w:val="5CAFEA16"/>
    <w:rsid w:val="5CB27268"/>
    <w:rsid w:val="5CBF830F"/>
    <w:rsid w:val="5CD22DC9"/>
    <w:rsid w:val="5CDA9E60"/>
    <w:rsid w:val="5D000FF9"/>
    <w:rsid w:val="5D61489B"/>
    <w:rsid w:val="5D98C749"/>
    <w:rsid w:val="5E53509A"/>
    <w:rsid w:val="5E5D9384"/>
    <w:rsid w:val="5E6EECD3"/>
    <w:rsid w:val="5EAF5645"/>
    <w:rsid w:val="5EFA0147"/>
    <w:rsid w:val="5F2D534C"/>
    <w:rsid w:val="5F71AFF5"/>
    <w:rsid w:val="5FF6A567"/>
    <w:rsid w:val="60240C64"/>
    <w:rsid w:val="604A9E20"/>
    <w:rsid w:val="60DFCF03"/>
    <w:rsid w:val="610B3BC5"/>
    <w:rsid w:val="611982D8"/>
    <w:rsid w:val="6131281A"/>
    <w:rsid w:val="616C68A3"/>
    <w:rsid w:val="617426F4"/>
    <w:rsid w:val="618145B2"/>
    <w:rsid w:val="619D901B"/>
    <w:rsid w:val="61C7DC4F"/>
    <w:rsid w:val="62003D3C"/>
    <w:rsid w:val="6204B04D"/>
    <w:rsid w:val="6215B4DA"/>
    <w:rsid w:val="6268ABD1"/>
    <w:rsid w:val="629F6FB0"/>
    <w:rsid w:val="62A4E834"/>
    <w:rsid w:val="62B43E3A"/>
    <w:rsid w:val="630EE64E"/>
    <w:rsid w:val="631F88B9"/>
    <w:rsid w:val="632D2F6A"/>
    <w:rsid w:val="633BE3A1"/>
    <w:rsid w:val="63430A8E"/>
    <w:rsid w:val="6353A2EB"/>
    <w:rsid w:val="636CF1AB"/>
    <w:rsid w:val="6372ADB2"/>
    <w:rsid w:val="6386CDB1"/>
    <w:rsid w:val="63939BB7"/>
    <w:rsid w:val="63BD04CF"/>
    <w:rsid w:val="63DB24AB"/>
    <w:rsid w:val="63F01144"/>
    <w:rsid w:val="640CDC0F"/>
    <w:rsid w:val="641BB54A"/>
    <w:rsid w:val="6421CED8"/>
    <w:rsid w:val="64758D9B"/>
    <w:rsid w:val="649DE760"/>
    <w:rsid w:val="64A85B52"/>
    <w:rsid w:val="64AF132C"/>
    <w:rsid w:val="64EF3A67"/>
    <w:rsid w:val="6514417B"/>
    <w:rsid w:val="6514BA06"/>
    <w:rsid w:val="65171410"/>
    <w:rsid w:val="654C8348"/>
    <w:rsid w:val="654D3A57"/>
    <w:rsid w:val="6560D9E2"/>
    <w:rsid w:val="65D07CB3"/>
    <w:rsid w:val="6620E0E4"/>
    <w:rsid w:val="663C459F"/>
    <w:rsid w:val="664494F1"/>
    <w:rsid w:val="66924C57"/>
    <w:rsid w:val="66BE7C4A"/>
    <w:rsid w:val="66E2D7E1"/>
    <w:rsid w:val="67723EE3"/>
    <w:rsid w:val="6795DFF7"/>
    <w:rsid w:val="67C96B8B"/>
    <w:rsid w:val="680B99E2"/>
    <w:rsid w:val="6844F9A3"/>
    <w:rsid w:val="6857A91D"/>
    <w:rsid w:val="68EC9E82"/>
    <w:rsid w:val="68F6CADC"/>
    <w:rsid w:val="6909DFAB"/>
    <w:rsid w:val="6918FBB1"/>
    <w:rsid w:val="693EC4BB"/>
    <w:rsid w:val="694F152D"/>
    <w:rsid w:val="697A5D96"/>
    <w:rsid w:val="69DBD968"/>
    <w:rsid w:val="6A28850E"/>
    <w:rsid w:val="6A8EF0E5"/>
    <w:rsid w:val="6A962E91"/>
    <w:rsid w:val="6AB1AB3C"/>
    <w:rsid w:val="6AB8E759"/>
    <w:rsid w:val="6AC01E44"/>
    <w:rsid w:val="6B6A0606"/>
    <w:rsid w:val="6B98EFB5"/>
    <w:rsid w:val="6BA2F5D0"/>
    <w:rsid w:val="6BAAAC6B"/>
    <w:rsid w:val="6BCDBF73"/>
    <w:rsid w:val="6BD3F659"/>
    <w:rsid w:val="6BDF0487"/>
    <w:rsid w:val="6C2BBCD8"/>
    <w:rsid w:val="6C31819E"/>
    <w:rsid w:val="6C6AC52A"/>
    <w:rsid w:val="6C80F91A"/>
    <w:rsid w:val="6C982E44"/>
    <w:rsid w:val="6CA7041E"/>
    <w:rsid w:val="6CEC0CF9"/>
    <w:rsid w:val="6CF1617A"/>
    <w:rsid w:val="6D0A56F1"/>
    <w:rsid w:val="6D678EC7"/>
    <w:rsid w:val="6D8B9811"/>
    <w:rsid w:val="6DA29793"/>
    <w:rsid w:val="6DD1893D"/>
    <w:rsid w:val="6DE9E10A"/>
    <w:rsid w:val="6E38E110"/>
    <w:rsid w:val="6E7E26D4"/>
    <w:rsid w:val="6EB9852D"/>
    <w:rsid w:val="6ED0EF5F"/>
    <w:rsid w:val="6F0C0EF0"/>
    <w:rsid w:val="6F11C3BF"/>
    <w:rsid w:val="6F1ABD28"/>
    <w:rsid w:val="6F4FC735"/>
    <w:rsid w:val="6F5E94B6"/>
    <w:rsid w:val="6F6AE566"/>
    <w:rsid w:val="6FB429CE"/>
    <w:rsid w:val="6FBB0377"/>
    <w:rsid w:val="6FE20220"/>
    <w:rsid w:val="6FFECFBE"/>
    <w:rsid w:val="70066485"/>
    <w:rsid w:val="7009F4A5"/>
    <w:rsid w:val="703F3C88"/>
    <w:rsid w:val="7089D41D"/>
    <w:rsid w:val="70A6477F"/>
    <w:rsid w:val="70C166FE"/>
    <w:rsid w:val="70C48117"/>
    <w:rsid w:val="7149095C"/>
    <w:rsid w:val="7151AD20"/>
    <w:rsid w:val="7171D3DB"/>
    <w:rsid w:val="71A5325E"/>
    <w:rsid w:val="71ABA0E4"/>
    <w:rsid w:val="71B770EE"/>
    <w:rsid w:val="720C831D"/>
    <w:rsid w:val="724B2FE7"/>
    <w:rsid w:val="72765D67"/>
    <w:rsid w:val="729CFFEB"/>
    <w:rsid w:val="72E18036"/>
    <w:rsid w:val="72E791AA"/>
    <w:rsid w:val="72FA6058"/>
    <w:rsid w:val="7395CB71"/>
    <w:rsid w:val="73D11C6F"/>
    <w:rsid w:val="73D7170E"/>
    <w:rsid w:val="7400323D"/>
    <w:rsid w:val="7424C432"/>
    <w:rsid w:val="747A3C7B"/>
    <w:rsid w:val="7492A010"/>
    <w:rsid w:val="74A3CB0F"/>
    <w:rsid w:val="74DBCE96"/>
    <w:rsid w:val="74FB090E"/>
    <w:rsid w:val="7511F4CB"/>
    <w:rsid w:val="752CD6DC"/>
    <w:rsid w:val="752CE2FD"/>
    <w:rsid w:val="753A5B56"/>
    <w:rsid w:val="75521A12"/>
    <w:rsid w:val="755BC801"/>
    <w:rsid w:val="7561244F"/>
    <w:rsid w:val="75740785"/>
    <w:rsid w:val="75A64AD8"/>
    <w:rsid w:val="75C09EE8"/>
    <w:rsid w:val="76034B36"/>
    <w:rsid w:val="761CDFAF"/>
    <w:rsid w:val="762A70A4"/>
    <w:rsid w:val="766A731C"/>
    <w:rsid w:val="76722E40"/>
    <w:rsid w:val="7687E166"/>
    <w:rsid w:val="76FAAAB8"/>
    <w:rsid w:val="77456DBD"/>
    <w:rsid w:val="777E4C3A"/>
    <w:rsid w:val="77A187D6"/>
    <w:rsid w:val="77B8B183"/>
    <w:rsid w:val="77D3CAF4"/>
    <w:rsid w:val="77E58F33"/>
    <w:rsid w:val="77E98814"/>
    <w:rsid w:val="77F20C4E"/>
    <w:rsid w:val="78266266"/>
    <w:rsid w:val="78700928"/>
    <w:rsid w:val="7888A81C"/>
    <w:rsid w:val="78AA3A3E"/>
    <w:rsid w:val="78BD5656"/>
    <w:rsid w:val="78D67B04"/>
    <w:rsid w:val="78F06D8E"/>
    <w:rsid w:val="78FD1F6C"/>
    <w:rsid w:val="7934BC56"/>
    <w:rsid w:val="795A2CA7"/>
    <w:rsid w:val="796C9D1A"/>
    <w:rsid w:val="7982CBA9"/>
    <w:rsid w:val="7998E17D"/>
    <w:rsid w:val="79A64FD2"/>
    <w:rsid w:val="79D6558B"/>
    <w:rsid w:val="7A071062"/>
    <w:rsid w:val="7A115108"/>
    <w:rsid w:val="7A192417"/>
    <w:rsid w:val="7A353CA4"/>
    <w:rsid w:val="7A77AD90"/>
    <w:rsid w:val="7A8AF31E"/>
    <w:rsid w:val="7AAD0F8D"/>
    <w:rsid w:val="7AAF8B4D"/>
    <w:rsid w:val="7AD58917"/>
    <w:rsid w:val="7ADBDF01"/>
    <w:rsid w:val="7AE4B8BA"/>
    <w:rsid w:val="7B160FB3"/>
    <w:rsid w:val="7B2A8852"/>
    <w:rsid w:val="7B3507E0"/>
    <w:rsid w:val="7B47E52A"/>
    <w:rsid w:val="7B634FCA"/>
    <w:rsid w:val="7B84AA8C"/>
    <w:rsid w:val="7B8C61BA"/>
    <w:rsid w:val="7B90567B"/>
    <w:rsid w:val="7BED06EF"/>
    <w:rsid w:val="7BF29857"/>
    <w:rsid w:val="7C22CBB8"/>
    <w:rsid w:val="7C615F5B"/>
    <w:rsid w:val="7CBD1C49"/>
    <w:rsid w:val="7D0F2485"/>
    <w:rsid w:val="7D446F12"/>
    <w:rsid w:val="7D51288F"/>
    <w:rsid w:val="7D5A9228"/>
    <w:rsid w:val="7D746AC7"/>
    <w:rsid w:val="7DAE7B1F"/>
    <w:rsid w:val="7DBA0B04"/>
    <w:rsid w:val="7DD39673"/>
    <w:rsid w:val="7DD3F6B6"/>
    <w:rsid w:val="7E193927"/>
    <w:rsid w:val="7E1B4AC3"/>
    <w:rsid w:val="7E5157B5"/>
    <w:rsid w:val="7E52B3D1"/>
    <w:rsid w:val="7E79F6B1"/>
    <w:rsid w:val="7E88D81F"/>
    <w:rsid w:val="7EAC5E79"/>
    <w:rsid w:val="7EB0CE95"/>
    <w:rsid w:val="7ECDAE4F"/>
    <w:rsid w:val="7EFDDA57"/>
    <w:rsid w:val="7EFF4F1A"/>
    <w:rsid w:val="7F22421F"/>
    <w:rsid w:val="7F87AFC3"/>
    <w:rsid w:val="7FE2FE4A"/>
    <w:rsid w:val="7FE3F938"/>
    <w:rsid w:val="7FEBA69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E1AA13"/>
  <w15:docId w15:val="{43EBF8C8-64F9-4804-B7DA-D19D5493A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803198"/>
    <w:pPr>
      <w:spacing w:after="120" w:line="280" w:lineRule="atLeast"/>
    </w:pPr>
    <w:rPr>
      <w:rFonts w:ascii="Avenir Book" w:hAnsi="Avenir Book"/>
      <w:sz w:val="21"/>
      <w:lang w:eastAsia="en-US"/>
    </w:rPr>
  </w:style>
  <w:style w:type="paragraph" w:styleId="Heading1">
    <w:name w:val="heading 1"/>
    <w:next w:val="Body"/>
    <w:link w:val="Heading1Char"/>
    <w:uiPriority w:val="1"/>
    <w:qFormat/>
    <w:rsid w:val="00803198"/>
    <w:pPr>
      <w:keepNext/>
      <w:keepLines/>
      <w:numPr>
        <w:numId w:val="43"/>
      </w:numPr>
      <w:spacing w:before="520" w:after="240" w:line="480" w:lineRule="atLeast"/>
      <w:outlineLvl w:val="0"/>
    </w:pPr>
    <w:rPr>
      <w:rFonts w:ascii="Avenir Medium" w:eastAsia="MS Gothic" w:hAnsi="Avenir Medium" w:cs="Arial"/>
      <w:bCs/>
      <w:color w:val="032833" w:themeColor="text1"/>
      <w:kern w:val="32"/>
      <w:sz w:val="44"/>
      <w:szCs w:val="44"/>
      <w:lang w:eastAsia="en-US"/>
    </w:rPr>
  </w:style>
  <w:style w:type="paragraph" w:styleId="Heading2">
    <w:name w:val="heading 2"/>
    <w:next w:val="Body"/>
    <w:link w:val="Heading2Char"/>
    <w:uiPriority w:val="1"/>
    <w:qFormat/>
    <w:rsid w:val="00803198"/>
    <w:pPr>
      <w:keepNext/>
      <w:keepLines/>
      <w:numPr>
        <w:ilvl w:val="1"/>
        <w:numId w:val="43"/>
      </w:numPr>
      <w:tabs>
        <w:tab w:val="num" w:pos="360"/>
      </w:tabs>
      <w:spacing w:before="360" w:after="120" w:line="360" w:lineRule="atLeast"/>
      <w:outlineLvl w:val="1"/>
    </w:pPr>
    <w:rPr>
      <w:rFonts w:ascii="Avenir Heavy" w:hAnsi="Avenir Heavy"/>
      <w:b/>
      <w:color w:val="032833" w:themeColor="text1"/>
      <w:sz w:val="32"/>
      <w:szCs w:val="28"/>
      <w:lang w:eastAsia="en-US"/>
    </w:rPr>
  </w:style>
  <w:style w:type="paragraph" w:styleId="Heading3">
    <w:name w:val="heading 3"/>
    <w:next w:val="Body"/>
    <w:link w:val="Heading3Char"/>
    <w:uiPriority w:val="1"/>
    <w:qFormat/>
    <w:rsid w:val="00803198"/>
    <w:pPr>
      <w:keepNext/>
      <w:keepLines/>
      <w:numPr>
        <w:ilvl w:val="2"/>
        <w:numId w:val="43"/>
      </w:numPr>
      <w:tabs>
        <w:tab w:val="num" w:pos="360"/>
      </w:tabs>
      <w:spacing w:before="280" w:after="120" w:line="320" w:lineRule="atLeast"/>
      <w:outlineLvl w:val="2"/>
    </w:pPr>
    <w:rPr>
      <w:rFonts w:ascii="Avenir Medium" w:eastAsia="MS Gothic" w:hAnsi="Avenir Medium"/>
      <w:bCs/>
      <w:color w:val="032833" w:themeColor="text1"/>
      <w:sz w:val="28"/>
      <w:szCs w:val="26"/>
      <w:lang w:eastAsia="en-US"/>
    </w:rPr>
  </w:style>
  <w:style w:type="paragraph" w:styleId="Heading4">
    <w:name w:val="heading 4"/>
    <w:next w:val="Body"/>
    <w:link w:val="Heading4Char"/>
    <w:uiPriority w:val="1"/>
    <w:qFormat/>
    <w:rsid w:val="00803198"/>
    <w:pPr>
      <w:keepNext/>
      <w:keepLines/>
      <w:numPr>
        <w:ilvl w:val="3"/>
        <w:numId w:val="43"/>
      </w:numPr>
      <w:spacing w:before="240" w:after="80" w:line="280" w:lineRule="atLeast"/>
      <w:outlineLvl w:val="3"/>
    </w:pPr>
    <w:rPr>
      <w:rFonts w:ascii="Avenir Heavy" w:eastAsia="MS Mincho" w:hAnsi="Avenir Heavy"/>
      <w:b/>
      <w:bCs/>
      <w:color w:val="032833" w:themeColor="text1"/>
      <w:sz w:val="24"/>
      <w:szCs w:val="22"/>
      <w:lang w:eastAsia="en-US"/>
    </w:rPr>
  </w:style>
  <w:style w:type="paragraph" w:styleId="Heading5">
    <w:name w:val="heading 5"/>
    <w:next w:val="Body"/>
    <w:link w:val="Heading5Char"/>
    <w:uiPriority w:val="98"/>
    <w:qFormat/>
    <w:rsid w:val="00DD227B"/>
    <w:pPr>
      <w:keepNext/>
      <w:keepLines/>
      <w:spacing w:before="240" w:after="80" w:line="240" w:lineRule="atLeast"/>
      <w:outlineLvl w:val="4"/>
    </w:pPr>
    <w:rPr>
      <w:rFonts w:ascii="Avenir Heavy" w:eastAsia="MS Mincho" w:hAnsi="Avenir Heavy"/>
      <w:b/>
      <w:bCs/>
      <w:iCs/>
      <w:color w:val="032833"/>
      <w:sz w:val="21"/>
      <w:szCs w:val="26"/>
      <w:lang w:eastAsia="en-US"/>
    </w:rPr>
  </w:style>
  <w:style w:type="paragraph" w:styleId="Heading6">
    <w:name w:val="heading 6"/>
    <w:basedOn w:val="Normal"/>
    <w:next w:val="Normal"/>
    <w:link w:val="Heading6Char"/>
    <w:uiPriority w:val="9"/>
    <w:semiHidden/>
    <w:unhideWhenUsed/>
    <w:qFormat/>
    <w:rsid w:val="004B25A0"/>
    <w:pPr>
      <w:keepNext/>
      <w:keepLines/>
      <w:numPr>
        <w:ilvl w:val="5"/>
        <w:numId w:val="43"/>
      </w:numPr>
      <w:spacing w:before="40" w:after="0"/>
      <w:outlineLvl w:val="5"/>
    </w:pPr>
    <w:rPr>
      <w:rFonts w:asciiTheme="majorHAnsi" w:eastAsiaTheme="majorEastAsia" w:hAnsiTheme="majorHAnsi" w:cstheme="majorBidi"/>
      <w:color w:val="073F49" w:themeColor="accent1" w:themeShade="7F"/>
    </w:rPr>
  </w:style>
  <w:style w:type="paragraph" w:styleId="Heading7">
    <w:name w:val="heading 7"/>
    <w:basedOn w:val="Normal"/>
    <w:next w:val="Normal"/>
    <w:link w:val="Heading7Char"/>
    <w:uiPriority w:val="9"/>
    <w:semiHidden/>
    <w:unhideWhenUsed/>
    <w:qFormat/>
    <w:rsid w:val="004B25A0"/>
    <w:pPr>
      <w:keepNext/>
      <w:keepLines/>
      <w:numPr>
        <w:ilvl w:val="6"/>
        <w:numId w:val="43"/>
      </w:numPr>
      <w:spacing w:before="40" w:after="0"/>
      <w:outlineLvl w:val="6"/>
    </w:pPr>
    <w:rPr>
      <w:rFonts w:asciiTheme="majorHAnsi" w:eastAsiaTheme="majorEastAsia" w:hAnsiTheme="majorHAnsi" w:cstheme="majorBidi"/>
      <w:i/>
      <w:iCs/>
      <w:color w:val="073F49" w:themeColor="accent1" w:themeShade="7F"/>
    </w:rPr>
  </w:style>
  <w:style w:type="paragraph" w:styleId="Heading8">
    <w:name w:val="heading 8"/>
    <w:basedOn w:val="Normal"/>
    <w:next w:val="Normal"/>
    <w:link w:val="Heading8Char"/>
    <w:uiPriority w:val="9"/>
    <w:semiHidden/>
    <w:unhideWhenUsed/>
    <w:qFormat/>
    <w:rsid w:val="004B25A0"/>
    <w:pPr>
      <w:keepNext/>
      <w:keepLines/>
      <w:numPr>
        <w:ilvl w:val="7"/>
        <w:numId w:val="43"/>
      </w:numPr>
      <w:spacing w:before="40" w:after="0"/>
      <w:outlineLvl w:val="7"/>
    </w:pPr>
    <w:rPr>
      <w:rFonts w:asciiTheme="majorHAnsi" w:eastAsiaTheme="majorEastAsia" w:hAnsiTheme="majorHAnsi" w:cstheme="majorBidi"/>
      <w:color w:val="075B74" w:themeColor="text1" w:themeTint="D8"/>
      <w:szCs w:val="21"/>
    </w:rPr>
  </w:style>
  <w:style w:type="paragraph" w:styleId="Heading9">
    <w:name w:val="heading 9"/>
    <w:basedOn w:val="Normal"/>
    <w:next w:val="Normal"/>
    <w:link w:val="Heading9Char"/>
    <w:uiPriority w:val="9"/>
    <w:semiHidden/>
    <w:unhideWhenUsed/>
    <w:qFormat/>
    <w:rsid w:val="004B25A0"/>
    <w:pPr>
      <w:keepNext/>
      <w:keepLines/>
      <w:numPr>
        <w:ilvl w:val="8"/>
        <w:numId w:val="43"/>
      </w:numPr>
      <w:spacing w:before="40" w:after="0"/>
      <w:outlineLvl w:val="8"/>
    </w:pPr>
    <w:rPr>
      <w:rFonts w:asciiTheme="majorHAnsi" w:eastAsiaTheme="majorEastAsia" w:hAnsiTheme="majorHAnsi" w:cstheme="majorBidi"/>
      <w:i/>
      <w:iCs/>
      <w:color w:val="075B74"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803198"/>
    <w:pPr>
      <w:spacing w:after="120" w:line="280" w:lineRule="atLeast"/>
    </w:pPr>
    <w:rPr>
      <w:rFonts w:ascii="Avenir Book" w:eastAsia="Times" w:hAnsi="Avenir Book"/>
      <w:sz w:val="21"/>
      <w:lang w:eastAsia="en-US"/>
    </w:rPr>
  </w:style>
  <w:style w:type="character" w:customStyle="1" w:styleId="Heading1Char">
    <w:name w:val="Heading 1 Char"/>
    <w:link w:val="Heading1"/>
    <w:uiPriority w:val="1"/>
    <w:rsid w:val="00803198"/>
    <w:rPr>
      <w:rFonts w:ascii="Avenir Medium" w:eastAsia="MS Gothic" w:hAnsi="Avenir Medium" w:cs="Arial"/>
      <w:bCs/>
      <w:color w:val="032833" w:themeColor="text1"/>
      <w:kern w:val="32"/>
      <w:sz w:val="44"/>
      <w:szCs w:val="44"/>
      <w:lang w:eastAsia="en-US"/>
    </w:rPr>
  </w:style>
  <w:style w:type="character" w:customStyle="1" w:styleId="Heading2Char">
    <w:name w:val="Heading 2 Char"/>
    <w:link w:val="Heading2"/>
    <w:uiPriority w:val="1"/>
    <w:rsid w:val="00803198"/>
    <w:rPr>
      <w:rFonts w:ascii="Avenir Heavy" w:hAnsi="Avenir Heavy"/>
      <w:b/>
      <w:color w:val="032833" w:themeColor="text1"/>
      <w:sz w:val="32"/>
      <w:szCs w:val="28"/>
      <w:lang w:eastAsia="en-US"/>
    </w:rPr>
  </w:style>
  <w:style w:type="character" w:customStyle="1" w:styleId="Heading3Char">
    <w:name w:val="Heading 3 Char"/>
    <w:link w:val="Heading3"/>
    <w:uiPriority w:val="1"/>
    <w:rsid w:val="00803198"/>
    <w:rPr>
      <w:rFonts w:ascii="Avenir Medium" w:eastAsia="MS Gothic" w:hAnsi="Avenir Medium"/>
      <w:bCs/>
      <w:color w:val="032833" w:themeColor="text1"/>
      <w:sz w:val="28"/>
      <w:szCs w:val="26"/>
      <w:lang w:eastAsia="en-US"/>
    </w:rPr>
  </w:style>
  <w:style w:type="character" w:customStyle="1" w:styleId="Heading4Char">
    <w:name w:val="Heading 4 Char"/>
    <w:link w:val="Heading4"/>
    <w:uiPriority w:val="1"/>
    <w:rsid w:val="00803198"/>
    <w:rPr>
      <w:rFonts w:ascii="Avenir Heavy" w:eastAsia="MS Mincho" w:hAnsi="Avenir Heavy"/>
      <w:b/>
      <w:bCs/>
      <w:color w:val="032833" w:themeColor="text1"/>
      <w:sz w:val="24"/>
      <w:szCs w:val="22"/>
      <w:lang w:eastAsia="en-US"/>
    </w:rPr>
  </w:style>
  <w:style w:type="paragraph" w:styleId="Footer">
    <w:name w:val="footer"/>
    <w:link w:val="FooterChar"/>
    <w:uiPriority w:val="8"/>
    <w:rsid w:val="00803198"/>
    <w:rPr>
      <w:rFonts w:ascii="Avenir Book" w:hAnsi="Avenir Book" w:cs="Arial"/>
      <w:sz w:val="18"/>
      <w:szCs w:val="18"/>
      <w:lang w:eastAsia="en-US"/>
    </w:rPr>
  </w:style>
  <w:style w:type="character" w:styleId="FollowedHyperlink">
    <w:name w:val="FollowedHyperlink"/>
    <w:uiPriority w:val="99"/>
    <w:rsid w:val="00803198"/>
    <w:rPr>
      <w:rFonts w:ascii="Avenir Medium" w:hAnsi="Avenir Medium"/>
      <w:b w:val="0"/>
      <w:i w:val="0"/>
      <w:color w:val="8761A9" w:themeColor="accent6"/>
      <w:u w:val="dotted"/>
    </w:rPr>
  </w:style>
  <w:style w:type="paragraph" w:customStyle="1" w:styleId="Tabletext6pt">
    <w:name w:val="Table text + 6pt"/>
    <w:basedOn w:val="Tabletext"/>
    <w:rsid w:val="00803198"/>
    <w:pPr>
      <w:spacing w:after="120"/>
    </w:pPr>
  </w:style>
  <w:style w:type="paragraph" w:styleId="EndnoteText">
    <w:name w:val="endnote text"/>
    <w:basedOn w:val="Normal"/>
    <w:link w:val="EndnoteTextChar"/>
    <w:semiHidden/>
    <w:rsid w:val="00803198"/>
    <w:rPr>
      <w:sz w:val="24"/>
      <w:szCs w:val="24"/>
    </w:rPr>
  </w:style>
  <w:style w:type="character" w:customStyle="1" w:styleId="EndnoteTextChar">
    <w:name w:val="Endnote Text Char"/>
    <w:link w:val="EndnoteText"/>
    <w:semiHidden/>
    <w:rsid w:val="00803198"/>
    <w:rPr>
      <w:rFonts w:ascii="Avenir Book" w:hAnsi="Avenir Book"/>
      <w:sz w:val="24"/>
      <w:szCs w:val="24"/>
      <w:lang w:eastAsia="en-US"/>
    </w:rPr>
  </w:style>
  <w:style w:type="character" w:styleId="EndnoteReference">
    <w:name w:val="endnote reference"/>
    <w:semiHidden/>
    <w:rsid w:val="00803198"/>
    <w:rPr>
      <w:vertAlign w:val="superscript"/>
    </w:rPr>
  </w:style>
  <w:style w:type="table" w:styleId="TableGrid">
    <w:name w:val="Table Grid"/>
    <w:basedOn w:val="TableNormal"/>
    <w:rsid w:val="00803198"/>
    <w:tblPr>
      <w:tblInd w:w="0" w:type="nil"/>
      <w:tblCellMar>
        <w:left w:w="0" w:type="dxa"/>
        <w:right w:w="0" w:type="dxa"/>
      </w:tblCellMar>
    </w:tblPr>
    <w:tcPr>
      <w:shd w:val="clear" w:color="auto" w:fill="032833" w:themeFill="text1"/>
    </w:tcPr>
  </w:style>
  <w:style w:type="paragraph" w:customStyle="1" w:styleId="Bodynospace">
    <w:name w:val="Body no space"/>
    <w:basedOn w:val="Body"/>
    <w:uiPriority w:val="1"/>
    <w:rsid w:val="00803198"/>
    <w:pPr>
      <w:spacing w:after="0"/>
    </w:pPr>
  </w:style>
  <w:style w:type="paragraph" w:customStyle="1" w:styleId="Bullet1">
    <w:name w:val="Bullet 1"/>
    <w:basedOn w:val="Body"/>
    <w:link w:val="Bullet1Char"/>
    <w:qFormat/>
    <w:rsid w:val="000A2F5B"/>
    <w:pPr>
      <w:numPr>
        <w:numId w:val="27"/>
      </w:numPr>
      <w:spacing w:after="40"/>
    </w:pPr>
  </w:style>
  <w:style w:type="paragraph" w:styleId="DocumentMap">
    <w:name w:val="Document Map"/>
    <w:basedOn w:val="Normal"/>
    <w:link w:val="DocumentMapChar"/>
    <w:uiPriority w:val="99"/>
    <w:semiHidden/>
    <w:unhideWhenUsed/>
    <w:rsid w:val="00803198"/>
    <w:rPr>
      <w:rFonts w:ascii="Lucida Grande" w:hAnsi="Lucida Grande" w:cs="Lucida Grande"/>
      <w:sz w:val="24"/>
      <w:szCs w:val="24"/>
    </w:rPr>
  </w:style>
  <w:style w:type="character" w:customStyle="1" w:styleId="DocumentMapChar">
    <w:name w:val="Document Map Char"/>
    <w:link w:val="DocumentMap"/>
    <w:uiPriority w:val="99"/>
    <w:semiHidden/>
    <w:rsid w:val="00803198"/>
    <w:rPr>
      <w:rFonts w:ascii="Lucida Grande" w:hAnsi="Lucida Grande" w:cs="Lucida Grande"/>
      <w:sz w:val="24"/>
      <w:szCs w:val="24"/>
      <w:lang w:eastAsia="en-US"/>
    </w:rPr>
  </w:style>
  <w:style w:type="character" w:styleId="PageNumber">
    <w:name w:val="page number"/>
    <w:uiPriority w:val="99"/>
    <w:semiHidden/>
    <w:unhideWhenUsed/>
    <w:rsid w:val="00803198"/>
    <w:rPr>
      <w:sz w:val="18"/>
    </w:rPr>
  </w:style>
  <w:style w:type="paragraph" w:styleId="TOC1">
    <w:name w:val="toc 1"/>
    <w:basedOn w:val="Normal"/>
    <w:next w:val="Normal"/>
    <w:uiPriority w:val="39"/>
    <w:rsid w:val="00803198"/>
    <w:pPr>
      <w:keepNext/>
      <w:keepLines/>
      <w:tabs>
        <w:tab w:val="right" w:leader="dot" w:pos="9299"/>
      </w:tabs>
      <w:spacing w:before="160" w:after="60"/>
    </w:pPr>
    <w:rPr>
      <w:rFonts w:ascii="Avenir Heavy" w:hAnsi="Avenir Heavy"/>
      <w:b/>
      <w:noProof/>
    </w:rPr>
  </w:style>
  <w:style w:type="character" w:customStyle="1" w:styleId="Heading5Char">
    <w:name w:val="Heading 5 Char"/>
    <w:link w:val="Heading5"/>
    <w:uiPriority w:val="98"/>
    <w:rsid w:val="00803198"/>
    <w:rPr>
      <w:rFonts w:ascii="Avenir Heavy" w:eastAsia="MS Mincho" w:hAnsi="Avenir Heavy"/>
      <w:b/>
      <w:bCs/>
      <w:iCs/>
      <w:color w:val="032833"/>
      <w:sz w:val="21"/>
      <w:szCs w:val="26"/>
      <w:lang w:eastAsia="en-US"/>
    </w:rPr>
  </w:style>
  <w:style w:type="character" w:styleId="Strong">
    <w:name w:val="Strong"/>
    <w:uiPriority w:val="22"/>
    <w:qFormat/>
    <w:rsid w:val="00803198"/>
    <w:rPr>
      <w:b/>
      <w:bCs/>
    </w:rPr>
  </w:style>
  <w:style w:type="paragraph" w:customStyle="1" w:styleId="TOCheadingreport">
    <w:name w:val="TOC heading report"/>
    <w:basedOn w:val="Heading1"/>
    <w:next w:val="Body"/>
    <w:link w:val="TOCheadingreportChar"/>
    <w:uiPriority w:val="4"/>
    <w:rsid w:val="00803198"/>
    <w:pPr>
      <w:pageBreakBefore/>
      <w:spacing w:before="0"/>
      <w:outlineLvl w:val="9"/>
    </w:pPr>
  </w:style>
  <w:style w:type="character" w:customStyle="1" w:styleId="TOCheadingreportChar">
    <w:name w:val="TOC heading report Char"/>
    <w:link w:val="TOCheadingreport"/>
    <w:uiPriority w:val="4"/>
    <w:rsid w:val="00803198"/>
    <w:rPr>
      <w:rFonts w:ascii="Avenir Medium" w:eastAsia="MS Gothic" w:hAnsi="Avenir Medium" w:cs="Arial"/>
      <w:bCs/>
      <w:color w:val="032833" w:themeColor="text1"/>
      <w:kern w:val="32"/>
      <w:sz w:val="44"/>
      <w:szCs w:val="44"/>
      <w:lang w:eastAsia="en-US"/>
    </w:rPr>
  </w:style>
  <w:style w:type="paragraph" w:styleId="TOC2">
    <w:name w:val="toc 2"/>
    <w:basedOn w:val="Normal"/>
    <w:next w:val="Normal"/>
    <w:uiPriority w:val="39"/>
    <w:rsid w:val="00803198"/>
    <w:pPr>
      <w:keepLines/>
      <w:tabs>
        <w:tab w:val="right" w:leader="dot" w:pos="9299"/>
      </w:tabs>
      <w:spacing w:after="60"/>
    </w:pPr>
    <w:rPr>
      <w:rFonts w:ascii="Avenir Medium" w:hAnsi="Avenir Medium"/>
      <w:noProof/>
    </w:rPr>
  </w:style>
  <w:style w:type="paragraph" w:styleId="TOC3">
    <w:name w:val="toc 3"/>
    <w:basedOn w:val="Normal"/>
    <w:next w:val="Normal"/>
    <w:uiPriority w:val="39"/>
    <w:rsid w:val="00803198"/>
    <w:pPr>
      <w:keepLines/>
      <w:tabs>
        <w:tab w:val="right" w:leader="dot" w:pos="9299"/>
      </w:tabs>
      <w:spacing w:after="60"/>
      <w:ind w:left="284"/>
    </w:pPr>
    <w:rPr>
      <w:rFonts w:cs="Arial"/>
    </w:rPr>
  </w:style>
  <w:style w:type="paragraph" w:styleId="TOC4">
    <w:name w:val="toc 4"/>
    <w:basedOn w:val="TOC3"/>
    <w:uiPriority w:val="39"/>
    <w:rsid w:val="00803198"/>
    <w:pPr>
      <w:ind w:left="567"/>
    </w:pPr>
  </w:style>
  <w:style w:type="paragraph" w:styleId="TOC5">
    <w:name w:val="toc 5"/>
    <w:basedOn w:val="TOC4"/>
    <w:rsid w:val="00803198"/>
    <w:pPr>
      <w:ind w:left="851"/>
    </w:pPr>
  </w:style>
  <w:style w:type="paragraph" w:styleId="TOC6">
    <w:name w:val="toc 6"/>
    <w:basedOn w:val="Normal"/>
    <w:next w:val="Normal"/>
    <w:autoRedefine/>
    <w:uiPriority w:val="39"/>
    <w:semiHidden/>
    <w:rsid w:val="00803198"/>
    <w:pPr>
      <w:ind w:left="1000"/>
    </w:pPr>
  </w:style>
  <w:style w:type="paragraph" w:styleId="TOC7">
    <w:name w:val="toc 7"/>
    <w:basedOn w:val="Normal"/>
    <w:next w:val="Normal"/>
    <w:autoRedefine/>
    <w:uiPriority w:val="39"/>
    <w:semiHidden/>
    <w:rsid w:val="00803198"/>
    <w:pPr>
      <w:ind w:left="1200"/>
    </w:pPr>
  </w:style>
  <w:style w:type="paragraph" w:styleId="TOC8">
    <w:name w:val="toc 8"/>
    <w:basedOn w:val="Normal"/>
    <w:next w:val="Normal"/>
    <w:autoRedefine/>
    <w:uiPriority w:val="39"/>
    <w:semiHidden/>
    <w:rsid w:val="00803198"/>
    <w:pPr>
      <w:ind w:left="1400"/>
    </w:pPr>
  </w:style>
  <w:style w:type="paragraph" w:styleId="TOC9">
    <w:name w:val="toc 9"/>
    <w:basedOn w:val="Normal"/>
    <w:next w:val="Normal"/>
    <w:autoRedefine/>
    <w:uiPriority w:val="39"/>
    <w:semiHidden/>
    <w:rsid w:val="00803198"/>
    <w:pPr>
      <w:ind w:left="1600"/>
    </w:pPr>
  </w:style>
  <w:style w:type="paragraph" w:styleId="Subtitle">
    <w:name w:val="Subtitle"/>
    <w:basedOn w:val="Normal"/>
    <w:next w:val="Normal"/>
    <w:link w:val="SubtitleChar"/>
    <w:uiPriority w:val="11"/>
    <w:qFormat/>
    <w:rsid w:val="00803198"/>
    <w:pPr>
      <w:spacing w:after="60"/>
      <w:jc w:val="center"/>
    </w:pPr>
    <w:rPr>
      <w:rFonts w:ascii="Calibri Light" w:hAnsi="Calibri Light"/>
      <w:sz w:val="24"/>
      <w:szCs w:val="24"/>
    </w:rPr>
  </w:style>
  <w:style w:type="paragraph" w:customStyle="1" w:styleId="Tabletext">
    <w:name w:val="Table text"/>
    <w:uiPriority w:val="3"/>
    <w:qFormat/>
    <w:rsid w:val="00803198"/>
    <w:pPr>
      <w:spacing w:before="80" w:after="60"/>
    </w:pPr>
    <w:rPr>
      <w:rFonts w:ascii="Avenir Book" w:hAnsi="Avenir Book"/>
      <w:sz w:val="21"/>
      <w:lang w:eastAsia="en-US"/>
    </w:rPr>
  </w:style>
  <w:style w:type="paragraph" w:customStyle="1" w:styleId="Tablecaption">
    <w:name w:val="Table caption"/>
    <w:next w:val="Body"/>
    <w:uiPriority w:val="3"/>
    <w:qFormat/>
    <w:rsid w:val="00803198"/>
    <w:pPr>
      <w:keepNext/>
      <w:keepLines/>
      <w:spacing w:before="240" w:after="120" w:line="250" w:lineRule="atLeast"/>
    </w:pPr>
    <w:rPr>
      <w:rFonts w:ascii="Avenir Heavy" w:hAnsi="Avenir Heavy"/>
      <w:b/>
      <w:sz w:val="21"/>
      <w:lang w:eastAsia="en-US"/>
    </w:rPr>
  </w:style>
  <w:style w:type="paragraph" w:customStyle="1" w:styleId="Documenttitle">
    <w:name w:val="Document title"/>
    <w:uiPriority w:val="8"/>
    <w:rsid w:val="00803198"/>
    <w:pPr>
      <w:spacing w:after="240" w:line="560" w:lineRule="atLeast"/>
    </w:pPr>
    <w:rPr>
      <w:rFonts w:ascii="Avenir Heavy" w:hAnsi="Avenir Heavy"/>
      <w:b/>
      <w:color w:val="032833" w:themeColor="text1"/>
      <w:sz w:val="48"/>
      <w:szCs w:val="50"/>
      <w:lang w:eastAsia="en-US"/>
    </w:rPr>
  </w:style>
  <w:style w:type="character" w:styleId="FootnoteReference">
    <w:name w:val="footnote reference"/>
    <w:uiPriority w:val="8"/>
    <w:rsid w:val="00803198"/>
    <w:rPr>
      <w:rFonts w:ascii="Avenir Book" w:hAnsi="Avenir Book"/>
      <w:b w:val="0"/>
      <w:i w:val="0"/>
      <w:vertAlign w:val="superscript"/>
    </w:rPr>
  </w:style>
  <w:style w:type="paragraph" w:customStyle="1" w:styleId="Accessibilitypara">
    <w:name w:val="Accessibility para"/>
    <w:uiPriority w:val="8"/>
    <w:rsid w:val="00803198"/>
    <w:pPr>
      <w:spacing w:before="120" w:after="200" w:line="300" w:lineRule="atLeast"/>
    </w:pPr>
    <w:rPr>
      <w:rFonts w:ascii="Avenir Book" w:eastAsia="Times" w:hAnsi="Avenir Book"/>
      <w:sz w:val="24"/>
      <w:szCs w:val="19"/>
      <w:lang w:eastAsia="en-US"/>
    </w:rPr>
  </w:style>
  <w:style w:type="paragraph" w:customStyle="1" w:styleId="Figurecaption">
    <w:name w:val="Figure caption"/>
    <w:next w:val="Body"/>
    <w:rsid w:val="00803198"/>
    <w:pPr>
      <w:keepNext/>
      <w:keepLines/>
      <w:spacing w:before="240" w:after="120" w:line="250" w:lineRule="atLeast"/>
    </w:pPr>
    <w:rPr>
      <w:rFonts w:ascii="Avenir Book" w:hAnsi="Avenir Book"/>
      <w:sz w:val="21"/>
      <w:lang w:eastAsia="en-US"/>
    </w:rPr>
  </w:style>
  <w:style w:type="paragraph" w:customStyle="1" w:styleId="Bullet2">
    <w:name w:val="Bullet 2"/>
    <w:basedOn w:val="Body"/>
    <w:uiPriority w:val="2"/>
    <w:qFormat/>
    <w:rsid w:val="00803198"/>
    <w:pPr>
      <w:numPr>
        <w:ilvl w:val="1"/>
        <w:numId w:val="27"/>
      </w:numPr>
      <w:spacing w:after="40"/>
    </w:pPr>
  </w:style>
  <w:style w:type="paragraph" w:customStyle="1" w:styleId="Bodyafterbullets">
    <w:name w:val="Body after bullets"/>
    <w:basedOn w:val="Body"/>
    <w:uiPriority w:val="11"/>
    <w:rsid w:val="00803198"/>
    <w:pPr>
      <w:spacing w:before="120"/>
    </w:pPr>
  </w:style>
  <w:style w:type="paragraph" w:customStyle="1" w:styleId="Tablebullet2">
    <w:name w:val="Table bullet 2"/>
    <w:basedOn w:val="Tabletext"/>
    <w:uiPriority w:val="11"/>
    <w:rsid w:val="00803198"/>
    <w:pPr>
      <w:numPr>
        <w:ilvl w:val="1"/>
        <w:numId w:val="32"/>
      </w:numPr>
    </w:pPr>
  </w:style>
  <w:style w:type="character" w:customStyle="1" w:styleId="SubtitleChar">
    <w:name w:val="Subtitle Char"/>
    <w:link w:val="Subtitle"/>
    <w:uiPriority w:val="11"/>
    <w:rsid w:val="00803198"/>
    <w:rPr>
      <w:rFonts w:ascii="Calibri Light" w:hAnsi="Calibri Light"/>
      <w:sz w:val="24"/>
      <w:szCs w:val="24"/>
      <w:lang w:eastAsia="en-US"/>
    </w:rPr>
  </w:style>
  <w:style w:type="paragraph" w:customStyle="1" w:styleId="Tablebullet1">
    <w:name w:val="Table bullet 1"/>
    <w:basedOn w:val="Tabletext"/>
    <w:uiPriority w:val="3"/>
    <w:qFormat/>
    <w:rsid w:val="00803198"/>
    <w:pPr>
      <w:numPr>
        <w:numId w:val="32"/>
      </w:numPr>
    </w:pPr>
  </w:style>
  <w:style w:type="numbering" w:customStyle="1" w:styleId="ZZTablebullets">
    <w:name w:val="ZZ Table bullets"/>
    <w:basedOn w:val="NoList"/>
    <w:rsid w:val="00803198"/>
    <w:pPr>
      <w:numPr>
        <w:numId w:val="7"/>
      </w:numPr>
    </w:pPr>
  </w:style>
  <w:style w:type="paragraph" w:customStyle="1" w:styleId="Tablecolhead">
    <w:name w:val="Table col head"/>
    <w:uiPriority w:val="3"/>
    <w:qFormat/>
    <w:rsid w:val="00803198"/>
    <w:pPr>
      <w:spacing w:before="80" w:after="60"/>
    </w:pPr>
    <w:rPr>
      <w:rFonts w:ascii="Avenir Black" w:hAnsi="Avenir Black"/>
      <w:b/>
      <w:color w:val="FFFFFF" w:themeColor="background1"/>
      <w:sz w:val="21"/>
      <w:lang w:eastAsia="en-US"/>
    </w:rPr>
  </w:style>
  <w:style w:type="paragraph" w:customStyle="1" w:styleId="Bulletafternumbers1">
    <w:name w:val="Bullet after numbers 1"/>
    <w:basedOn w:val="Body"/>
    <w:uiPriority w:val="4"/>
    <w:rsid w:val="00803198"/>
    <w:pPr>
      <w:numPr>
        <w:ilvl w:val="2"/>
        <w:numId w:val="28"/>
      </w:numPr>
    </w:pPr>
  </w:style>
  <w:style w:type="character" w:styleId="Hyperlink">
    <w:name w:val="Hyperlink"/>
    <w:uiPriority w:val="99"/>
    <w:rsid w:val="00803198"/>
    <w:rPr>
      <w:rFonts w:ascii="Avenir Medium" w:hAnsi="Avenir Medium"/>
      <w:b w:val="0"/>
      <w:i w:val="0"/>
      <w:color w:val="00865C"/>
      <w:u w:val="dotted"/>
    </w:rPr>
  </w:style>
  <w:style w:type="paragraph" w:customStyle="1" w:styleId="Documentsubtitle">
    <w:name w:val="Document subtitle"/>
    <w:uiPriority w:val="8"/>
    <w:rsid w:val="00803198"/>
    <w:pPr>
      <w:spacing w:after="120" w:line="360" w:lineRule="atLeast"/>
    </w:pPr>
    <w:rPr>
      <w:rFonts w:ascii="Avenir Medium" w:hAnsi="Avenir Medium"/>
      <w:color w:val="032833" w:themeColor="text1"/>
      <w:sz w:val="32"/>
      <w:szCs w:val="24"/>
      <w:lang w:eastAsia="en-US"/>
    </w:rPr>
  </w:style>
  <w:style w:type="paragraph" w:styleId="FootnoteText">
    <w:name w:val="footnote text"/>
    <w:basedOn w:val="Normal"/>
    <w:link w:val="FootnoteTextChar"/>
    <w:uiPriority w:val="8"/>
    <w:rsid w:val="00803198"/>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803198"/>
    <w:rPr>
      <w:rFonts w:ascii="Avenir Book" w:eastAsia="MS Gothic" w:hAnsi="Avenir Book" w:cs="Arial"/>
      <w:sz w:val="18"/>
      <w:szCs w:val="16"/>
      <w:lang w:eastAsia="en-US"/>
    </w:rPr>
  </w:style>
  <w:style w:type="paragraph" w:customStyle="1" w:styleId="Spacerparatopoffirstpage">
    <w:name w:val="Spacer para top of first page"/>
    <w:basedOn w:val="Bodynospace"/>
    <w:semiHidden/>
    <w:rsid w:val="00803198"/>
    <w:pPr>
      <w:spacing w:line="240" w:lineRule="auto"/>
    </w:pPr>
    <w:rPr>
      <w:noProof/>
      <w:sz w:val="12"/>
    </w:rPr>
  </w:style>
  <w:style w:type="paragraph" w:styleId="Title">
    <w:name w:val="Title"/>
    <w:basedOn w:val="Normal"/>
    <w:next w:val="Normal"/>
    <w:link w:val="TitleChar"/>
    <w:uiPriority w:val="10"/>
    <w:qFormat/>
    <w:rsid w:val="00803198"/>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803198"/>
    <w:rPr>
      <w:rFonts w:ascii="Calibri Light" w:hAnsi="Calibri Light"/>
      <w:b/>
      <w:bCs/>
      <w:kern w:val="28"/>
      <w:sz w:val="32"/>
      <w:szCs w:val="32"/>
      <w:lang w:eastAsia="en-US"/>
    </w:rPr>
  </w:style>
  <w:style w:type="numbering" w:customStyle="1" w:styleId="ZZBullets">
    <w:name w:val="ZZ Bullets"/>
    <w:rsid w:val="00803198"/>
    <w:pPr>
      <w:numPr>
        <w:numId w:val="2"/>
      </w:numPr>
    </w:pPr>
  </w:style>
  <w:style w:type="numbering" w:customStyle="1" w:styleId="ZZNumbersdigit">
    <w:name w:val="ZZ Numbers digit"/>
    <w:rsid w:val="00803198"/>
    <w:pPr>
      <w:numPr>
        <w:numId w:val="3"/>
      </w:numPr>
    </w:pPr>
  </w:style>
  <w:style w:type="numbering" w:customStyle="1" w:styleId="ZZQuotebullets">
    <w:name w:val="ZZ Quote bullets"/>
    <w:basedOn w:val="ZZNumbersdigit"/>
    <w:rsid w:val="00803198"/>
    <w:pPr>
      <w:numPr>
        <w:numId w:val="5"/>
      </w:numPr>
    </w:pPr>
  </w:style>
  <w:style w:type="paragraph" w:customStyle="1" w:styleId="Numberdigit">
    <w:name w:val="Number digit"/>
    <w:basedOn w:val="Body"/>
    <w:uiPriority w:val="2"/>
    <w:rsid w:val="00803198"/>
    <w:pPr>
      <w:numPr>
        <w:numId w:val="28"/>
      </w:numPr>
    </w:pPr>
  </w:style>
  <w:style w:type="paragraph" w:customStyle="1" w:styleId="Numberloweralphaindent">
    <w:name w:val="Number lower alpha indent"/>
    <w:basedOn w:val="Body"/>
    <w:uiPriority w:val="3"/>
    <w:rsid w:val="00803198"/>
    <w:pPr>
      <w:numPr>
        <w:ilvl w:val="1"/>
        <w:numId w:val="1"/>
      </w:numPr>
    </w:pPr>
  </w:style>
  <w:style w:type="paragraph" w:customStyle="1" w:styleId="Numberdigitindent">
    <w:name w:val="Number digit indent"/>
    <w:basedOn w:val="Body"/>
    <w:uiPriority w:val="3"/>
    <w:rsid w:val="00803198"/>
    <w:pPr>
      <w:numPr>
        <w:ilvl w:val="1"/>
        <w:numId w:val="28"/>
      </w:numPr>
    </w:pPr>
  </w:style>
  <w:style w:type="paragraph" w:customStyle="1" w:styleId="Numberloweralpha">
    <w:name w:val="Number lower alpha"/>
    <w:basedOn w:val="Body"/>
    <w:uiPriority w:val="3"/>
    <w:rsid w:val="00803198"/>
    <w:pPr>
      <w:numPr>
        <w:numId w:val="1"/>
      </w:numPr>
    </w:pPr>
  </w:style>
  <w:style w:type="paragraph" w:customStyle="1" w:styleId="Numberlowerroman">
    <w:name w:val="Number lower roman"/>
    <w:basedOn w:val="Body"/>
    <w:uiPriority w:val="3"/>
    <w:rsid w:val="00803198"/>
    <w:pPr>
      <w:numPr>
        <w:numId w:val="31"/>
      </w:numPr>
    </w:pPr>
  </w:style>
  <w:style w:type="paragraph" w:customStyle="1" w:styleId="Numberlowerromanindent">
    <w:name w:val="Number lower roman indent"/>
    <w:basedOn w:val="Body"/>
    <w:uiPriority w:val="3"/>
    <w:rsid w:val="00803198"/>
    <w:pPr>
      <w:numPr>
        <w:ilvl w:val="1"/>
        <w:numId w:val="31"/>
      </w:numPr>
    </w:pPr>
  </w:style>
  <w:style w:type="paragraph" w:customStyle="1" w:styleId="Quotetext">
    <w:name w:val="Quote text"/>
    <w:basedOn w:val="Body"/>
    <w:uiPriority w:val="4"/>
    <w:rsid w:val="00803198"/>
    <w:pPr>
      <w:ind w:left="397"/>
    </w:pPr>
    <w:rPr>
      <w:szCs w:val="18"/>
    </w:rPr>
  </w:style>
  <w:style w:type="paragraph" w:customStyle="1" w:styleId="Tablefigurenote">
    <w:name w:val="Table/figure note"/>
    <w:uiPriority w:val="4"/>
    <w:rsid w:val="00803198"/>
    <w:pPr>
      <w:spacing w:before="60" w:after="60" w:line="240" w:lineRule="exact"/>
    </w:pPr>
    <w:rPr>
      <w:rFonts w:ascii="Avenir Book" w:hAnsi="Avenir Book"/>
      <w:lang w:eastAsia="en-US"/>
    </w:rPr>
  </w:style>
  <w:style w:type="paragraph" w:customStyle="1" w:styleId="Bodyaftertablefigure">
    <w:name w:val="Body after table/figure"/>
    <w:basedOn w:val="Body"/>
    <w:next w:val="Body"/>
    <w:uiPriority w:val="1"/>
    <w:rsid w:val="00803198"/>
    <w:pPr>
      <w:spacing w:before="240"/>
    </w:pPr>
  </w:style>
  <w:style w:type="paragraph" w:customStyle="1" w:styleId="Bulletafternumbers2">
    <w:name w:val="Bullet after numbers 2"/>
    <w:basedOn w:val="Body"/>
    <w:rsid w:val="00803198"/>
    <w:pPr>
      <w:numPr>
        <w:ilvl w:val="3"/>
        <w:numId w:val="28"/>
      </w:numPr>
    </w:pPr>
  </w:style>
  <w:style w:type="numbering" w:customStyle="1" w:styleId="ZZNumberslowerroman">
    <w:name w:val="ZZ Numbers lower roman"/>
    <w:basedOn w:val="ZZQuotebullets"/>
    <w:rsid w:val="00803198"/>
    <w:pPr>
      <w:numPr>
        <w:numId w:val="6"/>
      </w:numPr>
    </w:pPr>
  </w:style>
  <w:style w:type="numbering" w:customStyle="1" w:styleId="ZZNumbersloweralpha">
    <w:name w:val="ZZ Numbers lower alpha"/>
    <w:basedOn w:val="NoList"/>
    <w:rsid w:val="00803198"/>
    <w:pPr>
      <w:numPr>
        <w:numId w:val="4"/>
      </w:numPr>
    </w:pPr>
  </w:style>
  <w:style w:type="paragraph" w:customStyle="1" w:styleId="Quotebullet1">
    <w:name w:val="Quote bullet 1"/>
    <w:basedOn w:val="Quotetext"/>
    <w:rsid w:val="00803198"/>
    <w:pPr>
      <w:numPr>
        <w:numId w:val="30"/>
      </w:numPr>
    </w:pPr>
  </w:style>
  <w:style w:type="paragraph" w:customStyle="1" w:styleId="Quotebullet2">
    <w:name w:val="Quote bullet 2"/>
    <w:basedOn w:val="Quotetext"/>
    <w:rsid w:val="00803198"/>
    <w:pPr>
      <w:numPr>
        <w:ilvl w:val="1"/>
        <w:numId w:val="30"/>
      </w:numPr>
    </w:pPr>
  </w:style>
  <w:style w:type="paragraph" w:styleId="CommentText">
    <w:name w:val="annotation text"/>
    <w:basedOn w:val="Normal"/>
    <w:link w:val="CommentTextChar"/>
    <w:uiPriority w:val="99"/>
    <w:unhideWhenUsed/>
    <w:rsid w:val="00803198"/>
  </w:style>
  <w:style w:type="character" w:customStyle="1" w:styleId="CommentTextChar">
    <w:name w:val="Comment Text Char"/>
    <w:basedOn w:val="DefaultParagraphFont"/>
    <w:link w:val="CommentText"/>
    <w:uiPriority w:val="99"/>
    <w:rsid w:val="00803198"/>
    <w:rPr>
      <w:rFonts w:ascii="Avenir Book" w:hAnsi="Avenir Book"/>
      <w:sz w:val="21"/>
      <w:lang w:eastAsia="en-US"/>
    </w:rPr>
  </w:style>
  <w:style w:type="character" w:styleId="CommentReference">
    <w:name w:val="annotation reference"/>
    <w:basedOn w:val="DefaultParagraphFont"/>
    <w:uiPriority w:val="99"/>
    <w:semiHidden/>
    <w:unhideWhenUsed/>
    <w:rsid w:val="00803198"/>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8031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198"/>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803198"/>
    <w:rPr>
      <w:b/>
      <w:bCs/>
    </w:rPr>
  </w:style>
  <w:style w:type="character" w:customStyle="1" w:styleId="CommentSubjectChar">
    <w:name w:val="Comment Subject Char"/>
    <w:basedOn w:val="CommentTextChar"/>
    <w:link w:val="CommentSubject"/>
    <w:uiPriority w:val="99"/>
    <w:semiHidden/>
    <w:rsid w:val="00803198"/>
    <w:rPr>
      <w:rFonts w:ascii="Avenir Book" w:hAnsi="Avenir Book"/>
      <w:b/>
      <w:bCs/>
      <w:sz w:val="21"/>
      <w:lang w:eastAsia="en-US"/>
    </w:rPr>
  </w:style>
  <w:style w:type="character" w:customStyle="1" w:styleId="BodyChar">
    <w:name w:val="Body Char"/>
    <w:basedOn w:val="DefaultParagraphFont"/>
    <w:link w:val="Body"/>
    <w:rsid w:val="00803198"/>
    <w:rPr>
      <w:rFonts w:ascii="Avenir Book" w:eastAsia="Times" w:hAnsi="Avenir Book"/>
      <w:sz w:val="21"/>
      <w:lang w:eastAsia="en-US"/>
    </w:rPr>
  </w:style>
  <w:style w:type="paragraph" w:customStyle="1" w:styleId="Bannermarking">
    <w:name w:val="Banner marking"/>
    <w:basedOn w:val="Body"/>
    <w:uiPriority w:val="11"/>
    <w:rsid w:val="00803198"/>
    <w:pPr>
      <w:spacing w:after="0"/>
    </w:pPr>
    <w:rPr>
      <w:rFonts w:ascii="Avenir Heavy" w:hAnsi="Avenir Heavy"/>
      <w:b/>
      <w:bCs/>
    </w:rPr>
  </w:style>
  <w:style w:type="character" w:styleId="UnresolvedMention">
    <w:name w:val="Unresolved Mention"/>
    <w:basedOn w:val="DefaultParagraphFont"/>
    <w:uiPriority w:val="99"/>
    <w:semiHidden/>
    <w:unhideWhenUsed/>
    <w:rsid w:val="00803198"/>
    <w:rPr>
      <w:color w:val="605E5C"/>
      <w:shd w:val="clear" w:color="auto" w:fill="E1DFDD"/>
    </w:rPr>
  </w:style>
  <w:style w:type="paragraph" w:customStyle="1" w:styleId="Imprint">
    <w:name w:val="Imprint"/>
    <w:basedOn w:val="Body"/>
    <w:uiPriority w:val="11"/>
    <w:rsid w:val="00803198"/>
    <w:pPr>
      <w:spacing w:after="60" w:line="270" w:lineRule="atLeast"/>
    </w:pPr>
    <w:rPr>
      <w:sz w:val="20"/>
    </w:rPr>
  </w:style>
  <w:style w:type="paragraph" w:customStyle="1" w:styleId="Introtext">
    <w:name w:val="Intro text"/>
    <w:basedOn w:val="Body"/>
    <w:uiPriority w:val="11"/>
    <w:rsid w:val="00803198"/>
    <w:pPr>
      <w:spacing w:line="320" w:lineRule="atLeast"/>
    </w:pPr>
    <w:rPr>
      <w:color w:val="032833" w:themeColor="text1"/>
      <w:sz w:val="24"/>
    </w:rPr>
  </w:style>
  <w:style w:type="character" w:styleId="Emphasis">
    <w:name w:val="Emphasis"/>
    <w:basedOn w:val="DefaultParagraphFont"/>
    <w:uiPriority w:val="20"/>
    <w:rsid w:val="00803198"/>
    <w:rPr>
      <w:rFonts w:ascii="AVENIR LIGHT OBLIQUE" w:hAnsi="AVENIR LIGHT OBLIQUE"/>
      <w:b w:val="0"/>
      <w:i/>
      <w:iCs/>
    </w:rPr>
  </w:style>
  <w:style w:type="character" w:customStyle="1" w:styleId="normaltextrun">
    <w:name w:val="normaltextrun"/>
    <w:basedOn w:val="DefaultParagraphFont"/>
    <w:rsid w:val="003F7E5B"/>
  </w:style>
  <w:style w:type="paragraph" w:styleId="ListParagraph">
    <w:name w:val="List Paragraph"/>
    <w:basedOn w:val="Normal"/>
    <w:uiPriority w:val="34"/>
    <w:qFormat/>
    <w:rsid w:val="00152C0A"/>
    <w:pPr>
      <w:ind w:left="720"/>
      <w:contextualSpacing/>
    </w:pPr>
    <w:rPr>
      <w:rFonts w:ascii="Verdana" w:hAnsi="Verdana"/>
    </w:rPr>
  </w:style>
  <w:style w:type="table" w:customStyle="1" w:styleId="TableGrid1">
    <w:name w:val="Table Grid1"/>
    <w:basedOn w:val="TableNormal"/>
    <w:next w:val="TableGrid"/>
    <w:rsid w:val="003E0BFE"/>
    <w:tblPr>
      <w:tblInd w:w="0" w:type="nil"/>
      <w:tblCellMar>
        <w:left w:w="0" w:type="dxa"/>
        <w:right w:w="0" w:type="dxa"/>
      </w:tblCellMar>
    </w:tblPr>
  </w:style>
  <w:style w:type="paragraph" w:customStyle="1" w:styleId="Heading1Unnumbered">
    <w:name w:val="Heading 1 Unnumbered"/>
    <w:basedOn w:val="Heading1"/>
    <w:rsid w:val="003449A5"/>
    <w:pPr>
      <w:numPr>
        <w:numId w:val="0"/>
      </w:numPr>
      <w:spacing w:before="320" w:after="200" w:line="440" w:lineRule="atLeast"/>
    </w:pPr>
    <w:rPr>
      <w:rFonts w:ascii="Verdana" w:hAnsi="Verdana"/>
      <w:color w:val="032833"/>
      <w:sz w:val="40"/>
      <w:szCs w:val="40"/>
      <w14:ligatures w14:val="standardContextual"/>
    </w:rPr>
  </w:style>
  <w:style w:type="paragraph" w:styleId="Header">
    <w:name w:val="header"/>
    <w:basedOn w:val="Normal"/>
    <w:link w:val="HeaderChar"/>
    <w:uiPriority w:val="99"/>
    <w:unhideWhenUsed/>
    <w:rsid w:val="005B59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983"/>
    <w:rPr>
      <w:rFonts w:ascii="Avenir Book" w:hAnsi="Avenir Book"/>
      <w:sz w:val="21"/>
      <w:lang w:eastAsia="en-US"/>
    </w:rPr>
  </w:style>
  <w:style w:type="character" w:styleId="Mention">
    <w:name w:val="Mention"/>
    <w:basedOn w:val="DefaultParagraphFont"/>
    <w:uiPriority w:val="99"/>
    <w:unhideWhenUsed/>
    <w:rsid w:val="00662B15"/>
    <w:rPr>
      <w:color w:val="2B579A"/>
      <w:shd w:val="clear" w:color="auto" w:fill="E1DFDD"/>
    </w:rPr>
  </w:style>
  <w:style w:type="paragraph" w:customStyle="1" w:styleId="DHHSTOCheadingreport">
    <w:name w:val="DHHS TOC heading report"/>
    <w:basedOn w:val="Normal"/>
    <w:link w:val="DHHSTOCheadingreportChar"/>
    <w:uiPriority w:val="5"/>
    <w:rsid w:val="51C719B7"/>
    <w:pPr>
      <w:keepNext/>
      <w:keepLines/>
      <w:spacing w:after="440"/>
    </w:pPr>
    <w:rPr>
      <w:rFonts w:ascii="Arial" w:hAnsi="Arial"/>
      <w:color w:val="201547"/>
      <w:sz w:val="44"/>
      <w:szCs w:val="44"/>
    </w:rPr>
  </w:style>
  <w:style w:type="character" w:customStyle="1" w:styleId="DHHSTOCheadingreportChar">
    <w:name w:val="DHHS TOC heading report Char"/>
    <w:basedOn w:val="DefaultParagraphFont"/>
    <w:link w:val="DHHSTOCheadingreport"/>
    <w:uiPriority w:val="5"/>
    <w:rsid w:val="51C719B7"/>
    <w:rPr>
      <w:rFonts w:ascii="Arial" w:eastAsia="Times New Roman" w:hAnsi="Arial" w:cs="Times New Roman"/>
      <w:color w:val="201547"/>
      <w:sz w:val="44"/>
      <w:szCs w:val="44"/>
      <w:lang w:eastAsia="en-US"/>
    </w:rPr>
  </w:style>
  <w:style w:type="paragraph" w:customStyle="1" w:styleId="DHHStablecolhead">
    <w:name w:val="DHHS table col head"/>
    <w:basedOn w:val="Normal"/>
    <w:uiPriority w:val="3"/>
    <w:qFormat/>
    <w:rsid w:val="126445CF"/>
    <w:pPr>
      <w:spacing w:before="80" w:after="60"/>
    </w:pPr>
    <w:rPr>
      <w:rFonts w:ascii="Arial" w:hAnsi="Arial"/>
      <w:b/>
      <w:bCs/>
      <w:color w:val="FFFFFF" w:themeColor="background1"/>
    </w:rPr>
  </w:style>
  <w:style w:type="paragraph" w:customStyle="1" w:styleId="DHHSbody">
    <w:name w:val="DHHS body"/>
    <w:basedOn w:val="Normal"/>
    <w:link w:val="DHHSbodyChar"/>
    <w:uiPriority w:val="99"/>
    <w:qFormat/>
    <w:rsid w:val="126445CF"/>
    <w:rPr>
      <w:rFonts w:ascii="Arial" w:eastAsia="Times" w:hAnsi="Arial"/>
    </w:rPr>
  </w:style>
  <w:style w:type="character" w:customStyle="1" w:styleId="DHHSbodyChar">
    <w:name w:val="DHHS body Char"/>
    <w:basedOn w:val="DefaultParagraphFont"/>
    <w:link w:val="DHHSbody"/>
    <w:uiPriority w:val="99"/>
    <w:rsid w:val="126445CF"/>
    <w:rPr>
      <w:rFonts w:ascii="Arial" w:eastAsia="Times" w:hAnsi="Arial" w:cs="Times New Roman"/>
      <w:lang w:eastAsia="en-US"/>
    </w:rPr>
  </w:style>
  <w:style w:type="character" w:customStyle="1" w:styleId="eop">
    <w:name w:val="eop"/>
    <w:basedOn w:val="DefaultParagraphFont"/>
    <w:rsid w:val="126445CF"/>
    <w:rPr>
      <w:rFonts w:ascii="Times New Roman" w:eastAsia="Times New Roman" w:hAnsi="Times New Roman" w:cs="Times New Roman"/>
    </w:rPr>
  </w:style>
  <w:style w:type="character" w:customStyle="1" w:styleId="Bullet1Char">
    <w:name w:val="Bullet 1 Char"/>
    <w:basedOn w:val="DefaultParagraphFont"/>
    <w:link w:val="Bullet1"/>
    <w:rsid w:val="000A2F5B"/>
    <w:rPr>
      <w:rFonts w:ascii="Avenir Book" w:eastAsia="Times" w:hAnsi="Avenir Book"/>
      <w:sz w:val="21"/>
      <w:lang w:eastAsia="en-US"/>
    </w:rPr>
  </w:style>
  <w:style w:type="character" w:customStyle="1" w:styleId="Heading6Char">
    <w:name w:val="Heading 6 Char"/>
    <w:basedOn w:val="DefaultParagraphFont"/>
    <w:link w:val="Heading6"/>
    <w:uiPriority w:val="9"/>
    <w:semiHidden/>
    <w:rsid w:val="004B25A0"/>
    <w:rPr>
      <w:rFonts w:asciiTheme="majorHAnsi" w:eastAsiaTheme="majorEastAsia" w:hAnsiTheme="majorHAnsi" w:cstheme="majorBidi"/>
      <w:color w:val="073F49" w:themeColor="accent1" w:themeShade="7F"/>
      <w:sz w:val="21"/>
      <w:lang w:eastAsia="en-US"/>
    </w:rPr>
  </w:style>
  <w:style w:type="character" w:customStyle="1" w:styleId="Heading7Char">
    <w:name w:val="Heading 7 Char"/>
    <w:basedOn w:val="DefaultParagraphFont"/>
    <w:link w:val="Heading7"/>
    <w:uiPriority w:val="9"/>
    <w:semiHidden/>
    <w:rsid w:val="004B25A0"/>
    <w:rPr>
      <w:rFonts w:asciiTheme="majorHAnsi" w:eastAsiaTheme="majorEastAsia" w:hAnsiTheme="majorHAnsi" w:cstheme="majorBidi"/>
      <w:i/>
      <w:iCs/>
      <w:color w:val="073F49" w:themeColor="accent1" w:themeShade="7F"/>
      <w:sz w:val="21"/>
      <w:lang w:eastAsia="en-US"/>
    </w:rPr>
  </w:style>
  <w:style w:type="character" w:customStyle="1" w:styleId="Heading8Char">
    <w:name w:val="Heading 8 Char"/>
    <w:basedOn w:val="DefaultParagraphFont"/>
    <w:link w:val="Heading8"/>
    <w:uiPriority w:val="9"/>
    <w:semiHidden/>
    <w:rsid w:val="004B25A0"/>
    <w:rPr>
      <w:rFonts w:asciiTheme="majorHAnsi" w:eastAsiaTheme="majorEastAsia" w:hAnsiTheme="majorHAnsi" w:cstheme="majorBidi"/>
      <w:color w:val="075B74" w:themeColor="text1" w:themeTint="D8"/>
      <w:sz w:val="21"/>
      <w:szCs w:val="21"/>
      <w:lang w:eastAsia="en-US"/>
    </w:rPr>
  </w:style>
  <w:style w:type="character" w:customStyle="1" w:styleId="Heading9Char">
    <w:name w:val="Heading 9 Char"/>
    <w:basedOn w:val="DefaultParagraphFont"/>
    <w:link w:val="Heading9"/>
    <w:uiPriority w:val="9"/>
    <w:semiHidden/>
    <w:rsid w:val="004B25A0"/>
    <w:rPr>
      <w:rFonts w:asciiTheme="majorHAnsi" w:eastAsiaTheme="majorEastAsia" w:hAnsiTheme="majorHAnsi" w:cstheme="majorBidi"/>
      <w:i/>
      <w:iCs/>
      <w:color w:val="075B74" w:themeColor="text1" w:themeTint="D8"/>
      <w:sz w:val="21"/>
      <w:szCs w:val="21"/>
      <w:lang w:eastAsia="en-US"/>
    </w:rPr>
  </w:style>
  <w:style w:type="table" w:styleId="TableGridLight">
    <w:name w:val="Grid Table Light"/>
    <w:basedOn w:val="TableNormal"/>
    <w:uiPriority w:val="40"/>
    <w:rsid w:val="007A46E4"/>
    <w:tblPr>
      <w:tblInd w:w="0" w:type="nil"/>
      <w:tblCellMar>
        <w:left w:w="0" w:type="dxa"/>
        <w:right w:w="0" w:type="dxa"/>
      </w:tblCellMar>
    </w:tblPr>
  </w:style>
  <w:style w:type="character" w:customStyle="1" w:styleId="FooterChar">
    <w:name w:val="Footer Char"/>
    <w:basedOn w:val="DefaultParagraphFont"/>
    <w:link w:val="Footer"/>
    <w:uiPriority w:val="8"/>
    <w:rsid w:val="00803198"/>
    <w:rPr>
      <w:rFonts w:ascii="Avenir Book" w:hAnsi="Avenir Book" w:cs="Arial"/>
      <w:sz w:val="18"/>
      <w:szCs w:val="18"/>
      <w:lang w:eastAsia="en-US"/>
    </w:rPr>
  </w:style>
  <w:style w:type="paragraph" w:customStyle="1" w:styleId="Heading2Unnumbered">
    <w:name w:val="Heading 2 Unnumbered"/>
    <w:basedOn w:val="Heading2"/>
    <w:uiPriority w:val="11"/>
    <w:rsid w:val="003449A5"/>
    <w:pPr>
      <w:numPr>
        <w:ilvl w:val="0"/>
        <w:numId w:val="0"/>
      </w:numPr>
    </w:pPr>
  </w:style>
  <w:style w:type="paragraph" w:customStyle="1" w:styleId="Heading3Unnumbered">
    <w:name w:val="Heading 3 Unnumbered"/>
    <w:basedOn w:val="Heading3"/>
    <w:uiPriority w:val="11"/>
    <w:rsid w:val="003449A5"/>
    <w:pPr>
      <w:numPr>
        <w:ilvl w:val="0"/>
        <w:numId w:val="0"/>
      </w:numPr>
    </w:pPr>
  </w:style>
  <w:style w:type="paragraph" w:customStyle="1" w:styleId="Heading4Unnumbered">
    <w:name w:val="Heading 4 Unnumbered"/>
    <w:basedOn w:val="Heading4"/>
    <w:uiPriority w:val="11"/>
    <w:rsid w:val="003449A5"/>
    <w:pPr>
      <w:numPr>
        <w:ilvl w:val="0"/>
        <w:numId w:val="0"/>
      </w:numPr>
    </w:pPr>
  </w:style>
  <w:style w:type="paragraph" w:styleId="Caption">
    <w:name w:val="caption"/>
    <w:basedOn w:val="Normal"/>
    <w:next w:val="Normal"/>
    <w:uiPriority w:val="35"/>
    <w:unhideWhenUsed/>
    <w:qFormat/>
    <w:rsid w:val="00AB54F7"/>
    <w:pPr>
      <w:spacing w:after="200" w:line="240" w:lineRule="auto"/>
    </w:pPr>
    <w:rPr>
      <w:i/>
      <w:iCs/>
      <w:color w:val="032833" w:themeColor="text2"/>
      <w:sz w:val="18"/>
      <w:szCs w:val="18"/>
    </w:rPr>
  </w:style>
  <w:style w:type="table" w:styleId="ListTable3">
    <w:name w:val="List Table 3"/>
    <w:basedOn w:val="TableNormal"/>
    <w:uiPriority w:val="48"/>
    <w:rsid w:val="001F4EAE"/>
    <w:tblPr>
      <w:tblStyleRowBandSize w:val="1"/>
      <w:tblStyleColBandSize w:val="1"/>
      <w:tblBorders>
        <w:top w:val="single" w:sz="4" w:space="0" w:color="032833" w:themeColor="text1"/>
        <w:left w:val="single" w:sz="4" w:space="0" w:color="032833" w:themeColor="text1"/>
        <w:bottom w:val="single" w:sz="4" w:space="0" w:color="032833" w:themeColor="text1"/>
        <w:right w:val="single" w:sz="4" w:space="0" w:color="032833" w:themeColor="text1"/>
      </w:tblBorders>
    </w:tblPr>
    <w:tblStylePr w:type="firstRow">
      <w:rPr>
        <w:b/>
        <w:bCs/>
        <w:color w:val="FFFFFF" w:themeColor="background1"/>
      </w:rPr>
      <w:tblPr/>
      <w:tcPr>
        <w:shd w:val="clear" w:color="auto" w:fill="032833" w:themeFill="text1"/>
      </w:tcPr>
    </w:tblStylePr>
    <w:tblStylePr w:type="lastRow">
      <w:rPr>
        <w:b/>
        <w:bCs/>
      </w:rPr>
      <w:tblPr/>
      <w:tcPr>
        <w:tcBorders>
          <w:top w:val="double" w:sz="4" w:space="0" w:color="03283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2833" w:themeColor="text1"/>
          <w:right w:val="single" w:sz="4" w:space="0" w:color="032833" w:themeColor="text1"/>
        </w:tcBorders>
      </w:tcPr>
    </w:tblStylePr>
    <w:tblStylePr w:type="band1Horz">
      <w:tblPr/>
      <w:tcPr>
        <w:tcBorders>
          <w:top w:val="single" w:sz="4" w:space="0" w:color="032833" w:themeColor="text1"/>
          <w:bottom w:val="single" w:sz="4" w:space="0" w:color="03283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2833" w:themeColor="text1"/>
          <w:left w:val="nil"/>
        </w:tcBorders>
      </w:tcPr>
    </w:tblStylePr>
    <w:tblStylePr w:type="swCell">
      <w:tblPr/>
      <w:tcPr>
        <w:tcBorders>
          <w:top w:val="double" w:sz="4" w:space="0" w:color="032833"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11775">
      <w:bodyDiv w:val="1"/>
      <w:marLeft w:val="0"/>
      <w:marRight w:val="0"/>
      <w:marTop w:val="0"/>
      <w:marBottom w:val="0"/>
      <w:divBdr>
        <w:top w:val="none" w:sz="0" w:space="0" w:color="auto"/>
        <w:left w:val="none" w:sz="0" w:space="0" w:color="auto"/>
        <w:bottom w:val="none" w:sz="0" w:space="0" w:color="auto"/>
        <w:right w:val="none" w:sz="0" w:space="0" w:color="auto"/>
      </w:divBdr>
    </w:div>
    <w:div w:id="82842826">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90812612">
      <w:bodyDiv w:val="1"/>
      <w:marLeft w:val="0"/>
      <w:marRight w:val="0"/>
      <w:marTop w:val="0"/>
      <w:marBottom w:val="0"/>
      <w:divBdr>
        <w:top w:val="none" w:sz="0" w:space="0" w:color="auto"/>
        <w:left w:val="none" w:sz="0" w:space="0" w:color="auto"/>
        <w:bottom w:val="none" w:sz="0" w:space="0" w:color="auto"/>
        <w:right w:val="none" w:sz="0" w:space="0" w:color="auto"/>
      </w:divBdr>
    </w:div>
    <w:div w:id="764964489">
      <w:bodyDiv w:val="1"/>
      <w:marLeft w:val="0"/>
      <w:marRight w:val="0"/>
      <w:marTop w:val="0"/>
      <w:marBottom w:val="0"/>
      <w:divBdr>
        <w:top w:val="none" w:sz="0" w:space="0" w:color="auto"/>
        <w:left w:val="none" w:sz="0" w:space="0" w:color="auto"/>
        <w:bottom w:val="none" w:sz="0" w:space="0" w:color="auto"/>
        <w:right w:val="none" w:sz="0" w:space="0" w:color="auto"/>
      </w:divBdr>
      <w:divsChild>
        <w:div w:id="1415124591">
          <w:marLeft w:val="0"/>
          <w:marRight w:val="0"/>
          <w:marTop w:val="0"/>
          <w:marBottom w:val="0"/>
          <w:divBdr>
            <w:top w:val="none" w:sz="0" w:space="0" w:color="auto"/>
            <w:left w:val="none" w:sz="0" w:space="0" w:color="auto"/>
            <w:bottom w:val="none" w:sz="0" w:space="0" w:color="auto"/>
            <w:right w:val="none" w:sz="0" w:space="0" w:color="auto"/>
          </w:divBdr>
        </w:div>
        <w:div w:id="1571185253">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65364963">
      <w:bodyDiv w:val="1"/>
      <w:marLeft w:val="0"/>
      <w:marRight w:val="0"/>
      <w:marTop w:val="0"/>
      <w:marBottom w:val="0"/>
      <w:divBdr>
        <w:top w:val="none" w:sz="0" w:space="0" w:color="auto"/>
        <w:left w:val="none" w:sz="0" w:space="0" w:color="auto"/>
        <w:bottom w:val="none" w:sz="0" w:space="0" w:color="auto"/>
        <w:right w:val="none" w:sz="0" w:space="0" w:color="auto"/>
      </w:divBdr>
      <w:divsChild>
        <w:div w:id="1577090311">
          <w:marLeft w:val="0"/>
          <w:marRight w:val="0"/>
          <w:marTop w:val="0"/>
          <w:marBottom w:val="0"/>
          <w:divBdr>
            <w:top w:val="none" w:sz="0" w:space="0" w:color="auto"/>
            <w:left w:val="none" w:sz="0" w:space="0" w:color="auto"/>
            <w:bottom w:val="none" w:sz="0" w:space="0" w:color="auto"/>
            <w:right w:val="none" w:sz="0" w:space="0" w:color="auto"/>
          </w:divBdr>
        </w:div>
        <w:div w:id="1912812830">
          <w:marLeft w:val="0"/>
          <w:marRight w:val="0"/>
          <w:marTop w:val="0"/>
          <w:marBottom w:val="0"/>
          <w:divBdr>
            <w:top w:val="none" w:sz="0" w:space="0" w:color="auto"/>
            <w:left w:val="none" w:sz="0" w:space="0" w:color="auto"/>
            <w:bottom w:val="none" w:sz="0" w:space="0" w:color="auto"/>
            <w:right w:val="none" w:sz="0" w:space="0" w:color="auto"/>
          </w:divBdr>
        </w:div>
      </w:divsChild>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6.jpeg"/><Relationship Id="rId39" Type="http://schemas.openxmlformats.org/officeDocument/2006/relationships/hyperlink" Target="https://fac.dffh.vic.gov.au/private-rental-assistance-program-guidelines" TargetMode="External"/><Relationship Id="rId21" Type="http://schemas.openxmlformats.org/officeDocument/2006/relationships/hyperlink" Target="https://www.dffh.vic.gov.au/homelessness-and-housing-support-guidelines-2025" TargetMode="External"/><Relationship Id="rId34" Type="http://schemas.openxmlformats.org/officeDocument/2006/relationships/hyperlink" Target="https://providers.dffh.vic.gov.au/tenancy-management-manual" TargetMode="External"/><Relationship Id="rId42" Type="http://schemas.openxmlformats.org/officeDocument/2006/relationships/hyperlink" Target="https://fac.dffh.vic.gov.au/aboriginal-private-rental-assistance-program-aprap-guidelines" TargetMode="External"/><Relationship Id="rId47" Type="http://schemas.openxmlformats.org/officeDocument/2006/relationships/hyperlink" Target="https://chp.org.au/sector-learning-and-development/shs-learning-program/" TargetMode="Externa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g"/><Relationship Id="rId25" Type="http://schemas.openxmlformats.org/officeDocument/2006/relationships/hyperlink" Target="mailto:tru@justice.vic.gov.au" TargetMode="External"/><Relationship Id="rId33" Type="http://schemas.openxmlformats.org/officeDocument/2006/relationships/hyperlink" Target="https://providers.dffh.vic.gov.au/tenancy-management-manual" TargetMode="External"/><Relationship Id="rId38" Type="http://schemas.openxmlformats.org/officeDocument/2006/relationships/hyperlink" Target="https://providers.dffh.vic.gov.au/tenancy-management-manual" TargetMode="External"/><Relationship Id="rId46" Type="http://schemas.openxmlformats.org/officeDocument/2006/relationships/hyperlink" Target="mailto:cvbrokerage.program@justice.vic.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https://fac.dffh.vic.gov.au/policies-and-procedures" TargetMode="External"/><Relationship Id="rId41" Type="http://schemas.openxmlformats.org/officeDocument/2006/relationships/hyperlink" Target="https://fac.dffh.vic.gov.au/aboriginal-private-rental-assistance-program-aprap-guideline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fac.dffh.vic.gov.au/enhanced-housing-pathways-guidelines" TargetMode="External"/><Relationship Id="rId32" Type="http://schemas.openxmlformats.org/officeDocument/2006/relationships/hyperlink" Target="https://www.housing.vic.gov.au/victorian-housing-register" TargetMode="External"/><Relationship Id="rId37" Type="http://schemas.openxmlformats.org/officeDocument/2006/relationships/hyperlink" Target="https://dhhsvicgovau.sharepoint.com/sites/ourbriefings/RequestDocumentsMemoranda/BAC-DM-23093/The%20Orange%20Door" TargetMode="External"/><Relationship Id="rId40" Type="http://schemas.openxmlformats.org/officeDocument/2006/relationships/hyperlink" Target="https://fac.dffh.vic.gov.au/private-rental-assistance-program-guidelines" TargetMode="External"/><Relationship Id="rId45" Type="http://schemas.openxmlformats.org/officeDocument/2006/relationships/hyperlink" Target="mailto:cvbrokerage.program@justice.vic.gov.au" TargetMode="External"/><Relationship Id="rId53"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dffh.vic.gov.au/homelessness-and-housing-support-guidelines-2025" TargetMode="External"/><Relationship Id="rId28" Type="http://schemas.openxmlformats.org/officeDocument/2006/relationships/hyperlink" Target="https://fac.dffh.vic.gov.au/enhanced-housing-pathways-guidelines" TargetMode="External"/><Relationship Id="rId36" Type="http://schemas.openxmlformats.org/officeDocument/2006/relationships/hyperlink" Target="https://dhhsvicgovau.sharepoint.com/sites/ourbriefings/RequestDocumentsMemoranda/BAC-DM-23093/The%20Orange%20Door" TargetMode="External"/><Relationship Id="rId49" Type="http://schemas.openxmlformats.org/officeDocument/2006/relationships/header" Target="header3.xml"/><Relationship Id="rId57"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services.dffh.vic.gov.au/getting-help" TargetMode="External"/><Relationship Id="rId44" Type="http://schemas.openxmlformats.org/officeDocument/2006/relationships/hyperlink" Target="https://fac.dffh.vic.gov.au/housing-establishment-guidelines-hef"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fac.dffh.vic.gov.au/enhanced-housing-pathways-guidelines" TargetMode="External"/><Relationship Id="rId27" Type="http://schemas.openxmlformats.org/officeDocument/2006/relationships/hyperlink" Target="https://fac.dffh.vic.gov.au/enhanced-housing-pathways-guidelines" TargetMode="External"/><Relationship Id="rId30" Type="http://schemas.openxmlformats.org/officeDocument/2006/relationships/hyperlink" Target="https://www.dffh.vic.gov.au/homelessness-operational-guidelines?auHash=5nNzNDof62h0sHeI0tswNvHkH-Pxh8NTgca07L1FcpA" TargetMode="External"/><Relationship Id="rId35" Type="http://schemas.openxmlformats.org/officeDocument/2006/relationships/hyperlink" Target="https://safeandequal.org.au/training-events/maram-courses/" TargetMode="External"/><Relationship Id="rId43" Type="http://schemas.openxmlformats.org/officeDocument/2006/relationships/hyperlink" Target="https://fac.dffh.vic.gov.au/housing-establishment-guidelines-hef" TargetMode="External"/><Relationship Id="rId48" Type="http://schemas.openxmlformats.org/officeDocument/2006/relationships/hyperlink" Target="https://www.dffh.vic.gov.au/homelessness-and-housing-support-guidelines-2025" TargetMode="External"/><Relationship Id="rId56"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FBB49A8B-B1C1-4537-9472-52C180D2A141}">
    <t:Anchor>
      <t:Comment id="64001072"/>
    </t:Anchor>
    <t:History>
      <t:Event id="{812AB915-2C40-4E47-ABA8-4DDB0E0112A5}" time="2024-12-11T21:45:37.592Z">
        <t:Attribution userId="S::paula.robinson@homes.vic.gov.au::0e925d02-6d1e-4f46-8996-7fc3973ea292" userProvider="AD" userName="Paula Robinson (Homes Victoria)"/>
        <t:Anchor>
          <t:Comment id="1581550221"/>
        </t:Anchor>
        <t:Create/>
      </t:Event>
      <t:Event id="{79CBFFEA-D953-4617-8B92-687A8A1808FB}" time="2024-12-11T21:45:37.592Z">
        <t:Attribution userId="S::paula.robinson@homes.vic.gov.au::0e925d02-6d1e-4f46-8996-7fc3973ea292" userProvider="AD" userName="Paula Robinson (Homes Victoria)"/>
        <t:Anchor>
          <t:Comment id="1581550221"/>
        </t:Anchor>
        <t:Assign userId="S::Elaine.Fallshaw@homes.vic.gov.au::24d9b4a9-897f-4f35-a02a-f16049a5de83" userProvider="AD" userName="Elaine Fallshaw (Homes Victoria)"/>
      </t:Event>
      <t:Event id="{F26C3B00-F5A2-4E10-B20E-40CEB4422308}" time="2024-12-11T21:45:37.592Z">
        <t:Attribution userId="S::paula.robinson@homes.vic.gov.au::0e925d02-6d1e-4f46-8996-7fc3973ea292" userProvider="AD" userName="Paula Robinson (Homes Victoria)"/>
        <t:Anchor>
          <t:Comment id="1581550221"/>
        </t:Anchor>
        <t:SetTitle title="@Elaine Fallshaw (Homes Victoria) sorry that a lazy cut and past, fixed it."/>
      </t:Event>
    </t:History>
  </t:Task>
</t:Tasks>
</file>

<file path=word/theme/theme1.xml><?xml version="1.0" encoding="utf-8"?>
<a:theme xmlns:a="http://schemas.openxmlformats.org/drawingml/2006/main" name="Office Theme">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6170D681222140920F04412FDFF11E" ma:contentTypeVersion="3" ma:contentTypeDescription="Create a new document." ma:contentTypeScope="" ma:versionID="f72d97510025db952f4ee593bfa57761">
  <xsd:schema xmlns:xsd="http://www.w3.org/2001/XMLSchema" xmlns:xs="http://www.w3.org/2001/XMLSchema" xmlns:p="http://schemas.microsoft.com/office/2006/metadata/properties" xmlns:ns2="49226330-5f81-43ac-9ee7-7b3fe9ae59eb" targetNamespace="http://schemas.microsoft.com/office/2006/metadata/properties" ma:root="true" ma:fieldsID="2f16b3a31e77c02d1ef2f8196ce2c707" ns2:_="">
    <xsd:import namespace="49226330-5f81-43ac-9ee7-7b3fe9ae59e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26330-5f81-43ac-9ee7-7b3fe9ae5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purl.org/dc/terms/"/>
    <ds:schemaRef ds:uri="49226330-5f81-43ac-9ee7-7b3fe9ae59eb"/>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12ABA14-5487-470B-A988-3D3D2D9EB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26330-5f81-43ac-9ee7-7b3fe9ae5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7885</Words>
  <Characters>50216</Characters>
  <Application>Microsoft Office Word</Application>
  <DocSecurity>4</DocSecurity>
  <Lines>418</Lines>
  <Paragraphs>115</Paragraphs>
  <ScaleCrop>false</ScaleCrop>
  <HeadingPairs>
    <vt:vector size="2" baseType="variant">
      <vt:variant>
        <vt:lpstr>Title</vt:lpstr>
      </vt:variant>
      <vt:variant>
        <vt:i4>1</vt:i4>
      </vt:variant>
    </vt:vector>
  </HeadingPairs>
  <TitlesOfParts>
    <vt:vector size="1" baseType="lpstr">
      <vt:lpstr/>
    </vt:vector>
  </TitlesOfParts>
  <Manager/>
  <Company>Homes Victoria, Victoria State Government</Company>
  <LinksUpToDate>false</LinksUpToDate>
  <CharactersWithSpaces>57986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Robinson (Homes Victoria)</dc:creator>
  <cp:keywords/>
  <dc:description/>
  <cp:lastModifiedBy>Leigh Garde (DFFH)</cp:lastModifiedBy>
  <cp:revision>2</cp:revision>
  <cp:lastPrinted>2021-02-01T09:27:00Z</cp:lastPrinted>
  <dcterms:created xsi:type="dcterms:W3CDTF">2025-11-09T23:18:00Z</dcterms:created>
  <dcterms:modified xsi:type="dcterms:W3CDTF">2025-11-09T23:18:00Z</dcterms:modified>
  <cp:category>Homes Victoria Construction Report Portrait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0x0101006C6170D681222140920F04412FDFF11E</vt:lpwstr>
  </property>
  <property fmtid="{D5CDD505-2E9C-101B-9397-08002B2CF9AE}" pid="4" name="version">
    <vt:lpwstr>2022v1 15032022 sbv1 11072022</vt:lpwstr>
  </property>
  <property fmtid="{D5CDD505-2E9C-101B-9397-08002B2CF9AE}" pid="5" name="MSIP_Label_43e64453-338c-4f93-8a4d-0039a0a41f2a_Enabled">
    <vt:lpwstr>true</vt:lpwstr>
  </property>
  <property fmtid="{D5CDD505-2E9C-101B-9397-08002B2CF9AE}" pid="6" name="MSIP_Label_43e64453-338c-4f93-8a4d-0039a0a41f2a_SetDate">
    <vt:lpwstr>2022-02-28T01:49:00Z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MediaServiceImageTags">
    <vt:lpwstr/>
  </property>
  <property fmtid="{D5CDD505-2E9C-101B-9397-08002B2CF9AE}" pid="13" name="lcf76f155ced4ddcb4097134ff3c332f">
    <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ies>
</file>