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8A" w14:textId="77777777" w:rsidR="00056EC4" w:rsidRDefault="006551B4" w:rsidP="00056EC4">
      <w:pPr>
        <w:pStyle w:val="Body"/>
      </w:pPr>
      <w:r>
        <w:rPr>
          <w:noProof/>
        </w:rPr>
        <w:drawing>
          <wp:anchor distT="0" distB="0" distL="114300" distR="114300" simplePos="0" relativeHeight="251658240" behindDoc="1" locked="1" layoutInCell="1" allowOverlap="1" wp14:anchorId="59544384" wp14:editId="10AF042F">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87C4CA" w14:textId="77777777" w:rsidTr="00431F42">
        <w:trPr>
          <w:cantSplit/>
        </w:trPr>
        <w:tc>
          <w:tcPr>
            <w:tcW w:w="0" w:type="auto"/>
            <w:tcMar>
              <w:top w:w="0" w:type="dxa"/>
              <w:left w:w="0" w:type="dxa"/>
              <w:right w:w="0" w:type="dxa"/>
            </w:tcMar>
          </w:tcPr>
          <w:p w14:paraId="34DAD516" w14:textId="17F2EA65" w:rsidR="00B005C2" w:rsidRDefault="00A2411A" w:rsidP="00B005C2">
            <w:pPr>
              <w:pStyle w:val="Documenttitle"/>
            </w:pPr>
            <w:r>
              <w:t>Suppor</w:t>
            </w:r>
            <w:r w:rsidR="008547E7">
              <w:t>ted Residential Services</w:t>
            </w:r>
            <w:r w:rsidR="007D79BE">
              <w:t xml:space="preserve"> Outreach and Assistance p</w:t>
            </w:r>
            <w:r w:rsidR="00B005C2">
              <w:t xml:space="preserve">rogram requirements for funded </w:t>
            </w:r>
            <w:proofErr w:type="gramStart"/>
            <w:r w:rsidR="00DC0E83">
              <w:t>organisations</w:t>
            </w:r>
            <w:proofErr w:type="gramEnd"/>
          </w:p>
          <w:p w14:paraId="539B4A8C" w14:textId="04BA3962" w:rsidR="00AD784C" w:rsidRPr="00431F42" w:rsidRDefault="00AD784C" w:rsidP="00431F42">
            <w:pPr>
              <w:pStyle w:val="Documenttitle"/>
            </w:pPr>
          </w:p>
        </w:tc>
      </w:tr>
      <w:tr w:rsidR="00AD784C" w14:paraId="3B87E9DD" w14:textId="77777777" w:rsidTr="00431F42">
        <w:trPr>
          <w:cantSplit/>
        </w:trPr>
        <w:tc>
          <w:tcPr>
            <w:tcW w:w="0" w:type="auto"/>
          </w:tcPr>
          <w:p w14:paraId="7E952A62" w14:textId="0908A3C5" w:rsidR="00386109" w:rsidRPr="00A1389F" w:rsidRDefault="00386109" w:rsidP="009315BE">
            <w:pPr>
              <w:pStyle w:val="Documentsubtitle"/>
            </w:pPr>
          </w:p>
        </w:tc>
      </w:tr>
      <w:tr w:rsidR="00430393" w14:paraId="36A38514" w14:textId="77777777" w:rsidTr="00431F42">
        <w:trPr>
          <w:cantSplit/>
        </w:trPr>
        <w:tc>
          <w:tcPr>
            <w:tcW w:w="0" w:type="auto"/>
          </w:tcPr>
          <w:p w14:paraId="68238B4A" w14:textId="77777777" w:rsidR="00430393" w:rsidRDefault="001E397A" w:rsidP="00430393">
            <w:pPr>
              <w:pStyle w:val="Bannermarking"/>
            </w:pPr>
            <w:fldSimple w:instr="FILLIN  &quot;Type the protective marking&quot; \d OFFICIAL \o  \* MERGEFORMAT">
              <w:r w:rsidR="00B05D08">
                <w:t>OFFICIAL</w:t>
              </w:r>
            </w:fldSimple>
          </w:p>
        </w:tc>
      </w:tr>
    </w:tbl>
    <w:p w14:paraId="3A351906" w14:textId="77777777" w:rsidR="00FE4081" w:rsidRDefault="00FE4081" w:rsidP="00FE4081">
      <w:pPr>
        <w:pStyle w:val="Body"/>
      </w:pPr>
    </w:p>
    <w:p w14:paraId="220DBCF8"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6C00A2B" w14:textId="11F155F2"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AB3EF9C" w14:textId="77777777" w:rsidTr="6B06E123">
        <w:trPr>
          <w:cantSplit/>
          <w:trHeight w:val="7088"/>
        </w:trPr>
        <w:tc>
          <w:tcPr>
            <w:tcW w:w="9288" w:type="dxa"/>
          </w:tcPr>
          <w:p w14:paraId="029C213E" w14:textId="70AF26CD" w:rsidR="009F2182" w:rsidRPr="009F2182" w:rsidRDefault="009F2182" w:rsidP="009F2182">
            <w:pPr>
              <w:pStyle w:val="Body"/>
              <w:spacing w:before="120"/>
              <w:rPr>
                <w:rFonts w:eastAsia="Times New Roman"/>
                <w:b/>
                <w:bCs/>
                <w:color w:val="87189D"/>
                <w:sz w:val="24"/>
                <w:szCs w:val="24"/>
              </w:rPr>
            </w:pPr>
          </w:p>
        </w:tc>
      </w:tr>
      <w:tr w:rsidR="009F2182" w14:paraId="7752DAF4" w14:textId="77777777" w:rsidTr="6B06E123">
        <w:trPr>
          <w:cantSplit/>
          <w:trHeight w:val="5103"/>
        </w:trPr>
        <w:tc>
          <w:tcPr>
            <w:tcW w:w="9288" w:type="dxa"/>
            <w:vAlign w:val="bottom"/>
          </w:tcPr>
          <w:p w14:paraId="1ABD9D93" w14:textId="2E729A3F" w:rsidR="009F2182" w:rsidRDefault="009F2182" w:rsidP="009F2182">
            <w:pPr>
              <w:pStyle w:val="Body"/>
            </w:pPr>
          </w:p>
        </w:tc>
      </w:tr>
      <w:tr w:rsidR="0008204A" w14:paraId="5703DC02" w14:textId="77777777" w:rsidTr="6B06E123">
        <w:trPr>
          <w:cantSplit/>
        </w:trPr>
        <w:tc>
          <w:tcPr>
            <w:tcW w:w="9288" w:type="dxa"/>
          </w:tcPr>
          <w:p w14:paraId="40A6B894" w14:textId="77777777" w:rsidR="0008204A" w:rsidRPr="0055119B" w:rsidRDefault="0008204A" w:rsidP="0008204A">
            <w:pPr>
              <w:pStyle w:val="Body"/>
            </w:pPr>
          </w:p>
        </w:tc>
      </w:tr>
    </w:tbl>
    <w:p w14:paraId="4A1C1530" w14:textId="77777777" w:rsidR="0008204A" w:rsidRPr="0008204A" w:rsidRDefault="0008204A" w:rsidP="0008204A">
      <w:pPr>
        <w:pStyle w:val="Body"/>
      </w:pPr>
      <w:r w:rsidRPr="0008204A">
        <w:br w:type="page"/>
      </w:r>
    </w:p>
    <w:p w14:paraId="25718999" w14:textId="3EBF5DCF" w:rsidR="00B005C2" w:rsidRPr="00B005C2" w:rsidRDefault="00B005C2" w:rsidP="1E812BC5">
      <w:pPr>
        <w:keepNext/>
        <w:keepLines/>
        <w:spacing w:after="440" w:line="440" w:lineRule="atLeast"/>
        <w:rPr>
          <w:bCs/>
          <w:color w:val="201547"/>
          <w:sz w:val="44"/>
          <w:szCs w:val="44"/>
        </w:rPr>
      </w:pPr>
      <w:r w:rsidRPr="00B005C2">
        <w:rPr>
          <w:bCs/>
          <w:color w:val="201547"/>
          <w:sz w:val="44"/>
          <w:szCs w:val="44"/>
        </w:rPr>
        <w:lastRenderedPageBreak/>
        <w:t>Contents</w:t>
      </w:r>
    </w:p>
    <w:sdt>
      <w:sdtPr>
        <w:rPr>
          <w:rFonts w:ascii="Arial" w:eastAsia="Times New Roman" w:hAnsi="Arial" w:cs="Times New Roman"/>
          <w:color w:val="auto"/>
          <w:sz w:val="21"/>
          <w:szCs w:val="20"/>
          <w:lang w:val="en-AU"/>
        </w:rPr>
        <w:id w:val="-1141877100"/>
        <w:docPartObj>
          <w:docPartGallery w:val="Table of Contents"/>
          <w:docPartUnique/>
        </w:docPartObj>
      </w:sdtPr>
      <w:sdtEndPr>
        <w:rPr>
          <w:b/>
          <w:bCs/>
          <w:noProof/>
        </w:rPr>
      </w:sdtEndPr>
      <w:sdtContent>
        <w:p w14:paraId="651EE188" w14:textId="64491758" w:rsidR="00E6210E" w:rsidRDefault="00E6210E">
          <w:pPr>
            <w:pStyle w:val="TOCHeading"/>
          </w:pPr>
        </w:p>
        <w:p w14:paraId="11BC49F2" w14:textId="5B0BD7AB" w:rsidR="00765818" w:rsidRDefault="00E6210E">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68052677" w:history="1">
            <w:r w:rsidR="00765818" w:rsidRPr="006F226E">
              <w:rPr>
                <w:rStyle w:val="Hyperlink"/>
              </w:rPr>
              <w:t>Preface</w:t>
            </w:r>
            <w:r w:rsidR="00765818">
              <w:rPr>
                <w:webHidden/>
              </w:rPr>
              <w:tab/>
            </w:r>
            <w:r w:rsidR="00765818">
              <w:rPr>
                <w:webHidden/>
              </w:rPr>
              <w:fldChar w:fldCharType="begin"/>
            </w:r>
            <w:r w:rsidR="00765818">
              <w:rPr>
                <w:webHidden/>
              </w:rPr>
              <w:instrText xml:space="preserve"> PAGEREF _Toc168052677 \h </w:instrText>
            </w:r>
            <w:r w:rsidR="00765818">
              <w:rPr>
                <w:webHidden/>
              </w:rPr>
            </w:r>
            <w:r w:rsidR="00765818">
              <w:rPr>
                <w:webHidden/>
              </w:rPr>
              <w:fldChar w:fldCharType="separate"/>
            </w:r>
            <w:r w:rsidR="00765818">
              <w:rPr>
                <w:webHidden/>
              </w:rPr>
              <w:t>5</w:t>
            </w:r>
            <w:r w:rsidR="00765818">
              <w:rPr>
                <w:webHidden/>
              </w:rPr>
              <w:fldChar w:fldCharType="end"/>
            </w:r>
          </w:hyperlink>
        </w:p>
        <w:p w14:paraId="7F6D88C0" w14:textId="6DB15EC1" w:rsidR="00765818" w:rsidRDefault="00685934">
          <w:pPr>
            <w:pStyle w:val="TOC1"/>
            <w:rPr>
              <w:rFonts w:asciiTheme="minorHAnsi" w:eastAsiaTheme="minorEastAsia" w:hAnsiTheme="minorHAnsi" w:cstheme="minorBidi"/>
              <w:b w:val="0"/>
              <w:kern w:val="2"/>
              <w:sz w:val="24"/>
              <w:szCs w:val="24"/>
              <w:lang w:eastAsia="en-AU"/>
              <w14:ligatures w14:val="standardContextual"/>
            </w:rPr>
          </w:pPr>
          <w:hyperlink w:anchor="_Toc168052678" w:history="1">
            <w:r w:rsidR="00765818" w:rsidRPr="006F226E">
              <w:rPr>
                <w:rStyle w:val="Hyperlink"/>
              </w:rPr>
              <w:t>Glossary of key terms</w:t>
            </w:r>
            <w:r w:rsidR="00765818">
              <w:rPr>
                <w:webHidden/>
              </w:rPr>
              <w:tab/>
            </w:r>
            <w:r w:rsidR="00765818">
              <w:rPr>
                <w:webHidden/>
              </w:rPr>
              <w:fldChar w:fldCharType="begin"/>
            </w:r>
            <w:r w:rsidR="00765818">
              <w:rPr>
                <w:webHidden/>
              </w:rPr>
              <w:instrText xml:space="preserve"> PAGEREF _Toc168052678 \h </w:instrText>
            </w:r>
            <w:r w:rsidR="00765818">
              <w:rPr>
                <w:webHidden/>
              </w:rPr>
            </w:r>
            <w:r w:rsidR="00765818">
              <w:rPr>
                <w:webHidden/>
              </w:rPr>
              <w:fldChar w:fldCharType="separate"/>
            </w:r>
            <w:r w:rsidR="00765818">
              <w:rPr>
                <w:webHidden/>
              </w:rPr>
              <w:t>5</w:t>
            </w:r>
            <w:r w:rsidR="00765818">
              <w:rPr>
                <w:webHidden/>
              </w:rPr>
              <w:fldChar w:fldCharType="end"/>
            </w:r>
          </w:hyperlink>
        </w:p>
        <w:p w14:paraId="282424AA" w14:textId="67FD77C1" w:rsidR="00765818" w:rsidRDefault="006859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052679" w:history="1">
            <w:r w:rsidR="00765818" w:rsidRPr="006F226E">
              <w:rPr>
                <w:rStyle w:val="Hyperlink"/>
              </w:rPr>
              <w:t>1.</w:t>
            </w:r>
            <w:r w:rsidR="00765818">
              <w:rPr>
                <w:rFonts w:asciiTheme="minorHAnsi" w:eastAsiaTheme="minorEastAsia" w:hAnsiTheme="minorHAnsi" w:cstheme="minorBidi"/>
                <w:b w:val="0"/>
                <w:kern w:val="2"/>
                <w:sz w:val="24"/>
                <w:szCs w:val="24"/>
                <w:lang w:eastAsia="en-AU"/>
                <w14:ligatures w14:val="standardContextual"/>
              </w:rPr>
              <w:tab/>
            </w:r>
            <w:r w:rsidR="00765818" w:rsidRPr="006F226E">
              <w:rPr>
                <w:rStyle w:val="Hyperlink"/>
              </w:rPr>
              <w:t>Introduction</w:t>
            </w:r>
            <w:r w:rsidR="00765818">
              <w:rPr>
                <w:webHidden/>
              </w:rPr>
              <w:tab/>
            </w:r>
            <w:r w:rsidR="00765818">
              <w:rPr>
                <w:webHidden/>
              </w:rPr>
              <w:fldChar w:fldCharType="begin"/>
            </w:r>
            <w:r w:rsidR="00765818">
              <w:rPr>
                <w:webHidden/>
              </w:rPr>
              <w:instrText xml:space="preserve"> PAGEREF _Toc168052679 \h </w:instrText>
            </w:r>
            <w:r w:rsidR="00765818">
              <w:rPr>
                <w:webHidden/>
              </w:rPr>
            </w:r>
            <w:r w:rsidR="00765818">
              <w:rPr>
                <w:webHidden/>
              </w:rPr>
              <w:fldChar w:fldCharType="separate"/>
            </w:r>
            <w:r w:rsidR="00765818">
              <w:rPr>
                <w:webHidden/>
              </w:rPr>
              <w:t>7</w:t>
            </w:r>
            <w:r w:rsidR="00765818">
              <w:rPr>
                <w:webHidden/>
              </w:rPr>
              <w:fldChar w:fldCharType="end"/>
            </w:r>
          </w:hyperlink>
        </w:p>
        <w:p w14:paraId="0D9F4B6D" w14:textId="1598522E"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0" w:history="1">
            <w:r w:rsidR="00765818" w:rsidRPr="006F226E">
              <w:rPr>
                <w:rStyle w:val="Hyperlink"/>
              </w:rPr>
              <w:t>1.1</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Aboriginal Acknowledgement</w:t>
            </w:r>
            <w:r w:rsidR="00765818">
              <w:rPr>
                <w:webHidden/>
              </w:rPr>
              <w:tab/>
            </w:r>
            <w:r w:rsidR="00765818">
              <w:rPr>
                <w:webHidden/>
              </w:rPr>
              <w:fldChar w:fldCharType="begin"/>
            </w:r>
            <w:r w:rsidR="00765818">
              <w:rPr>
                <w:webHidden/>
              </w:rPr>
              <w:instrText xml:space="preserve"> PAGEREF _Toc168052680 \h </w:instrText>
            </w:r>
            <w:r w:rsidR="00765818">
              <w:rPr>
                <w:webHidden/>
              </w:rPr>
            </w:r>
            <w:r w:rsidR="00765818">
              <w:rPr>
                <w:webHidden/>
              </w:rPr>
              <w:fldChar w:fldCharType="separate"/>
            </w:r>
            <w:r w:rsidR="00765818">
              <w:rPr>
                <w:webHidden/>
              </w:rPr>
              <w:t>7</w:t>
            </w:r>
            <w:r w:rsidR="00765818">
              <w:rPr>
                <w:webHidden/>
              </w:rPr>
              <w:fldChar w:fldCharType="end"/>
            </w:r>
          </w:hyperlink>
        </w:p>
        <w:p w14:paraId="331D5AE2" w14:textId="6FAD9488"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1" w:history="1">
            <w:r w:rsidR="00765818" w:rsidRPr="006F226E">
              <w:rPr>
                <w:rStyle w:val="Hyperlink"/>
              </w:rPr>
              <w:t>1.2</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Department of Families, Fairness and Housing</w:t>
            </w:r>
            <w:r w:rsidR="00765818">
              <w:rPr>
                <w:webHidden/>
              </w:rPr>
              <w:tab/>
            </w:r>
            <w:r w:rsidR="00765818">
              <w:rPr>
                <w:webHidden/>
              </w:rPr>
              <w:fldChar w:fldCharType="begin"/>
            </w:r>
            <w:r w:rsidR="00765818">
              <w:rPr>
                <w:webHidden/>
              </w:rPr>
              <w:instrText xml:space="preserve"> PAGEREF _Toc168052681 \h </w:instrText>
            </w:r>
            <w:r w:rsidR="00765818">
              <w:rPr>
                <w:webHidden/>
              </w:rPr>
            </w:r>
            <w:r w:rsidR="00765818">
              <w:rPr>
                <w:webHidden/>
              </w:rPr>
              <w:fldChar w:fldCharType="separate"/>
            </w:r>
            <w:r w:rsidR="00765818">
              <w:rPr>
                <w:webHidden/>
              </w:rPr>
              <w:t>7</w:t>
            </w:r>
            <w:r w:rsidR="00765818">
              <w:rPr>
                <w:webHidden/>
              </w:rPr>
              <w:fldChar w:fldCharType="end"/>
            </w:r>
          </w:hyperlink>
        </w:p>
        <w:p w14:paraId="0834521E" w14:textId="759D24FC" w:rsidR="00765818" w:rsidRDefault="006859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052682" w:history="1">
            <w:r w:rsidR="00765818" w:rsidRPr="006F226E">
              <w:rPr>
                <w:rStyle w:val="Hyperlink"/>
              </w:rPr>
              <w:t>2.</w:t>
            </w:r>
            <w:r w:rsidR="00765818">
              <w:rPr>
                <w:rFonts w:asciiTheme="minorHAnsi" w:eastAsiaTheme="minorEastAsia" w:hAnsiTheme="minorHAnsi" w:cstheme="minorBidi"/>
                <w:b w:val="0"/>
                <w:kern w:val="2"/>
                <w:sz w:val="24"/>
                <w:szCs w:val="24"/>
                <w:lang w:eastAsia="en-AU"/>
                <w14:ligatures w14:val="standardContextual"/>
              </w:rPr>
              <w:tab/>
            </w:r>
            <w:r w:rsidR="00765818" w:rsidRPr="006F226E">
              <w:rPr>
                <w:rStyle w:val="Hyperlink"/>
              </w:rPr>
              <w:t>SRS OAP Program Requirements</w:t>
            </w:r>
            <w:r w:rsidR="00765818">
              <w:rPr>
                <w:webHidden/>
              </w:rPr>
              <w:tab/>
            </w:r>
            <w:r w:rsidR="00765818">
              <w:rPr>
                <w:webHidden/>
              </w:rPr>
              <w:fldChar w:fldCharType="begin"/>
            </w:r>
            <w:r w:rsidR="00765818">
              <w:rPr>
                <w:webHidden/>
              </w:rPr>
              <w:instrText xml:space="preserve"> PAGEREF _Toc168052682 \h </w:instrText>
            </w:r>
            <w:r w:rsidR="00765818">
              <w:rPr>
                <w:webHidden/>
              </w:rPr>
            </w:r>
            <w:r w:rsidR="00765818">
              <w:rPr>
                <w:webHidden/>
              </w:rPr>
              <w:fldChar w:fldCharType="separate"/>
            </w:r>
            <w:r w:rsidR="00765818">
              <w:rPr>
                <w:webHidden/>
              </w:rPr>
              <w:t>7</w:t>
            </w:r>
            <w:r w:rsidR="00765818">
              <w:rPr>
                <w:webHidden/>
              </w:rPr>
              <w:fldChar w:fldCharType="end"/>
            </w:r>
          </w:hyperlink>
        </w:p>
        <w:p w14:paraId="5A3EFD59" w14:textId="02C9EC99"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3" w:history="1">
            <w:r w:rsidR="00765818" w:rsidRPr="006F226E">
              <w:rPr>
                <w:rStyle w:val="Hyperlink"/>
              </w:rPr>
              <w:t>2.1</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Purpose of program requirements</w:t>
            </w:r>
            <w:r w:rsidR="00765818">
              <w:rPr>
                <w:webHidden/>
              </w:rPr>
              <w:tab/>
            </w:r>
            <w:r w:rsidR="00765818">
              <w:rPr>
                <w:webHidden/>
              </w:rPr>
              <w:fldChar w:fldCharType="begin"/>
            </w:r>
            <w:r w:rsidR="00765818">
              <w:rPr>
                <w:webHidden/>
              </w:rPr>
              <w:instrText xml:space="preserve"> PAGEREF _Toc168052683 \h </w:instrText>
            </w:r>
            <w:r w:rsidR="00765818">
              <w:rPr>
                <w:webHidden/>
              </w:rPr>
            </w:r>
            <w:r w:rsidR="00765818">
              <w:rPr>
                <w:webHidden/>
              </w:rPr>
              <w:fldChar w:fldCharType="separate"/>
            </w:r>
            <w:r w:rsidR="00765818">
              <w:rPr>
                <w:webHidden/>
              </w:rPr>
              <w:t>7</w:t>
            </w:r>
            <w:r w:rsidR="00765818">
              <w:rPr>
                <w:webHidden/>
              </w:rPr>
              <w:fldChar w:fldCharType="end"/>
            </w:r>
          </w:hyperlink>
        </w:p>
        <w:p w14:paraId="3D8A1EDE" w14:textId="38901DCE"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4" w:history="1">
            <w:r w:rsidR="00765818" w:rsidRPr="006F226E">
              <w:rPr>
                <w:rStyle w:val="Hyperlink"/>
              </w:rPr>
              <w:t>2.2</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Policy context</w:t>
            </w:r>
            <w:r w:rsidR="00765818">
              <w:rPr>
                <w:webHidden/>
              </w:rPr>
              <w:tab/>
            </w:r>
            <w:r w:rsidR="00765818">
              <w:rPr>
                <w:webHidden/>
              </w:rPr>
              <w:fldChar w:fldCharType="begin"/>
            </w:r>
            <w:r w:rsidR="00765818">
              <w:rPr>
                <w:webHidden/>
              </w:rPr>
              <w:instrText xml:space="preserve"> PAGEREF _Toc168052684 \h </w:instrText>
            </w:r>
            <w:r w:rsidR="00765818">
              <w:rPr>
                <w:webHidden/>
              </w:rPr>
            </w:r>
            <w:r w:rsidR="00765818">
              <w:rPr>
                <w:webHidden/>
              </w:rPr>
              <w:fldChar w:fldCharType="separate"/>
            </w:r>
            <w:r w:rsidR="00765818">
              <w:rPr>
                <w:webHidden/>
              </w:rPr>
              <w:t>7</w:t>
            </w:r>
            <w:r w:rsidR="00765818">
              <w:rPr>
                <w:webHidden/>
              </w:rPr>
              <w:fldChar w:fldCharType="end"/>
            </w:r>
          </w:hyperlink>
        </w:p>
        <w:p w14:paraId="76CEF4D3" w14:textId="627DEBAB"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5" w:history="1">
            <w:r w:rsidR="00765818" w:rsidRPr="006F226E">
              <w:rPr>
                <w:rStyle w:val="Hyperlink"/>
              </w:rPr>
              <w:t>2.3</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Regulatory context</w:t>
            </w:r>
            <w:r w:rsidR="00765818">
              <w:rPr>
                <w:webHidden/>
              </w:rPr>
              <w:tab/>
            </w:r>
            <w:r w:rsidR="00765818">
              <w:rPr>
                <w:webHidden/>
              </w:rPr>
              <w:fldChar w:fldCharType="begin"/>
            </w:r>
            <w:r w:rsidR="00765818">
              <w:rPr>
                <w:webHidden/>
              </w:rPr>
              <w:instrText xml:space="preserve"> PAGEREF _Toc168052685 \h </w:instrText>
            </w:r>
            <w:r w:rsidR="00765818">
              <w:rPr>
                <w:webHidden/>
              </w:rPr>
            </w:r>
            <w:r w:rsidR="00765818">
              <w:rPr>
                <w:webHidden/>
              </w:rPr>
              <w:fldChar w:fldCharType="separate"/>
            </w:r>
            <w:r w:rsidR="00765818">
              <w:rPr>
                <w:webHidden/>
              </w:rPr>
              <w:t>8</w:t>
            </w:r>
            <w:r w:rsidR="00765818">
              <w:rPr>
                <w:webHidden/>
              </w:rPr>
              <w:fldChar w:fldCharType="end"/>
            </w:r>
          </w:hyperlink>
        </w:p>
        <w:p w14:paraId="7C933C1C" w14:textId="10EC5FD7"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6" w:history="1">
            <w:r w:rsidR="00765818" w:rsidRPr="006F226E">
              <w:rPr>
                <w:rStyle w:val="Hyperlink"/>
              </w:rPr>
              <w:t>2.4</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Program goals and objectives</w:t>
            </w:r>
            <w:r w:rsidR="00765818">
              <w:rPr>
                <w:webHidden/>
              </w:rPr>
              <w:tab/>
            </w:r>
            <w:r w:rsidR="00765818">
              <w:rPr>
                <w:webHidden/>
              </w:rPr>
              <w:fldChar w:fldCharType="begin"/>
            </w:r>
            <w:r w:rsidR="00765818">
              <w:rPr>
                <w:webHidden/>
              </w:rPr>
              <w:instrText xml:space="preserve"> PAGEREF _Toc168052686 \h </w:instrText>
            </w:r>
            <w:r w:rsidR="00765818">
              <w:rPr>
                <w:webHidden/>
              </w:rPr>
            </w:r>
            <w:r w:rsidR="00765818">
              <w:rPr>
                <w:webHidden/>
              </w:rPr>
              <w:fldChar w:fldCharType="separate"/>
            </w:r>
            <w:r w:rsidR="00765818">
              <w:rPr>
                <w:webHidden/>
              </w:rPr>
              <w:t>8</w:t>
            </w:r>
            <w:r w:rsidR="00765818">
              <w:rPr>
                <w:webHidden/>
              </w:rPr>
              <w:fldChar w:fldCharType="end"/>
            </w:r>
          </w:hyperlink>
        </w:p>
        <w:p w14:paraId="3775E8F2" w14:textId="70556ECD"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7" w:history="1">
            <w:r w:rsidR="00765818" w:rsidRPr="006F226E">
              <w:rPr>
                <w:rStyle w:val="Hyperlink"/>
              </w:rPr>
              <w:t>2.5</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Relationship to other resources</w:t>
            </w:r>
            <w:r w:rsidR="00765818">
              <w:rPr>
                <w:webHidden/>
              </w:rPr>
              <w:tab/>
            </w:r>
            <w:r w:rsidR="00765818">
              <w:rPr>
                <w:webHidden/>
              </w:rPr>
              <w:fldChar w:fldCharType="begin"/>
            </w:r>
            <w:r w:rsidR="00765818">
              <w:rPr>
                <w:webHidden/>
              </w:rPr>
              <w:instrText xml:space="preserve"> PAGEREF _Toc168052687 \h </w:instrText>
            </w:r>
            <w:r w:rsidR="00765818">
              <w:rPr>
                <w:webHidden/>
              </w:rPr>
            </w:r>
            <w:r w:rsidR="00765818">
              <w:rPr>
                <w:webHidden/>
              </w:rPr>
              <w:fldChar w:fldCharType="separate"/>
            </w:r>
            <w:r w:rsidR="00765818">
              <w:rPr>
                <w:webHidden/>
              </w:rPr>
              <w:t>8</w:t>
            </w:r>
            <w:r w:rsidR="00765818">
              <w:rPr>
                <w:webHidden/>
              </w:rPr>
              <w:fldChar w:fldCharType="end"/>
            </w:r>
          </w:hyperlink>
        </w:p>
        <w:p w14:paraId="41765F9C" w14:textId="0B3ECC58"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8" w:history="1">
            <w:r w:rsidR="00765818" w:rsidRPr="006F226E">
              <w:rPr>
                <w:rStyle w:val="Hyperlink"/>
              </w:rPr>
              <w:t>2.6</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Eligibility</w:t>
            </w:r>
            <w:r w:rsidR="00765818">
              <w:rPr>
                <w:webHidden/>
              </w:rPr>
              <w:tab/>
            </w:r>
            <w:r w:rsidR="00765818">
              <w:rPr>
                <w:webHidden/>
              </w:rPr>
              <w:fldChar w:fldCharType="begin"/>
            </w:r>
            <w:r w:rsidR="00765818">
              <w:rPr>
                <w:webHidden/>
              </w:rPr>
              <w:instrText xml:space="preserve"> PAGEREF _Toc168052688 \h </w:instrText>
            </w:r>
            <w:r w:rsidR="00765818">
              <w:rPr>
                <w:webHidden/>
              </w:rPr>
            </w:r>
            <w:r w:rsidR="00765818">
              <w:rPr>
                <w:webHidden/>
              </w:rPr>
              <w:fldChar w:fldCharType="separate"/>
            </w:r>
            <w:r w:rsidR="00765818">
              <w:rPr>
                <w:webHidden/>
              </w:rPr>
              <w:t>9</w:t>
            </w:r>
            <w:r w:rsidR="00765818">
              <w:rPr>
                <w:webHidden/>
              </w:rPr>
              <w:fldChar w:fldCharType="end"/>
            </w:r>
          </w:hyperlink>
        </w:p>
        <w:p w14:paraId="753EB963" w14:textId="10129D8A"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89" w:history="1">
            <w:r w:rsidR="00765818" w:rsidRPr="006F226E">
              <w:rPr>
                <w:rStyle w:val="Hyperlink"/>
              </w:rPr>
              <w:t>2.7</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Service Agreement Requirements</w:t>
            </w:r>
            <w:r w:rsidR="00765818">
              <w:rPr>
                <w:webHidden/>
              </w:rPr>
              <w:tab/>
            </w:r>
            <w:r w:rsidR="00765818">
              <w:rPr>
                <w:webHidden/>
              </w:rPr>
              <w:fldChar w:fldCharType="begin"/>
            </w:r>
            <w:r w:rsidR="00765818">
              <w:rPr>
                <w:webHidden/>
              </w:rPr>
              <w:instrText xml:space="preserve"> PAGEREF _Toc168052689 \h </w:instrText>
            </w:r>
            <w:r w:rsidR="00765818">
              <w:rPr>
                <w:webHidden/>
              </w:rPr>
            </w:r>
            <w:r w:rsidR="00765818">
              <w:rPr>
                <w:webHidden/>
              </w:rPr>
              <w:fldChar w:fldCharType="separate"/>
            </w:r>
            <w:r w:rsidR="00765818">
              <w:rPr>
                <w:webHidden/>
              </w:rPr>
              <w:t>9</w:t>
            </w:r>
            <w:r w:rsidR="00765818">
              <w:rPr>
                <w:webHidden/>
              </w:rPr>
              <w:fldChar w:fldCharType="end"/>
            </w:r>
          </w:hyperlink>
        </w:p>
        <w:p w14:paraId="025B0361" w14:textId="67DAC382"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0" w:history="1">
            <w:r w:rsidR="00765818" w:rsidRPr="006F226E">
              <w:rPr>
                <w:rStyle w:val="Hyperlink"/>
              </w:rPr>
              <w:t>2.8</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Funded Agency Channel</w:t>
            </w:r>
            <w:r w:rsidR="00765818">
              <w:rPr>
                <w:webHidden/>
              </w:rPr>
              <w:tab/>
            </w:r>
            <w:r w:rsidR="00765818">
              <w:rPr>
                <w:webHidden/>
              </w:rPr>
              <w:fldChar w:fldCharType="begin"/>
            </w:r>
            <w:r w:rsidR="00765818">
              <w:rPr>
                <w:webHidden/>
              </w:rPr>
              <w:instrText xml:space="preserve"> PAGEREF _Toc168052690 \h </w:instrText>
            </w:r>
            <w:r w:rsidR="00765818">
              <w:rPr>
                <w:webHidden/>
              </w:rPr>
            </w:r>
            <w:r w:rsidR="00765818">
              <w:rPr>
                <w:webHidden/>
              </w:rPr>
              <w:fldChar w:fldCharType="separate"/>
            </w:r>
            <w:r w:rsidR="00765818">
              <w:rPr>
                <w:webHidden/>
              </w:rPr>
              <w:t>10</w:t>
            </w:r>
            <w:r w:rsidR="00765818">
              <w:rPr>
                <w:webHidden/>
              </w:rPr>
              <w:fldChar w:fldCharType="end"/>
            </w:r>
          </w:hyperlink>
        </w:p>
        <w:p w14:paraId="789D4FD1" w14:textId="430BD4F5" w:rsidR="00765818" w:rsidRDefault="006859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052691" w:history="1">
            <w:r w:rsidR="00765818" w:rsidRPr="006F226E">
              <w:rPr>
                <w:rStyle w:val="Hyperlink"/>
              </w:rPr>
              <w:t>3.</w:t>
            </w:r>
            <w:r w:rsidR="00765818">
              <w:rPr>
                <w:rFonts w:asciiTheme="minorHAnsi" w:eastAsiaTheme="minorEastAsia" w:hAnsiTheme="minorHAnsi" w:cstheme="minorBidi"/>
                <w:b w:val="0"/>
                <w:kern w:val="2"/>
                <w:sz w:val="24"/>
                <w:szCs w:val="24"/>
                <w:lang w:eastAsia="en-AU"/>
                <w14:ligatures w14:val="standardContextual"/>
              </w:rPr>
              <w:tab/>
            </w:r>
            <w:r w:rsidR="00765818" w:rsidRPr="006F226E">
              <w:rPr>
                <w:rStyle w:val="Hyperlink"/>
              </w:rPr>
              <w:t>Theory of change and key outcomes</w:t>
            </w:r>
            <w:r w:rsidR="00765818">
              <w:rPr>
                <w:webHidden/>
              </w:rPr>
              <w:tab/>
            </w:r>
            <w:r w:rsidR="00765818">
              <w:rPr>
                <w:webHidden/>
              </w:rPr>
              <w:fldChar w:fldCharType="begin"/>
            </w:r>
            <w:r w:rsidR="00765818">
              <w:rPr>
                <w:webHidden/>
              </w:rPr>
              <w:instrText xml:space="preserve"> PAGEREF _Toc168052691 \h </w:instrText>
            </w:r>
            <w:r w:rsidR="00765818">
              <w:rPr>
                <w:webHidden/>
              </w:rPr>
            </w:r>
            <w:r w:rsidR="00765818">
              <w:rPr>
                <w:webHidden/>
              </w:rPr>
              <w:fldChar w:fldCharType="separate"/>
            </w:r>
            <w:r w:rsidR="00765818">
              <w:rPr>
                <w:webHidden/>
              </w:rPr>
              <w:t>11</w:t>
            </w:r>
            <w:r w:rsidR="00765818">
              <w:rPr>
                <w:webHidden/>
              </w:rPr>
              <w:fldChar w:fldCharType="end"/>
            </w:r>
          </w:hyperlink>
        </w:p>
        <w:p w14:paraId="460BEBE1" w14:textId="14B26E19" w:rsidR="00765818" w:rsidRDefault="006859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052692" w:history="1">
            <w:r w:rsidR="00765818" w:rsidRPr="006F226E">
              <w:rPr>
                <w:rStyle w:val="Hyperlink"/>
              </w:rPr>
              <w:t>4.</w:t>
            </w:r>
            <w:r w:rsidR="00765818">
              <w:rPr>
                <w:rFonts w:asciiTheme="minorHAnsi" w:eastAsiaTheme="minorEastAsia" w:hAnsiTheme="minorHAnsi" w:cstheme="minorBidi"/>
                <w:b w:val="0"/>
                <w:kern w:val="2"/>
                <w:sz w:val="24"/>
                <w:szCs w:val="24"/>
                <w:lang w:eastAsia="en-AU"/>
                <w14:ligatures w14:val="standardContextual"/>
              </w:rPr>
              <w:tab/>
            </w:r>
            <w:r w:rsidR="00765818" w:rsidRPr="006F226E">
              <w:rPr>
                <w:rStyle w:val="Hyperlink"/>
              </w:rPr>
              <w:t>Operational management requirements</w:t>
            </w:r>
            <w:r w:rsidR="00765818">
              <w:rPr>
                <w:webHidden/>
              </w:rPr>
              <w:tab/>
            </w:r>
            <w:r w:rsidR="00765818">
              <w:rPr>
                <w:webHidden/>
              </w:rPr>
              <w:fldChar w:fldCharType="begin"/>
            </w:r>
            <w:r w:rsidR="00765818">
              <w:rPr>
                <w:webHidden/>
              </w:rPr>
              <w:instrText xml:space="preserve"> PAGEREF _Toc168052692 \h </w:instrText>
            </w:r>
            <w:r w:rsidR="00765818">
              <w:rPr>
                <w:webHidden/>
              </w:rPr>
            </w:r>
            <w:r w:rsidR="00765818">
              <w:rPr>
                <w:webHidden/>
              </w:rPr>
              <w:fldChar w:fldCharType="separate"/>
            </w:r>
            <w:r w:rsidR="00765818">
              <w:rPr>
                <w:webHidden/>
              </w:rPr>
              <w:t>12</w:t>
            </w:r>
            <w:r w:rsidR="00765818">
              <w:rPr>
                <w:webHidden/>
              </w:rPr>
              <w:fldChar w:fldCharType="end"/>
            </w:r>
          </w:hyperlink>
        </w:p>
        <w:p w14:paraId="5264F752" w14:textId="57CFD53B"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3" w:history="1">
            <w:r w:rsidR="00765818" w:rsidRPr="006F226E">
              <w:rPr>
                <w:rStyle w:val="Hyperlink"/>
              </w:rPr>
              <w:t>4.1</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 xml:space="preserve"> Record keeping</w:t>
            </w:r>
            <w:r w:rsidR="00765818">
              <w:rPr>
                <w:webHidden/>
              </w:rPr>
              <w:tab/>
            </w:r>
            <w:r w:rsidR="00765818">
              <w:rPr>
                <w:webHidden/>
              </w:rPr>
              <w:fldChar w:fldCharType="begin"/>
            </w:r>
            <w:r w:rsidR="00765818">
              <w:rPr>
                <w:webHidden/>
              </w:rPr>
              <w:instrText xml:space="preserve"> PAGEREF _Toc168052693 \h </w:instrText>
            </w:r>
            <w:r w:rsidR="00765818">
              <w:rPr>
                <w:webHidden/>
              </w:rPr>
            </w:r>
            <w:r w:rsidR="00765818">
              <w:rPr>
                <w:webHidden/>
              </w:rPr>
              <w:fldChar w:fldCharType="separate"/>
            </w:r>
            <w:r w:rsidR="00765818">
              <w:rPr>
                <w:webHidden/>
              </w:rPr>
              <w:t>12</w:t>
            </w:r>
            <w:r w:rsidR="00765818">
              <w:rPr>
                <w:webHidden/>
              </w:rPr>
              <w:fldChar w:fldCharType="end"/>
            </w:r>
          </w:hyperlink>
        </w:p>
        <w:p w14:paraId="0670E3CD" w14:textId="673C5BF6"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4" w:history="1">
            <w:r w:rsidR="00765818" w:rsidRPr="006F226E">
              <w:rPr>
                <w:rStyle w:val="Hyperlink"/>
              </w:rPr>
              <w:t>4.2</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Complaint and allegation management</w:t>
            </w:r>
            <w:r w:rsidR="00765818">
              <w:rPr>
                <w:webHidden/>
              </w:rPr>
              <w:tab/>
            </w:r>
            <w:r w:rsidR="00765818">
              <w:rPr>
                <w:webHidden/>
              </w:rPr>
              <w:fldChar w:fldCharType="begin"/>
            </w:r>
            <w:r w:rsidR="00765818">
              <w:rPr>
                <w:webHidden/>
              </w:rPr>
              <w:instrText xml:space="preserve"> PAGEREF _Toc168052694 \h </w:instrText>
            </w:r>
            <w:r w:rsidR="00765818">
              <w:rPr>
                <w:webHidden/>
              </w:rPr>
            </w:r>
            <w:r w:rsidR="00765818">
              <w:rPr>
                <w:webHidden/>
              </w:rPr>
              <w:fldChar w:fldCharType="separate"/>
            </w:r>
            <w:r w:rsidR="00765818">
              <w:rPr>
                <w:webHidden/>
              </w:rPr>
              <w:t>12</w:t>
            </w:r>
            <w:r w:rsidR="00765818">
              <w:rPr>
                <w:webHidden/>
              </w:rPr>
              <w:fldChar w:fldCharType="end"/>
            </w:r>
          </w:hyperlink>
        </w:p>
        <w:p w14:paraId="33DFEF3D" w14:textId="069982F8"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5" w:history="1">
            <w:r w:rsidR="00765818" w:rsidRPr="006F226E">
              <w:rPr>
                <w:rStyle w:val="Hyperlink"/>
              </w:rPr>
              <w:t>4.3</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Individual feedback</w:t>
            </w:r>
            <w:r w:rsidR="00765818">
              <w:rPr>
                <w:webHidden/>
              </w:rPr>
              <w:tab/>
            </w:r>
            <w:r w:rsidR="00765818">
              <w:rPr>
                <w:webHidden/>
              </w:rPr>
              <w:fldChar w:fldCharType="begin"/>
            </w:r>
            <w:r w:rsidR="00765818">
              <w:rPr>
                <w:webHidden/>
              </w:rPr>
              <w:instrText xml:space="preserve"> PAGEREF _Toc168052695 \h </w:instrText>
            </w:r>
            <w:r w:rsidR="00765818">
              <w:rPr>
                <w:webHidden/>
              </w:rPr>
            </w:r>
            <w:r w:rsidR="00765818">
              <w:rPr>
                <w:webHidden/>
              </w:rPr>
              <w:fldChar w:fldCharType="separate"/>
            </w:r>
            <w:r w:rsidR="00765818">
              <w:rPr>
                <w:webHidden/>
              </w:rPr>
              <w:t>12</w:t>
            </w:r>
            <w:r w:rsidR="00765818">
              <w:rPr>
                <w:webHidden/>
              </w:rPr>
              <w:fldChar w:fldCharType="end"/>
            </w:r>
          </w:hyperlink>
        </w:p>
        <w:p w14:paraId="30E9C0BE" w14:textId="301236CD"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6" w:history="1">
            <w:r w:rsidR="00765818" w:rsidRPr="006F226E">
              <w:rPr>
                <w:rStyle w:val="Hyperlink"/>
              </w:rPr>
              <w:t>4.4</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Staffing competency, recruitment, and pre-employment checks</w:t>
            </w:r>
            <w:r w:rsidR="00765818">
              <w:rPr>
                <w:webHidden/>
              </w:rPr>
              <w:tab/>
            </w:r>
            <w:r w:rsidR="00765818">
              <w:rPr>
                <w:webHidden/>
              </w:rPr>
              <w:fldChar w:fldCharType="begin"/>
            </w:r>
            <w:r w:rsidR="00765818">
              <w:rPr>
                <w:webHidden/>
              </w:rPr>
              <w:instrText xml:space="preserve"> PAGEREF _Toc168052696 \h </w:instrText>
            </w:r>
            <w:r w:rsidR="00765818">
              <w:rPr>
                <w:webHidden/>
              </w:rPr>
            </w:r>
            <w:r w:rsidR="00765818">
              <w:rPr>
                <w:webHidden/>
              </w:rPr>
              <w:fldChar w:fldCharType="separate"/>
            </w:r>
            <w:r w:rsidR="00765818">
              <w:rPr>
                <w:webHidden/>
              </w:rPr>
              <w:t>12</w:t>
            </w:r>
            <w:r w:rsidR="00765818">
              <w:rPr>
                <w:webHidden/>
              </w:rPr>
              <w:fldChar w:fldCharType="end"/>
            </w:r>
          </w:hyperlink>
        </w:p>
        <w:p w14:paraId="1293FABD" w14:textId="19920E1D"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7" w:history="1">
            <w:r w:rsidR="00765818" w:rsidRPr="006F226E">
              <w:rPr>
                <w:rStyle w:val="Hyperlink"/>
              </w:rPr>
              <w:t>4.5</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Staff training, development, and supervision</w:t>
            </w:r>
            <w:r w:rsidR="00765818">
              <w:rPr>
                <w:webHidden/>
              </w:rPr>
              <w:tab/>
            </w:r>
            <w:r w:rsidR="00765818">
              <w:rPr>
                <w:webHidden/>
              </w:rPr>
              <w:fldChar w:fldCharType="begin"/>
            </w:r>
            <w:r w:rsidR="00765818">
              <w:rPr>
                <w:webHidden/>
              </w:rPr>
              <w:instrText xml:space="preserve"> PAGEREF _Toc168052697 \h </w:instrText>
            </w:r>
            <w:r w:rsidR="00765818">
              <w:rPr>
                <w:webHidden/>
              </w:rPr>
            </w:r>
            <w:r w:rsidR="00765818">
              <w:rPr>
                <w:webHidden/>
              </w:rPr>
              <w:fldChar w:fldCharType="separate"/>
            </w:r>
            <w:r w:rsidR="00765818">
              <w:rPr>
                <w:webHidden/>
              </w:rPr>
              <w:t>13</w:t>
            </w:r>
            <w:r w:rsidR="00765818">
              <w:rPr>
                <w:webHidden/>
              </w:rPr>
              <w:fldChar w:fldCharType="end"/>
            </w:r>
          </w:hyperlink>
        </w:p>
        <w:p w14:paraId="5206E399" w14:textId="172F075F"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698" w:history="1">
            <w:r w:rsidR="00765818" w:rsidRPr="006F226E">
              <w:rPr>
                <w:rStyle w:val="Hyperlink"/>
              </w:rPr>
              <w:t>4.6</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Prioritisation, allocation, and demand management</w:t>
            </w:r>
            <w:r w:rsidR="00765818">
              <w:rPr>
                <w:webHidden/>
              </w:rPr>
              <w:tab/>
            </w:r>
            <w:r w:rsidR="00765818">
              <w:rPr>
                <w:webHidden/>
              </w:rPr>
              <w:fldChar w:fldCharType="begin"/>
            </w:r>
            <w:r w:rsidR="00765818">
              <w:rPr>
                <w:webHidden/>
              </w:rPr>
              <w:instrText xml:space="preserve"> PAGEREF _Toc168052698 \h </w:instrText>
            </w:r>
            <w:r w:rsidR="00765818">
              <w:rPr>
                <w:webHidden/>
              </w:rPr>
            </w:r>
            <w:r w:rsidR="00765818">
              <w:rPr>
                <w:webHidden/>
              </w:rPr>
              <w:fldChar w:fldCharType="separate"/>
            </w:r>
            <w:r w:rsidR="00765818">
              <w:rPr>
                <w:webHidden/>
              </w:rPr>
              <w:t>13</w:t>
            </w:r>
            <w:r w:rsidR="00765818">
              <w:rPr>
                <w:webHidden/>
              </w:rPr>
              <w:fldChar w:fldCharType="end"/>
            </w:r>
          </w:hyperlink>
        </w:p>
        <w:p w14:paraId="6D565499" w14:textId="03DD5D30" w:rsidR="00765818" w:rsidRDefault="006859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052699" w:history="1">
            <w:r w:rsidR="00765818" w:rsidRPr="006F226E">
              <w:rPr>
                <w:rStyle w:val="Hyperlink"/>
              </w:rPr>
              <w:t>5.</w:t>
            </w:r>
            <w:r w:rsidR="00765818">
              <w:rPr>
                <w:rFonts w:asciiTheme="minorHAnsi" w:eastAsiaTheme="minorEastAsia" w:hAnsiTheme="minorHAnsi" w:cstheme="minorBidi"/>
                <w:b w:val="0"/>
                <w:kern w:val="2"/>
                <w:sz w:val="24"/>
                <w:szCs w:val="24"/>
                <w:lang w:eastAsia="en-AU"/>
                <w14:ligatures w14:val="standardContextual"/>
              </w:rPr>
              <w:tab/>
            </w:r>
            <w:r w:rsidR="00765818" w:rsidRPr="006F226E">
              <w:rPr>
                <w:rStyle w:val="Hyperlink"/>
              </w:rPr>
              <w:t>Practice requirements</w:t>
            </w:r>
            <w:r w:rsidR="00765818">
              <w:rPr>
                <w:webHidden/>
              </w:rPr>
              <w:tab/>
            </w:r>
            <w:r w:rsidR="00765818">
              <w:rPr>
                <w:webHidden/>
              </w:rPr>
              <w:fldChar w:fldCharType="begin"/>
            </w:r>
            <w:r w:rsidR="00765818">
              <w:rPr>
                <w:webHidden/>
              </w:rPr>
              <w:instrText xml:space="preserve"> PAGEREF _Toc168052699 \h </w:instrText>
            </w:r>
            <w:r w:rsidR="00765818">
              <w:rPr>
                <w:webHidden/>
              </w:rPr>
            </w:r>
            <w:r w:rsidR="00765818">
              <w:rPr>
                <w:webHidden/>
              </w:rPr>
              <w:fldChar w:fldCharType="separate"/>
            </w:r>
            <w:r w:rsidR="00765818">
              <w:rPr>
                <w:webHidden/>
              </w:rPr>
              <w:t>14</w:t>
            </w:r>
            <w:r w:rsidR="00765818">
              <w:rPr>
                <w:webHidden/>
              </w:rPr>
              <w:fldChar w:fldCharType="end"/>
            </w:r>
          </w:hyperlink>
        </w:p>
        <w:p w14:paraId="23F860A1" w14:textId="73F47C3E"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702" w:history="1">
            <w:r w:rsidR="00765818" w:rsidRPr="006F226E">
              <w:rPr>
                <w:rStyle w:val="Hyperlink"/>
              </w:rPr>
              <w:t>5.1</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Service Principles</w:t>
            </w:r>
            <w:r w:rsidR="00765818">
              <w:rPr>
                <w:webHidden/>
              </w:rPr>
              <w:tab/>
            </w:r>
            <w:r w:rsidR="00765818">
              <w:rPr>
                <w:webHidden/>
              </w:rPr>
              <w:fldChar w:fldCharType="begin"/>
            </w:r>
            <w:r w:rsidR="00765818">
              <w:rPr>
                <w:webHidden/>
              </w:rPr>
              <w:instrText xml:space="preserve"> PAGEREF _Toc168052702 \h </w:instrText>
            </w:r>
            <w:r w:rsidR="00765818">
              <w:rPr>
                <w:webHidden/>
              </w:rPr>
            </w:r>
            <w:r w:rsidR="00765818">
              <w:rPr>
                <w:webHidden/>
              </w:rPr>
              <w:fldChar w:fldCharType="separate"/>
            </w:r>
            <w:r w:rsidR="00765818">
              <w:rPr>
                <w:webHidden/>
              </w:rPr>
              <w:t>14</w:t>
            </w:r>
            <w:r w:rsidR="00765818">
              <w:rPr>
                <w:webHidden/>
              </w:rPr>
              <w:fldChar w:fldCharType="end"/>
            </w:r>
          </w:hyperlink>
        </w:p>
        <w:p w14:paraId="0A9FBB76" w14:textId="007A14E5"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703" w:history="1">
            <w:r w:rsidR="00765818" w:rsidRPr="006F226E">
              <w:rPr>
                <w:rStyle w:val="Hyperlink"/>
              </w:rPr>
              <w:t>5.2</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Service Scope</w:t>
            </w:r>
            <w:r w:rsidR="00765818">
              <w:rPr>
                <w:webHidden/>
              </w:rPr>
              <w:tab/>
            </w:r>
            <w:r w:rsidR="00765818">
              <w:rPr>
                <w:webHidden/>
              </w:rPr>
              <w:fldChar w:fldCharType="begin"/>
            </w:r>
            <w:r w:rsidR="00765818">
              <w:rPr>
                <w:webHidden/>
              </w:rPr>
              <w:instrText xml:space="preserve"> PAGEREF _Toc168052703 \h </w:instrText>
            </w:r>
            <w:r w:rsidR="00765818">
              <w:rPr>
                <w:webHidden/>
              </w:rPr>
            </w:r>
            <w:r w:rsidR="00765818">
              <w:rPr>
                <w:webHidden/>
              </w:rPr>
              <w:fldChar w:fldCharType="separate"/>
            </w:r>
            <w:r w:rsidR="00765818">
              <w:rPr>
                <w:webHidden/>
              </w:rPr>
              <w:t>14</w:t>
            </w:r>
            <w:r w:rsidR="00765818">
              <w:rPr>
                <w:webHidden/>
              </w:rPr>
              <w:fldChar w:fldCharType="end"/>
            </w:r>
          </w:hyperlink>
        </w:p>
        <w:p w14:paraId="2CE74F79" w14:textId="598A1FC2"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704" w:history="1">
            <w:r w:rsidR="00765818" w:rsidRPr="006F226E">
              <w:rPr>
                <w:rStyle w:val="Hyperlink"/>
              </w:rPr>
              <w:t>5.3</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SRS Support Funding (Activity 37414)</w:t>
            </w:r>
            <w:r w:rsidR="00765818">
              <w:rPr>
                <w:webHidden/>
              </w:rPr>
              <w:tab/>
            </w:r>
            <w:r w:rsidR="00765818">
              <w:rPr>
                <w:webHidden/>
              </w:rPr>
              <w:fldChar w:fldCharType="begin"/>
            </w:r>
            <w:r w:rsidR="00765818">
              <w:rPr>
                <w:webHidden/>
              </w:rPr>
              <w:instrText xml:space="preserve"> PAGEREF _Toc168052704 \h </w:instrText>
            </w:r>
            <w:r w:rsidR="00765818">
              <w:rPr>
                <w:webHidden/>
              </w:rPr>
            </w:r>
            <w:r w:rsidR="00765818">
              <w:rPr>
                <w:webHidden/>
              </w:rPr>
              <w:fldChar w:fldCharType="separate"/>
            </w:r>
            <w:r w:rsidR="00765818">
              <w:rPr>
                <w:webHidden/>
              </w:rPr>
              <w:t>14</w:t>
            </w:r>
            <w:r w:rsidR="00765818">
              <w:rPr>
                <w:webHidden/>
              </w:rPr>
              <w:fldChar w:fldCharType="end"/>
            </w:r>
          </w:hyperlink>
        </w:p>
        <w:p w14:paraId="40E091E0" w14:textId="334643EB"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05" w:history="1">
            <w:r w:rsidR="00765818" w:rsidRPr="006F226E">
              <w:rPr>
                <w:rStyle w:val="Hyperlink"/>
              </w:rPr>
              <w:t>SRS Support Funding: Facility Cost Relief</w:t>
            </w:r>
            <w:r w:rsidR="00765818">
              <w:rPr>
                <w:webHidden/>
              </w:rPr>
              <w:tab/>
            </w:r>
            <w:r w:rsidR="00765818">
              <w:rPr>
                <w:webHidden/>
              </w:rPr>
              <w:fldChar w:fldCharType="begin"/>
            </w:r>
            <w:r w:rsidR="00765818">
              <w:rPr>
                <w:webHidden/>
              </w:rPr>
              <w:instrText xml:space="preserve"> PAGEREF _Toc168052705 \h </w:instrText>
            </w:r>
            <w:r w:rsidR="00765818">
              <w:rPr>
                <w:webHidden/>
              </w:rPr>
            </w:r>
            <w:r w:rsidR="00765818">
              <w:rPr>
                <w:webHidden/>
              </w:rPr>
              <w:fldChar w:fldCharType="separate"/>
            </w:r>
            <w:r w:rsidR="00765818">
              <w:rPr>
                <w:webHidden/>
              </w:rPr>
              <w:t>15</w:t>
            </w:r>
            <w:r w:rsidR="00765818">
              <w:rPr>
                <w:webHidden/>
              </w:rPr>
              <w:fldChar w:fldCharType="end"/>
            </w:r>
          </w:hyperlink>
        </w:p>
        <w:p w14:paraId="02490BB5" w14:textId="3A8B6168"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06" w:history="1">
            <w:r w:rsidR="00765818" w:rsidRPr="006F226E">
              <w:rPr>
                <w:rStyle w:val="Hyperlink"/>
              </w:rPr>
              <w:t>SRS Support Funding: Amenity and Safety</w:t>
            </w:r>
            <w:r w:rsidR="00765818">
              <w:rPr>
                <w:webHidden/>
              </w:rPr>
              <w:tab/>
            </w:r>
            <w:r w:rsidR="00765818">
              <w:rPr>
                <w:webHidden/>
              </w:rPr>
              <w:fldChar w:fldCharType="begin"/>
            </w:r>
            <w:r w:rsidR="00765818">
              <w:rPr>
                <w:webHidden/>
              </w:rPr>
              <w:instrText xml:space="preserve"> PAGEREF _Toc168052706 \h </w:instrText>
            </w:r>
            <w:r w:rsidR="00765818">
              <w:rPr>
                <w:webHidden/>
              </w:rPr>
            </w:r>
            <w:r w:rsidR="00765818">
              <w:rPr>
                <w:webHidden/>
              </w:rPr>
              <w:fldChar w:fldCharType="separate"/>
            </w:r>
            <w:r w:rsidR="00765818">
              <w:rPr>
                <w:webHidden/>
              </w:rPr>
              <w:t>15</w:t>
            </w:r>
            <w:r w:rsidR="00765818">
              <w:rPr>
                <w:webHidden/>
              </w:rPr>
              <w:fldChar w:fldCharType="end"/>
            </w:r>
          </w:hyperlink>
        </w:p>
        <w:p w14:paraId="4752BD40" w14:textId="0E07A05C"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07" w:history="1">
            <w:r w:rsidR="00765818" w:rsidRPr="006F226E">
              <w:rPr>
                <w:rStyle w:val="Hyperlink"/>
              </w:rPr>
              <w:t>SRS Support Funding: Fresh Food</w:t>
            </w:r>
            <w:r w:rsidR="00765818">
              <w:rPr>
                <w:webHidden/>
              </w:rPr>
              <w:tab/>
            </w:r>
            <w:r w:rsidR="00765818">
              <w:rPr>
                <w:webHidden/>
              </w:rPr>
              <w:fldChar w:fldCharType="begin"/>
            </w:r>
            <w:r w:rsidR="00765818">
              <w:rPr>
                <w:webHidden/>
              </w:rPr>
              <w:instrText xml:space="preserve"> PAGEREF _Toc168052707 \h </w:instrText>
            </w:r>
            <w:r w:rsidR="00765818">
              <w:rPr>
                <w:webHidden/>
              </w:rPr>
            </w:r>
            <w:r w:rsidR="00765818">
              <w:rPr>
                <w:webHidden/>
              </w:rPr>
              <w:fldChar w:fldCharType="separate"/>
            </w:r>
            <w:r w:rsidR="00765818">
              <w:rPr>
                <w:webHidden/>
              </w:rPr>
              <w:t>16</w:t>
            </w:r>
            <w:r w:rsidR="00765818">
              <w:rPr>
                <w:webHidden/>
              </w:rPr>
              <w:fldChar w:fldCharType="end"/>
            </w:r>
          </w:hyperlink>
        </w:p>
        <w:p w14:paraId="4C331752" w14:textId="3EED54B4" w:rsidR="00765818" w:rsidRDefault="006859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052708" w:history="1">
            <w:r w:rsidR="00765818" w:rsidRPr="006F226E">
              <w:rPr>
                <w:rStyle w:val="Hyperlink"/>
              </w:rPr>
              <w:t>5.4</w:t>
            </w:r>
            <w:r w:rsidR="00765818">
              <w:rPr>
                <w:rFonts w:asciiTheme="minorHAnsi" w:eastAsiaTheme="minorEastAsia" w:hAnsiTheme="minorHAnsi" w:cstheme="minorBidi"/>
                <w:kern w:val="2"/>
                <w:sz w:val="24"/>
                <w:szCs w:val="24"/>
                <w:lang w:eastAsia="en-AU"/>
                <w14:ligatures w14:val="standardContextual"/>
              </w:rPr>
              <w:tab/>
            </w:r>
            <w:r w:rsidR="00765818" w:rsidRPr="006F226E">
              <w:rPr>
                <w:rStyle w:val="Hyperlink"/>
              </w:rPr>
              <w:t>SRS Capacity Building and Resident Outreach (Activity 37415)</w:t>
            </w:r>
            <w:r w:rsidR="00765818">
              <w:rPr>
                <w:webHidden/>
              </w:rPr>
              <w:tab/>
            </w:r>
            <w:r w:rsidR="00765818">
              <w:rPr>
                <w:webHidden/>
              </w:rPr>
              <w:fldChar w:fldCharType="begin"/>
            </w:r>
            <w:r w:rsidR="00765818">
              <w:rPr>
                <w:webHidden/>
              </w:rPr>
              <w:instrText xml:space="preserve"> PAGEREF _Toc168052708 \h </w:instrText>
            </w:r>
            <w:r w:rsidR="00765818">
              <w:rPr>
                <w:webHidden/>
              </w:rPr>
            </w:r>
            <w:r w:rsidR="00765818">
              <w:rPr>
                <w:webHidden/>
              </w:rPr>
              <w:fldChar w:fldCharType="separate"/>
            </w:r>
            <w:r w:rsidR="00765818">
              <w:rPr>
                <w:webHidden/>
              </w:rPr>
              <w:t>17</w:t>
            </w:r>
            <w:r w:rsidR="00765818">
              <w:rPr>
                <w:webHidden/>
              </w:rPr>
              <w:fldChar w:fldCharType="end"/>
            </w:r>
          </w:hyperlink>
        </w:p>
        <w:p w14:paraId="5F1271D0" w14:textId="44BBDA54"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09" w:history="1">
            <w:r w:rsidR="00765818" w:rsidRPr="006F226E">
              <w:rPr>
                <w:rStyle w:val="Hyperlink"/>
              </w:rPr>
              <w:t>5.5 Flexible funding guidelines</w:t>
            </w:r>
            <w:r w:rsidR="00765818">
              <w:rPr>
                <w:webHidden/>
              </w:rPr>
              <w:tab/>
            </w:r>
            <w:r w:rsidR="00765818">
              <w:rPr>
                <w:webHidden/>
              </w:rPr>
              <w:fldChar w:fldCharType="begin"/>
            </w:r>
            <w:r w:rsidR="00765818">
              <w:rPr>
                <w:webHidden/>
              </w:rPr>
              <w:instrText xml:space="preserve"> PAGEREF _Toc168052709 \h </w:instrText>
            </w:r>
            <w:r w:rsidR="00765818">
              <w:rPr>
                <w:webHidden/>
              </w:rPr>
            </w:r>
            <w:r w:rsidR="00765818">
              <w:rPr>
                <w:webHidden/>
              </w:rPr>
              <w:fldChar w:fldCharType="separate"/>
            </w:r>
            <w:r w:rsidR="00765818">
              <w:rPr>
                <w:webHidden/>
              </w:rPr>
              <w:t>19</w:t>
            </w:r>
            <w:r w:rsidR="00765818">
              <w:rPr>
                <w:webHidden/>
              </w:rPr>
              <w:fldChar w:fldCharType="end"/>
            </w:r>
          </w:hyperlink>
        </w:p>
        <w:p w14:paraId="61A52E46" w14:textId="613495FA"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10" w:history="1">
            <w:r w:rsidR="00765818" w:rsidRPr="006F226E">
              <w:rPr>
                <w:rStyle w:val="Hyperlink"/>
              </w:rPr>
              <w:t>5.6 Unexpended Funds</w:t>
            </w:r>
            <w:r w:rsidR="00765818">
              <w:rPr>
                <w:webHidden/>
              </w:rPr>
              <w:tab/>
            </w:r>
            <w:r w:rsidR="00765818">
              <w:rPr>
                <w:webHidden/>
              </w:rPr>
              <w:fldChar w:fldCharType="begin"/>
            </w:r>
            <w:r w:rsidR="00765818">
              <w:rPr>
                <w:webHidden/>
              </w:rPr>
              <w:instrText xml:space="preserve"> PAGEREF _Toc168052710 \h </w:instrText>
            </w:r>
            <w:r w:rsidR="00765818">
              <w:rPr>
                <w:webHidden/>
              </w:rPr>
            </w:r>
            <w:r w:rsidR="00765818">
              <w:rPr>
                <w:webHidden/>
              </w:rPr>
              <w:fldChar w:fldCharType="separate"/>
            </w:r>
            <w:r w:rsidR="00765818">
              <w:rPr>
                <w:webHidden/>
              </w:rPr>
              <w:t>19</w:t>
            </w:r>
            <w:r w:rsidR="00765818">
              <w:rPr>
                <w:webHidden/>
              </w:rPr>
              <w:fldChar w:fldCharType="end"/>
            </w:r>
          </w:hyperlink>
        </w:p>
        <w:p w14:paraId="18ED1AFC" w14:textId="653BCD3C"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11" w:history="1">
            <w:r w:rsidR="00765818" w:rsidRPr="006F226E">
              <w:rPr>
                <w:rStyle w:val="Hyperlink"/>
              </w:rPr>
              <w:t>5.7 Data Collections and reporting requirements</w:t>
            </w:r>
            <w:r w:rsidR="00765818">
              <w:rPr>
                <w:webHidden/>
              </w:rPr>
              <w:tab/>
            </w:r>
            <w:r w:rsidR="00765818">
              <w:rPr>
                <w:webHidden/>
              </w:rPr>
              <w:fldChar w:fldCharType="begin"/>
            </w:r>
            <w:r w:rsidR="00765818">
              <w:rPr>
                <w:webHidden/>
              </w:rPr>
              <w:instrText xml:space="preserve"> PAGEREF _Toc168052711 \h </w:instrText>
            </w:r>
            <w:r w:rsidR="00765818">
              <w:rPr>
                <w:webHidden/>
              </w:rPr>
            </w:r>
            <w:r w:rsidR="00765818">
              <w:rPr>
                <w:webHidden/>
              </w:rPr>
              <w:fldChar w:fldCharType="separate"/>
            </w:r>
            <w:r w:rsidR="00765818">
              <w:rPr>
                <w:webHidden/>
              </w:rPr>
              <w:t>19</w:t>
            </w:r>
            <w:r w:rsidR="00765818">
              <w:rPr>
                <w:webHidden/>
              </w:rPr>
              <w:fldChar w:fldCharType="end"/>
            </w:r>
          </w:hyperlink>
        </w:p>
        <w:p w14:paraId="5B30EA12" w14:textId="3370132F" w:rsidR="00765818" w:rsidRDefault="00685934">
          <w:pPr>
            <w:pStyle w:val="TOC2"/>
            <w:rPr>
              <w:rFonts w:asciiTheme="minorHAnsi" w:eastAsiaTheme="minorEastAsia" w:hAnsiTheme="minorHAnsi" w:cstheme="minorBidi"/>
              <w:kern w:val="2"/>
              <w:sz w:val="24"/>
              <w:szCs w:val="24"/>
              <w:lang w:eastAsia="en-AU"/>
              <w14:ligatures w14:val="standardContextual"/>
            </w:rPr>
          </w:pPr>
          <w:hyperlink w:anchor="_Toc168052712" w:history="1">
            <w:r w:rsidR="00765818" w:rsidRPr="006F226E">
              <w:rPr>
                <w:rStyle w:val="Hyperlink"/>
              </w:rPr>
              <w:t>5.7 Evaluation data</w:t>
            </w:r>
            <w:r w:rsidR="00765818">
              <w:rPr>
                <w:webHidden/>
              </w:rPr>
              <w:tab/>
            </w:r>
            <w:r w:rsidR="00765818">
              <w:rPr>
                <w:webHidden/>
              </w:rPr>
              <w:fldChar w:fldCharType="begin"/>
            </w:r>
            <w:r w:rsidR="00765818">
              <w:rPr>
                <w:webHidden/>
              </w:rPr>
              <w:instrText xml:space="preserve"> PAGEREF _Toc168052712 \h </w:instrText>
            </w:r>
            <w:r w:rsidR="00765818">
              <w:rPr>
                <w:webHidden/>
              </w:rPr>
            </w:r>
            <w:r w:rsidR="00765818">
              <w:rPr>
                <w:webHidden/>
              </w:rPr>
              <w:fldChar w:fldCharType="separate"/>
            </w:r>
            <w:r w:rsidR="00765818">
              <w:rPr>
                <w:webHidden/>
              </w:rPr>
              <w:t>20</w:t>
            </w:r>
            <w:r w:rsidR="00765818">
              <w:rPr>
                <w:webHidden/>
              </w:rPr>
              <w:fldChar w:fldCharType="end"/>
            </w:r>
          </w:hyperlink>
        </w:p>
        <w:p w14:paraId="6CBEFAA4" w14:textId="7E909B0A" w:rsidR="00E6210E" w:rsidRDefault="00E6210E">
          <w:r>
            <w:rPr>
              <w:b/>
              <w:bCs/>
              <w:noProof/>
            </w:rPr>
            <w:fldChar w:fldCharType="end"/>
          </w:r>
        </w:p>
      </w:sdtContent>
    </w:sdt>
    <w:p w14:paraId="3756C972" w14:textId="77777777" w:rsidR="00B005C2" w:rsidRPr="00B005C2" w:rsidRDefault="00B005C2" w:rsidP="00B005C2">
      <w:pPr>
        <w:keepNext/>
        <w:keepLines/>
        <w:tabs>
          <w:tab w:val="right" w:leader="dot" w:pos="9299"/>
        </w:tabs>
        <w:spacing w:after="60" w:line="270" w:lineRule="atLeast"/>
        <w:ind w:right="680"/>
        <w:rPr>
          <w:sz w:val="20"/>
        </w:rPr>
      </w:pPr>
    </w:p>
    <w:p w14:paraId="177AEEDC" w14:textId="77777777" w:rsidR="00B005C2" w:rsidRPr="00B005C2" w:rsidRDefault="00B005C2" w:rsidP="00B005C2">
      <w:pPr>
        <w:spacing w:line="270" w:lineRule="atLeast"/>
        <w:rPr>
          <w:rFonts w:eastAsia="Times"/>
          <w:sz w:val="20"/>
        </w:rPr>
      </w:pPr>
      <w:r w:rsidRPr="00B005C2">
        <w:rPr>
          <w:rFonts w:eastAsia="Times"/>
          <w:sz w:val="20"/>
        </w:rPr>
        <w:br w:type="page"/>
      </w:r>
    </w:p>
    <w:p w14:paraId="622A3C98" w14:textId="77777777" w:rsidR="00B005C2" w:rsidRPr="00B005C2" w:rsidRDefault="00B005C2" w:rsidP="00B005C2">
      <w:pPr>
        <w:spacing w:line="270" w:lineRule="atLeast"/>
        <w:rPr>
          <w:rFonts w:eastAsia="Times"/>
          <w:sz w:val="20"/>
        </w:rPr>
        <w:sectPr w:rsidR="00B005C2" w:rsidRPr="00B005C2">
          <w:pgSz w:w="11906" w:h="16838"/>
          <w:pgMar w:top="1701" w:right="1304" w:bottom="1134" w:left="1304" w:header="454" w:footer="567" w:gutter="0"/>
          <w:cols w:space="720"/>
          <w:docGrid w:linePitch="360"/>
        </w:sectPr>
      </w:pPr>
    </w:p>
    <w:p w14:paraId="096388C9" w14:textId="77777777" w:rsidR="00B005C2" w:rsidRPr="00B005C2" w:rsidRDefault="00B005C2" w:rsidP="001650A7">
      <w:pPr>
        <w:pStyle w:val="Heading1"/>
      </w:pPr>
      <w:bookmarkStart w:id="0" w:name="_Toc48206329"/>
      <w:bookmarkStart w:id="1" w:name="_Toc168052677"/>
      <w:r w:rsidRPr="00B005C2">
        <w:lastRenderedPageBreak/>
        <w:t>Preface</w:t>
      </w:r>
      <w:bookmarkEnd w:id="0"/>
      <w:bookmarkEnd w:id="1"/>
    </w:p>
    <w:p w14:paraId="4A833A45" w14:textId="7B71C21E" w:rsidR="00B005C2" w:rsidRPr="00B005C2" w:rsidRDefault="00B005C2" w:rsidP="1C7B92F9">
      <w:pPr>
        <w:spacing w:line="270" w:lineRule="atLeast"/>
        <w:rPr>
          <w:rFonts w:eastAsia="Times"/>
          <w:i/>
          <w:iCs/>
          <w:sz w:val="20"/>
        </w:rPr>
      </w:pPr>
      <w:r w:rsidRPr="1C7B92F9">
        <w:rPr>
          <w:rFonts w:eastAsia="Times"/>
          <w:sz w:val="20"/>
        </w:rPr>
        <w:t xml:space="preserve">The program requirements template </w:t>
      </w:r>
      <w:proofErr w:type="gramStart"/>
      <w:r w:rsidRPr="1C7B92F9">
        <w:rPr>
          <w:rFonts w:eastAsia="Times"/>
          <w:sz w:val="20"/>
        </w:rPr>
        <w:t>h</w:t>
      </w:r>
      <w:r w:rsidR="00C17224">
        <w:rPr>
          <w:rFonts w:eastAsia="Times"/>
          <w:sz w:val="20"/>
        </w:rPr>
        <w:t>ave</w:t>
      </w:r>
      <w:proofErr w:type="gramEnd"/>
      <w:r w:rsidRPr="1C7B92F9">
        <w:rPr>
          <w:rFonts w:eastAsia="Times"/>
          <w:sz w:val="20"/>
        </w:rPr>
        <w:t xml:space="preserve"> been developed based on examples of program requirements documentation used within the department already, used in other jurisdictions in Australia and is informed by a range of research associated with best practice in Service Agreement management and the findings of the </w:t>
      </w:r>
      <w:r w:rsidRPr="1C7B92F9">
        <w:rPr>
          <w:rFonts w:eastAsia="Times"/>
          <w:i/>
          <w:iCs/>
          <w:sz w:val="20"/>
        </w:rPr>
        <w:t>Victorian Auditor –General’s report Contract Management Capability in DHHS: Service Agreements</w:t>
      </w:r>
      <w:r w:rsidRPr="1C7B92F9">
        <w:rPr>
          <w:rFonts w:eastAsia="Times"/>
          <w:sz w:val="20"/>
        </w:rPr>
        <w:t xml:space="preserve"> </w:t>
      </w:r>
      <w:r w:rsidRPr="1C7B92F9">
        <w:rPr>
          <w:rFonts w:eastAsia="Times"/>
          <w:i/>
          <w:iCs/>
          <w:sz w:val="20"/>
        </w:rPr>
        <w:t>(2018).</w:t>
      </w:r>
    </w:p>
    <w:p w14:paraId="275F4C33" w14:textId="77777777" w:rsidR="00B005C2" w:rsidRPr="00B005C2" w:rsidRDefault="00B005C2" w:rsidP="001650A7">
      <w:pPr>
        <w:pStyle w:val="Heading1"/>
      </w:pPr>
      <w:bookmarkStart w:id="2" w:name="_Toc48206330"/>
      <w:bookmarkStart w:id="3" w:name="_Toc168052678"/>
      <w:r w:rsidRPr="00B005C2">
        <w:t>Glossary of key terms</w:t>
      </w:r>
      <w:bookmarkEnd w:id="2"/>
      <w:bookmarkEnd w:id="3"/>
    </w:p>
    <w:p w14:paraId="0DFAFFEC" w14:textId="77777777" w:rsidR="00B005C2" w:rsidRDefault="00B005C2" w:rsidP="001650A7">
      <w:pPr>
        <w:pStyle w:val="DHHSbody"/>
      </w:pPr>
      <w:r w:rsidRPr="00B005C2">
        <w:t xml:space="preserve">The following is a glossary of key terms used within this </w:t>
      </w:r>
      <w:proofErr w:type="gramStart"/>
      <w:r w:rsidRPr="00B005C2">
        <w:t>document</w:t>
      </w:r>
      <w:proofErr w:type="gramEnd"/>
    </w:p>
    <w:p w14:paraId="4E93C4E4" w14:textId="77777777" w:rsidR="001650A7" w:rsidRPr="00B005C2" w:rsidRDefault="001650A7" w:rsidP="001650A7">
      <w:pPr>
        <w:keepNext/>
        <w:keepLines/>
        <w:spacing w:before="240" w:after="0" w:line="240" w:lineRule="atLeast"/>
        <w:rPr>
          <w:b/>
          <w:sz w:val="20"/>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05"/>
      </w:tblGrid>
      <w:tr w:rsidR="00B005C2" w:rsidRPr="00B005C2" w14:paraId="5FED97DC" w14:textId="77777777">
        <w:trPr>
          <w:tblHeader/>
        </w:trPr>
        <w:tc>
          <w:tcPr>
            <w:tcW w:w="2694" w:type="dxa"/>
            <w:shd w:val="clear" w:color="auto" w:fill="auto"/>
          </w:tcPr>
          <w:p w14:paraId="7138A778" w14:textId="77777777" w:rsidR="00B005C2" w:rsidRPr="00B005C2" w:rsidRDefault="00B005C2" w:rsidP="003339C5">
            <w:pPr>
              <w:pStyle w:val="Bullet1"/>
            </w:pPr>
            <w:r w:rsidRPr="00B005C2">
              <w:t>Term</w:t>
            </w:r>
          </w:p>
        </w:tc>
        <w:tc>
          <w:tcPr>
            <w:tcW w:w="6605" w:type="dxa"/>
            <w:shd w:val="clear" w:color="auto" w:fill="auto"/>
          </w:tcPr>
          <w:p w14:paraId="257DA347" w14:textId="77777777" w:rsidR="00B005C2" w:rsidRPr="00B005C2" w:rsidRDefault="00B005C2" w:rsidP="003339C5">
            <w:pPr>
              <w:pStyle w:val="Bullet1"/>
            </w:pPr>
            <w:r w:rsidRPr="00B005C2">
              <w:t>Description</w:t>
            </w:r>
          </w:p>
        </w:tc>
      </w:tr>
      <w:tr w:rsidR="00B005C2" w:rsidRPr="00B005C2" w14:paraId="71FE04E6" w14:textId="77777777">
        <w:tc>
          <w:tcPr>
            <w:tcW w:w="2694" w:type="dxa"/>
            <w:shd w:val="clear" w:color="auto" w:fill="auto"/>
          </w:tcPr>
          <w:p w14:paraId="38E7AE2F" w14:textId="77777777" w:rsidR="00B005C2" w:rsidRPr="00B005C2" w:rsidRDefault="00B005C2" w:rsidP="00B005C2">
            <w:pPr>
              <w:spacing w:before="80" w:after="60" w:line="240" w:lineRule="auto"/>
              <w:rPr>
                <w:sz w:val="20"/>
              </w:rPr>
            </w:pPr>
            <w:r w:rsidRPr="00B005C2">
              <w:rPr>
                <w:sz w:val="20"/>
              </w:rPr>
              <w:t xml:space="preserve">Activity </w:t>
            </w:r>
          </w:p>
        </w:tc>
        <w:tc>
          <w:tcPr>
            <w:tcW w:w="6605" w:type="dxa"/>
            <w:shd w:val="clear" w:color="auto" w:fill="auto"/>
          </w:tcPr>
          <w:p w14:paraId="2B12240E" w14:textId="77777777" w:rsidR="00B005C2" w:rsidRPr="00B005C2" w:rsidRDefault="00B005C2" w:rsidP="00B005C2">
            <w:pPr>
              <w:spacing w:before="80" w:after="60" w:line="240" w:lineRule="auto"/>
              <w:rPr>
                <w:sz w:val="20"/>
              </w:rPr>
            </w:pPr>
            <w:r w:rsidRPr="00B005C2">
              <w:rPr>
                <w:sz w:val="20"/>
              </w:rPr>
              <w:t xml:space="preserve">Includes descriptive information on the objectives, client group and service model that is being funded and includes the performance measures, </w:t>
            </w:r>
            <w:proofErr w:type="gramStart"/>
            <w:r w:rsidRPr="00B005C2">
              <w:rPr>
                <w:sz w:val="20"/>
              </w:rPr>
              <w:t>program</w:t>
            </w:r>
            <w:proofErr w:type="gramEnd"/>
            <w:r w:rsidRPr="00B005C2">
              <w:rPr>
                <w:sz w:val="20"/>
              </w:rPr>
              <w:t xml:space="preserve"> and other requirements.</w:t>
            </w:r>
          </w:p>
        </w:tc>
      </w:tr>
      <w:tr w:rsidR="00B005C2" w:rsidRPr="00B005C2" w14:paraId="7DD9F09F" w14:textId="77777777">
        <w:tc>
          <w:tcPr>
            <w:tcW w:w="2694" w:type="dxa"/>
            <w:shd w:val="clear" w:color="auto" w:fill="auto"/>
          </w:tcPr>
          <w:p w14:paraId="390EE743" w14:textId="77777777" w:rsidR="00B005C2" w:rsidRPr="00B005C2" w:rsidRDefault="00B005C2" w:rsidP="00B005C2">
            <w:pPr>
              <w:spacing w:before="80" w:after="60" w:line="240" w:lineRule="auto"/>
              <w:rPr>
                <w:sz w:val="20"/>
              </w:rPr>
            </w:pPr>
            <w:r w:rsidRPr="00B005C2">
              <w:rPr>
                <w:sz w:val="20"/>
              </w:rPr>
              <w:t>Activity Owners</w:t>
            </w:r>
          </w:p>
        </w:tc>
        <w:tc>
          <w:tcPr>
            <w:tcW w:w="6605" w:type="dxa"/>
            <w:shd w:val="clear" w:color="auto" w:fill="auto"/>
          </w:tcPr>
          <w:p w14:paraId="0BCACAFD" w14:textId="77777777" w:rsidR="00B005C2" w:rsidRPr="00B005C2" w:rsidRDefault="00B005C2" w:rsidP="00B005C2">
            <w:pPr>
              <w:spacing w:before="80" w:after="60" w:line="240" w:lineRule="auto"/>
              <w:rPr>
                <w:sz w:val="20"/>
              </w:rPr>
            </w:pPr>
            <w:r w:rsidRPr="00B005C2">
              <w:rPr>
                <w:sz w:val="20"/>
              </w:rPr>
              <w:t>Program areas who are responsible for developing and funding services that are funded through the service agreement.</w:t>
            </w:r>
          </w:p>
        </w:tc>
      </w:tr>
      <w:tr w:rsidR="00B005C2" w:rsidRPr="00B005C2" w14:paraId="33D6B876" w14:textId="77777777">
        <w:tc>
          <w:tcPr>
            <w:tcW w:w="2694" w:type="dxa"/>
            <w:shd w:val="clear" w:color="auto" w:fill="auto"/>
          </w:tcPr>
          <w:p w14:paraId="2CF1041E" w14:textId="77777777" w:rsidR="00B005C2" w:rsidRPr="00B005C2" w:rsidRDefault="00B005C2" w:rsidP="00B005C2">
            <w:pPr>
              <w:spacing w:before="80" w:after="60" w:line="240" w:lineRule="auto"/>
              <w:rPr>
                <w:sz w:val="20"/>
              </w:rPr>
            </w:pPr>
            <w:r w:rsidRPr="00B005C2">
              <w:rPr>
                <w:sz w:val="20"/>
              </w:rPr>
              <w:t xml:space="preserve">Funded Agency Channel </w:t>
            </w:r>
          </w:p>
        </w:tc>
        <w:tc>
          <w:tcPr>
            <w:tcW w:w="6605" w:type="dxa"/>
            <w:shd w:val="clear" w:color="auto" w:fill="auto"/>
          </w:tcPr>
          <w:p w14:paraId="3537AC38" w14:textId="77777777" w:rsidR="00B005C2" w:rsidRPr="00B005C2" w:rsidRDefault="00B005C2" w:rsidP="00B005C2">
            <w:pPr>
              <w:spacing w:before="80" w:after="60" w:line="240" w:lineRule="auto"/>
              <w:rPr>
                <w:sz w:val="20"/>
              </w:rPr>
            </w:pPr>
            <w:r w:rsidRPr="00B005C2">
              <w:rPr>
                <w:sz w:val="20"/>
              </w:rPr>
              <w:t>&lt;https://fac.dhhs.vic.gov.au&gt;</w:t>
            </w:r>
            <w:r w:rsidRPr="00B005C2">
              <w:rPr>
                <w:rFonts w:cs="Arial"/>
                <w:color w:val="000000"/>
                <w:sz w:val="20"/>
                <w:szCs w:val="19"/>
                <w:lang w:eastAsia="en-AU"/>
              </w:rPr>
              <w:t xml:space="preserve"> is a website that supports the partnership relationship between the funded organisation and the funding department. </w:t>
            </w:r>
          </w:p>
        </w:tc>
      </w:tr>
      <w:tr w:rsidR="00B005C2" w:rsidRPr="00B005C2" w14:paraId="77B561DA" w14:textId="77777777">
        <w:tc>
          <w:tcPr>
            <w:tcW w:w="2694" w:type="dxa"/>
            <w:shd w:val="clear" w:color="auto" w:fill="auto"/>
          </w:tcPr>
          <w:p w14:paraId="4F6F51B8" w14:textId="77777777" w:rsidR="00B005C2" w:rsidRPr="00B005C2" w:rsidRDefault="00B005C2" w:rsidP="00B005C2">
            <w:pPr>
              <w:spacing w:before="80" w:after="60" w:line="240" w:lineRule="auto"/>
              <w:rPr>
                <w:sz w:val="20"/>
              </w:rPr>
            </w:pPr>
            <w:r w:rsidRPr="00B005C2">
              <w:rPr>
                <w:sz w:val="20"/>
              </w:rPr>
              <w:t>Organisation / Funded Organisation / Service provider</w:t>
            </w:r>
          </w:p>
        </w:tc>
        <w:tc>
          <w:tcPr>
            <w:tcW w:w="6605" w:type="dxa"/>
            <w:shd w:val="clear" w:color="auto" w:fill="auto"/>
          </w:tcPr>
          <w:p w14:paraId="7C9EEB4A" w14:textId="77777777" w:rsidR="00B005C2" w:rsidRPr="00B005C2" w:rsidRDefault="00B005C2" w:rsidP="00B005C2">
            <w:pPr>
              <w:spacing w:before="80" w:after="60" w:line="240" w:lineRule="auto"/>
              <w:rPr>
                <w:sz w:val="20"/>
              </w:rPr>
            </w:pPr>
            <w:r w:rsidRPr="00B005C2">
              <w:rPr>
                <w:sz w:val="20"/>
              </w:rPr>
              <w:t>Organisation is used to define the entity that is funded by the department through a Service Agreement to deliver services on its behalf.</w:t>
            </w:r>
          </w:p>
        </w:tc>
      </w:tr>
      <w:tr w:rsidR="00B005C2" w:rsidRPr="00B005C2" w14:paraId="40E86D0B" w14:textId="77777777">
        <w:tc>
          <w:tcPr>
            <w:tcW w:w="2694" w:type="dxa"/>
            <w:shd w:val="clear" w:color="auto" w:fill="auto"/>
          </w:tcPr>
          <w:p w14:paraId="0477DEA9" w14:textId="77777777" w:rsidR="00B005C2" w:rsidRPr="00B005C2" w:rsidRDefault="00B005C2" w:rsidP="00B005C2">
            <w:pPr>
              <w:spacing w:before="80" w:after="60" w:line="240" w:lineRule="auto"/>
              <w:rPr>
                <w:sz w:val="20"/>
              </w:rPr>
            </w:pPr>
            <w:r w:rsidRPr="00B005C2">
              <w:rPr>
                <w:sz w:val="20"/>
              </w:rPr>
              <w:t>Program requirements</w:t>
            </w:r>
          </w:p>
        </w:tc>
        <w:tc>
          <w:tcPr>
            <w:tcW w:w="6605" w:type="dxa"/>
            <w:shd w:val="clear" w:color="auto" w:fill="auto"/>
          </w:tcPr>
          <w:p w14:paraId="05A5B39E" w14:textId="77777777" w:rsidR="00B005C2" w:rsidRPr="00B005C2" w:rsidRDefault="00B005C2" w:rsidP="00B005C2">
            <w:pPr>
              <w:spacing w:before="80" w:after="60" w:line="240" w:lineRule="auto"/>
              <w:rPr>
                <w:sz w:val="20"/>
              </w:rPr>
            </w:pPr>
            <w:r w:rsidRPr="00B005C2">
              <w:rPr>
                <w:sz w:val="20"/>
              </w:rPr>
              <w:t xml:space="preserve">A document that details the way in which the services must be delivered </w:t>
            </w:r>
            <w:proofErr w:type="gramStart"/>
            <w:r w:rsidRPr="00B005C2">
              <w:rPr>
                <w:sz w:val="20"/>
              </w:rPr>
              <w:t>in order to</w:t>
            </w:r>
            <w:proofErr w:type="gramEnd"/>
            <w:r w:rsidRPr="00B005C2">
              <w:rPr>
                <w:sz w:val="20"/>
              </w:rPr>
              <w:t xml:space="preserve"> meet the funding of the Service Agreement </w:t>
            </w:r>
          </w:p>
        </w:tc>
      </w:tr>
      <w:tr w:rsidR="00B005C2" w:rsidRPr="00B005C2" w14:paraId="692961AB" w14:textId="77777777">
        <w:tc>
          <w:tcPr>
            <w:tcW w:w="2694" w:type="dxa"/>
            <w:shd w:val="clear" w:color="auto" w:fill="auto"/>
          </w:tcPr>
          <w:p w14:paraId="2FAC2520" w14:textId="77777777" w:rsidR="00B005C2" w:rsidRPr="00B005C2" w:rsidRDefault="00B005C2" w:rsidP="00B005C2">
            <w:pPr>
              <w:spacing w:before="80" w:after="60" w:line="240" w:lineRule="auto"/>
              <w:rPr>
                <w:sz w:val="20"/>
              </w:rPr>
            </w:pPr>
            <w:r w:rsidRPr="00B005C2">
              <w:rPr>
                <w:sz w:val="20"/>
              </w:rPr>
              <w:t>Service Agreement</w:t>
            </w:r>
          </w:p>
        </w:tc>
        <w:tc>
          <w:tcPr>
            <w:tcW w:w="6605" w:type="dxa"/>
            <w:shd w:val="clear" w:color="auto" w:fill="auto"/>
          </w:tcPr>
          <w:p w14:paraId="7A190634" w14:textId="77777777" w:rsidR="00B005C2" w:rsidRPr="00B005C2" w:rsidRDefault="00B005C2" w:rsidP="00B005C2">
            <w:pPr>
              <w:spacing w:before="80" w:after="60" w:line="240" w:lineRule="auto"/>
              <w:rPr>
                <w:sz w:val="20"/>
              </w:rPr>
            </w:pPr>
            <w:r w:rsidRPr="00B005C2">
              <w:rPr>
                <w:sz w:val="20"/>
              </w:rPr>
              <w:t xml:space="preserve">A contract between the department and an organisation to deliver services on behalf of government. </w:t>
            </w:r>
          </w:p>
          <w:p w14:paraId="2D0FE0F8" w14:textId="3A2195F0" w:rsidR="00B005C2" w:rsidRPr="00B005C2" w:rsidRDefault="00B005C2" w:rsidP="00B005C2">
            <w:pPr>
              <w:spacing w:before="80" w:after="60" w:line="240" w:lineRule="auto"/>
              <w:rPr>
                <w:sz w:val="20"/>
              </w:rPr>
            </w:pPr>
            <w:r w:rsidRPr="00B005C2">
              <w:rPr>
                <w:sz w:val="20"/>
              </w:rPr>
              <w:t xml:space="preserve">The Department of </w:t>
            </w:r>
            <w:r>
              <w:rPr>
                <w:sz w:val="20"/>
              </w:rPr>
              <w:t>Families, Fairness and Housing</w:t>
            </w:r>
            <w:r w:rsidRPr="00B005C2">
              <w:rPr>
                <w:sz w:val="20"/>
              </w:rPr>
              <w:t xml:space="preserve"> uses a Service agreement version of the Victorian common funding agreement to fund organisations to deliver services.</w:t>
            </w:r>
          </w:p>
          <w:p w14:paraId="5536491C" w14:textId="77777777" w:rsidR="00B005C2" w:rsidRPr="00B005C2" w:rsidRDefault="00B005C2" w:rsidP="00B005C2">
            <w:pPr>
              <w:spacing w:before="80" w:after="60" w:line="240" w:lineRule="auto"/>
              <w:rPr>
                <w:sz w:val="20"/>
              </w:rPr>
            </w:pPr>
            <w:r w:rsidRPr="00B005C2">
              <w:rPr>
                <w:sz w:val="20"/>
              </w:rPr>
              <w:t xml:space="preserve">Service agreements set out the key obligations, objectives, </w:t>
            </w:r>
            <w:proofErr w:type="gramStart"/>
            <w:r w:rsidRPr="00B005C2">
              <w:rPr>
                <w:sz w:val="20"/>
              </w:rPr>
              <w:t>rights</w:t>
            </w:r>
            <w:proofErr w:type="gramEnd"/>
            <w:r w:rsidRPr="00B005C2">
              <w:rPr>
                <w:sz w:val="20"/>
              </w:rPr>
              <w:t xml:space="preserve"> and responsibilities of the organisation in delivering services, and the department in providing funding to the organisation.</w:t>
            </w:r>
          </w:p>
          <w:p w14:paraId="1E9F87CC" w14:textId="77777777" w:rsidR="00B005C2" w:rsidRPr="00B005C2" w:rsidRDefault="00B005C2" w:rsidP="00B005C2">
            <w:pPr>
              <w:spacing w:before="80" w:after="60" w:line="240" w:lineRule="auto"/>
              <w:rPr>
                <w:sz w:val="20"/>
              </w:rPr>
            </w:pPr>
            <w:r w:rsidRPr="00B005C2">
              <w:rPr>
                <w:sz w:val="20"/>
              </w:rPr>
              <w:t>The service agreement establishes the standard terms and conditions that apply to all funded organisations and provides organisation-specific information regarding funding and payments in its schedules</w:t>
            </w:r>
          </w:p>
        </w:tc>
      </w:tr>
      <w:tr w:rsidR="00B005C2" w:rsidRPr="00B005C2" w14:paraId="0E8A6CD7" w14:textId="77777777">
        <w:tc>
          <w:tcPr>
            <w:tcW w:w="2694" w:type="dxa"/>
            <w:shd w:val="clear" w:color="auto" w:fill="auto"/>
          </w:tcPr>
          <w:p w14:paraId="7394BEAD" w14:textId="77777777" w:rsidR="00B005C2" w:rsidRPr="00B005C2" w:rsidRDefault="00B005C2" w:rsidP="00B005C2">
            <w:pPr>
              <w:spacing w:before="80" w:after="60" w:line="240" w:lineRule="auto"/>
              <w:rPr>
                <w:strike/>
                <w:sz w:val="20"/>
              </w:rPr>
            </w:pPr>
            <w:r w:rsidRPr="00B005C2">
              <w:rPr>
                <w:sz w:val="20"/>
              </w:rPr>
              <w:t>Service Agreement Requirements</w:t>
            </w:r>
          </w:p>
        </w:tc>
        <w:tc>
          <w:tcPr>
            <w:tcW w:w="6605" w:type="dxa"/>
            <w:shd w:val="clear" w:color="auto" w:fill="auto"/>
          </w:tcPr>
          <w:p w14:paraId="2C63DFB8" w14:textId="77777777" w:rsidR="00B005C2" w:rsidRPr="00FC013D" w:rsidRDefault="00B005C2" w:rsidP="00B005C2">
            <w:pPr>
              <w:spacing w:before="80" w:after="60" w:line="240" w:lineRule="auto"/>
              <w:rPr>
                <w:strike/>
                <w:sz w:val="20"/>
              </w:rPr>
            </w:pPr>
            <w:r w:rsidRPr="00B005C2">
              <w:rPr>
                <w:sz w:val="20"/>
              </w:rPr>
              <w:t xml:space="preserve">Service agreement requirements document supports the service agreement by outlining the departmental responsibilities, </w:t>
            </w:r>
            <w:proofErr w:type="gramStart"/>
            <w:r w:rsidRPr="00B005C2">
              <w:rPr>
                <w:sz w:val="20"/>
              </w:rPr>
              <w:t>policies</w:t>
            </w:r>
            <w:proofErr w:type="gramEnd"/>
            <w:r w:rsidRPr="00B005C2">
              <w:rPr>
                <w:sz w:val="20"/>
              </w:rPr>
              <w:t xml:space="preserve"> and obligations that </w:t>
            </w:r>
            <w:r w:rsidRPr="00B005C2">
              <w:rPr>
                <w:i/>
                <w:iCs/>
                <w:sz w:val="20"/>
              </w:rPr>
              <w:t>all</w:t>
            </w:r>
            <w:r w:rsidRPr="00B005C2">
              <w:rPr>
                <w:sz w:val="20"/>
              </w:rPr>
              <w:t xml:space="preserve"> funded organisations must comply with.</w:t>
            </w:r>
          </w:p>
        </w:tc>
      </w:tr>
      <w:tr w:rsidR="00B005C2" w:rsidRPr="00B005C2" w14:paraId="246784D3" w14:textId="77777777">
        <w:tc>
          <w:tcPr>
            <w:tcW w:w="2694" w:type="dxa"/>
            <w:shd w:val="clear" w:color="auto" w:fill="auto"/>
          </w:tcPr>
          <w:p w14:paraId="6F7E2328" w14:textId="77777777" w:rsidR="00B005C2" w:rsidRPr="00B005C2" w:rsidRDefault="00B005C2" w:rsidP="00B005C2">
            <w:pPr>
              <w:spacing w:before="80" w:after="60" w:line="240" w:lineRule="auto"/>
              <w:rPr>
                <w:sz w:val="20"/>
              </w:rPr>
            </w:pPr>
            <w:r w:rsidRPr="00B005C2">
              <w:rPr>
                <w:sz w:val="20"/>
              </w:rPr>
              <w:t>My Agency</w:t>
            </w:r>
          </w:p>
        </w:tc>
        <w:tc>
          <w:tcPr>
            <w:tcW w:w="6605" w:type="dxa"/>
            <w:shd w:val="clear" w:color="auto" w:fill="auto"/>
          </w:tcPr>
          <w:p w14:paraId="5517B86E" w14:textId="77777777" w:rsidR="00B005C2" w:rsidRPr="00B005C2" w:rsidRDefault="00B005C2" w:rsidP="00B005C2">
            <w:pPr>
              <w:spacing w:before="80" w:after="60" w:line="240" w:lineRule="auto"/>
              <w:rPr>
                <w:sz w:val="20"/>
                <w:lang w:eastAsia="en-AU"/>
              </w:rPr>
            </w:pPr>
            <w:r w:rsidRPr="00B005C2">
              <w:rPr>
                <w:sz w:val="20"/>
                <w:lang w:eastAsia="en-AU"/>
              </w:rPr>
              <w:t xml:space="preserve">Is the secure area of the FAC website that is only accessible to registered </w:t>
            </w:r>
            <w:proofErr w:type="gramStart"/>
            <w:r w:rsidRPr="00B005C2">
              <w:rPr>
                <w:sz w:val="20"/>
                <w:lang w:eastAsia="en-AU"/>
              </w:rPr>
              <w:t>users</w:t>
            </w:r>
            <w:proofErr w:type="gramEnd"/>
          </w:p>
          <w:p w14:paraId="0A0B3A64" w14:textId="77777777" w:rsidR="00B005C2" w:rsidRPr="00B005C2" w:rsidRDefault="00B005C2" w:rsidP="00B005C2">
            <w:pPr>
              <w:spacing w:before="80" w:after="60" w:line="240" w:lineRule="auto"/>
              <w:rPr>
                <w:sz w:val="20"/>
              </w:rPr>
            </w:pPr>
            <w:r w:rsidRPr="00B005C2">
              <w:rPr>
                <w:sz w:val="20"/>
              </w:rPr>
              <w:lastRenderedPageBreak/>
              <w:t xml:space="preserve">It provides users with quick and easy access to information specific to their service agreements with the Department of Health and Human Services, </w:t>
            </w:r>
          </w:p>
          <w:p w14:paraId="6BCBCD6A" w14:textId="77777777" w:rsidR="00B005C2" w:rsidRPr="00B005C2" w:rsidRDefault="00B005C2" w:rsidP="00B005C2">
            <w:pPr>
              <w:spacing w:before="80" w:after="60" w:line="240" w:lineRule="auto"/>
              <w:rPr>
                <w:sz w:val="20"/>
              </w:rPr>
            </w:pPr>
            <w:r w:rsidRPr="00B005C2">
              <w:rPr>
                <w:sz w:val="20"/>
              </w:rPr>
              <w:t>My Agency provides:</w:t>
            </w:r>
          </w:p>
          <w:p w14:paraId="04945977" w14:textId="77777777" w:rsidR="00B005C2" w:rsidRPr="00B005C2" w:rsidRDefault="00B005C2" w:rsidP="000321D9">
            <w:pPr>
              <w:numPr>
                <w:ilvl w:val="0"/>
                <w:numId w:val="11"/>
              </w:numPr>
              <w:spacing w:before="80" w:after="60" w:line="240" w:lineRule="auto"/>
              <w:rPr>
                <w:sz w:val="20"/>
              </w:rPr>
            </w:pPr>
            <w:r w:rsidRPr="00B005C2">
              <w:rPr>
                <w:sz w:val="20"/>
              </w:rPr>
              <w:t xml:space="preserve">organisation specific service agreement information for the current, </w:t>
            </w:r>
            <w:proofErr w:type="gramStart"/>
            <w:r w:rsidRPr="00B005C2">
              <w:rPr>
                <w:sz w:val="20"/>
              </w:rPr>
              <w:t>future</w:t>
            </w:r>
            <w:proofErr w:type="gramEnd"/>
            <w:r w:rsidRPr="00B005C2">
              <w:rPr>
                <w:sz w:val="20"/>
              </w:rPr>
              <w:t xml:space="preserve"> and previous financial years</w:t>
            </w:r>
          </w:p>
          <w:p w14:paraId="4A38EABE" w14:textId="77777777" w:rsidR="00B005C2" w:rsidRPr="00B005C2" w:rsidRDefault="00B005C2" w:rsidP="000321D9">
            <w:pPr>
              <w:numPr>
                <w:ilvl w:val="0"/>
                <w:numId w:val="11"/>
              </w:numPr>
              <w:spacing w:before="80" w:after="60" w:line="240" w:lineRule="auto"/>
              <w:rPr>
                <w:sz w:val="20"/>
              </w:rPr>
            </w:pPr>
            <w:r w:rsidRPr="00B005C2">
              <w:rPr>
                <w:sz w:val="20"/>
              </w:rPr>
              <w:t xml:space="preserve">access to payment schedules, invoices and the progress of service agreement </w:t>
            </w:r>
            <w:proofErr w:type="gramStart"/>
            <w:r w:rsidRPr="00B005C2">
              <w:rPr>
                <w:sz w:val="20"/>
              </w:rPr>
              <w:t>variations</w:t>
            </w:r>
            <w:proofErr w:type="gramEnd"/>
          </w:p>
          <w:p w14:paraId="049263ED" w14:textId="3581E73D" w:rsidR="00B005C2" w:rsidRPr="00B005C2" w:rsidRDefault="00B005C2" w:rsidP="000321D9">
            <w:pPr>
              <w:numPr>
                <w:ilvl w:val="0"/>
                <w:numId w:val="11"/>
              </w:numPr>
              <w:spacing w:before="80" w:after="60" w:line="240" w:lineRule="auto"/>
              <w:rPr>
                <w:sz w:val="20"/>
              </w:rPr>
            </w:pPr>
            <w:r w:rsidRPr="00B005C2">
              <w:rPr>
                <w:sz w:val="20"/>
              </w:rPr>
              <w:t>e-remittance (payment) advice relating to their service agreement, and</w:t>
            </w:r>
          </w:p>
          <w:p w14:paraId="7F1039F5" w14:textId="77777777" w:rsidR="00B005C2" w:rsidRPr="00B005C2" w:rsidRDefault="00B005C2" w:rsidP="000321D9">
            <w:pPr>
              <w:numPr>
                <w:ilvl w:val="0"/>
                <w:numId w:val="11"/>
              </w:numPr>
              <w:spacing w:before="80" w:after="60" w:line="240" w:lineRule="auto"/>
              <w:rPr>
                <w:sz w:val="20"/>
              </w:rPr>
            </w:pPr>
            <w:r w:rsidRPr="00B005C2">
              <w:rPr>
                <w:sz w:val="20"/>
              </w:rPr>
              <w:t>organisation performance reports for funded activities.</w:t>
            </w:r>
          </w:p>
          <w:p w14:paraId="2C8C7B6B" w14:textId="77777777" w:rsidR="00B005C2" w:rsidRPr="00B005C2" w:rsidRDefault="00B005C2" w:rsidP="00B005C2">
            <w:pPr>
              <w:spacing w:before="80" w:after="60" w:line="240" w:lineRule="auto"/>
              <w:rPr>
                <w:sz w:val="20"/>
              </w:rPr>
            </w:pPr>
          </w:p>
        </w:tc>
      </w:tr>
    </w:tbl>
    <w:p w14:paraId="325F5B09" w14:textId="77777777" w:rsidR="00B005C2" w:rsidRPr="00B005C2" w:rsidRDefault="00B005C2" w:rsidP="00B005C2">
      <w:pPr>
        <w:spacing w:line="270" w:lineRule="atLeast"/>
        <w:rPr>
          <w:rFonts w:eastAsia="Times"/>
          <w:sz w:val="20"/>
        </w:rPr>
      </w:pPr>
    </w:p>
    <w:p w14:paraId="0F342D95" w14:textId="77777777" w:rsidR="00B005C2" w:rsidRPr="00B005C2" w:rsidRDefault="00B005C2" w:rsidP="00B005C2">
      <w:pPr>
        <w:spacing w:after="0" w:line="240" w:lineRule="auto"/>
        <w:rPr>
          <w:rFonts w:eastAsia="Times"/>
          <w:sz w:val="20"/>
        </w:rPr>
      </w:pPr>
      <w:r w:rsidRPr="00B005C2">
        <w:rPr>
          <w:rFonts w:ascii="Cambria" w:hAnsi="Cambria"/>
          <w:sz w:val="20"/>
        </w:rPr>
        <w:br w:type="page"/>
      </w:r>
    </w:p>
    <w:p w14:paraId="64088B0E" w14:textId="7D282C33" w:rsidR="00F80571" w:rsidRDefault="00F80571" w:rsidP="000321D9">
      <w:pPr>
        <w:pStyle w:val="Heading1"/>
        <w:numPr>
          <w:ilvl w:val="0"/>
          <w:numId w:val="17"/>
        </w:numPr>
      </w:pPr>
      <w:bookmarkStart w:id="4" w:name="_Toc168052679"/>
      <w:bookmarkStart w:id="5" w:name="_Toc48206331"/>
      <w:r>
        <w:lastRenderedPageBreak/>
        <w:t>Introduction</w:t>
      </w:r>
      <w:bookmarkEnd w:id="4"/>
    </w:p>
    <w:p w14:paraId="4F5B9FD2" w14:textId="7FF8099C" w:rsidR="00F80571" w:rsidRPr="00B005C2" w:rsidRDefault="0099656D" w:rsidP="00D403EC">
      <w:pPr>
        <w:pStyle w:val="Heading2"/>
      </w:pPr>
      <w:bookmarkStart w:id="6" w:name="_Toc168052680"/>
      <w:r>
        <w:t>1.1</w:t>
      </w:r>
      <w:r>
        <w:tab/>
      </w:r>
      <w:r w:rsidR="009801FC" w:rsidRPr="009801FC">
        <w:t>Aboriginal Acknowledgement</w:t>
      </w:r>
      <w:bookmarkEnd w:id="6"/>
      <w:r w:rsidR="009801FC" w:rsidRPr="009801FC">
        <w:t> </w:t>
      </w:r>
      <w:r w:rsidR="00F80571" w:rsidRPr="00B005C2">
        <w:t xml:space="preserve"> </w:t>
      </w:r>
    </w:p>
    <w:p w14:paraId="0BF22745" w14:textId="298FD486" w:rsidR="00F80571" w:rsidRPr="00B05658" w:rsidRDefault="001429B2" w:rsidP="0099656D">
      <w:pPr>
        <w:pStyle w:val="DHHSbody"/>
      </w:pPr>
      <w:r w:rsidRPr="00A3294B">
        <w:t xml:space="preserve">The Victorian Government proudly acknowledges Victorian Aboriginal people as the First Peoples and Traditional Owners and custodians of the land and water on which we rely. We </w:t>
      </w:r>
      <w:r w:rsidRPr="004B2961">
        <w:t>acknowledge and resp</w:t>
      </w:r>
      <w:r w:rsidR="001D3D1C" w:rsidRPr="004B2961">
        <w:t>ect</w:t>
      </w:r>
      <w:r w:rsidRPr="004B2961">
        <w:t xml:space="preserve"> that Aborigin</w:t>
      </w:r>
      <w:r w:rsidRPr="00A3294B">
        <w:t>al communities are steeped in traditions and customs built on an incredibly disciplined social and cultural order. This social and cultural order has sustained up to 50,000 years of existence. We acknowledge the ongoing leadership role of the Aboriginal community.</w:t>
      </w:r>
    </w:p>
    <w:p w14:paraId="3A9E0FD7" w14:textId="41DACBA5" w:rsidR="007C5551" w:rsidRPr="00B05658" w:rsidRDefault="0099656D" w:rsidP="00D403EC">
      <w:pPr>
        <w:pStyle w:val="Heading2"/>
      </w:pPr>
      <w:bookmarkStart w:id="7" w:name="_Toc168052681"/>
      <w:r>
        <w:t>1.2</w:t>
      </w:r>
      <w:r>
        <w:tab/>
      </w:r>
      <w:r w:rsidR="007C5551" w:rsidRPr="00DD0C0A">
        <w:t>Department of Families, Fairness and Housing</w:t>
      </w:r>
      <w:bookmarkEnd w:id="7"/>
      <w:r w:rsidR="007C5551" w:rsidRPr="00DD0C0A">
        <w:t> </w:t>
      </w:r>
    </w:p>
    <w:p w14:paraId="5CD27F8C" w14:textId="77777777" w:rsidR="007C5551" w:rsidRPr="00B05658" w:rsidRDefault="007C5551" w:rsidP="0099656D">
      <w:pPr>
        <w:pStyle w:val="DHHSbody"/>
      </w:pPr>
      <w:r w:rsidRPr="004B2961">
        <w:t xml:space="preserve">The Department of Families, Fairness and Housing (the department) is responsible for the development and delivery of policies, programs and services that support and enhance the wellbeing of all Victorians. We take a broad view of the causes of ill health, the drivers of good health, the social and economic context in which people live, and of the incidence and experience of vulnerability. This allows us to place people at the heart of </w:t>
      </w:r>
      <w:proofErr w:type="gramStart"/>
      <w:r w:rsidRPr="004B2961">
        <w:t>policy-making</w:t>
      </w:r>
      <w:proofErr w:type="gramEnd"/>
      <w:r w:rsidRPr="004B2961">
        <w:t>, service design and delivery.  </w:t>
      </w:r>
    </w:p>
    <w:p w14:paraId="5FC56147" w14:textId="30114B6D" w:rsidR="00B005C2" w:rsidRPr="001650A7" w:rsidRDefault="00020432" w:rsidP="000321D9">
      <w:pPr>
        <w:pStyle w:val="Heading1"/>
        <w:numPr>
          <w:ilvl w:val="0"/>
          <w:numId w:val="17"/>
        </w:numPr>
      </w:pPr>
      <w:bookmarkStart w:id="8" w:name="_Toc168052682"/>
      <w:r w:rsidRPr="001650A7">
        <w:t>SRS OAP Program R</w:t>
      </w:r>
      <w:bookmarkEnd w:id="5"/>
      <w:r w:rsidRPr="001650A7">
        <w:t>equirements</w:t>
      </w:r>
      <w:bookmarkEnd w:id="8"/>
    </w:p>
    <w:p w14:paraId="09FA92AA" w14:textId="7A7646B8" w:rsidR="00B005C2" w:rsidRPr="001650A7" w:rsidRDefault="0099656D" w:rsidP="00D403EC">
      <w:pPr>
        <w:pStyle w:val="Heading2"/>
      </w:pPr>
      <w:bookmarkStart w:id="9" w:name="_Toc48206333"/>
      <w:bookmarkStart w:id="10" w:name="_Toc168052683"/>
      <w:r>
        <w:t>2.1</w:t>
      </w:r>
      <w:r>
        <w:tab/>
      </w:r>
      <w:r w:rsidR="00B005C2" w:rsidRPr="001650A7">
        <w:t>Purpose of program requirements</w:t>
      </w:r>
      <w:bookmarkEnd w:id="9"/>
      <w:bookmarkEnd w:id="10"/>
    </w:p>
    <w:p w14:paraId="56EFCB79" w14:textId="589AF06F" w:rsidR="0022071F" w:rsidRDefault="00AC147B" w:rsidP="0099656D">
      <w:pPr>
        <w:pStyle w:val="DHHSbody"/>
      </w:pPr>
      <w:r>
        <w:t>This document</w:t>
      </w:r>
      <w:r w:rsidR="00F70635">
        <w:t xml:space="preserve"> outlines</w:t>
      </w:r>
      <w:r w:rsidR="0022071F" w:rsidRPr="0022071F">
        <w:t xml:space="preserve"> the requirements and responsibility of </w:t>
      </w:r>
      <w:r w:rsidR="00A65CB9">
        <w:t xml:space="preserve">Homes Victoria </w:t>
      </w:r>
      <w:r w:rsidR="0022071F" w:rsidRPr="0022071F">
        <w:t xml:space="preserve">and the funded organisation for the oversight and delivery of the </w:t>
      </w:r>
      <w:r w:rsidR="00A3294B">
        <w:t>Supported Residential Services Outreach and Assistance Program (</w:t>
      </w:r>
      <w:r w:rsidR="0022071F">
        <w:t>SRS OAP</w:t>
      </w:r>
      <w:r w:rsidR="00A3294B">
        <w:t>)</w:t>
      </w:r>
      <w:r w:rsidR="0022071F" w:rsidRPr="0022071F">
        <w:t xml:space="preserve">. These program requirements outline the essential </w:t>
      </w:r>
      <w:r w:rsidR="008169D1">
        <w:t xml:space="preserve">activities and outputs </w:t>
      </w:r>
      <w:r w:rsidR="0022071F" w:rsidRPr="0022071F">
        <w:t>that must be delivered to meet the service agreement obligations</w:t>
      </w:r>
      <w:r w:rsidR="004F1CFF">
        <w:t xml:space="preserve"> annually for the SRS OAP</w:t>
      </w:r>
      <w:r w:rsidR="0022071F" w:rsidRPr="0022071F">
        <w:t xml:space="preserve">. </w:t>
      </w:r>
    </w:p>
    <w:p w14:paraId="5445EA24" w14:textId="2F2A5ACC" w:rsidR="00920BAE" w:rsidRDefault="00920BAE" w:rsidP="0099656D">
      <w:pPr>
        <w:pStyle w:val="DHHSbody"/>
      </w:pPr>
      <w:r>
        <w:t>The SRS OAP has</w:t>
      </w:r>
      <w:r w:rsidR="00F64DAE">
        <w:t xml:space="preserve"> companion</w:t>
      </w:r>
      <w:r>
        <w:t xml:space="preserve"> </w:t>
      </w:r>
      <w:r w:rsidR="00AF3D4F">
        <w:t>program guidelines for funded organisation</w:t>
      </w:r>
      <w:r w:rsidR="003403C3">
        <w:t>s</w:t>
      </w:r>
      <w:r w:rsidR="00AF3D4F">
        <w:t xml:space="preserve"> and SRS provider</w:t>
      </w:r>
      <w:r w:rsidR="0058238D">
        <w:t>s</w:t>
      </w:r>
      <w:r w:rsidR="00AF3D4F">
        <w:t xml:space="preserve"> </w:t>
      </w:r>
      <w:r w:rsidR="009D1AF4">
        <w:t xml:space="preserve">that provide additional information </w:t>
      </w:r>
      <w:r w:rsidR="002D637A">
        <w:t xml:space="preserve">including SRS </w:t>
      </w:r>
      <w:r w:rsidR="003403C3">
        <w:t>pr</w:t>
      </w:r>
      <w:r w:rsidR="002D637A">
        <w:t>ovider accountabilities</w:t>
      </w:r>
      <w:r w:rsidR="00CB531F">
        <w:t xml:space="preserve"> and </w:t>
      </w:r>
      <w:r w:rsidR="003404E0">
        <w:t>expenditure guidelines</w:t>
      </w:r>
      <w:r w:rsidR="00AF3D4F">
        <w:t xml:space="preserve">.  </w:t>
      </w:r>
      <w:r w:rsidR="004F5BE8">
        <w:t xml:space="preserve">Funded organisations should utilise both documents in the delivery of the SRS OAP. </w:t>
      </w:r>
    </w:p>
    <w:p w14:paraId="4DEE0020" w14:textId="44D514CD" w:rsidR="0022071F" w:rsidRDefault="0022071F" w:rsidP="0099656D">
      <w:pPr>
        <w:pStyle w:val="DHHSbody"/>
      </w:pPr>
      <w:r w:rsidRPr="0022071F">
        <w:t xml:space="preserve">This document </w:t>
      </w:r>
      <w:r w:rsidR="004F1CFF">
        <w:t>may from time to time be</w:t>
      </w:r>
      <w:r w:rsidRPr="0022071F">
        <w:t xml:space="preserve"> subject to review in response to issues and opportunities for improvement </w:t>
      </w:r>
      <w:r w:rsidR="004F1CFF">
        <w:t xml:space="preserve">that are </w:t>
      </w:r>
      <w:r w:rsidRPr="0022071F">
        <w:t>identified.  </w:t>
      </w:r>
    </w:p>
    <w:p w14:paraId="39AB2F28" w14:textId="2B2D7BAC" w:rsidR="00915987" w:rsidRPr="001650A7" w:rsidRDefault="0099656D" w:rsidP="00D403EC">
      <w:pPr>
        <w:pStyle w:val="Heading2"/>
      </w:pPr>
      <w:bookmarkStart w:id="11" w:name="_Toc168052684"/>
      <w:r>
        <w:t>2.2</w:t>
      </w:r>
      <w:r>
        <w:tab/>
      </w:r>
      <w:r w:rsidR="002F5AC9" w:rsidRPr="001650A7">
        <w:t>P</w:t>
      </w:r>
      <w:r w:rsidR="00915987" w:rsidRPr="001650A7">
        <w:t xml:space="preserve">olicy </w:t>
      </w:r>
      <w:r w:rsidR="006A69B9" w:rsidRPr="001650A7">
        <w:t>c</w:t>
      </w:r>
      <w:r w:rsidR="00915987" w:rsidRPr="001650A7">
        <w:t>ontext</w:t>
      </w:r>
      <w:bookmarkEnd w:id="11"/>
    </w:p>
    <w:p w14:paraId="24403D6C" w14:textId="161A8409" w:rsidR="00822647" w:rsidRPr="00B05658" w:rsidRDefault="00822647" w:rsidP="0099656D">
      <w:pPr>
        <w:pStyle w:val="DHHSbody"/>
      </w:pPr>
      <w:r w:rsidRPr="00B05658">
        <w:t xml:space="preserve">The SRS OAP supports </w:t>
      </w:r>
      <w:r w:rsidR="000A3241">
        <w:t>H</w:t>
      </w:r>
      <w:r w:rsidRPr="00B05658">
        <w:t>omes Victoria’s strategic objective of reducing homelessness through housing and support.</w:t>
      </w:r>
    </w:p>
    <w:p w14:paraId="4F3F5E00" w14:textId="7BE2F672" w:rsidR="006A69B9" w:rsidRDefault="005D15F2" w:rsidP="0099656D">
      <w:pPr>
        <w:pStyle w:val="DHHSbody"/>
      </w:pPr>
      <w:r w:rsidRPr="00B05658">
        <w:t xml:space="preserve">Pension-level </w:t>
      </w:r>
      <w:r w:rsidR="002F5AC9" w:rsidRPr="00B05658">
        <w:t xml:space="preserve">Supported Residential </w:t>
      </w:r>
      <w:r w:rsidRPr="00B05658">
        <w:t>S</w:t>
      </w:r>
      <w:r w:rsidR="002F5AC9" w:rsidRPr="00B05658">
        <w:t xml:space="preserve">ervices </w:t>
      </w:r>
      <w:r w:rsidR="00354535">
        <w:t xml:space="preserve">(SRS) </w:t>
      </w:r>
      <w:r w:rsidR="002F5AC9" w:rsidRPr="00B05658">
        <w:t>are private business</w:t>
      </w:r>
      <w:r w:rsidR="000A3241">
        <w:t>es</w:t>
      </w:r>
      <w:r w:rsidR="002F5AC9" w:rsidRPr="00B05658">
        <w:t xml:space="preserve"> that provide </w:t>
      </w:r>
      <w:r w:rsidRPr="00B05658">
        <w:t xml:space="preserve">supported </w:t>
      </w:r>
      <w:r w:rsidRPr="005D15F2">
        <w:t>accommodation</w:t>
      </w:r>
      <w:r w:rsidRPr="00B05658">
        <w:t xml:space="preserve"> to</w:t>
      </w:r>
      <w:r>
        <w:t xml:space="preserve"> Vic</w:t>
      </w:r>
      <w:r w:rsidR="003A5020">
        <w:t>to</w:t>
      </w:r>
      <w:r>
        <w:t>r</w:t>
      </w:r>
      <w:r w:rsidR="003A5020">
        <w:t>i</w:t>
      </w:r>
      <w:r>
        <w:t xml:space="preserve">ans </w:t>
      </w:r>
      <w:r w:rsidR="007F151C">
        <w:t xml:space="preserve">on fixed incomes </w:t>
      </w:r>
      <w:r>
        <w:t xml:space="preserve">who need </w:t>
      </w:r>
      <w:r w:rsidR="003A5020">
        <w:t>assistance with the daily activities of living</w:t>
      </w:r>
      <w:r w:rsidR="00110A15">
        <w:t>.</w:t>
      </w:r>
      <w:r w:rsidR="00ED424C">
        <w:t xml:space="preserve"> Pension-Level SRS </w:t>
      </w:r>
      <w:r w:rsidR="00230C4D" w:rsidRPr="00E50E29">
        <w:rPr>
          <w:rFonts w:cs="Arial"/>
        </w:rPr>
        <w:t>are defined as SRS that charge fees at no more than the current pension plus Commonwealth rent assistance for at least 80 per cent of their registered beds</w:t>
      </w:r>
      <w:r w:rsidR="00D37FE9">
        <w:t>.</w:t>
      </w:r>
      <w:r w:rsidR="00296F28">
        <w:t xml:space="preserve"> </w:t>
      </w:r>
      <w:r w:rsidR="00D37FE9">
        <w:t xml:space="preserve">Due to </w:t>
      </w:r>
      <w:r w:rsidR="00ED7D0E">
        <w:t xml:space="preserve">the </w:t>
      </w:r>
      <w:r w:rsidR="00D37FE9">
        <w:t xml:space="preserve">caped </w:t>
      </w:r>
      <w:r w:rsidR="00ED7D0E">
        <w:t>fees</w:t>
      </w:r>
      <w:r w:rsidR="000A3241">
        <w:t xml:space="preserve"> </w:t>
      </w:r>
      <w:r w:rsidR="00D37FE9">
        <w:t>charge</w:t>
      </w:r>
      <w:r w:rsidR="000A3241">
        <w:t>d</w:t>
      </w:r>
      <w:r w:rsidR="003B2350">
        <w:t>,</w:t>
      </w:r>
      <w:r w:rsidR="00D37FE9">
        <w:t xml:space="preserve"> </w:t>
      </w:r>
      <w:r w:rsidR="00441905">
        <w:t>the</w:t>
      </w:r>
      <w:r w:rsidR="00D37FE9">
        <w:t xml:space="preserve"> viability of </w:t>
      </w:r>
      <w:r w:rsidR="006E0328">
        <w:t>p</w:t>
      </w:r>
      <w:r w:rsidR="00D37FE9">
        <w:t>ension-level SRS</w:t>
      </w:r>
      <w:r w:rsidR="00441905">
        <w:t>s</w:t>
      </w:r>
      <w:r w:rsidR="00D37FE9">
        <w:t xml:space="preserve"> is</w:t>
      </w:r>
      <w:r w:rsidR="00441905">
        <w:t xml:space="preserve"> </w:t>
      </w:r>
      <w:r w:rsidR="00562CC1">
        <w:t xml:space="preserve">marginal and </w:t>
      </w:r>
      <w:r w:rsidR="00FA2B86">
        <w:t>as such</w:t>
      </w:r>
      <w:r w:rsidR="006A69B9">
        <w:t xml:space="preserve"> the sector has experienced a significant reduction in SRS due to closures</w:t>
      </w:r>
      <w:r w:rsidR="00DD1FB5">
        <w:t>.</w:t>
      </w:r>
    </w:p>
    <w:p w14:paraId="44DFA790" w14:textId="60BB6D14" w:rsidR="007F39BC" w:rsidRDefault="002A0C7E" w:rsidP="0099656D">
      <w:pPr>
        <w:pStyle w:val="DHHSbody"/>
      </w:pPr>
      <w:r w:rsidRPr="00767FC0">
        <w:t>Pension-level SRS residents often have multiple and complex support needs</w:t>
      </w:r>
      <w:r w:rsidR="004B72A7">
        <w:t xml:space="preserve">, they </w:t>
      </w:r>
      <w:r w:rsidR="00DD1FB5" w:rsidRPr="00B05658">
        <w:t xml:space="preserve">often </w:t>
      </w:r>
      <w:r>
        <w:t xml:space="preserve">access and </w:t>
      </w:r>
      <w:r w:rsidR="00556135" w:rsidRPr="00B05658">
        <w:t xml:space="preserve">require </w:t>
      </w:r>
      <w:r w:rsidR="00A35D17" w:rsidRPr="00B05658">
        <w:t xml:space="preserve">significant support from </w:t>
      </w:r>
      <w:r w:rsidR="0030495F" w:rsidRPr="00B05658">
        <w:t xml:space="preserve">the broader </w:t>
      </w:r>
      <w:r w:rsidR="00A35D17" w:rsidRPr="00B05658">
        <w:t xml:space="preserve">community and health </w:t>
      </w:r>
      <w:r w:rsidR="00441905">
        <w:t xml:space="preserve">service </w:t>
      </w:r>
      <w:r w:rsidR="0030495F" w:rsidRPr="00B05658">
        <w:t>systems</w:t>
      </w:r>
      <w:r w:rsidR="00AE3B29">
        <w:t xml:space="preserve">. </w:t>
      </w:r>
      <w:r w:rsidRPr="002A0C7E">
        <w:t xml:space="preserve">Many SRS residents receive additional, individualised supports through external service systems including the </w:t>
      </w:r>
      <w:r w:rsidR="006C160D">
        <w:t xml:space="preserve">National Disability </w:t>
      </w:r>
      <w:r w:rsidR="008238C9">
        <w:t xml:space="preserve">Insurance </w:t>
      </w:r>
      <w:r w:rsidR="006C160D">
        <w:t>Scheme (</w:t>
      </w:r>
      <w:r w:rsidRPr="002A0C7E">
        <w:t>NDIS</w:t>
      </w:r>
      <w:r w:rsidR="006C160D">
        <w:t>)</w:t>
      </w:r>
      <w:r w:rsidRPr="002A0C7E">
        <w:t>.</w:t>
      </w:r>
      <w:r>
        <w:t xml:space="preserve"> </w:t>
      </w:r>
    </w:p>
    <w:p w14:paraId="766F7F74" w14:textId="216ECE0E" w:rsidR="00AE3B29" w:rsidRDefault="00AE3B29" w:rsidP="0099656D">
      <w:pPr>
        <w:pStyle w:val="DHHSbody"/>
      </w:pPr>
      <w:r>
        <w:lastRenderedPageBreak/>
        <w:t>The SRS OAP assist</w:t>
      </w:r>
      <w:r w:rsidR="00DA40BB">
        <w:t>s</w:t>
      </w:r>
      <w:r>
        <w:t xml:space="preserve"> </w:t>
      </w:r>
      <w:r w:rsidR="006E0328">
        <w:t>p</w:t>
      </w:r>
      <w:r w:rsidR="009D65AD">
        <w:t xml:space="preserve">ension-level </w:t>
      </w:r>
      <w:r>
        <w:t>SRS with</w:t>
      </w:r>
      <w:r w:rsidR="00DA40BB">
        <w:t xml:space="preserve"> </w:t>
      </w:r>
      <w:r>
        <w:t xml:space="preserve">viability to ensure there are beds available for </w:t>
      </w:r>
      <w:r w:rsidR="00B85561">
        <w:t>Victorians</w:t>
      </w:r>
      <w:r>
        <w:t xml:space="preserve"> on fixed incomes who need supported accommodation. It also provides outreach</w:t>
      </w:r>
      <w:r w:rsidR="00FA2B86">
        <w:t xml:space="preserve"> to residents comprising of </w:t>
      </w:r>
      <w:r>
        <w:t>service coordination,</w:t>
      </w:r>
      <w:r w:rsidR="00FA2B86">
        <w:t xml:space="preserve"> </w:t>
      </w:r>
      <w:proofErr w:type="gramStart"/>
      <w:r w:rsidR="00FA2B86">
        <w:t>support</w:t>
      </w:r>
      <w:proofErr w:type="gramEnd"/>
      <w:r w:rsidR="00FA2B86">
        <w:t xml:space="preserve"> and</w:t>
      </w:r>
      <w:r>
        <w:t xml:space="preserve"> brokerage to assists SRS residents to access the services they need to maintain their health and wellbeing</w:t>
      </w:r>
      <w:r w:rsidR="00FA2B86">
        <w:t xml:space="preserve">. In </w:t>
      </w:r>
      <w:r w:rsidR="007F39BC">
        <w:t>addition,</w:t>
      </w:r>
      <w:r w:rsidR="00FA2B86">
        <w:t xml:space="preserve"> the program works to increase the capacity of SRS providers and staff so they can support residents and work with local service systems to access </w:t>
      </w:r>
      <w:r w:rsidR="00B340C1">
        <w:t xml:space="preserve">additional </w:t>
      </w:r>
      <w:r w:rsidR="00FA2B86">
        <w:t xml:space="preserve">services </w:t>
      </w:r>
      <w:r w:rsidR="00B340C1">
        <w:t xml:space="preserve">for </w:t>
      </w:r>
      <w:r w:rsidR="00FA2B86">
        <w:t>residents</w:t>
      </w:r>
      <w:r w:rsidR="00B340C1">
        <w:t xml:space="preserve">, </w:t>
      </w:r>
      <w:r w:rsidR="007F39BC">
        <w:t>funding is also provided to</w:t>
      </w:r>
      <w:r w:rsidR="002A0C7E">
        <w:t xml:space="preserve"> increase access to fresh food in </w:t>
      </w:r>
      <w:r w:rsidR="007F39BC">
        <w:t>p</w:t>
      </w:r>
      <w:r w:rsidR="002A0C7E">
        <w:t>ension</w:t>
      </w:r>
      <w:r w:rsidR="007F39BC">
        <w:t>-</w:t>
      </w:r>
      <w:r w:rsidR="002A0C7E">
        <w:t>lev</w:t>
      </w:r>
      <w:r w:rsidR="00441905">
        <w:t>el</w:t>
      </w:r>
      <w:r w:rsidR="002A0C7E">
        <w:t xml:space="preserve"> SRS</w:t>
      </w:r>
      <w:r w:rsidR="00FA2B86">
        <w:t xml:space="preserve">. </w:t>
      </w:r>
    </w:p>
    <w:p w14:paraId="1A1F0630" w14:textId="7625380A" w:rsidR="006A69B9" w:rsidRPr="0099656D" w:rsidRDefault="0099656D" w:rsidP="00D403EC">
      <w:pPr>
        <w:pStyle w:val="Heading2"/>
      </w:pPr>
      <w:bookmarkStart w:id="12" w:name="_Toc168052685"/>
      <w:r>
        <w:t>2.3</w:t>
      </w:r>
      <w:r>
        <w:tab/>
      </w:r>
      <w:r w:rsidR="006A69B9" w:rsidRPr="0099656D">
        <w:t>Regulatory context</w:t>
      </w:r>
      <w:bookmarkEnd w:id="12"/>
    </w:p>
    <w:p w14:paraId="65CB9F4D" w14:textId="2A1B7FFD" w:rsidR="00110A15" w:rsidRDefault="00FA2B86" w:rsidP="0099656D">
      <w:pPr>
        <w:pStyle w:val="DHHSbody"/>
      </w:pPr>
      <w:r w:rsidRPr="00A046FE">
        <w:t>SRS are regulated by the Victorian Government through t</w:t>
      </w:r>
      <w:r w:rsidR="004009AB" w:rsidRPr="00770F7C">
        <w:t xml:space="preserve">he </w:t>
      </w:r>
      <w:r w:rsidR="004009AB" w:rsidRPr="00770F7C">
        <w:rPr>
          <w:i/>
        </w:rPr>
        <w:t>Social Services Regulation Act 2021</w:t>
      </w:r>
      <w:r w:rsidR="005A2200">
        <w:rPr>
          <w:i/>
        </w:rPr>
        <w:t xml:space="preserve"> </w:t>
      </w:r>
      <w:r w:rsidRPr="00A046FE">
        <w:t xml:space="preserve">and </w:t>
      </w:r>
      <w:r w:rsidR="00D64D37" w:rsidRPr="006E6768">
        <w:t>associated regulations.</w:t>
      </w:r>
      <w:r w:rsidR="00A53134" w:rsidRPr="00A046FE">
        <w:t xml:space="preserve"> </w:t>
      </w:r>
      <w:r w:rsidRPr="00A046FE">
        <w:t xml:space="preserve">This legislation sets out the framework for SRS regulation and registration </w:t>
      </w:r>
      <w:r w:rsidR="0049243F" w:rsidRPr="00A046FE">
        <w:t xml:space="preserve">by the </w:t>
      </w:r>
      <w:r w:rsidR="000F7B9A" w:rsidRPr="00A046FE">
        <w:t>Social S</w:t>
      </w:r>
      <w:r w:rsidR="0049243F" w:rsidRPr="00A046FE">
        <w:t xml:space="preserve">ervices </w:t>
      </w:r>
      <w:r w:rsidR="000F7B9A" w:rsidRPr="00D64D37">
        <w:t>R</w:t>
      </w:r>
      <w:r w:rsidR="0049243F" w:rsidRPr="00D64D37">
        <w:t>egulator. The</w:t>
      </w:r>
      <w:r w:rsidR="0049243F">
        <w:t xml:space="preserve"> SRS OAP </w:t>
      </w:r>
      <w:r w:rsidR="006A69B9">
        <w:t xml:space="preserve">does not </w:t>
      </w:r>
      <w:r w:rsidR="007F39BC">
        <w:t xml:space="preserve">fund or </w:t>
      </w:r>
      <w:r w:rsidR="008D0392">
        <w:t>assist SRS with regulatory compliance</w:t>
      </w:r>
      <w:r w:rsidR="006A69B9">
        <w:t>.</w:t>
      </w:r>
      <w:r w:rsidR="008D0392">
        <w:t xml:space="preserve"> In the event an SRS is closed or subject to significant regulatory sanction the </w:t>
      </w:r>
      <w:r w:rsidR="00E16682">
        <w:t xml:space="preserve">department will advise funded agencies </w:t>
      </w:r>
      <w:r w:rsidR="007649E4">
        <w:t>if SRS OAP</w:t>
      </w:r>
      <w:r w:rsidR="00E644FF">
        <w:t xml:space="preserve"> assistance to</w:t>
      </w:r>
      <w:r w:rsidR="007649E4">
        <w:t xml:space="preserve"> the SRS should </w:t>
      </w:r>
      <w:r w:rsidR="00E644FF">
        <w:t xml:space="preserve">be </w:t>
      </w:r>
      <w:r w:rsidR="00132971">
        <w:t xml:space="preserve">modified </w:t>
      </w:r>
      <w:r w:rsidR="007F39BC">
        <w:t>or ceased</w:t>
      </w:r>
      <w:r w:rsidR="00E644FF">
        <w:t>.</w:t>
      </w:r>
    </w:p>
    <w:p w14:paraId="773CE24D" w14:textId="33592ACD" w:rsidR="00915987" w:rsidRPr="001650A7" w:rsidRDefault="0099656D" w:rsidP="00D403EC">
      <w:pPr>
        <w:pStyle w:val="Heading2"/>
      </w:pPr>
      <w:bookmarkStart w:id="13" w:name="_Toc168052686"/>
      <w:r>
        <w:t>2.4</w:t>
      </w:r>
      <w:r>
        <w:tab/>
      </w:r>
      <w:r w:rsidR="00915987" w:rsidRPr="001650A7">
        <w:t xml:space="preserve">Program </w:t>
      </w:r>
      <w:r w:rsidR="004F429C" w:rsidRPr="001650A7">
        <w:t>goals</w:t>
      </w:r>
      <w:r w:rsidR="00132971" w:rsidRPr="001650A7">
        <w:t xml:space="preserve"> and </w:t>
      </w:r>
      <w:r w:rsidR="00915987" w:rsidRPr="001650A7">
        <w:t>objectives</w:t>
      </w:r>
      <w:bookmarkEnd w:id="13"/>
    </w:p>
    <w:p w14:paraId="481B0B38" w14:textId="77777777" w:rsidR="004F429C" w:rsidRPr="0099656D" w:rsidRDefault="004F429C" w:rsidP="0099656D">
      <w:pPr>
        <w:pStyle w:val="DHHSbody"/>
      </w:pPr>
      <w:r w:rsidRPr="0099656D">
        <w:t>The program goal of the SRS OAP is to:</w:t>
      </w:r>
    </w:p>
    <w:p w14:paraId="508A2DBF" w14:textId="77777777" w:rsidR="005A240D" w:rsidRPr="00E50E29" w:rsidRDefault="004F429C" w:rsidP="00CC6185">
      <w:pPr>
        <w:pStyle w:val="Bullet1"/>
      </w:pPr>
      <w:r w:rsidRPr="00BD064E">
        <w:t>Support</w:t>
      </w:r>
      <w:r w:rsidRPr="7A9DE661">
        <w:t xml:space="preserve"> the </w:t>
      </w:r>
      <w:r w:rsidR="005A240D" w:rsidRPr="7A9DE661">
        <w:t xml:space="preserve">health and wellbeing </w:t>
      </w:r>
      <w:r w:rsidRPr="7A9DE661">
        <w:t xml:space="preserve">of </w:t>
      </w:r>
      <w:r w:rsidR="005A240D" w:rsidRPr="7A9DE661">
        <w:t xml:space="preserve">people </w:t>
      </w:r>
      <w:r w:rsidRPr="7A9DE661">
        <w:t>living in pension-level SRS</w:t>
      </w:r>
      <w:r w:rsidRPr="5F11176A">
        <w:t>, and</w:t>
      </w:r>
      <w:r w:rsidR="005A240D" w:rsidRPr="7A9DE661">
        <w:t xml:space="preserve"> </w:t>
      </w:r>
    </w:p>
    <w:p w14:paraId="6009E063" w14:textId="77777777" w:rsidR="005A240D" w:rsidRPr="00E50E29" w:rsidRDefault="005A240D" w:rsidP="00CC6185">
      <w:pPr>
        <w:pStyle w:val="Bullet1"/>
      </w:pPr>
      <w:r w:rsidRPr="5F11176A">
        <w:t>T</w:t>
      </w:r>
      <w:r w:rsidRPr="00E50E29">
        <w:t xml:space="preserve">o maintain a supply of </w:t>
      </w:r>
      <w:r w:rsidRPr="5F11176A">
        <w:t>low-cost accommodation</w:t>
      </w:r>
      <w:r w:rsidRPr="00E50E29">
        <w:t xml:space="preserve"> for </w:t>
      </w:r>
      <w:r>
        <w:t>low-income</w:t>
      </w:r>
      <w:r w:rsidRPr="00E50E29">
        <w:t xml:space="preserve"> Victorians who need assistance with the activities of daily living</w:t>
      </w:r>
      <w:r w:rsidRPr="5F11176A">
        <w:t>.</w:t>
      </w:r>
    </w:p>
    <w:p w14:paraId="75F2144C" w14:textId="77777777" w:rsidR="005A240D" w:rsidRPr="00CC6185" w:rsidRDefault="005A240D" w:rsidP="00CC6185">
      <w:pPr>
        <w:pStyle w:val="DHHSbody"/>
      </w:pPr>
      <w:r w:rsidRPr="00CC6185">
        <w:t>The program objectives are to:</w:t>
      </w:r>
    </w:p>
    <w:p w14:paraId="63019BBF" w14:textId="77777777" w:rsidR="005A240D" w:rsidRPr="00E50E29" w:rsidRDefault="005A240D" w:rsidP="00CC6185">
      <w:pPr>
        <w:pStyle w:val="Bullet1"/>
        <w:rPr>
          <w:rFonts w:eastAsia="MS Mincho"/>
        </w:rPr>
      </w:pPr>
      <w:r w:rsidRPr="00E50E29">
        <w:t xml:space="preserve">Improve connections between pension-level SRS and </w:t>
      </w:r>
      <w:r w:rsidR="00FA1E32">
        <w:t xml:space="preserve">their </w:t>
      </w:r>
      <w:r w:rsidRPr="00E50E29">
        <w:t xml:space="preserve">local service </w:t>
      </w:r>
      <w:proofErr w:type="gramStart"/>
      <w:r w:rsidRPr="00E50E29">
        <w:t>networks</w:t>
      </w:r>
      <w:proofErr w:type="gramEnd"/>
      <w:r w:rsidRPr="00E50E29">
        <w:t xml:space="preserve"> </w:t>
      </w:r>
    </w:p>
    <w:p w14:paraId="4FC0DD34" w14:textId="77777777" w:rsidR="005A240D" w:rsidRDefault="005A240D" w:rsidP="00CC6185">
      <w:pPr>
        <w:pStyle w:val="Bullet1"/>
      </w:pPr>
      <w:r w:rsidRPr="00E50E29">
        <w:t xml:space="preserve">Improve the capacity of pension-level SRS providers to respond to residents’ support </w:t>
      </w:r>
      <w:proofErr w:type="gramStart"/>
      <w:r w:rsidRPr="00E50E29">
        <w:t>needs</w:t>
      </w:r>
      <w:proofErr w:type="gramEnd"/>
    </w:p>
    <w:p w14:paraId="34F30688" w14:textId="77777777" w:rsidR="005A240D" w:rsidRPr="00E50E29" w:rsidRDefault="005A240D" w:rsidP="00CC6185">
      <w:pPr>
        <w:pStyle w:val="Bullet1"/>
      </w:pPr>
      <w:r w:rsidRPr="5F11176A">
        <w:t xml:space="preserve">Reduce the risk of pension-level SRS closures and associated disruption to </w:t>
      </w:r>
      <w:proofErr w:type="gramStart"/>
      <w:r w:rsidRPr="5F11176A">
        <w:t>residents</w:t>
      </w:r>
      <w:proofErr w:type="gramEnd"/>
      <w:r w:rsidRPr="5F11176A">
        <w:t xml:space="preserve"> </w:t>
      </w:r>
    </w:p>
    <w:p w14:paraId="6A4E65CC" w14:textId="77777777" w:rsidR="005A240D" w:rsidRPr="00E50E29" w:rsidRDefault="005A240D" w:rsidP="00CC6185">
      <w:pPr>
        <w:pStyle w:val="Bullet1"/>
      </w:pPr>
      <w:r>
        <w:t>S</w:t>
      </w:r>
      <w:r w:rsidRPr="00E50E29">
        <w:t xml:space="preserve">upport </w:t>
      </w:r>
      <w:r w:rsidRPr="00983F57">
        <w:t xml:space="preserve">the safe and efficient rehousing of </w:t>
      </w:r>
      <w:r w:rsidRPr="00E50E29">
        <w:t>resident</w:t>
      </w:r>
      <w:r>
        <w:t>s</w:t>
      </w:r>
      <w:r w:rsidRPr="00E50E29">
        <w:t xml:space="preserve"> of pension-level SRS </w:t>
      </w:r>
      <w:r>
        <w:t xml:space="preserve">when the Social Services Regulator is notified of an imminent </w:t>
      </w:r>
      <w:proofErr w:type="gramStart"/>
      <w:r>
        <w:t>closure</w:t>
      </w:r>
      <w:proofErr w:type="gramEnd"/>
    </w:p>
    <w:p w14:paraId="5CA42D82" w14:textId="77777777" w:rsidR="005A240D" w:rsidRPr="00E50E29" w:rsidRDefault="005A240D" w:rsidP="00CC6185">
      <w:pPr>
        <w:pStyle w:val="Bullet1"/>
      </w:pPr>
      <w:r w:rsidRPr="00E50E29">
        <w:t xml:space="preserve">Increase training opportunities for pension-level SRS providers and </w:t>
      </w:r>
      <w:proofErr w:type="gramStart"/>
      <w:r w:rsidRPr="00E50E29">
        <w:t>staff</w:t>
      </w:r>
      <w:proofErr w:type="gramEnd"/>
      <w:r w:rsidRPr="00E50E29">
        <w:t xml:space="preserve"> </w:t>
      </w:r>
    </w:p>
    <w:p w14:paraId="2172AB5F" w14:textId="77777777" w:rsidR="005A240D" w:rsidRPr="00E50E29" w:rsidRDefault="005A240D" w:rsidP="00CC6185">
      <w:pPr>
        <w:pStyle w:val="Bullet1"/>
      </w:pPr>
      <w:r w:rsidRPr="00E50E29">
        <w:t>Improve the physical amenity of pension-level SRS</w:t>
      </w:r>
      <w:r w:rsidRPr="5F11176A">
        <w:t xml:space="preserve"> for improve resident </w:t>
      </w:r>
      <w:proofErr w:type="gramStart"/>
      <w:r w:rsidRPr="5F11176A">
        <w:t>experience</w:t>
      </w:r>
      <w:proofErr w:type="gramEnd"/>
      <w:r w:rsidRPr="5F11176A">
        <w:t xml:space="preserve">  </w:t>
      </w:r>
    </w:p>
    <w:p w14:paraId="47251881" w14:textId="77777777" w:rsidR="005A240D" w:rsidRPr="00E50E29" w:rsidRDefault="005A240D" w:rsidP="00CC6185">
      <w:pPr>
        <w:pStyle w:val="Bullet1"/>
      </w:pPr>
      <w:r w:rsidRPr="00E50E29">
        <w:t xml:space="preserve">Improve the availability of fresh food for </w:t>
      </w:r>
      <w:proofErr w:type="gramStart"/>
      <w:r w:rsidRPr="00E50E29">
        <w:t>residents</w:t>
      </w:r>
      <w:proofErr w:type="gramEnd"/>
      <w:r w:rsidRPr="00E50E29">
        <w:t xml:space="preserve"> </w:t>
      </w:r>
    </w:p>
    <w:p w14:paraId="7529E128" w14:textId="77777777" w:rsidR="005A240D" w:rsidRPr="00E50E29" w:rsidRDefault="005A240D" w:rsidP="00CC6185">
      <w:pPr>
        <w:pStyle w:val="Bullet1"/>
      </w:pPr>
      <w:r w:rsidRPr="6959CCFF">
        <w:t xml:space="preserve">Support the operational viability of pension-level SRS to keep pension-level beds available in the system. </w:t>
      </w:r>
    </w:p>
    <w:p w14:paraId="62AFA2A1" w14:textId="77777777" w:rsidR="005A240D" w:rsidRPr="0089371A" w:rsidRDefault="005A240D" w:rsidP="00CC6185">
      <w:pPr>
        <w:pStyle w:val="Bullet1"/>
      </w:pPr>
      <w:r w:rsidRPr="00E50E29">
        <w:t>Improve residents’ access to activities</w:t>
      </w:r>
      <w:r>
        <w:t>,</w:t>
      </w:r>
      <w:r w:rsidRPr="00E50E29">
        <w:t xml:space="preserve"> social participation</w:t>
      </w:r>
      <w:r>
        <w:t xml:space="preserve"> opportunities</w:t>
      </w:r>
      <w:r w:rsidRPr="00E50E29">
        <w:t>, and health and community services.</w:t>
      </w:r>
    </w:p>
    <w:p w14:paraId="0DA17E61" w14:textId="4D1BF975" w:rsidR="00BA0849" w:rsidRPr="00B05658" w:rsidRDefault="009816C8" w:rsidP="00CC6185">
      <w:pPr>
        <w:pStyle w:val="DHHSbody"/>
      </w:pPr>
      <w:r>
        <w:t>I</w:t>
      </w:r>
      <w:r w:rsidR="00F04341">
        <w:t>n</w:t>
      </w:r>
      <w:r>
        <w:t xml:space="preserve"> doing this the </w:t>
      </w:r>
      <w:r w:rsidR="00F04341">
        <w:t xml:space="preserve">program supports </w:t>
      </w:r>
      <w:r w:rsidR="002F7028">
        <w:t>H</w:t>
      </w:r>
      <w:r w:rsidR="00F04341">
        <w:t xml:space="preserve">omes Victoria’s </w:t>
      </w:r>
      <w:r w:rsidR="004D12A6">
        <w:t xml:space="preserve">strategic objective of reducing homelessness through housing and support. </w:t>
      </w:r>
    </w:p>
    <w:p w14:paraId="47DB4714" w14:textId="088E1B55" w:rsidR="00B005C2" w:rsidRPr="0022110D" w:rsidRDefault="00CC6185" w:rsidP="00D403EC">
      <w:pPr>
        <w:pStyle w:val="Heading2"/>
      </w:pPr>
      <w:bookmarkStart w:id="14" w:name="_Toc48206334"/>
      <w:bookmarkStart w:id="15" w:name="_Toc168052687"/>
      <w:r>
        <w:t>2.5</w:t>
      </w:r>
      <w:r>
        <w:tab/>
      </w:r>
      <w:r w:rsidR="00B005C2" w:rsidRPr="0022110D">
        <w:t>Relationship to other resources</w:t>
      </w:r>
      <w:bookmarkEnd w:id="14"/>
      <w:bookmarkEnd w:id="15"/>
    </w:p>
    <w:p w14:paraId="7ED871E2" w14:textId="4E366358" w:rsidR="001E3CDD" w:rsidRPr="00B05658" w:rsidRDefault="001E3CDD" w:rsidP="00CC6185">
      <w:pPr>
        <w:pStyle w:val="DHHSbody"/>
      </w:pPr>
      <w:r w:rsidRPr="00B05658">
        <w:t>The key related documents and resources referred to in the development of these program requirements are: </w:t>
      </w:r>
    </w:p>
    <w:p w14:paraId="5095E862" w14:textId="77777777" w:rsidR="001E3CDD" w:rsidRPr="00B05658" w:rsidRDefault="001E3CDD" w:rsidP="00CC6185">
      <w:pPr>
        <w:pStyle w:val="Bullet1"/>
      </w:pPr>
      <w:r w:rsidRPr="00B05658">
        <w:t>SRS OAP Activity Descriptions</w:t>
      </w:r>
    </w:p>
    <w:p w14:paraId="7D84E7FF" w14:textId="2B665FA0" w:rsidR="0022110D" w:rsidRPr="002E4744" w:rsidRDefault="001E3CDD" w:rsidP="002E4744">
      <w:pPr>
        <w:pStyle w:val="Bullet1"/>
      </w:pPr>
      <w:r w:rsidRPr="00B05658">
        <w:t>SRS OAP Guidelines</w:t>
      </w:r>
    </w:p>
    <w:p w14:paraId="6878319A" w14:textId="18E00886" w:rsidR="002A0C7E" w:rsidRPr="0022110D" w:rsidRDefault="00CC6185" w:rsidP="00D403EC">
      <w:pPr>
        <w:pStyle w:val="Heading2"/>
      </w:pPr>
      <w:bookmarkStart w:id="16" w:name="_Toc168052688"/>
      <w:r>
        <w:lastRenderedPageBreak/>
        <w:t>2.6</w:t>
      </w:r>
      <w:r>
        <w:tab/>
      </w:r>
      <w:r w:rsidR="002A0C7E" w:rsidRPr="0022110D">
        <w:t>Eligibility</w:t>
      </w:r>
      <w:bookmarkEnd w:id="16"/>
    </w:p>
    <w:p w14:paraId="0B817138" w14:textId="3082E508" w:rsidR="0054027E" w:rsidRPr="00CC6185" w:rsidRDefault="0054027E" w:rsidP="00CC6185">
      <w:pPr>
        <w:pStyle w:val="DHHSbody"/>
      </w:pPr>
      <w:r w:rsidRPr="00CC6185">
        <w:t>Pension-level SRS facilities approved for SRS OAP funding by the department following a formal application process</w:t>
      </w:r>
      <w:r w:rsidR="00AF112E" w:rsidRPr="00CC6185">
        <w:t xml:space="preserve"> are eligible</w:t>
      </w:r>
      <w:r w:rsidRPr="00CC6185">
        <w:t xml:space="preserve">. </w:t>
      </w:r>
    </w:p>
    <w:p w14:paraId="4D2761E0" w14:textId="77777777" w:rsidR="00470982" w:rsidRPr="00E50E29" w:rsidRDefault="00470982" w:rsidP="00470982">
      <w:pPr>
        <w:pStyle w:val="DHHSbody"/>
        <w:rPr>
          <w:rFonts w:cs="Arial"/>
        </w:rPr>
      </w:pPr>
      <w:r w:rsidRPr="00E50E29">
        <w:rPr>
          <w:rFonts w:cs="Arial"/>
        </w:rPr>
        <w:t>To maintain eligibility for SRS OAP funding:</w:t>
      </w:r>
    </w:p>
    <w:p w14:paraId="7AE299D3" w14:textId="77777777" w:rsidR="00470982" w:rsidRDefault="00470982" w:rsidP="00CC6185">
      <w:pPr>
        <w:pStyle w:val="Bullet1"/>
      </w:pPr>
      <w:r w:rsidRPr="00C91AFB">
        <w:t xml:space="preserve">The SRS must be a pension-level facility. A pension-level facility is defined as an SRS in which no less than 80 per cent of registered beds are offered at pension level; that is, registered beds where: – the total amount charged by the SRS provider for accommodation and </w:t>
      </w:r>
      <w:proofErr w:type="gramStart"/>
      <w:r w:rsidRPr="00C91AFB">
        <w:t>support, and</w:t>
      </w:r>
      <w:proofErr w:type="gramEnd"/>
      <w:r w:rsidRPr="00C91AFB">
        <w:t xml:space="preserve"> paid for by or on behalf of the resident, is no more than the current pension</w:t>
      </w:r>
      <w:r w:rsidRPr="00C91AFB">
        <w:rPr>
          <w:rStyle w:val="FootnoteReference"/>
          <w:rFonts w:cs="Arial"/>
        </w:rPr>
        <w:footnoteReference w:id="2"/>
      </w:r>
      <w:r w:rsidRPr="00C91AFB">
        <w:t xml:space="preserve"> plus Commonwealth rent assistance</w:t>
      </w:r>
      <w:r>
        <w:t>.</w:t>
      </w:r>
    </w:p>
    <w:p w14:paraId="6234307B" w14:textId="77777777" w:rsidR="0054027E" w:rsidRPr="00C91AFB" w:rsidRDefault="0054027E" w:rsidP="00CC6185">
      <w:pPr>
        <w:pStyle w:val="Bullet1"/>
      </w:pPr>
      <w:r w:rsidRPr="00C91AFB">
        <w:t>Must maintain the other eligibility criteria for participation in SRS OAP</w:t>
      </w:r>
      <w:r w:rsidRPr="00C91AFB">
        <w:rPr>
          <w:rStyle w:val="FootnoteReference"/>
          <w:rFonts w:cs="Arial"/>
        </w:rPr>
        <w:footnoteReference w:id="3"/>
      </w:r>
    </w:p>
    <w:p w14:paraId="0734D034" w14:textId="091DCB03" w:rsidR="0054027E" w:rsidRPr="00F601D9" w:rsidRDefault="001C4420" w:rsidP="00CC6185">
      <w:pPr>
        <w:pStyle w:val="Bullet1"/>
      </w:pPr>
      <w:r w:rsidRPr="00FC013D">
        <w:t>T</w:t>
      </w:r>
      <w:r w:rsidR="00470982" w:rsidRPr="00FC013D">
        <w:t>he</w:t>
      </w:r>
      <w:r w:rsidR="0054027E" w:rsidRPr="00F601D9">
        <w:t xml:space="preserve"> SRS provider and/or relevant senior staff of the SRS must be actively involved in SRS OAP service components, including but not limited to:</w:t>
      </w:r>
    </w:p>
    <w:p w14:paraId="1024157D" w14:textId="77777777" w:rsidR="0054027E" w:rsidRDefault="0054027E" w:rsidP="000321D9">
      <w:pPr>
        <w:pStyle w:val="Body"/>
        <w:numPr>
          <w:ilvl w:val="0"/>
          <w:numId w:val="22"/>
        </w:numPr>
      </w:pPr>
      <w:r>
        <w:t>The SRS provider signing and abiding by the terms of the SRS OAP Agreement between each SRS and their assigned funded organisation</w:t>
      </w:r>
      <w:r w:rsidR="00BA2BDC">
        <w:t>.</w:t>
      </w:r>
    </w:p>
    <w:p w14:paraId="53591189" w14:textId="77777777" w:rsidR="0054027E" w:rsidRDefault="0054027E" w:rsidP="000321D9">
      <w:pPr>
        <w:pStyle w:val="Body"/>
        <w:numPr>
          <w:ilvl w:val="0"/>
          <w:numId w:val="22"/>
        </w:numPr>
      </w:pPr>
      <w:r>
        <w:t>A</w:t>
      </w:r>
      <w:r w:rsidRPr="00E50E29">
        <w:t>ctively participating in the Collaborative Plan process with their funded organisation</w:t>
      </w:r>
      <w:r w:rsidR="00BA2BDC">
        <w:t>.</w:t>
      </w:r>
      <w:r w:rsidRPr="00E50E29">
        <w:t xml:space="preserve"> </w:t>
      </w:r>
    </w:p>
    <w:p w14:paraId="0E7F5235" w14:textId="77777777" w:rsidR="000344A7" w:rsidRDefault="0054027E" w:rsidP="000321D9">
      <w:pPr>
        <w:pStyle w:val="Body"/>
        <w:numPr>
          <w:ilvl w:val="0"/>
          <w:numId w:val="22"/>
        </w:numPr>
      </w:pPr>
      <w:r>
        <w:t xml:space="preserve">Supporting SRS staff to attend training opportunities identified by the funded </w:t>
      </w:r>
      <w:proofErr w:type="gramStart"/>
      <w:r>
        <w:t>organisation</w:t>
      </w:r>
      <w:proofErr w:type="gramEnd"/>
      <w:r w:rsidR="00470982" w:rsidRPr="7C1A0D40">
        <w:t xml:space="preserve"> </w:t>
      </w:r>
    </w:p>
    <w:p w14:paraId="1B02864B" w14:textId="0DEE6AAE" w:rsidR="0054027E" w:rsidRPr="00E50E29" w:rsidRDefault="00470982" w:rsidP="000321D9">
      <w:pPr>
        <w:pStyle w:val="Body"/>
        <w:numPr>
          <w:ilvl w:val="0"/>
          <w:numId w:val="22"/>
        </w:numPr>
      </w:pPr>
      <w:r>
        <w:t>A</w:t>
      </w:r>
      <w:r w:rsidRPr="00E50E29">
        <w:t>ttending</w:t>
      </w:r>
      <w:r w:rsidR="0054027E" w:rsidRPr="00E50E29">
        <w:t xml:space="preserve"> cluster meetings and other nominated cluster events</w:t>
      </w:r>
      <w:r w:rsidR="00BA2BDC">
        <w:t>.</w:t>
      </w:r>
    </w:p>
    <w:p w14:paraId="4AE6B6B3" w14:textId="77777777" w:rsidR="0054027E" w:rsidRPr="00E50E29" w:rsidRDefault="0054027E" w:rsidP="000321D9">
      <w:pPr>
        <w:pStyle w:val="Body"/>
        <w:numPr>
          <w:ilvl w:val="0"/>
          <w:numId w:val="22"/>
        </w:numPr>
      </w:pPr>
      <w:r>
        <w:t>A</w:t>
      </w:r>
      <w:r w:rsidRPr="00E50E29">
        <w:t xml:space="preserve">ttending </w:t>
      </w:r>
      <w:r>
        <w:t>SRS</w:t>
      </w:r>
      <w:r w:rsidRPr="00E50E29">
        <w:t xml:space="preserve"> Community of Practice sessions convened by Homes Victoria</w:t>
      </w:r>
      <w:r w:rsidR="00BA2BDC">
        <w:t>.</w:t>
      </w:r>
      <w:r w:rsidRPr="00E50E29">
        <w:t xml:space="preserve"> </w:t>
      </w:r>
    </w:p>
    <w:p w14:paraId="0FFBC77F" w14:textId="77777777" w:rsidR="0054027E" w:rsidRDefault="0054027E" w:rsidP="000321D9">
      <w:pPr>
        <w:pStyle w:val="Body"/>
        <w:numPr>
          <w:ilvl w:val="0"/>
          <w:numId w:val="22"/>
        </w:numPr>
      </w:pPr>
      <w:r>
        <w:t>C</w:t>
      </w:r>
      <w:r w:rsidRPr="00E50E29">
        <w:t>ooperating with resident outreach and support services</w:t>
      </w:r>
      <w:r>
        <w:t>.</w:t>
      </w:r>
    </w:p>
    <w:p w14:paraId="49211E24" w14:textId="77777777" w:rsidR="0054027E" w:rsidRPr="00E50E29" w:rsidRDefault="0054027E" w:rsidP="000321D9">
      <w:pPr>
        <w:pStyle w:val="Body"/>
        <w:numPr>
          <w:ilvl w:val="0"/>
          <w:numId w:val="22"/>
        </w:numPr>
      </w:pPr>
      <w:r>
        <w:t>Cooperating and encouraging all SRS staff to engage in capacity building services provided by the funded organisation</w:t>
      </w:r>
      <w:r w:rsidR="00BA2BDC">
        <w:t>.</w:t>
      </w:r>
    </w:p>
    <w:p w14:paraId="168E1E1A" w14:textId="77777777" w:rsidR="00470982" w:rsidRDefault="00470982" w:rsidP="000321D9">
      <w:pPr>
        <w:pStyle w:val="Body"/>
        <w:numPr>
          <w:ilvl w:val="0"/>
          <w:numId w:val="22"/>
        </w:numPr>
      </w:pPr>
      <w:bookmarkStart w:id="17" w:name="_Toc48206335"/>
      <w:r>
        <w:t>M</w:t>
      </w:r>
      <w:r w:rsidRPr="00E50E29">
        <w:t>eeting all reporting and accountability requirements</w:t>
      </w:r>
      <w:r>
        <w:t xml:space="preserve"> including all financial accountability measures. </w:t>
      </w:r>
    </w:p>
    <w:p w14:paraId="652588CF" w14:textId="3FD2C87F" w:rsidR="00470982" w:rsidRPr="00114FAA" w:rsidRDefault="00470982" w:rsidP="000321D9">
      <w:pPr>
        <w:pStyle w:val="Body"/>
        <w:numPr>
          <w:ilvl w:val="0"/>
          <w:numId w:val="22"/>
        </w:numPr>
      </w:pPr>
      <w:r>
        <w:t>I</w:t>
      </w:r>
      <w:r w:rsidRPr="00114FAA">
        <w:t xml:space="preserve">n the event </w:t>
      </w:r>
      <w:r>
        <w:t>the</w:t>
      </w:r>
      <w:r w:rsidRPr="00114FAA">
        <w:t xml:space="preserve"> SRS clos</w:t>
      </w:r>
      <w:r>
        <w:t xml:space="preserve">es, </w:t>
      </w:r>
      <w:r w:rsidRPr="00114FAA">
        <w:t xml:space="preserve">participate in the Homes Victoria convened </w:t>
      </w:r>
      <w:r w:rsidRPr="002930F2">
        <w:rPr>
          <w:rStyle w:val="normaltextrun"/>
          <w:rFonts w:cs="Arial"/>
          <w:i/>
          <w:iCs/>
          <w:color w:val="000000"/>
        </w:rPr>
        <w:t xml:space="preserve">Supported Residential Services Resident </w:t>
      </w:r>
      <w:proofErr w:type="spellStart"/>
      <w:r w:rsidRPr="00A34D8A">
        <w:rPr>
          <w:rStyle w:val="normaltextrun"/>
          <w:rFonts w:cs="Arial"/>
          <w:i/>
          <w:color w:val="000000"/>
        </w:rPr>
        <w:t>Reaccom</w:t>
      </w:r>
      <w:r>
        <w:rPr>
          <w:rStyle w:val="normaltextrun"/>
          <w:rFonts w:cs="Arial"/>
          <w:i/>
          <w:color w:val="000000"/>
        </w:rPr>
        <w:t>m</w:t>
      </w:r>
      <w:r w:rsidRPr="00A34D8A">
        <w:rPr>
          <w:rStyle w:val="normaltextrun"/>
          <w:rFonts w:cs="Arial"/>
          <w:i/>
          <w:color w:val="000000"/>
        </w:rPr>
        <w:t>odation</w:t>
      </w:r>
      <w:proofErr w:type="spellEnd"/>
      <w:r w:rsidRPr="002930F2">
        <w:rPr>
          <w:rStyle w:val="normaltextrun"/>
          <w:rFonts w:cs="Arial"/>
          <w:i/>
          <w:iCs/>
          <w:color w:val="000000"/>
        </w:rPr>
        <w:t xml:space="preserve"> Protocol</w:t>
      </w:r>
      <w:r>
        <w:t xml:space="preserve">, </w:t>
      </w:r>
      <w:r w:rsidRPr="00114FAA">
        <w:t xml:space="preserve">and </w:t>
      </w:r>
      <w:r>
        <w:t xml:space="preserve">cooperate with Homes Victoria and </w:t>
      </w:r>
      <w:r w:rsidR="00E930BA">
        <w:t>the</w:t>
      </w:r>
      <w:r w:rsidRPr="00FC013D">
        <w:t xml:space="preserve"> </w:t>
      </w:r>
      <w:r>
        <w:t xml:space="preserve">funded organisation on supporting residents during the closure. </w:t>
      </w:r>
    </w:p>
    <w:p w14:paraId="11877285" w14:textId="0E5C41A8" w:rsidR="00B005C2" w:rsidRPr="004A72BA" w:rsidRDefault="00C73462" w:rsidP="00D403EC">
      <w:pPr>
        <w:pStyle w:val="Heading2"/>
      </w:pPr>
      <w:bookmarkStart w:id="18" w:name="_Toc168052689"/>
      <w:r>
        <w:t>2.7</w:t>
      </w:r>
      <w:r>
        <w:tab/>
      </w:r>
      <w:r w:rsidR="00B005C2" w:rsidRPr="004A72BA">
        <w:t>Service Agreement Requirements</w:t>
      </w:r>
      <w:bookmarkEnd w:id="17"/>
      <w:bookmarkEnd w:id="18"/>
    </w:p>
    <w:p w14:paraId="144105F3" w14:textId="77777777" w:rsidR="00B005C2" w:rsidRPr="00B005C2" w:rsidRDefault="00B005C2" w:rsidP="00C73462">
      <w:pPr>
        <w:pStyle w:val="DHHSbody"/>
      </w:pPr>
      <w:r w:rsidRPr="00B005C2">
        <w:t xml:space="preserve">Service agreement </w:t>
      </w:r>
      <w:r w:rsidRPr="00195372">
        <w:t>requirements document supports the service agreement</w:t>
      </w:r>
      <w:r w:rsidRPr="00B005C2">
        <w:t xml:space="preserve"> by outlining the departmental responsibilities, </w:t>
      </w:r>
      <w:proofErr w:type="gramStart"/>
      <w:r w:rsidRPr="00B005C2">
        <w:t>policies</w:t>
      </w:r>
      <w:proofErr w:type="gramEnd"/>
      <w:r w:rsidRPr="00B005C2">
        <w:t xml:space="preserve"> and obligations that </w:t>
      </w:r>
      <w:r w:rsidRPr="00B005C2">
        <w:rPr>
          <w:i/>
          <w:iCs/>
        </w:rPr>
        <w:t>all</w:t>
      </w:r>
      <w:r w:rsidRPr="00B005C2">
        <w:t xml:space="preserve"> funded organisations must comply with. It provides key budget information necessary for understanding your organisation’s funding.</w:t>
      </w:r>
    </w:p>
    <w:p w14:paraId="1D8E0682" w14:textId="77777777" w:rsidR="00B005C2" w:rsidRPr="00B005C2" w:rsidRDefault="00B005C2" w:rsidP="00C73462">
      <w:pPr>
        <w:pStyle w:val="DHHSbody"/>
      </w:pPr>
      <w:r w:rsidRPr="00B005C2">
        <w:t>To meet the terms of the service agreement, funded organisations must ensure they comply with:</w:t>
      </w:r>
    </w:p>
    <w:p w14:paraId="6C9C6AC9" w14:textId="05061CB5" w:rsidR="00B005C2" w:rsidRPr="00B005C2" w:rsidRDefault="00B005C2" w:rsidP="00C73462">
      <w:pPr>
        <w:pStyle w:val="Bullet1"/>
      </w:pPr>
      <w:r w:rsidRPr="00B005C2">
        <w:t>The service agreement</w:t>
      </w:r>
      <w:r w:rsidR="00262BD7">
        <w:t>.</w:t>
      </w:r>
    </w:p>
    <w:p w14:paraId="47B99EC0" w14:textId="177995C8" w:rsidR="00B005C2" w:rsidRPr="00B005C2" w:rsidRDefault="00B005C2" w:rsidP="00C73462">
      <w:pPr>
        <w:pStyle w:val="Bullet1"/>
      </w:pPr>
      <w:r w:rsidRPr="6B06E123">
        <w:t>The standard policies and obligations in the Service Agreement Requirements (</w:t>
      </w:r>
      <w:hyperlink r:id="rId18">
        <w:r w:rsidR="1C7B92F9" w:rsidRPr="6B06E123">
          <w:t>https://fac.dffh.vic.gov.au/service-agreement-requirements</w:t>
        </w:r>
      </w:hyperlink>
      <w:r w:rsidRPr="6B06E123">
        <w:t xml:space="preserve">). It is important that the policies and </w:t>
      </w:r>
      <w:r w:rsidRPr="6B06E123">
        <w:lastRenderedPageBreak/>
        <w:t xml:space="preserve">obligations in the Service Agreement Requirements document be reviewed to ensure that there is no duplication of policies. </w:t>
      </w:r>
    </w:p>
    <w:p w14:paraId="370BFDCC" w14:textId="77777777" w:rsidR="00B005C2" w:rsidRPr="00B005C2" w:rsidRDefault="00B005C2" w:rsidP="00C73462">
      <w:pPr>
        <w:pStyle w:val="Bullet1"/>
      </w:pPr>
      <w:r w:rsidRPr="00B005C2">
        <w:t>The specific policies and obligations in each relevant activity description.</w:t>
      </w:r>
    </w:p>
    <w:p w14:paraId="621450FA" w14:textId="23C86DF6" w:rsidR="00B005C2" w:rsidRPr="004A72BA" w:rsidRDefault="004A72BA" w:rsidP="00D403EC">
      <w:pPr>
        <w:pStyle w:val="Heading2"/>
      </w:pPr>
      <w:bookmarkStart w:id="19" w:name="_Toc48206336"/>
      <w:bookmarkStart w:id="20" w:name="_Toc168052690"/>
      <w:r w:rsidRPr="004A72BA">
        <w:t>2.8</w:t>
      </w:r>
      <w:r w:rsidRPr="004A72BA">
        <w:tab/>
      </w:r>
      <w:r w:rsidR="00B005C2" w:rsidRPr="004A72BA">
        <w:t>Funded Agency Channel</w:t>
      </w:r>
      <w:bookmarkEnd w:id="19"/>
      <w:bookmarkEnd w:id="20"/>
    </w:p>
    <w:p w14:paraId="407366CE" w14:textId="49528EC8" w:rsidR="00B005C2" w:rsidRPr="00B005C2" w:rsidRDefault="00B005C2" w:rsidP="00B005C2">
      <w:pPr>
        <w:spacing w:line="270" w:lineRule="atLeast"/>
        <w:rPr>
          <w:rFonts w:eastAsia="Times"/>
          <w:sz w:val="20"/>
          <w:lang w:eastAsia="en-AU"/>
        </w:rPr>
      </w:pPr>
      <w:r w:rsidRPr="00B005C2">
        <w:rPr>
          <w:rFonts w:eastAsia="Times" w:cs="Arial"/>
          <w:color w:val="000000"/>
          <w:sz w:val="20"/>
          <w:szCs w:val="19"/>
          <w:lang w:eastAsia="en-AU"/>
        </w:rPr>
        <w:t xml:space="preserve">The </w:t>
      </w:r>
      <w:hyperlink r:id="rId19" w:tgtFrame="_blank" w:tooltip="Link to the Funded Agency Channel" w:history="1">
        <w:r w:rsidRPr="00B005C2">
          <w:rPr>
            <w:rFonts w:eastAsia="Times"/>
            <w:color w:val="3366FF"/>
            <w:sz w:val="20"/>
            <w:u w:val="dotted"/>
          </w:rPr>
          <w:t>Funded agency channel (FAC)</w:t>
        </w:r>
      </w:hyperlink>
      <w:r w:rsidRPr="00B005C2">
        <w:rPr>
          <w:rFonts w:eastAsia="Times"/>
          <w:color w:val="3366FF"/>
          <w:sz w:val="20"/>
          <w:u w:val="dotted"/>
        </w:rPr>
        <w:t xml:space="preserve"> </w:t>
      </w:r>
      <w:r w:rsidRPr="00B005C2">
        <w:rPr>
          <w:rFonts w:eastAsia="Times"/>
          <w:sz w:val="20"/>
        </w:rPr>
        <w:t>&lt;https://fac.dhhs.vic.gov.au&gt;</w:t>
      </w:r>
      <w:r w:rsidRPr="00B005C2">
        <w:rPr>
          <w:rFonts w:eastAsia="Times" w:cs="Arial"/>
          <w:color w:val="000000"/>
          <w:sz w:val="20"/>
          <w:szCs w:val="19"/>
          <w:lang w:eastAsia="en-AU"/>
        </w:rPr>
        <w:t xml:space="preserve"> is a website that supports the partnership relationship between the Department of Health and Families, Fairness and Housing, the Department of Education and approximately 3,000 organisations which they fund.</w:t>
      </w:r>
    </w:p>
    <w:p w14:paraId="263BBA77" w14:textId="16BAF52A" w:rsidR="004A72BA" w:rsidRDefault="00B005C2" w:rsidP="00B005C2">
      <w:pPr>
        <w:spacing w:line="270" w:lineRule="atLeast"/>
        <w:rPr>
          <w:rFonts w:eastAsia="Times"/>
          <w:sz w:val="20"/>
          <w:lang w:eastAsia="en-AU"/>
        </w:rPr>
      </w:pPr>
      <w:r w:rsidRPr="00B005C2">
        <w:rPr>
          <w:rFonts w:eastAsia="Times"/>
          <w:sz w:val="20"/>
          <w:lang w:eastAsia="en-AU"/>
        </w:rPr>
        <w:t xml:space="preserve">My Agency is the secure area of the FAC website and is only accessible to registered users. It provides quick and easy access to Service </w:t>
      </w:r>
      <w:r w:rsidR="005404CA">
        <w:rPr>
          <w:rFonts w:eastAsia="Times"/>
          <w:sz w:val="20"/>
          <w:lang w:eastAsia="en-AU"/>
        </w:rPr>
        <w:t>A</w:t>
      </w:r>
      <w:r w:rsidRPr="00B005C2">
        <w:rPr>
          <w:rFonts w:eastAsia="Times"/>
          <w:sz w:val="20"/>
          <w:lang w:eastAsia="en-AU"/>
        </w:rPr>
        <w:t>greements, supporting information and business processes that enable organisations and the departments to deliver on partnership initiatives.</w:t>
      </w:r>
    </w:p>
    <w:p w14:paraId="1D5C1684" w14:textId="77777777" w:rsidR="004A72BA" w:rsidRDefault="004A72BA">
      <w:pPr>
        <w:spacing w:after="0" w:line="240" w:lineRule="auto"/>
        <w:rPr>
          <w:rFonts w:eastAsia="Times"/>
          <w:sz w:val="20"/>
          <w:lang w:eastAsia="en-AU"/>
        </w:rPr>
      </w:pPr>
      <w:r>
        <w:rPr>
          <w:rFonts w:eastAsia="Times"/>
          <w:sz w:val="20"/>
          <w:lang w:eastAsia="en-AU"/>
        </w:rPr>
        <w:br w:type="page"/>
      </w:r>
    </w:p>
    <w:p w14:paraId="6EB2097F" w14:textId="1A97B5B3" w:rsidR="00B005C2" w:rsidRPr="00B005C2" w:rsidRDefault="00D447FE" w:rsidP="000321D9">
      <w:pPr>
        <w:pStyle w:val="Heading1"/>
        <w:numPr>
          <w:ilvl w:val="0"/>
          <w:numId w:val="17"/>
        </w:numPr>
      </w:pPr>
      <w:bookmarkStart w:id="21" w:name="_Toc48206342"/>
      <w:bookmarkStart w:id="22" w:name="_Toc168052691"/>
      <w:r>
        <w:lastRenderedPageBreak/>
        <w:t xml:space="preserve">Theory of change </w:t>
      </w:r>
      <w:r w:rsidR="00B005C2" w:rsidRPr="00B005C2">
        <w:t xml:space="preserve">and </w:t>
      </w:r>
      <w:r>
        <w:t xml:space="preserve">key </w:t>
      </w:r>
      <w:r w:rsidR="00B005C2" w:rsidRPr="00B005C2">
        <w:t>outcomes</w:t>
      </w:r>
      <w:bookmarkEnd w:id="21"/>
      <w:bookmarkEnd w:id="22"/>
    </w:p>
    <w:p w14:paraId="6A3F6D03" w14:textId="77777777" w:rsidR="002203B1" w:rsidRPr="00C73462" w:rsidRDefault="004E2AAB" w:rsidP="00C73462">
      <w:pPr>
        <w:pStyle w:val="DHHSbody"/>
      </w:pPr>
      <w:r w:rsidRPr="00C73462">
        <w:t>Victoria</w:t>
      </w:r>
      <w:r w:rsidR="009E771B" w:rsidRPr="00C73462">
        <w:t xml:space="preserve"> </w:t>
      </w:r>
      <w:r w:rsidR="00B97F0F" w:rsidRPr="00C73462">
        <w:t>needs a</w:t>
      </w:r>
      <w:r w:rsidR="009E771B" w:rsidRPr="00C73462">
        <w:t xml:space="preserve"> </w:t>
      </w:r>
      <w:r w:rsidR="000A00CE" w:rsidRPr="00C73462">
        <w:t>supply of supported accommodation for people on fixed incomes who are not eligible for other forms of supported accommodation such as those provided by the N</w:t>
      </w:r>
      <w:r w:rsidR="00E56172" w:rsidRPr="00C73462">
        <w:t xml:space="preserve">ational </w:t>
      </w:r>
      <w:r w:rsidR="000A00CE" w:rsidRPr="00C73462">
        <w:t>D</w:t>
      </w:r>
      <w:r w:rsidR="00E56172" w:rsidRPr="00C73462">
        <w:t xml:space="preserve">isability </w:t>
      </w:r>
      <w:r w:rsidR="00826174" w:rsidRPr="00C73462">
        <w:t xml:space="preserve">Insurance Scheme </w:t>
      </w:r>
      <w:r w:rsidR="002E571E" w:rsidRPr="00C73462">
        <w:t xml:space="preserve">or </w:t>
      </w:r>
      <w:r w:rsidR="001A68DD" w:rsidRPr="00C73462">
        <w:t>C</w:t>
      </w:r>
      <w:r w:rsidR="002E571E" w:rsidRPr="00C73462">
        <w:t xml:space="preserve">ommonwealth </w:t>
      </w:r>
      <w:r w:rsidR="001A68DD" w:rsidRPr="00C73462">
        <w:t>funded A</w:t>
      </w:r>
      <w:r w:rsidR="002E571E" w:rsidRPr="00C73462">
        <w:t xml:space="preserve">ged </w:t>
      </w:r>
      <w:r w:rsidR="001A68DD" w:rsidRPr="00C73462">
        <w:t>C</w:t>
      </w:r>
      <w:r w:rsidR="002E571E" w:rsidRPr="00C73462">
        <w:t>are</w:t>
      </w:r>
      <w:r w:rsidR="000A00CE" w:rsidRPr="00C73462">
        <w:t>.</w:t>
      </w:r>
      <w:r w:rsidR="0096503F" w:rsidRPr="00C73462">
        <w:t xml:space="preserve"> </w:t>
      </w:r>
    </w:p>
    <w:p w14:paraId="5551C946" w14:textId="0326935D" w:rsidR="00BD757C" w:rsidRPr="00C73462" w:rsidRDefault="004D78F4" w:rsidP="00C73462">
      <w:pPr>
        <w:pStyle w:val="DHHSbody"/>
      </w:pPr>
      <w:r w:rsidRPr="00C73462">
        <w:t>Victorian</w:t>
      </w:r>
      <w:r w:rsidR="00B91EE7" w:rsidRPr="00C73462">
        <w:t xml:space="preserve">s </w:t>
      </w:r>
      <w:r w:rsidR="00270014" w:rsidRPr="00C73462">
        <w:t>who cannot access</w:t>
      </w:r>
      <w:r w:rsidR="00662DFC" w:rsidRPr="00C73462">
        <w:t xml:space="preserve"> supported </w:t>
      </w:r>
      <w:r w:rsidR="00270014" w:rsidRPr="00C73462">
        <w:t>accommodation</w:t>
      </w:r>
      <w:r w:rsidR="00662DFC" w:rsidRPr="00C73462">
        <w:t xml:space="preserve"> </w:t>
      </w:r>
      <w:r w:rsidR="00487147" w:rsidRPr="00C73462">
        <w:t>provided</w:t>
      </w:r>
      <w:r w:rsidR="002203B1" w:rsidRPr="00C73462">
        <w:t xml:space="preserve"> </w:t>
      </w:r>
      <w:r w:rsidR="00270014" w:rsidRPr="00C73462">
        <w:t xml:space="preserve">by </w:t>
      </w:r>
      <w:r w:rsidR="00D20302" w:rsidRPr="00C73462">
        <w:t xml:space="preserve">other service systems </w:t>
      </w:r>
      <w:r w:rsidR="007E2092" w:rsidRPr="00C73462">
        <w:t xml:space="preserve">often rely on </w:t>
      </w:r>
      <w:r w:rsidR="002203B1" w:rsidRPr="00C73462">
        <w:t>p</w:t>
      </w:r>
      <w:r w:rsidR="006F6B49" w:rsidRPr="00C73462">
        <w:t xml:space="preserve">ension-level </w:t>
      </w:r>
      <w:r w:rsidR="007E2092" w:rsidRPr="00C73462">
        <w:t>SRS</w:t>
      </w:r>
      <w:r w:rsidR="00EB4EFF" w:rsidRPr="00C73462">
        <w:t xml:space="preserve">. </w:t>
      </w:r>
      <w:r w:rsidR="00101FEF" w:rsidRPr="00C73462">
        <w:t>Pension-level SRS residents often have multiple and complex support needs</w:t>
      </w:r>
      <w:r w:rsidR="00074189" w:rsidRPr="00C73462">
        <w:t xml:space="preserve"> that are met by </w:t>
      </w:r>
      <w:r w:rsidR="004913A9" w:rsidRPr="00C73462">
        <w:t>t</w:t>
      </w:r>
      <w:r w:rsidR="00707B0E" w:rsidRPr="00C73462">
        <w:t xml:space="preserve">he broader </w:t>
      </w:r>
      <w:r w:rsidR="00FE1922" w:rsidRPr="00C73462">
        <w:t>service system</w:t>
      </w:r>
      <w:r w:rsidR="00C51DEF" w:rsidRPr="00C73462">
        <w:t>.</w:t>
      </w:r>
    </w:p>
    <w:p w14:paraId="60FCCD24" w14:textId="33597D8A" w:rsidR="00D5247B" w:rsidRPr="00C73462" w:rsidRDefault="00BD757C" w:rsidP="00C73462">
      <w:pPr>
        <w:pStyle w:val="DHHSbody"/>
      </w:pPr>
      <w:r w:rsidRPr="00C73462">
        <w:t>Pension-level SRS are defined as SRS that charge fees at no more than the current pension plus Commonwealth rent assistance for at least 80 per cent of their registered bed</w:t>
      </w:r>
      <w:r w:rsidR="00AA6F35" w:rsidRPr="00C73462">
        <w:t>s</w:t>
      </w:r>
      <w:r w:rsidR="000830B9" w:rsidRPr="00C73462">
        <w:t>.</w:t>
      </w:r>
      <w:r w:rsidR="00EE62FC" w:rsidRPr="00C73462">
        <w:t xml:space="preserve"> </w:t>
      </w:r>
      <w:r w:rsidR="004034C1" w:rsidRPr="00C73462">
        <w:t>As such</w:t>
      </w:r>
      <w:r w:rsidR="00B33AC6" w:rsidRPr="00C73462">
        <w:t xml:space="preserve"> </w:t>
      </w:r>
      <w:r w:rsidR="002355B3" w:rsidRPr="00C73462">
        <w:t>p</w:t>
      </w:r>
      <w:r w:rsidR="00B33AC6" w:rsidRPr="00C73462">
        <w:t>ension-level SRS</w:t>
      </w:r>
      <w:r w:rsidR="00AA6F35" w:rsidRPr="00C73462">
        <w:t xml:space="preserve"> have a cap on the </w:t>
      </w:r>
      <w:r w:rsidR="00010A9E" w:rsidRPr="00C73462">
        <w:t>revenue</w:t>
      </w:r>
      <w:r w:rsidR="00AA6F35" w:rsidRPr="00C73462">
        <w:t xml:space="preserve"> they can generate that </w:t>
      </w:r>
      <w:r w:rsidR="0008144F" w:rsidRPr="00C73462">
        <w:t xml:space="preserve">creates </w:t>
      </w:r>
      <w:r w:rsidR="007C3366" w:rsidRPr="00C73462">
        <w:t>financial pressures</w:t>
      </w:r>
      <w:r w:rsidR="00016887" w:rsidRPr="00C73462">
        <w:t xml:space="preserve"> and challenges </w:t>
      </w:r>
      <w:r w:rsidR="004728F8" w:rsidRPr="00C73462">
        <w:t xml:space="preserve">in </w:t>
      </w:r>
      <w:r w:rsidR="008D189A" w:rsidRPr="00C73462">
        <w:t>keep</w:t>
      </w:r>
      <w:r w:rsidR="00A473B8" w:rsidRPr="00C73462">
        <w:t xml:space="preserve">ing </w:t>
      </w:r>
      <w:r w:rsidR="002355B3" w:rsidRPr="00C73462">
        <w:t>p</w:t>
      </w:r>
      <w:r w:rsidR="00A473B8" w:rsidRPr="00C73462">
        <w:t xml:space="preserve">ension-level SRS </w:t>
      </w:r>
      <w:r w:rsidR="00E8366D" w:rsidRPr="00C73462">
        <w:t>viable</w:t>
      </w:r>
      <w:r w:rsidR="00244C8B" w:rsidRPr="00C73462">
        <w:t>.</w:t>
      </w:r>
    </w:p>
    <w:p w14:paraId="0BFBEB0E" w14:textId="6FE583B2" w:rsidR="00441905" w:rsidRPr="00C73462" w:rsidRDefault="00B07755" w:rsidP="00C73462">
      <w:pPr>
        <w:pStyle w:val="DHHSbody"/>
      </w:pPr>
      <w:r w:rsidRPr="00C73462">
        <w:t xml:space="preserve">The theory of change for the </w:t>
      </w:r>
      <w:r w:rsidR="00E82812" w:rsidRPr="00C73462">
        <w:t>SRS OAP</w:t>
      </w:r>
      <w:r w:rsidRPr="00C73462">
        <w:t xml:space="preserve"> program is that </w:t>
      </w:r>
      <w:r w:rsidR="007F39BC" w:rsidRPr="00C73462">
        <w:t xml:space="preserve">through the provision of </w:t>
      </w:r>
      <w:r w:rsidR="007549D3" w:rsidRPr="00C73462">
        <w:t xml:space="preserve">financial assistance to </w:t>
      </w:r>
      <w:r w:rsidR="007F39BC" w:rsidRPr="00C73462">
        <w:t>p</w:t>
      </w:r>
      <w:r w:rsidR="007549D3" w:rsidRPr="00C73462">
        <w:t>ension-level SRS</w:t>
      </w:r>
      <w:r w:rsidR="00085AE3" w:rsidRPr="00C73462">
        <w:t xml:space="preserve"> (Activity 3741</w:t>
      </w:r>
      <w:r w:rsidR="00365185" w:rsidRPr="00C73462">
        <w:t>4</w:t>
      </w:r>
      <w:r w:rsidR="00085AE3" w:rsidRPr="00C73462">
        <w:t>)</w:t>
      </w:r>
      <w:r w:rsidR="007549D3" w:rsidRPr="00C73462">
        <w:t xml:space="preserve"> to </w:t>
      </w:r>
      <w:r w:rsidR="005E3CC5" w:rsidRPr="00C73462">
        <w:t>assist</w:t>
      </w:r>
      <w:r w:rsidR="007549D3" w:rsidRPr="00C73462">
        <w:t xml:space="preserve"> their </w:t>
      </w:r>
      <w:r w:rsidR="005E3CC5" w:rsidRPr="00C73462">
        <w:t>viability</w:t>
      </w:r>
      <w:r w:rsidR="007549D3" w:rsidRPr="00C73462">
        <w:t xml:space="preserve">, improve resident amenity and </w:t>
      </w:r>
      <w:r w:rsidR="00B16D0E" w:rsidRPr="00C73462">
        <w:t>increase</w:t>
      </w:r>
      <w:r w:rsidR="007549D3" w:rsidRPr="00C73462">
        <w:t xml:space="preserve"> access to fresh food</w:t>
      </w:r>
      <w:r w:rsidR="000A3364" w:rsidRPr="00C73462">
        <w:t xml:space="preserve"> </w:t>
      </w:r>
      <w:r w:rsidR="007F39BC" w:rsidRPr="00C73462">
        <w:t>p</w:t>
      </w:r>
      <w:r w:rsidR="00441905" w:rsidRPr="00C73462">
        <w:t>ension-level SRS will remain viable</w:t>
      </w:r>
      <w:r w:rsidR="00CF1F32" w:rsidRPr="00C73462">
        <w:t>,</w:t>
      </w:r>
      <w:r w:rsidR="00441905" w:rsidRPr="00C73462">
        <w:t xml:space="preserve"> </w:t>
      </w:r>
      <w:r w:rsidR="00742161" w:rsidRPr="00C73462">
        <w:t>the</w:t>
      </w:r>
      <w:r w:rsidR="00441905" w:rsidRPr="00C73462">
        <w:t xml:space="preserve"> </w:t>
      </w:r>
      <w:r w:rsidR="00EA4721" w:rsidRPr="00C73462">
        <w:t>beds</w:t>
      </w:r>
      <w:r w:rsidR="00441905" w:rsidRPr="00C73462">
        <w:t xml:space="preserve"> in them</w:t>
      </w:r>
      <w:r w:rsidR="00EA4721" w:rsidRPr="00C73462">
        <w:t xml:space="preserve"> will continue to be available</w:t>
      </w:r>
      <w:r w:rsidR="00B16D0E" w:rsidRPr="00C73462">
        <w:t xml:space="preserve"> to those who need </w:t>
      </w:r>
      <w:proofErr w:type="gramStart"/>
      <w:r w:rsidR="00B16D0E" w:rsidRPr="00C73462">
        <w:t>them</w:t>
      </w:r>
      <w:proofErr w:type="gramEnd"/>
      <w:r w:rsidR="00CF1F32" w:rsidRPr="00C73462">
        <w:t xml:space="preserve"> </w:t>
      </w:r>
      <w:r w:rsidR="00742161" w:rsidRPr="00C73462">
        <w:t>and residents will have access to nutritious fresh food</w:t>
      </w:r>
      <w:r w:rsidR="00985316" w:rsidRPr="00C73462">
        <w:t xml:space="preserve">. </w:t>
      </w:r>
    </w:p>
    <w:p w14:paraId="05963819" w14:textId="77777777" w:rsidR="00D174D3" w:rsidRPr="00C73462" w:rsidRDefault="00985316" w:rsidP="00C73462">
      <w:pPr>
        <w:pStyle w:val="DHHSbody"/>
      </w:pPr>
      <w:r w:rsidRPr="00C73462">
        <w:t xml:space="preserve">In </w:t>
      </w:r>
      <w:r w:rsidR="00B80776" w:rsidRPr="00C73462">
        <w:t>addition,</w:t>
      </w:r>
      <w:r w:rsidRPr="00C73462">
        <w:t xml:space="preserve"> </w:t>
      </w:r>
      <w:r w:rsidR="00441905" w:rsidRPr="00C73462">
        <w:t xml:space="preserve">through the provision of </w:t>
      </w:r>
      <w:r w:rsidR="007549D3" w:rsidRPr="00C73462">
        <w:t xml:space="preserve">service coordination, support and brokerage for residents and capacity </w:t>
      </w:r>
      <w:r w:rsidR="00441905" w:rsidRPr="00C73462">
        <w:t>building for</w:t>
      </w:r>
      <w:r w:rsidR="007549D3" w:rsidRPr="00C73462">
        <w:t xml:space="preserve"> proprietors and SRS</w:t>
      </w:r>
      <w:r w:rsidR="00085AE3" w:rsidRPr="00C73462">
        <w:t xml:space="preserve"> </w:t>
      </w:r>
      <w:r w:rsidR="00F627B3" w:rsidRPr="00C73462">
        <w:t>staff</w:t>
      </w:r>
      <w:r w:rsidR="0063002B" w:rsidRPr="00C73462">
        <w:t xml:space="preserve"> </w:t>
      </w:r>
      <w:r w:rsidR="00085AE3" w:rsidRPr="00C73462">
        <w:t>(</w:t>
      </w:r>
      <w:r w:rsidR="00083DEE" w:rsidRPr="00C73462">
        <w:t>A</w:t>
      </w:r>
      <w:r w:rsidR="00085AE3" w:rsidRPr="00C73462">
        <w:t xml:space="preserve">ctivity </w:t>
      </w:r>
      <w:r w:rsidR="00083DEE" w:rsidRPr="00C73462">
        <w:t>3741</w:t>
      </w:r>
      <w:r w:rsidR="00365185" w:rsidRPr="00C73462">
        <w:t>5</w:t>
      </w:r>
      <w:r w:rsidR="00083DEE" w:rsidRPr="00C73462">
        <w:t>)</w:t>
      </w:r>
      <w:r w:rsidR="007549D3" w:rsidRPr="00C73462">
        <w:t xml:space="preserve"> </w:t>
      </w:r>
      <w:r w:rsidR="00441905" w:rsidRPr="00C73462">
        <w:t xml:space="preserve">residents </w:t>
      </w:r>
      <w:r w:rsidR="0063002B" w:rsidRPr="00C73462">
        <w:t xml:space="preserve">will receive </w:t>
      </w:r>
      <w:r w:rsidR="00B16D0E" w:rsidRPr="00C73462">
        <w:t>more</w:t>
      </w:r>
      <w:r w:rsidR="007549D3" w:rsidRPr="00C73462">
        <w:t xml:space="preserve"> </w:t>
      </w:r>
      <w:r w:rsidR="002942B5" w:rsidRPr="00C73462">
        <w:t>support</w:t>
      </w:r>
      <w:r w:rsidR="0063002B" w:rsidRPr="00C73462">
        <w:t>s</w:t>
      </w:r>
      <w:r w:rsidR="007F39BC" w:rsidRPr="00C73462">
        <w:t xml:space="preserve"> </w:t>
      </w:r>
      <w:r w:rsidR="00B203A9" w:rsidRPr="00C73462">
        <w:t xml:space="preserve">and services they need </w:t>
      </w:r>
      <w:r w:rsidR="0063002B" w:rsidRPr="00C73462">
        <w:t xml:space="preserve">via the </w:t>
      </w:r>
      <w:r w:rsidR="00B16D0E" w:rsidRPr="00C73462">
        <w:t xml:space="preserve">program and from </w:t>
      </w:r>
      <w:r w:rsidR="007549D3" w:rsidRPr="00C73462">
        <w:t xml:space="preserve">external services </w:t>
      </w:r>
      <w:r w:rsidR="00470982" w:rsidRPr="00C73462">
        <w:t>supporting</w:t>
      </w:r>
      <w:r w:rsidR="00B16D0E" w:rsidRPr="00C73462">
        <w:t xml:space="preserve"> </w:t>
      </w:r>
      <w:r w:rsidR="00441905" w:rsidRPr="00C73462">
        <w:t xml:space="preserve">their </w:t>
      </w:r>
      <w:r w:rsidR="007543B9" w:rsidRPr="00C73462">
        <w:t>health and wellbeing</w:t>
      </w:r>
      <w:r w:rsidR="00B07755" w:rsidRPr="00C73462">
        <w:t>. Refer to Table 1 for more information.</w:t>
      </w:r>
    </w:p>
    <w:p w14:paraId="7FF61366" w14:textId="36AF7E8A" w:rsidR="00A817FF" w:rsidRPr="00D174D3" w:rsidRDefault="00A817FF" w:rsidP="00D174D3">
      <w:pPr>
        <w:pStyle w:val="DHHSbody"/>
        <w:rPr>
          <w:b/>
          <w:bCs/>
        </w:rPr>
      </w:pPr>
      <w:r w:rsidRPr="00D174D3">
        <w:rPr>
          <w:b/>
          <w:bCs/>
        </w:rPr>
        <w:t xml:space="preserve">Table </w:t>
      </w:r>
      <w:r w:rsidRPr="00D174D3">
        <w:rPr>
          <w:b/>
          <w:bCs/>
        </w:rPr>
        <w:fldChar w:fldCharType="begin"/>
      </w:r>
      <w:r w:rsidRPr="00D174D3">
        <w:rPr>
          <w:b/>
          <w:bCs/>
        </w:rPr>
        <w:instrText xml:space="preserve"> SEQ Table \* ARABIC </w:instrText>
      </w:r>
      <w:r w:rsidRPr="00D174D3">
        <w:rPr>
          <w:b/>
          <w:bCs/>
        </w:rPr>
        <w:fldChar w:fldCharType="separate"/>
      </w:r>
      <w:r w:rsidRPr="00D174D3">
        <w:rPr>
          <w:b/>
          <w:bCs/>
        </w:rPr>
        <w:t>1</w:t>
      </w:r>
      <w:r w:rsidRPr="00D174D3">
        <w:rPr>
          <w:b/>
          <w:bCs/>
        </w:rPr>
        <w:fldChar w:fldCharType="end"/>
      </w:r>
      <w:r w:rsidRPr="00D174D3">
        <w:rPr>
          <w:b/>
          <w:bCs/>
        </w:rPr>
        <w:t>: Theory of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84"/>
        <w:gridCol w:w="2467"/>
        <w:gridCol w:w="892"/>
        <w:gridCol w:w="2237"/>
      </w:tblGrid>
      <w:tr w:rsidR="00A817FF" w:rsidRPr="00A02FA9" w14:paraId="14437442" w14:textId="77777777" w:rsidTr="00D174D3">
        <w:trPr>
          <w:trHeight w:val="6816"/>
          <w:tblHeader/>
          <w:jc w:val="center"/>
        </w:trPr>
        <w:tc>
          <w:tcPr>
            <w:tcW w:w="1566" w:type="pct"/>
            <w:shd w:val="clear" w:color="auto" w:fill="auto"/>
          </w:tcPr>
          <w:p w14:paraId="1E531CDA" w14:textId="1BE8DB3A" w:rsidR="00A817FF" w:rsidRPr="00F732B1" w:rsidRDefault="00475BA0">
            <w:pPr>
              <w:pStyle w:val="Body"/>
              <w:rPr>
                <w:b/>
                <w:bCs/>
                <w:sz w:val="20"/>
              </w:rPr>
            </w:pPr>
            <w:r>
              <w:rPr>
                <w:b/>
                <w:bCs/>
                <w:sz w:val="20"/>
              </w:rPr>
              <w:t>I</w:t>
            </w:r>
            <w:r w:rsidR="00A817FF" w:rsidRPr="5352416A">
              <w:rPr>
                <w:b/>
                <w:bCs/>
                <w:sz w:val="20"/>
              </w:rPr>
              <w:t>nterventions:</w:t>
            </w:r>
          </w:p>
          <w:p w14:paraId="143774F6" w14:textId="2787EC81" w:rsidR="003D1D70" w:rsidRPr="00B05658" w:rsidRDefault="007F715E" w:rsidP="00B05658">
            <w:pPr>
              <w:pStyle w:val="Body"/>
              <w:shd w:val="clear" w:color="auto" w:fill="FFFFFF" w:themeFill="background1"/>
              <w:rPr>
                <w:sz w:val="20"/>
              </w:rPr>
            </w:pPr>
            <w:r w:rsidRPr="00B05658">
              <w:rPr>
                <w:sz w:val="20"/>
              </w:rPr>
              <w:t xml:space="preserve">Viability </w:t>
            </w:r>
            <w:r w:rsidR="004A4DFE" w:rsidRPr="00B05658">
              <w:rPr>
                <w:sz w:val="20"/>
              </w:rPr>
              <w:t>A</w:t>
            </w:r>
            <w:r w:rsidRPr="00B05658">
              <w:rPr>
                <w:sz w:val="20"/>
              </w:rPr>
              <w:t xml:space="preserve">ssistance </w:t>
            </w:r>
          </w:p>
          <w:p w14:paraId="09FCFF6B" w14:textId="77777777" w:rsidR="00C534D7" w:rsidRPr="00B05658" w:rsidRDefault="00C534D7" w:rsidP="00B05658">
            <w:pPr>
              <w:pStyle w:val="Body"/>
              <w:shd w:val="clear" w:color="auto" w:fill="FFFFFF" w:themeFill="background1"/>
              <w:rPr>
                <w:sz w:val="20"/>
              </w:rPr>
            </w:pPr>
          </w:p>
          <w:p w14:paraId="62C53A1B" w14:textId="77777777" w:rsidR="00C534D7" w:rsidRPr="00B05658" w:rsidRDefault="00C534D7" w:rsidP="00B05658">
            <w:pPr>
              <w:pStyle w:val="Body"/>
              <w:shd w:val="clear" w:color="auto" w:fill="FFFFFF" w:themeFill="background1"/>
              <w:rPr>
                <w:sz w:val="20"/>
              </w:rPr>
            </w:pPr>
          </w:p>
          <w:p w14:paraId="22ADE648" w14:textId="0B4C53E1" w:rsidR="00C534D7" w:rsidRPr="00B05658" w:rsidRDefault="00C534D7" w:rsidP="00B05658">
            <w:pPr>
              <w:pStyle w:val="Body"/>
              <w:shd w:val="clear" w:color="auto" w:fill="FFFFFF" w:themeFill="background1"/>
              <w:rPr>
                <w:sz w:val="20"/>
              </w:rPr>
            </w:pPr>
            <w:r w:rsidRPr="00B05658">
              <w:rPr>
                <w:sz w:val="20"/>
              </w:rPr>
              <w:t xml:space="preserve">Resident Outreach </w:t>
            </w:r>
          </w:p>
          <w:p w14:paraId="15D0C064" w14:textId="77777777" w:rsidR="00C534D7" w:rsidRPr="00B05658" w:rsidRDefault="00C534D7" w:rsidP="00B05658">
            <w:pPr>
              <w:pStyle w:val="Body"/>
              <w:shd w:val="clear" w:color="auto" w:fill="FFFFFF" w:themeFill="background1"/>
              <w:rPr>
                <w:sz w:val="20"/>
              </w:rPr>
            </w:pPr>
          </w:p>
          <w:p w14:paraId="676790F9" w14:textId="77777777" w:rsidR="00A52B04" w:rsidRPr="00B05658" w:rsidRDefault="00A52B04" w:rsidP="00B05658">
            <w:pPr>
              <w:pStyle w:val="Body"/>
              <w:shd w:val="clear" w:color="auto" w:fill="FFFFFF" w:themeFill="background1"/>
              <w:rPr>
                <w:sz w:val="20"/>
              </w:rPr>
            </w:pPr>
          </w:p>
          <w:p w14:paraId="39D5991A" w14:textId="77777777" w:rsidR="00F46CD2" w:rsidRPr="00B05658" w:rsidRDefault="00F46CD2" w:rsidP="00B05658">
            <w:pPr>
              <w:pStyle w:val="Body"/>
              <w:shd w:val="clear" w:color="auto" w:fill="FFFFFF" w:themeFill="background1"/>
              <w:rPr>
                <w:sz w:val="20"/>
              </w:rPr>
            </w:pPr>
          </w:p>
          <w:p w14:paraId="2AB99275" w14:textId="4F2EFD96" w:rsidR="003D1D70" w:rsidRPr="00B05658" w:rsidRDefault="00DF6FAB" w:rsidP="00B05658">
            <w:pPr>
              <w:pStyle w:val="Body"/>
              <w:shd w:val="clear" w:color="auto" w:fill="FFFFFF" w:themeFill="background1"/>
              <w:rPr>
                <w:sz w:val="20"/>
              </w:rPr>
            </w:pPr>
            <w:r w:rsidRPr="00B05658">
              <w:rPr>
                <w:sz w:val="20"/>
              </w:rPr>
              <w:t>Pro</w:t>
            </w:r>
            <w:r w:rsidR="0054738A">
              <w:rPr>
                <w:sz w:val="20"/>
              </w:rPr>
              <w:t>vider</w:t>
            </w:r>
            <w:r w:rsidRPr="00B05658">
              <w:rPr>
                <w:sz w:val="20"/>
              </w:rPr>
              <w:t xml:space="preserve"> </w:t>
            </w:r>
            <w:r w:rsidR="00724279" w:rsidRPr="00B05658">
              <w:rPr>
                <w:sz w:val="20"/>
              </w:rPr>
              <w:t>C</w:t>
            </w:r>
            <w:r w:rsidRPr="00B05658">
              <w:rPr>
                <w:sz w:val="20"/>
              </w:rPr>
              <w:t xml:space="preserve">apacity </w:t>
            </w:r>
            <w:r w:rsidR="00724279" w:rsidRPr="00B05658">
              <w:rPr>
                <w:sz w:val="20"/>
              </w:rPr>
              <w:t>B</w:t>
            </w:r>
            <w:r w:rsidRPr="00B05658">
              <w:rPr>
                <w:sz w:val="20"/>
              </w:rPr>
              <w:t>uilding</w:t>
            </w:r>
          </w:p>
          <w:p w14:paraId="597780F4" w14:textId="77777777" w:rsidR="00B578CD" w:rsidRPr="00B05658" w:rsidRDefault="00B578CD" w:rsidP="00B05658">
            <w:pPr>
              <w:pStyle w:val="Body"/>
              <w:shd w:val="clear" w:color="auto" w:fill="FFFFFF" w:themeFill="background1"/>
              <w:rPr>
                <w:sz w:val="20"/>
              </w:rPr>
            </w:pPr>
          </w:p>
          <w:p w14:paraId="7EADA0E5" w14:textId="77777777" w:rsidR="00B578CD" w:rsidRPr="00B05658" w:rsidRDefault="00B578CD" w:rsidP="00B05658">
            <w:pPr>
              <w:pStyle w:val="Body"/>
              <w:shd w:val="clear" w:color="auto" w:fill="FFFFFF" w:themeFill="background1"/>
              <w:rPr>
                <w:sz w:val="20"/>
              </w:rPr>
            </w:pPr>
          </w:p>
          <w:p w14:paraId="33E40B36" w14:textId="77777777" w:rsidR="00B578CD" w:rsidRPr="00B05658" w:rsidRDefault="00B578CD" w:rsidP="00B05658">
            <w:pPr>
              <w:pStyle w:val="Body"/>
              <w:shd w:val="clear" w:color="auto" w:fill="FFFFFF" w:themeFill="background1"/>
              <w:rPr>
                <w:sz w:val="20"/>
              </w:rPr>
            </w:pPr>
          </w:p>
          <w:p w14:paraId="5E7BA67B" w14:textId="77777777" w:rsidR="00B578CD" w:rsidRPr="00B05658" w:rsidRDefault="00B578CD" w:rsidP="00B05658">
            <w:pPr>
              <w:pStyle w:val="Body"/>
              <w:shd w:val="clear" w:color="auto" w:fill="FFFFFF" w:themeFill="background1"/>
              <w:rPr>
                <w:sz w:val="20"/>
              </w:rPr>
            </w:pPr>
            <w:r w:rsidRPr="00B05658">
              <w:rPr>
                <w:sz w:val="20"/>
              </w:rPr>
              <w:t>Amenity and Safety</w:t>
            </w:r>
          </w:p>
          <w:p w14:paraId="3EAC1339" w14:textId="77777777" w:rsidR="009C3AF8" w:rsidRPr="00B05658" w:rsidRDefault="009C3AF8" w:rsidP="00B05658">
            <w:pPr>
              <w:pStyle w:val="Body"/>
              <w:shd w:val="clear" w:color="auto" w:fill="FFFFFF" w:themeFill="background1"/>
              <w:rPr>
                <w:sz w:val="20"/>
              </w:rPr>
            </w:pPr>
          </w:p>
          <w:p w14:paraId="64DB5598" w14:textId="77777777" w:rsidR="009C3AF8" w:rsidRPr="00B05658" w:rsidRDefault="009C3AF8" w:rsidP="00B05658">
            <w:pPr>
              <w:pStyle w:val="Body"/>
              <w:shd w:val="clear" w:color="auto" w:fill="FFFFFF" w:themeFill="background1"/>
              <w:rPr>
                <w:sz w:val="20"/>
              </w:rPr>
            </w:pPr>
          </w:p>
          <w:p w14:paraId="4B19974B" w14:textId="022DEB7B" w:rsidR="003D1D70" w:rsidRDefault="00724279" w:rsidP="00D174D3">
            <w:pPr>
              <w:pStyle w:val="Body"/>
              <w:shd w:val="clear" w:color="auto" w:fill="FFFFFF" w:themeFill="background1"/>
              <w:rPr>
                <w:sz w:val="20"/>
                <w:highlight w:val="cyan"/>
              </w:rPr>
            </w:pPr>
            <w:r w:rsidRPr="00B05658">
              <w:rPr>
                <w:sz w:val="20"/>
              </w:rPr>
              <w:t>Fresh</w:t>
            </w:r>
            <w:r w:rsidR="00DD35DB" w:rsidRPr="00B05658">
              <w:rPr>
                <w:sz w:val="20"/>
              </w:rPr>
              <w:t xml:space="preserve"> Food Funding</w:t>
            </w:r>
          </w:p>
          <w:p w14:paraId="33C33D45" w14:textId="161A3763" w:rsidR="00A817FF" w:rsidRPr="006A1BBC" w:rsidRDefault="00A817FF">
            <w:pPr>
              <w:pStyle w:val="Body"/>
              <w:rPr>
                <w:sz w:val="20"/>
              </w:rPr>
            </w:pPr>
          </w:p>
        </w:tc>
        <w:tc>
          <w:tcPr>
            <w:tcW w:w="422" w:type="pct"/>
            <w:shd w:val="clear" w:color="auto" w:fill="D9D9D9" w:themeFill="background1" w:themeFillShade="D9"/>
          </w:tcPr>
          <w:p w14:paraId="641256E8" w14:textId="77777777" w:rsidR="00A817FF" w:rsidRPr="006A1BBC" w:rsidRDefault="00A817FF">
            <w:pPr>
              <w:pStyle w:val="Tabletext"/>
              <w:rPr>
                <w:rFonts w:eastAsia="Times"/>
                <w:sz w:val="20"/>
              </w:rPr>
            </w:pPr>
            <w:r w:rsidRPr="006A1BBC">
              <w:rPr>
                <w:noProof/>
                <w:sz w:val="20"/>
              </w:rPr>
              <w:drawing>
                <wp:inline distT="0" distB="0" distL="0" distR="0" wp14:anchorId="7ACFD573" wp14:editId="123C95F1">
                  <wp:extent cx="251460" cy="314325"/>
                  <wp:effectExtent l="0" t="0" r="0" b="9525"/>
                  <wp:docPr id="1" name="Picture 1"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20">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328" w:type="pct"/>
            <w:shd w:val="clear" w:color="auto" w:fill="auto"/>
          </w:tcPr>
          <w:p w14:paraId="2E9CF021" w14:textId="77777777" w:rsidR="00A817FF" w:rsidRPr="00F732B1" w:rsidRDefault="00A817FF">
            <w:pPr>
              <w:pStyle w:val="Body"/>
              <w:rPr>
                <w:b/>
                <w:bCs/>
                <w:sz w:val="20"/>
              </w:rPr>
            </w:pPr>
            <w:r>
              <w:rPr>
                <w:b/>
                <w:bCs/>
                <w:sz w:val="20"/>
              </w:rPr>
              <w:t>Theory</w:t>
            </w:r>
            <w:r w:rsidRPr="00F732B1">
              <w:rPr>
                <w:b/>
                <w:bCs/>
                <w:sz w:val="20"/>
              </w:rPr>
              <w:t>:</w:t>
            </w:r>
          </w:p>
          <w:p w14:paraId="3B9569CA" w14:textId="0CFF73CF" w:rsidR="000927E9" w:rsidRDefault="00C534D7">
            <w:pPr>
              <w:pStyle w:val="Body"/>
              <w:rPr>
                <w:sz w:val="20"/>
              </w:rPr>
            </w:pPr>
            <w:r>
              <w:rPr>
                <w:sz w:val="20"/>
              </w:rPr>
              <w:t>A</w:t>
            </w:r>
            <w:r w:rsidR="000927E9">
              <w:rPr>
                <w:sz w:val="20"/>
              </w:rPr>
              <w:t xml:space="preserve"> viability supplement </w:t>
            </w:r>
            <w:r w:rsidR="007E5B87">
              <w:rPr>
                <w:sz w:val="20"/>
              </w:rPr>
              <w:t>allow</w:t>
            </w:r>
            <w:r w:rsidR="0067245C">
              <w:rPr>
                <w:sz w:val="20"/>
              </w:rPr>
              <w:t>s</w:t>
            </w:r>
            <w:r w:rsidR="007E5B87">
              <w:rPr>
                <w:sz w:val="20"/>
              </w:rPr>
              <w:t xml:space="preserve"> </w:t>
            </w:r>
            <w:r w:rsidR="00266DDD">
              <w:rPr>
                <w:sz w:val="20"/>
              </w:rPr>
              <w:t xml:space="preserve">SRS </w:t>
            </w:r>
            <w:r w:rsidR="007E5B87">
              <w:rPr>
                <w:sz w:val="20"/>
              </w:rPr>
              <w:t xml:space="preserve">to </w:t>
            </w:r>
            <w:r>
              <w:rPr>
                <w:sz w:val="20"/>
              </w:rPr>
              <w:t>operate</w:t>
            </w:r>
            <w:r w:rsidR="00C46854">
              <w:rPr>
                <w:sz w:val="20"/>
              </w:rPr>
              <w:t xml:space="preserve"> while charging </w:t>
            </w:r>
            <w:r w:rsidR="002355B3">
              <w:rPr>
                <w:sz w:val="20"/>
              </w:rPr>
              <w:t>p</w:t>
            </w:r>
            <w:r w:rsidR="00C46854">
              <w:rPr>
                <w:sz w:val="20"/>
              </w:rPr>
              <w:t>ension-level fees.</w:t>
            </w:r>
          </w:p>
          <w:p w14:paraId="79640C5B" w14:textId="473CB0E0" w:rsidR="00C534D7" w:rsidRDefault="00C534D7">
            <w:pPr>
              <w:pStyle w:val="Body"/>
              <w:rPr>
                <w:sz w:val="20"/>
              </w:rPr>
            </w:pPr>
            <w:r>
              <w:rPr>
                <w:sz w:val="20"/>
              </w:rPr>
              <w:t xml:space="preserve">Service </w:t>
            </w:r>
            <w:r w:rsidR="00A52B04">
              <w:rPr>
                <w:sz w:val="20"/>
              </w:rPr>
              <w:t>coordination and brokerage</w:t>
            </w:r>
            <w:r w:rsidR="00A8354B">
              <w:rPr>
                <w:sz w:val="20"/>
              </w:rPr>
              <w:t xml:space="preserve"> </w:t>
            </w:r>
            <w:r w:rsidR="00DE4F6F">
              <w:rPr>
                <w:sz w:val="20"/>
              </w:rPr>
              <w:t xml:space="preserve">assists </w:t>
            </w:r>
            <w:r w:rsidR="00A52B04">
              <w:rPr>
                <w:sz w:val="20"/>
              </w:rPr>
              <w:t xml:space="preserve">residents to </w:t>
            </w:r>
            <w:r w:rsidR="009F339F">
              <w:rPr>
                <w:sz w:val="20"/>
              </w:rPr>
              <w:t>access services</w:t>
            </w:r>
            <w:r w:rsidR="00A52B04">
              <w:rPr>
                <w:sz w:val="20"/>
              </w:rPr>
              <w:t xml:space="preserve"> </w:t>
            </w:r>
            <w:r w:rsidR="00DE4F6F">
              <w:rPr>
                <w:sz w:val="20"/>
              </w:rPr>
              <w:t xml:space="preserve">and supports </w:t>
            </w:r>
            <w:r w:rsidR="00A52B04">
              <w:rPr>
                <w:sz w:val="20"/>
              </w:rPr>
              <w:t>they need.</w:t>
            </w:r>
          </w:p>
          <w:p w14:paraId="6D2D2B4C" w14:textId="0D9CE9C0" w:rsidR="00C534D7" w:rsidRDefault="007660B0">
            <w:pPr>
              <w:pStyle w:val="Body"/>
              <w:rPr>
                <w:sz w:val="20"/>
              </w:rPr>
            </w:pPr>
            <w:r>
              <w:rPr>
                <w:sz w:val="20"/>
              </w:rPr>
              <w:t>Developing pro</w:t>
            </w:r>
            <w:r w:rsidR="0054738A">
              <w:rPr>
                <w:sz w:val="20"/>
              </w:rPr>
              <w:t>vider</w:t>
            </w:r>
            <w:r>
              <w:rPr>
                <w:sz w:val="20"/>
              </w:rPr>
              <w:t xml:space="preserve"> and SRS staff</w:t>
            </w:r>
            <w:r w:rsidR="00EF3DE9">
              <w:rPr>
                <w:sz w:val="20"/>
              </w:rPr>
              <w:t xml:space="preserve"> capacity to meet residents needs and engage </w:t>
            </w:r>
            <w:r w:rsidR="00585D07">
              <w:rPr>
                <w:sz w:val="20"/>
              </w:rPr>
              <w:t>serv</w:t>
            </w:r>
            <w:r w:rsidR="00F46CD2">
              <w:rPr>
                <w:sz w:val="20"/>
              </w:rPr>
              <w:t>i</w:t>
            </w:r>
            <w:r w:rsidR="00585D07">
              <w:rPr>
                <w:sz w:val="20"/>
              </w:rPr>
              <w:t>ces</w:t>
            </w:r>
            <w:r w:rsidR="00051E00">
              <w:rPr>
                <w:sz w:val="20"/>
              </w:rPr>
              <w:t>.</w:t>
            </w:r>
            <w:r w:rsidR="00B5786B">
              <w:rPr>
                <w:sz w:val="20"/>
              </w:rPr>
              <w:t xml:space="preserve"> </w:t>
            </w:r>
          </w:p>
          <w:p w14:paraId="7DDC0FFC" w14:textId="50C2ED01" w:rsidR="00B578CD" w:rsidRDefault="00B578CD" w:rsidP="00B578CD">
            <w:pPr>
              <w:pStyle w:val="Body"/>
              <w:rPr>
                <w:sz w:val="20"/>
              </w:rPr>
            </w:pPr>
            <w:r>
              <w:rPr>
                <w:sz w:val="20"/>
              </w:rPr>
              <w:t>Targeted assistance improve</w:t>
            </w:r>
            <w:r w:rsidR="0010300F">
              <w:rPr>
                <w:sz w:val="20"/>
              </w:rPr>
              <w:t>s</w:t>
            </w:r>
            <w:r>
              <w:rPr>
                <w:sz w:val="20"/>
              </w:rPr>
              <w:t xml:space="preserve"> resident amenity and safety.</w:t>
            </w:r>
          </w:p>
          <w:p w14:paraId="34F449B9" w14:textId="2C31E54D" w:rsidR="00A817FF" w:rsidRPr="006A1BBC" w:rsidRDefault="00B46FD8" w:rsidP="00D174D3">
            <w:pPr>
              <w:pStyle w:val="Body"/>
              <w:rPr>
                <w:sz w:val="20"/>
              </w:rPr>
            </w:pPr>
            <w:r>
              <w:rPr>
                <w:sz w:val="20"/>
              </w:rPr>
              <w:t xml:space="preserve">Improves access to fresh food in </w:t>
            </w:r>
            <w:r w:rsidR="001215E7">
              <w:rPr>
                <w:sz w:val="20"/>
              </w:rPr>
              <w:t xml:space="preserve">pension-level SRS and </w:t>
            </w:r>
            <w:r w:rsidR="006A70E3">
              <w:rPr>
                <w:sz w:val="20"/>
              </w:rPr>
              <w:t>resident nutrition.</w:t>
            </w:r>
          </w:p>
        </w:tc>
        <w:tc>
          <w:tcPr>
            <w:tcW w:w="480" w:type="pct"/>
            <w:shd w:val="clear" w:color="auto" w:fill="D9D9D9" w:themeFill="background1" w:themeFillShade="D9"/>
          </w:tcPr>
          <w:p w14:paraId="1ABD2084" w14:textId="77777777" w:rsidR="00A817FF" w:rsidRPr="006A1BBC" w:rsidRDefault="00A817FF">
            <w:pPr>
              <w:pStyle w:val="Tabletext"/>
              <w:rPr>
                <w:rFonts w:eastAsia="Times"/>
                <w:sz w:val="20"/>
              </w:rPr>
            </w:pPr>
            <w:r w:rsidRPr="006A1BBC">
              <w:rPr>
                <w:noProof/>
                <w:sz w:val="20"/>
              </w:rPr>
              <w:drawing>
                <wp:inline distT="0" distB="0" distL="0" distR="0" wp14:anchorId="3950E716" wp14:editId="6FBE1B18">
                  <wp:extent cx="251460" cy="314325"/>
                  <wp:effectExtent l="0" t="0" r="0" b="9525"/>
                  <wp:docPr id="3" name="Picture 3"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20">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204" w:type="pct"/>
            <w:shd w:val="clear" w:color="auto" w:fill="auto"/>
          </w:tcPr>
          <w:p w14:paraId="6495276A" w14:textId="761AB2D7" w:rsidR="00A817FF" w:rsidRPr="00F732B1" w:rsidRDefault="00223D55">
            <w:pPr>
              <w:pStyle w:val="Tabletext"/>
              <w:spacing w:line="259" w:lineRule="auto"/>
              <w:rPr>
                <w:rFonts w:eastAsia="Times"/>
                <w:b/>
                <w:bCs/>
                <w:sz w:val="20"/>
              </w:rPr>
            </w:pPr>
            <w:r>
              <w:rPr>
                <w:rFonts w:eastAsia="Times"/>
                <w:b/>
                <w:bCs/>
                <w:sz w:val="20"/>
              </w:rPr>
              <w:t>SRS OAP</w:t>
            </w:r>
            <w:r w:rsidR="00A817FF" w:rsidRPr="00F732B1">
              <w:rPr>
                <w:rFonts w:eastAsia="Times"/>
                <w:b/>
                <w:bCs/>
                <w:sz w:val="20"/>
              </w:rPr>
              <w:t xml:space="preserve"> outcomes</w:t>
            </w:r>
          </w:p>
          <w:p w14:paraId="491607F1" w14:textId="7C937D49" w:rsidR="00A817FF" w:rsidRPr="00566607" w:rsidRDefault="00C534D7">
            <w:pPr>
              <w:pStyle w:val="Tabletext"/>
              <w:spacing w:line="259" w:lineRule="auto"/>
              <w:rPr>
                <w:rFonts w:eastAsia="Times"/>
                <w:sz w:val="20"/>
              </w:rPr>
            </w:pPr>
            <w:r>
              <w:rPr>
                <w:rFonts w:eastAsia="Times"/>
                <w:sz w:val="20"/>
              </w:rPr>
              <w:t>Beds are available in</w:t>
            </w:r>
            <w:r w:rsidR="002355B3">
              <w:rPr>
                <w:rFonts w:eastAsia="Times"/>
                <w:sz w:val="20"/>
              </w:rPr>
              <w:t xml:space="preserve"> p</w:t>
            </w:r>
            <w:r>
              <w:rPr>
                <w:rFonts w:eastAsia="Times"/>
                <w:sz w:val="20"/>
              </w:rPr>
              <w:t>ension-level SRS for Victorians who need supported accommodation</w:t>
            </w:r>
            <w:r w:rsidR="00A817FF">
              <w:rPr>
                <w:rFonts w:eastAsia="Times"/>
                <w:sz w:val="20"/>
              </w:rPr>
              <w:t>.</w:t>
            </w:r>
          </w:p>
          <w:p w14:paraId="22F800A4" w14:textId="7449731E" w:rsidR="00C534D7" w:rsidRDefault="00914219">
            <w:pPr>
              <w:pStyle w:val="Tabletext"/>
              <w:spacing w:line="259" w:lineRule="auto"/>
              <w:rPr>
                <w:rFonts w:eastAsia="Times"/>
                <w:sz w:val="20"/>
              </w:rPr>
            </w:pPr>
            <w:r>
              <w:rPr>
                <w:rFonts w:eastAsia="Times"/>
                <w:sz w:val="20"/>
              </w:rPr>
              <w:t>Support</w:t>
            </w:r>
            <w:r w:rsidR="008303DA">
              <w:rPr>
                <w:rFonts w:eastAsia="Times"/>
                <w:sz w:val="20"/>
              </w:rPr>
              <w:t xml:space="preserve"> </w:t>
            </w:r>
            <w:r w:rsidR="00FF5BA7">
              <w:rPr>
                <w:rFonts w:eastAsia="Times"/>
                <w:sz w:val="20"/>
              </w:rPr>
              <w:t xml:space="preserve">health and wellbeing and </w:t>
            </w:r>
            <w:r w:rsidR="008303DA">
              <w:rPr>
                <w:rFonts w:eastAsia="Times"/>
                <w:sz w:val="20"/>
              </w:rPr>
              <w:t xml:space="preserve">stable </w:t>
            </w:r>
            <w:r w:rsidR="00EA7FE5">
              <w:rPr>
                <w:rFonts w:eastAsia="Times"/>
                <w:sz w:val="20"/>
              </w:rPr>
              <w:t>tenancies</w:t>
            </w:r>
            <w:r w:rsidR="00F5551B">
              <w:rPr>
                <w:rFonts w:eastAsia="Times"/>
                <w:sz w:val="20"/>
              </w:rPr>
              <w:t>.</w:t>
            </w:r>
          </w:p>
          <w:p w14:paraId="08EBFCCC" w14:textId="77777777" w:rsidR="00F5551B" w:rsidRDefault="00F5551B" w:rsidP="00A779BE">
            <w:pPr>
              <w:pStyle w:val="Tabletext"/>
              <w:spacing w:line="259" w:lineRule="auto"/>
              <w:rPr>
                <w:rFonts w:eastAsia="Times"/>
                <w:sz w:val="20"/>
              </w:rPr>
            </w:pPr>
          </w:p>
          <w:p w14:paraId="224931DE" w14:textId="77777777" w:rsidR="00F5551B" w:rsidRDefault="00F5551B" w:rsidP="00A779BE">
            <w:pPr>
              <w:pStyle w:val="Tabletext"/>
              <w:spacing w:line="259" w:lineRule="auto"/>
              <w:rPr>
                <w:rFonts w:eastAsia="Times"/>
                <w:sz w:val="20"/>
              </w:rPr>
            </w:pPr>
          </w:p>
          <w:p w14:paraId="55A4304A" w14:textId="3B1F626F" w:rsidR="00A779BE" w:rsidRDefault="00914219" w:rsidP="00A779BE">
            <w:pPr>
              <w:pStyle w:val="Tabletext"/>
              <w:spacing w:line="259" w:lineRule="auto"/>
              <w:rPr>
                <w:rFonts w:eastAsia="Times"/>
                <w:sz w:val="20"/>
              </w:rPr>
            </w:pPr>
            <w:r>
              <w:rPr>
                <w:rFonts w:eastAsia="Times"/>
                <w:sz w:val="20"/>
              </w:rPr>
              <w:t>Support</w:t>
            </w:r>
            <w:r w:rsidR="00A779BE">
              <w:rPr>
                <w:rFonts w:eastAsia="Times"/>
                <w:sz w:val="20"/>
              </w:rPr>
              <w:t xml:space="preserve"> health and wellbeing and stable tenancies</w:t>
            </w:r>
            <w:r w:rsidR="00F5551B">
              <w:rPr>
                <w:rFonts w:eastAsia="Times"/>
                <w:sz w:val="20"/>
              </w:rPr>
              <w:t>.</w:t>
            </w:r>
          </w:p>
          <w:p w14:paraId="407790F0" w14:textId="77777777" w:rsidR="00C534D7" w:rsidRDefault="00C534D7">
            <w:pPr>
              <w:pStyle w:val="Tabletext"/>
              <w:spacing w:line="259" w:lineRule="auto"/>
              <w:rPr>
                <w:rFonts w:eastAsia="Times"/>
                <w:sz w:val="20"/>
              </w:rPr>
            </w:pPr>
          </w:p>
          <w:p w14:paraId="5421ACCD" w14:textId="77777777" w:rsidR="00F5551B" w:rsidRDefault="00F5551B">
            <w:pPr>
              <w:pStyle w:val="Tabletext"/>
              <w:spacing w:line="259" w:lineRule="auto"/>
              <w:rPr>
                <w:rFonts w:eastAsia="Times"/>
                <w:sz w:val="20"/>
                <w:shd w:val="clear" w:color="auto" w:fill="FFFFFF" w:themeFill="background1"/>
              </w:rPr>
            </w:pPr>
          </w:p>
          <w:p w14:paraId="30FC199D" w14:textId="77777777" w:rsidR="00F5551B" w:rsidRDefault="00F5551B">
            <w:pPr>
              <w:pStyle w:val="Tabletext"/>
              <w:spacing w:line="259" w:lineRule="auto"/>
              <w:rPr>
                <w:rFonts w:eastAsia="Times"/>
                <w:sz w:val="20"/>
                <w:shd w:val="clear" w:color="auto" w:fill="FFFFFF" w:themeFill="background1"/>
              </w:rPr>
            </w:pPr>
          </w:p>
          <w:p w14:paraId="79CA2EB3" w14:textId="2AEF14C2" w:rsidR="00A817FF" w:rsidRDefault="00F641FA">
            <w:pPr>
              <w:pStyle w:val="Tabletext"/>
              <w:spacing w:line="259" w:lineRule="auto"/>
              <w:rPr>
                <w:rFonts w:eastAsia="Times"/>
                <w:sz w:val="20"/>
              </w:rPr>
            </w:pPr>
            <w:r w:rsidRPr="00B05658">
              <w:rPr>
                <w:rFonts w:eastAsia="Times"/>
                <w:sz w:val="20"/>
                <w:shd w:val="clear" w:color="auto" w:fill="FFFFFF" w:themeFill="background1"/>
              </w:rPr>
              <w:t xml:space="preserve">Improved </w:t>
            </w:r>
            <w:r w:rsidR="00835E1D" w:rsidRPr="00B05658">
              <w:rPr>
                <w:rFonts w:eastAsia="Times"/>
                <w:sz w:val="20"/>
                <w:shd w:val="clear" w:color="auto" w:fill="FFFFFF" w:themeFill="background1"/>
              </w:rPr>
              <w:t>Amenity</w:t>
            </w:r>
            <w:r w:rsidR="00EE65BF" w:rsidRPr="00B05658">
              <w:rPr>
                <w:rFonts w:eastAsia="Times"/>
                <w:sz w:val="20"/>
                <w:shd w:val="clear" w:color="auto" w:fill="FFFFFF" w:themeFill="background1"/>
              </w:rPr>
              <w:t xml:space="preserve"> for</w:t>
            </w:r>
            <w:r w:rsidR="00EE65BF" w:rsidRPr="00EE65BF">
              <w:rPr>
                <w:rFonts w:eastAsia="Times"/>
                <w:sz w:val="20"/>
              </w:rPr>
              <w:t xml:space="preserve"> residents</w:t>
            </w:r>
            <w:r w:rsidR="00F5551B">
              <w:rPr>
                <w:rFonts w:eastAsia="Times"/>
                <w:sz w:val="20"/>
              </w:rPr>
              <w:t xml:space="preserve"> </w:t>
            </w:r>
          </w:p>
          <w:p w14:paraId="33B8878C" w14:textId="77777777" w:rsidR="00835E1D" w:rsidRDefault="00835E1D">
            <w:pPr>
              <w:pStyle w:val="Tabletext"/>
              <w:spacing w:line="259" w:lineRule="auto"/>
              <w:rPr>
                <w:rFonts w:eastAsia="Times"/>
                <w:sz w:val="20"/>
              </w:rPr>
            </w:pPr>
          </w:p>
          <w:p w14:paraId="5C6E7320" w14:textId="593677AA" w:rsidR="006A70E3" w:rsidRPr="006A1BBC" w:rsidRDefault="006A70E3" w:rsidP="00D174D3">
            <w:pPr>
              <w:pStyle w:val="Tabletext"/>
              <w:spacing w:line="259" w:lineRule="auto"/>
              <w:rPr>
                <w:sz w:val="20"/>
              </w:rPr>
            </w:pPr>
            <w:r>
              <w:rPr>
                <w:sz w:val="20"/>
              </w:rPr>
              <w:t>R</w:t>
            </w:r>
            <w:r w:rsidR="009B054C">
              <w:rPr>
                <w:sz w:val="20"/>
              </w:rPr>
              <w:t xml:space="preserve">educes </w:t>
            </w:r>
            <w:r w:rsidR="001F78E5">
              <w:rPr>
                <w:sz w:val="20"/>
              </w:rPr>
              <w:t>health issues related to</w:t>
            </w:r>
            <w:r w:rsidR="005D117C">
              <w:rPr>
                <w:sz w:val="20"/>
              </w:rPr>
              <w:t xml:space="preserve"> </w:t>
            </w:r>
            <w:r w:rsidR="005362FE">
              <w:rPr>
                <w:sz w:val="20"/>
              </w:rPr>
              <w:t>limited</w:t>
            </w:r>
            <w:r w:rsidR="005D117C">
              <w:rPr>
                <w:sz w:val="20"/>
              </w:rPr>
              <w:t xml:space="preserve"> access to fresh food. </w:t>
            </w:r>
          </w:p>
        </w:tc>
      </w:tr>
    </w:tbl>
    <w:p w14:paraId="1C0A49D0" w14:textId="77777777" w:rsidR="00A817FF" w:rsidRPr="00B005C2" w:rsidRDefault="00A817FF" w:rsidP="00B005C2">
      <w:pPr>
        <w:spacing w:line="270" w:lineRule="atLeast"/>
        <w:rPr>
          <w:rFonts w:eastAsia="Times"/>
          <w:i/>
          <w:color w:val="1F497D" w:themeColor="text2"/>
          <w:sz w:val="20"/>
        </w:rPr>
      </w:pPr>
    </w:p>
    <w:p w14:paraId="16AD8821" w14:textId="67779C14" w:rsidR="00B005C2" w:rsidRPr="00B005C2" w:rsidRDefault="00B005C2" w:rsidP="00B005C2">
      <w:pPr>
        <w:spacing w:line="270" w:lineRule="atLeast"/>
        <w:rPr>
          <w:rFonts w:eastAsia="Times"/>
          <w:i/>
          <w:color w:val="1F497D" w:themeColor="text2"/>
          <w:sz w:val="20"/>
        </w:rPr>
      </w:pPr>
    </w:p>
    <w:p w14:paraId="1A4C060C" w14:textId="469AD07F" w:rsidR="00B005C2" w:rsidRPr="00D174D3" w:rsidRDefault="00B005C2" w:rsidP="000321D9">
      <w:pPr>
        <w:pStyle w:val="Heading1"/>
        <w:numPr>
          <w:ilvl w:val="0"/>
          <w:numId w:val="17"/>
        </w:numPr>
      </w:pPr>
      <w:bookmarkStart w:id="23" w:name="_Toc48206344"/>
      <w:bookmarkStart w:id="24" w:name="_Toc168052692"/>
      <w:r w:rsidRPr="00D174D3">
        <w:t>Operational management requirements</w:t>
      </w:r>
      <w:bookmarkEnd w:id="23"/>
      <w:bookmarkEnd w:id="24"/>
    </w:p>
    <w:p w14:paraId="607154E8" w14:textId="3094BD17" w:rsidR="002A0C7E" w:rsidRPr="00C861A9" w:rsidRDefault="00C861A9" w:rsidP="00D403EC">
      <w:pPr>
        <w:pStyle w:val="Heading2"/>
      </w:pPr>
      <w:bookmarkStart w:id="25" w:name="_Toc137548204"/>
      <w:bookmarkStart w:id="26" w:name="_Toc168052693"/>
      <w:r w:rsidRPr="00C861A9">
        <w:t>4.1</w:t>
      </w:r>
      <w:r w:rsidRPr="00C861A9">
        <w:tab/>
      </w:r>
      <w:r w:rsidR="695B4732" w:rsidRPr="00C861A9">
        <w:t xml:space="preserve"> </w:t>
      </w:r>
      <w:r w:rsidR="002A0C7E" w:rsidRPr="00C861A9">
        <w:t>Record keeping</w:t>
      </w:r>
      <w:bookmarkEnd w:id="25"/>
      <w:bookmarkEnd w:id="26"/>
    </w:p>
    <w:p w14:paraId="76D338AC" w14:textId="77777777" w:rsidR="002A0C7E" w:rsidRPr="00C73462" w:rsidRDefault="002A0C7E" w:rsidP="00C73462">
      <w:pPr>
        <w:pStyle w:val="DHHSbody"/>
      </w:pPr>
      <w:r w:rsidRPr="00C73462">
        <w:t>Information required for service delivery and evaluation will be collected and stored in accordance with the Privacy and Data Protection Act 2014 (VIC), Public Records Act 1973 (VIC), Health Records Act 2001 (VIC) and other applicable legislation.</w:t>
      </w:r>
    </w:p>
    <w:p w14:paraId="20320A02" w14:textId="77777777" w:rsidR="002A0C7E" w:rsidRPr="00C73462" w:rsidRDefault="002A0C7E" w:rsidP="00C73462">
      <w:pPr>
        <w:pStyle w:val="DHHSbody"/>
      </w:pPr>
      <w:r w:rsidRPr="00C73462">
        <w:t>Service providers will:</w:t>
      </w:r>
    </w:p>
    <w:p w14:paraId="3AB6BB61" w14:textId="77777777" w:rsidR="002A0C7E" w:rsidRPr="00C73462" w:rsidRDefault="002A0C7E" w:rsidP="00C73462">
      <w:pPr>
        <w:pStyle w:val="Bullet1"/>
      </w:pPr>
      <w:r w:rsidRPr="00C73462">
        <w:t>use information systems to ensure electronic documents and records are secure, safe, and accessible only by appropriate management and staff.</w:t>
      </w:r>
    </w:p>
    <w:p w14:paraId="0F3F4B1D" w14:textId="77777777" w:rsidR="002A0C7E" w:rsidRPr="00C73462" w:rsidRDefault="002A0C7E" w:rsidP="00C73462">
      <w:pPr>
        <w:pStyle w:val="Bullet1"/>
      </w:pPr>
      <w:r w:rsidRPr="00C73462">
        <w:t>store physical client records safely and securely, in a manner that can only be accessed by appropriate management and staff.</w:t>
      </w:r>
    </w:p>
    <w:p w14:paraId="0A3146F8" w14:textId="77777777" w:rsidR="002A0C7E" w:rsidRPr="00C73462" w:rsidRDefault="002A0C7E" w:rsidP="00C73462">
      <w:pPr>
        <w:pStyle w:val="Bullet1"/>
      </w:pPr>
      <w:r w:rsidRPr="00C73462">
        <w:t>collect data and client information in line with the reporting and accountability requirements in the service agreement and other departmental guidelines.</w:t>
      </w:r>
    </w:p>
    <w:p w14:paraId="1F7C4ABF" w14:textId="77777777" w:rsidR="002A0C7E" w:rsidRPr="00C73462" w:rsidRDefault="002A0C7E" w:rsidP="00C73462">
      <w:pPr>
        <w:pStyle w:val="Bullet1"/>
      </w:pPr>
      <w:r w:rsidRPr="00C73462">
        <w:t>store client records and information safely and securely at the closure of the case for a period of seven (7) years to enable retrieval in accordance with legislative requirements and departmental policy.</w:t>
      </w:r>
    </w:p>
    <w:p w14:paraId="7E4C5321" w14:textId="77777777" w:rsidR="002A0C7E" w:rsidRPr="00C73462" w:rsidRDefault="002A0C7E" w:rsidP="00C73462">
      <w:pPr>
        <w:pStyle w:val="DHHSbody"/>
      </w:pPr>
      <w:r w:rsidRPr="00C73462">
        <w:t>Current and former clients will be able to access and update information regarding services provided to them in line with the freedom of information provisions and relevant legislation.</w:t>
      </w:r>
    </w:p>
    <w:p w14:paraId="511E1FB5" w14:textId="5F422448" w:rsidR="002A0C7E" w:rsidRDefault="00C861A9" w:rsidP="00D403EC">
      <w:pPr>
        <w:pStyle w:val="Heading2"/>
      </w:pPr>
      <w:bookmarkStart w:id="27" w:name="_Toc137548205"/>
      <w:bookmarkStart w:id="28" w:name="_Toc168052694"/>
      <w:r>
        <w:t>4.2</w:t>
      </w:r>
      <w:r>
        <w:tab/>
      </w:r>
      <w:r w:rsidR="002A0C7E" w:rsidRPr="07D909E4">
        <w:t>Complaint and allegation management</w:t>
      </w:r>
      <w:bookmarkEnd w:id="27"/>
      <w:bookmarkEnd w:id="28"/>
    </w:p>
    <w:p w14:paraId="0BB35360" w14:textId="77777777" w:rsidR="002A0C7E" w:rsidRPr="008E040F" w:rsidRDefault="002A0C7E" w:rsidP="002A0C7E">
      <w:pPr>
        <w:pStyle w:val="DHHSbody"/>
      </w:pPr>
      <w:r>
        <w:t>Service provider</w:t>
      </w:r>
      <w:r w:rsidRPr="00BB300F">
        <w:t>s will</w:t>
      </w:r>
      <w:r w:rsidRPr="008E040F">
        <w:t xml:space="preserve">: </w:t>
      </w:r>
    </w:p>
    <w:p w14:paraId="79923D93" w14:textId="77777777" w:rsidR="002A0C7E" w:rsidRPr="00C73462" w:rsidRDefault="002A0C7E" w:rsidP="00C73462">
      <w:pPr>
        <w:pStyle w:val="Bullet1"/>
      </w:pPr>
      <w:r w:rsidRPr="00C73462">
        <w:t>have documented procedures in place for managing complaints and allegations by clients, including reporting through CIMS if required.</w:t>
      </w:r>
    </w:p>
    <w:p w14:paraId="7A5116FA" w14:textId="77777777" w:rsidR="002A0C7E" w:rsidRPr="00C73462" w:rsidRDefault="002A0C7E" w:rsidP="00C73462">
      <w:pPr>
        <w:pStyle w:val="Bullet1"/>
      </w:pPr>
      <w:r w:rsidRPr="00C73462">
        <w:t>have processes and disciplinary procedures to respond to allegations of misconduct in ways that ensure clients are protected from future harm.</w:t>
      </w:r>
    </w:p>
    <w:p w14:paraId="13EB684A" w14:textId="77777777" w:rsidR="002A0C7E" w:rsidRPr="00C73462" w:rsidRDefault="002A0C7E" w:rsidP="00C73462">
      <w:pPr>
        <w:pStyle w:val="Bullet1"/>
      </w:pPr>
      <w:r w:rsidRPr="00C73462">
        <w:t>maintain a written record of all complaints and allegations made, actions taken and outcomes.</w:t>
      </w:r>
    </w:p>
    <w:p w14:paraId="490C8EE9" w14:textId="370FEB23" w:rsidR="002A0C7E" w:rsidRDefault="00C861A9" w:rsidP="00D403EC">
      <w:pPr>
        <w:pStyle w:val="Heading2"/>
      </w:pPr>
      <w:bookmarkStart w:id="29" w:name="_Toc137548206"/>
      <w:bookmarkStart w:id="30" w:name="_Toc168052695"/>
      <w:r>
        <w:t>4.3</w:t>
      </w:r>
      <w:r>
        <w:tab/>
      </w:r>
      <w:r w:rsidR="002A0C7E">
        <w:t>In</w:t>
      </w:r>
      <w:r w:rsidR="002A0C7E" w:rsidRPr="07D909E4">
        <w:t>dividual feedback</w:t>
      </w:r>
      <w:bookmarkEnd w:id="29"/>
      <w:bookmarkEnd w:id="30"/>
    </w:p>
    <w:p w14:paraId="01D36B0C" w14:textId="77777777" w:rsidR="002A0C7E" w:rsidRPr="00C73462" w:rsidRDefault="002A0C7E" w:rsidP="00C73462">
      <w:pPr>
        <w:pStyle w:val="DHHSbody"/>
      </w:pPr>
      <w:r w:rsidRPr="00C73462">
        <w:t xml:space="preserve">Service providers will: </w:t>
      </w:r>
    </w:p>
    <w:p w14:paraId="26BE5C24" w14:textId="4196A8BA" w:rsidR="002A0C7E" w:rsidRPr="00C73462" w:rsidRDefault="002A0C7E" w:rsidP="00C73462">
      <w:pPr>
        <w:pStyle w:val="Bullet1"/>
      </w:pPr>
      <w:r w:rsidRPr="00C73462">
        <w:t xml:space="preserve">have a feedback system in place to allow for staff, clients, </w:t>
      </w:r>
      <w:r w:rsidR="00C734A9" w:rsidRPr="00C73462">
        <w:t>and SRS</w:t>
      </w:r>
      <w:r w:rsidR="00D06F51" w:rsidRPr="00C73462">
        <w:t xml:space="preserve"> providers</w:t>
      </w:r>
      <w:r w:rsidR="00C734A9" w:rsidRPr="00C73462">
        <w:t xml:space="preserve"> to </w:t>
      </w:r>
      <w:r w:rsidRPr="00C73462">
        <w:t>provide views on the program and service delivery.</w:t>
      </w:r>
    </w:p>
    <w:p w14:paraId="6FE18E12" w14:textId="77777777" w:rsidR="002A0C7E" w:rsidRPr="00C73462" w:rsidRDefault="002A0C7E" w:rsidP="00C73462">
      <w:pPr>
        <w:pStyle w:val="Bullet1"/>
      </w:pPr>
      <w:r w:rsidRPr="00C73462">
        <w:t>define the standard of service that clients can expect to receive and make the information about that standard accessible to them.</w:t>
      </w:r>
    </w:p>
    <w:p w14:paraId="3B1433D6" w14:textId="77777777" w:rsidR="002A0C7E" w:rsidRPr="00A55151" w:rsidRDefault="002A0C7E" w:rsidP="00C73462">
      <w:pPr>
        <w:pStyle w:val="Bullet1"/>
      </w:pPr>
      <w:r w:rsidRPr="00C73462">
        <w:t>maintain appropriate records of client feedback and use this information to inform service planning</w:t>
      </w:r>
      <w:r w:rsidRPr="00A55151">
        <w:t>.</w:t>
      </w:r>
    </w:p>
    <w:p w14:paraId="111576C8" w14:textId="38560FD3" w:rsidR="002A0C7E" w:rsidRDefault="00C861A9" w:rsidP="00D403EC">
      <w:pPr>
        <w:pStyle w:val="Heading2"/>
      </w:pPr>
      <w:bookmarkStart w:id="31" w:name="_Toc328050861"/>
      <w:bookmarkStart w:id="32" w:name="_Toc328056198"/>
      <w:bookmarkStart w:id="33" w:name="_Toc83731019"/>
      <w:bookmarkStart w:id="34" w:name="_Toc137548207"/>
      <w:bookmarkStart w:id="35" w:name="_Toc168052696"/>
      <w:r>
        <w:t>4.4</w:t>
      </w:r>
      <w:r>
        <w:tab/>
      </w:r>
      <w:r w:rsidR="002A0C7E" w:rsidRPr="07D909E4">
        <w:t>Staffing competency, recruitment, and pre-employment checks</w:t>
      </w:r>
      <w:bookmarkEnd w:id="31"/>
      <w:bookmarkEnd w:id="32"/>
      <w:bookmarkEnd w:id="33"/>
      <w:bookmarkEnd w:id="34"/>
      <w:bookmarkEnd w:id="35"/>
    </w:p>
    <w:p w14:paraId="319F3964" w14:textId="58352EAE" w:rsidR="009A72A0" w:rsidRPr="000321D9" w:rsidRDefault="009A72A0" w:rsidP="00C73462">
      <w:pPr>
        <w:pStyle w:val="DHHSbody"/>
        <w:rPr>
          <w:b/>
          <w:bCs/>
        </w:rPr>
      </w:pPr>
      <w:r w:rsidRPr="000321D9">
        <w:rPr>
          <w:b/>
          <w:bCs/>
        </w:rPr>
        <w:t>Staffing competency/skill set</w:t>
      </w:r>
      <w:r w:rsidR="007252B3" w:rsidRPr="000321D9">
        <w:rPr>
          <w:b/>
          <w:bCs/>
        </w:rPr>
        <w:t>:</w:t>
      </w:r>
    </w:p>
    <w:p w14:paraId="34EE7355" w14:textId="4E5D80DD" w:rsidR="00B05FB9" w:rsidRDefault="00373CED" w:rsidP="00B05FB9">
      <w:pPr>
        <w:pStyle w:val="DHHSbody"/>
      </w:pPr>
      <w:r>
        <w:lastRenderedPageBreak/>
        <w:t xml:space="preserve">Delivery of </w:t>
      </w:r>
      <w:r w:rsidR="00B05FB9">
        <w:t>SRS OAP</w:t>
      </w:r>
      <w:r>
        <w:t xml:space="preserve"> </w:t>
      </w:r>
      <w:r w:rsidR="00BE5EF3" w:rsidRPr="00B05658">
        <w:t xml:space="preserve">involves a complex set of activities operating at both individual and systems levels and with a </w:t>
      </w:r>
      <w:r w:rsidR="00E73892">
        <w:t xml:space="preserve">mostly </w:t>
      </w:r>
      <w:r w:rsidR="00BE5EF3" w:rsidRPr="00B05658">
        <w:t xml:space="preserve">for-profit sector which </w:t>
      </w:r>
      <w:r w:rsidR="00AB4134">
        <w:t>has different drivers and pressures tha</w:t>
      </w:r>
      <w:r w:rsidR="00D4732C">
        <w:t>n</w:t>
      </w:r>
      <w:r w:rsidR="00BE5EF3" w:rsidRPr="00B05658">
        <w:t xml:space="preserve"> the </w:t>
      </w:r>
      <w:r w:rsidR="00E73892">
        <w:t>h</w:t>
      </w:r>
      <w:r w:rsidR="000F6EF7">
        <w:t xml:space="preserve">ealth and </w:t>
      </w:r>
      <w:r w:rsidR="00E73892">
        <w:t>community services sector</w:t>
      </w:r>
      <w:r w:rsidR="00BE5EF3" w:rsidRPr="00B05658">
        <w:t xml:space="preserve">.  Workers will need highly developed skills, </w:t>
      </w:r>
      <w:proofErr w:type="gramStart"/>
      <w:r w:rsidR="00BE5EF3" w:rsidRPr="00B05658">
        <w:t>experience</w:t>
      </w:r>
      <w:proofErr w:type="gramEnd"/>
      <w:r w:rsidR="00BE5EF3" w:rsidRPr="00B05658">
        <w:t xml:space="preserve"> and knowledge in the following areas:</w:t>
      </w:r>
    </w:p>
    <w:p w14:paraId="16849FDC" w14:textId="093E27DD" w:rsidR="00BE5EF3" w:rsidRPr="000321D9" w:rsidRDefault="00BE5EF3" w:rsidP="000321D9">
      <w:pPr>
        <w:pStyle w:val="Bullet1"/>
      </w:pPr>
      <w:r w:rsidRPr="000321D9">
        <w:t>working with clients with complex needs and behaviours and/or mental health experience</w:t>
      </w:r>
    </w:p>
    <w:p w14:paraId="78F573F0" w14:textId="30612742" w:rsidR="00BE5EF3" w:rsidRPr="000321D9" w:rsidRDefault="00BE5EF3" w:rsidP="000321D9">
      <w:pPr>
        <w:pStyle w:val="Bullet1"/>
      </w:pPr>
      <w:r w:rsidRPr="000321D9">
        <w:t>assessment/needs identification (individual and service system)</w:t>
      </w:r>
    </w:p>
    <w:p w14:paraId="7B6DC727" w14:textId="0D40DB4C" w:rsidR="00BE5EF3" w:rsidRPr="000321D9" w:rsidRDefault="00BE5EF3" w:rsidP="000321D9">
      <w:pPr>
        <w:pStyle w:val="Bullet1"/>
      </w:pPr>
      <w:r w:rsidRPr="000321D9">
        <w:t xml:space="preserve">communication and negotiation at multiple levels, with the proprietor, staff, local </w:t>
      </w:r>
      <w:proofErr w:type="gramStart"/>
      <w:r w:rsidRPr="000321D9">
        <w:t>services</w:t>
      </w:r>
      <w:proofErr w:type="gramEnd"/>
      <w:r w:rsidRPr="000321D9">
        <w:t xml:space="preserve"> and the department</w:t>
      </w:r>
    </w:p>
    <w:p w14:paraId="3D7E24DF" w14:textId="56C81C56" w:rsidR="00BE5EF3" w:rsidRPr="000321D9" w:rsidRDefault="00BE5EF3" w:rsidP="000321D9">
      <w:pPr>
        <w:pStyle w:val="Bullet1"/>
      </w:pPr>
      <w:r w:rsidRPr="000321D9">
        <w:t>Sound knowledge of relevant service systems</w:t>
      </w:r>
    </w:p>
    <w:p w14:paraId="2B5942AC" w14:textId="4B3EACC6" w:rsidR="00BE5EF3" w:rsidRPr="000321D9" w:rsidRDefault="00BE5EF3" w:rsidP="000321D9">
      <w:pPr>
        <w:pStyle w:val="Bullet1"/>
      </w:pPr>
      <w:r w:rsidRPr="000321D9">
        <w:t>Ideally workers will also have some knowledge/experience of small business and be comfortable working with</w:t>
      </w:r>
      <w:r w:rsidR="00C0465A" w:rsidRPr="000321D9">
        <w:t xml:space="preserve"> private businesses</w:t>
      </w:r>
      <w:r w:rsidR="006871DD">
        <w:t>, and</w:t>
      </w:r>
    </w:p>
    <w:p w14:paraId="386DB8AF" w14:textId="7A0A8255" w:rsidR="005946F8" w:rsidRPr="000321D9" w:rsidRDefault="00BE5EF3" w:rsidP="000321D9">
      <w:pPr>
        <w:pStyle w:val="Bullet1"/>
      </w:pPr>
      <w:r w:rsidRPr="000321D9">
        <w:t xml:space="preserve"> A relevant tertiary qualification (for example social work, community </w:t>
      </w:r>
      <w:r w:rsidR="00E44410" w:rsidRPr="000321D9">
        <w:t xml:space="preserve">development, </w:t>
      </w:r>
      <w:proofErr w:type="gramStart"/>
      <w:r w:rsidRPr="000321D9">
        <w:t>nursing</w:t>
      </w:r>
      <w:proofErr w:type="gramEnd"/>
      <w:r w:rsidR="00714F6B" w:rsidRPr="000321D9">
        <w:t xml:space="preserve"> or allied health</w:t>
      </w:r>
      <w:r w:rsidRPr="000321D9">
        <w:t>) is expected.</w:t>
      </w:r>
    </w:p>
    <w:p w14:paraId="7F7A888E" w14:textId="20E2CDFA" w:rsidR="002A0C7E" w:rsidRDefault="002A0C7E" w:rsidP="000321D9">
      <w:pPr>
        <w:pStyle w:val="DHHSbody"/>
      </w:pPr>
      <w:r>
        <w:t>Service provider</w:t>
      </w:r>
      <w:r w:rsidRPr="009F49CD">
        <w:t>s will</w:t>
      </w:r>
      <w:r>
        <w:t>:</w:t>
      </w:r>
    </w:p>
    <w:p w14:paraId="1AD5AEBE" w14:textId="658E14EF" w:rsidR="002A0C7E" w:rsidRPr="001B289C" w:rsidRDefault="002A0C7E" w:rsidP="000321D9">
      <w:pPr>
        <w:pStyle w:val="Bullet1"/>
      </w:pPr>
      <w:r w:rsidRPr="001B289C">
        <w:t xml:space="preserve">have policies, processes and/or practices in place to ensure staff have the required skills, qualifications, knowledge, values, competencies and cultural competence for their positions and responsibilities to meet the needs of </w:t>
      </w:r>
      <w:proofErr w:type="gramStart"/>
      <w:r w:rsidRPr="001B289C">
        <w:t>clients</w:t>
      </w:r>
      <w:proofErr w:type="gramEnd"/>
    </w:p>
    <w:p w14:paraId="129D6BF1" w14:textId="3EDAE590" w:rsidR="002A0C7E" w:rsidRDefault="002A0C7E" w:rsidP="000321D9">
      <w:pPr>
        <w:pStyle w:val="Bullet1"/>
      </w:pPr>
      <w:r w:rsidRPr="001B289C">
        <w:t>undertake an analysis of staffing levels to ensure the individual needs of clients are met and the service provider acts to recruit staff where vacancies occur</w:t>
      </w:r>
      <w:r w:rsidR="00DD20A1">
        <w:t>, and</w:t>
      </w:r>
    </w:p>
    <w:p w14:paraId="00037D60" w14:textId="77777777" w:rsidR="003339C5" w:rsidRPr="00F52CC4" w:rsidRDefault="003339C5" w:rsidP="000321D9">
      <w:pPr>
        <w:pStyle w:val="Bullet1"/>
      </w:pPr>
      <w:r w:rsidRPr="00F52CC4">
        <w:t>opportunities for reflective practice to allow staff the opportunity to reflect on their practice and hone their skills in relation to service delivery.</w:t>
      </w:r>
    </w:p>
    <w:p w14:paraId="5F33D2B0" w14:textId="165DE4BB" w:rsidR="002A0C7E" w:rsidRPr="00F52CC4" w:rsidRDefault="00D403EC" w:rsidP="00D403EC">
      <w:pPr>
        <w:pStyle w:val="Heading2"/>
      </w:pPr>
      <w:bookmarkStart w:id="36" w:name="_Toc137548208"/>
      <w:bookmarkStart w:id="37" w:name="_Toc168052697"/>
      <w:r>
        <w:t>4.5</w:t>
      </w:r>
      <w:r>
        <w:tab/>
      </w:r>
      <w:r w:rsidR="002A0C7E" w:rsidRPr="00F52CC4">
        <w:t>Staff training, development, and supervision</w:t>
      </w:r>
      <w:bookmarkEnd w:id="36"/>
      <w:bookmarkEnd w:id="37"/>
      <w:r w:rsidR="002A0C7E" w:rsidRPr="00F52CC4">
        <w:t xml:space="preserve"> </w:t>
      </w:r>
    </w:p>
    <w:p w14:paraId="6226954F" w14:textId="77777777" w:rsidR="002A0C7E" w:rsidRPr="000321D9" w:rsidRDefault="002A0C7E" w:rsidP="000321D9">
      <w:pPr>
        <w:pStyle w:val="DHHSbody"/>
      </w:pPr>
      <w:r w:rsidRPr="000321D9">
        <w:t>Service providers will:</w:t>
      </w:r>
    </w:p>
    <w:p w14:paraId="7D3ADCB3" w14:textId="6EA5A4C5" w:rsidR="002A0C7E" w:rsidRPr="000321D9" w:rsidRDefault="002A0C7E" w:rsidP="000321D9">
      <w:pPr>
        <w:pStyle w:val="Bullet1"/>
      </w:pPr>
      <w:r w:rsidRPr="000321D9">
        <w:t xml:space="preserve">have policies and procedures to provide accessible pre-service, induction and ongoing training for management and service delivery staff to enable them to effectively perform their roles and meet client </w:t>
      </w:r>
      <w:proofErr w:type="gramStart"/>
      <w:r w:rsidRPr="000321D9">
        <w:t>needs</w:t>
      </w:r>
      <w:proofErr w:type="gramEnd"/>
    </w:p>
    <w:p w14:paraId="5631B989" w14:textId="63AF0323" w:rsidR="002A0C7E" w:rsidRPr="000321D9" w:rsidRDefault="002A0C7E" w:rsidP="000321D9">
      <w:pPr>
        <w:pStyle w:val="Bullet1"/>
      </w:pPr>
      <w:r w:rsidRPr="000321D9">
        <w:t xml:space="preserve">have policies and practices that promote professional development to enable staff members to gain any competencies they need to meet their job </w:t>
      </w:r>
      <w:proofErr w:type="gramStart"/>
      <w:r w:rsidRPr="000321D9">
        <w:t>requirements</w:t>
      </w:r>
      <w:proofErr w:type="gramEnd"/>
    </w:p>
    <w:p w14:paraId="4CA79602" w14:textId="6E57D6F1" w:rsidR="002A0C7E" w:rsidRPr="000321D9" w:rsidRDefault="002A0C7E" w:rsidP="000321D9">
      <w:pPr>
        <w:pStyle w:val="Bullet1"/>
      </w:pPr>
      <w:r w:rsidRPr="000321D9">
        <w:t>have staff supervision policies in place (such as level of supervision and arrangements for after-hours support) that are reviewed regularly and specify that each staff member has an appropriately skilled manager</w:t>
      </w:r>
      <w:r w:rsidR="00DD20A1">
        <w:t>, and</w:t>
      </w:r>
    </w:p>
    <w:p w14:paraId="5432B161" w14:textId="77777777" w:rsidR="002A0C7E" w:rsidRPr="000321D9" w:rsidRDefault="002A0C7E" w:rsidP="000321D9">
      <w:pPr>
        <w:pStyle w:val="Bullet1"/>
      </w:pPr>
      <w:r w:rsidRPr="000321D9">
        <w:t>regularly review staff performance and identify staff learning needs.</w:t>
      </w:r>
    </w:p>
    <w:p w14:paraId="37CBAA3C" w14:textId="2EA6AB36" w:rsidR="002A0C7E" w:rsidRPr="004370F7" w:rsidRDefault="00D403EC" w:rsidP="00D403EC">
      <w:pPr>
        <w:pStyle w:val="Heading2"/>
      </w:pPr>
      <w:bookmarkStart w:id="38" w:name="_Toc328050864"/>
      <w:bookmarkStart w:id="39" w:name="_Toc328056201"/>
      <w:bookmarkStart w:id="40" w:name="_Toc83731022"/>
      <w:bookmarkStart w:id="41" w:name="_Toc137548209"/>
      <w:bookmarkStart w:id="42" w:name="_Toc168052698"/>
      <w:r>
        <w:t>4.6</w:t>
      </w:r>
      <w:r>
        <w:tab/>
      </w:r>
      <w:r w:rsidR="002A0C7E" w:rsidRPr="004370F7">
        <w:t>Prioritisation, allocation, and demand management</w:t>
      </w:r>
      <w:bookmarkEnd w:id="38"/>
      <w:bookmarkEnd w:id="39"/>
      <w:bookmarkEnd w:id="40"/>
      <w:bookmarkEnd w:id="41"/>
      <w:bookmarkEnd w:id="42"/>
    </w:p>
    <w:p w14:paraId="1B4E8B07" w14:textId="31137B07" w:rsidR="00C861A9" w:rsidRDefault="002A0C7E" w:rsidP="000321D9">
      <w:pPr>
        <w:pStyle w:val="DHHSbody"/>
      </w:pPr>
      <w:r>
        <w:t>Service provider</w:t>
      </w:r>
      <w:r w:rsidRPr="00AC7A26">
        <w:t>s will have processes in place to monitor and improve the timeliness of responses to clients and actively respond to changes that may impact on demand for services and their capacity to respond.</w:t>
      </w:r>
      <w:r w:rsidR="00284D42">
        <w:t xml:space="preserve"> The SRS OAP </w:t>
      </w:r>
      <w:r w:rsidR="009F7E6A">
        <w:t>guidelines</w:t>
      </w:r>
      <w:r w:rsidR="00284D42">
        <w:t xml:space="preserve"> provide further information about </w:t>
      </w:r>
      <w:r w:rsidR="009F7E6A">
        <w:t xml:space="preserve">prioritisation of clients. </w:t>
      </w:r>
    </w:p>
    <w:p w14:paraId="536388A5" w14:textId="77777777" w:rsidR="00C861A9" w:rsidRDefault="00C861A9">
      <w:pPr>
        <w:spacing w:after="0" w:line="240" w:lineRule="auto"/>
        <w:rPr>
          <w:rFonts w:eastAsia="Times"/>
          <w:iCs/>
          <w:color w:val="000000" w:themeColor="text1"/>
          <w:sz w:val="20"/>
        </w:rPr>
      </w:pPr>
      <w:r>
        <w:rPr>
          <w:rFonts w:eastAsia="Times"/>
          <w:iCs/>
          <w:color w:val="000000" w:themeColor="text1"/>
          <w:sz w:val="20"/>
        </w:rPr>
        <w:br w:type="page"/>
      </w:r>
    </w:p>
    <w:p w14:paraId="27B049FF" w14:textId="77777777" w:rsidR="002A0C7E" w:rsidRPr="00AC7A26" w:rsidRDefault="002A0C7E" w:rsidP="002A0C7E">
      <w:pPr>
        <w:spacing w:line="270" w:lineRule="atLeast"/>
        <w:rPr>
          <w:rFonts w:eastAsia="Times"/>
          <w:iCs/>
          <w:color w:val="000000" w:themeColor="text1"/>
          <w:sz w:val="20"/>
        </w:rPr>
      </w:pPr>
    </w:p>
    <w:p w14:paraId="3408A410" w14:textId="4917499F" w:rsidR="00B005C2" w:rsidRPr="00247866" w:rsidRDefault="00B005C2" w:rsidP="000321D9">
      <w:pPr>
        <w:pStyle w:val="Heading1"/>
        <w:numPr>
          <w:ilvl w:val="0"/>
          <w:numId w:val="17"/>
        </w:numPr>
      </w:pPr>
      <w:bookmarkStart w:id="43" w:name="_Toc48206346"/>
      <w:bookmarkStart w:id="44" w:name="_Toc168052699"/>
      <w:r w:rsidRPr="00247866">
        <w:t xml:space="preserve">Practice </w:t>
      </w:r>
      <w:proofErr w:type="gramStart"/>
      <w:r w:rsidRPr="00247866">
        <w:t>requirements</w:t>
      </w:r>
      <w:bookmarkEnd w:id="43"/>
      <w:bookmarkEnd w:id="44"/>
      <w:proofErr w:type="gramEnd"/>
    </w:p>
    <w:p w14:paraId="0A393324" w14:textId="55EB5A8A" w:rsidR="00FD06A5" w:rsidRPr="00FD06A5" w:rsidRDefault="00FD06A5" w:rsidP="000321D9">
      <w:pPr>
        <w:pStyle w:val="DHHSbody"/>
      </w:pPr>
      <w:r w:rsidRPr="00FD06A5">
        <w:t xml:space="preserve">Please see the SRS OAP guidelines for </w:t>
      </w:r>
      <w:r>
        <w:t xml:space="preserve">detailed </w:t>
      </w:r>
      <w:r w:rsidRPr="00FD06A5">
        <w:t>information on practice requirements for the services</w:t>
      </w:r>
      <w:r>
        <w:t xml:space="preserve"> outlined in this section</w:t>
      </w:r>
      <w:r w:rsidR="000321D9">
        <w:t>.</w:t>
      </w:r>
    </w:p>
    <w:p w14:paraId="6643E3AD" w14:textId="77777777" w:rsidR="00A367EF" w:rsidRPr="00A367EF" w:rsidRDefault="00A367EF" w:rsidP="000321D9">
      <w:pPr>
        <w:pStyle w:val="ListParagraph"/>
        <w:keepNext/>
        <w:keepLines/>
        <w:numPr>
          <w:ilvl w:val="0"/>
          <w:numId w:val="18"/>
        </w:numPr>
        <w:spacing w:before="360" w:line="320" w:lineRule="atLeast"/>
        <w:contextualSpacing w:val="0"/>
        <w:outlineLvl w:val="2"/>
        <w:rPr>
          <w:rFonts w:eastAsia="MS Gothic"/>
          <w:bCs/>
          <w:vanish/>
          <w:color w:val="201547"/>
          <w:sz w:val="30"/>
          <w:szCs w:val="26"/>
        </w:rPr>
      </w:pPr>
      <w:bookmarkStart w:id="45" w:name="_Toc167895764"/>
      <w:bookmarkStart w:id="46" w:name="_Toc167895819"/>
      <w:bookmarkStart w:id="47" w:name="_Toc167895855"/>
      <w:bookmarkStart w:id="48" w:name="_Toc168052700"/>
      <w:bookmarkEnd w:id="45"/>
      <w:bookmarkEnd w:id="46"/>
      <w:bookmarkEnd w:id="47"/>
      <w:bookmarkEnd w:id="48"/>
    </w:p>
    <w:p w14:paraId="062579D2" w14:textId="77777777" w:rsidR="00A367EF" w:rsidRPr="00A367EF" w:rsidRDefault="00A367EF" w:rsidP="000321D9">
      <w:pPr>
        <w:pStyle w:val="ListParagraph"/>
        <w:keepNext/>
        <w:keepLines/>
        <w:numPr>
          <w:ilvl w:val="1"/>
          <w:numId w:val="18"/>
        </w:numPr>
        <w:spacing w:before="360" w:line="320" w:lineRule="atLeast"/>
        <w:contextualSpacing w:val="0"/>
        <w:outlineLvl w:val="2"/>
        <w:rPr>
          <w:rFonts w:eastAsia="MS Gothic"/>
          <w:bCs/>
          <w:vanish/>
          <w:color w:val="201547"/>
          <w:sz w:val="30"/>
          <w:szCs w:val="26"/>
        </w:rPr>
      </w:pPr>
      <w:bookmarkStart w:id="49" w:name="_Toc167895765"/>
      <w:bookmarkStart w:id="50" w:name="_Toc167895820"/>
      <w:bookmarkStart w:id="51" w:name="_Toc167895856"/>
      <w:bookmarkStart w:id="52" w:name="_Toc168052701"/>
      <w:bookmarkEnd w:id="49"/>
      <w:bookmarkEnd w:id="50"/>
      <w:bookmarkEnd w:id="51"/>
      <w:bookmarkEnd w:id="52"/>
    </w:p>
    <w:p w14:paraId="47AA2E3D" w14:textId="77416C90" w:rsidR="0095211D" w:rsidRDefault="00C83333" w:rsidP="00C83333">
      <w:pPr>
        <w:pStyle w:val="Heading2"/>
      </w:pPr>
      <w:bookmarkStart w:id="53" w:name="_Toc168052702"/>
      <w:r>
        <w:t>5.1</w:t>
      </w:r>
      <w:r>
        <w:tab/>
      </w:r>
      <w:r w:rsidR="0095211D">
        <w:t>Service P</w:t>
      </w:r>
      <w:r w:rsidR="0095211D" w:rsidRPr="00593009">
        <w:t>rincip</w:t>
      </w:r>
      <w:r w:rsidR="00593009" w:rsidRPr="00593009">
        <w:t>les</w:t>
      </w:r>
      <w:bookmarkEnd w:id="53"/>
    </w:p>
    <w:p w14:paraId="358A5AAC" w14:textId="41808216" w:rsidR="00724873" w:rsidRPr="00724873" w:rsidRDefault="00724873" w:rsidP="00CA0CC1">
      <w:pPr>
        <w:pStyle w:val="DHHSbody"/>
      </w:pPr>
      <w:r w:rsidRPr="00724873">
        <w:t xml:space="preserve">The following key service principles should guide the work of </w:t>
      </w:r>
      <w:r w:rsidRPr="00247866">
        <w:t>SRS OAP</w:t>
      </w:r>
      <w:r w:rsidRPr="00724873">
        <w:rPr>
          <w:b/>
          <w:bCs/>
        </w:rPr>
        <w:t>:</w:t>
      </w:r>
      <w:r w:rsidRPr="00724873">
        <w:t> </w:t>
      </w:r>
    </w:p>
    <w:p w14:paraId="17C53661" w14:textId="7812D6B2" w:rsidR="00724873" w:rsidRPr="00724873" w:rsidRDefault="00724873" w:rsidP="00CA0CC1">
      <w:pPr>
        <w:pStyle w:val="Bullet1"/>
      </w:pPr>
      <w:r w:rsidRPr="00724873">
        <w:t xml:space="preserve">Accountable – all parties are responsible for adhering to their accountability measures and supporting transparent, cooperative relationships between SRS and funded </w:t>
      </w:r>
      <w:proofErr w:type="gramStart"/>
      <w:r w:rsidRPr="00724873">
        <w:t>agencies</w:t>
      </w:r>
      <w:proofErr w:type="gramEnd"/>
    </w:p>
    <w:p w14:paraId="03C3DC11" w14:textId="364EE828" w:rsidR="00724873" w:rsidRPr="00724873" w:rsidRDefault="00724873" w:rsidP="00CA0CC1">
      <w:pPr>
        <w:pStyle w:val="Bullet1"/>
      </w:pPr>
      <w:r w:rsidRPr="00724873">
        <w:t xml:space="preserve">Client-centred – recognising that the client is both the resident and the </w:t>
      </w:r>
      <w:proofErr w:type="gramStart"/>
      <w:r w:rsidRPr="00724873">
        <w:t>SRS</w:t>
      </w:r>
      <w:proofErr w:type="gramEnd"/>
    </w:p>
    <w:p w14:paraId="0BDE2DD4" w14:textId="4C270910" w:rsidR="00724873" w:rsidRPr="00724873" w:rsidRDefault="00724873" w:rsidP="00CA0CC1">
      <w:pPr>
        <w:pStyle w:val="Bullet1"/>
      </w:pPr>
      <w:r w:rsidRPr="00724873">
        <w:t xml:space="preserve">Proactive – does not wait for referrals or for residents or providers to seek </w:t>
      </w:r>
      <w:proofErr w:type="gramStart"/>
      <w:r w:rsidRPr="00724873">
        <w:t>assistance</w:t>
      </w:r>
      <w:proofErr w:type="gramEnd"/>
    </w:p>
    <w:p w14:paraId="6590D396" w14:textId="0934AB3C" w:rsidR="00724873" w:rsidRPr="00724873" w:rsidRDefault="00724873" w:rsidP="00CA0CC1">
      <w:pPr>
        <w:pStyle w:val="Bullet1"/>
      </w:pPr>
      <w:r w:rsidRPr="00724873">
        <w:t xml:space="preserve">Responsive and flexible – allows for the funded organisation to self-assess and respond to the diversity in the needs and issues within and across SRS and their resident </w:t>
      </w:r>
      <w:proofErr w:type="gramStart"/>
      <w:r w:rsidRPr="00724873">
        <w:t>groups</w:t>
      </w:r>
      <w:proofErr w:type="gramEnd"/>
    </w:p>
    <w:p w14:paraId="00121CD4" w14:textId="5EA67EC5" w:rsidR="00724873" w:rsidRPr="00724873" w:rsidRDefault="00724873" w:rsidP="00CA0CC1">
      <w:pPr>
        <w:pStyle w:val="Bullet1"/>
      </w:pPr>
      <w:r w:rsidRPr="00724873">
        <w:t>Targeted - to high need SRS and high need residents</w:t>
      </w:r>
    </w:p>
    <w:p w14:paraId="51E8A3BE" w14:textId="3F33D57C" w:rsidR="00724873" w:rsidRPr="00724873" w:rsidRDefault="00724873" w:rsidP="00CA0CC1">
      <w:pPr>
        <w:pStyle w:val="Bullet1"/>
      </w:pPr>
      <w:r w:rsidRPr="00724873">
        <w:t xml:space="preserve">Collaborative – works closely with SRS providers and staff, and existing services to promote service integration rather than </w:t>
      </w:r>
      <w:proofErr w:type="gramStart"/>
      <w:r w:rsidRPr="00724873">
        <w:t>duplication</w:t>
      </w:r>
      <w:proofErr w:type="gramEnd"/>
    </w:p>
    <w:p w14:paraId="64DE88BD" w14:textId="477A77A7" w:rsidR="00724873" w:rsidRPr="00724873" w:rsidRDefault="00724873" w:rsidP="00CA0CC1">
      <w:pPr>
        <w:pStyle w:val="Bullet1"/>
      </w:pPr>
      <w:r w:rsidRPr="00724873">
        <w:t>Builds capacity – of SRS providers/staff, residents, and local service networks</w:t>
      </w:r>
      <w:r w:rsidR="00E611A6">
        <w:t>, and</w:t>
      </w:r>
      <w:r w:rsidRPr="00724873">
        <w:t> </w:t>
      </w:r>
    </w:p>
    <w:p w14:paraId="4830A489" w14:textId="77777777" w:rsidR="00724873" w:rsidRDefault="00724873" w:rsidP="00CA0CC1">
      <w:pPr>
        <w:pStyle w:val="Bullet1"/>
      </w:pPr>
      <w:r w:rsidRPr="00724873">
        <w:t xml:space="preserve">Delivered by skilled health and community professionals with strong assessment, behaviour management, relationship and capacity building skills, knowledge of the service systems, and who </w:t>
      </w:r>
      <w:proofErr w:type="gramStart"/>
      <w:r w:rsidRPr="00724873">
        <w:t>are able to</w:t>
      </w:r>
      <w:proofErr w:type="gramEnd"/>
      <w:r w:rsidRPr="00724873">
        <w:t xml:space="preserve"> negotiate with public mental health, disability and other services to improve resident access to services. </w:t>
      </w:r>
    </w:p>
    <w:p w14:paraId="180D896A" w14:textId="6FD08A4C" w:rsidR="00B21B3D" w:rsidRPr="00C76B6E" w:rsidRDefault="00C83333" w:rsidP="00C83333">
      <w:pPr>
        <w:pStyle w:val="Heading2"/>
      </w:pPr>
      <w:bookmarkStart w:id="54" w:name="_Toc165558266"/>
      <w:bookmarkStart w:id="55" w:name="_Toc168052703"/>
      <w:r>
        <w:t>5.2</w:t>
      </w:r>
      <w:r>
        <w:tab/>
      </w:r>
      <w:r w:rsidR="00B21B3D" w:rsidRPr="00C76B6E">
        <w:t>Service Scope</w:t>
      </w:r>
      <w:bookmarkEnd w:id="54"/>
      <w:bookmarkEnd w:id="55"/>
      <w:r w:rsidR="00B21B3D" w:rsidRPr="00C76B6E">
        <w:t xml:space="preserve"> </w:t>
      </w:r>
    </w:p>
    <w:p w14:paraId="5A5D6027" w14:textId="641258E4" w:rsidR="00B21B3D" w:rsidRPr="00C76B6E" w:rsidRDefault="00B21B3D" w:rsidP="00CA0CC1">
      <w:pPr>
        <w:pStyle w:val="Bullet1"/>
      </w:pPr>
      <w:r w:rsidRPr="00C76B6E">
        <w:t xml:space="preserve">The services provided by funded </w:t>
      </w:r>
      <w:r>
        <w:t>agencies</w:t>
      </w:r>
      <w:r w:rsidRPr="00C76B6E">
        <w:t xml:space="preserve"> should not create a parallel service system – SRS OAP works with existing services to link residents to the services they </w:t>
      </w:r>
      <w:r w:rsidR="00831268" w:rsidRPr="00C76B6E">
        <w:t>need and</w:t>
      </w:r>
      <w:r w:rsidRPr="00C76B6E">
        <w:t xml:space="preserve"> </w:t>
      </w:r>
      <w:r>
        <w:t xml:space="preserve">is </w:t>
      </w:r>
      <w:r w:rsidRPr="00C76B6E">
        <w:t>not</w:t>
      </w:r>
      <w:r>
        <w:t xml:space="preserve"> a</w:t>
      </w:r>
      <w:r w:rsidRPr="00C76B6E">
        <w:t xml:space="preserve"> substitute </w:t>
      </w:r>
      <w:r>
        <w:t xml:space="preserve">for </w:t>
      </w:r>
      <w:r w:rsidRPr="00C76B6E">
        <w:t xml:space="preserve">existing services. </w:t>
      </w:r>
    </w:p>
    <w:p w14:paraId="4B3E9E4B" w14:textId="075A2E2C" w:rsidR="00B21B3D" w:rsidRPr="00C76B6E" w:rsidRDefault="00B21B3D" w:rsidP="00CA0CC1">
      <w:pPr>
        <w:pStyle w:val="Bullet1"/>
        <w:rPr>
          <w:rStyle w:val="normaltextrun"/>
          <w:rFonts w:cs="Arial"/>
        </w:rPr>
      </w:pPr>
      <w:r w:rsidRPr="00C76B6E">
        <w:rPr>
          <w:rStyle w:val="normaltextrun"/>
          <w:rFonts w:cs="Arial"/>
        </w:rPr>
        <w:t xml:space="preserve">Funded </w:t>
      </w:r>
      <w:r w:rsidR="002D548F">
        <w:rPr>
          <w:rStyle w:val="normaltextrun"/>
          <w:rFonts w:cs="Arial"/>
        </w:rPr>
        <w:t>organisation</w:t>
      </w:r>
      <w:r w:rsidRPr="00C76B6E">
        <w:rPr>
          <w:rStyle w:val="normaltextrun"/>
          <w:rFonts w:cs="Arial"/>
        </w:rPr>
        <w:t xml:space="preserve"> workers should typically only undertake ‘support-worker’ type duties (</w:t>
      </w:r>
      <w:r w:rsidR="00B01B41" w:rsidRPr="00C76B6E">
        <w:rPr>
          <w:rStyle w:val="normaltextrun"/>
          <w:rFonts w:cs="Arial"/>
        </w:rPr>
        <w:t>e.g.</w:t>
      </w:r>
      <w:r w:rsidRPr="00C76B6E">
        <w:rPr>
          <w:rStyle w:val="normaltextrun"/>
          <w:rFonts w:cs="Arial"/>
        </w:rPr>
        <w:t xml:space="preserve"> accompanying to medical appointments etc) for a resident under limited circumstances and only a temporary basis.  Temporary supports can be provided whilst more permanent long term and sustainable supports are put into place. </w:t>
      </w:r>
    </w:p>
    <w:p w14:paraId="108D077E" w14:textId="77777777" w:rsidR="00CA0CC1" w:rsidRDefault="00B21B3D" w:rsidP="00CA0CC1">
      <w:pPr>
        <w:pStyle w:val="Bullet1"/>
        <w:rPr>
          <w:rStyle w:val="normaltextrun"/>
          <w:rFonts w:cs="Arial"/>
        </w:rPr>
      </w:pPr>
      <w:r w:rsidRPr="00CA0CC1">
        <w:rPr>
          <w:rStyle w:val="normaltextrun"/>
          <w:rFonts w:cs="Arial"/>
        </w:rPr>
        <w:t xml:space="preserve">In exceptional circumstances, funded organisations may agree to provide more consistent ‘support’ worker’ duties for residents with complex support needs if the support can be provided without compromising overall client targets. </w:t>
      </w:r>
    </w:p>
    <w:p w14:paraId="79B784F9" w14:textId="34BEA357" w:rsidR="008E10DB" w:rsidRPr="00CA0CC1" w:rsidRDefault="00B21B3D" w:rsidP="00CA0CC1">
      <w:pPr>
        <w:pStyle w:val="Bullet1"/>
        <w:rPr>
          <w:rFonts w:cs="Arial"/>
        </w:rPr>
      </w:pPr>
      <w:r w:rsidRPr="00CA0CC1">
        <w:t>SRS OAP does not assist SRS with their regulatory compliance. In the event an SRS is closed or subject to significant regulatory sanction by the Social Services Regulator, the department will advise funded</w:t>
      </w:r>
      <w:r w:rsidRPr="00AB343E">
        <w:t xml:space="preserve"> agencies if SRS OAP assistance to the SRS should cease or be modified.</w:t>
      </w:r>
    </w:p>
    <w:p w14:paraId="76953FCC" w14:textId="2AD91FEC" w:rsidR="00AD53D4" w:rsidRDefault="00C83333" w:rsidP="00C83333">
      <w:pPr>
        <w:pStyle w:val="Heading2"/>
      </w:pPr>
      <w:bookmarkStart w:id="56" w:name="_Toc168052704"/>
      <w:r>
        <w:t>5.3</w:t>
      </w:r>
      <w:r>
        <w:tab/>
      </w:r>
      <w:r w:rsidR="00FA00DB" w:rsidRPr="00FA00DB">
        <w:t>SRS Support Funding</w:t>
      </w:r>
      <w:r w:rsidR="00AD53D4" w:rsidRPr="00AD53D4">
        <w:t xml:space="preserve"> </w:t>
      </w:r>
      <w:r w:rsidR="00365185">
        <w:t>(Activity 37414)</w:t>
      </w:r>
      <w:bookmarkEnd w:id="56"/>
    </w:p>
    <w:p w14:paraId="42E7B963" w14:textId="77777777" w:rsidR="007C390B" w:rsidRDefault="007C390B" w:rsidP="00CA0CC1">
      <w:pPr>
        <w:pStyle w:val="DHHSbody"/>
      </w:pPr>
      <w:r w:rsidRPr="007C390B">
        <w:rPr>
          <w:b/>
          <w:bCs/>
        </w:rPr>
        <w:t>Outcome objective:</w:t>
      </w:r>
      <w:r w:rsidRPr="007C390B">
        <w:t xml:space="preserve"> Pension-level beds available in assisted Supported Residential Services facilities</w:t>
      </w:r>
      <w:r>
        <w:t xml:space="preserve">. </w:t>
      </w:r>
    </w:p>
    <w:p w14:paraId="46A442D1" w14:textId="3BA4F8C0" w:rsidR="003974D1" w:rsidRDefault="003A1940" w:rsidP="00CA0CC1">
      <w:pPr>
        <w:pStyle w:val="DHHSbody"/>
      </w:pPr>
      <w:r>
        <w:lastRenderedPageBreak/>
        <w:t>This funding support</w:t>
      </w:r>
      <w:r w:rsidR="00A5748B">
        <w:t>s</w:t>
      </w:r>
      <w:r>
        <w:t xml:space="preserve"> pension-level Supported Residential Services (SRS) to maintain a supply of affordable housing for vulnerable Victorians who need assistance with the activities of daily living; and </w:t>
      </w:r>
      <w:r w:rsidR="003D4EA2">
        <w:t>support</w:t>
      </w:r>
      <w:r>
        <w:t xml:space="preserve"> the health and wellbeing outcomes of people living in assisted pension-level SRS.</w:t>
      </w:r>
    </w:p>
    <w:p w14:paraId="00DA1515" w14:textId="77777777" w:rsidR="00CB5E7D" w:rsidRDefault="00CB5E7D" w:rsidP="00CA0CC1">
      <w:pPr>
        <w:pStyle w:val="DHHSbody"/>
        <w:rPr>
          <w:rFonts w:eastAsia="Arial" w:cs="Arial"/>
          <w:color w:val="000000" w:themeColor="text1"/>
        </w:rPr>
      </w:pPr>
      <w:r w:rsidRPr="7DA3B90D">
        <w:rPr>
          <w:rFonts w:eastAsia="Arial" w:cs="Arial"/>
          <w:color w:val="000000" w:themeColor="text1"/>
        </w:rPr>
        <w:t xml:space="preserve">The </w:t>
      </w:r>
      <w:r w:rsidRPr="7DA3B90D">
        <w:rPr>
          <w:rFonts w:eastAsia="Arial" w:cs="Arial"/>
          <w:b/>
          <w:bCs/>
          <w:color w:val="000000" w:themeColor="text1"/>
        </w:rPr>
        <w:t xml:space="preserve">SRS Support Funding </w:t>
      </w:r>
      <w:r w:rsidRPr="7DA3B90D">
        <w:rPr>
          <w:rFonts w:eastAsia="Arial" w:cs="Arial"/>
          <w:color w:val="000000" w:themeColor="text1"/>
        </w:rPr>
        <w:t>activity provides three lines of funding for pension-level SRS that are designed to support resident-focussed improvements in pension-level SRS:</w:t>
      </w:r>
    </w:p>
    <w:p w14:paraId="4967772F" w14:textId="77777777" w:rsidR="00CB5E7D" w:rsidRDefault="00CB5E7D" w:rsidP="00CA0CC1">
      <w:pPr>
        <w:pStyle w:val="Bullet1"/>
      </w:pPr>
      <w:r w:rsidRPr="0DCD9943">
        <w:t>Facility Cost Relief - a financial supplement to support pension-level SRS to maintain a supply of pension-level beds.</w:t>
      </w:r>
    </w:p>
    <w:p w14:paraId="21541487" w14:textId="77777777" w:rsidR="00CB5E7D" w:rsidRDefault="00CB5E7D" w:rsidP="00CA0CC1">
      <w:pPr>
        <w:pStyle w:val="Bullet1"/>
      </w:pPr>
      <w:r w:rsidRPr="0DCD9943">
        <w:t>Amenity and Safety funding – to support physical amenity and safety improvements in SRS, increased SRS staff training, and resident activities.</w:t>
      </w:r>
    </w:p>
    <w:p w14:paraId="31A444CD" w14:textId="77777777" w:rsidR="00CB5E7D" w:rsidRDefault="00CB5E7D" w:rsidP="00CA0CC1">
      <w:pPr>
        <w:pStyle w:val="Bullet1"/>
      </w:pPr>
      <w:r w:rsidRPr="0DCD9943">
        <w:t>Fresh Food funding – to support the availability and access to fresh food for residents of pension-level SRS.</w:t>
      </w:r>
    </w:p>
    <w:tbl>
      <w:tblPr>
        <w:tblStyle w:val="TableGrid1"/>
        <w:tblW w:w="0" w:type="auto"/>
        <w:tblInd w:w="0" w:type="dxa"/>
        <w:tblLook w:val="04A0" w:firstRow="1" w:lastRow="0" w:firstColumn="1" w:lastColumn="0" w:noHBand="0" w:noVBand="1"/>
      </w:tblPr>
      <w:tblGrid>
        <w:gridCol w:w="2122"/>
        <w:gridCol w:w="6894"/>
      </w:tblGrid>
      <w:tr w:rsidR="003974D1" w14:paraId="4A3014FB" w14:textId="77777777" w:rsidTr="003974D1">
        <w:trPr>
          <w:cnfStyle w:val="100000000000" w:firstRow="1" w:lastRow="0" w:firstColumn="0" w:lastColumn="0" w:oddVBand="0" w:evenVBand="0" w:oddHBand="0" w:evenHBand="0" w:firstRowFirstColumn="0" w:firstRowLastColumn="0" w:lastRowFirstColumn="0" w:lastRowLastColumn="0"/>
        </w:trPr>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D8DA00" w14:textId="78C34397" w:rsidR="003974D1" w:rsidRPr="00FC013D" w:rsidRDefault="00E6210E" w:rsidP="00C83333">
            <w:pPr>
              <w:pStyle w:val="Heading2"/>
              <w:rPr>
                <w:shd w:val="clear" w:color="auto" w:fill="FFFFFF"/>
              </w:rPr>
            </w:pPr>
            <w:bookmarkStart w:id="57" w:name="_Toc168052705"/>
            <w:r w:rsidRPr="008407BD">
              <w:t>SRS Support Funding</w:t>
            </w:r>
            <w:r>
              <w:t xml:space="preserve">: </w:t>
            </w:r>
            <w:r w:rsidR="00F5719E" w:rsidRPr="00F5719E">
              <w:t>Facility Cost Relief</w:t>
            </w:r>
            <w:bookmarkEnd w:id="57"/>
          </w:p>
        </w:tc>
      </w:tr>
      <w:tr w:rsidR="003974D1" w14:paraId="2937116E" w14:textId="77777777" w:rsidTr="003974D1">
        <w:tc>
          <w:tcPr>
            <w:tcW w:w="2122" w:type="dxa"/>
            <w:tcBorders>
              <w:top w:val="single" w:sz="4" w:space="0" w:color="auto"/>
              <w:left w:val="single" w:sz="4" w:space="0" w:color="auto"/>
              <w:bottom w:val="single" w:sz="4" w:space="0" w:color="auto"/>
              <w:right w:val="single" w:sz="4" w:space="0" w:color="auto"/>
            </w:tcBorders>
            <w:hideMark/>
          </w:tcPr>
          <w:p w14:paraId="31A1B913" w14:textId="77777777" w:rsidR="003974D1" w:rsidRDefault="003974D1">
            <w:pPr>
              <w:rPr>
                <w:rFonts w:cs="Arial"/>
                <w:sz w:val="22"/>
                <w:szCs w:val="22"/>
              </w:rPr>
            </w:pPr>
            <w:r>
              <w:rPr>
                <w:rFonts w:cs="Arial"/>
                <w:sz w:val="22"/>
                <w:szCs w:val="22"/>
              </w:rPr>
              <w:t>Aim/Objective</w:t>
            </w:r>
          </w:p>
        </w:tc>
        <w:tc>
          <w:tcPr>
            <w:tcW w:w="6894" w:type="dxa"/>
            <w:tcBorders>
              <w:top w:val="single" w:sz="4" w:space="0" w:color="auto"/>
              <w:left w:val="single" w:sz="4" w:space="0" w:color="auto"/>
              <w:bottom w:val="single" w:sz="4" w:space="0" w:color="auto"/>
              <w:right w:val="single" w:sz="4" w:space="0" w:color="auto"/>
            </w:tcBorders>
            <w:hideMark/>
          </w:tcPr>
          <w:p w14:paraId="2445EA37" w14:textId="1C3182BC" w:rsidR="003974D1" w:rsidRDefault="000005F7">
            <w:pPr>
              <w:pStyle w:val="DHHSbody"/>
              <w:rPr>
                <w:szCs w:val="21"/>
                <w:highlight w:val="yellow"/>
              </w:rPr>
            </w:pPr>
            <w:r>
              <w:rPr>
                <w:rStyle w:val="normaltextrun"/>
                <w:rFonts w:cs="Arial"/>
                <w:color w:val="000000"/>
                <w:sz w:val="20"/>
                <w:shd w:val="clear" w:color="auto" w:fill="FFFFFF"/>
              </w:rPr>
              <w:t>To ensure Facility Cost Relief is distributed to individual SRS per the program area funding schedule and accounts for SRS registered bed changes and closures during the financial year.</w:t>
            </w:r>
            <w:r>
              <w:rPr>
                <w:rStyle w:val="eop"/>
                <w:rFonts w:cs="Arial"/>
                <w:color w:val="000000"/>
                <w:sz w:val="20"/>
                <w:shd w:val="clear" w:color="auto" w:fill="FFFFFF"/>
              </w:rPr>
              <w:t> </w:t>
            </w:r>
          </w:p>
        </w:tc>
      </w:tr>
      <w:tr w:rsidR="003974D1" w14:paraId="5F1FB5FE" w14:textId="77777777" w:rsidTr="003974D1">
        <w:trPr>
          <w:trHeight w:val="300"/>
        </w:trPr>
        <w:tc>
          <w:tcPr>
            <w:tcW w:w="2122" w:type="dxa"/>
            <w:tcBorders>
              <w:top w:val="single" w:sz="4" w:space="0" w:color="auto"/>
              <w:left w:val="single" w:sz="4" w:space="0" w:color="auto"/>
              <w:bottom w:val="single" w:sz="4" w:space="0" w:color="auto"/>
              <w:right w:val="single" w:sz="4" w:space="0" w:color="auto"/>
            </w:tcBorders>
            <w:hideMark/>
          </w:tcPr>
          <w:p w14:paraId="2AD7C859" w14:textId="77777777" w:rsidR="003974D1" w:rsidRDefault="00223C4E">
            <w:pPr>
              <w:rPr>
                <w:rFonts w:cs="Arial"/>
                <w:sz w:val="22"/>
                <w:szCs w:val="22"/>
              </w:rPr>
            </w:pPr>
            <w:r>
              <w:rPr>
                <w:rFonts w:cs="Arial"/>
                <w:sz w:val="22"/>
                <w:szCs w:val="22"/>
              </w:rPr>
              <w:t xml:space="preserve">Service </w:t>
            </w:r>
            <w:r w:rsidR="00511C13">
              <w:rPr>
                <w:rFonts w:cs="Arial"/>
                <w:sz w:val="22"/>
                <w:szCs w:val="22"/>
              </w:rPr>
              <w:t xml:space="preserve">Requirements </w:t>
            </w:r>
            <w:r w:rsidR="003974D1">
              <w:rPr>
                <w:rFonts w:cs="Arial"/>
                <w:sz w:val="22"/>
                <w:szCs w:val="22"/>
              </w:rPr>
              <w:t xml:space="preserve"> </w:t>
            </w:r>
          </w:p>
          <w:p w14:paraId="7F974F7E" w14:textId="77777777" w:rsidR="000005F7" w:rsidRDefault="000005F7">
            <w:pPr>
              <w:rPr>
                <w:rFonts w:cs="Arial"/>
                <w:sz w:val="22"/>
                <w:szCs w:val="22"/>
              </w:rPr>
            </w:pPr>
          </w:p>
          <w:p w14:paraId="40A46D72" w14:textId="42974D94" w:rsidR="000005F7" w:rsidRDefault="000005F7">
            <w:pPr>
              <w:rPr>
                <w:rFonts w:cs="Arial"/>
                <w:sz w:val="22"/>
                <w:szCs w:val="22"/>
              </w:rPr>
            </w:pPr>
            <w:r>
              <w:rPr>
                <w:rFonts w:cs="Arial"/>
                <w:sz w:val="22"/>
                <w:szCs w:val="22"/>
              </w:rPr>
              <w:t>Counting Rule</w:t>
            </w:r>
          </w:p>
        </w:tc>
        <w:tc>
          <w:tcPr>
            <w:tcW w:w="6894" w:type="dxa"/>
            <w:tcBorders>
              <w:top w:val="single" w:sz="4" w:space="0" w:color="auto"/>
              <w:left w:val="single" w:sz="4" w:space="0" w:color="auto"/>
              <w:bottom w:val="single" w:sz="4" w:space="0" w:color="auto"/>
              <w:right w:val="single" w:sz="4" w:space="0" w:color="auto"/>
            </w:tcBorders>
            <w:hideMark/>
          </w:tcPr>
          <w:p w14:paraId="6BA29529" w14:textId="2B48F3BE" w:rsidR="008F0E25" w:rsidRDefault="008F0E25" w:rsidP="008F0E25">
            <w:pPr>
              <w:pStyle w:val="DHHSbody"/>
              <w:rPr>
                <w:rFonts w:cs="Arial"/>
              </w:rPr>
            </w:pPr>
            <w:r w:rsidRPr="00E50E29">
              <w:rPr>
                <w:rFonts w:cs="Arial"/>
              </w:rPr>
              <w:t xml:space="preserve">Planning and distributing </w:t>
            </w:r>
            <w:r>
              <w:rPr>
                <w:rFonts w:cs="Arial"/>
              </w:rPr>
              <w:t>F</w:t>
            </w:r>
            <w:r>
              <w:t xml:space="preserve">acility Cost Relief </w:t>
            </w:r>
            <w:r w:rsidRPr="00E50E29">
              <w:rPr>
                <w:rFonts w:cs="Arial"/>
              </w:rPr>
              <w:t xml:space="preserve">funding with each participating SRS.  </w:t>
            </w:r>
          </w:p>
          <w:p w14:paraId="7F078900" w14:textId="7C1321EC" w:rsidR="003974D1" w:rsidRDefault="000005F7">
            <w:pPr>
              <w:pStyle w:val="DHHSbody"/>
              <w:rPr>
                <w:sz w:val="22"/>
                <w:szCs w:val="22"/>
              </w:rPr>
            </w:pPr>
            <w:r>
              <w:rPr>
                <w:rStyle w:val="normaltextrun"/>
                <w:rFonts w:cs="Arial"/>
                <w:color w:val="000000"/>
                <w:sz w:val="20"/>
                <w:shd w:val="clear" w:color="auto" w:fill="FFFFFF"/>
              </w:rPr>
              <w:t xml:space="preserve">The program area provides the funded organisation an annual funding schedule that confirms current Facility Cost Relief base units (beds) per SRS. This funding schedule may be subject to change if an SRS </w:t>
            </w:r>
            <w:proofErr w:type="gramStart"/>
            <w:r>
              <w:rPr>
                <w:rStyle w:val="normaltextrun"/>
                <w:rFonts w:cs="Arial"/>
                <w:color w:val="000000"/>
                <w:sz w:val="20"/>
                <w:shd w:val="clear" w:color="auto" w:fill="FFFFFF"/>
              </w:rPr>
              <w:t>closes</w:t>
            </w:r>
            <w:proofErr w:type="gramEnd"/>
            <w:r>
              <w:rPr>
                <w:rStyle w:val="normaltextrun"/>
                <w:rFonts w:cs="Arial"/>
                <w:color w:val="000000"/>
                <w:sz w:val="20"/>
                <w:shd w:val="clear" w:color="auto" w:fill="FFFFFF"/>
              </w:rPr>
              <w:t xml:space="preserve"> or registered bed numbers change. The program area will provide timely advice on changes.</w:t>
            </w:r>
            <w:r>
              <w:rPr>
                <w:rStyle w:val="eop"/>
                <w:rFonts w:cs="Arial"/>
                <w:color w:val="000000"/>
                <w:sz w:val="20"/>
                <w:shd w:val="clear" w:color="auto" w:fill="FFFFFF"/>
              </w:rPr>
              <w:t> </w:t>
            </w:r>
          </w:p>
        </w:tc>
      </w:tr>
      <w:tr w:rsidR="003974D1" w14:paraId="3CA4CC4A" w14:textId="77777777" w:rsidTr="003974D1">
        <w:trPr>
          <w:trHeight w:val="300"/>
        </w:trPr>
        <w:tc>
          <w:tcPr>
            <w:tcW w:w="2122" w:type="dxa"/>
            <w:tcBorders>
              <w:top w:val="single" w:sz="4" w:space="0" w:color="auto"/>
              <w:left w:val="single" w:sz="4" w:space="0" w:color="auto"/>
              <w:bottom w:val="single" w:sz="4" w:space="0" w:color="auto"/>
              <w:right w:val="single" w:sz="4" w:space="0" w:color="auto"/>
            </w:tcBorders>
            <w:hideMark/>
          </w:tcPr>
          <w:p w14:paraId="5DFB2727" w14:textId="77777777" w:rsidR="003974D1" w:rsidRDefault="003974D1">
            <w:pPr>
              <w:rPr>
                <w:rFonts w:eastAsia="Arial" w:cs="Arial"/>
                <w:sz w:val="22"/>
                <w:szCs w:val="22"/>
              </w:rPr>
            </w:pPr>
            <w:r w:rsidRPr="00E317D4">
              <w:rPr>
                <w:rFonts w:cs="Arial"/>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0719DB10" w14:textId="77777777" w:rsidR="003974D1" w:rsidRDefault="003974D1">
            <w:pPr>
              <w:spacing w:before="80" w:after="60" w:line="256" w:lineRule="auto"/>
              <w:rPr>
                <w:rFonts w:eastAsia="Arial" w:cs="Arial"/>
                <w:color w:val="000000"/>
                <w:sz w:val="20"/>
              </w:rPr>
            </w:pPr>
            <w:r>
              <w:rPr>
                <w:rFonts w:eastAsia="Arial" w:cs="Arial"/>
                <w:color w:val="000000"/>
                <w:szCs w:val="21"/>
              </w:rPr>
              <w:t>SRS OAP Expenditure Template</w:t>
            </w:r>
          </w:p>
          <w:p w14:paraId="05F5AAC4" w14:textId="77777777" w:rsidR="003974D1" w:rsidRDefault="003974D1">
            <w:pPr>
              <w:spacing w:before="80" w:after="60" w:line="256" w:lineRule="auto"/>
              <w:rPr>
                <w:rFonts w:eastAsia="Arial" w:cs="Arial"/>
                <w:color w:val="000000"/>
                <w:sz w:val="22"/>
                <w:szCs w:val="22"/>
              </w:rPr>
            </w:pPr>
          </w:p>
        </w:tc>
      </w:tr>
      <w:tr w:rsidR="003974D1" w14:paraId="4AD9B96D" w14:textId="77777777" w:rsidTr="003974D1">
        <w:tc>
          <w:tcPr>
            <w:tcW w:w="2122" w:type="dxa"/>
            <w:tcBorders>
              <w:top w:val="single" w:sz="4" w:space="0" w:color="auto"/>
              <w:left w:val="single" w:sz="4" w:space="0" w:color="auto"/>
              <w:bottom w:val="single" w:sz="4" w:space="0" w:color="auto"/>
              <w:right w:val="single" w:sz="4" w:space="0" w:color="auto"/>
            </w:tcBorders>
            <w:hideMark/>
          </w:tcPr>
          <w:p w14:paraId="193DF75F" w14:textId="77777777" w:rsidR="003974D1" w:rsidRDefault="003974D1">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7947ABBC" w14:textId="6CC012FB" w:rsidR="003974D1" w:rsidRDefault="003974D1">
            <w:pPr>
              <w:spacing w:before="80" w:after="60" w:line="256" w:lineRule="auto"/>
              <w:rPr>
                <w:rFonts w:eastAsia="Arial" w:cs="Arial"/>
                <w:color w:val="000000"/>
                <w:szCs w:val="21"/>
              </w:rPr>
            </w:pPr>
            <w:r>
              <w:rPr>
                <w:rFonts w:eastAsia="Arial" w:cs="Arial"/>
                <w:color w:val="000000"/>
                <w:szCs w:val="21"/>
                <w:u w:val="single"/>
              </w:rPr>
              <w:t>Facility Cost Relief (FCR) Units</w:t>
            </w:r>
            <w:r>
              <w:rPr>
                <w:rFonts w:eastAsia="Arial" w:cs="Arial"/>
                <w:color w:val="000000"/>
                <w:szCs w:val="21"/>
              </w:rPr>
              <w:t>: Facility Cost Relief is calculated on a unit price per Facility Cost Relief base unit (FCR) per SRS, up to a maximum of 33.33 units per SRS. The program area determines the number of Facility Cost Relief base units per SRS per year and this is reflected in the annual program area funding schedule.</w:t>
            </w:r>
          </w:p>
          <w:p w14:paraId="67ED5307" w14:textId="77777777" w:rsidR="003974D1" w:rsidRDefault="003974D1">
            <w:pPr>
              <w:pStyle w:val="DHHSbody"/>
              <w:rPr>
                <w:rFonts w:eastAsia="Arial" w:cs="Arial"/>
                <w:color w:val="000000"/>
                <w:szCs w:val="21"/>
              </w:rPr>
            </w:pPr>
            <w:r>
              <w:rPr>
                <w:rFonts w:eastAsia="Arial" w:cs="Arial"/>
                <w:color w:val="000000"/>
                <w:szCs w:val="21"/>
                <w:u w:val="single"/>
              </w:rPr>
              <w:t xml:space="preserve">Registered bed changes: </w:t>
            </w:r>
            <w:r>
              <w:rPr>
                <w:rFonts w:eastAsia="Arial" w:cs="Arial"/>
                <w:color w:val="000000"/>
                <w:szCs w:val="21"/>
              </w:rPr>
              <w:t>The Social Services Regulator maintains the register of all currently operating SRS and associated registered bed numbers and notifies the program area of any registration changes or closures.</w:t>
            </w:r>
          </w:p>
          <w:p w14:paraId="0CD7BF8B" w14:textId="0066AF3A" w:rsidR="006075D6" w:rsidRDefault="006075D6">
            <w:pPr>
              <w:pStyle w:val="DHHSbody"/>
              <w:rPr>
                <w:szCs w:val="21"/>
              </w:rPr>
            </w:pPr>
            <w:r>
              <w:rPr>
                <w:rFonts w:eastAsia="Arial" w:cs="Arial"/>
                <w:color w:val="000000"/>
                <w:szCs w:val="21"/>
              </w:rPr>
              <w:t xml:space="preserve">The funding schedule may be subject to change if an SRS </w:t>
            </w:r>
            <w:r w:rsidR="00AA1B54">
              <w:rPr>
                <w:rFonts w:eastAsia="Arial" w:cs="Arial"/>
                <w:color w:val="000000"/>
                <w:szCs w:val="21"/>
              </w:rPr>
              <w:t>closes,</w:t>
            </w:r>
            <w:r>
              <w:rPr>
                <w:rFonts w:eastAsia="Arial" w:cs="Arial"/>
                <w:color w:val="000000"/>
                <w:szCs w:val="21"/>
              </w:rPr>
              <w:t xml:space="preserve"> or registered bed numbers change. The program area will provide timely advice on changes</w:t>
            </w:r>
            <w:r>
              <w:rPr>
                <w:szCs w:val="21"/>
              </w:rPr>
              <w:t>.</w:t>
            </w:r>
          </w:p>
          <w:p w14:paraId="4D943C4A" w14:textId="4BDBECFF" w:rsidR="00247866" w:rsidRDefault="00247866">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 see the SRS OAP guidelines.</w:t>
            </w:r>
          </w:p>
        </w:tc>
      </w:tr>
      <w:tr w:rsidR="00333CCE" w14:paraId="2F5967E8"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B14964" w14:textId="48C916FD" w:rsidR="00333CCE" w:rsidRPr="00B05658" w:rsidRDefault="00333CCE" w:rsidP="00C83333">
            <w:pPr>
              <w:pStyle w:val="Heading2"/>
            </w:pPr>
            <w:bookmarkStart w:id="58" w:name="_Toc168052706"/>
            <w:r w:rsidRPr="008407BD">
              <w:t>SRS Support Funding</w:t>
            </w:r>
            <w:r>
              <w:t xml:space="preserve">: </w:t>
            </w:r>
            <w:r w:rsidRPr="00333CCE">
              <w:t>Amenity and Safety</w:t>
            </w:r>
            <w:bookmarkEnd w:id="58"/>
          </w:p>
        </w:tc>
      </w:tr>
      <w:tr w:rsidR="00333CCE" w14:paraId="6B43DDE8" w14:textId="77777777">
        <w:tc>
          <w:tcPr>
            <w:tcW w:w="2122" w:type="dxa"/>
            <w:tcBorders>
              <w:top w:val="single" w:sz="4" w:space="0" w:color="auto"/>
              <w:left w:val="single" w:sz="4" w:space="0" w:color="auto"/>
              <w:bottom w:val="single" w:sz="4" w:space="0" w:color="auto"/>
              <w:right w:val="single" w:sz="4" w:space="0" w:color="auto"/>
            </w:tcBorders>
            <w:hideMark/>
          </w:tcPr>
          <w:p w14:paraId="13F3FC50" w14:textId="77777777" w:rsidR="00333CCE" w:rsidRDefault="00333CCE">
            <w:pPr>
              <w:rPr>
                <w:rFonts w:cs="Arial"/>
                <w:sz w:val="22"/>
                <w:szCs w:val="22"/>
              </w:rPr>
            </w:pPr>
            <w:r>
              <w:rPr>
                <w:rFonts w:cs="Arial"/>
                <w:sz w:val="22"/>
                <w:szCs w:val="22"/>
              </w:rPr>
              <w:t>Aim/Objective</w:t>
            </w:r>
          </w:p>
        </w:tc>
        <w:tc>
          <w:tcPr>
            <w:tcW w:w="6894" w:type="dxa"/>
            <w:tcBorders>
              <w:top w:val="single" w:sz="4" w:space="0" w:color="auto"/>
              <w:left w:val="single" w:sz="4" w:space="0" w:color="auto"/>
              <w:bottom w:val="single" w:sz="4" w:space="0" w:color="auto"/>
              <w:right w:val="single" w:sz="4" w:space="0" w:color="auto"/>
            </w:tcBorders>
            <w:hideMark/>
          </w:tcPr>
          <w:p w14:paraId="5EF53B23" w14:textId="77777777" w:rsidR="00203429" w:rsidRPr="00B05658" w:rsidRDefault="00203429" w:rsidP="00B05658">
            <w:pPr>
              <w:pStyle w:val="BodyText"/>
              <w:rPr>
                <w:color w:val="000000"/>
                <w:sz w:val="21"/>
                <w:szCs w:val="21"/>
                <w:lang w:val="en-AU"/>
              </w:rPr>
            </w:pPr>
            <w:r w:rsidRPr="00B05658">
              <w:rPr>
                <w:color w:val="000000"/>
                <w:sz w:val="21"/>
                <w:szCs w:val="21"/>
                <w:lang w:val="en-AU"/>
              </w:rPr>
              <w:t xml:space="preserve">Improve the physical amenity of pension-level </w:t>
            </w:r>
            <w:proofErr w:type="gramStart"/>
            <w:r w:rsidRPr="00B05658">
              <w:rPr>
                <w:color w:val="000000"/>
                <w:sz w:val="21"/>
                <w:szCs w:val="21"/>
                <w:lang w:val="en-AU"/>
              </w:rPr>
              <w:t>SRS</w:t>
            </w:r>
            <w:proofErr w:type="gramEnd"/>
          </w:p>
          <w:p w14:paraId="1223320D" w14:textId="0CD83EFE" w:rsidR="00333CCE" w:rsidRDefault="00333CCE">
            <w:pPr>
              <w:pStyle w:val="DHHSbody"/>
              <w:rPr>
                <w:szCs w:val="21"/>
                <w:highlight w:val="yellow"/>
              </w:rPr>
            </w:pPr>
          </w:p>
        </w:tc>
      </w:tr>
      <w:tr w:rsidR="00333CCE" w14:paraId="0F9100DD"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0E962BC1" w14:textId="77777777" w:rsidR="00333CCE" w:rsidRDefault="00333CCE">
            <w:pPr>
              <w:rPr>
                <w:rFonts w:cs="Arial"/>
                <w:sz w:val="22"/>
                <w:szCs w:val="22"/>
              </w:rPr>
            </w:pPr>
            <w:r>
              <w:rPr>
                <w:rFonts w:cs="Arial"/>
                <w:sz w:val="22"/>
                <w:szCs w:val="22"/>
              </w:rPr>
              <w:lastRenderedPageBreak/>
              <w:t xml:space="preserve">Service Requirements  </w:t>
            </w:r>
          </w:p>
        </w:tc>
        <w:tc>
          <w:tcPr>
            <w:tcW w:w="6894" w:type="dxa"/>
            <w:tcBorders>
              <w:top w:val="single" w:sz="4" w:space="0" w:color="auto"/>
              <w:left w:val="single" w:sz="4" w:space="0" w:color="auto"/>
              <w:bottom w:val="single" w:sz="4" w:space="0" w:color="auto"/>
              <w:right w:val="single" w:sz="4" w:space="0" w:color="auto"/>
            </w:tcBorders>
            <w:hideMark/>
          </w:tcPr>
          <w:p w14:paraId="42CAA4E4" w14:textId="4252202C" w:rsidR="008F0E25" w:rsidRPr="00E50E29" w:rsidRDefault="008F0E25" w:rsidP="008F0E25">
            <w:pPr>
              <w:pStyle w:val="DHHSbody"/>
              <w:rPr>
                <w:rFonts w:cs="Arial"/>
              </w:rPr>
            </w:pPr>
            <w:r w:rsidRPr="00E50E29">
              <w:rPr>
                <w:rFonts w:cs="Arial"/>
              </w:rPr>
              <w:t xml:space="preserve">Planning and distributing </w:t>
            </w:r>
            <w:r>
              <w:rPr>
                <w:rFonts w:cs="Arial"/>
              </w:rPr>
              <w:t>A</w:t>
            </w:r>
            <w:r>
              <w:t>menity and Safety</w:t>
            </w:r>
            <w:r w:rsidRPr="00E50E29">
              <w:rPr>
                <w:rFonts w:cs="Arial"/>
              </w:rPr>
              <w:t xml:space="preserve"> funding with each participating SRS.  </w:t>
            </w:r>
          </w:p>
          <w:p w14:paraId="32194C4D" w14:textId="44792A6D" w:rsidR="00333CCE" w:rsidRDefault="00B44E44">
            <w:pPr>
              <w:pStyle w:val="DHHSbody"/>
              <w:rPr>
                <w:sz w:val="22"/>
                <w:szCs w:val="22"/>
              </w:rPr>
            </w:pPr>
            <w:r>
              <w:rPr>
                <w:rFonts w:eastAsia="Arial" w:cs="Arial"/>
                <w:color w:val="000000"/>
                <w:szCs w:val="21"/>
              </w:rPr>
              <w:t xml:space="preserve">The program area provides the funded organisation an annual funding schedule that confirms current Amenity and Safety base units (registered beds) per SRS. </w:t>
            </w:r>
            <w:r w:rsidR="00252969">
              <w:rPr>
                <w:rFonts w:eastAsia="Arial" w:cs="Arial"/>
                <w:color w:val="000000"/>
                <w:szCs w:val="21"/>
              </w:rPr>
              <w:t xml:space="preserve">All funding units should be provided to operating SRS </w:t>
            </w:r>
            <w:r w:rsidR="009E4C42">
              <w:rPr>
                <w:rFonts w:eastAsia="Arial" w:cs="Arial"/>
                <w:color w:val="000000"/>
                <w:szCs w:val="21"/>
              </w:rPr>
              <w:t xml:space="preserve">as per </w:t>
            </w:r>
            <w:r w:rsidR="00252969">
              <w:rPr>
                <w:rFonts w:eastAsia="Arial" w:cs="Arial"/>
                <w:color w:val="000000"/>
                <w:szCs w:val="21"/>
              </w:rPr>
              <w:t>the schedule provided.</w:t>
            </w:r>
          </w:p>
        </w:tc>
      </w:tr>
      <w:tr w:rsidR="00333CCE" w14:paraId="6B6D9EAD"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48DADE6C" w14:textId="77777777" w:rsidR="00333CCE" w:rsidRDefault="00333CCE">
            <w:pPr>
              <w:rPr>
                <w:rFonts w:eastAsia="Arial" w:cs="Arial"/>
                <w:sz w:val="22"/>
                <w:szCs w:val="22"/>
              </w:rPr>
            </w:pPr>
            <w:r w:rsidRPr="000A6705">
              <w:rPr>
                <w:rFonts w:cs="Arial"/>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0F93C1A9" w14:textId="77777777" w:rsidR="00333CCE" w:rsidRDefault="00333CCE">
            <w:pPr>
              <w:spacing w:before="80" w:after="60" w:line="256" w:lineRule="auto"/>
              <w:rPr>
                <w:rFonts w:eastAsia="Arial" w:cs="Arial"/>
                <w:color w:val="000000"/>
                <w:sz w:val="20"/>
              </w:rPr>
            </w:pPr>
            <w:r>
              <w:rPr>
                <w:rFonts w:eastAsia="Arial" w:cs="Arial"/>
                <w:color w:val="000000"/>
                <w:szCs w:val="21"/>
              </w:rPr>
              <w:t>SRS OAP Expenditure Template</w:t>
            </w:r>
          </w:p>
          <w:p w14:paraId="32791D81" w14:textId="77777777" w:rsidR="00333CCE" w:rsidRDefault="00333CCE">
            <w:pPr>
              <w:spacing w:before="80" w:after="60" w:line="256" w:lineRule="auto"/>
              <w:rPr>
                <w:rFonts w:eastAsia="Arial" w:cs="Arial"/>
                <w:color w:val="000000"/>
                <w:sz w:val="22"/>
                <w:szCs w:val="22"/>
              </w:rPr>
            </w:pPr>
          </w:p>
        </w:tc>
      </w:tr>
      <w:tr w:rsidR="00333CCE" w14:paraId="0477B769" w14:textId="77777777">
        <w:tc>
          <w:tcPr>
            <w:tcW w:w="2122" w:type="dxa"/>
            <w:tcBorders>
              <w:top w:val="single" w:sz="4" w:space="0" w:color="auto"/>
              <w:left w:val="single" w:sz="4" w:space="0" w:color="auto"/>
              <w:bottom w:val="single" w:sz="4" w:space="0" w:color="auto"/>
              <w:right w:val="single" w:sz="4" w:space="0" w:color="auto"/>
            </w:tcBorders>
            <w:hideMark/>
          </w:tcPr>
          <w:p w14:paraId="676D3141" w14:textId="77777777" w:rsidR="00333CCE" w:rsidRDefault="00333CCE">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23E691F0" w14:textId="77777777" w:rsidR="00562B47" w:rsidRDefault="00562B47" w:rsidP="00562B47">
            <w:pPr>
              <w:spacing w:before="80" w:after="60" w:line="256" w:lineRule="auto"/>
              <w:rPr>
                <w:rFonts w:eastAsia="Arial" w:cs="Arial"/>
                <w:color w:val="000000"/>
                <w:szCs w:val="21"/>
              </w:rPr>
            </w:pPr>
            <w:r>
              <w:rPr>
                <w:rFonts w:eastAsia="Arial" w:cs="Arial"/>
                <w:color w:val="000000"/>
                <w:szCs w:val="21"/>
                <w:u w:val="single"/>
              </w:rPr>
              <w:t>Amenity and Safety Units:</w:t>
            </w:r>
            <w:r>
              <w:rPr>
                <w:rFonts w:eastAsia="Arial" w:cs="Arial"/>
                <w:color w:val="000000"/>
                <w:szCs w:val="21"/>
              </w:rPr>
              <w:t xml:space="preserve"> Amenity and Safety is calculated on a unit price per Amenity and Safety base unit (registered beds) per SRS.  The program area confirms the number of Amenity and Safety base units per SRS per year and this is reflected in the annual program area funding schedule.</w:t>
            </w:r>
          </w:p>
          <w:p w14:paraId="5F797ABA" w14:textId="77777777" w:rsidR="00562B47" w:rsidRDefault="00562B47" w:rsidP="00562B47">
            <w:pPr>
              <w:spacing w:before="80" w:after="60"/>
              <w:rPr>
                <w:rFonts w:eastAsia="Arial" w:cs="Arial"/>
                <w:color w:val="000000"/>
                <w:szCs w:val="21"/>
              </w:rPr>
            </w:pPr>
            <w:r>
              <w:rPr>
                <w:rFonts w:eastAsia="Arial" w:cs="Arial"/>
                <w:color w:val="000000"/>
                <w:szCs w:val="21"/>
                <w:u w:val="single"/>
              </w:rPr>
              <w:t xml:space="preserve">Registered bed changes: </w:t>
            </w:r>
            <w:r>
              <w:rPr>
                <w:rFonts w:eastAsia="Arial" w:cs="Arial"/>
                <w:color w:val="000000"/>
                <w:szCs w:val="21"/>
              </w:rPr>
              <w:t>The Social Services Regulator maintains the register of all currently operating SRS and associated registered bed numbers and notifies the program area of any registration changes and subsequent changes to Amenity and Safety base units.</w:t>
            </w:r>
          </w:p>
          <w:p w14:paraId="73E0FD5A" w14:textId="77777777" w:rsidR="00333CCE" w:rsidRDefault="00562B47" w:rsidP="00562B47">
            <w:pPr>
              <w:pStyle w:val="DHHSbody"/>
              <w:rPr>
                <w:rFonts w:eastAsia="Arial" w:cs="Arial"/>
                <w:color w:val="000000"/>
                <w:szCs w:val="21"/>
              </w:rPr>
            </w:pPr>
            <w:r>
              <w:rPr>
                <w:rFonts w:eastAsia="Arial" w:cs="Arial"/>
                <w:color w:val="000000"/>
                <w:szCs w:val="21"/>
              </w:rPr>
              <w:t xml:space="preserve">Purchasing rules for Amenity and Safety funds are contained in </w:t>
            </w:r>
            <w:r w:rsidR="00D47749">
              <w:rPr>
                <w:rFonts w:eastAsia="Arial" w:cs="Arial"/>
                <w:color w:val="000000"/>
                <w:szCs w:val="21"/>
              </w:rPr>
              <w:t xml:space="preserve">SRS OAP </w:t>
            </w:r>
            <w:r>
              <w:rPr>
                <w:rFonts w:eastAsia="Arial" w:cs="Arial"/>
                <w:color w:val="000000"/>
                <w:szCs w:val="21"/>
              </w:rPr>
              <w:t>program guidelines.</w:t>
            </w:r>
          </w:p>
          <w:p w14:paraId="3E1977DE" w14:textId="77777777" w:rsidR="006075D6" w:rsidRDefault="006075D6" w:rsidP="00562B47">
            <w:pPr>
              <w:pStyle w:val="DHHSbody"/>
              <w:rPr>
                <w:szCs w:val="21"/>
              </w:rPr>
            </w:pPr>
            <w:r>
              <w:rPr>
                <w:rFonts w:eastAsia="Arial" w:cs="Arial"/>
                <w:color w:val="000000"/>
                <w:szCs w:val="21"/>
              </w:rPr>
              <w:t xml:space="preserve">The funding schedule may be subject to change if an SRS </w:t>
            </w:r>
            <w:proofErr w:type="gramStart"/>
            <w:r>
              <w:rPr>
                <w:rFonts w:eastAsia="Arial" w:cs="Arial"/>
                <w:color w:val="000000"/>
                <w:szCs w:val="21"/>
              </w:rPr>
              <w:t>closes</w:t>
            </w:r>
            <w:proofErr w:type="gramEnd"/>
            <w:r>
              <w:rPr>
                <w:rFonts w:eastAsia="Arial" w:cs="Arial"/>
                <w:color w:val="000000"/>
                <w:szCs w:val="21"/>
              </w:rPr>
              <w:t xml:space="preserve"> or registered bed numbers change. The program area will provide timely advice on changes</w:t>
            </w:r>
            <w:r>
              <w:rPr>
                <w:szCs w:val="21"/>
              </w:rPr>
              <w:t>.</w:t>
            </w:r>
          </w:p>
          <w:p w14:paraId="32A1CE65" w14:textId="72184B79" w:rsidR="00247866" w:rsidRDefault="00247866" w:rsidP="00562B47">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 see the SRS OAP guidelines.</w:t>
            </w:r>
          </w:p>
        </w:tc>
      </w:tr>
      <w:tr w:rsidR="00F7278C" w:rsidRPr="00767FC0" w14:paraId="11BE2E70"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B94CA5" w14:textId="77777777" w:rsidR="00F7278C" w:rsidRPr="00767FC0" w:rsidRDefault="00F7278C" w:rsidP="00C83333">
            <w:pPr>
              <w:pStyle w:val="Heading2"/>
            </w:pPr>
            <w:bookmarkStart w:id="59" w:name="_Toc168052707"/>
            <w:r w:rsidRPr="008407BD">
              <w:t>SRS Support Funding</w:t>
            </w:r>
            <w:r>
              <w:t>: Fresh Food</w:t>
            </w:r>
            <w:bookmarkEnd w:id="59"/>
          </w:p>
        </w:tc>
      </w:tr>
      <w:tr w:rsidR="00F7278C" w14:paraId="7F8231DC" w14:textId="77777777">
        <w:tc>
          <w:tcPr>
            <w:tcW w:w="2122" w:type="dxa"/>
            <w:tcBorders>
              <w:top w:val="single" w:sz="4" w:space="0" w:color="auto"/>
              <w:left w:val="single" w:sz="4" w:space="0" w:color="auto"/>
              <w:bottom w:val="single" w:sz="4" w:space="0" w:color="auto"/>
              <w:right w:val="single" w:sz="4" w:space="0" w:color="auto"/>
            </w:tcBorders>
            <w:hideMark/>
          </w:tcPr>
          <w:p w14:paraId="48082E0B" w14:textId="77777777" w:rsidR="00F7278C" w:rsidRDefault="00F7278C">
            <w:pPr>
              <w:rPr>
                <w:rFonts w:cs="Arial"/>
                <w:sz w:val="22"/>
                <w:szCs w:val="22"/>
              </w:rPr>
            </w:pPr>
            <w:r>
              <w:rPr>
                <w:rFonts w:cs="Arial"/>
                <w:sz w:val="22"/>
                <w:szCs w:val="22"/>
              </w:rPr>
              <w:t>Aim/Objective</w:t>
            </w:r>
          </w:p>
        </w:tc>
        <w:tc>
          <w:tcPr>
            <w:tcW w:w="6894" w:type="dxa"/>
            <w:tcBorders>
              <w:top w:val="single" w:sz="4" w:space="0" w:color="auto"/>
              <w:left w:val="single" w:sz="4" w:space="0" w:color="auto"/>
              <w:bottom w:val="single" w:sz="4" w:space="0" w:color="auto"/>
              <w:right w:val="single" w:sz="4" w:space="0" w:color="auto"/>
            </w:tcBorders>
            <w:hideMark/>
          </w:tcPr>
          <w:p w14:paraId="64A99F3A" w14:textId="68502792" w:rsidR="003E1D23" w:rsidRPr="00B05658" w:rsidRDefault="003E1D23" w:rsidP="00B05658">
            <w:pPr>
              <w:pStyle w:val="BodyText"/>
              <w:rPr>
                <w:color w:val="000000"/>
                <w:sz w:val="21"/>
                <w:szCs w:val="21"/>
                <w:lang w:val="en-AU"/>
              </w:rPr>
            </w:pPr>
            <w:r w:rsidRPr="00B05658">
              <w:rPr>
                <w:color w:val="000000"/>
                <w:sz w:val="21"/>
                <w:szCs w:val="21"/>
                <w:lang w:val="en-AU"/>
              </w:rPr>
              <w:t xml:space="preserve">Improve the availability of fresh food for </w:t>
            </w:r>
            <w:r w:rsidR="009D3719" w:rsidRPr="003E1D23">
              <w:rPr>
                <w:color w:val="000000"/>
                <w:sz w:val="21"/>
                <w:szCs w:val="21"/>
                <w:lang w:val="en-AU"/>
              </w:rPr>
              <w:t>residents.</w:t>
            </w:r>
            <w:r w:rsidRPr="00B05658">
              <w:rPr>
                <w:color w:val="000000"/>
                <w:sz w:val="21"/>
                <w:szCs w:val="21"/>
                <w:lang w:val="en-AU"/>
              </w:rPr>
              <w:t xml:space="preserve"> </w:t>
            </w:r>
          </w:p>
          <w:p w14:paraId="7CDB2E0A" w14:textId="44C56B13" w:rsidR="00F7278C" w:rsidRDefault="00F7278C">
            <w:pPr>
              <w:pStyle w:val="DHHSbody"/>
              <w:rPr>
                <w:szCs w:val="21"/>
                <w:highlight w:val="yellow"/>
              </w:rPr>
            </w:pPr>
          </w:p>
        </w:tc>
      </w:tr>
      <w:tr w:rsidR="00F7278C" w14:paraId="0797BF25"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689DD025" w14:textId="77777777" w:rsidR="00F7278C" w:rsidRDefault="00F7278C">
            <w:pPr>
              <w:rPr>
                <w:rFonts w:cs="Arial"/>
                <w:sz w:val="22"/>
                <w:szCs w:val="22"/>
              </w:rPr>
            </w:pPr>
            <w:r>
              <w:rPr>
                <w:rFonts w:cs="Arial"/>
                <w:sz w:val="22"/>
                <w:szCs w:val="22"/>
              </w:rPr>
              <w:t xml:space="preserve">Service Requirements  </w:t>
            </w:r>
          </w:p>
        </w:tc>
        <w:tc>
          <w:tcPr>
            <w:tcW w:w="6894" w:type="dxa"/>
            <w:tcBorders>
              <w:top w:val="single" w:sz="4" w:space="0" w:color="auto"/>
              <w:left w:val="single" w:sz="4" w:space="0" w:color="auto"/>
              <w:bottom w:val="single" w:sz="4" w:space="0" w:color="auto"/>
              <w:right w:val="single" w:sz="4" w:space="0" w:color="auto"/>
            </w:tcBorders>
            <w:hideMark/>
          </w:tcPr>
          <w:p w14:paraId="5705BF24" w14:textId="77777777" w:rsidR="008F0E25" w:rsidRPr="00E50E29" w:rsidRDefault="008F0E25" w:rsidP="008F0E25">
            <w:pPr>
              <w:pStyle w:val="DHHSbody"/>
              <w:rPr>
                <w:rFonts w:cs="Arial"/>
              </w:rPr>
            </w:pPr>
            <w:r w:rsidRPr="00E50E29">
              <w:rPr>
                <w:rFonts w:cs="Arial"/>
              </w:rPr>
              <w:t xml:space="preserve">Planning and distributing Fresh Food funding with each participating SRS.  </w:t>
            </w:r>
          </w:p>
          <w:p w14:paraId="09471906" w14:textId="75FAA809" w:rsidR="008C263E" w:rsidRDefault="00F7278C" w:rsidP="008F0E25">
            <w:pPr>
              <w:pStyle w:val="DHHSbody"/>
              <w:rPr>
                <w:sz w:val="22"/>
                <w:szCs w:val="22"/>
              </w:rPr>
            </w:pPr>
            <w:r>
              <w:rPr>
                <w:rFonts w:eastAsia="Arial" w:cs="Arial"/>
                <w:color w:val="000000"/>
                <w:szCs w:val="21"/>
              </w:rPr>
              <w:t>The program area provides the funded organisation an annual funding schedule that confirms current Fresh Food base units per SRS. All fresh food funding units should be provide</w:t>
            </w:r>
            <w:r w:rsidR="007813BE">
              <w:rPr>
                <w:rFonts w:eastAsia="Arial" w:cs="Arial"/>
                <w:color w:val="000000"/>
                <w:szCs w:val="21"/>
              </w:rPr>
              <w:t>d</w:t>
            </w:r>
            <w:r>
              <w:rPr>
                <w:rFonts w:eastAsia="Arial" w:cs="Arial"/>
                <w:color w:val="000000"/>
                <w:szCs w:val="21"/>
              </w:rPr>
              <w:t xml:space="preserve"> to operating SRS as per the funding schedule.</w:t>
            </w:r>
          </w:p>
        </w:tc>
      </w:tr>
      <w:tr w:rsidR="00F7278C" w14:paraId="75A89308"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638C9840" w14:textId="77777777" w:rsidR="00F7278C" w:rsidRDefault="00F7278C">
            <w:pPr>
              <w:rPr>
                <w:rFonts w:eastAsia="Arial" w:cs="Arial"/>
                <w:sz w:val="22"/>
                <w:szCs w:val="22"/>
              </w:rPr>
            </w:pPr>
            <w:r w:rsidRPr="000E3237">
              <w:rPr>
                <w:rFonts w:cs="Arial"/>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23B9B6BA" w14:textId="77777777" w:rsidR="00F7278C" w:rsidRDefault="00F7278C">
            <w:pPr>
              <w:spacing w:before="80" w:after="60" w:line="256" w:lineRule="auto"/>
              <w:rPr>
                <w:rFonts w:eastAsia="Arial" w:cs="Arial"/>
                <w:color w:val="000000"/>
                <w:sz w:val="20"/>
              </w:rPr>
            </w:pPr>
            <w:r>
              <w:rPr>
                <w:rFonts w:eastAsia="Arial" w:cs="Arial"/>
                <w:color w:val="000000"/>
                <w:szCs w:val="21"/>
              </w:rPr>
              <w:t>SRS OAP Expenditure Template</w:t>
            </w:r>
          </w:p>
          <w:p w14:paraId="26A3D17E" w14:textId="77777777" w:rsidR="00F7278C" w:rsidRDefault="00F7278C">
            <w:pPr>
              <w:spacing w:before="80" w:after="60" w:line="256" w:lineRule="auto"/>
              <w:rPr>
                <w:rFonts w:eastAsia="Arial" w:cs="Arial"/>
                <w:color w:val="000000"/>
                <w:sz w:val="22"/>
                <w:szCs w:val="22"/>
              </w:rPr>
            </w:pPr>
          </w:p>
        </w:tc>
      </w:tr>
      <w:tr w:rsidR="00F7278C" w14:paraId="3196B5B4" w14:textId="77777777">
        <w:tc>
          <w:tcPr>
            <w:tcW w:w="2122" w:type="dxa"/>
            <w:tcBorders>
              <w:top w:val="single" w:sz="4" w:space="0" w:color="auto"/>
              <w:left w:val="single" w:sz="4" w:space="0" w:color="auto"/>
              <w:bottom w:val="single" w:sz="4" w:space="0" w:color="auto"/>
              <w:right w:val="single" w:sz="4" w:space="0" w:color="auto"/>
            </w:tcBorders>
            <w:hideMark/>
          </w:tcPr>
          <w:p w14:paraId="5F1D85F4" w14:textId="77777777" w:rsidR="00F7278C" w:rsidRDefault="00F7278C">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0AA8B8C9" w14:textId="2C0D594E" w:rsidR="00F7278C" w:rsidRDefault="00F7278C">
            <w:pPr>
              <w:spacing w:before="80" w:after="60" w:line="256" w:lineRule="auto"/>
              <w:rPr>
                <w:rFonts w:eastAsia="Arial" w:cs="Arial"/>
                <w:color w:val="000000"/>
                <w:szCs w:val="21"/>
              </w:rPr>
            </w:pPr>
            <w:r>
              <w:rPr>
                <w:rFonts w:eastAsia="Arial" w:cs="Arial"/>
                <w:color w:val="000000"/>
                <w:szCs w:val="21"/>
                <w:u w:val="single"/>
              </w:rPr>
              <w:t>Fresh Food Units:</w:t>
            </w:r>
            <w:r>
              <w:rPr>
                <w:rFonts w:eastAsia="Arial" w:cs="Arial"/>
                <w:color w:val="000000"/>
                <w:szCs w:val="21"/>
              </w:rPr>
              <w:t xml:space="preserve"> Fresh Food funding is calculated on a unit price per Fresh Food base unit per SRS.  The program area confirms the number of Fresh Food base units per SRS per year and this is reflected in the annual program area funding schedule.</w:t>
            </w:r>
          </w:p>
          <w:p w14:paraId="05C5B404" w14:textId="77777777" w:rsidR="00F7278C" w:rsidRDefault="00F7278C">
            <w:pPr>
              <w:spacing w:before="80" w:after="60"/>
              <w:rPr>
                <w:rFonts w:eastAsia="Arial" w:cs="Arial"/>
                <w:color w:val="000000"/>
                <w:szCs w:val="21"/>
              </w:rPr>
            </w:pPr>
            <w:r>
              <w:rPr>
                <w:rFonts w:eastAsia="Arial" w:cs="Arial"/>
                <w:color w:val="000000"/>
                <w:szCs w:val="21"/>
                <w:u w:val="single"/>
              </w:rPr>
              <w:t xml:space="preserve">Registered bed changes: </w:t>
            </w:r>
            <w:r>
              <w:rPr>
                <w:rFonts w:eastAsia="Arial" w:cs="Arial"/>
                <w:color w:val="000000"/>
                <w:szCs w:val="21"/>
              </w:rPr>
              <w:t xml:space="preserve">The Social Services Regulator maintains the register of all currently operating SRS and associated registered bed numbers and notifies the program area </w:t>
            </w:r>
            <w:r w:rsidRPr="008E164B">
              <w:rPr>
                <w:rFonts w:eastAsia="Arial" w:cs="Arial"/>
                <w:color w:val="000000"/>
                <w:szCs w:val="21"/>
              </w:rPr>
              <w:t>of any registration changes and subsequent changes to Fresh Food base units.</w:t>
            </w:r>
          </w:p>
          <w:p w14:paraId="6BF78A56" w14:textId="510325D9" w:rsidR="00F7278C" w:rsidRDefault="00F7278C">
            <w:pPr>
              <w:pStyle w:val="DHHSbody"/>
              <w:rPr>
                <w:rFonts w:eastAsia="Arial" w:cs="Arial"/>
                <w:color w:val="000000"/>
                <w:szCs w:val="21"/>
              </w:rPr>
            </w:pPr>
            <w:r>
              <w:rPr>
                <w:rFonts w:eastAsia="Arial" w:cs="Arial"/>
                <w:color w:val="000000"/>
                <w:szCs w:val="21"/>
              </w:rPr>
              <w:lastRenderedPageBreak/>
              <w:t>Purchasing rules for Fresh Food funds are contained program guidelines</w:t>
            </w:r>
            <w:r w:rsidR="00716BC9">
              <w:rPr>
                <w:rFonts w:eastAsia="Arial" w:cs="Arial"/>
                <w:color w:val="000000"/>
                <w:szCs w:val="21"/>
              </w:rPr>
              <w:t>.</w:t>
            </w:r>
          </w:p>
          <w:p w14:paraId="391EE5E0" w14:textId="77777777" w:rsidR="002C5E78" w:rsidRDefault="002C5E78">
            <w:pPr>
              <w:pStyle w:val="DHHSbody"/>
              <w:rPr>
                <w:szCs w:val="21"/>
              </w:rPr>
            </w:pPr>
            <w:r>
              <w:rPr>
                <w:rFonts w:eastAsia="Arial" w:cs="Arial"/>
                <w:color w:val="000000"/>
                <w:szCs w:val="21"/>
              </w:rPr>
              <w:t xml:space="preserve">The funding schedule may be subject to change if an SRS </w:t>
            </w:r>
            <w:proofErr w:type="gramStart"/>
            <w:r>
              <w:rPr>
                <w:rFonts w:eastAsia="Arial" w:cs="Arial"/>
                <w:color w:val="000000"/>
                <w:szCs w:val="21"/>
              </w:rPr>
              <w:t>closes</w:t>
            </w:r>
            <w:proofErr w:type="gramEnd"/>
            <w:r>
              <w:rPr>
                <w:rFonts w:eastAsia="Arial" w:cs="Arial"/>
                <w:color w:val="000000"/>
                <w:szCs w:val="21"/>
              </w:rPr>
              <w:t xml:space="preserve"> or registered bed numbers change. The program area will provide timely advice on changes</w:t>
            </w:r>
            <w:r>
              <w:rPr>
                <w:szCs w:val="21"/>
              </w:rPr>
              <w:t>.</w:t>
            </w:r>
          </w:p>
          <w:p w14:paraId="0C97AB63" w14:textId="71659A57" w:rsidR="00247866" w:rsidRDefault="00247866">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 see the SRS OAP guidelines.</w:t>
            </w:r>
          </w:p>
        </w:tc>
      </w:tr>
    </w:tbl>
    <w:p w14:paraId="2D8C9178" w14:textId="77777777" w:rsidR="00F7278C" w:rsidRDefault="00F7278C" w:rsidP="00562B47">
      <w:pPr>
        <w:pStyle w:val="Body"/>
      </w:pPr>
    </w:p>
    <w:p w14:paraId="7AC8BA0E" w14:textId="0D608A65" w:rsidR="00A367EF" w:rsidRDefault="00C83333" w:rsidP="00C83333">
      <w:pPr>
        <w:pStyle w:val="Heading2"/>
      </w:pPr>
      <w:bookmarkStart w:id="60" w:name="_Toc168052708"/>
      <w:r>
        <w:t>5.4</w:t>
      </w:r>
      <w:r>
        <w:tab/>
      </w:r>
      <w:r w:rsidR="00A367EF" w:rsidRPr="00B05658">
        <w:t>SRS Capacity Building and Resident Outreach</w:t>
      </w:r>
      <w:r w:rsidR="00365185">
        <w:t xml:space="preserve"> (Activity 37415)</w:t>
      </w:r>
      <w:bookmarkEnd w:id="60"/>
    </w:p>
    <w:p w14:paraId="72CAEFAA" w14:textId="34440C55" w:rsidR="00256715" w:rsidRDefault="00256715" w:rsidP="00B05658">
      <w:pPr>
        <w:pStyle w:val="Body"/>
        <w:rPr>
          <w:rStyle w:val="normaltextrun"/>
          <w:rFonts w:eastAsia="Arial" w:cs="Arial"/>
          <w:color w:val="000000" w:themeColor="text1"/>
          <w:sz w:val="20"/>
        </w:rPr>
      </w:pPr>
      <w:r w:rsidRPr="00256715">
        <w:rPr>
          <w:b/>
          <w:bCs/>
        </w:rPr>
        <w:t>Outcome Objective:</w:t>
      </w:r>
      <w:r>
        <w:t xml:space="preserve"> </w:t>
      </w:r>
      <w:r w:rsidRPr="007D21EE">
        <w:rPr>
          <w:rFonts w:eastAsia="Arial" w:cs="Arial"/>
          <w:color w:val="000000" w:themeColor="text1"/>
          <w:sz w:val="20"/>
        </w:rPr>
        <w:t>Pension-level Supported Residential Services residents provided with service coordination and support/brokerage services</w:t>
      </w:r>
      <w:r>
        <w:rPr>
          <w:rStyle w:val="normaltextrun"/>
          <w:rFonts w:eastAsia="Arial" w:cs="Arial"/>
          <w:color w:val="000000" w:themeColor="text1"/>
          <w:sz w:val="20"/>
        </w:rPr>
        <w:t>.</w:t>
      </w:r>
    </w:p>
    <w:tbl>
      <w:tblPr>
        <w:tblStyle w:val="TableGrid1"/>
        <w:tblW w:w="0" w:type="auto"/>
        <w:tblInd w:w="0" w:type="dxa"/>
        <w:tblLook w:val="04A0" w:firstRow="1" w:lastRow="0" w:firstColumn="1" w:lastColumn="0" w:noHBand="0" w:noVBand="1"/>
      </w:tblPr>
      <w:tblGrid>
        <w:gridCol w:w="2122"/>
        <w:gridCol w:w="6894"/>
      </w:tblGrid>
      <w:tr w:rsidR="00F7278C" w:rsidRPr="00767FC0" w14:paraId="6A95DC72" w14:textId="77777777">
        <w:trPr>
          <w:cnfStyle w:val="100000000000" w:firstRow="1" w:lastRow="0" w:firstColumn="0" w:lastColumn="0" w:oddVBand="0" w:evenVBand="0" w:oddHBand="0" w:evenHBand="0" w:firstRowFirstColumn="0" w:firstRowLastColumn="0" w:lastRowFirstColumn="0" w:lastRowLastColumn="0"/>
        </w:trPr>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69956B" w14:textId="215DCA79" w:rsidR="00F7278C" w:rsidRPr="00767FC0" w:rsidRDefault="00F7278C" w:rsidP="00B05658">
            <w:pPr>
              <w:rPr>
                <w:rFonts w:cs="Arial"/>
                <w:sz w:val="26"/>
              </w:rPr>
            </w:pPr>
            <w:r w:rsidRPr="00B05658">
              <w:rPr>
                <w:rFonts w:cs="Arial"/>
                <w:b/>
                <w:color w:val="201547"/>
                <w:sz w:val="26"/>
                <w:szCs w:val="26"/>
              </w:rPr>
              <w:t>SRS Capacity Building and Resident Outreach</w:t>
            </w:r>
            <w:r>
              <w:rPr>
                <w:rFonts w:cs="Arial"/>
                <w:b/>
                <w:color w:val="201547"/>
                <w:sz w:val="26"/>
                <w:szCs w:val="26"/>
              </w:rPr>
              <w:t xml:space="preserve">: </w:t>
            </w:r>
            <w:r w:rsidR="006137AF">
              <w:rPr>
                <w:rFonts w:cs="Arial"/>
                <w:b/>
                <w:color w:val="201547"/>
                <w:sz w:val="26"/>
                <w:szCs w:val="26"/>
              </w:rPr>
              <w:t>Resident Outreach</w:t>
            </w:r>
          </w:p>
        </w:tc>
      </w:tr>
      <w:tr w:rsidR="00F7278C" w14:paraId="74CF53E7" w14:textId="77777777">
        <w:tc>
          <w:tcPr>
            <w:tcW w:w="2122" w:type="dxa"/>
            <w:tcBorders>
              <w:top w:val="single" w:sz="4" w:space="0" w:color="auto"/>
              <w:left w:val="single" w:sz="4" w:space="0" w:color="auto"/>
              <w:bottom w:val="single" w:sz="4" w:space="0" w:color="auto"/>
              <w:right w:val="single" w:sz="4" w:space="0" w:color="auto"/>
            </w:tcBorders>
            <w:hideMark/>
          </w:tcPr>
          <w:p w14:paraId="1236F28F" w14:textId="77777777" w:rsidR="00F7278C" w:rsidRPr="00B05658" w:rsidRDefault="00F7278C">
            <w:pPr>
              <w:rPr>
                <w:rStyle w:val="normaltextrun"/>
                <w:rFonts w:eastAsia="Times"/>
                <w:color w:val="000000"/>
                <w:sz w:val="20"/>
              </w:rPr>
            </w:pPr>
            <w:r w:rsidRPr="007F39BC">
              <w:rPr>
                <w:rFonts w:cs="Arial"/>
                <w:sz w:val="22"/>
                <w:szCs w:val="22"/>
              </w:rPr>
              <w:t>Aim/Objective</w:t>
            </w:r>
          </w:p>
        </w:tc>
        <w:tc>
          <w:tcPr>
            <w:tcW w:w="6894" w:type="dxa"/>
            <w:tcBorders>
              <w:top w:val="single" w:sz="4" w:space="0" w:color="auto"/>
              <w:left w:val="single" w:sz="4" w:space="0" w:color="auto"/>
              <w:bottom w:val="single" w:sz="4" w:space="0" w:color="auto"/>
              <w:right w:val="single" w:sz="4" w:space="0" w:color="auto"/>
            </w:tcBorders>
            <w:hideMark/>
          </w:tcPr>
          <w:p w14:paraId="61041610" w14:textId="63F02B0F" w:rsidR="00502E67" w:rsidRPr="00B05658" w:rsidRDefault="00C43CE3" w:rsidP="00C43CE3">
            <w:pPr>
              <w:pStyle w:val="Body"/>
              <w:rPr>
                <w:rStyle w:val="normaltextrun"/>
                <w:rFonts w:cs="Arial"/>
                <w:color w:val="000000"/>
                <w:sz w:val="20"/>
              </w:rPr>
            </w:pPr>
            <w:r>
              <w:t>This funding is targeted to support the health and wellbeing outcomes of people living in assisted pension-level SRS. </w:t>
            </w:r>
          </w:p>
        </w:tc>
      </w:tr>
      <w:tr w:rsidR="00F7278C" w14:paraId="63A162AA"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2E941B85" w14:textId="77777777" w:rsidR="00F7278C" w:rsidRDefault="00F7278C">
            <w:pPr>
              <w:rPr>
                <w:rFonts w:cs="Arial"/>
                <w:sz w:val="22"/>
                <w:szCs w:val="22"/>
              </w:rPr>
            </w:pPr>
            <w:r>
              <w:rPr>
                <w:rFonts w:cs="Arial"/>
                <w:sz w:val="22"/>
                <w:szCs w:val="22"/>
              </w:rPr>
              <w:t xml:space="preserve">Service Requirements  </w:t>
            </w:r>
          </w:p>
        </w:tc>
        <w:tc>
          <w:tcPr>
            <w:tcW w:w="6894" w:type="dxa"/>
            <w:tcBorders>
              <w:top w:val="single" w:sz="4" w:space="0" w:color="auto"/>
              <w:left w:val="single" w:sz="4" w:space="0" w:color="auto"/>
              <w:bottom w:val="single" w:sz="4" w:space="0" w:color="auto"/>
              <w:right w:val="single" w:sz="4" w:space="0" w:color="auto"/>
            </w:tcBorders>
            <w:hideMark/>
          </w:tcPr>
          <w:p w14:paraId="56929F01" w14:textId="213E6BC9" w:rsidR="00275AD9" w:rsidRPr="00275AD9" w:rsidRDefault="00275AD9" w:rsidP="000321D9">
            <w:pPr>
              <w:pStyle w:val="DHHSbody"/>
              <w:numPr>
                <w:ilvl w:val="0"/>
                <w:numId w:val="19"/>
              </w:numPr>
              <w:rPr>
                <w:rStyle w:val="normaltextrun"/>
                <w:rFonts w:cs="Arial"/>
                <w:color w:val="000000"/>
                <w:szCs w:val="21"/>
              </w:rPr>
            </w:pPr>
            <w:r w:rsidRPr="00275AD9">
              <w:rPr>
                <w:rStyle w:val="normaltextrun"/>
                <w:rFonts w:cs="Arial"/>
                <w:color w:val="000000"/>
                <w:szCs w:val="21"/>
              </w:rPr>
              <w:t xml:space="preserve">Resident Outreach to provide service coordination, </w:t>
            </w:r>
            <w:proofErr w:type="gramStart"/>
            <w:r w:rsidRPr="00275AD9">
              <w:rPr>
                <w:rStyle w:val="normaltextrun"/>
                <w:rFonts w:cs="Arial"/>
                <w:color w:val="000000"/>
                <w:szCs w:val="21"/>
              </w:rPr>
              <w:t>support</w:t>
            </w:r>
            <w:proofErr w:type="gramEnd"/>
            <w:r w:rsidRPr="00275AD9">
              <w:rPr>
                <w:rStyle w:val="normaltextrun"/>
                <w:rFonts w:cs="Arial"/>
                <w:color w:val="000000"/>
                <w:szCs w:val="21"/>
              </w:rPr>
              <w:t xml:space="preserve"> and brokerage to residents of pension level Supported Residential Services, and linking residents to the external services they require to ensure their health and support needs are being met. </w:t>
            </w:r>
          </w:p>
          <w:p w14:paraId="02F09C1B" w14:textId="19BFB2C0" w:rsidR="00F7278C" w:rsidRPr="00B05658" w:rsidRDefault="00F7278C" w:rsidP="00F3261F">
            <w:pPr>
              <w:pStyle w:val="DHHSbody"/>
              <w:ind w:left="360"/>
              <w:rPr>
                <w:rFonts w:cs="Arial"/>
                <w:color w:val="000000"/>
                <w:sz w:val="22"/>
              </w:rPr>
            </w:pPr>
          </w:p>
        </w:tc>
      </w:tr>
      <w:tr w:rsidR="00F7278C" w14:paraId="1317814C"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41531011" w14:textId="77777777" w:rsidR="00F7278C" w:rsidRDefault="00F7278C">
            <w:pPr>
              <w:rPr>
                <w:rFonts w:eastAsia="Arial" w:cs="Arial"/>
                <w:sz w:val="22"/>
                <w:szCs w:val="22"/>
              </w:rPr>
            </w:pPr>
            <w:r>
              <w:rPr>
                <w:rFonts w:eastAsia="Arial" w:cs="Arial"/>
                <w:color w:val="201547"/>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63F081F1" w14:textId="77777777" w:rsidR="00E2594F" w:rsidRPr="00B05658" w:rsidRDefault="00E2594F" w:rsidP="000321D9">
            <w:pPr>
              <w:pStyle w:val="ListParagraph"/>
              <w:numPr>
                <w:ilvl w:val="0"/>
                <w:numId w:val="13"/>
              </w:numPr>
              <w:spacing w:before="80" w:after="60" w:line="240" w:lineRule="auto"/>
              <w:rPr>
                <w:rFonts w:eastAsia="Arial" w:cs="Arial"/>
                <w:color w:val="000000"/>
                <w:sz w:val="22"/>
                <w:szCs w:val="22"/>
              </w:rPr>
            </w:pPr>
            <w:r>
              <w:rPr>
                <w:rFonts w:eastAsia="Arial" w:cs="Arial"/>
                <w:color w:val="000000"/>
                <w:szCs w:val="21"/>
              </w:rPr>
              <w:t>Service Delivery Tracking (registered clients)</w:t>
            </w:r>
          </w:p>
          <w:p w14:paraId="457ACD01" w14:textId="4EE28AB8" w:rsidR="00F7278C" w:rsidRDefault="00E2594F" w:rsidP="000321D9">
            <w:pPr>
              <w:pStyle w:val="ListParagraph"/>
              <w:numPr>
                <w:ilvl w:val="0"/>
                <w:numId w:val="13"/>
              </w:numPr>
              <w:spacing w:before="80" w:after="60" w:line="240" w:lineRule="auto"/>
              <w:rPr>
                <w:rFonts w:eastAsia="Arial" w:cs="Arial"/>
                <w:color w:val="000000"/>
                <w:sz w:val="22"/>
                <w:szCs w:val="22"/>
              </w:rPr>
            </w:pPr>
            <w:r>
              <w:rPr>
                <w:rFonts w:eastAsia="Arial" w:cs="Arial"/>
                <w:color w:val="000000"/>
                <w:szCs w:val="21"/>
              </w:rPr>
              <w:t>SRS OAP Narrative Report (casual clients)</w:t>
            </w:r>
            <w:r>
              <w:rPr>
                <w:rFonts w:eastAsia="Arial" w:cs="Arial"/>
                <w:color w:val="000000"/>
                <w:sz w:val="22"/>
                <w:szCs w:val="22"/>
              </w:rPr>
              <w:t xml:space="preserve"> </w:t>
            </w:r>
          </w:p>
        </w:tc>
      </w:tr>
      <w:tr w:rsidR="00F7278C" w14:paraId="6795940A" w14:textId="77777777" w:rsidTr="00665F40">
        <w:trPr>
          <w:trHeight w:val="983"/>
        </w:trPr>
        <w:tc>
          <w:tcPr>
            <w:tcW w:w="2122" w:type="dxa"/>
            <w:tcBorders>
              <w:top w:val="single" w:sz="4" w:space="0" w:color="auto"/>
              <w:left w:val="single" w:sz="4" w:space="0" w:color="auto"/>
              <w:bottom w:val="single" w:sz="4" w:space="0" w:color="auto"/>
              <w:right w:val="single" w:sz="4" w:space="0" w:color="auto"/>
            </w:tcBorders>
            <w:hideMark/>
          </w:tcPr>
          <w:p w14:paraId="07C80399" w14:textId="77777777" w:rsidR="00F7278C" w:rsidRDefault="00F7278C">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137E5A52" w14:textId="77777777" w:rsidR="003F7468" w:rsidRDefault="003F7468" w:rsidP="003F7468">
            <w:pPr>
              <w:pStyle w:val="DHHSbody"/>
              <w:rPr>
                <w:rStyle w:val="eop"/>
                <w:rFonts w:cs="Arial"/>
                <w:color w:val="000000"/>
              </w:rPr>
            </w:pPr>
            <w:r w:rsidRPr="00B05658">
              <w:rPr>
                <w:rStyle w:val="normaltextrun"/>
                <w:rFonts w:cs="Arial"/>
                <w:color w:val="000000"/>
                <w:u w:val="single"/>
              </w:rPr>
              <w:t>A registered client</w:t>
            </w:r>
            <w:r>
              <w:rPr>
                <w:rStyle w:val="normaltextrun"/>
                <w:rFonts w:cs="Arial"/>
                <w:color w:val="000000"/>
              </w:rPr>
              <w:t xml:space="preserve"> can be defined as someone who receives one-to-one support using a care coordination/case management approach. The contact is planned and continues until the resident no longer requires support (is linked to another service(s)), the SRS can support the resident appropriately or the presenting issues are resolved. The support may include practical assistance using flexible care. </w:t>
            </w:r>
            <w:r>
              <w:rPr>
                <w:rStyle w:val="eop"/>
                <w:rFonts w:cs="Arial"/>
                <w:color w:val="000000"/>
              </w:rPr>
              <w:t> </w:t>
            </w:r>
          </w:p>
          <w:p w14:paraId="7BBDF237" w14:textId="77777777" w:rsidR="003932F0" w:rsidRDefault="003932F0" w:rsidP="003932F0">
            <w:pPr>
              <w:pStyle w:val="DHHSbody"/>
            </w:pPr>
            <w:r>
              <w:t>A client is counted in this measure if they meet the definition of a ‘registered client’ and commenced a support period of individual service coordination and support/ brokerage with a service funded under this activity. </w:t>
            </w:r>
          </w:p>
          <w:p w14:paraId="22B543EB" w14:textId="77777777" w:rsidR="00CA1640" w:rsidRDefault="00CA1640" w:rsidP="00CA1640">
            <w:pPr>
              <w:pStyle w:val="DHHSbody"/>
            </w:pPr>
            <w:r w:rsidRPr="00F6211A">
              <w:t xml:space="preserve">A client can only be counted once per reporting period even if they have more than one support period during that time. </w:t>
            </w:r>
          </w:p>
          <w:p w14:paraId="08911A4A" w14:textId="77777777" w:rsidR="00F7278C" w:rsidRDefault="003F7468" w:rsidP="003F7468">
            <w:pPr>
              <w:pStyle w:val="DHHSbody"/>
            </w:pPr>
            <w:r w:rsidRPr="00B05658">
              <w:rPr>
                <w:u w:val="single"/>
              </w:rPr>
              <w:t>Casual assisted clients</w:t>
            </w:r>
            <w:r>
              <w:rPr>
                <w:b/>
                <w:bCs/>
              </w:rPr>
              <w:t>:</w:t>
            </w:r>
            <w:r>
              <w:t xml:space="preserve"> The service will provide casual assistance to many residents over the course of the reporting period. This will typically take the form of participating in group activities and outings but may include information and advice or one-off assistance in response to a crisis or to make a referral or to provide practical assistance using flexible care funds. These will be captured in annual narrative program reporting.</w:t>
            </w:r>
          </w:p>
          <w:p w14:paraId="149D0A01" w14:textId="300E2732" w:rsidR="00247866" w:rsidRDefault="00247866" w:rsidP="006F7451">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 see the SRS OAP guidelines.</w:t>
            </w:r>
          </w:p>
        </w:tc>
      </w:tr>
      <w:tr w:rsidR="004C1352" w:rsidRPr="00F85498" w14:paraId="62F3BFB7"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6CC5F9" w14:textId="53315829" w:rsidR="004C1352" w:rsidRPr="00F85498" w:rsidRDefault="004C1352">
            <w:pPr>
              <w:rPr>
                <w:rFonts w:cs="Arial"/>
                <w:b/>
                <w:color w:val="201547"/>
                <w:sz w:val="26"/>
                <w:szCs w:val="26"/>
              </w:rPr>
            </w:pPr>
            <w:r w:rsidRPr="00767FC0">
              <w:rPr>
                <w:rFonts w:cs="Arial"/>
                <w:b/>
                <w:color w:val="201547"/>
                <w:sz w:val="26"/>
                <w:szCs w:val="26"/>
              </w:rPr>
              <w:t>SRS Capacity Building and Resident Outreach</w:t>
            </w:r>
            <w:r>
              <w:rPr>
                <w:rFonts w:cs="Arial"/>
                <w:b/>
                <w:color w:val="201547"/>
                <w:sz w:val="26"/>
                <w:szCs w:val="26"/>
              </w:rPr>
              <w:t xml:space="preserve">: </w:t>
            </w:r>
            <w:r w:rsidR="004F11DA" w:rsidRPr="00F85498">
              <w:rPr>
                <w:rFonts w:cs="Arial"/>
                <w:b/>
                <w:color w:val="201547"/>
                <w:sz w:val="26"/>
                <w:szCs w:val="26"/>
              </w:rPr>
              <w:t xml:space="preserve">Flexible Funding/Brokerage </w:t>
            </w:r>
          </w:p>
        </w:tc>
      </w:tr>
      <w:tr w:rsidR="004C1352" w14:paraId="617DC00C" w14:textId="77777777">
        <w:tc>
          <w:tcPr>
            <w:tcW w:w="2122" w:type="dxa"/>
            <w:tcBorders>
              <w:top w:val="single" w:sz="4" w:space="0" w:color="auto"/>
              <w:left w:val="single" w:sz="4" w:space="0" w:color="auto"/>
              <w:bottom w:val="single" w:sz="4" w:space="0" w:color="auto"/>
              <w:right w:val="single" w:sz="4" w:space="0" w:color="auto"/>
            </w:tcBorders>
            <w:hideMark/>
          </w:tcPr>
          <w:p w14:paraId="3C0EBCA7" w14:textId="77777777" w:rsidR="004C1352" w:rsidRDefault="004C1352">
            <w:pPr>
              <w:rPr>
                <w:rFonts w:cs="Arial"/>
                <w:sz w:val="22"/>
                <w:szCs w:val="22"/>
              </w:rPr>
            </w:pPr>
            <w:r>
              <w:rPr>
                <w:rFonts w:cs="Arial"/>
                <w:sz w:val="22"/>
                <w:szCs w:val="22"/>
              </w:rPr>
              <w:lastRenderedPageBreak/>
              <w:t>Aim/Objective</w:t>
            </w:r>
          </w:p>
        </w:tc>
        <w:tc>
          <w:tcPr>
            <w:tcW w:w="6894" w:type="dxa"/>
            <w:tcBorders>
              <w:top w:val="single" w:sz="4" w:space="0" w:color="auto"/>
              <w:left w:val="single" w:sz="4" w:space="0" w:color="auto"/>
              <w:bottom w:val="single" w:sz="4" w:space="0" w:color="auto"/>
              <w:right w:val="single" w:sz="4" w:space="0" w:color="auto"/>
            </w:tcBorders>
            <w:hideMark/>
          </w:tcPr>
          <w:p w14:paraId="1C681F19" w14:textId="2D7EDABD" w:rsidR="004C1352" w:rsidRPr="007D21EE" w:rsidRDefault="007D21EE" w:rsidP="007D21EE">
            <w:pPr>
              <w:pStyle w:val="DHHSbody"/>
              <w:rPr>
                <w:highlight w:val="yellow"/>
              </w:rPr>
            </w:pPr>
            <w:r w:rsidRPr="007D21EE">
              <w:t>Pension-level Supported Residential Services residents provided with service coordination and support/brokerage services</w:t>
            </w:r>
            <w:r w:rsidRPr="007D21EE">
              <w:rPr>
                <w:highlight w:val="yellow"/>
              </w:rPr>
              <w:t xml:space="preserve"> </w:t>
            </w:r>
          </w:p>
        </w:tc>
      </w:tr>
      <w:tr w:rsidR="004C1352" w14:paraId="6B4208D5"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4D57D91A" w14:textId="77777777" w:rsidR="004C1352" w:rsidRDefault="004C1352">
            <w:pPr>
              <w:rPr>
                <w:rFonts w:cs="Arial"/>
                <w:sz w:val="22"/>
                <w:szCs w:val="22"/>
              </w:rPr>
            </w:pPr>
            <w:r>
              <w:rPr>
                <w:rFonts w:cs="Arial"/>
                <w:sz w:val="22"/>
                <w:szCs w:val="22"/>
              </w:rPr>
              <w:t xml:space="preserve">Service Requirements  </w:t>
            </w:r>
          </w:p>
        </w:tc>
        <w:tc>
          <w:tcPr>
            <w:tcW w:w="6894" w:type="dxa"/>
            <w:tcBorders>
              <w:top w:val="single" w:sz="4" w:space="0" w:color="auto"/>
              <w:left w:val="single" w:sz="4" w:space="0" w:color="auto"/>
              <w:bottom w:val="single" w:sz="4" w:space="0" w:color="auto"/>
              <w:right w:val="single" w:sz="4" w:space="0" w:color="auto"/>
            </w:tcBorders>
            <w:hideMark/>
          </w:tcPr>
          <w:p w14:paraId="44AB6A8E" w14:textId="77777777" w:rsidR="004C1352" w:rsidRPr="009926A6" w:rsidRDefault="00935132">
            <w:pPr>
              <w:pStyle w:val="DHHSbody"/>
              <w:rPr>
                <w:rStyle w:val="normaltextrun"/>
                <w:rFonts w:cs="Arial"/>
                <w:color w:val="000000"/>
                <w:szCs w:val="21"/>
              </w:rPr>
            </w:pPr>
            <w:r w:rsidRPr="009926A6">
              <w:rPr>
                <w:szCs w:val="21"/>
              </w:rPr>
              <w:t xml:space="preserve">Expend flexible funds to </w:t>
            </w:r>
            <w:r w:rsidRPr="009926A6">
              <w:rPr>
                <w:rStyle w:val="normaltextrun"/>
                <w:rFonts w:cs="Arial"/>
                <w:color w:val="000000"/>
                <w:szCs w:val="21"/>
              </w:rPr>
              <w:t xml:space="preserve">assist residents to access goods, </w:t>
            </w:r>
            <w:proofErr w:type="gramStart"/>
            <w:r w:rsidRPr="009926A6">
              <w:rPr>
                <w:rStyle w:val="normaltextrun"/>
                <w:rFonts w:cs="Arial"/>
                <w:color w:val="000000"/>
                <w:szCs w:val="21"/>
              </w:rPr>
              <w:t>services</w:t>
            </w:r>
            <w:proofErr w:type="gramEnd"/>
            <w:r w:rsidRPr="009926A6">
              <w:rPr>
                <w:rStyle w:val="normaltextrun"/>
                <w:rFonts w:cs="Arial"/>
                <w:color w:val="000000"/>
                <w:szCs w:val="21"/>
              </w:rPr>
              <w:t xml:space="preserve"> and activities.</w:t>
            </w:r>
          </w:p>
          <w:p w14:paraId="3E30A54B" w14:textId="1BE82961" w:rsidR="00904275" w:rsidRDefault="00904275">
            <w:pPr>
              <w:pStyle w:val="DHHSbody"/>
              <w:rPr>
                <w:sz w:val="22"/>
                <w:szCs w:val="22"/>
              </w:rPr>
            </w:pPr>
            <w:r>
              <w:rPr>
                <w:rFonts w:eastAsia="Arial" w:cs="Arial"/>
                <w:color w:val="000000"/>
                <w:szCs w:val="21"/>
              </w:rPr>
              <w:t xml:space="preserve">The program area provides the funded organisation </w:t>
            </w:r>
            <w:r w:rsidR="00456407">
              <w:rPr>
                <w:rFonts w:eastAsia="Arial" w:cs="Arial"/>
                <w:color w:val="000000"/>
                <w:szCs w:val="21"/>
              </w:rPr>
              <w:t xml:space="preserve">with </w:t>
            </w:r>
            <w:r>
              <w:rPr>
                <w:rFonts w:eastAsia="Arial" w:cs="Arial"/>
                <w:color w:val="000000"/>
                <w:szCs w:val="21"/>
              </w:rPr>
              <w:t xml:space="preserve">an annual funding schedule that confirms current </w:t>
            </w:r>
            <w:r w:rsidR="00D42459">
              <w:rPr>
                <w:rFonts w:eastAsia="Arial" w:cs="Arial"/>
                <w:color w:val="000000"/>
                <w:szCs w:val="21"/>
              </w:rPr>
              <w:t>f</w:t>
            </w:r>
            <w:r w:rsidR="00075110">
              <w:rPr>
                <w:rFonts w:eastAsia="Arial" w:cs="Arial"/>
                <w:color w:val="000000"/>
                <w:szCs w:val="21"/>
              </w:rPr>
              <w:t xml:space="preserve">lexible </w:t>
            </w:r>
            <w:r w:rsidR="00D42459">
              <w:rPr>
                <w:rFonts w:eastAsia="Arial" w:cs="Arial"/>
                <w:color w:val="000000"/>
                <w:szCs w:val="21"/>
              </w:rPr>
              <w:t>f</w:t>
            </w:r>
            <w:r w:rsidR="00075110">
              <w:rPr>
                <w:rFonts w:eastAsia="Arial" w:cs="Arial"/>
                <w:color w:val="000000"/>
                <w:szCs w:val="21"/>
              </w:rPr>
              <w:t>unds</w:t>
            </w:r>
            <w:r>
              <w:rPr>
                <w:rFonts w:eastAsia="Arial" w:cs="Arial"/>
                <w:color w:val="000000"/>
                <w:szCs w:val="21"/>
              </w:rPr>
              <w:t xml:space="preserve"> units per SRS. All </w:t>
            </w:r>
            <w:r w:rsidR="006A6DAC">
              <w:rPr>
                <w:rFonts w:eastAsia="Arial" w:cs="Arial"/>
                <w:color w:val="000000"/>
                <w:szCs w:val="21"/>
              </w:rPr>
              <w:t>f</w:t>
            </w:r>
            <w:r w:rsidR="00036C71">
              <w:rPr>
                <w:rFonts w:eastAsia="Arial" w:cs="Arial"/>
                <w:color w:val="000000"/>
                <w:szCs w:val="21"/>
              </w:rPr>
              <w:t xml:space="preserve">lexible </w:t>
            </w:r>
            <w:r w:rsidR="006A6DAC">
              <w:rPr>
                <w:rFonts w:eastAsia="Arial" w:cs="Arial"/>
                <w:color w:val="000000"/>
                <w:szCs w:val="21"/>
              </w:rPr>
              <w:t>f</w:t>
            </w:r>
            <w:r w:rsidR="00036C71">
              <w:rPr>
                <w:rFonts w:eastAsia="Arial" w:cs="Arial"/>
                <w:color w:val="000000"/>
                <w:szCs w:val="21"/>
              </w:rPr>
              <w:t>unds</w:t>
            </w:r>
            <w:r w:rsidR="006A6DAC">
              <w:rPr>
                <w:rFonts w:eastAsia="Arial" w:cs="Arial"/>
                <w:color w:val="000000"/>
                <w:szCs w:val="21"/>
              </w:rPr>
              <w:t xml:space="preserve"> should be expended </w:t>
            </w:r>
            <w:r>
              <w:rPr>
                <w:rFonts w:eastAsia="Arial" w:cs="Arial"/>
                <w:color w:val="000000"/>
                <w:szCs w:val="21"/>
              </w:rPr>
              <w:t xml:space="preserve">as per the </w:t>
            </w:r>
            <w:r w:rsidR="006A6DAC">
              <w:rPr>
                <w:rFonts w:eastAsia="Arial" w:cs="Arial"/>
                <w:color w:val="000000"/>
                <w:szCs w:val="21"/>
              </w:rPr>
              <w:t xml:space="preserve">flexible </w:t>
            </w:r>
            <w:r>
              <w:rPr>
                <w:rFonts w:eastAsia="Arial" w:cs="Arial"/>
                <w:color w:val="000000"/>
                <w:szCs w:val="21"/>
              </w:rPr>
              <w:t xml:space="preserve">funding </w:t>
            </w:r>
            <w:r w:rsidR="006A6DAC">
              <w:rPr>
                <w:rFonts w:eastAsia="Arial" w:cs="Arial"/>
                <w:color w:val="000000"/>
                <w:szCs w:val="21"/>
              </w:rPr>
              <w:t xml:space="preserve">guidelines. </w:t>
            </w:r>
          </w:p>
        </w:tc>
      </w:tr>
      <w:tr w:rsidR="004C1352" w14:paraId="22862C5A"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5F59C45F" w14:textId="77777777" w:rsidR="004C1352" w:rsidRPr="007F09EE" w:rsidRDefault="004C1352">
            <w:pPr>
              <w:rPr>
                <w:rFonts w:cs="Arial"/>
                <w:sz w:val="22"/>
                <w:szCs w:val="22"/>
              </w:rPr>
            </w:pPr>
            <w:r w:rsidRPr="007F09EE">
              <w:rPr>
                <w:rFonts w:cs="Arial"/>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11CF470F" w14:textId="77777777" w:rsidR="004C1352" w:rsidRPr="00E60CBE" w:rsidRDefault="004C1352" w:rsidP="000321D9">
            <w:pPr>
              <w:pStyle w:val="ListParagraph"/>
              <w:numPr>
                <w:ilvl w:val="0"/>
                <w:numId w:val="13"/>
              </w:numPr>
              <w:spacing w:before="80" w:after="60" w:line="240" w:lineRule="auto"/>
              <w:rPr>
                <w:rFonts w:eastAsia="Arial" w:cs="Arial"/>
                <w:color w:val="000000"/>
                <w:sz w:val="22"/>
                <w:szCs w:val="22"/>
              </w:rPr>
            </w:pPr>
            <w:r w:rsidRPr="00E60CBE">
              <w:rPr>
                <w:rFonts w:eastAsia="Arial" w:cs="Arial"/>
                <w:color w:val="000000"/>
                <w:szCs w:val="21"/>
                <w:shd w:val="clear" w:color="auto" w:fill="FFFFFF" w:themeFill="background1"/>
              </w:rPr>
              <w:t>Service Delivery Tracking (registered clients)</w:t>
            </w:r>
          </w:p>
          <w:p w14:paraId="57E5B60E" w14:textId="77777777" w:rsidR="004C1352" w:rsidRDefault="004C1352" w:rsidP="000321D9">
            <w:pPr>
              <w:pStyle w:val="ListParagraph"/>
              <w:numPr>
                <w:ilvl w:val="0"/>
                <w:numId w:val="13"/>
              </w:numPr>
              <w:spacing w:before="80" w:after="60" w:line="240" w:lineRule="auto"/>
              <w:rPr>
                <w:rFonts w:eastAsia="Arial" w:cs="Arial"/>
                <w:color w:val="000000"/>
                <w:sz w:val="22"/>
                <w:szCs w:val="22"/>
              </w:rPr>
            </w:pPr>
            <w:r>
              <w:rPr>
                <w:rFonts w:eastAsia="Arial" w:cs="Arial"/>
                <w:color w:val="000000"/>
                <w:szCs w:val="21"/>
              </w:rPr>
              <w:t>SRS OAP Narrative Report (casual clients)</w:t>
            </w:r>
            <w:r>
              <w:rPr>
                <w:rFonts w:eastAsia="Arial" w:cs="Arial"/>
                <w:color w:val="000000"/>
                <w:sz w:val="22"/>
                <w:szCs w:val="22"/>
              </w:rPr>
              <w:t xml:space="preserve"> </w:t>
            </w:r>
          </w:p>
        </w:tc>
      </w:tr>
      <w:tr w:rsidR="004C1352" w14:paraId="1776F7ED" w14:textId="77777777">
        <w:trPr>
          <w:trHeight w:val="983"/>
        </w:trPr>
        <w:tc>
          <w:tcPr>
            <w:tcW w:w="2122" w:type="dxa"/>
            <w:tcBorders>
              <w:top w:val="single" w:sz="4" w:space="0" w:color="auto"/>
              <w:left w:val="single" w:sz="4" w:space="0" w:color="auto"/>
              <w:bottom w:val="single" w:sz="4" w:space="0" w:color="auto"/>
              <w:right w:val="single" w:sz="4" w:space="0" w:color="auto"/>
            </w:tcBorders>
            <w:hideMark/>
          </w:tcPr>
          <w:p w14:paraId="10603671" w14:textId="77777777" w:rsidR="004C1352" w:rsidRDefault="004C1352">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03EFFF81" w14:textId="77777777" w:rsidR="00F22A84" w:rsidRDefault="00F22A84">
            <w:pPr>
              <w:pStyle w:val="DHHSbody"/>
              <w:rPr>
                <w:szCs w:val="21"/>
              </w:rPr>
            </w:pPr>
            <w:r>
              <w:rPr>
                <w:rFonts w:eastAsia="Arial" w:cs="Arial"/>
                <w:color w:val="000000"/>
                <w:szCs w:val="21"/>
              </w:rPr>
              <w:t xml:space="preserve">The funding schedule may be subject to change if an SRS </w:t>
            </w:r>
            <w:proofErr w:type="gramStart"/>
            <w:r>
              <w:rPr>
                <w:rFonts w:eastAsia="Arial" w:cs="Arial"/>
                <w:color w:val="000000"/>
                <w:szCs w:val="21"/>
              </w:rPr>
              <w:t>closes</w:t>
            </w:r>
            <w:proofErr w:type="gramEnd"/>
            <w:r>
              <w:rPr>
                <w:rFonts w:eastAsia="Arial" w:cs="Arial"/>
                <w:color w:val="000000"/>
                <w:szCs w:val="21"/>
              </w:rPr>
              <w:t xml:space="preserve"> or registered bed numbers change. The program area will provide timely advice on changes</w:t>
            </w:r>
            <w:r>
              <w:rPr>
                <w:szCs w:val="21"/>
              </w:rPr>
              <w:t>.</w:t>
            </w:r>
          </w:p>
          <w:p w14:paraId="2E9BE566" w14:textId="77777777" w:rsidR="004C1352" w:rsidRDefault="000A0F64">
            <w:pPr>
              <w:pStyle w:val="DHHSbody"/>
              <w:rPr>
                <w:rFonts w:eastAsia="Arial" w:cs="Arial"/>
                <w:szCs w:val="21"/>
              </w:rPr>
            </w:pPr>
            <w:r>
              <w:rPr>
                <w:rFonts w:eastAsia="Arial" w:cs="Arial"/>
                <w:szCs w:val="21"/>
              </w:rPr>
              <w:t>Flexible Funding/Brokerage: Please see program requirements and program guidelines for a definition of brokerage/flexible funding for this program.</w:t>
            </w:r>
          </w:p>
          <w:p w14:paraId="7831542B" w14:textId="29509361" w:rsidR="00247866" w:rsidRDefault="00247866">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 see the SRS OAP guidelines.</w:t>
            </w:r>
          </w:p>
        </w:tc>
      </w:tr>
      <w:tr w:rsidR="00F23A50" w:rsidRPr="00767FC0" w14:paraId="521A9228"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AC3747" w14:textId="77777777" w:rsidR="004E59CF" w:rsidRPr="009D3719" w:rsidRDefault="00F23A50" w:rsidP="00B05658">
            <w:pPr>
              <w:rPr>
                <w:rFonts w:cs="Arial"/>
                <w:b/>
                <w:color w:val="201547"/>
                <w:sz w:val="26"/>
                <w:szCs w:val="26"/>
              </w:rPr>
            </w:pPr>
            <w:r w:rsidRPr="00767FC0">
              <w:rPr>
                <w:rFonts w:cs="Arial"/>
                <w:b/>
                <w:color w:val="201547"/>
                <w:sz w:val="26"/>
                <w:szCs w:val="26"/>
              </w:rPr>
              <w:t>SRS Capacity Building and Resident Outreach</w:t>
            </w:r>
            <w:r>
              <w:rPr>
                <w:rFonts w:cs="Arial"/>
                <w:b/>
                <w:color w:val="201547"/>
                <w:sz w:val="26"/>
                <w:szCs w:val="26"/>
              </w:rPr>
              <w:t xml:space="preserve">: </w:t>
            </w:r>
            <w:r w:rsidR="004E59CF" w:rsidRPr="009D3719">
              <w:rPr>
                <w:rFonts w:cs="Arial"/>
                <w:b/>
                <w:color w:val="201547"/>
                <w:sz w:val="26"/>
                <w:szCs w:val="26"/>
              </w:rPr>
              <w:t xml:space="preserve">SRS provider and staff capacity building </w:t>
            </w:r>
          </w:p>
          <w:p w14:paraId="3C1022FA" w14:textId="30D1957B" w:rsidR="00F23A50" w:rsidRPr="00767FC0" w:rsidRDefault="00F23A50">
            <w:pPr>
              <w:rPr>
                <w:rFonts w:cs="Arial"/>
                <w:bCs/>
                <w:sz w:val="26"/>
                <w:szCs w:val="28"/>
              </w:rPr>
            </w:pPr>
          </w:p>
        </w:tc>
      </w:tr>
      <w:tr w:rsidR="00F23A50" w14:paraId="24D72699" w14:textId="77777777">
        <w:tc>
          <w:tcPr>
            <w:tcW w:w="2122" w:type="dxa"/>
            <w:tcBorders>
              <w:top w:val="single" w:sz="4" w:space="0" w:color="auto"/>
              <w:left w:val="single" w:sz="4" w:space="0" w:color="auto"/>
              <w:bottom w:val="single" w:sz="4" w:space="0" w:color="auto"/>
              <w:right w:val="single" w:sz="4" w:space="0" w:color="auto"/>
            </w:tcBorders>
            <w:hideMark/>
          </w:tcPr>
          <w:p w14:paraId="6065F15B" w14:textId="77777777" w:rsidR="00F23A50" w:rsidRDefault="00F23A50">
            <w:pPr>
              <w:rPr>
                <w:rFonts w:cs="Arial"/>
                <w:sz w:val="22"/>
                <w:szCs w:val="22"/>
              </w:rPr>
            </w:pPr>
            <w:r>
              <w:rPr>
                <w:rFonts w:cs="Arial"/>
                <w:sz w:val="22"/>
                <w:szCs w:val="22"/>
              </w:rPr>
              <w:t>Aim/Objective</w:t>
            </w:r>
          </w:p>
        </w:tc>
        <w:tc>
          <w:tcPr>
            <w:tcW w:w="6894" w:type="dxa"/>
            <w:tcBorders>
              <w:top w:val="single" w:sz="4" w:space="0" w:color="auto"/>
              <w:left w:val="single" w:sz="4" w:space="0" w:color="auto"/>
              <w:bottom w:val="single" w:sz="4" w:space="0" w:color="auto"/>
              <w:right w:val="single" w:sz="4" w:space="0" w:color="auto"/>
            </w:tcBorders>
            <w:hideMark/>
          </w:tcPr>
          <w:p w14:paraId="4A45C128" w14:textId="7C873E9B" w:rsidR="00C63D09" w:rsidRPr="00B05658" w:rsidRDefault="00C63D09" w:rsidP="000321D9">
            <w:pPr>
              <w:pStyle w:val="ListParagraph"/>
              <w:numPr>
                <w:ilvl w:val="0"/>
                <w:numId w:val="13"/>
              </w:numPr>
              <w:spacing w:before="80" w:after="60" w:line="240" w:lineRule="auto"/>
              <w:rPr>
                <w:rFonts w:eastAsia="Arial"/>
                <w:szCs w:val="21"/>
              </w:rPr>
            </w:pPr>
            <w:r w:rsidRPr="00B05658">
              <w:rPr>
                <w:rFonts w:eastAsia="Arial"/>
                <w:szCs w:val="21"/>
              </w:rPr>
              <w:t xml:space="preserve">Improve the connections between </w:t>
            </w:r>
            <w:r w:rsidR="002355B3">
              <w:rPr>
                <w:rFonts w:eastAsia="Arial"/>
                <w:szCs w:val="21"/>
              </w:rPr>
              <w:t>p</w:t>
            </w:r>
            <w:r w:rsidRPr="00B05658">
              <w:rPr>
                <w:rFonts w:eastAsia="Arial"/>
                <w:szCs w:val="21"/>
              </w:rPr>
              <w:t xml:space="preserve">ension-level SRS and local service </w:t>
            </w:r>
            <w:proofErr w:type="gramStart"/>
            <w:r w:rsidRPr="00B05658">
              <w:rPr>
                <w:rFonts w:eastAsia="Arial"/>
                <w:szCs w:val="21"/>
              </w:rPr>
              <w:t>networks</w:t>
            </w:r>
            <w:proofErr w:type="gramEnd"/>
            <w:r w:rsidRPr="00B05658">
              <w:rPr>
                <w:rFonts w:eastAsia="Arial"/>
                <w:szCs w:val="21"/>
              </w:rPr>
              <w:t xml:space="preserve"> </w:t>
            </w:r>
          </w:p>
          <w:p w14:paraId="710FF478" w14:textId="77777777" w:rsidR="00C63D09" w:rsidRPr="00230C4D" w:rsidRDefault="00C63D09" w:rsidP="000321D9">
            <w:pPr>
              <w:pStyle w:val="ListParagraph"/>
              <w:numPr>
                <w:ilvl w:val="0"/>
                <w:numId w:val="13"/>
              </w:numPr>
              <w:spacing w:before="80" w:after="60" w:line="240" w:lineRule="auto"/>
              <w:rPr>
                <w:szCs w:val="21"/>
              </w:rPr>
            </w:pPr>
            <w:r w:rsidRPr="00B05658">
              <w:rPr>
                <w:rFonts w:eastAsia="Arial"/>
                <w:szCs w:val="21"/>
              </w:rPr>
              <w:t xml:space="preserve">Improve the capacity of participating pension-level SRS providers to respond to residents’ support </w:t>
            </w:r>
            <w:proofErr w:type="gramStart"/>
            <w:r w:rsidRPr="00B05658">
              <w:rPr>
                <w:rFonts w:eastAsia="Arial"/>
                <w:szCs w:val="21"/>
              </w:rPr>
              <w:t>needs</w:t>
            </w:r>
            <w:proofErr w:type="gramEnd"/>
          </w:p>
          <w:p w14:paraId="41E90E52" w14:textId="596DAB36" w:rsidR="00F23A50" w:rsidRDefault="00F23A50">
            <w:pPr>
              <w:pStyle w:val="DHHSbody"/>
              <w:rPr>
                <w:szCs w:val="21"/>
                <w:highlight w:val="yellow"/>
              </w:rPr>
            </w:pPr>
          </w:p>
        </w:tc>
      </w:tr>
      <w:tr w:rsidR="00F23A50" w:rsidRPr="002C0A93" w14:paraId="450AE1AE"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475249" w14:textId="77777777" w:rsidR="00F23A50" w:rsidRDefault="00F23A50">
            <w:pPr>
              <w:rPr>
                <w:rFonts w:cs="Arial"/>
                <w:sz w:val="22"/>
                <w:szCs w:val="22"/>
              </w:rPr>
            </w:pPr>
            <w:r>
              <w:rPr>
                <w:rFonts w:cs="Arial"/>
                <w:sz w:val="22"/>
                <w:szCs w:val="22"/>
              </w:rPr>
              <w:t xml:space="preserve">Service Requirements  </w:t>
            </w:r>
          </w:p>
        </w:tc>
        <w:tc>
          <w:tcPr>
            <w:tcW w:w="6894" w:type="dxa"/>
            <w:tcBorders>
              <w:top w:val="single" w:sz="4" w:space="0" w:color="auto"/>
              <w:left w:val="single" w:sz="4" w:space="0" w:color="auto"/>
              <w:bottom w:val="single" w:sz="4" w:space="0" w:color="auto"/>
              <w:right w:val="single" w:sz="4" w:space="0" w:color="auto"/>
            </w:tcBorders>
            <w:hideMark/>
          </w:tcPr>
          <w:p w14:paraId="460D288E" w14:textId="77777777" w:rsidR="003D7889" w:rsidRPr="00CA6641" w:rsidRDefault="003D7889" w:rsidP="00CA6641">
            <w:pPr>
              <w:pStyle w:val="Healthbullet1"/>
              <w:rPr>
                <w:sz w:val="21"/>
                <w:szCs w:val="21"/>
              </w:rPr>
            </w:pPr>
            <w:r w:rsidRPr="00CA6641">
              <w:rPr>
                <w:b/>
                <w:bCs/>
                <w:sz w:val="21"/>
                <w:szCs w:val="21"/>
              </w:rPr>
              <w:t>Capacity building</w:t>
            </w:r>
            <w:r w:rsidRPr="00CA6641">
              <w:rPr>
                <w:sz w:val="21"/>
                <w:szCs w:val="21"/>
              </w:rPr>
              <w:t xml:space="preserve"> services for SRS providers and staff to assist them in identifying residents’ needs, better manage challenging behaviours and advocate with health and community services to facilitate improved access (includes sustained efforts to improve relationships between providers and services where required). </w:t>
            </w:r>
          </w:p>
          <w:p w14:paraId="37BB85B0" w14:textId="65BC9587" w:rsidR="00F23A50" w:rsidRPr="00CA6641" w:rsidRDefault="003D7889" w:rsidP="00CA6641">
            <w:pPr>
              <w:pStyle w:val="Healthbullet1"/>
              <w:rPr>
                <w:sz w:val="21"/>
                <w:szCs w:val="21"/>
              </w:rPr>
            </w:pPr>
            <w:r w:rsidRPr="00CA6641">
              <w:rPr>
                <w:b/>
                <w:sz w:val="21"/>
                <w:szCs w:val="21"/>
              </w:rPr>
              <w:t>Collaborative Planning</w:t>
            </w:r>
            <w:r w:rsidRPr="00CA6641">
              <w:rPr>
                <w:sz w:val="21"/>
                <w:szCs w:val="21"/>
              </w:rPr>
              <w:t xml:space="preserve"> an annual planning process which guides the collaborative practice between funded organisations, SRS providers and staff. </w:t>
            </w:r>
          </w:p>
          <w:p w14:paraId="4D57D845" w14:textId="77777777" w:rsidR="00C33177" w:rsidRPr="00CA6641" w:rsidRDefault="00C33177" w:rsidP="00CA6641">
            <w:pPr>
              <w:pStyle w:val="Healthbullet1"/>
              <w:rPr>
                <w:sz w:val="21"/>
                <w:szCs w:val="21"/>
              </w:rPr>
            </w:pPr>
            <w:r w:rsidRPr="00CA6641">
              <w:rPr>
                <w:rFonts w:cs="Arial"/>
                <w:b/>
                <w:color w:val="000000" w:themeColor="text1"/>
                <w:sz w:val="21"/>
                <w:szCs w:val="21"/>
              </w:rPr>
              <w:t xml:space="preserve">Cluster based activities </w:t>
            </w:r>
            <w:r w:rsidRPr="00CA6641">
              <w:rPr>
                <w:rFonts w:cs="Arial"/>
                <w:sz w:val="21"/>
                <w:szCs w:val="21"/>
              </w:rPr>
              <w:t>f</w:t>
            </w:r>
            <w:r w:rsidRPr="00CA6641">
              <w:rPr>
                <w:sz w:val="21"/>
                <w:szCs w:val="21"/>
              </w:rPr>
              <w:t xml:space="preserve">acilitated by funded organisations for localised groups of </w:t>
            </w:r>
            <w:proofErr w:type="gramStart"/>
            <w:r w:rsidRPr="00CA6641">
              <w:rPr>
                <w:sz w:val="21"/>
                <w:szCs w:val="21"/>
              </w:rPr>
              <w:t>SRS</w:t>
            </w:r>
            <w:proofErr w:type="gramEnd"/>
            <w:r w:rsidRPr="00CA6641">
              <w:rPr>
                <w:sz w:val="21"/>
                <w:szCs w:val="21"/>
              </w:rPr>
              <w:t xml:space="preserve"> to develop necessary capacity-building activities that involve identifying common issues affecting the viability and functioning of SRS and developing or implementing strategies to improve SRS’ capacity to address these issues. </w:t>
            </w:r>
          </w:p>
          <w:p w14:paraId="2C2C92DD" w14:textId="27F175E1" w:rsidR="00CA6641" w:rsidRPr="002C0A93" w:rsidRDefault="00CA6641" w:rsidP="00CA6641">
            <w:pPr>
              <w:pStyle w:val="Healthbullet1"/>
            </w:pPr>
            <w:r w:rsidRPr="00275AD9">
              <w:rPr>
                <w:rStyle w:val="normaltextrun"/>
                <w:rFonts w:cs="Arial"/>
                <w:color w:val="000000"/>
                <w:sz w:val="21"/>
                <w:szCs w:val="21"/>
              </w:rPr>
              <w:t xml:space="preserve">Planning and distributing Facility Cost Relief, Amenity and Safety funds and Fresh Food funding with each participating SRS.  </w:t>
            </w:r>
          </w:p>
        </w:tc>
      </w:tr>
      <w:tr w:rsidR="00F23A50" w14:paraId="0A1FA40D" w14:textId="77777777">
        <w:trPr>
          <w:trHeight w:val="300"/>
        </w:trPr>
        <w:tc>
          <w:tcPr>
            <w:tcW w:w="2122" w:type="dxa"/>
            <w:tcBorders>
              <w:top w:val="single" w:sz="4" w:space="0" w:color="auto"/>
              <w:left w:val="single" w:sz="4" w:space="0" w:color="auto"/>
              <w:bottom w:val="single" w:sz="4" w:space="0" w:color="auto"/>
              <w:right w:val="single" w:sz="4" w:space="0" w:color="auto"/>
            </w:tcBorders>
            <w:hideMark/>
          </w:tcPr>
          <w:p w14:paraId="4D80AF4B" w14:textId="77777777" w:rsidR="00F23A50" w:rsidRDefault="00F23A50">
            <w:pPr>
              <w:rPr>
                <w:rFonts w:eastAsia="Arial" w:cs="Arial"/>
                <w:sz w:val="22"/>
                <w:szCs w:val="22"/>
              </w:rPr>
            </w:pPr>
            <w:r w:rsidRPr="007F09EE">
              <w:rPr>
                <w:rFonts w:cs="Arial"/>
                <w:sz w:val="22"/>
                <w:szCs w:val="22"/>
              </w:rPr>
              <w:t>Data source(s) collection</w:t>
            </w:r>
          </w:p>
        </w:tc>
        <w:tc>
          <w:tcPr>
            <w:tcW w:w="6894" w:type="dxa"/>
            <w:tcBorders>
              <w:top w:val="single" w:sz="4" w:space="0" w:color="auto"/>
              <w:left w:val="single" w:sz="4" w:space="0" w:color="auto"/>
              <w:bottom w:val="single" w:sz="4" w:space="0" w:color="auto"/>
              <w:right w:val="single" w:sz="4" w:space="0" w:color="auto"/>
            </w:tcBorders>
          </w:tcPr>
          <w:p w14:paraId="68EEDFC8" w14:textId="77777777" w:rsidR="00F23A50" w:rsidRPr="00FA06AF" w:rsidRDefault="008A34F6" w:rsidP="000321D9">
            <w:pPr>
              <w:pStyle w:val="ListParagraph"/>
              <w:numPr>
                <w:ilvl w:val="0"/>
                <w:numId w:val="14"/>
              </w:numPr>
              <w:spacing w:before="80" w:after="60" w:line="240" w:lineRule="auto"/>
              <w:rPr>
                <w:rFonts w:eastAsia="Arial" w:cs="Arial"/>
                <w:color w:val="000000"/>
                <w:sz w:val="22"/>
                <w:szCs w:val="22"/>
              </w:rPr>
            </w:pPr>
            <w:r w:rsidRPr="00FA06AF">
              <w:rPr>
                <w:rFonts w:eastAsia="Arial" w:cs="Arial"/>
                <w:color w:val="000000"/>
                <w:sz w:val="22"/>
                <w:szCs w:val="22"/>
              </w:rPr>
              <w:t>C</w:t>
            </w:r>
            <w:r w:rsidRPr="00FA06AF">
              <w:rPr>
                <w:rFonts w:eastAsia="Arial"/>
                <w:szCs w:val="22"/>
              </w:rPr>
              <w:t>ollaborative plans</w:t>
            </w:r>
            <w:r w:rsidR="00F23A50" w:rsidRPr="00B05658">
              <w:rPr>
                <w:rFonts w:eastAsia="Arial" w:cs="Arial"/>
                <w:color w:val="000000"/>
                <w:sz w:val="22"/>
                <w:szCs w:val="22"/>
              </w:rPr>
              <w:t xml:space="preserve"> </w:t>
            </w:r>
          </w:p>
          <w:p w14:paraId="75599E6D" w14:textId="2F0BEB9A" w:rsidR="00FA06AF" w:rsidRPr="00B05658" w:rsidRDefault="00FA06AF" w:rsidP="000321D9">
            <w:pPr>
              <w:pStyle w:val="ListParagraph"/>
              <w:numPr>
                <w:ilvl w:val="0"/>
                <w:numId w:val="14"/>
              </w:numPr>
              <w:spacing w:before="80" w:after="60" w:line="240" w:lineRule="auto"/>
              <w:rPr>
                <w:rFonts w:eastAsia="Arial" w:cs="Arial"/>
                <w:color w:val="000000"/>
                <w:sz w:val="22"/>
                <w:szCs w:val="22"/>
              </w:rPr>
            </w:pPr>
            <w:r w:rsidRPr="00FA06AF">
              <w:rPr>
                <w:rFonts w:eastAsia="Arial" w:cs="Arial"/>
                <w:color w:val="000000"/>
                <w:szCs w:val="21"/>
              </w:rPr>
              <w:t>SRS OAP Narrative Report</w:t>
            </w:r>
          </w:p>
        </w:tc>
      </w:tr>
      <w:tr w:rsidR="00F23A50" w14:paraId="0DB73007" w14:textId="77777777">
        <w:trPr>
          <w:trHeight w:val="983"/>
        </w:trPr>
        <w:tc>
          <w:tcPr>
            <w:tcW w:w="2122" w:type="dxa"/>
            <w:tcBorders>
              <w:top w:val="single" w:sz="4" w:space="0" w:color="auto"/>
              <w:left w:val="single" w:sz="4" w:space="0" w:color="auto"/>
              <w:bottom w:val="single" w:sz="4" w:space="0" w:color="auto"/>
              <w:right w:val="single" w:sz="4" w:space="0" w:color="auto"/>
            </w:tcBorders>
            <w:hideMark/>
          </w:tcPr>
          <w:p w14:paraId="7AE5424A" w14:textId="77777777" w:rsidR="00F23A50" w:rsidRDefault="00F23A50">
            <w:pPr>
              <w:rPr>
                <w:rFonts w:eastAsiaTheme="minorHAnsi" w:cs="Arial"/>
                <w:sz w:val="22"/>
                <w:szCs w:val="22"/>
              </w:rPr>
            </w:pPr>
            <w:r>
              <w:rPr>
                <w:rFonts w:cs="Arial"/>
                <w:sz w:val="22"/>
                <w:szCs w:val="22"/>
              </w:rPr>
              <w:t>Definition of Terms</w:t>
            </w:r>
          </w:p>
        </w:tc>
        <w:tc>
          <w:tcPr>
            <w:tcW w:w="6894" w:type="dxa"/>
            <w:tcBorders>
              <w:top w:val="single" w:sz="4" w:space="0" w:color="auto"/>
              <w:left w:val="single" w:sz="4" w:space="0" w:color="auto"/>
              <w:bottom w:val="single" w:sz="4" w:space="0" w:color="auto"/>
              <w:right w:val="single" w:sz="4" w:space="0" w:color="auto"/>
            </w:tcBorders>
            <w:hideMark/>
          </w:tcPr>
          <w:p w14:paraId="13BEBB7D" w14:textId="77777777" w:rsidR="00F23A50" w:rsidRDefault="0004378D">
            <w:pPr>
              <w:pStyle w:val="DHHSbody"/>
              <w:rPr>
                <w:rStyle w:val="eop"/>
                <w:rFonts w:cs="Arial"/>
                <w:color w:val="000000"/>
                <w:szCs w:val="21"/>
              </w:rPr>
            </w:pPr>
            <w:r>
              <w:rPr>
                <w:rStyle w:val="normaltextrun"/>
                <w:color w:val="000000"/>
                <w:szCs w:val="21"/>
              </w:rPr>
              <w:t>Collaborative Plans: One Collaborative Plan per SRS is developed and implemented annually.</w:t>
            </w:r>
            <w:r>
              <w:rPr>
                <w:rStyle w:val="eop"/>
                <w:rFonts w:cs="Arial"/>
                <w:color w:val="000000"/>
                <w:szCs w:val="21"/>
              </w:rPr>
              <w:t> </w:t>
            </w:r>
          </w:p>
          <w:p w14:paraId="002B06F9" w14:textId="3F7E7B61" w:rsidR="00683C94" w:rsidRDefault="00683C94">
            <w:pPr>
              <w:pStyle w:val="DHHSbody"/>
              <w:rPr>
                <w:rFonts w:eastAsia="Arial" w:cs="Arial"/>
                <w:color w:val="000000"/>
                <w:szCs w:val="21"/>
              </w:rPr>
            </w:pPr>
            <w:r>
              <w:rPr>
                <w:rStyle w:val="eop"/>
                <w:rFonts w:cs="Arial"/>
                <w:color w:val="000000"/>
                <w:szCs w:val="21"/>
              </w:rPr>
              <w:t xml:space="preserve">For more </w:t>
            </w:r>
            <w:proofErr w:type="gramStart"/>
            <w:r>
              <w:rPr>
                <w:rStyle w:val="eop"/>
                <w:rFonts w:cs="Arial"/>
                <w:color w:val="000000"/>
                <w:szCs w:val="21"/>
              </w:rPr>
              <w:t>information</w:t>
            </w:r>
            <w:proofErr w:type="gramEnd"/>
            <w:r>
              <w:rPr>
                <w:rStyle w:val="eop"/>
                <w:rFonts w:cs="Arial"/>
                <w:color w:val="000000"/>
                <w:szCs w:val="21"/>
              </w:rPr>
              <w:t xml:space="preserve"> please</w:t>
            </w:r>
            <w:r w:rsidR="00C52009">
              <w:rPr>
                <w:rStyle w:val="eop"/>
                <w:rFonts w:cs="Arial"/>
                <w:color w:val="000000"/>
                <w:szCs w:val="21"/>
              </w:rPr>
              <w:t xml:space="preserve"> see the SRS OAP guidelines. </w:t>
            </w:r>
          </w:p>
        </w:tc>
      </w:tr>
    </w:tbl>
    <w:p w14:paraId="4B06D085" w14:textId="08CEFF7C" w:rsidR="00B005C2" w:rsidRDefault="00CA0229" w:rsidP="00C83333">
      <w:pPr>
        <w:pStyle w:val="Heading2"/>
      </w:pPr>
      <w:bookmarkStart w:id="61" w:name="_Toc48206347"/>
      <w:bookmarkStart w:id="62" w:name="_Toc168052709"/>
      <w:r>
        <w:lastRenderedPageBreak/>
        <w:t xml:space="preserve">5.5 </w:t>
      </w:r>
      <w:r w:rsidR="00B005C2" w:rsidRPr="00B005C2">
        <w:t>Flexible funding guidelines</w:t>
      </w:r>
      <w:bookmarkEnd w:id="61"/>
      <w:bookmarkEnd w:id="62"/>
    </w:p>
    <w:p w14:paraId="7D389F9F" w14:textId="12703F1B" w:rsidR="006713F2" w:rsidRPr="00C83333" w:rsidRDefault="006713F2" w:rsidP="00C83333">
      <w:pPr>
        <w:pStyle w:val="DHHSbody"/>
      </w:pPr>
      <w:r w:rsidRPr="00C83333">
        <w:t xml:space="preserve">The </w:t>
      </w:r>
      <w:r w:rsidR="003A3052" w:rsidRPr="00C83333">
        <w:t>f</w:t>
      </w:r>
      <w:r w:rsidRPr="00C83333">
        <w:t xml:space="preserve">unded </w:t>
      </w:r>
      <w:r w:rsidR="003A3052" w:rsidRPr="00C83333">
        <w:t>organisation</w:t>
      </w:r>
      <w:r w:rsidRPr="00C83333">
        <w:t xml:space="preserve"> has access to an annual pool of flexible funds / brokerage that is based on the specified annual resident target numbers for each funded </w:t>
      </w:r>
      <w:r w:rsidR="00E5223D" w:rsidRPr="00C83333">
        <w:t>organisation</w:t>
      </w:r>
      <w:r w:rsidRPr="00C83333">
        <w:t xml:space="preserve">. The funds assist resident access to services and activities, as well as supporting the delivery of some capacity building activities for SRS providers and staff. The funds can also be used at discretion of funded </w:t>
      </w:r>
      <w:r w:rsidR="00E5223D" w:rsidRPr="00C83333">
        <w:t xml:space="preserve">organisation </w:t>
      </w:r>
      <w:r w:rsidRPr="00C83333">
        <w:t>to support material aid for residents in high-need circumstances.  </w:t>
      </w:r>
    </w:p>
    <w:p w14:paraId="00509911" w14:textId="77777777" w:rsidR="006713F2" w:rsidRPr="00C83333" w:rsidRDefault="006713F2" w:rsidP="00C83333">
      <w:pPr>
        <w:pStyle w:val="DHHSbody"/>
      </w:pPr>
      <w:r w:rsidRPr="00C83333">
        <w:t xml:space="preserve">The purpose of flexible funds is primarily to support individual residents with complex needs and behaviours. The program prioritises those residents with the highest needs and aims to provide supports to better address those needs. However, it is recognised that group activities may be of </w:t>
      </w:r>
      <w:proofErr w:type="gramStart"/>
      <w:r w:rsidRPr="00C83333">
        <w:t>high-priority</w:t>
      </w:r>
      <w:proofErr w:type="gramEnd"/>
      <w:r w:rsidRPr="00C83333">
        <w:t xml:space="preserve"> in some SRS, particularly in terms of engagement and relationship building. </w:t>
      </w:r>
    </w:p>
    <w:p w14:paraId="7021FBAF" w14:textId="7ABF38A0" w:rsidR="00D06F51" w:rsidRPr="00C83333" w:rsidRDefault="006713F2" w:rsidP="00C83333">
      <w:pPr>
        <w:pStyle w:val="DHHSbody"/>
      </w:pPr>
      <w:r w:rsidRPr="00C83333">
        <w:t xml:space="preserve">For more information on flexible funds please see the SRS OAP guidelines. </w:t>
      </w:r>
    </w:p>
    <w:p w14:paraId="6D2D97F4" w14:textId="4D7BCE92" w:rsidR="003727B2" w:rsidRDefault="00CA0229" w:rsidP="00C83333">
      <w:pPr>
        <w:pStyle w:val="Heading2"/>
      </w:pPr>
      <w:bookmarkStart w:id="63" w:name="_Toc168052710"/>
      <w:r>
        <w:t xml:space="preserve">5.6 </w:t>
      </w:r>
      <w:r w:rsidR="003727B2">
        <w:t>Unexpended Funds</w:t>
      </w:r>
      <w:bookmarkEnd w:id="63"/>
    </w:p>
    <w:p w14:paraId="5FBA6646" w14:textId="36C5523E" w:rsidR="004A010F" w:rsidRDefault="00F868C8" w:rsidP="00C83333">
      <w:pPr>
        <w:pStyle w:val="DHHSbody"/>
      </w:pPr>
      <w:r>
        <w:t xml:space="preserve">Any </w:t>
      </w:r>
      <w:r w:rsidR="00053E80">
        <w:t xml:space="preserve">funds </w:t>
      </w:r>
      <w:r w:rsidR="00B05658">
        <w:t xml:space="preserve">unexpended </w:t>
      </w:r>
      <w:r w:rsidR="00053E80">
        <w:t xml:space="preserve">at the end of the financial year </w:t>
      </w:r>
      <w:r w:rsidR="006D6780">
        <w:t>must</w:t>
      </w:r>
      <w:r w:rsidR="00053E80">
        <w:t xml:space="preserve"> be outlined in the SRS OAP acquittal template. </w:t>
      </w:r>
    </w:p>
    <w:p w14:paraId="2D47A719" w14:textId="1F2FA0B1" w:rsidR="00247866" w:rsidRDefault="004A010F" w:rsidP="00C83333">
      <w:pPr>
        <w:pStyle w:val="DHHSbody"/>
      </w:pPr>
      <w:r>
        <w:t>U</w:t>
      </w:r>
      <w:r w:rsidR="00247866" w:rsidRPr="00247866">
        <w:t xml:space="preserve">nexpended funds </w:t>
      </w:r>
      <w:r w:rsidR="00247866">
        <w:t>at the end of the fin</w:t>
      </w:r>
      <w:r w:rsidR="00470ADD">
        <w:t>anci</w:t>
      </w:r>
      <w:r w:rsidR="00247866">
        <w:t xml:space="preserve">al year </w:t>
      </w:r>
      <w:r w:rsidR="00247866" w:rsidRPr="00247866">
        <w:t xml:space="preserve">for Facility Cost Relief, Fresh Food and Amenity and Safety resulting from SRS closure must be returned to </w:t>
      </w:r>
      <w:r w:rsidR="00247866">
        <w:t>H</w:t>
      </w:r>
      <w:r w:rsidR="00247866" w:rsidRPr="00247866">
        <w:t>omes Victoria</w:t>
      </w:r>
      <w:r w:rsidR="00247866">
        <w:t>.</w:t>
      </w:r>
    </w:p>
    <w:p w14:paraId="402C67A3" w14:textId="377DB2A1" w:rsidR="00D06F51" w:rsidRPr="006713F2" w:rsidRDefault="00053E80" w:rsidP="00C83333">
      <w:pPr>
        <w:pStyle w:val="DHHSbody"/>
      </w:pPr>
      <w:r>
        <w:t>For u</w:t>
      </w:r>
      <w:r w:rsidR="00247866" w:rsidRPr="00247866">
        <w:t xml:space="preserve">nexpended funds </w:t>
      </w:r>
      <w:r w:rsidR="00247866">
        <w:t xml:space="preserve">for Resident Outreach, Capacity Building and </w:t>
      </w:r>
      <w:r w:rsidR="004A010F">
        <w:t>Flexible Funding</w:t>
      </w:r>
      <w:r w:rsidR="00383851">
        <w:t xml:space="preserve">, funded </w:t>
      </w:r>
      <w:r w:rsidR="009D3A04">
        <w:t>organisations</w:t>
      </w:r>
      <w:r>
        <w:t xml:space="preserve"> </w:t>
      </w:r>
      <w:r w:rsidR="00FA1B26">
        <w:t>should</w:t>
      </w:r>
      <w:r w:rsidR="00383851">
        <w:t xml:space="preserve"> </w:t>
      </w:r>
      <w:r>
        <w:t xml:space="preserve">outline what they would do with the unexpended funding </w:t>
      </w:r>
      <w:r w:rsidR="00383851">
        <w:t xml:space="preserve">if it was carried over </w:t>
      </w:r>
      <w:r>
        <w:t>and the associated outcomes it would deliver in the SRS OAP Acquittal Template. These funds may be carried over or re-called at the discretion of Homes Victoria.</w:t>
      </w:r>
    </w:p>
    <w:p w14:paraId="71C5FD06" w14:textId="2F8C3DDA" w:rsidR="00B005C2" w:rsidRPr="00B005C2" w:rsidRDefault="00CA0229" w:rsidP="00C83333">
      <w:pPr>
        <w:pStyle w:val="Heading2"/>
      </w:pPr>
      <w:bookmarkStart w:id="64" w:name="_Toc48206348"/>
      <w:bookmarkStart w:id="65" w:name="_Toc168052711"/>
      <w:r>
        <w:t xml:space="preserve">5.7 </w:t>
      </w:r>
      <w:r w:rsidR="00B005C2" w:rsidRPr="00B005C2">
        <w:t xml:space="preserve">Data Collections and reporting </w:t>
      </w:r>
      <w:proofErr w:type="gramStart"/>
      <w:r w:rsidR="00B005C2" w:rsidRPr="00B005C2">
        <w:t>requirements</w:t>
      </w:r>
      <w:bookmarkEnd w:id="64"/>
      <w:bookmarkEnd w:id="65"/>
      <w:proofErr w:type="gramEnd"/>
    </w:p>
    <w:p w14:paraId="5700E970" w14:textId="37B44AFC" w:rsidR="00421F01" w:rsidRPr="00B05658" w:rsidRDefault="00CE5AF9" w:rsidP="00C83333">
      <w:pPr>
        <w:pStyle w:val="DHHSbody"/>
      </w:pPr>
      <w:r w:rsidRPr="00B05658">
        <w:t>Funded agencies</w:t>
      </w:r>
      <w:r w:rsidR="00421F01" w:rsidRPr="00B05658">
        <w:t xml:space="preserve"> will collect service data and provide data reports to the department in accordance with the service agreement and/or practice requirements.</w:t>
      </w:r>
    </w:p>
    <w:p w14:paraId="59084367" w14:textId="285043C6" w:rsidR="00421F01" w:rsidRDefault="00421F01" w:rsidP="00C83333">
      <w:pPr>
        <w:pStyle w:val="DHHSbody"/>
      </w:pPr>
      <w:r w:rsidRPr="00B05658">
        <w:t xml:space="preserve">Service targets that apply to the </w:t>
      </w:r>
      <w:r w:rsidR="004217A2" w:rsidRPr="00B05658">
        <w:t>SRS OAP</w:t>
      </w:r>
      <w:r w:rsidRPr="00B05658">
        <w:t xml:space="preserve"> are:</w:t>
      </w:r>
    </w:p>
    <w:tbl>
      <w:tblPr>
        <w:tblStyle w:val="TableGrid"/>
        <w:tblW w:w="9346" w:type="dxa"/>
        <w:tblLayout w:type="fixed"/>
        <w:tblLook w:val="06A0" w:firstRow="1" w:lastRow="0" w:firstColumn="1" w:lastColumn="0" w:noHBand="1" w:noVBand="1"/>
      </w:tblPr>
      <w:tblGrid>
        <w:gridCol w:w="2612"/>
        <w:gridCol w:w="2353"/>
        <w:gridCol w:w="2149"/>
        <w:gridCol w:w="2232"/>
      </w:tblGrid>
      <w:tr w:rsidR="000334E1" w14:paraId="7BB2F999" w14:textId="77777777" w:rsidTr="00B05658">
        <w:trPr>
          <w:trHeight w:val="810"/>
        </w:trPr>
        <w:tc>
          <w:tcPr>
            <w:tcW w:w="2612" w:type="dxa"/>
            <w:tcBorders>
              <w:top w:val="single" w:sz="8" w:space="0" w:color="auto"/>
              <w:left w:val="single" w:sz="8" w:space="0" w:color="auto"/>
              <w:bottom w:val="single" w:sz="8" w:space="0" w:color="auto"/>
              <w:right w:val="single" w:sz="8" w:space="0" w:color="auto"/>
            </w:tcBorders>
            <w:hideMark/>
          </w:tcPr>
          <w:p w14:paraId="74BC7047" w14:textId="77777777" w:rsidR="000334E1" w:rsidRDefault="000334E1">
            <w:pPr>
              <w:spacing w:before="80" w:after="60"/>
              <w:rPr>
                <w:rFonts w:asciiTheme="minorHAnsi" w:hAnsiTheme="minorHAnsi"/>
                <w:sz w:val="24"/>
              </w:rPr>
            </w:pPr>
            <w:r>
              <w:rPr>
                <w:rFonts w:eastAsia="Arial" w:cs="Arial"/>
                <w:b/>
                <w:bCs/>
                <w:color w:val="201547"/>
                <w:szCs w:val="21"/>
              </w:rPr>
              <w:t>Data collection name</w:t>
            </w:r>
          </w:p>
        </w:tc>
        <w:tc>
          <w:tcPr>
            <w:tcW w:w="2353" w:type="dxa"/>
            <w:tcBorders>
              <w:top w:val="single" w:sz="8" w:space="0" w:color="auto"/>
              <w:left w:val="single" w:sz="8" w:space="0" w:color="auto"/>
              <w:bottom w:val="single" w:sz="8" w:space="0" w:color="auto"/>
              <w:right w:val="single" w:sz="8" w:space="0" w:color="auto"/>
            </w:tcBorders>
            <w:hideMark/>
          </w:tcPr>
          <w:p w14:paraId="7C2C454E" w14:textId="77777777" w:rsidR="000334E1" w:rsidRDefault="000334E1">
            <w:pPr>
              <w:spacing w:before="80" w:after="60"/>
            </w:pPr>
            <w:r>
              <w:rPr>
                <w:rFonts w:eastAsia="Arial" w:cs="Arial"/>
                <w:b/>
                <w:bCs/>
                <w:color w:val="201547"/>
                <w:szCs w:val="21"/>
              </w:rPr>
              <w:t>Data system</w:t>
            </w:r>
          </w:p>
        </w:tc>
        <w:tc>
          <w:tcPr>
            <w:tcW w:w="2149" w:type="dxa"/>
            <w:tcBorders>
              <w:top w:val="single" w:sz="8" w:space="0" w:color="auto"/>
              <w:left w:val="single" w:sz="8" w:space="0" w:color="auto"/>
              <w:bottom w:val="single" w:sz="8" w:space="0" w:color="auto"/>
              <w:right w:val="single" w:sz="8" w:space="0" w:color="auto"/>
            </w:tcBorders>
            <w:hideMark/>
          </w:tcPr>
          <w:p w14:paraId="496BC8BB" w14:textId="77777777" w:rsidR="000334E1" w:rsidRDefault="000334E1">
            <w:pPr>
              <w:spacing w:before="80" w:after="60"/>
            </w:pPr>
            <w:r>
              <w:rPr>
                <w:rFonts w:eastAsia="Arial" w:cs="Arial"/>
                <w:b/>
                <w:bCs/>
                <w:color w:val="201547"/>
                <w:szCs w:val="21"/>
              </w:rPr>
              <w:t>Data set</w:t>
            </w:r>
          </w:p>
        </w:tc>
        <w:tc>
          <w:tcPr>
            <w:tcW w:w="2232" w:type="dxa"/>
            <w:tcBorders>
              <w:top w:val="single" w:sz="8" w:space="0" w:color="auto"/>
              <w:left w:val="single" w:sz="8" w:space="0" w:color="auto"/>
              <w:bottom w:val="single" w:sz="8" w:space="0" w:color="auto"/>
              <w:right w:val="single" w:sz="8" w:space="0" w:color="auto"/>
            </w:tcBorders>
            <w:hideMark/>
          </w:tcPr>
          <w:p w14:paraId="47009077" w14:textId="77777777" w:rsidR="000334E1" w:rsidRDefault="000334E1">
            <w:pPr>
              <w:spacing w:before="80" w:after="60"/>
            </w:pPr>
            <w:r>
              <w:rPr>
                <w:rFonts w:eastAsia="Arial" w:cs="Arial"/>
                <w:b/>
                <w:bCs/>
                <w:color w:val="201547"/>
                <w:szCs w:val="21"/>
              </w:rPr>
              <w:t>Reporting cycle</w:t>
            </w:r>
          </w:p>
        </w:tc>
      </w:tr>
      <w:tr w:rsidR="000334E1" w14:paraId="23C28CB4" w14:textId="77777777" w:rsidTr="00B05658">
        <w:trPr>
          <w:trHeight w:val="465"/>
        </w:trPr>
        <w:tc>
          <w:tcPr>
            <w:tcW w:w="2612" w:type="dxa"/>
            <w:tcBorders>
              <w:top w:val="single" w:sz="8" w:space="0" w:color="auto"/>
              <w:left w:val="single" w:sz="8" w:space="0" w:color="auto"/>
              <w:bottom w:val="single" w:sz="8" w:space="0" w:color="auto"/>
              <w:right w:val="single" w:sz="8" w:space="0" w:color="auto"/>
            </w:tcBorders>
            <w:hideMark/>
          </w:tcPr>
          <w:p w14:paraId="1C1E50A7" w14:textId="77777777" w:rsidR="000334E1" w:rsidRDefault="000334E1">
            <w:pPr>
              <w:spacing w:before="80" w:after="60"/>
            </w:pPr>
            <w:r>
              <w:rPr>
                <w:rFonts w:eastAsia="Arial" w:cs="Arial"/>
                <w:szCs w:val="21"/>
              </w:rPr>
              <w:t>Service delivery tracking (SDT)</w:t>
            </w:r>
          </w:p>
        </w:tc>
        <w:tc>
          <w:tcPr>
            <w:tcW w:w="2353" w:type="dxa"/>
            <w:tcBorders>
              <w:top w:val="single" w:sz="8" w:space="0" w:color="auto"/>
              <w:left w:val="single" w:sz="8" w:space="0" w:color="auto"/>
              <w:bottom w:val="single" w:sz="8" w:space="0" w:color="auto"/>
              <w:right w:val="single" w:sz="8" w:space="0" w:color="auto"/>
            </w:tcBorders>
            <w:hideMark/>
          </w:tcPr>
          <w:p w14:paraId="5208EA10" w14:textId="77777777" w:rsidR="000334E1" w:rsidRDefault="000334E1">
            <w:pPr>
              <w:spacing w:before="80" w:after="60"/>
            </w:pPr>
            <w:r>
              <w:rPr>
                <w:rFonts w:eastAsia="Arial" w:cs="Arial"/>
                <w:szCs w:val="21"/>
              </w:rPr>
              <w:t>FAC/SAMS</w:t>
            </w:r>
          </w:p>
        </w:tc>
        <w:tc>
          <w:tcPr>
            <w:tcW w:w="2149" w:type="dxa"/>
            <w:tcBorders>
              <w:top w:val="single" w:sz="8" w:space="0" w:color="auto"/>
              <w:left w:val="single" w:sz="8" w:space="0" w:color="auto"/>
              <w:bottom w:val="single" w:sz="8" w:space="0" w:color="auto"/>
              <w:right w:val="single" w:sz="8" w:space="0" w:color="auto"/>
            </w:tcBorders>
            <w:hideMark/>
          </w:tcPr>
          <w:p w14:paraId="3B084805" w14:textId="77777777" w:rsidR="000334E1" w:rsidRDefault="000334E1">
            <w:pPr>
              <w:spacing w:before="80" w:after="60"/>
            </w:pPr>
            <w:r>
              <w:rPr>
                <w:rFonts w:eastAsia="Arial" w:cs="Arial"/>
                <w:szCs w:val="21"/>
              </w:rPr>
              <w:t>Service delivery tracking data set</w:t>
            </w:r>
          </w:p>
        </w:tc>
        <w:tc>
          <w:tcPr>
            <w:tcW w:w="2232" w:type="dxa"/>
            <w:tcBorders>
              <w:top w:val="single" w:sz="8" w:space="0" w:color="auto"/>
              <w:left w:val="single" w:sz="8" w:space="0" w:color="auto"/>
              <w:bottom w:val="single" w:sz="8" w:space="0" w:color="auto"/>
              <w:right w:val="single" w:sz="8" w:space="0" w:color="auto"/>
            </w:tcBorders>
            <w:hideMark/>
          </w:tcPr>
          <w:p w14:paraId="47BFCA59" w14:textId="77777777" w:rsidR="000334E1" w:rsidRDefault="000334E1">
            <w:pPr>
              <w:spacing w:before="80" w:after="60"/>
            </w:pPr>
            <w:r>
              <w:rPr>
                <w:rFonts w:eastAsia="Arial" w:cs="Arial"/>
                <w:color w:val="000000"/>
                <w:szCs w:val="21"/>
              </w:rPr>
              <w:t>Monthly</w:t>
            </w:r>
          </w:p>
        </w:tc>
      </w:tr>
      <w:tr w:rsidR="000334E1" w14:paraId="28884345" w14:textId="77777777" w:rsidTr="00B05658">
        <w:trPr>
          <w:trHeight w:val="465"/>
        </w:trPr>
        <w:tc>
          <w:tcPr>
            <w:tcW w:w="2612" w:type="dxa"/>
            <w:tcBorders>
              <w:top w:val="single" w:sz="8" w:space="0" w:color="auto"/>
              <w:left w:val="single" w:sz="8" w:space="0" w:color="auto"/>
              <w:bottom w:val="single" w:sz="8" w:space="0" w:color="auto"/>
              <w:right w:val="single" w:sz="8" w:space="0" w:color="auto"/>
            </w:tcBorders>
          </w:tcPr>
          <w:p w14:paraId="799C9D18" w14:textId="77777777" w:rsidR="000334E1" w:rsidRDefault="000334E1">
            <w:pPr>
              <w:spacing w:before="80" w:after="60"/>
              <w:rPr>
                <w:rFonts w:eastAsia="Arial" w:cs="Arial"/>
                <w:color w:val="000000"/>
                <w:sz w:val="20"/>
              </w:rPr>
            </w:pPr>
            <w:r>
              <w:rPr>
                <w:rFonts w:eastAsia="Arial" w:cs="Arial"/>
                <w:color w:val="000000"/>
                <w:szCs w:val="21"/>
              </w:rPr>
              <w:t>SRS OAP Expenditure Template</w:t>
            </w:r>
          </w:p>
          <w:p w14:paraId="08439B68" w14:textId="77777777" w:rsidR="000334E1" w:rsidRDefault="000334E1">
            <w:pPr>
              <w:spacing w:before="80" w:after="60"/>
              <w:rPr>
                <w:rFonts w:eastAsia="Arial" w:cs="Arial"/>
                <w:szCs w:val="21"/>
              </w:rPr>
            </w:pPr>
          </w:p>
        </w:tc>
        <w:tc>
          <w:tcPr>
            <w:tcW w:w="2353" w:type="dxa"/>
            <w:tcBorders>
              <w:top w:val="single" w:sz="8" w:space="0" w:color="auto"/>
              <w:left w:val="single" w:sz="8" w:space="0" w:color="auto"/>
              <w:bottom w:val="single" w:sz="8" w:space="0" w:color="auto"/>
              <w:right w:val="single" w:sz="8" w:space="0" w:color="auto"/>
            </w:tcBorders>
            <w:hideMark/>
          </w:tcPr>
          <w:p w14:paraId="24AD97A9" w14:textId="77777777" w:rsidR="000334E1" w:rsidRDefault="000334E1">
            <w:pPr>
              <w:spacing w:before="80" w:after="60"/>
              <w:rPr>
                <w:rFonts w:eastAsia="Arial" w:cs="Arial"/>
                <w:szCs w:val="21"/>
              </w:rPr>
            </w:pPr>
            <w:r>
              <w:rPr>
                <w:rFonts w:eastAsia="Arial" w:cs="Arial"/>
                <w:szCs w:val="21"/>
              </w:rPr>
              <w:t>Manual Data Collection</w:t>
            </w:r>
          </w:p>
        </w:tc>
        <w:tc>
          <w:tcPr>
            <w:tcW w:w="2149" w:type="dxa"/>
            <w:tcBorders>
              <w:top w:val="single" w:sz="8" w:space="0" w:color="auto"/>
              <w:left w:val="single" w:sz="8" w:space="0" w:color="auto"/>
              <w:bottom w:val="single" w:sz="8" w:space="0" w:color="auto"/>
              <w:right w:val="single" w:sz="8" w:space="0" w:color="auto"/>
            </w:tcBorders>
            <w:hideMark/>
          </w:tcPr>
          <w:p w14:paraId="329FEEAF" w14:textId="77777777" w:rsidR="000334E1" w:rsidRDefault="000334E1">
            <w:pPr>
              <w:spacing w:before="80" w:after="60"/>
              <w:rPr>
                <w:rFonts w:eastAsia="Arial" w:cs="Arial"/>
                <w:szCs w:val="21"/>
              </w:rPr>
            </w:pPr>
            <w:r>
              <w:rPr>
                <w:rFonts w:eastAsia="Arial" w:cs="Arial"/>
                <w:color w:val="000000"/>
                <w:szCs w:val="21"/>
              </w:rPr>
              <w:t>SRS OAP Expenditure Template</w:t>
            </w:r>
          </w:p>
        </w:tc>
        <w:tc>
          <w:tcPr>
            <w:tcW w:w="2232" w:type="dxa"/>
            <w:tcBorders>
              <w:top w:val="single" w:sz="8" w:space="0" w:color="auto"/>
              <w:left w:val="single" w:sz="8" w:space="0" w:color="auto"/>
              <w:bottom w:val="single" w:sz="8" w:space="0" w:color="auto"/>
              <w:right w:val="single" w:sz="8" w:space="0" w:color="auto"/>
            </w:tcBorders>
            <w:hideMark/>
          </w:tcPr>
          <w:p w14:paraId="3C948392" w14:textId="77777777" w:rsidR="000334E1" w:rsidRPr="006713F2" w:rsidRDefault="000334E1">
            <w:pPr>
              <w:spacing w:before="80" w:after="60"/>
              <w:rPr>
                <w:rFonts w:eastAsia="Arial" w:cs="Arial"/>
                <w:color w:val="000000"/>
                <w:szCs w:val="21"/>
                <w:highlight w:val="yellow"/>
              </w:rPr>
            </w:pPr>
            <w:r w:rsidRPr="00961A82">
              <w:rPr>
                <w:rFonts w:eastAsia="Arial" w:cs="Arial"/>
                <w:color w:val="000000"/>
                <w:szCs w:val="21"/>
              </w:rPr>
              <w:t>Bi-Annual</w:t>
            </w:r>
          </w:p>
        </w:tc>
      </w:tr>
      <w:tr w:rsidR="000334E1" w14:paraId="21BA078D" w14:textId="77777777" w:rsidTr="00B05658">
        <w:trPr>
          <w:trHeight w:val="405"/>
        </w:trPr>
        <w:tc>
          <w:tcPr>
            <w:tcW w:w="2612" w:type="dxa"/>
            <w:tcBorders>
              <w:top w:val="single" w:sz="8" w:space="0" w:color="auto"/>
              <w:left w:val="single" w:sz="8" w:space="0" w:color="auto"/>
              <w:bottom w:val="single" w:sz="8" w:space="0" w:color="auto"/>
              <w:right w:val="single" w:sz="8" w:space="0" w:color="auto"/>
            </w:tcBorders>
            <w:hideMark/>
          </w:tcPr>
          <w:p w14:paraId="0E896FA2" w14:textId="77777777" w:rsidR="000334E1" w:rsidRDefault="000334E1">
            <w:pPr>
              <w:spacing w:before="80" w:after="60"/>
              <w:rPr>
                <w:rFonts w:asciiTheme="minorHAnsi" w:eastAsiaTheme="minorHAnsi" w:hAnsiTheme="minorHAnsi" w:cstheme="minorBidi"/>
                <w:sz w:val="24"/>
                <w:szCs w:val="24"/>
              </w:rPr>
            </w:pPr>
            <w:r>
              <w:rPr>
                <w:rFonts w:eastAsia="Arial" w:cs="Arial"/>
                <w:szCs w:val="21"/>
              </w:rPr>
              <w:t xml:space="preserve">Collaborative Plans </w:t>
            </w:r>
          </w:p>
        </w:tc>
        <w:tc>
          <w:tcPr>
            <w:tcW w:w="2353" w:type="dxa"/>
            <w:tcBorders>
              <w:top w:val="single" w:sz="8" w:space="0" w:color="auto"/>
              <w:left w:val="single" w:sz="8" w:space="0" w:color="auto"/>
              <w:bottom w:val="single" w:sz="8" w:space="0" w:color="auto"/>
              <w:right w:val="single" w:sz="8" w:space="0" w:color="auto"/>
            </w:tcBorders>
            <w:hideMark/>
          </w:tcPr>
          <w:p w14:paraId="498C4ADB" w14:textId="77777777" w:rsidR="000334E1" w:rsidRDefault="000334E1">
            <w:pPr>
              <w:spacing w:before="80" w:after="60"/>
            </w:pPr>
            <w:r>
              <w:rPr>
                <w:rFonts w:eastAsia="Arial" w:cs="Arial"/>
                <w:szCs w:val="21"/>
              </w:rPr>
              <w:t xml:space="preserve">Manual Data Collection </w:t>
            </w:r>
          </w:p>
        </w:tc>
        <w:tc>
          <w:tcPr>
            <w:tcW w:w="2149" w:type="dxa"/>
            <w:tcBorders>
              <w:top w:val="single" w:sz="8" w:space="0" w:color="auto"/>
              <w:left w:val="single" w:sz="8" w:space="0" w:color="auto"/>
              <w:bottom w:val="single" w:sz="8" w:space="0" w:color="auto"/>
              <w:right w:val="single" w:sz="8" w:space="0" w:color="auto"/>
            </w:tcBorders>
            <w:hideMark/>
          </w:tcPr>
          <w:p w14:paraId="26208575" w14:textId="77777777" w:rsidR="000334E1" w:rsidRDefault="000334E1">
            <w:pPr>
              <w:spacing w:before="80" w:after="60"/>
            </w:pPr>
            <w:r>
              <w:rPr>
                <w:rFonts w:eastAsia="Arial" w:cs="Arial"/>
                <w:szCs w:val="21"/>
              </w:rPr>
              <w:t>Collaborative Plans</w:t>
            </w:r>
          </w:p>
        </w:tc>
        <w:tc>
          <w:tcPr>
            <w:tcW w:w="2232" w:type="dxa"/>
            <w:tcBorders>
              <w:top w:val="single" w:sz="8" w:space="0" w:color="auto"/>
              <w:left w:val="single" w:sz="8" w:space="0" w:color="auto"/>
              <w:bottom w:val="single" w:sz="8" w:space="0" w:color="auto"/>
              <w:right w:val="single" w:sz="8" w:space="0" w:color="auto"/>
            </w:tcBorders>
            <w:shd w:val="clear" w:color="auto" w:fill="auto"/>
            <w:hideMark/>
          </w:tcPr>
          <w:p w14:paraId="48ACA16F" w14:textId="77777777" w:rsidR="000334E1" w:rsidRPr="006713F2" w:rsidRDefault="000334E1">
            <w:pPr>
              <w:spacing w:before="80" w:after="60"/>
              <w:rPr>
                <w:highlight w:val="yellow"/>
              </w:rPr>
            </w:pPr>
            <w:r w:rsidRPr="006713F2">
              <w:rPr>
                <w:rFonts w:eastAsia="Arial" w:cs="Arial"/>
                <w:szCs w:val="21"/>
              </w:rPr>
              <w:t xml:space="preserve">Bi-Annual </w:t>
            </w:r>
          </w:p>
        </w:tc>
      </w:tr>
      <w:tr w:rsidR="000334E1" w14:paraId="690710D0" w14:textId="77777777" w:rsidTr="00B05658">
        <w:trPr>
          <w:trHeight w:val="420"/>
        </w:trPr>
        <w:tc>
          <w:tcPr>
            <w:tcW w:w="2612" w:type="dxa"/>
            <w:tcBorders>
              <w:top w:val="single" w:sz="8" w:space="0" w:color="auto"/>
              <w:left w:val="single" w:sz="8" w:space="0" w:color="auto"/>
              <w:bottom w:val="single" w:sz="8" w:space="0" w:color="auto"/>
              <w:right w:val="single" w:sz="8" w:space="0" w:color="auto"/>
            </w:tcBorders>
            <w:hideMark/>
          </w:tcPr>
          <w:p w14:paraId="78C07919" w14:textId="77777777" w:rsidR="000334E1" w:rsidRDefault="000334E1">
            <w:pPr>
              <w:spacing w:before="80" w:after="60"/>
            </w:pPr>
            <w:r>
              <w:rPr>
                <w:rFonts w:eastAsia="Arial" w:cs="Arial"/>
                <w:szCs w:val="21"/>
              </w:rPr>
              <w:t>SRS OAP Narrative Report</w:t>
            </w:r>
          </w:p>
        </w:tc>
        <w:tc>
          <w:tcPr>
            <w:tcW w:w="2353" w:type="dxa"/>
            <w:tcBorders>
              <w:top w:val="single" w:sz="8" w:space="0" w:color="auto"/>
              <w:left w:val="single" w:sz="8" w:space="0" w:color="auto"/>
              <w:bottom w:val="single" w:sz="8" w:space="0" w:color="auto"/>
              <w:right w:val="single" w:sz="8" w:space="0" w:color="auto"/>
            </w:tcBorders>
            <w:hideMark/>
          </w:tcPr>
          <w:p w14:paraId="0AF29BDC" w14:textId="77777777" w:rsidR="000334E1" w:rsidRDefault="000334E1">
            <w:pPr>
              <w:spacing w:before="80" w:after="60"/>
            </w:pPr>
            <w:r>
              <w:rPr>
                <w:rFonts w:eastAsia="Arial" w:cs="Arial"/>
                <w:szCs w:val="21"/>
              </w:rPr>
              <w:t>Manual Data Collection</w:t>
            </w:r>
          </w:p>
        </w:tc>
        <w:tc>
          <w:tcPr>
            <w:tcW w:w="2149" w:type="dxa"/>
            <w:tcBorders>
              <w:top w:val="single" w:sz="8" w:space="0" w:color="auto"/>
              <w:left w:val="single" w:sz="8" w:space="0" w:color="auto"/>
              <w:bottom w:val="single" w:sz="8" w:space="0" w:color="auto"/>
              <w:right w:val="single" w:sz="8" w:space="0" w:color="auto"/>
            </w:tcBorders>
            <w:hideMark/>
          </w:tcPr>
          <w:p w14:paraId="1852106E" w14:textId="77777777" w:rsidR="000334E1" w:rsidRDefault="000334E1">
            <w:pPr>
              <w:spacing w:before="80" w:after="60"/>
            </w:pPr>
            <w:r>
              <w:rPr>
                <w:rFonts w:eastAsia="Arial" w:cs="Arial"/>
                <w:szCs w:val="21"/>
              </w:rPr>
              <w:t xml:space="preserve">SRS OAP Narrative Report </w:t>
            </w:r>
          </w:p>
        </w:tc>
        <w:tc>
          <w:tcPr>
            <w:tcW w:w="2232" w:type="dxa"/>
            <w:tcBorders>
              <w:top w:val="single" w:sz="8" w:space="0" w:color="auto"/>
              <w:left w:val="single" w:sz="8" w:space="0" w:color="auto"/>
              <w:bottom w:val="single" w:sz="8" w:space="0" w:color="auto"/>
              <w:right w:val="single" w:sz="8" w:space="0" w:color="auto"/>
            </w:tcBorders>
            <w:hideMark/>
          </w:tcPr>
          <w:p w14:paraId="1F4D06B5" w14:textId="77777777" w:rsidR="000334E1" w:rsidRDefault="000334E1">
            <w:pPr>
              <w:spacing w:before="80" w:after="60"/>
            </w:pPr>
            <w:r>
              <w:rPr>
                <w:rFonts w:eastAsia="Arial" w:cs="Arial"/>
                <w:szCs w:val="21"/>
              </w:rPr>
              <w:t>Annual</w:t>
            </w:r>
          </w:p>
        </w:tc>
      </w:tr>
    </w:tbl>
    <w:p w14:paraId="21CB12AD" w14:textId="77777777" w:rsidR="000334E1" w:rsidRPr="00B05658" w:rsidRDefault="000334E1" w:rsidP="00421F01">
      <w:pPr>
        <w:pStyle w:val="Body"/>
        <w:rPr>
          <w:sz w:val="20"/>
        </w:rPr>
      </w:pPr>
    </w:p>
    <w:p w14:paraId="7D8CC07B" w14:textId="502F24E5" w:rsidR="002A0C7E" w:rsidRPr="00C83333" w:rsidRDefault="00CA0229" w:rsidP="00C83333">
      <w:pPr>
        <w:pStyle w:val="Heading2"/>
      </w:pPr>
      <w:bookmarkStart w:id="66" w:name="_Toc137548211"/>
      <w:bookmarkStart w:id="67" w:name="_Toc168052712"/>
      <w:r w:rsidRPr="00C83333">
        <w:lastRenderedPageBreak/>
        <w:t xml:space="preserve">5.7 </w:t>
      </w:r>
      <w:r w:rsidR="002A0C7E" w:rsidRPr="00C83333">
        <w:t xml:space="preserve">Evaluation </w:t>
      </w:r>
      <w:r w:rsidR="009B49E5" w:rsidRPr="00C83333">
        <w:t>data</w:t>
      </w:r>
      <w:bookmarkEnd w:id="66"/>
      <w:bookmarkEnd w:id="67"/>
    </w:p>
    <w:p w14:paraId="1BC13362" w14:textId="54431AEA" w:rsidR="002A0C7E" w:rsidRPr="00C3267F" w:rsidRDefault="002A0C7E" w:rsidP="002A0C7E">
      <w:pPr>
        <w:pStyle w:val="Body"/>
        <w:rPr>
          <w:sz w:val="20"/>
        </w:rPr>
      </w:pPr>
      <w:r>
        <w:rPr>
          <w:sz w:val="20"/>
        </w:rPr>
        <w:t xml:space="preserve">Homes Victoria may from time to time ask for </w:t>
      </w:r>
      <w:r w:rsidR="00D15B1A">
        <w:rPr>
          <w:sz w:val="20"/>
        </w:rPr>
        <w:t xml:space="preserve">additional </w:t>
      </w:r>
      <w:r>
        <w:rPr>
          <w:sz w:val="20"/>
        </w:rPr>
        <w:t xml:space="preserve">data collection or information to support the monitoring and evaluation of the </w:t>
      </w:r>
      <w:r w:rsidR="009B49E5">
        <w:rPr>
          <w:sz w:val="20"/>
        </w:rPr>
        <w:t xml:space="preserve">SRS OAP </w:t>
      </w:r>
      <w:r>
        <w:rPr>
          <w:sz w:val="20"/>
        </w:rPr>
        <w:t xml:space="preserve">program. </w:t>
      </w:r>
      <w:r w:rsidRPr="00C3267F">
        <w:rPr>
          <w:sz w:val="20"/>
        </w:rPr>
        <w:t xml:space="preserve">It is expected that </w:t>
      </w:r>
      <w:r>
        <w:rPr>
          <w:sz w:val="20"/>
        </w:rPr>
        <w:t xml:space="preserve">funded agencies will support monitoring and evaluation efforts and capture and provide data </w:t>
      </w:r>
      <w:r w:rsidR="00500F6E">
        <w:rPr>
          <w:sz w:val="20"/>
        </w:rPr>
        <w:t>as</w:t>
      </w:r>
      <w:r>
        <w:rPr>
          <w:sz w:val="20"/>
        </w:rPr>
        <w:t xml:space="preserve"> requested. </w:t>
      </w:r>
      <w:r w:rsidRPr="00C3267F">
        <w:rPr>
          <w:sz w:val="20"/>
        </w:rPr>
        <w:t xml:space="preserve"> </w:t>
      </w:r>
    </w:p>
    <w:p w14:paraId="1671D62B" w14:textId="77777777" w:rsidR="00421F01" w:rsidRPr="00B005C2" w:rsidRDefault="00421F01" w:rsidP="00B005C2">
      <w:pPr>
        <w:spacing w:line="270" w:lineRule="atLeast"/>
        <w:rPr>
          <w:rFonts w:eastAsia="Times"/>
          <w:i/>
          <w:color w:val="1F497D" w:themeColor="text2"/>
          <w:sz w:val="20"/>
        </w:rPr>
      </w:pPr>
    </w:p>
    <w:p w14:paraId="2B214B5C" w14:textId="77777777" w:rsidR="00B005C2" w:rsidRPr="00B005C2" w:rsidRDefault="00B005C2" w:rsidP="00B005C2">
      <w:pPr>
        <w:spacing w:line="270" w:lineRule="atLeast"/>
        <w:rPr>
          <w:rFonts w:eastAsia="Times"/>
          <w:i/>
          <w:iCs/>
          <w:color w:val="1F497D" w:themeColor="text2"/>
          <w:sz w:val="20"/>
        </w:rPr>
      </w:pPr>
    </w:p>
    <w:p w14:paraId="3754DFF0" w14:textId="77777777" w:rsidR="00B005C2" w:rsidRPr="00B005C2" w:rsidRDefault="00B005C2" w:rsidP="00B005C2">
      <w:pPr>
        <w:spacing w:line="270" w:lineRule="atLeast"/>
        <w:rPr>
          <w:rFonts w:eastAsia="Times"/>
          <w:i/>
          <w:iCs/>
          <w:color w:val="1F497D" w:themeColor="text2"/>
          <w:sz w:val="20"/>
        </w:rPr>
      </w:pPr>
    </w:p>
    <w:p w14:paraId="25628A89" w14:textId="77777777" w:rsidR="00B005C2" w:rsidRPr="00B005C2" w:rsidRDefault="00B005C2" w:rsidP="00B005C2">
      <w:pPr>
        <w:spacing w:line="270" w:lineRule="atLeast"/>
        <w:rPr>
          <w:rFonts w:eastAsia="Times"/>
          <w:i/>
          <w:iCs/>
          <w:color w:val="1F497D" w:themeColor="text2"/>
          <w:sz w:val="20"/>
        </w:rPr>
      </w:pPr>
    </w:p>
    <w:p w14:paraId="506965F0" w14:textId="77777777" w:rsidR="00B005C2" w:rsidRPr="00B005C2" w:rsidRDefault="00B005C2" w:rsidP="00B005C2">
      <w:pPr>
        <w:spacing w:line="270" w:lineRule="atLeast"/>
        <w:rPr>
          <w:rFonts w:eastAsia="Times"/>
          <w:i/>
          <w:iCs/>
          <w:color w:val="1F497D" w:themeColor="text2"/>
          <w:sz w:val="20"/>
        </w:rPr>
      </w:pPr>
    </w:p>
    <w:p w14:paraId="76787C8E" w14:textId="77777777" w:rsidR="00B005C2" w:rsidRPr="00B005C2" w:rsidRDefault="00B005C2" w:rsidP="00B005C2">
      <w:pPr>
        <w:spacing w:line="270" w:lineRule="atLeast"/>
        <w:rPr>
          <w:rFonts w:eastAsia="Times"/>
          <w:i/>
          <w:iCs/>
          <w:color w:val="1F497D" w:themeColor="text2"/>
          <w:sz w:val="20"/>
        </w:rPr>
      </w:pPr>
    </w:p>
    <w:p w14:paraId="074F41A9" w14:textId="77777777" w:rsidR="00B005C2" w:rsidRPr="00B005C2" w:rsidRDefault="00B005C2" w:rsidP="00B005C2">
      <w:pPr>
        <w:spacing w:line="270" w:lineRule="atLeast"/>
        <w:rPr>
          <w:rFonts w:eastAsia="Times"/>
          <w:i/>
          <w:iCs/>
          <w:color w:val="1F497D" w:themeColor="text2"/>
          <w:sz w:val="20"/>
        </w:rPr>
      </w:pPr>
    </w:p>
    <w:p w14:paraId="06969D6E" w14:textId="77777777" w:rsidR="00B005C2" w:rsidRDefault="00B005C2" w:rsidP="00B005C2">
      <w:pPr>
        <w:spacing w:line="270" w:lineRule="atLeast"/>
        <w:rPr>
          <w:rFonts w:eastAsia="Times"/>
          <w:i/>
          <w:iCs/>
          <w:color w:val="1F497D" w:themeColor="text2"/>
          <w:sz w:val="20"/>
        </w:rPr>
      </w:pPr>
    </w:p>
    <w:p w14:paraId="50ECD5E2" w14:textId="77777777" w:rsidR="000F55A2" w:rsidRDefault="000F55A2" w:rsidP="00B005C2">
      <w:pPr>
        <w:spacing w:line="270" w:lineRule="atLeast"/>
        <w:rPr>
          <w:rFonts w:eastAsia="Times"/>
          <w:i/>
          <w:iCs/>
          <w:color w:val="1F497D" w:themeColor="text2"/>
          <w:sz w:val="20"/>
        </w:rPr>
      </w:pPr>
    </w:p>
    <w:p w14:paraId="37489594" w14:textId="77777777" w:rsidR="000F55A2" w:rsidRDefault="000F55A2" w:rsidP="00B005C2">
      <w:pPr>
        <w:spacing w:line="270" w:lineRule="atLeast"/>
        <w:rPr>
          <w:rFonts w:eastAsia="Times"/>
          <w:i/>
          <w:iCs/>
          <w:color w:val="1F497D" w:themeColor="text2"/>
          <w:sz w:val="20"/>
        </w:rPr>
      </w:pPr>
    </w:p>
    <w:p w14:paraId="526439CD" w14:textId="77777777" w:rsidR="000F55A2" w:rsidRDefault="000F55A2" w:rsidP="00B005C2">
      <w:pPr>
        <w:spacing w:line="270" w:lineRule="atLeast"/>
        <w:rPr>
          <w:rFonts w:eastAsia="Times"/>
          <w:i/>
          <w:iCs/>
          <w:color w:val="1F497D" w:themeColor="text2"/>
          <w:sz w:val="20"/>
        </w:rPr>
      </w:pPr>
    </w:p>
    <w:p w14:paraId="265BE560" w14:textId="77777777" w:rsidR="000F55A2" w:rsidRDefault="000F55A2" w:rsidP="00B005C2">
      <w:pPr>
        <w:spacing w:line="270" w:lineRule="atLeast"/>
        <w:rPr>
          <w:rFonts w:eastAsia="Times"/>
          <w:i/>
          <w:iCs/>
          <w:color w:val="1F497D" w:themeColor="text2"/>
          <w:sz w:val="20"/>
        </w:rPr>
      </w:pPr>
    </w:p>
    <w:p w14:paraId="4E32EDEA" w14:textId="77777777" w:rsidR="000F55A2" w:rsidRDefault="000F55A2" w:rsidP="00B005C2">
      <w:pPr>
        <w:spacing w:line="270" w:lineRule="atLeast"/>
        <w:rPr>
          <w:rFonts w:eastAsia="Times"/>
          <w:i/>
          <w:iCs/>
          <w:color w:val="1F497D" w:themeColor="text2"/>
          <w:sz w:val="20"/>
        </w:rPr>
      </w:pPr>
    </w:p>
    <w:p w14:paraId="69AB347C" w14:textId="77777777" w:rsidR="000F55A2" w:rsidRDefault="000F55A2" w:rsidP="00B005C2">
      <w:pPr>
        <w:spacing w:line="270" w:lineRule="atLeast"/>
        <w:rPr>
          <w:rFonts w:eastAsia="Times"/>
          <w:i/>
          <w:iCs/>
          <w:color w:val="1F497D" w:themeColor="text2"/>
          <w:sz w:val="20"/>
        </w:rPr>
      </w:pPr>
    </w:p>
    <w:p w14:paraId="4D46EBE3" w14:textId="50A4C3F3" w:rsidR="000F55A2" w:rsidRDefault="000F55A2" w:rsidP="00B005C2">
      <w:pPr>
        <w:spacing w:line="270" w:lineRule="atLeast"/>
        <w:rPr>
          <w:rFonts w:eastAsia="Times"/>
          <w:i/>
          <w:iCs/>
          <w:color w:val="1F497D" w:themeColor="text2"/>
          <w:sz w:val="20"/>
        </w:rPr>
      </w:pPr>
      <w:r>
        <w:rPr>
          <w:rFonts w:eastAsia="Times"/>
          <w:i/>
          <w:iCs/>
          <w:color w:val="1F497D" w:themeColor="text2"/>
          <w:sz w:val="20"/>
        </w:rPr>
        <w:br/>
      </w:r>
      <w:r>
        <w:rPr>
          <w:rFonts w:eastAsia="Times"/>
          <w:i/>
          <w:iCs/>
          <w:color w:val="1F497D" w:themeColor="text2"/>
          <w:sz w:val="20"/>
        </w:rPr>
        <w:br/>
      </w:r>
    </w:p>
    <w:p w14:paraId="4187FB5C" w14:textId="77777777" w:rsidR="000F55A2" w:rsidRDefault="000F55A2" w:rsidP="00B005C2">
      <w:pPr>
        <w:spacing w:line="270" w:lineRule="atLeast"/>
        <w:rPr>
          <w:rFonts w:eastAsia="Times"/>
          <w:i/>
          <w:iCs/>
          <w:color w:val="1F497D" w:themeColor="text2"/>
          <w:sz w:val="20"/>
        </w:rPr>
      </w:pPr>
    </w:p>
    <w:p w14:paraId="0484EBF7" w14:textId="77777777" w:rsidR="000F55A2" w:rsidRDefault="000F55A2" w:rsidP="00B005C2">
      <w:pPr>
        <w:spacing w:line="270" w:lineRule="atLeast"/>
        <w:rPr>
          <w:rFonts w:eastAsia="Times"/>
          <w:i/>
          <w:iCs/>
          <w:color w:val="1F497D" w:themeColor="text2"/>
          <w:sz w:val="20"/>
        </w:rPr>
      </w:pPr>
    </w:p>
    <w:p w14:paraId="5FC24594" w14:textId="77777777" w:rsidR="000F55A2" w:rsidRDefault="000F55A2" w:rsidP="00B005C2">
      <w:pPr>
        <w:spacing w:line="270" w:lineRule="atLeast"/>
        <w:rPr>
          <w:rFonts w:eastAsia="Times"/>
          <w:i/>
          <w:iCs/>
          <w:color w:val="1F497D" w:themeColor="text2"/>
          <w:sz w:val="20"/>
        </w:rPr>
      </w:pPr>
    </w:p>
    <w:p w14:paraId="46518B14" w14:textId="77777777" w:rsidR="000F55A2" w:rsidRDefault="000F55A2" w:rsidP="00B005C2">
      <w:pPr>
        <w:spacing w:line="270" w:lineRule="atLeast"/>
        <w:rPr>
          <w:rFonts w:eastAsia="Times"/>
          <w:i/>
          <w:iCs/>
          <w:color w:val="1F497D" w:themeColor="text2"/>
          <w:sz w:val="20"/>
        </w:rPr>
      </w:pPr>
    </w:p>
    <w:p w14:paraId="6715A7D8" w14:textId="77777777" w:rsidR="000F55A2" w:rsidRPr="00B005C2" w:rsidRDefault="000F55A2" w:rsidP="00B005C2">
      <w:pPr>
        <w:spacing w:line="270" w:lineRule="atLeast"/>
        <w:rPr>
          <w:rFonts w:eastAsia="Times"/>
          <w:i/>
          <w:iCs/>
          <w:color w:val="1F497D" w:themeColor="text2"/>
          <w:sz w:val="20"/>
        </w:rPr>
      </w:pPr>
    </w:p>
    <w:p w14:paraId="5B223ECE" w14:textId="77777777" w:rsidR="00B005C2" w:rsidRPr="00B005C2" w:rsidRDefault="00B005C2" w:rsidP="00B005C2">
      <w:pPr>
        <w:spacing w:line="270" w:lineRule="atLeast"/>
        <w:rPr>
          <w:rFonts w:eastAsia="Times"/>
          <w:i/>
          <w:iCs/>
          <w:color w:val="1F497D" w:themeColor="text2"/>
          <w:sz w:val="20"/>
        </w:rPr>
      </w:pPr>
    </w:p>
    <w:p w14:paraId="12621F37" w14:textId="79576DDB" w:rsidR="00EB4BC7" w:rsidRDefault="000F55A2" w:rsidP="000F55A2">
      <w:pPr>
        <w:rPr>
          <w:rFonts w:eastAsia="Times"/>
          <w:i/>
          <w:iCs/>
          <w:color w:val="1F497D" w:themeColor="text2"/>
          <w:sz w:val="20"/>
        </w:rPr>
      </w:pPr>
      <w:r>
        <w:rPr>
          <w:rFonts w:eastAsia="Times"/>
          <w:i/>
          <w:iCs/>
          <w:noProof/>
          <w:color w:val="1F497D" w:themeColor="text2"/>
          <w:sz w:val="20"/>
        </w:rPr>
        <mc:AlternateContent>
          <mc:Choice Requires="wps">
            <w:drawing>
              <wp:anchor distT="0" distB="0" distL="114300" distR="114300" simplePos="0" relativeHeight="251659264" behindDoc="0" locked="0" layoutInCell="1" allowOverlap="1" wp14:anchorId="2A1E552F" wp14:editId="3B18AA44">
                <wp:simplePos x="0" y="0"/>
                <wp:positionH relativeFrom="column">
                  <wp:posOffset>-66040</wp:posOffset>
                </wp:positionH>
                <wp:positionV relativeFrom="paragraph">
                  <wp:posOffset>29845</wp:posOffset>
                </wp:positionV>
                <wp:extent cx="6343650" cy="1974850"/>
                <wp:effectExtent l="0" t="0" r="19050" b="25400"/>
                <wp:wrapNone/>
                <wp:docPr id="1214719807" name="Rectangle 1"/>
                <wp:cNvGraphicFramePr/>
                <a:graphic xmlns:a="http://schemas.openxmlformats.org/drawingml/2006/main">
                  <a:graphicData uri="http://schemas.microsoft.com/office/word/2010/wordprocessingShape">
                    <wps:wsp>
                      <wps:cNvSpPr/>
                      <wps:spPr>
                        <a:xfrm>
                          <a:off x="0" y="0"/>
                          <a:ext cx="6343650" cy="19748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EC122B" w14:textId="2E95A78C" w:rsidR="000F55A2" w:rsidRDefault="000F55A2" w:rsidP="000F55A2">
                            <w:pPr>
                              <w:pStyle w:val="paragraph"/>
                              <w:spacing w:before="0" w:beforeAutospacing="0" w:after="0" w:afterAutospacing="0"/>
                              <w:textAlignment w:val="baseline"/>
                              <w:rPr>
                                <w:rStyle w:val="normaltextrun"/>
                                <w:rFonts w:ascii="Arial" w:eastAsia="MS Gothic" w:hAnsi="Arial" w:cs="Arial"/>
                                <w:sz w:val="20"/>
                                <w:szCs w:val="20"/>
                              </w:rPr>
                            </w:pPr>
                            <w:r w:rsidRPr="000F55A2">
                              <w:rPr>
                                <w:rStyle w:val="normaltextrun"/>
                                <w:rFonts w:ascii="Arial" w:eastAsia="MS Gothic" w:hAnsi="Arial" w:cs="Arial"/>
                                <w:sz w:val="20"/>
                                <w:szCs w:val="20"/>
                              </w:rPr>
                              <w:t xml:space="preserve">To receive this document in </w:t>
                            </w:r>
                            <w:r w:rsidR="0015481C">
                              <w:rPr>
                                <w:rStyle w:val="normaltextrun"/>
                                <w:rFonts w:ascii="Arial" w:eastAsia="MS Gothic" w:hAnsi="Arial" w:cs="Arial"/>
                                <w:sz w:val="20"/>
                                <w:szCs w:val="20"/>
                              </w:rPr>
                              <w:t xml:space="preserve">an accessible or interpreted format, phone </w:t>
                            </w:r>
                            <w:r w:rsidR="0015481C" w:rsidRPr="0015481C">
                              <w:rPr>
                                <w:rStyle w:val="normaltextrun"/>
                                <w:rFonts w:ascii="Arial" w:eastAsia="MS Gothic" w:hAnsi="Arial" w:cs="Arial"/>
                                <w:b/>
                                <w:bCs/>
                                <w:sz w:val="20"/>
                                <w:szCs w:val="20"/>
                              </w:rPr>
                              <w:t>1300 650 172</w:t>
                            </w:r>
                            <w:r w:rsidR="0015481C">
                              <w:rPr>
                                <w:rStyle w:val="normaltextrun"/>
                                <w:rFonts w:ascii="Arial" w:eastAsia="MS Gothic" w:hAnsi="Arial" w:cs="Arial"/>
                                <w:sz w:val="20"/>
                                <w:szCs w:val="20"/>
                              </w:rPr>
                              <w:t xml:space="preserve">, using the National Relay Service </w:t>
                            </w:r>
                            <w:r w:rsidR="0015481C" w:rsidRPr="0015481C">
                              <w:rPr>
                                <w:rStyle w:val="normaltextrun"/>
                                <w:rFonts w:ascii="Arial" w:eastAsia="MS Gothic" w:hAnsi="Arial" w:cs="Arial"/>
                                <w:b/>
                                <w:bCs/>
                                <w:sz w:val="20"/>
                                <w:szCs w:val="20"/>
                              </w:rPr>
                              <w:t>13 36 77</w:t>
                            </w:r>
                            <w:r w:rsidR="0015481C">
                              <w:rPr>
                                <w:rStyle w:val="normaltextrun"/>
                                <w:rFonts w:ascii="Arial" w:eastAsia="MS Gothic" w:hAnsi="Arial" w:cs="Arial"/>
                                <w:sz w:val="20"/>
                                <w:szCs w:val="20"/>
                              </w:rPr>
                              <w:t xml:space="preserve"> if required, or</w:t>
                            </w:r>
                            <w:r w:rsidRPr="000F55A2">
                              <w:rPr>
                                <w:rStyle w:val="normaltextrun"/>
                                <w:rFonts w:ascii="Arial" w:eastAsia="MS Gothic" w:hAnsi="Arial" w:cs="Arial"/>
                                <w:sz w:val="20"/>
                                <w:szCs w:val="20"/>
                              </w:rPr>
                              <w:t xml:space="preserve"> email </w:t>
                            </w:r>
                            <w:hyperlink r:id="rId21" w:history="1">
                              <w:r w:rsidR="0015481C" w:rsidRPr="00787066">
                                <w:rPr>
                                  <w:rStyle w:val="Hyperlink"/>
                                  <w:rFonts w:ascii="Arial" w:eastAsia="MS Gothic" w:hAnsi="Arial" w:cs="Arial"/>
                                  <w:sz w:val="20"/>
                                  <w:szCs w:val="20"/>
                                </w:rPr>
                                <w:t>enquiries@homes.vic.gov.au</w:t>
                              </w:r>
                            </w:hyperlink>
                            <w:r w:rsidR="0015481C">
                              <w:rPr>
                                <w:rStyle w:val="normaltextrun"/>
                                <w:rFonts w:ascii="Arial" w:eastAsia="MS Gothic" w:hAnsi="Arial" w:cs="Arial"/>
                                <w:sz w:val="20"/>
                                <w:szCs w:val="20"/>
                              </w:rPr>
                              <w:t xml:space="preserve"> </w:t>
                            </w:r>
                          </w:p>
                          <w:p w14:paraId="2E741224" w14:textId="77777777" w:rsidR="0015481C" w:rsidRPr="000F55A2" w:rsidRDefault="0015481C" w:rsidP="000F55A2">
                            <w:pPr>
                              <w:pStyle w:val="paragraph"/>
                              <w:spacing w:before="0" w:beforeAutospacing="0" w:after="0" w:afterAutospacing="0"/>
                              <w:textAlignment w:val="baseline"/>
                              <w:rPr>
                                <w:rFonts w:ascii="Arial" w:hAnsi="Arial" w:cs="Arial"/>
                                <w:sz w:val="20"/>
                                <w:szCs w:val="20"/>
                              </w:rPr>
                            </w:pPr>
                          </w:p>
                          <w:p w14:paraId="0681BBD7" w14:textId="77777777"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Authorised and published by the Victorian Government, 1 Treasury Place, Melbourne.</w:t>
                            </w:r>
                            <w:r w:rsidRPr="000F55A2">
                              <w:rPr>
                                <w:rStyle w:val="eop"/>
                                <w:rFonts w:ascii="Arial" w:hAnsi="Arial" w:cs="Arial"/>
                                <w:sz w:val="20"/>
                                <w:szCs w:val="20"/>
                              </w:rPr>
                              <w:t> </w:t>
                            </w:r>
                          </w:p>
                          <w:p w14:paraId="3A0FCDC5" w14:textId="56CE25DA"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 State of Victoria, Australia, Department of Families, Fairness and Housing, May 2024.</w:t>
                            </w:r>
                            <w:r w:rsidRPr="000F55A2">
                              <w:rPr>
                                <w:rStyle w:val="eop"/>
                                <w:rFonts w:ascii="Arial" w:hAnsi="Arial" w:cs="Arial"/>
                                <w:sz w:val="20"/>
                                <w:szCs w:val="20"/>
                              </w:rPr>
                              <w:t> </w:t>
                            </w:r>
                            <w:r w:rsidRPr="000F55A2">
                              <w:rPr>
                                <w:rStyle w:val="eop"/>
                                <w:rFonts w:ascii="Arial" w:hAnsi="Arial" w:cs="Arial"/>
                                <w:sz w:val="20"/>
                                <w:szCs w:val="20"/>
                              </w:rPr>
                              <w:br/>
                            </w:r>
                          </w:p>
                          <w:p w14:paraId="75C9718E" w14:textId="5BDBF666"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In this document, ‘Aboriginal’ refers to both Aboriginal and Torres Strait Islander people. ‘Indigenous’ or ‘Koori/Koorie’ is retained when part of the title of a report, program or quotation.</w:t>
                            </w:r>
                            <w:r w:rsidRPr="000F55A2">
                              <w:rPr>
                                <w:rStyle w:val="eop"/>
                                <w:rFonts w:ascii="Arial" w:hAnsi="Arial" w:cs="Arial"/>
                                <w:sz w:val="20"/>
                                <w:szCs w:val="20"/>
                              </w:rPr>
                              <w:t> </w:t>
                            </w:r>
                            <w:r w:rsidRPr="000F55A2">
                              <w:rPr>
                                <w:rStyle w:val="eop"/>
                                <w:rFonts w:ascii="Arial" w:hAnsi="Arial" w:cs="Arial"/>
                                <w:sz w:val="20"/>
                                <w:szCs w:val="20"/>
                              </w:rPr>
                              <w:br/>
                            </w:r>
                          </w:p>
                          <w:p w14:paraId="034C7052" w14:textId="59B6B507" w:rsidR="008B20FC" w:rsidRPr="001E397A" w:rsidRDefault="001E397A" w:rsidP="008B20FC">
                            <w:pPr>
                              <w:pStyle w:val="paragraph"/>
                              <w:spacing w:before="0" w:beforeAutospacing="0" w:after="0" w:afterAutospacing="0"/>
                              <w:textAlignment w:val="baseline"/>
                              <w:rPr>
                                <w:rFonts w:ascii="Arial" w:hAnsi="Arial" w:cs="Arial"/>
                                <w:sz w:val="20"/>
                                <w:szCs w:val="20"/>
                              </w:rPr>
                            </w:pPr>
                            <w:r w:rsidRPr="001E397A">
                              <w:rPr>
                                <w:rFonts w:ascii="Arial" w:hAnsi="Arial" w:cs="Arial"/>
                                <w:b/>
                                <w:bCs/>
                                <w:color w:val="000000"/>
                                <w:sz w:val="20"/>
                                <w:szCs w:val="20"/>
                              </w:rPr>
                              <w:t xml:space="preserve">ISBN </w:t>
                            </w:r>
                            <w:r w:rsidRPr="001E397A">
                              <w:rPr>
                                <w:rFonts w:ascii="Arial" w:hAnsi="Arial" w:cs="Arial"/>
                                <w:color w:val="000000"/>
                                <w:sz w:val="20"/>
                                <w:szCs w:val="20"/>
                              </w:rPr>
                              <w:t xml:space="preserve">978-1-76130-540-5 </w:t>
                            </w:r>
                            <w:r w:rsidRPr="001E397A">
                              <w:rPr>
                                <w:rFonts w:ascii="Arial" w:hAnsi="Arial" w:cs="Arial"/>
                                <w:b/>
                                <w:bCs/>
                                <w:color w:val="000000"/>
                                <w:sz w:val="20"/>
                                <w:szCs w:val="20"/>
                              </w:rPr>
                              <w:t>(pdf/online/MS word)</w:t>
                            </w:r>
                          </w:p>
                          <w:p w14:paraId="267DBF1A" w14:textId="77777777" w:rsidR="008B20FC" w:rsidRPr="008B20FC" w:rsidRDefault="008B20FC" w:rsidP="008B20FC">
                            <w:pPr>
                              <w:pStyle w:val="paragraph"/>
                              <w:spacing w:before="0" w:beforeAutospacing="0" w:after="0" w:afterAutospacing="0"/>
                              <w:textAlignment w:val="baseline"/>
                              <w:rPr>
                                <w:rFonts w:ascii="Arial" w:hAnsi="Arial" w:cs="Arial"/>
                                <w:sz w:val="21"/>
                                <w:szCs w:val="21"/>
                              </w:rPr>
                            </w:pPr>
                            <w:r w:rsidRPr="008B20FC">
                              <w:rPr>
                                <w:rStyle w:val="normaltextrun"/>
                                <w:rFonts w:ascii="Arial" w:eastAsia="MS Gothic" w:hAnsi="Arial" w:cs="Arial"/>
                                <w:sz w:val="21"/>
                                <w:szCs w:val="21"/>
                              </w:rPr>
                              <w:br/>
                              <w:t xml:space="preserve">Available at the </w:t>
                            </w:r>
                            <w:hyperlink r:id="rId22" w:history="1">
                              <w:r w:rsidRPr="008B20FC">
                                <w:rPr>
                                  <w:rStyle w:val="Hyperlink"/>
                                  <w:rFonts w:ascii="Arial" w:eastAsia="MS Gothic" w:hAnsi="Arial" w:cs="Arial"/>
                                  <w:sz w:val="21"/>
                                  <w:szCs w:val="21"/>
                                </w:rPr>
                                <w:t>Funded Agency Channel website</w:t>
                              </w:r>
                            </w:hyperlink>
                            <w:r w:rsidRPr="008B20FC">
                              <w:rPr>
                                <w:rStyle w:val="normaltextrun"/>
                                <w:rFonts w:ascii="Arial" w:eastAsia="MS Gothic" w:hAnsi="Arial" w:cs="Arial"/>
                                <w:sz w:val="21"/>
                                <w:szCs w:val="21"/>
                              </w:rPr>
                              <w:t xml:space="preserve"> &lt;</w:t>
                            </w:r>
                            <w:r w:rsidRPr="008B20FC">
                              <w:rPr>
                                <w:rStyle w:val="normaltextrun"/>
                                <w:rFonts w:ascii="Arial" w:eastAsia="MS Gothic" w:hAnsi="Arial" w:cs="Arial"/>
                                <w:color w:val="004C97"/>
                                <w:sz w:val="21"/>
                                <w:szCs w:val="21"/>
                              </w:rPr>
                              <w:t>https://fac.dffh.vic.gov.au/policies-and-procedures</w:t>
                            </w:r>
                            <w:r w:rsidRPr="008B20FC">
                              <w:rPr>
                                <w:rStyle w:val="normaltextrun"/>
                                <w:rFonts w:ascii="Arial" w:eastAsia="MS Gothic" w:hAnsi="Arial" w:cs="Arial"/>
                                <w:sz w:val="21"/>
                                <w:szCs w:val="21"/>
                              </w:rPr>
                              <w:t>&gt;</w:t>
                            </w:r>
                            <w:r w:rsidRPr="008B20FC">
                              <w:rPr>
                                <w:rStyle w:val="eop"/>
                                <w:rFonts w:ascii="Arial" w:eastAsia="MS Mincho" w:hAnsi="Arial" w:cs="Arial"/>
                                <w:sz w:val="21"/>
                                <w:szCs w:val="21"/>
                              </w:rPr>
                              <w:t> </w:t>
                            </w:r>
                          </w:p>
                          <w:p w14:paraId="61E4CF14" w14:textId="77777777" w:rsidR="000F55A2" w:rsidRDefault="000F55A2" w:rsidP="000F55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E552F" id="Rectangle 1" o:spid="_x0000_s1026" style="position:absolute;margin-left:-5.2pt;margin-top:2.35pt;width:499.5pt;height:1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" filled="f" strokecolor="black [3213]" strokeweight=".25pt">
                <v:textbox>
                  <w:txbxContent>
                    <w:p w14:paraId="07EC122B" w14:textId="2E95A78C" w:rsidR="000F55A2" w:rsidRDefault="000F55A2" w:rsidP="000F55A2">
                      <w:pPr>
                        <w:pStyle w:val="paragraph"/>
                        <w:spacing w:before="0" w:beforeAutospacing="0" w:after="0" w:afterAutospacing="0"/>
                        <w:textAlignment w:val="baseline"/>
                        <w:rPr>
                          <w:rStyle w:val="normaltextrun"/>
                          <w:rFonts w:ascii="Arial" w:eastAsia="MS Gothic" w:hAnsi="Arial" w:cs="Arial"/>
                          <w:sz w:val="20"/>
                          <w:szCs w:val="20"/>
                        </w:rPr>
                      </w:pPr>
                      <w:r w:rsidRPr="000F55A2">
                        <w:rPr>
                          <w:rStyle w:val="normaltextrun"/>
                          <w:rFonts w:ascii="Arial" w:eastAsia="MS Gothic" w:hAnsi="Arial" w:cs="Arial"/>
                          <w:sz w:val="20"/>
                          <w:szCs w:val="20"/>
                        </w:rPr>
                        <w:t xml:space="preserve">To receive this document in </w:t>
                      </w:r>
                      <w:r w:rsidR="0015481C">
                        <w:rPr>
                          <w:rStyle w:val="normaltextrun"/>
                          <w:rFonts w:ascii="Arial" w:eastAsia="MS Gothic" w:hAnsi="Arial" w:cs="Arial"/>
                          <w:sz w:val="20"/>
                          <w:szCs w:val="20"/>
                        </w:rPr>
                        <w:t xml:space="preserve">an accessible or interpreted format, phone </w:t>
                      </w:r>
                      <w:r w:rsidR="0015481C" w:rsidRPr="0015481C">
                        <w:rPr>
                          <w:rStyle w:val="normaltextrun"/>
                          <w:rFonts w:ascii="Arial" w:eastAsia="MS Gothic" w:hAnsi="Arial" w:cs="Arial"/>
                          <w:b/>
                          <w:bCs/>
                          <w:sz w:val="20"/>
                          <w:szCs w:val="20"/>
                        </w:rPr>
                        <w:t>1300 650 172</w:t>
                      </w:r>
                      <w:r w:rsidR="0015481C">
                        <w:rPr>
                          <w:rStyle w:val="normaltextrun"/>
                          <w:rFonts w:ascii="Arial" w:eastAsia="MS Gothic" w:hAnsi="Arial" w:cs="Arial"/>
                          <w:sz w:val="20"/>
                          <w:szCs w:val="20"/>
                        </w:rPr>
                        <w:t xml:space="preserve">, using the National Relay Service </w:t>
                      </w:r>
                      <w:r w:rsidR="0015481C" w:rsidRPr="0015481C">
                        <w:rPr>
                          <w:rStyle w:val="normaltextrun"/>
                          <w:rFonts w:ascii="Arial" w:eastAsia="MS Gothic" w:hAnsi="Arial" w:cs="Arial"/>
                          <w:b/>
                          <w:bCs/>
                          <w:sz w:val="20"/>
                          <w:szCs w:val="20"/>
                        </w:rPr>
                        <w:t>13 36 77</w:t>
                      </w:r>
                      <w:r w:rsidR="0015481C">
                        <w:rPr>
                          <w:rStyle w:val="normaltextrun"/>
                          <w:rFonts w:ascii="Arial" w:eastAsia="MS Gothic" w:hAnsi="Arial" w:cs="Arial"/>
                          <w:sz w:val="20"/>
                          <w:szCs w:val="20"/>
                        </w:rPr>
                        <w:t xml:space="preserve"> if required, or</w:t>
                      </w:r>
                      <w:r w:rsidRPr="000F55A2">
                        <w:rPr>
                          <w:rStyle w:val="normaltextrun"/>
                          <w:rFonts w:ascii="Arial" w:eastAsia="MS Gothic" w:hAnsi="Arial" w:cs="Arial"/>
                          <w:sz w:val="20"/>
                          <w:szCs w:val="20"/>
                        </w:rPr>
                        <w:t xml:space="preserve"> email </w:t>
                      </w:r>
                      <w:hyperlink r:id="rId23" w:history="1">
                        <w:r w:rsidR="0015481C" w:rsidRPr="00787066">
                          <w:rPr>
                            <w:rStyle w:val="Hyperlink"/>
                            <w:rFonts w:ascii="Arial" w:eastAsia="MS Gothic" w:hAnsi="Arial" w:cs="Arial"/>
                            <w:sz w:val="20"/>
                            <w:szCs w:val="20"/>
                          </w:rPr>
                          <w:t>enquiries@homes.vic.gov.au</w:t>
                        </w:r>
                      </w:hyperlink>
                      <w:r w:rsidR="0015481C">
                        <w:rPr>
                          <w:rStyle w:val="normaltextrun"/>
                          <w:rFonts w:ascii="Arial" w:eastAsia="MS Gothic" w:hAnsi="Arial" w:cs="Arial"/>
                          <w:sz w:val="20"/>
                          <w:szCs w:val="20"/>
                        </w:rPr>
                        <w:t xml:space="preserve"> </w:t>
                      </w:r>
                    </w:p>
                    <w:p w14:paraId="2E741224" w14:textId="77777777" w:rsidR="0015481C" w:rsidRPr="000F55A2" w:rsidRDefault="0015481C" w:rsidP="000F55A2">
                      <w:pPr>
                        <w:pStyle w:val="paragraph"/>
                        <w:spacing w:before="0" w:beforeAutospacing="0" w:after="0" w:afterAutospacing="0"/>
                        <w:textAlignment w:val="baseline"/>
                        <w:rPr>
                          <w:rFonts w:ascii="Arial" w:hAnsi="Arial" w:cs="Arial"/>
                          <w:sz w:val="20"/>
                          <w:szCs w:val="20"/>
                        </w:rPr>
                      </w:pPr>
                    </w:p>
                    <w:p w14:paraId="0681BBD7" w14:textId="77777777"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Authorised and published by the Victorian Government, 1 Treasury Place, Melbourne.</w:t>
                      </w:r>
                      <w:r w:rsidRPr="000F55A2">
                        <w:rPr>
                          <w:rStyle w:val="eop"/>
                          <w:rFonts w:ascii="Arial" w:hAnsi="Arial" w:cs="Arial"/>
                          <w:sz w:val="20"/>
                          <w:szCs w:val="20"/>
                        </w:rPr>
                        <w:t> </w:t>
                      </w:r>
                    </w:p>
                    <w:p w14:paraId="3A0FCDC5" w14:textId="56CE25DA"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 State of Victoria, Australia, Department of Families, Fairness and Housing, May 2024.</w:t>
                      </w:r>
                      <w:r w:rsidRPr="000F55A2">
                        <w:rPr>
                          <w:rStyle w:val="eop"/>
                          <w:rFonts w:ascii="Arial" w:hAnsi="Arial" w:cs="Arial"/>
                          <w:sz w:val="20"/>
                          <w:szCs w:val="20"/>
                        </w:rPr>
                        <w:t> </w:t>
                      </w:r>
                      <w:r w:rsidRPr="000F55A2">
                        <w:rPr>
                          <w:rStyle w:val="eop"/>
                          <w:rFonts w:ascii="Arial" w:hAnsi="Arial" w:cs="Arial"/>
                          <w:sz w:val="20"/>
                          <w:szCs w:val="20"/>
                        </w:rPr>
                        <w:br/>
                      </w:r>
                    </w:p>
                    <w:p w14:paraId="75C9718E" w14:textId="5BDBF666" w:rsidR="000F55A2" w:rsidRPr="000F55A2" w:rsidRDefault="000F55A2" w:rsidP="000F55A2">
                      <w:pPr>
                        <w:pStyle w:val="paragraph"/>
                        <w:spacing w:before="0" w:beforeAutospacing="0" w:after="0" w:afterAutospacing="0"/>
                        <w:textAlignment w:val="baseline"/>
                        <w:rPr>
                          <w:rFonts w:ascii="Arial" w:hAnsi="Arial" w:cs="Arial"/>
                          <w:sz w:val="20"/>
                          <w:szCs w:val="20"/>
                        </w:rPr>
                      </w:pPr>
                      <w:r w:rsidRPr="000F55A2">
                        <w:rPr>
                          <w:rStyle w:val="normaltextrun"/>
                          <w:rFonts w:ascii="Arial" w:eastAsia="MS Gothic" w:hAnsi="Arial" w:cs="Arial"/>
                          <w:sz w:val="20"/>
                          <w:szCs w:val="20"/>
                        </w:rPr>
                        <w:t xml:space="preserve">In this document, ‘Aboriginal’ refers to both Aboriginal and Torres Strait Islander people. ‘Indigenous’ or ‘Koori/Koorie’ is retained when part of the title of a report, </w:t>
                      </w:r>
                      <w:proofErr w:type="gramStart"/>
                      <w:r w:rsidRPr="000F55A2">
                        <w:rPr>
                          <w:rStyle w:val="normaltextrun"/>
                          <w:rFonts w:ascii="Arial" w:eastAsia="MS Gothic" w:hAnsi="Arial" w:cs="Arial"/>
                          <w:sz w:val="20"/>
                          <w:szCs w:val="20"/>
                        </w:rPr>
                        <w:t>program</w:t>
                      </w:r>
                      <w:proofErr w:type="gramEnd"/>
                      <w:r w:rsidRPr="000F55A2">
                        <w:rPr>
                          <w:rStyle w:val="normaltextrun"/>
                          <w:rFonts w:ascii="Arial" w:eastAsia="MS Gothic" w:hAnsi="Arial" w:cs="Arial"/>
                          <w:sz w:val="20"/>
                          <w:szCs w:val="20"/>
                        </w:rPr>
                        <w:t xml:space="preserve"> or quotation.</w:t>
                      </w:r>
                      <w:r w:rsidRPr="000F55A2">
                        <w:rPr>
                          <w:rStyle w:val="eop"/>
                          <w:rFonts w:ascii="Arial" w:hAnsi="Arial" w:cs="Arial"/>
                          <w:sz w:val="20"/>
                          <w:szCs w:val="20"/>
                        </w:rPr>
                        <w:t> </w:t>
                      </w:r>
                      <w:r w:rsidRPr="000F55A2">
                        <w:rPr>
                          <w:rStyle w:val="eop"/>
                          <w:rFonts w:ascii="Arial" w:hAnsi="Arial" w:cs="Arial"/>
                          <w:sz w:val="20"/>
                          <w:szCs w:val="20"/>
                        </w:rPr>
                        <w:br/>
                      </w:r>
                    </w:p>
                    <w:p w14:paraId="034C7052" w14:textId="59B6B507" w:rsidR="008B20FC" w:rsidRPr="001E397A" w:rsidRDefault="001E397A" w:rsidP="008B20FC">
                      <w:pPr>
                        <w:pStyle w:val="paragraph"/>
                        <w:spacing w:before="0" w:beforeAutospacing="0" w:after="0" w:afterAutospacing="0"/>
                        <w:textAlignment w:val="baseline"/>
                        <w:rPr>
                          <w:rFonts w:ascii="Arial" w:hAnsi="Arial" w:cs="Arial"/>
                          <w:sz w:val="20"/>
                          <w:szCs w:val="20"/>
                        </w:rPr>
                      </w:pPr>
                      <w:r w:rsidRPr="001E397A">
                        <w:rPr>
                          <w:rFonts w:ascii="Arial" w:hAnsi="Arial" w:cs="Arial"/>
                          <w:b/>
                          <w:bCs/>
                          <w:color w:val="000000"/>
                          <w:sz w:val="20"/>
                          <w:szCs w:val="20"/>
                        </w:rPr>
                        <w:t xml:space="preserve">ISBN </w:t>
                      </w:r>
                      <w:r w:rsidRPr="001E397A">
                        <w:rPr>
                          <w:rFonts w:ascii="Arial" w:hAnsi="Arial" w:cs="Arial"/>
                          <w:color w:val="000000"/>
                          <w:sz w:val="20"/>
                          <w:szCs w:val="20"/>
                        </w:rPr>
                        <w:t xml:space="preserve">978-1-76130-540-5 </w:t>
                      </w:r>
                      <w:r w:rsidRPr="001E397A">
                        <w:rPr>
                          <w:rFonts w:ascii="Arial" w:hAnsi="Arial" w:cs="Arial"/>
                          <w:b/>
                          <w:bCs/>
                          <w:color w:val="000000"/>
                          <w:sz w:val="20"/>
                          <w:szCs w:val="20"/>
                        </w:rPr>
                        <w:t>(pdf/online/MS word)</w:t>
                      </w:r>
                    </w:p>
                    <w:p w14:paraId="267DBF1A" w14:textId="77777777" w:rsidR="008B20FC" w:rsidRPr="008B20FC" w:rsidRDefault="008B20FC" w:rsidP="008B20FC">
                      <w:pPr>
                        <w:pStyle w:val="paragraph"/>
                        <w:spacing w:before="0" w:beforeAutospacing="0" w:after="0" w:afterAutospacing="0"/>
                        <w:textAlignment w:val="baseline"/>
                        <w:rPr>
                          <w:rFonts w:ascii="Arial" w:hAnsi="Arial" w:cs="Arial"/>
                          <w:sz w:val="21"/>
                          <w:szCs w:val="21"/>
                        </w:rPr>
                      </w:pPr>
                      <w:r w:rsidRPr="008B20FC">
                        <w:rPr>
                          <w:rStyle w:val="normaltextrun"/>
                          <w:rFonts w:ascii="Arial" w:eastAsia="MS Gothic" w:hAnsi="Arial" w:cs="Arial"/>
                          <w:sz w:val="21"/>
                          <w:szCs w:val="21"/>
                        </w:rPr>
                        <w:br/>
                        <w:t xml:space="preserve">Available at the </w:t>
                      </w:r>
                      <w:hyperlink r:id="rId24" w:history="1">
                        <w:r w:rsidRPr="008B20FC">
                          <w:rPr>
                            <w:rStyle w:val="Hyperlink"/>
                            <w:rFonts w:ascii="Arial" w:eastAsia="MS Gothic" w:hAnsi="Arial" w:cs="Arial"/>
                            <w:sz w:val="21"/>
                            <w:szCs w:val="21"/>
                          </w:rPr>
                          <w:t>Funded Agency Channel website</w:t>
                        </w:r>
                      </w:hyperlink>
                      <w:r w:rsidRPr="008B20FC">
                        <w:rPr>
                          <w:rStyle w:val="normaltextrun"/>
                          <w:rFonts w:ascii="Arial" w:eastAsia="MS Gothic" w:hAnsi="Arial" w:cs="Arial"/>
                          <w:sz w:val="21"/>
                          <w:szCs w:val="21"/>
                        </w:rPr>
                        <w:t xml:space="preserve"> &lt;</w:t>
                      </w:r>
                      <w:r w:rsidRPr="008B20FC">
                        <w:rPr>
                          <w:rStyle w:val="normaltextrun"/>
                          <w:rFonts w:ascii="Arial" w:eastAsia="MS Gothic" w:hAnsi="Arial" w:cs="Arial"/>
                          <w:color w:val="004C97"/>
                          <w:sz w:val="21"/>
                          <w:szCs w:val="21"/>
                        </w:rPr>
                        <w:t>https://fac.dffh.vic.gov.au/policies-and-procedures</w:t>
                      </w:r>
                      <w:r w:rsidRPr="008B20FC">
                        <w:rPr>
                          <w:rStyle w:val="normaltextrun"/>
                          <w:rFonts w:ascii="Arial" w:eastAsia="MS Gothic" w:hAnsi="Arial" w:cs="Arial"/>
                          <w:sz w:val="21"/>
                          <w:szCs w:val="21"/>
                        </w:rPr>
                        <w:t>&gt;</w:t>
                      </w:r>
                      <w:r w:rsidRPr="008B20FC">
                        <w:rPr>
                          <w:rStyle w:val="eop"/>
                          <w:rFonts w:ascii="Arial" w:eastAsia="MS Mincho" w:hAnsi="Arial" w:cs="Arial"/>
                          <w:sz w:val="21"/>
                          <w:szCs w:val="21"/>
                        </w:rPr>
                        <w:t> </w:t>
                      </w:r>
                    </w:p>
                    <w:p w14:paraId="61E4CF14" w14:textId="77777777" w:rsidR="000F55A2" w:rsidRDefault="000F55A2" w:rsidP="000F55A2"/>
                  </w:txbxContent>
                </v:textbox>
              </v:rect>
            </w:pict>
          </mc:Fallback>
        </mc:AlternateContent>
      </w:r>
    </w:p>
    <w:p w14:paraId="5958EC37" w14:textId="77777777" w:rsidR="000F55A2" w:rsidRDefault="000F55A2" w:rsidP="000F55A2">
      <w:pPr>
        <w:rPr>
          <w:rFonts w:eastAsia="Times"/>
          <w:i/>
          <w:iCs/>
          <w:color w:val="1F497D" w:themeColor="text2"/>
          <w:sz w:val="20"/>
        </w:rPr>
      </w:pPr>
    </w:p>
    <w:p w14:paraId="77498E8F" w14:textId="77777777" w:rsidR="000F55A2" w:rsidRPr="000F55A2" w:rsidRDefault="000F55A2" w:rsidP="000F55A2">
      <w:pPr>
        <w:rPr>
          <w:rFonts w:eastAsia="MS Gothic" w:cs="Arial"/>
          <w:bCs/>
          <w:color w:val="53565A"/>
          <w:kern w:val="32"/>
          <w:sz w:val="20"/>
        </w:rPr>
      </w:pPr>
    </w:p>
    <w:sectPr w:rsidR="000F55A2" w:rsidRPr="000F55A2" w:rsidSect="002C5B7C">
      <w:headerReference w:type="even" r:id="rId25"/>
      <w:headerReference w:type="default" r:id="rId26"/>
      <w:footerReference w:type="even" r:id="rId27"/>
      <w:footerReference w:type="default" r:id="rId2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4A17" w14:textId="77777777" w:rsidR="00E85EC9" w:rsidRDefault="00E85EC9">
      <w:r>
        <w:separator/>
      </w:r>
    </w:p>
    <w:p w14:paraId="425606A2" w14:textId="77777777" w:rsidR="00E85EC9" w:rsidRDefault="00E85EC9"/>
  </w:endnote>
  <w:endnote w:type="continuationSeparator" w:id="0">
    <w:p w14:paraId="0BAD55DD" w14:textId="77777777" w:rsidR="00E85EC9" w:rsidRDefault="00E85EC9">
      <w:r>
        <w:continuationSeparator/>
      </w:r>
    </w:p>
    <w:p w14:paraId="13C3C798" w14:textId="77777777" w:rsidR="00E85EC9" w:rsidRDefault="00E85EC9"/>
  </w:endnote>
  <w:endnote w:type="continuationNotice" w:id="1">
    <w:p w14:paraId="4469DC95" w14:textId="77777777" w:rsidR="00E85EC9" w:rsidRDefault="00E85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43"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2F556DC9" wp14:editId="7B617322">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1501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556DC9"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471501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9A3"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648AEB9E" wp14:editId="407DE77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2EA3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8AEB9E"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F2EA3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EF6"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392481C3" wp14:editId="4892FA05">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481C3"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238" w14:textId="77777777" w:rsidR="00D63636" w:rsidRDefault="002C5B7C">
    <w:pPr>
      <w:pStyle w:val="Footer"/>
    </w:pPr>
    <w:r>
      <w:rPr>
        <w:noProof/>
        <w:lang w:eastAsia="en-AU"/>
      </w:rPr>
      <mc:AlternateContent>
        <mc:Choice Requires="wps">
          <w:drawing>
            <wp:anchor distT="0" distB="0" distL="114300" distR="114300" simplePos="0" relativeHeight="251658246" behindDoc="0" locked="0" layoutInCell="0" allowOverlap="1" wp14:anchorId="58006079" wp14:editId="2181DFB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2772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06079"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922772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58245" behindDoc="1" locked="1" layoutInCell="1" allowOverlap="1" wp14:anchorId="0E6F6C0F" wp14:editId="63913E5C">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5E" w14:textId="77777777" w:rsidR="00431A70" w:rsidRDefault="00EB4BC7">
    <w:pPr>
      <w:pStyle w:val="Footer"/>
    </w:pPr>
    <w:r>
      <w:rPr>
        <w:noProof/>
        <w:lang w:eastAsia="en-AU"/>
      </w:rPr>
      <mc:AlternateContent>
        <mc:Choice Requires="wps">
          <w:drawing>
            <wp:anchor distT="0" distB="0" distL="114300" distR="114300" simplePos="0" relativeHeight="251658244" behindDoc="0" locked="0" layoutInCell="0" allowOverlap="1" wp14:anchorId="56123121" wp14:editId="12F3936F">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2A1A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123121" id="_x0000_t202" coordsize="21600,21600" o:spt="202" path="m,l,21600r21600,l21600,xe">
              <v:stroke joinstyle="miter"/>
              <v:path gradientshapeok="t" o:connecttype="rect"/>
            </v:shapetype>
            <v:shape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912A1A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58243" behindDoc="1" locked="1" layoutInCell="1" allowOverlap="1" wp14:anchorId="256BD800" wp14:editId="354A4733">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3593" w14:textId="77777777" w:rsidR="00E85EC9" w:rsidRDefault="00E85EC9" w:rsidP="00207717">
      <w:pPr>
        <w:spacing w:before="120"/>
      </w:pPr>
      <w:r>
        <w:separator/>
      </w:r>
    </w:p>
  </w:footnote>
  <w:footnote w:type="continuationSeparator" w:id="0">
    <w:p w14:paraId="5C0D8396" w14:textId="77777777" w:rsidR="00E85EC9" w:rsidRDefault="00E85EC9">
      <w:r>
        <w:continuationSeparator/>
      </w:r>
    </w:p>
    <w:p w14:paraId="0D7E05EF" w14:textId="77777777" w:rsidR="00E85EC9" w:rsidRDefault="00E85EC9"/>
  </w:footnote>
  <w:footnote w:type="continuationNotice" w:id="1">
    <w:p w14:paraId="0D7FEACD" w14:textId="77777777" w:rsidR="00E85EC9" w:rsidRDefault="00E85EC9">
      <w:pPr>
        <w:spacing w:after="0" w:line="240" w:lineRule="auto"/>
      </w:pPr>
    </w:p>
  </w:footnote>
  <w:footnote w:id="2">
    <w:p w14:paraId="195C09BE" w14:textId="77777777" w:rsidR="00470982" w:rsidRPr="00372947" w:rsidRDefault="00470982" w:rsidP="00470982">
      <w:pPr>
        <w:pStyle w:val="FootnoteText"/>
      </w:pPr>
      <w:r w:rsidRPr="00372947">
        <w:rPr>
          <w:rStyle w:val="FootnoteReference"/>
          <w:sz w:val="16"/>
        </w:rPr>
        <w:footnoteRef/>
      </w:r>
      <w:r>
        <w:t xml:space="preserve"> </w:t>
      </w:r>
      <w:r w:rsidRPr="00372947">
        <w:rPr>
          <w:sz w:val="16"/>
        </w:rPr>
        <w:t>Single adult disability pension or single aged care pension</w:t>
      </w:r>
    </w:p>
  </w:footnote>
  <w:footnote w:id="3">
    <w:p w14:paraId="7AEE710C" w14:textId="77777777" w:rsidR="0054027E" w:rsidRPr="00B44CCE" w:rsidRDefault="0054027E" w:rsidP="0054027E">
      <w:pPr>
        <w:pStyle w:val="FootnoteText"/>
        <w:rPr>
          <w:sz w:val="16"/>
        </w:rPr>
      </w:pPr>
      <w:r>
        <w:rPr>
          <w:rStyle w:val="FootnoteReference"/>
        </w:rPr>
        <w:footnoteRef/>
      </w:r>
      <w:r>
        <w:t xml:space="preserve"> </w:t>
      </w:r>
      <w:r w:rsidRPr="00B44CCE">
        <w:rPr>
          <w:sz w:val="16"/>
        </w:rPr>
        <w:t>Eligibility criteria is outlined in the Applicat</w:t>
      </w:r>
      <w:r w:rsidR="0091614F">
        <w:rPr>
          <w:sz w:val="16"/>
        </w:rPr>
        <w:t>i</w:t>
      </w:r>
      <w:r w:rsidRPr="00B44CCE">
        <w:rPr>
          <w:sz w:val="16"/>
        </w:rPr>
        <w:t xml:space="preserve">on Form for </w:t>
      </w:r>
      <w:r w:rsidR="0091614F" w:rsidRPr="00B44CCE">
        <w:rPr>
          <w:sz w:val="16"/>
        </w:rPr>
        <w:t>participation</w:t>
      </w:r>
      <w:r w:rsidRPr="00B44CCE">
        <w:rPr>
          <w:sz w:val="16"/>
        </w:rPr>
        <w:t xml:space="preserve"> in SRS OAP and includes operating as a pension-level SRS, complying with </w:t>
      </w:r>
      <w:r w:rsidR="0091614F" w:rsidRPr="00B44CCE">
        <w:rPr>
          <w:sz w:val="16"/>
        </w:rPr>
        <w:t>legislative</w:t>
      </w:r>
      <w:r w:rsidRPr="00B44CCE">
        <w:rPr>
          <w:sz w:val="16"/>
        </w:rPr>
        <w:t xml:space="preserve"> definition of an SRS </w:t>
      </w:r>
      <w:r w:rsidR="0091614F" w:rsidRPr="00B44CCE">
        <w:rPr>
          <w:sz w:val="16"/>
        </w:rPr>
        <w:t>including</w:t>
      </w:r>
      <w:r w:rsidRPr="00B44CCE">
        <w:rPr>
          <w:sz w:val="16"/>
        </w:rPr>
        <w:t xml:space="preserve"> not </w:t>
      </w:r>
      <w:r w:rsidR="0091614F" w:rsidRPr="00B44CCE">
        <w:rPr>
          <w:sz w:val="16"/>
        </w:rPr>
        <w:t>providing</w:t>
      </w:r>
      <w:r w:rsidRPr="00B44CCE">
        <w:rPr>
          <w:sz w:val="16"/>
        </w:rPr>
        <w:t xml:space="preserve"> </w:t>
      </w:r>
      <w:r w:rsidR="0091614F" w:rsidRPr="00B44CCE">
        <w:rPr>
          <w:sz w:val="16"/>
        </w:rPr>
        <w:t>accommodation</w:t>
      </w:r>
      <w:r w:rsidRPr="00B44CCE">
        <w:rPr>
          <w:sz w:val="16"/>
        </w:rPr>
        <w:t xml:space="preserve"> and support to all residents under a service and </w:t>
      </w:r>
      <w:r w:rsidR="0091614F" w:rsidRPr="00B44CCE">
        <w:rPr>
          <w:sz w:val="16"/>
        </w:rPr>
        <w:t>funding</w:t>
      </w:r>
      <w:r w:rsidRPr="00B44CCE">
        <w:rPr>
          <w:sz w:val="16"/>
        </w:rPr>
        <w:t xml:space="preserve"> </w:t>
      </w:r>
      <w:r w:rsidR="0091614F" w:rsidRPr="00B44CCE">
        <w:rPr>
          <w:sz w:val="16"/>
        </w:rPr>
        <w:t>agreement</w:t>
      </w:r>
      <w:r w:rsidRPr="00B44CCE">
        <w:rPr>
          <w:sz w:val="16"/>
        </w:rPr>
        <w:t xml:space="preserve"> with the State or Commonwealth, and not being subject to actions which may place ongoing registration at risk.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5281" w14:textId="77777777" w:rsidR="00F62B3F" w:rsidRDefault="00F6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3E4" w14:textId="77777777" w:rsidR="00F62B3F" w:rsidRDefault="00F6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E864" w14:textId="77777777" w:rsidR="00F62B3F" w:rsidRDefault="00F62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1A2" w14:textId="77777777"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t>Document title</w:t>
    </w:r>
    <w:r>
      <w:rPr>
        <w:noProof/>
      </w:rPr>
      <w:t xml:space="preserve"> </w:t>
    </w:r>
    <w:r w:rsidR="009C245E" w:rsidRPr="009C245E">
      <w:rPr>
        <w:noProof/>
      </w:rPr>
      <w:t>(use Header style)</w:t>
    </w:r>
    <w:r w:rsidR="005F121D">
      <w:rPr>
        <w:noProof/>
      </w:rPr>
      <w:drawing>
        <wp:anchor distT="0" distB="0" distL="114300" distR="114300" simplePos="0" relativeHeight="251658247" behindDoc="1" locked="1" layoutInCell="1" allowOverlap="1" wp14:anchorId="07D915FC" wp14:editId="2E2D16D3">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1C4" w14:textId="3F9F46F7" w:rsidR="00562811" w:rsidRPr="0051568D" w:rsidRDefault="005F121D" w:rsidP="0017674D">
    <w:pPr>
      <w:pStyle w:val="Header"/>
    </w:pPr>
    <w:r>
      <w:rPr>
        <w:noProof/>
      </w:rPr>
      <w:drawing>
        <wp:anchor distT="0" distB="0" distL="114300" distR="114300" simplePos="0" relativeHeight="251658248" behindDoc="1" locked="1" layoutInCell="1" allowOverlap="1" wp14:anchorId="12D171EC" wp14:editId="080C3957">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619837"/>
    <w:multiLevelType w:val="hybridMultilevel"/>
    <w:tmpl w:val="DB7247F8"/>
    <w:lvl w:ilvl="0" w:tplc="8206A9F4">
      <w:start w:val="1"/>
      <w:numFmt w:val="bullet"/>
      <w:lvlText w:val=""/>
      <w:lvlJc w:val="left"/>
      <w:pPr>
        <w:ind w:left="720" w:hanging="360"/>
      </w:pPr>
      <w:rPr>
        <w:rFonts w:ascii="Symbol" w:hAnsi="Symbol" w:hint="default"/>
      </w:rPr>
    </w:lvl>
    <w:lvl w:ilvl="1" w:tplc="A03ED6E0">
      <w:start w:val="1"/>
      <w:numFmt w:val="bullet"/>
      <w:lvlText w:val="o"/>
      <w:lvlJc w:val="left"/>
      <w:pPr>
        <w:ind w:left="1440" w:hanging="360"/>
      </w:pPr>
      <w:rPr>
        <w:rFonts w:ascii="Courier New" w:hAnsi="Courier New" w:hint="default"/>
      </w:rPr>
    </w:lvl>
    <w:lvl w:ilvl="2" w:tplc="003EA06E">
      <w:start w:val="1"/>
      <w:numFmt w:val="bullet"/>
      <w:lvlText w:val=""/>
      <w:lvlJc w:val="left"/>
      <w:pPr>
        <w:ind w:left="2160" w:hanging="360"/>
      </w:pPr>
      <w:rPr>
        <w:rFonts w:ascii="Wingdings" w:hAnsi="Wingdings" w:hint="default"/>
      </w:rPr>
    </w:lvl>
    <w:lvl w:ilvl="3" w:tplc="4D5C36D6">
      <w:start w:val="1"/>
      <w:numFmt w:val="bullet"/>
      <w:lvlText w:val=""/>
      <w:lvlJc w:val="left"/>
      <w:pPr>
        <w:ind w:left="2880" w:hanging="360"/>
      </w:pPr>
      <w:rPr>
        <w:rFonts w:ascii="Symbol" w:hAnsi="Symbol" w:hint="default"/>
      </w:rPr>
    </w:lvl>
    <w:lvl w:ilvl="4" w:tplc="1E2AB876">
      <w:start w:val="1"/>
      <w:numFmt w:val="bullet"/>
      <w:lvlText w:val="o"/>
      <w:lvlJc w:val="left"/>
      <w:pPr>
        <w:ind w:left="3600" w:hanging="360"/>
      </w:pPr>
      <w:rPr>
        <w:rFonts w:ascii="Courier New" w:hAnsi="Courier New" w:hint="default"/>
      </w:rPr>
    </w:lvl>
    <w:lvl w:ilvl="5" w:tplc="06DC7A30">
      <w:start w:val="1"/>
      <w:numFmt w:val="bullet"/>
      <w:lvlText w:val=""/>
      <w:lvlJc w:val="left"/>
      <w:pPr>
        <w:ind w:left="4320" w:hanging="360"/>
      </w:pPr>
      <w:rPr>
        <w:rFonts w:ascii="Wingdings" w:hAnsi="Wingdings" w:hint="default"/>
      </w:rPr>
    </w:lvl>
    <w:lvl w:ilvl="6" w:tplc="0D96889A">
      <w:start w:val="1"/>
      <w:numFmt w:val="bullet"/>
      <w:lvlText w:val=""/>
      <w:lvlJc w:val="left"/>
      <w:pPr>
        <w:ind w:left="5040" w:hanging="360"/>
      </w:pPr>
      <w:rPr>
        <w:rFonts w:ascii="Symbol" w:hAnsi="Symbol" w:hint="default"/>
      </w:rPr>
    </w:lvl>
    <w:lvl w:ilvl="7" w:tplc="0144056C">
      <w:start w:val="1"/>
      <w:numFmt w:val="bullet"/>
      <w:lvlText w:val="o"/>
      <w:lvlJc w:val="left"/>
      <w:pPr>
        <w:ind w:left="5760" w:hanging="360"/>
      </w:pPr>
      <w:rPr>
        <w:rFonts w:ascii="Courier New" w:hAnsi="Courier New" w:hint="default"/>
      </w:rPr>
    </w:lvl>
    <w:lvl w:ilvl="8" w:tplc="69AC73EC">
      <w:start w:val="1"/>
      <w:numFmt w:val="bullet"/>
      <w:lvlText w:val=""/>
      <w:lvlJc w:val="left"/>
      <w:pPr>
        <w:ind w:left="6480" w:hanging="360"/>
      </w:pPr>
      <w:rPr>
        <w:rFonts w:ascii="Wingdings" w:hAnsi="Wingdings" w:hint="default"/>
      </w:rPr>
    </w:lvl>
  </w:abstractNum>
  <w:abstractNum w:abstractNumId="4" w15:restartNumberingAfterBreak="0">
    <w:nsid w:val="18070A89"/>
    <w:multiLevelType w:val="hybridMultilevel"/>
    <w:tmpl w:val="A502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AB1C5B"/>
    <w:multiLevelType w:val="hybridMultilevel"/>
    <w:tmpl w:val="0972B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D51B47"/>
    <w:multiLevelType w:val="multilevel"/>
    <w:tmpl w:val="4B4E7622"/>
    <w:numStyleLink w:val="ZZNumbers"/>
  </w:abstractNum>
  <w:abstractNum w:abstractNumId="7" w15:restartNumberingAfterBreak="0">
    <w:nsid w:val="2924013F"/>
    <w:multiLevelType w:val="hybridMultilevel"/>
    <w:tmpl w:val="E9C4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572599"/>
    <w:multiLevelType w:val="hybridMultilevel"/>
    <w:tmpl w:val="38ECFDBC"/>
    <w:lvl w:ilvl="0" w:tplc="B6383B36">
      <w:start w:val="1"/>
      <w:numFmt w:val="bullet"/>
      <w:lvlText w:val=""/>
      <w:lvlJc w:val="left"/>
      <w:pPr>
        <w:ind w:left="360" w:hanging="360"/>
      </w:pPr>
      <w:rPr>
        <w:rFonts w:ascii="Symbol" w:hAnsi="Symbol" w:hint="default"/>
      </w:rPr>
    </w:lvl>
    <w:lvl w:ilvl="1" w:tplc="E402CB62">
      <w:start w:val="1"/>
      <w:numFmt w:val="bullet"/>
      <w:lvlText w:val="o"/>
      <w:lvlJc w:val="left"/>
      <w:pPr>
        <w:ind w:left="1080" w:hanging="360"/>
      </w:pPr>
      <w:rPr>
        <w:rFonts w:ascii="Courier New" w:hAnsi="Courier New" w:cs="Times New Roman" w:hint="default"/>
      </w:rPr>
    </w:lvl>
    <w:lvl w:ilvl="2" w:tplc="F7F65D9E">
      <w:start w:val="1"/>
      <w:numFmt w:val="bullet"/>
      <w:lvlText w:val=""/>
      <w:lvlJc w:val="left"/>
      <w:pPr>
        <w:ind w:left="1800" w:hanging="360"/>
      </w:pPr>
      <w:rPr>
        <w:rFonts w:ascii="Wingdings" w:hAnsi="Wingdings" w:hint="default"/>
      </w:rPr>
    </w:lvl>
    <w:lvl w:ilvl="3" w:tplc="095EB692">
      <w:start w:val="1"/>
      <w:numFmt w:val="bullet"/>
      <w:lvlText w:val=""/>
      <w:lvlJc w:val="left"/>
      <w:pPr>
        <w:ind w:left="2520" w:hanging="360"/>
      </w:pPr>
      <w:rPr>
        <w:rFonts w:ascii="Symbol" w:hAnsi="Symbol" w:hint="default"/>
      </w:rPr>
    </w:lvl>
    <w:lvl w:ilvl="4" w:tplc="9E00FFC6">
      <w:start w:val="1"/>
      <w:numFmt w:val="bullet"/>
      <w:lvlText w:val="o"/>
      <w:lvlJc w:val="left"/>
      <w:pPr>
        <w:ind w:left="3240" w:hanging="360"/>
      </w:pPr>
      <w:rPr>
        <w:rFonts w:ascii="Courier New" w:hAnsi="Courier New" w:cs="Times New Roman" w:hint="default"/>
      </w:rPr>
    </w:lvl>
    <w:lvl w:ilvl="5" w:tplc="E9A4B992">
      <w:start w:val="1"/>
      <w:numFmt w:val="bullet"/>
      <w:lvlText w:val=""/>
      <w:lvlJc w:val="left"/>
      <w:pPr>
        <w:ind w:left="3960" w:hanging="360"/>
      </w:pPr>
      <w:rPr>
        <w:rFonts w:ascii="Wingdings" w:hAnsi="Wingdings" w:hint="default"/>
      </w:rPr>
    </w:lvl>
    <w:lvl w:ilvl="6" w:tplc="C3DEA0AA">
      <w:start w:val="1"/>
      <w:numFmt w:val="bullet"/>
      <w:lvlText w:val=""/>
      <w:lvlJc w:val="left"/>
      <w:pPr>
        <w:ind w:left="4680" w:hanging="360"/>
      </w:pPr>
      <w:rPr>
        <w:rFonts w:ascii="Symbol" w:hAnsi="Symbol" w:hint="default"/>
      </w:rPr>
    </w:lvl>
    <w:lvl w:ilvl="7" w:tplc="19761140">
      <w:start w:val="1"/>
      <w:numFmt w:val="bullet"/>
      <w:lvlText w:val="o"/>
      <w:lvlJc w:val="left"/>
      <w:pPr>
        <w:ind w:left="5400" w:hanging="360"/>
      </w:pPr>
      <w:rPr>
        <w:rFonts w:ascii="Courier New" w:hAnsi="Courier New" w:cs="Times New Roman" w:hint="default"/>
      </w:rPr>
    </w:lvl>
    <w:lvl w:ilvl="8" w:tplc="0C8EE24C">
      <w:start w:val="1"/>
      <w:numFmt w:val="bullet"/>
      <w:lvlText w:val=""/>
      <w:lvlJc w:val="left"/>
      <w:pPr>
        <w:ind w:left="6120" w:hanging="360"/>
      </w:pPr>
      <w:rPr>
        <w:rFonts w:ascii="Wingdings" w:hAnsi="Wingdings" w:hint="default"/>
      </w:rPr>
    </w:lvl>
  </w:abstractNum>
  <w:abstractNum w:abstractNumId="9" w15:restartNumberingAfterBreak="0">
    <w:nsid w:val="2EC457D3"/>
    <w:multiLevelType w:val="multilevel"/>
    <w:tmpl w:val="20CE08E4"/>
    <w:lvl w:ilvl="0">
      <w:start w:val="4"/>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1A6393"/>
    <w:multiLevelType w:val="multilevel"/>
    <w:tmpl w:val="78F2527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9D775B"/>
    <w:multiLevelType w:val="multilevel"/>
    <w:tmpl w:val="350ED9F2"/>
    <w:numStyleLink w:val="ZZTablebullets"/>
  </w:abstractNum>
  <w:abstractNum w:abstractNumId="15" w15:restartNumberingAfterBreak="0">
    <w:nsid w:val="475832B3"/>
    <w:multiLevelType w:val="hybridMultilevel"/>
    <w:tmpl w:val="636492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C95A38C8"/>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59E27B8"/>
    <w:multiLevelType w:val="hybridMultilevel"/>
    <w:tmpl w:val="D1FE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21D5"/>
    <w:multiLevelType w:val="multilevel"/>
    <w:tmpl w:val="81E833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D3AFC"/>
    <w:multiLevelType w:val="hybridMultilevel"/>
    <w:tmpl w:val="587A99A6"/>
    <w:lvl w:ilvl="0" w:tplc="900EDC3A">
      <w:start w:val="1"/>
      <w:numFmt w:val="bullet"/>
      <w:pStyle w:val="Healthbullet1"/>
      <w:lvlText w:val="•"/>
      <w:lvlJc w:val="left"/>
      <w:pPr>
        <w:ind w:left="284" w:hanging="284"/>
      </w:pPr>
      <w:rPr>
        <w:rFonts w:ascii="Times New Roman" w:hAnsi="Times New Roman" w:hint="default"/>
        <w:b w:val="0"/>
        <w:i w:val="0"/>
        <w:color w:val="auto"/>
        <w:sz w:val="24"/>
      </w:rPr>
    </w:lvl>
    <w:lvl w:ilvl="1" w:tplc="C1321370">
      <w:start w:val="1"/>
      <w:numFmt w:val="bullet"/>
      <w:lvlText w:val="o"/>
      <w:lvlJc w:val="left"/>
      <w:pPr>
        <w:ind w:left="1440" w:hanging="360"/>
      </w:pPr>
      <w:rPr>
        <w:rFonts w:ascii="Courier New" w:hAnsi="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9661887">
    <w:abstractNumId w:val="12"/>
  </w:num>
  <w:num w:numId="2" w16cid:durableId="1774010246">
    <w:abstractNumId w:val="17"/>
  </w:num>
  <w:num w:numId="3" w16cid:durableId="860628214">
    <w:abstractNumId w:val="16"/>
  </w:num>
  <w:num w:numId="4" w16cid:durableId="718895013">
    <w:abstractNumId w:val="18"/>
  </w:num>
  <w:num w:numId="5" w16cid:durableId="1993243544">
    <w:abstractNumId w:val="13"/>
  </w:num>
  <w:num w:numId="6" w16cid:durableId="143132571">
    <w:abstractNumId w:val="2"/>
  </w:num>
  <w:num w:numId="7" w16cid:durableId="1770734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513117">
    <w:abstractNumId w:val="1"/>
  </w:num>
  <w:num w:numId="9" w16cid:durableId="1811749378">
    <w:abstractNumId w:val="11"/>
  </w:num>
  <w:num w:numId="10" w16cid:durableId="914361808">
    <w:abstractNumId w:val="6"/>
  </w:num>
  <w:num w:numId="11" w16cid:durableId="1964311830">
    <w:abstractNumId w:val="4"/>
  </w:num>
  <w:num w:numId="12" w16cid:durableId="733893267">
    <w:abstractNumId w:val="21"/>
  </w:num>
  <w:num w:numId="13" w16cid:durableId="1850679380">
    <w:abstractNumId w:val="8"/>
  </w:num>
  <w:num w:numId="14" w16cid:durableId="1823765162">
    <w:abstractNumId w:val="5"/>
  </w:num>
  <w:num w:numId="15" w16cid:durableId="1954750891">
    <w:abstractNumId w:val="20"/>
  </w:num>
  <w:num w:numId="16" w16cid:durableId="138303446">
    <w:abstractNumId w:val="19"/>
  </w:num>
  <w:num w:numId="17" w16cid:durableId="849951065">
    <w:abstractNumId w:val="10"/>
  </w:num>
  <w:num w:numId="18" w16cid:durableId="909652295">
    <w:abstractNumId w:val="9"/>
  </w:num>
  <w:num w:numId="19" w16cid:durableId="309872929">
    <w:abstractNumId w:val="7"/>
  </w:num>
  <w:num w:numId="20" w16cid:durableId="1903240">
    <w:abstractNumId w:val="3"/>
  </w:num>
  <w:num w:numId="21" w16cid:durableId="1742674376">
    <w:abstractNumId w:val="14"/>
  </w:num>
  <w:num w:numId="22" w16cid:durableId="10475275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8"/>
    <w:rsid w:val="000005F7"/>
    <w:rsid w:val="00000719"/>
    <w:rsid w:val="000023A1"/>
    <w:rsid w:val="00002BC0"/>
    <w:rsid w:val="00002D68"/>
    <w:rsid w:val="000033F7"/>
    <w:rsid w:val="00003403"/>
    <w:rsid w:val="00005347"/>
    <w:rsid w:val="00005883"/>
    <w:rsid w:val="000072B6"/>
    <w:rsid w:val="0001021B"/>
    <w:rsid w:val="00010A9E"/>
    <w:rsid w:val="00011D89"/>
    <w:rsid w:val="00013918"/>
    <w:rsid w:val="00014464"/>
    <w:rsid w:val="000154FD"/>
    <w:rsid w:val="00015B74"/>
    <w:rsid w:val="00016887"/>
    <w:rsid w:val="00020432"/>
    <w:rsid w:val="00020525"/>
    <w:rsid w:val="000218A9"/>
    <w:rsid w:val="00022271"/>
    <w:rsid w:val="000235E8"/>
    <w:rsid w:val="00024D89"/>
    <w:rsid w:val="000250B6"/>
    <w:rsid w:val="000321D9"/>
    <w:rsid w:val="00032581"/>
    <w:rsid w:val="000334E1"/>
    <w:rsid w:val="00033D81"/>
    <w:rsid w:val="00033DC9"/>
    <w:rsid w:val="000344A7"/>
    <w:rsid w:val="00035291"/>
    <w:rsid w:val="0003550E"/>
    <w:rsid w:val="00036C71"/>
    <w:rsid w:val="00037366"/>
    <w:rsid w:val="0004032D"/>
    <w:rsid w:val="00041BF0"/>
    <w:rsid w:val="00042C8A"/>
    <w:rsid w:val="0004378D"/>
    <w:rsid w:val="0004536B"/>
    <w:rsid w:val="00046B68"/>
    <w:rsid w:val="00047AE9"/>
    <w:rsid w:val="00051E00"/>
    <w:rsid w:val="000527DD"/>
    <w:rsid w:val="00052D92"/>
    <w:rsid w:val="00053E80"/>
    <w:rsid w:val="0005457B"/>
    <w:rsid w:val="000549A0"/>
    <w:rsid w:val="00056EC4"/>
    <w:rsid w:val="000578B2"/>
    <w:rsid w:val="00060959"/>
    <w:rsid w:val="00060C8F"/>
    <w:rsid w:val="0006298A"/>
    <w:rsid w:val="000663CD"/>
    <w:rsid w:val="00070689"/>
    <w:rsid w:val="00072D34"/>
    <w:rsid w:val="000733FE"/>
    <w:rsid w:val="00074189"/>
    <w:rsid w:val="00074219"/>
    <w:rsid w:val="00074ED5"/>
    <w:rsid w:val="00075110"/>
    <w:rsid w:val="000771FE"/>
    <w:rsid w:val="00077677"/>
    <w:rsid w:val="0008144F"/>
    <w:rsid w:val="0008204A"/>
    <w:rsid w:val="000830B9"/>
    <w:rsid w:val="00083DEE"/>
    <w:rsid w:val="00083F92"/>
    <w:rsid w:val="0008508E"/>
    <w:rsid w:val="00085AE3"/>
    <w:rsid w:val="00087951"/>
    <w:rsid w:val="0009113B"/>
    <w:rsid w:val="00091A29"/>
    <w:rsid w:val="000927E9"/>
    <w:rsid w:val="00093402"/>
    <w:rsid w:val="00094DA3"/>
    <w:rsid w:val="000957BC"/>
    <w:rsid w:val="00096CD1"/>
    <w:rsid w:val="00097305"/>
    <w:rsid w:val="000A00CE"/>
    <w:rsid w:val="000A012C"/>
    <w:rsid w:val="000A0EB9"/>
    <w:rsid w:val="000A0F64"/>
    <w:rsid w:val="000A186C"/>
    <w:rsid w:val="000A193A"/>
    <w:rsid w:val="000A1EA4"/>
    <w:rsid w:val="000A2476"/>
    <w:rsid w:val="000A2DE9"/>
    <w:rsid w:val="000A3241"/>
    <w:rsid w:val="000A3364"/>
    <w:rsid w:val="000A4280"/>
    <w:rsid w:val="000A5589"/>
    <w:rsid w:val="000A641A"/>
    <w:rsid w:val="000A65BF"/>
    <w:rsid w:val="000A6705"/>
    <w:rsid w:val="000A7F87"/>
    <w:rsid w:val="000B326D"/>
    <w:rsid w:val="000B3D90"/>
    <w:rsid w:val="000B3EDB"/>
    <w:rsid w:val="000B543D"/>
    <w:rsid w:val="000B55F9"/>
    <w:rsid w:val="000B5BF7"/>
    <w:rsid w:val="000B6BC8"/>
    <w:rsid w:val="000C0303"/>
    <w:rsid w:val="000C42EA"/>
    <w:rsid w:val="000C4546"/>
    <w:rsid w:val="000C5C96"/>
    <w:rsid w:val="000C7BCF"/>
    <w:rsid w:val="000D1242"/>
    <w:rsid w:val="000D2ABA"/>
    <w:rsid w:val="000D3ADA"/>
    <w:rsid w:val="000E0970"/>
    <w:rsid w:val="000E30D9"/>
    <w:rsid w:val="000E3237"/>
    <w:rsid w:val="000E37BD"/>
    <w:rsid w:val="000E3CC7"/>
    <w:rsid w:val="000E6BD4"/>
    <w:rsid w:val="000E6D6D"/>
    <w:rsid w:val="000F1902"/>
    <w:rsid w:val="000F1F1E"/>
    <w:rsid w:val="000F2259"/>
    <w:rsid w:val="000F2DDA"/>
    <w:rsid w:val="000F2EA0"/>
    <w:rsid w:val="000F2EF8"/>
    <w:rsid w:val="000F51DC"/>
    <w:rsid w:val="000F5213"/>
    <w:rsid w:val="000F52DB"/>
    <w:rsid w:val="000F55A2"/>
    <w:rsid w:val="000F6672"/>
    <w:rsid w:val="000F6E06"/>
    <w:rsid w:val="000F6EF7"/>
    <w:rsid w:val="000F7306"/>
    <w:rsid w:val="000F7570"/>
    <w:rsid w:val="000F7B9A"/>
    <w:rsid w:val="00101001"/>
    <w:rsid w:val="00101DA1"/>
    <w:rsid w:val="00101FEF"/>
    <w:rsid w:val="0010300F"/>
    <w:rsid w:val="00103276"/>
    <w:rsid w:val="0010392D"/>
    <w:rsid w:val="0010447F"/>
    <w:rsid w:val="00104FE3"/>
    <w:rsid w:val="0010714F"/>
    <w:rsid w:val="00110A15"/>
    <w:rsid w:val="001120C5"/>
    <w:rsid w:val="0011241B"/>
    <w:rsid w:val="00112483"/>
    <w:rsid w:val="00112D86"/>
    <w:rsid w:val="00120199"/>
    <w:rsid w:val="00120988"/>
    <w:rsid w:val="00120BD3"/>
    <w:rsid w:val="001215E7"/>
    <w:rsid w:val="00121A4A"/>
    <w:rsid w:val="00122FEA"/>
    <w:rsid w:val="001232BD"/>
    <w:rsid w:val="00124ED5"/>
    <w:rsid w:val="00125071"/>
    <w:rsid w:val="00125F71"/>
    <w:rsid w:val="001276FA"/>
    <w:rsid w:val="00132971"/>
    <w:rsid w:val="00142331"/>
    <w:rsid w:val="001429B2"/>
    <w:rsid w:val="001447B3"/>
    <w:rsid w:val="00152073"/>
    <w:rsid w:val="00152329"/>
    <w:rsid w:val="001541FF"/>
    <w:rsid w:val="0015481C"/>
    <w:rsid w:val="0015532A"/>
    <w:rsid w:val="00156598"/>
    <w:rsid w:val="00161939"/>
    <w:rsid w:val="00161AA0"/>
    <w:rsid w:val="00161D2E"/>
    <w:rsid w:val="00161F3E"/>
    <w:rsid w:val="00162093"/>
    <w:rsid w:val="001625F7"/>
    <w:rsid w:val="00162CA9"/>
    <w:rsid w:val="001650A7"/>
    <w:rsid w:val="00165459"/>
    <w:rsid w:val="00165A57"/>
    <w:rsid w:val="001712C2"/>
    <w:rsid w:val="00171C7C"/>
    <w:rsid w:val="00172BAF"/>
    <w:rsid w:val="0017674D"/>
    <w:rsid w:val="001771DD"/>
    <w:rsid w:val="00177995"/>
    <w:rsid w:val="00177A8C"/>
    <w:rsid w:val="00177EF1"/>
    <w:rsid w:val="0018244E"/>
    <w:rsid w:val="00183D98"/>
    <w:rsid w:val="001855E7"/>
    <w:rsid w:val="00186B33"/>
    <w:rsid w:val="00192F9D"/>
    <w:rsid w:val="00193FE3"/>
    <w:rsid w:val="00195372"/>
    <w:rsid w:val="00196EB8"/>
    <w:rsid w:val="00196EFB"/>
    <w:rsid w:val="001979FF"/>
    <w:rsid w:val="00197B17"/>
    <w:rsid w:val="001A0F88"/>
    <w:rsid w:val="001A1950"/>
    <w:rsid w:val="001A1C54"/>
    <w:rsid w:val="001A3ACE"/>
    <w:rsid w:val="001A6272"/>
    <w:rsid w:val="001A68DD"/>
    <w:rsid w:val="001B058F"/>
    <w:rsid w:val="001B6B96"/>
    <w:rsid w:val="001B738B"/>
    <w:rsid w:val="001C09DB"/>
    <w:rsid w:val="001C277E"/>
    <w:rsid w:val="001C2A72"/>
    <w:rsid w:val="001C31B7"/>
    <w:rsid w:val="001C38F3"/>
    <w:rsid w:val="001C3F46"/>
    <w:rsid w:val="001C4420"/>
    <w:rsid w:val="001C451B"/>
    <w:rsid w:val="001C611C"/>
    <w:rsid w:val="001D0B75"/>
    <w:rsid w:val="001D2881"/>
    <w:rsid w:val="001D39A5"/>
    <w:rsid w:val="001D3C09"/>
    <w:rsid w:val="001D3D1C"/>
    <w:rsid w:val="001D44E8"/>
    <w:rsid w:val="001D60EC"/>
    <w:rsid w:val="001D6F59"/>
    <w:rsid w:val="001D7074"/>
    <w:rsid w:val="001E397A"/>
    <w:rsid w:val="001E3CDD"/>
    <w:rsid w:val="001E3F54"/>
    <w:rsid w:val="001E44DF"/>
    <w:rsid w:val="001E68A5"/>
    <w:rsid w:val="001E6BB0"/>
    <w:rsid w:val="001E7282"/>
    <w:rsid w:val="001E730B"/>
    <w:rsid w:val="001F32EF"/>
    <w:rsid w:val="001F3826"/>
    <w:rsid w:val="001F5AF3"/>
    <w:rsid w:val="001F6E46"/>
    <w:rsid w:val="001F7321"/>
    <w:rsid w:val="001F78E5"/>
    <w:rsid w:val="001F7C91"/>
    <w:rsid w:val="002033B7"/>
    <w:rsid w:val="00203429"/>
    <w:rsid w:val="0020394D"/>
    <w:rsid w:val="00206463"/>
    <w:rsid w:val="00206F2F"/>
    <w:rsid w:val="00207717"/>
    <w:rsid w:val="0021053D"/>
    <w:rsid w:val="00210A92"/>
    <w:rsid w:val="00211A61"/>
    <w:rsid w:val="00212B95"/>
    <w:rsid w:val="00215CC8"/>
    <w:rsid w:val="00215DDC"/>
    <w:rsid w:val="00216C03"/>
    <w:rsid w:val="00217C52"/>
    <w:rsid w:val="002203B1"/>
    <w:rsid w:val="0022071F"/>
    <w:rsid w:val="00220A1A"/>
    <w:rsid w:val="00220C04"/>
    <w:rsid w:val="0022110D"/>
    <w:rsid w:val="0022278D"/>
    <w:rsid w:val="00223A86"/>
    <w:rsid w:val="00223C4E"/>
    <w:rsid w:val="00223D55"/>
    <w:rsid w:val="00225E38"/>
    <w:rsid w:val="0022701F"/>
    <w:rsid w:val="00227C68"/>
    <w:rsid w:val="00230C4D"/>
    <w:rsid w:val="002333F5"/>
    <w:rsid w:val="00233724"/>
    <w:rsid w:val="002355B3"/>
    <w:rsid w:val="002365B4"/>
    <w:rsid w:val="002423E6"/>
    <w:rsid w:val="0024282A"/>
    <w:rsid w:val="00242A24"/>
    <w:rsid w:val="002432E1"/>
    <w:rsid w:val="002434C8"/>
    <w:rsid w:val="0024425D"/>
    <w:rsid w:val="00244C8B"/>
    <w:rsid w:val="00244EC4"/>
    <w:rsid w:val="00246207"/>
    <w:rsid w:val="00246C5E"/>
    <w:rsid w:val="00247866"/>
    <w:rsid w:val="00250960"/>
    <w:rsid w:val="00251343"/>
    <w:rsid w:val="00252969"/>
    <w:rsid w:val="002536A4"/>
    <w:rsid w:val="002549C1"/>
    <w:rsid w:val="00254F58"/>
    <w:rsid w:val="00256715"/>
    <w:rsid w:val="002620BC"/>
    <w:rsid w:val="00262802"/>
    <w:rsid w:val="00262BD7"/>
    <w:rsid w:val="00263A90"/>
    <w:rsid w:val="0026408B"/>
    <w:rsid w:val="00266DDD"/>
    <w:rsid w:val="00267B33"/>
    <w:rsid w:val="00267C3E"/>
    <w:rsid w:val="00270014"/>
    <w:rsid w:val="002709BB"/>
    <w:rsid w:val="0027131C"/>
    <w:rsid w:val="00273BAC"/>
    <w:rsid w:val="002753AB"/>
    <w:rsid w:val="00275AD9"/>
    <w:rsid w:val="002763B3"/>
    <w:rsid w:val="00276E8B"/>
    <w:rsid w:val="002802E3"/>
    <w:rsid w:val="002819AD"/>
    <w:rsid w:val="00281DE3"/>
    <w:rsid w:val="0028213D"/>
    <w:rsid w:val="00283402"/>
    <w:rsid w:val="00284D42"/>
    <w:rsid w:val="002862F1"/>
    <w:rsid w:val="002879A2"/>
    <w:rsid w:val="00291373"/>
    <w:rsid w:val="002942B5"/>
    <w:rsid w:val="0029597D"/>
    <w:rsid w:val="002962C3"/>
    <w:rsid w:val="00296F28"/>
    <w:rsid w:val="0029752B"/>
    <w:rsid w:val="002A0A9C"/>
    <w:rsid w:val="002A0C7E"/>
    <w:rsid w:val="002A3F3E"/>
    <w:rsid w:val="002A483C"/>
    <w:rsid w:val="002A7222"/>
    <w:rsid w:val="002B0C7C"/>
    <w:rsid w:val="002B0E2E"/>
    <w:rsid w:val="002B1729"/>
    <w:rsid w:val="002B24C3"/>
    <w:rsid w:val="002B36C7"/>
    <w:rsid w:val="002B4DD4"/>
    <w:rsid w:val="002B5277"/>
    <w:rsid w:val="002B5375"/>
    <w:rsid w:val="002B593C"/>
    <w:rsid w:val="002B776A"/>
    <w:rsid w:val="002B77C1"/>
    <w:rsid w:val="002C0A93"/>
    <w:rsid w:val="002C0ED7"/>
    <w:rsid w:val="002C2728"/>
    <w:rsid w:val="002C5B7C"/>
    <w:rsid w:val="002C5E78"/>
    <w:rsid w:val="002C6B70"/>
    <w:rsid w:val="002C7E7D"/>
    <w:rsid w:val="002D1E0D"/>
    <w:rsid w:val="002D243D"/>
    <w:rsid w:val="002D5006"/>
    <w:rsid w:val="002D548F"/>
    <w:rsid w:val="002D637A"/>
    <w:rsid w:val="002D6DDE"/>
    <w:rsid w:val="002D7C61"/>
    <w:rsid w:val="002E01D0"/>
    <w:rsid w:val="002E161D"/>
    <w:rsid w:val="002E28A2"/>
    <w:rsid w:val="002E3100"/>
    <w:rsid w:val="002E4744"/>
    <w:rsid w:val="002E488E"/>
    <w:rsid w:val="002E571E"/>
    <w:rsid w:val="002E6C95"/>
    <w:rsid w:val="002E7C36"/>
    <w:rsid w:val="002F0E2B"/>
    <w:rsid w:val="002F33D3"/>
    <w:rsid w:val="002F3D32"/>
    <w:rsid w:val="002F5412"/>
    <w:rsid w:val="002F5AC9"/>
    <w:rsid w:val="002F5F31"/>
    <w:rsid w:val="002F5F46"/>
    <w:rsid w:val="002F7028"/>
    <w:rsid w:val="002F708C"/>
    <w:rsid w:val="00301CD4"/>
    <w:rsid w:val="00302216"/>
    <w:rsid w:val="00303E53"/>
    <w:rsid w:val="0030495F"/>
    <w:rsid w:val="00305CC1"/>
    <w:rsid w:val="00306E5F"/>
    <w:rsid w:val="0030785E"/>
    <w:rsid w:val="00307E14"/>
    <w:rsid w:val="00314054"/>
    <w:rsid w:val="00314A7F"/>
    <w:rsid w:val="00316F27"/>
    <w:rsid w:val="003214F1"/>
    <w:rsid w:val="00322E4B"/>
    <w:rsid w:val="00323FB3"/>
    <w:rsid w:val="00326173"/>
    <w:rsid w:val="00327870"/>
    <w:rsid w:val="0033259D"/>
    <w:rsid w:val="003333D2"/>
    <w:rsid w:val="003339C5"/>
    <w:rsid w:val="00333CCE"/>
    <w:rsid w:val="00334686"/>
    <w:rsid w:val="00337339"/>
    <w:rsid w:val="00340345"/>
    <w:rsid w:val="003403C3"/>
    <w:rsid w:val="003404E0"/>
    <w:rsid w:val="003406C6"/>
    <w:rsid w:val="0034146B"/>
    <w:rsid w:val="003418CC"/>
    <w:rsid w:val="003434EE"/>
    <w:rsid w:val="0034465C"/>
    <w:rsid w:val="00345706"/>
    <w:rsid w:val="003459BD"/>
    <w:rsid w:val="00350D38"/>
    <w:rsid w:val="00351B36"/>
    <w:rsid w:val="00354535"/>
    <w:rsid w:val="00357B4E"/>
    <w:rsid w:val="0036498B"/>
    <w:rsid w:val="00365185"/>
    <w:rsid w:val="00366C90"/>
    <w:rsid w:val="00367B19"/>
    <w:rsid w:val="00370AAF"/>
    <w:rsid w:val="00370C16"/>
    <w:rsid w:val="00370CE5"/>
    <w:rsid w:val="003716FD"/>
    <w:rsid w:val="0037204B"/>
    <w:rsid w:val="003727B2"/>
    <w:rsid w:val="00373CED"/>
    <w:rsid w:val="003744CF"/>
    <w:rsid w:val="00374717"/>
    <w:rsid w:val="0037676C"/>
    <w:rsid w:val="00380C16"/>
    <w:rsid w:val="00381043"/>
    <w:rsid w:val="003823EA"/>
    <w:rsid w:val="003829E5"/>
    <w:rsid w:val="00383851"/>
    <w:rsid w:val="00386109"/>
    <w:rsid w:val="00386827"/>
    <w:rsid w:val="00386944"/>
    <w:rsid w:val="0039133F"/>
    <w:rsid w:val="003932F0"/>
    <w:rsid w:val="003956CC"/>
    <w:rsid w:val="003959D3"/>
    <w:rsid w:val="00395C9A"/>
    <w:rsid w:val="003974D1"/>
    <w:rsid w:val="003A0853"/>
    <w:rsid w:val="003A08E5"/>
    <w:rsid w:val="003A092C"/>
    <w:rsid w:val="003A0FEE"/>
    <w:rsid w:val="003A1940"/>
    <w:rsid w:val="003A3052"/>
    <w:rsid w:val="003A5020"/>
    <w:rsid w:val="003A6B67"/>
    <w:rsid w:val="003B13B6"/>
    <w:rsid w:val="003B14C3"/>
    <w:rsid w:val="003B15E6"/>
    <w:rsid w:val="003B22EF"/>
    <w:rsid w:val="003B2350"/>
    <w:rsid w:val="003B408A"/>
    <w:rsid w:val="003B6AEF"/>
    <w:rsid w:val="003C055D"/>
    <w:rsid w:val="003C08A2"/>
    <w:rsid w:val="003C2045"/>
    <w:rsid w:val="003C43A1"/>
    <w:rsid w:val="003C4FC0"/>
    <w:rsid w:val="003C55F4"/>
    <w:rsid w:val="003C76F1"/>
    <w:rsid w:val="003C7897"/>
    <w:rsid w:val="003C7A3F"/>
    <w:rsid w:val="003D01FF"/>
    <w:rsid w:val="003D1D70"/>
    <w:rsid w:val="003D2766"/>
    <w:rsid w:val="003D2A74"/>
    <w:rsid w:val="003D3D88"/>
    <w:rsid w:val="003D3E8F"/>
    <w:rsid w:val="003D4EA2"/>
    <w:rsid w:val="003D5C7A"/>
    <w:rsid w:val="003D6475"/>
    <w:rsid w:val="003D6EE6"/>
    <w:rsid w:val="003D7889"/>
    <w:rsid w:val="003E1D23"/>
    <w:rsid w:val="003E2F70"/>
    <w:rsid w:val="003E375C"/>
    <w:rsid w:val="003E4086"/>
    <w:rsid w:val="003E639E"/>
    <w:rsid w:val="003E65FC"/>
    <w:rsid w:val="003E7119"/>
    <w:rsid w:val="003E71E5"/>
    <w:rsid w:val="003F034D"/>
    <w:rsid w:val="003F0445"/>
    <w:rsid w:val="003F0CF0"/>
    <w:rsid w:val="003F0E72"/>
    <w:rsid w:val="003F14B1"/>
    <w:rsid w:val="003F2B20"/>
    <w:rsid w:val="003F3289"/>
    <w:rsid w:val="003F3C62"/>
    <w:rsid w:val="003F5CB9"/>
    <w:rsid w:val="003F7468"/>
    <w:rsid w:val="003F7ED5"/>
    <w:rsid w:val="004009AB"/>
    <w:rsid w:val="004013C7"/>
    <w:rsid w:val="00401FCF"/>
    <w:rsid w:val="004034C1"/>
    <w:rsid w:val="004038A0"/>
    <w:rsid w:val="00404E6F"/>
    <w:rsid w:val="00406285"/>
    <w:rsid w:val="004148F9"/>
    <w:rsid w:val="0041492E"/>
    <w:rsid w:val="0042084E"/>
    <w:rsid w:val="00420C71"/>
    <w:rsid w:val="004217A2"/>
    <w:rsid w:val="00421EEF"/>
    <w:rsid w:val="00421F01"/>
    <w:rsid w:val="0042308E"/>
    <w:rsid w:val="00424D65"/>
    <w:rsid w:val="004253FC"/>
    <w:rsid w:val="00430393"/>
    <w:rsid w:val="00431806"/>
    <w:rsid w:val="00431A70"/>
    <w:rsid w:val="00431F42"/>
    <w:rsid w:val="004370F7"/>
    <w:rsid w:val="00441905"/>
    <w:rsid w:val="00441E75"/>
    <w:rsid w:val="00442C6C"/>
    <w:rsid w:val="00443CBE"/>
    <w:rsid w:val="00443E8A"/>
    <w:rsid w:val="00444017"/>
    <w:rsid w:val="004441BC"/>
    <w:rsid w:val="004468B4"/>
    <w:rsid w:val="00446D86"/>
    <w:rsid w:val="0045105A"/>
    <w:rsid w:val="004515CF"/>
    <w:rsid w:val="00451D98"/>
    <w:rsid w:val="0045230A"/>
    <w:rsid w:val="0045424B"/>
    <w:rsid w:val="00454AD0"/>
    <w:rsid w:val="00456407"/>
    <w:rsid w:val="0045694E"/>
    <w:rsid w:val="00457337"/>
    <w:rsid w:val="00462CDD"/>
    <w:rsid w:val="00462E3D"/>
    <w:rsid w:val="004642D4"/>
    <w:rsid w:val="00466E79"/>
    <w:rsid w:val="00466ED6"/>
    <w:rsid w:val="00470398"/>
    <w:rsid w:val="00470982"/>
    <w:rsid w:val="00470ADD"/>
    <w:rsid w:val="00470D7D"/>
    <w:rsid w:val="00472099"/>
    <w:rsid w:val="004728F8"/>
    <w:rsid w:val="00472D56"/>
    <w:rsid w:val="0047372D"/>
    <w:rsid w:val="00473BA3"/>
    <w:rsid w:val="004743DD"/>
    <w:rsid w:val="0047453A"/>
    <w:rsid w:val="00474CEA"/>
    <w:rsid w:val="00475BA0"/>
    <w:rsid w:val="004760FC"/>
    <w:rsid w:val="00483968"/>
    <w:rsid w:val="004841BE"/>
    <w:rsid w:val="00484F86"/>
    <w:rsid w:val="004868B8"/>
    <w:rsid w:val="00487147"/>
    <w:rsid w:val="00490746"/>
    <w:rsid w:val="00490852"/>
    <w:rsid w:val="004913A9"/>
    <w:rsid w:val="00491C9C"/>
    <w:rsid w:val="0049243F"/>
    <w:rsid w:val="00492F30"/>
    <w:rsid w:val="004946F4"/>
    <w:rsid w:val="0049487E"/>
    <w:rsid w:val="00495EDA"/>
    <w:rsid w:val="00497F80"/>
    <w:rsid w:val="004A010F"/>
    <w:rsid w:val="004A0CB7"/>
    <w:rsid w:val="004A0F65"/>
    <w:rsid w:val="004A160D"/>
    <w:rsid w:val="004A3E81"/>
    <w:rsid w:val="004A4195"/>
    <w:rsid w:val="004A4C80"/>
    <w:rsid w:val="004A4DFE"/>
    <w:rsid w:val="004A5C62"/>
    <w:rsid w:val="004A5CE5"/>
    <w:rsid w:val="004A6568"/>
    <w:rsid w:val="004A6CFD"/>
    <w:rsid w:val="004A707D"/>
    <w:rsid w:val="004A72BA"/>
    <w:rsid w:val="004B0974"/>
    <w:rsid w:val="004B2961"/>
    <w:rsid w:val="004B2DD4"/>
    <w:rsid w:val="004B4185"/>
    <w:rsid w:val="004B4E46"/>
    <w:rsid w:val="004B72A7"/>
    <w:rsid w:val="004C1352"/>
    <w:rsid w:val="004C192D"/>
    <w:rsid w:val="004C5541"/>
    <w:rsid w:val="004C6EEE"/>
    <w:rsid w:val="004C702B"/>
    <w:rsid w:val="004D0033"/>
    <w:rsid w:val="004D016B"/>
    <w:rsid w:val="004D12A6"/>
    <w:rsid w:val="004D1B22"/>
    <w:rsid w:val="004D23CC"/>
    <w:rsid w:val="004D3522"/>
    <w:rsid w:val="004D36F2"/>
    <w:rsid w:val="004D3AFD"/>
    <w:rsid w:val="004D3BE2"/>
    <w:rsid w:val="004D78F4"/>
    <w:rsid w:val="004E1106"/>
    <w:rsid w:val="004E138F"/>
    <w:rsid w:val="004E2AAB"/>
    <w:rsid w:val="004E4649"/>
    <w:rsid w:val="004E4B07"/>
    <w:rsid w:val="004E59CF"/>
    <w:rsid w:val="004E5C2B"/>
    <w:rsid w:val="004E7792"/>
    <w:rsid w:val="004F00DD"/>
    <w:rsid w:val="004F11DA"/>
    <w:rsid w:val="004F1CFF"/>
    <w:rsid w:val="004F2133"/>
    <w:rsid w:val="004F429C"/>
    <w:rsid w:val="004F5398"/>
    <w:rsid w:val="004F554C"/>
    <w:rsid w:val="004F55F1"/>
    <w:rsid w:val="004F58B5"/>
    <w:rsid w:val="004F5BE8"/>
    <w:rsid w:val="004F5F64"/>
    <w:rsid w:val="004F6936"/>
    <w:rsid w:val="00500F6E"/>
    <w:rsid w:val="00502E67"/>
    <w:rsid w:val="00503DC6"/>
    <w:rsid w:val="0050410C"/>
    <w:rsid w:val="00506F5D"/>
    <w:rsid w:val="00510C37"/>
    <w:rsid w:val="00511C13"/>
    <w:rsid w:val="005126D0"/>
    <w:rsid w:val="005144BA"/>
    <w:rsid w:val="00514667"/>
    <w:rsid w:val="0051568D"/>
    <w:rsid w:val="00515FE2"/>
    <w:rsid w:val="00516CD4"/>
    <w:rsid w:val="00523FEF"/>
    <w:rsid w:val="005243AE"/>
    <w:rsid w:val="00524909"/>
    <w:rsid w:val="00526AC7"/>
    <w:rsid w:val="00526C15"/>
    <w:rsid w:val="00526DD7"/>
    <w:rsid w:val="005358B9"/>
    <w:rsid w:val="005362FE"/>
    <w:rsid w:val="00536499"/>
    <w:rsid w:val="005367D9"/>
    <w:rsid w:val="0054027E"/>
    <w:rsid w:val="005404CA"/>
    <w:rsid w:val="00542A03"/>
    <w:rsid w:val="00543903"/>
    <w:rsid w:val="00543BCC"/>
    <w:rsid w:val="00543F11"/>
    <w:rsid w:val="0054525A"/>
    <w:rsid w:val="00546305"/>
    <w:rsid w:val="0054738A"/>
    <w:rsid w:val="00547A95"/>
    <w:rsid w:val="00550898"/>
    <w:rsid w:val="0055119B"/>
    <w:rsid w:val="00552EA8"/>
    <w:rsid w:val="00556135"/>
    <w:rsid w:val="00557F63"/>
    <w:rsid w:val="00560921"/>
    <w:rsid w:val="00561202"/>
    <w:rsid w:val="00562507"/>
    <w:rsid w:val="00562811"/>
    <w:rsid w:val="00562B47"/>
    <w:rsid w:val="00562CC1"/>
    <w:rsid w:val="00570E29"/>
    <w:rsid w:val="00572031"/>
    <w:rsid w:val="00572282"/>
    <w:rsid w:val="0057377D"/>
    <w:rsid w:val="00573CE3"/>
    <w:rsid w:val="00576E84"/>
    <w:rsid w:val="0058038A"/>
    <w:rsid w:val="00580394"/>
    <w:rsid w:val="005809CD"/>
    <w:rsid w:val="0058198F"/>
    <w:rsid w:val="0058238D"/>
    <w:rsid w:val="00582B8C"/>
    <w:rsid w:val="00584450"/>
    <w:rsid w:val="00585D07"/>
    <w:rsid w:val="0058757E"/>
    <w:rsid w:val="00593009"/>
    <w:rsid w:val="005946F8"/>
    <w:rsid w:val="005967B0"/>
    <w:rsid w:val="00596A4B"/>
    <w:rsid w:val="00597507"/>
    <w:rsid w:val="005A04DC"/>
    <w:rsid w:val="005A2200"/>
    <w:rsid w:val="005A240D"/>
    <w:rsid w:val="005A479D"/>
    <w:rsid w:val="005A6380"/>
    <w:rsid w:val="005B1C6D"/>
    <w:rsid w:val="005B21B6"/>
    <w:rsid w:val="005B3A08"/>
    <w:rsid w:val="005B7A63"/>
    <w:rsid w:val="005C0955"/>
    <w:rsid w:val="005C2B70"/>
    <w:rsid w:val="005C42C5"/>
    <w:rsid w:val="005C49DA"/>
    <w:rsid w:val="005C50F3"/>
    <w:rsid w:val="005C54B5"/>
    <w:rsid w:val="005C5D80"/>
    <w:rsid w:val="005C5D91"/>
    <w:rsid w:val="005C7900"/>
    <w:rsid w:val="005D07B8"/>
    <w:rsid w:val="005D117C"/>
    <w:rsid w:val="005D15F2"/>
    <w:rsid w:val="005D6597"/>
    <w:rsid w:val="005D733A"/>
    <w:rsid w:val="005E14E7"/>
    <w:rsid w:val="005E26A3"/>
    <w:rsid w:val="005E2BEB"/>
    <w:rsid w:val="005E2ECB"/>
    <w:rsid w:val="005E3CC5"/>
    <w:rsid w:val="005E447E"/>
    <w:rsid w:val="005E4D11"/>
    <w:rsid w:val="005E4FD1"/>
    <w:rsid w:val="005F0775"/>
    <w:rsid w:val="005F0B9B"/>
    <w:rsid w:val="005F0CF5"/>
    <w:rsid w:val="005F121D"/>
    <w:rsid w:val="005F21EB"/>
    <w:rsid w:val="005F64CF"/>
    <w:rsid w:val="0060291D"/>
    <w:rsid w:val="006034D6"/>
    <w:rsid w:val="006041AD"/>
    <w:rsid w:val="00605030"/>
    <w:rsid w:val="00605908"/>
    <w:rsid w:val="00607589"/>
    <w:rsid w:val="006075D6"/>
    <w:rsid w:val="00607850"/>
    <w:rsid w:val="00607EF7"/>
    <w:rsid w:val="00610D7C"/>
    <w:rsid w:val="00613414"/>
    <w:rsid w:val="006137AF"/>
    <w:rsid w:val="006139D6"/>
    <w:rsid w:val="00620154"/>
    <w:rsid w:val="0062408D"/>
    <w:rsid w:val="006240CC"/>
    <w:rsid w:val="00624940"/>
    <w:rsid w:val="006254F8"/>
    <w:rsid w:val="00627DA7"/>
    <w:rsid w:val="0063002B"/>
    <w:rsid w:val="00630DA4"/>
    <w:rsid w:val="00631CD4"/>
    <w:rsid w:val="00632597"/>
    <w:rsid w:val="00634D13"/>
    <w:rsid w:val="006358B4"/>
    <w:rsid w:val="00641724"/>
    <w:rsid w:val="006419AA"/>
    <w:rsid w:val="00643302"/>
    <w:rsid w:val="00644B1F"/>
    <w:rsid w:val="00644B7E"/>
    <w:rsid w:val="006454E6"/>
    <w:rsid w:val="00646235"/>
    <w:rsid w:val="00646A68"/>
    <w:rsid w:val="00647114"/>
    <w:rsid w:val="006505BD"/>
    <w:rsid w:val="006508EA"/>
    <w:rsid w:val="0065092E"/>
    <w:rsid w:val="00650C3D"/>
    <w:rsid w:val="006551B4"/>
    <w:rsid w:val="00655567"/>
    <w:rsid w:val="006557A7"/>
    <w:rsid w:val="00656290"/>
    <w:rsid w:val="006601C9"/>
    <w:rsid w:val="006608D8"/>
    <w:rsid w:val="00661EE5"/>
    <w:rsid w:val="006621D7"/>
    <w:rsid w:val="00662DFC"/>
    <w:rsid w:val="0066302A"/>
    <w:rsid w:val="006637A6"/>
    <w:rsid w:val="00665F40"/>
    <w:rsid w:val="00667770"/>
    <w:rsid w:val="00667906"/>
    <w:rsid w:val="00670597"/>
    <w:rsid w:val="006706D0"/>
    <w:rsid w:val="006709A6"/>
    <w:rsid w:val="006713F2"/>
    <w:rsid w:val="0067245C"/>
    <w:rsid w:val="006747E8"/>
    <w:rsid w:val="00676E4A"/>
    <w:rsid w:val="00677574"/>
    <w:rsid w:val="006810A5"/>
    <w:rsid w:val="006812ED"/>
    <w:rsid w:val="006822C7"/>
    <w:rsid w:val="00683878"/>
    <w:rsid w:val="00683C94"/>
    <w:rsid w:val="00684380"/>
    <w:rsid w:val="0068454C"/>
    <w:rsid w:val="00685934"/>
    <w:rsid w:val="006871DD"/>
    <w:rsid w:val="00691B62"/>
    <w:rsid w:val="006933B5"/>
    <w:rsid w:val="00693D14"/>
    <w:rsid w:val="00695430"/>
    <w:rsid w:val="00696F27"/>
    <w:rsid w:val="006A076E"/>
    <w:rsid w:val="006A18C2"/>
    <w:rsid w:val="006A3383"/>
    <w:rsid w:val="006A483E"/>
    <w:rsid w:val="006A69B9"/>
    <w:rsid w:val="006A6DAC"/>
    <w:rsid w:val="006A70E3"/>
    <w:rsid w:val="006B077C"/>
    <w:rsid w:val="006B1413"/>
    <w:rsid w:val="006B285A"/>
    <w:rsid w:val="006B6803"/>
    <w:rsid w:val="006C160D"/>
    <w:rsid w:val="006C2447"/>
    <w:rsid w:val="006C5966"/>
    <w:rsid w:val="006C6D4F"/>
    <w:rsid w:val="006D063B"/>
    <w:rsid w:val="006D0F16"/>
    <w:rsid w:val="006D222D"/>
    <w:rsid w:val="006D2A3F"/>
    <w:rsid w:val="006D2FBC"/>
    <w:rsid w:val="006D3891"/>
    <w:rsid w:val="006D3DC3"/>
    <w:rsid w:val="006D6780"/>
    <w:rsid w:val="006D6CB5"/>
    <w:rsid w:val="006D6E34"/>
    <w:rsid w:val="006E0328"/>
    <w:rsid w:val="006E138B"/>
    <w:rsid w:val="006E1867"/>
    <w:rsid w:val="006F0330"/>
    <w:rsid w:val="006F1D2D"/>
    <w:rsid w:val="006F1FDC"/>
    <w:rsid w:val="006F3738"/>
    <w:rsid w:val="006F6B49"/>
    <w:rsid w:val="006F6B8C"/>
    <w:rsid w:val="006F7451"/>
    <w:rsid w:val="007013EF"/>
    <w:rsid w:val="007044C6"/>
    <w:rsid w:val="007055BD"/>
    <w:rsid w:val="00705EBE"/>
    <w:rsid w:val="00707B0E"/>
    <w:rsid w:val="00711AEE"/>
    <w:rsid w:val="00711DCC"/>
    <w:rsid w:val="00714F6B"/>
    <w:rsid w:val="00716BC9"/>
    <w:rsid w:val="007173CA"/>
    <w:rsid w:val="0072129E"/>
    <w:rsid w:val="007216AA"/>
    <w:rsid w:val="00721AB5"/>
    <w:rsid w:val="00721CFB"/>
    <w:rsid w:val="00721DEF"/>
    <w:rsid w:val="00723A8A"/>
    <w:rsid w:val="00724279"/>
    <w:rsid w:val="00724873"/>
    <w:rsid w:val="00724A43"/>
    <w:rsid w:val="007252B3"/>
    <w:rsid w:val="007273AC"/>
    <w:rsid w:val="007278EC"/>
    <w:rsid w:val="00731AD4"/>
    <w:rsid w:val="007346E4"/>
    <w:rsid w:val="00735564"/>
    <w:rsid w:val="00740F22"/>
    <w:rsid w:val="00741CF0"/>
    <w:rsid w:val="00741F1A"/>
    <w:rsid w:val="00742161"/>
    <w:rsid w:val="007447DA"/>
    <w:rsid w:val="007450F8"/>
    <w:rsid w:val="0074696E"/>
    <w:rsid w:val="00750069"/>
    <w:rsid w:val="00750135"/>
    <w:rsid w:val="00750EC2"/>
    <w:rsid w:val="0075249D"/>
    <w:rsid w:val="00752B28"/>
    <w:rsid w:val="007536BC"/>
    <w:rsid w:val="007541A9"/>
    <w:rsid w:val="007543B9"/>
    <w:rsid w:val="007549D3"/>
    <w:rsid w:val="00754E36"/>
    <w:rsid w:val="00763139"/>
    <w:rsid w:val="007649E4"/>
    <w:rsid w:val="00765818"/>
    <w:rsid w:val="007660B0"/>
    <w:rsid w:val="00770F37"/>
    <w:rsid w:val="007711A0"/>
    <w:rsid w:val="00772D5E"/>
    <w:rsid w:val="0077463E"/>
    <w:rsid w:val="00774B5A"/>
    <w:rsid w:val="00775A6C"/>
    <w:rsid w:val="0077665E"/>
    <w:rsid w:val="00776928"/>
    <w:rsid w:val="00776D56"/>
    <w:rsid w:val="00776E0F"/>
    <w:rsid w:val="007773B2"/>
    <w:rsid w:val="007774B1"/>
    <w:rsid w:val="00777BE1"/>
    <w:rsid w:val="007813BE"/>
    <w:rsid w:val="00782222"/>
    <w:rsid w:val="007833D8"/>
    <w:rsid w:val="00785677"/>
    <w:rsid w:val="00786F16"/>
    <w:rsid w:val="007917A5"/>
    <w:rsid w:val="00791BD7"/>
    <w:rsid w:val="00791D48"/>
    <w:rsid w:val="007933F7"/>
    <w:rsid w:val="0079585E"/>
    <w:rsid w:val="00796E20"/>
    <w:rsid w:val="00797C32"/>
    <w:rsid w:val="007A11E8"/>
    <w:rsid w:val="007A1667"/>
    <w:rsid w:val="007B0914"/>
    <w:rsid w:val="007B1374"/>
    <w:rsid w:val="007B32E5"/>
    <w:rsid w:val="007B3DB9"/>
    <w:rsid w:val="007B4CC6"/>
    <w:rsid w:val="007B589F"/>
    <w:rsid w:val="007B6186"/>
    <w:rsid w:val="007B73BC"/>
    <w:rsid w:val="007C1838"/>
    <w:rsid w:val="007C1DF7"/>
    <w:rsid w:val="007C20B9"/>
    <w:rsid w:val="007C3366"/>
    <w:rsid w:val="007C390B"/>
    <w:rsid w:val="007C5551"/>
    <w:rsid w:val="007C7301"/>
    <w:rsid w:val="007C7859"/>
    <w:rsid w:val="007C7F28"/>
    <w:rsid w:val="007D1466"/>
    <w:rsid w:val="007D21EE"/>
    <w:rsid w:val="007D2BDE"/>
    <w:rsid w:val="007D2FB6"/>
    <w:rsid w:val="007D49EB"/>
    <w:rsid w:val="007D591F"/>
    <w:rsid w:val="007D5E1C"/>
    <w:rsid w:val="007D79BE"/>
    <w:rsid w:val="007E0DE2"/>
    <w:rsid w:val="007E2092"/>
    <w:rsid w:val="007E3667"/>
    <w:rsid w:val="007E3B98"/>
    <w:rsid w:val="007E417A"/>
    <w:rsid w:val="007E5B87"/>
    <w:rsid w:val="007E6141"/>
    <w:rsid w:val="007E7A8F"/>
    <w:rsid w:val="007F09EE"/>
    <w:rsid w:val="007F0A7B"/>
    <w:rsid w:val="007F0D63"/>
    <w:rsid w:val="007F151C"/>
    <w:rsid w:val="007F193C"/>
    <w:rsid w:val="007F31B6"/>
    <w:rsid w:val="007F39BC"/>
    <w:rsid w:val="007F546C"/>
    <w:rsid w:val="007F625F"/>
    <w:rsid w:val="007F665E"/>
    <w:rsid w:val="007F715E"/>
    <w:rsid w:val="00800412"/>
    <w:rsid w:val="00801561"/>
    <w:rsid w:val="00803563"/>
    <w:rsid w:val="00803D24"/>
    <w:rsid w:val="0080587B"/>
    <w:rsid w:val="00806468"/>
    <w:rsid w:val="008075FA"/>
    <w:rsid w:val="00810166"/>
    <w:rsid w:val="008119CA"/>
    <w:rsid w:val="008130C4"/>
    <w:rsid w:val="008155F0"/>
    <w:rsid w:val="008162A8"/>
    <w:rsid w:val="00816735"/>
    <w:rsid w:val="008169D1"/>
    <w:rsid w:val="00820141"/>
    <w:rsid w:val="00820E0C"/>
    <w:rsid w:val="00822647"/>
    <w:rsid w:val="00823275"/>
    <w:rsid w:val="0082366F"/>
    <w:rsid w:val="008238C9"/>
    <w:rsid w:val="00824522"/>
    <w:rsid w:val="0082558E"/>
    <w:rsid w:val="00826174"/>
    <w:rsid w:val="008303DA"/>
    <w:rsid w:val="00831268"/>
    <w:rsid w:val="008331BB"/>
    <w:rsid w:val="0083347D"/>
    <w:rsid w:val="008338A2"/>
    <w:rsid w:val="00835E1D"/>
    <w:rsid w:val="0083641D"/>
    <w:rsid w:val="00837CA8"/>
    <w:rsid w:val="008407BD"/>
    <w:rsid w:val="00841AA9"/>
    <w:rsid w:val="008474FE"/>
    <w:rsid w:val="00853C8D"/>
    <w:rsid w:val="00853EE4"/>
    <w:rsid w:val="008547E7"/>
    <w:rsid w:val="00855535"/>
    <w:rsid w:val="008563B5"/>
    <w:rsid w:val="008572D1"/>
    <w:rsid w:val="00857864"/>
    <w:rsid w:val="00857C5A"/>
    <w:rsid w:val="0086255E"/>
    <w:rsid w:val="00862D03"/>
    <w:rsid w:val="008633F0"/>
    <w:rsid w:val="00863772"/>
    <w:rsid w:val="008645AC"/>
    <w:rsid w:val="008662AC"/>
    <w:rsid w:val="008679C3"/>
    <w:rsid w:val="00867D9D"/>
    <w:rsid w:val="00872DF1"/>
    <w:rsid w:val="00872E0A"/>
    <w:rsid w:val="00873594"/>
    <w:rsid w:val="00875285"/>
    <w:rsid w:val="00875BD8"/>
    <w:rsid w:val="008761D3"/>
    <w:rsid w:val="00877D7D"/>
    <w:rsid w:val="0088180C"/>
    <w:rsid w:val="008842F5"/>
    <w:rsid w:val="00884B62"/>
    <w:rsid w:val="0088503D"/>
    <w:rsid w:val="0088529C"/>
    <w:rsid w:val="008854F1"/>
    <w:rsid w:val="00886F0A"/>
    <w:rsid w:val="00887903"/>
    <w:rsid w:val="008900A8"/>
    <w:rsid w:val="00891426"/>
    <w:rsid w:val="0089270A"/>
    <w:rsid w:val="00893AF6"/>
    <w:rsid w:val="00894BC4"/>
    <w:rsid w:val="00896890"/>
    <w:rsid w:val="00896F99"/>
    <w:rsid w:val="008A28A8"/>
    <w:rsid w:val="008A34F6"/>
    <w:rsid w:val="008A5B32"/>
    <w:rsid w:val="008B1931"/>
    <w:rsid w:val="008B2029"/>
    <w:rsid w:val="008B20FC"/>
    <w:rsid w:val="008B2EE4"/>
    <w:rsid w:val="008B3821"/>
    <w:rsid w:val="008B4C13"/>
    <w:rsid w:val="008B4D3D"/>
    <w:rsid w:val="008B57C7"/>
    <w:rsid w:val="008C094B"/>
    <w:rsid w:val="008C263E"/>
    <w:rsid w:val="008C2F92"/>
    <w:rsid w:val="008C3546"/>
    <w:rsid w:val="008C41D3"/>
    <w:rsid w:val="008C589D"/>
    <w:rsid w:val="008C6C72"/>
    <w:rsid w:val="008C6D51"/>
    <w:rsid w:val="008D0392"/>
    <w:rsid w:val="008D0969"/>
    <w:rsid w:val="008D189A"/>
    <w:rsid w:val="008D2846"/>
    <w:rsid w:val="008D4236"/>
    <w:rsid w:val="008D462F"/>
    <w:rsid w:val="008D6DCF"/>
    <w:rsid w:val="008E01C1"/>
    <w:rsid w:val="008E10DB"/>
    <w:rsid w:val="008E164B"/>
    <w:rsid w:val="008E3CB9"/>
    <w:rsid w:val="008E4002"/>
    <w:rsid w:val="008E4376"/>
    <w:rsid w:val="008E558C"/>
    <w:rsid w:val="008E6BB4"/>
    <w:rsid w:val="008E7A0A"/>
    <w:rsid w:val="008E7B49"/>
    <w:rsid w:val="008F0E25"/>
    <w:rsid w:val="008F43D8"/>
    <w:rsid w:val="008F59A6"/>
    <w:rsid w:val="008F59F6"/>
    <w:rsid w:val="00900719"/>
    <w:rsid w:val="009017AC"/>
    <w:rsid w:val="00901A38"/>
    <w:rsid w:val="00902A9A"/>
    <w:rsid w:val="00903770"/>
    <w:rsid w:val="00904275"/>
    <w:rsid w:val="00904A1C"/>
    <w:rsid w:val="00905030"/>
    <w:rsid w:val="00906490"/>
    <w:rsid w:val="009111B2"/>
    <w:rsid w:val="009113DC"/>
    <w:rsid w:val="009121B9"/>
    <w:rsid w:val="00914219"/>
    <w:rsid w:val="009151F5"/>
    <w:rsid w:val="0091556D"/>
    <w:rsid w:val="00915987"/>
    <w:rsid w:val="0091614F"/>
    <w:rsid w:val="00920BAE"/>
    <w:rsid w:val="00924AE1"/>
    <w:rsid w:val="009269B1"/>
    <w:rsid w:val="0092724D"/>
    <w:rsid w:val="009272B3"/>
    <w:rsid w:val="009300F5"/>
    <w:rsid w:val="00930167"/>
    <w:rsid w:val="009315BE"/>
    <w:rsid w:val="009326DD"/>
    <w:rsid w:val="0093338F"/>
    <w:rsid w:val="00935132"/>
    <w:rsid w:val="0093772A"/>
    <w:rsid w:val="00937BD9"/>
    <w:rsid w:val="009415D0"/>
    <w:rsid w:val="00942488"/>
    <w:rsid w:val="00945106"/>
    <w:rsid w:val="00950395"/>
    <w:rsid w:val="00950BF4"/>
    <w:rsid w:val="00950E2C"/>
    <w:rsid w:val="00951D50"/>
    <w:rsid w:val="0095211D"/>
    <w:rsid w:val="009525EB"/>
    <w:rsid w:val="0095470B"/>
    <w:rsid w:val="00954874"/>
    <w:rsid w:val="0095615A"/>
    <w:rsid w:val="009569C1"/>
    <w:rsid w:val="00961400"/>
    <w:rsid w:val="00961A82"/>
    <w:rsid w:val="00962DD6"/>
    <w:rsid w:val="00963646"/>
    <w:rsid w:val="0096503F"/>
    <w:rsid w:val="0096632D"/>
    <w:rsid w:val="00967124"/>
    <w:rsid w:val="0097166C"/>
    <w:rsid w:val="009718C7"/>
    <w:rsid w:val="00971FCD"/>
    <w:rsid w:val="00975157"/>
    <w:rsid w:val="0097559F"/>
    <w:rsid w:val="009761EA"/>
    <w:rsid w:val="0097761E"/>
    <w:rsid w:val="00977BA4"/>
    <w:rsid w:val="009801FC"/>
    <w:rsid w:val="009816C8"/>
    <w:rsid w:val="00982454"/>
    <w:rsid w:val="00982CF0"/>
    <w:rsid w:val="00984A7E"/>
    <w:rsid w:val="00985316"/>
    <w:rsid w:val="009853E1"/>
    <w:rsid w:val="00986E6B"/>
    <w:rsid w:val="00990032"/>
    <w:rsid w:val="00990B19"/>
    <w:rsid w:val="00990BDB"/>
    <w:rsid w:val="0099153B"/>
    <w:rsid w:val="00991769"/>
    <w:rsid w:val="0099232C"/>
    <w:rsid w:val="009926A6"/>
    <w:rsid w:val="00993413"/>
    <w:rsid w:val="009940D3"/>
    <w:rsid w:val="00994386"/>
    <w:rsid w:val="00994F67"/>
    <w:rsid w:val="00995580"/>
    <w:rsid w:val="0099656D"/>
    <w:rsid w:val="009A13D8"/>
    <w:rsid w:val="009A279E"/>
    <w:rsid w:val="009A3015"/>
    <w:rsid w:val="009A3490"/>
    <w:rsid w:val="009A6A92"/>
    <w:rsid w:val="009A72A0"/>
    <w:rsid w:val="009B054C"/>
    <w:rsid w:val="009B0958"/>
    <w:rsid w:val="009B0A6F"/>
    <w:rsid w:val="009B0A94"/>
    <w:rsid w:val="009B0C62"/>
    <w:rsid w:val="009B2AE8"/>
    <w:rsid w:val="009B49E5"/>
    <w:rsid w:val="009B5622"/>
    <w:rsid w:val="009B59E9"/>
    <w:rsid w:val="009B70AA"/>
    <w:rsid w:val="009B7B8D"/>
    <w:rsid w:val="009C245E"/>
    <w:rsid w:val="009C3AF8"/>
    <w:rsid w:val="009C459C"/>
    <w:rsid w:val="009C4BB1"/>
    <w:rsid w:val="009C4DA2"/>
    <w:rsid w:val="009C5E77"/>
    <w:rsid w:val="009C70B7"/>
    <w:rsid w:val="009C7A7E"/>
    <w:rsid w:val="009D02D2"/>
    <w:rsid w:val="009D02E8"/>
    <w:rsid w:val="009D1AF4"/>
    <w:rsid w:val="009D316C"/>
    <w:rsid w:val="009D3719"/>
    <w:rsid w:val="009D3A04"/>
    <w:rsid w:val="009D51D0"/>
    <w:rsid w:val="009D65AD"/>
    <w:rsid w:val="009D70A4"/>
    <w:rsid w:val="009D7B14"/>
    <w:rsid w:val="009E08D1"/>
    <w:rsid w:val="009E0D96"/>
    <w:rsid w:val="009E1B95"/>
    <w:rsid w:val="009E496F"/>
    <w:rsid w:val="009E4B0D"/>
    <w:rsid w:val="009E4C42"/>
    <w:rsid w:val="009E5250"/>
    <w:rsid w:val="009E54B7"/>
    <w:rsid w:val="009E771B"/>
    <w:rsid w:val="009E7A69"/>
    <w:rsid w:val="009E7F92"/>
    <w:rsid w:val="009F02A3"/>
    <w:rsid w:val="009F2182"/>
    <w:rsid w:val="009F2F27"/>
    <w:rsid w:val="009F339F"/>
    <w:rsid w:val="009F34AA"/>
    <w:rsid w:val="009F4EF3"/>
    <w:rsid w:val="009F6BCB"/>
    <w:rsid w:val="009F7B78"/>
    <w:rsid w:val="009F7E6A"/>
    <w:rsid w:val="00A0057A"/>
    <w:rsid w:val="00A0208A"/>
    <w:rsid w:val="00A02FA1"/>
    <w:rsid w:val="00A035AB"/>
    <w:rsid w:val="00A04CCE"/>
    <w:rsid w:val="00A06FF8"/>
    <w:rsid w:val="00A07421"/>
    <w:rsid w:val="00A0776B"/>
    <w:rsid w:val="00A10FB9"/>
    <w:rsid w:val="00A11421"/>
    <w:rsid w:val="00A1389F"/>
    <w:rsid w:val="00A157B1"/>
    <w:rsid w:val="00A22229"/>
    <w:rsid w:val="00A23B56"/>
    <w:rsid w:val="00A2411A"/>
    <w:rsid w:val="00A24442"/>
    <w:rsid w:val="00A24ADA"/>
    <w:rsid w:val="00A266DC"/>
    <w:rsid w:val="00A32463"/>
    <w:rsid w:val="00A32577"/>
    <w:rsid w:val="00A3294B"/>
    <w:rsid w:val="00A330BB"/>
    <w:rsid w:val="00A35812"/>
    <w:rsid w:val="00A35D17"/>
    <w:rsid w:val="00A367EF"/>
    <w:rsid w:val="00A400E5"/>
    <w:rsid w:val="00A439EE"/>
    <w:rsid w:val="00A446F5"/>
    <w:rsid w:val="00A44882"/>
    <w:rsid w:val="00A45125"/>
    <w:rsid w:val="00A46414"/>
    <w:rsid w:val="00A46A17"/>
    <w:rsid w:val="00A46D84"/>
    <w:rsid w:val="00A473B8"/>
    <w:rsid w:val="00A479BF"/>
    <w:rsid w:val="00A52B04"/>
    <w:rsid w:val="00A5310C"/>
    <w:rsid w:val="00A53134"/>
    <w:rsid w:val="00A54715"/>
    <w:rsid w:val="00A5748B"/>
    <w:rsid w:val="00A6061C"/>
    <w:rsid w:val="00A60814"/>
    <w:rsid w:val="00A62053"/>
    <w:rsid w:val="00A62D44"/>
    <w:rsid w:val="00A65CB9"/>
    <w:rsid w:val="00A663E5"/>
    <w:rsid w:val="00A67263"/>
    <w:rsid w:val="00A673D2"/>
    <w:rsid w:val="00A7161C"/>
    <w:rsid w:val="00A71CE4"/>
    <w:rsid w:val="00A7619B"/>
    <w:rsid w:val="00A77166"/>
    <w:rsid w:val="00A779BE"/>
    <w:rsid w:val="00A77AA3"/>
    <w:rsid w:val="00A817FF"/>
    <w:rsid w:val="00A8236D"/>
    <w:rsid w:val="00A8354B"/>
    <w:rsid w:val="00A854EB"/>
    <w:rsid w:val="00A872E5"/>
    <w:rsid w:val="00A90C0E"/>
    <w:rsid w:val="00A91354"/>
    <w:rsid w:val="00A91406"/>
    <w:rsid w:val="00A92F16"/>
    <w:rsid w:val="00A96E65"/>
    <w:rsid w:val="00A96ECE"/>
    <w:rsid w:val="00A97AFD"/>
    <w:rsid w:val="00A97C72"/>
    <w:rsid w:val="00AA0593"/>
    <w:rsid w:val="00AA1B54"/>
    <w:rsid w:val="00AA310B"/>
    <w:rsid w:val="00AA391D"/>
    <w:rsid w:val="00AA4EEF"/>
    <w:rsid w:val="00AA63D4"/>
    <w:rsid w:val="00AA6F35"/>
    <w:rsid w:val="00AB06E8"/>
    <w:rsid w:val="00AB1CD3"/>
    <w:rsid w:val="00AB352F"/>
    <w:rsid w:val="00AB4134"/>
    <w:rsid w:val="00AB53CC"/>
    <w:rsid w:val="00AC147B"/>
    <w:rsid w:val="00AC274B"/>
    <w:rsid w:val="00AC4764"/>
    <w:rsid w:val="00AC6D36"/>
    <w:rsid w:val="00AD0CBA"/>
    <w:rsid w:val="00AD16E3"/>
    <w:rsid w:val="00AD26E2"/>
    <w:rsid w:val="00AD2D34"/>
    <w:rsid w:val="00AD312F"/>
    <w:rsid w:val="00AD3F4C"/>
    <w:rsid w:val="00AD53D4"/>
    <w:rsid w:val="00AD6F4B"/>
    <w:rsid w:val="00AD784C"/>
    <w:rsid w:val="00AE1234"/>
    <w:rsid w:val="00AE126A"/>
    <w:rsid w:val="00AE1BAE"/>
    <w:rsid w:val="00AE3005"/>
    <w:rsid w:val="00AE3B29"/>
    <w:rsid w:val="00AE3BD5"/>
    <w:rsid w:val="00AE59A0"/>
    <w:rsid w:val="00AE5D33"/>
    <w:rsid w:val="00AE61B1"/>
    <w:rsid w:val="00AF035F"/>
    <w:rsid w:val="00AF0C57"/>
    <w:rsid w:val="00AF112E"/>
    <w:rsid w:val="00AF26F3"/>
    <w:rsid w:val="00AF3D4F"/>
    <w:rsid w:val="00AF5F04"/>
    <w:rsid w:val="00AF617C"/>
    <w:rsid w:val="00AF6E55"/>
    <w:rsid w:val="00B005C2"/>
    <w:rsid w:val="00B00672"/>
    <w:rsid w:val="00B0131F"/>
    <w:rsid w:val="00B01B41"/>
    <w:rsid w:val="00B01B4D"/>
    <w:rsid w:val="00B027EF"/>
    <w:rsid w:val="00B04489"/>
    <w:rsid w:val="00B05658"/>
    <w:rsid w:val="00B05900"/>
    <w:rsid w:val="00B05D08"/>
    <w:rsid w:val="00B05FB9"/>
    <w:rsid w:val="00B06571"/>
    <w:rsid w:val="00B0686E"/>
    <w:rsid w:val="00B068BA"/>
    <w:rsid w:val="00B07217"/>
    <w:rsid w:val="00B07755"/>
    <w:rsid w:val="00B13851"/>
    <w:rsid w:val="00B13B1C"/>
    <w:rsid w:val="00B14512"/>
    <w:rsid w:val="00B14B5F"/>
    <w:rsid w:val="00B16D0E"/>
    <w:rsid w:val="00B203A9"/>
    <w:rsid w:val="00B21B3D"/>
    <w:rsid w:val="00B21C5C"/>
    <w:rsid w:val="00B21F90"/>
    <w:rsid w:val="00B22291"/>
    <w:rsid w:val="00B23F9A"/>
    <w:rsid w:val="00B2417B"/>
    <w:rsid w:val="00B24E6F"/>
    <w:rsid w:val="00B2526B"/>
    <w:rsid w:val="00B255A7"/>
    <w:rsid w:val="00B25A89"/>
    <w:rsid w:val="00B26247"/>
    <w:rsid w:val="00B26CB5"/>
    <w:rsid w:val="00B2752E"/>
    <w:rsid w:val="00B307CC"/>
    <w:rsid w:val="00B30D0A"/>
    <w:rsid w:val="00B326B7"/>
    <w:rsid w:val="00B33AC6"/>
    <w:rsid w:val="00B340C1"/>
    <w:rsid w:val="00B3588E"/>
    <w:rsid w:val="00B4198F"/>
    <w:rsid w:val="00B41F3D"/>
    <w:rsid w:val="00B431E8"/>
    <w:rsid w:val="00B44AF3"/>
    <w:rsid w:val="00B44E44"/>
    <w:rsid w:val="00B44F9F"/>
    <w:rsid w:val="00B45141"/>
    <w:rsid w:val="00B4693D"/>
    <w:rsid w:val="00B46FD8"/>
    <w:rsid w:val="00B46FE0"/>
    <w:rsid w:val="00B50B32"/>
    <w:rsid w:val="00B512F1"/>
    <w:rsid w:val="00B519CD"/>
    <w:rsid w:val="00B5273A"/>
    <w:rsid w:val="00B57329"/>
    <w:rsid w:val="00B5786B"/>
    <w:rsid w:val="00B578CD"/>
    <w:rsid w:val="00B60E61"/>
    <w:rsid w:val="00B6215F"/>
    <w:rsid w:val="00B62A33"/>
    <w:rsid w:val="00B62B50"/>
    <w:rsid w:val="00B635B7"/>
    <w:rsid w:val="00B63AE8"/>
    <w:rsid w:val="00B65950"/>
    <w:rsid w:val="00B667FE"/>
    <w:rsid w:val="00B66D83"/>
    <w:rsid w:val="00B672C0"/>
    <w:rsid w:val="00B676FD"/>
    <w:rsid w:val="00B678B6"/>
    <w:rsid w:val="00B72E24"/>
    <w:rsid w:val="00B73D66"/>
    <w:rsid w:val="00B75646"/>
    <w:rsid w:val="00B76031"/>
    <w:rsid w:val="00B7629E"/>
    <w:rsid w:val="00B76FCF"/>
    <w:rsid w:val="00B80776"/>
    <w:rsid w:val="00B80AB9"/>
    <w:rsid w:val="00B81799"/>
    <w:rsid w:val="00B819E1"/>
    <w:rsid w:val="00B85561"/>
    <w:rsid w:val="00B85BE0"/>
    <w:rsid w:val="00B86184"/>
    <w:rsid w:val="00B90729"/>
    <w:rsid w:val="00B907DA"/>
    <w:rsid w:val="00B91EE7"/>
    <w:rsid w:val="00B94C5E"/>
    <w:rsid w:val="00B950BC"/>
    <w:rsid w:val="00B9714C"/>
    <w:rsid w:val="00B97542"/>
    <w:rsid w:val="00B97F0F"/>
    <w:rsid w:val="00BA0849"/>
    <w:rsid w:val="00BA29AD"/>
    <w:rsid w:val="00BA2BDC"/>
    <w:rsid w:val="00BA33CF"/>
    <w:rsid w:val="00BA3F8D"/>
    <w:rsid w:val="00BA4DC1"/>
    <w:rsid w:val="00BB1E28"/>
    <w:rsid w:val="00BB59AE"/>
    <w:rsid w:val="00BB7A10"/>
    <w:rsid w:val="00BC60BE"/>
    <w:rsid w:val="00BC7468"/>
    <w:rsid w:val="00BC7844"/>
    <w:rsid w:val="00BC7D4F"/>
    <w:rsid w:val="00BC7ED7"/>
    <w:rsid w:val="00BD2850"/>
    <w:rsid w:val="00BD57F7"/>
    <w:rsid w:val="00BD757C"/>
    <w:rsid w:val="00BE21F3"/>
    <w:rsid w:val="00BE28D2"/>
    <w:rsid w:val="00BE2C11"/>
    <w:rsid w:val="00BE4A64"/>
    <w:rsid w:val="00BE5E43"/>
    <w:rsid w:val="00BE5EF3"/>
    <w:rsid w:val="00BF0718"/>
    <w:rsid w:val="00BF084B"/>
    <w:rsid w:val="00BF557D"/>
    <w:rsid w:val="00BF658D"/>
    <w:rsid w:val="00BF79F0"/>
    <w:rsid w:val="00BF7F58"/>
    <w:rsid w:val="00C01381"/>
    <w:rsid w:val="00C01AB1"/>
    <w:rsid w:val="00C026A0"/>
    <w:rsid w:val="00C0465A"/>
    <w:rsid w:val="00C055E9"/>
    <w:rsid w:val="00C06137"/>
    <w:rsid w:val="00C06929"/>
    <w:rsid w:val="00C079B8"/>
    <w:rsid w:val="00C10037"/>
    <w:rsid w:val="00C115E1"/>
    <w:rsid w:val="00C120FF"/>
    <w:rsid w:val="00C123EA"/>
    <w:rsid w:val="00C12A49"/>
    <w:rsid w:val="00C131D0"/>
    <w:rsid w:val="00C133EE"/>
    <w:rsid w:val="00C149D0"/>
    <w:rsid w:val="00C160B2"/>
    <w:rsid w:val="00C17224"/>
    <w:rsid w:val="00C26588"/>
    <w:rsid w:val="00C27DE9"/>
    <w:rsid w:val="00C324C1"/>
    <w:rsid w:val="00C32989"/>
    <w:rsid w:val="00C33177"/>
    <w:rsid w:val="00C33185"/>
    <w:rsid w:val="00C33388"/>
    <w:rsid w:val="00C35484"/>
    <w:rsid w:val="00C40FB1"/>
    <w:rsid w:val="00C4173A"/>
    <w:rsid w:val="00C43CE3"/>
    <w:rsid w:val="00C46854"/>
    <w:rsid w:val="00C50DED"/>
    <w:rsid w:val="00C51DEF"/>
    <w:rsid w:val="00C52009"/>
    <w:rsid w:val="00C52217"/>
    <w:rsid w:val="00C534D7"/>
    <w:rsid w:val="00C55995"/>
    <w:rsid w:val="00C602FF"/>
    <w:rsid w:val="00C60411"/>
    <w:rsid w:val="00C6113C"/>
    <w:rsid w:val="00C61174"/>
    <w:rsid w:val="00C6148F"/>
    <w:rsid w:val="00C61FF5"/>
    <w:rsid w:val="00C621B1"/>
    <w:rsid w:val="00C62F7A"/>
    <w:rsid w:val="00C63B9C"/>
    <w:rsid w:val="00C63D09"/>
    <w:rsid w:val="00C6550E"/>
    <w:rsid w:val="00C65888"/>
    <w:rsid w:val="00C6617E"/>
    <w:rsid w:val="00C667B7"/>
    <w:rsid w:val="00C6682F"/>
    <w:rsid w:val="00C67BF4"/>
    <w:rsid w:val="00C71314"/>
    <w:rsid w:val="00C7275E"/>
    <w:rsid w:val="00C731AF"/>
    <w:rsid w:val="00C73462"/>
    <w:rsid w:val="00C734A9"/>
    <w:rsid w:val="00C74C5D"/>
    <w:rsid w:val="00C75A07"/>
    <w:rsid w:val="00C77A39"/>
    <w:rsid w:val="00C82A68"/>
    <w:rsid w:val="00C83333"/>
    <w:rsid w:val="00C861A9"/>
    <w:rsid w:val="00C863C4"/>
    <w:rsid w:val="00C90DAB"/>
    <w:rsid w:val="00C918A6"/>
    <w:rsid w:val="00C920EA"/>
    <w:rsid w:val="00C93C3E"/>
    <w:rsid w:val="00CA0229"/>
    <w:rsid w:val="00CA0554"/>
    <w:rsid w:val="00CA0CC1"/>
    <w:rsid w:val="00CA12E3"/>
    <w:rsid w:val="00CA1476"/>
    <w:rsid w:val="00CA1640"/>
    <w:rsid w:val="00CA6611"/>
    <w:rsid w:val="00CA6641"/>
    <w:rsid w:val="00CA6AE6"/>
    <w:rsid w:val="00CA782F"/>
    <w:rsid w:val="00CB1132"/>
    <w:rsid w:val="00CB187B"/>
    <w:rsid w:val="00CB2835"/>
    <w:rsid w:val="00CB3285"/>
    <w:rsid w:val="00CB4500"/>
    <w:rsid w:val="00CB531F"/>
    <w:rsid w:val="00CB5E7D"/>
    <w:rsid w:val="00CC0C72"/>
    <w:rsid w:val="00CC2BFD"/>
    <w:rsid w:val="00CC3DAE"/>
    <w:rsid w:val="00CC49E5"/>
    <w:rsid w:val="00CC4DD3"/>
    <w:rsid w:val="00CC5727"/>
    <w:rsid w:val="00CC6185"/>
    <w:rsid w:val="00CC6538"/>
    <w:rsid w:val="00CC6F40"/>
    <w:rsid w:val="00CC77CF"/>
    <w:rsid w:val="00CD0D00"/>
    <w:rsid w:val="00CD1AD4"/>
    <w:rsid w:val="00CD2153"/>
    <w:rsid w:val="00CD3476"/>
    <w:rsid w:val="00CD64DF"/>
    <w:rsid w:val="00CE0605"/>
    <w:rsid w:val="00CE225F"/>
    <w:rsid w:val="00CE53CF"/>
    <w:rsid w:val="00CE5AF9"/>
    <w:rsid w:val="00CE6180"/>
    <w:rsid w:val="00CF1F32"/>
    <w:rsid w:val="00CF2F50"/>
    <w:rsid w:val="00CF376C"/>
    <w:rsid w:val="00CF60C9"/>
    <w:rsid w:val="00CF6198"/>
    <w:rsid w:val="00D0248F"/>
    <w:rsid w:val="00D024E9"/>
    <w:rsid w:val="00D02919"/>
    <w:rsid w:val="00D04C61"/>
    <w:rsid w:val="00D0527E"/>
    <w:rsid w:val="00D0595E"/>
    <w:rsid w:val="00D05B8D"/>
    <w:rsid w:val="00D05B9B"/>
    <w:rsid w:val="00D065A2"/>
    <w:rsid w:val="00D06F51"/>
    <w:rsid w:val="00D079AA"/>
    <w:rsid w:val="00D07F00"/>
    <w:rsid w:val="00D1130F"/>
    <w:rsid w:val="00D15B1A"/>
    <w:rsid w:val="00D174D3"/>
    <w:rsid w:val="00D17B72"/>
    <w:rsid w:val="00D20302"/>
    <w:rsid w:val="00D227AF"/>
    <w:rsid w:val="00D3185C"/>
    <w:rsid w:val="00D3205F"/>
    <w:rsid w:val="00D3318E"/>
    <w:rsid w:val="00D33408"/>
    <w:rsid w:val="00D33E72"/>
    <w:rsid w:val="00D35B10"/>
    <w:rsid w:val="00D35BD6"/>
    <w:rsid w:val="00D361B5"/>
    <w:rsid w:val="00D37F47"/>
    <w:rsid w:val="00D37FE9"/>
    <w:rsid w:val="00D403EC"/>
    <w:rsid w:val="00D411A2"/>
    <w:rsid w:val="00D4207F"/>
    <w:rsid w:val="00D420E2"/>
    <w:rsid w:val="00D42459"/>
    <w:rsid w:val="00D447FE"/>
    <w:rsid w:val="00D45620"/>
    <w:rsid w:val="00D4606D"/>
    <w:rsid w:val="00D4732C"/>
    <w:rsid w:val="00D47749"/>
    <w:rsid w:val="00D50B9C"/>
    <w:rsid w:val="00D513AF"/>
    <w:rsid w:val="00D5247B"/>
    <w:rsid w:val="00D52D73"/>
    <w:rsid w:val="00D52E58"/>
    <w:rsid w:val="00D54306"/>
    <w:rsid w:val="00D55CA4"/>
    <w:rsid w:val="00D56B20"/>
    <w:rsid w:val="00D56F24"/>
    <w:rsid w:val="00D578B3"/>
    <w:rsid w:val="00D618F4"/>
    <w:rsid w:val="00D63636"/>
    <w:rsid w:val="00D64559"/>
    <w:rsid w:val="00D64D37"/>
    <w:rsid w:val="00D65ACA"/>
    <w:rsid w:val="00D714CC"/>
    <w:rsid w:val="00D75EA7"/>
    <w:rsid w:val="00D779F6"/>
    <w:rsid w:val="00D81ADF"/>
    <w:rsid w:val="00D81F21"/>
    <w:rsid w:val="00D84A87"/>
    <w:rsid w:val="00D864F2"/>
    <w:rsid w:val="00D903B4"/>
    <w:rsid w:val="00D943F8"/>
    <w:rsid w:val="00D95470"/>
    <w:rsid w:val="00D96B55"/>
    <w:rsid w:val="00DA2619"/>
    <w:rsid w:val="00DA40BB"/>
    <w:rsid w:val="00DA4239"/>
    <w:rsid w:val="00DA588C"/>
    <w:rsid w:val="00DA65DE"/>
    <w:rsid w:val="00DA7387"/>
    <w:rsid w:val="00DB0B61"/>
    <w:rsid w:val="00DB1474"/>
    <w:rsid w:val="00DB2962"/>
    <w:rsid w:val="00DB52FB"/>
    <w:rsid w:val="00DB5B7A"/>
    <w:rsid w:val="00DC013B"/>
    <w:rsid w:val="00DC090B"/>
    <w:rsid w:val="00DC0E83"/>
    <w:rsid w:val="00DC1679"/>
    <w:rsid w:val="00DC219B"/>
    <w:rsid w:val="00DC2CF1"/>
    <w:rsid w:val="00DC2DC7"/>
    <w:rsid w:val="00DC3A7C"/>
    <w:rsid w:val="00DC4FCF"/>
    <w:rsid w:val="00DC50E0"/>
    <w:rsid w:val="00DC5583"/>
    <w:rsid w:val="00DC6386"/>
    <w:rsid w:val="00DD01FB"/>
    <w:rsid w:val="00DD0C0A"/>
    <w:rsid w:val="00DD0CF3"/>
    <w:rsid w:val="00DD1130"/>
    <w:rsid w:val="00DD1951"/>
    <w:rsid w:val="00DD19DE"/>
    <w:rsid w:val="00DD1FB5"/>
    <w:rsid w:val="00DD20A1"/>
    <w:rsid w:val="00DD2283"/>
    <w:rsid w:val="00DD35DB"/>
    <w:rsid w:val="00DD487D"/>
    <w:rsid w:val="00DD4E83"/>
    <w:rsid w:val="00DD5B76"/>
    <w:rsid w:val="00DD6628"/>
    <w:rsid w:val="00DD6945"/>
    <w:rsid w:val="00DE2D04"/>
    <w:rsid w:val="00DE2FDB"/>
    <w:rsid w:val="00DE3250"/>
    <w:rsid w:val="00DE337D"/>
    <w:rsid w:val="00DE4F6F"/>
    <w:rsid w:val="00DE6028"/>
    <w:rsid w:val="00DE6C85"/>
    <w:rsid w:val="00DE78A3"/>
    <w:rsid w:val="00DF04E2"/>
    <w:rsid w:val="00DF1A71"/>
    <w:rsid w:val="00DF25F3"/>
    <w:rsid w:val="00DF50FC"/>
    <w:rsid w:val="00DF68C7"/>
    <w:rsid w:val="00DF6FAB"/>
    <w:rsid w:val="00DF731A"/>
    <w:rsid w:val="00E06B75"/>
    <w:rsid w:val="00E11332"/>
    <w:rsid w:val="00E11352"/>
    <w:rsid w:val="00E15EB7"/>
    <w:rsid w:val="00E160E9"/>
    <w:rsid w:val="00E16682"/>
    <w:rsid w:val="00E170DC"/>
    <w:rsid w:val="00E17546"/>
    <w:rsid w:val="00E210B5"/>
    <w:rsid w:val="00E227FE"/>
    <w:rsid w:val="00E2594F"/>
    <w:rsid w:val="00E261B3"/>
    <w:rsid w:val="00E26818"/>
    <w:rsid w:val="00E27FFC"/>
    <w:rsid w:val="00E30039"/>
    <w:rsid w:val="00E30B15"/>
    <w:rsid w:val="00E317D4"/>
    <w:rsid w:val="00E33237"/>
    <w:rsid w:val="00E364F0"/>
    <w:rsid w:val="00E40181"/>
    <w:rsid w:val="00E44410"/>
    <w:rsid w:val="00E471BB"/>
    <w:rsid w:val="00E50ADC"/>
    <w:rsid w:val="00E5175B"/>
    <w:rsid w:val="00E51C17"/>
    <w:rsid w:val="00E5223D"/>
    <w:rsid w:val="00E522C5"/>
    <w:rsid w:val="00E522C9"/>
    <w:rsid w:val="00E52D9C"/>
    <w:rsid w:val="00E54950"/>
    <w:rsid w:val="00E55FB3"/>
    <w:rsid w:val="00E56172"/>
    <w:rsid w:val="00E56A01"/>
    <w:rsid w:val="00E5787C"/>
    <w:rsid w:val="00E60CBE"/>
    <w:rsid w:val="00E611A6"/>
    <w:rsid w:val="00E6210E"/>
    <w:rsid w:val="00E629A1"/>
    <w:rsid w:val="00E635D1"/>
    <w:rsid w:val="00E644FF"/>
    <w:rsid w:val="00E64E3A"/>
    <w:rsid w:val="00E6794C"/>
    <w:rsid w:val="00E71591"/>
    <w:rsid w:val="00E71CEB"/>
    <w:rsid w:val="00E721F9"/>
    <w:rsid w:val="00E73892"/>
    <w:rsid w:val="00E7474F"/>
    <w:rsid w:val="00E776E8"/>
    <w:rsid w:val="00E80DE3"/>
    <w:rsid w:val="00E82812"/>
    <w:rsid w:val="00E82C55"/>
    <w:rsid w:val="00E8366D"/>
    <w:rsid w:val="00E83A32"/>
    <w:rsid w:val="00E849C3"/>
    <w:rsid w:val="00E85EC9"/>
    <w:rsid w:val="00E8787E"/>
    <w:rsid w:val="00E87D43"/>
    <w:rsid w:val="00E92AC3"/>
    <w:rsid w:val="00E930BA"/>
    <w:rsid w:val="00E9459A"/>
    <w:rsid w:val="00EA01AE"/>
    <w:rsid w:val="00EA2F6A"/>
    <w:rsid w:val="00EA4721"/>
    <w:rsid w:val="00EA540A"/>
    <w:rsid w:val="00EA7FE5"/>
    <w:rsid w:val="00EB00E0"/>
    <w:rsid w:val="00EB05D5"/>
    <w:rsid w:val="00EB127F"/>
    <w:rsid w:val="00EB4BC7"/>
    <w:rsid w:val="00EB4EFF"/>
    <w:rsid w:val="00EC059F"/>
    <w:rsid w:val="00EC1F24"/>
    <w:rsid w:val="00EC22F6"/>
    <w:rsid w:val="00EC3DB9"/>
    <w:rsid w:val="00ED0470"/>
    <w:rsid w:val="00ED19CB"/>
    <w:rsid w:val="00ED424C"/>
    <w:rsid w:val="00ED5360"/>
    <w:rsid w:val="00ED5B9B"/>
    <w:rsid w:val="00ED6BAD"/>
    <w:rsid w:val="00ED7447"/>
    <w:rsid w:val="00ED7762"/>
    <w:rsid w:val="00ED7AED"/>
    <w:rsid w:val="00ED7D0E"/>
    <w:rsid w:val="00EE00D6"/>
    <w:rsid w:val="00EE11E7"/>
    <w:rsid w:val="00EE1488"/>
    <w:rsid w:val="00EE184D"/>
    <w:rsid w:val="00EE29AD"/>
    <w:rsid w:val="00EE2EE0"/>
    <w:rsid w:val="00EE3DB8"/>
    <w:rsid w:val="00EE3E24"/>
    <w:rsid w:val="00EE48AD"/>
    <w:rsid w:val="00EE4D5D"/>
    <w:rsid w:val="00EE5131"/>
    <w:rsid w:val="00EE62FC"/>
    <w:rsid w:val="00EE6414"/>
    <w:rsid w:val="00EE65BF"/>
    <w:rsid w:val="00EE7C7D"/>
    <w:rsid w:val="00EE7EDA"/>
    <w:rsid w:val="00EF109B"/>
    <w:rsid w:val="00EF201C"/>
    <w:rsid w:val="00EF2C72"/>
    <w:rsid w:val="00EF36AF"/>
    <w:rsid w:val="00EF3DE9"/>
    <w:rsid w:val="00EF59A3"/>
    <w:rsid w:val="00EF6675"/>
    <w:rsid w:val="00F0063D"/>
    <w:rsid w:val="00F00F9C"/>
    <w:rsid w:val="00F01370"/>
    <w:rsid w:val="00F01E5F"/>
    <w:rsid w:val="00F023C0"/>
    <w:rsid w:val="00F02403"/>
    <w:rsid w:val="00F024F3"/>
    <w:rsid w:val="00F02ABA"/>
    <w:rsid w:val="00F04341"/>
    <w:rsid w:val="00F0437A"/>
    <w:rsid w:val="00F101B8"/>
    <w:rsid w:val="00F10696"/>
    <w:rsid w:val="00F11037"/>
    <w:rsid w:val="00F1401D"/>
    <w:rsid w:val="00F16F1B"/>
    <w:rsid w:val="00F1766D"/>
    <w:rsid w:val="00F1768A"/>
    <w:rsid w:val="00F17F0D"/>
    <w:rsid w:val="00F22A84"/>
    <w:rsid w:val="00F23A50"/>
    <w:rsid w:val="00F23F22"/>
    <w:rsid w:val="00F240E3"/>
    <w:rsid w:val="00F250A9"/>
    <w:rsid w:val="00F25457"/>
    <w:rsid w:val="00F2566C"/>
    <w:rsid w:val="00F267AF"/>
    <w:rsid w:val="00F27FA3"/>
    <w:rsid w:val="00F30FF4"/>
    <w:rsid w:val="00F3122E"/>
    <w:rsid w:val="00F32368"/>
    <w:rsid w:val="00F3261F"/>
    <w:rsid w:val="00F331AD"/>
    <w:rsid w:val="00F34AA3"/>
    <w:rsid w:val="00F34BD8"/>
    <w:rsid w:val="00F35287"/>
    <w:rsid w:val="00F366F2"/>
    <w:rsid w:val="00F40A70"/>
    <w:rsid w:val="00F41E5C"/>
    <w:rsid w:val="00F43A37"/>
    <w:rsid w:val="00F4641B"/>
    <w:rsid w:val="00F46CD2"/>
    <w:rsid w:val="00F46EB8"/>
    <w:rsid w:val="00F50CD1"/>
    <w:rsid w:val="00F511E4"/>
    <w:rsid w:val="00F51371"/>
    <w:rsid w:val="00F5289D"/>
    <w:rsid w:val="00F52CC4"/>
    <w:rsid w:val="00F52D09"/>
    <w:rsid w:val="00F52E08"/>
    <w:rsid w:val="00F53A66"/>
    <w:rsid w:val="00F5462D"/>
    <w:rsid w:val="00F54C89"/>
    <w:rsid w:val="00F5551B"/>
    <w:rsid w:val="00F55B21"/>
    <w:rsid w:val="00F56EF6"/>
    <w:rsid w:val="00F5719E"/>
    <w:rsid w:val="00F57C9E"/>
    <w:rsid w:val="00F60082"/>
    <w:rsid w:val="00F61A9F"/>
    <w:rsid w:val="00F61B5F"/>
    <w:rsid w:val="00F627B3"/>
    <w:rsid w:val="00F62B3F"/>
    <w:rsid w:val="00F641FA"/>
    <w:rsid w:val="00F64696"/>
    <w:rsid w:val="00F64DAE"/>
    <w:rsid w:val="00F65AA9"/>
    <w:rsid w:val="00F660EC"/>
    <w:rsid w:val="00F6696E"/>
    <w:rsid w:val="00F66AB3"/>
    <w:rsid w:val="00F6768F"/>
    <w:rsid w:val="00F70635"/>
    <w:rsid w:val="00F7278C"/>
    <w:rsid w:val="00F72C2C"/>
    <w:rsid w:val="00F741F2"/>
    <w:rsid w:val="00F76CAB"/>
    <w:rsid w:val="00F772C6"/>
    <w:rsid w:val="00F774B9"/>
    <w:rsid w:val="00F80571"/>
    <w:rsid w:val="00F815B5"/>
    <w:rsid w:val="00F82A84"/>
    <w:rsid w:val="00F84AD0"/>
    <w:rsid w:val="00F85195"/>
    <w:rsid w:val="00F85498"/>
    <w:rsid w:val="00F868C8"/>
    <w:rsid w:val="00F868E3"/>
    <w:rsid w:val="00F938BA"/>
    <w:rsid w:val="00F94B00"/>
    <w:rsid w:val="00F97656"/>
    <w:rsid w:val="00F97919"/>
    <w:rsid w:val="00FA00DB"/>
    <w:rsid w:val="00FA06AF"/>
    <w:rsid w:val="00FA1B26"/>
    <w:rsid w:val="00FA1E32"/>
    <w:rsid w:val="00FA2B86"/>
    <w:rsid w:val="00FA2C46"/>
    <w:rsid w:val="00FA3525"/>
    <w:rsid w:val="00FA5A53"/>
    <w:rsid w:val="00FB1F6E"/>
    <w:rsid w:val="00FB4769"/>
    <w:rsid w:val="00FB4CDA"/>
    <w:rsid w:val="00FB6481"/>
    <w:rsid w:val="00FB6D36"/>
    <w:rsid w:val="00FC013D"/>
    <w:rsid w:val="00FC0965"/>
    <w:rsid w:val="00FC0F81"/>
    <w:rsid w:val="00FC252F"/>
    <w:rsid w:val="00FC395C"/>
    <w:rsid w:val="00FC5E2E"/>
    <w:rsid w:val="00FC5E8E"/>
    <w:rsid w:val="00FC5E93"/>
    <w:rsid w:val="00FD06A5"/>
    <w:rsid w:val="00FD078C"/>
    <w:rsid w:val="00FD1198"/>
    <w:rsid w:val="00FD25A2"/>
    <w:rsid w:val="00FD3766"/>
    <w:rsid w:val="00FD3D05"/>
    <w:rsid w:val="00FD47C4"/>
    <w:rsid w:val="00FD5A4B"/>
    <w:rsid w:val="00FD69F2"/>
    <w:rsid w:val="00FE1922"/>
    <w:rsid w:val="00FE2DCF"/>
    <w:rsid w:val="00FE2FAD"/>
    <w:rsid w:val="00FE3345"/>
    <w:rsid w:val="00FE3FA7"/>
    <w:rsid w:val="00FE4081"/>
    <w:rsid w:val="00FF09A5"/>
    <w:rsid w:val="00FF2857"/>
    <w:rsid w:val="00FF2A4E"/>
    <w:rsid w:val="00FF2FCE"/>
    <w:rsid w:val="00FF3208"/>
    <w:rsid w:val="00FF4F7D"/>
    <w:rsid w:val="00FF5BA7"/>
    <w:rsid w:val="00FF5C69"/>
    <w:rsid w:val="00FF6D9D"/>
    <w:rsid w:val="00FF7594"/>
    <w:rsid w:val="00FF7620"/>
    <w:rsid w:val="00FF7DD5"/>
    <w:rsid w:val="02525FDA"/>
    <w:rsid w:val="19AB524B"/>
    <w:rsid w:val="1C7B92F9"/>
    <w:rsid w:val="1E812BC5"/>
    <w:rsid w:val="3D469AAA"/>
    <w:rsid w:val="437672FE"/>
    <w:rsid w:val="4FB29A0E"/>
    <w:rsid w:val="50BEFED8"/>
    <w:rsid w:val="525ACF39"/>
    <w:rsid w:val="53F69F9A"/>
    <w:rsid w:val="5C12DE94"/>
    <w:rsid w:val="6419F69E"/>
    <w:rsid w:val="695B4732"/>
    <w:rsid w:val="6B06E123"/>
    <w:rsid w:val="6F74EB39"/>
    <w:rsid w:val="72F49DF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CE18FB"/>
  <w15:docId w15:val="{EE20218D-F4D8-4061-BC8D-C42CAD6E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basedOn w:val="Heading3"/>
    <w:next w:val="Body"/>
    <w:link w:val="Heading2Char"/>
    <w:uiPriority w:val="1"/>
    <w:qFormat/>
    <w:rsid w:val="00C83333"/>
    <w:pPr>
      <w:outlineLvl w:val="1"/>
    </w:pPr>
  </w:style>
  <w:style w:type="paragraph" w:styleId="Heading3">
    <w:name w:val="heading 3"/>
    <w:next w:val="Body"/>
    <w:link w:val="Heading3Char"/>
    <w:uiPriority w:val="1"/>
    <w:qFormat/>
    <w:rsid w:val="00C861A9"/>
    <w:pPr>
      <w:keepNext/>
      <w:keepLines/>
      <w:spacing w:before="360" w:after="120" w:line="320" w:lineRule="atLeast"/>
      <w:outlineLvl w:val="2"/>
    </w:pPr>
    <w:rPr>
      <w:rFonts w:ascii="Arial" w:eastAsia="MS Gothic" w:hAnsi="Arial"/>
      <w:bCs/>
      <w:color w:val="201547"/>
      <w:sz w:val="28"/>
      <w:szCs w:val="28"/>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C83333"/>
    <w:rPr>
      <w:rFonts w:ascii="Arial" w:eastAsia="MS Gothic" w:hAnsi="Arial"/>
      <w:bCs/>
      <w:color w:val="201547"/>
      <w:sz w:val="28"/>
      <w:szCs w:val="28"/>
      <w:lang w:eastAsia="en-US"/>
    </w:rPr>
  </w:style>
  <w:style w:type="character" w:customStyle="1" w:styleId="Heading3Char">
    <w:name w:val="Heading 3 Char"/>
    <w:link w:val="Heading3"/>
    <w:uiPriority w:val="1"/>
    <w:rsid w:val="00C861A9"/>
    <w:rPr>
      <w:rFonts w:ascii="Arial" w:eastAsia="MS Gothic" w:hAnsi="Arial"/>
      <w:bCs/>
      <w:color w:val="201547"/>
      <w:sz w:val="28"/>
      <w:szCs w:val="28"/>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2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21"/>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8"/>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8"/>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8"/>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ZZBullets1">
    <w:name w:val="ZZ Bullets1"/>
    <w:rsid w:val="00B005C2"/>
  </w:style>
  <w:style w:type="paragraph" w:customStyle="1" w:styleId="DHHSnumberloweralpha">
    <w:name w:val="DHHS number lower alpha"/>
    <w:basedOn w:val="Normal"/>
    <w:uiPriority w:val="3"/>
    <w:rsid w:val="00B005C2"/>
    <w:pPr>
      <w:numPr>
        <w:ilvl w:val="2"/>
        <w:numId w:val="10"/>
      </w:numPr>
      <w:spacing w:line="270" w:lineRule="atLeast"/>
    </w:pPr>
    <w:rPr>
      <w:rFonts w:eastAsia="Times"/>
      <w:sz w:val="20"/>
    </w:rPr>
  </w:style>
  <w:style w:type="paragraph" w:customStyle="1" w:styleId="DHHSnumberloweralphaindent">
    <w:name w:val="DHHS number lower alpha indent"/>
    <w:basedOn w:val="Normal"/>
    <w:uiPriority w:val="3"/>
    <w:rsid w:val="00B005C2"/>
    <w:pPr>
      <w:numPr>
        <w:ilvl w:val="3"/>
        <w:numId w:val="10"/>
      </w:numPr>
      <w:spacing w:line="270" w:lineRule="atLeast"/>
    </w:pPr>
    <w:rPr>
      <w:rFonts w:eastAsia="Times"/>
      <w:sz w:val="20"/>
    </w:rPr>
  </w:style>
  <w:style w:type="paragraph" w:customStyle="1" w:styleId="DHHSnumberdigit">
    <w:name w:val="DHHS number digit"/>
    <w:basedOn w:val="Normal"/>
    <w:uiPriority w:val="2"/>
    <w:rsid w:val="00B005C2"/>
    <w:pPr>
      <w:numPr>
        <w:numId w:val="10"/>
      </w:numPr>
      <w:spacing w:line="270" w:lineRule="atLeast"/>
    </w:pPr>
    <w:rPr>
      <w:rFonts w:eastAsia="Times"/>
      <w:sz w:val="20"/>
    </w:rPr>
  </w:style>
  <w:style w:type="numbering" w:customStyle="1" w:styleId="ZZNumbers">
    <w:name w:val="ZZ Numbers"/>
    <w:rsid w:val="00B005C2"/>
    <w:pPr>
      <w:numPr>
        <w:numId w:val="9"/>
      </w:numPr>
    </w:pPr>
  </w:style>
  <w:style w:type="paragraph" w:customStyle="1" w:styleId="DHHSnumberlowerroman">
    <w:name w:val="DHHS number lower roman"/>
    <w:basedOn w:val="Normal"/>
    <w:uiPriority w:val="3"/>
    <w:rsid w:val="00B005C2"/>
    <w:pPr>
      <w:numPr>
        <w:ilvl w:val="4"/>
        <w:numId w:val="10"/>
      </w:numPr>
      <w:spacing w:line="270" w:lineRule="atLeast"/>
    </w:pPr>
    <w:rPr>
      <w:rFonts w:eastAsia="Times"/>
      <w:sz w:val="20"/>
    </w:rPr>
  </w:style>
  <w:style w:type="paragraph" w:customStyle="1" w:styleId="DHHSnumberlowerromanindent">
    <w:name w:val="DHHS number lower roman indent"/>
    <w:basedOn w:val="Normal"/>
    <w:uiPriority w:val="3"/>
    <w:rsid w:val="00B005C2"/>
    <w:pPr>
      <w:numPr>
        <w:ilvl w:val="5"/>
        <w:numId w:val="10"/>
      </w:numPr>
      <w:spacing w:line="270" w:lineRule="atLeast"/>
    </w:pPr>
    <w:rPr>
      <w:rFonts w:eastAsia="Times"/>
      <w:sz w:val="20"/>
    </w:rPr>
  </w:style>
  <w:style w:type="paragraph" w:customStyle="1" w:styleId="DHHSnumberdigitindent">
    <w:name w:val="DHHS number digit indent"/>
    <w:basedOn w:val="DHHSnumberloweralphaindent"/>
    <w:uiPriority w:val="3"/>
    <w:rsid w:val="00B005C2"/>
    <w:pPr>
      <w:numPr>
        <w:ilvl w:val="1"/>
      </w:numPr>
    </w:pPr>
  </w:style>
  <w:style w:type="paragraph" w:styleId="NormalWeb">
    <w:name w:val="Normal (Web)"/>
    <w:basedOn w:val="Normal"/>
    <w:uiPriority w:val="99"/>
    <w:semiHidden/>
    <w:unhideWhenUsed/>
    <w:rsid w:val="0045694E"/>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7C555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C5551"/>
  </w:style>
  <w:style w:type="character" w:customStyle="1" w:styleId="eop">
    <w:name w:val="eop"/>
    <w:basedOn w:val="DefaultParagraphFont"/>
    <w:rsid w:val="007C5551"/>
  </w:style>
  <w:style w:type="paragraph" w:styleId="ListParagraph">
    <w:name w:val="List Paragraph"/>
    <w:basedOn w:val="Normal"/>
    <w:uiPriority w:val="72"/>
    <w:qFormat/>
    <w:rsid w:val="00FF7594"/>
    <w:pPr>
      <w:ind w:left="720"/>
      <w:contextualSpacing/>
    </w:pPr>
  </w:style>
  <w:style w:type="character" w:customStyle="1" w:styleId="ui-provider">
    <w:name w:val="ui-provider"/>
    <w:basedOn w:val="DefaultParagraphFont"/>
    <w:rsid w:val="00BA0849"/>
  </w:style>
  <w:style w:type="paragraph" w:customStyle="1" w:styleId="DHHSbody">
    <w:name w:val="DHHS body"/>
    <w:link w:val="DHHSbodyChar"/>
    <w:qFormat/>
    <w:rsid w:val="00421F01"/>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421F01"/>
    <w:rPr>
      <w:rFonts w:ascii="Arial" w:eastAsia="Times" w:hAnsi="Arial"/>
      <w:lang w:eastAsia="en-US"/>
    </w:rPr>
  </w:style>
  <w:style w:type="character" w:styleId="Mention">
    <w:name w:val="Mention"/>
    <w:basedOn w:val="DefaultParagraphFont"/>
    <w:uiPriority w:val="99"/>
    <w:unhideWhenUsed/>
    <w:rsid w:val="008679C3"/>
    <w:rPr>
      <w:color w:val="2B579A"/>
      <w:shd w:val="clear" w:color="auto" w:fill="E1DFDD"/>
    </w:rPr>
  </w:style>
  <w:style w:type="paragraph" w:styleId="BodyText">
    <w:name w:val="Body Text"/>
    <w:basedOn w:val="Normal"/>
    <w:link w:val="BodyTextChar"/>
    <w:uiPriority w:val="1"/>
    <w:qFormat/>
    <w:rsid w:val="002A0C7E"/>
    <w:pPr>
      <w:spacing w:before="60" w:line="240" w:lineRule="auto"/>
      <w:jc w:val="both"/>
    </w:pPr>
    <w:rPr>
      <w:rFonts w:eastAsia="Arial" w:cs="Arial"/>
      <w:sz w:val="22"/>
      <w:szCs w:val="22"/>
      <w:lang w:val="en-US"/>
    </w:rPr>
  </w:style>
  <w:style w:type="character" w:customStyle="1" w:styleId="BodyTextChar">
    <w:name w:val="Body Text Char"/>
    <w:basedOn w:val="DefaultParagraphFont"/>
    <w:link w:val="BodyText"/>
    <w:uiPriority w:val="1"/>
    <w:rsid w:val="002A0C7E"/>
    <w:rPr>
      <w:rFonts w:ascii="Arial" w:eastAsia="Arial" w:hAnsi="Arial" w:cs="Arial"/>
      <w:sz w:val="22"/>
      <w:szCs w:val="22"/>
      <w:lang w:val="en-US" w:eastAsia="en-US"/>
    </w:rPr>
  </w:style>
  <w:style w:type="paragraph" w:customStyle="1" w:styleId="Healthbullet1">
    <w:name w:val="Health bullet 1"/>
    <w:basedOn w:val="Normal"/>
    <w:qFormat/>
    <w:rsid w:val="002A0C7E"/>
    <w:pPr>
      <w:numPr>
        <w:numId w:val="12"/>
      </w:numPr>
      <w:spacing w:line="270" w:lineRule="atLeast"/>
    </w:pPr>
    <w:rPr>
      <w:rFonts w:eastAsia="MS Mincho"/>
      <w:sz w:val="22"/>
      <w:szCs w:val="22"/>
    </w:rPr>
  </w:style>
  <w:style w:type="table" w:customStyle="1" w:styleId="TableGrid1">
    <w:name w:val="Table Grid1"/>
    <w:basedOn w:val="TableNormal"/>
    <w:next w:val="TableGrid"/>
    <w:uiPriority w:val="39"/>
    <w:rsid w:val="003974D1"/>
    <w:rPr>
      <w:rFonts w:ascii="Calibri" w:hAnsi="Calibr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0000" w:themeFill="text1"/>
      </w:tcPr>
    </w:tblStylePr>
  </w:style>
  <w:style w:type="paragraph" w:styleId="TOCHeading">
    <w:name w:val="TOC Heading"/>
    <w:basedOn w:val="Heading1"/>
    <w:next w:val="Normal"/>
    <w:uiPriority w:val="39"/>
    <w:unhideWhenUsed/>
    <w:qFormat/>
    <w:rsid w:val="00E6210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112">
      <w:bodyDiv w:val="1"/>
      <w:marLeft w:val="0"/>
      <w:marRight w:val="0"/>
      <w:marTop w:val="0"/>
      <w:marBottom w:val="0"/>
      <w:divBdr>
        <w:top w:val="none" w:sz="0" w:space="0" w:color="auto"/>
        <w:left w:val="none" w:sz="0" w:space="0" w:color="auto"/>
        <w:bottom w:val="none" w:sz="0" w:space="0" w:color="auto"/>
        <w:right w:val="none" w:sz="0" w:space="0" w:color="auto"/>
      </w:divBdr>
    </w:div>
    <w:div w:id="124130512">
      <w:bodyDiv w:val="1"/>
      <w:marLeft w:val="0"/>
      <w:marRight w:val="0"/>
      <w:marTop w:val="0"/>
      <w:marBottom w:val="0"/>
      <w:divBdr>
        <w:top w:val="none" w:sz="0" w:space="0" w:color="auto"/>
        <w:left w:val="none" w:sz="0" w:space="0" w:color="auto"/>
        <w:bottom w:val="none" w:sz="0" w:space="0" w:color="auto"/>
        <w:right w:val="none" w:sz="0" w:space="0" w:color="auto"/>
      </w:divBdr>
      <w:divsChild>
        <w:div w:id="385496701">
          <w:marLeft w:val="0"/>
          <w:marRight w:val="0"/>
          <w:marTop w:val="0"/>
          <w:marBottom w:val="0"/>
          <w:divBdr>
            <w:top w:val="none" w:sz="0" w:space="0" w:color="auto"/>
            <w:left w:val="none" w:sz="0" w:space="0" w:color="auto"/>
            <w:bottom w:val="none" w:sz="0" w:space="0" w:color="auto"/>
            <w:right w:val="none" w:sz="0" w:space="0" w:color="auto"/>
          </w:divBdr>
        </w:div>
        <w:div w:id="389616381">
          <w:marLeft w:val="0"/>
          <w:marRight w:val="0"/>
          <w:marTop w:val="0"/>
          <w:marBottom w:val="0"/>
          <w:divBdr>
            <w:top w:val="none" w:sz="0" w:space="0" w:color="auto"/>
            <w:left w:val="none" w:sz="0" w:space="0" w:color="auto"/>
            <w:bottom w:val="none" w:sz="0" w:space="0" w:color="auto"/>
            <w:right w:val="none" w:sz="0" w:space="0" w:color="auto"/>
          </w:divBdr>
        </w:div>
        <w:div w:id="648753493">
          <w:marLeft w:val="0"/>
          <w:marRight w:val="0"/>
          <w:marTop w:val="0"/>
          <w:marBottom w:val="0"/>
          <w:divBdr>
            <w:top w:val="none" w:sz="0" w:space="0" w:color="auto"/>
            <w:left w:val="none" w:sz="0" w:space="0" w:color="auto"/>
            <w:bottom w:val="none" w:sz="0" w:space="0" w:color="auto"/>
            <w:right w:val="none" w:sz="0" w:space="0" w:color="auto"/>
          </w:divBdr>
        </w:div>
        <w:div w:id="164489028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303915">
      <w:bodyDiv w:val="1"/>
      <w:marLeft w:val="0"/>
      <w:marRight w:val="0"/>
      <w:marTop w:val="0"/>
      <w:marBottom w:val="0"/>
      <w:divBdr>
        <w:top w:val="none" w:sz="0" w:space="0" w:color="auto"/>
        <w:left w:val="none" w:sz="0" w:space="0" w:color="auto"/>
        <w:bottom w:val="none" w:sz="0" w:space="0" w:color="auto"/>
        <w:right w:val="none" w:sz="0" w:space="0" w:color="auto"/>
      </w:divBdr>
    </w:div>
    <w:div w:id="21806044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0713959">
      <w:bodyDiv w:val="1"/>
      <w:marLeft w:val="0"/>
      <w:marRight w:val="0"/>
      <w:marTop w:val="0"/>
      <w:marBottom w:val="0"/>
      <w:divBdr>
        <w:top w:val="none" w:sz="0" w:space="0" w:color="auto"/>
        <w:left w:val="none" w:sz="0" w:space="0" w:color="auto"/>
        <w:bottom w:val="none" w:sz="0" w:space="0" w:color="auto"/>
        <w:right w:val="none" w:sz="0" w:space="0" w:color="auto"/>
      </w:divBdr>
      <w:divsChild>
        <w:div w:id="1161510473">
          <w:marLeft w:val="0"/>
          <w:marRight w:val="0"/>
          <w:marTop w:val="0"/>
          <w:marBottom w:val="0"/>
          <w:divBdr>
            <w:top w:val="none" w:sz="0" w:space="0" w:color="auto"/>
            <w:left w:val="none" w:sz="0" w:space="0" w:color="auto"/>
            <w:bottom w:val="none" w:sz="0" w:space="0" w:color="auto"/>
            <w:right w:val="none" w:sz="0" w:space="0" w:color="auto"/>
          </w:divBdr>
        </w:div>
        <w:div w:id="1820343864">
          <w:marLeft w:val="0"/>
          <w:marRight w:val="0"/>
          <w:marTop w:val="0"/>
          <w:marBottom w:val="0"/>
          <w:divBdr>
            <w:top w:val="none" w:sz="0" w:space="0" w:color="auto"/>
            <w:left w:val="none" w:sz="0" w:space="0" w:color="auto"/>
            <w:bottom w:val="none" w:sz="0" w:space="0" w:color="auto"/>
            <w:right w:val="none" w:sz="0" w:space="0" w:color="auto"/>
          </w:divBdr>
        </w:div>
        <w:div w:id="1979338252">
          <w:marLeft w:val="0"/>
          <w:marRight w:val="0"/>
          <w:marTop w:val="0"/>
          <w:marBottom w:val="0"/>
          <w:divBdr>
            <w:top w:val="none" w:sz="0" w:space="0" w:color="auto"/>
            <w:left w:val="none" w:sz="0" w:space="0" w:color="auto"/>
            <w:bottom w:val="none" w:sz="0" w:space="0" w:color="auto"/>
            <w:right w:val="none" w:sz="0" w:space="0" w:color="auto"/>
          </w:divBdr>
        </w:div>
      </w:divsChild>
    </w:div>
    <w:div w:id="343675804">
      <w:bodyDiv w:val="1"/>
      <w:marLeft w:val="0"/>
      <w:marRight w:val="0"/>
      <w:marTop w:val="0"/>
      <w:marBottom w:val="0"/>
      <w:divBdr>
        <w:top w:val="none" w:sz="0" w:space="0" w:color="auto"/>
        <w:left w:val="none" w:sz="0" w:space="0" w:color="auto"/>
        <w:bottom w:val="none" w:sz="0" w:space="0" w:color="auto"/>
        <w:right w:val="none" w:sz="0" w:space="0" w:color="auto"/>
      </w:divBdr>
    </w:div>
    <w:div w:id="437019853">
      <w:bodyDiv w:val="1"/>
      <w:marLeft w:val="0"/>
      <w:marRight w:val="0"/>
      <w:marTop w:val="0"/>
      <w:marBottom w:val="0"/>
      <w:divBdr>
        <w:top w:val="none" w:sz="0" w:space="0" w:color="auto"/>
        <w:left w:val="none" w:sz="0" w:space="0" w:color="auto"/>
        <w:bottom w:val="none" w:sz="0" w:space="0" w:color="auto"/>
        <w:right w:val="none" w:sz="0" w:space="0" w:color="auto"/>
      </w:divBdr>
    </w:div>
    <w:div w:id="527334497">
      <w:bodyDiv w:val="1"/>
      <w:marLeft w:val="0"/>
      <w:marRight w:val="0"/>
      <w:marTop w:val="0"/>
      <w:marBottom w:val="0"/>
      <w:divBdr>
        <w:top w:val="none" w:sz="0" w:space="0" w:color="auto"/>
        <w:left w:val="none" w:sz="0" w:space="0" w:color="auto"/>
        <w:bottom w:val="none" w:sz="0" w:space="0" w:color="auto"/>
        <w:right w:val="none" w:sz="0" w:space="0" w:color="auto"/>
      </w:divBdr>
    </w:div>
    <w:div w:id="559443524">
      <w:bodyDiv w:val="1"/>
      <w:marLeft w:val="0"/>
      <w:marRight w:val="0"/>
      <w:marTop w:val="0"/>
      <w:marBottom w:val="0"/>
      <w:divBdr>
        <w:top w:val="none" w:sz="0" w:space="0" w:color="auto"/>
        <w:left w:val="none" w:sz="0" w:space="0" w:color="auto"/>
        <w:bottom w:val="none" w:sz="0" w:space="0" w:color="auto"/>
        <w:right w:val="none" w:sz="0" w:space="0" w:color="auto"/>
      </w:divBdr>
      <w:divsChild>
        <w:div w:id="236090971">
          <w:marLeft w:val="0"/>
          <w:marRight w:val="0"/>
          <w:marTop w:val="0"/>
          <w:marBottom w:val="0"/>
          <w:divBdr>
            <w:top w:val="none" w:sz="0" w:space="0" w:color="auto"/>
            <w:left w:val="none" w:sz="0" w:space="0" w:color="auto"/>
            <w:bottom w:val="none" w:sz="0" w:space="0" w:color="auto"/>
            <w:right w:val="none" w:sz="0" w:space="0" w:color="auto"/>
          </w:divBdr>
        </w:div>
        <w:div w:id="410783843">
          <w:marLeft w:val="0"/>
          <w:marRight w:val="0"/>
          <w:marTop w:val="0"/>
          <w:marBottom w:val="0"/>
          <w:divBdr>
            <w:top w:val="none" w:sz="0" w:space="0" w:color="auto"/>
            <w:left w:val="none" w:sz="0" w:space="0" w:color="auto"/>
            <w:bottom w:val="none" w:sz="0" w:space="0" w:color="auto"/>
            <w:right w:val="none" w:sz="0" w:space="0" w:color="auto"/>
          </w:divBdr>
        </w:div>
        <w:div w:id="694815196">
          <w:marLeft w:val="0"/>
          <w:marRight w:val="0"/>
          <w:marTop w:val="0"/>
          <w:marBottom w:val="0"/>
          <w:divBdr>
            <w:top w:val="none" w:sz="0" w:space="0" w:color="auto"/>
            <w:left w:val="none" w:sz="0" w:space="0" w:color="auto"/>
            <w:bottom w:val="none" w:sz="0" w:space="0" w:color="auto"/>
            <w:right w:val="none" w:sz="0" w:space="0" w:color="auto"/>
          </w:divBdr>
        </w:div>
        <w:div w:id="1309280507">
          <w:marLeft w:val="0"/>
          <w:marRight w:val="0"/>
          <w:marTop w:val="0"/>
          <w:marBottom w:val="0"/>
          <w:divBdr>
            <w:top w:val="none" w:sz="0" w:space="0" w:color="auto"/>
            <w:left w:val="none" w:sz="0" w:space="0" w:color="auto"/>
            <w:bottom w:val="none" w:sz="0" w:space="0" w:color="auto"/>
            <w:right w:val="none" w:sz="0" w:space="0" w:color="auto"/>
          </w:divBdr>
        </w:div>
      </w:divsChild>
    </w:div>
    <w:div w:id="566695354">
      <w:bodyDiv w:val="1"/>
      <w:marLeft w:val="0"/>
      <w:marRight w:val="0"/>
      <w:marTop w:val="0"/>
      <w:marBottom w:val="0"/>
      <w:divBdr>
        <w:top w:val="none" w:sz="0" w:space="0" w:color="auto"/>
        <w:left w:val="none" w:sz="0" w:space="0" w:color="auto"/>
        <w:bottom w:val="none" w:sz="0" w:space="0" w:color="auto"/>
        <w:right w:val="none" w:sz="0" w:space="0" w:color="auto"/>
      </w:divBdr>
    </w:div>
    <w:div w:id="571428675">
      <w:bodyDiv w:val="1"/>
      <w:marLeft w:val="0"/>
      <w:marRight w:val="0"/>
      <w:marTop w:val="0"/>
      <w:marBottom w:val="0"/>
      <w:divBdr>
        <w:top w:val="none" w:sz="0" w:space="0" w:color="auto"/>
        <w:left w:val="none" w:sz="0" w:space="0" w:color="auto"/>
        <w:bottom w:val="none" w:sz="0" w:space="0" w:color="auto"/>
        <w:right w:val="none" w:sz="0" w:space="0" w:color="auto"/>
      </w:divBdr>
    </w:div>
    <w:div w:id="624896196">
      <w:bodyDiv w:val="1"/>
      <w:marLeft w:val="0"/>
      <w:marRight w:val="0"/>
      <w:marTop w:val="0"/>
      <w:marBottom w:val="0"/>
      <w:divBdr>
        <w:top w:val="none" w:sz="0" w:space="0" w:color="auto"/>
        <w:left w:val="none" w:sz="0" w:space="0" w:color="auto"/>
        <w:bottom w:val="none" w:sz="0" w:space="0" w:color="auto"/>
        <w:right w:val="none" w:sz="0" w:space="0" w:color="auto"/>
      </w:divBdr>
    </w:div>
    <w:div w:id="632948592">
      <w:bodyDiv w:val="1"/>
      <w:marLeft w:val="0"/>
      <w:marRight w:val="0"/>
      <w:marTop w:val="0"/>
      <w:marBottom w:val="0"/>
      <w:divBdr>
        <w:top w:val="none" w:sz="0" w:space="0" w:color="auto"/>
        <w:left w:val="none" w:sz="0" w:space="0" w:color="auto"/>
        <w:bottom w:val="none" w:sz="0" w:space="0" w:color="auto"/>
        <w:right w:val="none" w:sz="0" w:space="0" w:color="auto"/>
      </w:divBdr>
    </w:div>
    <w:div w:id="690840388">
      <w:bodyDiv w:val="1"/>
      <w:marLeft w:val="0"/>
      <w:marRight w:val="0"/>
      <w:marTop w:val="0"/>
      <w:marBottom w:val="0"/>
      <w:divBdr>
        <w:top w:val="none" w:sz="0" w:space="0" w:color="auto"/>
        <w:left w:val="none" w:sz="0" w:space="0" w:color="auto"/>
        <w:bottom w:val="none" w:sz="0" w:space="0" w:color="auto"/>
        <w:right w:val="none" w:sz="0" w:space="0" w:color="auto"/>
      </w:divBdr>
      <w:divsChild>
        <w:div w:id="459032986">
          <w:marLeft w:val="0"/>
          <w:marRight w:val="0"/>
          <w:marTop w:val="0"/>
          <w:marBottom w:val="0"/>
          <w:divBdr>
            <w:top w:val="none" w:sz="0" w:space="0" w:color="auto"/>
            <w:left w:val="none" w:sz="0" w:space="0" w:color="auto"/>
            <w:bottom w:val="none" w:sz="0" w:space="0" w:color="auto"/>
            <w:right w:val="none" w:sz="0" w:space="0" w:color="auto"/>
          </w:divBdr>
        </w:div>
        <w:div w:id="714475996">
          <w:marLeft w:val="0"/>
          <w:marRight w:val="0"/>
          <w:marTop w:val="0"/>
          <w:marBottom w:val="0"/>
          <w:divBdr>
            <w:top w:val="none" w:sz="0" w:space="0" w:color="auto"/>
            <w:left w:val="none" w:sz="0" w:space="0" w:color="auto"/>
            <w:bottom w:val="none" w:sz="0" w:space="0" w:color="auto"/>
            <w:right w:val="none" w:sz="0" w:space="0" w:color="auto"/>
          </w:divBdr>
        </w:div>
        <w:div w:id="938753783">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197486">
      <w:bodyDiv w:val="1"/>
      <w:marLeft w:val="0"/>
      <w:marRight w:val="0"/>
      <w:marTop w:val="0"/>
      <w:marBottom w:val="0"/>
      <w:divBdr>
        <w:top w:val="none" w:sz="0" w:space="0" w:color="auto"/>
        <w:left w:val="none" w:sz="0" w:space="0" w:color="auto"/>
        <w:bottom w:val="none" w:sz="0" w:space="0" w:color="auto"/>
        <w:right w:val="none" w:sz="0" w:space="0" w:color="auto"/>
      </w:divBdr>
    </w:div>
    <w:div w:id="87242418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0220600">
      <w:bodyDiv w:val="1"/>
      <w:marLeft w:val="0"/>
      <w:marRight w:val="0"/>
      <w:marTop w:val="0"/>
      <w:marBottom w:val="0"/>
      <w:divBdr>
        <w:top w:val="none" w:sz="0" w:space="0" w:color="auto"/>
        <w:left w:val="none" w:sz="0" w:space="0" w:color="auto"/>
        <w:bottom w:val="none" w:sz="0" w:space="0" w:color="auto"/>
        <w:right w:val="none" w:sz="0" w:space="0" w:color="auto"/>
      </w:divBdr>
      <w:divsChild>
        <w:div w:id="1750620244">
          <w:marLeft w:val="0"/>
          <w:marRight w:val="0"/>
          <w:marTop w:val="0"/>
          <w:marBottom w:val="0"/>
          <w:divBdr>
            <w:top w:val="none" w:sz="0" w:space="0" w:color="auto"/>
            <w:left w:val="none" w:sz="0" w:space="0" w:color="auto"/>
            <w:bottom w:val="none" w:sz="0" w:space="0" w:color="auto"/>
            <w:right w:val="none" w:sz="0" w:space="0" w:color="auto"/>
          </w:divBdr>
        </w:div>
        <w:div w:id="556169201">
          <w:marLeft w:val="0"/>
          <w:marRight w:val="0"/>
          <w:marTop w:val="0"/>
          <w:marBottom w:val="0"/>
          <w:divBdr>
            <w:top w:val="none" w:sz="0" w:space="0" w:color="auto"/>
            <w:left w:val="none" w:sz="0" w:space="0" w:color="auto"/>
            <w:bottom w:val="none" w:sz="0" w:space="0" w:color="auto"/>
            <w:right w:val="none" w:sz="0" w:space="0" w:color="auto"/>
          </w:divBdr>
        </w:div>
        <w:div w:id="1977568705">
          <w:marLeft w:val="0"/>
          <w:marRight w:val="0"/>
          <w:marTop w:val="0"/>
          <w:marBottom w:val="0"/>
          <w:divBdr>
            <w:top w:val="none" w:sz="0" w:space="0" w:color="auto"/>
            <w:left w:val="none" w:sz="0" w:space="0" w:color="auto"/>
            <w:bottom w:val="none" w:sz="0" w:space="0" w:color="auto"/>
            <w:right w:val="none" w:sz="0" w:space="0" w:color="auto"/>
          </w:divBdr>
        </w:div>
        <w:div w:id="246890228">
          <w:marLeft w:val="0"/>
          <w:marRight w:val="0"/>
          <w:marTop w:val="0"/>
          <w:marBottom w:val="0"/>
          <w:divBdr>
            <w:top w:val="none" w:sz="0" w:space="0" w:color="auto"/>
            <w:left w:val="none" w:sz="0" w:space="0" w:color="auto"/>
            <w:bottom w:val="none" w:sz="0" w:space="0" w:color="auto"/>
            <w:right w:val="none" w:sz="0" w:space="0" w:color="auto"/>
          </w:divBdr>
        </w:div>
        <w:div w:id="529034512">
          <w:marLeft w:val="0"/>
          <w:marRight w:val="0"/>
          <w:marTop w:val="0"/>
          <w:marBottom w:val="0"/>
          <w:divBdr>
            <w:top w:val="none" w:sz="0" w:space="0" w:color="auto"/>
            <w:left w:val="none" w:sz="0" w:space="0" w:color="auto"/>
            <w:bottom w:val="none" w:sz="0" w:space="0" w:color="auto"/>
            <w:right w:val="none" w:sz="0" w:space="0" w:color="auto"/>
          </w:divBdr>
        </w:div>
        <w:div w:id="571156842">
          <w:marLeft w:val="0"/>
          <w:marRight w:val="0"/>
          <w:marTop w:val="0"/>
          <w:marBottom w:val="0"/>
          <w:divBdr>
            <w:top w:val="none" w:sz="0" w:space="0" w:color="auto"/>
            <w:left w:val="none" w:sz="0" w:space="0" w:color="auto"/>
            <w:bottom w:val="none" w:sz="0" w:space="0" w:color="auto"/>
            <w:right w:val="none" w:sz="0" w:space="0" w:color="auto"/>
          </w:divBdr>
        </w:div>
        <w:div w:id="1642269150">
          <w:marLeft w:val="0"/>
          <w:marRight w:val="0"/>
          <w:marTop w:val="0"/>
          <w:marBottom w:val="0"/>
          <w:divBdr>
            <w:top w:val="none" w:sz="0" w:space="0" w:color="auto"/>
            <w:left w:val="none" w:sz="0" w:space="0" w:color="auto"/>
            <w:bottom w:val="none" w:sz="0" w:space="0" w:color="auto"/>
            <w:right w:val="none" w:sz="0" w:space="0" w:color="auto"/>
          </w:divBdr>
        </w:div>
        <w:div w:id="499004638">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0691154">
      <w:bodyDiv w:val="1"/>
      <w:marLeft w:val="0"/>
      <w:marRight w:val="0"/>
      <w:marTop w:val="0"/>
      <w:marBottom w:val="0"/>
      <w:divBdr>
        <w:top w:val="none" w:sz="0" w:space="0" w:color="auto"/>
        <w:left w:val="none" w:sz="0" w:space="0" w:color="auto"/>
        <w:bottom w:val="none" w:sz="0" w:space="0" w:color="auto"/>
        <w:right w:val="none" w:sz="0" w:space="0" w:color="auto"/>
      </w:divBdr>
    </w:div>
    <w:div w:id="1065372983">
      <w:bodyDiv w:val="1"/>
      <w:marLeft w:val="0"/>
      <w:marRight w:val="0"/>
      <w:marTop w:val="0"/>
      <w:marBottom w:val="0"/>
      <w:divBdr>
        <w:top w:val="none" w:sz="0" w:space="0" w:color="auto"/>
        <w:left w:val="none" w:sz="0" w:space="0" w:color="auto"/>
        <w:bottom w:val="none" w:sz="0" w:space="0" w:color="auto"/>
        <w:right w:val="none" w:sz="0" w:space="0" w:color="auto"/>
      </w:divBdr>
      <w:divsChild>
        <w:div w:id="380905223">
          <w:marLeft w:val="0"/>
          <w:marRight w:val="0"/>
          <w:marTop w:val="0"/>
          <w:marBottom w:val="0"/>
          <w:divBdr>
            <w:top w:val="none" w:sz="0" w:space="0" w:color="auto"/>
            <w:left w:val="none" w:sz="0" w:space="0" w:color="auto"/>
            <w:bottom w:val="none" w:sz="0" w:space="0" w:color="auto"/>
            <w:right w:val="none" w:sz="0" w:space="0" w:color="auto"/>
          </w:divBdr>
        </w:div>
        <w:div w:id="1708136961">
          <w:marLeft w:val="0"/>
          <w:marRight w:val="0"/>
          <w:marTop w:val="0"/>
          <w:marBottom w:val="0"/>
          <w:divBdr>
            <w:top w:val="none" w:sz="0" w:space="0" w:color="auto"/>
            <w:left w:val="none" w:sz="0" w:space="0" w:color="auto"/>
            <w:bottom w:val="none" w:sz="0" w:space="0" w:color="auto"/>
            <w:right w:val="none" w:sz="0" w:space="0" w:color="auto"/>
          </w:divBdr>
        </w:div>
      </w:divsChild>
    </w:div>
    <w:div w:id="1140539486">
      <w:bodyDiv w:val="1"/>
      <w:marLeft w:val="0"/>
      <w:marRight w:val="0"/>
      <w:marTop w:val="0"/>
      <w:marBottom w:val="0"/>
      <w:divBdr>
        <w:top w:val="none" w:sz="0" w:space="0" w:color="auto"/>
        <w:left w:val="none" w:sz="0" w:space="0" w:color="auto"/>
        <w:bottom w:val="none" w:sz="0" w:space="0" w:color="auto"/>
        <w:right w:val="none" w:sz="0" w:space="0" w:color="auto"/>
      </w:divBdr>
    </w:div>
    <w:div w:id="1217594273">
      <w:bodyDiv w:val="1"/>
      <w:marLeft w:val="0"/>
      <w:marRight w:val="0"/>
      <w:marTop w:val="0"/>
      <w:marBottom w:val="0"/>
      <w:divBdr>
        <w:top w:val="none" w:sz="0" w:space="0" w:color="auto"/>
        <w:left w:val="none" w:sz="0" w:space="0" w:color="auto"/>
        <w:bottom w:val="none" w:sz="0" w:space="0" w:color="auto"/>
        <w:right w:val="none" w:sz="0" w:space="0" w:color="auto"/>
      </w:divBdr>
      <w:divsChild>
        <w:div w:id="798957435">
          <w:marLeft w:val="0"/>
          <w:marRight w:val="0"/>
          <w:marTop w:val="0"/>
          <w:marBottom w:val="0"/>
          <w:divBdr>
            <w:top w:val="none" w:sz="0" w:space="0" w:color="auto"/>
            <w:left w:val="none" w:sz="0" w:space="0" w:color="auto"/>
            <w:bottom w:val="none" w:sz="0" w:space="0" w:color="auto"/>
            <w:right w:val="none" w:sz="0" w:space="0" w:color="auto"/>
          </w:divBdr>
        </w:div>
        <w:div w:id="1045256640">
          <w:marLeft w:val="0"/>
          <w:marRight w:val="0"/>
          <w:marTop w:val="0"/>
          <w:marBottom w:val="0"/>
          <w:divBdr>
            <w:top w:val="none" w:sz="0" w:space="0" w:color="auto"/>
            <w:left w:val="none" w:sz="0" w:space="0" w:color="auto"/>
            <w:bottom w:val="none" w:sz="0" w:space="0" w:color="auto"/>
            <w:right w:val="none" w:sz="0" w:space="0" w:color="auto"/>
          </w:divBdr>
        </w:div>
        <w:div w:id="1468937595">
          <w:marLeft w:val="0"/>
          <w:marRight w:val="0"/>
          <w:marTop w:val="0"/>
          <w:marBottom w:val="0"/>
          <w:divBdr>
            <w:top w:val="none" w:sz="0" w:space="0" w:color="auto"/>
            <w:left w:val="none" w:sz="0" w:space="0" w:color="auto"/>
            <w:bottom w:val="none" w:sz="0" w:space="0" w:color="auto"/>
            <w:right w:val="none" w:sz="0" w:space="0" w:color="auto"/>
          </w:divBdr>
        </w:div>
        <w:div w:id="1677228412">
          <w:marLeft w:val="0"/>
          <w:marRight w:val="0"/>
          <w:marTop w:val="0"/>
          <w:marBottom w:val="0"/>
          <w:divBdr>
            <w:top w:val="none" w:sz="0" w:space="0" w:color="auto"/>
            <w:left w:val="none" w:sz="0" w:space="0" w:color="auto"/>
            <w:bottom w:val="none" w:sz="0" w:space="0" w:color="auto"/>
            <w:right w:val="none" w:sz="0" w:space="0" w:color="auto"/>
          </w:divBdr>
        </w:div>
      </w:divsChild>
    </w:div>
    <w:div w:id="12708976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11444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9512249">
      <w:bodyDiv w:val="1"/>
      <w:marLeft w:val="0"/>
      <w:marRight w:val="0"/>
      <w:marTop w:val="0"/>
      <w:marBottom w:val="0"/>
      <w:divBdr>
        <w:top w:val="none" w:sz="0" w:space="0" w:color="auto"/>
        <w:left w:val="none" w:sz="0" w:space="0" w:color="auto"/>
        <w:bottom w:val="none" w:sz="0" w:space="0" w:color="auto"/>
        <w:right w:val="none" w:sz="0" w:space="0" w:color="auto"/>
      </w:divBdr>
    </w:div>
    <w:div w:id="1583678280">
      <w:bodyDiv w:val="1"/>
      <w:marLeft w:val="0"/>
      <w:marRight w:val="0"/>
      <w:marTop w:val="0"/>
      <w:marBottom w:val="0"/>
      <w:divBdr>
        <w:top w:val="none" w:sz="0" w:space="0" w:color="auto"/>
        <w:left w:val="none" w:sz="0" w:space="0" w:color="auto"/>
        <w:bottom w:val="none" w:sz="0" w:space="0" w:color="auto"/>
        <w:right w:val="none" w:sz="0" w:space="0" w:color="auto"/>
      </w:divBdr>
      <w:divsChild>
        <w:div w:id="63072663">
          <w:marLeft w:val="0"/>
          <w:marRight w:val="0"/>
          <w:marTop w:val="0"/>
          <w:marBottom w:val="0"/>
          <w:divBdr>
            <w:top w:val="none" w:sz="0" w:space="0" w:color="auto"/>
            <w:left w:val="none" w:sz="0" w:space="0" w:color="auto"/>
            <w:bottom w:val="none" w:sz="0" w:space="0" w:color="auto"/>
            <w:right w:val="none" w:sz="0" w:space="0" w:color="auto"/>
          </w:divBdr>
        </w:div>
        <w:div w:id="172552113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5672450">
      <w:bodyDiv w:val="1"/>
      <w:marLeft w:val="0"/>
      <w:marRight w:val="0"/>
      <w:marTop w:val="0"/>
      <w:marBottom w:val="0"/>
      <w:divBdr>
        <w:top w:val="none" w:sz="0" w:space="0" w:color="auto"/>
        <w:left w:val="none" w:sz="0" w:space="0" w:color="auto"/>
        <w:bottom w:val="none" w:sz="0" w:space="0" w:color="auto"/>
        <w:right w:val="none" w:sz="0" w:space="0" w:color="auto"/>
      </w:divBdr>
      <w:divsChild>
        <w:div w:id="625234772">
          <w:marLeft w:val="0"/>
          <w:marRight w:val="0"/>
          <w:marTop w:val="0"/>
          <w:marBottom w:val="0"/>
          <w:divBdr>
            <w:top w:val="none" w:sz="0" w:space="0" w:color="auto"/>
            <w:left w:val="none" w:sz="0" w:space="0" w:color="auto"/>
            <w:bottom w:val="none" w:sz="0" w:space="0" w:color="auto"/>
            <w:right w:val="none" w:sz="0" w:space="0" w:color="auto"/>
          </w:divBdr>
        </w:div>
        <w:div w:id="1112626058">
          <w:marLeft w:val="0"/>
          <w:marRight w:val="0"/>
          <w:marTop w:val="0"/>
          <w:marBottom w:val="0"/>
          <w:divBdr>
            <w:top w:val="none" w:sz="0" w:space="0" w:color="auto"/>
            <w:left w:val="none" w:sz="0" w:space="0" w:color="auto"/>
            <w:bottom w:val="none" w:sz="0" w:space="0" w:color="auto"/>
            <w:right w:val="none" w:sz="0" w:space="0" w:color="auto"/>
          </w:divBdr>
        </w:div>
      </w:divsChild>
    </w:div>
    <w:div w:id="1662543182">
      <w:bodyDiv w:val="1"/>
      <w:marLeft w:val="0"/>
      <w:marRight w:val="0"/>
      <w:marTop w:val="0"/>
      <w:marBottom w:val="0"/>
      <w:divBdr>
        <w:top w:val="none" w:sz="0" w:space="0" w:color="auto"/>
        <w:left w:val="none" w:sz="0" w:space="0" w:color="auto"/>
        <w:bottom w:val="none" w:sz="0" w:space="0" w:color="auto"/>
        <w:right w:val="none" w:sz="0" w:space="0" w:color="auto"/>
      </w:divBdr>
    </w:div>
    <w:div w:id="1666938052">
      <w:bodyDiv w:val="1"/>
      <w:marLeft w:val="0"/>
      <w:marRight w:val="0"/>
      <w:marTop w:val="0"/>
      <w:marBottom w:val="0"/>
      <w:divBdr>
        <w:top w:val="none" w:sz="0" w:space="0" w:color="auto"/>
        <w:left w:val="none" w:sz="0" w:space="0" w:color="auto"/>
        <w:bottom w:val="none" w:sz="0" w:space="0" w:color="auto"/>
        <w:right w:val="none" w:sz="0" w:space="0" w:color="auto"/>
      </w:divBdr>
      <w:divsChild>
        <w:div w:id="1602956014">
          <w:marLeft w:val="0"/>
          <w:marRight w:val="0"/>
          <w:marTop w:val="0"/>
          <w:marBottom w:val="0"/>
          <w:divBdr>
            <w:top w:val="none" w:sz="0" w:space="0" w:color="auto"/>
            <w:left w:val="none" w:sz="0" w:space="0" w:color="auto"/>
            <w:bottom w:val="none" w:sz="0" w:space="0" w:color="auto"/>
            <w:right w:val="none" w:sz="0" w:space="0" w:color="auto"/>
          </w:divBdr>
        </w:div>
        <w:div w:id="2021010111">
          <w:marLeft w:val="0"/>
          <w:marRight w:val="0"/>
          <w:marTop w:val="0"/>
          <w:marBottom w:val="0"/>
          <w:divBdr>
            <w:top w:val="none" w:sz="0" w:space="0" w:color="auto"/>
            <w:left w:val="none" w:sz="0" w:space="0" w:color="auto"/>
            <w:bottom w:val="none" w:sz="0" w:space="0" w:color="auto"/>
            <w:right w:val="none" w:sz="0" w:space="0" w:color="auto"/>
          </w:divBdr>
        </w:div>
      </w:divsChild>
    </w:div>
    <w:div w:id="1747342662">
      <w:bodyDiv w:val="1"/>
      <w:marLeft w:val="0"/>
      <w:marRight w:val="0"/>
      <w:marTop w:val="0"/>
      <w:marBottom w:val="0"/>
      <w:divBdr>
        <w:top w:val="none" w:sz="0" w:space="0" w:color="auto"/>
        <w:left w:val="none" w:sz="0" w:space="0" w:color="auto"/>
        <w:bottom w:val="none" w:sz="0" w:space="0" w:color="auto"/>
        <w:right w:val="none" w:sz="0" w:space="0" w:color="auto"/>
      </w:divBdr>
      <w:divsChild>
        <w:div w:id="1766534517">
          <w:marLeft w:val="0"/>
          <w:marRight w:val="0"/>
          <w:marTop w:val="0"/>
          <w:marBottom w:val="0"/>
          <w:divBdr>
            <w:top w:val="none" w:sz="0" w:space="0" w:color="auto"/>
            <w:left w:val="none" w:sz="0" w:space="0" w:color="auto"/>
            <w:bottom w:val="none" w:sz="0" w:space="0" w:color="auto"/>
            <w:right w:val="none" w:sz="0" w:space="0" w:color="auto"/>
          </w:divBdr>
        </w:div>
        <w:div w:id="202821518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8131461">
      <w:bodyDiv w:val="1"/>
      <w:marLeft w:val="0"/>
      <w:marRight w:val="0"/>
      <w:marTop w:val="0"/>
      <w:marBottom w:val="0"/>
      <w:divBdr>
        <w:top w:val="none" w:sz="0" w:space="0" w:color="auto"/>
        <w:left w:val="none" w:sz="0" w:space="0" w:color="auto"/>
        <w:bottom w:val="none" w:sz="0" w:space="0" w:color="auto"/>
        <w:right w:val="none" w:sz="0" w:space="0" w:color="auto"/>
      </w:divBdr>
    </w:div>
    <w:div w:id="19017458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5384651">
      <w:bodyDiv w:val="1"/>
      <w:marLeft w:val="0"/>
      <w:marRight w:val="0"/>
      <w:marTop w:val="0"/>
      <w:marBottom w:val="0"/>
      <w:divBdr>
        <w:top w:val="none" w:sz="0" w:space="0" w:color="auto"/>
        <w:left w:val="none" w:sz="0" w:space="0" w:color="auto"/>
        <w:bottom w:val="none" w:sz="0" w:space="0" w:color="auto"/>
        <w:right w:val="none" w:sz="0" w:space="0" w:color="auto"/>
      </w:divBdr>
      <w:divsChild>
        <w:div w:id="39285268">
          <w:marLeft w:val="0"/>
          <w:marRight w:val="0"/>
          <w:marTop w:val="0"/>
          <w:marBottom w:val="0"/>
          <w:divBdr>
            <w:top w:val="none" w:sz="0" w:space="0" w:color="auto"/>
            <w:left w:val="none" w:sz="0" w:space="0" w:color="auto"/>
            <w:bottom w:val="none" w:sz="0" w:space="0" w:color="auto"/>
            <w:right w:val="none" w:sz="0" w:space="0" w:color="auto"/>
          </w:divBdr>
        </w:div>
        <w:div w:id="1479876410">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5861690">
      <w:bodyDiv w:val="1"/>
      <w:marLeft w:val="0"/>
      <w:marRight w:val="0"/>
      <w:marTop w:val="0"/>
      <w:marBottom w:val="0"/>
      <w:divBdr>
        <w:top w:val="none" w:sz="0" w:space="0" w:color="auto"/>
        <w:left w:val="none" w:sz="0" w:space="0" w:color="auto"/>
        <w:bottom w:val="none" w:sz="0" w:space="0" w:color="auto"/>
        <w:right w:val="none" w:sz="0" w:space="0" w:color="auto"/>
      </w:divBdr>
    </w:div>
    <w:div w:id="20537244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ac.dffh.vic.gov.au/service-agreement-requirement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nquiries@home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ffh.vic.gov.au/policies-and-procedur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nquiries@homes.vic.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ac.dffh.vic.gov.au/policies-and-procedures" TargetMode="External"/><Relationship Id="rId27" Type="http://schemas.openxmlformats.org/officeDocument/2006/relationships/footer" Target="footer4.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ae5082-d0b2-4ec7-abd2-7fce8792b090" xsi:nil="true"/>
    <lcf76f155ced4ddcb4097134ff3c332f xmlns="7ec7777c-0618-4641-98a9-748d08e99863">
      <Terms xmlns="http://schemas.microsoft.com/office/infopath/2007/PartnerControls"/>
    </lcf76f155ced4ddcb4097134ff3c332f>
    <SharedWithUsers xmlns="6eae5082-d0b2-4ec7-abd2-7fce8792b090">
      <UserInfo>
        <DisplayName>Elliot Roberts (Homes Victoria)</DisplayName>
        <AccountId>619</AccountId>
        <AccountType/>
      </UserInfo>
      <UserInfo>
        <DisplayName>Helen Dickson (Homes Victoria)</DisplayName>
        <AccountId>24</AccountId>
        <AccountType/>
      </UserInfo>
      <UserInfo>
        <DisplayName>Fiona Shaw (Homes Victoria)</DisplayName>
        <AccountId>25</AccountId>
        <AccountType/>
      </UserInfo>
      <UserInfo>
        <DisplayName>Trish M Hackney-Westmore (Homes Victoria)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B9BCEB8FFAD346ACA832BC66EC5FA7" ma:contentTypeVersion="14" ma:contentTypeDescription="Create a new document." ma:contentTypeScope="" ma:versionID="b2ac225f6b5da9fff28866f74eb396f6">
  <xsd:schema xmlns:xsd="http://www.w3.org/2001/XMLSchema" xmlns:xs="http://www.w3.org/2001/XMLSchema" xmlns:p="http://schemas.microsoft.com/office/2006/metadata/properties" xmlns:ns2="6eae5082-d0b2-4ec7-abd2-7fce8792b090" xmlns:ns3="7ec7777c-0618-4641-98a9-748d08e99863" targetNamespace="http://schemas.microsoft.com/office/2006/metadata/properties" ma:root="true" ma:fieldsID="f4cbdd126fe967be22e47258322dea4f" ns2:_="" ns3:_="">
    <xsd:import namespace="6eae5082-d0b2-4ec7-abd2-7fce8792b090"/>
    <xsd:import namespace="7ec7777c-0618-4641-98a9-748d08e99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e5082-d0b2-4ec7-abd2-7fce8792b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c2eae3f-4c15-4dea-be71-37d2ac0be264}" ma:internalName="TaxCatchAll" ma:showField="CatchAllData" ma:web="6eae5082-d0b2-4ec7-abd2-7fce8792b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c7777c-0618-4641-98a9-748d08e99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eae5082-d0b2-4ec7-abd2-7fce8792b090"/>
    <ds:schemaRef ds:uri="http://purl.org/dc/terms/"/>
    <ds:schemaRef ds:uri="7ec7777c-0618-4641-98a9-748d08e9986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C8E86EF-2DB3-4236-A14C-9FF98836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e5082-d0b2-4ec7-abd2-7fce8792b090"/>
    <ds:schemaRef ds:uri="7ec7777c-0618-4641-98a9-748d08e99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5037</Words>
  <Characters>32052</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Supported Residential Services Outreach and Assistance program requirements for funded services</vt:lpstr>
    </vt:vector>
  </TitlesOfParts>
  <Company>Victoria State Government, Department of Familes, Fairness and Housing</Company>
  <LinksUpToDate>false</LinksUpToDate>
  <CharactersWithSpaces>37015</CharactersWithSpaces>
  <SharedDoc>false</SharedDoc>
  <HyperlinkBase/>
  <HLinks>
    <vt:vector size="18" baseType="variant">
      <vt:variant>
        <vt:i4>3080313</vt:i4>
      </vt:variant>
      <vt:variant>
        <vt:i4>6</vt:i4>
      </vt:variant>
      <vt:variant>
        <vt:i4>0</vt:i4>
      </vt:variant>
      <vt:variant>
        <vt:i4>5</vt:i4>
      </vt:variant>
      <vt:variant>
        <vt:lpwstr>about:blank</vt:lpwstr>
      </vt:variant>
      <vt:variant>
        <vt:lpwstr/>
      </vt:variant>
      <vt:variant>
        <vt:i4>7929966</vt:i4>
      </vt:variant>
      <vt:variant>
        <vt:i4>3</vt:i4>
      </vt:variant>
      <vt:variant>
        <vt:i4>0</vt:i4>
      </vt:variant>
      <vt:variant>
        <vt:i4>5</vt:i4>
      </vt:variant>
      <vt:variant>
        <vt:lpwstr>https://fac.dffh.vic.gov.au/service-agreement-requirements</vt:lpwstr>
      </vt:variant>
      <vt:variant>
        <vt:lpwstr/>
      </vt:variant>
      <vt:variant>
        <vt:i4>983151</vt:i4>
      </vt:variant>
      <vt:variant>
        <vt:i4>0</vt:i4>
      </vt:variant>
      <vt:variant>
        <vt:i4>0</vt:i4>
      </vt:variant>
      <vt:variant>
        <vt:i4>5</vt:i4>
      </vt:variant>
      <vt:variant>
        <vt:lpwstr>mailto:Fiona.Shaw@homes.vic.gov.au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Residential Services Outreach and Assistance program requirements for funded services</dc:title>
  <dc:subject/>
  <dc:creator>Fiona.Shaw@homes.vic.gov.au</dc:creator>
  <cp:keywords/>
  <cp:lastModifiedBy>Maria Tsekouras (DFFH)</cp:lastModifiedBy>
  <cp:revision>8</cp:revision>
  <cp:lastPrinted>2021-01-29T05:27:00Z</cp:lastPrinted>
  <dcterms:created xsi:type="dcterms:W3CDTF">2024-06-03T05:41:00Z</dcterms:created>
  <dcterms:modified xsi:type="dcterms:W3CDTF">2024-06-04T00:04:00Z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0x010100F5B9BCEB8FFAD346ACA832BC66EC5FA7</vt:lpwstr>
  </property>
  <property fmtid="{D5CDD505-2E9C-101B-9397-08002B2CF9AE}" pid="4" name="version">
    <vt:lpwstr>v4 19022021</vt:lpwstr>
  </property>
  <property fmtid="{D5CDD505-2E9C-101B-9397-08002B2CF9AE}" pid="5" name="Metatag">
    <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2024-06-03T03:04:48Z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7a41c341-4e8c-4fb1-acd6-8c49bf403460</vt:lpwstr>
  </property>
  <property fmtid="{D5CDD505-2E9C-101B-9397-08002B2CF9AE}" pid="13" name="MSIP_Label_43e64453-338c-4f93-8a4d-0039a0a41f2a_ContentBits">
    <vt:lpwstr>2</vt:lpwstr>
  </property>
  <property fmtid="{D5CDD505-2E9C-101B-9397-08002B2CF9AE}" pid="14" name="_MarkAsFinal">
    <vt:bool>true</vt:bool>
  </property>
</Properties>
</file>