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420BBF2E" w:rsidR="0074696E" w:rsidRPr="004C6EEE" w:rsidRDefault="0074696E" w:rsidP="00AD784C">
      <w:pPr>
        <w:pStyle w:val="Spacerparatopoffirstpage"/>
      </w:pP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682934" w:rsidRPr="00161AA0" w14:paraId="7538048F" w14:textId="77777777" w:rsidTr="003E6EE3">
        <w:trPr>
          <w:trHeight w:val="1134"/>
        </w:trPr>
        <w:tc>
          <w:tcPr>
            <w:tcW w:w="7371" w:type="dxa"/>
            <w:vAlign w:val="bottom"/>
          </w:tcPr>
          <w:p w14:paraId="2BBC7EFF" w14:textId="77777777" w:rsidR="00682934" w:rsidRPr="00B655CA" w:rsidRDefault="00682934" w:rsidP="003E6EE3">
            <w:pPr>
              <w:pStyle w:val="Heading1"/>
              <w:spacing w:before="200"/>
              <w:rPr>
                <w:rFonts w:ascii="VIC" w:hAnsi="VIC"/>
                <w:b/>
                <w:bCs w:val="0"/>
                <w:sz w:val="32"/>
                <w:szCs w:val="32"/>
              </w:rPr>
            </w:pPr>
            <w:bookmarkStart w:id="0" w:name="_Toc61962135"/>
            <w:bookmarkStart w:id="1" w:name="_Toc169680257"/>
            <w:bookmarkStart w:id="2" w:name="_Toc169861324"/>
            <w:r w:rsidRPr="00B655CA">
              <w:rPr>
                <w:rFonts w:ascii="VIC" w:hAnsi="VIC"/>
                <w:b/>
                <w:bCs w:val="0"/>
                <w:sz w:val="32"/>
                <w:szCs w:val="32"/>
              </w:rPr>
              <w:t>Service Agreement 2024 – 2028</w:t>
            </w:r>
            <w:bookmarkEnd w:id="0"/>
            <w:bookmarkEnd w:id="1"/>
            <w:bookmarkEnd w:id="2"/>
          </w:p>
          <w:p w14:paraId="7960D07A" w14:textId="77777777" w:rsidR="00682934" w:rsidRPr="00B655CA" w:rsidRDefault="00682934" w:rsidP="003E6EE3">
            <w:pPr>
              <w:pStyle w:val="Body"/>
              <w:rPr>
                <w:b/>
                <w:bCs/>
              </w:rPr>
            </w:pPr>
            <w:r w:rsidRPr="00B655CA">
              <w:rPr>
                <w:b/>
                <w:bCs/>
              </w:rPr>
              <w:t>Departments of Families, Fairness and Housing</w:t>
            </w:r>
          </w:p>
          <w:p w14:paraId="122AE257" w14:textId="77777777" w:rsidR="00682934" w:rsidRPr="00B655CA" w:rsidRDefault="00682934" w:rsidP="003E6EE3">
            <w:pPr>
              <w:pStyle w:val="Body"/>
              <w:rPr>
                <w:b/>
                <w:bCs/>
              </w:rPr>
            </w:pPr>
            <w:r w:rsidRPr="00B655CA">
              <w:rPr>
                <w:b/>
                <w:bCs/>
              </w:rPr>
              <w:t>Department of Health</w:t>
            </w:r>
          </w:p>
          <w:p w14:paraId="1239ED90" w14:textId="77777777" w:rsidR="00682934" w:rsidRPr="00B655CA" w:rsidRDefault="00682934" w:rsidP="003E6EE3">
            <w:pPr>
              <w:pStyle w:val="Body"/>
              <w:rPr>
                <w:b/>
                <w:bCs/>
              </w:rPr>
            </w:pPr>
            <w:r w:rsidRPr="00B655CA">
              <w:rPr>
                <w:b/>
                <w:bCs/>
              </w:rPr>
              <w:t>Adult and Community Further Education Board</w:t>
            </w:r>
          </w:p>
          <w:p w14:paraId="535B6B81" w14:textId="77777777" w:rsidR="00682934" w:rsidRPr="00161AA0" w:rsidRDefault="00682934" w:rsidP="003E6EE3">
            <w:pPr>
              <w:pStyle w:val="Body"/>
            </w:pPr>
          </w:p>
        </w:tc>
      </w:tr>
      <w:tr w:rsidR="00682934" w:rsidRPr="00250DC4" w14:paraId="70B2BC8A" w14:textId="77777777" w:rsidTr="003E6EE3">
        <w:trPr>
          <w:trHeight w:val="284"/>
        </w:trPr>
        <w:tc>
          <w:tcPr>
            <w:tcW w:w="7371" w:type="dxa"/>
          </w:tcPr>
          <w:p w14:paraId="0113D3D8" w14:textId="77777777" w:rsidR="00682934" w:rsidRPr="00250DC4" w:rsidRDefault="001E01A6" w:rsidP="003E6EE3">
            <w:pPr>
              <w:pStyle w:val="Bannermarking"/>
            </w:pPr>
            <w:fldSimple w:instr=" FILLIN  &quot;Type the protective marking&quot; \d OFFICIAL \o  \* MERGEFORMAT ">
              <w:r w:rsidR="00682934">
                <w:t>OFFICIAL</w:t>
              </w:r>
            </w:fldSimple>
          </w:p>
        </w:tc>
      </w:tr>
    </w:tbl>
    <w:p w14:paraId="22A124A1" w14:textId="22A2A3C4" w:rsidR="00A62D44" w:rsidRPr="004C6EEE" w:rsidRDefault="00132F3E" w:rsidP="00132F3E">
      <w:pPr>
        <w:pStyle w:val="Sectionbreakfirstpage"/>
        <w:spacing w:after="0"/>
        <w:sectPr w:rsidR="00A62D44" w:rsidRPr="004C6EEE" w:rsidSect="009D03E7">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9264" behindDoc="1" locked="1" layoutInCell="1" allowOverlap="1" wp14:anchorId="547160AE" wp14:editId="40929848">
            <wp:simplePos x="0" y="0"/>
            <wp:positionH relativeFrom="page">
              <wp:align>left</wp:align>
            </wp:positionH>
            <wp:positionV relativeFrom="page">
              <wp:align>top</wp:align>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p w14:paraId="58CE992D" w14:textId="2B1AF7BC" w:rsidR="00736830" w:rsidRPr="00F32368" w:rsidRDefault="00B655CA" w:rsidP="00B655CA">
      <w:pPr>
        <w:pStyle w:val="TOC1"/>
      </w:pPr>
      <w:bookmarkStart w:id="3" w:name="_Hlk41913885"/>
      <w:r>
        <w:t xml:space="preserve">Key changes </w:t>
      </w:r>
    </w:p>
    <w:bookmarkEnd w:id="3"/>
    <w:p w14:paraId="6849C04E" w14:textId="77777777" w:rsidR="00736830" w:rsidRPr="00614882" w:rsidRDefault="00736830" w:rsidP="00736830">
      <w:pPr>
        <w:spacing w:after="0"/>
        <w:rPr>
          <w:rFonts w:ascii="VIC" w:hAnsi="VIC"/>
          <w:sz w:val="10"/>
          <w:szCs w:val="10"/>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37"/>
        <w:gridCol w:w="4561"/>
        <w:gridCol w:w="3716"/>
      </w:tblGrid>
      <w:tr w:rsidR="00736830" w:rsidRPr="00736830" w14:paraId="49C25C7D" w14:textId="77777777" w:rsidTr="00FF1841">
        <w:tc>
          <w:tcPr>
            <w:tcW w:w="1064" w:type="pct"/>
            <w:shd w:val="clear" w:color="auto" w:fill="5F497A" w:themeFill="accent4" w:themeFillShade="BF"/>
            <w:vAlign w:val="center"/>
            <w:hideMark/>
          </w:tcPr>
          <w:p w14:paraId="70635E2E" w14:textId="77777777" w:rsidR="00736830" w:rsidRPr="009142C7" w:rsidRDefault="00736830" w:rsidP="009142C7">
            <w:pPr>
              <w:pStyle w:val="TableHead"/>
              <w:rPr>
                <w:rFonts w:ascii="VIC" w:hAnsi="VIC"/>
                <w:bCs/>
                <w:sz w:val="20"/>
                <w:szCs w:val="20"/>
              </w:rPr>
            </w:pPr>
            <w:r w:rsidRPr="009142C7">
              <w:rPr>
                <w:rStyle w:val="normaltextrun"/>
                <w:rFonts w:ascii="VIC" w:hAnsi="VIC"/>
                <w:bCs/>
                <w:sz w:val="20"/>
                <w:szCs w:val="20"/>
                <w:lang w:val="en-US"/>
              </w:rPr>
              <w:t>Topic</w:t>
            </w:r>
          </w:p>
        </w:tc>
        <w:tc>
          <w:tcPr>
            <w:tcW w:w="2169" w:type="pct"/>
            <w:shd w:val="clear" w:color="auto" w:fill="5F497A" w:themeFill="accent4" w:themeFillShade="BF"/>
            <w:vAlign w:val="center"/>
            <w:hideMark/>
          </w:tcPr>
          <w:p w14:paraId="2F20EF7E" w14:textId="77777777" w:rsidR="00736830" w:rsidRPr="009142C7" w:rsidRDefault="00736830" w:rsidP="009142C7">
            <w:pPr>
              <w:pStyle w:val="TableHead"/>
              <w:rPr>
                <w:rFonts w:ascii="VIC" w:hAnsi="VIC"/>
                <w:bCs/>
                <w:sz w:val="20"/>
                <w:szCs w:val="20"/>
              </w:rPr>
            </w:pPr>
            <w:r w:rsidRPr="009142C7">
              <w:rPr>
                <w:rStyle w:val="normaltextrun"/>
                <w:rFonts w:ascii="VIC" w:hAnsi="VIC"/>
                <w:position w:val="-1"/>
                <w:sz w:val="20"/>
                <w:szCs w:val="20"/>
              </w:rPr>
              <w:t>Overview</w:t>
            </w:r>
          </w:p>
        </w:tc>
        <w:tc>
          <w:tcPr>
            <w:tcW w:w="1767" w:type="pct"/>
            <w:shd w:val="clear" w:color="auto" w:fill="5F497A" w:themeFill="accent4" w:themeFillShade="BF"/>
            <w:vAlign w:val="center"/>
          </w:tcPr>
          <w:p w14:paraId="1D907417" w14:textId="5DDD0055" w:rsidR="00736830" w:rsidRPr="009142C7" w:rsidRDefault="00FF1841" w:rsidP="009142C7">
            <w:pPr>
              <w:pStyle w:val="TableHead"/>
              <w:rPr>
                <w:rStyle w:val="normaltextrun"/>
                <w:rFonts w:ascii="VIC" w:hAnsi="VIC"/>
                <w:position w:val="-1"/>
                <w:sz w:val="20"/>
                <w:szCs w:val="20"/>
              </w:rPr>
            </w:pPr>
            <w:r>
              <w:rPr>
                <w:rStyle w:val="normaltextrun"/>
                <w:rFonts w:ascii="VIC" w:hAnsi="VIC"/>
                <w:position w:val="-1"/>
                <w:sz w:val="20"/>
                <w:szCs w:val="20"/>
              </w:rPr>
              <w:t>Notes</w:t>
            </w:r>
          </w:p>
        </w:tc>
      </w:tr>
      <w:tr w:rsidR="00736830" w:rsidRPr="00736830" w14:paraId="0AA13482" w14:textId="77777777" w:rsidTr="00FF1841">
        <w:tc>
          <w:tcPr>
            <w:tcW w:w="1064" w:type="pct"/>
            <w:shd w:val="clear" w:color="auto" w:fill="BFBFBF" w:themeFill="background1" w:themeFillShade="BF"/>
            <w:vAlign w:val="center"/>
          </w:tcPr>
          <w:p w14:paraId="1C701740" w14:textId="77777777" w:rsidR="00736830" w:rsidRPr="00736830" w:rsidRDefault="00736830" w:rsidP="006967F8">
            <w:pPr>
              <w:pStyle w:val="Tablebody"/>
              <w:rPr>
                <w:rStyle w:val="normaltextrun"/>
                <w:rFonts w:ascii="VIC" w:hAnsi="VIC"/>
                <w:position w:val="-1"/>
                <w:sz w:val="20"/>
                <w:szCs w:val="20"/>
              </w:rPr>
            </w:pPr>
            <w:r w:rsidRPr="00736830">
              <w:rPr>
                <w:rStyle w:val="normaltextrun"/>
                <w:rFonts w:ascii="VIC" w:hAnsi="VIC" w:cs="Arial"/>
                <w:position w:val="1"/>
                <w:sz w:val="20"/>
                <w:szCs w:val="20"/>
              </w:rPr>
              <w:t>Commitment to a strong and</w:t>
            </w:r>
            <w:r w:rsidRPr="00736830">
              <w:rPr>
                <w:rStyle w:val="normaltextrun"/>
                <w:rFonts w:ascii="Calibri" w:hAnsi="Calibri" w:cs="Calibri"/>
                <w:position w:val="1"/>
                <w:sz w:val="20"/>
                <w:szCs w:val="20"/>
              </w:rPr>
              <w:t> </w:t>
            </w:r>
            <w:r w:rsidRPr="00736830">
              <w:rPr>
                <w:rStyle w:val="normaltextrun"/>
                <w:rFonts w:ascii="VIC" w:hAnsi="VIC" w:cs="Arial"/>
                <w:position w:val="1"/>
                <w:sz w:val="20"/>
                <w:szCs w:val="20"/>
              </w:rPr>
              <w:t>sustainable sector</w:t>
            </w:r>
            <w:r w:rsidRPr="00736830">
              <w:rPr>
                <w:rStyle w:val="eop"/>
                <w:rFonts w:ascii="Cambria Math" w:hAnsi="Cambria Math" w:cs="Cambria Math"/>
                <w:sz w:val="20"/>
                <w:szCs w:val="20"/>
                <w:lang w:val="en-US"/>
              </w:rPr>
              <w:t>​</w:t>
            </w:r>
          </w:p>
        </w:tc>
        <w:tc>
          <w:tcPr>
            <w:tcW w:w="2169" w:type="pct"/>
            <w:shd w:val="clear" w:color="auto" w:fill="F2F2F2" w:themeFill="background1" w:themeFillShade="F2"/>
            <w:vAlign w:val="center"/>
          </w:tcPr>
          <w:p w14:paraId="1338C37A" w14:textId="7C3677FA" w:rsidR="00736830" w:rsidRPr="00736830" w:rsidRDefault="00FF1841" w:rsidP="00736830">
            <w:pPr>
              <w:pStyle w:val="Bullet1"/>
              <w:spacing w:after="120" w:line="240" w:lineRule="auto"/>
              <w:ind w:left="720" w:hanging="360"/>
              <w:rPr>
                <w:rStyle w:val="normaltextrun"/>
                <w:rFonts w:ascii="VIC" w:hAnsi="VIC"/>
                <w:sz w:val="20"/>
                <w:lang w:val="en-US"/>
              </w:rPr>
            </w:pPr>
            <w:r>
              <w:rPr>
                <w:rStyle w:val="normaltextrun"/>
                <w:rFonts w:ascii="VIC" w:hAnsi="VIC" w:cs="Arial"/>
                <w:position w:val="1"/>
                <w:sz w:val="20"/>
              </w:rPr>
              <w:t>Recitals have been updated to include c</w:t>
            </w:r>
            <w:r w:rsidR="00736830" w:rsidRPr="00736830">
              <w:rPr>
                <w:rStyle w:val="normaltextrun"/>
                <w:rFonts w:ascii="VIC" w:hAnsi="VIC" w:cs="Arial"/>
                <w:position w:val="1"/>
                <w:sz w:val="20"/>
              </w:rPr>
              <w:t>lear</w:t>
            </w:r>
            <w:r w:rsidR="00682934">
              <w:rPr>
                <w:rStyle w:val="normaltextrun"/>
                <w:rFonts w:ascii="VIC" w:hAnsi="VIC" w:cs="Arial"/>
                <w:position w:val="1"/>
                <w:sz w:val="20"/>
              </w:rPr>
              <w:t>e</w:t>
            </w:r>
            <w:r w:rsidR="00736830" w:rsidRPr="00736830">
              <w:rPr>
                <w:rStyle w:val="normaltextrun"/>
                <w:rFonts w:ascii="VIC" w:hAnsi="VIC" w:cs="Arial"/>
                <w:position w:val="1"/>
                <w:sz w:val="20"/>
              </w:rPr>
              <w:t xml:space="preserve">r commitment to improving outcomes for the Victorian community. This includes a commitment to quality services, value for money, transparency, and accountability. </w:t>
            </w:r>
            <w:r w:rsidR="00736830" w:rsidRPr="00736830">
              <w:rPr>
                <w:rStyle w:val="eop"/>
                <w:rFonts w:ascii="Cambria Math" w:hAnsi="Cambria Math" w:cs="Cambria Math"/>
                <w:sz w:val="20"/>
                <w:lang w:val="en-US"/>
              </w:rPr>
              <w:t>​</w:t>
            </w:r>
          </w:p>
        </w:tc>
        <w:tc>
          <w:tcPr>
            <w:tcW w:w="1767" w:type="pct"/>
            <w:shd w:val="clear" w:color="auto" w:fill="F2F2F2" w:themeFill="background1" w:themeFillShade="F2"/>
            <w:vAlign w:val="center"/>
          </w:tcPr>
          <w:p w14:paraId="03AFCEE7" w14:textId="7233431A" w:rsidR="00736830" w:rsidRPr="00736830" w:rsidRDefault="00736830" w:rsidP="006967F8">
            <w:pPr>
              <w:pStyle w:val="Tablebody"/>
              <w:rPr>
                <w:rStyle w:val="normaltextrun"/>
                <w:rFonts w:ascii="VIC" w:hAnsi="VIC" w:cs="Arial"/>
                <w:position w:val="-1"/>
                <w:sz w:val="20"/>
                <w:szCs w:val="20"/>
              </w:rPr>
            </w:pPr>
          </w:p>
        </w:tc>
      </w:tr>
      <w:tr w:rsidR="00682934" w:rsidRPr="00736830" w14:paraId="7656501B" w14:textId="77777777" w:rsidTr="00FF1841">
        <w:tc>
          <w:tcPr>
            <w:tcW w:w="1064" w:type="pct"/>
            <w:shd w:val="clear" w:color="auto" w:fill="BFBFBF" w:themeFill="background1" w:themeFillShade="BF"/>
            <w:vAlign w:val="center"/>
          </w:tcPr>
          <w:p w14:paraId="5E62F4E5" w14:textId="1E98D3FE" w:rsidR="00682934" w:rsidRPr="00682934" w:rsidRDefault="00682934" w:rsidP="006967F8">
            <w:pPr>
              <w:pStyle w:val="Tablebody"/>
              <w:rPr>
                <w:rStyle w:val="normaltextrun"/>
                <w:rFonts w:ascii="VIC" w:hAnsi="VIC"/>
                <w:position w:val="-1"/>
                <w:sz w:val="20"/>
                <w:szCs w:val="20"/>
              </w:rPr>
            </w:pPr>
            <w:r>
              <w:rPr>
                <w:rStyle w:val="normaltextrun"/>
                <w:rFonts w:ascii="VIC" w:hAnsi="VIC" w:cs="Arial"/>
                <w:position w:val="1"/>
                <w:sz w:val="20"/>
                <w:szCs w:val="20"/>
              </w:rPr>
              <w:t>Aboriginal self-determ</w:t>
            </w:r>
            <w:r w:rsidR="00050BB3">
              <w:rPr>
                <w:rStyle w:val="normaltextrun"/>
                <w:rFonts w:ascii="VIC" w:hAnsi="VIC" w:cs="Arial"/>
                <w:position w:val="1"/>
                <w:sz w:val="20"/>
                <w:szCs w:val="20"/>
              </w:rPr>
              <w:t>in</w:t>
            </w:r>
            <w:r>
              <w:rPr>
                <w:rStyle w:val="normaltextrun"/>
                <w:rFonts w:ascii="VIC" w:hAnsi="VIC" w:cs="Arial"/>
                <w:position w:val="1"/>
                <w:sz w:val="20"/>
                <w:szCs w:val="20"/>
              </w:rPr>
              <w:t>ation</w:t>
            </w:r>
            <w:r>
              <w:rPr>
                <w:rStyle w:val="normaltextrun"/>
                <w:rFonts w:ascii="VIC" w:hAnsi="VIC" w:cs="Arial"/>
                <w:position w:val="1"/>
                <w:sz w:val="20"/>
              </w:rPr>
              <w:t xml:space="preserve"> </w:t>
            </w:r>
          </w:p>
        </w:tc>
        <w:tc>
          <w:tcPr>
            <w:tcW w:w="2169" w:type="pct"/>
            <w:shd w:val="clear" w:color="auto" w:fill="F2F2F2" w:themeFill="background1" w:themeFillShade="F2"/>
            <w:vAlign w:val="center"/>
          </w:tcPr>
          <w:p w14:paraId="1559D1CE" w14:textId="0F1C41AB" w:rsidR="00682934" w:rsidRPr="00736830" w:rsidRDefault="00FF1841" w:rsidP="00736830">
            <w:pPr>
              <w:pStyle w:val="Bullet1"/>
              <w:spacing w:after="120" w:line="240" w:lineRule="auto"/>
              <w:ind w:left="720" w:hanging="360"/>
              <w:rPr>
                <w:rStyle w:val="normaltextrun"/>
                <w:rFonts w:ascii="VIC" w:hAnsi="VIC"/>
                <w:sz w:val="20"/>
                <w:lang w:val="en-US"/>
              </w:rPr>
            </w:pPr>
            <w:r>
              <w:rPr>
                <w:rStyle w:val="normaltextrun"/>
                <w:rFonts w:ascii="VIC" w:hAnsi="VIC" w:cs="Arial"/>
                <w:position w:val="1"/>
                <w:sz w:val="20"/>
              </w:rPr>
              <w:t>Recitals have been updated to include a</w:t>
            </w:r>
            <w:r w:rsidR="00682934" w:rsidRPr="00682934">
              <w:rPr>
                <w:rStyle w:val="normaltextrun"/>
                <w:rFonts w:ascii="VIC" w:hAnsi="VIC" w:cs="Arial"/>
                <w:position w:val="1"/>
                <w:sz w:val="20"/>
              </w:rPr>
              <w:t>cknowledgement</w:t>
            </w:r>
            <w:r>
              <w:rPr>
                <w:rStyle w:val="normaltextrun"/>
                <w:rFonts w:ascii="VIC" w:hAnsi="VIC" w:cs="Arial"/>
                <w:position w:val="1"/>
                <w:sz w:val="20"/>
              </w:rPr>
              <w:t xml:space="preserve"> of</w:t>
            </w:r>
            <w:r w:rsidR="00682934" w:rsidRPr="00682934">
              <w:rPr>
                <w:rStyle w:val="normaltextrun"/>
                <w:rFonts w:ascii="VIC" w:hAnsi="VIC" w:cs="Arial"/>
                <w:position w:val="1"/>
                <w:sz w:val="20"/>
              </w:rPr>
              <w:t xml:space="preserve"> community expectations and needs with respect to Aboriginal self-determination.</w:t>
            </w:r>
          </w:p>
        </w:tc>
        <w:tc>
          <w:tcPr>
            <w:tcW w:w="1767" w:type="pct"/>
            <w:shd w:val="clear" w:color="auto" w:fill="F2F2F2" w:themeFill="background1" w:themeFillShade="F2"/>
            <w:vAlign w:val="center"/>
          </w:tcPr>
          <w:p w14:paraId="31D292CB" w14:textId="6EC76309" w:rsidR="00682934" w:rsidRPr="00736830" w:rsidRDefault="00682934" w:rsidP="006967F8">
            <w:pPr>
              <w:pStyle w:val="Tablebody"/>
              <w:rPr>
                <w:rStyle w:val="normaltextrun"/>
                <w:rFonts w:ascii="VIC" w:hAnsi="VIC" w:cs="Arial"/>
                <w:position w:val="-1"/>
                <w:sz w:val="20"/>
                <w:szCs w:val="20"/>
              </w:rPr>
            </w:pPr>
          </w:p>
        </w:tc>
      </w:tr>
      <w:tr w:rsidR="00736830" w:rsidRPr="00736830" w14:paraId="77095622" w14:textId="77777777" w:rsidTr="00FF1841">
        <w:tc>
          <w:tcPr>
            <w:tcW w:w="1064" w:type="pct"/>
            <w:shd w:val="clear" w:color="auto" w:fill="BFBFBF" w:themeFill="background1" w:themeFillShade="BF"/>
            <w:vAlign w:val="center"/>
          </w:tcPr>
          <w:p w14:paraId="656828BB" w14:textId="7FF5BD3A" w:rsidR="00736830" w:rsidRPr="00050BB3" w:rsidRDefault="00050BB3" w:rsidP="006967F8">
            <w:pPr>
              <w:pStyle w:val="Tablebody"/>
              <w:rPr>
                <w:rStyle w:val="normaltextrun"/>
                <w:rFonts w:ascii="VIC" w:hAnsi="VIC"/>
                <w:position w:val="-1"/>
                <w:sz w:val="20"/>
                <w:szCs w:val="20"/>
              </w:rPr>
            </w:pPr>
            <w:r w:rsidRPr="00050BB3">
              <w:rPr>
                <w:rStyle w:val="normaltextrun"/>
                <w:rFonts w:ascii="VIC" w:hAnsi="VIC"/>
                <w:position w:val="-1"/>
                <w:sz w:val="20"/>
                <w:szCs w:val="20"/>
              </w:rPr>
              <w:t>Social Services Regulato</w:t>
            </w:r>
            <w:r>
              <w:rPr>
                <w:rStyle w:val="normaltextrun"/>
                <w:rFonts w:ascii="VIC" w:hAnsi="VIC"/>
                <w:position w:val="-1"/>
                <w:sz w:val="20"/>
                <w:szCs w:val="20"/>
              </w:rPr>
              <w:t xml:space="preserve">r </w:t>
            </w:r>
          </w:p>
        </w:tc>
        <w:tc>
          <w:tcPr>
            <w:tcW w:w="2169" w:type="pct"/>
            <w:shd w:val="clear" w:color="auto" w:fill="F2F2F2" w:themeFill="background1" w:themeFillShade="F2"/>
            <w:vAlign w:val="center"/>
          </w:tcPr>
          <w:p w14:paraId="16ABCEED" w14:textId="11696930" w:rsidR="00050BB3" w:rsidRPr="00050BB3" w:rsidRDefault="00FF1841" w:rsidP="00050BB3">
            <w:pPr>
              <w:pStyle w:val="Bullet1"/>
              <w:spacing w:after="120" w:line="240" w:lineRule="auto"/>
              <w:ind w:left="720" w:hanging="360"/>
              <w:rPr>
                <w:rStyle w:val="normaltextrun"/>
                <w:rFonts w:ascii="VIC" w:hAnsi="VIC"/>
                <w:sz w:val="20"/>
                <w:szCs w:val="22"/>
              </w:rPr>
            </w:pPr>
            <w:r>
              <w:rPr>
                <w:rStyle w:val="normaltextrun"/>
                <w:rFonts w:ascii="VIC" w:hAnsi="VIC"/>
                <w:sz w:val="20"/>
                <w:lang w:val="en-US"/>
              </w:rPr>
              <w:t xml:space="preserve">Organisations are required to </w:t>
            </w:r>
            <w:r w:rsidR="00050BB3">
              <w:rPr>
                <w:rStyle w:val="normaltextrun"/>
                <w:rFonts w:ascii="VIC" w:hAnsi="VIC"/>
                <w:sz w:val="20"/>
                <w:lang w:val="en-US"/>
              </w:rPr>
              <w:t xml:space="preserve">suspend or cease service provision if the </w:t>
            </w:r>
            <w:r>
              <w:rPr>
                <w:rStyle w:val="normaltextrun"/>
                <w:rFonts w:ascii="VIC" w:hAnsi="VIC"/>
                <w:sz w:val="20"/>
                <w:szCs w:val="22"/>
              </w:rPr>
              <w:t xml:space="preserve">Social Services Regulator </w:t>
            </w:r>
            <w:r w:rsidR="00050BB3">
              <w:rPr>
                <w:rStyle w:val="normaltextrun"/>
                <w:rFonts w:ascii="VIC" w:hAnsi="VIC"/>
                <w:sz w:val="20"/>
                <w:lang w:val="en-US"/>
              </w:rPr>
              <w:t>suspends or cancels an organisation’s registration.</w:t>
            </w:r>
          </w:p>
          <w:p w14:paraId="67EF6F0A" w14:textId="13F50785" w:rsidR="00050BB3" w:rsidRPr="00050BB3" w:rsidRDefault="00FF1841" w:rsidP="00050BB3">
            <w:pPr>
              <w:pStyle w:val="Bullet1"/>
              <w:spacing w:after="120" w:line="240" w:lineRule="auto"/>
              <w:ind w:left="720" w:hanging="360"/>
              <w:rPr>
                <w:rFonts w:ascii="VIC" w:hAnsi="VIC"/>
                <w:sz w:val="20"/>
              </w:rPr>
            </w:pPr>
            <w:r>
              <w:rPr>
                <w:rFonts w:ascii="VIC" w:hAnsi="VIC"/>
                <w:sz w:val="20"/>
              </w:rPr>
              <w:t>Organisations c</w:t>
            </w:r>
            <w:r w:rsidR="00050BB3" w:rsidRPr="00050BB3">
              <w:rPr>
                <w:rFonts w:ascii="VIC" w:hAnsi="VIC"/>
                <w:sz w:val="20"/>
              </w:rPr>
              <w:t>onsent for the department to share information with the SSR about the organisation.</w:t>
            </w:r>
          </w:p>
        </w:tc>
        <w:tc>
          <w:tcPr>
            <w:tcW w:w="1767" w:type="pct"/>
            <w:shd w:val="clear" w:color="auto" w:fill="F2F2F2" w:themeFill="background1" w:themeFillShade="F2"/>
            <w:vAlign w:val="center"/>
          </w:tcPr>
          <w:p w14:paraId="722A61E9" w14:textId="74A03F61" w:rsidR="00FF1841" w:rsidRPr="00FF1841" w:rsidRDefault="00FF1841" w:rsidP="00FF1841">
            <w:pPr>
              <w:pStyle w:val="Bullet1"/>
              <w:numPr>
                <w:ilvl w:val="0"/>
                <w:numId w:val="0"/>
              </w:numPr>
              <w:spacing w:after="120" w:line="240" w:lineRule="auto"/>
              <w:rPr>
                <w:rStyle w:val="normaltextrun"/>
                <w:rFonts w:ascii="VIC" w:hAnsi="VIC"/>
                <w:sz w:val="20"/>
                <w:szCs w:val="22"/>
              </w:rPr>
            </w:pPr>
            <w:r>
              <w:rPr>
                <w:rStyle w:val="normaltextrun"/>
                <w:rFonts w:ascii="VIC" w:hAnsi="VIC"/>
                <w:sz w:val="20"/>
                <w:szCs w:val="22"/>
              </w:rPr>
              <w:t>The Social Services Regulator will commence on 1 July 2024.</w:t>
            </w:r>
          </w:p>
          <w:p w14:paraId="43D254BB" w14:textId="45830A61" w:rsidR="00736830" w:rsidRPr="00736830" w:rsidRDefault="00736830" w:rsidP="006967F8">
            <w:pPr>
              <w:pStyle w:val="Bullet1"/>
              <w:numPr>
                <w:ilvl w:val="0"/>
                <w:numId w:val="0"/>
              </w:numPr>
              <w:rPr>
                <w:rStyle w:val="normaltextrun"/>
                <w:rFonts w:ascii="VIC" w:hAnsi="VIC" w:cs="Arial"/>
                <w:position w:val="-1"/>
                <w:sz w:val="20"/>
              </w:rPr>
            </w:pPr>
          </w:p>
        </w:tc>
      </w:tr>
      <w:tr w:rsidR="00147B82" w:rsidRPr="00736830" w14:paraId="60241F76" w14:textId="77777777" w:rsidTr="00FF1841">
        <w:tc>
          <w:tcPr>
            <w:tcW w:w="1064" w:type="pct"/>
            <w:shd w:val="clear" w:color="auto" w:fill="BFBFBF" w:themeFill="background1" w:themeFillShade="BF"/>
            <w:vAlign w:val="center"/>
          </w:tcPr>
          <w:p w14:paraId="426517CB" w14:textId="5DF12D57" w:rsidR="00147B82" w:rsidRPr="00736830" w:rsidRDefault="00147B82" w:rsidP="006967F8">
            <w:pPr>
              <w:pStyle w:val="Tablebody"/>
              <w:rPr>
                <w:rStyle w:val="normaltextrun"/>
                <w:rFonts w:ascii="VIC" w:hAnsi="VIC"/>
                <w:position w:val="-1"/>
                <w:sz w:val="20"/>
                <w:szCs w:val="20"/>
              </w:rPr>
            </w:pPr>
            <w:r>
              <w:rPr>
                <w:rStyle w:val="normaltextrun"/>
                <w:rFonts w:ascii="VIC" w:hAnsi="VIC"/>
                <w:position w:val="-1"/>
                <w:sz w:val="20"/>
                <w:szCs w:val="20"/>
              </w:rPr>
              <w:t>F</w:t>
            </w:r>
            <w:r>
              <w:rPr>
                <w:rStyle w:val="normaltextrun"/>
                <w:position w:val="-1"/>
              </w:rPr>
              <w:t>unding</w:t>
            </w:r>
          </w:p>
        </w:tc>
        <w:tc>
          <w:tcPr>
            <w:tcW w:w="2169" w:type="pct"/>
            <w:shd w:val="clear" w:color="auto" w:fill="F2F2F2" w:themeFill="background1" w:themeFillShade="F2"/>
            <w:vAlign w:val="center"/>
          </w:tcPr>
          <w:p w14:paraId="3B4EA6E1" w14:textId="251C31EC" w:rsidR="00147B82" w:rsidRPr="00736830" w:rsidRDefault="00147B82" w:rsidP="00736830">
            <w:pPr>
              <w:pStyle w:val="Bullet1"/>
              <w:spacing w:after="120" w:line="240" w:lineRule="auto"/>
              <w:ind w:left="720" w:hanging="360"/>
              <w:rPr>
                <w:rStyle w:val="normaltextrun"/>
                <w:rFonts w:ascii="VIC" w:hAnsi="VIC" w:cs="Arial"/>
                <w:position w:val="-1"/>
                <w:sz w:val="20"/>
              </w:rPr>
            </w:pPr>
            <w:r>
              <w:rPr>
                <w:rStyle w:val="normaltextrun"/>
                <w:rFonts w:ascii="VIC" w:hAnsi="VIC" w:cs="Arial"/>
                <w:position w:val="-1"/>
                <w:sz w:val="20"/>
              </w:rPr>
              <w:t xml:space="preserve">The Service Agreement Requirements will </w:t>
            </w:r>
            <w:r w:rsidR="00380BD6">
              <w:rPr>
                <w:rStyle w:val="normaltextrun"/>
                <w:rFonts w:ascii="VIC" w:hAnsi="VIC" w:cs="Arial"/>
                <w:position w:val="-1"/>
                <w:sz w:val="20"/>
              </w:rPr>
              <w:t xml:space="preserve">be revised to </w:t>
            </w:r>
            <w:r>
              <w:rPr>
                <w:rStyle w:val="normaltextrun"/>
                <w:rFonts w:ascii="VIC" w:hAnsi="VIC" w:cs="Arial"/>
                <w:position w:val="-1"/>
                <w:sz w:val="20"/>
              </w:rPr>
              <w:t xml:space="preserve">reflect Victorian </w:t>
            </w:r>
            <w:r w:rsidR="002F32A3">
              <w:rPr>
                <w:rStyle w:val="normaltextrun"/>
                <w:rFonts w:ascii="VIC" w:hAnsi="VIC" w:cs="Arial"/>
                <w:position w:val="-1"/>
                <w:sz w:val="20"/>
              </w:rPr>
              <w:t>g</w:t>
            </w:r>
            <w:r>
              <w:rPr>
                <w:rStyle w:val="normaltextrun"/>
                <w:rFonts w:ascii="VIC" w:hAnsi="VIC" w:cs="Arial"/>
                <w:position w:val="-1"/>
                <w:sz w:val="20"/>
              </w:rPr>
              <w:t>overnment commitments to a floating indexation rate</w:t>
            </w:r>
            <w:r w:rsidR="00380BD6">
              <w:rPr>
                <w:rStyle w:val="normaltextrun"/>
                <w:rFonts w:ascii="VIC" w:hAnsi="VIC" w:cs="Arial"/>
                <w:position w:val="-1"/>
                <w:sz w:val="20"/>
              </w:rPr>
              <w:t xml:space="preserve"> for community services</w:t>
            </w:r>
            <w:r>
              <w:rPr>
                <w:rStyle w:val="normaltextrun"/>
                <w:rFonts w:ascii="VIC" w:hAnsi="VIC" w:cs="Arial"/>
                <w:position w:val="-1"/>
                <w:sz w:val="20"/>
              </w:rPr>
              <w:t>.</w:t>
            </w:r>
          </w:p>
        </w:tc>
        <w:tc>
          <w:tcPr>
            <w:tcW w:w="1767" w:type="pct"/>
            <w:shd w:val="clear" w:color="auto" w:fill="F2F2F2" w:themeFill="background1" w:themeFillShade="F2"/>
            <w:vAlign w:val="center"/>
          </w:tcPr>
          <w:p w14:paraId="5364E14D" w14:textId="7E8A036B" w:rsidR="00147B82" w:rsidRPr="00736830" w:rsidRDefault="00147B82" w:rsidP="006967F8">
            <w:pPr>
              <w:pStyle w:val="Tablebody"/>
              <w:rPr>
                <w:rStyle w:val="normaltextrun"/>
                <w:rFonts w:ascii="VIC" w:hAnsi="VIC" w:cs="Arial"/>
                <w:position w:val="-1"/>
                <w:sz w:val="20"/>
                <w:szCs w:val="20"/>
              </w:rPr>
            </w:pPr>
          </w:p>
        </w:tc>
      </w:tr>
      <w:tr w:rsidR="00736830" w:rsidRPr="00736830" w14:paraId="4B8A5030" w14:textId="77777777" w:rsidTr="00FF1841">
        <w:tc>
          <w:tcPr>
            <w:tcW w:w="1064" w:type="pct"/>
            <w:vMerge w:val="restart"/>
            <w:shd w:val="clear" w:color="auto" w:fill="BFBFBF" w:themeFill="background1" w:themeFillShade="BF"/>
            <w:vAlign w:val="center"/>
          </w:tcPr>
          <w:p w14:paraId="3C3A4C24" w14:textId="77777777" w:rsidR="00736830" w:rsidRPr="00736830" w:rsidRDefault="00736830" w:rsidP="006967F8">
            <w:pPr>
              <w:pStyle w:val="Tablebody"/>
              <w:rPr>
                <w:rStyle w:val="normaltextrun"/>
                <w:rFonts w:ascii="VIC" w:hAnsi="VIC"/>
                <w:position w:val="-1"/>
                <w:sz w:val="20"/>
                <w:szCs w:val="20"/>
              </w:rPr>
            </w:pPr>
            <w:r w:rsidRPr="00736830">
              <w:rPr>
                <w:rStyle w:val="normaltextrun"/>
                <w:rFonts w:ascii="VIC" w:hAnsi="VIC"/>
                <w:position w:val="-1"/>
                <w:sz w:val="20"/>
                <w:szCs w:val="20"/>
              </w:rPr>
              <w:t>Longer notice periods</w:t>
            </w:r>
            <w:r w:rsidRPr="00736830">
              <w:rPr>
                <w:rStyle w:val="normaltextrun"/>
                <w:rFonts w:ascii="Calibri" w:hAnsi="Calibri" w:cs="Calibri"/>
                <w:position w:val="-1"/>
                <w:sz w:val="20"/>
                <w:szCs w:val="20"/>
              </w:rPr>
              <w:t> </w:t>
            </w:r>
            <w:r w:rsidRPr="00736830">
              <w:rPr>
                <w:rStyle w:val="eop"/>
                <w:rFonts w:ascii="Cambria Math" w:eastAsiaTheme="majorEastAsia" w:hAnsi="Cambria Math" w:cs="Cambria Math"/>
                <w:sz w:val="20"/>
                <w:szCs w:val="20"/>
                <w:lang w:val="en-US"/>
              </w:rPr>
              <w:t>​</w:t>
            </w:r>
            <w:r w:rsidRPr="00736830">
              <w:rPr>
                <w:rStyle w:val="eop"/>
                <w:rFonts w:ascii="VIC" w:eastAsiaTheme="majorEastAsia" w:hAnsi="VIC" w:cs="Cambria Math"/>
                <w:sz w:val="20"/>
                <w:szCs w:val="20"/>
                <w:lang w:val="en-US"/>
              </w:rPr>
              <w:t>from department</w:t>
            </w:r>
          </w:p>
        </w:tc>
        <w:tc>
          <w:tcPr>
            <w:tcW w:w="2169" w:type="pct"/>
            <w:shd w:val="clear" w:color="auto" w:fill="F2F2F2" w:themeFill="background1" w:themeFillShade="F2"/>
            <w:vAlign w:val="center"/>
          </w:tcPr>
          <w:p w14:paraId="2387C93C" w14:textId="77777777" w:rsidR="00736830" w:rsidRPr="00736830" w:rsidRDefault="00736830" w:rsidP="00736830">
            <w:pPr>
              <w:pStyle w:val="Bullet1"/>
              <w:spacing w:after="120" w:line="240" w:lineRule="auto"/>
              <w:ind w:left="720" w:hanging="360"/>
              <w:rPr>
                <w:rStyle w:val="normaltextrun"/>
                <w:rFonts w:ascii="VIC" w:hAnsi="VIC"/>
                <w:sz w:val="20"/>
                <w:lang w:val="en-US"/>
              </w:rPr>
            </w:pPr>
            <w:r w:rsidRPr="00736830">
              <w:rPr>
                <w:rStyle w:val="normaltextrun"/>
                <w:rFonts w:ascii="VIC" w:hAnsi="VIC" w:cs="Arial"/>
                <w:position w:val="-1"/>
                <w:sz w:val="20"/>
              </w:rPr>
              <w:t xml:space="preserve">More time for organisations to implement changes </w:t>
            </w:r>
            <w:r w:rsidRPr="00736830">
              <w:rPr>
                <w:rStyle w:val="normaltextrun"/>
                <w:rFonts w:ascii="VIC" w:hAnsi="VIC" w:cs="Arial"/>
                <w:sz w:val="20"/>
              </w:rPr>
              <w:t>initiated</w:t>
            </w:r>
            <w:r w:rsidRPr="00736830">
              <w:rPr>
                <w:rStyle w:val="normaltextrun"/>
                <w:rFonts w:ascii="VIC" w:hAnsi="VIC" w:cs="Arial"/>
                <w:position w:val="-1"/>
                <w:sz w:val="20"/>
              </w:rPr>
              <w:t xml:space="preserve"> by the department to standards, policies, or activity descriptions. This has increased from 20 to 40 days.</w:t>
            </w:r>
          </w:p>
        </w:tc>
        <w:tc>
          <w:tcPr>
            <w:tcW w:w="1767" w:type="pct"/>
            <w:shd w:val="clear" w:color="auto" w:fill="F2F2F2" w:themeFill="background1" w:themeFillShade="F2"/>
            <w:vAlign w:val="center"/>
          </w:tcPr>
          <w:p w14:paraId="2B3FD991" w14:textId="3A2E2BD2" w:rsidR="00736830" w:rsidRPr="00736830" w:rsidRDefault="00736830" w:rsidP="006967F8">
            <w:pPr>
              <w:pStyle w:val="Tablebody"/>
              <w:rPr>
                <w:rStyle w:val="normaltextrun"/>
                <w:rFonts w:ascii="VIC" w:hAnsi="VIC" w:cs="Arial"/>
                <w:position w:val="-1"/>
                <w:sz w:val="20"/>
                <w:szCs w:val="20"/>
              </w:rPr>
            </w:pPr>
          </w:p>
        </w:tc>
      </w:tr>
      <w:tr w:rsidR="00736830" w:rsidRPr="00736830" w14:paraId="0EEC34BF" w14:textId="77777777" w:rsidTr="00FF1841">
        <w:tc>
          <w:tcPr>
            <w:tcW w:w="1064" w:type="pct"/>
            <w:vMerge/>
            <w:shd w:val="clear" w:color="auto" w:fill="BFBFBF" w:themeFill="background1" w:themeFillShade="BF"/>
            <w:vAlign w:val="center"/>
          </w:tcPr>
          <w:p w14:paraId="14332A57" w14:textId="77777777" w:rsidR="00736830" w:rsidRPr="00736830" w:rsidRDefault="00736830" w:rsidP="006967F8">
            <w:pPr>
              <w:pStyle w:val="Tablebody"/>
              <w:rPr>
                <w:rStyle w:val="normaltextrun"/>
                <w:rFonts w:ascii="VIC" w:hAnsi="VIC"/>
                <w:position w:val="-1"/>
                <w:sz w:val="20"/>
                <w:szCs w:val="20"/>
              </w:rPr>
            </w:pPr>
          </w:p>
        </w:tc>
        <w:tc>
          <w:tcPr>
            <w:tcW w:w="2169" w:type="pct"/>
            <w:shd w:val="clear" w:color="auto" w:fill="F2F2F2" w:themeFill="background1" w:themeFillShade="F2"/>
            <w:vAlign w:val="center"/>
          </w:tcPr>
          <w:p w14:paraId="09EC0A79" w14:textId="77777777" w:rsidR="00736830" w:rsidRPr="00736830" w:rsidRDefault="00736830" w:rsidP="00736830">
            <w:pPr>
              <w:pStyle w:val="Bullet1"/>
              <w:spacing w:after="120" w:line="240" w:lineRule="auto"/>
              <w:ind w:left="720" w:hanging="360"/>
              <w:rPr>
                <w:rStyle w:val="normaltextrun"/>
                <w:rFonts w:ascii="VIC" w:hAnsi="VIC"/>
                <w:sz w:val="20"/>
                <w:lang w:val="en-US"/>
              </w:rPr>
            </w:pPr>
            <w:r w:rsidRPr="00736830">
              <w:rPr>
                <w:rFonts w:ascii="VIC" w:hAnsi="VIC"/>
                <w:sz w:val="20"/>
              </w:rPr>
              <w:t>Longer notice period for department to advise of cessation of services. It has increased from 3 to 4 months. This applies when the department does not receive sufficient funds from the Victorian Government or there is a change in Victorian Government policy.</w:t>
            </w:r>
          </w:p>
        </w:tc>
        <w:tc>
          <w:tcPr>
            <w:tcW w:w="1767" w:type="pct"/>
            <w:shd w:val="clear" w:color="auto" w:fill="F2F2F2" w:themeFill="background1" w:themeFillShade="F2"/>
            <w:vAlign w:val="center"/>
          </w:tcPr>
          <w:p w14:paraId="3F5A86A5" w14:textId="1853DB1A" w:rsidR="00736830" w:rsidRPr="00736830" w:rsidRDefault="00736830" w:rsidP="006967F8">
            <w:pPr>
              <w:pStyle w:val="Tablebody"/>
              <w:rPr>
                <w:rStyle w:val="normaltextrun"/>
                <w:rFonts w:ascii="VIC" w:hAnsi="VIC" w:cs="Arial"/>
                <w:position w:val="-1"/>
                <w:sz w:val="20"/>
                <w:szCs w:val="20"/>
              </w:rPr>
            </w:pPr>
          </w:p>
        </w:tc>
      </w:tr>
      <w:tr w:rsidR="00736830" w:rsidRPr="00736830" w14:paraId="240EA073" w14:textId="77777777" w:rsidTr="00FF1841">
        <w:tc>
          <w:tcPr>
            <w:tcW w:w="1064" w:type="pct"/>
            <w:shd w:val="clear" w:color="auto" w:fill="BFBFBF" w:themeFill="background1" w:themeFillShade="BF"/>
            <w:vAlign w:val="center"/>
          </w:tcPr>
          <w:p w14:paraId="16B03DD5" w14:textId="77777777" w:rsidR="00736830" w:rsidRPr="00736830" w:rsidRDefault="00736830" w:rsidP="006967F8">
            <w:pPr>
              <w:pStyle w:val="Tablebody"/>
              <w:rPr>
                <w:rStyle w:val="normaltextrun"/>
                <w:rFonts w:ascii="VIC" w:hAnsi="VIC"/>
                <w:position w:val="-1"/>
                <w:sz w:val="20"/>
                <w:szCs w:val="20"/>
              </w:rPr>
            </w:pPr>
            <w:r w:rsidRPr="00736830">
              <w:rPr>
                <w:rStyle w:val="normaltextrun"/>
                <w:rFonts w:ascii="VIC" w:hAnsi="VIC"/>
                <w:position w:val="-1"/>
                <w:sz w:val="20"/>
                <w:szCs w:val="20"/>
              </w:rPr>
              <w:lastRenderedPageBreak/>
              <w:t>Fraud and corruption</w:t>
            </w:r>
            <w:r w:rsidRPr="00736830">
              <w:rPr>
                <w:rStyle w:val="eop"/>
                <w:rFonts w:ascii="Cambria Math" w:eastAsiaTheme="majorEastAsia" w:hAnsi="Cambria Math" w:cs="Cambria Math"/>
                <w:sz w:val="20"/>
                <w:szCs w:val="20"/>
                <w:lang w:val="en-US"/>
              </w:rPr>
              <w:t>​</w:t>
            </w:r>
          </w:p>
        </w:tc>
        <w:tc>
          <w:tcPr>
            <w:tcW w:w="2169" w:type="pct"/>
            <w:shd w:val="clear" w:color="auto" w:fill="F2F2F2" w:themeFill="background1" w:themeFillShade="F2"/>
            <w:vAlign w:val="center"/>
          </w:tcPr>
          <w:p w14:paraId="0240E1EF" w14:textId="752B2C5A" w:rsidR="00736830" w:rsidRPr="00736830" w:rsidRDefault="00736830" w:rsidP="00736830">
            <w:pPr>
              <w:pStyle w:val="Bullet1"/>
              <w:spacing w:after="120" w:line="240" w:lineRule="auto"/>
              <w:ind w:left="720" w:hanging="360"/>
              <w:rPr>
                <w:rFonts w:ascii="VIC" w:hAnsi="VIC"/>
                <w:sz w:val="20"/>
              </w:rPr>
            </w:pPr>
            <w:r w:rsidRPr="00736830">
              <w:rPr>
                <w:rFonts w:ascii="VIC" w:hAnsi="VIC"/>
                <w:sz w:val="20"/>
              </w:rPr>
              <w:t xml:space="preserve">Requirement for background checks for new members of an organisation’s governance structure. </w:t>
            </w:r>
          </w:p>
          <w:p w14:paraId="0E28413A" w14:textId="77777777" w:rsidR="00736830" w:rsidRPr="00736830" w:rsidRDefault="00736830" w:rsidP="00736830">
            <w:pPr>
              <w:pStyle w:val="Bullet1"/>
              <w:spacing w:after="120" w:line="240" w:lineRule="auto"/>
              <w:ind w:left="720" w:hanging="360"/>
              <w:rPr>
                <w:rFonts w:ascii="VIC" w:hAnsi="VIC"/>
                <w:sz w:val="20"/>
              </w:rPr>
            </w:pPr>
            <w:r w:rsidRPr="00736830">
              <w:rPr>
                <w:rFonts w:ascii="VIC" w:hAnsi="VIC"/>
                <w:sz w:val="20"/>
              </w:rPr>
              <w:t>Requirement to notify the department and law enforcement if an organisation becomes aware of fraud and/or corruption.</w:t>
            </w:r>
          </w:p>
          <w:p w14:paraId="395B18C7" w14:textId="77777777" w:rsidR="00736830" w:rsidRPr="00736830" w:rsidRDefault="00736830" w:rsidP="00736830">
            <w:pPr>
              <w:pStyle w:val="Bullet1"/>
              <w:spacing w:after="120" w:line="240" w:lineRule="auto"/>
              <w:ind w:left="720" w:hanging="360"/>
              <w:rPr>
                <w:rFonts w:ascii="VIC" w:hAnsi="VIC"/>
              </w:rPr>
            </w:pPr>
            <w:r w:rsidRPr="00736830">
              <w:rPr>
                <w:rFonts w:ascii="VIC" w:hAnsi="VIC"/>
                <w:sz w:val="20"/>
              </w:rPr>
              <w:t>Overview of the department’s and IBAC’s authority to investigate and share information about fraud and/or corruption.</w:t>
            </w:r>
          </w:p>
          <w:p w14:paraId="76D25871" w14:textId="77777777" w:rsidR="00736830" w:rsidRPr="00736830" w:rsidRDefault="00736830" w:rsidP="00736830">
            <w:pPr>
              <w:pStyle w:val="Bullet1"/>
              <w:spacing w:after="120" w:line="240" w:lineRule="auto"/>
              <w:ind w:left="720" w:hanging="360"/>
              <w:rPr>
                <w:rFonts w:ascii="VIC" w:hAnsi="VIC"/>
                <w:sz w:val="20"/>
                <w:szCs w:val="22"/>
              </w:rPr>
            </w:pPr>
            <w:r w:rsidRPr="00736830">
              <w:rPr>
                <w:rFonts w:ascii="VIC" w:hAnsi="VIC"/>
                <w:sz w:val="20"/>
              </w:rPr>
              <w:t>Grounds for termination of the service agreement have been expanded to include systemic or significant fraud.</w:t>
            </w:r>
          </w:p>
        </w:tc>
        <w:tc>
          <w:tcPr>
            <w:tcW w:w="1767" w:type="pct"/>
            <w:shd w:val="clear" w:color="auto" w:fill="F2F2F2" w:themeFill="background1" w:themeFillShade="F2"/>
            <w:vAlign w:val="center"/>
          </w:tcPr>
          <w:p w14:paraId="55632BAA" w14:textId="1451692A" w:rsidR="00147B82" w:rsidRDefault="00147B82" w:rsidP="00FF1841">
            <w:pPr>
              <w:pStyle w:val="Body"/>
              <w:rPr>
                <w:rFonts w:ascii="VIC" w:hAnsi="VIC"/>
                <w:sz w:val="20"/>
              </w:rPr>
            </w:pPr>
            <w:r>
              <w:rPr>
                <w:rFonts w:ascii="VIC" w:hAnsi="VIC"/>
                <w:sz w:val="20"/>
              </w:rPr>
              <w:t xml:space="preserve">Organisations are not required to undertake </w:t>
            </w:r>
            <w:r w:rsidR="00D934BF">
              <w:rPr>
                <w:rFonts w:ascii="VIC" w:hAnsi="VIC"/>
                <w:sz w:val="20"/>
              </w:rPr>
              <w:t xml:space="preserve">additional or new </w:t>
            </w:r>
            <w:r w:rsidR="00991953">
              <w:rPr>
                <w:rFonts w:ascii="VIC" w:hAnsi="VIC"/>
                <w:sz w:val="20"/>
              </w:rPr>
              <w:t xml:space="preserve">background </w:t>
            </w:r>
            <w:r>
              <w:rPr>
                <w:rFonts w:ascii="VIC" w:hAnsi="VIC"/>
                <w:sz w:val="20"/>
              </w:rPr>
              <w:t xml:space="preserve">checks at this time. </w:t>
            </w:r>
          </w:p>
          <w:p w14:paraId="51EB24F7" w14:textId="123C3C77" w:rsidR="00FF1841" w:rsidRDefault="00FF1841" w:rsidP="00FF1841">
            <w:pPr>
              <w:pStyle w:val="Body"/>
              <w:rPr>
                <w:rFonts w:ascii="VIC" w:hAnsi="VIC"/>
                <w:sz w:val="20"/>
              </w:rPr>
            </w:pPr>
            <w:r>
              <w:rPr>
                <w:rFonts w:ascii="VIC" w:hAnsi="VIC"/>
                <w:sz w:val="20"/>
              </w:rPr>
              <w:t>The department will develop</w:t>
            </w:r>
            <w:r w:rsidR="00991953">
              <w:rPr>
                <w:rFonts w:ascii="VIC" w:hAnsi="VIC"/>
                <w:sz w:val="20"/>
              </w:rPr>
              <w:t xml:space="preserve"> a</w:t>
            </w:r>
            <w:r>
              <w:rPr>
                <w:rFonts w:ascii="VIC" w:hAnsi="VIC"/>
                <w:sz w:val="20"/>
              </w:rPr>
              <w:t xml:space="preserve"> </w:t>
            </w:r>
            <w:r w:rsidR="00147B82">
              <w:rPr>
                <w:rFonts w:ascii="VIC" w:hAnsi="VIC"/>
                <w:sz w:val="20"/>
              </w:rPr>
              <w:t>policy for</w:t>
            </w:r>
            <w:r>
              <w:rPr>
                <w:rFonts w:ascii="VIC" w:hAnsi="VIC"/>
                <w:sz w:val="20"/>
              </w:rPr>
              <w:t xml:space="preserve"> the requirements for</w:t>
            </w:r>
            <w:r w:rsidR="00D934BF">
              <w:rPr>
                <w:rFonts w:ascii="VIC" w:hAnsi="VIC"/>
                <w:sz w:val="20"/>
              </w:rPr>
              <w:t xml:space="preserve"> these</w:t>
            </w:r>
            <w:r>
              <w:rPr>
                <w:rFonts w:ascii="VIC" w:hAnsi="VIC"/>
                <w:sz w:val="20"/>
              </w:rPr>
              <w:t xml:space="preserve"> background checks during the term of the Service Agreement, in consultation with funded organisations.</w:t>
            </w:r>
            <w:r w:rsidR="00147B82">
              <w:rPr>
                <w:rFonts w:ascii="VIC" w:hAnsi="VIC"/>
                <w:sz w:val="20"/>
              </w:rPr>
              <w:t xml:space="preserve"> </w:t>
            </w:r>
          </w:p>
          <w:p w14:paraId="2167BEC7" w14:textId="7B2E0ACC" w:rsidR="00736830" w:rsidRPr="00736830" w:rsidRDefault="00736830" w:rsidP="00FF1841">
            <w:pPr>
              <w:pStyle w:val="Bullet1"/>
              <w:numPr>
                <w:ilvl w:val="0"/>
                <w:numId w:val="0"/>
              </w:numPr>
              <w:rPr>
                <w:rStyle w:val="normaltextrun"/>
                <w:rFonts w:ascii="VIC" w:hAnsi="VIC" w:cs="Arial"/>
                <w:position w:val="-1"/>
                <w:sz w:val="20"/>
              </w:rPr>
            </w:pPr>
          </w:p>
        </w:tc>
      </w:tr>
      <w:tr w:rsidR="00736830" w:rsidRPr="00736830" w14:paraId="62F8DF5F" w14:textId="77777777" w:rsidTr="00FF1841">
        <w:tc>
          <w:tcPr>
            <w:tcW w:w="1064" w:type="pct"/>
            <w:shd w:val="clear" w:color="auto" w:fill="BFBFBF" w:themeFill="background1" w:themeFillShade="BF"/>
            <w:vAlign w:val="center"/>
          </w:tcPr>
          <w:p w14:paraId="602E328B" w14:textId="77777777" w:rsidR="00736830" w:rsidRPr="00736830" w:rsidRDefault="00736830" w:rsidP="006967F8">
            <w:pPr>
              <w:pStyle w:val="Tablebody"/>
              <w:rPr>
                <w:rStyle w:val="normaltextrun"/>
                <w:rFonts w:ascii="VIC" w:hAnsi="VIC"/>
                <w:position w:val="-1"/>
                <w:sz w:val="20"/>
                <w:szCs w:val="20"/>
              </w:rPr>
            </w:pPr>
            <w:r w:rsidRPr="00736830">
              <w:rPr>
                <w:rStyle w:val="normaltextrun"/>
                <w:rFonts w:ascii="VIC" w:hAnsi="VIC" w:cs="Arial"/>
                <w:position w:val="1"/>
                <w:sz w:val="20"/>
                <w:szCs w:val="20"/>
                <w:lang w:val="en-US"/>
              </w:rPr>
              <w:t>Asset</w:t>
            </w:r>
            <w:r w:rsidRPr="00736830">
              <w:rPr>
                <w:rStyle w:val="eop"/>
                <w:rFonts w:ascii="Cambria Math" w:hAnsi="Cambria Math" w:cs="Cambria Math"/>
                <w:sz w:val="20"/>
                <w:szCs w:val="20"/>
                <w:lang w:val="en-US"/>
              </w:rPr>
              <w:t>​</w:t>
            </w:r>
            <w:r w:rsidRPr="00736830">
              <w:rPr>
                <w:rStyle w:val="eop"/>
                <w:rFonts w:ascii="VIC" w:hAnsi="VIC" w:cs="Cambria Math"/>
                <w:sz w:val="20"/>
                <w:szCs w:val="20"/>
                <w:lang w:val="en-US"/>
              </w:rPr>
              <w:t xml:space="preserve"> disposal</w:t>
            </w:r>
          </w:p>
        </w:tc>
        <w:tc>
          <w:tcPr>
            <w:tcW w:w="2169" w:type="pct"/>
            <w:shd w:val="clear" w:color="auto" w:fill="F2F2F2" w:themeFill="background1" w:themeFillShade="F2"/>
            <w:vAlign w:val="center"/>
          </w:tcPr>
          <w:p w14:paraId="6755E55F" w14:textId="77777777" w:rsidR="00736830" w:rsidRPr="00736830" w:rsidRDefault="00736830" w:rsidP="00736830">
            <w:pPr>
              <w:pStyle w:val="Bullet1"/>
              <w:spacing w:after="120" w:line="240" w:lineRule="auto"/>
              <w:ind w:left="720" w:hanging="360"/>
              <w:rPr>
                <w:rFonts w:ascii="VIC" w:hAnsi="VIC"/>
                <w:sz w:val="20"/>
                <w:szCs w:val="22"/>
              </w:rPr>
            </w:pPr>
            <w:r w:rsidRPr="00736830">
              <w:rPr>
                <w:rStyle w:val="normaltextrun"/>
                <w:rFonts w:ascii="VIC" w:hAnsi="VIC" w:cs="Arial"/>
                <w:position w:val="1"/>
                <w:sz w:val="20"/>
              </w:rPr>
              <w:t>Department consent required to dispose of funded assets has increased from $5,000 to $10,000.</w:t>
            </w:r>
          </w:p>
        </w:tc>
        <w:tc>
          <w:tcPr>
            <w:tcW w:w="1767" w:type="pct"/>
            <w:shd w:val="clear" w:color="auto" w:fill="F2F2F2" w:themeFill="background1" w:themeFillShade="F2"/>
            <w:vAlign w:val="center"/>
          </w:tcPr>
          <w:p w14:paraId="654D5669" w14:textId="10675AAC" w:rsidR="00736830" w:rsidRPr="00736830" w:rsidRDefault="00736830" w:rsidP="006967F8">
            <w:pPr>
              <w:pStyle w:val="Bullet1"/>
              <w:numPr>
                <w:ilvl w:val="0"/>
                <w:numId w:val="0"/>
              </w:numPr>
              <w:rPr>
                <w:rStyle w:val="normaltextrun"/>
                <w:rFonts w:ascii="VIC" w:hAnsi="VIC" w:cs="Arial"/>
                <w:position w:val="-1"/>
                <w:sz w:val="20"/>
              </w:rPr>
            </w:pPr>
          </w:p>
        </w:tc>
      </w:tr>
      <w:tr w:rsidR="00736830" w:rsidRPr="00736830" w14:paraId="17C3AEFD" w14:textId="77777777" w:rsidTr="00FF1841">
        <w:tc>
          <w:tcPr>
            <w:tcW w:w="1064" w:type="pct"/>
            <w:shd w:val="clear" w:color="auto" w:fill="BFBFBF" w:themeFill="background1" w:themeFillShade="BF"/>
            <w:vAlign w:val="center"/>
          </w:tcPr>
          <w:p w14:paraId="009E2891" w14:textId="77777777" w:rsidR="00736830" w:rsidRPr="00736830" w:rsidRDefault="00736830" w:rsidP="006967F8">
            <w:pPr>
              <w:pStyle w:val="Tablebody"/>
              <w:rPr>
                <w:rStyle w:val="normaltextrun"/>
                <w:rFonts w:ascii="VIC" w:hAnsi="VIC"/>
                <w:position w:val="-1"/>
                <w:sz w:val="20"/>
                <w:szCs w:val="20"/>
              </w:rPr>
            </w:pPr>
            <w:r w:rsidRPr="00736830">
              <w:rPr>
                <w:rStyle w:val="normaltextrun"/>
                <w:rFonts w:ascii="VIC" w:hAnsi="VIC"/>
                <w:position w:val="-1"/>
                <w:sz w:val="20"/>
                <w:szCs w:val="20"/>
              </w:rPr>
              <w:t>Audit and Performance Review</w:t>
            </w:r>
          </w:p>
        </w:tc>
        <w:tc>
          <w:tcPr>
            <w:tcW w:w="2169" w:type="pct"/>
            <w:shd w:val="clear" w:color="auto" w:fill="F2F2F2" w:themeFill="background1" w:themeFillShade="F2"/>
            <w:vAlign w:val="center"/>
          </w:tcPr>
          <w:p w14:paraId="243B1CBD" w14:textId="77777777" w:rsidR="00F3520F" w:rsidRPr="00F3520F" w:rsidRDefault="00736830" w:rsidP="00F3520F">
            <w:pPr>
              <w:pStyle w:val="Bullet1"/>
              <w:spacing w:after="120" w:line="240" w:lineRule="auto"/>
              <w:ind w:left="720" w:hanging="360"/>
              <w:rPr>
                <w:rFonts w:ascii="VIC" w:hAnsi="VIC"/>
                <w:sz w:val="20"/>
              </w:rPr>
            </w:pPr>
            <w:r w:rsidRPr="00F3520F">
              <w:rPr>
                <w:rFonts w:ascii="VIC" w:hAnsi="VIC"/>
                <w:sz w:val="20"/>
              </w:rPr>
              <w:t xml:space="preserve">Grounds for a performance review or audit have been expanded. </w:t>
            </w:r>
          </w:p>
          <w:p w14:paraId="4E86E91D" w14:textId="4374FCE5" w:rsidR="00736830" w:rsidRPr="00F3520F" w:rsidRDefault="00736830" w:rsidP="00F3520F">
            <w:pPr>
              <w:pStyle w:val="Bullet1"/>
              <w:spacing w:after="120" w:line="240" w:lineRule="auto"/>
              <w:ind w:left="720" w:hanging="360"/>
              <w:rPr>
                <w:rFonts w:ascii="VIC" w:hAnsi="VIC"/>
                <w:sz w:val="20"/>
              </w:rPr>
            </w:pPr>
            <w:r w:rsidRPr="00F3520F">
              <w:rPr>
                <w:rFonts w:ascii="VIC" w:hAnsi="VIC"/>
                <w:sz w:val="20"/>
              </w:rPr>
              <w:t xml:space="preserve">These now include where there are reasonable concerns about the organisation’s ability to comply with the service agreement </w:t>
            </w:r>
            <w:r w:rsidR="00F3520F" w:rsidRPr="00F3520F">
              <w:rPr>
                <w:rFonts w:ascii="VIC" w:hAnsi="VIC"/>
                <w:sz w:val="20"/>
              </w:rPr>
              <w:t>including as a result of a reasonable concern</w:t>
            </w:r>
            <w:r w:rsidR="00F3520F">
              <w:rPr>
                <w:rFonts w:ascii="VIC" w:hAnsi="VIC"/>
                <w:sz w:val="20"/>
              </w:rPr>
              <w:t xml:space="preserve"> </w:t>
            </w:r>
            <w:r w:rsidR="00F3520F" w:rsidRPr="00F3520F">
              <w:rPr>
                <w:rFonts w:ascii="VIC" w:hAnsi="VIC"/>
                <w:sz w:val="20"/>
              </w:rPr>
              <w:t>about the Organisation's governance</w:t>
            </w:r>
            <w:r w:rsidR="00F3520F">
              <w:rPr>
                <w:rFonts w:ascii="VIC" w:hAnsi="VIC"/>
                <w:sz w:val="20"/>
              </w:rPr>
              <w:t>.</w:t>
            </w:r>
          </w:p>
        </w:tc>
        <w:tc>
          <w:tcPr>
            <w:tcW w:w="1767" w:type="pct"/>
            <w:shd w:val="clear" w:color="auto" w:fill="F2F2F2" w:themeFill="background1" w:themeFillShade="F2"/>
            <w:vAlign w:val="center"/>
          </w:tcPr>
          <w:p w14:paraId="28A9DE58" w14:textId="60F92491" w:rsidR="00736830" w:rsidRPr="00736830" w:rsidRDefault="00736830" w:rsidP="006967F8">
            <w:pPr>
              <w:pStyle w:val="Bullet1"/>
              <w:numPr>
                <w:ilvl w:val="0"/>
                <w:numId w:val="0"/>
              </w:numPr>
              <w:rPr>
                <w:rStyle w:val="normaltextrun"/>
                <w:rFonts w:ascii="VIC" w:hAnsi="VIC" w:cs="Arial"/>
                <w:position w:val="-1"/>
                <w:sz w:val="20"/>
              </w:rPr>
            </w:pPr>
          </w:p>
        </w:tc>
      </w:tr>
      <w:tr w:rsidR="00736830" w:rsidRPr="00736830" w14:paraId="270CF55A" w14:textId="77777777" w:rsidTr="00FF1841">
        <w:tc>
          <w:tcPr>
            <w:tcW w:w="1064" w:type="pct"/>
            <w:shd w:val="clear" w:color="auto" w:fill="BFBFBF" w:themeFill="background1" w:themeFillShade="BF"/>
            <w:vAlign w:val="center"/>
            <w:hideMark/>
          </w:tcPr>
          <w:p w14:paraId="491CCB4B" w14:textId="77777777" w:rsidR="00736830" w:rsidRPr="00736830" w:rsidRDefault="00736830" w:rsidP="006967F8">
            <w:pPr>
              <w:pStyle w:val="Tablebody"/>
              <w:rPr>
                <w:rFonts w:ascii="VIC" w:hAnsi="VIC"/>
                <w:sz w:val="20"/>
                <w:szCs w:val="20"/>
                <w:lang w:val="en-US"/>
              </w:rPr>
            </w:pPr>
            <w:r w:rsidRPr="00736830">
              <w:rPr>
                <w:rStyle w:val="normaltextrun"/>
                <w:rFonts w:ascii="VIC" w:hAnsi="VIC"/>
                <w:position w:val="-1"/>
                <w:sz w:val="20"/>
                <w:szCs w:val="20"/>
              </w:rPr>
              <w:t>Aboriginal self-determination</w:t>
            </w:r>
            <w:r w:rsidRPr="00736830">
              <w:rPr>
                <w:rStyle w:val="eop"/>
                <w:rFonts w:ascii="Cambria Math" w:eastAsiaTheme="majorEastAsia" w:hAnsi="Cambria Math" w:cs="Cambria Math"/>
                <w:sz w:val="20"/>
                <w:szCs w:val="20"/>
                <w:lang w:val="en-US"/>
              </w:rPr>
              <w:t>​</w:t>
            </w:r>
            <w:r w:rsidRPr="00736830">
              <w:rPr>
                <w:rStyle w:val="eop"/>
                <w:rFonts w:ascii="VIC" w:eastAsiaTheme="majorEastAsia" w:hAnsi="VIC" w:cs="Cambria Math"/>
                <w:sz w:val="20"/>
                <w:szCs w:val="20"/>
                <w:lang w:val="en-US"/>
              </w:rPr>
              <w:t xml:space="preserve"> and Indigenous Cultural Intellectual Property</w:t>
            </w:r>
          </w:p>
        </w:tc>
        <w:tc>
          <w:tcPr>
            <w:tcW w:w="2169" w:type="pct"/>
            <w:shd w:val="clear" w:color="auto" w:fill="F2F2F2" w:themeFill="background1" w:themeFillShade="F2"/>
            <w:vAlign w:val="center"/>
            <w:hideMark/>
          </w:tcPr>
          <w:p w14:paraId="25AEF06A" w14:textId="07FC3714" w:rsidR="00736830" w:rsidRPr="00736830" w:rsidRDefault="00FF1841" w:rsidP="00736830">
            <w:pPr>
              <w:pStyle w:val="Bullet1"/>
              <w:spacing w:after="120" w:line="240" w:lineRule="auto"/>
              <w:ind w:left="720" w:hanging="360"/>
              <w:rPr>
                <w:rFonts w:ascii="VIC" w:hAnsi="VIC"/>
                <w:sz w:val="20"/>
              </w:rPr>
            </w:pPr>
            <w:r>
              <w:rPr>
                <w:rFonts w:ascii="VIC" w:hAnsi="VIC"/>
                <w:sz w:val="20"/>
              </w:rPr>
              <w:t>N</w:t>
            </w:r>
            <w:r w:rsidR="00736830" w:rsidRPr="00736830">
              <w:rPr>
                <w:rFonts w:ascii="VIC" w:hAnsi="VIC"/>
                <w:sz w:val="20"/>
              </w:rPr>
              <w:t>ew definition of “Indigenous Cultural Intellectual Property” (ICIP).</w:t>
            </w:r>
          </w:p>
          <w:p w14:paraId="4349DEB6" w14:textId="62A4DCD7" w:rsidR="00736830" w:rsidRPr="00736830" w:rsidRDefault="00736830" w:rsidP="00736830">
            <w:pPr>
              <w:pStyle w:val="Bullet1"/>
              <w:spacing w:after="120" w:line="240" w:lineRule="auto"/>
              <w:ind w:left="720" w:hanging="360"/>
              <w:rPr>
                <w:rFonts w:ascii="VIC" w:hAnsi="VIC"/>
                <w:sz w:val="20"/>
              </w:rPr>
            </w:pPr>
            <w:r w:rsidRPr="00736830">
              <w:rPr>
                <w:rFonts w:ascii="VIC" w:hAnsi="VIC"/>
                <w:sz w:val="20"/>
              </w:rPr>
              <w:t>A statement clarifying that the department will not own ICIP</w:t>
            </w:r>
            <w:r w:rsidR="00B655CA">
              <w:rPr>
                <w:rFonts w:ascii="VIC" w:hAnsi="VIC"/>
                <w:sz w:val="20"/>
              </w:rPr>
              <w:t>.</w:t>
            </w:r>
          </w:p>
        </w:tc>
        <w:tc>
          <w:tcPr>
            <w:tcW w:w="1767" w:type="pct"/>
            <w:shd w:val="clear" w:color="auto" w:fill="F2F2F2" w:themeFill="background1" w:themeFillShade="F2"/>
            <w:vAlign w:val="center"/>
          </w:tcPr>
          <w:p w14:paraId="085E5C70" w14:textId="270676F4" w:rsidR="00736830" w:rsidRPr="00736830" w:rsidRDefault="00FF1841" w:rsidP="006967F8">
            <w:pPr>
              <w:pStyle w:val="Bullet1"/>
              <w:numPr>
                <w:ilvl w:val="0"/>
                <w:numId w:val="0"/>
              </w:numPr>
              <w:rPr>
                <w:rFonts w:ascii="VIC" w:hAnsi="VIC"/>
                <w:sz w:val="20"/>
              </w:rPr>
            </w:pPr>
            <w:r>
              <w:rPr>
                <w:rFonts w:ascii="VIC" w:hAnsi="VIC"/>
                <w:sz w:val="20"/>
              </w:rPr>
              <w:t xml:space="preserve">The department will closely monitor whole </w:t>
            </w:r>
            <w:r w:rsidR="00B655CA">
              <w:rPr>
                <w:rFonts w:ascii="VIC" w:hAnsi="VIC"/>
                <w:sz w:val="20"/>
              </w:rPr>
              <w:t>of government policy on Intellectual Property and ICIP and develop new policies or amend existing policies to align with any changes to whole of government policy during the term of the Service Agreement.</w:t>
            </w:r>
          </w:p>
        </w:tc>
      </w:tr>
      <w:tr w:rsidR="00736830" w:rsidRPr="00736830" w14:paraId="0BEC4977" w14:textId="77777777" w:rsidTr="00FF1841">
        <w:tc>
          <w:tcPr>
            <w:tcW w:w="1064" w:type="pct"/>
            <w:shd w:val="clear" w:color="auto" w:fill="BFBFBF" w:themeFill="background1" w:themeFillShade="BF"/>
            <w:vAlign w:val="center"/>
          </w:tcPr>
          <w:p w14:paraId="47DB4A0B" w14:textId="77777777" w:rsidR="00736830" w:rsidRPr="00736830" w:rsidRDefault="00736830" w:rsidP="006967F8">
            <w:pPr>
              <w:pStyle w:val="Tablebody"/>
              <w:rPr>
                <w:rStyle w:val="normaltextrun"/>
                <w:rFonts w:ascii="VIC" w:hAnsi="VIC"/>
                <w:position w:val="-1"/>
                <w:sz w:val="20"/>
                <w:szCs w:val="20"/>
              </w:rPr>
            </w:pPr>
            <w:r w:rsidRPr="00736830">
              <w:rPr>
                <w:rStyle w:val="normaltextrun"/>
                <w:rFonts w:ascii="VIC" w:hAnsi="VIC"/>
                <w:position w:val="-1"/>
                <w:sz w:val="20"/>
                <w:szCs w:val="20"/>
              </w:rPr>
              <w:t>Organisation primary contact</w:t>
            </w:r>
          </w:p>
        </w:tc>
        <w:tc>
          <w:tcPr>
            <w:tcW w:w="2169" w:type="pct"/>
            <w:shd w:val="clear" w:color="auto" w:fill="F2F2F2" w:themeFill="background1" w:themeFillShade="F2"/>
            <w:vAlign w:val="center"/>
          </w:tcPr>
          <w:p w14:paraId="42B4697A" w14:textId="77777777" w:rsidR="00736830" w:rsidRPr="00736830" w:rsidRDefault="00736830" w:rsidP="00736830">
            <w:pPr>
              <w:pStyle w:val="Bullet1"/>
              <w:spacing w:after="120" w:line="240" w:lineRule="auto"/>
              <w:ind w:left="720" w:hanging="360"/>
              <w:rPr>
                <w:rStyle w:val="normaltextrun"/>
                <w:rFonts w:ascii="VIC" w:hAnsi="VIC" w:cs="Arial"/>
                <w:position w:val="1"/>
                <w:sz w:val="20"/>
              </w:rPr>
            </w:pPr>
            <w:r w:rsidRPr="00736830">
              <w:rPr>
                <w:rStyle w:val="normaltextrun"/>
                <w:rFonts w:ascii="VIC" w:hAnsi="VIC" w:cs="Arial"/>
                <w:position w:val="1"/>
                <w:sz w:val="20"/>
              </w:rPr>
              <w:t>New option allowing organisations to provide 2 primary contacts.</w:t>
            </w:r>
          </w:p>
        </w:tc>
        <w:tc>
          <w:tcPr>
            <w:tcW w:w="1767" w:type="pct"/>
            <w:shd w:val="clear" w:color="auto" w:fill="F2F2F2" w:themeFill="background1" w:themeFillShade="F2"/>
            <w:vAlign w:val="center"/>
          </w:tcPr>
          <w:p w14:paraId="1E3F533A" w14:textId="77777777" w:rsidR="00736830" w:rsidRPr="00736830" w:rsidRDefault="00736830" w:rsidP="006967F8">
            <w:pPr>
              <w:pStyle w:val="Bullet1"/>
              <w:numPr>
                <w:ilvl w:val="0"/>
                <w:numId w:val="0"/>
              </w:numPr>
              <w:rPr>
                <w:rStyle w:val="normaltextrun"/>
                <w:rFonts w:ascii="VIC" w:hAnsi="VIC" w:cs="Arial"/>
                <w:position w:val="-1"/>
                <w:sz w:val="20"/>
              </w:rPr>
            </w:pPr>
            <w:r w:rsidRPr="00736830">
              <w:rPr>
                <w:rStyle w:val="normaltextrun"/>
                <w:rFonts w:ascii="VIC" w:hAnsi="VIC" w:cs="Arial"/>
                <w:position w:val="-1"/>
                <w:sz w:val="20"/>
              </w:rPr>
              <w:t>Schedule 1</w:t>
            </w:r>
          </w:p>
          <w:p w14:paraId="7E688CBE" w14:textId="77777777" w:rsidR="00736830" w:rsidRPr="00736830" w:rsidRDefault="00736830" w:rsidP="006967F8">
            <w:pPr>
              <w:pStyle w:val="Bullet1"/>
              <w:numPr>
                <w:ilvl w:val="0"/>
                <w:numId w:val="0"/>
              </w:numPr>
              <w:rPr>
                <w:rStyle w:val="normaltextrun"/>
                <w:rFonts w:ascii="VIC" w:hAnsi="VIC" w:cs="Arial"/>
                <w:position w:val="-1"/>
                <w:sz w:val="20"/>
              </w:rPr>
            </w:pPr>
          </w:p>
        </w:tc>
      </w:tr>
    </w:tbl>
    <w:p w14:paraId="05C22D75" w14:textId="38941550" w:rsidR="00B655CA" w:rsidRDefault="00B655CA" w:rsidP="00736830">
      <w:pPr>
        <w:pStyle w:val="Heading2"/>
        <w:rPr>
          <w:rFonts w:ascii="VIC" w:hAnsi="VIC"/>
          <w:color w:val="5F497A" w:themeColor="accent4" w:themeShade="BF"/>
        </w:rPr>
      </w:pPr>
      <w:r>
        <w:rPr>
          <w:rFonts w:ascii="VIC" w:hAnsi="VIC"/>
          <w:color w:val="5F497A" w:themeColor="accent4" w:themeShade="BF"/>
        </w:rPr>
        <w:t>Additional information</w:t>
      </w:r>
      <w:r w:rsidR="00D934BF">
        <w:rPr>
          <w:rFonts w:ascii="VIC" w:hAnsi="VIC"/>
          <w:color w:val="5F497A" w:themeColor="accent4" w:themeShade="BF"/>
        </w:rPr>
        <w:t xml:space="preserve"> and FAQ’s</w:t>
      </w:r>
    </w:p>
    <w:p w14:paraId="1BFA8B9E" w14:textId="49A4CEB3" w:rsidR="00147B82" w:rsidRDefault="00147B82" w:rsidP="00EE773A">
      <w:pPr>
        <w:pStyle w:val="Heading3"/>
        <w:rPr>
          <w:rStyle w:val="Strong"/>
          <w:rFonts w:ascii="VIC" w:hAnsi="VIC"/>
          <w:b w:val="0"/>
          <w:color w:val="8064A2" w:themeColor="accent4"/>
          <w:sz w:val="24"/>
        </w:rPr>
      </w:pPr>
      <w:bookmarkStart w:id="4" w:name="_Hlk169869685"/>
      <w:bookmarkStart w:id="5" w:name="_Toc169161007"/>
      <w:bookmarkStart w:id="6" w:name="_Toc169680261"/>
      <w:bookmarkStart w:id="7" w:name="_Toc169861328"/>
      <w:r w:rsidRPr="00147B82">
        <w:rPr>
          <w:rStyle w:val="Strong"/>
          <w:rFonts w:ascii="VIC" w:hAnsi="VIC"/>
          <w:b w:val="0"/>
          <w:color w:val="8064A2" w:themeColor="accent4"/>
          <w:sz w:val="24"/>
        </w:rPr>
        <w:t xml:space="preserve">Could you provide </w:t>
      </w:r>
      <w:r>
        <w:rPr>
          <w:rStyle w:val="Strong"/>
          <w:rFonts w:ascii="VIC" w:hAnsi="VIC"/>
          <w:b w:val="0"/>
          <w:color w:val="8064A2" w:themeColor="accent4"/>
          <w:sz w:val="24"/>
        </w:rPr>
        <w:t>further information on funding indexation?</w:t>
      </w:r>
    </w:p>
    <w:p w14:paraId="34337528" w14:textId="1AAB9489" w:rsidR="00147B82" w:rsidRDefault="002F32A3" w:rsidP="00147B82">
      <w:pPr>
        <w:pStyle w:val="Body"/>
        <w:rPr>
          <w:rFonts w:ascii="VIC" w:hAnsi="VIC"/>
          <w:sz w:val="20"/>
        </w:rPr>
      </w:pPr>
      <w:r>
        <w:rPr>
          <w:rFonts w:ascii="VIC" w:hAnsi="VIC"/>
          <w:sz w:val="20"/>
        </w:rPr>
        <w:t xml:space="preserve">The Victorian government applies a floating </w:t>
      </w:r>
      <w:r w:rsidRPr="002F32A3">
        <w:rPr>
          <w:rFonts w:ascii="VIC" w:hAnsi="VIC"/>
          <w:sz w:val="20"/>
        </w:rPr>
        <w:t xml:space="preserve">rate for </w:t>
      </w:r>
      <w:r w:rsidR="00991953">
        <w:rPr>
          <w:rFonts w:ascii="VIC" w:hAnsi="VIC"/>
          <w:sz w:val="20"/>
        </w:rPr>
        <w:t>c</w:t>
      </w:r>
      <w:r w:rsidRPr="002F32A3">
        <w:rPr>
          <w:rFonts w:ascii="VIC" w:hAnsi="VIC"/>
          <w:sz w:val="20"/>
        </w:rPr>
        <w:t xml:space="preserve">ommunity </w:t>
      </w:r>
      <w:r w:rsidR="00991953">
        <w:rPr>
          <w:rFonts w:ascii="VIC" w:hAnsi="VIC"/>
          <w:sz w:val="20"/>
        </w:rPr>
        <w:t>s</w:t>
      </w:r>
      <w:r w:rsidRPr="002F32A3">
        <w:rPr>
          <w:rFonts w:ascii="VIC" w:hAnsi="VIC"/>
          <w:sz w:val="20"/>
        </w:rPr>
        <w:t>ervices</w:t>
      </w:r>
      <w:r>
        <w:rPr>
          <w:rFonts w:ascii="VIC" w:hAnsi="VIC"/>
          <w:sz w:val="20"/>
        </w:rPr>
        <w:t xml:space="preserve">. The formula reflects Fair Work </w:t>
      </w:r>
      <w:r w:rsidR="004E2559">
        <w:rPr>
          <w:rFonts w:ascii="VIC" w:hAnsi="VIC"/>
          <w:sz w:val="20"/>
        </w:rPr>
        <w:t>Commission</w:t>
      </w:r>
      <w:r>
        <w:rPr>
          <w:rFonts w:ascii="VIC" w:hAnsi="VIC"/>
          <w:sz w:val="20"/>
        </w:rPr>
        <w:t xml:space="preserve"> minimum wage obligations and the Consumer Price Index. </w:t>
      </w:r>
    </w:p>
    <w:p w14:paraId="7B342AEE" w14:textId="24C5ED95" w:rsidR="002F32A3" w:rsidRPr="007E7481" w:rsidRDefault="002F32A3" w:rsidP="007E7481">
      <w:pPr>
        <w:pStyle w:val="Body"/>
        <w:rPr>
          <w:sz w:val="20"/>
        </w:rPr>
      </w:pPr>
      <w:r>
        <w:rPr>
          <w:rFonts w:ascii="VIC" w:hAnsi="VIC"/>
          <w:sz w:val="20"/>
        </w:rPr>
        <w:t xml:space="preserve">The formula used to set the floating indexation rate and </w:t>
      </w:r>
      <w:r w:rsidR="00991953">
        <w:rPr>
          <w:rFonts w:ascii="VIC" w:hAnsi="VIC"/>
          <w:sz w:val="20"/>
        </w:rPr>
        <w:t>other</w:t>
      </w:r>
      <w:r w:rsidR="00640C2A">
        <w:rPr>
          <w:rFonts w:ascii="VIC" w:hAnsi="VIC"/>
          <w:sz w:val="20"/>
        </w:rPr>
        <w:t xml:space="preserve"> </w:t>
      </w:r>
      <w:r>
        <w:rPr>
          <w:rFonts w:ascii="VIC" w:hAnsi="VIC"/>
          <w:sz w:val="20"/>
        </w:rPr>
        <w:t>information on funding indexation will be provided in an update to the Service Agreement Requirements which will be available on the Funded Agency Channel prior to 1 July 2024.</w:t>
      </w:r>
    </w:p>
    <w:p w14:paraId="72E8BFB4" w14:textId="36A3BEF4" w:rsidR="00EE773A" w:rsidRPr="00736830" w:rsidRDefault="00EE773A" w:rsidP="00EE773A">
      <w:pPr>
        <w:pStyle w:val="Heading3"/>
        <w:rPr>
          <w:rStyle w:val="Strong"/>
          <w:rFonts w:ascii="VIC" w:hAnsi="VIC"/>
          <w:b w:val="0"/>
          <w:color w:val="8064A2" w:themeColor="accent4"/>
          <w:sz w:val="24"/>
        </w:rPr>
      </w:pPr>
      <w:r>
        <w:rPr>
          <w:rStyle w:val="Strong"/>
          <w:rFonts w:ascii="VIC" w:hAnsi="VIC"/>
          <w:b w:val="0"/>
          <w:color w:val="8064A2" w:themeColor="accent4"/>
          <w:sz w:val="24"/>
        </w:rPr>
        <w:lastRenderedPageBreak/>
        <w:t>Could you provide further information on the requirements for Background checks</w:t>
      </w:r>
      <w:r w:rsidRPr="00736830">
        <w:rPr>
          <w:rStyle w:val="Strong"/>
          <w:rFonts w:ascii="VIC" w:hAnsi="VIC"/>
          <w:b w:val="0"/>
          <w:color w:val="8064A2" w:themeColor="accent4"/>
          <w:sz w:val="24"/>
        </w:rPr>
        <w:t xml:space="preserve">? </w:t>
      </w:r>
    </w:p>
    <w:bookmarkEnd w:id="4"/>
    <w:p w14:paraId="284C07C3" w14:textId="4CEC8438" w:rsidR="00EE773A" w:rsidRDefault="00EE773A" w:rsidP="00EE773A">
      <w:pPr>
        <w:pStyle w:val="Heading3"/>
        <w:rPr>
          <w:rStyle w:val="Strong"/>
          <w:rFonts w:ascii="VIC" w:hAnsi="VIC"/>
          <w:b w:val="0"/>
          <w:sz w:val="20"/>
        </w:rPr>
      </w:pPr>
      <w:r>
        <w:rPr>
          <w:rStyle w:val="Strong"/>
          <w:rFonts w:ascii="VIC" w:hAnsi="VIC"/>
          <w:b w:val="0"/>
          <w:sz w:val="20"/>
        </w:rPr>
        <w:t>The Service Agreement includes new r</w:t>
      </w:r>
      <w:r w:rsidRPr="00EE773A">
        <w:rPr>
          <w:rStyle w:val="Strong"/>
          <w:rFonts w:ascii="VIC" w:hAnsi="VIC"/>
          <w:b w:val="0"/>
          <w:sz w:val="20"/>
        </w:rPr>
        <w:t>equirement</w:t>
      </w:r>
      <w:r>
        <w:rPr>
          <w:rStyle w:val="Strong"/>
          <w:rFonts w:ascii="VIC" w:hAnsi="VIC"/>
          <w:b w:val="0"/>
          <w:sz w:val="20"/>
        </w:rPr>
        <w:t>s</w:t>
      </w:r>
      <w:r w:rsidRPr="00EE773A">
        <w:rPr>
          <w:rStyle w:val="Strong"/>
          <w:rFonts w:ascii="VIC" w:hAnsi="VIC"/>
          <w:b w:val="0"/>
          <w:sz w:val="20"/>
        </w:rPr>
        <w:t xml:space="preserve"> </w:t>
      </w:r>
      <w:r>
        <w:rPr>
          <w:rStyle w:val="Strong"/>
          <w:rFonts w:ascii="VIC" w:hAnsi="VIC"/>
          <w:b w:val="0"/>
          <w:sz w:val="20"/>
        </w:rPr>
        <w:t xml:space="preserve">that new members of the governing body of an organisation and any other persons involved in governance of the organisation undertake </w:t>
      </w:r>
      <w:r w:rsidRPr="00EE773A">
        <w:rPr>
          <w:rStyle w:val="Strong"/>
          <w:rFonts w:ascii="VIC" w:hAnsi="VIC"/>
          <w:b w:val="0"/>
          <w:sz w:val="20"/>
        </w:rPr>
        <w:t>background checks</w:t>
      </w:r>
      <w:r>
        <w:rPr>
          <w:rStyle w:val="Strong"/>
          <w:rFonts w:ascii="VIC" w:hAnsi="VIC"/>
          <w:b w:val="0"/>
          <w:sz w:val="20"/>
        </w:rPr>
        <w:t>.</w:t>
      </w:r>
    </w:p>
    <w:p w14:paraId="0297D538" w14:textId="2899496A" w:rsidR="00EE773A" w:rsidRDefault="00EE773A" w:rsidP="00EE773A">
      <w:pPr>
        <w:pStyle w:val="Body"/>
        <w:rPr>
          <w:rFonts w:ascii="VIC" w:hAnsi="VIC"/>
          <w:sz w:val="20"/>
        </w:rPr>
      </w:pPr>
      <w:r>
        <w:rPr>
          <w:rFonts w:ascii="VIC" w:hAnsi="VIC"/>
          <w:sz w:val="20"/>
        </w:rPr>
        <w:t xml:space="preserve">The department will develop </w:t>
      </w:r>
      <w:r w:rsidR="00147B82">
        <w:rPr>
          <w:rFonts w:ascii="VIC" w:hAnsi="VIC"/>
          <w:sz w:val="20"/>
        </w:rPr>
        <w:t>a policy</w:t>
      </w:r>
      <w:r>
        <w:rPr>
          <w:rFonts w:ascii="VIC" w:hAnsi="VIC"/>
          <w:sz w:val="20"/>
        </w:rPr>
        <w:t xml:space="preserve"> on the requirements for background checks during the term of the Service Agreement, in consultation with funded organisations and peak bodies.</w:t>
      </w:r>
    </w:p>
    <w:p w14:paraId="4A00D60D" w14:textId="5993332F" w:rsidR="00EE773A" w:rsidRDefault="00EE773A" w:rsidP="00EE773A">
      <w:pPr>
        <w:pStyle w:val="Body"/>
        <w:rPr>
          <w:rFonts w:ascii="VIC" w:hAnsi="VIC"/>
          <w:sz w:val="20"/>
        </w:rPr>
      </w:pPr>
      <w:r>
        <w:rPr>
          <w:rFonts w:ascii="VIC" w:hAnsi="VIC"/>
          <w:sz w:val="20"/>
        </w:rPr>
        <w:t xml:space="preserve">Organisations are not required to undertake </w:t>
      </w:r>
      <w:r w:rsidR="00D934BF">
        <w:rPr>
          <w:rFonts w:ascii="VIC" w:hAnsi="VIC"/>
          <w:sz w:val="20"/>
        </w:rPr>
        <w:t xml:space="preserve">additional </w:t>
      </w:r>
      <w:r>
        <w:rPr>
          <w:rFonts w:ascii="VIC" w:hAnsi="VIC"/>
          <w:sz w:val="20"/>
        </w:rPr>
        <w:t xml:space="preserve">checks until the department has provided </w:t>
      </w:r>
      <w:r w:rsidR="00147B82">
        <w:rPr>
          <w:rFonts w:ascii="VIC" w:hAnsi="VIC"/>
          <w:sz w:val="20"/>
        </w:rPr>
        <w:t xml:space="preserve">the policy and </w:t>
      </w:r>
      <w:r>
        <w:rPr>
          <w:rFonts w:ascii="VIC" w:hAnsi="VIC"/>
          <w:sz w:val="20"/>
        </w:rPr>
        <w:t xml:space="preserve">guidance which will include information on the types of checks required, timing of the checks </w:t>
      </w:r>
      <w:r w:rsidR="00477A4C">
        <w:rPr>
          <w:rFonts w:ascii="VIC" w:hAnsi="VIC"/>
          <w:sz w:val="20"/>
        </w:rPr>
        <w:t xml:space="preserve">and </w:t>
      </w:r>
      <w:r>
        <w:rPr>
          <w:rFonts w:ascii="VIC" w:hAnsi="VIC"/>
          <w:sz w:val="20"/>
        </w:rPr>
        <w:t>support for organisations to implement th</w:t>
      </w:r>
      <w:r w:rsidR="00477A4C">
        <w:rPr>
          <w:rFonts w:ascii="VIC" w:hAnsi="VIC"/>
          <w:sz w:val="20"/>
        </w:rPr>
        <w:t>e requirement to undertake these checks</w:t>
      </w:r>
      <w:r>
        <w:rPr>
          <w:rFonts w:ascii="VIC" w:hAnsi="VIC"/>
          <w:sz w:val="20"/>
        </w:rPr>
        <w:t xml:space="preserve">. </w:t>
      </w:r>
    </w:p>
    <w:p w14:paraId="29F5ED2B" w14:textId="573B6C7E" w:rsidR="00D934BF" w:rsidRPr="00EE773A" w:rsidRDefault="00D934BF" w:rsidP="00EE773A">
      <w:pPr>
        <w:pStyle w:val="Body"/>
        <w:rPr>
          <w:rFonts w:ascii="VIC" w:hAnsi="VIC"/>
          <w:sz w:val="20"/>
        </w:rPr>
      </w:pPr>
      <w:r>
        <w:rPr>
          <w:rFonts w:ascii="VIC" w:hAnsi="VIC"/>
          <w:sz w:val="20"/>
        </w:rPr>
        <w:t xml:space="preserve">Existing probity checks as part of employment or other processes already undertaken by agencies in this space can continue. </w:t>
      </w:r>
    </w:p>
    <w:p w14:paraId="7253A8C9" w14:textId="79AFD5AB" w:rsidR="00736830" w:rsidRPr="00736830" w:rsidRDefault="00736830" w:rsidP="00736830">
      <w:pPr>
        <w:pStyle w:val="Heading3"/>
        <w:rPr>
          <w:rStyle w:val="Strong"/>
          <w:rFonts w:ascii="VIC" w:hAnsi="VIC"/>
          <w:b w:val="0"/>
          <w:color w:val="8064A2" w:themeColor="accent4"/>
          <w:sz w:val="24"/>
        </w:rPr>
      </w:pPr>
      <w:bookmarkStart w:id="8" w:name="_Toc169161011"/>
      <w:bookmarkStart w:id="9" w:name="_Toc169680265"/>
      <w:bookmarkStart w:id="10" w:name="_Toc169861332"/>
      <w:bookmarkEnd w:id="5"/>
      <w:bookmarkEnd w:id="6"/>
      <w:bookmarkEnd w:id="7"/>
      <w:r w:rsidRPr="00736830">
        <w:rPr>
          <w:rStyle w:val="Strong"/>
          <w:rFonts w:ascii="VIC" w:hAnsi="VIC"/>
          <w:b w:val="0"/>
          <w:color w:val="8064A2" w:themeColor="accent4"/>
          <w:sz w:val="24"/>
        </w:rPr>
        <w:t xml:space="preserve">Will we have to re-sign </w:t>
      </w:r>
      <w:r w:rsidR="00D934BF">
        <w:rPr>
          <w:rStyle w:val="Strong"/>
          <w:rFonts w:ascii="VIC" w:hAnsi="VIC"/>
          <w:b w:val="0"/>
          <w:color w:val="8064A2" w:themeColor="accent4"/>
          <w:sz w:val="24"/>
        </w:rPr>
        <w:t xml:space="preserve">a new Service Agreement </w:t>
      </w:r>
      <w:r w:rsidRPr="00736830">
        <w:rPr>
          <w:rStyle w:val="Strong"/>
          <w:rFonts w:ascii="VIC" w:hAnsi="VIC"/>
          <w:b w:val="0"/>
          <w:color w:val="8064A2" w:themeColor="accent4"/>
          <w:sz w:val="24"/>
        </w:rPr>
        <w:t>to receive funding?</w:t>
      </w:r>
      <w:bookmarkEnd w:id="8"/>
      <w:bookmarkEnd w:id="9"/>
      <w:bookmarkEnd w:id="10"/>
    </w:p>
    <w:p w14:paraId="3BC64D6C" w14:textId="6D3830CB" w:rsidR="00736830" w:rsidRDefault="00736830" w:rsidP="00736830">
      <w:pPr>
        <w:rPr>
          <w:rStyle w:val="Strong"/>
          <w:rFonts w:ascii="VIC" w:hAnsi="VIC"/>
          <w:b w:val="0"/>
          <w:bCs w:val="0"/>
          <w:sz w:val="20"/>
        </w:rPr>
      </w:pPr>
      <w:r w:rsidRPr="00736830">
        <w:rPr>
          <w:rStyle w:val="Strong"/>
          <w:rFonts w:ascii="VIC" w:hAnsi="VIC"/>
          <w:b w:val="0"/>
          <w:bCs w:val="0"/>
          <w:sz w:val="20"/>
        </w:rPr>
        <w:t xml:space="preserve">No. The new </w:t>
      </w:r>
      <w:r w:rsidR="00D934BF">
        <w:rPr>
          <w:rStyle w:val="Strong"/>
          <w:rFonts w:ascii="VIC" w:hAnsi="VIC"/>
          <w:b w:val="0"/>
          <w:bCs w:val="0"/>
          <w:sz w:val="20"/>
        </w:rPr>
        <w:t xml:space="preserve">service </w:t>
      </w:r>
      <w:r w:rsidRPr="00736830">
        <w:rPr>
          <w:rStyle w:val="Strong"/>
          <w:rFonts w:ascii="VIC" w:hAnsi="VIC"/>
          <w:b w:val="0"/>
          <w:bCs w:val="0"/>
          <w:sz w:val="20"/>
        </w:rPr>
        <w:t>agreement is a standard variation and does not need to be signed. By accepting payment of government funding, you consent to the updated agreement.</w:t>
      </w:r>
    </w:p>
    <w:p w14:paraId="2C71153C" w14:textId="2614C5A6" w:rsidR="00736830" w:rsidRPr="00736830" w:rsidRDefault="00736830" w:rsidP="00736830">
      <w:pPr>
        <w:pStyle w:val="Heading3"/>
        <w:rPr>
          <w:rStyle w:val="Strong"/>
          <w:rFonts w:ascii="VIC" w:hAnsi="VIC"/>
          <w:b w:val="0"/>
          <w:bCs/>
          <w:color w:val="8064A2" w:themeColor="accent4"/>
          <w:sz w:val="24"/>
          <w:szCs w:val="22"/>
        </w:rPr>
      </w:pPr>
      <w:bookmarkStart w:id="11" w:name="_Toc169161023"/>
      <w:bookmarkStart w:id="12" w:name="_Toc169680274"/>
      <w:bookmarkStart w:id="13" w:name="_Toc169861341"/>
      <w:r w:rsidRPr="00736830">
        <w:rPr>
          <w:rStyle w:val="Strong"/>
          <w:rFonts w:ascii="VIC" w:hAnsi="VIC"/>
          <w:b w:val="0"/>
          <w:bCs/>
          <w:color w:val="8064A2" w:themeColor="accent4"/>
          <w:sz w:val="24"/>
          <w:szCs w:val="22"/>
        </w:rPr>
        <w:t xml:space="preserve">What is a </w:t>
      </w:r>
      <w:r w:rsidR="00D934BF">
        <w:rPr>
          <w:rStyle w:val="Strong"/>
          <w:rFonts w:ascii="VIC" w:hAnsi="VIC"/>
          <w:b w:val="0"/>
          <w:color w:val="8064A2" w:themeColor="accent4"/>
          <w:sz w:val="24"/>
          <w:szCs w:val="22"/>
        </w:rPr>
        <w:t>S</w:t>
      </w:r>
      <w:r w:rsidRPr="00736830">
        <w:rPr>
          <w:rStyle w:val="Strong"/>
          <w:rFonts w:ascii="VIC" w:hAnsi="VIC"/>
          <w:b w:val="0"/>
          <w:color w:val="8064A2" w:themeColor="accent4"/>
          <w:sz w:val="24"/>
          <w:szCs w:val="22"/>
        </w:rPr>
        <w:t xml:space="preserve">ervice </w:t>
      </w:r>
      <w:r w:rsidR="00D934BF">
        <w:rPr>
          <w:rStyle w:val="Strong"/>
          <w:rFonts w:ascii="VIC" w:hAnsi="VIC"/>
          <w:b w:val="0"/>
          <w:color w:val="8064A2" w:themeColor="accent4"/>
          <w:sz w:val="24"/>
          <w:szCs w:val="22"/>
        </w:rPr>
        <w:t>A</w:t>
      </w:r>
      <w:r w:rsidRPr="00736830">
        <w:rPr>
          <w:rStyle w:val="Strong"/>
          <w:rFonts w:ascii="VIC" w:hAnsi="VIC"/>
          <w:b w:val="0"/>
          <w:color w:val="8064A2" w:themeColor="accent4"/>
          <w:sz w:val="24"/>
          <w:szCs w:val="22"/>
        </w:rPr>
        <w:t>greement</w:t>
      </w:r>
      <w:r w:rsidRPr="00736830">
        <w:rPr>
          <w:rStyle w:val="Strong"/>
          <w:rFonts w:ascii="VIC" w:hAnsi="VIC"/>
          <w:b w:val="0"/>
          <w:bCs/>
          <w:color w:val="8064A2" w:themeColor="accent4"/>
          <w:sz w:val="24"/>
          <w:szCs w:val="22"/>
        </w:rPr>
        <w:t>?</w:t>
      </w:r>
      <w:bookmarkEnd w:id="11"/>
      <w:bookmarkEnd w:id="12"/>
      <w:bookmarkEnd w:id="13"/>
    </w:p>
    <w:p w14:paraId="0948684E" w14:textId="77777777" w:rsidR="00736830" w:rsidRPr="00736830" w:rsidRDefault="00736830" w:rsidP="00736830">
      <w:pPr>
        <w:rPr>
          <w:rFonts w:ascii="VIC" w:hAnsi="VIC"/>
          <w:sz w:val="20"/>
        </w:rPr>
      </w:pPr>
      <w:r w:rsidRPr="00736830">
        <w:rPr>
          <w:rFonts w:ascii="VIC" w:hAnsi="VIC"/>
          <w:sz w:val="20"/>
        </w:rPr>
        <w:t>A service agreement is a contract that defines the terms and conditions of funding the Victorian Government agrees to give to an organisation. It also sets out how much funding they receive.</w:t>
      </w:r>
    </w:p>
    <w:p w14:paraId="39D63315" w14:textId="1A3391CF" w:rsidR="00736830" w:rsidRPr="00736830" w:rsidRDefault="00736830" w:rsidP="00736830">
      <w:pPr>
        <w:rPr>
          <w:rFonts w:ascii="VIC" w:hAnsi="VIC"/>
          <w:sz w:val="20"/>
        </w:rPr>
      </w:pPr>
      <w:r w:rsidRPr="00736830">
        <w:rPr>
          <w:rFonts w:ascii="VIC" w:hAnsi="VIC"/>
          <w:sz w:val="20"/>
        </w:rPr>
        <w:t>The same core terms and conditions are used by the DFFH,</w:t>
      </w:r>
      <w:r w:rsidR="00D7319D">
        <w:rPr>
          <w:rFonts w:ascii="VIC" w:hAnsi="VIC"/>
          <w:sz w:val="20"/>
        </w:rPr>
        <w:t xml:space="preserve"> DH,</w:t>
      </w:r>
      <w:r w:rsidRPr="00736830">
        <w:rPr>
          <w:rFonts w:ascii="VIC" w:hAnsi="VIC"/>
          <w:sz w:val="20"/>
        </w:rPr>
        <w:t xml:space="preserve"> DE, and the </w:t>
      </w:r>
      <w:r w:rsidRPr="00736830">
        <w:rPr>
          <w:rStyle w:val="Strong"/>
          <w:rFonts w:ascii="VIC" w:hAnsi="VIC"/>
          <w:b w:val="0"/>
          <w:bCs w:val="0"/>
          <w:sz w:val="20"/>
        </w:rPr>
        <w:t>Adult, Community and Further Education Board (ACFE)</w:t>
      </w:r>
      <w:r w:rsidRPr="00736830">
        <w:rPr>
          <w:rFonts w:ascii="VIC" w:hAnsi="VIC"/>
          <w:sz w:val="20"/>
        </w:rPr>
        <w:t>. There are minor adjustments and additions between different department’s agreements to reflect the different services being funded.</w:t>
      </w:r>
    </w:p>
    <w:p w14:paraId="6633A294" w14:textId="1FB4DE33" w:rsidR="00736830" w:rsidRPr="00392A25" w:rsidRDefault="00736830" w:rsidP="00736830">
      <w:pPr>
        <w:rPr>
          <w:rStyle w:val="Strong"/>
          <w:rFonts w:ascii="VIC" w:hAnsi="VIC"/>
          <w:b w:val="0"/>
          <w:bCs w:val="0"/>
          <w:sz w:val="20"/>
        </w:rPr>
      </w:pPr>
      <w:r w:rsidRPr="00736830">
        <w:rPr>
          <w:rFonts w:ascii="VIC" w:hAnsi="VIC"/>
          <w:sz w:val="20"/>
        </w:rPr>
        <w:t>The DE service agreement is mainly used for funding kindergarten service providers and ha</w:t>
      </w:r>
      <w:r w:rsidR="00D7319D">
        <w:rPr>
          <w:rFonts w:ascii="VIC" w:hAnsi="VIC"/>
          <w:sz w:val="20"/>
        </w:rPr>
        <w:t>s</w:t>
      </w:r>
      <w:r w:rsidRPr="00736830">
        <w:rPr>
          <w:rFonts w:ascii="VIC" w:hAnsi="VIC"/>
          <w:sz w:val="20"/>
        </w:rPr>
        <w:t xml:space="preserve"> specific clauses relating to these providers. It is also used to fund a small number of other programs.</w:t>
      </w:r>
    </w:p>
    <w:p w14:paraId="58F77B02" w14:textId="6FCAAC4E" w:rsidR="00736830" w:rsidRPr="00736830" w:rsidRDefault="00736830" w:rsidP="00736830">
      <w:pPr>
        <w:pStyle w:val="Heading3"/>
        <w:rPr>
          <w:rStyle w:val="Strong"/>
          <w:rFonts w:ascii="VIC" w:hAnsi="VIC"/>
          <w:color w:val="8064A2" w:themeColor="accent4"/>
          <w:sz w:val="24"/>
        </w:rPr>
      </w:pPr>
      <w:bookmarkStart w:id="14" w:name="_Toc169161026"/>
      <w:bookmarkStart w:id="15" w:name="_Toc169680276"/>
      <w:bookmarkStart w:id="16" w:name="_Toc169861343"/>
      <w:r w:rsidRPr="00736830">
        <w:rPr>
          <w:rFonts w:ascii="VIC" w:hAnsi="VIC"/>
          <w:color w:val="8064A2" w:themeColor="accent4"/>
          <w:sz w:val="24"/>
        </w:rPr>
        <w:t xml:space="preserve">Where can I access the updated </w:t>
      </w:r>
      <w:r w:rsidR="00B655CA">
        <w:rPr>
          <w:rFonts w:ascii="VIC" w:hAnsi="VIC"/>
          <w:color w:val="8064A2" w:themeColor="accent4"/>
          <w:sz w:val="24"/>
        </w:rPr>
        <w:t>S</w:t>
      </w:r>
      <w:r w:rsidRPr="00736830">
        <w:rPr>
          <w:rFonts w:ascii="VIC" w:hAnsi="VIC"/>
          <w:color w:val="8064A2" w:themeColor="accent4"/>
          <w:sz w:val="24"/>
        </w:rPr>
        <w:t xml:space="preserve">ervice </w:t>
      </w:r>
      <w:r w:rsidR="00B655CA">
        <w:rPr>
          <w:rFonts w:ascii="VIC" w:hAnsi="VIC"/>
          <w:color w:val="8064A2" w:themeColor="accent4"/>
          <w:sz w:val="24"/>
        </w:rPr>
        <w:t>A</w:t>
      </w:r>
      <w:r w:rsidRPr="00736830">
        <w:rPr>
          <w:rFonts w:ascii="VIC" w:hAnsi="VIC"/>
          <w:color w:val="8064A2" w:themeColor="accent4"/>
          <w:sz w:val="24"/>
        </w:rPr>
        <w:t>greement?</w:t>
      </w:r>
      <w:bookmarkEnd w:id="14"/>
      <w:bookmarkEnd w:id="15"/>
      <w:bookmarkEnd w:id="16"/>
      <w:r w:rsidRPr="00736830">
        <w:rPr>
          <w:rStyle w:val="Strong"/>
          <w:rFonts w:ascii="VIC" w:hAnsi="VIC"/>
          <w:color w:val="8064A2" w:themeColor="accent4"/>
          <w:sz w:val="24"/>
        </w:rPr>
        <w:t xml:space="preserve"> </w:t>
      </w:r>
    </w:p>
    <w:p w14:paraId="4056B8D7" w14:textId="557C3114" w:rsidR="009647DB" w:rsidRDefault="00736830" w:rsidP="00736830">
      <w:pPr>
        <w:rPr>
          <w:rStyle w:val="Strong"/>
          <w:rFonts w:ascii="VIC" w:hAnsi="VIC"/>
          <w:b w:val="0"/>
          <w:bCs w:val="0"/>
          <w:sz w:val="20"/>
        </w:rPr>
      </w:pPr>
      <w:r w:rsidRPr="00736830">
        <w:rPr>
          <w:rStyle w:val="Strong"/>
          <w:rFonts w:ascii="VIC" w:hAnsi="VIC"/>
          <w:b w:val="0"/>
          <w:bCs w:val="0"/>
          <w:sz w:val="20"/>
        </w:rPr>
        <w:t>You can view the updated sample agreement</w:t>
      </w:r>
      <w:r w:rsidR="009647DB">
        <w:rPr>
          <w:rStyle w:val="Strong"/>
          <w:rFonts w:ascii="VIC" w:hAnsi="VIC"/>
          <w:b w:val="0"/>
          <w:bCs w:val="0"/>
          <w:sz w:val="20"/>
        </w:rPr>
        <w:t xml:space="preserve"> at the following link: </w:t>
      </w:r>
      <w:hyperlink r:id="rId15" w:history="1">
        <w:r w:rsidR="009647DB" w:rsidRPr="00652517">
          <w:rPr>
            <w:rStyle w:val="Hyperlink"/>
            <w:rFonts w:ascii="VIC" w:hAnsi="VIC"/>
            <w:sz w:val="20"/>
          </w:rPr>
          <w:t>https://fac.dffh.vic.gov.au/service-agreement</w:t>
        </w:r>
      </w:hyperlink>
      <w:r w:rsidR="009647DB">
        <w:rPr>
          <w:rStyle w:val="Strong"/>
          <w:rFonts w:ascii="VIC" w:hAnsi="VIC"/>
          <w:b w:val="0"/>
          <w:bCs w:val="0"/>
          <w:sz w:val="20"/>
        </w:rPr>
        <w:t>.</w:t>
      </w:r>
    </w:p>
    <w:p w14:paraId="5D4CD6A2" w14:textId="78BD12AE" w:rsidR="00736830" w:rsidRPr="001E01A6" w:rsidRDefault="009647DB" w:rsidP="00736830">
      <w:pPr>
        <w:rPr>
          <w:rStyle w:val="Strong"/>
          <w:rFonts w:ascii="VIC" w:hAnsi="VIC"/>
          <w:b w:val="0"/>
          <w:bCs w:val="0"/>
          <w:color w:val="FF0000"/>
          <w:sz w:val="20"/>
        </w:rPr>
      </w:pPr>
      <w:r>
        <w:rPr>
          <w:rStyle w:val="Strong"/>
          <w:rFonts w:ascii="VIC" w:hAnsi="VIC"/>
          <w:b w:val="0"/>
          <w:bCs w:val="0"/>
          <w:sz w:val="20"/>
        </w:rPr>
        <w:t>You will receive the Service Agreement for your organisation prior to 1 July 2024</w:t>
      </w:r>
      <w:r w:rsidR="00736830" w:rsidRPr="00736830">
        <w:rPr>
          <w:rStyle w:val="Strong"/>
          <w:rFonts w:ascii="VIC" w:hAnsi="VIC"/>
          <w:b w:val="0"/>
          <w:bCs w:val="0"/>
          <w:sz w:val="20"/>
        </w:rPr>
        <w:t xml:space="preserve">. </w:t>
      </w:r>
      <w:r w:rsidR="00736830" w:rsidRPr="00736830">
        <w:rPr>
          <w:rStyle w:val="Strong"/>
          <w:rFonts w:ascii="VIC" w:hAnsi="VIC"/>
          <w:b w:val="0"/>
          <w:bCs w:val="0"/>
          <w:color w:val="FF0000"/>
          <w:sz w:val="20"/>
        </w:rPr>
        <w:t xml:space="preserve"> </w:t>
      </w:r>
    </w:p>
    <w:p w14:paraId="67D2F864" w14:textId="77777777" w:rsidR="00736830" w:rsidRPr="00736830" w:rsidRDefault="00736830" w:rsidP="00736830">
      <w:pPr>
        <w:pStyle w:val="Heading3"/>
        <w:rPr>
          <w:rStyle w:val="Strong"/>
          <w:rFonts w:ascii="VIC" w:hAnsi="VIC"/>
          <w:b w:val="0"/>
          <w:bCs/>
          <w:color w:val="8064A2" w:themeColor="accent4"/>
          <w:sz w:val="24"/>
          <w:szCs w:val="22"/>
        </w:rPr>
      </w:pPr>
      <w:bookmarkStart w:id="17" w:name="_Toc169161027"/>
      <w:bookmarkStart w:id="18" w:name="_Toc169680277"/>
      <w:bookmarkStart w:id="19" w:name="_Toc169861344"/>
      <w:r w:rsidRPr="00736830">
        <w:rPr>
          <w:rStyle w:val="Strong"/>
          <w:rFonts w:ascii="VIC" w:hAnsi="VIC"/>
          <w:b w:val="0"/>
          <w:bCs/>
          <w:color w:val="8064A2" w:themeColor="accent4"/>
          <w:sz w:val="24"/>
          <w:szCs w:val="22"/>
        </w:rPr>
        <w:t>What is the Service Agreement Requirements (SAR) document?</w:t>
      </w:r>
      <w:bookmarkEnd w:id="17"/>
      <w:bookmarkEnd w:id="18"/>
      <w:bookmarkEnd w:id="19"/>
    </w:p>
    <w:p w14:paraId="238FF19E" w14:textId="77777777" w:rsidR="00736830" w:rsidRDefault="00736830" w:rsidP="00736830">
      <w:pPr>
        <w:rPr>
          <w:rStyle w:val="cf01"/>
          <w:rFonts w:ascii="VIC" w:hAnsi="VIC"/>
          <w:sz w:val="20"/>
        </w:rPr>
      </w:pPr>
      <w:r>
        <w:rPr>
          <w:rStyle w:val="cf01"/>
          <w:rFonts w:ascii="VIC" w:hAnsi="VIC"/>
          <w:sz w:val="20"/>
        </w:rPr>
        <w:t>A</w:t>
      </w:r>
      <w:r w:rsidRPr="005018B9">
        <w:rPr>
          <w:rStyle w:val="cf01"/>
          <w:rFonts w:ascii="VIC" w:hAnsi="VIC"/>
          <w:sz w:val="20"/>
        </w:rPr>
        <w:t xml:space="preserve"> SAR </w:t>
      </w:r>
      <w:r>
        <w:rPr>
          <w:rStyle w:val="cf01"/>
          <w:rFonts w:ascii="VIC" w:hAnsi="VIC"/>
          <w:sz w:val="20"/>
        </w:rPr>
        <w:t xml:space="preserve">document </w:t>
      </w:r>
      <w:r w:rsidRPr="005018B9">
        <w:rPr>
          <w:rStyle w:val="cf01"/>
          <w:rFonts w:ascii="VIC" w:hAnsi="VIC"/>
          <w:sz w:val="20"/>
        </w:rPr>
        <w:t xml:space="preserve">supports </w:t>
      </w:r>
      <w:r>
        <w:rPr>
          <w:rStyle w:val="cf01"/>
          <w:rFonts w:ascii="VIC" w:hAnsi="VIC"/>
          <w:sz w:val="20"/>
        </w:rPr>
        <w:t>a service agreement</w:t>
      </w:r>
      <w:r w:rsidRPr="032ECB8A">
        <w:rPr>
          <w:rStyle w:val="cf01"/>
          <w:rFonts w:ascii="VIC" w:hAnsi="VIC"/>
          <w:sz w:val="20"/>
        </w:rPr>
        <w:t xml:space="preserve"> by</w:t>
      </w:r>
      <w:r w:rsidRPr="005018B9">
        <w:rPr>
          <w:rStyle w:val="cf01"/>
          <w:rFonts w:ascii="VIC" w:eastAsiaTheme="majorEastAsia" w:hAnsi="VIC"/>
          <w:sz w:val="20"/>
        </w:rPr>
        <w:t xml:space="preserve"> </w:t>
      </w:r>
      <w:r w:rsidRPr="032ECB8A">
        <w:rPr>
          <w:rStyle w:val="cf01"/>
          <w:rFonts w:ascii="VIC" w:eastAsiaTheme="majorEastAsia" w:hAnsi="VIC"/>
          <w:sz w:val="20"/>
        </w:rPr>
        <w:t>outlining</w:t>
      </w:r>
      <w:r w:rsidRPr="032ECB8A">
        <w:rPr>
          <w:rStyle w:val="cf01"/>
          <w:rFonts w:ascii="VIC" w:hAnsi="VIC"/>
          <w:sz w:val="20"/>
        </w:rPr>
        <w:t xml:space="preserve"> more detailed</w:t>
      </w:r>
      <w:r>
        <w:rPr>
          <w:rStyle w:val="cf01"/>
          <w:rFonts w:ascii="VIC" w:hAnsi="VIC"/>
          <w:sz w:val="20"/>
        </w:rPr>
        <w:t xml:space="preserve"> </w:t>
      </w:r>
      <w:r w:rsidRPr="005018B9">
        <w:rPr>
          <w:rStyle w:val="cf01"/>
          <w:rFonts w:ascii="VIC" w:eastAsiaTheme="majorEastAsia" w:hAnsi="VIC"/>
          <w:sz w:val="20"/>
        </w:rPr>
        <w:t xml:space="preserve">responsibilities </w:t>
      </w:r>
      <w:r w:rsidRPr="005018B9">
        <w:rPr>
          <w:rStyle w:val="cf01"/>
          <w:rFonts w:ascii="VIC" w:hAnsi="VIC"/>
          <w:sz w:val="20"/>
        </w:rPr>
        <w:t>and obligations.</w:t>
      </w:r>
      <w:r>
        <w:rPr>
          <w:rStyle w:val="cf01"/>
          <w:rFonts w:ascii="VIC" w:hAnsi="VIC"/>
          <w:sz w:val="20"/>
        </w:rPr>
        <w:t xml:space="preserve"> </w:t>
      </w:r>
    </w:p>
    <w:p w14:paraId="359FBC2C" w14:textId="77777777" w:rsidR="009647DB" w:rsidRDefault="00736830" w:rsidP="00736830">
      <w:pPr>
        <w:rPr>
          <w:rFonts w:ascii="VIC" w:hAnsi="VIC" w:cs="Arial"/>
        </w:rPr>
      </w:pPr>
      <w:r>
        <w:rPr>
          <w:rStyle w:val="cf01"/>
          <w:rFonts w:ascii="VIC" w:hAnsi="VIC"/>
          <w:sz w:val="20"/>
        </w:rPr>
        <w:t xml:space="preserve">Small updates will be made to the DE SAR in July 2024. More comprehensive </w:t>
      </w:r>
      <w:r w:rsidRPr="032ECB8A">
        <w:rPr>
          <w:rStyle w:val="cf01"/>
          <w:rFonts w:ascii="VIC" w:hAnsi="VIC"/>
          <w:sz w:val="20"/>
        </w:rPr>
        <w:t xml:space="preserve">updates </w:t>
      </w:r>
      <w:r>
        <w:rPr>
          <w:rStyle w:val="cf01"/>
          <w:rFonts w:ascii="VIC" w:hAnsi="VIC"/>
          <w:sz w:val="20"/>
        </w:rPr>
        <w:t>wil</w:t>
      </w:r>
      <w:r w:rsidR="009647DB">
        <w:rPr>
          <w:rStyle w:val="cf01"/>
          <w:rFonts w:ascii="VIC" w:hAnsi="VIC"/>
          <w:sz w:val="20"/>
        </w:rPr>
        <w:t>l be provided during the term of the Service Agreement 2024-28.</w:t>
      </w:r>
    </w:p>
    <w:p w14:paraId="5E68529B" w14:textId="2B50ED8D" w:rsidR="00736830" w:rsidRPr="009647DB" w:rsidRDefault="009647DB" w:rsidP="00736830">
      <w:pPr>
        <w:rPr>
          <w:rFonts w:ascii="VIC" w:hAnsi="VIC" w:cs="Segoe UI"/>
          <w:sz w:val="20"/>
          <w:szCs w:val="18"/>
        </w:rPr>
      </w:pPr>
      <w:r>
        <w:rPr>
          <w:rFonts w:ascii="VIC" w:hAnsi="VIC" w:cs="Arial"/>
        </w:rPr>
        <w:t>A copy of the current SAR</w:t>
      </w:r>
      <w:r w:rsidR="00736830" w:rsidRPr="005018B9">
        <w:rPr>
          <w:rStyle w:val="cf11"/>
          <w:rFonts w:ascii="VIC" w:hAnsi="VIC"/>
          <w:sz w:val="20"/>
        </w:rPr>
        <w:t xml:space="preserve"> can be found </w:t>
      </w:r>
      <w:r>
        <w:rPr>
          <w:rStyle w:val="cf11"/>
          <w:rFonts w:ascii="VIC" w:hAnsi="VIC"/>
          <w:sz w:val="20"/>
        </w:rPr>
        <w:t xml:space="preserve">at the following link: </w:t>
      </w:r>
      <w:hyperlink r:id="rId16" w:history="1">
        <w:r w:rsidRPr="00652517">
          <w:rPr>
            <w:rStyle w:val="Hyperlink"/>
            <w:rFonts w:ascii="VIC" w:hAnsi="VIC" w:cs="Segoe UI"/>
            <w:sz w:val="20"/>
            <w:szCs w:val="18"/>
          </w:rPr>
          <w:t>https://fac.dffh.vic.gov.au/service-agreement-requirements</w:t>
        </w:r>
      </w:hyperlink>
      <w:r>
        <w:rPr>
          <w:rStyle w:val="cf11"/>
          <w:rFonts w:ascii="VIC" w:hAnsi="VIC"/>
          <w:sz w:val="20"/>
        </w:rPr>
        <w:t xml:space="preserve">. </w:t>
      </w:r>
      <w:r w:rsidR="00736830">
        <w:rPr>
          <w:rStyle w:val="cf11"/>
          <w:rFonts w:ascii="VIC" w:hAnsi="VIC"/>
          <w:sz w:val="20"/>
        </w:rPr>
        <w:t>When the document is updated, it will be uploaded to the same URL.</w:t>
      </w:r>
    </w:p>
    <w:p w14:paraId="6335E3C4" w14:textId="77777777" w:rsidR="00736830" w:rsidRDefault="00736830" w:rsidP="00736830">
      <w:pPr>
        <w:rPr>
          <w:rFonts w:ascii="VIC" w:hAnsi="VIC"/>
          <w:b/>
          <w:bCs/>
          <w:sz w:val="20"/>
        </w:rPr>
      </w:pPr>
    </w:p>
    <w:p w14:paraId="4B1D0C82" w14:textId="77777777" w:rsidR="00736830" w:rsidRPr="00736830" w:rsidRDefault="00736830" w:rsidP="00736830">
      <w:pPr>
        <w:pStyle w:val="Heading3"/>
        <w:rPr>
          <w:rStyle w:val="Strong"/>
          <w:rFonts w:ascii="VIC" w:hAnsi="VIC"/>
          <w:b w:val="0"/>
          <w:bCs/>
          <w:color w:val="8064A2" w:themeColor="accent4"/>
          <w:sz w:val="24"/>
          <w:szCs w:val="22"/>
        </w:rPr>
      </w:pPr>
      <w:bookmarkStart w:id="20" w:name="_Toc169161032"/>
      <w:bookmarkStart w:id="21" w:name="_Toc169680279"/>
      <w:bookmarkStart w:id="22" w:name="_Toc169861346"/>
      <w:r w:rsidRPr="00736830">
        <w:rPr>
          <w:rStyle w:val="Strong"/>
          <w:rFonts w:ascii="VIC" w:hAnsi="VIC"/>
          <w:b w:val="0"/>
          <w:bCs/>
          <w:color w:val="8064A2" w:themeColor="accent4"/>
          <w:sz w:val="24"/>
          <w:szCs w:val="22"/>
        </w:rPr>
        <w:lastRenderedPageBreak/>
        <w:t>What happens now?</w:t>
      </w:r>
      <w:bookmarkEnd w:id="20"/>
      <w:bookmarkEnd w:id="21"/>
      <w:bookmarkEnd w:id="22"/>
    </w:p>
    <w:p w14:paraId="3475C18D" w14:textId="77777777" w:rsidR="00736830" w:rsidRPr="00736830" w:rsidRDefault="00736830" w:rsidP="00736830">
      <w:pPr>
        <w:rPr>
          <w:rStyle w:val="Strong"/>
          <w:rFonts w:ascii="VIC" w:hAnsi="VIC"/>
          <w:b w:val="0"/>
          <w:bCs w:val="0"/>
          <w:sz w:val="20"/>
          <w:szCs w:val="22"/>
        </w:rPr>
      </w:pPr>
      <w:r w:rsidRPr="00736830">
        <w:rPr>
          <w:rStyle w:val="Strong"/>
          <w:rFonts w:ascii="VIC" w:hAnsi="VIC"/>
          <w:b w:val="0"/>
          <w:bCs w:val="0"/>
          <w:sz w:val="20"/>
          <w:szCs w:val="22"/>
        </w:rPr>
        <w:t>If you are funded beyond 30 June 2024, you will be required to comply with the terms and conditions of the updated agreement.</w:t>
      </w:r>
    </w:p>
    <w:p w14:paraId="248F0E66" w14:textId="77777777" w:rsidR="00736830" w:rsidRPr="00736830" w:rsidRDefault="00736830" w:rsidP="00736830">
      <w:pPr>
        <w:rPr>
          <w:rStyle w:val="Strong"/>
          <w:rFonts w:ascii="VIC" w:hAnsi="VIC"/>
          <w:b w:val="0"/>
          <w:bCs w:val="0"/>
          <w:sz w:val="20"/>
          <w:szCs w:val="22"/>
        </w:rPr>
      </w:pPr>
      <w:r w:rsidRPr="00736830">
        <w:rPr>
          <w:rStyle w:val="Strong"/>
          <w:rFonts w:ascii="VIC" w:hAnsi="VIC"/>
          <w:b w:val="0"/>
          <w:bCs w:val="0"/>
          <w:sz w:val="20"/>
          <w:szCs w:val="22"/>
        </w:rPr>
        <w:t>You will receive an email from the Funded Agency Channel notifying you of the new terms and conditions.</w:t>
      </w:r>
    </w:p>
    <w:p w14:paraId="6166E58A" w14:textId="08829A58" w:rsidR="00736830" w:rsidRPr="001E01A6" w:rsidRDefault="00736830" w:rsidP="00736830">
      <w:pPr>
        <w:rPr>
          <w:rStyle w:val="Strong"/>
          <w:rFonts w:ascii="VIC" w:hAnsi="VIC"/>
          <w:b w:val="0"/>
          <w:bCs w:val="0"/>
          <w:sz w:val="20"/>
          <w:szCs w:val="22"/>
        </w:rPr>
      </w:pPr>
      <w:r w:rsidRPr="00736830">
        <w:rPr>
          <w:rStyle w:val="Strong"/>
          <w:rFonts w:ascii="VIC" w:hAnsi="VIC"/>
          <w:b w:val="0"/>
          <w:bCs w:val="0"/>
          <w:sz w:val="20"/>
          <w:szCs w:val="22"/>
        </w:rPr>
        <w:t>Current agreements will then be updated in SAMS to reflect the new end date of 30 June 2028.</w:t>
      </w:r>
    </w:p>
    <w:p w14:paraId="4380C9C2" w14:textId="0BDA160F" w:rsidR="00736830" w:rsidRPr="00736830" w:rsidRDefault="00736830" w:rsidP="00736830">
      <w:pPr>
        <w:pStyle w:val="Heading3"/>
        <w:rPr>
          <w:rStyle w:val="Strong"/>
          <w:rFonts w:ascii="VIC" w:hAnsi="VIC"/>
          <w:b w:val="0"/>
          <w:color w:val="8064A2" w:themeColor="accent4"/>
          <w:sz w:val="24"/>
        </w:rPr>
      </w:pPr>
      <w:bookmarkStart w:id="23" w:name="_Toc169161035"/>
      <w:bookmarkStart w:id="24" w:name="_Toc169680280"/>
      <w:bookmarkStart w:id="25" w:name="_Toc169861347"/>
      <w:r w:rsidRPr="00736830">
        <w:rPr>
          <w:rStyle w:val="Strong"/>
          <w:rFonts w:ascii="VIC" w:hAnsi="VIC"/>
          <w:b w:val="0"/>
          <w:color w:val="8064A2" w:themeColor="accent4"/>
          <w:sz w:val="24"/>
        </w:rPr>
        <w:t xml:space="preserve">Where can I get more information on the </w:t>
      </w:r>
      <w:r w:rsidR="009647DB">
        <w:rPr>
          <w:rStyle w:val="Strong"/>
          <w:rFonts w:ascii="VIC" w:hAnsi="VIC"/>
          <w:b w:val="0"/>
          <w:color w:val="8064A2" w:themeColor="accent4"/>
          <w:sz w:val="24"/>
        </w:rPr>
        <w:t>S</w:t>
      </w:r>
      <w:r w:rsidRPr="00736830">
        <w:rPr>
          <w:rStyle w:val="Strong"/>
          <w:rFonts w:ascii="VIC" w:hAnsi="VIC"/>
          <w:b w:val="0"/>
          <w:color w:val="8064A2" w:themeColor="accent4"/>
          <w:sz w:val="24"/>
        </w:rPr>
        <w:t xml:space="preserve">ervice </w:t>
      </w:r>
      <w:r w:rsidR="009647DB">
        <w:rPr>
          <w:rStyle w:val="Strong"/>
          <w:rFonts w:ascii="VIC" w:hAnsi="VIC"/>
          <w:b w:val="0"/>
          <w:color w:val="8064A2" w:themeColor="accent4"/>
          <w:sz w:val="24"/>
        </w:rPr>
        <w:t>A</w:t>
      </w:r>
      <w:r w:rsidRPr="00736830">
        <w:rPr>
          <w:rStyle w:val="Strong"/>
          <w:rFonts w:ascii="VIC" w:hAnsi="VIC"/>
          <w:b w:val="0"/>
          <w:color w:val="8064A2" w:themeColor="accent4"/>
          <w:sz w:val="24"/>
        </w:rPr>
        <w:t>greement?</w:t>
      </w:r>
      <w:bookmarkEnd w:id="23"/>
      <w:bookmarkEnd w:id="24"/>
      <w:bookmarkEnd w:id="25"/>
    </w:p>
    <w:p w14:paraId="3EC8DD29" w14:textId="3CEE2099" w:rsidR="00736830" w:rsidRPr="00736830" w:rsidRDefault="00736830" w:rsidP="00736830">
      <w:pPr>
        <w:rPr>
          <w:rStyle w:val="Strong"/>
          <w:rFonts w:ascii="VIC" w:hAnsi="VIC"/>
          <w:b w:val="0"/>
          <w:bCs w:val="0"/>
          <w:sz w:val="20"/>
        </w:rPr>
      </w:pPr>
      <w:r w:rsidRPr="00736830">
        <w:rPr>
          <w:rStyle w:val="Strong"/>
          <w:rFonts w:ascii="VIC" w:hAnsi="VIC"/>
          <w:b w:val="0"/>
          <w:bCs w:val="0"/>
          <w:sz w:val="20"/>
        </w:rPr>
        <w:t xml:space="preserve">For general information about service agreements, please visit the </w:t>
      </w:r>
      <w:hyperlink r:id="rId17" w:history="1">
        <w:r w:rsidR="001E01A6">
          <w:rPr>
            <w:rStyle w:val="Hyperlink"/>
            <w:rFonts w:ascii="VIC" w:hAnsi="VIC"/>
            <w:b/>
            <w:bCs/>
            <w:sz w:val="20"/>
          </w:rPr>
          <w:t>Funded Agency Channel website</w:t>
        </w:r>
      </w:hyperlink>
      <w:r w:rsidRPr="00736830">
        <w:rPr>
          <w:rStyle w:val="Strong"/>
          <w:rFonts w:ascii="VIC" w:hAnsi="VIC"/>
          <w:b w:val="0"/>
          <w:bCs w:val="0"/>
          <w:sz w:val="20"/>
        </w:rPr>
        <w:t>.</w:t>
      </w:r>
    </w:p>
    <w:p w14:paraId="3C348DE2" w14:textId="77777777" w:rsidR="00736830" w:rsidRPr="005033FA" w:rsidRDefault="00736830" w:rsidP="00736830">
      <w:pPr>
        <w:rPr>
          <w:rFonts w:ascii="VIC" w:hAnsi="VIC"/>
        </w:rPr>
      </w:pPr>
    </w:p>
    <w:p w14:paraId="312DEA78" w14:textId="77777777" w:rsidR="00162CA9" w:rsidRDefault="00162CA9" w:rsidP="00736830">
      <w:pPr>
        <w:pStyle w:val="Body"/>
        <w:spacing w:before="120"/>
      </w:pPr>
    </w:p>
    <w:sectPr w:rsidR="00162CA9" w:rsidSect="009D03E7">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33F4" w14:textId="77777777" w:rsidR="0020423D" w:rsidRDefault="0020423D">
      <w:r>
        <w:separator/>
      </w:r>
    </w:p>
    <w:p w14:paraId="39E7D934" w14:textId="77777777" w:rsidR="0020423D" w:rsidRDefault="0020423D"/>
  </w:endnote>
  <w:endnote w:type="continuationSeparator" w:id="0">
    <w:p w14:paraId="0ADFF0E0" w14:textId="77777777" w:rsidR="0020423D" w:rsidRDefault="0020423D">
      <w:r>
        <w:continuationSeparator/>
      </w:r>
    </w:p>
    <w:p w14:paraId="4C28894E" w14:textId="77777777" w:rsidR="0020423D" w:rsidRDefault="00204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D93CA42" w:rsidR="00E261B3" w:rsidRPr="00F65AA9" w:rsidRDefault="00132F3E" w:rsidP="00EF2C72">
    <w:pPr>
      <w:pStyle w:val="Footer"/>
    </w:pPr>
    <w:r>
      <w:rPr>
        <w:noProof/>
        <w:lang w:eastAsia="en-AU"/>
      </w:rPr>
      <w:drawing>
        <wp:anchor distT="0" distB="0" distL="114300" distR="114300" simplePos="0" relativeHeight="251664384"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E9C7" w14:textId="23D90FB7" w:rsidR="00132F3E" w:rsidRPr="00F65AA9" w:rsidRDefault="00041790" w:rsidP="00EF2C72">
    <w:pPr>
      <w:pStyle w:val="Footer"/>
    </w:pPr>
    <w:r>
      <w:rPr>
        <w:noProof/>
      </w:rPr>
      <mc:AlternateContent>
        <mc:Choice Requires="wps">
          <w:drawing>
            <wp:anchor distT="0" distB="0" distL="114300" distR="114300" simplePos="0" relativeHeight="251666432" behindDoc="0" locked="0" layoutInCell="0" allowOverlap="1" wp14:anchorId="593C9BF2" wp14:editId="04A3816D">
              <wp:simplePos x="0" y="0"/>
              <wp:positionH relativeFrom="page">
                <wp:posOffset>0</wp:posOffset>
              </wp:positionH>
              <wp:positionV relativeFrom="page">
                <wp:posOffset>10189210</wp:posOffset>
              </wp:positionV>
              <wp:extent cx="7560310" cy="311785"/>
              <wp:effectExtent l="0" t="0" r="0" b="12065"/>
              <wp:wrapNone/>
              <wp:docPr id="148136405" name="MSIPCM1b8d4cada46290a59989012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E01AB8" w14:textId="3DD02944" w:rsidR="00041790" w:rsidRPr="00041790" w:rsidRDefault="00041790" w:rsidP="00041790">
                          <w:pPr>
                            <w:spacing w:after="0"/>
                            <w:jc w:val="center"/>
                            <w:rPr>
                              <w:rFonts w:ascii="Arial Black" w:hAnsi="Arial Black"/>
                              <w:color w:val="000000"/>
                              <w:sz w:val="20"/>
                            </w:rPr>
                          </w:pPr>
                          <w:r w:rsidRPr="000417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3C9BF2" id="_x0000_t202" coordsize="21600,21600" o:spt="202" path="m,l,21600r21600,l21600,xe">
              <v:stroke joinstyle="miter"/>
              <v:path gradientshapeok="t" o:connecttype="rect"/>
            </v:shapetype>
            <v:shape id="MSIPCM1b8d4cada46290a599890120"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EE01AB8" w14:textId="3DD02944" w:rsidR="00041790" w:rsidRPr="00041790" w:rsidRDefault="00041790" w:rsidP="00041790">
                    <w:pPr>
                      <w:spacing w:after="0"/>
                      <w:jc w:val="center"/>
                      <w:rPr>
                        <w:rFonts w:ascii="Arial Black" w:hAnsi="Arial Black"/>
                        <w:color w:val="000000"/>
                        <w:sz w:val="20"/>
                      </w:rPr>
                    </w:pPr>
                    <w:r w:rsidRPr="00041790">
                      <w:rPr>
                        <w:rFonts w:ascii="Arial Black" w:hAnsi="Arial Black"/>
                        <w:color w:val="000000"/>
                        <w:sz w:val="20"/>
                      </w:rPr>
                      <w:t>OFFICIAL</w:t>
                    </w:r>
                  </w:p>
                </w:txbxContent>
              </v:textbox>
              <w10:wrap anchorx="page" anchory="page"/>
            </v:shape>
          </w:pict>
        </mc:Fallback>
      </mc:AlternateContent>
    </w:r>
    <w:r w:rsidR="00132F3E">
      <w:rPr>
        <w:noProof/>
      </w:rPr>
      <mc:AlternateContent>
        <mc:Choice Requires="wps">
          <w:drawing>
            <wp:anchor distT="0" distB="0" distL="114300" distR="114300" simplePos="0" relativeHeight="251665408"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16114F" id="MSIPCM8d71420f9d812a1cb194b99a"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3E9A4" w14:textId="77777777" w:rsidR="0020423D" w:rsidRDefault="0020423D" w:rsidP="00207717">
      <w:pPr>
        <w:spacing w:before="120"/>
      </w:pPr>
      <w:r>
        <w:separator/>
      </w:r>
    </w:p>
  </w:footnote>
  <w:footnote w:type="continuationSeparator" w:id="0">
    <w:p w14:paraId="20E04FCC" w14:textId="77777777" w:rsidR="0020423D" w:rsidRDefault="0020423D">
      <w:r>
        <w:continuationSeparator/>
      </w:r>
    </w:p>
    <w:p w14:paraId="58620566" w14:textId="77777777" w:rsidR="0020423D" w:rsidRDefault="00204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EF2C72" w:rsidRDefault="00EF2C72"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B4C7718"/>
    <w:multiLevelType w:val="hybridMultilevel"/>
    <w:tmpl w:val="6966056E"/>
    <w:lvl w:ilvl="0" w:tplc="906E70DE">
      <w:start w:val="1"/>
      <w:numFmt w:val="bullet"/>
      <w:lvlText w:val=""/>
      <w:lvlJc w:val="left"/>
      <w:pPr>
        <w:ind w:left="720" w:hanging="360"/>
      </w:pPr>
      <w:rPr>
        <w:rFonts w:ascii="Symbol" w:hAnsi="Symbol" w:hint="default"/>
      </w:rPr>
    </w:lvl>
    <w:lvl w:ilvl="1" w:tplc="7C9E54B8">
      <w:start w:val="1"/>
      <w:numFmt w:val="bullet"/>
      <w:lvlText w:val="o"/>
      <w:lvlJc w:val="left"/>
      <w:pPr>
        <w:ind w:left="1440" w:hanging="360"/>
      </w:pPr>
      <w:rPr>
        <w:rFonts w:ascii="Courier New" w:hAnsi="Courier New" w:hint="default"/>
      </w:rPr>
    </w:lvl>
    <w:lvl w:ilvl="2" w:tplc="A3B4A328">
      <w:start w:val="1"/>
      <w:numFmt w:val="bullet"/>
      <w:lvlText w:val=""/>
      <w:lvlJc w:val="left"/>
      <w:pPr>
        <w:ind w:left="2160" w:hanging="360"/>
      </w:pPr>
      <w:rPr>
        <w:rFonts w:ascii="Wingdings" w:hAnsi="Wingdings" w:hint="default"/>
      </w:rPr>
    </w:lvl>
    <w:lvl w:ilvl="3" w:tplc="D0E8CC0C">
      <w:start w:val="1"/>
      <w:numFmt w:val="bullet"/>
      <w:lvlText w:val=""/>
      <w:lvlJc w:val="left"/>
      <w:pPr>
        <w:ind w:left="2880" w:hanging="360"/>
      </w:pPr>
      <w:rPr>
        <w:rFonts w:ascii="Symbol" w:hAnsi="Symbol" w:hint="default"/>
      </w:rPr>
    </w:lvl>
    <w:lvl w:ilvl="4" w:tplc="6FA6D666">
      <w:start w:val="1"/>
      <w:numFmt w:val="bullet"/>
      <w:lvlText w:val="o"/>
      <w:lvlJc w:val="left"/>
      <w:pPr>
        <w:ind w:left="3600" w:hanging="360"/>
      </w:pPr>
      <w:rPr>
        <w:rFonts w:ascii="Courier New" w:hAnsi="Courier New" w:hint="default"/>
      </w:rPr>
    </w:lvl>
    <w:lvl w:ilvl="5" w:tplc="A61297D6">
      <w:start w:val="1"/>
      <w:numFmt w:val="bullet"/>
      <w:lvlText w:val=""/>
      <w:lvlJc w:val="left"/>
      <w:pPr>
        <w:ind w:left="4320" w:hanging="360"/>
      </w:pPr>
      <w:rPr>
        <w:rFonts w:ascii="Wingdings" w:hAnsi="Wingdings" w:hint="default"/>
      </w:rPr>
    </w:lvl>
    <w:lvl w:ilvl="6" w:tplc="98A44348">
      <w:start w:val="1"/>
      <w:numFmt w:val="bullet"/>
      <w:lvlText w:val=""/>
      <w:lvlJc w:val="left"/>
      <w:pPr>
        <w:ind w:left="5040" w:hanging="360"/>
      </w:pPr>
      <w:rPr>
        <w:rFonts w:ascii="Symbol" w:hAnsi="Symbol" w:hint="default"/>
      </w:rPr>
    </w:lvl>
    <w:lvl w:ilvl="7" w:tplc="B3AC5810">
      <w:start w:val="1"/>
      <w:numFmt w:val="bullet"/>
      <w:lvlText w:val="o"/>
      <w:lvlJc w:val="left"/>
      <w:pPr>
        <w:ind w:left="5760" w:hanging="360"/>
      </w:pPr>
      <w:rPr>
        <w:rFonts w:ascii="Courier New" w:hAnsi="Courier New" w:hint="default"/>
      </w:rPr>
    </w:lvl>
    <w:lvl w:ilvl="8" w:tplc="F6C80F48">
      <w:start w:val="1"/>
      <w:numFmt w:val="bullet"/>
      <w:lvlText w:val=""/>
      <w:lvlJc w:val="left"/>
      <w:pPr>
        <w:ind w:left="6480" w:hanging="360"/>
      </w:pPr>
      <w:rPr>
        <w:rFonts w:ascii="Wingdings" w:hAnsi="Wingdings" w:hint="default"/>
      </w:rPr>
    </w:lvl>
  </w:abstractNum>
  <w:num w:numId="1" w16cid:durableId="95293855">
    <w:abstractNumId w:val="10"/>
  </w:num>
  <w:num w:numId="2" w16cid:durableId="861406395">
    <w:abstractNumId w:val="17"/>
  </w:num>
  <w:num w:numId="3" w16cid:durableId="400909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17514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4457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2094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582452">
    <w:abstractNumId w:val="21"/>
  </w:num>
  <w:num w:numId="8" w16cid:durableId="614022772">
    <w:abstractNumId w:val="16"/>
  </w:num>
  <w:num w:numId="9" w16cid:durableId="188029350">
    <w:abstractNumId w:val="20"/>
  </w:num>
  <w:num w:numId="10" w16cid:durableId="7875027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7160938">
    <w:abstractNumId w:val="22"/>
  </w:num>
  <w:num w:numId="12" w16cid:durableId="362636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604039">
    <w:abstractNumId w:val="18"/>
  </w:num>
  <w:num w:numId="14" w16cid:durableId="7069554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3278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29309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00317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435451">
    <w:abstractNumId w:val="24"/>
  </w:num>
  <w:num w:numId="19" w16cid:durableId="15559227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76143">
    <w:abstractNumId w:val="14"/>
  </w:num>
  <w:num w:numId="21" w16cid:durableId="2096196761">
    <w:abstractNumId w:val="12"/>
  </w:num>
  <w:num w:numId="22" w16cid:durableId="4206848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370282">
    <w:abstractNumId w:val="15"/>
  </w:num>
  <w:num w:numId="24" w16cid:durableId="837385023">
    <w:abstractNumId w:val="25"/>
  </w:num>
  <w:num w:numId="25" w16cid:durableId="1734309654">
    <w:abstractNumId w:val="23"/>
  </w:num>
  <w:num w:numId="26" w16cid:durableId="586154878">
    <w:abstractNumId w:val="19"/>
  </w:num>
  <w:num w:numId="27" w16cid:durableId="1973827267">
    <w:abstractNumId w:val="11"/>
  </w:num>
  <w:num w:numId="28" w16cid:durableId="1464881591">
    <w:abstractNumId w:val="26"/>
  </w:num>
  <w:num w:numId="29" w16cid:durableId="1371109413">
    <w:abstractNumId w:val="9"/>
  </w:num>
  <w:num w:numId="30" w16cid:durableId="275714867">
    <w:abstractNumId w:val="7"/>
  </w:num>
  <w:num w:numId="31" w16cid:durableId="1920749003">
    <w:abstractNumId w:val="6"/>
  </w:num>
  <w:num w:numId="32" w16cid:durableId="987905786">
    <w:abstractNumId w:val="5"/>
  </w:num>
  <w:num w:numId="33" w16cid:durableId="2112700907">
    <w:abstractNumId w:val="4"/>
  </w:num>
  <w:num w:numId="34" w16cid:durableId="1678924855">
    <w:abstractNumId w:val="8"/>
  </w:num>
  <w:num w:numId="35" w16cid:durableId="1599873969">
    <w:abstractNumId w:val="3"/>
  </w:num>
  <w:num w:numId="36" w16cid:durableId="882714774">
    <w:abstractNumId w:val="2"/>
  </w:num>
  <w:num w:numId="37" w16cid:durableId="27338610">
    <w:abstractNumId w:val="1"/>
  </w:num>
  <w:num w:numId="38" w16cid:durableId="1324118638">
    <w:abstractNumId w:val="0"/>
  </w:num>
  <w:num w:numId="39" w16cid:durableId="1543975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527440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790"/>
    <w:rsid w:val="00041BF0"/>
    <w:rsid w:val="00042C8A"/>
    <w:rsid w:val="0004536B"/>
    <w:rsid w:val="00046B68"/>
    <w:rsid w:val="00050BB3"/>
    <w:rsid w:val="000527DD"/>
    <w:rsid w:val="000578B2"/>
    <w:rsid w:val="00060959"/>
    <w:rsid w:val="00060C8F"/>
    <w:rsid w:val="0006298A"/>
    <w:rsid w:val="000663CD"/>
    <w:rsid w:val="000733FE"/>
    <w:rsid w:val="00074219"/>
    <w:rsid w:val="00074ED5"/>
    <w:rsid w:val="000759E2"/>
    <w:rsid w:val="0008508E"/>
    <w:rsid w:val="000864F2"/>
    <w:rsid w:val="00086557"/>
    <w:rsid w:val="00087951"/>
    <w:rsid w:val="0009113B"/>
    <w:rsid w:val="000914BE"/>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881"/>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F3E"/>
    <w:rsid w:val="001447B3"/>
    <w:rsid w:val="00147B82"/>
    <w:rsid w:val="00152073"/>
    <w:rsid w:val="0015482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01A6"/>
    <w:rsid w:val="001E44DF"/>
    <w:rsid w:val="001E68A5"/>
    <w:rsid w:val="001E6BB0"/>
    <w:rsid w:val="001E7282"/>
    <w:rsid w:val="001F3826"/>
    <w:rsid w:val="001F6E46"/>
    <w:rsid w:val="001F7C91"/>
    <w:rsid w:val="00202A36"/>
    <w:rsid w:val="002033B7"/>
    <w:rsid w:val="0020423D"/>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000"/>
    <w:rsid w:val="002D1E0D"/>
    <w:rsid w:val="002D5006"/>
    <w:rsid w:val="002E01D0"/>
    <w:rsid w:val="002E161D"/>
    <w:rsid w:val="002E3100"/>
    <w:rsid w:val="002E6C95"/>
    <w:rsid w:val="002E7C36"/>
    <w:rsid w:val="002F32A3"/>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602E"/>
    <w:rsid w:val="00337339"/>
    <w:rsid w:val="003406C6"/>
    <w:rsid w:val="003418CC"/>
    <w:rsid w:val="003459BD"/>
    <w:rsid w:val="00350D38"/>
    <w:rsid w:val="00351B36"/>
    <w:rsid w:val="00357B4E"/>
    <w:rsid w:val="003716FD"/>
    <w:rsid w:val="0037204B"/>
    <w:rsid w:val="003744CF"/>
    <w:rsid w:val="00374717"/>
    <w:rsid w:val="0037676C"/>
    <w:rsid w:val="00380BD6"/>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42B"/>
    <w:rsid w:val="003F2B20"/>
    <w:rsid w:val="003F3289"/>
    <w:rsid w:val="003F3C62"/>
    <w:rsid w:val="003F5CB9"/>
    <w:rsid w:val="004013C7"/>
    <w:rsid w:val="00401FCF"/>
    <w:rsid w:val="00406285"/>
    <w:rsid w:val="004148F9"/>
    <w:rsid w:val="0042084E"/>
    <w:rsid w:val="00421EEF"/>
    <w:rsid w:val="00424D65"/>
    <w:rsid w:val="00430393"/>
    <w:rsid w:val="004317D5"/>
    <w:rsid w:val="00431806"/>
    <w:rsid w:val="00437AC5"/>
    <w:rsid w:val="00442C6C"/>
    <w:rsid w:val="00443CBE"/>
    <w:rsid w:val="00443E8A"/>
    <w:rsid w:val="004441BC"/>
    <w:rsid w:val="004468B4"/>
    <w:rsid w:val="0045230A"/>
    <w:rsid w:val="00454766"/>
    <w:rsid w:val="00454AD0"/>
    <w:rsid w:val="00457337"/>
    <w:rsid w:val="00462E3D"/>
    <w:rsid w:val="00466E79"/>
    <w:rsid w:val="00470D7D"/>
    <w:rsid w:val="0047372D"/>
    <w:rsid w:val="00473BA3"/>
    <w:rsid w:val="004743DD"/>
    <w:rsid w:val="00474CEA"/>
    <w:rsid w:val="00477A4C"/>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0BE"/>
    <w:rsid w:val="004D1B22"/>
    <w:rsid w:val="004D23CC"/>
    <w:rsid w:val="004D36F2"/>
    <w:rsid w:val="004E1106"/>
    <w:rsid w:val="004E138F"/>
    <w:rsid w:val="004E2559"/>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16D21"/>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3F81"/>
    <w:rsid w:val="005F4DFA"/>
    <w:rsid w:val="005F64CF"/>
    <w:rsid w:val="006041AD"/>
    <w:rsid w:val="00605908"/>
    <w:rsid w:val="00607850"/>
    <w:rsid w:val="00610D7C"/>
    <w:rsid w:val="00611CE6"/>
    <w:rsid w:val="00613414"/>
    <w:rsid w:val="00620154"/>
    <w:rsid w:val="0062408D"/>
    <w:rsid w:val="006240CC"/>
    <w:rsid w:val="00624940"/>
    <w:rsid w:val="006254F8"/>
    <w:rsid w:val="00627DA7"/>
    <w:rsid w:val="00630DA4"/>
    <w:rsid w:val="00631CD4"/>
    <w:rsid w:val="00632597"/>
    <w:rsid w:val="00634D13"/>
    <w:rsid w:val="006358B4"/>
    <w:rsid w:val="00640C2A"/>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2934"/>
    <w:rsid w:val="00683878"/>
    <w:rsid w:val="0068454C"/>
    <w:rsid w:val="00691B62"/>
    <w:rsid w:val="006933B5"/>
    <w:rsid w:val="00693D14"/>
    <w:rsid w:val="00695A93"/>
    <w:rsid w:val="00696F27"/>
    <w:rsid w:val="006A18C2"/>
    <w:rsid w:val="006A3383"/>
    <w:rsid w:val="006B077C"/>
    <w:rsid w:val="006B16AF"/>
    <w:rsid w:val="006B4EA3"/>
    <w:rsid w:val="006B6803"/>
    <w:rsid w:val="006D0F16"/>
    <w:rsid w:val="006D2A3F"/>
    <w:rsid w:val="006D2FBC"/>
    <w:rsid w:val="006E138B"/>
    <w:rsid w:val="006E1867"/>
    <w:rsid w:val="006E5F1B"/>
    <w:rsid w:val="006F0330"/>
    <w:rsid w:val="006F1FDC"/>
    <w:rsid w:val="006F6B8C"/>
    <w:rsid w:val="007013EF"/>
    <w:rsid w:val="007055BD"/>
    <w:rsid w:val="007173CA"/>
    <w:rsid w:val="00717EB7"/>
    <w:rsid w:val="007216AA"/>
    <w:rsid w:val="00721AB5"/>
    <w:rsid w:val="00721CFB"/>
    <w:rsid w:val="00721DEF"/>
    <w:rsid w:val="00724A43"/>
    <w:rsid w:val="007273AC"/>
    <w:rsid w:val="00731AD4"/>
    <w:rsid w:val="007346E4"/>
    <w:rsid w:val="00736830"/>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7481"/>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42C7"/>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47DB"/>
    <w:rsid w:val="0096632D"/>
    <w:rsid w:val="00967124"/>
    <w:rsid w:val="009718C7"/>
    <w:rsid w:val="0097559F"/>
    <w:rsid w:val="009761EA"/>
    <w:rsid w:val="0097761E"/>
    <w:rsid w:val="00982389"/>
    <w:rsid w:val="00982454"/>
    <w:rsid w:val="00982CF0"/>
    <w:rsid w:val="009853E1"/>
    <w:rsid w:val="00986E6B"/>
    <w:rsid w:val="00990032"/>
    <w:rsid w:val="00990B19"/>
    <w:rsid w:val="0099153B"/>
    <w:rsid w:val="00991769"/>
    <w:rsid w:val="00991953"/>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03E7"/>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756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6537"/>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5CA"/>
    <w:rsid w:val="00B65950"/>
    <w:rsid w:val="00B66D83"/>
    <w:rsid w:val="00B672C0"/>
    <w:rsid w:val="00B676FD"/>
    <w:rsid w:val="00B678B6"/>
    <w:rsid w:val="00B75646"/>
    <w:rsid w:val="00B7629E"/>
    <w:rsid w:val="00B90729"/>
    <w:rsid w:val="00B907DA"/>
    <w:rsid w:val="00B950BC"/>
    <w:rsid w:val="00B9714C"/>
    <w:rsid w:val="00BA21A2"/>
    <w:rsid w:val="00BA29AD"/>
    <w:rsid w:val="00BA33CF"/>
    <w:rsid w:val="00BA3F8D"/>
    <w:rsid w:val="00BB7A1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DB7"/>
    <w:rsid w:val="00C26588"/>
    <w:rsid w:val="00C27DE9"/>
    <w:rsid w:val="00C32989"/>
    <w:rsid w:val="00C33388"/>
    <w:rsid w:val="00C35484"/>
    <w:rsid w:val="00C4173A"/>
    <w:rsid w:val="00C420E2"/>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65F"/>
    <w:rsid w:val="00D411A2"/>
    <w:rsid w:val="00D4606D"/>
    <w:rsid w:val="00D50B9C"/>
    <w:rsid w:val="00D52D73"/>
    <w:rsid w:val="00D52E58"/>
    <w:rsid w:val="00D56B20"/>
    <w:rsid w:val="00D578B3"/>
    <w:rsid w:val="00D618F4"/>
    <w:rsid w:val="00D714CC"/>
    <w:rsid w:val="00D7319D"/>
    <w:rsid w:val="00D75EA7"/>
    <w:rsid w:val="00D81ADF"/>
    <w:rsid w:val="00D81F21"/>
    <w:rsid w:val="00D864F2"/>
    <w:rsid w:val="00D934BF"/>
    <w:rsid w:val="00D943F8"/>
    <w:rsid w:val="00D95470"/>
    <w:rsid w:val="00D96B55"/>
    <w:rsid w:val="00DA2619"/>
    <w:rsid w:val="00DA2E57"/>
    <w:rsid w:val="00DA4239"/>
    <w:rsid w:val="00DA5E2D"/>
    <w:rsid w:val="00DA65DE"/>
    <w:rsid w:val="00DB0B61"/>
    <w:rsid w:val="00DB0D89"/>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00A"/>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E773A"/>
    <w:rsid w:val="00EF109B"/>
    <w:rsid w:val="00EF201C"/>
    <w:rsid w:val="00EF2C72"/>
    <w:rsid w:val="00EF36AF"/>
    <w:rsid w:val="00EF59A3"/>
    <w:rsid w:val="00EF6675"/>
    <w:rsid w:val="00F0063D"/>
    <w:rsid w:val="00F00F9C"/>
    <w:rsid w:val="00F01E5F"/>
    <w:rsid w:val="00F024F3"/>
    <w:rsid w:val="00F02ABA"/>
    <w:rsid w:val="00F0437A"/>
    <w:rsid w:val="00F10116"/>
    <w:rsid w:val="00F101B8"/>
    <w:rsid w:val="00F10C7D"/>
    <w:rsid w:val="00F11037"/>
    <w:rsid w:val="00F16F1B"/>
    <w:rsid w:val="00F250A9"/>
    <w:rsid w:val="00F267AF"/>
    <w:rsid w:val="00F30FF4"/>
    <w:rsid w:val="00F3122E"/>
    <w:rsid w:val="00F32368"/>
    <w:rsid w:val="00F331AD"/>
    <w:rsid w:val="00F3520F"/>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BE1"/>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1841"/>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TableHead">
    <w:name w:val="Table Head"/>
    <w:basedOn w:val="Normal"/>
    <w:qFormat/>
    <w:rsid w:val="00736830"/>
    <w:pPr>
      <w:spacing w:line="240" w:lineRule="auto"/>
    </w:pPr>
    <w:rPr>
      <w:rFonts w:asciiTheme="minorHAnsi" w:eastAsiaTheme="minorHAnsi" w:hAnsiTheme="minorHAnsi" w:cstheme="minorBidi"/>
      <w:b/>
      <w:color w:val="FFFFFF" w:themeColor="background1"/>
      <w:sz w:val="22"/>
      <w:szCs w:val="24"/>
    </w:rPr>
  </w:style>
  <w:style w:type="paragraph" w:customStyle="1" w:styleId="Tablebody">
    <w:name w:val="Table body"/>
    <w:basedOn w:val="Normal"/>
    <w:qFormat/>
    <w:rsid w:val="00736830"/>
    <w:pPr>
      <w:spacing w:before="60" w:after="60" w:line="240" w:lineRule="auto"/>
    </w:pPr>
    <w:rPr>
      <w:rFonts w:asciiTheme="minorHAnsi" w:eastAsiaTheme="minorHAnsi" w:hAnsiTheme="minorHAnsi" w:cstheme="minorBidi"/>
      <w:sz w:val="22"/>
      <w:szCs w:val="24"/>
    </w:rPr>
  </w:style>
  <w:style w:type="paragraph" w:styleId="ListParagraph">
    <w:name w:val="List Paragraph"/>
    <w:basedOn w:val="Normal"/>
    <w:uiPriority w:val="34"/>
    <w:qFormat/>
    <w:rsid w:val="00736830"/>
    <w:pPr>
      <w:spacing w:line="240" w:lineRule="auto"/>
      <w:ind w:left="720"/>
      <w:contextualSpacing/>
    </w:pPr>
    <w:rPr>
      <w:rFonts w:asciiTheme="minorHAnsi" w:eastAsiaTheme="minorHAnsi" w:hAnsiTheme="minorHAnsi" w:cstheme="minorBidi"/>
      <w:sz w:val="22"/>
      <w:szCs w:val="24"/>
      <w:lang w:val="en-GB"/>
    </w:rPr>
  </w:style>
  <w:style w:type="character" w:customStyle="1" w:styleId="normaltextrun">
    <w:name w:val="normaltextrun"/>
    <w:basedOn w:val="DefaultParagraphFont"/>
    <w:rsid w:val="00736830"/>
  </w:style>
  <w:style w:type="character" w:customStyle="1" w:styleId="eop">
    <w:name w:val="eop"/>
    <w:basedOn w:val="DefaultParagraphFont"/>
    <w:rsid w:val="00736830"/>
  </w:style>
  <w:style w:type="character" w:customStyle="1" w:styleId="cf01">
    <w:name w:val="cf01"/>
    <w:basedOn w:val="DefaultParagraphFont"/>
    <w:rsid w:val="00736830"/>
    <w:rPr>
      <w:rFonts w:ascii="Segoe UI" w:hAnsi="Segoe UI" w:cs="Segoe UI" w:hint="default"/>
      <w:color w:val="0A0A0A"/>
      <w:sz w:val="18"/>
      <w:szCs w:val="18"/>
      <w:shd w:val="clear" w:color="auto" w:fill="FFFFFF"/>
    </w:rPr>
  </w:style>
  <w:style w:type="character" w:customStyle="1" w:styleId="cf11">
    <w:name w:val="cf11"/>
    <w:basedOn w:val="DefaultParagraphFont"/>
    <w:rsid w:val="007368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fac.dffh.vic.gov.au/service-agreement" TargetMode="External"/><Relationship Id="rId2" Type="http://schemas.openxmlformats.org/officeDocument/2006/relationships/customXml" Target="../customXml/item2.xml"/><Relationship Id="rId16" Type="http://schemas.openxmlformats.org/officeDocument/2006/relationships/hyperlink" Target="https://fac.dffh.vic.gov.au/service-agreement-require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ac.dffh.vic.gov.au/service-agre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9" ma:contentTypeDescription="Create a new document." ma:contentTypeScope="" ma:versionID="888275cd9518b2b1a5eb67f738e980b6">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dd2e6d4d2885a103fee10942787f55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0a1cdb3-76af-40bd-93b0-f7d150250ba2">
      <Terms xmlns="http://schemas.microsoft.com/office/infopath/2007/PartnerControls"/>
    </lcf76f155ced4ddcb4097134ff3c332f>
    <Sample_x0020_1a_x0020_Commitment_x0020_1_x002d_E5FS19_x0020_Approvals xmlns="a0a1cdb3-76af-40bd-93b0-f7d150250b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AEAF-DAB9-4BAA-8B6F-6D1884DE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a0a1cdb3-76af-40bd-93b0-f7d150250ba2"/>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5ce0f2b5-5be5-4508-bce9-d7011ece0659"/>
    <ds:schemaRef ds:uri="http://purl.org/dc/dcmitype/"/>
    <ds:schemaRef ds:uri="2fd516b9-533a-4c39-aa95-d1ccfc9bb0de"/>
    <ds:schemaRef ds:uri="http://www.w3.org/XML/1998/namespac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3</TotalTime>
  <Pages>4</Pages>
  <Words>1007</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Summary of Changes to the Service Agreement 2024 to 2028_DFFH_DH_ACFE</vt:lpstr>
    </vt:vector>
  </TitlesOfParts>
  <Company>Victoria State Government, Department of Families, Fairness and Housing</Company>
  <LinksUpToDate>false</LinksUpToDate>
  <CharactersWithSpaces>7094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Changes to the Service Agreement 2024 to 2028_DFFH_DH_ACFE</dc:title>
  <dc:creator>Service Agreement Performance branch</dc:creator>
  <cp:lastModifiedBy>Maria Tsekouras (DFFH)</cp:lastModifiedBy>
  <cp:revision>4</cp:revision>
  <cp:lastPrinted>2021-01-29T05:27:00Z</cp:lastPrinted>
  <dcterms:created xsi:type="dcterms:W3CDTF">2024-06-24T06:59:00Z</dcterms:created>
  <dcterms:modified xsi:type="dcterms:W3CDTF">2024-06-25T01:01:00Z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v5 16032021 sbv1 03052021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2024-06-24T06:42:00Z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e2e7c515-d54c-4040-95f4-50384140c886</vt:lpwstr>
  </property>
  <property fmtid="{D5CDD505-2E9C-101B-9397-08002B2CF9AE}" pid="12" name="MSIP_Label_43e64453-338c-4f93-8a4d-0039a0a41f2a_ContentBits">
    <vt:lpwstr>2</vt:lpwstr>
  </property>
  <property fmtid="{D5CDD505-2E9C-101B-9397-08002B2CF9AE}" pid="13" name="_MarkAsFinal">
    <vt:bool>true</vt:bool>
  </property>
</Properties>
</file>