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7994" w:rsidRDefault="00B95AB9" w:rsidP="00280C4B">
      <w:pPr>
        <w:pStyle w:val="Sectionbreakfirstpage"/>
        <w:rPr>
          <w:rFonts w:asciiTheme="minorHAnsi" w:hAnsiTheme="minorHAnsi" w:cstheme="minorHAnsi"/>
        </w:rPr>
      </w:pPr>
      <w:r w:rsidRPr="00287994">
        <w:rPr>
          <w:rFonts w:asciiTheme="minorHAnsi" w:hAnsiTheme="minorHAnsi" w:cstheme="minorHAnsi"/>
        </w:rPr>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7994" w:rsidRDefault="00A62D44" w:rsidP="00280C4B">
      <w:pPr>
        <w:pStyle w:val="Sectionbreakfirstpage"/>
        <w:rPr>
          <w:rFonts w:asciiTheme="minorHAnsi" w:hAnsiTheme="minorHAnsi" w:cstheme="minorHAnsi"/>
        </w:rPr>
        <w:sectPr w:rsidR="00A62D44" w:rsidRPr="00287994"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287994" w14:paraId="765659DC" w14:textId="77777777" w:rsidTr="00CF4148">
        <w:trPr>
          <w:trHeight w:val="1418"/>
        </w:trPr>
        <w:tc>
          <w:tcPr>
            <w:tcW w:w="7825" w:type="dxa"/>
            <w:vAlign w:val="bottom"/>
          </w:tcPr>
          <w:p w14:paraId="1B06FE4C" w14:textId="4FAF70EA" w:rsidR="00AD784C" w:rsidRPr="00287994" w:rsidRDefault="009E700F" w:rsidP="0016037B">
            <w:pPr>
              <w:pStyle w:val="Documenttitle"/>
              <w:rPr>
                <w:rFonts w:asciiTheme="minorHAnsi" w:hAnsiTheme="minorHAnsi" w:cstheme="minorHAnsi"/>
              </w:rPr>
            </w:pPr>
            <w:r w:rsidRPr="00287994">
              <w:rPr>
                <w:rFonts w:asciiTheme="minorHAnsi" w:hAnsiTheme="minorHAnsi" w:cstheme="minorHAnsi"/>
              </w:rPr>
              <w:t xml:space="preserve">Cultural Plan Brokerage </w:t>
            </w:r>
            <w:r w:rsidR="002A2051" w:rsidRPr="00287994">
              <w:rPr>
                <w:rFonts w:asciiTheme="minorHAnsi" w:hAnsiTheme="minorHAnsi" w:cstheme="minorHAnsi"/>
              </w:rPr>
              <w:t xml:space="preserve">Funding </w:t>
            </w:r>
            <w:r w:rsidRPr="00287994">
              <w:rPr>
                <w:rFonts w:asciiTheme="minorHAnsi" w:hAnsiTheme="minorHAnsi" w:cstheme="minorHAnsi"/>
              </w:rPr>
              <w:t>Guidelines</w:t>
            </w:r>
          </w:p>
        </w:tc>
      </w:tr>
      <w:tr w:rsidR="000B2117" w:rsidRPr="00287994" w14:paraId="5DF317EC" w14:textId="77777777" w:rsidTr="009C1CB1">
        <w:trPr>
          <w:trHeight w:val="1247"/>
        </w:trPr>
        <w:tc>
          <w:tcPr>
            <w:tcW w:w="7825" w:type="dxa"/>
          </w:tcPr>
          <w:p w14:paraId="69C24C39" w14:textId="5A1824EF" w:rsidR="000B2117" w:rsidRPr="00287994" w:rsidRDefault="00BB5D8F" w:rsidP="0016037B">
            <w:pPr>
              <w:pStyle w:val="Documentsubtitle"/>
              <w:rPr>
                <w:rFonts w:asciiTheme="minorHAnsi" w:hAnsiTheme="minorHAnsi" w:cstheme="minorHAnsi"/>
              </w:rPr>
            </w:pPr>
            <w:r w:rsidRPr="00287994">
              <w:rPr>
                <w:rFonts w:asciiTheme="minorHAnsi" w:hAnsiTheme="minorHAnsi" w:cstheme="minorHAnsi"/>
              </w:rPr>
              <w:t xml:space="preserve">For use to implement </w:t>
            </w:r>
            <w:r w:rsidR="002A2051" w:rsidRPr="00287994">
              <w:rPr>
                <w:rFonts w:asciiTheme="minorHAnsi" w:hAnsiTheme="minorHAnsi" w:cstheme="minorHAnsi"/>
              </w:rPr>
              <w:t>C</w:t>
            </w:r>
            <w:r w:rsidRPr="00287994">
              <w:rPr>
                <w:rFonts w:asciiTheme="minorHAnsi" w:hAnsiTheme="minorHAnsi" w:cstheme="minorHAnsi"/>
              </w:rPr>
              <w:t xml:space="preserve">ultural </w:t>
            </w:r>
            <w:r w:rsidR="002A2051" w:rsidRPr="00287994">
              <w:rPr>
                <w:rFonts w:asciiTheme="minorHAnsi" w:hAnsiTheme="minorHAnsi" w:cstheme="minorHAnsi"/>
              </w:rPr>
              <w:t>P</w:t>
            </w:r>
            <w:r w:rsidRPr="00287994">
              <w:rPr>
                <w:rFonts w:asciiTheme="minorHAnsi" w:hAnsiTheme="minorHAnsi" w:cstheme="minorHAnsi"/>
              </w:rPr>
              <w:t>lans</w:t>
            </w:r>
          </w:p>
        </w:tc>
      </w:tr>
      <w:tr w:rsidR="00CF4148" w:rsidRPr="00287994" w14:paraId="5F5E6105" w14:textId="77777777" w:rsidTr="00CF4148">
        <w:trPr>
          <w:trHeight w:val="284"/>
        </w:trPr>
        <w:tc>
          <w:tcPr>
            <w:tcW w:w="7825" w:type="dxa"/>
          </w:tcPr>
          <w:p w14:paraId="45D389E8" w14:textId="74334762" w:rsidR="00CF4148" w:rsidRPr="00287994" w:rsidRDefault="00262BE9" w:rsidP="00CF4148">
            <w:pPr>
              <w:pStyle w:val="Bannermarking"/>
              <w:rPr>
                <w:rFonts w:asciiTheme="minorHAnsi" w:hAnsiTheme="minorHAnsi" w:cstheme="minorHAnsi"/>
              </w:rPr>
            </w:pPr>
            <w:r w:rsidRPr="00287994">
              <w:rPr>
                <w:rFonts w:asciiTheme="minorHAnsi" w:hAnsiTheme="minorHAnsi" w:cstheme="minorHAnsi"/>
              </w:rPr>
              <w:fldChar w:fldCharType="begin"/>
            </w:r>
            <w:r w:rsidRPr="00287994">
              <w:rPr>
                <w:rFonts w:asciiTheme="minorHAnsi" w:hAnsiTheme="minorHAnsi" w:cstheme="minorHAnsi"/>
              </w:rPr>
              <w:instrText xml:space="preserve"> FILLIN  "Type the protective marking" \d OFFICIAL \o  \* MERGEFORMAT </w:instrText>
            </w:r>
            <w:r w:rsidRPr="00287994">
              <w:rPr>
                <w:rFonts w:asciiTheme="minorHAnsi" w:hAnsiTheme="minorHAnsi" w:cstheme="minorHAnsi"/>
              </w:rPr>
              <w:fldChar w:fldCharType="separate"/>
            </w:r>
            <w:r w:rsidR="00CF4148" w:rsidRPr="00287994">
              <w:rPr>
                <w:rFonts w:asciiTheme="minorHAnsi" w:hAnsiTheme="minorHAnsi" w:cstheme="minorHAnsi"/>
              </w:rPr>
              <w:t>OFFICIAL</w:t>
            </w:r>
            <w:r w:rsidRPr="00287994">
              <w:rPr>
                <w:rFonts w:asciiTheme="minorHAnsi" w:hAnsiTheme="minorHAnsi" w:cstheme="minorHAnsi"/>
              </w:rPr>
              <w:fldChar w:fldCharType="end"/>
            </w:r>
          </w:p>
        </w:tc>
      </w:tr>
    </w:tbl>
    <w:p w14:paraId="0CBF5D9A" w14:textId="153295C1" w:rsidR="00AD784C" w:rsidRPr="00287994" w:rsidRDefault="00AD784C" w:rsidP="002365B4">
      <w:pPr>
        <w:pStyle w:val="TOCheadingfactsheet"/>
        <w:rPr>
          <w:rFonts w:asciiTheme="minorHAnsi" w:hAnsiTheme="minorHAnsi" w:cstheme="minorHAnsi"/>
        </w:rPr>
      </w:pPr>
      <w:r w:rsidRPr="00287994">
        <w:rPr>
          <w:rFonts w:asciiTheme="minorHAnsi" w:hAnsiTheme="minorHAnsi" w:cstheme="minorHAnsi"/>
        </w:rPr>
        <w:t>Contents</w:t>
      </w:r>
    </w:p>
    <w:p w14:paraId="54856070" w14:textId="1C2A3EA7" w:rsidR="001029BD" w:rsidRPr="00287994" w:rsidRDefault="0015479B">
      <w:pPr>
        <w:pStyle w:val="TOC1"/>
        <w:rPr>
          <w:rFonts w:asciiTheme="minorHAnsi" w:eastAsiaTheme="minorEastAsia" w:hAnsiTheme="minorHAnsi" w:cstheme="minorBidi"/>
          <w:b w:val="0"/>
          <w:kern w:val="2"/>
          <w:sz w:val="22"/>
          <w:szCs w:val="22"/>
          <w:lang w:eastAsia="en-AU"/>
          <w14:ligatures w14:val="standardContextual"/>
        </w:rPr>
      </w:pPr>
      <w:r w:rsidRPr="00287994">
        <w:rPr>
          <w:rFonts w:asciiTheme="minorHAnsi" w:hAnsiTheme="minorHAnsi" w:cstheme="minorHAnsi"/>
        </w:rPr>
        <w:fldChar w:fldCharType="begin"/>
      </w:r>
      <w:r w:rsidRPr="00287994">
        <w:rPr>
          <w:rFonts w:asciiTheme="minorHAnsi" w:hAnsiTheme="minorHAnsi" w:cstheme="minorHAnsi"/>
        </w:rPr>
        <w:instrText xml:space="preserve"> TOC \h \z \t "Heading 1,1,Heading 2,2" </w:instrText>
      </w:r>
      <w:r w:rsidRPr="00287994">
        <w:rPr>
          <w:rFonts w:asciiTheme="minorHAnsi" w:hAnsiTheme="minorHAnsi" w:cstheme="minorHAnsi"/>
        </w:rPr>
        <w:fldChar w:fldCharType="separate"/>
      </w:r>
      <w:hyperlink w:anchor="_Toc162531371" w:history="1">
        <w:r w:rsidR="001029BD" w:rsidRPr="00287994">
          <w:rPr>
            <w:rStyle w:val="Hyperlink"/>
          </w:rPr>
          <w:t>Purpose</w:t>
        </w:r>
        <w:r w:rsidR="001029BD" w:rsidRPr="00287994">
          <w:rPr>
            <w:webHidden/>
          </w:rPr>
          <w:tab/>
        </w:r>
        <w:r w:rsidR="001029BD" w:rsidRPr="00287994">
          <w:rPr>
            <w:webHidden/>
          </w:rPr>
          <w:fldChar w:fldCharType="begin"/>
        </w:r>
        <w:r w:rsidR="001029BD" w:rsidRPr="00287994">
          <w:rPr>
            <w:webHidden/>
          </w:rPr>
          <w:instrText xml:space="preserve"> PAGEREF _Toc162531371 \h </w:instrText>
        </w:r>
        <w:r w:rsidR="001029BD" w:rsidRPr="00287994">
          <w:rPr>
            <w:webHidden/>
          </w:rPr>
        </w:r>
        <w:r w:rsidR="001029BD" w:rsidRPr="00287994">
          <w:rPr>
            <w:webHidden/>
          </w:rPr>
          <w:fldChar w:fldCharType="separate"/>
        </w:r>
        <w:r w:rsidR="001029BD" w:rsidRPr="00287994">
          <w:rPr>
            <w:webHidden/>
          </w:rPr>
          <w:t>1</w:t>
        </w:r>
        <w:r w:rsidR="001029BD" w:rsidRPr="00287994">
          <w:rPr>
            <w:webHidden/>
          </w:rPr>
          <w:fldChar w:fldCharType="end"/>
        </w:r>
      </w:hyperlink>
    </w:p>
    <w:p w14:paraId="1BD1927D" w14:textId="5DEBB6CC" w:rsidR="001029BD" w:rsidRPr="00287994" w:rsidRDefault="00490EBD">
      <w:pPr>
        <w:pStyle w:val="TOC1"/>
        <w:rPr>
          <w:rFonts w:asciiTheme="minorHAnsi" w:eastAsiaTheme="minorEastAsia" w:hAnsiTheme="minorHAnsi" w:cstheme="minorBidi"/>
          <w:b w:val="0"/>
          <w:kern w:val="2"/>
          <w:sz w:val="22"/>
          <w:szCs w:val="22"/>
          <w:lang w:eastAsia="en-AU"/>
          <w14:ligatures w14:val="standardContextual"/>
        </w:rPr>
      </w:pPr>
      <w:hyperlink w:anchor="_Toc162531372" w:history="1">
        <w:r w:rsidR="001029BD" w:rsidRPr="00287994">
          <w:rPr>
            <w:rStyle w:val="Hyperlink"/>
          </w:rPr>
          <w:t>Roles and responsibilities</w:t>
        </w:r>
        <w:r w:rsidR="001029BD" w:rsidRPr="00287994">
          <w:rPr>
            <w:webHidden/>
          </w:rPr>
          <w:tab/>
        </w:r>
        <w:r w:rsidR="001029BD" w:rsidRPr="00287994">
          <w:rPr>
            <w:webHidden/>
          </w:rPr>
          <w:fldChar w:fldCharType="begin"/>
        </w:r>
        <w:r w:rsidR="001029BD" w:rsidRPr="00287994">
          <w:rPr>
            <w:webHidden/>
          </w:rPr>
          <w:instrText xml:space="preserve"> PAGEREF _Toc162531372 \h </w:instrText>
        </w:r>
        <w:r w:rsidR="001029BD" w:rsidRPr="00287994">
          <w:rPr>
            <w:webHidden/>
          </w:rPr>
        </w:r>
        <w:r w:rsidR="001029BD" w:rsidRPr="00287994">
          <w:rPr>
            <w:webHidden/>
          </w:rPr>
          <w:fldChar w:fldCharType="separate"/>
        </w:r>
        <w:r w:rsidR="001029BD" w:rsidRPr="00287994">
          <w:rPr>
            <w:webHidden/>
          </w:rPr>
          <w:t>1</w:t>
        </w:r>
        <w:r w:rsidR="001029BD" w:rsidRPr="00287994">
          <w:rPr>
            <w:webHidden/>
          </w:rPr>
          <w:fldChar w:fldCharType="end"/>
        </w:r>
      </w:hyperlink>
    </w:p>
    <w:p w14:paraId="51ED8B2B" w14:textId="371D5A09" w:rsidR="001029BD" w:rsidRPr="00287994" w:rsidRDefault="00490EBD">
      <w:pPr>
        <w:pStyle w:val="TOC1"/>
        <w:rPr>
          <w:rFonts w:asciiTheme="minorHAnsi" w:eastAsiaTheme="minorEastAsia" w:hAnsiTheme="minorHAnsi" w:cstheme="minorBidi"/>
          <w:b w:val="0"/>
          <w:kern w:val="2"/>
          <w:sz w:val="22"/>
          <w:szCs w:val="22"/>
          <w:lang w:eastAsia="en-AU"/>
          <w14:ligatures w14:val="standardContextual"/>
        </w:rPr>
      </w:pPr>
      <w:hyperlink w:anchor="_Toc162531373" w:history="1">
        <w:r w:rsidR="001029BD" w:rsidRPr="00287994">
          <w:rPr>
            <w:rStyle w:val="Hyperlink"/>
          </w:rPr>
          <w:t>Eligibility</w:t>
        </w:r>
        <w:r w:rsidR="001029BD" w:rsidRPr="00287994">
          <w:rPr>
            <w:webHidden/>
          </w:rPr>
          <w:tab/>
        </w:r>
        <w:r w:rsidR="001029BD" w:rsidRPr="00287994">
          <w:rPr>
            <w:webHidden/>
          </w:rPr>
          <w:fldChar w:fldCharType="begin"/>
        </w:r>
        <w:r w:rsidR="001029BD" w:rsidRPr="00287994">
          <w:rPr>
            <w:webHidden/>
          </w:rPr>
          <w:instrText xml:space="preserve"> PAGEREF _Toc162531373 \h </w:instrText>
        </w:r>
        <w:r w:rsidR="001029BD" w:rsidRPr="00287994">
          <w:rPr>
            <w:webHidden/>
          </w:rPr>
        </w:r>
        <w:r w:rsidR="001029BD" w:rsidRPr="00287994">
          <w:rPr>
            <w:webHidden/>
          </w:rPr>
          <w:fldChar w:fldCharType="separate"/>
        </w:r>
        <w:r w:rsidR="001029BD" w:rsidRPr="00287994">
          <w:rPr>
            <w:webHidden/>
          </w:rPr>
          <w:t>2</w:t>
        </w:r>
        <w:r w:rsidR="001029BD" w:rsidRPr="00287994">
          <w:rPr>
            <w:webHidden/>
          </w:rPr>
          <w:fldChar w:fldCharType="end"/>
        </w:r>
      </w:hyperlink>
    </w:p>
    <w:p w14:paraId="2100CE95" w14:textId="12D72C25" w:rsidR="001029BD" w:rsidRPr="00287994" w:rsidRDefault="00490EBD">
      <w:pPr>
        <w:pStyle w:val="TOC2"/>
        <w:rPr>
          <w:rFonts w:asciiTheme="minorHAnsi" w:eastAsiaTheme="minorEastAsia" w:hAnsiTheme="minorHAnsi" w:cstheme="minorBidi"/>
          <w:kern w:val="2"/>
          <w:sz w:val="22"/>
          <w:szCs w:val="22"/>
          <w:lang w:eastAsia="en-AU"/>
          <w14:ligatures w14:val="standardContextual"/>
        </w:rPr>
      </w:pPr>
      <w:hyperlink w:anchor="_Toc162531374" w:history="1">
        <w:r w:rsidR="001029BD" w:rsidRPr="00287994">
          <w:rPr>
            <w:rStyle w:val="Hyperlink"/>
          </w:rPr>
          <w:t>Considerations for allocation of cultural plan brokerage funding</w:t>
        </w:r>
        <w:r w:rsidR="001029BD" w:rsidRPr="00287994">
          <w:rPr>
            <w:webHidden/>
          </w:rPr>
          <w:tab/>
        </w:r>
        <w:r w:rsidR="001029BD" w:rsidRPr="00287994">
          <w:rPr>
            <w:webHidden/>
          </w:rPr>
          <w:fldChar w:fldCharType="begin"/>
        </w:r>
        <w:r w:rsidR="001029BD" w:rsidRPr="00287994">
          <w:rPr>
            <w:webHidden/>
          </w:rPr>
          <w:instrText xml:space="preserve"> PAGEREF _Toc162531374 \h </w:instrText>
        </w:r>
        <w:r w:rsidR="001029BD" w:rsidRPr="00287994">
          <w:rPr>
            <w:webHidden/>
          </w:rPr>
        </w:r>
        <w:r w:rsidR="001029BD" w:rsidRPr="00287994">
          <w:rPr>
            <w:webHidden/>
          </w:rPr>
          <w:fldChar w:fldCharType="separate"/>
        </w:r>
        <w:r w:rsidR="001029BD" w:rsidRPr="00287994">
          <w:rPr>
            <w:webHidden/>
          </w:rPr>
          <w:t>2</w:t>
        </w:r>
        <w:r w:rsidR="001029BD" w:rsidRPr="00287994">
          <w:rPr>
            <w:webHidden/>
          </w:rPr>
          <w:fldChar w:fldCharType="end"/>
        </w:r>
      </w:hyperlink>
    </w:p>
    <w:p w14:paraId="3701FB6D" w14:textId="4AA482BF" w:rsidR="001029BD" w:rsidRPr="00287994" w:rsidRDefault="00490EBD">
      <w:pPr>
        <w:pStyle w:val="TOC2"/>
        <w:rPr>
          <w:rFonts w:asciiTheme="minorHAnsi" w:eastAsiaTheme="minorEastAsia" w:hAnsiTheme="minorHAnsi" w:cstheme="minorBidi"/>
          <w:kern w:val="2"/>
          <w:sz w:val="22"/>
          <w:szCs w:val="22"/>
          <w:lang w:eastAsia="en-AU"/>
          <w14:ligatures w14:val="standardContextual"/>
        </w:rPr>
      </w:pPr>
      <w:hyperlink w:anchor="_Toc162531375" w:history="1">
        <w:r w:rsidR="001029BD" w:rsidRPr="00287994">
          <w:rPr>
            <w:rStyle w:val="Hyperlink"/>
          </w:rPr>
          <w:t>Brokerage Acquittal and Expenditure</w:t>
        </w:r>
        <w:r w:rsidR="001029BD" w:rsidRPr="00287994">
          <w:rPr>
            <w:webHidden/>
          </w:rPr>
          <w:tab/>
        </w:r>
        <w:r w:rsidR="001029BD" w:rsidRPr="00287994">
          <w:rPr>
            <w:webHidden/>
          </w:rPr>
          <w:fldChar w:fldCharType="begin"/>
        </w:r>
        <w:r w:rsidR="001029BD" w:rsidRPr="00287994">
          <w:rPr>
            <w:webHidden/>
          </w:rPr>
          <w:instrText xml:space="preserve"> PAGEREF _Toc162531375 \h </w:instrText>
        </w:r>
        <w:r w:rsidR="001029BD" w:rsidRPr="00287994">
          <w:rPr>
            <w:webHidden/>
          </w:rPr>
        </w:r>
        <w:r w:rsidR="001029BD" w:rsidRPr="00287994">
          <w:rPr>
            <w:webHidden/>
          </w:rPr>
          <w:fldChar w:fldCharType="separate"/>
        </w:r>
        <w:r w:rsidR="001029BD" w:rsidRPr="00287994">
          <w:rPr>
            <w:webHidden/>
          </w:rPr>
          <w:t>2</w:t>
        </w:r>
        <w:r w:rsidR="001029BD" w:rsidRPr="00287994">
          <w:rPr>
            <w:webHidden/>
          </w:rPr>
          <w:fldChar w:fldCharType="end"/>
        </w:r>
      </w:hyperlink>
    </w:p>
    <w:p w14:paraId="62176182" w14:textId="06F0002A" w:rsidR="001029BD" w:rsidRPr="00287994" w:rsidRDefault="00490EBD">
      <w:pPr>
        <w:pStyle w:val="TOC2"/>
        <w:rPr>
          <w:rFonts w:asciiTheme="minorHAnsi" w:eastAsiaTheme="minorEastAsia" w:hAnsiTheme="minorHAnsi" w:cstheme="minorBidi"/>
          <w:kern w:val="2"/>
          <w:sz w:val="22"/>
          <w:szCs w:val="22"/>
          <w:lang w:eastAsia="en-AU"/>
          <w14:ligatures w14:val="standardContextual"/>
        </w:rPr>
      </w:pPr>
      <w:hyperlink w:anchor="_Toc162531376" w:history="1">
        <w:r w:rsidR="001029BD" w:rsidRPr="00287994">
          <w:rPr>
            <w:rStyle w:val="Hyperlink"/>
          </w:rPr>
          <w:t>Schedule of reporting</w:t>
        </w:r>
        <w:r w:rsidR="001029BD" w:rsidRPr="00287994">
          <w:rPr>
            <w:webHidden/>
          </w:rPr>
          <w:tab/>
        </w:r>
        <w:r w:rsidR="001029BD" w:rsidRPr="00287994">
          <w:rPr>
            <w:webHidden/>
          </w:rPr>
          <w:fldChar w:fldCharType="begin"/>
        </w:r>
        <w:r w:rsidR="001029BD" w:rsidRPr="00287994">
          <w:rPr>
            <w:webHidden/>
          </w:rPr>
          <w:instrText xml:space="preserve"> PAGEREF _Toc162531376 \h </w:instrText>
        </w:r>
        <w:r w:rsidR="001029BD" w:rsidRPr="00287994">
          <w:rPr>
            <w:webHidden/>
          </w:rPr>
        </w:r>
        <w:r w:rsidR="001029BD" w:rsidRPr="00287994">
          <w:rPr>
            <w:webHidden/>
          </w:rPr>
          <w:fldChar w:fldCharType="separate"/>
        </w:r>
        <w:r w:rsidR="001029BD" w:rsidRPr="00287994">
          <w:rPr>
            <w:webHidden/>
          </w:rPr>
          <w:t>3</w:t>
        </w:r>
        <w:r w:rsidR="001029BD" w:rsidRPr="00287994">
          <w:rPr>
            <w:webHidden/>
          </w:rPr>
          <w:fldChar w:fldCharType="end"/>
        </w:r>
      </w:hyperlink>
    </w:p>
    <w:p w14:paraId="36049B0F" w14:textId="74EF912F" w:rsidR="001029BD" w:rsidRPr="00287994" w:rsidRDefault="00490EBD">
      <w:pPr>
        <w:pStyle w:val="TOC2"/>
        <w:rPr>
          <w:rFonts w:asciiTheme="minorHAnsi" w:eastAsiaTheme="minorEastAsia" w:hAnsiTheme="minorHAnsi" w:cstheme="minorBidi"/>
          <w:kern w:val="2"/>
          <w:sz w:val="22"/>
          <w:szCs w:val="22"/>
          <w:lang w:eastAsia="en-AU"/>
          <w14:ligatures w14:val="standardContextual"/>
        </w:rPr>
      </w:pPr>
      <w:hyperlink w:anchor="_Toc162531377" w:history="1">
        <w:r w:rsidR="001029BD" w:rsidRPr="00287994">
          <w:rPr>
            <w:rStyle w:val="Hyperlink"/>
          </w:rPr>
          <w:t>Alternative Funding Sources</w:t>
        </w:r>
        <w:r w:rsidR="001029BD" w:rsidRPr="00287994">
          <w:rPr>
            <w:webHidden/>
          </w:rPr>
          <w:tab/>
        </w:r>
        <w:r w:rsidR="001029BD" w:rsidRPr="00287994">
          <w:rPr>
            <w:webHidden/>
          </w:rPr>
          <w:fldChar w:fldCharType="begin"/>
        </w:r>
        <w:r w:rsidR="001029BD" w:rsidRPr="00287994">
          <w:rPr>
            <w:webHidden/>
          </w:rPr>
          <w:instrText xml:space="preserve"> PAGEREF _Toc162531377 \h </w:instrText>
        </w:r>
        <w:r w:rsidR="001029BD" w:rsidRPr="00287994">
          <w:rPr>
            <w:webHidden/>
          </w:rPr>
        </w:r>
        <w:r w:rsidR="001029BD" w:rsidRPr="00287994">
          <w:rPr>
            <w:webHidden/>
          </w:rPr>
          <w:fldChar w:fldCharType="separate"/>
        </w:r>
        <w:r w:rsidR="001029BD" w:rsidRPr="00287994">
          <w:rPr>
            <w:webHidden/>
          </w:rPr>
          <w:t>3</w:t>
        </w:r>
        <w:r w:rsidR="001029BD" w:rsidRPr="00287994">
          <w:rPr>
            <w:webHidden/>
          </w:rPr>
          <w:fldChar w:fldCharType="end"/>
        </w:r>
      </w:hyperlink>
    </w:p>
    <w:p w14:paraId="13445742" w14:textId="7D4A0862" w:rsidR="00580394" w:rsidRPr="00287994" w:rsidRDefault="0015479B" w:rsidP="004103B5">
      <w:pPr>
        <w:pStyle w:val="Body"/>
        <w:rPr>
          <w:rFonts w:asciiTheme="minorHAnsi" w:hAnsiTheme="minorHAnsi" w:cstheme="minorHAnsi"/>
        </w:rPr>
        <w:sectPr w:rsidR="00580394" w:rsidRPr="00287994"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rsidRPr="00287994">
        <w:rPr>
          <w:rFonts w:asciiTheme="minorHAnsi" w:hAnsiTheme="minorHAnsi" w:cstheme="minorHAnsi"/>
        </w:rPr>
        <w:fldChar w:fldCharType="end"/>
      </w:r>
    </w:p>
    <w:p w14:paraId="3FD43261" w14:textId="77777777" w:rsidR="00F32368" w:rsidRPr="00287994" w:rsidRDefault="00F32368" w:rsidP="00F32368">
      <w:pPr>
        <w:pStyle w:val="Body"/>
        <w:rPr>
          <w:rFonts w:asciiTheme="minorHAnsi" w:hAnsiTheme="minorHAnsi" w:cstheme="minorHAnsi"/>
        </w:rPr>
      </w:pPr>
      <w:bookmarkStart w:id="0" w:name="_Hlk41913885"/>
    </w:p>
    <w:p w14:paraId="6500107F" w14:textId="4E597489" w:rsidR="008A5D60" w:rsidRPr="00287994" w:rsidRDefault="00FE3EA3" w:rsidP="00CE3E67">
      <w:pPr>
        <w:pStyle w:val="Heading1"/>
      </w:pPr>
      <w:bookmarkStart w:id="1" w:name="_Toc162529273"/>
      <w:bookmarkStart w:id="2" w:name="_Toc162531371"/>
      <w:bookmarkEnd w:id="0"/>
      <w:r w:rsidRPr="00287994">
        <w:t>Purpose</w:t>
      </w:r>
      <w:bookmarkEnd w:id="1"/>
      <w:bookmarkEnd w:id="2"/>
    </w:p>
    <w:p w14:paraId="2BFFC3AB" w14:textId="77777777" w:rsidR="004423C4" w:rsidRDefault="003E3969" w:rsidP="004423C4">
      <w:pPr>
        <w:spacing w:after="0"/>
        <w:rPr>
          <w:rFonts w:eastAsiaTheme="minorEastAsia" w:cs="Arial"/>
          <w:sz w:val="20"/>
        </w:rPr>
      </w:pPr>
      <w:r w:rsidRPr="004423C4">
        <w:rPr>
          <w:rFonts w:eastAsiaTheme="minorEastAsia" w:cs="Arial"/>
          <w:sz w:val="20"/>
        </w:rPr>
        <w:t xml:space="preserve">This guide </w:t>
      </w:r>
      <w:bookmarkStart w:id="3" w:name="_Int_ao9Qw2Km"/>
      <w:r w:rsidR="002A2051" w:rsidRPr="004423C4">
        <w:rPr>
          <w:rFonts w:eastAsiaTheme="minorEastAsia" w:cs="Arial"/>
          <w:sz w:val="20"/>
        </w:rPr>
        <w:t xml:space="preserve">details the required process for departmental staff and funded organisations </w:t>
      </w:r>
      <w:r w:rsidR="005A64D2" w:rsidRPr="004423C4">
        <w:rPr>
          <w:rFonts w:eastAsiaTheme="minorEastAsia" w:cs="Arial"/>
          <w:sz w:val="20"/>
        </w:rPr>
        <w:t xml:space="preserve">to </w:t>
      </w:r>
      <w:bookmarkEnd w:id="3"/>
      <w:r w:rsidRPr="004423C4">
        <w:rPr>
          <w:rFonts w:eastAsiaTheme="minorEastAsia" w:cs="Arial"/>
          <w:sz w:val="20"/>
        </w:rPr>
        <w:t>utilis</w:t>
      </w:r>
      <w:r w:rsidR="002A2051" w:rsidRPr="004423C4">
        <w:rPr>
          <w:rFonts w:eastAsiaTheme="minorEastAsia" w:cs="Arial"/>
          <w:sz w:val="20"/>
        </w:rPr>
        <w:t>e</w:t>
      </w:r>
      <w:r w:rsidR="00980A2A" w:rsidRPr="004423C4">
        <w:rPr>
          <w:rFonts w:eastAsiaTheme="minorEastAsia" w:cs="Arial"/>
          <w:sz w:val="20"/>
        </w:rPr>
        <w:t xml:space="preserve"> </w:t>
      </w:r>
      <w:r w:rsidRPr="004423C4">
        <w:rPr>
          <w:rFonts w:eastAsiaTheme="minorEastAsia" w:cs="Arial"/>
          <w:sz w:val="20"/>
        </w:rPr>
        <w:t>cultural plan brokerage funding</w:t>
      </w:r>
      <w:r w:rsidR="002A2051" w:rsidRPr="004423C4">
        <w:rPr>
          <w:rFonts w:eastAsiaTheme="minorEastAsia" w:cs="Arial"/>
          <w:sz w:val="20"/>
        </w:rPr>
        <w:t xml:space="preserve"> under </w:t>
      </w:r>
      <w:r w:rsidR="00FE3EA3" w:rsidRPr="004423C4">
        <w:rPr>
          <w:rFonts w:eastAsiaTheme="minorEastAsia" w:cs="Arial"/>
          <w:sz w:val="20"/>
        </w:rPr>
        <w:t>the</w:t>
      </w:r>
      <w:r w:rsidR="002A2051" w:rsidRPr="004423C4">
        <w:rPr>
          <w:rFonts w:eastAsiaTheme="minorEastAsia" w:cs="Arial"/>
          <w:sz w:val="20"/>
        </w:rPr>
        <w:t xml:space="preserve"> Service </w:t>
      </w:r>
      <w:r w:rsidR="004423C4" w:rsidRPr="004423C4">
        <w:rPr>
          <w:rFonts w:eastAsiaTheme="minorEastAsia" w:cs="Arial"/>
          <w:sz w:val="20"/>
        </w:rPr>
        <w:t>Agreement.</w:t>
      </w:r>
    </w:p>
    <w:p w14:paraId="1C5A645F" w14:textId="77777777" w:rsidR="004423C4" w:rsidRDefault="004423C4" w:rsidP="004423C4">
      <w:pPr>
        <w:spacing w:after="0"/>
        <w:rPr>
          <w:rFonts w:eastAsiaTheme="minorEastAsia" w:cs="Arial"/>
          <w:sz w:val="20"/>
        </w:rPr>
      </w:pPr>
    </w:p>
    <w:p w14:paraId="4F1295BF" w14:textId="58BBBB35" w:rsidR="004423C4" w:rsidRDefault="004423C4" w:rsidP="003F2F01">
      <w:pPr>
        <w:spacing w:after="0"/>
        <w:rPr>
          <w:rFonts w:eastAsiaTheme="minorEastAsia" w:cs="Arial"/>
          <w:sz w:val="20"/>
        </w:rPr>
      </w:pPr>
      <w:r w:rsidRPr="00D1685C">
        <w:rPr>
          <w:rFonts w:eastAsiaTheme="minorEastAsia" w:cs="Arial"/>
          <w:i/>
          <w:iCs/>
          <w:sz w:val="20"/>
        </w:rPr>
        <w:t>The Children Youth and Families Act 2005</w:t>
      </w:r>
      <w:r w:rsidRPr="00D1685C">
        <w:rPr>
          <w:rFonts w:eastAsiaTheme="minorEastAsia" w:cs="Arial"/>
          <w:sz w:val="20"/>
        </w:rPr>
        <w:t xml:space="preserve"> establishes cultural support as essential for Aboriginal children in </w:t>
      </w:r>
      <w:r>
        <w:rPr>
          <w:rFonts w:eastAsiaTheme="minorEastAsia" w:cs="Arial"/>
          <w:sz w:val="20"/>
        </w:rPr>
        <w:t>O</w:t>
      </w:r>
      <w:r w:rsidRPr="00D1685C">
        <w:rPr>
          <w:rFonts w:eastAsiaTheme="minorEastAsia" w:cs="Arial"/>
          <w:sz w:val="20"/>
        </w:rPr>
        <w:t>ut-</w:t>
      </w:r>
      <w:r>
        <w:rPr>
          <w:rFonts w:eastAsiaTheme="minorEastAsia" w:cs="Arial"/>
          <w:sz w:val="20"/>
        </w:rPr>
        <w:t>O</w:t>
      </w:r>
      <w:r w:rsidRPr="00D1685C">
        <w:rPr>
          <w:rFonts w:eastAsiaTheme="minorEastAsia" w:cs="Arial"/>
          <w:sz w:val="20"/>
        </w:rPr>
        <w:t>f-home</w:t>
      </w:r>
      <w:r w:rsidR="00E702DE">
        <w:rPr>
          <w:rFonts w:eastAsiaTheme="minorEastAsia" w:cs="Arial"/>
          <w:sz w:val="20"/>
        </w:rPr>
        <w:t xml:space="preserve"> </w:t>
      </w:r>
      <w:r w:rsidRPr="00D1685C">
        <w:rPr>
          <w:rFonts w:eastAsiaTheme="minorEastAsia" w:cs="Arial"/>
          <w:sz w:val="20"/>
        </w:rPr>
        <w:t xml:space="preserve">care </w:t>
      </w:r>
      <w:r>
        <w:rPr>
          <w:rFonts w:eastAsiaTheme="minorEastAsia" w:cs="Arial"/>
          <w:sz w:val="20"/>
        </w:rPr>
        <w:t>(</w:t>
      </w:r>
      <w:proofErr w:type="spellStart"/>
      <w:r>
        <w:rPr>
          <w:rFonts w:eastAsiaTheme="minorEastAsia" w:cs="Arial"/>
          <w:sz w:val="20"/>
        </w:rPr>
        <w:t>OoHC</w:t>
      </w:r>
      <w:proofErr w:type="spellEnd"/>
      <w:r>
        <w:rPr>
          <w:rFonts w:eastAsiaTheme="minorEastAsia" w:cs="Arial"/>
          <w:sz w:val="20"/>
        </w:rPr>
        <w:t>)</w:t>
      </w:r>
      <w:r w:rsidR="00490EBD">
        <w:rPr>
          <w:rFonts w:eastAsiaTheme="minorEastAsia" w:cs="Arial"/>
          <w:sz w:val="20"/>
        </w:rPr>
        <w:t xml:space="preserve"> </w:t>
      </w:r>
      <w:r w:rsidRPr="00D1685C">
        <w:rPr>
          <w:rFonts w:eastAsiaTheme="minorEastAsia" w:cs="Arial"/>
          <w:sz w:val="20"/>
        </w:rPr>
        <w:t>to maintain and strengthen their Aboriginal identity and encourage their connection to their Aboriginal culture and community</w:t>
      </w:r>
      <w:r>
        <w:rPr>
          <w:rFonts w:eastAsiaTheme="minorEastAsia" w:cs="Arial"/>
          <w:sz w:val="20"/>
        </w:rPr>
        <w:t>.</w:t>
      </w:r>
    </w:p>
    <w:p w14:paraId="4ED29150" w14:textId="77777777" w:rsidR="004423C4" w:rsidRDefault="004423C4" w:rsidP="003F2F01">
      <w:pPr>
        <w:spacing w:after="0"/>
        <w:rPr>
          <w:rFonts w:eastAsiaTheme="minorEastAsia" w:cs="Arial"/>
          <w:sz w:val="20"/>
        </w:rPr>
      </w:pPr>
    </w:p>
    <w:p w14:paraId="10E08331" w14:textId="15F108FB" w:rsidR="005A64D2" w:rsidRDefault="005A64D2" w:rsidP="003F2F01">
      <w:pPr>
        <w:spacing w:after="0"/>
        <w:rPr>
          <w:rFonts w:eastAsiaTheme="minorEastAsia" w:cs="Arial"/>
          <w:sz w:val="20"/>
        </w:rPr>
      </w:pPr>
      <w:r w:rsidRPr="004423C4">
        <w:rPr>
          <w:rFonts w:eastAsiaTheme="minorEastAsia" w:cs="Arial"/>
          <w:sz w:val="20"/>
        </w:rPr>
        <w:t xml:space="preserve">Cultural plan brokerage funding is one way in which connection to culture can be met. It is provided to </w:t>
      </w:r>
      <w:r w:rsidR="003210C2" w:rsidRPr="00D57753">
        <w:rPr>
          <w:rFonts w:eastAsiaTheme="minorEastAsia" w:cs="Arial"/>
          <w:sz w:val="20"/>
        </w:rPr>
        <w:t xml:space="preserve">Aboriginal Community Controlled Organisations </w:t>
      </w:r>
      <w:r w:rsidR="003210C2">
        <w:rPr>
          <w:rFonts w:eastAsiaTheme="minorEastAsia" w:cs="Arial"/>
          <w:sz w:val="20"/>
        </w:rPr>
        <w:t>(</w:t>
      </w:r>
      <w:r w:rsidR="00FB4D7F">
        <w:rPr>
          <w:rFonts w:eastAsiaTheme="minorEastAsia" w:cs="Arial"/>
          <w:sz w:val="20"/>
        </w:rPr>
        <w:t>ACCOs</w:t>
      </w:r>
      <w:r w:rsidR="003210C2">
        <w:rPr>
          <w:rFonts w:eastAsiaTheme="minorEastAsia" w:cs="Arial"/>
          <w:sz w:val="20"/>
        </w:rPr>
        <w:t>)</w:t>
      </w:r>
      <w:r w:rsidR="003210C2" w:rsidRPr="004423C4">
        <w:rPr>
          <w:rFonts w:eastAsiaTheme="minorEastAsia" w:cs="Arial"/>
          <w:sz w:val="20"/>
        </w:rPr>
        <w:t xml:space="preserve"> </w:t>
      </w:r>
      <w:r w:rsidRPr="004423C4">
        <w:rPr>
          <w:rFonts w:eastAsiaTheme="minorEastAsia" w:cs="Arial"/>
          <w:sz w:val="20"/>
        </w:rPr>
        <w:t>to enable flexible, creative responses, which promote and maintain cultural connection of Aboriginal children.</w:t>
      </w:r>
    </w:p>
    <w:p w14:paraId="56EEF78D" w14:textId="77777777" w:rsidR="003210C2" w:rsidRPr="004423C4" w:rsidRDefault="003210C2" w:rsidP="003F2F01">
      <w:pPr>
        <w:spacing w:after="0"/>
        <w:rPr>
          <w:rFonts w:eastAsiaTheme="minorEastAsia" w:cs="Arial"/>
          <w:sz w:val="20"/>
        </w:rPr>
      </w:pPr>
    </w:p>
    <w:p w14:paraId="11251DB2" w14:textId="03D58791" w:rsidR="005A64D2" w:rsidRPr="004423C4" w:rsidRDefault="005A64D2" w:rsidP="003F2F01">
      <w:pPr>
        <w:pStyle w:val="Body"/>
        <w:spacing w:after="0"/>
        <w:rPr>
          <w:rFonts w:eastAsiaTheme="minorEastAsia" w:cs="Arial"/>
          <w:sz w:val="20"/>
        </w:rPr>
      </w:pPr>
      <w:r w:rsidRPr="004423C4">
        <w:rPr>
          <w:rFonts w:eastAsiaTheme="minorEastAsia" w:cs="Arial"/>
          <w:sz w:val="20"/>
        </w:rPr>
        <w:t xml:space="preserve">This </w:t>
      </w:r>
      <w:r w:rsidR="004103B5" w:rsidRPr="004423C4">
        <w:rPr>
          <w:rFonts w:eastAsiaTheme="minorEastAsia" w:cs="Arial"/>
          <w:sz w:val="20"/>
        </w:rPr>
        <w:t xml:space="preserve">guide </w:t>
      </w:r>
      <w:r w:rsidRPr="004423C4">
        <w:rPr>
          <w:rFonts w:eastAsiaTheme="minorEastAsia" w:cs="Arial"/>
          <w:sz w:val="20"/>
        </w:rPr>
        <w:t>is written in recognition of each young person’s individual needs and circumstances, allowing for regional discretion to be exercised within these.</w:t>
      </w:r>
    </w:p>
    <w:p w14:paraId="73AC2F10" w14:textId="77777777" w:rsidR="005A64D2" w:rsidRPr="00287994" w:rsidRDefault="005A64D2" w:rsidP="005A64D2">
      <w:pPr>
        <w:pStyle w:val="Body"/>
        <w:rPr>
          <w:rFonts w:asciiTheme="minorHAnsi" w:eastAsiaTheme="minorEastAsia" w:hAnsiTheme="minorHAnsi" w:cstheme="minorHAnsi"/>
          <w:sz w:val="20"/>
        </w:rPr>
      </w:pPr>
    </w:p>
    <w:p w14:paraId="2375D6DF" w14:textId="18EDCF2B" w:rsidR="008B27D9" w:rsidRPr="00287994" w:rsidRDefault="008B27D9" w:rsidP="001029BD">
      <w:pPr>
        <w:pStyle w:val="Heading1"/>
      </w:pPr>
      <w:bookmarkStart w:id="4" w:name="_Toc162531372"/>
      <w:r w:rsidRPr="00287994">
        <w:t>Roles and responsibilities</w:t>
      </w:r>
      <w:bookmarkEnd w:id="4"/>
    </w:p>
    <w:p w14:paraId="4B7A9370" w14:textId="65F52671" w:rsidR="003E3969" w:rsidRPr="00311CE3" w:rsidRDefault="002A2051" w:rsidP="003E3969">
      <w:pPr>
        <w:rPr>
          <w:rFonts w:eastAsiaTheme="minorEastAsia" w:cs="Arial"/>
          <w:sz w:val="20"/>
        </w:rPr>
      </w:pPr>
      <w:r w:rsidRPr="00311CE3">
        <w:rPr>
          <w:rFonts w:eastAsiaTheme="minorEastAsia" w:cs="Arial"/>
          <w:sz w:val="20"/>
        </w:rPr>
        <w:t>ACCOs</w:t>
      </w:r>
      <w:r w:rsidR="003E3969" w:rsidRPr="00311CE3">
        <w:rPr>
          <w:rFonts w:eastAsiaTheme="minorEastAsia" w:cs="Arial"/>
          <w:sz w:val="20"/>
        </w:rPr>
        <w:t xml:space="preserve"> funded by </w:t>
      </w:r>
      <w:r w:rsidR="00FE3EA3" w:rsidRPr="00311CE3">
        <w:rPr>
          <w:rFonts w:eastAsiaTheme="minorEastAsia" w:cs="Arial"/>
          <w:sz w:val="20"/>
        </w:rPr>
        <w:t>the Department of Families, Fairness and Housing (</w:t>
      </w:r>
      <w:r w:rsidR="003E3969" w:rsidRPr="00311CE3">
        <w:rPr>
          <w:rFonts w:eastAsiaTheme="minorEastAsia" w:cs="Arial"/>
          <w:sz w:val="20"/>
        </w:rPr>
        <w:t>the department</w:t>
      </w:r>
      <w:r w:rsidR="00FE3EA3" w:rsidRPr="00311CE3">
        <w:rPr>
          <w:rFonts w:eastAsiaTheme="minorEastAsia" w:cs="Arial"/>
          <w:sz w:val="20"/>
        </w:rPr>
        <w:t>)</w:t>
      </w:r>
      <w:r w:rsidR="003E3969" w:rsidRPr="00311CE3">
        <w:rPr>
          <w:rFonts w:eastAsiaTheme="minorEastAsia" w:cs="Arial"/>
          <w:sz w:val="20"/>
        </w:rPr>
        <w:t xml:space="preserve"> for the provision of cultural planning are responsible for supporting care teams to develop</w:t>
      </w:r>
      <w:r w:rsidR="003210C2">
        <w:rPr>
          <w:rFonts w:eastAsiaTheme="minorEastAsia" w:cs="Arial"/>
          <w:sz w:val="20"/>
        </w:rPr>
        <w:t>, review and approval</w:t>
      </w:r>
      <w:r w:rsidR="003E3969" w:rsidRPr="00311CE3">
        <w:rPr>
          <w:rFonts w:eastAsiaTheme="minorEastAsia" w:cs="Arial"/>
          <w:sz w:val="20"/>
        </w:rPr>
        <w:t xml:space="preserve"> cultural plans</w:t>
      </w:r>
      <w:r w:rsidR="00311CE3">
        <w:rPr>
          <w:rFonts w:eastAsiaTheme="minorEastAsia" w:cs="Arial"/>
          <w:sz w:val="20"/>
        </w:rPr>
        <w:t xml:space="preserve"> </w:t>
      </w:r>
      <w:r w:rsidR="003E3969" w:rsidRPr="00311CE3">
        <w:rPr>
          <w:rFonts w:eastAsiaTheme="minorEastAsia" w:cs="Arial"/>
          <w:sz w:val="20"/>
        </w:rPr>
        <w:t>for accuracy and appropriateness from a cultural perspective</w:t>
      </w:r>
      <w:r w:rsidR="003210C2">
        <w:rPr>
          <w:rFonts w:eastAsiaTheme="minorEastAsia" w:cs="Arial"/>
          <w:sz w:val="20"/>
        </w:rPr>
        <w:t>.</w:t>
      </w:r>
      <w:r w:rsidR="003E3969" w:rsidRPr="00311CE3">
        <w:rPr>
          <w:rFonts w:eastAsiaTheme="minorEastAsia" w:cs="Arial"/>
          <w:sz w:val="20"/>
        </w:rPr>
        <w:t xml:space="preserve"> This support is provided through the </w:t>
      </w:r>
      <w:bookmarkStart w:id="5" w:name="_Int_RmUprCbT"/>
      <w:r w:rsidR="003E3969" w:rsidRPr="00311CE3">
        <w:rPr>
          <w:rFonts w:eastAsiaTheme="minorEastAsia" w:cs="Arial"/>
          <w:sz w:val="20"/>
        </w:rPr>
        <w:t>ACCO</w:t>
      </w:r>
      <w:bookmarkEnd w:id="5"/>
      <w:r w:rsidR="003E3969" w:rsidRPr="00311CE3">
        <w:rPr>
          <w:rFonts w:eastAsiaTheme="minorEastAsia" w:cs="Arial"/>
          <w:sz w:val="20"/>
        </w:rPr>
        <w:t xml:space="preserve"> Senior Advisor – Aboriginal Cultural Planning role, which will actively </w:t>
      </w:r>
      <w:r w:rsidR="00FE3EA3" w:rsidRPr="00311CE3">
        <w:rPr>
          <w:rFonts w:eastAsiaTheme="minorEastAsia" w:cs="Arial"/>
          <w:sz w:val="20"/>
        </w:rPr>
        <w:t xml:space="preserve">manage </w:t>
      </w:r>
      <w:r w:rsidR="003E3969" w:rsidRPr="00311CE3">
        <w:rPr>
          <w:rFonts w:eastAsiaTheme="minorEastAsia" w:cs="Arial"/>
          <w:sz w:val="20"/>
        </w:rPr>
        <w:t xml:space="preserve">barriers to complete the development of the cultural plan and provide the agreed final plan to the ACCO </w:t>
      </w:r>
      <w:r w:rsidR="00FE3EA3" w:rsidRPr="00311CE3">
        <w:rPr>
          <w:rFonts w:eastAsiaTheme="minorEastAsia" w:cs="Arial"/>
          <w:sz w:val="20"/>
        </w:rPr>
        <w:t>C</w:t>
      </w:r>
      <w:r w:rsidR="003E3969" w:rsidRPr="00311CE3">
        <w:rPr>
          <w:rFonts w:eastAsiaTheme="minorEastAsia" w:cs="Arial"/>
          <w:sz w:val="20"/>
        </w:rPr>
        <w:t xml:space="preserve">hief </w:t>
      </w:r>
      <w:r w:rsidR="00FE3EA3" w:rsidRPr="00311CE3">
        <w:rPr>
          <w:rFonts w:eastAsiaTheme="minorEastAsia" w:cs="Arial"/>
          <w:sz w:val="20"/>
        </w:rPr>
        <w:t>E</w:t>
      </w:r>
      <w:r w:rsidR="003E3969" w:rsidRPr="00311CE3">
        <w:rPr>
          <w:rFonts w:eastAsiaTheme="minorEastAsia" w:cs="Arial"/>
          <w:sz w:val="20"/>
        </w:rPr>
        <w:t xml:space="preserve">xecutive </w:t>
      </w:r>
      <w:r w:rsidR="00FE3EA3" w:rsidRPr="00311CE3">
        <w:rPr>
          <w:rFonts w:eastAsiaTheme="minorEastAsia" w:cs="Arial"/>
          <w:sz w:val="20"/>
        </w:rPr>
        <w:t>O</w:t>
      </w:r>
      <w:r w:rsidR="003E3969" w:rsidRPr="00311CE3">
        <w:rPr>
          <w:rFonts w:eastAsiaTheme="minorEastAsia" w:cs="Arial"/>
          <w:sz w:val="20"/>
        </w:rPr>
        <w:t xml:space="preserve">fficer </w:t>
      </w:r>
      <w:r w:rsidR="00FE3EA3" w:rsidRPr="00311CE3">
        <w:rPr>
          <w:rFonts w:eastAsiaTheme="minorEastAsia" w:cs="Arial"/>
          <w:sz w:val="20"/>
        </w:rPr>
        <w:t>(CEO)</w:t>
      </w:r>
      <w:r w:rsidR="0015479B" w:rsidRPr="00311CE3">
        <w:rPr>
          <w:rFonts w:eastAsiaTheme="minorEastAsia" w:cs="Arial"/>
          <w:sz w:val="20"/>
        </w:rPr>
        <w:t xml:space="preserve"> </w:t>
      </w:r>
      <w:r w:rsidR="003E3969" w:rsidRPr="00311CE3">
        <w:rPr>
          <w:rFonts w:eastAsiaTheme="minorEastAsia" w:cs="Arial"/>
          <w:sz w:val="20"/>
        </w:rPr>
        <w:t xml:space="preserve">for endorsement. The </w:t>
      </w:r>
      <w:r w:rsidR="00FE3EA3" w:rsidRPr="00311CE3">
        <w:rPr>
          <w:rFonts w:eastAsiaTheme="minorEastAsia" w:cs="Arial"/>
          <w:sz w:val="20"/>
        </w:rPr>
        <w:t>CEO</w:t>
      </w:r>
      <w:r w:rsidR="003E3969" w:rsidRPr="00311CE3">
        <w:rPr>
          <w:rFonts w:eastAsiaTheme="minorEastAsia" w:cs="Arial"/>
          <w:sz w:val="20"/>
        </w:rPr>
        <w:t xml:space="preserve"> may </w:t>
      </w:r>
      <w:r w:rsidR="003E3969" w:rsidRPr="00311CE3">
        <w:rPr>
          <w:rFonts w:eastAsiaTheme="minorEastAsia" w:cs="Arial"/>
          <w:sz w:val="20"/>
        </w:rPr>
        <w:lastRenderedPageBreak/>
        <w:t>set the</w:t>
      </w:r>
      <w:r w:rsidR="00311CE3">
        <w:rPr>
          <w:rFonts w:eastAsiaTheme="minorEastAsia" w:cs="Arial"/>
          <w:sz w:val="20"/>
        </w:rPr>
        <w:t xml:space="preserve"> annual</w:t>
      </w:r>
      <w:r w:rsidR="003E3969" w:rsidRPr="00311CE3">
        <w:rPr>
          <w:rFonts w:eastAsiaTheme="minorEastAsia" w:cs="Arial"/>
          <w:sz w:val="20"/>
        </w:rPr>
        <w:t xml:space="preserve"> review date for the </w:t>
      </w:r>
      <w:r w:rsidR="00FE3EA3" w:rsidRPr="00311CE3">
        <w:rPr>
          <w:rFonts w:eastAsiaTheme="minorEastAsia" w:cs="Arial"/>
          <w:sz w:val="20"/>
        </w:rPr>
        <w:t>C</w:t>
      </w:r>
      <w:r w:rsidR="003E3969" w:rsidRPr="00311CE3">
        <w:rPr>
          <w:rFonts w:eastAsiaTheme="minorEastAsia" w:cs="Arial"/>
          <w:sz w:val="20"/>
        </w:rPr>
        <w:t xml:space="preserve">ultural </w:t>
      </w:r>
      <w:r w:rsidR="00FE3EA3" w:rsidRPr="00311CE3">
        <w:rPr>
          <w:rFonts w:eastAsiaTheme="minorEastAsia" w:cs="Arial"/>
          <w:sz w:val="20"/>
        </w:rPr>
        <w:t>Pl</w:t>
      </w:r>
      <w:r w:rsidR="003E3969" w:rsidRPr="00311CE3">
        <w:rPr>
          <w:rFonts w:eastAsiaTheme="minorEastAsia" w:cs="Arial"/>
          <w:sz w:val="20"/>
        </w:rPr>
        <w:t>an earlier than 12 months where important information is yet to be obtained or based on the circumstances of the child.</w:t>
      </w:r>
    </w:p>
    <w:p w14:paraId="6E97CFE3" w14:textId="05CFCC82" w:rsidR="003D7E30" w:rsidRPr="00287994" w:rsidRDefault="00C267B9" w:rsidP="00CE3E67">
      <w:pPr>
        <w:pStyle w:val="Heading1"/>
      </w:pPr>
      <w:bookmarkStart w:id="6" w:name="_Toc162529274"/>
      <w:bookmarkStart w:id="7" w:name="_Toc162531373"/>
      <w:r w:rsidRPr="00287994">
        <w:t>Eligibility</w:t>
      </w:r>
      <w:bookmarkEnd w:id="6"/>
      <w:bookmarkEnd w:id="7"/>
    </w:p>
    <w:p w14:paraId="0D43EE39" w14:textId="315C24FF" w:rsidR="006E66D8" w:rsidRPr="00311CE3" w:rsidRDefault="006E66D8" w:rsidP="006E66D8">
      <w:pPr>
        <w:rPr>
          <w:rFonts w:eastAsiaTheme="minorEastAsia" w:cs="Arial"/>
          <w:sz w:val="20"/>
        </w:rPr>
      </w:pPr>
      <w:r w:rsidRPr="00311CE3">
        <w:rPr>
          <w:rFonts w:eastAsiaTheme="minorEastAsia" w:cs="Arial"/>
          <w:sz w:val="20"/>
        </w:rPr>
        <w:t xml:space="preserve">Cultural plan brokerage </w:t>
      </w:r>
      <w:r w:rsidR="0015479B" w:rsidRPr="00311CE3">
        <w:rPr>
          <w:rFonts w:eastAsiaTheme="minorEastAsia" w:cs="Arial"/>
          <w:sz w:val="20"/>
        </w:rPr>
        <w:t xml:space="preserve">funding </w:t>
      </w:r>
      <w:r w:rsidRPr="00311CE3">
        <w:rPr>
          <w:rFonts w:eastAsiaTheme="minorEastAsia" w:cs="Arial"/>
          <w:sz w:val="20"/>
        </w:rPr>
        <w:t xml:space="preserve">is restricted to Aboriginal children in </w:t>
      </w:r>
      <w:proofErr w:type="spellStart"/>
      <w:r w:rsidR="004423C4">
        <w:rPr>
          <w:rFonts w:eastAsiaTheme="minorEastAsia" w:cs="Arial"/>
          <w:sz w:val="20"/>
        </w:rPr>
        <w:t>OoHC</w:t>
      </w:r>
      <w:proofErr w:type="spellEnd"/>
      <w:r w:rsidRPr="00311CE3">
        <w:rPr>
          <w:rFonts w:eastAsiaTheme="minorEastAsia" w:cs="Arial"/>
          <w:sz w:val="20"/>
        </w:rPr>
        <w:t xml:space="preserve"> and is to be utilised to promote or maintain an Aboriginal child’s connection to their culture.</w:t>
      </w:r>
    </w:p>
    <w:p w14:paraId="0216BAB5" w14:textId="37041EEF" w:rsidR="006E66D8" w:rsidRPr="00311CE3" w:rsidRDefault="006E66D8" w:rsidP="006E66D8">
      <w:pPr>
        <w:rPr>
          <w:rFonts w:eastAsiaTheme="minorEastAsia" w:cs="Arial"/>
          <w:sz w:val="20"/>
        </w:rPr>
      </w:pPr>
      <w:r w:rsidRPr="00311CE3">
        <w:rPr>
          <w:rFonts w:eastAsiaTheme="minorEastAsia" w:cs="Arial"/>
          <w:sz w:val="20"/>
        </w:rPr>
        <w:t>To maximise the impact of the cultural plan brokerage funding, it is essential that its utilisation strictly focus on expenditure that explicitly supports the young person’s cultural plan goals. It is acknowledged that this may at times require a subjective assessment to be made, however cultural plan brokerage fund</w:t>
      </w:r>
      <w:r w:rsidR="0015479B" w:rsidRPr="00311CE3">
        <w:rPr>
          <w:rFonts w:eastAsiaTheme="minorEastAsia" w:cs="Arial"/>
          <w:sz w:val="20"/>
        </w:rPr>
        <w:t>ing</w:t>
      </w:r>
      <w:r w:rsidRPr="00311CE3">
        <w:rPr>
          <w:rFonts w:eastAsiaTheme="minorEastAsia" w:cs="Arial"/>
          <w:sz w:val="20"/>
        </w:rPr>
        <w:t xml:space="preserve"> should not be used for Aboriginal children in </w:t>
      </w:r>
      <w:proofErr w:type="spellStart"/>
      <w:r w:rsidR="004423C4">
        <w:rPr>
          <w:rFonts w:eastAsiaTheme="minorEastAsia" w:cs="Arial"/>
          <w:sz w:val="20"/>
        </w:rPr>
        <w:t>OoHC</w:t>
      </w:r>
      <w:proofErr w:type="spellEnd"/>
      <w:r w:rsidRPr="00311CE3">
        <w:rPr>
          <w:rFonts w:eastAsiaTheme="minorEastAsia" w:cs="Arial"/>
          <w:sz w:val="20"/>
        </w:rPr>
        <w:t xml:space="preserve"> to purchase items that should otherwise have been provided to the young person by a ‘good parent,’ for example adequate clothing or footwear, toiletries or dental treatment (e.g. orthodontic treatment). These items should be paid for whilst the young person is in care, utilising existing funding sources, such as client expenses.</w:t>
      </w:r>
    </w:p>
    <w:p w14:paraId="7153DBA3" w14:textId="77777777" w:rsidR="00C267B9" w:rsidRPr="00287994" w:rsidRDefault="00C267B9" w:rsidP="00C267B9">
      <w:pPr>
        <w:pStyle w:val="Body"/>
        <w:rPr>
          <w:rFonts w:asciiTheme="minorHAnsi" w:hAnsiTheme="minorHAnsi" w:cstheme="minorHAnsi"/>
        </w:rPr>
      </w:pPr>
    </w:p>
    <w:p w14:paraId="5406CEF7" w14:textId="5416613A" w:rsidR="003D7E30" w:rsidRPr="00287994" w:rsidRDefault="006E66D8" w:rsidP="00CE3E67">
      <w:pPr>
        <w:pStyle w:val="Heading2"/>
      </w:pPr>
      <w:bookmarkStart w:id="8" w:name="_Toc162267092"/>
      <w:bookmarkStart w:id="9" w:name="_Toc162529275"/>
      <w:bookmarkStart w:id="10" w:name="_Toc162531374"/>
      <w:r w:rsidRPr="00287994">
        <w:t>Considerations for allocation of cultural plan brokerage fund</w:t>
      </w:r>
      <w:r w:rsidR="00FE3EA3" w:rsidRPr="00287994">
        <w:t>ing</w:t>
      </w:r>
      <w:bookmarkEnd w:id="8"/>
      <w:bookmarkEnd w:id="9"/>
      <w:bookmarkEnd w:id="10"/>
    </w:p>
    <w:p w14:paraId="0218D9C3" w14:textId="4801EEA7" w:rsidR="00B93521" w:rsidRPr="00311CE3" w:rsidRDefault="00B93521" w:rsidP="00B93521">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Decisions regarding the allocation of brokerage for the purpose of implementing the plan’s goal(s) is the responsibility of ACCOs</w:t>
      </w:r>
      <w:r w:rsidR="004103B5" w:rsidRPr="00311CE3">
        <w:rPr>
          <w:rFonts w:ascii="Arial" w:hAnsi="Arial" w:cs="Arial"/>
          <w:color w:val="231F20"/>
          <w:sz w:val="20"/>
          <w:szCs w:val="20"/>
          <w:lang w:val="en-AU"/>
        </w:rPr>
        <w:t xml:space="preserve">. </w:t>
      </w:r>
      <w:r w:rsidR="00287994" w:rsidRPr="00311CE3">
        <w:rPr>
          <w:rFonts w:ascii="Arial" w:hAnsi="Arial" w:cs="Arial"/>
          <w:color w:val="231F20"/>
          <w:sz w:val="20"/>
          <w:szCs w:val="20"/>
          <w:lang w:val="en-AU"/>
        </w:rPr>
        <w:t>However, care</w:t>
      </w:r>
      <w:r w:rsidRPr="00311CE3">
        <w:rPr>
          <w:rFonts w:ascii="Arial" w:hAnsi="Arial" w:cs="Arial"/>
          <w:color w:val="231F20"/>
          <w:sz w:val="20"/>
          <w:szCs w:val="20"/>
          <w:lang w:val="en-AU"/>
        </w:rPr>
        <w:t xml:space="preserve"> team members and the department may make recommendations to ACCOs regarding activities, resources or experiences that may support the implementation of the child’s cultural plan. </w:t>
      </w:r>
    </w:p>
    <w:p w14:paraId="53BBE676" w14:textId="4B1DD120" w:rsidR="00A35833" w:rsidRPr="00311CE3" w:rsidRDefault="00B93521" w:rsidP="00A35833">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The ACCO Senior Advisor - Aboriginal Cultura</w:t>
      </w:r>
      <w:r w:rsidR="00A35833" w:rsidRPr="00311CE3">
        <w:rPr>
          <w:rFonts w:ascii="Arial" w:hAnsi="Arial" w:cs="Arial"/>
          <w:color w:val="231F20"/>
          <w:sz w:val="20"/>
          <w:szCs w:val="20"/>
          <w:lang w:val="en-AU"/>
        </w:rPr>
        <w:t>l Planning will ensure that resources are available to support the cultural connection opportunities identified through the provision of brokerage funds to support the implementation of the Cultural Plan including for:</w:t>
      </w:r>
    </w:p>
    <w:p w14:paraId="16161D7C" w14:textId="36F16B75" w:rsidR="00B93521" w:rsidRPr="00311CE3" w:rsidRDefault="00B93521" w:rsidP="00B93521">
      <w:pPr>
        <w:numPr>
          <w:ilvl w:val="0"/>
          <w:numId w:val="44"/>
        </w:numPr>
        <w:spacing w:after="200" w:line="276" w:lineRule="auto"/>
        <w:ind w:right="95"/>
        <w:contextualSpacing/>
        <w:jc w:val="both"/>
        <w:rPr>
          <w:rFonts w:cs="Arial"/>
          <w:color w:val="000000"/>
          <w:sz w:val="20"/>
        </w:rPr>
      </w:pPr>
      <w:r w:rsidRPr="00311CE3">
        <w:rPr>
          <w:rFonts w:cs="Arial"/>
          <w:color w:val="000000" w:themeColor="text1"/>
          <w:sz w:val="20"/>
        </w:rPr>
        <w:t>Books, toys, flags, educational resources, subscriptions to newspapers or magazines, Aboriginal themed clothing</w:t>
      </w:r>
      <w:r w:rsidR="0015479B" w:rsidRPr="00311CE3">
        <w:rPr>
          <w:rFonts w:cs="Arial"/>
          <w:color w:val="000000" w:themeColor="text1"/>
          <w:sz w:val="20"/>
        </w:rPr>
        <w:t>;</w:t>
      </w:r>
    </w:p>
    <w:p w14:paraId="6975D318" w14:textId="0485EF5D" w:rsidR="00B93521" w:rsidRPr="00311CE3" w:rsidRDefault="00B93521" w:rsidP="00B93521">
      <w:pPr>
        <w:numPr>
          <w:ilvl w:val="0"/>
          <w:numId w:val="44"/>
        </w:numPr>
        <w:spacing w:after="200" w:line="276" w:lineRule="auto"/>
        <w:ind w:right="95"/>
        <w:contextualSpacing/>
        <w:jc w:val="both"/>
        <w:rPr>
          <w:rFonts w:cs="Arial"/>
          <w:color w:val="000000"/>
          <w:sz w:val="20"/>
        </w:rPr>
      </w:pPr>
      <w:r w:rsidRPr="00311CE3">
        <w:rPr>
          <w:rFonts w:cs="Arial"/>
          <w:color w:val="000000" w:themeColor="text1"/>
          <w:sz w:val="20"/>
        </w:rPr>
        <w:t xml:space="preserve">Activities including visits to </w:t>
      </w:r>
      <w:proofErr w:type="spellStart"/>
      <w:r w:rsidRPr="00311CE3">
        <w:rPr>
          <w:rFonts w:cs="Arial"/>
          <w:color w:val="000000" w:themeColor="text1"/>
          <w:sz w:val="20"/>
        </w:rPr>
        <w:t>Bunjilaka</w:t>
      </w:r>
      <w:proofErr w:type="spellEnd"/>
      <w:r w:rsidRPr="00311CE3">
        <w:rPr>
          <w:rFonts w:cs="Arial"/>
          <w:color w:val="000000" w:themeColor="text1"/>
          <w:sz w:val="20"/>
        </w:rPr>
        <w:t xml:space="preserve"> (Melbourne Museum) or the Koorie Heritage Trust, art, music, dance or visits to sites of significance</w:t>
      </w:r>
      <w:r w:rsidR="0015479B" w:rsidRPr="00311CE3">
        <w:rPr>
          <w:rFonts w:cs="Arial"/>
          <w:color w:val="000000" w:themeColor="text1"/>
          <w:sz w:val="20"/>
        </w:rPr>
        <w:t xml:space="preserve">; and </w:t>
      </w:r>
    </w:p>
    <w:p w14:paraId="683030A2" w14:textId="77777777" w:rsidR="00B93521" w:rsidRPr="00311CE3" w:rsidRDefault="00B93521" w:rsidP="00B93521">
      <w:pPr>
        <w:numPr>
          <w:ilvl w:val="0"/>
          <w:numId w:val="44"/>
        </w:numPr>
        <w:spacing w:after="200" w:line="276" w:lineRule="auto"/>
        <w:ind w:right="968"/>
        <w:contextualSpacing/>
        <w:jc w:val="both"/>
        <w:rPr>
          <w:rFonts w:cs="Arial"/>
          <w:color w:val="000000"/>
          <w:sz w:val="20"/>
        </w:rPr>
      </w:pPr>
      <w:r w:rsidRPr="00311CE3">
        <w:rPr>
          <w:rFonts w:cs="Arial"/>
          <w:color w:val="000000" w:themeColor="text1"/>
          <w:sz w:val="20"/>
        </w:rPr>
        <w:t>Return to Country.</w:t>
      </w:r>
    </w:p>
    <w:p w14:paraId="1BC6ACCB" w14:textId="34237790" w:rsidR="00B93521" w:rsidRPr="00311CE3" w:rsidRDefault="00B93521" w:rsidP="00B93521">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 xml:space="preserve">Cultural Plan Brokerage can also be used to fund local initiatives that bring Aboriginal children in </w:t>
      </w:r>
      <w:proofErr w:type="spellStart"/>
      <w:r w:rsidR="009E15B5">
        <w:rPr>
          <w:rFonts w:ascii="Arial" w:hAnsi="Arial" w:cs="Arial"/>
          <w:color w:val="231F20"/>
          <w:sz w:val="20"/>
          <w:szCs w:val="20"/>
          <w:lang w:val="en-AU"/>
        </w:rPr>
        <w:t>OoHC</w:t>
      </w:r>
      <w:proofErr w:type="spellEnd"/>
      <w:r w:rsidRPr="00311CE3">
        <w:rPr>
          <w:rFonts w:ascii="Arial" w:hAnsi="Arial" w:cs="Arial"/>
          <w:color w:val="231F20"/>
          <w:sz w:val="20"/>
          <w:szCs w:val="20"/>
          <w:lang w:val="en-AU"/>
        </w:rPr>
        <w:t xml:space="preserve"> together, such as cultural camps or community events.</w:t>
      </w:r>
    </w:p>
    <w:p w14:paraId="02B34C41" w14:textId="77777777" w:rsidR="006E66D8" w:rsidRPr="00287994" w:rsidRDefault="006E66D8" w:rsidP="006E66D8">
      <w:pPr>
        <w:pStyle w:val="Body"/>
        <w:rPr>
          <w:rFonts w:asciiTheme="minorHAnsi" w:hAnsiTheme="minorHAnsi" w:cstheme="minorHAnsi"/>
        </w:rPr>
      </w:pPr>
    </w:p>
    <w:p w14:paraId="353BA6C0" w14:textId="76EC3037" w:rsidR="008A5D60" w:rsidRPr="00287994" w:rsidRDefault="00B93521" w:rsidP="00CE3E67">
      <w:pPr>
        <w:pStyle w:val="Heading2"/>
        <w:rPr>
          <w:bCs/>
        </w:rPr>
      </w:pPr>
      <w:bookmarkStart w:id="11" w:name="_Toc162529276"/>
      <w:bookmarkStart w:id="12" w:name="_Toc162531375"/>
      <w:r w:rsidRPr="00287994">
        <w:t>Brokerage Acquittal and Expenditure</w:t>
      </w:r>
      <w:bookmarkEnd w:id="11"/>
      <w:bookmarkEnd w:id="12"/>
    </w:p>
    <w:p w14:paraId="3FD639C1" w14:textId="48DB8500" w:rsidR="00F037F9" w:rsidRPr="00311CE3" w:rsidRDefault="00F037F9" w:rsidP="00F037F9">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Regular review of expenditure of brokerage funds is required</w:t>
      </w:r>
      <w:r w:rsidR="00FA1776" w:rsidRPr="00311CE3">
        <w:rPr>
          <w:rFonts w:ascii="Arial" w:hAnsi="Arial" w:cs="Arial"/>
          <w:color w:val="231F20"/>
          <w:sz w:val="20"/>
          <w:szCs w:val="20"/>
          <w:lang w:val="en-AU"/>
        </w:rPr>
        <w:t xml:space="preserve"> to ensure sufficient program funding and support future budget bids and program development</w:t>
      </w:r>
      <w:r w:rsidR="004423C4" w:rsidRPr="00311CE3">
        <w:rPr>
          <w:rFonts w:ascii="Arial" w:hAnsi="Arial" w:cs="Arial"/>
          <w:color w:val="231F20"/>
          <w:sz w:val="20"/>
          <w:szCs w:val="20"/>
          <w:lang w:val="en-AU"/>
        </w:rPr>
        <w:t>.</w:t>
      </w:r>
    </w:p>
    <w:p w14:paraId="1872745D" w14:textId="42D201E9" w:rsidR="00F037F9" w:rsidRPr="00311CE3" w:rsidRDefault="00F037F9" w:rsidP="00F037F9">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The reporting schedule is</w:t>
      </w:r>
      <w:r w:rsidR="00FA1776" w:rsidRPr="00311CE3">
        <w:rPr>
          <w:rFonts w:ascii="Arial" w:hAnsi="Arial" w:cs="Arial"/>
          <w:color w:val="231F20"/>
          <w:sz w:val="20"/>
          <w:szCs w:val="20"/>
          <w:lang w:val="en-AU"/>
        </w:rPr>
        <w:t xml:space="preserve"> provided further below. Areas are advised to forward</w:t>
      </w:r>
      <w:r w:rsidRPr="00311CE3">
        <w:rPr>
          <w:rFonts w:ascii="Arial" w:hAnsi="Arial" w:cs="Arial"/>
          <w:color w:val="231F20"/>
          <w:sz w:val="20"/>
          <w:szCs w:val="20"/>
          <w:lang w:val="en-AU"/>
        </w:rPr>
        <w:t xml:space="preserve"> </w:t>
      </w:r>
      <w:r w:rsidR="00FA1776" w:rsidRPr="00311CE3">
        <w:rPr>
          <w:rFonts w:ascii="Arial" w:hAnsi="Arial" w:cs="Arial"/>
          <w:color w:val="231F20"/>
          <w:sz w:val="20"/>
          <w:szCs w:val="20"/>
          <w:lang w:val="en-AU"/>
        </w:rPr>
        <w:t>c</w:t>
      </w:r>
      <w:r w:rsidRPr="00311CE3">
        <w:rPr>
          <w:rFonts w:ascii="Arial" w:hAnsi="Arial" w:cs="Arial"/>
          <w:color w:val="231F20"/>
          <w:sz w:val="20"/>
          <w:szCs w:val="20"/>
          <w:lang w:val="en-AU"/>
        </w:rPr>
        <w:t>ompleted brokerage expenditure acquittals to s the relevant</w:t>
      </w:r>
      <w:r w:rsidR="00FA1776" w:rsidRPr="00311CE3">
        <w:rPr>
          <w:rFonts w:ascii="Arial" w:hAnsi="Arial" w:cs="Arial"/>
          <w:color w:val="231F20"/>
          <w:sz w:val="20"/>
          <w:szCs w:val="20"/>
          <w:lang w:val="en-AU"/>
        </w:rPr>
        <w:t xml:space="preserve"> central</w:t>
      </w:r>
      <w:r w:rsidRPr="00311CE3">
        <w:rPr>
          <w:rFonts w:ascii="Arial" w:hAnsi="Arial" w:cs="Arial"/>
          <w:color w:val="231F20"/>
          <w:sz w:val="20"/>
          <w:szCs w:val="20"/>
          <w:lang w:val="en-AU"/>
        </w:rPr>
        <w:t xml:space="preserve"> area</w:t>
      </w:r>
      <w:r w:rsidR="00FA1776" w:rsidRPr="00311CE3">
        <w:rPr>
          <w:rFonts w:ascii="Arial" w:hAnsi="Arial" w:cs="Arial"/>
          <w:color w:val="231F20"/>
          <w:sz w:val="20"/>
          <w:szCs w:val="20"/>
          <w:lang w:val="en-AU"/>
        </w:rPr>
        <w:t>.</w:t>
      </w:r>
      <w:r w:rsidRPr="00311CE3">
        <w:rPr>
          <w:rFonts w:ascii="Arial" w:hAnsi="Arial" w:cs="Arial"/>
          <w:color w:val="231F20"/>
          <w:sz w:val="20"/>
          <w:szCs w:val="20"/>
          <w:lang w:val="en-AU"/>
        </w:rPr>
        <w:t xml:space="preserve">:  </w:t>
      </w:r>
    </w:p>
    <w:p w14:paraId="229A6305" w14:textId="2A73346B" w:rsidR="00F037F9" w:rsidRPr="00311CE3" w:rsidRDefault="00F037F9" w:rsidP="00F037F9">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 xml:space="preserve">Cultural plan brokerage funds for Aboriginal children must be recorded on </w:t>
      </w:r>
      <w:bookmarkStart w:id="13" w:name="_Int_Hthx6YtN"/>
      <w:r w:rsidRPr="00311CE3">
        <w:rPr>
          <w:rFonts w:ascii="Arial" w:hAnsi="Arial" w:cs="Arial"/>
          <w:color w:val="231F20"/>
          <w:sz w:val="20"/>
          <w:szCs w:val="20"/>
          <w:lang w:val="en-AU"/>
        </w:rPr>
        <w:t>CRIS</w:t>
      </w:r>
      <w:bookmarkEnd w:id="13"/>
      <w:r w:rsidRPr="00311CE3">
        <w:rPr>
          <w:rFonts w:ascii="Arial" w:hAnsi="Arial" w:cs="Arial"/>
          <w:color w:val="231F20"/>
          <w:sz w:val="20"/>
          <w:szCs w:val="20"/>
          <w:lang w:val="en-AU"/>
        </w:rPr>
        <w:t xml:space="preserve"> as a case note and the</w:t>
      </w:r>
      <w:r w:rsidR="0015479B" w:rsidRPr="00311CE3">
        <w:rPr>
          <w:rFonts w:ascii="Arial" w:hAnsi="Arial" w:cs="Arial"/>
          <w:color w:val="231F20"/>
          <w:sz w:val="20"/>
          <w:szCs w:val="20"/>
          <w:lang w:val="en-AU"/>
        </w:rPr>
        <w:t>n</w:t>
      </w:r>
      <w:r w:rsidRPr="00311CE3">
        <w:rPr>
          <w:rFonts w:ascii="Arial" w:hAnsi="Arial" w:cs="Arial"/>
          <w:color w:val="231F20"/>
          <w:sz w:val="20"/>
          <w:szCs w:val="20"/>
          <w:lang w:val="en-AU"/>
        </w:rPr>
        <w:t xml:space="preserve"> on CRISSP. This is a </w:t>
      </w:r>
      <w:r w:rsidR="00311CE3">
        <w:rPr>
          <w:rFonts w:ascii="Arial" w:hAnsi="Arial" w:cs="Arial"/>
          <w:color w:val="231F20"/>
          <w:sz w:val="20"/>
          <w:szCs w:val="20"/>
          <w:lang w:val="en-AU"/>
        </w:rPr>
        <w:t xml:space="preserve">reporting </w:t>
      </w:r>
      <w:r w:rsidR="005A64D2" w:rsidRPr="00311CE3">
        <w:rPr>
          <w:rFonts w:ascii="Arial" w:hAnsi="Arial" w:cs="Arial"/>
          <w:color w:val="231F20"/>
          <w:sz w:val="20"/>
          <w:szCs w:val="20"/>
          <w:lang w:val="en-AU"/>
        </w:rPr>
        <w:t>requirement under the Service Agreement</w:t>
      </w:r>
      <w:r w:rsidR="0015479B" w:rsidRPr="00311CE3">
        <w:rPr>
          <w:rFonts w:ascii="Arial" w:hAnsi="Arial" w:cs="Arial"/>
          <w:color w:val="231F20"/>
          <w:sz w:val="20"/>
          <w:szCs w:val="20"/>
          <w:lang w:val="en-AU"/>
        </w:rPr>
        <w:t xml:space="preserve"> as</w:t>
      </w:r>
      <w:r w:rsidRPr="00311CE3">
        <w:rPr>
          <w:rFonts w:ascii="Arial" w:hAnsi="Arial" w:cs="Arial"/>
          <w:color w:val="231F20"/>
          <w:sz w:val="20"/>
          <w:szCs w:val="20"/>
          <w:lang w:val="en-AU"/>
        </w:rPr>
        <w:t xml:space="preserve"> this information will inform potential </w:t>
      </w:r>
      <w:r w:rsidR="0015479B" w:rsidRPr="00311CE3">
        <w:rPr>
          <w:rFonts w:ascii="Arial" w:hAnsi="Arial" w:cs="Arial"/>
          <w:color w:val="231F20"/>
          <w:sz w:val="20"/>
          <w:szCs w:val="20"/>
          <w:lang w:val="en-AU"/>
        </w:rPr>
        <w:t xml:space="preserve">future </w:t>
      </w:r>
      <w:r w:rsidRPr="00311CE3">
        <w:rPr>
          <w:rFonts w:ascii="Arial" w:hAnsi="Arial" w:cs="Arial"/>
          <w:color w:val="231F20"/>
          <w:sz w:val="20"/>
          <w:szCs w:val="20"/>
          <w:lang w:val="en-AU"/>
        </w:rPr>
        <w:t>requests for funding.</w:t>
      </w:r>
    </w:p>
    <w:p w14:paraId="17D58CB0" w14:textId="20C9C0AF" w:rsidR="00F037F9" w:rsidRPr="00311CE3" w:rsidRDefault="00F037F9" w:rsidP="00F037F9">
      <w:pPr>
        <w:pStyle w:val="BodyText"/>
        <w:spacing w:before="120" w:line="254" w:lineRule="auto"/>
        <w:ind w:right="95"/>
        <w:jc w:val="both"/>
        <w:rPr>
          <w:rFonts w:ascii="Arial" w:hAnsi="Arial" w:cs="Arial"/>
          <w:color w:val="231F20"/>
          <w:sz w:val="20"/>
          <w:szCs w:val="20"/>
          <w:lang w:val="en-AU"/>
        </w:rPr>
      </w:pPr>
      <w:r w:rsidRPr="00311CE3">
        <w:rPr>
          <w:rFonts w:ascii="Arial" w:hAnsi="Arial" w:cs="Arial"/>
          <w:color w:val="231F20"/>
          <w:sz w:val="20"/>
          <w:szCs w:val="20"/>
          <w:lang w:val="en-AU"/>
        </w:rPr>
        <w:t xml:space="preserve">ACCOs are </w:t>
      </w:r>
      <w:r w:rsidR="0015479B" w:rsidRPr="00311CE3">
        <w:rPr>
          <w:rFonts w:ascii="Arial" w:hAnsi="Arial" w:cs="Arial"/>
          <w:color w:val="231F20"/>
          <w:sz w:val="20"/>
          <w:szCs w:val="20"/>
          <w:lang w:val="en-AU"/>
        </w:rPr>
        <w:t xml:space="preserve">required </w:t>
      </w:r>
      <w:r w:rsidRPr="00311CE3">
        <w:rPr>
          <w:rFonts w:ascii="Arial" w:hAnsi="Arial" w:cs="Arial"/>
          <w:color w:val="231F20"/>
          <w:sz w:val="20"/>
          <w:szCs w:val="20"/>
          <w:lang w:val="en-AU"/>
        </w:rPr>
        <w:t>to record:</w:t>
      </w:r>
    </w:p>
    <w:p w14:paraId="7682F58E" w14:textId="77777777" w:rsidR="00F037F9" w:rsidRPr="00311CE3" w:rsidRDefault="00F037F9" w:rsidP="00F037F9">
      <w:pPr>
        <w:pStyle w:val="BodyText"/>
        <w:numPr>
          <w:ilvl w:val="0"/>
          <w:numId w:val="45"/>
        </w:numPr>
        <w:spacing w:before="120" w:line="254" w:lineRule="auto"/>
        <w:ind w:right="1414"/>
        <w:jc w:val="both"/>
        <w:rPr>
          <w:rFonts w:ascii="Arial" w:hAnsi="Arial" w:cs="Arial"/>
          <w:color w:val="231F20"/>
          <w:sz w:val="20"/>
          <w:szCs w:val="20"/>
          <w:lang w:val="en-AU"/>
        </w:rPr>
      </w:pPr>
      <w:r w:rsidRPr="00311CE3">
        <w:rPr>
          <w:rFonts w:ascii="Arial" w:hAnsi="Arial" w:cs="Arial"/>
          <w:color w:val="231F20"/>
          <w:sz w:val="20"/>
          <w:szCs w:val="20"/>
          <w:lang w:val="en-AU"/>
        </w:rPr>
        <w:t>CRIS Number</w:t>
      </w:r>
    </w:p>
    <w:p w14:paraId="19133C94" w14:textId="76F1ADCC" w:rsidR="00F037F9" w:rsidRPr="00311CE3" w:rsidRDefault="00F037F9" w:rsidP="00F037F9">
      <w:pPr>
        <w:pStyle w:val="BodyText"/>
        <w:numPr>
          <w:ilvl w:val="0"/>
          <w:numId w:val="45"/>
        </w:numPr>
        <w:spacing w:before="120" w:line="254" w:lineRule="auto"/>
        <w:ind w:right="1414"/>
        <w:jc w:val="both"/>
        <w:rPr>
          <w:rFonts w:ascii="Arial" w:hAnsi="Arial" w:cs="Arial"/>
          <w:color w:val="231F20"/>
          <w:sz w:val="20"/>
          <w:szCs w:val="20"/>
          <w:lang w:val="en-AU"/>
        </w:rPr>
      </w:pPr>
      <w:r w:rsidRPr="00311CE3">
        <w:rPr>
          <w:rFonts w:ascii="Arial" w:hAnsi="Arial" w:cs="Arial"/>
          <w:color w:val="231F20"/>
          <w:sz w:val="20"/>
          <w:szCs w:val="20"/>
          <w:lang w:val="en-AU"/>
        </w:rPr>
        <w:t xml:space="preserve">Amount </w:t>
      </w:r>
      <w:r w:rsidR="0015479B" w:rsidRPr="00311CE3">
        <w:rPr>
          <w:rFonts w:ascii="Arial" w:hAnsi="Arial" w:cs="Arial"/>
          <w:color w:val="231F20"/>
          <w:sz w:val="20"/>
          <w:szCs w:val="20"/>
          <w:lang w:val="en-AU"/>
        </w:rPr>
        <w:t>expended</w:t>
      </w:r>
    </w:p>
    <w:p w14:paraId="2AAD05E9" w14:textId="286C34FE" w:rsidR="00906E6C" w:rsidRPr="00311CE3" w:rsidRDefault="00906E6C" w:rsidP="00F037F9">
      <w:pPr>
        <w:pStyle w:val="BodyText"/>
        <w:numPr>
          <w:ilvl w:val="0"/>
          <w:numId w:val="45"/>
        </w:numPr>
        <w:spacing w:before="120" w:line="254" w:lineRule="auto"/>
        <w:ind w:right="1414"/>
        <w:jc w:val="both"/>
        <w:rPr>
          <w:rFonts w:ascii="Arial" w:hAnsi="Arial" w:cs="Arial"/>
          <w:color w:val="231F20"/>
          <w:sz w:val="20"/>
          <w:szCs w:val="20"/>
          <w:lang w:val="en-AU"/>
        </w:rPr>
      </w:pPr>
      <w:r w:rsidRPr="00311CE3">
        <w:rPr>
          <w:rFonts w:ascii="Arial" w:hAnsi="Arial" w:cs="Arial"/>
          <w:color w:val="231F20"/>
          <w:sz w:val="20"/>
          <w:szCs w:val="20"/>
          <w:lang w:val="en-AU"/>
        </w:rPr>
        <w:t>SAMS2 Activity Number</w:t>
      </w:r>
    </w:p>
    <w:p w14:paraId="1207B423" w14:textId="27473EFF" w:rsidR="00F037F9" w:rsidRPr="00A35833" w:rsidRDefault="00F037F9" w:rsidP="009F521C">
      <w:pPr>
        <w:pStyle w:val="BodyText"/>
        <w:spacing w:before="120" w:line="254" w:lineRule="auto"/>
        <w:ind w:left="360" w:right="1414"/>
        <w:jc w:val="both"/>
        <w:rPr>
          <w:rFonts w:asciiTheme="minorHAnsi" w:hAnsiTheme="minorHAnsi" w:cstheme="minorHAnsi"/>
          <w:color w:val="231F20"/>
          <w:sz w:val="20"/>
          <w:szCs w:val="20"/>
          <w:lang w:val="en-AU"/>
        </w:rPr>
      </w:pPr>
      <w:r w:rsidRPr="00A35833">
        <w:rPr>
          <w:rFonts w:asciiTheme="minorHAnsi" w:hAnsiTheme="minorHAnsi" w:cstheme="minorHAnsi"/>
          <w:lang w:val="en-AU"/>
        </w:rPr>
        <w:br/>
      </w:r>
    </w:p>
    <w:p w14:paraId="407ACFB9" w14:textId="77777777" w:rsidR="00B93521" w:rsidRPr="00287994" w:rsidRDefault="00B93521" w:rsidP="00B93521">
      <w:pPr>
        <w:pStyle w:val="Body"/>
        <w:rPr>
          <w:rFonts w:asciiTheme="minorHAnsi" w:hAnsiTheme="minorHAnsi" w:cstheme="minorHAnsi"/>
        </w:rPr>
      </w:pPr>
    </w:p>
    <w:p w14:paraId="1398A3EE" w14:textId="53EBD20C" w:rsidR="003D7E30" w:rsidRPr="00287994" w:rsidRDefault="00F037F9" w:rsidP="00CE3E67">
      <w:pPr>
        <w:pStyle w:val="Heading2"/>
        <w:rPr>
          <w:bCs/>
        </w:rPr>
      </w:pPr>
      <w:bookmarkStart w:id="14" w:name="_Toc162529277"/>
      <w:bookmarkStart w:id="15" w:name="_Toc162531376"/>
      <w:r w:rsidRPr="00287994">
        <w:lastRenderedPageBreak/>
        <w:t>Schedule of reporting</w:t>
      </w:r>
      <w:bookmarkEnd w:id="14"/>
      <w:bookmarkEnd w:id="15"/>
    </w:p>
    <w:p w14:paraId="596707EF" w14:textId="1D2801C8" w:rsidR="004E2EB2" w:rsidRPr="00311CE3" w:rsidRDefault="004E2EB2" w:rsidP="004E2EB2">
      <w:pPr>
        <w:rPr>
          <w:rFonts w:cs="Arial"/>
          <w:sz w:val="20"/>
        </w:rPr>
      </w:pPr>
      <w:r w:rsidRPr="00311CE3">
        <w:rPr>
          <w:rFonts w:cs="Arial"/>
          <w:sz w:val="20"/>
        </w:rPr>
        <w:t xml:space="preserve">ACCOs are </w:t>
      </w:r>
      <w:r w:rsidR="0015479B" w:rsidRPr="00311CE3">
        <w:rPr>
          <w:rFonts w:cs="Arial"/>
          <w:sz w:val="20"/>
        </w:rPr>
        <w:t xml:space="preserve">required </w:t>
      </w:r>
      <w:r w:rsidRPr="00311CE3">
        <w:rPr>
          <w:rFonts w:cs="Arial"/>
          <w:sz w:val="20"/>
        </w:rPr>
        <w:t xml:space="preserve">to provide the Cultural Plan Client Brokerage Acquittal form to their area Agency Performance and System Support (APSS) </w:t>
      </w:r>
      <w:r w:rsidR="00906E6C">
        <w:rPr>
          <w:rFonts w:cs="Arial"/>
          <w:sz w:val="20"/>
        </w:rPr>
        <w:t xml:space="preserve">staff </w:t>
      </w:r>
      <w:r w:rsidRPr="00311CE3">
        <w:rPr>
          <w:rFonts w:cs="Arial"/>
          <w:sz w:val="20"/>
        </w:rPr>
        <w:t>contact by the 20</w:t>
      </w:r>
      <w:r w:rsidRPr="00311CE3">
        <w:rPr>
          <w:rFonts w:cs="Arial"/>
          <w:sz w:val="20"/>
          <w:vertAlign w:val="superscript"/>
        </w:rPr>
        <w:t>th</w:t>
      </w:r>
      <w:r w:rsidRPr="00311CE3">
        <w:rPr>
          <w:rFonts w:cs="Arial"/>
          <w:sz w:val="20"/>
        </w:rPr>
        <w:t xml:space="preserve"> day of the month following each quarter. APSS to provide an update to Aboriginal Initiatives (Central). </w:t>
      </w:r>
    </w:p>
    <w:p w14:paraId="4B2AE472" w14:textId="77777777" w:rsidR="00F037F9" w:rsidRPr="00287994" w:rsidRDefault="00F037F9" w:rsidP="00F037F9">
      <w:pPr>
        <w:pStyle w:val="Body"/>
        <w:rPr>
          <w:rFonts w:asciiTheme="minorHAnsi" w:hAnsiTheme="minorHAnsi" w:cstheme="minorHAnsi"/>
        </w:rPr>
      </w:pPr>
    </w:p>
    <w:p w14:paraId="5C7A0D6F" w14:textId="37B5799E" w:rsidR="003D7E30" w:rsidRPr="00287994" w:rsidRDefault="004E2EB2" w:rsidP="00CE3E67">
      <w:pPr>
        <w:pStyle w:val="Heading2"/>
        <w:rPr>
          <w:bCs/>
        </w:rPr>
      </w:pPr>
      <w:bookmarkStart w:id="16" w:name="_Toc162529278"/>
      <w:bookmarkStart w:id="17" w:name="_Toc162531377"/>
      <w:r w:rsidRPr="00287994">
        <w:t>Alternative Funding Sources</w:t>
      </w:r>
      <w:bookmarkEnd w:id="16"/>
      <w:bookmarkEnd w:id="17"/>
    </w:p>
    <w:p w14:paraId="4D281C1B" w14:textId="03521DAF" w:rsidR="00AD506B" w:rsidRPr="00311CE3" w:rsidRDefault="00AD506B" w:rsidP="00AD506B">
      <w:pPr>
        <w:rPr>
          <w:rFonts w:cs="Arial"/>
          <w:sz w:val="20"/>
        </w:rPr>
      </w:pPr>
      <w:r w:rsidRPr="00311CE3">
        <w:rPr>
          <w:rFonts w:cs="Arial"/>
          <w:sz w:val="20"/>
        </w:rPr>
        <w:t>It is important that care teams and Senior Advisor</w:t>
      </w:r>
      <w:r w:rsidR="00FE3EA3" w:rsidRPr="00311CE3">
        <w:rPr>
          <w:rFonts w:cs="Arial"/>
          <w:sz w:val="20"/>
        </w:rPr>
        <w:t>s</w:t>
      </w:r>
      <w:r w:rsidRPr="00311CE3">
        <w:rPr>
          <w:rFonts w:cs="Arial"/>
          <w:sz w:val="20"/>
        </w:rPr>
        <w:t xml:space="preserve"> - Cultural Planning build a body of knowledge of resources and funding sources that Aboriginal children can access to ensure that brokerage funding </w:t>
      </w:r>
      <w:r w:rsidR="00A35833" w:rsidRPr="00311CE3">
        <w:rPr>
          <w:rFonts w:cs="Arial"/>
          <w:sz w:val="20"/>
        </w:rPr>
        <w:t>are</w:t>
      </w:r>
      <w:r w:rsidRPr="00311CE3">
        <w:rPr>
          <w:rFonts w:cs="Arial"/>
          <w:sz w:val="20"/>
        </w:rPr>
        <w:t xml:space="preserve"> used to maximum effect to meet Cultural Planning goals.</w:t>
      </w:r>
    </w:p>
    <w:p w14:paraId="16CB23A2" w14:textId="73488850" w:rsidR="00AD506B" w:rsidRPr="00311CE3" w:rsidRDefault="00AD506B" w:rsidP="00AD506B">
      <w:pPr>
        <w:rPr>
          <w:rFonts w:cs="Arial"/>
          <w:sz w:val="20"/>
        </w:rPr>
      </w:pPr>
      <w:r w:rsidRPr="00311CE3">
        <w:rPr>
          <w:rFonts w:cs="Arial"/>
          <w:sz w:val="20"/>
        </w:rPr>
        <w:t xml:space="preserve">Cultural planning brokerage funding is to be used to ensure successful cultural plan goal completion and progress in establishing and/or maintaining an Aboriginal child's connection to culture in </w:t>
      </w:r>
      <w:proofErr w:type="spellStart"/>
      <w:r w:rsidR="009E15B5">
        <w:rPr>
          <w:rFonts w:cs="Arial"/>
          <w:sz w:val="20"/>
        </w:rPr>
        <w:t>OoHC</w:t>
      </w:r>
      <w:proofErr w:type="spellEnd"/>
      <w:r w:rsidRPr="00311CE3">
        <w:rPr>
          <w:rFonts w:cs="Arial"/>
          <w:sz w:val="20"/>
        </w:rPr>
        <w:t>.</w:t>
      </w:r>
    </w:p>
    <w:p w14:paraId="1C3AA192" w14:textId="77777777" w:rsidR="00FE3EA3" w:rsidRPr="00287994" w:rsidRDefault="00FE3EA3" w:rsidP="00AD506B">
      <w:pPr>
        <w:rPr>
          <w:rFonts w:asciiTheme="minorHAnsi" w:hAnsiTheme="minorHAnsi" w:cstheme="minorHAnsi"/>
          <w:sz w:val="20"/>
        </w:rPr>
      </w:pPr>
    </w:p>
    <w:p w14:paraId="2EAF9709" w14:textId="4A80A4C4" w:rsidR="00FE3EA3" w:rsidRPr="00287994" w:rsidRDefault="00FE3EA3" w:rsidP="00CE3E67">
      <w:pPr>
        <w:pStyle w:val="Heading4"/>
      </w:pPr>
      <w:bookmarkStart w:id="18" w:name="_Toc162529279"/>
      <w:r w:rsidRPr="00287994">
        <w:t>Further information</w:t>
      </w:r>
      <w:bookmarkEnd w:id="18"/>
    </w:p>
    <w:commentRangeStart w:id="19"/>
    <w:commentRangeStart w:id="20"/>
    <w:p w14:paraId="09F517E9" w14:textId="3D662B39" w:rsidR="00FE3EA3" w:rsidRPr="00287994" w:rsidRDefault="0041250A" w:rsidP="006021DA">
      <w:pPr>
        <w:pStyle w:val="DHHSbullet1"/>
        <w:rPr>
          <w:rFonts w:asciiTheme="minorHAnsi" w:eastAsia="Times New Roman" w:hAnsiTheme="minorHAnsi" w:cstheme="minorHAnsi"/>
        </w:rPr>
      </w:pPr>
      <w:r w:rsidRPr="00287994">
        <w:fldChar w:fldCharType="begin"/>
      </w:r>
      <w:r w:rsidRPr="00287994">
        <w:instrText>HYPERLINK "http://www.cpmanual.vic.gov.au/advice-and-protocols/advice/aboriginal-children/cultural-support-plans"</w:instrText>
      </w:r>
      <w:r w:rsidRPr="00287994">
        <w:fldChar w:fldCharType="separate"/>
      </w:r>
      <w:r w:rsidR="00FE3EA3" w:rsidRPr="00287994">
        <w:rPr>
          <w:rFonts w:asciiTheme="minorHAnsi" w:eastAsia="Times New Roman" w:hAnsiTheme="minorHAnsi" w:cstheme="minorHAnsi"/>
        </w:rPr>
        <w:t>Cultural plans</w:t>
      </w:r>
      <w:r w:rsidRPr="00287994">
        <w:rPr>
          <w:rFonts w:asciiTheme="minorHAnsi" w:eastAsia="Times New Roman" w:hAnsiTheme="minorHAnsi" w:cstheme="minorHAnsi"/>
        </w:rPr>
        <w:fldChar w:fldCharType="end"/>
      </w:r>
      <w:commentRangeEnd w:id="19"/>
      <w:r w:rsidR="00702090">
        <w:rPr>
          <w:rStyle w:val="CommentReference"/>
          <w:rFonts w:eastAsia="Times New Roman"/>
        </w:rPr>
        <w:commentReference w:id="19"/>
      </w:r>
      <w:commentRangeEnd w:id="20"/>
      <w:r w:rsidR="00A35833">
        <w:rPr>
          <w:rStyle w:val="CommentReference"/>
          <w:rFonts w:eastAsia="Times New Roman"/>
        </w:rPr>
        <w:commentReference w:id="20"/>
      </w:r>
      <w:r w:rsidR="00FE3EA3" w:rsidRPr="00287994">
        <w:rPr>
          <w:rFonts w:asciiTheme="minorHAnsi" w:eastAsia="Times New Roman" w:hAnsiTheme="minorHAnsi" w:cstheme="minorHAnsi"/>
        </w:rPr>
        <w:t xml:space="preserve"> </w:t>
      </w:r>
      <w:hyperlink r:id="rId20" w:history="1">
        <w:r w:rsidR="006021DA">
          <w:rPr>
            <w:rStyle w:val="Hyperlink"/>
          </w:rPr>
          <w:t>Advice &amp; Protocols | Child Protection Manual | CP Manual Victoria</w:t>
        </w:r>
      </w:hyperlink>
    </w:p>
    <w:p w14:paraId="63052F7D" w14:textId="77777777" w:rsidR="00FE3EA3" w:rsidRPr="00287994" w:rsidRDefault="00FE3EA3" w:rsidP="00AD506B">
      <w:pPr>
        <w:rPr>
          <w:rFonts w:asciiTheme="minorHAnsi" w:hAnsiTheme="minorHAnsi" w:cstheme="minorHAnsi"/>
          <w:sz w:val="20"/>
        </w:rPr>
      </w:pPr>
    </w:p>
    <w:p w14:paraId="2EDACCAB" w14:textId="77777777" w:rsidR="003B1BDC" w:rsidRPr="00287994" w:rsidRDefault="003B1BDC" w:rsidP="003B1BDC">
      <w:pPr>
        <w:pStyle w:val="Body"/>
        <w:rPr>
          <w:rFonts w:asciiTheme="minorHAnsi" w:hAnsiTheme="minorHAnsi" w:cstheme="minorHAnsi"/>
        </w:rPr>
      </w:pPr>
    </w:p>
    <w:tbl>
      <w:tblPr>
        <w:tblStyle w:val="TableGrid"/>
        <w:tblW w:w="0" w:type="auto"/>
        <w:tblCellMar>
          <w:bottom w:w="108" w:type="dxa"/>
        </w:tblCellMar>
        <w:tblLook w:val="0600" w:firstRow="0" w:lastRow="0" w:firstColumn="0" w:lastColumn="0" w:noHBand="1" w:noVBand="1"/>
      </w:tblPr>
      <w:tblGrid>
        <w:gridCol w:w="10194"/>
      </w:tblGrid>
      <w:tr w:rsidR="0055119B" w:rsidRPr="00287994" w14:paraId="696A6191" w14:textId="77777777" w:rsidTr="00641724">
        <w:tc>
          <w:tcPr>
            <w:tcW w:w="10194" w:type="dxa"/>
          </w:tcPr>
          <w:p w14:paraId="38F3D9B0" w14:textId="7E1CB5F9" w:rsidR="0055119B" w:rsidRPr="00287994" w:rsidRDefault="0055119B" w:rsidP="0055119B">
            <w:pPr>
              <w:pStyle w:val="Accessibilitypara"/>
              <w:rPr>
                <w:rFonts w:asciiTheme="minorHAnsi" w:hAnsiTheme="minorHAnsi" w:cstheme="minorHAnsi"/>
              </w:rPr>
            </w:pPr>
            <w:bookmarkStart w:id="21" w:name="_Hlk37240926"/>
            <w:r w:rsidRPr="00287994">
              <w:rPr>
                <w:rFonts w:asciiTheme="minorHAnsi" w:hAnsiTheme="minorHAnsi" w:cstheme="minorHAnsi"/>
              </w:rPr>
              <w:t xml:space="preserve">To receive this document in another format, phone </w:t>
            </w:r>
            <w:r w:rsidR="00E34CC7" w:rsidRPr="00E34CC7">
              <w:rPr>
                <w:rFonts w:asciiTheme="minorHAnsi" w:hAnsiTheme="minorHAnsi" w:cstheme="minorHAnsi"/>
              </w:rPr>
              <w:t>1300 475 170</w:t>
            </w:r>
            <w:r w:rsidRPr="00287994">
              <w:rPr>
                <w:rFonts w:asciiTheme="minorHAnsi" w:hAnsiTheme="minorHAnsi" w:cstheme="minorHAnsi"/>
              </w:rPr>
              <w:t>, using the National Relay Service 13 36 77 if required, or email</w:t>
            </w:r>
            <w:r w:rsidR="00E34CC7">
              <w:rPr>
                <w:rFonts w:asciiTheme="minorHAnsi" w:hAnsiTheme="minorHAnsi" w:cstheme="minorHAnsi"/>
              </w:rPr>
              <w:t xml:space="preserve"> </w:t>
            </w:r>
            <w:r w:rsidRPr="00287994">
              <w:rPr>
                <w:rFonts w:asciiTheme="minorHAnsi" w:hAnsiTheme="minorHAnsi" w:cstheme="minorHAnsi"/>
              </w:rPr>
              <w:t>&lt;</w:t>
            </w:r>
            <w:r w:rsidR="00E34CC7" w:rsidRPr="00E34CC7">
              <w:rPr>
                <w:rFonts w:asciiTheme="minorHAnsi" w:hAnsiTheme="minorHAnsi" w:cstheme="minorHAnsi"/>
              </w:rPr>
              <w:t>Aboriginalinitiatives@dffh.vic.gov.au</w:t>
            </w:r>
            <w:r w:rsidRPr="00287994">
              <w:rPr>
                <w:rFonts w:asciiTheme="minorHAnsi" w:hAnsiTheme="minorHAnsi" w:cstheme="minorHAnsi"/>
              </w:rPr>
              <w:t>&gt;.</w:t>
            </w:r>
          </w:p>
          <w:p w14:paraId="7DF2FFCA" w14:textId="77777777" w:rsidR="0055119B" w:rsidRPr="00287994" w:rsidRDefault="0055119B" w:rsidP="00E33237">
            <w:pPr>
              <w:pStyle w:val="Imprint"/>
              <w:rPr>
                <w:rFonts w:asciiTheme="minorHAnsi" w:hAnsiTheme="minorHAnsi" w:cstheme="minorHAnsi"/>
              </w:rPr>
            </w:pPr>
            <w:r w:rsidRPr="00287994">
              <w:rPr>
                <w:rFonts w:asciiTheme="minorHAnsi" w:hAnsiTheme="minorHAnsi" w:cstheme="minorHAnsi"/>
              </w:rPr>
              <w:t>Authorised and published by the Victorian Government, 1 Treasury Place, Melbourne.</w:t>
            </w:r>
          </w:p>
          <w:p w14:paraId="6E4BD3D4" w14:textId="337BD9D7" w:rsidR="0055119B" w:rsidRPr="00287994" w:rsidRDefault="0055119B" w:rsidP="00E33237">
            <w:pPr>
              <w:pStyle w:val="Imprint"/>
              <w:rPr>
                <w:rFonts w:asciiTheme="minorHAnsi" w:hAnsiTheme="minorHAnsi" w:cstheme="minorHAnsi"/>
              </w:rPr>
            </w:pPr>
            <w:r w:rsidRPr="00287994">
              <w:rPr>
                <w:rFonts w:asciiTheme="minorHAnsi" w:hAnsiTheme="minorHAnsi" w:cstheme="minorHAnsi"/>
              </w:rPr>
              <w:t xml:space="preserve">© State of Victoria, Australia, Department of </w:t>
            </w:r>
            <w:r w:rsidR="00002D68" w:rsidRPr="00287994">
              <w:rPr>
                <w:rFonts w:asciiTheme="minorHAnsi" w:hAnsiTheme="minorHAnsi" w:cstheme="minorHAnsi"/>
              </w:rPr>
              <w:t>Families, Fairness and Housing</w:t>
            </w:r>
            <w:r w:rsidRPr="00287994">
              <w:rPr>
                <w:rFonts w:asciiTheme="minorHAnsi" w:hAnsiTheme="minorHAnsi" w:cstheme="minorHAnsi"/>
              </w:rPr>
              <w:t xml:space="preserve">, </w:t>
            </w:r>
            <w:r w:rsidR="000435E9">
              <w:rPr>
                <w:rFonts w:asciiTheme="minorHAnsi" w:hAnsiTheme="minorHAnsi" w:cstheme="minorHAnsi"/>
              </w:rPr>
              <w:t>May 2024</w:t>
            </w:r>
            <w:r w:rsidRPr="00287994">
              <w:rPr>
                <w:rFonts w:asciiTheme="minorHAnsi" w:hAnsiTheme="minorHAnsi" w:cstheme="minorHAnsi"/>
              </w:rPr>
              <w:t>.</w:t>
            </w:r>
          </w:p>
          <w:p w14:paraId="1DE414C1" w14:textId="77777777" w:rsidR="0055119B" w:rsidRPr="00D15DD1" w:rsidRDefault="0055119B" w:rsidP="00E33237">
            <w:pPr>
              <w:pStyle w:val="Imprint"/>
              <w:rPr>
                <w:rFonts w:asciiTheme="minorHAnsi" w:hAnsiTheme="minorHAnsi" w:cstheme="minorHAnsi"/>
              </w:rPr>
            </w:pPr>
            <w:bookmarkStart w:id="22" w:name="_Hlk62746129"/>
            <w:r w:rsidRPr="00D15DD1">
              <w:rPr>
                <w:rFonts w:asciiTheme="minorHAnsi" w:hAnsiTheme="minorHAnsi" w:cstheme="minorHAnsi"/>
              </w:rPr>
              <w:t>In this document, ‘Aboriginal’ refers to both Aboriginal and Torres Strait Islander people. ‘Indigenous’ or ‘Koori/Koorie’ is retained when part of the title of a report, program or quotation.</w:t>
            </w:r>
          </w:p>
          <w:p w14:paraId="51FCE217" w14:textId="35C5512B" w:rsidR="0055119B" w:rsidRPr="00D15DD1" w:rsidRDefault="0055119B" w:rsidP="00E33237">
            <w:pPr>
              <w:pStyle w:val="Imprint"/>
              <w:rPr>
                <w:rFonts w:asciiTheme="minorHAnsi" w:hAnsiTheme="minorHAnsi" w:cstheme="minorHAnsi"/>
              </w:rPr>
            </w:pPr>
            <w:r w:rsidRPr="00D15DD1">
              <w:rPr>
                <w:rFonts w:asciiTheme="minorHAnsi" w:hAnsiTheme="minorHAnsi" w:cstheme="minorHAnsi"/>
              </w:rPr>
              <w:t xml:space="preserve">ISBN </w:t>
            </w:r>
            <w:r w:rsidR="00C27B81" w:rsidRPr="00D15DD1">
              <w:rPr>
                <w:rFonts w:asciiTheme="minorHAnsi" w:hAnsiTheme="minorHAnsi" w:cstheme="minorHAnsi"/>
              </w:rPr>
              <w:t>978-1-76130-517-7</w:t>
            </w:r>
            <w:r w:rsidRPr="00D15DD1">
              <w:rPr>
                <w:rFonts w:asciiTheme="minorHAnsi" w:hAnsiTheme="minorHAnsi" w:cstheme="minorHAnsi"/>
              </w:rPr>
              <w:t xml:space="preserve"> (online/PDF/Word) </w:t>
            </w:r>
          </w:p>
          <w:p w14:paraId="0C92739F" w14:textId="5366B1FD" w:rsidR="0055119B" w:rsidRPr="00287994" w:rsidRDefault="0055119B" w:rsidP="00E33237">
            <w:pPr>
              <w:pStyle w:val="Imprint"/>
              <w:rPr>
                <w:rFonts w:asciiTheme="minorHAnsi" w:hAnsiTheme="minorHAnsi" w:cstheme="minorHAnsi"/>
              </w:rPr>
            </w:pPr>
            <w:r w:rsidRPr="00D15DD1">
              <w:rPr>
                <w:rFonts w:asciiTheme="minorHAnsi" w:hAnsiTheme="minorHAnsi" w:cstheme="minorHAnsi"/>
              </w:rPr>
              <w:t>Available a</w:t>
            </w:r>
            <w:r w:rsidR="00D15DD1" w:rsidRPr="00D15DD1">
              <w:rPr>
                <w:rFonts w:asciiTheme="minorHAnsi" w:hAnsiTheme="minorHAnsi" w:cstheme="minorHAnsi"/>
              </w:rPr>
              <w:t>t &lt;</w:t>
            </w:r>
            <w:r w:rsidR="00A4192A" w:rsidRPr="00D15DD1">
              <w:rPr>
                <w:rFonts w:asciiTheme="minorHAnsi" w:hAnsiTheme="minorHAnsi" w:cstheme="minorHAnsi"/>
              </w:rPr>
              <w:t>https://fac.dffh.vic.gov.au/policies-and-procedures</w:t>
            </w:r>
            <w:r w:rsidRPr="00D15DD1">
              <w:rPr>
                <w:rFonts w:asciiTheme="minorHAnsi" w:hAnsiTheme="minorHAnsi" w:cstheme="minorHAnsi"/>
              </w:rPr>
              <w:t>&gt;</w:t>
            </w:r>
            <w:bookmarkEnd w:id="22"/>
          </w:p>
        </w:tc>
      </w:tr>
      <w:bookmarkEnd w:id="21"/>
    </w:tbl>
    <w:p w14:paraId="312DEA78" w14:textId="77777777" w:rsidR="00162CA9" w:rsidRPr="00287994" w:rsidRDefault="00162CA9" w:rsidP="00162CA9">
      <w:pPr>
        <w:pStyle w:val="Body"/>
        <w:rPr>
          <w:rFonts w:asciiTheme="minorHAnsi" w:hAnsiTheme="minorHAnsi" w:cstheme="minorHAnsi"/>
        </w:rPr>
      </w:pPr>
    </w:p>
    <w:sectPr w:rsidR="00162CA9" w:rsidRPr="00287994" w:rsidSect="00593A99">
      <w:type w:val="continuous"/>
      <w:pgSz w:w="11906" w:h="16838" w:code="9"/>
      <w:pgMar w:top="1418" w:right="851" w:bottom="851" w:left="851" w:header="680" w:footer="567"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aryl Glynn (DFFH)" w:date="2024-03-28T15:43:00Z" w:initials="DG(">
    <w:p w14:paraId="2A13BDAD" w14:textId="35259FD1" w:rsidR="00702090" w:rsidRDefault="00702090" w:rsidP="00944033">
      <w:pPr>
        <w:pStyle w:val="CommentText"/>
      </w:pPr>
      <w:r>
        <w:rPr>
          <w:rStyle w:val="CommentReference"/>
        </w:rPr>
        <w:annotationRef/>
      </w:r>
      <w:r>
        <w:t>The link didn't work</w:t>
      </w:r>
    </w:p>
  </w:comment>
  <w:comment w:id="20" w:author="Megan Foulds (DFFH)" w:date="2024-03-28T15:47:00Z" w:initials="MF(">
    <w:p w14:paraId="00496293" w14:textId="77777777" w:rsidR="00A35833" w:rsidRDefault="00A35833" w:rsidP="00D2040A">
      <w:pPr>
        <w:pStyle w:val="CommentText"/>
      </w:pPr>
      <w:r>
        <w:rPr>
          <w:rStyle w:val="CommentReference"/>
        </w:rPr>
        <w:annotationRef/>
      </w:r>
      <w:r>
        <w:t>This link is from 31260 and needs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3BDAD" w15:done="1"/>
  <w15:commentEx w15:paraId="00496293" w15:paraIdParent="2A13BD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00E8B" w16cex:dateUtc="2024-03-28T04:43:00Z"/>
  <w16cex:commentExtensible w16cex:durableId="29B00F8B" w16cex:dateUtc="2024-03-2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3BDAD" w16cid:durableId="29B00E8B"/>
  <w16cid:commentId w16cid:paraId="00496293" w16cid:durableId="29B00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6F16" w14:textId="77777777" w:rsidR="00491874" w:rsidRDefault="00491874">
      <w:r>
        <w:separator/>
      </w:r>
    </w:p>
    <w:p w14:paraId="37E38D36" w14:textId="77777777" w:rsidR="00491874" w:rsidRDefault="00491874"/>
  </w:endnote>
  <w:endnote w:type="continuationSeparator" w:id="0">
    <w:p w14:paraId="22620F3F" w14:textId="77777777" w:rsidR="00491874" w:rsidRDefault="00491874">
      <w:r>
        <w:continuationSeparator/>
      </w:r>
    </w:p>
    <w:p w14:paraId="26EFA0CE" w14:textId="77777777" w:rsidR="00491874" w:rsidRDefault="0049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6D17" w14:textId="77777777" w:rsidR="00491874" w:rsidRDefault="00491874" w:rsidP="00207717">
      <w:pPr>
        <w:spacing w:before="120"/>
      </w:pPr>
      <w:r>
        <w:separator/>
      </w:r>
    </w:p>
  </w:footnote>
  <w:footnote w:type="continuationSeparator" w:id="0">
    <w:p w14:paraId="766EFF56" w14:textId="77777777" w:rsidR="00491874" w:rsidRDefault="00491874">
      <w:r>
        <w:continuationSeparator/>
      </w:r>
    </w:p>
    <w:p w14:paraId="1B468CD1" w14:textId="77777777" w:rsidR="00491874" w:rsidRDefault="00491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604E6E1" w:rsidR="00E261B3" w:rsidRPr="0051568D" w:rsidRDefault="002A2051" w:rsidP="0017674D">
    <w:pPr>
      <w:pStyle w:val="Header"/>
    </w:pPr>
    <w:r>
      <w:t>Cultural Plan Brokerage Funding Guidelines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ED6483"/>
    <w:multiLevelType w:val="hybridMultilevel"/>
    <w:tmpl w:val="623A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E600F6"/>
    <w:multiLevelType w:val="hybridMultilevel"/>
    <w:tmpl w:val="054C9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A383E20"/>
    <w:multiLevelType w:val="hybridMultilevel"/>
    <w:tmpl w:val="32D2E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0"/>
  </w:num>
  <w:num w:numId="3" w16cid:durableId="1736510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4"/>
  </w:num>
  <w:num w:numId="8" w16cid:durableId="1978801422">
    <w:abstractNumId w:val="18"/>
  </w:num>
  <w:num w:numId="9" w16cid:durableId="2113083680">
    <w:abstractNumId w:val="23"/>
  </w:num>
  <w:num w:numId="10" w16cid:durableId="1670714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5"/>
  </w:num>
  <w:num w:numId="12" w16cid:durableId="1967000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1"/>
  </w:num>
  <w:num w:numId="14" w16cid:durableId="13197708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7"/>
  </w:num>
  <w:num w:numId="19" w16cid:durableId="123832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5"/>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7"/>
  </w:num>
  <w:num w:numId="24" w16cid:durableId="869493609">
    <w:abstractNumId w:val="28"/>
  </w:num>
  <w:num w:numId="25" w16cid:durableId="1679652250">
    <w:abstractNumId w:val="26"/>
  </w:num>
  <w:num w:numId="26" w16cid:durableId="1435905434">
    <w:abstractNumId w:val="22"/>
  </w:num>
  <w:num w:numId="27" w16cid:durableId="1999532308">
    <w:abstractNumId w:val="12"/>
  </w:num>
  <w:num w:numId="28" w16cid:durableId="753430641">
    <w:abstractNumId w:val="29"/>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4"/>
  </w:num>
  <w:num w:numId="41" w16cid:durableId="2088839045">
    <w:abstractNumId w:val="24"/>
  </w:num>
  <w:num w:numId="42" w16cid:durableId="1692532892">
    <w:abstractNumId w:val="24"/>
  </w:num>
  <w:num w:numId="43" w16cid:durableId="506097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2648401">
    <w:abstractNumId w:val="19"/>
  </w:num>
  <w:num w:numId="45" w16cid:durableId="526527347">
    <w:abstractNumId w:val="11"/>
  </w:num>
  <w:num w:numId="46" w16cid:durableId="106367303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yl Glynn (DFFH)">
    <w15:presenceInfo w15:providerId="AD" w15:userId="S::Daryl.Glynn@dffh.vic.gov.au::d73545f7-903c-48bf-bf47-83e47a372227"/>
  </w15:person>
  <w15:person w15:author="Megan Foulds (DFFH)">
    <w15:presenceInfo w15:providerId="AD" w15:userId="S::Megan.Foulds@dffh.vic.gov.au::e23745cc-f6c1-4ceb-ade1-ede3bfab5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35E9"/>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50B"/>
    <w:rsid w:val="000C42EA"/>
    <w:rsid w:val="000C4546"/>
    <w:rsid w:val="000D1242"/>
    <w:rsid w:val="000E0970"/>
    <w:rsid w:val="000E3CC7"/>
    <w:rsid w:val="000E6BD4"/>
    <w:rsid w:val="000E6D6D"/>
    <w:rsid w:val="000F1F1E"/>
    <w:rsid w:val="000F2259"/>
    <w:rsid w:val="000F2DDA"/>
    <w:rsid w:val="000F2EA0"/>
    <w:rsid w:val="000F5213"/>
    <w:rsid w:val="00101001"/>
    <w:rsid w:val="001029BD"/>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479B"/>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BE9"/>
    <w:rsid w:val="00263A90"/>
    <w:rsid w:val="0026408B"/>
    <w:rsid w:val="00267C3E"/>
    <w:rsid w:val="002709BB"/>
    <w:rsid w:val="0027131C"/>
    <w:rsid w:val="00273BAC"/>
    <w:rsid w:val="002763B3"/>
    <w:rsid w:val="002802E3"/>
    <w:rsid w:val="00280C4B"/>
    <w:rsid w:val="0028213D"/>
    <w:rsid w:val="002862F1"/>
    <w:rsid w:val="00287994"/>
    <w:rsid w:val="00291373"/>
    <w:rsid w:val="00294BA8"/>
    <w:rsid w:val="0029597D"/>
    <w:rsid w:val="002962C3"/>
    <w:rsid w:val="0029752B"/>
    <w:rsid w:val="002A0A9C"/>
    <w:rsid w:val="002A2051"/>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850"/>
    <w:rsid w:val="00306E5F"/>
    <w:rsid w:val="00307E14"/>
    <w:rsid w:val="00311CE3"/>
    <w:rsid w:val="00314054"/>
    <w:rsid w:val="00316F27"/>
    <w:rsid w:val="003210C2"/>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3DD6"/>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69"/>
    <w:rsid w:val="003E4086"/>
    <w:rsid w:val="003E639E"/>
    <w:rsid w:val="003E71E5"/>
    <w:rsid w:val="003F0445"/>
    <w:rsid w:val="003F0CF0"/>
    <w:rsid w:val="003F14B1"/>
    <w:rsid w:val="003F2B20"/>
    <w:rsid w:val="003F2F01"/>
    <w:rsid w:val="003F3289"/>
    <w:rsid w:val="003F3C62"/>
    <w:rsid w:val="003F5CB9"/>
    <w:rsid w:val="004013C7"/>
    <w:rsid w:val="00401FCF"/>
    <w:rsid w:val="00406157"/>
    <w:rsid w:val="00406285"/>
    <w:rsid w:val="004103B5"/>
    <w:rsid w:val="0041250A"/>
    <w:rsid w:val="004148F9"/>
    <w:rsid w:val="0042084E"/>
    <w:rsid w:val="00421EEF"/>
    <w:rsid w:val="00424D65"/>
    <w:rsid w:val="00430393"/>
    <w:rsid w:val="00431806"/>
    <w:rsid w:val="004350F9"/>
    <w:rsid w:val="00437AC5"/>
    <w:rsid w:val="004423C4"/>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0EBD"/>
    <w:rsid w:val="00491874"/>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2EB2"/>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4C8"/>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A64D2"/>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21DA"/>
    <w:rsid w:val="006041AD"/>
    <w:rsid w:val="00605908"/>
    <w:rsid w:val="00607850"/>
    <w:rsid w:val="00610D7C"/>
    <w:rsid w:val="00613414"/>
    <w:rsid w:val="00620154"/>
    <w:rsid w:val="00623EC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6D8"/>
    <w:rsid w:val="006F0330"/>
    <w:rsid w:val="006F1FDC"/>
    <w:rsid w:val="006F6B8C"/>
    <w:rsid w:val="007013EF"/>
    <w:rsid w:val="00702090"/>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284"/>
    <w:rsid w:val="00752B28"/>
    <w:rsid w:val="007541A9"/>
    <w:rsid w:val="00754E36"/>
    <w:rsid w:val="00763139"/>
    <w:rsid w:val="00766F80"/>
    <w:rsid w:val="00770F37"/>
    <w:rsid w:val="007711A0"/>
    <w:rsid w:val="00772D5E"/>
    <w:rsid w:val="0077463E"/>
    <w:rsid w:val="00775AA0"/>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7D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6E6C"/>
    <w:rsid w:val="009111B2"/>
    <w:rsid w:val="009151F5"/>
    <w:rsid w:val="00924AE1"/>
    <w:rsid w:val="009257ED"/>
    <w:rsid w:val="009269B1"/>
    <w:rsid w:val="0092724D"/>
    <w:rsid w:val="009272B3"/>
    <w:rsid w:val="009315BE"/>
    <w:rsid w:val="0093338F"/>
    <w:rsid w:val="00937BD9"/>
    <w:rsid w:val="009436EA"/>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0A2A"/>
    <w:rsid w:val="00982454"/>
    <w:rsid w:val="00982CF0"/>
    <w:rsid w:val="009853E1"/>
    <w:rsid w:val="00985D74"/>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18E7"/>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5B5"/>
    <w:rsid w:val="009E1B95"/>
    <w:rsid w:val="009E496F"/>
    <w:rsid w:val="009E4B0D"/>
    <w:rsid w:val="009E5250"/>
    <w:rsid w:val="009E700F"/>
    <w:rsid w:val="009E7A69"/>
    <w:rsid w:val="009E7F92"/>
    <w:rsid w:val="009F02A3"/>
    <w:rsid w:val="009F2F27"/>
    <w:rsid w:val="009F34AA"/>
    <w:rsid w:val="009F521C"/>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5833"/>
    <w:rsid w:val="00A4192A"/>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506B"/>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3521"/>
    <w:rsid w:val="00B950BC"/>
    <w:rsid w:val="00B95AB9"/>
    <w:rsid w:val="00B9714C"/>
    <w:rsid w:val="00BA29AD"/>
    <w:rsid w:val="00BA33CF"/>
    <w:rsid w:val="00BA3F8D"/>
    <w:rsid w:val="00BB5D8F"/>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67B9"/>
    <w:rsid w:val="00C27B81"/>
    <w:rsid w:val="00C27DE9"/>
    <w:rsid w:val="00C3178D"/>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3E67"/>
    <w:rsid w:val="00CF2F50"/>
    <w:rsid w:val="00CF4148"/>
    <w:rsid w:val="00CF6198"/>
    <w:rsid w:val="00D02919"/>
    <w:rsid w:val="00D04C61"/>
    <w:rsid w:val="00D05B8D"/>
    <w:rsid w:val="00D05B9B"/>
    <w:rsid w:val="00D065A2"/>
    <w:rsid w:val="00D079AA"/>
    <w:rsid w:val="00D07F00"/>
    <w:rsid w:val="00D1130F"/>
    <w:rsid w:val="00D15DD1"/>
    <w:rsid w:val="00D17B72"/>
    <w:rsid w:val="00D2477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CC7"/>
    <w:rsid w:val="00E40181"/>
    <w:rsid w:val="00E54950"/>
    <w:rsid w:val="00E55FB3"/>
    <w:rsid w:val="00E56A01"/>
    <w:rsid w:val="00E629A1"/>
    <w:rsid w:val="00E6794C"/>
    <w:rsid w:val="00E702DE"/>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37F9"/>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1776"/>
    <w:rsid w:val="00FA2C46"/>
    <w:rsid w:val="00FA3525"/>
    <w:rsid w:val="00FA5A53"/>
    <w:rsid w:val="00FB3501"/>
    <w:rsid w:val="00FB4769"/>
    <w:rsid w:val="00FB4CDA"/>
    <w:rsid w:val="00FB4D7F"/>
    <w:rsid w:val="00FB5B4E"/>
    <w:rsid w:val="00FB6481"/>
    <w:rsid w:val="00FB6D36"/>
    <w:rsid w:val="00FC0965"/>
    <w:rsid w:val="00FC0F81"/>
    <w:rsid w:val="00FC252F"/>
    <w:rsid w:val="00FC395C"/>
    <w:rsid w:val="00FC5E8E"/>
    <w:rsid w:val="00FD3766"/>
    <w:rsid w:val="00FD47C4"/>
    <w:rsid w:val="00FE2DCF"/>
    <w:rsid w:val="00FE3EA3"/>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BodyText">
    <w:name w:val="Body Text"/>
    <w:basedOn w:val="Normal"/>
    <w:link w:val="BodyTextChar"/>
    <w:uiPriority w:val="1"/>
    <w:qFormat/>
    <w:rsid w:val="003E3969"/>
    <w:pPr>
      <w:widowControl w:val="0"/>
      <w:autoSpaceDE w:val="0"/>
      <w:autoSpaceDN w:val="0"/>
      <w:spacing w:after="0" w:line="240" w:lineRule="auto"/>
    </w:pPr>
    <w:rPr>
      <w:rFonts w:ascii="Myriad Pro" w:eastAsia="Myriad Pro" w:hAnsi="Myriad Pro" w:cs="Myriad Pro"/>
      <w:sz w:val="22"/>
      <w:szCs w:val="22"/>
      <w:lang w:val="en-US"/>
    </w:rPr>
  </w:style>
  <w:style w:type="character" w:customStyle="1" w:styleId="BodyTextChar">
    <w:name w:val="Body Text Char"/>
    <w:basedOn w:val="DefaultParagraphFont"/>
    <w:link w:val="BodyText"/>
    <w:uiPriority w:val="1"/>
    <w:rsid w:val="003E3969"/>
    <w:rPr>
      <w:rFonts w:ascii="Myriad Pro" w:eastAsia="Myriad Pro" w:hAnsi="Myriad Pro" w:cs="Myriad Pro"/>
      <w:sz w:val="22"/>
      <w:szCs w:val="22"/>
      <w:lang w:val="en-US" w:eastAsia="en-US"/>
    </w:rPr>
  </w:style>
  <w:style w:type="paragraph" w:customStyle="1" w:styleId="DHHSbullet1">
    <w:name w:val="DHHS bullet 1"/>
    <w:basedOn w:val="Normal"/>
    <w:qFormat/>
    <w:rsid w:val="00FE3EA3"/>
    <w:pPr>
      <w:spacing w:after="40" w:line="270" w:lineRule="atLeast"/>
      <w:ind w:left="284" w:hanging="284"/>
    </w:pPr>
    <w:rPr>
      <w:rFonts w:eastAsia="Times"/>
      <w:sz w:val="20"/>
    </w:rPr>
  </w:style>
  <w:style w:type="paragraph" w:customStyle="1" w:styleId="DHHSbullet2">
    <w:name w:val="DHHS bullet 2"/>
    <w:basedOn w:val="Normal"/>
    <w:qFormat/>
    <w:rsid w:val="00FE3EA3"/>
    <w:pPr>
      <w:spacing w:after="40" w:line="270" w:lineRule="atLeast"/>
      <w:ind w:left="567" w:hanging="283"/>
    </w:pPr>
    <w:rPr>
      <w:rFonts w:eastAsia="Times"/>
      <w:sz w:val="20"/>
    </w:rPr>
  </w:style>
  <w:style w:type="paragraph" w:customStyle="1" w:styleId="DHHStablebullet">
    <w:name w:val="DHHS table bullet"/>
    <w:basedOn w:val="Normal"/>
    <w:qFormat/>
    <w:rsid w:val="00FE3EA3"/>
    <w:pPr>
      <w:spacing w:before="80" w:after="60" w:line="240" w:lineRule="auto"/>
      <w:ind w:left="227" w:hanging="227"/>
    </w:pPr>
    <w:rPr>
      <w:sz w:val="20"/>
    </w:rPr>
  </w:style>
  <w:style w:type="paragraph" w:customStyle="1" w:styleId="DHHSbulletindent">
    <w:name w:val="DHHS bullet indent"/>
    <w:basedOn w:val="Normal"/>
    <w:rsid w:val="00FE3EA3"/>
    <w:pPr>
      <w:spacing w:after="40" w:line="270" w:lineRule="atLeast"/>
      <w:ind w:left="680" w:hanging="283"/>
    </w:pPr>
    <w:rPr>
      <w:rFonts w:eastAsia="Times"/>
      <w:sz w:val="20"/>
    </w:rPr>
  </w:style>
  <w:style w:type="paragraph" w:customStyle="1" w:styleId="DHHSbullet1lastline">
    <w:name w:val="DHHS bullet 1 last line"/>
    <w:basedOn w:val="DHHSbullet1"/>
    <w:qFormat/>
    <w:rsid w:val="00FE3EA3"/>
    <w:pPr>
      <w:spacing w:after="120"/>
    </w:pPr>
  </w:style>
  <w:style w:type="paragraph" w:customStyle="1" w:styleId="DHHSbullet2lastline">
    <w:name w:val="DHHS bullet 2 last line"/>
    <w:basedOn w:val="DHHSbullet2"/>
    <w:qFormat/>
    <w:rsid w:val="00FE3EA3"/>
    <w:pPr>
      <w:spacing w:after="120"/>
    </w:pPr>
  </w:style>
  <w:style w:type="paragraph" w:customStyle="1" w:styleId="DHHSbulletindentlastline">
    <w:name w:val="DHHS bullet indent last line"/>
    <w:basedOn w:val="Normal"/>
    <w:rsid w:val="00FE3EA3"/>
    <w:pPr>
      <w:spacing w:line="270" w:lineRule="atLeast"/>
      <w:ind w:left="680" w:hanging="283"/>
    </w:pPr>
    <w:rPr>
      <w:rFonts w:eastAsia="Times"/>
      <w:sz w:val="20"/>
    </w:rPr>
  </w:style>
  <w:style w:type="paragraph" w:styleId="TOCHeading">
    <w:name w:val="TOC Heading"/>
    <w:basedOn w:val="Heading1"/>
    <w:next w:val="Normal"/>
    <w:uiPriority w:val="39"/>
    <w:unhideWhenUsed/>
    <w:qFormat/>
    <w:rsid w:val="004103B5"/>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7522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cpmanual.vic.gov.au/policies-and-procedures/aboriginal-children/cultural-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885</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6879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Simon Vallone (DFFH)</dc:creator>
  <cp:lastModifiedBy>Maria Tsekouras (DFFH)</cp:lastModifiedBy>
  <cp:revision>3</cp:revision>
  <cp:lastPrinted>2021-01-29T05:27:00Z</cp:lastPrinted>
  <dcterms:created xsi:type="dcterms:W3CDTF">2024-05-21T00:13:00Z</dcterms:created>
  <dcterms:modified xsi:type="dcterms:W3CDTF">2024-05-21T00:18:00Z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