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5493" w14:textId="41B190F2" w:rsidR="00056EC4" w:rsidRPr="004700CB" w:rsidRDefault="006551B4" w:rsidP="00056EC4">
      <w:pPr>
        <w:pStyle w:val="Body"/>
        <w:rPr>
          <w:b/>
          <w:bCs/>
          <w:color w:val="FF0000"/>
          <w:sz w:val="40"/>
          <w:szCs w:val="40"/>
        </w:rPr>
      </w:pPr>
      <w:r w:rsidRPr="004700CB">
        <w:rPr>
          <w:b/>
          <w:bCs/>
          <w:noProof/>
          <w:color w:val="FF0000"/>
          <w:sz w:val="40"/>
          <w:szCs w:val="40"/>
        </w:rPr>
        <w:drawing>
          <wp:anchor distT="0" distB="0" distL="114300" distR="114300" simplePos="0" relativeHeight="251658240" behindDoc="1" locked="1" layoutInCell="1" allowOverlap="1" wp14:anchorId="020E8B83" wp14:editId="2384E9A5">
            <wp:simplePos x="0" y="0"/>
            <wp:positionH relativeFrom="page">
              <wp:posOffset>346710</wp:posOffset>
            </wp:positionH>
            <wp:positionV relativeFrom="page">
              <wp:posOffset>0</wp:posOffset>
            </wp:positionV>
            <wp:extent cx="7559675" cy="10147935"/>
            <wp:effectExtent l="0" t="0" r="3175" b="5715"/>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59675" cy="101479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A5D36F4" w14:textId="77777777" w:rsidTr="00431F42">
        <w:trPr>
          <w:cantSplit/>
        </w:trPr>
        <w:tc>
          <w:tcPr>
            <w:tcW w:w="0" w:type="auto"/>
            <w:tcMar>
              <w:top w:w="0" w:type="dxa"/>
              <w:left w:w="0" w:type="dxa"/>
              <w:right w:w="0" w:type="dxa"/>
            </w:tcMar>
          </w:tcPr>
          <w:p w14:paraId="37AE7221" w14:textId="543018AE" w:rsidR="00AD784C" w:rsidRPr="00431F42" w:rsidRDefault="00943E22" w:rsidP="00431F42">
            <w:pPr>
              <w:pStyle w:val="Documenttitle"/>
            </w:pPr>
            <w:r>
              <w:t>Home Based Care Performance and Reporting Requirements Policy</w:t>
            </w:r>
          </w:p>
        </w:tc>
      </w:tr>
      <w:tr w:rsidR="00AD784C" w14:paraId="3D0D88B0" w14:textId="77777777" w:rsidTr="00431F42">
        <w:trPr>
          <w:cantSplit/>
        </w:trPr>
        <w:tc>
          <w:tcPr>
            <w:tcW w:w="0" w:type="auto"/>
          </w:tcPr>
          <w:p w14:paraId="2511F5C0" w14:textId="09AF8FBC" w:rsidR="00386109" w:rsidRPr="00A1389F" w:rsidRDefault="00943E22" w:rsidP="009315BE">
            <w:pPr>
              <w:pStyle w:val="Documentsubtitle"/>
            </w:pPr>
            <w:r>
              <w:t>May 2022, Effective from 1 July 2021</w:t>
            </w:r>
          </w:p>
        </w:tc>
      </w:tr>
      <w:tr w:rsidR="00430393" w14:paraId="2F022B50" w14:textId="77777777" w:rsidTr="00431F42">
        <w:trPr>
          <w:cantSplit/>
        </w:trPr>
        <w:tc>
          <w:tcPr>
            <w:tcW w:w="0" w:type="auto"/>
          </w:tcPr>
          <w:p w14:paraId="4B419BC8" w14:textId="77777777" w:rsidR="00430393" w:rsidRDefault="007E246B" w:rsidP="00430393">
            <w:pPr>
              <w:pStyle w:val="Bannermarking"/>
            </w:pPr>
            <w:fldSimple w:instr=" FILLIN  &quot;Type the protective marking&quot; \d OFFICIAL \o  \* MERGEFORMAT ">
              <w:r w:rsidR="00EC520E">
                <w:t>OFFICIAL</w:t>
              </w:r>
            </w:fldSimple>
          </w:p>
        </w:tc>
      </w:tr>
    </w:tbl>
    <w:p w14:paraId="014465DF" w14:textId="77777777" w:rsidR="00FE4081" w:rsidRDefault="00FE4081" w:rsidP="00FE4081">
      <w:pPr>
        <w:pStyle w:val="Body"/>
      </w:pPr>
    </w:p>
    <w:p w14:paraId="3804CC44"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2B1D25A5"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CEE1B26" w14:textId="77777777" w:rsidTr="00431F42">
        <w:trPr>
          <w:trHeight w:val="7371"/>
        </w:trPr>
        <w:tc>
          <w:tcPr>
            <w:tcW w:w="7598" w:type="dxa"/>
            <w:vAlign w:val="center"/>
          </w:tcPr>
          <w:p w14:paraId="183A0130" w14:textId="2326F352" w:rsidR="00431F42" w:rsidRDefault="00943E22" w:rsidP="00431F42">
            <w:pPr>
              <w:pStyle w:val="Documenttitle"/>
            </w:pPr>
            <w:bookmarkStart w:id="0" w:name="_Hlk97043543"/>
            <w:r>
              <w:lastRenderedPageBreak/>
              <w:t>Home Based Care Performance and Reporting Requirements Policy</w:t>
            </w:r>
          </w:p>
          <w:p w14:paraId="044C448A" w14:textId="74E92C2E" w:rsidR="00431F42" w:rsidRDefault="004700CB" w:rsidP="00431F42">
            <w:pPr>
              <w:pStyle w:val="Documentsubtitle"/>
            </w:pPr>
            <w:r>
              <w:t>May</w:t>
            </w:r>
            <w:r w:rsidR="00943E22">
              <w:t xml:space="preserve"> 2022, Effective from 1 July 2021</w:t>
            </w:r>
            <w:bookmarkEnd w:id="0"/>
          </w:p>
        </w:tc>
      </w:tr>
      <w:tr w:rsidR="00431F42" w14:paraId="3E764C45" w14:textId="77777777" w:rsidTr="00431F42">
        <w:tc>
          <w:tcPr>
            <w:tcW w:w="7598" w:type="dxa"/>
          </w:tcPr>
          <w:p w14:paraId="559489C6" w14:textId="77777777" w:rsidR="00431F42" w:rsidRDefault="00431F42" w:rsidP="00431F42">
            <w:pPr>
              <w:pStyle w:val="Body"/>
            </w:pPr>
          </w:p>
        </w:tc>
      </w:tr>
    </w:tbl>
    <w:p w14:paraId="5B58B6A6" w14:textId="77777777" w:rsidR="000D2ABA" w:rsidRDefault="000D2ABA" w:rsidP="00431F42">
      <w:pPr>
        <w:pStyle w:val="Body"/>
      </w:pPr>
      <w:r>
        <w:br w:type="page"/>
      </w:r>
    </w:p>
    <w:p w14:paraId="608390D6" w14:textId="77B96661"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2A4B4E1B" w14:textId="77777777" w:rsidTr="00562507">
        <w:trPr>
          <w:cantSplit/>
          <w:trHeight w:val="7088"/>
        </w:trPr>
        <w:tc>
          <w:tcPr>
            <w:tcW w:w="9288" w:type="dxa"/>
          </w:tcPr>
          <w:p w14:paraId="750A617F" w14:textId="1E99A0A9" w:rsidR="009F2182" w:rsidRPr="009F2182" w:rsidRDefault="009F2182" w:rsidP="009F2182">
            <w:pPr>
              <w:pStyle w:val="Body"/>
              <w:spacing w:before="120"/>
              <w:rPr>
                <w:rFonts w:eastAsia="Times New Roman"/>
                <w:b/>
                <w:bCs/>
                <w:color w:val="87189D"/>
                <w:sz w:val="24"/>
                <w:szCs w:val="24"/>
              </w:rPr>
            </w:pPr>
          </w:p>
        </w:tc>
      </w:tr>
      <w:tr w:rsidR="009F2182" w14:paraId="0CE84E81" w14:textId="77777777" w:rsidTr="00562507">
        <w:trPr>
          <w:cantSplit/>
          <w:trHeight w:val="5103"/>
        </w:trPr>
        <w:tc>
          <w:tcPr>
            <w:tcW w:w="9288" w:type="dxa"/>
            <w:vAlign w:val="bottom"/>
          </w:tcPr>
          <w:p w14:paraId="26003D26" w14:textId="6C1BCC3E" w:rsidR="009F2182" w:rsidRPr="00E61773" w:rsidRDefault="009F2182" w:rsidP="009F2182">
            <w:pPr>
              <w:pStyle w:val="Accessibilitypara"/>
            </w:pPr>
            <w:r w:rsidRPr="0055119B">
              <w:t>To receive this document in another format</w:t>
            </w:r>
            <w:r w:rsidR="00E61773">
              <w:t xml:space="preserve"> </w:t>
            </w:r>
            <w:r w:rsidRPr="00E61773">
              <w:t xml:space="preserve">email </w:t>
            </w:r>
            <w:r w:rsidR="00903D7A" w:rsidRPr="00E61773">
              <w:t>care.services@dffh.vic.gov.au</w:t>
            </w:r>
            <w:r w:rsidRPr="00E61773">
              <w:t>.</w:t>
            </w:r>
          </w:p>
          <w:p w14:paraId="72369E63" w14:textId="77777777" w:rsidR="009F2182" w:rsidRPr="0055119B" w:rsidRDefault="009F2182" w:rsidP="009F2182">
            <w:pPr>
              <w:pStyle w:val="Imprint"/>
            </w:pPr>
            <w:r w:rsidRPr="0055119B">
              <w:t>Authorised and published by the Victorian Government, 1 Treasury Place, Melbourne.</w:t>
            </w:r>
          </w:p>
          <w:p w14:paraId="34673606" w14:textId="70CEC42A" w:rsidR="009F2182" w:rsidRPr="00E61773" w:rsidRDefault="009F2182" w:rsidP="009F2182">
            <w:pPr>
              <w:pStyle w:val="Imprint"/>
              <w:rPr>
                <w:color w:val="auto"/>
              </w:rPr>
            </w:pPr>
            <w:r w:rsidRPr="0055119B">
              <w:t xml:space="preserve">© State of Victoria, Australia, Department </w:t>
            </w:r>
            <w:r w:rsidRPr="001B058F">
              <w:t xml:space="preserve">of </w:t>
            </w:r>
            <w:r>
              <w:t xml:space="preserve">Families, Fairness and </w:t>
            </w:r>
            <w:r w:rsidRPr="00E61773">
              <w:rPr>
                <w:color w:val="auto"/>
              </w:rPr>
              <w:t xml:space="preserve">Housing, </w:t>
            </w:r>
            <w:r w:rsidR="006D5F63">
              <w:rPr>
                <w:color w:val="auto"/>
              </w:rPr>
              <w:t>May</w:t>
            </w:r>
            <w:r w:rsidRPr="00E61773">
              <w:rPr>
                <w:color w:val="auto"/>
              </w:rPr>
              <w:t xml:space="preserve"> </w:t>
            </w:r>
            <w:r w:rsidR="00903D7A" w:rsidRPr="00E61773">
              <w:rPr>
                <w:color w:val="auto"/>
              </w:rPr>
              <w:t>2022</w:t>
            </w:r>
            <w:r w:rsidRPr="00E61773">
              <w:rPr>
                <w:color w:val="auto"/>
              </w:rPr>
              <w:t>.</w:t>
            </w:r>
          </w:p>
          <w:p w14:paraId="7E78B9B3" w14:textId="55824F39" w:rsidR="009F2182" w:rsidRPr="0055119B" w:rsidRDefault="009F2182" w:rsidP="009F2182">
            <w:pPr>
              <w:pStyle w:val="Imprint"/>
            </w:pPr>
            <w:bookmarkStart w:id="1" w:name="_Hlk62746129"/>
            <w:r w:rsidRPr="0055119B">
              <w:t xml:space="preserve">ISBN/ISSN </w:t>
            </w:r>
            <w:r w:rsidRPr="00E61773">
              <w:rPr>
                <w:color w:val="004C97"/>
                <w:highlight w:val="yellow"/>
              </w:rPr>
              <w:t>number</w:t>
            </w:r>
            <w:r w:rsidRPr="00E33237">
              <w:rPr>
                <w:color w:val="004C97"/>
              </w:rPr>
              <w:t xml:space="preserve"> </w:t>
            </w:r>
            <w:r w:rsidRPr="0055119B">
              <w:t>(online/PDF/Word)</w:t>
            </w:r>
          </w:p>
          <w:p w14:paraId="5737A601" w14:textId="274534CD" w:rsidR="009F2182" w:rsidRDefault="009F2182" w:rsidP="00903D7A">
            <w:pPr>
              <w:pStyle w:val="Imprint"/>
            </w:pPr>
            <w:r w:rsidRPr="0055119B">
              <w:t xml:space="preserve">Available at </w:t>
            </w:r>
            <w:r w:rsidRPr="00E61773">
              <w:rPr>
                <w:color w:val="004C97"/>
                <w:highlight w:val="yellow"/>
              </w:rPr>
              <w:t>insert web site or web page name and make this the hyperlink</w:t>
            </w:r>
            <w:r w:rsidRPr="00E61773">
              <w:rPr>
                <w:highlight w:val="yellow"/>
              </w:rPr>
              <w:t xml:space="preserve"> &lt;</w:t>
            </w:r>
            <w:r w:rsidRPr="00E61773">
              <w:rPr>
                <w:color w:val="004C97"/>
                <w:highlight w:val="yellow"/>
              </w:rPr>
              <w:t>insert full web address (URL) here but do not make it a hyperlink, and do not remove the angled brackets</w:t>
            </w:r>
            <w:r w:rsidRPr="00E61773">
              <w:rPr>
                <w:highlight w:val="yellow"/>
              </w:rPr>
              <w:t>&gt;</w:t>
            </w:r>
            <w:bookmarkEnd w:id="1"/>
          </w:p>
        </w:tc>
      </w:tr>
      <w:tr w:rsidR="0008204A" w14:paraId="0FDBFF45" w14:textId="77777777" w:rsidTr="0008204A">
        <w:trPr>
          <w:cantSplit/>
        </w:trPr>
        <w:tc>
          <w:tcPr>
            <w:tcW w:w="9288" w:type="dxa"/>
          </w:tcPr>
          <w:p w14:paraId="4718720C" w14:textId="77777777" w:rsidR="0008204A" w:rsidRPr="0055119B" w:rsidRDefault="0008204A" w:rsidP="0008204A">
            <w:pPr>
              <w:pStyle w:val="Body"/>
            </w:pPr>
          </w:p>
        </w:tc>
      </w:tr>
    </w:tbl>
    <w:p w14:paraId="05DCA36E" w14:textId="77777777" w:rsidR="0008204A" w:rsidRPr="0008204A" w:rsidRDefault="0008204A" w:rsidP="0008204A">
      <w:pPr>
        <w:pStyle w:val="Body"/>
      </w:pPr>
      <w:r w:rsidRPr="0008204A">
        <w:br w:type="page"/>
      </w:r>
    </w:p>
    <w:p w14:paraId="7C7670A0" w14:textId="77777777" w:rsidR="00AD784C" w:rsidRPr="00B57329" w:rsidRDefault="00AD784C" w:rsidP="002365B4">
      <w:pPr>
        <w:pStyle w:val="TOCheadingreport"/>
      </w:pPr>
      <w:r w:rsidRPr="00B57329">
        <w:lastRenderedPageBreak/>
        <w:t>Contents</w:t>
      </w:r>
    </w:p>
    <w:p w14:paraId="0D82577F" w14:textId="4122C7B5" w:rsidR="00E61773" w:rsidRDefault="00943E22">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7711962" w:history="1">
        <w:r w:rsidR="00E61773" w:rsidRPr="00346606">
          <w:rPr>
            <w:rStyle w:val="Hyperlink"/>
          </w:rPr>
          <w:t>1.</w:t>
        </w:r>
        <w:r w:rsidR="00E61773">
          <w:rPr>
            <w:rFonts w:asciiTheme="minorHAnsi" w:eastAsiaTheme="minorEastAsia" w:hAnsiTheme="minorHAnsi" w:cstheme="minorBidi"/>
            <w:b w:val="0"/>
            <w:sz w:val="22"/>
            <w:szCs w:val="22"/>
            <w:lang w:eastAsia="en-AU"/>
          </w:rPr>
          <w:tab/>
        </w:r>
        <w:r w:rsidR="00E61773" w:rsidRPr="00346606">
          <w:rPr>
            <w:rStyle w:val="Hyperlink"/>
          </w:rPr>
          <w:t>Introduction</w:t>
        </w:r>
        <w:r w:rsidR="00E61773">
          <w:rPr>
            <w:webHidden/>
          </w:rPr>
          <w:tab/>
        </w:r>
        <w:r w:rsidR="00E61773">
          <w:rPr>
            <w:webHidden/>
          </w:rPr>
          <w:fldChar w:fldCharType="begin"/>
        </w:r>
        <w:r w:rsidR="00E61773">
          <w:rPr>
            <w:webHidden/>
          </w:rPr>
          <w:instrText xml:space="preserve"> PAGEREF _Toc97711962 \h </w:instrText>
        </w:r>
        <w:r w:rsidR="00E61773">
          <w:rPr>
            <w:webHidden/>
          </w:rPr>
        </w:r>
        <w:r w:rsidR="00E61773">
          <w:rPr>
            <w:webHidden/>
          </w:rPr>
          <w:fldChar w:fldCharType="separate"/>
        </w:r>
        <w:r w:rsidR="00E61773">
          <w:rPr>
            <w:webHidden/>
          </w:rPr>
          <w:t>6</w:t>
        </w:r>
        <w:r w:rsidR="00E61773">
          <w:rPr>
            <w:webHidden/>
          </w:rPr>
          <w:fldChar w:fldCharType="end"/>
        </w:r>
      </w:hyperlink>
    </w:p>
    <w:p w14:paraId="5C636107" w14:textId="20EE74AB" w:rsidR="00E61773" w:rsidRDefault="00BA4589">
      <w:pPr>
        <w:pStyle w:val="TOC1"/>
        <w:tabs>
          <w:tab w:val="left" w:pos="567"/>
        </w:tabs>
        <w:rPr>
          <w:rFonts w:asciiTheme="minorHAnsi" w:eastAsiaTheme="minorEastAsia" w:hAnsiTheme="minorHAnsi" w:cstheme="minorBidi"/>
          <w:b w:val="0"/>
          <w:sz w:val="22"/>
          <w:szCs w:val="22"/>
          <w:lang w:eastAsia="en-AU"/>
        </w:rPr>
      </w:pPr>
      <w:hyperlink w:anchor="_Toc97711963" w:history="1">
        <w:r w:rsidR="00E61773" w:rsidRPr="00346606">
          <w:rPr>
            <w:rStyle w:val="Hyperlink"/>
          </w:rPr>
          <w:t>2.</w:t>
        </w:r>
        <w:r w:rsidR="00E61773">
          <w:rPr>
            <w:rFonts w:asciiTheme="minorHAnsi" w:eastAsiaTheme="minorEastAsia" w:hAnsiTheme="minorHAnsi" w:cstheme="minorBidi"/>
            <w:b w:val="0"/>
            <w:sz w:val="22"/>
            <w:szCs w:val="22"/>
            <w:lang w:eastAsia="en-AU"/>
          </w:rPr>
          <w:tab/>
        </w:r>
        <w:r w:rsidR="006C4A86">
          <w:rPr>
            <w:rFonts w:asciiTheme="minorHAnsi" w:eastAsiaTheme="minorEastAsia" w:hAnsiTheme="minorHAnsi" w:cstheme="minorBidi"/>
            <w:b w:val="0"/>
            <w:sz w:val="22"/>
            <w:szCs w:val="22"/>
            <w:lang w:eastAsia="en-AU"/>
          </w:rPr>
          <w:t>Policy Context</w:t>
        </w:r>
        <w:r w:rsidR="00E61773">
          <w:rPr>
            <w:webHidden/>
          </w:rPr>
          <w:tab/>
        </w:r>
        <w:r w:rsidR="00E61773">
          <w:rPr>
            <w:webHidden/>
          </w:rPr>
          <w:fldChar w:fldCharType="begin"/>
        </w:r>
        <w:r w:rsidR="00E61773">
          <w:rPr>
            <w:webHidden/>
          </w:rPr>
          <w:instrText xml:space="preserve"> PAGEREF _Toc97711963 \h </w:instrText>
        </w:r>
        <w:r w:rsidR="00E61773">
          <w:rPr>
            <w:webHidden/>
          </w:rPr>
        </w:r>
        <w:r w:rsidR="00E61773">
          <w:rPr>
            <w:webHidden/>
          </w:rPr>
          <w:fldChar w:fldCharType="separate"/>
        </w:r>
        <w:r w:rsidR="00E61773">
          <w:rPr>
            <w:webHidden/>
          </w:rPr>
          <w:t>6</w:t>
        </w:r>
        <w:r w:rsidR="00E61773">
          <w:rPr>
            <w:webHidden/>
          </w:rPr>
          <w:fldChar w:fldCharType="end"/>
        </w:r>
      </w:hyperlink>
    </w:p>
    <w:p w14:paraId="6B8E24BA" w14:textId="22DC08C1" w:rsidR="00E61773" w:rsidRDefault="00BA4589">
      <w:pPr>
        <w:pStyle w:val="TOC2"/>
        <w:rPr>
          <w:rFonts w:asciiTheme="minorHAnsi" w:eastAsiaTheme="minorEastAsia" w:hAnsiTheme="minorHAnsi" w:cstheme="minorBidi"/>
          <w:sz w:val="22"/>
          <w:szCs w:val="22"/>
          <w:lang w:eastAsia="en-AU"/>
        </w:rPr>
      </w:pPr>
      <w:hyperlink w:anchor="_Toc97711964" w:history="1">
        <w:r w:rsidR="00E61773" w:rsidRPr="00346606">
          <w:rPr>
            <w:rStyle w:val="Hyperlink"/>
          </w:rPr>
          <w:t>Key processes</w:t>
        </w:r>
        <w:r w:rsidR="00E61773">
          <w:rPr>
            <w:webHidden/>
          </w:rPr>
          <w:tab/>
        </w:r>
        <w:r w:rsidR="00E61773">
          <w:rPr>
            <w:webHidden/>
          </w:rPr>
          <w:fldChar w:fldCharType="begin"/>
        </w:r>
        <w:r w:rsidR="00E61773">
          <w:rPr>
            <w:webHidden/>
          </w:rPr>
          <w:instrText xml:space="preserve"> PAGEREF _Toc97711964 \h </w:instrText>
        </w:r>
        <w:r w:rsidR="00E61773">
          <w:rPr>
            <w:webHidden/>
          </w:rPr>
        </w:r>
        <w:r w:rsidR="00E61773">
          <w:rPr>
            <w:webHidden/>
          </w:rPr>
          <w:fldChar w:fldCharType="separate"/>
        </w:r>
        <w:r w:rsidR="00E61773">
          <w:rPr>
            <w:webHidden/>
          </w:rPr>
          <w:t>7</w:t>
        </w:r>
        <w:r w:rsidR="00E61773">
          <w:rPr>
            <w:webHidden/>
          </w:rPr>
          <w:fldChar w:fldCharType="end"/>
        </w:r>
      </w:hyperlink>
    </w:p>
    <w:p w14:paraId="4723F5F2" w14:textId="2C0D0CDE" w:rsidR="00E61773" w:rsidRDefault="00BA4589">
      <w:pPr>
        <w:pStyle w:val="TOC2"/>
        <w:rPr>
          <w:rFonts w:asciiTheme="minorHAnsi" w:eastAsiaTheme="minorEastAsia" w:hAnsiTheme="minorHAnsi" w:cstheme="minorBidi"/>
          <w:sz w:val="22"/>
          <w:szCs w:val="22"/>
          <w:lang w:eastAsia="en-AU"/>
        </w:rPr>
      </w:pPr>
      <w:hyperlink w:anchor="_Toc97711965" w:history="1">
        <w:r w:rsidR="00E61773" w:rsidRPr="00346606">
          <w:rPr>
            <w:rStyle w:val="Hyperlink"/>
          </w:rPr>
          <w:t>In scope activities and minimum performance requirements</w:t>
        </w:r>
        <w:r w:rsidR="00E61773">
          <w:rPr>
            <w:webHidden/>
          </w:rPr>
          <w:tab/>
        </w:r>
        <w:r w:rsidR="00E61773">
          <w:rPr>
            <w:webHidden/>
          </w:rPr>
          <w:fldChar w:fldCharType="begin"/>
        </w:r>
        <w:r w:rsidR="00E61773">
          <w:rPr>
            <w:webHidden/>
          </w:rPr>
          <w:instrText xml:space="preserve"> PAGEREF _Toc97711965 \h </w:instrText>
        </w:r>
        <w:r w:rsidR="00E61773">
          <w:rPr>
            <w:webHidden/>
          </w:rPr>
        </w:r>
        <w:r w:rsidR="00E61773">
          <w:rPr>
            <w:webHidden/>
          </w:rPr>
          <w:fldChar w:fldCharType="separate"/>
        </w:r>
        <w:r w:rsidR="00E61773">
          <w:rPr>
            <w:webHidden/>
          </w:rPr>
          <w:t>7</w:t>
        </w:r>
        <w:r w:rsidR="00E61773">
          <w:rPr>
            <w:webHidden/>
          </w:rPr>
          <w:fldChar w:fldCharType="end"/>
        </w:r>
      </w:hyperlink>
    </w:p>
    <w:p w14:paraId="642AC458" w14:textId="008C2B02" w:rsidR="00E61773" w:rsidRDefault="00BA4589">
      <w:pPr>
        <w:pStyle w:val="TOC1"/>
        <w:tabs>
          <w:tab w:val="left" w:pos="567"/>
        </w:tabs>
        <w:rPr>
          <w:rFonts w:asciiTheme="minorHAnsi" w:eastAsiaTheme="minorEastAsia" w:hAnsiTheme="minorHAnsi" w:cstheme="minorBidi"/>
          <w:b w:val="0"/>
          <w:sz w:val="22"/>
          <w:szCs w:val="22"/>
          <w:lang w:eastAsia="en-AU"/>
        </w:rPr>
      </w:pPr>
      <w:hyperlink w:anchor="_Toc97711968" w:history="1">
        <w:r w:rsidR="00E61773" w:rsidRPr="00346606">
          <w:rPr>
            <w:rStyle w:val="Hyperlink"/>
          </w:rPr>
          <w:t>4.</w:t>
        </w:r>
        <w:r w:rsidR="00E61773">
          <w:rPr>
            <w:rFonts w:asciiTheme="minorHAnsi" w:eastAsiaTheme="minorEastAsia" w:hAnsiTheme="minorHAnsi" w:cstheme="minorBidi"/>
            <w:b w:val="0"/>
            <w:sz w:val="22"/>
            <w:szCs w:val="22"/>
            <w:lang w:eastAsia="en-AU"/>
          </w:rPr>
          <w:tab/>
        </w:r>
        <w:r w:rsidR="00E61773" w:rsidRPr="00346606">
          <w:rPr>
            <w:rStyle w:val="Hyperlink"/>
          </w:rPr>
          <w:t>Online tracking of service delivery</w:t>
        </w:r>
        <w:r w:rsidR="00E61773">
          <w:rPr>
            <w:webHidden/>
          </w:rPr>
          <w:tab/>
        </w:r>
        <w:r w:rsidR="00E61773">
          <w:rPr>
            <w:webHidden/>
          </w:rPr>
          <w:fldChar w:fldCharType="begin"/>
        </w:r>
        <w:r w:rsidR="00E61773">
          <w:rPr>
            <w:webHidden/>
          </w:rPr>
          <w:instrText xml:space="preserve"> PAGEREF _Toc97711968 \h </w:instrText>
        </w:r>
        <w:r w:rsidR="00E61773">
          <w:rPr>
            <w:webHidden/>
          </w:rPr>
        </w:r>
        <w:r w:rsidR="00E61773">
          <w:rPr>
            <w:webHidden/>
          </w:rPr>
          <w:fldChar w:fldCharType="separate"/>
        </w:r>
        <w:r w:rsidR="00E61773">
          <w:rPr>
            <w:webHidden/>
          </w:rPr>
          <w:t>9</w:t>
        </w:r>
        <w:r w:rsidR="00E61773">
          <w:rPr>
            <w:webHidden/>
          </w:rPr>
          <w:fldChar w:fldCharType="end"/>
        </w:r>
      </w:hyperlink>
    </w:p>
    <w:p w14:paraId="57BB631F" w14:textId="078232C2" w:rsidR="00E61773" w:rsidRDefault="00BA4589">
      <w:pPr>
        <w:pStyle w:val="TOC2"/>
        <w:rPr>
          <w:rFonts w:asciiTheme="minorHAnsi" w:eastAsiaTheme="minorEastAsia" w:hAnsiTheme="minorHAnsi" w:cstheme="minorBidi"/>
          <w:sz w:val="22"/>
          <w:szCs w:val="22"/>
          <w:lang w:eastAsia="en-AU"/>
        </w:rPr>
      </w:pPr>
      <w:hyperlink w:anchor="_Toc97711969" w:history="1">
        <w:r w:rsidR="00E61773" w:rsidRPr="00346606">
          <w:rPr>
            <w:rStyle w:val="Hyperlink"/>
          </w:rPr>
          <w:t>What is the online Service Delivery Tracking (SDT) tool?</w:t>
        </w:r>
        <w:r w:rsidR="00E61773">
          <w:rPr>
            <w:webHidden/>
          </w:rPr>
          <w:tab/>
        </w:r>
        <w:r w:rsidR="00E61773">
          <w:rPr>
            <w:webHidden/>
          </w:rPr>
          <w:fldChar w:fldCharType="begin"/>
        </w:r>
        <w:r w:rsidR="00E61773">
          <w:rPr>
            <w:webHidden/>
          </w:rPr>
          <w:instrText xml:space="preserve"> PAGEREF _Toc97711969 \h </w:instrText>
        </w:r>
        <w:r w:rsidR="00E61773">
          <w:rPr>
            <w:webHidden/>
          </w:rPr>
        </w:r>
        <w:r w:rsidR="00E61773">
          <w:rPr>
            <w:webHidden/>
          </w:rPr>
          <w:fldChar w:fldCharType="separate"/>
        </w:r>
        <w:r w:rsidR="00E61773">
          <w:rPr>
            <w:webHidden/>
          </w:rPr>
          <w:t>9</w:t>
        </w:r>
        <w:r w:rsidR="00E61773">
          <w:rPr>
            <w:webHidden/>
          </w:rPr>
          <w:fldChar w:fldCharType="end"/>
        </w:r>
      </w:hyperlink>
    </w:p>
    <w:p w14:paraId="4AD67F77" w14:textId="2E2327DA" w:rsidR="00E61773" w:rsidRDefault="00BA4589">
      <w:pPr>
        <w:pStyle w:val="TOC1"/>
        <w:tabs>
          <w:tab w:val="left" w:pos="567"/>
        </w:tabs>
        <w:rPr>
          <w:rFonts w:asciiTheme="minorHAnsi" w:eastAsiaTheme="minorEastAsia" w:hAnsiTheme="minorHAnsi" w:cstheme="minorBidi"/>
          <w:b w:val="0"/>
          <w:sz w:val="22"/>
          <w:szCs w:val="22"/>
          <w:lang w:eastAsia="en-AU"/>
        </w:rPr>
      </w:pPr>
      <w:hyperlink w:anchor="_Toc97711970" w:history="1">
        <w:r w:rsidR="00E61773" w:rsidRPr="00346606">
          <w:rPr>
            <w:rStyle w:val="Hyperlink"/>
          </w:rPr>
          <w:t>5.</w:t>
        </w:r>
        <w:r w:rsidR="00E61773">
          <w:rPr>
            <w:rFonts w:asciiTheme="minorHAnsi" w:eastAsiaTheme="minorEastAsia" w:hAnsiTheme="minorHAnsi" w:cstheme="minorBidi"/>
            <w:b w:val="0"/>
            <w:sz w:val="22"/>
            <w:szCs w:val="22"/>
            <w:lang w:eastAsia="en-AU"/>
          </w:rPr>
          <w:tab/>
        </w:r>
        <w:r w:rsidR="00E61773" w:rsidRPr="00346606">
          <w:rPr>
            <w:rStyle w:val="Hyperlink"/>
          </w:rPr>
          <w:t>Measuring Performance</w:t>
        </w:r>
        <w:r w:rsidR="00E61773">
          <w:rPr>
            <w:webHidden/>
          </w:rPr>
          <w:tab/>
        </w:r>
        <w:r w:rsidR="00E61773">
          <w:rPr>
            <w:webHidden/>
          </w:rPr>
          <w:fldChar w:fldCharType="begin"/>
        </w:r>
        <w:r w:rsidR="00E61773">
          <w:rPr>
            <w:webHidden/>
          </w:rPr>
          <w:instrText xml:space="preserve"> PAGEREF _Toc97711970 \h </w:instrText>
        </w:r>
        <w:r w:rsidR="00E61773">
          <w:rPr>
            <w:webHidden/>
          </w:rPr>
        </w:r>
        <w:r w:rsidR="00E61773">
          <w:rPr>
            <w:webHidden/>
          </w:rPr>
          <w:fldChar w:fldCharType="separate"/>
        </w:r>
        <w:r w:rsidR="00E61773">
          <w:rPr>
            <w:webHidden/>
          </w:rPr>
          <w:t>9</w:t>
        </w:r>
        <w:r w:rsidR="00E61773">
          <w:rPr>
            <w:webHidden/>
          </w:rPr>
          <w:fldChar w:fldCharType="end"/>
        </w:r>
      </w:hyperlink>
    </w:p>
    <w:p w14:paraId="21E4E4F4" w14:textId="0BFDF0DF" w:rsidR="00E61773" w:rsidRDefault="00BA4589">
      <w:pPr>
        <w:pStyle w:val="TOC2"/>
        <w:rPr>
          <w:rFonts w:asciiTheme="minorHAnsi" w:eastAsiaTheme="minorEastAsia" w:hAnsiTheme="minorHAnsi" w:cstheme="minorBidi"/>
          <w:sz w:val="22"/>
          <w:szCs w:val="22"/>
          <w:lang w:eastAsia="en-AU"/>
        </w:rPr>
      </w:pPr>
      <w:hyperlink w:anchor="_Toc97711971" w:history="1">
        <w:r w:rsidR="00E61773" w:rsidRPr="00346606">
          <w:rPr>
            <w:rStyle w:val="Hyperlink"/>
          </w:rPr>
          <w:t>How is performance measured?</w:t>
        </w:r>
        <w:r w:rsidR="00E61773">
          <w:rPr>
            <w:webHidden/>
          </w:rPr>
          <w:tab/>
        </w:r>
        <w:r w:rsidR="00E61773">
          <w:rPr>
            <w:webHidden/>
          </w:rPr>
          <w:fldChar w:fldCharType="begin"/>
        </w:r>
        <w:r w:rsidR="00E61773">
          <w:rPr>
            <w:webHidden/>
          </w:rPr>
          <w:instrText xml:space="preserve"> PAGEREF _Toc97711971 \h </w:instrText>
        </w:r>
        <w:r w:rsidR="00E61773">
          <w:rPr>
            <w:webHidden/>
          </w:rPr>
        </w:r>
        <w:r w:rsidR="00E61773">
          <w:rPr>
            <w:webHidden/>
          </w:rPr>
          <w:fldChar w:fldCharType="separate"/>
        </w:r>
        <w:r w:rsidR="00E61773">
          <w:rPr>
            <w:webHidden/>
          </w:rPr>
          <w:t>9</w:t>
        </w:r>
        <w:r w:rsidR="00E61773">
          <w:rPr>
            <w:webHidden/>
          </w:rPr>
          <w:fldChar w:fldCharType="end"/>
        </w:r>
      </w:hyperlink>
    </w:p>
    <w:p w14:paraId="65302D9E" w14:textId="69B5FE45" w:rsidR="00E61773" w:rsidRDefault="00BA4589">
      <w:pPr>
        <w:pStyle w:val="TOC2"/>
        <w:rPr>
          <w:rFonts w:asciiTheme="minorHAnsi" w:eastAsiaTheme="minorEastAsia" w:hAnsiTheme="minorHAnsi" w:cstheme="minorBidi"/>
          <w:sz w:val="22"/>
          <w:szCs w:val="22"/>
          <w:lang w:eastAsia="en-AU"/>
        </w:rPr>
      </w:pPr>
      <w:hyperlink w:anchor="_Toc97711972" w:history="1">
        <w:r w:rsidR="00E61773" w:rsidRPr="00346606">
          <w:rPr>
            <w:rStyle w:val="Hyperlink"/>
          </w:rPr>
          <w:t>What are delivered targets?</w:t>
        </w:r>
        <w:r w:rsidR="00E61773">
          <w:rPr>
            <w:webHidden/>
          </w:rPr>
          <w:tab/>
        </w:r>
        <w:r w:rsidR="00E61773">
          <w:rPr>
            <w:webHidden/>
          </w:rPr>
          <w:fldChar w:fldCharType="begin"/>
        </w:r>
        <w:r w:rsidR="00E61773">
          <w:rPr>
            <w:webHidden/>
          </w:rPr>
          <w:instrText xml:space="preserve"> PAGEREF _Toc97711972 \h </w:instrText>
        </w:r>
        <w:r w:rsidR="00E61773">
          <w:rPr>
            <w:webHidden/>
          </w:rPr>
        </w:r>
        <w:r w:rsidR="00E61773">
          <w:rPr>
            <w:webHidden/>
          </w:rPr>
          <w:fldChar w:fldCharType="separate"/>
        </w:r>
        <w:r w:rsidR="00E61773">
          <w:rPr>
            <w:webHidden/>
          </w:rPr>
          <w:t>9</w:t>
        </w:r>
        <w:r w:rsidR="00E61773">
          <w:rPr>
            <w:webHidden/>
          </w:rPr>
          <w:fldChar w:fldCharType="end"/>
        </w:r>
      </w:hyperlink>
    </w:p>
    <w:p w14:paraId="04530375" w14:textId="0CD650E9" w:rsidR="00E61773" w:rsidRDefault="00BA4589">
      <w:pPr>
        <w:pStyle w:val="TOC2"/>
        <w:rPr>
          <w:rFonts w:asciiTheme="minorHAnsi" w:eastAsiaTheme="minorEastAsia" w:hAnsiTheme="minorHAnsi" w:cstheme="minorBidi"/>
          <w:sz w:val="22"/>
          <w:szCs w:val="22"/>
          <w:lang w:eastAsia="en-AU"/>
        </w:rPr>
      </w:pPr>
      <w:hyperlink w:anchor="_Toc97711973" w:history="1">
        <w:r w:rsidR="00E61773" w:rsidRPr="00346606">
          <w:rPr>
            <w:rStyle w:val="Hyperlink"/>
          </w:rPr>
          <w:t>How is performance data captured?</w:t>
        </w:r>
        <w:r w:rsidR="00E61773">
          <w:rPr>
            <w:webHidden/>
          </w:rPr>
          <w:tab/>
        </w:r>
        <w:r w:rsidR="00E61773">
          <w:rPr>
            <w:webHidden/>
          </w:rPr>
          <w:fldChar w:fldCharType="begin"/>
        </w:r>
        <w:r w:rsidR="00E61773">
          <w:rPr>
            <w:webHidden/>
          </w:rPr>
          <w:instrText xml:space="preserve"> PAGEREF _Toc97711973 \h </w:instrText>
        </w:r>
        <w:r w:rsidR="00E61773">
          <w:rPr>
            <w:webHidden/>
          </w:rPr>
        </w:r>
        <w:r w:rsidR="00E61773">
          <w:rPr>
            <w:webHidden/>
          </w:rPr>
          <w:fldChar w:fldCharType="separate"/>
        </w:r>
        <w:r w:rsidR="00E61773">
          <w:rPr>
            <w:webHidden/>
          </w:rPr>
          <w:t>10</w:t>
        </w:r>
        <w:r w:rsidR="00E61773">
          <w:rPr>
            <w:webHidden/>
          </w:rPr>
          <w:fldChar w:fldCharType="end"/>
        </w:r>
      </w:hyperlink>
    </w:p>
    <w:p w14:paraId="7FB8590C" w14:textId="4F6BA279" w:rsidR="00E61773" w:rsidRDefault="00BA4589">
      <w:pPr>
        <w:pStyle w:val="TOC2"/>
        <w:rPr>
          <w:rFonts w:asciiTheme="minorHAnsi" w:eastAsiaTheme="minorEastAsia" w:hAnsiTheme="minorHAnsi" w:cstheme="minorBidi"/>
          <w:sz w:val="22"/>
          <w:szCs w:val="22"/>
          <w:lang w:eastAsia="en-AU"/>
        </w:rPr>
      </w:pPr>
      <w:hyperlink w:anchor="_Toc97711974" w:history="1">
        <w:r w:rsidR="00E61773" w:rsidRPr="00346606">
          <w:rPr>
            <w:rStyle w:val="Hyperlink"/>
          </w:rPr>
          <w:t>How are funded targets and delivered targets measured?</w:t>
        </w:r>
        <w:r w:rsidR="00E61773">
          <w:rPr>
            <w:webHidden/>
          </w:rPr>
          <w:tab/>
        </w:r>
        <w:r w:rsidR="00E61773">
          <w:rPr>
            <w:webHidden/>
          </w:rPr>
          <w:fldChar w:fldCharType="begin"/>
        </w:r>
        <w:r w:rsidR="00E61773">
          <w:rPr>
            <w:webHidden/>
          </w:rPr>
          <w:instrText xml:space="preserve"> PAGEREF _Toc97711974 \h </w:instrText>
        </w:r>
        <w:r w:rsidR="00E61773">
          <w:rPr>
            <w:webHidden/>
          </w:rPr>
        </w:r>
        <w:r w:rsidR="00E61773">
          <w:rPr>
            <w:webHidden/>
          </w:rPr>
          <w:fldChar w:fldCharType="separate"/>
        </w:r>
        <w:r w:rsidR="00E61773">
          <w:rPr>
            <w:webHidden/>
          </w:rPr>
          <w:t>10</w:t>
        </w:r>
        <w:r w:rsidR="00E61773">
          <w:rPr>
            <w:webHidden/>
          </w:rPr>
          <w:fldChar w:fldCharType="end"/>
        </w:r>
      </w:hyperlink>
    </w:p>
    <w:p w14:paraId="5E3D0E61" w14:textId="3BA08D79" w:rsidR="00E61773" w:rsidRDefault="00BA4589">
      <w:pPr>
        <w:pStyle w:val="TOC2"/>
        <w:rPr>
          <w:rFonts w:asciiTheme="minorHAnsi" w:eastAsiaTheme="minorEastAsia" w:hAnsiTheme="minorHAnsi" w:cstheme="minorBidi"/>
          <w:sz w:val="22"/>
          <w:szCs w:val="22"/>
          <w:lang w:eastAsia="en-AU"/>
        </w:rPr>
      </w:pPr>
      <w:hyperlink w:anchor="_Toc97711975" w:history="1">
        <w:r w:rsidR="00E61773" w:rsidRPr="00346606">
          <w:rPr>
            <w:rStyle w:val="Hyperlink"/>
          </w:rPr>
          <w:t>How is the performance of multi-divisional HBC providers measured?</w:t>
        </w:r>
        <w:r w:rsidR="00E61773">
          <w:rPr>
            <w:webHidden/>
          </w:rPr>
          <w:tab/>
        </w:r>
        <w:r w:rsidR="00E61773">
          <w:rPr>
            <w:webHidden/>
          </w:rPr>
          <w:fldChar w:fldCharType="begin"/>
        </w:r>
        <w:r w:rsidR="00E61773">
          <w:rPr>
            <w:webHidden/>
          </w:rPr>
          <w:instrText xml:space="preserve"> PAGEREF _Toc97711975 \h </w:instrText>
        </w:r>
        <w:r w:rsidR="00E61773">
          <w:rPr>
            <w:webHidden/>
          </w:rPr>
        </w:r>
        <w:r w:rsidR="00E61773">
          <w:rPr>
            <w:webHidden/>
          </w:rPr>
          <w:fldChar w:fldCharType="separate"/>
        </w:r>
        <w:r w:rsidR="00E61773">
          <w:rPr>
            <w:webHidden/>
          </w:rPr>
          <w:t>10</w:t>
        </w:r>
        <w:r w:rsidR="00E61773">
          <w:rPr>
            <w:webHidden/>
          </w:rPr>
          <w:fldChar w:fldCharType="end"/>
        </w:r>
      </w:hyperlink>
    </w:p>
    <w:p w14:paraId="675D842A" w14:textId="7AF9288F" w:rsidR="00E61773" w:rsidRDefault="00BA4589">
      <w:pPr>
        <w:pStyle w:val="TOC2"/>
        <w:rPr>
          <w:rFonts w:asciiTheme="minorHAnsi" w:eastAsiaTheme="minorEastAsia" w:hAnsiTheme="minorHAnsi" w:cstheme="minorBidi"/>
          <w:sz w:val="22"/>
          <w:szCs w:val="22"/>
          <w:lang w:eastAsia="en-AU"/>
        </w:rPr>
      </w:pPr>
      <w:hyperlink w:anchor="_Toc97711976" w:history="1">
        <w:r w:rsidR="00E61773" w:rsidRPr="00346606">
          <w:rPr>
            <w:rStyle w:val="Hyperlink"/>
          </w:rPr>
          <w:t>How is performance assessed?</w:t>
        </w:r>
        <w:r w:rsidR="00E61773">
          <w:rPr>
            <w:webHidden/>
          </w:rPr>
          <w:tab/>
        </w:r>
        <w:r w:rsidR="00E61773">
          <w:rPr>
            <w:webHidden/>
          </w:rPr>
          <w:fldChar w:fldCharType="begin"/>
        </w:r>
        <w:r w:rsidR="00E61773">
          <w:rPr>
            <w:webHidden/>
          </w:rPr>
          <w:instrText xml:space="preserve"> PAGEREF _Toc97711976 \h </w:instrText>
        </w:r>
        <w:r w:rsidR="00E61773">
          <w:rPr>
            <w:webHidden/>
          </w:rPr>
        </w:r>
        <w:r w:rsidR="00E61773">
          <w:rPr>
            <w:webHidden/>
          </w:rPr>
          <w:fldChar w:fldCharType="separate"/>
        </w:r>
        <w:r w:rsidR="00E61773">
          <w:rPr>
            <w:webHidden/>
          </w:rPr>
          <w:t>10</w:t>
        </w:r>
        <w:r w:rsidR="00E61773">
          <w:rPr>
            <w:webHidden/>
          </w:rPr>
          <w:fldChar w:fldCharType="end"/>
        </w:r>
      </w:hyperlink>
    </w:p>
    <w:p w14:paraId="09A432CD" w14:textId="64BF10A6" w:rsidR="00E61773" w:rsidRDefault="00BA4589">
      <w:pPr>
        <w:pStyle w:val="TOC2"/>
        <w:rPr>
          <w:rFonts w:asciiTheme="minorHAnsi" w:eastAsiaTheme="minorEastAsia" w:hAnsiTheme="minorHAnsi" w:cstheme="minorBidi"/>
          <w:sz w:val="22"/>
          <w:szCs w:val="22"/>
          <w:lang w:eastAsia="en-AU"/>
        </w:rPr>
      </w:pPr>
      <w:hyperlink w:anchor="_Toc97711977" w:history="1">
        <w:r w:rsidR="00E61773" w:rsidRPr="00346606">
          <w:rPr>
            <w:rStyle w:val="Hyperlink"/>
          </w:rPr>
          <w:t>When is performance measured?</w:t>
        </w:r>
        <w:r w:rsidR="00E61773">
          <w:rPr>
            <w:webHidden/>
          </w:rPr>
          <w:tab/>
        </w:r>
        <w:r w:rsidR="00E61773">
          <w:rPr>
            <w:webHidden/>
          </w:rPr>
          <w:fldChar w:fldCharType="begin"/>
        </w:r>
        <w:r w:rsidR="00E61773">
          <w:rPr>
            <w:webHidden/>
          </w:rPr>
          <w:instrText xml:space="preserve"> PAGEREF _Toc97711977 \h </w:instrText>
        </w:r>
        <w:r w:rsidR="00E61773">
          <w:rPr>
            <w:webHidden/>
          </w:rPr>
        </w:r>
        <w:r w:rsidR="00E61773">
          <w:rPr>
            <w:webHidden/>
          </w:rPr>
          <w:fldChar w:fldCharType="separate"/>
        </w:r>
        <w:r w:rsidR="00E61773">
          <w:rPr>
            <w:webHidden/>
          </w:rPr>
          <w:t>10</w:t>
        </w:r>
        <w:r w:rsidR="00E61773">
          <w:rPr>
            <w:webHidden/>
          </w:rPr>
          <w:fldChar w:fldCharType="end"/>
        </w:r>
      </w:hyperlink>
    </w:p>
    <w:p w14:paraId="7B3D9964" w14:textId="2A664331" w:rsidR="00E61773" w:rsidRDefault="00BA4589">
      <w:pPr>
        <w:pStyle w:val="TOC2"/>
        <w:rPr>
          <w:rFonts w:asciiTheme="minorHAnsi" w:eastAsiaTheme="minorEastAsia" w:hAnsiTheme="minorHAnsi" w:cstheme="minorBidi"/>
          <w:sz w:val="22"/>
          <w:szCs w:val="22"/>
          <w:lang w:eastAsia="en-AU"/>
        </w:rPr>
      </w:pPr>
      <w:hyperlink w:anchor="_Toc97711978" w:history="1">
        <w:r w:rsidR="00E61773" w:rsidRPr="00346606">
          <w:rPr>
            <w:rStyle w:val="Hyperlink"/>
          </w:rPr>
          <w:t>What systems are used to record performance?</w:t>
        </w:r>
        <w:r w:rsidR="00E61773">
          <w:rPr>
            <w:webHidden/>
          </w:rPr>
          <w:tab/>
        </w:r>
        <w:r w:rsidR="00E61773">
          <w:rPr>
            <w:webHidden/>
          </w:rPr>
          <w:fldChar w:fldCharType="begin"/>
        </w:r>
        <w:r w:rsidR="00E61773">
          <w:rPr>
            <w:webHidden/>
          </w:rPr>
          <w:instrText xml:space="preserve"> PAGEREF _Toc97711978 \h </w:instrText>
        </w:r>
        <w:r w:rsidR="00E61773">
          <w:rPr>
            <w:webHidden/>
          </w:rPr>
        </w:r>
        <w:r w:rsidR="00E61773">
          <w:rPr>
            <w:webHidden/>
          </w:rPr>
          <w:fldChar w:fldCharType="separate"/>
        </w:r>
        <w:r w:rsidR="00E61773">
          <w:rPr>
            <w:webHidden/>
          </w:rPr>
          <w:t>10</w:t>
        </w:r>
        <w:r w:rsidR="00E61773">
          <w:rPr>
            <w:webHidden/>
          </w:rPr>
          <w:fldChar w:fldCharType="end"/>
        </w:r>
      </w:hyperlink>
    </w:p>
    <w:p w14:paraId="05329701" w14:textId="67DD81DB" w:rsidR="00E61773" w:rsidRDefault="00BA4589">
      <w:pPr>
        <w:pStyle w:val="TOC2"/>
        <w:rPr>
          <w:rFonts w:asciiTheme="minorHAnsi" w:eastAsiaTheme="minorEastAsia" w:hAnsiTheme="minorHAnsi" w:cstheme="minorBidi"/>
          <w:sz w:val="22"/>
          <w:szCs w:val="22"/>
          <w:lang w:eastAsia="en-AU"/>
        </w:rPr>
      </w:pPr>
      <w:hyperlink w:anchor="_Toc97711979" w:history="1">
        <w:r w:rsidR="00E61773" w:rsidRPr="00346606">
          <w:rPr>
            <w:rStyle w:val="Hyperlink"/>
          </w:rPr>
          <w:t>What is under-performance?</w:t>
        </w:r>
        <w:r w:rsidR="00E61773">
          <w:rPr>
            <w:webHidden/>
          </w:rPr>
          <w:tab/>
        </w:r>
        <w:r w:rsidR="00E61773">
          <w:rPr>
            <w:webHidden/>
          </w:rPr>
          <w:fldChar w:fldCharType="begin"/>
        </w:r>
        <w:r w:rsidR="00E61773">
          <w:rPr>
            <w:webHidden/>
          </w:rPr>
          <w:instrText xml:space="preserve"> PAGEREF _Toc97711979 \h </w:instrText>
        </w:r>
        <w:r w:rsidR="00E61773">
          <w:rPr>
            <w:webHidden/>
          </w:rPr>
        </w:r>
        <w:r w:rsidR="00E61773">
          <w:rPr>
            <w:webHidden/>
          </w:rPr>
          <w:fldChar w:fldCharType="separate"/>
        </w:r>
        <w:r w:rsidR="00E61773">
          <w:rPr>
            <w:webHidden/>
          </w:rPr>
          <w:t>10</w:t>
        </w:r>
        <w:r w:rsidR="00E61773">
          <w:rPr>
            <w:webHidden/>
          </w:rPr>
          <w:fldChar w:fldCharType="end"/>
        </w:r>
      </w:hyperlink>
    </w:p>
    <w:p w14:paraId="00D7B6A4" w14:textId="01864730" w:rsidR="00E61773" w:rsidRDefault="00BA4589">
      <w:pPr>
        <w:pStyle w:val="TOC2"/>
        <w:rPr>
          <w:rFonts w:asciiTheme="minorHAnsi" w:eastAsiaTheme="minorEastAsia" w:hAnsiTheme="minorHAnsi" w:cstheme="minorBidi"/>
          <w:sz w:val="22"/>
          <w:szCs w:val="22"/>
          <w:lang w:eastAsia="en-AU"/>
        </w:rPr>
      </w:pPr>
      <w:hyperlink w:anchor="_Toc97711980" w:history="1">
        <w:r w:rsidR="00E61773" w:rsidRPr="00346606">
          <w:rPr>
            <w:rStyle w:val="Hyperlink"/>
          </w:rPr>
          <w:t>What is over performance?</w:t>
        </w:r>
        <w:r w:rsidR="00E61773">
          <w:rPr>
            <w:webHidden/>
          </w:rPr>
          <w:tab/>
        </w:r>
        <w:r w:rsidR="00E61773">
          <w:rPr>
            <w:webHidden/>
          </w:rPr>
          <w:fldChar w:fldCharType="begin"/>
        </w:r>
        <w:r w:rsidR="00E61773">
          <w:rPr>
            <w:webHidden/>
          </w:rPr>
          <w:instrText xml:space="preserve"> PAGEREF _Toc97711980 \h </w:instrText>
        </w:r>
        <w:r w:rsidR="00E61773">
          <w:rPr>
            <w:webHidden/>
          </w:rPr>
        </w:r>
        <w:r w:rsidR="00E61773">
          <w:rPr>
            <w:webHidden/>
          </w:rPr>
          <w:fldChar w:fldCharType="separate"/>
        </w:r>
        <w:r w:rsidR="00E61773">
          <w:rPr>
            <w:webHidden/>
          </w:rPr>
          <w:t>12</w:t>
        </w:r>
        <w:r w:rsidR="00E61773">
          <w:rPr>
            <w:webHidden/>
          </w:rPr>
          <w:fldChar w:fldCharType="end"/>
        </w:r>
      </w:hyperlink>
    </w:p>
    <w:p w14:paraId="6E866AAC" w14:textId="1063A8AF" w:rsidR="00E61773" w:rsidRDefault="00BA4589">
      <w:pPr>
        <w:pStyle w:val="TOC1"/>
        <w:tabs>
          <w:tab w:val="left" w:pos="567"/>
        </w:tabs>
        <w:rPr>
          <w:rFonts w:asciiTheme="minorHAnsi" w:eastAsiaTheme="minorEastAsia" w:hAnsiTheme="minorHAnsi" w:cstheme="minorBidi"/>
          <w:b w:val="0"/>
          <w:sz w:val="22"/>
          <w:szCs w:val="22"/>
          <w:lang w:eastAsia="en-AU"/>
        </w:rPr>
      </w:pPr>
      <w:hyperlink w:anchor="_Toc97711981" w:history="1">
        <w:r w:rsidR="00E61773" w:rsidRPr="00346606">
          <w:rPr>
            <w:rStyle w:val="Hyperlink"/>
          </w:rPr>
          <w:t>6.</w:t>
        </w:r>
        <w:r w:rsidR="00E61773">
          <w:rPr>
            <w:rFonts w:asciiTheme="minorHAnsi" w:eastAsiaTheme="minorEastAsia" w:hAnsiTheme="minorHAnsi" w:cstheme="minorBidi"/>
            <w:b w:val="0"/>
            <w:sz w:val="22"/>
            <w:szCs w:val="22"/>
            <w:lang w:eastAsia="en-AU"/>
          </w:rPr>
          <w:tab/>
        </w:r>
        <w:r w:rsidR="00E61773" w:rsidRPr="00346606">
          <w:rPr>
            <w:rStyle w:val="Hyperlink"/>
          </w:rPr>
          <w:t>Management of under and over performance</w:t>
        </w:r>
        <w:r w:rsidR="00E61773">
          <w:rPr>
            <w:webHidden/>
          </w:rPr>
          <w:tab/>
        </w:r>
        <w:r w:rsidR="00E61773">
          <w:rPr>
            <w:webHidden/>
          </w:rPr>
          <w:fldChar w:fldCharType="begin"/>
        </w:r>
        <w:r w:rsidR="00E61773">
          <w:rPr>
            <w:webHidden/>
          </w:rPr>
          <w:instrText xml:space="preserve"> PAGEREF _Toc97711981 \h </w:instrText>
        </w:r>
        <w:r w:rsidR="00E61773">
          <w:rPr>
            <w:webHidden/>
          </w:rPr>
        </w:r>
        <w:r w:rsidR="00E61773">
          <w:rPr>
            <w:webHidden/>
          </w:rPr>
          <w:fldChar w:fldCharType="separate"/>
        </w:r>
        <w:r w:rsidR="00E61773">
          <w:rPr>
            <w:webHidden/>
          </w:rPr>
          <w:t>13</w:t>
        </w:r>
        <w:r w:rsidR="00E61773">
          <w:rPr>
            <w:webHidden/>
          </w:rPr>
          <w:fldChar w:fldCharType="end"/>
        </w:r>
      </w:hyperlink>
    </w:p>
    <w:p w14:paraId="35B7320F" w14:textId="2EE71AF0" w:rsidR="00E61773" w:rsidRDefault="00BA4589">
      <w:pPr>
        <w:pStyle w:val="TOC2"/>
        <w:rPr>
          <w:rFonts w:asciiTheme="minorHAnsi" w:eastAsiaTheme="minorEastAsia" w:hAnsiTheme="minorHAnsi" w:cstheme="minorBidi"/>
          <w:sz w:val="22"/>
          <w:szCs w:val="22"/>
          <w:lang w:eastAsia="en-AU"/>
        </w:rPr>
      </w:pPr>
      <w:hyperlink w:anchor="_Toc97711982" w:history="1">
        <w:r w:rsidR="00E61773" w:rsidRPr="00346606">
          <w:rPr>
            <w:rStyle w:val="Hyperlink"/>
          </w:rPr>
          <w:t>Review of Performance</w:t>
        </w:r>
        <w:r w:rsidR="00E61773">
          <w:rPr>
            <w:webHidden/>
          </w:rPr>
          <w:tab/>
        </w:r>
        <w:r w:rsidR="00E61773">
          <w:rPr>
            <w:webHidden/>
          </w:rPr>
          <w:fldChar w:fldCharType="begin"/>
        </w:r>
        <w:r w:rsidR="00E61773">
          <w:rPr>
            <w:webHidden/>
          </w:rPr>
          <w:instrText xml:space="preserve"> PAGEREF _Toc97711982 \h </w:instrText>
        </w:r>
        <w:r w:rsidR="00E61773">
          <w:rPr>
            <w:webHidden/>
          </w:rPr>
        </w:r>
        <w:r w:rsidR="00E61773">
          <w:rPr>
            <w:webHidden/>
          </w:rPr>
          <w:fldChar w:fldCharType="separate"/>
        </w:r>
        <w:r w:rsidR="00E61773">
          <w:rPr>
            <w:webHidden/>
          </w:rPr>
          <w:t>13</w:t>
        </w:r>
        <w:r w:rsidR="00E61773">
          <w:rPr>
            <w:webHidden/>
          </w:rPr>
          <w:fldChar w:fldCharType="end"/>
        </w:r>
      </w:hyperlink>
    </w:p>
    <w:p w14:paraId="50084C47" w14:textId="59820C79" w:rsidR="00E61773" w:rsidRDefault="00BA4589">
      <w:pPr>
        <w:pStyle w:val="TOC2"/>
        <w:rPr>
          <w:rFonts w:asciiTheme="minorHAnsi" w:eastAsiaTheme="minorEastAsia" w:hAnsiTheme="minorHAnsi" w:cstheme="minorBidi"/>
          <w:sz w:val="22"/>
          <w:szCs w:val="22"/>
          <w:lang w:eastAsia="en-AU"/>
        </w:rPr>
      </w:pPr>
      <w:hyperlink w:anchor="_Toc97711983" w:history="1">
        <w:r w:rsidR="00E61773" w:rsidRPr="00346606">
          <w:rPr>
            <w:rStyle w:val="Hyperlink"/>
          </w:rPr>
          <w:t>Target Adjustment</w:t>
        </w:r>
        <w:r w:rsidR="00E61773">
          <w:rPr>
            <w:webHidden/>
          </w:rPr>
          <w:tab/>
        </w:r>
        <w:r w:rsidR="00E61773">
          <w:rPr>
            <w:webHidden/>
          </w:rPr>
          <w:fldChar w:fldCharType="begin"/>
        </w:r>
        <w:r w:rsidR="00E61773">
          <w:rPr>
            <w:webHidden/>
          </w:rPr>
          <w:instrText xml:space="preserve"> PAGEREF _Toc97711983 \h </w:instrText>
        </w:r>
        <w:r w:rsidR="00E61773">
          <w:rPr>
            <w:webHidden/>
          </w:rPr>
        </w:r>
        <w:r w:rsidR="00E61773">
          <w:rPr>
            <w:webHidden/>
          </w:rPr>
          <w:fldChar w:fldCharType="separate"/>
        </w:r>
        <w:r w:rsidR="00E61773">
          <w:rPr>
            <w:webHidden/>
          </w:rPr>
          <w:t>14</w:t>
        </w:r>
        <w:r w:rsidR="00E61773">
          <w:rPr>
            <w:webHidden/>
          </w:rPr>
          <w:fldChar w:fldCharType="end"/>
        </w:r>
      </w:hyperlink>
    </w:p>
    <w:p w14:paraId="69633009" w14:textId="692A2912" w:rsidR="00E61773" w:rsidRDefault="00BA4589">
      <w:pPr>
        <w:pStyle w:val="TOC2"/>
        <w:rPr>
          <w:rFonts w:asciiTheme="minorHAnsi" w:eastAsiaTheme="minorEastAsia" w:hAnsiTheme="minorHAnsi" w:cstheme="minorBidi"/>
          <w:sz w:val="22"/>
          <w:szCs w:val="22"/>
          <w:lang w:eastAsia="en-AU"/>
        </w:rPr>
      </w:pPr>
      <w:hyperlink w:anchor="_Toc97711984" w:history="1">
        <w:r w:rsidR="00E61773" w:rsidRPr="00346606">
          <w:rPr>
            <w:rStyle w:val="Hyperlink"/>
          </w:rPr>
          <w:t>Target reallocation</w:t>
        </w:r>
        <w:r w:rsidR="00E61773">
          <w:rPr>
            <w:webHidden/>
          </w:rPr>
          <w:tab/>
        </w:r>
        <w:r w:rsidR="00E61773">
          <w:rPr>
            <w:webHidden/>
          </w:rPr>
          <w:fldChar w:fldCharType="begin"/>
        </w:r>
        <w:r w:rsidR="00E61773">
          <w:rPr>
            <w:webHidden/>
          </w:rPr>
          <w:instrText xml:space="preserve"> PAGEREF _Toc97711984 \h </w:instrText>
        </w:r>
        <w:r w:rsidR="00E61773">
          <w:rPr>
            <w:webHidden/>
          </w:rPr>
        </w:r>
        <w:r w:rsidR="00E61773">
          <w:rPr>
            <w:webHidden/>
          </w:rPr>
          <w:fldChar w:fldCharType="separate"/>
        </w:r>
        <w:r w:rsidR="00E61773">
          <w:rPr>
            <w:webHidden/>
          </w:rPr>
          <w:t>15</w:t>
        </w:r>
        <w:r w:rsidR="00E61773">
          <w:rPr>
            <w:webHidden/>
          </w:rPr>
          <w:fldChar w:fldCharType="end"/>
        </w:r>
      </w:hyperlink>
    </w:p>
    <w:p w14:paraId="1D36A6DB" w14:textId="2E2120B3" w:rsidR="00E61773" w:rsidRDefault="00BA4589">
      <w:pPr>
        <w:pStyle w:val="TOC2"/>
        <w:rPr>
          <w:rFonts w:asciiTheme="minorHAnsi" w:eastAsiaTheme="minorEastAsia" w:hAnsiTheme="minorHAnsi" w:cstheme="minorBidi"/>
          <w:sz w:val="22"/>
          <w:szCs w:val="22"/>
          <w:lang w:eastAsia="en-AU"/>
        </w:rPr>
      </w:pPr>
      <w:hyperlink w:anchor="_Toc97711985" w:history="1">
        <w:r w:rsidR="00E61773" w:rsidRPr="00346606">
          <w:rPr>
            <w:rStyle w:val="Hyperlink"/>
          </w:rPr>
          <w:t>Target reimbursement for over performance</w:t>
        </w:r>
        <w:r w:rsidR="00E61773">
          <w:rPr>
            <w:webHidden/>
          </w:rPr>
          <w:tab/>
        </w:r>
        <w:r w:rsidR="00E61773">
          <w:rPr>
            <w:webHidden/>
          </w:rPr>
          <w:fldChar w:fldCharType="begin"/>
        </w:r>
        <w:r w:rsidR="00E61773">
          <w:rPr>
            <w:webHidden/>
          </w:rPr>
          <w:instrText xml:space="preserve"> PAGEREF _Toc97711985 \h </w:instrText>
        </w:r>
        <w:r w:rsidR="00E61773">
          <w:rPr>
            <w:webHidden/>
          </w:rPr>
        </w:r>
        <w:r w:rsidR="00E61773">
          <w:rPr>
            <w:webHidden/>
          </w:rPr>
          <w:fldChar w:fldCharType="separate"/>
        </w:r>
        <w:r w:rsidR="00E61773">
          <w:rPr>
            <w:webHidden/>
          </w:rPr>
          <w:t>16</w:t>
        </w:r>
        <w:r w:rsidR="00E61773">
          <w:rPr>
            <w:webHidden/>
          </w:rPr>
          <w:fldChar w:fldCharType="end"/>
        </w:r>
      </w:hyperlink>
    </w:p>
    <w:p w14:paraId="54ABF460" w14:textId="2BE5A9FE" w:rsidR="00E61773" w:rsidRDefault="00BA4589">
      <w:pPr>
        <w:pStyle w:val="TOC2"/>
        <w:rPr>
          <w:rFonts w:asciiTheme="minorHAnsi" w:eastAsiaTheme="minorEastAsia" w:hAnsiTheme="minorHAnsi" w:cstheme="minorBidi"/>
          <w:sz w:val="22"/>
          <w:szCs w:val="22"/>
          <w:lang w:eastAsia="en-AU"/>
        </w:rPr>
      </w:pPr>
      <w:hyperlink w:anchor="_Toc97711986" w:history="1">
        <w:r w:rsidR="00E61773" w:rsidRPr="00346606">
          <w:rPr>
            <w:rStyle w:val="Hyperlink"/>
          </w:rPr>
          <w:t>Exceptional circumstances</w:t>
        </w:r>
        <w:r w:rsidR="00E61773">
          <w:rPr>
            <w:webHidden/>
          </w:rPr>
          <w:tab/>
        </w:r>
        <w:r w:rsidR="00E61773">
          <w:rPr>
            <w:webHidden/>
          </w:rPr>
          <w:fldChar w:fldCharType="begin"/>
        </w:r>
        <w:r w:rsidR="00E61773">
          <w:rPr>
            <w:webHidden/>
          </w:rPr>
          <w:instrText xml:space="preserve"> PAGEREF _Toc97711986 \h </w:instrText>
        </w:r>
        <w:r w:rsidR="00E61773">
          <w:rPr>
            <w:webHidden/>
          </w:rPr>
        </w:r>
        <w:r w:rsidR="00E61773">
          <w:rPr>
            <w:webHidden/>
          </w:rPr>
          <w:fldChar w:fldCharType="separate"/>
        </w:r>
        <w:r w:rsidR="00E61773">
          <w:rPr>
            <w:webHidden/>
          </w:rPr>
          <w:t>17</w:t>
        </w:r>
        <w:r w:rsidR="00E61773">
          <w:rPr>
            <w:webHidden/>
          </w:rPr>
          <w:fldChar w:fldCharType="end"/>
        </w:r>
      </w:hyperlink>
    </w:p>
    <w:p w14:paraId="63CAF864" w14:textId="4995D46F" w:rsidR="00E61773" w:rsidRDefault="00BA4589">
      <w:pPr>
        <w:pStyle w:val="TOC1"/>
        <w:tabs>
          <w:tab w:val="left" w:pos="567"/>
        </w:tabs>
        <w:rPr>
          <w:rFonts w:asciiTheme="minorHAnsi" w:eastAsiaTheme="minorEastAsia" w:hAnsiTheme="minorHAnsi" w:cstheme="minorBidi"/>
          <w:b w:val="0"/>
          <w:sz w:val="22"/>
          <w:szCs w:val="22"/>
          <w:lang w:eastAsia="en-AU"/>
        </w:rPr>
      </w:pPr>
      <w:hyperlink w:anchor="_Toc97711987" w:history="1">
        <w:r w:rsidR="00E61773" w:rsidRPr="00346606">
          <w:rPr>
            <w:rStyle w:val="Hyperlink"/>
          </w:rPr>
          <w:t>7.</w:t>
        </w:r>
        <w:r w:rsidR="00E61773">
          <w:rPr>
            <w:rFonts w:asciiTheme="minorHAnsi" w:eastAsiaTheme="minorEastAsia" w:hAnsiTheme="minorHAnsi" w:cstheme="minorBidi"/>
            <w:b w:val="0"/>
            <w:sz w:val="22"/>
            <w:szCs w:val="22"/>
            <w:lang w:eastAsia="en-AU"/>
          </w:rPr>
          <w:tab/>
        </w:r>
        <w:r w:rsidR="00E61773" w:rsidRPr="00346606">
          <w:rPr>
            <w:rStyle w:val="Hyperlink"/>
          </w:rPr>
          <w:t>How will the department account for transition from foster care to permanent care?</w:t>
        </w:r>
        <w:r w:rsidR="00E61773">
          <w:rPr>
            <w:webHidden/>
          </w:rPr>
          <w:tab/>
        </w:r>
        <w:r w:rsidR="00E61773">
          <w:rPr>
            <w:webHidden/>
          </w:rPr>
          <w:fldChar w:fldCharType="begin"/>
        </w:r>
        <w:r w:rsidR="00E61773">
          <w:rPr>
            <w:webHidden/>
          </w:rPr>
          <w:instrText xml:space="preserve"> PAGEREF _Toc97711987 \h </w:instrText>
        </w:r>
        <w:r w:rsidR="00E61773">
          <w:rPr>
            <w:webHidden/>
          </w:rPr>
        </w:r>
        <w:r w:rsidR="00E61773">
          <w:rPr>
            <w:webHidden/>
          </w:rPr>
          <w:fldChar w:fldCharType="separate"/>
        </w:r>
        <w:r w:rsidR="00E61773">
          <w:rPr>
            <w:webHidden/>
          </w:rPr>
          <w:t>18</w:t>
        </w:r>
        <w:r w:rsidR="00E61773">
          <w:rPr>
            <w:webHidden/>
          </w:rPr>
          <w:fldChar w:fldCharType="end"/>
        </w:r>
      </w:hyperlink>
    </w:p>
    <w:p w14:paraId="7CA7F548" w14:textId="3EFD5999" w:rsidR="00E61773" w:rsidRDefault="00BA4589">
      <w:pPr>
        <w:pStyle w:val="TOC1"/>
        <w:tabs>
          <w:tab w:val="left" w:pos="567"/>
        </w:tabs>
        <w:rPr>
          <w:rFonts w:asciiTheme="minorHAnsi" w:eastAsiaTheme="minorEastAsia" w:hAnsiTheme="minorHAnsi" w:cstheme="minorBidi"/>
          <w:b w:val="0"/>
          <w:sz w:val="22"/>
          <w:szCs w:val="22"/>
          <w:lang w:eastAsia="en-AU"/>
        </w:rPr>
      </w:pPr>
      <w:hyperlink w:anchor="_Toc97711988" w:history="1">
        <w:r w:rsidR="00E61773" w:rsidRPr="00346606">
          <w:rPr>
            <w:rStyle w:val="Hyperlink"/>
          </w:rPr>
          <w:t>8.</w:t>
        </w:r>
        <w:r w:rsidR="00E61773">
          <w:rPr>
            <w:rFonts w:asciiTheme="minorHAnsi" w:eastAsiaTheme="minorEastAsia" w:hAnsiTheme="minorHAnsi" w:cstheme="minorBidi"/>
            <w:b w:val="0"/>
            <w:sz w:val="22"/>
            <w:szCs w:val="22"/>
            <w:lang w:eastAsia="en-AU"/>
          </w:rPr>
          <w:tab/>
        </w:r>
        <w:r w:rsidR="00E61773" w:rsidRPr="00346606">
          <w:rPr>
            <w:rStyle w:val="Hyperlink"/>
          </w:rPr>
          <w:t>Case contracting and voluntary child care arrangements</w:t>
        </w:r>
        <w:r w:rsidR="00E61773">
          <w:rPr>
            <w:webHidden/>
          </w:rPr>
          <w:tab/>
        </w:r>
        <w:r w:rsidR="00E61773">
          <w:rPr>
            <w:webHidden/>
          </w:rPr>
          <w:fldChar w:fldCharType="begin"/>
        </w:r>
        <w:r w:rsidR="00E61773">
          <w:rPr>
            <w:webHidden/>
          </w:rPr>
          <w:instrText xml:space="preserve"> PAGEREF _Toc97711988 \h </w:instrText>
        </w:r>
        <w:r w:rsidR="00E61773">
          <w:rPr>
            <w:webHidden/>
          </w:rPr>
        </w:r>
        <w:r w:rsidR="00E61773">
          <w:rPr>
            <w:webHidden/>
          </w:rPr>
          <w:fldChar w:fldCharType="separate"/>
        </w:r>
        <w:r w:rsidR="00E61773">
          <w:rPr>
            <w:webHidden/>
          </w:rPr>
          <w:t>18</w:t>
        </w:r>
        <w:r w:rsidR="00E61773">
          <w:rPr>
            <w:webHidden/>
          </w:rPr>
          <w:fldChar w:fldCharType="end"/>
        </w:r>
      </w:hyperlink>
    </w:p>
    <w:p w14:paraId="5279CD02" w14:textId="44EDE6EA" w:rsidR="00E61773" w:rsidRDefault="00BA4589">
      <w:pPr>
        <w:pStyle w:val="TOC2"/>
        <w:rPr>
          <w:rFonts w:asciiTheme="minorHAnsi" w:eastAsiaTheme="minorEastAsia" w:hAnsiTheme="minorHAnsi" w:cstheme="minorBidi"/>
          <w:sz w:val="22"/>
          <w:szCs w:val="22"/>
          <w:lang w:eastAsia="en-AU"/>
        </w:rPr>
      </w:pPr>
      <w:hyperlink w:anchor="_Toc97711989" w:history="1">
        <w:r w:rsidR="00E61773" w:rsidRPr="00346606">
          <w:rPr>
            <w:rStyle w:val="Hyperlink"/>
          </w:rPr>
          <w:t>How is performance measured for case contracting arrangements?</w:t>
        </w:r>
        <w:r w:rsidR="00E61773">
          <w:rPr>
            <w:webHidden/>
          </w:rPr>
          <w:tab/>
        </w:r>
        <w:r w:rsidR="00E61773">
          <w:rPr>
            <w:webHidden/>
          </w:rPr>
          <w:fldChar w:fldCharType="begin"/>
        </w:r>
        <w:r w:rsidR="00E61773">
          <w:rPr>
            <w:webHidden/>
          </w:rPr>
          <w:instrText xml:space="preserve"> PAGEREF _Toc97711989 \h </w:instrText>
        </w:r>
        <w:r w:rsidR="00E61773">
          <w:rPr>
            <w:webHidden/>
          </w:rPr>
        </w:r>
        <w:r w:rsidR="00E61773">
          <w:rPr>
            <w:webHidden/>
          </w:rPr>
          <w:fldChar w:fldCharType="separate"/>
        </w:r>
        <w:r w:rsidR="00E61773">
          <w:rPr>
            <w:webHidden/>
          </w:rPr>
          <w:t>18</w:t>
        </w:r>
        <w:r w:rsidR="00E61773">
          <w:rPr>
            <w:webHidden/>
          </w:rPr>
          <w:fldChar w:fldCharType="end"/>
        </w:r>
      </w:hyperlink>
    </w:p>
    <w:p w14:paraId="25BA9753" w14:textId="1891534E" w:rsidR="00E61773" w:rsidRDefault="00BA4589">
      <w:pPr>
        <w:pStyle w:val="TOC2"/>
        <w:rPr>
          <w:rFonts w:asciiTheme="minorHAnsi" w:eastAsiaTheme="minorEastAsia" w:hAnsiTheme="minorHAnsi" w:cstheme="minorBidi"/>
          <w:sz w:val="22"/>
          <w:szCs w:val="22"/>
          <w:lang w:eastAsia="en-AU"/>
        </w:rPr>
      </w:pPr>
      <w:hyperlink w:anchor="_Toc97711990" w:history="1">
        <w:r w:rsidR="00E61773" w:rsidRPr="00346606">
          <w:rPr>
            <w:rStyle w:val="Hyperlink"/>
          </w:rPr>
          <w:t>How performance is measured for voluntary child care arrangements?</w:t>
        </w:r>
        <w:r w:rsidR="00E61773">
          <w:rPr>
            <w:webHidden/>
          </w:rPr>
          <w:tab/>
        </w:r>
        <w:r w:rsidR="00E61773">
          <w:rPr>
            <w:webHidden/>
          </w:rPr>
          <w:fldChar w:fldCharType="begin"/>
        </w:r>
        <w:r w:rsidR="00E61773">
          <w:rPr>
            <w:webHidden/>
          </w:rPr>
          <w:instrText xml:space="preserve"> PAGEREF _Toc97711990 \h </w:instrText>
        </w:r>
        <w:r w:rsidR="00E61773">
          <w:rPr>
            <w:webHidden/>
          </w:rPr>
        </w:r>
        <w:r w:rsidR="00E61773">
          <w:rPr>
            <w:webHidden/>
          </w:rPr>
          <w:fldChar w:fldCharType="separate"/>
        </w:r>
        <w:r w:rsidR="00E61773">
          <w:rPr>
            <w:webHidden/>
          </w:rPr>
          <w:t>18</w:t>
        </w:r>
        <w:r w:rsidR="00E61773">
          <w:rPr>
            <w:webHidden/>
          </w:rPr>
          <w:fldChar w:fldCharType="end"/>
        </w:r>
      </w:hyperlink>
    </w:p>
    <w:p w14:paraId="024C1D94" w14:textId="5938537F" w:rsidR="00E61773" w:rsidRDefault="00BA4589">
      <w:pPr>
        <w:pStyle w:val="TOC1"/>
        <w:rPr>
          <w:rFonts w:asciiTheme="minorHAnsi" w:eastAsiaTheme="minorEastAsia" w:hAnsiTheme="minorHAnsi" w:cstheme="minorBidi"/>
          <w:b w:val="0"/>
          <w:sz w:val="22"/>
          <w:szCs w:val="22"/>
          <w:lang w:eastAsia="en-AU"/>
        </w:rPr>
      </w:pPr>
      <w:hyperlink w:anchor="_Toc97711991" w:history="1">
        <w:r w:rsidR="00E61773" w:rsidRPr="00346606">
          <w:rPr>
            <w:rStyle w:val="Hyperlink"/>
          </w:rPr>
          <w:t>Attachment 1: Counting rules for calculating total delivered placements</w:t>
        </w:r>
        <w:r w:rsidR="00E61773">
          <w:rPr>
            <w:webHidden/>
          </w:rPr>
          <w:tab/>
        </w:r>
        <w:r w:rsidR="00E61773">
          <w:rPr>
            <w:webHidden/>
          </w:rPr>
          <w:fldChar w:fldCharType="begin"/>
        </w:r>
        <w:r w:rsidR="00E61773">
          <w:rPr>
            <w:webHidden/>
          </w:rPr>
          <w:instrText xml:space="preserve"> PAGEREF _Toc97711991 \h </w:instrText>
        </w:r>
        <w:r w:rsidR="00E61773">
          <w:rPr>
            <w:webHidden/>
          </w:rPr>
        </w:r>
        <w:r w:rsidR="00E61773">
          <w:rPr>
            <w:webHidden/>
          </w:rPr>
          <w:fldChar w:fldCharType="separate"/>
        </w:r>
        <w:r w:rsidR="00E61773">
          <w:rPr>
            <w:webHidden/>
          </w:rPr>
          <w:t>19</w:t>
        </w:r>
        <w:r w:rsidR="00E61773">
          <w:rPr>
            <w:webHidden/>
          </w:rPr>
          <w:fldChar w:fldCharType="end"/>
        </w:r>
      </w:hyperlink>
    </w:p>
    <w:p w14:paraId="3D1762C0" w14:textId="73FBE40A" w:rsidR="00E61773" w:rsidRDefault="00BA4589">
      <w:pPr>
        <w:pStyle w:val="TOC1"/>
        <w:rPr>
          <w:rFonts w:asciiTheme="minorHAnsi" w:eastAsiaTheme="minorEastAsia" w:hAnsiTheme="minorHAnsi" w:cstheme="minorBidi"/>
          <w:b w:val="0"/>
          <w:sz w:val="22"/>
          <w:szCs w:val="22"/>
          <w:lang w:eastAsia="en-AU"/>
        </w:rPr>
      </w:pPr>
      <w:hyperlink w:anchor="_Toc97711992" w:history="1">
        <w:r w:rsidR="00E61773" w:rsidRPr="00346606">
          <w:rPr>
            <w:rStyle w:val="Hyperlink"/>
          </w:rPr>
          <w:t>Attachment 2:  Target adjustment and reimbursement case study examples</w:t>
        </w:r>
        <w:r w:rsidR="00E61773">
          <w:rPr>
            <w:webHidden/>
          </w:rPr>
          <w:tab/>
        </w:r>
        <w:r w:rsidR="00E61773">
          <w:rPr>
            <w:webHidden/>
          </w:rPr>
          <w:fldChar w:fldCharType="begin"/>
        </w:r>
        <w:r w:rsidR="00E61773">
          <w:rPr>
            <w:webHidden/>
          </w:rPr>
          <w:instrText xml:space="preserve"> PAGEREF _Toc97711992 \h </w:instrText>
        </w:r>
        <w:r w:rsidR="00E61773">
          <w:rPr>
            <w:webHidden/>
          </w:rPr>
        </w:r>
        <w:r w:rsidR="00E61773">
          <w:rPr>
            <w:webHidden/>
          </w:rPr>
          <w:fldChar w:fldCharType="separate"/>
        </w:r>
        <w:r w:rsidR="00E61773">
          <w:rPr>
            <w:webHidden/>
          </w:rPr>
          <w:t>19</w:t>
        </w:r>
        <w:r w:rsidR="00E61773">
          <w:rPr>
            <w:webHidden/>
          </w:rPr>
          <w:fldChar w:fldCharType="end"/>
        </w:r>
      </w:hyperlink>
    </w:p>
    <w:p w14:paraId="45342B21" w14:textId="277FE0D6" w:rsidR="00E61773" w:rsidRDefault="00BA4589">
      <w:pPr>
        <w:pStyle w:val="TOC2"/>
        <w:rPr>
          <w:rFonts w:asciiTheme="minorHAnsi" w:eastAsiaTheme="minorEastAsia" w:hAnsiTheme="minorHAnsi" w:cstheme="minorBidi"/>
          <w:sz w:val="22"/>
          <w:szCs w:val="22"/>
          <w:lang w:eastAsia="en-AU"/>
        </w:rPr>
      </w:pPr>
      <w:hyperlink w:anchor="_Toc97711993" w:history="1">
        <w:r w:rsidR="00E61773" w:rsidRPr="00346606">
          <w:rPr>
            <w:rStyle w:val="Hyperlink"/>
          </w:rPr>
          <w:t>Case study 1</w:t>
        </w:r>
        <w:r w:rsidR="00E61773">
          <w:rPr>
            <w:webHidden/>
          </w:rPr>
          <w:tab/>
        </w:r>
        <w:r w:rsidR="00E61773">
          <w:rPr>
            <w:webHidden/>
          </w:rPr>
          <w:fldChar w:fldCharType="begin"/>
        </w:r>
        <w:r w:rsidR="00E61773">
          <w:rPr>
            <w:webHidden/>
          </w:rPr>
          <w:instrText xml:space="preserve"> PAGEREF _Toc97711993 \h </w:instrText>
        </w:r>
        <w:r w:rsidR="00E61773">
          <w:rPr>
            <w:webHidden/>
          </w:rPr>
        </w:r>
        <w:r w:rsidR="00E61773">
          <w:rPr>
            <w:webHidden/>
          </w:rPr>
          <w:fldChar w:fldCharType="separate"/>
        </w:r>
        <w:r w:rsidR="00E61773">
          <w:rPr>
            <w:webHidden/>
          </w:rPr>
          <w:t>20</w:t>
        </w:r>
        <w:r w:rsidR="00E61773">
          <w:rPr>
            <w:webHidden/>
          </w:rPr>
          <w:fldChar w:fldCharType="end"/>
        </w:r>
      </w:hyperlink>
    </w:p>
    <w:p w14:paraId="7D67777D" w14:textId="619C5778" w:rsidR="00E61773" w:rsidRDefault="00BA4589">
      <w:pPr>
        <w:pStyle w:val="TOC2"/>
        <w:rPr>
          <w:rFonts w:asciiTheme="minorHAnsi" w:eastAsiaTheme="minorEastAsia" w:hAnsiTheme="minorHAnsi" w:cstheme="minorBidi"/>
          <w:sz w:val="22"/>
          <w:szCs w:val="22"/>
          <w:lang w:eastAsia="en-AU"/>
        </w:rPr>
      </w:pPr>
      <w:hyperlink w:anchor="_Toc97711994" w:history="1">
        <w:r w:rsidR="00E61773" w:rsidRPr="00346606">
          <w:rPr>
            <w:rStyle w:val="Hyperlink"/>
          </w:rPr>
          <w:t>Case study 2</w:t>
        </w:r>
        <w:r w:rsidR="00E61773">
          <w:rPr>
            <w:webHidden/>
          </w:rPr>
          <w:tab/>
        </w:r>
        <w:r w:rsidR="00E61773">
          <w:rPr>
            <w:webHidden/>
          </w:rPr>
          <w:fldChar w:fldCharType="begin"/>
        </w:r>
        <w:r w:rsidR="00E61773">
          <w:rPr>
            <w:webHidden/>
          </w:rPr>
          <w:instrText xml:space="preserve"> PAGEREF _Toc97711994 \h </w:instrText>
        </w:r>
        <w:r w:rsidR="00E61773">
          <w:rPr>
            <w:webHidden/>
          </w:rPr>
        </w:r>
        <w:r w:rsidR="00E61773">
          <w:rPr>
            <w:webHidden/>
          </w:rPr>
          <w:fldChar w:fldCharType="separate"/>
        </w:r>
        <w:r w:rsidR="00E61773">
          <w:rPr>
            <w:webHidden/>
          </w:rPr>
          <w:t>20</w:t>
        </w:r>
        <w:r w:rsidR="00E61773">
          <w:rPr>
            <w:webHidden/>
          </w:rPr>
          <w:fldChar w:fldCharType="end"/>
        </w:r>
      </w:hyperlink>
    </w:p>
    <w:p w14:paraId="055FE2D6" w14:textId="6C951225" w:rsidR="00E61773" w:rsidRDefault="00BA4589">
      <w:pPr>
        <w:pStyle w:val="TOC2"/>
        <w:rPr>
          <w:rFonts w:asciiTheme="minorHAnsi" w:eastAsiaTheme="minorEastAsia" w:hAnsiTheme="minorHAnsi" w:cstheme="minorBidi"/>
          <w:sz w:val="22"/>
          <w:szCs w:val="22"/>
          <w:lang w:eastAsia="en-AU"/>
        </w:rPr>
      </w:pPr>
      <w:hyperlink w:anchor="_Toc97711995" w:history="1">
        <w:r w:rsidR="00E61773" w:rsidRPr="00346606">
          <w:rPr>
            <w:rStyle w:val="Hyperlink"/>
          </w:rPr>
          <w:t>Case study 3</w:t>
        </w:r>
        <w:r w:rsidR="00E61773">
          <w:rPr>
            <w:webHidden/>
          </w:rPr>
          <w:tab/>
        </w:r>
        <w:r w:rsidR="00E61773">
          <w:rPr>
            <w:webHidden/>
          </w:rPr>
          <w:fldChar w:fldCharType="begin"/>
        </w:r>
        <w:r w:rsidR="00E61773">
          <w:rPr>
            <w:webHidden/>
          </w:rPr>
          <w:instrText xml:space="preserve"> PAGEREF _Toc97711995 \h </w:instrText>
        </w:r>
        <w:r w:rsidR="00E61773">
          <w:rPr>
            <w:webHidden/>
          </w:rPr>
        </w:r>
        <w:r w:rsidR="00E61773">
          <w:rPr>
            <w:webHidden/>
          </w:rPr>
          <w:fldChar w:fldCharType="separate"/>
        </w:r>
        <w:r w:rsidR="00E61773">
          <w:rPr>
            <w:webHidden/>
          </w:rPr>
          <w:t>21</w:t>
        </w:r>
        <w:r w:rsidR="00E61773">
          <w:rPr>
            <w:webHidden/>
          </w:rPr>
          <w:fldChar w:fldCharType="end"/>
        </w:r>
      </w:hyperlink>
    </w:p>
    <w:p w14:paraId="3A9AE344" w14:textId="4A8DD8EC" w:rsidR="00943E22" w:rsidRDefault="00943E22" w:rsidP="00943E22">
      <w:pPr>
        <w:pStyle w:val="TOC2"/>
      </w:pPr>
      <w:r>
        <w:fldChar w:fldCharType="end"/>
      </w:r>
    </w:p>
    <w:p w14:paraId="0E7A939C"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501410F9" w14:textId="77777777" w:rsidR="00943E22" w:rsidRDefault="00943E22" w:rsidP="00684B22">
      <w:pPr>
        <w:pStyle w:val="Heading1"/>
        <w:numPr>
          <w:ilvl w:val="0"/>
          <w:numId w:val="9"/>
        </w:numPr>
        <w:ind w:left="680" w:hanging="720"/>
      </w:pPr>
      <w:bookmarkStart w:id="2" w:name="_Toc97711962"/>
      <w:r>
        <w:lastRenderedPageBreak/>
        <w:t>Introduction</w:t>
      </w:r>
      <w:bookmarkEnd w:id="2"/>
    </w:p>
    <w:p w14:paraId="2CDBFDD2" w14:textId="47487C2A" w:rsidR="00943E22" w:rsidRDefault="00943E22" w:rsidP="00971400">
      <w:pPr>
        <w:pStyle w:val="Body"/>
      </w:pPr>
      <w:r>
        <w:t xml:space="preserve">The </w:t>
      </w:r>
      <w:r w:rsidRPr="00414699">
        <w:rPr>
          <w:i/>
          <w:iCs/>
        </w:rPr>
        <w:t>Home-based care (HBC) performance and reporting requirements policy</w:t>
      </w:r>
      <w:r>
        <w:t xml:space="preserve"> </w:t>
      </w:r>
      <w:r w:rsidRPr="00414699">
        <w:rPr>
          <w:i/>
          <w:iCs/>
        </w:rPr>
        <w:t>May 2022</w:t>
      </w:r>
      <w:r>
        <w:t xml:space="preserve"> (the policy) outlines to service providers the monitoring and review of performance against funded targets and the processes for managing under and over performance in the delivery of HBC services for vulnerable children and young people in Victoria. </w:t>
      </w:r>
    </w:p>
    <w:p w14:paraId="0EA52135" w14:textId="12719308" w:rsidR="00943E22" w:rsidRDefault="00943E22" w:rsidP="00971400">
      <w:pPr>
        <w:pStyle w:val="Body"/>
      </w:pPr>
      <w:r>
        <w:t xml:space="preserve">In funding HBC </w:t>
      </w:r>
      <w:r w:rsidR="00971400">
        <w:t>services,</w:t>
      </w:r>
      <w:r>
        <w:t xml:space="preserve"> the Department of Families, Fairness and Housing (the department) adheres to the principles of best value, performance outcomes, financial responsibility, performance accountability and partnership to maximise responsiveness to client needs.</w:t>
      </w:r>
    </w:p>
    <w:p w14:paraId="6FF79F67" w14:textId="77777777" w:rsidR="00943E22" w:rsidRDefault="00943E22" w:rsidP="00971400">
      <w:pPr>
        <w:pStyle w:val="Body"/>
      </w:pPr>
      <w:r>
        <w:t xml:space="preserve">For HBC activities, service providers comprising funded community service organisations (CSOs) and Aboriginal Community Controlled Organisations (ACCOs) are monitored against the performance measures and targets as specified in their service agreement. Monitoring is undertaken with HBC service providers and allows providers and the department the opportunity to review and examine performance and adjust funding and targets, as required, to ensure allocated resources are fully utilised in the provision of quality HBC services. </w:t>
      </w:r>
    </w:p>
    <w:p w14:paraId="09AB389E" w14:textId="184B0E59" w:rsidR="00943E22" w:rsidRDefault="00943E22" w:rsidP="00971400">
      <w:pPr>
        <w:pStyle w:val="Body"/>
      </w:pPr>
      <w:r>
        <w:t xml:space="preserve">Funding to HBC service providers is subject to the delivery of targets as specified in the HBC service providers’ contract, via their service agreement. The department expects service providers to fully deliver the targets set out in the service agreement. </w:t>
      </w:r>
    </w:p>
    <w:p w14:paraId="08A7C52B" w14:textId="77777777" w:rsidR="00943E22" w:rsidRDefault="00943E22" w:rsidP="00971400">
      <w:pPr>
        <w:pStyle w:val="Body"/>
      </w:pPr>
      <w:r>
        <w:t xml:space="preserve">Through the application of this policy, HBC service providers are expected to: fully deliver against all funded targets; to consistently achieve the minimum required annual performance threshold; and to participate in regular review processes to manage under and over performance to ensure the funded targets for all HBC service providers are realistic and achievable.      </w:t>
      </w:r>
    </w:p>
    <w:p w14:paraId="4CFB27F3" w14:textId="1A37F3A0" w:rsidR="00943E22" w:rsidRDefault="000D4EFD" w:rsidP="00684B22">
      <w:pPr>
        <w:pStyle w:val="Heading1"/>
        <w:numPr>
          <w:ilvl w:val="0"/>
          <w:numId w:val="9"/>
        </w:numPr>
        <w:ind w:left="680" w:hanging="720"/>
      </w:pPr>
      <w:bookmarkStart w:id="3" w:name="_Toc97711963"/>
      <w:r>
        <w:t>Policy context</w:t>
      </w:r>
      <w:bookmarkEnd w:id="3"/>
    </w:p>
    <w:p w14:paraId="5A387C61" w14:textId="0088BBA2" w:rsidR="00943E22" w:rsidRDefault="00943E22" w:rsidP="00971400">
      <w:pPr>
        <w:pStyle w:val="Body"/>
      </w:pPr>
      <w:r>
        <w:t>Th</w:t>
      </w:r>
      <w:r w:rsidR="00356B0E">
        <w:t>e</w:t>
      </w:r>
      <w:r>
        <w:t xml:space="preserve"> </w:t>
      </w:r>
      <w:r w:rsidRPr="00414699">
        <w:rPr>
          <w:i/>
          <w:iCs/>
        </w:rPr>
        <w:t>Home-based care (HBC) performance and reporting requirements policy</w:t>
      </w:r>
      <w:r>
        <w:t xml:space="preserve"> (which supersedes the January 2015</w:t>
      </w:r>
      <w:r w:rsidR="00356B0E">
        <w:t xml:space="preserve"> policy)</w:t>
      </w:r>
      <w:r>
        <w:t xml:space="preserve"> will be applicable for the 2021-22 financial year, and onwards.</w:t>
      </w:r>
    </w:p>
    <w:p w14:paraId="44086CAE" w14:textId="77777777" w:rsidR="00943E22" w:rsidRDefault="00943E22" w:rsidP="00971400">
      <w:pPr>
        <w:pStyle w:val="Body"/>
      </w:pPr>
      <w:r>
        <w:t>The department has introduced the revised policy to reduce administrative requirements for transacting adjustments whilst maintaining the strengthened approach to HBC performance management delivered under the previous policy.</w:t>
      </w:r>
    </w:p>
    <w:p w14:paraId="6BF049D3" w14:textId="42D0294E" w:rsidR="000D4EFD" w:rsidRDefault="009401FB" w:rsidP="009401FB">
      <w:pPr>
        <w:pStyle w:val="Body"/>
      </w:pPr>
      <w:r>
        <w:t>Through t</w:t>
      </w:r>
      <w:r w:rsidR="00356B0E">
        <w:t>he</w:t>
      </w:r>
      <w:r w:rsidR="00373A54">
        <w:t xml:space="preserve"> May</w:t>
      </w:r>
      <w:r w:rsidR="00356B0E">
        <w:t xml:space="preserve"> 2022 policy</w:t>
      </w:r>
      <w:r>
        <w:t xml:space="preserve">, </w:t>
      </w:r>
      <w:r w:rsidR="000D4EFD">
        <w:t xml:space="preserve">target adjustment, reallocation and reimbursement for over-performance </w:t>
      </w:r>
      <w:r>
        <w:t>will o</w:t>
      </w:r>
      <w:r w:rsidR="000D4EFD">
        <w:t>ccur on an annual, rather than quarterly basis</w:t>
      </w:r>
      <w:r w:rsidR="00D96E72">
        <w:t>.</w:t>
      </w:r>
    </w:p>
    <w:p w14:paraId="01CA18FB" w14:textId="34044E05" w:rsidR="00FE1CDF" w:rsidRDefault="009401FB" w:rsidP="000233B8">
      <w:pPr>
        <w:pStyle w:val="Body"/>
      </w:pPr>
      <w:r>
        <w:t>T</w:t>
      </w:r>
      <w:r w:rsidR="00B1482A">
        <w:t>he annual review period will be from 1 April to 31 March (</w:t>
      </w:r>
      <w:r w:rsidR="00720B69">
        <w:t>from quarter 4 to quarter 3 the following year</w:t>
      </w:r>
      <w:r w:rsidR="00B1482A">
        <w:t>)</w:t>
      </w:r>
      <w:r w:rsidR="00D96E72">
        <w:t>.</w:t>
      </w:r>
      <w:r w:rsidR="00720B69" w:rsidRPr="00720B69">
        <w:t xml:space="preserve"> </w:t>
      </w:r>
    </w:p>
    <w:p w14:paraId="5A62D0DA" w14:textId="2B4B236A" w:rsidR="00FE1CDF" w:rsidRDefault="009401FB" w:rsidP="000233B8">
      <w:pPr>
        <w:pStyle w:val="Body"/>
      </w:pPr>
      <w:r>
        <w:t xml:space="preserve">In 2021-22, </w:t>
      </w:r>
      <w:r w:rsidR="00D96E72">
        <w:t>being</w:t>
      </w:r>
      <w:r>
        <w:t xml:space="preserve"> the first year of implementation:</w:t>
      </w:r>
    </w:p>
    <w:p w14:paraId="33EE0C06" w14:textId="0FD53F92" w:rsidR="00B1482A" w:rsidRDefault="00FE1CDF">
      <w:pPr>
        <w:pStyle w:val="Body"/>
        <w:numPr>
          <w:ilvl w:val="0"/>
          <w:numId w:val="12"/>
        </w:numPr>
      </w:pPr>
      <w:r>
        <w:t>t</w:t>
      </w:r>
      <w:r w:rsidR="00720B69">
        <w:t>he review period is from 1 July 2021 to 31 March 2022.</w:t>
      </w:r>
    </w:p>
    <w:p w14:paraId="193DE6C3" w14:textId="040210A8" w:rsidR="00FE1CDF" w:rsidRDefault="00FE1CDF" w:rsidP="00FE1CDF">
      <w:pPr>
        <w:pStyle w:val="Bullet1"/>
        <w:numPr>
          <w:ilvl w:val="0"/>
          <w:numId w:val="12"/>
        </w:numPr>
      </w:pPr>
      <w:r>
        <w:t xml:space="preserve">target adjustments, reallocations or reimbursements that have occurred in 2021-22 will be taken into consideration at the end of the review </w:t>
      </w:r>
      <w:proofErr w:type="gramStart"/>
      <w:r>
        <w:t>period</w:t>
      </w:r>
      <w:proofErr w:type="gramEnd"/>
    </w:p>
    <w:p w14:paraId="76CA9536" w14:textId="77777777" w:rsidR="00FE1CDF" w:rsidRDefault="00FE1CDF" w:rsidP="00FE1CDF">
      <w:pPr>
        <w:pStyle w:val="Bullet1"/>
        <w:numPr>
          <w:ilvl w:val="0"/>
          <w:numId w:val="12"/>
        </w:numPr>
      </w:pPr>
      <w:r>
        <w:t xml:space="preserve">discretion will be used to ensure the least disruption to agency business planning through this implementation year, with the previous policy used where necessary. </w:t>
      </w:r>
    </w:p>
    <w:p w14:paraId="1918C8D7" w14:textId="341B0B2F" w:rsidR="00D96E72" w:rsidRPr="00603F87" w:rsidRDefault="00D96E72" w:rsidP="000233B8">
      <w:pPr>
        <w:pStyle w:val="Body"/>
        <w:numPr>
          <w:ilvl w:val="0"/>
          <w:numId w:val="12"/>
        </w:numPr>
      </w:pPr>
      <w:r w:rsidRPr="003C008C">
        <w:lastRenderedPageBreak/>
        <w:t>Quarter 4 (1 April</w:t>
      </w:r>
      <w:r w:rsidR="00694C1C" w:rsidRPr="003C008C">
        <w:t xml:space="preserve"> to 30 June 2022</w:t>
      </w:r>
      <w:r w:rsidRPr="003C008C">
        <w:t xml:space="preserve">) will be included as part of the ongoing annual review </w:t>
      </w:r>
      <w:r w:rsidRPr="00603F87">
        <w:t xml:space="preserve">period to be implemented moving forward, being 1 April to 31 March (the following year). </w:t>
      </w:r>
    </w:p>
    <w:p w14:paraId="123E2814" w14:textId="4655F4BB" w:rsidR="00943E22" w:rsidRDefault="00943E22" w:rsidP="00971400">
      <w:pPr>
        <w:pStyle w:val="Body"/>
      </w:pPr>
      <w:r w:rsidRPr="00603F87">
        <w:t xml:space="preserve">To support implementation of this policy, it is essential that HBC providers continue to provide monthly service delivery tracking (SDT) and engage in </w:t>
      </w:r>
      <w:r w:rsidR="00C32103" w:rsidRPr="00603F87">
        <w:t xml:space="preserve">regular </w:t>
      </w:r>
      <w:r w:rsidRPr="00603F87">
        <w:t>performance appraisal</w:t>
      </w:r>
      <w:r w:rsidR="00C32103" w:rsidRPr="00603F87">
        <w:t>.</w:t>
      </w:r>
      <w:r w:rsidR="00276019">
        <w:t xml:space="preserve"> </w:t>
      </w:r>
      <w:r>
        <w:t xml:space="preserve">Monthly SDT reporting will be tracked throughout the </w:t>
      </w:r>
      <w:r w:rsidR="004015FF">
        <w:t xml:space="preserve">review </w:t>
      </w:r>
      <w:r w:rsidR="0050497D">
        <w:t>period</w:t>
      </w:r>
      <w:r>
        <w:t xml:space="preserve"> with a single annual transaction to address the performance</w:t>
      </w:r>
      <w:r w:rsidR="004015FF">
        <w:t xml:space="preserve"> over the </w:t>
      </w:r>
      <w:r w:rsidR="0050497D">
        <w:t>review period.</w:t>
      </w:r>
      <w:r>
        <w:t xml:space="preserve"> </w:t>
      </w:r>
    </w:p>
    <w:p w14:paraId="75944B13" w14:textId="77777777" w:rsidR="00943E22" w:rsidRDefault="00943E22" w:rsidP="00971400">
      <w:pPr>
        <w:pStyle w:val="Body"/>
      </w:pPr>
      <w:r>
        <w:t>Substantive elements of the previous policy which remain in effect include:</w:t>
      </w:r>
    </w:p>
    <w:p w14:paraId="55110080" w14:textId="77777777" w:rsidR="00943E22" w:rsidRPr="00971400" w:rsidRDefault="00943E22" w:rsidP="00971400">
      <w:pPr>
        <w:pStyle w:val="Bullet1"/>
      </w:pPr>
      <w:r w:rsidRPr="00971400">
        <w:t>The online SDT tool, for HBC providers to account for service delivery against their service agreement target.</w:t>
      </w:r>
    </w:p>
    <w:p w14:paraId="084D1E39" w14:textId="77777777" w:rsidR="00943E22" w:rsidRPr="00971400" w:rsidRDefault="00943E22" w:rsidP="00971400">
      <w:pPr>
        <w:pStyle w:val="Bullet1"/>
      </w:pPr>
      <w:r w:rsidRPr="00971400">
        <w:t>Counting rules for calculating the key HBC performance measure, ‘daily average occupancy’ (DAO).</w:t>
      </w:r>
    </w:p>
    <w:p w14:paraId="118D1D84" w14:textId="7C6E5FAE" w:rsidR="00943E22" w:rsidRPr="00971400" w:rsidRDefault="00943E22" w:rsidP="00971400">
      <w:pPr>
        <w:pStyle w:val="Bullet1"/>
      </w:pPr>
      <w:r w:rsidRPr="00971400">
        <w:t xml:space="preserve">A performance threshold that requires HBC service providers to deliver against all funded targets and to consistently deliver the minimum required performance threshold of 85 and 90 percent (see </w:t>
      </w:r>
      <w:r w:rsidR="00F90333" w:rsidRPr="00971400">
        <w:t>in</w:t>
      </w:r>
      <w:r w:rsidRPr="00971400">
        <w:t xml:space="preserve"> scope activities and minimum performance requirements below) against targets for specified in scope activities.</w:t>
      </w:r>
    </w:p>
    <w:p w14:paraId="6DB21C41" w14:textId="04128DC3" w:rsidR="00943E22" w:rsidRPr="00971400" w:rsidRDefault="00943E22" w:rsidP="00971400">
      <w:pPr>
        <w:pStyle w:val="Bullet1"/>
      </w:pPr>
      <w:r w:rsidRPr="00971400">
        <w:t xml:space="preserve">Recognition of over performance when </w:t>
      </w:r>
      <w:proofErr w:type="gramStart"/>
      <w:r w:rsidRPr="00971400">
        <w:t>a</w:t>
      </w:r>
      <w:proofErr w:type="gramEnd"/>
      <w:r w:rsidRPr="00971400">
        <w:t xml:space="preserve"> HBC provider’s performance exceeds its total funded targets (100 per cent) in the specified activity performance as set out in its service agreement</w:t>
      </w:r>
      <w:r w:rsidR="000A2154">
        <w:t xml:space="preserve"> for the review period</w:t>
      </w:r>
      <w:r w:rsidR="0050497D">
        <w:t>,</w:t>
      </w:r>
      <w:r w:rsidRPr="00971400">
        <w:t xml:space="preserve"> the HBC provider can be reimbursed the cost of the over performance. </w:t>
      </w:r>
    </w:p>
    <w:p w14:paraId="64F2D881" w14:textId="49366F69" w:rsidR="00943E22" w:rsidRDefault="00943E22" w:rsidP="00971400">
      <w:pPr>
        <w:pStyle w:val="Bodyafterbullets"/>
      </w:pPr>
      <w:r>
        <w:t>The revised policy will apply to all HBC providers funded to deliver more than 20 targets by division across the in</w:t>
      </w:r>
      <w:r w:rsidR="00971400">
        <w:t>-</w:t>
      </w:r>
      <w:r>
        <w:t xml:space="preserve">scope activities </w:t>
      </w:r>
      <w:r w:rsidR="00971400">
        <w:t>and</w:t>
      </w:r>
      <w:r>
        <w:t xml:space="preserve"> as noted above, effective f</w:t>
      </w:r>
      <w:r w:rsidR="000A2154">
        <w:t>rom</w:t>
      </w:r>
      <w:r>
        <w:t xml:space="preserve"> the 2021-22 financial year and onwards. It should be noted that </w:t>
      </w:r>
      <w:r w:rsidRPr="000A3B84">
        <w:t>funding and target adjustments that have already occurred in 2021-22 will be taken into consideration as the revised policy is implemented</w:t>
      </w:r>
      <w:r>
        <w:t xml:space="preserve">. </w:t>
      </w:r>
    </w:p>
    <w:p w14:paraId="5368C679" w14:textId="6F4A9779" w:rsidR="00943E22" w:rsidRDefault="00943E22" w:rsidP="00971400">
      <w:pPr>
        <w:pStyle w:val="Body"/>
      </w:pPr>
      <w:r>
        <w:t xml:space="preserve">The requirement to consistently deliver against all funded targets, achieve minimum required performance thresholds, participate in a process of performance review, target adjustment, reallocation and reimbursement is applicable to HBC providers delivering in scope HBC activities.     </w:t>
      </w:r>
    </w:p>
    <w:p w14:paraId="7592E23A" w14:textId="77777777" w:rsidR="00943E22" w:rsidRDefault="00943E22" w:rsidP="00943E22">
      <w:pPr>
        <w:pStyle w:val="Heading2"/>
      </w:pPr>
      <w:bookmarkStart w:id="4" w:name="_Toc97711964"/>
      <w:r>
        <w:t>Key processes</w:t>
      </w:r>
      <w:bookmarkEnd w:id="4"/>
    </w:p>
    <w:p w14:paraId="7705B56D" w14:textId="50ADEADE" w:rsidR="0050497D" w:rsidRDefault="0050497D" w:rsidP="0050497D">
      <w:pPr>
        <w:pStyle w:val="Body"/>
      </w:pPr>
      <w:r>
        <w:t>For the purposes of this policy, the annual review period will be from 1 April to 31 March</w:t>
      </w:r>
      <w:r w:rsidR="000A2154">
        <w:t xml:space="preserve"> (following year)</w:t>
      </w:r>
      <w:r>
        <w:t>.</w:t>
      </w:r>
      <w:r w:rsidR="00414699">
        <w:t xml:space="preserve"> R</w:t>
      </w:r>
      <w:r>
        <w:t xml:space="preserve">eferences to </w:t>
      </w:r>
      <w:r w:rsidR="00D96E72">
        <w:t>‘</w:t>
      </w:r>
      <w:r>
        <w:t xml:space="preserve">review </w:t>
      </w:r>
      <w:r w:rsidR="00D96E72">
        <w:t>period’</w:t>
      </w:r>
      <w:r>
        <w:t xml:space="preserve"> should be taken to mean the period 1 April to 31 March. </w:t>
      </w:r>
    </w:p>
    <w:p w14:paraId="1EFDB5D8" w14:textId="5DBD55C5" w:rsidR="00943E22" w:rsidRDefault="00943E22" w:rsidP="00971400">
      <w:pPr>
        <w:pStyle w:val="Body"/>
      </w:pPr>
      <w:r>
        <w:t xml:space="preserve">Performance review: At the end of </w:t>
      </w:r>
      <w:r w:rsidR="004015FF">
        <w:t xml:space="preserve">Quarter 3 of </w:t>
      </w:r>
      <w:r>
        <w:t xml:space="preserve">the financial year the department will review and consider the performance of all HBC providers based on the data provided in the SDT. </w:t>
      </w:r>
    </w:p>
    <w:p w14:paraId="0635F32B" w14:textId="53BECA42" w:rsidR="00943E22" w:rsidRDefault="00943E22" w:rsidP="00971400">
      <w:pPr>
        <w:pStyle w:val="Body"/>
      </w:pPr>
      <w:r>
        <w:t xml:space="preserve">Target adjustment: Is a reduction in the number of </w:t>
      </w:r>
      <w:proofErr w:type="gramStart"/>
      <w:r>
        <w:t>a</w:t>
      </w:r>
      <w:proofErr w:type="gramEnd"/>
      <w:r>
        <w:t xml:space="preserve"> HBC provider’s funded targets in a specified activity as a result of underperformance </w:t>
      </w:r>
      <w:r w:rsidR="002E5C9D">
        <w:t>during the review period.</w:t>
      </w:r>
      <w:r>
        <w:t xml:space="preserve"> </w:t>
      </w:r>
    </w:p>
    <w:p w14:paraId="5EBE67F9" w14:textId="77777777" w:rsidR="00943E22" w:rsidRDefault="00943E22" w:rsidP="00971400">
      <w:pPr>
        <w:pStyle w:val="Body"/>
      </w:pPr>
      <w:r>
        <w:t>Target reallocation: Is the fixed-term or ongoing reallocation of targets to other service providers with a capacity to deliver additional targets in a specified HBC activity.</w:t>
      </w:r>
    </w:p>
    <w:p w14:paraId="49A7B3DE" w14:textId="26347209" w:rsidR="00943E22" w:rsidRDefault="00943E22" w:rsidP="00971400">
      <w:pPr>
        <w:pStyle w:val="Body"/>
      </w:pPr>
      <w:r>
        <w:t xml:space="preserve">Target reimbursement: </w:t>
      </w:r>
      <w:r w:rsidR="00971400">
        <w:t>I</w:t>
      </w:r>
      <w:r>
        <w:t xml:space="preserve">s a fixed-term increase in funding in recognition of over-performance </w:t>
      </w:r>
      <w:r w:rsidR="002E5C9D">
        <w:t>during the review period.</w:t>
      </w:r>
      <w:r w:rsidR="002E5C9D" w:rsidDel="002E5C9D">
        <w:t xml:space="preserve"> </w:t>
      </w:r>
    </w:p>
    <w:p w14:paraId="5264139C" w14:textId="2CC32300" w:rsidR="00D96E72" w:rsidRDefault="00943E22" w:rsidP="00971400">
      <w:pPr>
        <w:pStyle w:val="Body"/>
      </w:pPr>
      <w:r w:rsidRPr="00971400">
        <w:t>Annual reconciliation</w:t>
      </w:r>
      <w:r>
        <w:t>: Target adjustments, reallocations and target reimbursements are based on the service provider’s performance</w:t>
      </w:r>
      <w:r w:rsidR="00BB132C">
        <w:t xml:space="preserve"> between 1 April and 31 March (four quarters in total)</w:t>
      </w:r>
      <w:r w:rsidR="00B65C7C">
        <w:t xml:space="preserve"> review period</w:t>
      </w:r>
      <w:r w:rsidR="00BB132C">
        <w:t>.</w:t>
      </w:r>
      <w:r>
        <w:t xml:space="preserve"> Action to reconcile funding and </w:t>
      </w:r>
      <w:r w:rsidR="00B65C7C">
        <w:t xml:space="preserve">reallocate </w:t>
      </w:r>
      <w:r>
        <w:t xml:space="preserve">targets will take place </w:t>
      </w:r>
      <w:r w:rsidR="00BB132C">
        <w:t>in May.</w:t>
      </w:r>
      <w:r>
        <w:t xml:space="preserve"> </w:t>
      </w:r>
    </w:p>
    <w:p w14:paraId="6948EEDA" w14:textId="234CAB75" w:rsidR="00B9086F" w:rsidRDefault="00B9086F" w:rsidP="005E3654">
      <w:pPr>
        <w:pStyle w:val="Heading2"/>
      </w:pPr>
    </w:p>
    <w:p w14:paraId="41AC2184" w14:textId="3B1821B0" w:rsidR="00943E22" w:rsidRDefault="00B9086F">
      <w:pPr>
        <w:pStyle w:val="Body"/>
      </w:pPr>
      <w:r w:rsidRPr="00603F87">
        <w:t>The shift to an annual review period does not negate the need for regular performance appraisals between the Agency Performance and System Support (APSS) and HBC providers, which is essential for successful implementation of the policy. In cases where significant performance variations are identified through regular performance monitoring, the department</w:t>
      </w:r>
      <w:r w:rsidR="00B468C6" w:rsidRPr="00603F87">
        <w:t xml:space="preserve"> may consider, in consultation with a service provider, the need to </w:t>
      </w:r>
      <w:r w:rsidR="00943E22" w:rsidRPr="00603F87">
        <w:t>adjust</w:t>
      </w:r>
      <w:r w:rsidR="0064186B" w:rsidRPr="00603F87">
        <w:t xml:space="preserve"> and </w:t>
      </w:r>
      <w:r w:rsidR="00943E22" w:rsidRPr="00603F87">
        <w:t>reallocate</w:t>
      </w:r>
      <w:r w:rsidR="0064186B" w:rsidRPr="00603F87">
        <w:t xml:space="preserve"> or reimburse</w:t>
      </w:r>
      <w:r w:rsidR="00943E22" w:rsidRPr="00603F87">
        <w:t xml:space="preserve"> targets during </w:t>
      </w:r>
      <w:r w:rsidR="00B468C6" w:rsidRPr="00603F87">
        <w:t>a review period.</w:t>
      </w:r>
    </w:p>
    <w:p w14:paraId="125A58D1" w14:textId="4C16F145" w:rsidR="00943E22" w:rsidRDefault="00943E22" w:rsidP="00971400">
      <w:pPr>
        <w:pStyle w:val="Body"/>
      </w:pPr>
      <w:r>
        <w:t xml:space="preserve">See section </w:t>
      </w:r>
      <w:r w:rsidR="0064186B">
        <w:t>5</w:t>
      </w:r>
      <w:r>
        <w:t xml:space="preserve"> for further information. </w:t>
      </w:r>
    </w:p>
    <w:p w14:paraId="2F0E044C" w14:textId="77777777" w:rsidR="00943E22" w:rsidRDefault="00943E22" w:rsidP="00943E22">
      <w:pPr>
        <w:pStyle w:val="Heading2"/>
      </w:pPr>
      <w:bookmarkStart w:id="5" w:name="_Toc97711965"/>
      <w:r>
        <w:t>In scope activities and minimum performance requirements</w:t>
      </w:r>
      <w:bookmarkEnd w:id="5"/>
      <w:r>
        <w:t xml:space="preserve"> </w:t>
      </w:r>
    </w:p>
    <w:p w14:paraId="47C79E31" w14:textId="77777777" w:rsidR="00943E22" w:rsidRDefault="00943E22" w:rsidP="00943E22">
      <w:pPr>
        <w:pStyle w:val="Heading3"/>
      </w:pPr>
      <w:r>
        <w:t>Which HBC activities are in scope?</w:t>
      </w:r>
    </w:p>
    <w:p w14:paraId="500C9BAF" w14:textId="77777777" w:rsidR="00943E22" w:rsidRDefault="00943E22" w:rsidP="00971400">
      <w:pPr>
        <w:pStyle w:val="Body"/>
      </w:pPr>
      <w:r>
        <w:t>The revised policy applies to the following home-based care activities:</w:t>
      </w:r>
    </w:p>
    <w:p w14:paraId="0EBD7945" w14:textId="77777777" w:rsidR="00943E22" w:rsidRDefault="00943E22" w:rsidP="00971400">
      <w:pPr>
        <w:pStyle w:val="Bullet1"/>
      </w:pPr>
      <w:r>
        <w:t>HBC General (31214)</w:t>
      </w:r>
    </w:p>
    <w:p w14:paraId="15E206BD" w14:textId="77777777" w:rsidR="00943E22" w:rsidRDefault="00943E22" w:rsidP="00971400">
      <w:pPr>
        <w:pStyle w:val="Bullet1"/>
      </w:pPr>
      <w:r>
        <w:t>HBC Intensive (31418)</w:t>
      </w:r>
    </w:p>
    <w:p w14:paraId="1B293CC1" w14:textId="77777777" w:rsidR="00943E22" w:rsidRDefault="00943E22" w:rsidP="00971400">
      <w:pPr>
        <w:pStyle w:val="Bullet1"/>
      </w:pPr>
      <w:r>
        <w:t>HBC Therapeutic Foster Care (31413)</w:t>
      </w:r>
    </w:p>
    <w:p w14:paraId="180C8584" w14:textId="77777777" w:rsidR="00943E22" w:rsidRDefault="00943E22" w:rsidP="00971400">
      <w:pPr>
        <w:pStyle w:val="Bullet1"/>
      </w:pPr>
      <w:r>
        <w:t>HBC Adolescent Community Placement (31205)</w:t>
      </w:r>
    </w:p>
    <w:p w14:paraId="336AE4C8" w14:textId="77777777" w:rsidR="00943E22" w:rsidRDefault="00943E22" w:rsidP="00971400">
      <w:pPr>
        <w:pStyle w:val="Bullet1"/>
      </w:pPr>
      <w:r>
        <w:t>HBC Complex (31216).</w:t>
      </w:r>
    </w:p>
    <w:p w14:paraId="26D79F9B" w14:textId="77777777" w:rsidR="00943E22" w:rsidRDefault="00943E22" w:rsidP="00943E22">
      <w:pPr>
        <w:pStyle w:val="Heading3"/>
      </w:pPr>
      <w:r>
        <w:t>What is the revised minimum performance requirement?</w:t>
      </w:r>
    </w:p>
    <w:p w14:paraId="3912B3B5" w14:textId="77777777" w:rsidR="00943E22" w:rsidRDefault="00943E22" w:rsidP="00971400">
      <w:pPr>
        <w:pStyle w:val="Body"/>
      </w:pPr>
      <w:r>
        <w:t xml:space="preserve">85 per cent performance is the minimum required for:  </w:t>
      </w:r>
    </w:p>
    <w:p w14:paraId="1D84FBA6" w14:textId="77777777" w:rsidR="00943E22" w:rsidRDefault="00943E22" w:rsidP="00971400">
      <w:pPr>
        <w:pStyle w:val="Bullet1"/>
      </w:pPr>
      <w:r>
        <w:t>HBC General (31214)</w:t>
      </w:r>
    </w:p>
    <w:p w14:paraId="11B6E16E" w14:textId="77777777" w:rsidR="00943E22" w:rsidRDefault="00943E22" w:rsidP="00971400">
      <w:pPr>
        <w:pStyle w:val="Bullet1"/>
      </w:pPr>
      <w:r>
        <w:t>HBC Intensive (31418)</w:t>
      </w:r>
    </w:p>
    <w:p w14:paraId="2FF2EF6F" w14:textId="77777777" w:rsidR="00943E22" w:rsidRDefault="00943E22" w:rsidP="00971400">
      <w:pPr>
        <w:pStyle w:val="Bullet1"/>
      </w:pPr>
      <w:r>
        <w:t>HBC Therapeutic Foster Care (31413)</w:t>
      </w:r>
    </w:p>
    <w:p w14:paraId="15D85130" w14:textId="080B3ABE" w:rsidR="00943E22" w:rsidRDefault="00943E22" w:rsidP="00971400">
      <w:pPr>
        <w:pStyle w:val="Bullet1"/>
      </w:pPr>
      <w:r>
        <w:t>HBC Adolescent Community Placement (31205)</w:t>
      </w:r>
    </w:p>
    <w:p w14:paraId="26AF6C71" w14:textId="2929A422" w:rsidR="00943E22" w:rsidRDefault="00943E22" w:rsidP="00971400">
      <w:pPr>
        <w:pStyle w:val="Bodyafterbullets"/>
      </w:pPr>
      <w:r>
        <w:t>90 per cent performance is the minimum required for:</w:t>
      </w:r>
    </w:p>
    <w:p w14:paraId="32DFE1E6" w14:textId="77777777" w:rsidR="00943E22" w:rsidRDefault="00943E22" w:rsidP="00971400">
      <w:pPr>
        <w:pStyle w:val="Bullet1"/>
      </w:pPr>
      <w:r>
        <w:t>HBC Complex (31216).</w:t>
      </w:r>
    </w:p>
    <w:p w14:paraId="51EA0CE5" w14:textId="77777777" w:rsidR="00943E22" w:rsidRDefault="00943E22" w:rsidP="00943E22">
      <w:pPr>
        <w:pStyle w:val="Heading3"/>
      </w:pPr>
      <w:r>
        <w:t>Which HBC providers are in scope?</w:t>
      </w:r>
    </w:p>
    <w:p w14:paraId="1AFD8CF4" w14:textId="77777777" w:rsidR="00943E22" w:rsidRDefault="00943E22" w:rsidP="00971400">
      <w:pPr>
        <w:pStyle w:val="Body"/>
      </w:pPr>
      <w:r>
        <w:t>These arrangements apply to all HBC providers funded to deliver a daily average occupancy of more than 20 targets within each division from the listed in-scope activities.</w:t>
      </w:r>
    </w:p>
    <w:p w14:paraId="0C15255D" w14:textId="77777777" w:rsidR="00943E22" w:rsidRPr="00C31227" w:rsidRDefault="00943E22" w:rsidP="008A702B">
      <w:pPr>
        <w:pStyle w:val="Heading4"/>
      </w:pPr>
      <w:r w:rsidRPr="00C31227">
        <w:t>Which HBC providers are NOT in scope?</w:t>
      </w:r>
    </w:p>
    <w:p w14:paraId="22472785" w14:textId="77777777" w:rsidR="00943E22" w:rsidRDefault="00943E22" w:rsidP="00971400">
      <w:pPr>
        <w:pStyle w:val="Body"/>
      </w:pPr>
      <w:r>
        <w:t xml:space="preserve">HBC providers funded to deliver a daily average occupancy of 20 or fewer targets by division are not in scope for this policy. </w:t>
      </w:r>
    </w:p>
    <w:p w14:paraId="5B463A61" w14:textId="77777777" w:rsidR="00943E22" w:rsidRDefault="00943E22" w:rsidP="00971400">
      <w:pPr>
        <w:pStyle w:val="Body"/>
      </w:pPr>
      <w:r>
        <w:t>Aboriginal Community Controlled Organisations funded through activity 31413 (HBC Therapeutic Foster Care to deliver therapeutic support) are not in scope for this policy.</w:t>
      </w:r>
      <w:r w:rsidRPr="00C31227">
        <w:t xml:space="preserve"> </w:t>
      </w:r>
    </w:p>
    <w:p w14:paraId="303A7D05" w14:textId="03DB138A" w:rsidR="00943E22" w:rsidRDefault="00943E22" w:rsidP="00971400">
      <w:pPr>
        <w:pStyle w:val="Body"/>
      </w:pPr>
      <w:r>
        <w:t xml:space="preserve">HBC providers out of scope of this policy will continue to be monitored against the performance measures and targets as specified in their service agreement, which may result in target adjustment on a </w:t>
      </w:r>
      <w:r w:rsidR="00F90333">
        <w:t>case-by-case</w:t>
      </w:r>
      <w:r>
        <w:t xml:space="preserve"> basis.</w:t>
      </w:r>
    </w:p>
    <w:p w14:paraId="0A98FDEC" w14:textId="77777777" w:rsidR="00BB60D1" w:rsidRDefault="00BB60D1" w:rsidP="00684B22">
      <w:pPr>
        <w:pStyle w:val="Heading1"/>
        <w:numPr>
          <w:ilvl w:val="0"/>
          <w:numId w:val="9"/>
        </w:numPr>
        <w:ind w:left="680" w:hanging="720"/>
      </w:pPr>
      <w:bookmarkStart w:id="6" w:name="_Toc97711968"/>
      <w:r>
        <w:lastRenderedPageBreak/>
        <w:t>Online tracking of service delivery</w:t>
      </w:r>
      <w:bookmarkEnd w:id="6"/>
      <w:r>
        <w:t xml:space="preserve"> </w:t>
      </w:r>
    </w:p>
    <w:p w14:paraId="2A520D05" w14:textId="77777777" w:rsidR="00BB60D1" w:rsidRDefault="00BB60D1" w:rsidP="00BB60D1">
      <w:pPr>
        <w:pStyle w:val="Heading2"/>
      </w:pPr>
      <w:bookmarkStart w:id="7" w:name="_Toc97711969"/>
      <w:r>
        <w:t>What is the online Service Delivery Tracking (SDT) tool?</w:t>
      </w:r>
      <w:bookmarkEnd w:id="7"/>
    </w:p>
    <w:p w14:paraId="28CA3AD4" w14:textId="77777777" w:rsidR="00BB60D1" w:rsidRDefault="00BB60D1" w:rsidP="00971400">
      <w:pPr>
        <w:pStyle w:val="Body"/>
      </w:pPr>
      <w:r>
        <w:t xml:space="preserve">SDT is the mechanism to monitor performance. Funded agencies provide monthly performance data against funded targets via the online SDT tool.  All reporting for a particular month must be completed by the tenth day of the following month. For example, June acquittal data will need to be submitted by 10 July. </w:t>
      </w:r>
    </w:p>
    <w:p w14:paraId="713FB1D3" w14:textId="77777777" w:rsidR="00BB60D1" w:rsidRDefault="00BB60D1" w:rsidP="00971400">
      <w:pPr>
        <w:pStyle w:val="Body"/>
      </w:pPr>
      <w:r>
        <w:t>The SDT tool acquittal templates are available for updating and submission from the first day of the month following the reporting month. For example, the June acquittal template will be available from 1 July.</w:t>
      </w:r>
    </w:p>
    <w:p w14:paraId="3395F18D" w14:textId="77777777" w:rsidR="00BB60D1" w:rsidRDefault="00BB60D1" w:rsidP="00684B22">
      <w:pPr>
        <w:pStyle w:val="Heading1"/>
        <w:numPr>
          <w:ilvl w:val="0"/>
          <w:numId w:val="9"/>
        </w:numPr>
        <w:ind w:left="680" w:hanging="720"/>
      </w:pPr>
      <w:bookmarkStart w:id="8" w:name="_Toc97711970"/>
      <w:r>
        <w:t>Measuring Performance</w:t>
      </w:r>
      <w:bookmarkEnd w:id="8"/>
    </w:p>
    <w:p w14:paraId="1A60787B" w14:textId="77777777" w:rsidR="00BB60D1" w:rsidRDefault="00BB60D1" w:rsidP="00BB60D1">
      <w:pPr>
        <w:pStyle w:val="Heading2"/>
      </w:pPr>
      <w:bookmarkStart w:id="9" w:name="_Toc97711971"/>
      <w:r>
        <w:t>How is performance measured?</w:t>
      </w:r>
      <w:bookmarkEnd w:id="9"/>
      <w:r>
        <w:t xml:space="preserve"> </w:t>
      </w:r>
    </w:p>
    <w:p w14:paraId="01FABA63" w14:textId="77777777" w:rsidR="00BB60D1" w:rsidRDefault="00BB60D1" w:rsidP="00BB60D1">
      <w:pPr>
        <w:pStyle w:val="DHHSbody"/>
      </w:pPr>
      <w:r>
        <w:t xml:space="preserve">The Service Agreement between HBC providers and the department incorporates the performance </w:t>
      </w:r>
      <w:r w:rsidRPr="00971400">
        <w:rPr>
          <w:rStyle w:val="BodyChar"/>
        </w:rPr>
        <w:t>measure of daily average occupancy (DAO).  Figure 1 shows the formula for calculating the DAO.</w:t>
      </w:r>
      <w:r>
        <w:t xml:space="preserve">     </w:t>
      </w:r>
    </w:p>
    <w:p w14:paraId="0ACD282F" w14:textId="77777777" w:rsidR="00BB60D1" w:rsidRDefault="00BB60D1" w:rsidP="008A702B">
      <w:pPr>
        <w:pStyle w:val="Tablecaption"/>
      </w:pPr>
      <w:r>
        <w:t xml:space="preserve">Figure 1: Calculating DAO for agency reporting in the SDT </w:t>
      </w:r>
      <w:proofErr w:type="gramStart"/>
      <w:r>
        <w:t>tool</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3077"/>
      </w:tblGrid>
      <w:tr w:rsidR="00BB60D1" w14:paraId="467EF37E" w14:textId="77777777" w:rsidTr="00B56F63">
        <w:trPr>
          <w:trHeight w:val="2200"/>
        </w:trPr>
        <w:tc>
          <w:tcPr>
            <w:tcW w:w="2353" w:type="dxa"/>
            <w:shd w:val="clear" w:color="auto" w:fill="auto"/>
          </w:tcPr>
          <w:p w14:paraId="2732EE01" w14:textId="77777777" w:rsidR="00BB60D1" w:rsidRPr="00971400" w:rsidRDefault="00BB60D1" w:rsidP="00971400">
            <w:pPr>
              <w:pStyle w:val="Body"/>
              <w:rPr>
                <w:b/>
                <w:bCs/>
              </w:rPr>
            </w:pPr>
            <w:r w:rsidRPr="00971400">
              <w:rPr>
                <w:b/>
                <w:bCs/>
              </w:rPr>
              <w:t>DAO =</w:t>
            </w:r>
          </w:p>
        </w:tc>
        <w:tc>
          <w:tcPr>
            <w:tcW w:w="3077" w:type="dxa"/>
            <w:shd w:val="clear" w:color="auto" w:fill="auto"/>
          </w:tcPr>
          <w:p w14:paraId="67E16BB6" w14:textId="77777777" w:rsidR="00BB60D1" w:rsidRDefault="00BB60D1" w:rsidP="00971400">
            <w:pPr>
              <w:pStyle w:val="Body"/>
              <w:jc w:val="center"/>
            </w:pPr>
            <w:r w:rsidRPr="006F6527">
              <w:t xml:space="preserve">Total delivered placement days in reporting </w:t>
            </w:r>
            <w:proofErr w:type="gramStart"/>
            <w:r w:rsidRPr="006F6527">
              <w:t>period</w:t>
            </w:r>
            <w:proofErr w:type="gramEnd"/>
          </w:p>
          <w:p w14:paraId="4DEE0CAB" w14:textId="77777777" w:rsidR="00BB60D1" w:rsidRDefault="00BB60D1" w:rsidP="00971400">
            <w:pPr>
              <w:pStyle w:val="Body"/>
              <w:jc w:val="center"/>
            </w:pPr>
            <w:r w:rsidRPr="00A12385">
              <w:rPr>
                <w:b/>
                <w:u w:val="single"/>
              </w:rPr>
              <w:t>divided by</w:t>
            </w:r>
          </w:p>
          <w:p w14:paraId="4068D702" w14:textId="77777777" w:rsidR="00BB60D1" w:rsidRPr="006F6527" w:rsidRDefault="00BB60D1" w:rsidP="00971400">
            <w:pPr>
              <w:pStyle w:val="Body"/>
              <w:jc w:val="center"/>
            </w:pPr>
            <w:r w:rsidRPr="006F6527">
              <w:t>Number of days within the reporting period</w:t>
            </w:r>
          </w:p>
          <w:p w14:paraId="110D4E3B" w14:textId="77777777" w:rsidR="00BB60D1" w:rsidRDefault="00BB60D1" w:rsidP="00B56F63">
            <w:pPr>
              <w:pStyle w:val="DHHStablecaption"/>
            </w:pPr>
          </w:p>
        </w:tc>
      </w:tr>
    </w:tbl>
    <w:p w14:paraId="2C7F156F" w14:textId="77777777" w:rsidR="001A466F" w:rsidRDefault="001A466F" w:rsidP="001A466F">
      <w:pPr>
        <w:pStyle w:val="Heading2"/>
      </w:pPr>
      <w:bookmarkStart w:id="10" w:name="_Toc97711972"/>
      <w:r>
        <w:t>What are delivered targets?</w:t>
      </w:r>
      <w:bookmarkEnd w:id="10"/>
    </w:p>
    <w:p w14:paraId="2266081C" w14:textId="77777777" w:rsidR="001A466F" w:rsidRDefault="001A466F" w:rsidP="00971400">
      <w:pPr>
        <w:pStyle w:val="Body"/>
      </w:pPr>
      <w:r>
        <w:t xml:space="preserve">A fully delivered target equals 365 placement days or 366 placement days in a leap year. </w:t>
      </w:r>
    </w:p>
    <w:p w14:paraId="3F51EA45" w14:textId="77777777" w:rsidR="001A466F" w:rsidRDefault="001A466F" w:rsidP="00971400">
      <w:pPr>
        <w:pStyle w:val="Body"/>
      </w:pPr>
      <w:r>
        <w:t xml:space="preserve">The 85 per cent minimum performance threshold is met with 310.2 placement days (311.1 placement days in a leap year) being delivered per funded target. </w:t>
      </w:r>
    </w:p>
    <w:p w14:paraId="44953993" w14:textId="77777777" w:rsidR="001A466F" w:rsidRDefault="001A466F" w:rsidP="00971400">
      <w:pPr>
        <w:pStyle w:val="Body"/>
      </w:pPr>
      <w:r>
        <w:t>The 90 per cent performance threshold is met with 328.5 placement days (329.4 placement days in a leap year) being delivered per funded target.</w:t>
      </w:r>
    </w:p>
    <w:p w14:paraId="2BCE9472" w14:textId="5FEF0683" w:rsidR="001A466F" w:rsidRDefault="001A466F" w:rsidP="00971400">
      <w:pPr>
        <w:pStyle w:val="Body"/>
      </w:pPr>
      <w:r>
        <w:t>All placement days delivered and counted must be with an approved carer.  Approved carers are accredited through a registered community service organisation</w:t>
      </w:r>
      <w:r w:rsidR="00E61773">
        <w:t xml:space="preserve"> or Aboriginal Community Controlled Organisation</w:t>
      </w:r>
      <w:r>
        <w:t>, are registered on the department’s Carer Register, have their details recorded in CRISSP and are in receipt of a carer reimbursement.</w:t>
      </w:r>
    </w:p>
    <w:p w14:paraId="2F219D4D" w14:textId="77777777" w:rsidR="001A466F" w:rsidRDefault="001A466F" w:rsidP="00971400">
      <w:pPr>
        <w:pStyle w:val="Body"/>
      </w:pPr>
      <w:r>
        <w:t xml:space="preserve">Note, the count of targets and placements are NOT the same thing. </w:t>
      </w:r>
    </w:p>
    <w:p w14:paraId="379C5C2E" w14:textId="77777777" w:rsidR="001A466F" w:rsidRDefault="001A466F" w:rsidP="001A466F">
      <w:pPr>
        <w:pStyle w:val="Heading2"/>
      </w:pPr>
      <w:bookmarkStart w:id="11" w:name="_Toc97711973"/>
      <w:r>
        <w:lastRenderedPageBreak/>
        <w:t>How is performance data captured?</w:t>
      </w:r>
      <w:bookmarkEnd w:id="11"/>
      <w:r>
        <w:t xml:space="preserve"> </w:t>
      </w:r>
    </w:p>
    <w:p w14:paraId="048915F3" w14:textId="77777777" w:rsidR="001A466F" w:rsidRDefault="001A466F" w:rsidP="00971400">
      <w:pPr>
        <w:pStyle w:val="Body"/>
      </w:pPr>
      <w:r>
        <w:t>All performance data is entered through the SDT tool located on the Funded Agency Channel.</w:t>
      </w:r>
    </w:p>
    <w:p w14:paraId="34804EA6" w14:textId="77777777" w:rsidR="001A466F" w:rsidRDefault="001A466F" w:rsidP="001A466F">
      <w:pPr>
        <w:pStyle w:val="Heading2"/>
      </w:pPr>
      <w:bookmarkStart w:id="12" w:name="_Toc97711974"/>
      <w:r>
        <w:t>How are funded targets and delivered targets measured?</w:t>
      </w:r>
      <w:bookmarkEnd w:id="12"/>
    </w:p>
    <w:p w14:paraId="39561098" w14:textId="3F22305E" w:rsidR="001A466F" w:rsidRDefault="001A466F" w:rsidP="00971400">
      <w:pPr>
        <w:pStyle w:val="Body"/>
      </w:pPr>
      <w:r>
        <w:t xml:space="preserve">HBC provider performance is measured by comparing the total funded targets with the targets </w:t>
      </w:r>
      <w:proofErr w:type="gramStart"/>
      <w:r>
        <w:t>actually delivered</w:t>
      </w:r>
      <w:proofErr w:type="gramEnd"/>
      <w:r>
        <w:t xml:space="preserve"> over </w:t>
      </w:r>
      <w:r w:rsidR="00F84749">
        <w:t>the review period</w:t>
      </w:r>
      <w:r w:rsidR="004C22FD">
        <w:t xml:space="preserve">, from </w:t>
      </w:r>
      <w:r w:rsidR="00BE30A6">
        <w:t>1 April to 30 March</w:t>
      </w:r>
      <w:r>
        <w:t xml:space="preserve">. Delivered targets will be measured by </w:t>
      </w:r>
      <w:proofErr w:type="gramStart"/>
      <w:r>
        <w:t>a</w:t>
      </w:r>
      <w:proofErr w:type="gramEnd"/>
      <w:r>
        <w:t xml:space="preserve"> HBC provider’s reported DAO.</w:t>
      </w:r>
    </w:p>
    <w:p w14:paraId="35C76C57" w14:textId="77777777" w:rsidR="001A466F" w:rsidRDefault="001A466F" w:rsidP="00971400">
      <w:pPr>
        <w:pStyle w:val="Body"/>
      </w:pPr>
      <w:r>
        <w:t xml:space="preserve">Funded targets are the units by activity as specified in the HBC provider's service agreement and recorded in SAMS. </w:t>
      </w:r>
    </w:p>
    <w:p w14:paraId="3E940645" w14:textId="77777777" w:rsidR="001A466F" w:rsidRDefault="001A466F" w:rsidP="001A466F">
      <w:pPr>
        <w:pStyle w:val="Heading2"/>
      </w:pPr>
      <w:bookmarkStart w:id="13" w:name="_Toc97711975"/>
      <w:r>
        <w:t>How is the performance of multi-divisional HBC providers measured?</w:t>
      </w:r>
      <w:bookmarkEnd w:id="13"/>
    </w:p>
    <w:p w14:paraId="4FC1558A" w14:textId="0FAC81E4" w:rsidR="001A466F" w:rsidRDefault="001A466F" w:rsidP="00971400">
      <w:pPr>
        <w:pStyle w:val="Body"/>
      </w:pPr>
      <w:r>
        <w:t>HBC providers delivering services across two or more divisions will be assessed on performance</w:t>
      </w:r>
      <w:r w:rsidR="00BE30A6">
        <w:t xml:space="preserve"> during the review </w:t>
      </w:r>
      <w:r w:rsidR="004C22FD">
        <w:t>period</w:t>
      </w:r>
      <w:r>
        <w:t xml:space="preserve"> as it relates to each division, rather than on a </w:t>
      </w:r>
      <w:proofErr w:type="spellStart"/>
      <w:r>
        <w:t>statewide</w:t>
      </w:r>
      <w:proofErr w:type="spellEnd"/>
      <w:r>
        <w:t xml:space="preserve"> basis.</w:t>
      </w:r>
    </w:p>
    <w:p w14:paraId="46FB6C1E" w14:textId="5A903C2F" w:rsidR="001A466F" w:rsidRDefault="001A466F" w:rsidP="00971400">
      <w:pPr>
        <w:pStyle w:val="Body"/>
      </w:pPr>
      <w:r>
        <w:t xml:space="preserve">Performance is measured by assessing a HBC provider’s DAO for the </w:t>
      </w:r>
      <w:r w:rsidR="00BE30A6">
        <w:t xml:space="preserve">review </w:t>
      </w:r>
      <w:r w:rsidR="002358DB">
        <w:t>period</w:t>
      </w:r>
      <w:r>
        <w:t>, compared to the provider’s funded targets at a divisional level for that year.</w:t>
      </w:r>
    </w:p>
    <w:p w14:paraId="366FA4B3" w14:textId="77777777" w:rsidR="001A466F" w:rsidRDefault="001A466F" w:rsidP="001A466F">
      <w:pPr>
        <w:pStyle w:val="Heading2"/>
      </w:pPr>
      <w:bookmarkStart w:id="14" w:name="_Toc97711976"/>
      <w:r>
        <w:t>How is performance assessed?</w:t>
      </w:r>
      <w:bookmarkEnd w:id="14"/>
      <w:r>
        <w:t xml:space="preserve"> </w:t>
      </w:r>
    </w:p>
    <w:p w14:paraId="740E2CC8" w14:textId="77777777" w:rsidR="001A466F" w:rsidRDefault="001A466F" w:rsidP="00971400">
      <w:pPr>
        <w:pStyle w:val="Body"/>
      </w:pPr>
      <w:r>
        <w:t xml:space="preserve">Performance is assessed on an activity basis at a divisional level. Any action taken in relation to over or under-performance also occurs on an activity basis at a divisional level. </w:t>
      </w:r>
    </w:p>
    <w:p w14:paraId="5ED8F8FA" w14:textId="77777777" w:rsidR="001A466F" w:rsidRDefault="001A466F" w:rsidP="001A466F">
      <w:pPr>
        <w:pStyle w:val="Heading2"/>
      </w:pPr>
      <w:bookmarkStart w:id="15" w:name="_Toc97711977"/>
      <w:r>
        <w:t>When is performance measured?</w:t>
      </w:r>
      <w:bookmarkEnd w:id="15"/>
    </w:p>
    <w:p w14:paraId="44D486A1" w14:textId="44C944C5" w:rsidR="001A466F" w:rsidRDefault="001A466F" w:rsidP="00971400">
      <w:pPr>
        <w:pStyle w:val="Body"/>
      </w:pPr>
      <w:r>
        <w:t xml:space="preserve">For the purposes of monitoring and reviewing performance, the DAO for a </w:t>
      </w:r>
      <w:r w:rsidR="00BE30A6">
        <w:t xml:space="preserve">review </w:t>
      </w:r>
      <w:r w:rsidR="00A2376A">
        <w:t>period</w:t>
      </w:r>
      <w:r>
        <w:t xml:space="preserve"> will be compared to </w:t>
      </w:r>
      <w:proofErr w:type="gramStart"/>
      <w:r>
        <w:t>a</w:t>
      </w:r>
      <w:proofErr w:type="gramEnd"/>
      <w:r>
        <w:t xml:space="preserve"> HBC provider’s total funded targets for each activity. </w:t>
      </w:r>
    </w:p>
    <w:p w14:paraId="283DB956" w14:textId="77777777" w:rsidR="001A466F" w:rsidRDefault="001A466F" w:rsidP="001A466F">
      <w:pPr>
        <w:pStyle w:val="Heading2"/>
      </w:pPr>
      <w:bookmarkStart w:id="16" w:name="_Toc97711978"/>
      <w:r>
        <w:t>What systems are used to record performance?</w:t>
      </w:r>
      <w:bookmarkEnd w:id="16"/>
    </w:p>
    <w:p w14:paraId="62FBF2D4" w14:textId="77777777" w:rsidR="001A466F" w:rsidRDefault="001A466F" w:rsidP="00971400">
      <w:pPr>
        <w:pStyle w:val="Body"/>
      </w:pPr>
      <w:proofErr w:type="gramStart"/>
      <w:r>
        <w:t>A</w:t>
      </w:r>
      <w:proofErr w:type="gramEnd"/>
      <w:r>
        <w:t xml:space="preserve"> HBC provider’s DAO will be reported on a monthly basis through the SDT tool. </w:t>
      </w:r>
    </w:p>
    <w:p w14:paraId="64CA4344" w14:textId="77777777" w:rsidR="001A466F" w:rsidRDefault="001A466F" w:rsidP="001A466F">
      <w:pPr>
        <w:pStyle w:val="Heading2"/>
      </w:pPr>
      <w:bookmarkStart w:id="17" w:name="_Toc97711979"/>
      <w:r>
        <w:t>What is under-performance?</w:t>
      </w:r>
      <w:bookmarkEnd w:id="17"/>
    </w:p>
    <w:p w14:paraId="3E83801D" w14:textId="7B8E8BCD" w:rsidR="001A466F" w:rsidRDefault="001A466F" w:rsidP="00971400">
      <w:pPr>
        <w:pStyle w:val="Body"/>
      </w:pPr>
      <w:r>
        <w:t xml:space="preserve">Whilst service providers are expected to fully deliver against the total funded HBC activity targets, under-performance is the difference between the number of targets </w:t>
      </w:r>
      <w:proofErr w:type="gramStart"/>
      <w:r>
        <w:t>a</w:t>
      </w:r>
      <w:proofErr w:type="gramEnd"/>
      <w:r>
        <w:t xml:space="preserve"> HBC provider is required to deliver according to the minimum threshold of 85 or 90 per cent performance for a specified activity within a division and the provider’s actual performance as indicated by the DAO for </w:t>
      </w:r>
      <w:r w:rsidR="00136EB1">
        <w:t xml:space="preserve">a </w:t>
      </w:r>
      <w:r w:rsidR="006C768B">
        <w:t>review</w:t>
      </w:r>
      <w:r>
        <w:t xml:space="preserve"> </w:t>
      </w:r>
      <w:r w:rsidR="00136EB1">
        <w:t>period</w:t>
      </w:r>
      <w:r>
        <w:t xml:space="preserve">. </w:t>
      </w:r>
    </w:p>
    <w:p w14:paraId="10F75BEB" w14:textId="751198F1" w:rsidR="006C768B" w:rsidRDefault="006C768B" w:rsidP="006C768B">
      <w:pPr>
        <w:pStyle w:val="Bodyaftertablefigure"/>
      </w:pPr>
      <w:r>
        <w:t>Under performance is when the annual performance is less than the required threshold performance</w:t>
      </w:r>
      <w:r w:rsidR="00136EB1">
        <w:t>.</w:t>
      </w:r>
    </w:p>
    <w:p w14:paraId="55D6AE67" w14:textId="26963D4C" w:rsidR="001A466F" w:rsidRDefault="001A466F" w:rsidP="00971400">
      <w:pPr>
        <w:pStyle w:val="Body"/>
      </w:pPr>
      <w:r>
        <w:t xml:space="preserve">Under-performance is expressed as a percentage of the sum of 100 per cent of funded targets for an activity over a </w:t>
      </w:r>
      <w:r w:rsidR="006C768B">
        <w:t>review</w:t>
      </w:r>
      <w:r>
        <w:t xml:space="preserve"> year and compared to the minimum 85 or 90 percent required performance threshold.</w:t>
      </w:r>
    </w:p>
    <w:p w14:paraId="27ED8567" w14:textId="2B802898" w:rsidR="001A466F" w:rsidRDefault="001A466F" w:rsidP="00971400">
      <w:pPr>
        <w:pStyle w:val="Body"/>
      </w:pPr>
      <w:r w:rsidRPr="00971400">
        <w:rPr>
          <w:rStyle w:val="BodyChar"/>
        </w:rPr>
        <w:lastRenderedPageBreak/>
        <w:t xml:space="preserve">The department acknowledges that delivery of 100 per cent </w:t>
      </w:r>
      <w:r w:rsidR="00E61773">
        <w:rPr>
          <w:rStyle w:val="BodyChar"/>
        </w:rPr>
        <w:t xml:space="preserve">targets </w:t>
      </w:r>
      <w:r w:rsidRPr="00971400">
        <w:rPr>
          <w:rStyle w:val="BodyChar"/>
        </w:rPr>
        <w:t>is reliant on factors not fully in HBC provider control, including but not limited to community willingness to become carers and department referrals. As such the department accepts a minimum performance outlined in section 2. See section</w:t>
      </w:r>
      <w:r w:rsidR="00D16E93">
        <w:rPr>
          <w:rStyle w:val="BodyChar"/>
        </w:rPr>
        <w:t xml:space="preserve"> 6</w:t>
      </w:r>
      <w:r w:rsidRPr="00971400">
        <w:rPr>
          <w:rStyle w:val="BodyChar"/>
        </w:rPr>
        <w:t xml:space="preserve"> (Exceptional Circumstances</w:t>
      </w:r>
      <w:r>
        <w:t xml:space="preserve">) for further details on target adjustment. </w:t>
      </w:r>
    </w:p>
    <w:p w14:paraId="150D1CBB" w14:textId="77777777" w:rsidR="001A466F" w:rsidRDefault="001A466F" w:rsidP="001A466F">
      <w:pPr>
        <w:pStyle w:val="Heading3"/>
      </w:pPr>
      <w:r>
        <w:t>Formula for determining under-</w:t>
      </w:r>
      <w:proofErr w:type="gramStart"/>
      <w:r>
        <w:t>performance</w:t>
      </w:r>
      <w:proofErr w:type="gramEnd"/>
    </w:p>
    <w:p w14:paraId="3313F884" w14:textId="676743CE" w:rsidR="001A466F" w:rsidRDefault="001A466F" w:rsidP="00971400">
      <w:pPr>
        <w:pStyle w:val="Body"/>
      </w:pPr>
      <w:r>
        <w:t>The S</w:t>
      </w:r>
      <w:r w:rsidR="00E61773">
        <w:t>DT</w:t>
      </w:r>
      <w:r>
        <w:t xml:space="preserve"> tool, completed every month, will be used to calculate the target and performance relating to the annual daily average number of children, in each funded activity, </w:t>
      </w:r>
    </w:p>
    <w:p w14:paraId="2031BDD7" w14:textId="77777777" w:rsidR="001A466F" w:rsidRDefault="001A466F" w:rsidP="00971400">
      <w:pPr>
        <w:pStyle w:val="Body"/>
      </w:pPr>
      <w:r>
        <w:t>The variance between Performance and target will be calculated by:</w:t>
      </w:r>
    </w:p>
    <w:p w14:paraId="2F4CAB70" w14:textId="77777777" w:rsidR="001A466F" w:rsidRDefault="001A466F" w:rsidP="00971400">
      <w:pPr>
        <w:pStyle w:val="Bullet1"/>
      </w:pPr>
      <w:bookmarkStart w:id="18" w:name="_Hlk96418621"/>
      <w:r>
        <w:t>daily average annual performance minus daily average annual target</w:t>
      </w:r>
    </w:p>
    <w:bookmarkEnd w:id="18"/>
    <w:p w14:paraId="2B59A25C" w14:textId="77777777" w:rsidR="001A466F" w:rsidRDefault="001A466F" w:rsidP="00971400">
      <w:pPr>
        <w:pStyle w:val="Bodyafterbullets"/>
      </w:pPr>
      <w:r>
        <w:t xml:space="preserve">Given that the minimum required performance threshold is 85 per cent (or 90 per cent), if the variance calculated above is more than 15 per cent (or more than 10 per cent), this will be considered under-performance. </w:t>
      </w:r>
    </w:p>
    <w:p w14:paraId="28B65F84" w14:textId="461ACD1E" w:rsidR="001A466F" w:rsidRDefault="001A466F" w:rsidP="00971400">
      <w:pPr>
        <w:pStyle w:val="Body"/>
      </w:pPr>
      <w:r>
        <w:t xml:space="preserve">Example: a service provider is funded for </w:t>
      </w:r>
      <w:proofErr w:type="gramStart"/>
      <w:r>
        <w:t>a</w:t>
      </w:r>
      <w:proofErr w:type="gramEnd"/>
      <w:r>
        <w:t xml:space="preserve"> HBC General target of 60. Given the minimum threshold of 85%, the agency will need to achieve an annual average result 51 ((60x 85)/100 = 51). If a service provider delivered a DAO of 48.8 for the </w:t>
      </w:r>
      <w:r w:rsidR="006C768B">
        <w:t>review</w:t>
      </w:r>
      <w:r>
        <w:t xml:space="preserve"> </w:t>
      </w:r>
      <w:r w:rsidR="00136EB1">
        <w:t>period</w:t>
      </w:r>
      <w:r>
        <w:t xml:space="preserve">, this would equate to an equivalent of 2.2 targets (51 minus 48.6) less than the minimum required threshold required for this activity.  </w:t>
      </w:r>
    </w:p>
    <w:p w14:paraId="486226E3" w14:textId="37B3D0BF" w:rsidR="001A466F" w:rsidRDefault="001A466F" w:rsidP="008A702B">
      <w:pPr>
        <w:pStyle w:val="Tablecaption"/>
      </w:pPr>
      <w:proofErr w:type="gramStart"/>
      <w:r>
        <w:t>.Figure</w:t>
      </w:r>
      <w:proofErr w:type="gramEnd"/>
      <w:r>
        <w:t xml:space="preserve"> 2 Illustrates DAO in under performance </w:t>
      </w:r>
    </w:p>
    <w:tbl>
      <w:tblPr>
        <w:tblW w:w="7283" w:type="dxa"/>
        <w:tblInd w:w="108" w:type="dxa"/>
        <w:tblLook w:val="0000" w:firstRow="0" w:lastRow="0" w:firstColumn="0" w:lastColumn="0" w:noHBand="0" w:noVBand="0"/>
      </w:tblPr>
      <w:tblGrid>
        <w:gridCol w:w="2211"/>
        <w:gridCol w:w="1669"/>
        <w:gridCol w:w="1474"/>
        <w:gridCol w:w="1929"/>
      </w:tblGrid>
      <w:tr w:rsidR="001A466F" w:rsidRPr="00032BC9" w14:paraId="723F5E52" w14:textId="77777777" w:rsidTr="00B56F63">
        <w:trPr>
          <w:trHeight w:val="300"/>
        </w:trPr>
        <w:tc>
          <w:tcPr>
            <w:tcW w:w="2211" w:type="dxa"/>
            <w:tcBorders>
              <w:top w:val="nil"/>
              <w:left w:val="nil"/>
              <w:bottom w:val="single" w:sz="4" w:space="0" w:color="auto"/>
              <w:right w:val="nil"/>
            </w:tcBorders>
            <w:noWrap/>
            <w:vAlign w:val="bottom"/>
          </w:tcPr>
          <w:p w14:paraId="787AA568" w14:textId="77777777" w:rsidR="001A466F" w:rsidRPr="00032BC9" w:rsidRDefault="001A466F" w:rsidP="00B56F63">
            <w:pPr>
              <w:pStyle w:val="DHHStabletext"/>
              <w:rPr>
                <w:rFonts w:eastAsia="MS Mincho"/>
                <w:lang w:eastAsia="ja-JP"/>
              </w:rPr>
            </w:pPr>
          </w:p>
        </w:tc>
        <w:tc>
          <w:tcPr>
            <w:tcW w:w="5072" w:type="dxa"/>
            <w:gridSpan w:val="3"/>
            <w:tcBorders>
              <w:top w:val="nil"/>
              <w:left w:val="single" w:sz="4" w:space="0" w:color="auto"/>
              <w:bottom w:val="single" w:sz="4" w:space="0" w:color="auto"/>
              <w:right w:val="single" w:sz="4" w:space="0" w:color="auto"/>
            </w:tcBorders>
            <w:shd w:val="clear" w:color="auto" w:fill="BFBFBF"/>
            <w:noWrap/>
            <w:vAlign w:val="bottom"/>
          </w:tcPr>
          <w:p w14:paraId="142889E9" w14:textId="77777777" w:rsidR="001A466F" w:rsidRPr="00A06D8B" w:rsidRDefault="001A466F" w:rsidP="00210552">
            <w:pPr>
              <w:pStyle w:val="Tablecolhead"/>
              <w:jc w:val="center"/>
              <w:rPr>
                <w:rFonts w:eastAsia="MS Mincho"/>
                <w:iCs/>
                <w:lang w:eastAsia="ja-JP"/>
              </w:rPr>
            </w:pPr>
            <w:r w:rsidRPr="00C31227">
              <w:rPr>
                <w:rFonts w:eastAsia="MS Mincho"/>
                <w:lang w:eastAsia="ja-JP"/>
              </w:rPr>
              <w:t>HBC General</w:t>
            </w:r>
          </w:p>
        </w:tc>
      </w:tr>
      <w:tr w:rsidR="001A466F" w:rsidRPr="00032BC9" w14:paraId="6A5915F8" w14:textId="77777777" w:rsidTr="00B56F63">
        <w:trPr>
          <w:trHeight w:val="300"/>
        </w:trPr>
        <w:tc>
          <w:tcPr>
            <w:tcW w:w="2211" w:type="dxa"/>
            <w:tcBorders>
              <w:top w:val="nil"/>
              <w:left w:val="nil"/>
              <w:bottom w:val="single" w:sz="4" w:space="0" w:color="auto"/>
              <w:right w:val="nil"/>
            </w:tcBorders>
            <w:noWrap/>
            <w:vAlign w:val="bottom"/>
          </w:tcPr>
          <w:p w14:paraId="04127637" w14:textId="77777777" w:rsidR="001A466F" w:rsidRPr="00032BC9" w:rsidRDefault="001A466F" w:rsidP="00B56F63">
            <w:pPr>
              <w:pStyle w:val="DHHStabletext"/>
              <w:rPr>
                <w:rFonts w:eastAsia="MS Mincho"/>
                <w:lang w:eastAsia="ja-JP"/>
              </w:rPr>
            </w:pPr>
          </w:p>
        </w:tc>
        <w:tc>
          <w:tcPr>
            <w:tcW w:w="5072" w:type="dxa"/>
            <w:gridSpan w:val="3"/>
            <w:tcBorders>
              <w:top w:val="nil"/>
              <w:left w:val="single" w:sz="4" w:space="0" w:color="auto"/>
              <w:bottom w:val="single" w:sz="4" w:space="0" w:color="auto"/>
              <w:right w:val="single" w:sz="4" w:space="0" w:color="auto"/>
            </w:tcBorders>
            <w:shd w:val="clear" w:color="auto" w:fill="BFBFBF"/>
            <w:noWrap/>
            <w:vAlign w:val="bottom"/>
          </w:tcPr>
          <w:p w14:paraId="534DCA5C" w14:textId="77777777" w:rsidR="001A466F" w:rsidRDefault="001A466F" w:rsidP="00210552">
            <w:pPr>
              <w:pStyle w:val="Tablecolhead"/>
              <w:jc w:val="center"/>
              <w:rPr>
                <w:rFonts w:eastAsia="MS Mincho"/>
                <w:lang w:eastAsia="ja-JP"/>
              </w:rPr>
            </w:pPr>
            <w:r>
              <w:rPr>
                <w:rFonts w:eastAsia="MS Mincho"/>
                <w:lang w:eastAsia="ja-JP"/>
              </w:rPr>
              <w:t>31214</w:t>
            </w:r>
          </w:p>
        </w:tc>
      </w:tr>
      <w:tr w:rsidR="001A466F" w:rsidRPr="00032BC9" w14:paraId="5941502B" w14:textId="77777777" w:rsidTr="00B56F63">
        <w:trPr>
          <w:trHeight w:val="300"/>
        </w:trPr>
        <w:tc>
          <w:tcPr>
            <w:tcW w:w="2211" w:type="dxa"/>
            <w:tcBorders>
              <w:top w:val="nil"/>
              <w:left w:val="nil"/>
              <w:bottom w:val="single" w:sz="4" w:space="0" w:color="auto"/>
              <w:right w:val="nil"/>
            </w:tcBorders>
            <w:noWrap/>
            <w:vAlign w:val="bottom"/>
          </w:tcPr>
          <w:p w14:paraId="76ACB02B" w14:textId="77777777" w:rsidR="001A466F" w:rsidRPr="00032BC9" w:rsidRDefault="001A466F" w:rsidP="00B56F63">
            <w:pPr>
              <w:pStyle w:val="DHHStabletext"/>
              <w:rPr>
                <w:rFonts w:eastAsia="MS Mincho"/>
                <w:lang w:eastAsia="ja-JP"/>
              </w:rPr>
            </w:pPr>
          </w:p>
        </w:tc>
        <w:tc>
          <w:tcPr>
            <w:tcW w:w="1669" w:type="dxa"/>
            <w:tcBorders>
              <w:top w:val="nil"/>
              <w:left w:val="single" w:sz="4" w:space="0" w:color="auto"/>
              <w:bottom w:val="single" w:sz="4" w:space="0" w:color="auto"/>
              <w:right w:val="nil"/>
            </w:tcBorders>
            <w:shd w:val="clear" w:color="auto" w:fill="BFBFBF"/>
            <w:noWrap/>
            <w:vAlign w:val="bottom"/>
          </w:tcPr>
          <w:p w14:paraId="59EF6319" w14:textId="77777777" w:rsidR="001A466F" w:rsidRPr="00AC03D9" w:rsidRDefault="001A466F" w:rsidP="00210552">
            <w:pPr>
              <w:pStyle w:val="Tablecolhead"/>
              <w:rPr>
                <w:rFonts w:eastAsia="MS Mincho"/>
                <w:lang w:eastAsia="ja-JP"/>
              </w:rPr>
            </w:pPr>
            <w:r w:rsidRPr="00AC03D9">
              <w:rPr>
                <w:rFonts w:eastAsia="MS Mincho"/>
                <w:lang w:eastAsia="ja-JP"/>
              </w:rPr>
              <w:t>Target</w:t>
            </w:r>
          </w:p>
        </w:tc>
        <w:tc>
          <w:tcPr>
            <w:tcW w:w="1474" w:type="dxa"/>
            <w:tcBorders>
              <w:top w:val="nil"/>
              <w:left w:val="nil"/>
              <w:bottom w:val="single" w:sz="4" w:space="0" w:color="auto"/>
              <w:right w:val="nil"/>
            </w:tcBorders>
            <w:shd w:val="clear" w:color="auto" w:fill="BFBFBF"/>
            <w:noWrap/>
            <w:vAlign w:val="bottom"/>
          </w:tcPr>
          <w:p w14:paraId="4FB98B20" w14:textId="77777777" w:rsidR="001A466F" w:rsidRPr="00AC03D9" w:rsidRDefault="001A466F" w:rsidP="00210552">
            <w:pPr>
              <w:pStyle w:val="Tablecolhead"/>
              <w:rPr>
                <w:rFonts w:eastAsia="MS Mincho"/>
                <w:lang w:eastAsia="ja-JP"/>
              </w:rPr>
            </w:pPr>
            <w:r w:rsidRPr="00AC03D9">
              <w:rPr>
                <w:rFonts w:eastAsia="MS Mincho"/>
                <w:lang w:eastAsia="ja-JP"/>
              </w:rPr>
              <w:t>Actual</w:t>
            </w:r>
          </w:p>
        </w:tc>
        <w:tc>
          <w:tcPr>
            <w:tcW w:w="1929" w:type="dxa"/>
            <w:tcBorders>
              <w:top w:val="nil"/>
              <w:left w:val="nil"/>
              <w:bottom w:val="single" w:sz="4" w:space="0" w:color="auto"/>
              <w:right w:val="single" w:sz="4" w:space="0" w:color="auto"/>
            </w:tcBorders>
            <w:shd w:val="clear" w:color="auto" w:fill="BFBFBF"/>
            <w:noWrap/>
            <w:vAlign w:val="bottom"/>
          </w:tcPr>
          <w:p w14:paraId="1C1B2AB0" w14:textId="77777777" w:rsidR="001A466F" w:rsidRPr="00AC03D9" w:rsidRDefault="001A466F" w:rsidP="00210552">
            <w:pPr>
              <w:pStyle w:val="Tablecolhead"/>
              <w:rPr>
                <w:rFonts w:eastAsia="MS Mincho"/>
                <w:lang w:eastAsia="ja-JP"/>
              </w:rPr>
            </w:pPr>
            <w:r>
              <w:rPr>
                <w:rFonts w:eastAsia="MS Mincho"/>
                <w:lang w:eastAsia="ja-JP"/>
              </w:rPr>
              <w:t>Threshold required (85%)</w:t>
            </w:r>
          </w:p>
        </w:tc>
      </w:tr>
      <w:tr w:rsidR="001A466F" w:rsidRPr="00032BC9" w14:paraId="25A794B0"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39AD5E3C" w14:textId="0D3BD6C3" w:rsidR="001A466F" w:rsidRPr="00AC03D9" w:rsidRDefault="006C768B" w:rsidP="00210552">
            <w:pPr>
              <w:pStyle w:val="Tabletext"/>
              <w:rPr>
                <w:rFonts w:eastAsia="MS Mincho"/>
                <w:lang w:eastAsia="ja-JP"/>
              </w:rPr>
            </w:pPr>
            <w:r>
              <w:rPr>
                <w:rFonts w:eastAsia="MS Mincho"/>
                <w:lang w:eastAsia="ja-JP"/>
              </w:rPr>
              <w:t>April</w:t>
            </w:r>
          </w:p>
        </w:tc>
        <w:tc>
          <w:tcPr>
            <w:tcW w:w="1669" w:type="dxa"/>
            <w:tcBorders>
              <w:top w:val="dotted" w:sz="4" w:space="0" w:color="auto"/>
              <w:left w:val="nil"/>
              <w:bottom w:val="dotted" w:sz="4" w:space="0" w:color="auto"/>
              <w:right w:val="nil"/>
            </w:tcBorders>
            <w:shd w:val="clear" w:color="auto" w:fill="auto"/>
            <w:noWrap/>
            <w:vAlign w:val="bottom"/>
          </w:tcPr>
          <w:p w14:paraId="4B04EAC1" w14:textId="77777777" w:rsidR="001A466F" w:rsidRPr="00032BC9" w:rsidRDefault="001A466F" w:rsidP="00210552">
            <w:pPr>
              <w:pStyle w:val="Tabletext"/>
              <w:rPr>
                <w:rFonts w:eastAsia="MS Mincho"/>
                <w:lang w:eastAsia="ja-JP"/>
              </w:rPr>
            </w:pPr>
            <w:r>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16AEC87B" w14:textId="77777777" w:rsidR="001A466F" w:rsidRPr="00032BC9" w:rsidRDefault="001A466F" w:rsidP="00210552">
            <w:pPr>
              <w:pStyle w:val="Tabletext"/>
              <w:rPr>
                <w:rFonts w:eastAsia="MS Mincho"/>
                <w:lang w:eastAsia="ja-JP"/>
              </w:rPr>
            </w:pPr>
            <w:r>
              <w:rPr>
                <w:rFonts w:cs="Arial"/>
                <w:color w:val="000000"/>
              </w:rPr>
              <w:t>49</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4A4DCC68" w14:textId="77777777" w:rsidR="001A466F" w:rsidRPr="00032BC9" w:rsidRDefault="001A466F" w:rsidP="00210552">
            <w:pPr>
              <w:pStyle w:val="Tabletext"/>
              <w:rPr>
                <w:rFonts w:eastAsia="MS Mincho"/>
                <w:lang w:eastAsia="ja-JP"/>
              </w:rPr>
            </w:pPr>
          </w:p>
        </w:tc>
      </w:tr>
      <w:tr w:rsidR="001A466F" w:rsidRPr="00032BC9" w14:paraId="416B7AC1"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28FFF4C9" w14:textId="4BAAA8AB" w:rsidR="001A466F" w:rsidRPr="00AC03D9" w:rsidRDefault="006C768B" w:rsidP="00210552">
            <w:pPr>
              <w:pStyle w:val="Tabletext"/>
              <w:rPr>
                <w:rFonts w:eastAsia="MS Mincho"/>
                <w:lang w:eastAsia="ja-JP"/>
              </w:rPr>
            </w:pPr>
            <w:r>
              <w:rPr>
                <w:rFonts w:eastAsia="MS Mincho"/>
                <w:lang w:eastAsia="ja-JP"/>
              </w:rPr>
              <w:t>May</w:t>
            </w:r>
          </w:p>
        </w:tc>
        <w:tc>
          <w:tcPr>
            <w:tcW w:w="1669" w:type="dxa"/>
            <w:tcBorders>
              <w:top w:val="dotted" w:sz="4" w:space="0" w:color="auto"/>
              <w:left w:val="nil"/>
              <w:bottom w:val="dotted" w:sz="4" w:space="0" w:color="auto"/>
              <w:right w:val="nil"/>
            </w:tcBorders>
            <w:shd w:val="clear" w:color="auto" w:fill="auto"/>
            <w:noWrap/>
            <w:vAlign w:val="bottom"/>
          </w:tcPr>
          <w:p w14:paraId="7E5E9C7B" w14:textId="77777777" w:rsidR="001A466F" w:rsidRPr="00032BC9" w:rsidRDefault="001A466F" w:rsidP="00210552">
            <w:pPr>
              <w:pStyle w:val="Tabletext"/>
              <w:rPr>
                <w:rFonts w:eastAsia="MS Mincho"/>
                <w:lang w:eastAsia="ja-JP"/>
              </w:rPr>
            </w:pPr>
            <w:r>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0EA6163E" w14:textId="77777777" w:rsidR="001A466F" w:rsidRPr="00032BC9" w:rsidRDefault="001A466F" w:rsidP="00210552">
            <w:pPr>
              <w:pStyle w:val="Tabletext"/>
              <w:rPr>
                <w:rFonts w:eastAsia="MS Mincho"/>
                <w:lang w:eastAsia="ja-JP"/>
              </w:rPr>
            </w:pPr>
            <w:r>
              <w:rPr>
                <w:rFonts w:eastAsia="MS Mincho" w:cs="Arial"/>
                <w:lang w:eastAsia="ja-JP"/>
              </w:rPr>
              <w:t>53</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14B0103C" w14:textId="77777777" w:rsidR="001A466F" w:rsidRPr="00032BC9" w:rsidRDefault="001A466F" w:rsidP="00210552">
            <w:pPr>
              <w:pStyle w:val="Tabletext"/>
              <w:rPr>
                <w:rFonts w:eastAsia="MS Mincho"/>
                <w:lang w:eastAsia="ja-JP"/>
              </w:rPr>
            </w:pPr>
          </w:p>
        </w:tc>
      </w:tr>
      <w:tr w:rsidR="001A466F" w:rsidRPr="00032BC9" w14:paraId="69A54DF2"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351175A" w14:textId="6D1579F1" w:rsidR="001A466F" w:rsidRPr="00AC03D9" w:rsidRDefault="006C768B" w:rsidP="00210552">
            <w:pPr>
              <w:pStyle w:val="Tabletext"/>
              <w:rPr>
                <w:rFonts w:eastAsia="MS Mincho"/>
                <w:lang w:eastAsia="ja-JP"/>
              </w:rPr>
            </w:pPr>
            <w:r>
              <w:rPr>
                <w:rFonts w:eastAsia="MS Mincho"/>
                <w:lang w:eastAsia="ja-JP"/>
              </w:rPr>
              <w:t>June</w:t>
            </w:r>
          </w:p>
        </w:tc>
        <w:tc>
          <w:tcPr>
            <w:tcW w:w="1669" w:type="dxa"/>
            <w:tcBorders>
              <w:top w:val="dotted" w:sz="4" w:space="0" w:color="auto"/>
              <w:left w:val="nil"/>
              <w:bottom w:val="dotted" w:sz="4" w:space="0" w:color="auto"/>
              <w:right w:val="nil"/>
            </w:tcBorders>
            <w:shd w:val="clear" w:color="auto" w:fill="auto"/>
            <w:noWrap/>
            <w:vAlign w:val="bottom"/>
          </w:tcPr>
          <w:p w14:paraId="68F9BE58" w14:textId="77777777" w:rsidR="001A466F" w:rsidRPr="00032BC9" w:rsidRDefault="001A466F" w:rsidP="00210552">
            <w:pPr>
              <w:pStyle w:val="Tabletext"/>
              <w:rPr>
                <w:rFonts w:eastAsia="MS Mincho"/>
                <w:lang w:eastAsia="ja-JP"/>
              </w:rPr>
            </w:pPr>
            <w:r>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50083053" w14:textId="77777777" w:rsidR="001A466F" w:rsidRPr="00032BC9" w:rsidRDefault="001A466F" w:rsidP="00210552">
            <w:pPr>
              <w:pStyle w:val="Tabletext"/>
              <w:rPr>
                <w:rFonts w:eastAsia="MS Mincho"/>
                <w:lang w:eastAsia="ja-JP"/>
              </w:rPr>
            </w:pPr>
            <w:r>
              <w:rPr>
                <w:rFonts w:eastAsia="MS Mincho" w:cs="Arial"/>
                <w:lang w:eastAsia="ja-JP"/>
              </w:rPr>
              <w:t>47</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6532D1BE" w14:textId="77777777" w:rsidR="001A466F" w:rsidRPr="00032BC9" w:rsidRDefault="001A466F" w:rsidP="00210552">
            <w:pPr>
              <w:pStyle w:val="Tabletext"/>
              <w:rPr>
                <w:rFonts w:eastAsia="MS Mincho"/>
                <w:lang w:eastAsia="ja-JP"/>
              </w:rPr>
            </w:pPr>
          </w:p>
        </w:tc>
      </w:tr>
      <w:tr w:rsidR="001A466F" w:rsidRPr="00032BC9" w14:paraId="368D8317"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05AC3AA6" w14:textId="6BF3F9E0" w:rsidR="001A466F" w:rsidRPr="00AC03D9" w:rsidRDefault="006C768B" w:rsidP="00210552">
            <w:pPr>
              <w:pStyle w:val="Tabletext"/>
              <w:rPr>
                <w:rFonts w:eastAsia="MS Mincho"/>
                <w:lang w:eastAsia="ja-JP"/>
              </w:rPr>
            </w:pPr>
            <w:r>
              <w:rPr>
                <w:rFonts w:eastAsia="MS Mincho"/>
                <w:lang w:eastAsia="ja-JP"/>
              </w:rPr>
              <w:t>July</w:t>
            </w:r>
          </w:p>
        </w:tc>
        <w:tc>
          <w:tcPr>
            <w:tcW w:w="1669" w:type="dxa"/>
            <w:tcBorders>
              <w:top w:val="dotted" w:sz="4" w:space="0" w:color="auto"/>
              <w:left w:val="nil"/>
              <w:bottom w:val="dotted" w:sz="4" w:space="0" w:color="auto"/>
              <w:right w:val="nil"/>
            </w:tcBorders>
            <w:shd w:val="clear" w:color="auto" w:fill="auto"/>
            <w:noWrap/>
            <w:vAlign w:val="bottom"/>
          </w:tcPr>
          <w:p w14:paraId="3B529DD7" w14:textId="77777777" w:rsidR="001A466F" w:rsidRPr="00032BC9" w:rsidRDefault="001A466F" w:rsidP="00210552">
            <w:pPr>
              <w:pStyle w:val="Tabletext"/>
              <w:rPr>
                <w:rFonts w:eastAsia="MS Mincho"/>
                <w:lang w:eastAsia="ja-JP"/>
              </w:rPr>
            </w:pPr>
            <w:r>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6B7E0909" w14:textId="77777777" w:rsidR="001A466F" w:rsidRPr="00032BC9" w:rsidRDefault="001A466F" w:rsidP="00210552">
            <w:pPr>
              <w:pStyle w:val="Tabletext"/>
              <w:rPr>
                <w:rFonts w:eastAsia="MS Mincho"/>
                <w:lang w:eastAsia="ja-JP"/>
              </w:rPr>
            </w:pPr>
            <w:r>
              <w:rPr>
                <w:rFonts w:eastAsia="MS Mincho" w:cs="Arial"/>
                <w:lang w:eastAsia="ja-JP"/>
              </w:rPr>
              <w:t>52</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5D2D867E" w14:textId="77777777" w:rsidR="001A466F" w:rsidRPr="00032BC9" w:rsidRDefault="001A466F" w:rsidP="00210552">
            <w:pPr>
              <w:pStyle w:val="Tabletext"/>
              <w:rPr>
                <w:rFonts w:eastAsia="MS Mincho"/>
                <w:lang w:eastAsia="ja-JP"/>
              </w:rPr>
            </w:pPr>
          </w:p>
        </w:tc>
      </w:tr>
      <w:tr w:rsidR="001A466F" w:rsidRPr="00032BC9" w14:paraId="73A34D6E"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6DEAD1BC" w14:textId="09C5F2CD" w:rsidR="001A466F" w:rsidRPr="00AC03D9" w:rsidRDefault="006C768B" w:rsidP="00210552">
            <w:pPr>
              <w:pStyle w:val="Tabletext"/>
              <w:rPr>
                <w:rFonts w:eastAsia="MS Mincho"/>
                <w:lang w:eastAsia="ja-JP"/>
              </w:rPr>
            </w:pPr>
            <w:r>
              <w:rPr>
                <w:rFonts w:eastAsia="MS Mincho"/>
                <w:lang w:eastAsia="ja-JP"/>
              </w:rPr>
              <w:t>August</w:t>
            </w:r>
          </w:p>
        </w:tc>
        <w:tc>
          <w:tcPr>
            <w:tcW w:w="1669" w:type="dxa"/>
            <w:tcBorders>
              <w:top w:val="dotted" w:sz="4" w:space="0" w:color="auto"/>
              <w:left w:val="nil"/>
              <w:bottom w:val="dotted" w:sz="4" w:space="0" w:color="auto"/>
              <w:right w:val="nil"/>
            </w:tcBorders>
            <w:shd w:val="clear" w:color="auto" w:fill="auto"/>
            <w:noWrap/>
            <w:vAlign w:val="bottom"/>
          </w:tcPr>
          <w:p w14:paraId="647D04F8" w14:textId="77777777" w:rsidR="001A466F" w:rsidRPr="00032BC9" w:rsidRDefault="001A466F" w:rsidP="00210552">
            <w:pPr>
              <w:pStyle w:val="Tabletext"/>
              <w:rPr>
                <w:rFonts w:eastAsia="MS Mincho"/>
                <w:lang w:eastAsia="ja-JP"/>
              </w:rPr>
            </w:pPr>
            <w:r>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2B3478AF" w14:textId="77777777" w:rsidR="001A466F" w:rsidRPr="00032BC9" w:rsidRDefault="001A466F" w:rsidP="00210552">
            <w:pPr>
              <w:pStyle w:val="Tabletext"/>
              <w:rPr>
                <w:rFonts w:eastAsia="MS Mincho"/>
                <w:lang w:eastAsia="ja-JP"/>
              </w:rPr>
            </w:pPr>
            <w:r>
              <w:rPr>
                <w:rFonts w:eastAsia="MS Mincho" w:cs="Arial"/>
                <w:lang w:eastAsia="ja-JP"/>
              </w:rPr>
              <w:t>48</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17069C35" w14:textId="77777777" w:rsidR="001A466F" w:rsidRPr="00032BC9" w:rsidRDefault="001A466F" w:rsidP="00210552">
            <w:pPr>
              <w:pStyle w:val="Tabletext"/>
              <w:rPr>
                <w:rFonts w:eastAsia="MS Mincho"/>
                <w:lang w:eastAsia="ja-JP"/>
              </w:rPr>
            </w:pPr>
          </w:p>
        </w:tc>
      </w:tr>
      <w:tr w:rsidR="001A466F" w:rsidRPr="00032BC9" w14:paraId="49F626B9"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5ADE6D4B" w14:textId="0A004FA8" w:rsidR="001A466F" w:rsidRPr="00AC03D9" w:rsidRDefault="006C768B" w:rsidP="00210552">
            <w:pPr>
              <w:pStyle w:val="Tabletext"/>
              <w:rPr>
                <w:rFonts w:eastAsia="MS Mincho"/>
                <w:lang w:eastAsia="ja-JP"/>
              </w:rPr>
            </w:pPr>
            <w:r>
              <w:rPr>
                <w:rFonts w:eastAsia="MS Mincho"/>
                <w:lang w:eastAsia="ja-JP"/>
              </w:rPr>
              <w:t>September</w:t>
            </w:r>
          </w:p>
        </w:tc>
        <w:tc>
          <w:tcPr>
            <w:tcW w:w="1669" w:type="dxa"/>
            <w:tcBorders>
              <w:top w:val="dotted" w:sz="4" w:space="0" w:color="auto"/>
              <w:left w:val="nil"/>
              <w:bottom w:val="dotted" w:sz="4" w:space="0" w:color="auto"/>
              <w:right w:val="nil"/>
            </w:tcBorders>
            <w:shd w:val="clear" w:color="auto" w:fill="auto"/>
            <w:noWrap/>
            <w:vAlign w:val="bottom"/>
          </w:tcPr>
          <w:p w14:paraId="2213CBA9" w14:textId="77777777" w:rsidR="001A466F" w:rsidRPr="00032BC9" w:rsidRDefault="001A466F" w:rsidP="00210552">
            <w:pPr>
              <w:pStyle w:val="Tabletext"/>
              <w:rPr>
                <w:rFonts w:eastAsia="MS Mincho"/>
                <w:lang w:eastAsia="ja-JP"/>
              </w:rPr>
            </w:pPr>
            <w:r>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6C78DE12" w14:textId="77777777" w:rsidR="001A466F" w:rsidRPr="00032BC9" w:rsidRDefault="001A466F" w:rsidP="00210552">
            <w:pPr>
              <w:pStyle w:val="Tabletext"/>
              <w:rPr>
                <w:rFonts w:eastAsia="MS Mincho"/>
                <w:lang w:eastAsia="ja-JP"/>
              </w:rPr>
            </w:pPr>
            <w:r>
              <w:rPr>
                <w:rFonts w:eastAsia="MS Mincho" w:cs="Arial"/>
                <w:lang w:eastAsia="ja-JP"/>
              </w:rPr>
              <w:t>44</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73EC43E9" w14:textId="77777777" w:rsidR="001A466F" w:rsidRPr="00032BC9" w:rsidRDefault="001A466F" w:rsidP="00210552">
            <w:pPr>
              <w:pStyle w:val="Tabletext"/>
              <w:rPr>
                <w:rFonts w:eastAsia="MS Mincho"/>
                <w:lang w:eastAsia="ja-JP"/>
              </w:rPr>
            </w:pPr>
          </w:p>
        </w:tc>
      </w:tr>
      <w:tr w:rsidR="001A466F" w:rsidRPr="00032BC9" w14:paraId="32A8FA6F" w14:textId="77777777" w:rsidTr="00903D7A">
        <w:trPr>
          <w:trHeight w:val="300"/>
        </w:trPr>
        <w:tc>
          <w:tcPr>
            <w:tcW w:w="2211" w:type="dxa"/>
            <w:tcBorders>
              <w:top w:val="single" w:sz="4" w:space="0" w:color="auto"/>
              <w:left w:val="single" w:sz="4" w:space="0" w:color="auto"/>
              <w:bottom w:val="dotted" w:sz="4" w:space="0" w:color="auto"/>
              <w:right w:val="single" w:sz="4" w:space="0" w:color="auto"/>
            </w:tcBorders>
            <w:shd w:val="clear" w:color="auto" w:fill="auto"/>
            <w:noWrap/>
            <w:vAlign w:val="bottom"/>
          </w:tcPr>
          <w:p w14:paraId="03386266" w14:textId="48FCA7D0" w:rsidR="001A466F" w:rsidRPr="00AC03D9" w:rsidRDefault="006C768B" w:rsidP="00210552">
            <w:pPr>
              <w:pStyle w:val="Tabletext"/>
              <w:rPr>
                <w:rFonts w:eastAsia="MS Mincho"/>
                <w:lang w:eastAsia="ja-JP"/>
              </w:rPr>
            </w:pPr>
            <w:r>
              <w:rPr>
                <w:rFonts w:eastAsia="MS Mincho"/>
                <w:lang w:eastAsia="ja-JP"/>
              </w:rPr>
              <w:t>October</w:t>
            </w:r>
          </w:p>
        </w:tc>
        <w:tc>
          <w:tcPr>
            <w:tcW w:w="1669" w:type="dxa"/>
            <w:tcBorders>
              <w:top w:val="dotted" w:sz="4" w:space="0" w:color="auto"/>
              <w:left w:val="nil"/>
              <w:bottom w:val="dotted" w:sz="4" w:space="0" w:color="auto"/>
              <w:right w:val="nil"/>
            </w:tcBorders>
            <w:shd w:val="clear" w:color="auto" w:fill="auto"/>
            <w:noWrap/>
            <w:vAlign w:val="bottom"/>
          </w:tcPr>
          <w:p w14:paraId="252398B5" w14:textId="77777777" w:rsidR="001A466F" w:rsidRPr="00032BC9" w:rsidRDefault="001A466F" w:rsidP="00210552">
            <w:pPr>
              <w:pStyle w:val="Tabletext"/>
              <w:rPr>
                <w:rFonts w:eastAsia="MS Mincho"/>
                <w:lang w:eastAsia="ja-JP"/>
              </w:rPr>
            </w:pPr>
            <w:r w:rsidRPr="00032BC9">
              <w:rPr>
                <w:rFonts w:eastAsia="MS Mincho"/>
                <w:lang w:eastAsia="ja-JP"/>
              </w:rPr>
              <w:t>60</w:t>
            </w:r>
          </w:p>
        </w:tc>
        <w:tc>
          <w:tcPr>
            <w:tcW w:w="1474" w:type="dxa"/>
            <w:tcBorders>
              <w:top w:val="dotted" w:sz="4" w:space="0" w:color="auto"/>
              <w:left w:val="nil"/>
              <w:bottom w:val="dotted" w:sz="4" w:space="0" w:color="auto"/>
              <w:right w:val="nil"/>
            </w:tcBorders>
            <w:shd w:val="clear" w:color="auto" w:fill="auto"/>
            <w:noWrap/>
            <w:vAlign w:val="center"/>
          </w:tcPr>
          <w:p w14:paraId="61A60D54" w14:textId="77777777" w:rsidR="001A466F" w:rsidRPr="00032BC9" w:rsidRDefault="001A466F" w:rsidP="00210552">
            <w:pPr>
              <w:pStyle w:val="Tabletext"/>
              <w:rPr>
                <w:rFonts w:eastAsia="MS Mincho"/>
                <w:lang w:eastAsia="ja-JP"/>
              </w:rPr>
            </w:pPr>
            <w:r>
              <w:rPr>
                <w:rFonts w:eastAsia="MS Mincho" w:cs="Arial"/>
                <w:lang w:eastAsia="ja-JP"/>
              </w:rPr>
              <w:t>49</w:t>
            </w:r>
          </w:p>
        </w:tc>
        <w:tc>
          <w:tcPr>
            <w:tcW w:w="1929" w:type="dxa"/>
            <w:tcBorders>
              <w:top w:val="dotted" w:sz="4" w:space="0" w:color="auto"/>
              <w:left w:val="nil"/>
              <w:bottom w:val="dotted" w:sz="4" w:space="0" w:color="auto"/>
              <w:right w:val="single" w:sz="4" w:space="0" w:color="auto"/>
            </w:tcBorders>
            <w:shd w:val="clear" w:color="auto" w:fill="auto"/>
            <w:noWrap/>
            <w:vAlign w:val="bottom"/>
          </w:tcPr>
          <w:p w14:paraId="3A5A3B7D" w14:textId="77777777" w:rsidR="001A466F" w:rsidRPr="00032BC9" w:rsidRDefault="001A466F" w:rsidP="00210552">
            <w:pPr>
              <w:pStyle w:val="Tabletext"/>
              <w:rPr>
                <w:rFonts w:eastAsia="MS Mincho"/>
                <w:lang w:eastAsia="ja-JP"/>
              </w:rPr>
            </w:pPr>
          </w:p>
        </w:tc>
      </w:tr>
      <w:tr w:rsidR="001A466F" w:rsidRPr="00032BC9" w14:paraId="7A1FA782" w14:textId="77777777" w:rsidTr="00903D7A">
        <w:trPr>
          <w:trHeight w:val="300"/>
        </w:trPr>
        <w:tc>
          <w:tcPr>
            <w:tcW w:w="2211"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79C4DDE" w14:textId="1FBEB0DA" w:rsidR="001A466F" w:rsidRPr="00AC03D9" w:rsidRDefault="006C768B" w:rsidP="00210552">
            <w:pPr>
              <w:pStyle w:val="Tabletext"/>
              <w:rPr>
                <w:rFonts w:eastAsia="MS Mincho"/>
                <w:lang w:eastAsia="ja-JP"/>
              </w:rPr>
            </w:pPr>
            <w:r>
              <w:rPr>
                <w:rFonts w:eastAsia="MS Mincho"/>
                <w:lang w:eastAsia="ja-JP"/>
              </w:rPr>
              <w:t>November</w:t>
            </w:r>
          </w:p>
        </w:tc>
        <w:tc>
          <w:tcPr>
            <w:tcW w:w="1669" w:type="dxa"/>
            <w:tcBorders>
              <w:top w:val="nil"/>
              <w:left w:val="nil"/>
              <w:bottom w:val="dotted" w:sz="4" w:space="0" w:color="auto"/>
              <w:right w:val="nil"/>
            </w:tcBorders>
            <w:shd w:val="clear" w:color="auto" w:fill="auto"/>
            <w:noWrap/>
            <w:vAlign w:val="bottom"/>
          </w:tcPr>
          <w:p w14:paraId="6263F372" w14:textId="77777777" w:rsidR="001A466F" w:rsidRPr="00032BC9" w:rsidRDefault="001A466F" w:rsidP="00210552">
            <w:pPr>
              <w:pStyle w:val="Tabletext"/>
              <w:rPr>
                <w:rFonts w:eastAsia="MS Mincho"/>
                <w:lang w:eastAsia="ja-JP"/>
              </w:rPr>
            </w:pPr>
            <w:r w:rsidRPr="00032BC9">
              <w:rPr>
                <w:rFonts w:eastAsia="MS Mincho"/>
                <w:lang w:eastAsia="ja-JP"/>
              </w:rPr>
              <w:t>60</w:t>
            </w:r>
          </w:p>
        </w:tc>
        <w:tc>
          <w:tcPr>
            <w:tcW w:w="1474" w:type="dxa"/>
            <w:tcBorders>
              <w:top w:val="nil"/>
              <w:left w:val="nil"/>
              <w:bottom w:val="dotted" w:sz="4" w:space="0" w:color="auto"/>
              <w:right w:val="nil"/>
            </w:tcBorders>
            <w:shd w:val="clear" w:color="auto" w:fill="auto"/>
            <w:noWrap/>
            <w:vAlign w:val="center"/>
          </w:tcPr>
          <w:p w14:paraId="2F7F464A" w14:textId="77777777" w:rsidR="001A466F" w:rsidRPr="00032BC9" w:rsidRDefault="001A466F" w:rsidP="00210552">
            <w:pPr>
              <w:pStyle w:val="Tabletext"/>
              <w:rPr>
                <w:rFonts w:eastAsia="MS Mincho"/>
                <w:lang w:eastAsia="ja-JP"/>
              </w:rPr>
            </w:pPr>
            <w:r>
              <w:rPr>
                <w:rFonts w:eastAsia="MS Mincho" w:cs="Arial"/>
                <w:lang w:eastAsia="ja-JP"/>
              </w:rPr>
              <w:t>50</w:t>
            </w:r>
          </w:p>
        </w:tc>
        <w:tc>
          <w:tcPr>
            <w:tcW w:w="1929" w:type="dxa"/>
            <w:tcBorders>
              <w:top w:val="nil"/>
              <w:left w:val="nil"/>
              <w:bottom w:val="dotted" w:sz="4" w:space="0" w:color="auto"/>
              <w:right w:val="single" w:sz="4" w:space="0" w:color="auto"/>
            </w:tcBorders>
            <w:shd w:val="clear" w:color="auto" w:fill="auto"/>
            <w:noWrap/>
            <w:vAlign w:val="bottom"/>
          </w:tcPr>
          <w:p w14:paraId="40B8519C" w14:textId="77777777" w:rsidR="001A466F" w:rsidRPr="00032BC9" w:rsidRDefault="001A466F" w:rsidP="00210552">
            <w:pPr>
              <w:pStyle w:val="Tabletext"/>
              <w:rPr>
                <w:rFonts w:eastAsia="MS Mincho"/>
                <w:lang w:eastAsia="ja-JP"/>
              </w:rPr>
            </w:pPr>
          </w:p>
        </w:tc>
      </w:tr>
      <w:tr w:rsidR="001A466F" w:rsidRPr="00032BC9" w14:paraId="5050DDB0" w14:textId="77777777" w:rsidTr="00903D7A">
        <w:trPr>
          <w:trHeight w:val="300"/>
        </w:trPr>
        <w:tc>
          <w:tcPr>
            <w:tcW w:w="2211" w:type="dxa"/>
            <w:tcBorders>
              <w:top w:val="dotted" w:sz="4" w:space="0" w:color="auto"/>
              <w:left w:val="single" w:sz="4" w:space="0" w:color="auto"/>
              <w:bottom w:val="dotted" w:sz="4" w:space="0" w:color="auto"/>
              <w:right w:val="single" w:sz="4" w:space="0" w:color="auto"/>
            </w:tcBorders>
            <w:shd w:val="clear" w:color="auto" w:fill="auto"/>
            <w:noWrap/>
            <w:vAlign w:val="bottom"/>
          </w:tcPr>
          <w:p w14:paraId="2B6A1E43" w14:textId="71937050" w:rsidR="001A466F" w:rsidRPr="00AC03D9" w:rsidRDefault="006C768B" w:rsidP="00210552">
            <w:pPr>
              <w:pStyle w:val="Tabletext"/>
              <w:rPr>
                <w:rFonts w:eastAsia="MS Mincho"/>
                <w:lang w:eastAsia="ja-JP"/>
              </w:rPr>
            </w:pPr>
            <w:r>
              <w:rPr>
                <w:rFonts w:eastAsia="MS Mincho"/>
                <w:lang w:eastAsia="ja-JP"/>
              </w:rPr>
              <w:t>December</w:t>
            </w:r>
          </w:p>
        </w:tc>
        <w:tc>
          <w:tcPr>
            <w:tcW w:w="1669" w:type="dxa"/>
            <w:tcBorders>
              <w:top w:val="nil"/>
              <w:left w:val="nil"/>
              <w:bottom w:val="dotted" w:sz="4" w:space="0" w:color="auto"/>
              <w:right w:val="nil"/>
            </w:tcBorders>
            <w:shd w:val="clear" w:color="auto" w:fill="auto"/>
            <w:noWrap/>
            <w:vAlign w:val="bottom"/>
          </w:tcPr>
          <w:p w14:paraId="2117C9E2" w14:textId="77777777" w:rsidR="001A466F" w:rsidRPr="00032BC9" w:rsidRDefault="001A466F" w:rsidP="00210552">
            <w:pPr>
              <w:pStyle w:val="Tabletext"/>
              <w:rPr>
                <w:rFonts w:eastAsia="MS Mincho"/>
                <w:lang w:eastAsia="ja-JP"/>
              </w:rPr>
            </w:pPr>
            <w:r w:rsidRPr="00032BC9">
              <w:rPr>
                <w:rFonts w:eastAsia="MS Mincho"/>
                <w:lang w:eastAsia="ja-JP"/>
              </w:rPr>
              <w:t>60</w:t>
            </w:r>
          </w:p>
        </w:tc>
        <w:tc>
          <w:tcPr>
            <w:tcW w:w="1474" w:type="dxa"/>
            <w:tcBorders>
              <w:top w:val="nil"/>
              <w:left w:val="nil"/>
              <w:bottom w:val="dotted" w:sz="4" w:space="0" w:color="auto"/>
              <w:right w:val="nil"/>
            </w:tcBorders>
            <w:shd w:val="clear" w:color="auto" w:fill="auto"/>
            <w:noWrap/>
            <w:vAlign w:val="center"/>
          </w:tcPr>
          <w:p w14:paraId="28A898E7" w14:textId="77777777" w:rsidR="001A466F" w:rsidRPr="00032BC9" w:rsidRDefault="001A466F" w:rsidP="00210552">
            <w:pPr>
              <w:pStyle w:val="Tabletext"/>
              <w:rPr>
                <w:rFonts w:eastAsia="MS Mincho"/>
                <w:lang w:eastAsia="ja-JP"/>
              </w:rPr>
            </w:pPr>
            <w:r>
              <w:rPr>
                <w:rFonts w:eastAsia="MS Mincho" w:cs="Arial"/>
                <w:lang w:eastAsia="ja-JP"/>
              </w:rPr>
              <w:t>47</w:t>
            </w:r>
          </w:p>
        </w:tc>
        <w:tc>
          <w:tcPr>
            <w:tcW w:w="1929" w:type="dxa"/>
            <w:tcBorders>
              <w:top w:val="nil"/>
              <w:left w:val="nil"/>
              <w:bottom w:val="dotted" w:sz="4" w:space="0" w:color="auto"/>
              <w:right w:val="single" w:sz="4" w:space="0" w:color="auto"/>
            </w:tcBorders>
            <w:shd w:val="clear" w:color="auto" w:fill="auto"/>
            <w:noWrap/>
            <w:vAlign w:val="bottom"/>
          </w:tcPr>
          <w:p w14:paraId="66FE996D" w14:textId="77777777" w:rsidR="001A466F" w:rsidRPr="00032BC9" w:rsidRDefault="001A466F" w:rsidP="00210552">
            <w:pPr>
              <w:pStyle w:val="Tabletext"/>
              <w:rPr>
                <w:rFonts w:eastAsia="MS Mincho"/>
                <w:lang w:eastAsia="ja-JP"/>
              </w:rPr>
            </w:pPr>
          </w:p>
        </w:tc>
      </w:tr>
      <w:tr w:rsidR="001A466F" w:rsidRPr="00032BC9" w14:paraId="4B250409" w14:textId="77777777" w:rsidTr="00903D7A">
        <w:trPr>
          <w:trHeight w:val="300"/>
        </w:trPr>
        <w:tc>
          <w:tcPr>
            <w:tcW w:w="2211"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95582C7" w14:textId="40489417" w:rsidR="001A466F" w:rsidRPr="00AC03D9" w:rsidRDefault="006C768B" w:rsidP="00210552">
            <w:pPr>
              <w:pStyle w:val="Tabletext"/>
              <w:rPr>
                <w:rFonts w:eastAsia="MS Mincho"/>
                <w:lang w:eastAsia="ja-JP"/>
              </w:rPr>
            </w:pPr>
            <w:r>
              <w:rPr>
                <w:rFonts w:eastAsia="MS Mincho"/>
                <w:lang w:eastAsia="ja-JP"/>
              </w:rPr>
              <w:t>January</w:t>
            </w:r>
          </w:p>
        </w:tc>
        <w:tc>
          <w:tcPr>
            <w:tcW w:w="1669" w:type="dxa"/>
            <w:tcBorders>
              <w:top w:val="nil"/>
              <w:left w:val="nil"/>
              <w:bottom w:val="dotted" w:sz="4" w:space="0" w:color="auto"/>
              <w:right w:val="nil"/>
            </w:tcBorders>
            <w:shd w:val="clear" w:color="auto" w:fill="auto"/>
            <w:noWrap/>
            <w:vAlign w:val="bottom"/>
          </w:tcPr>
          <w:p w14:paraId="7086DDF6" w14:textId="77777777" w:rsidR="001A466F" w:rsidRPr="00032BC9" w:rsidRDefault="001A466F" w:rsidP="00210552">
            <w:pPr>
              <w:pStyle w:val="Tabletext"/>
              <w:rPr>
                <w:rFonts w:eastAsia="MS Mincho"/>
                <w:lang w:eastAsia="ja-JP"/>
              </w:rPr>
            </w:pPr>
            <w:r w:rsidRPr="00032BC9">
              <w:rPr>
                <w:rFonts w:eastAsia="MS Mincho"/>
                <w:lang w:eastAsia="ja-JP"/>
              </w:rPr>
              <w:t> </w:t>
            </w:r>
            <w:r>
              <w:rPr>
                <w:rFonts w:eastAsia="MS Mincho"/>
                <w:lang w:eastAsia="ja-JP"/>
              </w:rPr>
              <w:t>60</w:t>
            </w:r>
          </w:p>
        </w:tc>
        <w:tc>
          <w:tcPr>
            <w:tcW w:w="1474" w:type="dxa"/>
            <w:tcBorders>
              <w:top w:val="nil"/>
              <w:left w:val="nil"/>
              <w:bottom w:val="dotted" w:sz="4" w:space="0" w:color="auto"/>
              <w:right w:val="nil"/>
            </w:tcBorders>
            <w:shd w:val="clear" w:color="auto" w:fill="auto"/>
            <w:noWrap/>
            <w:vAlign w:val="center"/>
          </w:tcPr>
          <w:p w14:paraId="00FE2620" w14:textId="77777777" w:rsidR="001A466F" w:rsidRPr="00032BC9" w:rsidRDefault="001A466F" w:rsidP="00210552">
            <w:pPr>
              <w:pStyle w:val="Tabletext"/>
              <w:rPr>
                <w:rFonts w:eastAsia="MS Mincho"/>
                <w:lang w:eastAsia="ja-JP"/>
              </w:rPr>
            </w:pPr>
            <w:r w:rsidRPr="00903D7A">
              <w:rPr>
                <w:rFonts w:eastAsia="MS Mincho"/>
                <w:lang w:eastAsia="ja-JP"/>
              </w:rPr>
              <w:t>49</w:t>
            </w:r>
          </w:p>
        </w:tc>
        <w:tc>
          <w:tcPr>
            <w:tcW w:w="1929" w:type="dxa"/>
            <w:tcBorders>
              <w:top w:val="nil"/>
              <w:left w:val="nil"/>
              <w:bottom w:val="dotted" w:sz="4" w:space="0" w:color="auto"/>
              <w:right w:val="single" w:sz="4" w:space="0" w:color="auto"/>
            </w:tcBorders>
            <w:shd w:val="clear" w:color="auto" w:fill="auto"/>
            <w:noWrap/>
            <w:vAlign w:val="bottom"/>
          </w:tcPr>
          <w:p w14:paraId="31094190" w14:textId="77777777" w:rsidR="001A466F" w:rsidRPr="00032BC9" w:rsidRDefault="001A466F" w:rsidP="00210552">
            <w:pPr>
              <w:pStyle w:val="Tabletext"/>
              <w:rPr>
                <w:rFonts w:eastAsia="MS Mincho"/>
                <w:lang w:eastAsia="ja-JP"/>
              </w:rPr>
            </w:pPr>
            <w:r w:rsidRPr="00032BC9">
              <w:rPr>
                <w:rFonts w:eastAsia="MS Mincho"/>
                <w:lang w:eastAsia="ja-JP"/>
              </w:rPr>
              <w:t> </w:t>
            </w:r>
          </w:p>
        </w:tc>
      </w:tr>
      <w:tr w:rsidR="001A466F" w:rsidRPr="00032BC9" w14:paraId="7B7E633D" w14:textId="77777777" w:rsidTr="00903D7A">
        <w:trPr>
          <w:trHeight w:val="300"/>
        </w:trPr>
        <w:tc>
          <w:tcPr>
            <w:tcW w:w="2211"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618A0A0" w14:textId="3B6606E7" w:rsidR="001A466F" w:rsidRPr="00AC03D9" w:rsidRDefault="006C768B" w:rsidP="00210552">
            <w:pPr>
              <w:pStyle w:val="Tabletext"/>
              <w:rPr>
                <w:rFonts w:eastAsia="MS Mincho"/>
                <w:lang w:eastAsia="ja-JP"/>
              </w:rPr>
            </w:pPr>
            <w:r>
              <w:rPr>
                <w:rFonts w:eastAsia="MS Mincho"/>
                <w:lang w:eastAsia="ja-JP"/>
              </w:rPr>
              <w:t>February</w:t>
            </w:r>
          </w:p>
        </w:tc>
        <w:tc>
          <w:tcPr>
            <w:tcW w:w="1669" w:type="dxa"/>
            <w:tcBorders>
              <w:top w:val="nil"/>
              <w:left w:val="nil"/>
              <w:bottom w:val="dotted" w:sz="4" w:space="0" w:color="auto"/>
              <w:right w:val="nil"/>
            </w:tcBorders>
            <w:shd w:val="clear" w:color="auto" w:fill="auto"/>
            <w:noWrap/>
            <w:vAlign w:val="bottom"/>
          </w:tcPr>
          <w:p w14:paraId="59D70A11" w14:textId="77777777" w:rsidR="001A466F" w:rsidRPr="00032BC9" w:rsidRDefault="001A466F" w:rsidP="00210552">
            <w:pPr>
              <w:pStyle w:val="Tabletext"/>
              <w:rPr>
                <w:rFonts w:eastAsia="MS Mincho"/>
                <w:lang w:eastAsia="ja-JP"/>
              </w:rPr>
            </w:pPr>
            <w:r w:rsidRPr="00032BC9">
              <w:rPr>
                <w:rFonts w:eastAsia="MS Mincho"/>
                <w:lang w:eastAsia="ja-JP"/>
              </w:rPr>
              <w:t> </w:t>
            </w:r>
            <w:r>
              <w:rPr>
                <w:rFonts w:eastAsia="MS Mincho"/>
                <w:lang w:eastAsia="ja-JP"/>
              </w:rPr>
              <w:t>60</w:t>
            </w:r>
          </w:p>
        </w:tc>
        <w:tc>
          <w:tcPr>
            <w:tcW w:w="1474" w:type="dxa"/>
            <w:tcBorders>
              <w:top w:val="nil"/>
              <w:left w:val="nil"/>
              <w:bottom w:val="dotted" w:sz="4" w:space="0" w:color="auto"/>
              <w:right w:val="nil"/>
            </w:tcBorders>
            <w:shd w:val="clear" w:color="auto" w:fill="auto"/>
            <w:noWrap/>
            <w:vAlign w:val="center"/>
          </w:tcPr>
          <w:p w14:paraId="29AA1641" w14:textId="77777777" w:rsidR="001A466F" w:rsidRPr="00032BC9" w:rsidRDefault="001A466F" w:rsidP="00210552">
            <w:pPr>
              <w:pStyle w:val="Tabletext"/>
              <w:rPr>
                <w:rFonts w:eastAsia="MS Mincho"/>
                <w:lang w:eastAsia="ja-JP"/>
              </w:rPr>
            </w:pPr>
            <w:r w:rsidRPr="00903D7A">
              <w:rPr>
                <w:rFonts w:eastAsia="MS Mincho"/>
                <w:lang w:eastAsia="ja-JP"/>
              </w:rPr>
              <w:t>47</w:t>
            </w:r>
          </w:p>
        </w:tc>
        <w:tc>
          <w:tcPr>
            <w:tcW w:w="1929" w:type="dxa"/>
            <w:tcBorders>
              <w:top w:val="nil"/>
              <w:left w:val="nil"/>
              <w:bottom w:val="dotted" w:sz="4" w:space="0" w:color="auto"/>
              <w:right w:val="single" w:sz="4" w:space="0" w:color="auto"/>
            </w:tcBorders>
            <w:shd w:val="clear" w:color="auto" w:fill="auto"/>
            <w:noWrap/>
            <w:vAlign w:val="bottom"/>
          </w:tcPr>
          <w:p w14:paraId="7D247A8D" w14:textId="77777777" w:rsidR="001A466F" w:rsidRPr="00032BC9" w:rsidRDefault="001A466F" w:rsidP="00210552">
            <w:pPr>
              <w:pStyle w:val="Tabletext"/>
              <w:rPr>
                <w:rFonts w:eastAsia="MS Mincho"/>
                <w:lang w:eastAsia="ja-JP"/>
              </w:rPr>
            </w:pPr>
            <w:r w:rsidRPr="00032BC9">
              <w:rPr>
                <w:rFonts w:eastAsia="MS Mincho"/>
                <w:lang w:eastAsia="ja-JP"/>
              </w:rPr>
              <w:t> </w:t>
            </w:r>
          </w:p>
        </w:tc>
      </w:tr>
      <w:tr w:rsidR="001A466F" w:rsidRPr="00032BC9" w14:paraId="22EB90C6" w14:textId="77777777" w:rsidTr="00903D7A">
        <w:trPr>
          <w:trHeight w:val="300"/>
        </w:trPr>
        <w:tc>
          <w:tcPr>
            <w:tcW w:w="2211" w:type="dxa"/>
            <w:tcBorders>
              <w:top w:val="dotted" w:sz="4" w:space="0" w:color="auto"/>
              <w:left w:val="single" w:sz="4" w:space="0" w:color="auto"/>
              <w:bottom w:val="single" w:sz="4" w:space="0" w:color="auto"/>
              <w:right w:val="single" w:sz="4" w:space="0" w:color="auto"/>
            </w:tcBorders>
            <w:shd w:val="clear" w:color="auto" w:fill="auto"/>
            <w:noWrap/>
            <w:vAlign w:val="bottom"/>
          </w:tcPr>
          <w:p w14:paraId="3AB20A48" w14:textId="5423AFDF" w:rsidR="001A466F" w:rsidRPr="00AC03D9" w:rsidRDefault="006C768B" w:rsidP="00210552">
            <w:pPr>
              <w:pStyle w:val="Tabletext"/>
              <w:rPr>
                <w:rFonts w:eastAsia="MS Mincho"/>
                <w:lang w:eastAsia="ja-JP"/>
              </w:rPr>
            </w:pPr>
            <w:r>
              <w:rPr>
                <w:rFonts w:eastAsia="MS Mincho"/>
                <w:lang w:eastAsia="ja-JP"/>
              </w:rPr>
              <w:t>March</w:t>
            </w:r>
          </w:p>
        </w:tc>
        <w:tc>
          <w:tcPr>
            <w:tcW w:w="1669" w:type="dxa"/>
            <w:tcBorders>
              <w:top w:val="nil"/>
              <w:left w:val="nil"/>
              <w:bottom w:val="single" w:sz="4" w:space="0" w:color="auto"/>
              <w:right w:val="nil"/>
            </w:tcBorders>
            <w:shd w:val="clear" w:color="auto" w:fill="auto"/>
            <w:noWrap/>
            <w:vAlign w:val="bottom"/>
          </w:tcPr>
          <w:p w14:paraId="5B412E04" w14:textId="77777777" w:rsidR="001A466F" w:rsidRPr="00032BC9" w:rsidRDefault="001A466F" w:rsidP="00210552">
            <w:pPr>
              <w:pStyle w:val="Tabletext"/>
              <w:rPr>
                <w:rFonts w:eastAsia="MS Mincho"/>
                <w:lang w:eastAsia="ja-JP"/>
              </w:rPr>
            </w:pPr>
            <w:r w:rsidRPr="00032BC9">
              <w:rPr>
                <w:rFonts w:eastAsia="MS Mincho"/>
                <w:lang w:eastAsia="ja-JP"/>
              </w:rPr>
              <w:t> </w:t>
            </w:r>
            <w:r>
              <w:rPr>
                <w:rFonts w:eastAsia="MS Mincho"/>
                <w:lang w:eastAsia="ja-JP"/>
              </w:rPr>
              <w:t>60</w:t>
            </w:r>
          </w:p>
        </w:tc>
        <w:tc>
          <w:tcPr>
            <w:tcW w:w="1474" w:type="dxa"/>
            <w:tcBorders>
              <w:top w:val="nil"/>
              <w:left w:val="nil"/>
              <w:bottom w:val="single" w:sz="4" w:space="0" w:color="auto"/>
              <w:right w:val="nil"/>
            </w:tcBorders>
            <w:shd w:val="clear" w:color="auto" w:fill="auto"/>
            <w:noWrap/>
            <w:vAlign w:val="center"/>
          </w:tcPr>
          <w:p w14:paraId="6E8F42B1" w14:textId="77777777" w:rsidR="001A466F" w:rsidRPr="00032BC9" w:rsidRDefault="001A466F" w:rsidP="00210552">
            <w:pPr>
              <w:pStyle w:val="Tabletext"/>
              <w:rPr>
                <w:rFonts w:eastAsia="MS Mincho"/>
                <w:lang w:eastAsia="ja-JP"/>
              </w:rPr>
            </w:pPr>
            <w:r w:rsidRPr="00903D7A">
              <w:rPr>
                <w:rFonts w:eastAsia="MS Mincho"/>
                <w:lang w:eastAsia="ja-JP"/>
              </w:rPr>
              <w:t>51</w:t>
            </w:r>
          </w:p>
        </w:tc>
        <w:tc>
          <w:tcPr>
            <w:tcW w:w="1929" w:type="dxa"/>
            <w:tcBorders>
              <w:top w:val="nil"/>
              <w:left w:val="nil"/>
              <w:bottom w:val="single" w:sz="4" w:space="0" w:color="auto"/>
              <w:right w:val="single" w:sz="4" w:space="0" w:color="auto"/>
            </w:tcBorders>
            <w:shd w:val="clear" w:color="auto" w:fill="auto"/>
            <w:noWrap/>
            <w:vAlign w:val="bottom"/>
          </w:tcPr>
          <w:p w14:paraId="08FE6815" w14:textId="77777777" w:rsidR="001A466F" w:rsidRPr="00032BC9" w:rsidRDefault="001A466F" w:rsidP="00210552">
            <w:pPr>
              <w:pStyle w:val="Tabletext"/>
              <w:rPr>
                <w:rFonts w:eastAsia="MS Mincho"/>
                <w:lang w:eastAsia="ja-JP"/>
              </w:rPr>
            </w:pPr>
            <w:r w:rsidRPr="00032BC9">
              <w:rPr>
                <w:rFonts w:eastAsia="MS Mincho"/>
                <w:lang w:eastAsia="ja-JP"/>
              </w:rPr>
              <w:t> </w:t>
            </w:r>
          </w:p>
        </w:tc>
      </w:tr>
      <w:tr w:rsidR="001A466F" w:rsidRPr="00032BC9" w14:paraId="4B5A30FB" w14:textId="77777777" w:rsidTr="00B56F63">
        <w:trPr>
          <w:trHeight w:val="593"/>
        </w:trPr>
        <w:tc>
          <w:tcPr>
            <w:tcW w:w="2211" w:type="dxa"/>
            <w:tcBorders>
              <w:top w:val="dotted" w:sz="4" w:space="0" w:color="auto"/>
              <w:left w:val="single" w:sz="4" w:space="0" w:color="auto"/>
              <w:bottom w:val="single" w:sz="4" w:space="0" w:color="auto"/>
              <w:right w:val="single" w:sz="4" w:space="0" w:color="auto"/>
            </w:tcBorders>
            <w:shd w:val="clear" w:color="auto" w:fill="C0C0C0"/>
          </w:tcPr>
          <w:p w14:paraId="421DB6AC" w14:textId="5411C36F" w:rsidR="001A466F" w:rsidRPr="00032BC9" w:rsidRDefault="001A466F" w:rsidP="00210552">
            <w:pPr>
              <w:pStyle w:val="Tabletext"/>
              <w:rPr>
                <w:rFonts w:eastAsia="MS Mincho"/>
                <w:lang w:eastAsia="ja-JP"/>
              </w:rPr>
            </w:pPr>
            <w:r w:rsidRPr="00032BC9">
              <w:rPr>
                <w:rFonts w:eastAsia="MS Mincho"/>
                <w:lang w:eastAsia="ja-JP"/>
              </w:rPr>
              <w:t xml:space="preserve">Total DAO </w:t>
            </w:r>
            <w:r w:rsidR="00022260">
              <w:rPr>
                <w:rFonts w:eastAsia="MS Mincho"/>
                <w:lang w:eastAsia="ja-JP"/>
              </w:rPr>
              <w:t xml:space="preserve">review year </w:t>
            </w:r>
            <w:r w:rsidRPr="00032BC9">
              <w:rPr>
                <w:rFonts w:eastAsia="MS Mincho"/>
                <w:lang w:eastAsia="ja-JP"/>
              </w:rPr>
              <w:t>performance</w:t>
            </w:r>
          </w:p>
        </w:tc>
        <w:tc>
          <w:tcPr>
            <w:tcW w:w="1669" w:type="dxa"/>
            <w:tcBorders>
              <w:top w:val="single" w:sz="4" w:space="0" w:color="auto"/>
              <w:left w:val="nil"/>
              <w:bottom w:val="single" w:sz="4" w:space="0" w:color="auto"/>
              <w:right w:val="nil"/>
            </w:tcBorders>
            <w:shd w:val="clear" w:color="auto" w:fill="C0C0C0"/>
            <w:noWrap/>
          </w:tcPr>
          <w:p w14:paraId="08F5CDEA" w14:textId="77777777" w:rsidR="001A466F" w:rsidRPr="00032BC9" w:rsidRDefault="001A466F" w:rsidP="00210552">
            <w:pPr>
              <w:pStyle w:val="Tabletext"/>
              <w:rPr>
                <w:rFonts w:eastAsia="MS Mincho"/>
                <w:lang w:eastAsia="ja-JP"/>
              </w:rPr>
            </w:pPr>
            <w:r>
              <w:rPr>
                <w:rFonts w:eastAsia="MS Mincho"/>
                <w:lang w:eastAsia="ja-JP"/>
              </w:rPr>
              <w:t>720/12</w:t>
            </w:r>
          </w:p>
          <w:p w14:paraId="58E92CEC" w14:textId="77777777" w:rsidR="001A466F" w:rsidRPr="00032BC9" w:rsidRDefault="001A466F" w:rsidP="00210552">
            <w:pPr>
              <w:pStyle w:val="Tabletext"/>
              <w:rPr>
                <w:rFonts w:eastAsia="MS Mincho"/>
                <w:lang w:eastAsia="ja-JP"/>
              </w:rPr>
            </w:pPr>
            <w:r w:rsidRPr="00032BC9">
              <w:rPr>
                <w:rFonts w:eastAsia="MS Mincho"/>
                <w:lang w:eastAsia="ja-JP"/>
              </w:rPr>
              <w:t xml:space="preserve">= DAO 60 </w:t>
            </w:r>
          </w:p>
        </w:tc>
        <w:tc>
          <w:tcPr>
            <w:tcW w:w="1474" w:type="dxa"/>
            <w:tcBorders>
              <w:top w:val="single" w:sz="4" w:space="0" w:color="auto"/>
              <w:left w:val="nil"/>
              <w:bottom w:val="single" w:sz="4" w:space="0" w:color="auto"/>
              <w:right w:val="nil"/>
            </w:tcBorders>
            <w:shd w:val="clear" w:color="auto" w:fill="C0C0C0"/>
            <w:noWrap/>
          </w:tcPr>
          <w:p w14:paraId="046D4C4E" w14:textId="77777777" w:rsidR="001A466F" w:rsidRPr="00032BC9" w:rsidRDefault="001A466F" w:rsidP="00210552">
            <w:pPr>
              <w:pStyle w:val="Tabletext"/>
              <w:rPr>
                <w:rFonts w:eastAsia="MS Mincho"/>
                <w:lang w:eastAsia="ja-JP"/>
              </w:rPr>
            </w:pPr>
            <w:r>
              <w:rPr>
                <w:rFonts w:eastAsia="MS Mincho"/>
                <w:lang w:eastAsia="ja-JP"/>
              </w:rPr>
              <w:t>586</w:t>
            </w:r>
            <w:r w:rsidRPr="00032BC9">
              <w:rPr>
                <w:rFonts w:eastAsia="MS Mincho"/>
                <w:lang w:eastAsia="ja-JP"/>
              </w:rPr>
              <w:t>/</w:t>
            </w:r>
            <w:r>
              <w:rPr>
                <w:rFonts w:eastAsia="MS Mincho"/>
                <w:lang w:eastAsia="ja-JP"/>
              </w:rPr>
              <w:t>12</w:t>
            </w:r>
            <w:r w:rsidRPr="00032BC9">
              <w:rPr>
                <w:rFonts w:eastAsia="MS Mincho"/>
                <w:lang w:eastAsia="ja-JP"/>
              </w:rPr>
              <w:t xml:space="preserve"> </w:t>
            </w:r>
          </w:p>
          <w:p w14:paraId="7014F565" w14:textId="77777777" w:rsidR="001A466F" w:rsidRPr="00032BC9" w:rsidRDefault="001A466F" w:rsidP="00210552">
            <w:pPr>
              <w:pStyle w:val="Tabletext"/>
              <w:rPr>
                <w:rFonts w:eastAsia="MS Mincho"/>
                <w:lang w:eastAsia="ja-JP"/>
              </w:rPr>
            </w:pPr>
            <w:r w:rsidRPr="00032BC9">
              <w:rPr>
                <w:rFonts w:eastAsia="MS Mincho"/>
                <w:lang w:eastAsia="ja-JP"/>
              </w:rPr>
              <w:t>=</w:t>
            </w:r>
            <w:r>
              <w:rPr>
                <w:rFonts w:eastAsia="MS Mincho"/>
                <w:lang w:eastAsia="ja-JP"/>
              </w:rPr>
              <w:t xml:space="preserve"> </w:t>
            </w:r>
            <w:r w:rsidRPr="00032BC9">
              <w:rPr>
                <w:rFonts w:eastAsia="MS Mincho"/>
                <w:lang w:eastAsia="ja-JP"/>
              </w:rPr>
              <w:t>DAO 48.</w:t>
            </w:r>
            <w:r>
              <w:rPr>
                <w:rFonts w:eastAsia="MS Mincho"/>
                <w:lang w:eastAsia="ja-JP"/>
              </w:rPr>
              <w:t>8</w:t>
            </w:r>
            <w:r w:rsidRPr="00032BC9">
              <w:rPr>
                <w:rFonts w:eastAsia="MS Mincho"/>
                <w:lang w:eastAsia="ja-JP"/>
              </w:rPr>
              <w:t xml:space="preserve"> </w:t>
            </w:r>
          </w:p>
        </w:tc>
        <w:tc>
          <w:tcPr>
            <w:tcW w:w="1929" w:type="dxa"/>
            <w:tcBorders>
              <w:top w:val="single" w:sz="4" w:space="0" w:color="auto"/>
              <w:left w:val="nil"/>
              <w:bottom w:val="single" w:sz="4" w:space="0" w:color="auto"/>
              <w:right w:val="single" w:sz="4" w:space="0" w:color="auto"/>
            </w:tcBorders>
            <w:shd w:val="clear" w:color="auto" w:fill="C0C0C0"/>
            <w:noWrap/>
          </w:tcPr>
          <w:p w14:paraId="6F171235" w14:textId="77777777" w:rsidR="001A466F" w:rsidRDefault="001A466F" w:rsidP="00210552">
            <w:pPr>
              <w:pStyle w:val="Tabletext"/>
              <w:rPr>
                <w:rFonts w:eastAsia="MS Mincho"/>
                <w:lang w:eastAsia="ja-JP"/>
              </w:rPr>
            </w:pPr>
            <w:r>
              <w:rPr>
                <w:rFonts w:eastAsia="MS Mincho"/>
                <w:lang w:eastAsia="ja-JP"/>
              </w:rPr>
              <w:t>(60*85)/100</w:t>
            </w:r>
          </w:p>
          <w:p w14:paraId="63227875" w14:textId="77777777" w:rsidR="001A466F" w:rsidRPr="00032BC9" w:rsidRDefault="001A466F" w:rsidP="00210552">
            <w:pPr>
              <w:pStyle w:val="Tabletext"/>
              <w:rPr>
                <w:rFonts w:eastAsia="MS Mincho"/>
                <w:lang w:eastAsia="ja-JP"/>
              </w:rPr>
            </w:pPr>
            <w:r>
              <w:rPr>
                <w:rFonts w:eastAsia="MS Mincho"/>
                <w:lang w:eastAsia="ja-JP"/>
              </w:rPr>
              <w:t>= DAO 51</w:t>
            </w:r>
          </w:p>
          <w:p w14:paraId="3C740E6D" w14:textId="77777777" w:rsidR="001A466F" w:rsidRPr="00032BC9" w:rsidRDefault="001A466F" w:rsidP="00210552">
            <w:pPr>
              <w:pStyle w:val="Tabletext"/>
              <w:rPr>
                <w:rFonts w:eastAsia="MS Mincho"/>
                <w:lang w:eastAsia="ja-JP"/>
              </w:rPr>
            </w:pPr>
          </w:p>
        </w:tc>
      </w:tr>
    </w:tbl>
    <w:p w14:paraId="5E15EEAA" w14:textId="488353C3" w:rsidR="001A466F" w:rsidRDefault="001A466F" w:rsidP="00210552">
      <w:pPr>
        <w:pStyle w:val="Bodyaftertablefigure"/>
      </w:pPr>
      <w:r>
        <w:lastRenderedPageBreak/>
        <w:t>Under performance is when the annual performance</w:t>
      </w:r>
      <w:r w:rsidR="006C768B">
        <w:t xml:space="preserve"> in the review </w:t>
      </w:r>
      <w:r w:rsidR="00136EB1">
        <w:t>period</w:t>
      </w:r>
      <w:r>
        <w:t xml:space="preserve"> is less than the required threshold performance</w:t>
      </w:r>
    </w:p>
    <w:p w14:paraId="0A71D5AA" w14:textId="77777777" w:rsidR="001A466F" w:rsidRPr="00F924BA" w:rsidRDefault="001A466F" w:rsidP="00210552">
      <w:pPr>
        <w:pStyle w:val="Body"/>
      </w:pPr>
      <w:r w:rsidRPr="00F924BA">
        <w:t>Difference between annual performance and required threshold performance = 48.2 minus 51 = - 2.2</w:t>
      </w:r>
    </w:p>
    <w:p w14:paraId="38D08211" w14:textId="77777777" w:rsidR="001A466F" w:rsidRDefault="001A466F" w:rsidP="001A466F">
      <w:pPr>
        <w:pStyle w:val="Heading2"/>
      </w:pPr>
      <w:bookmarkStart w:id="19" w:name="_Toc97711980"/>
      <w:r>
        <w:t>What is over performance?</w:t>
      </w:r>
      <w:bookmarkEnd w:id="19"/>
    </w:p>
    <w:p w14:paraId="321A8D6F" w14:textId="77777777" w:rsidR="001A466F" w:rsidRDefault="001A466F" w:rsidP="00210552">
      <w:pPr>
        <w:pStyle w:val="Body"/>
      </w:pPr>
      <w:r>
        <w:t xml:space="preserve">Over performance is the difference between </w:t>
      </w:r>
      <w:proofErr w:type="gramStart"/>
      <w:r>
        <w:t>a</w:t>
      </w:r>
      <w:proofErr w:type="gramEnd"/>
      <w:r>
        <w:t xml:space="preserve"> HBC provider’s actual performance in a particular activity within a division and 100 per cent of the provider’s funded targets. Over-performance is expressed as a percentage of total funded targets per activity at a divisional level. </w:t>
      </w:r>
    </w:p>
    <w:p w14:paraId="3FB0AB33" w14:textId="77777777" w:rsidR="001A466F" w:rsidRDefault="001A466F" w:rsidP="001A466F">
      <w:pPr>
        <w:pStyle w:val="Heading3"/>
      </w:pPr>
      <w:r>
        <w:t xml:space="preserve">Formula for determining over </w:t>
      </w:r>
      <w:proofErr w:type="gramStart"/>
      <w:r>
        <w:t>performance</w:t>
      </w:r>
      <w:proofErr w:type="gramEnd"/>
    </w:p>
    <w:p w14:paraId="77A48F20" w14:textId="77777777" w:rsidR="001A466F" w:rsidRDefault="001A466F" w:rsidP="00210552">
      <w:pPr>
        <w:pStyle w:val="Body"/>
      </w:pPr>
      <w:r>
        <w:t xml:space="preserve">The SDT tool, completed every month, will be used to calculate the target and performance relating to the annual daily average number of children, in each funded activity, </w:t>
      </w:r>
    </w:p>
    <w:p w14:paraId="7F13C963" w14:textId="77777777" w:rsidR="001A466F" w:rsidRDefault="001A466F" w:rsidP="00210552">
      <w:pPr>
        <w:pStyle w:val="Body"/>
      </w:pPr>
      <w:r>
        <w:t>The variance between Performance and target will be calculated by:</w:t>
      </w:r>
    </w:p>
    <w:p w14:paraId="3521EA74" w14:textId="77777777" w:rsidR="001A466F" w:rsidRDefault="001A466F" w:rsidP="00210552">
      <w:pPr>
        <w:pStyle w:val="Bullet1"/>
      </w:pPr>
      <w:bookmarkStart w:id="20" w:name="_Hlk96418706"/>
      <w:r>
        <w:t>daily average annual performance minus daily average annual target</w:t>
      </w:r>
    </w:p>
    <w:bookmarkEnd w:id="20"/>
    <w:p w14:paraId="712C37FC" w14:textId="77777777" w:rsidR="001A466F" w:rsidRDefault="001A466F" w:rsidP="00210552">
      <w:pPr>
        <w:pStyle w:val="Bodyafterbullets"/>
      </w:pPr>
      <w:r>
        <w:t>If this is positive, the service provider is considered to have over performed against the activity.</w:t>
      </w:r>
    </w:p>
    <w:p w14:paraId="486CA234" w14:textId="77777777" w:rsidR="001A466F" w:rsidRDefault="001A466F" w:rsidP="00210552">
      <w:pPr>
        <w:pStyle w:val="Body"/>
      </w:pPr>
      <w:r>
        <w:t>The service provider may be eligible for additional targets (and associated funding) based on the variance.</w:t>
      </w:r>
    </w:p>
    <w:p w14:paraId="0A976ED9" w14:textId="09E029FB" w:rsidR="001A466F" w:rsidRDefault="001A466F" w:rsidP="00210552">
      <w:pPr>
        <w:pStyle w:val="Body"/>
      </w:pPr>
      <w:r>
        <w:t xml:space="preserve">Example a service provider is funded for a total HBC General target of 60. If a service provider were to deliver a DAO of 61.3 targets for the </w:t>
      </w:r>
      <w:r w:rsidR="006C768B">
        <w:t>review</w:t>
      </w:r>
      <w:r>
        <w:t xml:space="preserve"> </w:t>
      </w:r>
      <w:r w:rsidR="00136EB1">
        <w:t>period</w:t>
      </w:r>
      <w:r>
        <w:t xml:space="preserve">, this would equate to a performance of 1.3 targets more than the total targets funded.      </w:t>
      </w:r>
    </w:p>
    <w:p w14:paraId="6E843905" w14:textId="77777777" w:rsidR="001A466F" w:rsidRDefault="001A466F" w:rsidP="008A702B">
      <w:pPr>
        <w:pStyle w:val="Tablecaption"/>
      </w:pPr>
      <w:r>
        <w:t xml:space="preserve">Figure 3 Illustrates DAO over </w:t>
      </w:r>
      <w:proofErr w:type="gramStart"/>
      <w:r>
        <w:t>performance</w:t>
      </w:r>
      <w:proofErr w:type="gramEnd"/>
      <w:r>
        <w:t xml:space="preserve"> </w:t>
      </w:r>
    </w:p>
    <w:tbl>
      <w:tblPr>
        <w:tblW w:w="6904" w:type="dxa"/>
        <w:tblInd w:w="108" w:type="dxa"/>
        <w:tblLook w:val="0000" w:firstRow="0" w:lastRow="0" w:firstColumn="0" w:lastColumn="0" w:noHBand="0" w:noVBand="0"/>
      </w:tblPr>
      <w:tblGrid>
        <w:gridCol w:w="2255"/>
        <w:gridCol w:w="1563"/>
        <w:gridCol w:w="1436"/>
        <w:gridCol w:w="1650"/>
      </w:tblGrid>
      <w:tr w:rsidR="001A466F" w:rsidRPr="00032BC9" w14:paraId="79B08802" w14:textId="77777777" w:rsidTr="00B56F63">
        <w:trPr>
          <w:trHeight w:val="300"/>
        </w:trPr>
        <w:tc>
          <w:tcPr>
            <w:tcW w:w="2255" w:type="dxa"/>
            <w:tcBorders>
              <w:top w:val="nil"/>
              <w:left w:val="nil"/>
              <w:bottom w:val="nil"/>
              <w:right w:val="nil"/>
            </w:tcBorders>
            <w:noWrap/>
            <w:vAlign w:val="bottom"/>
          </w:tcPr>
          <w:p w14:paraId="618C6BE0" w14:textId="77777777" w:rsidR="001A466F" w:rsidRPr="00032BC9" w:rsidRDefault="001A466F" w:rsidP="00B56F63">
            <w:pPr>
              <w:jc w:val="center"/>
              <w:rPr>
                <w:rFonts w:ascii="Calibri" w:eastAsia="MS Mincho" w:hAnsi="Calibri" w:cs="Arial"/>
                <w:sz w:val="22"/>
                <w:szCs w:val="22"/>
                <w:lang w:eastAsia="ja-JP"/>
              </w:rPr>
            </w:pPr>
          </w:p>
        </w:tc>
        <w:tc>
          <w:tcPr>
            <w:tcW w:w="4649"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tcPr>
          <w:p w14:paraId="63136257" w14:textId="77777777" w:rsidR="001A466F" w:rsidRDefault="001A466F" w:rsidP="00210552">
            <w:pPr>
              <w:pStyle w:val="Tablecolhead"/>
              <w:jc w:val="center"/>
              <w:rPr>
                <w:rFonts w:eastAsia="MS Mincho"/>
                <w:lang w:eastAsia="ja-JP"/>
              </w:rPr>
            </w:pPr>
            <w:r>
              <w:rPr>
                <w:rFonts w:eastAsia="MS Mincho"/>
                <w:lang w:eastAsia="ja-JP"/>
              </w:rPr>
              <w:t>HBC General</w:t>
            </w:r>
          </w:p>
        </w:tc>
      </w:tr>
      <w:tr w:rsidR="001A466F" w:rsidRPr="00032BC9" w14:paraId="26A1CB4A" w14:textId="77777777" w:rsidTr="00B56F63">
        <w:trPr>
          <w:trHeight w:val="300"/>
        </w:trPr>
        <w:tc>
          <w:tcPr>
            <w:tcW w:w="2255" w:type="dxa"/>
            <w:tcBorders>
              <w:top w:val="nil"/>
              <w:left w:val="nil"/>
              <w:bottom w:val="nil"/>
              <w:right w:val="nil"/>
            </w:tcBorders>
            <w:noWrap/>
            <w:vAlign w:val="bottom"/>
          </w:tcPr>
          <w:p w14:paraId="045E9DDB" w14:textId="77777777" w:rsidR="001A466F" w:rsidRPr="00032BC9" w:rsidRDefault="001A466F" w:rsidP="00B56F63">
            <w:pPr>
              <w:jc w:val="center"/>
              <w:rPr>
                <w:rFonts w:ascii="Calibri" w:eastAsia="MS Mincho" w:hAnsi="Calibri" w:cs="Arial"/>
                <w:sz w:val="22"/>
                <w:szCs w:val="22"/>
                <w:lang w:eastAsia="ja-JP"/>
              </w:rPr>
            </w:pPr>
          </w:p>
        </w:tc>
        <w:tc>
          <w:tcPr>
            <w:tcW w:w="4649" w:type="dxa"/>
            <w:gridSpan w:val="3"/>
            <w:tcBorders>
              <w:top w:val="single" w:sz="4" w:space="0" w:color="auto"/>
              <w:left w:val="single" w:sz="4" w:space="0" w:color="auto"/>
              <w:bottom w:val="single" w:sz="4" w:space="0" w:color="auto"/>
              <w:right w:val="single" w:sz="4" w:space="0" w:color="auto"/>
            </w:tcBorders>
            <w:shd w:val="clear" w:color="auto" w:fill="C0C0C0"/>
            <w:noWrap/>
            <w:vAlign w:val="bottom"/>
          </w:tcPr>
          <w:p w14:paraId="3CDA880A" w14:textId="77777777" w:rsidR="001A466F" w:rsidRDefault="001A466F" w:rsidP="00210552">
            <w:pPr>
              <w:pStyle w:val="Tablecolhead"/>
              <w:jc w:val="center"/>
              <w:rPr>
                <w:rFonts w:eastAsia="MS Mincho"/>
                <w:lang w:eastAsia="ja-JP"/>
              </w:rPr>
            </w:pPr>
            <w:r>
              <w:rPr>
                <w:rFonts w:eastAsia="MS Mincho"/>
                <w:lang w:eastAsia="ja-JP"/>
              </w:rPr>
              <w:t>31214</w:t>
            </w:r>
          </w:p>
        </w:tc>
      </w:tr>
      <w:tr w:rsidR="001A466F" w:rsidRPr="00032BC9" w14:paraId="30C32AC5" w14:textId="77777777" w:rsidTr="00B56F63">
        <w:trPr>
          <w:trHeight w:val="300"/>
        </w:trPr>
        <w:tc>
          <w:tcPr>
            <w:tcW w:w="2255" w:type="dxa"/>
            <w:tcBorders>
              <w:top w:val="nil"/>
              <w:left w:val="nil"/>
              <w:bottom w:val="nil"/>
              <w:right w:val="nil"/>
            </w:tcBorders>
            <w:noWrap/>
            <w:vAlign w:val="bottom"/>
          </w:tcPr>
          <w:p w14:paraId="28009FB0" w14:textId="77777777" w:rsidR="001A466F" w:rsidRPr="00032BC9" w:rsidRDefault="001A466F" w:rsidP="00B56F63">
            <w:pPr>
              <w:jc w:val="center"/>
              <w:rPr>
                <w:rFonts w:ascii="Calibri" w:eastAsia="MS Mincho" w:hAnsi="Calibri" w:cs="Arial"/>
                <w:sz w:val="22"/>
                <w:szCs w:val="22"/>
                <w:lang w:eastAsia="ja-JP"/>
              </w:rPr>
            </w:pPr>
          </w:p>
        </w:tc>
        <w:tc>
          <w:tcPr>
            <w:tcW w:w="1563" w:type="dxa"/>
            <w:tcBorders>
              <w:top w:val="single" w:sz="4" w:space="0" w:color="auto"/>
              <w:left w:val="single" w:sz="4" w:space="0" w:color="auto"/>
              <w:bottom w:val="single" w:sz="4" w:space="0" w:color="auto"/>
              <w:right w:val="nil"/>
            </w:tcBorders>
            <w:shd w:val="clear" w:color="auto" w:fill="C0C0C0"/>
            <w:noWrap/>
            <w:vAlign w:val="bottom"/>
          </w:tcPr>
          <w:p w14:paraId="3AFAF98E" w14:textId="77777777" w:rsidR="001A466F" w:rsidRPr="00AC03D9" w:rsidRDefault="001A466F" w:rsidP="00210552">
            <w:pPr>
              <w:pStyle w:val="Tablecolhead"/>
              <w:rPr>
                <w:rFonts w:eastAsia="MS Mincho"/>
                <w:lang w:eastAsia="ja-JP"/>
              </w:rPr>
            </w:pPr>
            <w:r w:rsidRPr="00AC03D9">
              <w:rPr>
                <w:rFonts w:eastAsia="MS Mincho"/>
                <w:lang w:eastAsia="ja-JP"/>
              </w:rPr>
              <w:t>Target</w:t>
            </w:r>
          </w:p>
        </w:tc>
        <w:tc>
          <w:tcPr>
            <w:tcW w:w="1436" w:type="dxa"/>
            <w:tcBorders>
              <w:top w:val="single" w:sz="4" w:space="0" w:color="auto"/>
              <w:left w:val="nil"/>
              <w:bottom w:val="single" w:sz="4" w:space="0" w:color="auto"/>
              <w:right w:val="nil"/>
            </w:tcBorders>
            <w:shd w:val="clear" w:color="auto" w:fill="BFBFBF"/>
            <w:noWrap/>
            <w:vAlign w:val="bottom"/>
          </w:tcPr>
          <w:p w14:paraId="49449587" w14:textId="77777777" w:rsidR="001A466F" w:rsidRPr="00AC03D9" w:rsidRDefault="001A466F" w:rsidP="00210552">
            <w:pPr>
              <w:pStyle w:val="Tablecolhead"/>
              <w:rPr>
                <w:rFonts w:eastAsia="MS Mincho"/>
                <w:lang w:eastAsia="ja-JP"/>
              </w:rPr>
            </w:pPr>
            <w:r w:rsidRPr="00AC03D9">
              <w:rPr>
                <w:rFonts w:eastAsia="MS Mincho"/>
                <w:lang w:eastAsia="ja-JP"/>
              </w:rPr>
              <w:t>Actual</w:t>
            </w:r>
          </w:p>
        </w:tc>
        <w:tc>
          <w:tcPr>
            <w:tcW w:w="1650" w:type="dxa"/>
            <w:tcBorders>
              <w:top w:val="single" w:sz="4" w:space="0" w:color="auto"/>
              <w:left w:val="nil"/>
              <w:bottom w:val="single" w:sz="4" w:space="0" w:color="auto"/>
              <w:right w:val="single" w:sz="4" w:space="0" w:color="auto"/>
            </w:tcBorders>
            <w:shd w:val="clear" w:color="auto" w:fill="C0C0C0"/>
            <w:noWrap/>
            <w:vAlign w:val="bottom"/>
          </w:tcPr>
          <w:p w14:paraId="672926D2" w14:textId="77777777" w:rsidR="001A466F" w:rsidRPr="00AC03D9" w:rsidRDefault="001A466F" w:rsidP="00210552">
            <w:pPr>
              <w:pStyle w:val="Tablecolhead"/>
              <w:rPr>
                <w:rFonts w:eastAsia="MS Mincho"/>
                <w:lang w:eastAsia="ja-JP"/>
              </w:rPr>
            </w:pPr>
            <w:r>
              <w:rPr>
                <w:rFonts w:eastAsia="MS Mincho"/>
                <w:lang w:eastAsia="ja-JP"/>
              </w:rPr>
              <w:t>Variance between actual and target</w:t>
            </w:r>
          </w:p>
        </w:tc>
      </w:tr>
      <w:tr w:rsidR="001A466F" w:rsidRPr="00032BC9" w14:paraId="2DC5CC03"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4A4C914C" w14:textId="77B72D1D" w:rsidR="001A466F" w:rsidRPr="00032BC9" w:rsidRDefault="006C768B" w:rsidP="00210552">
            <w:pPr>
              <w:pStyle w:val="Tabletext"/>
              <w:rPr>
                <w:rFonts w:eastAsia="MS Mincho"/>
                <w:lang w:eastAsia="ja-JP"/>
              </w:rPr>
            </w:pPr>
            <w:r>
              <w:rPr>
                <w:rFonts w:eastAsia="MS Mincho"/>
                <w:lang w:eastAsia="ja-JP"/>
              </w:rPr>
              <w:t>April</w:t>
            </w:r>
          </w:p>
        </w:tc>
        <w:tc>
          <w:tcPr>
            <w:tcW w:w="1563" w:type="dxa"/>
            <w:tcBorders>
              <w:top w:val="dotted" w:sz="4" w:space="0" w:color="auto"/>
              <w:left w:val="nil"/>
              <w:bottom w:val="dotted" w:sz="4" w:space="0" w:color="auto"/>
              <w:right w:val="nil"/>
            </w:tcBorders>
            <w:shd w:val="clear" w:color="auto" w:fill="auto"/>
            <w:noWrap/>
            <w:vAlign w:val="bottom"/>
          </w:tcPr>
          <w:p w14:paraId="766EE041"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169E210A" w14:textId="77777777" w:rsidR="001A466F" w:rsidRPr="00032BC9" w:rsidRDefault="001A466F" w:rsidP="00210552">
            <w:pPr>
              <w:pStyle w:val="Tabletext"/>
              <w:rPr>
                <w:rFonts w:eastAsia="MS Mincho"/>
                <w:lang w:eastAsia="ja-JP"/>
              </w:rPr>
            </w:pPr>
            <w:r>
              <w:rPr>
                <w:rFonts w:cs="Arial"/>
                <w:color w:val="000000"/>
              </w:rPr>
              <w:t>60</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4B664730" w14:textId="77777777" w:rsidR="001A466F" w:rsidRPr="00032BC9" w:rsidRDefault="001A466F" w:rsidP="00210552">
            <w:pPr>
              <w:pStyle w:val="Tabletext"/>
              <w:rPr>
                <w:rFonts w:eastAsia="MS Mincho"/>
                <w:lang w:eastAsia="ja-JP"/>
              </w:rPr>
            </w:pPr>
          </w:p>
        </w:tc>
      </w:tr>
      <w:tr w:rsidR="001A466F" w:rsidRPr="00032BC9" w14:paraId="7367AAB3"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1830652F" w14:textId="494AB4CF" w:rsidR="001A466F" w:rsidRPr="00032BC9" w:rsidRDefault="006C768B" w:rsidP="00210552">
            <w:pPr>
              <w:pStyle w:val="Tabletext"/>
              <w:rPr>
                <w:rFonts w:eastAsia="MS Mincho"/>
                <w:lang w:eastAsia="ja-JP"/>
              </w:rPr>
            </w:pPr>
            <w:r>
              <w:rPr>
                <w:rFonts w:eastAsia="MS Mincho"/>
                <w:lang w:eastAsia="ja-JP"/>
              </w:rPr>
              <w:t>May</w:t>
            </w:r>
          </w:p>
        </w:tc>
        <w:tc>
          <w:tcPr>
            <w:tcW w:w="1563" w:type="dxa"/>
            <w:tcBorders>
              <w:top w:val="dotted" w:sz="4" w:space="0" w:color="auto"/>
              <w:left w:val="nil"/>
              <w:bottom w:val="dotted" w:sz="4" w:space="0" w:color="auto"/>
              <w:right w:val="nil"/>
            </w:tcBorders>
            <w:shd w:val="clear" w:color="auto" w:fill="auto"/>
            <w:noWrap/>
            <w:vAlign w:val="bottom"/>
          </w:tcPr>
          <w:p w14:paraId="13A68A9A"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771FF734" w14:textId="77777777" w:rsidR="001A466F" w:rsidRPr="00032BC9" w:rsidRDefault="001A466F" w:rsidP="00210552">
            <w:pPr>
              <w:pStyle w:val="Tabletext"/>
              <w:rPr>
                <w:rFonts w:eastAsia="MS Mincho"/>
                <w:lang w:eastAsia="ja-JP"/>
              </w:rPr>
            </w:pPr>
            <w:r>
              <w:rPr>
                <w:rFonts w:eastAsia="MS Mincho" w:cs="Arial"/>
                <w:lang w:eastAsia="ja-JP"/>
              </w:rPr>
              <w:t>60</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205B8E1D" w14:textId="77777777" w:rsidR="001A466F" w:rsidRPr="00032BC9" w:rsidRDefault="001A466F" w:rsidP="00210552">
            <w:pPr>
              <w:pStyle w:val="Tabletext"/>
              <w:rPr>
                <w:rFonts w:eastAsia="MS Mincho"/>
                <w:lang w:eastAsia="ja-JP"/>
              </w:rPr>
            </w:pPr>
          </w:p>
        </w:tc>
      </w:tr>
      <w:tr w:rsidR="001A466F" w:rsidRPr="00032BC9" w14:paraId="73868139"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B0C8FC2" w14:textId="52074C07" w:rsidR="001A466F" w:rsidRPr="00032BC9" w:rsidRDefault="006C768B" w:rsidP="00210552">
            <w:pPr>
              <w:pStyle w:val="Tabletext"/>
              <w:rPr>
                <w:rFonts w:eastAsia="MS Mincho"/>
                <w:lang w:eastAsia="ja-JP"/>
              </w:rPr>
            </w:pPr>
            <w:r>
              <w:rPr>
                <w:rFonts w:eastAsia="MS Mincho"/>
                <w:lang w:eastAsia="ja-JP"/>
              </w:rPr>
              <w:t>June</w:t>
            </w:r>
          </w:p>
        </w:tc>
        <w:tc>
          <w:tcPr>
            <w:tcW w:w="1563" w:type="dxa"/>
            <w:tcBorders>
              <w:top w:val="dotted" w:sz="4" w:space="0" w:color="auto"/>
              <w:left w:val="nil"/>
              <w:bottom w:val="dotted" w:sz="4" w:space="0" w:color="auto"/>
              <w:right w:val="nil"/>
            </w:tcBorders>
            <w:shd w:val="clear" w:color="auto" w:fill="auto"/>
            <w:noWrap/>
            <w:vAlign w:val="bottom"/>
          </w:tcPr>
          <w:p w14:paraId="5BF3F3B2"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38D8D4FF" w14:textId="77777777" w:rsidR="001A466F" w:rsidRPr="00032BC9" w:rsidRDefault="001A466F" w:rsidP="00210552">
            <w:pPr>
              <w:pStyle w:val="Tabletext"/>
              <w:rPr>
                <w:rFonts w:eastAsia="MS Mincho"/>
                <w:lang w:eastAsia="ja-JP"/>
              </w:rPr>
            </w:pPr>
            <w:r>
              <w:rPr>
                <w:rFonts w:eastAsia="MS Mincho" w:cs="Arial"/>
                <w:lang w:eastAsia="ja-JP"/>
              </w:rPr>
              <w:t>61</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7170129A" w14:textId="77777777" w:rsidR="001A466F" w:rsidRPr="00032BC9" w:rsidRDefault="001A466F" w:rsidP="00210552">
            <w:pPr>
              <w:pStyle w:val="Tabletext"/>
              <w:rPr>
                <w:rFonts w:eastAsia="MS Mincho"/>
                <w:lang w:eastAsia="ja-JP"/>
              </w:rPr>
            </w:pPr>
          </w:p>
        </w:tc>
      </w:tr>
      <w:tr w:rsidR="001A466F" w:rsidRPr="00032BC9" w14:paraId="30B08BDF"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0A185B7A" w14:textId="7CFC98C8" w:rsidR="001A466F" w:rsidRPr="00032BC9" w:rsidRDefault="006C768B" w:rsidP="00210552">
            <w:pPr>
              <w:pStyle w:val="Tabletext"/>
              <w:rPr>
                <w:rFonts w:eastAsia="MS Mincho"/>
                <w:lang w:eastAsia="ja-JP"/>
              </w:rPr>
            </w:pPr>
            <w:r>
              <w:rPr>
                <w:rFonts w:eastAsia="MS Mincho"/>
                <w:lang w:eastAsia="ja-JP"/>
              </w:rPr>
              <w:t>July</w:t>
            </w:r>
          </w:p>
        </w:tc>
        <w:tc>
          <w:tcPr>
            <w:tcW w:w="1563" w:type="dxa"/>
            <w:tcBorders>
              <w:top w:val="dotted" w:sz="4" w:space="0" w:color="auto"/>
              <w:left w:val="nil"/>
              <w:bottom w:val="dotted" w:sz="4" w:space="0" w:color="auto"/>
              <w:right w:val="nil"/>
            </w:tcBorders>
            <w:shd w:val="clear" w:color="auto" w:fill="auto"/>
            <w:noWrap/>
            <w:vAlign w:val="bottom"/>
          </w:tcPr>
          <w:p w14:paraId="6379FCDC"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59E65DD6" w14:textId="77777777" w:rsidR="001A466F" w:rsidRPr="00032BC9" w:rsidRDefault="001A466F" w:rsidP="00210552">
            <w:pPr>
              <w:pStyle w:val="Tabletext"/>
              <w:rPr>
                <w:rFonts w:eastAsia="MS Mincho"/>
                <w:lang w:eastAsia="ja-JP"/>
              </w:rPr>
            </w:pPr>
            <w:r>
              <w:rPr>
                <w:rFonts w:eastAsia="MS Mincho" w:cs="Arial"/>
                <w:lang w:eastAsia="ja-JP"/>
              </w:rPr>
              <w:t>62</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75AAB361" w14:textId="77777777" w:rsidR="001A466F" w:rsidRPr="00032BC9" w:rsidRDefault="001A466F" w:rsidP="00210552">
            <w:pPr>
              <w:pStyle w:val="Tabletext"/>
              <w:rPr>
                <w:rFonts w:eastAsia="MS Mincho"/>
                <w:lang w:eastAsia="ja-JP"/>
              </w:rPr>
            </w:pPr>
          </w:p>
        </w:tc>
      </w:tr>
      <w:tr w:rsidR="001A466F" w:rsidRPr="00032BC9" w14:paraId="22233AD9"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7FF2B8C2" w14:textId="017E349C" w:rsidR="001A466F" w:rsidRPr="00032BC9" w:rsidRDefault="006C768B" w:rsidP="00210552">
            <w:pPr>
              <w:pStyle w:val="Tabletext"/>
              <w:rPr>
                <w:rFonts w:eastAsia="MS Mincho"/>
                <w:lang w:eastAsia="ja-JP"/>
              </w:rPr>
            </w:pPr>
            <w:r>
              <w:rPr>
                <w:rFonts w:eastAsia="MS Mincho"/>
                <w:lang w:eastAsia="ja-JP"/>
              </w:rPr>
              <w:t>August</w:t>
            </w:r>
          </w:p>
        </w:tc>
        <w:tc>
          <w:tcPr>
            <w:tcW w:w="1563" w:type="dxa"/>
            <w:tcBorders>
              <w:top w:val="dotted" w:sz="4" w:space="0" w:color="auto"/>
              <w:left w:val="nil"/>
              <w:bottom w:val="dotted" w:sz="4" w:space="0" w:color="auto"/>
              <w:right w:val="nil"/>
            </w:tcBorders>
            <w:shd w:val="clear" w:color="auto" w:fill="auto"/>
            <w:noWrap/>
            <w:vAlign w:val="bottom"/>
          </w:tcPr>
          <w:p w14:paraId="1DA6E703"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26F90D5F" w14:textId="77777777" w:rsidR="001A466F" w:rsidRPr="00032BC9" w:rsidRDefault="001A466F" w:rsidP="00210552">
            <w:pPr>
              <w:pStyle w:val="Tabletext"/>
              <w:rPr>
                <w:rFonts w:eastAsia="MS Mincho"/>
                <w:lang w:eastAsia="ja-JP"/>
              </w:rPr>
            </w:pPr>
            <w:r>
              <w:rPr>
                <w:rFonts w:eastAsia="MS Mincho" w:cs="Arial"/>
                <w:lang w:eastAsia="ja-JP"/>
              </w:rPr>
              <w:t>60</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3B82C097" w14:textId="77777777" w:rsidR="001A466F" w:rsidRPr="00032BC9" w:rsidRDefault="001A466F" w:rsidP="00210552">
            <w:pPr>
              <w:pStyle w:val="Tabletext"/>
              <w:rPr>
                <w:rFonts w:eastAsia="MS Mincho"/>
                <w:lang w:eastAsia="ja-JP"/>
              </w:rPr>
            </w:pPr>
          </w:p>
        </w:tc>
      </w:tr>
      <w:tr w:rsidR="001A466F" w:rsidRPr="00032BC9" w14:paraId="7EDC899A"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3C955014" w14:textId="61B4F333" w:rsidR="001A466F" w:rsidRPr="00032BC9" w:rsidRDefault="006C768B" w:rsidP="00210552">
            <w:pPr>
              <w:pStyle w:val="Tabletext"/>
              <w:rPr>
                <w:rFonts w:eastAsia="MS Mincho"/>
                <w:lang w:eastAsia="ja-JP"/>
              </w:rPr>
            </w:pPr>
            <w:r>
              <w:rPr>
                <w:rFonts w:eastAsia="MS Mincho"/>
                <w:lang w:eastAsia="ja-JP"/>
              </w:rPr>
              <w:t>September</w:t>
            </w:r>
          </w:p>
        </w:tc>
        <w:tc>
          <w:tcPr>
            <w:tcW w:w="1563" w:type="dxa"/>
            <w:tcBorders>
              <w:top w:val="dotted" w:sz="4" w:space="0" w:color="auto"/>
              <w:left w:val="nil"/>
              <w:bottom w:val="dotted" w:sz="4" w:space="0" w:color="auto"/>
              <w:right w:val="nil"/>
            </w:tcBorders>
            <w:shd w:val="clear" w:color="auto" w:fill="auto"/>
            <w:noWrap/>
            <w:vAlign w:val="bottom"/>
          </w:tcPr>
          <w:p w14:paraId="472DE06A"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4607117B" w14:textId="77777777" w:rsidR="001A466F" w:rsidRPr="00032BC9" w:rsidRDefault="001A466F" w:rsidP="00210552">
            <w:pPr>
              <w:pStyle w:val="Tabletext"/>
              <w:rPr>
                <w:rFonts w:eastAsia="MS Mincho"/>
                <w:lang w:eastAsia="ja-JP"/>
              </w:rPr>
            </w:pPr>
            <w:r>
              <w:rPr>
                <w:rFonts w:eastAsia="MS Mincho" w:cs="Arial"/>
                <w:lang w:eastAsia="ja-JP"/>
              </w:rPr>
              <w:t>62</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183686C2" w14:textId="77777777" w:rsidR="001A466F" w:rsidRPr="00032BC9" w:rsidRDefault="001A466F" w:rsidP="00210552">
            <w:pPr>
              <w:pStyle w:val="Tabletext"/>
              <w:rPr>
                <w:rFonts w:eastAsia="MS Mincho"/>
                <w:lang w:eastAsia="ja-JP"/>
              </w:rPr>
            </w:pPr>
          </w:p>
        </w:tc>
      </w:tr>
      <w:tr w:rsidR="001A466F" w:rsidRPr="00032BC9" w14:paraId="25799FD3" w14:textId="77777777" w:rsidTr="00903D7A">
        <w:trPr>
          <w:trHeight w:val="300"/>
        </w:trPr>
        <w:tc>
          <w:tcPr>
            <w:tcW w:w="2255" w:type="dxa"/>
            <w:tcBorders>
              <w:top w:val="dotted" w:sz="4" w:space="0" w:color="auto"/>
              <w:left w:val="single" w:sz="4" w:space="0" w:color="auto"/>
              <w:bottom w:val="dotted" w:sz="4" w:space="0" w:color="auto"/>
              <w:right w:val="single" w:sz="4" w:space="0" w:color="auto"/>
            </w:tcBorders>
            <w:shd w:val="clear" w:color="auto" w:fill="auto"/>
            <w:noWrap/>
            <w:vAlign w:val="bottom"/>
          </w:tcPr>
          <w:p w14:paraId="6D97E3EF" w14:textId="75E2E403" w:rsidR="001A466F" w:rsidRPr="00032BC9" w:rsidRDefault="006C768B" w:rsidP="00210552">
            <w:pPr>
              <w:pStyle w:val="Tabletext"/>
              <w:rPr>
                <w:rFonts w:eastAsia="MS Mincho"/>
                <w:lang w:eastAsia="ja-JP"/>
              </w:rPr>
            </w:pPr>
            <w:r>
              <w:rPr>
                <w:rFonts w:eastAsia="MS Mincho"/>
                <w:lang w:eastAsia="ja-JP"/>
              </w:rPr>
              <w:t>October</w:t>
            </w:r>
          </w:p>
        </w:tc>
        <w:tc>
          <w:tcPr>
            <w:tcW w:w="1563" w:type="dxa"/>
            <w:tcBorders>
              <w:top w:val="dotted" w:sz="4" w:space="0" w:color="auto"/>
              <w:left w:val="nil"/>
              <w:bottom w:val="dotted" w:sz="4" w:space="0" w:color="auto"/>
              <w:right w:val="nil"/>
            </w:tcBorders>
            <w:shd w:val="clear" w:color="auto" w:fill="auto"/>
            <w:noWrap/>
            <w:vAlign w:val="bottom"/>
          </w:tcPr>
          <w:p w14:paraId="771045ED" w14:textId="77777777" w:rsidR="001A466F" w:rsidRPr="00032BC9" w:rsidRDefault="001A466F" w:rsidP="00210552">
            <w:pPr>
              <w:pStyle w:val="Tabletext"/>
              <w:rPr>
                <w:rFonts w:eastAsia="MS Mincho"/>
                <w:b/>
                <w:bCs/>
                <w:lang w:eastAsia="ja-JP"/>
              </w:rPr>
            </w:pPr>
            <w:r w:rsidRPr="00032BC9">
              <w:rPr>
                <w:rFonts w:eastAsia="MS Mincho"/>
                <w:b/>
                <w:bCs/>
                <w:lang w:eastAsia="ja-JP"/>
              </w:rPr>
              <w:t>60</w:t>
            </w:r>
          </w:p>
        </w:tc>
        <w:tc>
          <w:tcPr>
            <w:tcW w:w="1436" w:type="dxa"/>
            <w:tcBorders>
              <w:top w:val="dotted" w:sz="4" w:space="0" w:color="auto"/>
              <w:left w:val="nil"/>
              <w:bottom w:val="dotted" w:sz="4" w:space="0" w:color="auto"/>
              <w:right w:val="nil"/>
            </w:tcBorders>
            <w:shd w:val="clear" w:color="auto" w:fill="auto"/>
            <w:noWrap/>
            <w:vAlign w:val="center"/>
          </w:tcPr>
          <w:p w14:paraId="465789E9" w14:textId="77777777" w:rsidR="001A466F" w:rsidRPr="00032BC9" w:rsidRDefault="001A466F" w:rsidP="00210552">
            <w:pPr>
              <w:pStyle w:val="Tabletext"/>
              <w:rPr>
                <w:rFonts w:eastAsia="MS Mincho"/>
                <w:lang w:eastAsia="ja-JP"/>
              </w:rPr>
            </w:pPr>
            <w:r>
              <w:rPr>
                <w:rFonts w:eastAsia="MS Mincho" w:cs="Arial"/>
                <w:lang w:eastAsia="ja-JP"/>
              </w:rPr>
              <w:t>60</w:t>
            </w:r>
          </w:p>
        </w:tc>
        <w:tc>
          <w:tcPr>
            <w:tcW w:w="1650" w:type="dxa"/>
            <w:tcBorders>
              <w:top w:val="dotted" w:sz="4" w:space="0" w:color="auto"/>
              <w:left w:val="nil"/>
              <w:bottom w:val="dotted" w:sz="4" w:space="0" w:color="auto"/>
              <w:right w:val="single" w:sz="4" w:space="0" w:color="auto"/>
            </w:tcBorders>
            <w:shd w:val="clear" w:color="auto" w:fill="auto"/>
            <w:noWrap/>
            <w:vAlign w:val="bottom"/>
          </w:tcPr>
          <w:p w14:paraId="27529061" w14:textId="77777777" w:rsidR="001A466F" w:rsidRPr="00032BC9" w:rsidRDefault="001A466F" w:rsidP="00210552">
            <w:pPr>
              <w:pStyle w:val="Tabletext"/>
              <w:rPr>
                <w:rFonts w:eastAsia="MS Mincho"/>
                <w:lang w:eastAsia="ja-JP"/>
              </w:rPr>
            </w:pPr>
          </w:p>
        </w:tc>
      </w:tr>
      <w:tr w:rsidR="001A466F" w:rsidRPr="00032BC9" w14:paraId="0B784392" w14:textId="77777777" w:rsidTr="00903D7A">
        <w:trPr>
          <w:trHeight w:val="300"/>
        </w:trPr>
        <w:tc>
          <w:tcPr>
            <w:tcW w:w="2255" w:type="dxa"/>
            <w:tcBorders>
              <w:top w:val="nil"/>
              <w:left w:val="single" w:sz="4" w:space="0" w:color="auto"/>
              <w:bottom w:val="dotted" w:sz="4" w:space="0" w:color="auto"/>
              <w:right w:val="single" w:sz="4" w:space="0" w:color="auto"/>
            </w:tcBorders>
            <w:shd w:val="clear" w:color="auto" w:fill="auto"/>
            <w:noWrap/>
            <w:vAlign w:val="bottom"/>
          </w:tcPr>
          <w:p w14:paraId="45F5192D" w14:textId="1C522F64" w:rsidR="001A466F" w:rsidRPr="00032BC9" w:rsidRDefault="006C768B" w:rsidP="00210552">
            <w:pPr>
              <w:pStyle w:val="Tabletext"/>
              <w:rPr>
                <w:rFonts w:eastAsia="MS Mincho"/>
                <w:lang w:eastAsia="ja-JP"/>
              </w:rPr>
            </w:pPr>
            <w:r>
              <w:rPr>
                <w:rFonts w:eastAsia="MS Mincho"/>
                <w:lang w:eastAsia="ja-JP"/>
              </w:rPr>
              <w:t>November</w:t>
            </w:r>
          </w:p>
        </w:tc>
        <w:tc>
          <w:tcPr>
            <w:tcW w:w="1563" w:type="dxa"/>
            <w:tcBorders>
              <w:top w:val="nil"/>
              <w:left w:val="nil"/>
              <w:bottom w:val="dotted" w:sz="4" w:space="0" w:color="auto"/>
              <w:right w:val="nil"/>
            </w:tcBorders>
            <w:shd w:val="clear" w:color="auto" w:fill="auto"/>
            <w:noWrap/>
            <w:vAlign w:val="bottom"/>
          </w:tcPr>
          <w:p w14:paraId="66D39DAD" w14:textId="77777777" w:rsidR="001A466F" w:rsidRPr="00032BC9" w:rsidRDefault="001A466F" w:rsidP="00210552">
            <w:pPr>
              <w:pStyle w:val="Tabletext"/>
              <w:rPr>
                <w:rFonts w:eastAsia="MS Mincho"/>
                <w:b/>
                <w:bCs/>
                <w:lang w:eastAsia="ja-JP"/>
              </w:rPr>
            </w:pPr>
            <w:r w:rsidRPr="00032BC9">
              <w:rPr>
                <w:rFonts w:eastAsia="MS Mincho"/>
                <w:b/>
                <w:bCs/>
                <w:lang w:eastAsia="ja-JP"/>
              </w:rPr>
              <w:t>60</w:t>
            </w:r>
          </w:p>
        </w:tc>
        <w:tc>
          <w:tcPr>
            <w:tcW w:w="1436" w:type="dxa"/>
            <w:tcBorders>
              <w:top w:val="nil"/>
              <w:left w:val="nil"/>
              <w:bottom w:val="dotted" w:sz="4" w:space="0" w:color="auto"/>
              <w:right w:val="nil"/>
            </w:tcBorders>
            <w:shd w:val="clear" w:color="auto" w:fill="auto"/>
            <w:noWrap/>
            <w:vAlign w:val="center"/>
          </w:tcPr>
          <w:p w14:paraId="5F54D6E1" w14:textId="77777777" w:rsidR="001A466F" w:rsidRPr="00032BC9" w:rsidRDefault="001A466F" w:rsidP="00210552">
            <w:pPr>
              <w:pStyle w:val="Tabletext"/>
              <w:rPr>
                <w:rFonts w:eastAsia="MS Mincho"/>
                <w:lang w:eastAsia="ja-JP"/>
              </w:rPr>
            </w:pPr>
            <w:r>
              <w:rPr>
                <w:rFonts w:eastAsia="MS Mincho" w:cs="Arial"/>
                <w:lang w:eastAsia="ja-JP"/>
              </w:rPr>
              <w:t>62</w:t>
            </w:r>
          </w:p>
        </w:tc>
        <w:tc>
          <w:tcPr>
            <w:tcW w:w="1650" w:type="dxa"/>
            <w:tcBorders>
              <w:top w:val="nil"/>
              <w:left w:val="nil"/>
              <w:bottom w:val="dotted" w:sz="4" w:space="0" w:color="auto"/>
              <w:right w:val="single" w:sz="4" w:space="0" w:color="auto"/>
            </w:tcBorders>
            <w:shd w:val="clear" w:color="auto" w:fill="auto"/>
            <w:noWrap/>
            <w:vAlign w:val="bottom"/>
          </w:tcPr>
          <w:p w14:paraId="54C45831" w14:textId="77777777" w:rsidR="001A466F" w:rsidRPr="00032BC9" w:rsidRDefault="001A466F" w:rsidP="00210552">
            <w:pPr>
              <w:pStyle w:val="Tabletext"/>
              <w:rPr>
                <w:rFonts w:eastAsia="MS Mincho"/>
                <w:lang w:eastAsia="ja-JP"/>
              </w:rPr>
            </w:pPr>
          </w:p>
        </w:tc>
      </w:tr>
      <w:tr w:rsidR="001A466F" w:rsidRPr="00032BC9" w14:paraId="05DD5F77" w14:textId="77777777" w:rsidTr="00903D7A">
        <w:trPr>
          <w:trHeight w:val="300"/>
        </w:trPr>
        <w:tc>
          <w:tcPr>
            <w:tcW w:w="2255" w:type="dxa"/>
            <w:tcBorders>
              <w:top w:val="nil"/>
              <w:left w:val="single" w:sz="4" w:space="0" w:color="auto"/>
              <w:bottom w:val="dotted" w:sz="4" w:space="0" w:color="auto"/>
              <w:right w:val="single" w:sz="4" w:space="0" w:color="auto"/>
            </w:tcBorders>
            <w:shd w:val="clear" w:color="auto" w:fill="auto"/>
            <w:noWrap/>
            <w:vAlign w:val="bottom"/>
          </w:tcPr>
          <w:p w14:paraId="1FC4DD81" w14:textId="17F0E32D" w:rsidR="001A466F" w:rsidRPr="00032BC9" w:rsidRDefault="006C768B" w:rsidP="00210552">
            <w:pPr>
              <w:pStyle w:val="Tabletext"/>
              <w:rPr>
                <w:rFonts w:eastAsia="MS Mincho"/>
                <w:lang w:eastAsia="ja-JP"/>
              </w:rPr>
            </w:pPr>
            <w:r>
              <w:rPr>
                <w:rFonts w:eastAsia="MS Mincho"/>
                <w:lang w:eastAsia="ja-JP"/>
              </w:rPr>
              <w:t>December</w:t>
            </w:r>
          </w:p>
        </w:tc>
        <w:tc>
          <w:tcPr>
            <w:tcW w:w="1563" w:type="dxa"/>
            <w:tcBorders>
              <w:top w:val="nil"/>
              <w:left w:val="nil"/>
              <w:bottom w:val="dotted" w:sz="4" w:space="0" w:color="auto"/>
              <w:right w:val="nil"/>
            </w:tcBorders>
            <w:shd w:val="clear" w:color="auto" w:fill="auto"/>
            <w:noWrap/>
            <w:vAlign w:val="bottom"/>
          </w:tcPr>
          <w:p w14:paraId="5E7270CF" w14:textId="77777777" w:rsidR="001A466F" w:rsidRPr="00032BC9" w:rsidRDefault="001A466F" w:rsidP="00210552">
            <w:pPr>
              <w:pStyle w:val="Tabletext"/>
              <w:rPr>
                <w:rFonts w:eastAsia="MS Mincho"/>
                <w:b/>
                <w:bCs/>
                <w:lang w:eastAsia="ja-JP"/>
              </w:rPr>
            </w:pPr>
            <w:r w:rsidRPr="00032BC9">
              <w:rPr>
                <w:rFonts w:eastAsia="MS Mincho"/>
                <w:b/>
                <w:bCs/>
                <w:lang w:eastAsia="ja-JP"/>
              </w:rPr>
              <w:t>60</w:t>
            </w:r>
          </w:p>
        </w:tc>
        <w:tc>
          <w:tcPr>
            <w:tcW w:w="1436" w:type="dxa"/>
            <w:tcBorders>
              <w:top w:val="nil"/>
              <w:left w:val="nil"/>
              <w:bottom w:val="dotted" w:sz="4" w:space="0" w:color="auto"/>
              <w:right w:val="nil"/>
            </w:tcBorders>
            <w:shd w:val="clear" w:color="auto" w:fill="auto"/>
            <w:noWrap/>
            <w:vAlign w:val="center"/>
          </w:tcPr>
          <w:p w14:paraId="675E91F5" w14:textId="77777777" w:rsidR="001A466F" w:rsidRPr="00032BC9" w:rsidRDefault="001A466F" w:rsidP="00210552">
            <w:pPr>
              <w:pStyle w:val="Tabletext"/>
              <w:rPr>
                <w:rFonts w:eastAsia="MS Mincho"/>
                <w:lang w:eastAsia="ja-JP"/>
              </w:rPr>
            </w:pPr>
            <w:r>
              <w:rPr>
                <w:rFonts w:eastAsia="MS Mincho" w:cs="Arial"/>
                <w:lang w:eastAsia="ja-JP"/>
              </w:rPr>
              <w:t>63</w:t>
            </w:r>
          </w:p>
        </w:tc>
        <w:tc>
          <w:tcPr>
            <w:tcW w:w="1650" w:type="dxa"/>
            <w:tcBorders>
              <w:top w:val="nil"/>
              <w:left w:val="nil"/>
              <w:bottom w:val="dotted" w:sz="4" w:space="0" w:color="auto"/>
              <w:right w:val="single" w:sz="4" w:space="0" w:color="auto"/>
            </w:tcBorders>
            <w:shd w:val="clear" w:color="auto" w:fill="auto"/>
            <w:noWrap/>
            <w:vAlign w:val="bottom"/>
          </w:tcPr>
          <w:p w14:paraId="32125F43" w14:textId="77777777" w:rsidR="001A466F" w:rsidRPr="00032BC9" w:rsidRDefault="001A466F" w:rsidP="00210552">
            <w:pPr>
              <w:pStyle w:val="Tabletext"/>
              <w:rPr>
                <w:rFonts w:eastAsia="MS Mincho"/>
                <w:lang w:eastAsia="ja-JP"/>
              </w:rPr>
            </w:pPr>
          </w:p>
        </w:tc>
      </w:tr>
      <w:tr w:rsidR="001A466F" w:rsidRPr="00032BC9" w14:paraId="1139573B" w14:textId="77777777" w:rsidTr="00B56F63">
        <w:trPr>
          <w:trHeight w:val="300"/>
        </w:trPr>
        <w:tc>
          <w:tcPr>
            <w:tcW w:w="2255" w:type="dxa"/>
            <w:tcBorders>
              <w:top w:val="nil"/>
              <w:left w:val="single" w:sz="4" w:space="0" w:color="auto"/>
              <w:bottom w:val="dotted" w:sz="4" w:space="0" w:color="auto"/>
              <w:right w:val="single" w:sz="4" w:space="0" w:color="auto"/>
            </w:tcBorders>
            <w:noWrap/>
            <w:vAlign w:val="bottom"/>
          </w:tcPr>
          <w:p w14:paraId="18A40EB5" w14:textId="0F47F2A4" w:rsidR="001A466F" w:rsidRPr="00032BC9" w:rsidRDefault="006C768B" w:rsidP="00210552">
            <w:pPr>
              <w:pStyle w:val="Tabletext"/>
              <w:rPr>
                <w:rFonts w:eastAsia="MS Mincho"/>
                <w:lang w:eastAsia="ja-JP"/>
              </w:rPr>
            </w:pPr>
            <w:r>
              <w:rPr>
                <w:rFonts w:eastAsia="MS Mincho"/>
                <w:lang w:eastAsia="ja-JP"/>
              </w:rPr>
              <w:t>January</w:t>
            </w:r>
          </w:p>
        </w:tc>
        <w:tc>
          <w:tcPr>
            <w:tcW w:w="1563" w:type="dxa"/>
            <w:tcBorders>
              <w:top w:val="nil"/>
              <w:left w:val="nil"/>
              <w:bottom w:val="dotted" w:sz="4" w:space="0" w:color="auto"/>
              <w:right w:val="nil"/>
            </w:tcBorders>
            <w:noWrap/>
            <w:vAlign w:val="bottom"/>
          </w:tcPr>
          <w:p w14:paraId="68D4EB40"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nil"/>
              <w:left w:val="nil"/>
              <w:bottom w:val="dotted" w:sz="4" w:space="0" w:color="auto"/>
              <w:right w:val="nil"/>
            </w:tcBorders>
            <w:noWrap/>
            <w:vAlign w:val="center"/>
          </w:tcPr>
          <w:p w14:paraId="4B51EA9D" w14:textId="77777777" w:rsidR="001A466F" w:rsidRPr="00032BC9" w:rsidRDefault="001A466F" w:rsidP="00210552">
            <w:pPr>
              <w:pStyle w:val="Tabletext"/>
              <w:rPr>
                <w:rFonts w:eastAsia="MS Mincho"/>
                <w:lang w:eastAsia="ja-JP"/>
              </w:rPr>
            </w:pPr>
            <w:r>
              <w:rPr>
                <w:rFonts w:eastAsia="MS Mincho" w:cs="Arial"/>
                <w:color w:val="000000"/>
                <w:lang w:eastAsia="ja-JP"/>
              </w:rPr>
              <w:t>62</w:t>
            </w:r>
          </w:p>
        </w:tc>
        <w:tc>
          <w:tcPr>
            <w:tcW w:w="1650" w:type="dxa"/>
            <w:tcBorders>
              <w:top w:val="nil"/>
              <w:left w:val="nil"/>
              <w:bottom w:val="dotted" w:sz="4" w:space="0" w:color="auto"/>
              <w:right w:val="single" w:sz="4" w:space="0" w:color="auto"/>
            </w:tcBorders>
            <w:noWrap/>
            <w:vAlign w:val="bottom"/>
          </w:tcPr>
          <w:p w14:paraId="20A26640" w14:textId="77777777" w:rsidR="001A466F" w:rsidRPr="00032BC9" w:rsidRDefault="001A466F" w:rsidP="00210552">
            <w:pPr>
              <w:pStyle w:val="Tabletext"/>
              <w:rPr>
                <w:rFonts w:eastAsia="MS Mincho"/>
                <w:lang w:eastAsia="ja-JP"/>
              </w:rPr>
            </w:pPr>
            <w:r w:rsidRPr="00032BC9">
              <w:rPr>
                <w:rFonts w:eastAsia="MS Mincho"/>
                <w:lang w:eastAsia="ja-JP"/>
              </w:rPr>
              <w:t> </w:t>
            </w:r>
          </w:p>
        </w:tc>
      </w:tr>
      <w:tr w:rsidR="001A466F" w:rsidRPr="00032BC9" w14:paraId="4D0A7712" w14:textId="77777777" w:rsidTr="00B56F63">
        <w:trPr>
          <w:trHeight w:val="300"/>
        </w:trPr>
        <w:tc>
          <w:tcPr>
            <w:tcW w:w="2255" w:type="dxa"/>
            <w:tcBorders>
              <w:top w:val="nil"/>
              <w:left w:val="single" w:sz="4" w:space="0" w:color="auto"/>
              <w:bottom w:val="dotted" w:sz="4" w:space="0" w:color="auto"/>
              <w:right w:val="single" w:sz="4" w:space="0" w:color="auto"/>
            </w:tcBorders>
            <w:noWrap/>
            <w:vAlign w:val="bottom"/>
          </w:tcPr>
          <w:p w14:paraId="5FD42BD4" w14:textId="56344762" w:rsidR="001A466F" w:rsidRPr="00032BC9" w:rsidRDefault="006C768B" w:rsidP="00210552">
            <w:pPr>
              <w:pStyle w:val="Tabletext"/>
              <w:rPr>
                <w:rFonts w:eastAsia="MS Mincho"/>
                <w:lang w:eastAsia="ja-JP"/>
              </w:rPr>
            </w:pPr>
            <w:r>
              <w:rPr>
                <w:rFonts w:eastAsia="MS Mincho"/>
                <w:lang w:eastAsia="ja-JP"/>
              </w:rPr>
              <w:lastRenderedPageBreak/>
              <w:t>February</w:t>
            </w:r>
          </w:p>
        </w:tc>
        <w:tc>
          <w:tcPr>
            <w:tcW w:w="1563" w:type="dxa"/>
            <w:tcBorders>
              <w:top w:val="nil"/>
              <w:left w:val="nil"/>
              <w:bottom w:val="dotted" w:sz="4" w:space="0" w:color="auto"/>
              <w:right w:val="nil"/>
            </w:tcBorders>
            <w:noWrap/>
            <w:vAlign w:val="bottom"/>
          </w:tcPr>
          <w:p w14:paraId="69A24319"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nil"/>
              <w:left w:val="nil"/>
              <w:bottom w:val="dotted" w:sz="4" w:space="0" w:color="auto"/>
              <w:right w:val="nil"/>
            </w:tcBorders>
            <w:noWrap/>
            <w:vAlign w:val="center"/>
          </w:tcPr>
          <w:p w14:paraId="10F5032E" w14:textId="77777777" w:rsidR="001A466F" w:rsidRPr="00032BC9" w:rsidRDefault="001A466F" w:rsidP="00210552">
            <w:pPr>
              <w:pStyle w:val="Tabletext"/>
              <w:rPr>
                <w:rFonts w:eastAsia="MS Mincho"/>
                <w:lang w:eastAsia="ja-JP"/>
              </w:rPr>
            </w:pPr>
            <w:r>
              <w:rPr>
                <w:rFonts w:eastAsia="MS Mincho" w:cs="Arial"/>
                <w:color w:val="000000"/>
                <w:lang w:eastAsia="ja-JP"/>
              </w:rPr>
              <w:t>62</w:t>
            </w:r>
          </w:p>
        </w:tc>
        <w:tc>
          <w:tcPr>
            <w:tcW w:w="1650" w:type="dxa"/>
            <w:tcBorders>
              <w:top w:val="nil"/>
              <w:left w:val="nil"/>
              <w:bottom w:val="dotted" w:sz="4" w:space="0" w:color="auto"/>
              <w:right w:val="single" w:sz="4" w:space="0" w:color="auto"/>
            </w:tcBorders>
            <w:noWrap/>
            <w:vAlign w:val="bottom"/>
          </w:tcPr>
          <w:p w14:paraId="2287C12C" w14:textId="77777777" w:rsidR="001A466F" w:rsidRPr="00032BC9" w:rsidRDefault="001A466F" w:rsidP="00210552">
            <w:pPr>
              <w:pStyle w:val="Tabletext"/>
              <w:rPr>
                <w:rFonts w:eastAsia="MS Mincho"/>
                <w:lang w:eastAsia="ja-JP"/>
              </w:rPr>
            </w:pPr>
            <w:r w:rsidRPr="00032BC9">
              <w:rPr>
                <w:rFonts w:eastAsia="MS Mincho"/>
                <w:lang w:eastAsia="ja-JP"/>
              </w:rPr>
              <w:t> </w:t>
            </w:r>
          </w:p>
        </w:tc>
      </w:tr>
      <w:tr w:rsidR="001A466F" w:rsidRPr="00032BC9" w14:paraId="70CE4900" w14:textId="77777777" w:rsidTr="00B56F63">
        <w:trPr>
          <w:trHeight w:val="300"/>
        </w:trPr>
        <w:tc>
          <w:tcPr>
            <w:tcW w:w="2255" w:type="dxa"/>
            <w:tcBorders>
              <w:top w:val="nil"/>
              <w:left w:val="single" w:sz="4" w:space="0" w:color="auto"/>
              <w:bottom w:val="single" w:sz="4" w:space="0" w:color="auto"/>
              <w:right w:val="single" w:sz="4" w:space="0" w:color="auto"/>
            </w:tcBorders>
            <w:noWrap/>
            <w:vAlign w:val="bottom"/>
          </w:tcPr>
          <w:p w14:paraId="2586CF53" w14:textId="2EA35138" w:rsidR="001A466F" w:rsidRPr="00032BC9" w:rsidRDefault="006C768B" w:rsidP="00210552">
            <w:pPr>
              <w:pStyle w:val="Tabletext"/>
              <w:rPr>
                <w:rFonts w:eastAsia="MS Mincho"/>
                <w:lang w:eastAsia="ja-JP"/>
              </w:rPr>
            </w:pPr>
            <w:r>
              <w:rPr>
                <w:rFonts w:eastAsia="MS Mincho"/>
                <w:lang w:eastAsia="ja-JP"/>
              </w:rPr>
              <w:t>March</w:t>
            </w:r>
          </w:p>
        </w:tc>
        <w:tc>
          <w:tcPr>
            <w:tcW w:w="1563" w:type="dxa"/>
            <w:tcBorders>
              <w:top w:val="nil"/>
              <w:left w:val="nil"/>
              <w:bottom w:val="single" w:sz="4" w:space="0" w:color="auto"/>
              <w:right w:val="nil"/>
            </w:tcBorders>
            <w:noWrap/>
            <w:vAlign w:val="bottom"/>
          </w:tcPr>
          <w:p w14:paraId="3FCC5834" w14:textId="77777777" w:rsidR="001A466F" w:rsidRPr="00032BC9" w:rsidRDefault="001A466F" w:rsidP="00210552">
            <w:pPr>
              <w:pStyle w:val="Tabletext"/>
              <w:rPr>
                <w:rFonts w:eastAsia="MS Mincho"/>
                <w:b/>
                <w:bCs/>
                <w:lang w:eastAsia="ja-JP"/>
              </w:rPr>
            </w:pPr>
            <w:r>
              <w:rPr>
                <w:rFonts w:eastAsia="MS Mincho"/>
                <w:b/>
                <w:bCs/>
                <w:lang w:eastAsia="ja-JP"/>
              </w:rPr>
              <w:t>60</w:t>
            </w:r>
          </w:p>
        </w:tc>
        <w:tc>
          <w:tcPr>
            <w:tcW w:w="1436" w:type="dxa"/>
            <w:tcBorders>
              <w:top w:val="nil"/>
              <w:left w:val="nil"/>
              <w:bottom w:val="single" w:sz="4" w:space="0" w:color="auto"/>
              <w:right w:val="nil"/>
            </w:tcBorders>
            <w:noWrap/>
            <w:vAlign w:val="center"/>
          </w:tcPr>
          <w:p w14:paraId="1D608D72" w14:textId="77777777" w:rsidR="001A466F" w:rsidRPr="00032BC9" w:rsidRDefault="001A466F" w:rsidP="00210552">
            <w:pPr>
              <w:pStyle w:val="Tabletext"/>
              <w:rPr>
                <w:rFonts w:eastAsia="MS Mincho"/>
                <w:lang w:eastAsia="ja-JP"/>
              </w:rPr>
            </w:pPr>
            <w:r>
              <w:rPr>
                <w:rFonts w:eastAsia="MS Mincho" w:cs="Arial"/>
                <w:color w:val="000000"/>
                <w:lang w:eastAsia="ja-JP"/>
              </w:rPr>
              <w:t>62</w:t>
            </w:r>
          </w:p>
        </w:tc>
        <w:tc>
          <w:tcPr>
            <w:tcW w:w="1650" w:type="dxa"/>
            <w:tcBorders>
              <w:top w:val="nil"/>
              <w:left w:val="nil"/>
              <w:bottom w:val="single" w:sz="4" w:space="0" w:color="auto"/>
              <w:right w:val="single" w:sz="4" w:space="0" w:color="auto"/>
            </w:tcBorders>
            <w:noWrap/>
            <w:vAlign w:val="bottom"/>
          </w:tcPr>
          <w:p w14:paraId="1C1F1DFE" w14:textId="77777777" w:rsidR="001A466F" w:rsidRPr="00032BC9" w:rsidRDefault="001A466F" w:rsidP="00210552">
            <w:pPr>
              <w:pStyle w:val="Tabletext"/>
              <w:rPr>
                <w:rFonts w:eastAsia="MS Mincho"/>
                <w:lang w:eastAsia="ja-JP"/>
              </w:rPr>
            </w:pPr>
            <w:r w:rsidRPr="00032BC9">
              <w:rPr>
                <w:rFonts w:eastAsia="MS Mincho"/>
                <w:lang w:eastAsia="ja-JP"/>
              </w:rPr>
              <w:t> </w:t>
            </w:r>
          </w:p>
        </w:tc>
      </w:tr>
      <w:tr w:rsidR="001A466F" w:rsidRPr="00032BC9" w14:paraId="3B7BF300" w14:textId="77777777" w:rsidTr="00B56F63">
        <w:trPr>
          <w:trHeight w:val="556"/>
        </w:trPr>
        <w:tc>
          <w:tcPr>
            <w:tcW w:w="2255" w:type="dxa"/>
            <w:tcBorders>
              <w:top w:val="single" w:sz="4" w:space="0" w:color="auto"/>
              <w:left w:val="single" w:sz="4" w:space="0" w:color="auto"/>
              <w:bottom w:val="single" w:sz="4" w:space="0" w:color="auto"/>
              <w:right w:val="single" w:sz="4" w:space="0" w:color="auto"/>
            </w:tcBorders>
            <w:shd w:val="clear" w:color="auto" w:fill="C0C0C0"/>
          </w:tcPr>
          <w:p w14:paraId="34D379E4" w14:textId="4A6FAA49" w:rsidR="001A466F" w:rsidRPr="00342C6C" w:rsidRDefault="001A466F" w:rsidP="00210552">
            <w:pPr>
              <w:pStyle w:val="Tabletext"/>
              <w:rPr>
                <w:rFonts w:eastAsia="MS Mincho"/>
                <w:b/>
                <w:lang w:eastAsia="ja-JP"/>
              </w:rPr>
            </w:pPr>
            <w:r w:rsidRPr="00342C6C">
              <w:rPr>
                <w:rFonts w:eastAsia="MS Mincho"/>
                <w:b/>
                <w:lang w:eastAsia="ja-JP"/>
              </w:rPr>
              <w:t xml:space="preserve">Total DAO </w:t>
            </w:r>
            <w:r w:rsidR="006C768B">
              <w:rPr>
                <w:rFonts w:eastAsia="MS Mincho"/>
                <w:b/>
                <w:lang w:eastAsia="ja-JP"/>
              </w:rPr>
              <w:t>review</w:t>
            </w:r>
            <w:r>
              <w:rPr>
                <w:rFonts w:eastAsia="MS Mincho"/>
                <w:b/>
                <w:lang w:eastAsia="ja-JP"/>
              </w:rPr>
              <w:t xml:space="preserve"> year</w:t>
            </w:r>
            <w:r w:rsidRPr="00342C6C">
              <w:rPr>
                <w:rFonts w:eastAsia="MS Mincho"/>
                <w:b/>
                <w:lang w:eastAsia="ja-JP"/>
              </w:rPr>
              <w:t xml:space="preserve"> performance</w:t>
            </w:r>
          </w:p>
        </w:tc>
        <w:tc>
          <w:tcPr>
            <w:tcW w:w="1563" w:type="dxa"/>
            <w:tcBorders>
              <w:top w:val="single" w:sz="4" w:space="0" w:color="auto"/>
              <w:left w:val="nil"/>
              <w:bottom w:val="single" w:sz="4" w:space="0" w:color="auto"/>
              <w:right w:val="nil"/>
            </w:tcBorders>
            <w:shd w:val="clear" w:color="auto" w:fill="C0C0C0"/>
            <w:noWrap/>
          </w:tcPr>
          <w:p w14:paraId="2FF7E118" w14:textId="77777777" w:rsidR="001A466F" w:rsidRPr="00032BC9" w:rsidRDefault="001A466F" w:rsidP="00210552">
            <w:pPr>
              <w:pStyle w:val="Tabletext"/>
              <w:rPr>
                <w:rFonts w:eastAsia="MS Mincho"/>
                <w:lang w:eastAsia="ja-JP"/>
              </w:rPr>
            </w:pPr>
            <w:r>
              <w:rPr>
                <w:rFonts w:eastAsia="MS Mincho"/>
                <w:lang w:eastAsia="ja-JP"/>
              </w:rPr>
              <w:t>720/12</w:t>
            </w:r>
          </w:p>
          <w:p w14:paraId="53831136" w14:textId="77777777" w:rsidR="001A466F" w:rsidRPr="00032BC9" w:rsidRDefault="001A466F" w:rsidP="00210552">
            <w:pPr>
              <w:pStyle w:val="Tabletext"/>
              <w:rPr>
                <w:rFonts w:eastAsia="MS Mincho"/>
                <w:lang w:eastAsia="ja-JP"/>
              </w:rPr>
            </w:pPr>
            <w:r w:rsidRPr="00032BC9">
              <w:rPr>
                <w:rFonts w:eastAsia="MS Mincho"/>
                <w:lang w:eastAsia="ja-JP"/>
              </w:rPr>
              <w:t xml:space="preserve">= DAO 60 </w:t>
            </w:r>
          </w:p>
        </w:tc>
        <w:tc>
          <w:tcPr>
            <w:tcW w:w="1436" w:type="dxa"/>
            <w:tcBorders>
              <w:top w:val="single" w:sz="4" w:space="0" w:color="auto"/>
              <w:left w:val="nil"/>
              <w:bottom w:val="single" w:sz="4" w:space="0" w:color="auto"/>
              <w:right w:val="nil"/>
            </w:tcBorders>
            <w:shd w:val="clear" w:color="auto" w:fill="C0C0C0"/>
            <w:noWrap/>
          </w:tcPr>
          <w:p w14:paraId="663826FF" w14:textId="77777777" w:rsidR="001A466F" w:rsidRPr="00032BC9" w:rsidRDefault="001A466F" w:rsidP="00210552">
            <w:pPr>
              <w:pStyle w:val="Tabletext"/>
              <w:rPr>
                <w:rFonts w:eastAsia="MS Mincho"/>
                <w:lang w:eastAsia="ja-JP"/>
              </w:rPr>
            </w:pPr>
            <w:r>
              <w:rPr>
                <w:rFonts w:eastAsia="MS Mincho"/>
                <w:lang w:eastAsia="ja-JP"/>
              </w:rPr>
              <w:t>736/12</w:t>
            </w:r>
          </w:p>
          <w:p w14:paraId="133CF170" w14:textId="77777777" w:rsidR="001A466F" w:rsidRPr="00032BC9" w:rsidRDefault="001A466F" w:rsidP="00210552">
            <w:pPr>
              <w:pStyle w:val="Tabletext"/>
              <w:rPr>
                <w:rFonts w:eastAsia="MS Mincho"/>
                <w:lang w:eastAsia="ja-JP"/>
              </w:rPr>
            </w:pPr>
            <w:r w:rsidRPr="00032BC9">
              <w:rPr>
                <w:rFonts w:eastAsia="MS Mincho"/>
                <w:lang w:eastAsia="ja-JP"/>
              </w:rPr>
              <w:t>= DAO 61.3</w:t>
            </w:r>
          </w:p>
        </w:tc>
        <w:tc>
          <w:tcPr>
            <w:tcW w:w="1650" w:type="dxa"/>
            <w:tcBorders>
              <w:top w:val="single" w:sz="4" w:space="0" w:color="auto"/>
              <w:left w:val="nil"/>
              <w:bottom w:val="single" w:sz="4" w:space="0" w:color="auto"/>
              <w:right w:val="single" w:sz="4" w:space="0" w:color="auto"/>
            </w:tcBorders>
            <w:shd w:val="clear" w:color="auto" w:fill="C0C0C0"/>
            <w:noWrap/>
          </w:tcPr>
          <w:p w14:paraId="2406FF46" w14:textId="77777777" w:rsidR="001A466F" w:rsidRPr="00032BC9" w:rsidRDefault="001A466F" w:rsidP="00210552">
            <w:pPr>
              <w:pStyle w:val="Tabletext"/>
              <w:rPr>
                <w:rFonts w:eastAsia="MS Mincho"/>
                <w:lang w:eastAsia="ja-JP"/>
              </w:rPr>
            </w:pPr>
            <w:r>
              <w:rPr>
                <w:rFonts w:eastAsia="MS Mincho"/>
                <w:lang w:eastAsia="ja-JP"/>
              </w:rPr>
              <w:t>61.3 - 60</w:t>
            </w:r>
            <w:r>
              <w:rPr>
                <w:rFonts w:eastAsia="MS Mincho"/>
                <w:lang w:eastAsia="ja-JP"/>
              </w:rPr>
              <w:br/>
              <w:t xml:space="preserve"> =</w:t>
            </w:r>
            <w:r w:rsidRPr="00032BC9">
              <w:rPr>
                <w:rFonts w:eastAsia="MS Mincho"/>
                <w:lang w:eastAsia="ja-JP"/>
              </w:rPr>
              <w:t xml:space="preserve"> DAO </w:t>
            </w:r>
            <w:r>
              <w:rPr>
                <w:rFonts w:eastAsia="MS Mincho"/>
                <w:lang w:eastAsia="ja-JP"/>
              </w:rPr>
              <w:t>1.3</w:t>
            </w:r>
          </w:p>
        </w:tc>
      </w:tr>
    </w:tbl>
    <w:p w14:paraId="1D262749" w14:textId="77777777" w:rsidR="001A466F" w:rsidRDefault="001A466F" w:rsidP="00684B22">
      <w:pPr>
        <w:pStyle w:val="Heading1"/>
        <w:numPr>
          <w:ilvl w:val="0"/>
          <w:numId w:val="9"/>
        </w:numPr>
        <w:ind w:left="680" w:hanging="720"/>
      </w:pPr>
      <w:bookmarkStart w:id="21" w:name="_Toc97711981"/>
      <w:r>
        <w:t>Management of under and over performance</w:t>
      </w:r>
      <w:bookmarkEnd w:id="21"/>
    </w:p>
    <w:p w14:paraId="5BBDDEA7" w14:textId="77777777" w:rsidR="001A466F" w:rsidRDefault="001A466F" w:rsidP="00210552">
      <w:pPr>
        <w:pStyle w:val="Body"/>
      </w:pPr>
      <w:r>
        <w:t xml:space="preserve">There are four discrete actions involved in the response to and management of under and over performance against HBC targets. These include the review of performance, the adjustment of targets where there is under performance, the reallocation of those targets and the reimbursement of delivered performance over the funded targets.  </w:t>
      </w:r>
    </w:p>
    <w:p w14:paraId="1E13A348" w14:textId="77777777" w:rsidR="001A466F" w:rsidRDefault="001A466F" w:rsidP="001A466F">
      <w:pPr>
        <w:pStyle w:val="Heading2"/>
      </w:pPr>
      <w:bookmarkStart w:id="22" w:name="_Toc97711982"/>
      <w:r>
        <w:t>Review of Performance</w:t>
      </w:r>
      <w:bookmarkEnd w:id="22"/>
    </w:p>
    <w:p w14:paraId="5C904DF4" w14:textId="77777777" w:rsidR="00BE352C" w:rsidRPr="00603F87" w:rsidRDefault="00BE352C" w:rsidP="005E3654">
      <w:pPr>
        <w:pStyle w:val="Heading3"/>
      </w:pPr>
      <w:r w:rsidRPr="00603F87">
        <w:t>Ongoing performance review</w:t>
      </w:r>
    </w:p>
    <w:p w14:paraId="0761448A" w14:textId="17C40C89" w:rsidR="005A332E" w:rsidRPr="00603F87" w:rsidRDefault="00BE352C" w:rsidP="00BE352C">
      <w:pPr>
        <w:pStyle w:val="Body"/>
      </w:pPr>
      <w:r w:rsidRPr="00603F87">
        <w:t xml:space="preserve">The department, in consultation with a service provider, may adjust, reallocate and/or reimburse targets during the review period, </w:t>
      </w:r>
      <w:r w:rsidR="217190C1" w:rsidRPr="00603F87">
        <w:t xml:space="preserve">only in </w:t>
      </w:r>
      <w:r w:rsidR="1A27B4A7" w:rsidRPr="00603F87">
        <w:t>circumstances</w:t>
      </w:r>
      <w:r w:rsidR="217190C1" w:rsidRPr="00603F87">
        <w:t xml:space="preserve"> </w:t>
      </w:r>
      <w:r w:rsidRPr="00603F87">
        <w:t xml:space="preserve">where there is significant under or over performance concerns and/or earlier reimbursement is required to maintain over performance levels. This decision should be made, in </w:t>
      </w:r>
      <w:r w:rsidR="217190C1" w:rsidRPr="00603F87">
        <w:t>consultation</w:t>
      </w:r>
      <w:r w:rsidRPr="00603F87">
        <w:t xml:space="preserve"> </w:t>
      </w:r>
      <w:r w:rsidR="1A27B4A7" w:rsidRPr="00603F87">
        <w:t>with the</w:t>
      </w:r>
      <w:r w:rsidRPr="00603F87">
        <w:t xml:space="preserve"> HBC service provider and be supported by a business case provided by the HBC provider </w:t>
      </w:r>
      <w:r w:rsidR="00414699" w:rsidRPr="00603F87">
        <w:t>in line with</w:t>
      </w:r>
      <w:r w:rsidRPr="00603F87">
        <w:t xml:space="preserve"> the process used under the exceptional circumstances (section 6). </w:t>
      </w:r>
    </w:p>
    <w:p w14:paraId="55BE19A1" w14:textId="480C8EFA" w:rsidR="00BE352C" w:rsidRDefault="45F71287" w:rsidP="00BE352C">
      <w:pPr>
        <w:pStyle w:val="Body"/>
      </w:pPr>
      <w:r w:rsidRPr="00603F87">
        <w:t>In exercis</w:t>
      </w:r>
      <w:r w:rsidR="00E96F4E" w:rsidRPr="00603F87">
        <w:t>ing</w:t>
      </w:r>
      <w:r w:rsidRPr="00603F87">
        <w:t xml:space="preserve"> this decision making, the department will have regard to the circumstances contributing to the underperformance, the impact of any adjustment or reallocation identified by the HBC providers and the intention of the policy to reduce transactional and administrative burden and </w:t>
      </w:r>
      <w:r w:rsidR="009E4420">
        <w:t xml:space="preserve">provide </w:t>
      </w:r>
      <w:r w:rsidRPr="00603F87">
        <w:t>greater certainty in relation to target allocation.</w:t>
      </w:r>
      <w:r>
        <w:t xml:space="preserve"> </w:t>
      </w:r>
    </w:p>
    <w:p w14:paraId="1221A3AE" w14:textId="77777777" w:rsidR="00BE352C" w:rsidRDefault="00BE352C" w:rsidP="005E3654">
      <w:pPr>
        <w:pStyle w:val="Heading3"/>
      </w:pPr>
      <w:r>
        <w:t>End of review period performance review</w:t>
      </w:r>
    </w:p>
    <w:p w14:paraId="726BC93C" w14:textId="28FD2282" w:rsidR="001A466F" w:rsidRDefault="001A466F" w:rsidP="00210552">
      <w:pPr>
        <w:pStyle w:val="Body"/>
      </w:pPr>
      <w:r>
        <w:t xml:space="preserve">At the end of each </w:t>
      </w:r>
      <w:r w:rsidR="006C768B">
        <w:t>review</w:t>
      </w:r>
      <w:r>
        <w:t xml:space="preserve"> </w:t>
      </w:r>
      <w:r w:rsidR="00136EB1">
        <w:t xml:space="preserve">period </w:t>
      </w:r>
      <w:r>
        <w:t xml:space="preserve">the department will review and consider the performance of all HBC providers based on the data provided in the SDT. This annual performance appraisal </w:t>
      </w:r>
      <w:r w:rsidRPr="008D0B96">
        <w:t>may result in</w:t>
      </w:r>
      <w:r>
        <w:t xml:space="preserve"> target adjustment, target reallocation or target reimbursement for </w:t>
      </w:r>
      <w:r w:rsidRPr="008D0B96">
        <w:t>over</w:t>
      </w:r>
      <w:r>
        <w:t xml:space="preserve"> performance. </w:t>
      </w:r>
    </w:p>
    <w:p w14:paraId="2C13F8F6" w14:textId="2C418916" w:rsidR="001A466F" w:rsidRDefault="001A466F" w:rsidP="00210552">
      <w:pPr>
        <w:pStyle w:val="Body"/>
      </w:pPr>
      <w:r>
        <w:t>If the department determines the HBC provider is capable of meeting or exceeding the minimum required performance threshold in the following</w:t>
      </w:r>
      <w:r w:rsidR="006C768B">
        <w:t xml:space="preserve"> review</w:t>
      </w:r>
      <w:r>
        <w:t xml:space="preserve"> </w:t>
      </w:r>
      <w:r w:rsidR="00136EB1">
        <w:t>period</w:t>
      </w:r>
      <w:r>
        <w:t xml:space="preserve">, the HBC provider will continue to receive the same level of funding. However, if meeting this threshold is not feasible, targets will be adjusted, reducing to a more achievable level as informed by the service providers’ recent performance. </w:t>
      </w:r>
    </w:p>
    <w:p w14:paraId="1542BA14" w14:textId="77777777" w:rsidR="001A466F" w:rsidRDefault="001A466F" w:rsidP="00210552">
      <w:pPr>
        <w:pStyle w:val="Body"/>
      </w:pPr>
      <w:r>
        <w:t xml:space="preserve">Regular review of performance also enables the identification of HBC providers with a capacity to provide additional targets, who could be considered in the reallocation of targets. </w:t>
      </w:r>
    </w:p>
    <w:p w14:paraId="3BE95A65" w14:textId="2132F1A2" w:rsidR="001A466F" w:rsidRDefault="001A466F" w:rsidP="00210552">
      <w:pPr>
        <w:pStyle w:val="Body"/>
      </w:pPr>
      <w:r>
        <w:t xml:space="preserve">Overperformance throughout the </w:t>
      </w:r>
      <w:r w:rsidR="006C768B">
        <w:t>review</w:t>
      </w:r>
      <w:r>
        <w:t xml:space="preserve"> </w:t>
      </w:r>
      <w:r w:rsidR="00136EB1">
        <w:t xml:space="preserve">period </w:t>
      </w:r>
      <w:r>
        <w:t xml:space="preserve">will be calculated and reimbursed as a fixed term increase in funding. </w:t>
      </w:r>
    </w:p>
    <w:p w14:paraId="3D05CC8B" w14:textId="77777777" w:rsidR="009A0E86" w:rsidRDefault="009A0E86" w:rsidP="00210552">
      <w:pPr>
        <w:pStyle w:val="Body"/>
      </w:pPr>
    </w:p>
    <w:p w14:paraId="14FB5675" w14:textId="77777777" w:rsidR="001A466F" w:rsidRDefault="001A466F" w:rsidP="001A466F">
      <w:pPr>
        <w:pStyle w:val="Heading3"/>
      </w:pPr>
      <w:r>
        <w:t>Performance Improvement Action Plan (PIAP)</w:t>
      </w:r>
    </w:p>
    <w:p w14:paraId="09308DEB" w14:textId="26DD9CD4" w:rsidR="001A466F" w:rsidRDefault="001A466F" w:rsidP="00210552">
      <w:pPr>
        <w:pStyle w:val="Body"/>
      </w:pPr>
      <w:r>
        <w:t xml:space="preserve">Where </w:t>
      </w:r>
      <w:proofErr w:type="gramStart"/>
      <w:r>
        <w:t>a</w:t>
      </w:r>
      <w:proofErr w:type="gramEnd"/>
      <w:r>
        <w:t xml:space="preserve"> HBC provider fails to achieve the minimum required performance threshold and the provider has an existing or immediate and viable plan to increase its performance to meet or exceed the minimum required performance threshold, the provider can submit a PIAP to demonstrate its intended approach to achieve performance and retain funding. The PIAP will be a key tool used in the review of performance in the following </w:t>
      </w:r>
      <w:r w:rsidR="006C768B">
        <w:t>review</w:t>
      </w:r>
      <w:r>
        <w:t xml:space="preserve"> </w:t>
      </w:r>
      <w:r w:rsidR="00136EB1">
        <w:t>period</w:t>
      </w:r>
      <w:r>
        <w:t>.</w:t>
      </w:r>
    </w:p>
    <w:p w14:paraId="26C11876" w14:textId="77777777" w:rsidR="001A466F" w:rsidRDefault="001A466F" w:rsidP="001A466F">
      <w:pPr>
        <w:pStyle w:val="Heading2"/>
      </w:pPr>
      <w:bookmarkStart w:id="23" w:name="_Toc97711983"/>
      <w:r>
        <w:t>Target Adjustment</w:t>
      </w:r>
      <w:bookmarkEnd w:id="23"/>
    </w:p>
    <w:p w14:paraId="58D42129" w14:textId="3B94DCF2" w:rsidR="001A466F" w:rsidRDefault="001A466F" w:rsidP="00210552">
      <w:pPr>
        <w:pStyle w:val="Body"/>
      </w:pPr>
      <w:r>
        <w:t>Target adjustment occurs when the performance of a HBC service provider falls below the minimum required performance threshold of funded targets and, in the absence of exceptional circumstances, targets and funding may be adjusted to an achievable level annually. See ‘exceptional circumstances’ section</w:t>
      </w:r>
      <w:r w:rsidR="00D16E93">
        <w:t xml:space="preserve"> 6 </w:t>
      </w:r>
      <w:r>
        <w:t xml:space="preserve">for further information. </w:t>
      </w:r>
    </w:p>
    <w:p w14:paraId="5D0907DF" w14:textId="7B8F9C9D" w:rsidR="001A466F" w:rsidRDefault="001A466F" w:rsidP="00210552">
      <w:pPr>
        <w:pStyle w:val="Body"/>
      </w:pPr>
      <w:r>
        <w:t xml:space="preserve">As outlined in the section ‘What is under performance’, targets are adjusted if a provider does not retain the minimum performance threshold of 85 and 90 per cent for the </w:t>
      </w:r>
      <w:r w:rsidR="006C768B">
        <w:t>review</w:t>
      </w:r>
      <w:r>
        <w:t xml:space="preserve"> </w:t>
      </w:r>
      <w:r w:rsidR="00136EB1">
        <w:t>period</w:t>
      </w:r>
      <w:r>
        <w:t>.</w:t>
      </w:r>
    </w:p>
    <w:p w14:paraId="3E7FD805" w14:textId="2DD86192" w:rsidR="001A466F" w:rsidRDefault="001A466F" w:rsidP="00210552">
      <w:pPr>
        <w:pStyle w:val="Body"/>
      </w:pPr>
      <w:r>
        <w:t xml:space="preserve">HBC providers are contracted to, and the department expects HBC providers to, deliver 100 per cent of the targets set out in the service agreement. If a HBC provider’s DAO for performance falls below 85 or 90 per cent of the target in the specified activity performance set out in its service agreement in the </w:t>
      </w:r>
      <w:r w:rsidR="006C768B">
        <w:t>review</w:t>
      </w:r>
      <w:r>
        <w:t xml:space="preserve"> </w:t>
      </w:r>
      <w:r w:rsidR="00136EB1">
        <w:t xml:space="preserve">period </w:t>
      </w:r>
      <w:r>
        <w:t>without formal written agreement from the department, the department (through the relevant division) will review the HBC provider’s current funding arrangements under its service agreement and the department may adjust and reduce the HBC provider’s targets and reallocate those targets to other HBC providers.</w:t>
      </w:r>
    </w:p>
    <w:p w14:paraId="498F01C5" w14:textId="58C575AB" w:rsidR="001A466F" w:rsidRDefault="001A466F" w:rsidP="00210552">
      <w:pPr>
        <w:pStyle w:val="Body"/>
      </w:pPr>
      <w:r>
        <w:t xml:space="preserve">In some circumstances, </w:t>
      </w:r>
      <w:proofErr w:type="gramStart"/>
      <w:r>
        <w:t>a</w:t>
      </w:r>
      <w:proofErr w:type="gramEnd"/>
      <w:r>
        <w:t xml:space="preserve"> HBC provider may over perform for one activity and </w:t>
      </w:r>
      <w:r w:rsidR="00F90333">
        <w:t>underperform</w:t>
      </w:r>
      <w:r>
        <w:t xml:space="preserve"> for another activity. Regardless of the net effect for a HBC provider, all funding adjustments must be transacted separately on an activity level. The implications of this are as follows: </w:t>
      </w:r>
    </w:p>
    <w:p w14:paraId="0E43C720" w14:textId="6123DF73" w:rsidR="001A466F" w:rsidRDefault="001A466F" w:rsidP="00210552">
      <w:pPr>
        <w:pStyle w:val="Bullet1"/>
      </w:pPr>
      <w:r>
        <w:t xml:space="preserve">Funding for the under-delivered activity will be adjusted via SAMS in the </w:t>
      </w:r>
      <w:r w:rsidR="006C768B">
        <w:t>May variation window.</w:t>
      </w:r>
    </w:p>
    <w:p w14:paraId="593AC0F5" w14:textId="38402E92" w:rsidR="001A466F" w:rsidRDefault="001A466F" w:rsidP="00210552">
      <w:pPr>
        <w:pStyle w:val="Bullet1"/>
      </w:pPr>
      <w:r>
        <w:t>Funding for the over-delivered activity will be reimbursed via SAMS in the</w:t>
      </w:r>
      <w:r w:rsidR="006C768B">
        <w:t xml:space="preserve"> May variation window.</w:t>
      </w:r>
    </w:p>
    <w:p w14:paraId="3E0968E5" w14:textId="77777777" w:rsidR="001A466F" w:rsidRDefault="001A466F" w:rsidP="00210552">
      <w:pPr>
        <w:pStyle w:val="Bodyafterbullets"/>
      </w:pPr>
      <w:r>
        <w:t xml:space="preserve">The net effect for </w:t>
      </w:r>
      <w:proofErr w:type="gramStart"/>
      <w:r>
        <w:t>a</w:t>
      </w:r>
      <w:proofErr w:type="gramEnd"/>
      <w:r>
        <w:t xml:space="preserve"> HBC provider will depend on the level of under and/or over performance and the HBC provider’s funded target profile. </w:t>
      </w:r>
    </w:p>
    <w:p w14:paraId="0A09F6A1" w14:textId="77777777" w:rsidR="001A466F" w:rsidRDefault="001A466F" w:rsidP="00210552">
      <w:pPr>
        <w:pStyle w:val="Body"/>
      </w:pPr>
      <w:r>
        <w:t>Separate transacting of over-performance and under-performance ensures transparency regarding the purchase and delivery of funded targets.</w:t>
      </w:r>
    </w:p>
    <w:p w14:paraId="3B47455F" w14:textId="77777777" w:rsidR="001A466F" w:rsidRDefault="001A466F" w:rsidP="00210552">
      <w:pPr>
        <w:pStyle w:val="Body"/>
      </w:pPr>
      <w:r>
        <w:t>See the attached case studies for further information.</w:t>
      </w:r>
    </w:p>
    <w:p w14:paraId="383D20E8" w14:textId="77777777" w:rsidR="001A466F" w:rsidRDefault="001A466F" w:rsidP="00210552">
      <w:pPr>
        <w:pStyle w:val="Body"/>
      </w:pPr>
      <w:r>
        <w:t xml:space="preserve">In circumstances where </w:t>
      </w:r>
      <w:proofErr w:type="gramStart"/>
      <w:r>
        <w:t>a</w:t>
      </w:r>
      <w:proofErr w:type="gramEnd"/>
      <w:r>
        <w:t xml:space="preserve"> HBC provider has short-term financial liquidity issues, the reduction of funding through target adjustment may be staggered over a period of time, with an opportunity to increase service delivery to address previously unmet targets. This will be managed on a case-by-case basis within divisions.  </w:t>
      </w:r>
    </w:p>
    <w:p w14:paraId="1C24447E" w14:textId="77777777" w:rsidR="001A466F" w:rsidRPr="005E3539" w:rsidRDefault="001A466F" w:rsidP="001A466F">
      <w:pPr>
        <w:pStyle w:val="Heading3"/>
      </w:pPr>
      <w:r w:rsidRPr="005E3539">
        <w:t>Unit-priced targets</w:t>
      </w:r>
    </w:p>
    <w:p w14:paraId="366451F1" w14:textId="77777777" w:rsidR="001A466F" w:rsidRDefault="001A466F" w:rsidP="00210552">
      <w:pPr>
        <w:pStyle w:val="Body"/>
      </w:pPr>
      <w:r>
        <w:t xml:space="preserve">The adjusted targets and funding </w:t>
      </w:r>
      <w:proofErr w:type="gramStart"/>
      <w:r>
        <w:t>is</w:t>
      </w:r>
      <w:proofErr w:type="gramEnd"/>
      <w:r>
        <w:t xml:space="preserve"> calculated based on the unit-price of the targets being withdrawn. For example, if one HBC general care target is not delivered, the adjusted funding and target will be calculated </w:t>
      </w:r>
      <w:proofErr w:type="gramStart"/>
      <w:r>
        <w:t>on the basis of</w:t>
      </w:r>
      <w:proofErr w:type="gramEnd"/>
      <w:r>
        <w:t xml:space="preserve"> the general unit price.</w:t>
      </w:r>
    </w:p>
    <w:p w14:paraId="41A85EEC" w14:textId="77777777" w:rsidR="001A466F" w:rsidRPr="005E3539" w:rsidRDefault="001A466F" w:rsidP="001A466F">
      <w:pPr>
        <w:pStyle w:val="Heading3"/>
      </w:pPr>
      <w:r w:rsidRPr="005E3539">
        <w:lastRenderedPageBreak/>
        <w:t>Rounding in target adjustment</w:t>
      </w:r>
    </w:p>
    <w:p w14:paraId="734E4B70" w14:textId="76EF99FB" w:rsidR="001A466F" w:rsidRDefault="001A466F" w:rsidP="00210552">
      <w:pPr>
        <w:pStyle w:val="Body"/>
      </w:pPr>
      <w:r>
        <w:t xml:space="preserve">To avoid service providers having odd target percentages, all targets adjusted </w:t>
      </w:r>
      <w:proofErr w:type="gramStart"/>
      <w:r>
        <w:t>as a result of</w:t>
      </w:r>
      <w:proofErr w:type="gramEnd"/>
      <w:r>
        <w:t xml:space="preserve"> </w:t>
      </w:r>
      <w:r w:rsidR="00F90333">
        <w:t>underperformance</w:t>
      </w:r>
      <w:r>
        <w:t xml:space="preserve"> will be rounded up or down to the nearest 0.5 of a target. For example, if the required actual target adjustment is 6.27 it would be rounded down to 6 targets.  </w:t>
      </w:r>
    </w:p>
    <w:p w14:paraId="1DB10160" w14:textId="77777777" w:rsidR="001A466F" w:rsidRPr="005E3539" w:rsidRDefault="001A466F" w:rsidP="001A466F">
      <w:pPr>
        <w:pStyle w:val="Heading3"/>
      </w:pPr>
      <w:r w:rsidRPr="005E3539">
        <w:t>Funded targets with an attached loading</w:t>
      </w:r>
    </w:p>
    <w:p w14:paraId="2A8E72C1" w14:textId="77777777" w:rsidR="001A466F" w:rsidRDefault="001A466F" w:rsidP="00210552">
      <w:pPr>
        <w:pStyle w:val="Body"/>
      </w:pPr>
      <w:r>
        <w:t xml:space="preserve">In some instances, </w:t>
      </w:r>
      <w:proofErr w:type="gramStart"/>
      <w:r>
        <w:t>a</w:t>
      </w:r>
      <w:proofErr w:type="gramEnd"/>
      <w:r>
        <w:t xml:space="preserve"> HBC provider will receive a loading (such as a tailored care package) to support children or young people in a placement. Where a loading is provided for a target that is not delivered and is subsequently adjusted and reduced, the adjustment amount will be based on the unit-price of the target and any attached loading. Divisions will then reallocate this funding to support other children or young people in care.</w:t>
      </w:r>
    </w:p>
    <w:p w14:paraId="35D51667" w14:textId="00F1162F" w:rsidR="001A466F" w:rsidRPr="005E3539" w:rsidRDefault="001A466F" w:rsidP="008A702B">
      <w:pPr>
        <w:pStyle w:val="Heading3"/>
      </w:pPr>
      <w:r w:rsidRPr="005E3539">
        <w:t xml:space="preserve">Therapeutic </w:t>
      </w:r>
      <w:r>
        <w:t>F</w:t>
      </w:r>
      <w:r w:rsidRPr="005E3539">
        <w:t xml:space="preserve">oster </w:t>
      </w:r>
      <w:r>
        <w:t>C</w:t>
      </w:r>
      <w:r w:rsidRPr="005E3539">
        <w:t>are</w:t>
      </w:r>
    </w:p>
    <w:p w14:paraId="4AC9416A" w14:textId="180A1CD8" w:rsidR="001A466F" w:rsidRDefault="001A466F" w:rsidP="00210552">
      <w:pPr>
        <w:pStyle w:val="Body"/>
      </w:pPr>
      <w:r>
        <w:t xml:space="preserve">While there is currently no published unit price for Therapeutic Foster Care, there is an agreed amount per target, comprised of the intensive unit price and a set therapeutic loading. Where </w:t>
      </w:r>
      <w:proofErr w:type="gramStart"/>
      <w:r>
        <w:t>a</w:t>
      </w:r>
      <w:proofErr w:type="gramEnd"/>
      <w:r>
        <w:t xml:space="preserve"> HBC provider fails to achieve the minimum performance threshold of 85 per cent for Therapeutic Foster Care targets, the adjusted amount will be based on the intensive unit price. However, in instances </w:t>
      </w:r>
      <w:proofErr w:type="gramStart"/>
      <w:r>
        <w:t>where</w:t>
      </w:r>
      <w:proofErr w:type="gramEnd"/>
      <w:r>
        <w:t xml:space="preserve"> sustained under performance is identified, targets will be </w:t>
      </w:r>
      <w:r w:rsidR="00F90333">
        <w:t>adjusted,</w:t>
      </w:r>
      <w:r>
        <w:t xml:space="preserve"> and the attached therapeutic loading will be reallocated to HBC providers with appropriate capacity. </w:t>
      </w:r>
    </w:p>
    <w:p w14:paraId="25DF4ABD" w14:textId="77777777" w:rsidR="001A466F" w:rsidRDefault="001A466F" w:rsidP="00210552">
      <w:pPr>
        <w:pStyle w:val="Body"/>
      </w:pPr>
      <w:r>
        <w:t>The department acknowledges that Therapeutic Foster Care is often delivered through a partnership between two HBC providers, with one HBC provider delivering therapeutic support and the other delivering the placement. As a result, under-performance may be due to either a failure to provide a placement or a failure to employ a suitable therapeutic specialist. Divisional staff will work with HBC providers in such circumstances to arrive at appropriate target adjustment decisions.</w:t>
      </w:r>
    </w:p>
    <w:p w14:paraId="0242F63A" w14:textId="77777777" w:rsidR="001A466F" w:rsidRDefault="001A466F" w:rsidP="008A702B">
      <w:pPr>
        <w:pStyle w:val="Heading3"/>
      </w:pPr>
      <w:r>
        <w:t>Target adjustment - example</w:t>
      </w:r>
    </w:p>
    <w:p w14:paraId="5DECC012" w14:textId="77777777" w:rsidR="001A466F" w:rsidRDefault="001A466F" w:rsidP="00210552">
      <w:pPr>
        <w:pStyle w:val="Body"/>
      </w:pPr>
      <w:r>
        <w:t xml:space="preserve">The implications of target adjustments are illustrated through the example of service provider ‘ABC’ below. </w:t>
      </w:r>
    </w:p>
    <w:p w14:paraId="5E916ACD" w14:textId="5564ED39" w:rsidR="001A466F" w:rsidRDefault="001A466F" w:rsidP="00210552">
      <w:pPr>
        <w:pStyle w:val="Body"/>
      </w:pPr>
      <w:r>
        <w:t xml:space="preserve">ABC under-performs in HBC intensive activity for a </w:t>
      </w:r>
      <w:r w:rsidR="00DA777F">
        <w:t>review</w:t>
      </w:r>
      <w:r>
        <w:t xml:space="preserve"> </w:t>
      </w:r>
      <w:r w:rsidR="00136EB1">
        <w:t>period</w:t>
      </w:r>
      <w:r>
        <w:t xml:space="preserve">.  ABC has a target of 21 in the HBC intensive activity. The minimum required performance threshold of 85 per cent equals a DAO of 17.8 targets that must be delivered. </w:t>
      </w:r>
      <w:r w:rsidR="00136EB1">
        <w:t xml:space="preserve">Across the annual </w:t>
      </w:r>
      <w:r w:rsidR="00DA777F">
        <w:t>review</w:t>
      </w:r>
      <w:r>
        <w:t xml:space="preserve"> </w:t>
      </w:r>
      <w:r w:rsidR="00136EB1">
        <w:t xml:space="preserve">period </w:t>
      </w:r>
      <w:r>
        <w:t>ABC has delivered a DAO of 13.8 targets. Based on adjustment of whole targets with a minimum rounding to 0.5 of a target, ABC would have its HBC intensive activity target adjusted (reduced) by 4 targets (arrived at by subtracting 13.8 result from 1</w:t>
      </w:r>
      <w:r w:rsidR="00886006">
        <w:t xml:space="preserve">7.8 </w:t>
      </w:r>
      <w:r>
        <w:t xml:space="preserve">minimum threshold requirement).  </w:t>
      </w:r>
    </w:p>
    <w:p w14:paraId="0BBB1969" w14:textId="3D3506B1" w:rsidR="001A466F" w:rsidRPr="00B83548" w:rsidRDefault="001A466F" w:rsidP="001A466F">
      <w:pPr>
        <w:pStyle w:val="Heading3"/>
      </w:pPr>
      <w:r w:rsidRPr="00B83548">
        <w:t>When will target adjustment occur?</w:t>
      </w:r>
    </w:p>
    <w:p w14:paraId="34609691" w14:textId="775B3F80" w:rsidR="00C06A0A" w:rsidRDefault="001A466F" w:rsidP="00210552">
      <w:pPr>
        <w:pStyle w:val="Body"/>
      </w:pPr>
      <w:r>
        <w:t>T</w:t>
      </w:r>
      <w:r w:rsidR="006C4A86">
        <w:t xml:space="preserve">arget </w:t>
      </w:r>
      <w:r>
        <w:t xml:space="preserve">adjustment </w:t>
      </w:r>
      <w:r w:rsidR="006C4A86">
        <w:t>will occur in May.</w:t>
      </w:r>
      <w:r w:rsidR="006C4A86" w:rsidDel="006C4A86">
        <w:t xml:space="preserve"> </w:t>
      </w:r>
    </w:p>
    <w:p w14:paraId="2C1AB041" w14:textId="77777777" w:rsidR="001A466F" w:rsidRDefault="001A466F" w:rsidP="001A466F">
      <w:pPr>
        <w:pStyle w:val="Heading2"/>
      </w:pPr>
      <w:bookmarkStart w:id="24" w:name="_Toc97711984"/>
      <w:r>
        <w:t>Target reallocation</w:t>
      </w:r>
      <w:bookmarkEnd w:id="24"/>
    </w:p>
    <w:p w14:paraId="16E86EF4" w14:textId="77777777" w:rsidR="001A466F" w:rsidRDefault="001A466F" w:rsidP="00210552">
      <w:pPr>
        <w:pStyle w:val="Body"/>
      </w:pPr>
      <w:r>
        <w:t xml:space="preserve">The key rationale for strengthening HBC provider performance is to improve the capacity in the home-based care system. One way to improve capacity is to allocate targets in accordance with </w:t>
      </w:r>
      <w:proofErr w:type="gramStart"/>
      <w:r>
        <w:t>a</w:t>
      </w:r>
      <w:proofErr w:type="gramEnd"/>
      <w:r>
        <w:t xml:space="preserve"> </w:t>
      </w:r>
      <w:r>
        <w:lastRenderedPageBreak/>
        <w:t xml:space="preserve">HBC provider’s capacity to deliver additional service. Divisions and HBC providers need to work closely together to ensure that performance targets are consistently achievable.  </w:t>
      </w:r>
    </w:p>
    <w:p w14:paraId="6DF54919" w14:textId="77777777" w:rsidR="001A466F" w:rsidRDefault="001A466F" w:rsidP="001A466F">
      <w:pPr>
        <w:pStyle w:val="Heading3"/>
      </w:pPr>
      <w:r>
        <w:t>Why will target reallocation occur?</w:t>
      </w:r>
    </w:p>
    <w:p w14:paraId="760248B4" w14:textId="678F691E" w:rsidR="001A466F" w:rsidRDefault="001A466F" w:rsidP="00210552">
      <w:pPr>
        <w:pStyle w:val="Body"/>
      </w:pPr>
      <w:r>
        <w:t xml:space="preserve">Targets and funding that become available through the adjustment of </w:t>
      </w:r>
      <w:r w:rsidR="00F90333">
        <w:t>underperforming</w:t>
      </w:r>
      <w:r>
        <w:t xml:space="preserve"> targets will be reallocated to secure alternative placements for children and young people in care.  </w:t>
      </w:r>
    </w:p>
    <w:p w14:paraId="50AC0EB6" w14:textId="77777777" w:rsidR="001A466F" w:rsidRDefault="001A466F" w:rsidP="001A466F">
      <w:pPr>
        <w:pStyle w:val="Heading3"/>
      </w:pPr>
      <w:r>
        <w:t xml:space="preserve">How will target reallocation occur? </w:t>
      </w:r>
    </w:p>
    <w:p w14:paraId="73BD368E" w14:textId="77777777" w:rsidR="001A466F" w:rsidRDefault="001A466F" w:rsidP="00210552">
      <w:pPr>
        <w:pStyle w:val="Body"/>
      </w:pPr>
      <w:r>
        <w:t xml:space="preserve">Where possible, any targets adjusted and withdrawn from </w:t>
      </w:r>
      <w:proofErr w:type="gramStart"/>
      <w:r>
        <w:t>a</w:t>
      </w:r>
      <w:proofErr w:type="gramEnd"/>
      <w:r>
        <w:t xml:space="preserve"> HBC provider will be reallocated to another HBC provider with demonstrated capacity to deliver additional targets. The department will seek to identify HBC providers with a capacity to meet or exceed the minimum required performance threshold for a specified activity, and if allocated additional targets, continue to meet the minimum required performance threshold for that activity.  </w:t>
      </w:r>
    </w:p>
    <w:p w14:paraId="3CE2C8A4" w14:textId="77777777" w:rsidR="001A466F" w:rsidRDefault="001A466F" w:rsidP="00210552">
      <w:pPr>
        <w:pStyle w:val="Body"/>
      </w:pPr>
      <w:r>
        <w:t xml:space="preserve">The department will adhere to the principles of funding including best value, outcomes, financial responsibility, performance accountability and partnership when reallocating targets to effectively manage resources across areas to maximise responsiveness to client needs. </w:t>
      </w:r>
    </w:p>
    <w:p w14:paraId="7A5DF2BF" w14:textId="77777777" w:rsidR="001A466F" w:rsidRDefault="001A466F" w:rsidP="001A466F">
      <w:pPr>
        <w:pStyle w:val="Heading3"/>
      </w:pPr>
      <w:r>
        <w:t>How is target reallocation transacted and monitored?</w:t>
      </w:r>
    </w:p>
    <w:p w14:paraId="01367D74" w14:textId="0292DF1D" w:rsidR="001A466F" w:rsidRDefault="001A466F" w:rsidP="00210552">
      <w:pPr>
        <w:pStyle w:val="Body"/>
      </w:pPr>
      <w:r>
        <w:t xml:space="preserve">Target reallocation must be transacted in SAMS and will be monitored in accordance with this policy. All reallocated targets will be transacted in SAMS </w:t>
      </w:r>
      <w:r w:rsidR="00C06A0A">
        <w:t>in the May variation window</w:t>
      </w:r>
      <w:r>
        <w:t xml:space="preserve">, based on </w:t>
      </w:r>
      <w:r w:rsidR="00136EB1">
        <w:t>performance in the review period</w:t>
      </w:r>
      <w:r>
        <w:t>.</w:t>
      </w:r>
    </w:p>
    <w:p w14:paraId="22778C8E" w14:textId="77777777" w:rsidR="001A466F" w:rsidRDefault="001A466F" w:rsidP="00210552">
      <w:pPr>
        <w:pStyle w:val="Body"/>
      </w:pPr>
      <w:r>
        <w:t xml:space="preserve">An assessment of </w:t>
      </w:r>
      <w:proofErr w:type="gramStart"/>
      <w:r>
        <w:t>a</w:t>
      </w:r>
      <w:proofErr w:type="gramEnd"/>
      <w:r>
        <w:t xml:space="preserve"> HBC provider’s capacity to reach the minimum required performance threshold will occur throughout each financial year. </w:t>
      </w:r>
    </w:p>
    <w:p w14:paraId="5F57ED04" w14:textId="57861B4C" w:rsidR="001A466F" w:rsidRDefault="001A466F" w:rsidP="001A466F">
      <w:pPr>
        <w:pStyle w:val="Heading3"/>
      </w:pPr>
      <w:r>
        <w:t>When will reallocation occur?</w:t>
      </w:r>
    </w:p>
    <w:p w14:paraId="4B2C9818" w14:textId="6E847A4C" w:rsidR="001A466F" w:rsidRDefault="001A466F" w:rsidP="00210552">
      <w:pPr>
        <w:pStyle w:val="Body"/>
      </w:pPr>
      <w:r>
        <w:t xml:space="preserve">Action to reallocate targets will occur </w:t>
      </w:r>
      <w:r w:rsidR="00C06A0A">
        <w:t>in May.</w:t>
      </w:r>
      <w:r>
        <w:t xml:space="preserve"> </w:t>
      </w:r>
    </w:p>
    <w:p w14:paraId="08D3A697" w14:textId="77777777" w:rsidR="001A466F" w:rsidRDefault="001A466F" w:rsidP="001A466F">
      <w:pPr>
        <w:pStyle w:val="Heading2"/>
      </w:pPr>
      <w:bookmarkStart w:id="25" w:name="_Toc97711985"/>
      <w:r>
        <w:t>Target reimbursement for over performance</w:t>
      </w:r>
      <w:bookmarkEnd w:id="25"/>
    </w:p>
    <w:p w14:paraId="3AAAA87A" w14:textId="77777777" w:rsidR="001A466F" w:rsidRDefault="001A466F" w:rsidP="001A466F">
      <w:pPr>
        <w:pStyle w:val="Heading3"/>
      </w:pPr>
      <w:r>
        <w:t xml:space="preserve">What is reimbursement? </w:t>
      </w:r>
    </w:p>
    <w:p w14:paraId="400E1DF2" w14:textId="2C2BBA2C" w:rsidR="001A466F" w:rsidRDefault="001A466F" w:rsidP="00210552">
      <w:pPr>
        <w:pStyle w:val="Body"/>
      </w:pPr>
      <w:r>
        <w:t xml:space="preserve">Reimbursement involves a fixed-term increase in funding associated with a short-term period of over-performance. Reimbursement may occur where, as a result of arrangements agreed with a division, </w:t>
      </w:r>
      <w:proofErr w:type="gramStart"/>
      <w:r>
        <w:t>a</w:t>
      </w:r>
      <w:proofErr w:type="gramEnd"/>
      <w:r>
        <w:t xml:space="preserve"> HBC provider over-performs against funded targets for a </w:t>
      </w:r>
      <w:r w:rsidR="00EB3CFC">
        <w:t>review</w:t>
      </w:r>
      <w:r>
        <w:t xml:space="preserve"> </w:t>
      </w:r>
      <w:r w:rsidR="00136EB1">
        <w:t>period</w:t>
      </w:r>
      <w:r>
        <w:t xml:space="preserve">. In these circumstances, the HBC provider will be reimbursed, in a single transaction, for the value of the average over-performance through the financial year. </w:t>
      </w:r>
    </w:p>
    <w:p w14:paraId="789FADA5" w14:textId="77777777" w:rsidR="001A466F" w:rsidRDefault="001A466F" w:rsidP="00210552">
      <w:pPr>
        <w:pStyle w:val="Body"/>
      </w:pPr>
      <w:r>
        <w:t>Any ongoing upwards target adjustment is at the discretion of senior divisional staff and will be determined based on current and projected HBC reallocation capacity and demand requirements.</w:t>
      </w:r>
    </w:p>
    <w:p w14:paraId="20D57FE4" w14:textId="77777777" w:rsidR="001A466F" w:rsidRDefault="001A466F" w:rsidP="001A466F">
      <w:pPr>
        <w:pStyle w:val="Heading3"/>
      </w:pPr>
      <w:r>
        <w:lastRenderedPageBreak/>
        <w:t>When does reimbursement occur?</w:t>
      </w:r>
    </w:p>
    <w:p w14:paraId="39980580" w14:textId="1EC9C2D9" w:rsidR="001A466F" w:rsidRDefault="001A466F" w:rsidP="00210552">
      <w:pPr>
        <w:pStyle w:val="Body"/>
      </w:pPr>
      <w:r>
        <w:t xml:space="preserve">The department may reimburse over performance in a </w:t>
      </w:r>
      <w:r w:rsidR="00EB3CFC">
        <w:t>review</w:t>
      </w:r>
      <w:r>
        <w:t xml:space="preserve"> </w:t>
      </w:r>
      <w:r w:rsidR="00136EB1">
        <w:t>period</w:t>
      </w:r>
      <w:r>
        <w:t xml:space="preserve">, by the end of </w:t>
      </w:r>
      <w:r w:rsidR="00EB3CFC">
        <w:t>t</w:t>
      </w:r>
      <w:r>
        <w:t xml:space="preserve">he financial year. For example, if a provider overperforms during the 2021-22 </w:t>
      </w:r>
      <w:r w:rsidR="00EB3CFC">
        <w:t>review</w:t>
      </w:r>
      <w:r>
        <w:t xml:space="preserve"> </w:t>
      </w:r>
      <w:r w:rsidR="00136EB1">
        <w:t>period</w:t>
      </w:r>
      <w:r>
        <w:t xml:space="preserve">, reimbursement for overperformance may be paid, in a single transaction via SAMS2, before </w:t>
      </w:r>
      <w:r w:rsidR="00136EB1">
        <w:t xml:space="preserve">30 </w:t>
      </w:r>
      <w:r w:rsidR="00EB3CFC">
        <w:t>June</w:t>
      </w:r>
      <w:r>
        <w:t xml:space="preserve"> 2022.</w:t>
      </w:r>
    </w:p>
    <w:p w14:paraId="1817D7C5" w14:textId="77777777" w:rsidR="001A466F" w:rsidRDefault="001A466F" w:rsidP="001A466F">
      <w:pPr>
        <w:pStyle w:val="Heading3"/>
      </w:pPr>
      <w:r>
        <w:t>How is reimbursement calculated?</w:t>
      </w:r>
    </w:p>
    <w:p w14:paraId="65BD52FE" w14:textId="77777777" w:rsidR="001A466F" w:rsidRDefault="001A466F" w:rsidP="00210552">
      <w:pPr>
        <w:pStyle w:val="Body"/>
      </w:pPr>
      <w:r>
        <w:t xml:space="preserve">Reimbursement is calculated in accordance with </w:t>
      </w:r>
      <w:proofErr w:type="gramStart"/>
      <w:r>
        <w:t>a</w:t>
      </w:r>
      <w:proofErr w:type="gramEnd"/>
      <w:r>
        <w:t xml:space="preserve"> HBC provider’s agreed over-performance. </w:t>
      </w:r>
    </w:p>
    <w:p w14:paraId="2B25BD7B" w14:textId="323BDA0C" w:rsidR="001A466F" w:rsidRDefault="001A466F" w:rsidP="00210552">
      <w:pPr>
        <w:pStyle w:val="Body"/>
      </w:pPr>
      <w:r>
        <w:t xml:space="preserve">For example, </w:t>
      </w:r>
      <w:proofErr w:type="gramStart"/>
      <w:r>
        <w:t>a</w:t>
      </w:r>
      <w:proofErr w:type="gramEnd"/>
      <w:r>
        <w:t xml:space="preserve"> HBC provider has a target of a daily average number of 25 in the HBC complex activity. The required performance threshold of 90 percent equals a DAO of 22.5 targets that must be delivered. In the </w:t>
      </w:r>
      <w:r w:rsidR="00022260">
        <w:t>review period</w:t>
      </w:r>
      <w:r>
        <w:t xml:space="preserve">, the provider delivered a DAO of 28 targets and can be reimbursed on a fixed term basis for 3 additional HBC complex activity targets. Over performance across the </w:t>
      </w:r>
      <w:r w:rsidR="00EB3CFC">
        <w:t>review</w:t>
      </w:r>
      <w:r>
        <w:t xml:space="preserve"> </w:t>
      </w:r>
      <w:r w:rsidR="00136EB1">
        <w:t xml:space="preserve">period </w:t>
      </w:r>
      <w:r>
        <w:t>is collated and transacted at the end of the annual cycle</w:t>
      </w:r>
      <w:r w:rsidR="00F37AD9">
        <w:t>, to be undertaken in May</w:t>
      </w:r>
      <w:r>
        <w:t>.</w:t>
      </w:r>
    </w:p>
    <w:p w14:paraId="61E2DE0A" w14:textId="77777777" w:rsidR="001A466F" w:rsidRDefault="001A466F" w:rsidP="001A466F">
      <w:pPr>
        <w:pStyle w:val="Heading4"/>
      </w:pPr>
      <w:r>
        <w:t xml:space="preserve">Formula for determining </w:t>
      </w:r>
      <w:proofErr w:type="gramStart"/>
      <w:r>
        <w:t>reimbursement</w:t>
      </w:r>
      <w:proofErr w:type="gramEnd"/>
    </w:p>
    <w:p w14:paraId="2EEEF504" w14:textId="3D28DC8B" w:rsidR="00D96E72" w:rsidRDefault="001A466F" w:rsidP="00210552">
      <w:pPr>
        <w:pStyle w:val="Body"/>
      </w:pPr>
      <w:r>
        <w:t>(</w:t>
      </w:r>
      <w:proofErr w:type="gramStart"/>
      <w:r>
        <w:t>total</w:t>
      </w:r>
      <w:proofErr w:type="gramEnd"/>
      <w:r>
        <w:t xml:space="preserve"> actual annual divisional funded activity performance) – (total annual divisional funded activity targets)</w:t>
      </w:r>
      <w:r w:rsidR="00D96E72">
        <w:rPr>
          <w:i/>
        </w:rPr>
        <w:t xml:space="preserve"> </w:t>
      </w:r>
    </w:p>
    <w:p w14:paraId="0ECA9184" w14:textId="77777777" w:rsidR="001A466F" w:rsidRPr="004C0EA5" w:rsidRDefault="001A466F" w:rsidP="00210552">
      <w:pPr>
        <w:pStyle w:val="Body"/>
        <w:rPr>
          <w:i/>
        </w:rPr>
      </w:pPr>
      <w:r w:rsidRPr="004C0EA5">
        <w:rPr>
          <w:i/>
        </w:rPr>
        <w:t xml:space="preserve">See the attached case studies for detailed examples. </w:t>
      </w:r>
    </w:p>
    <w:p w14:paraId="5AC6E894" w14:textId="77777777" w:rsidR="001A466F" w:rsidRDefault="001A466F" w:rsidP="000233B8">
      <w:pPr>
        <w:pStyle w:val="Heading1"/>
        <w:numPr>
          <w:ilvl w:val="0"/>
          <w:numId w:val="9"/>
        </w:numPr>
        <w:ind w:left="680" w:hanging="720"/>
      </w:pPr>
      <w:bookmarkStart w:id="26" w:name="_Toc97711986"/>
      <w:r>
        <w:t>Exceptional circumstances</w:t>
      </w:r>
      <w:bookmarkEnd w:id="26"/>
    </w:p>
    <w:p w14:paraId="1BD558C0" w14:textId="77777777" w:rsidR="001A466F" w:rsidRDefault="001A466F" w:rsidP="008A702B">
      <w:pPr>
        <w:pStyle w:val="Heading3"/>
      </w:pPr>
      <w:r>
        <w:t>When do the general policy rules not apply?</w:t>
      </w:r>
    </w:p>
    <w:p w14:paraId="62BA6F33" w14:textId="28223FB7" w:rsidR="001A466F" w:rsidRDefault="0099156B" w:rsidP="00210552">
      <w:pPr>
        <w:pStyle w:val="Body"/>
      </w:pPr>
      <w:r>
        <w:t>In general,</w:t>
      </w:r>
      <w:r w:rsidR="001A466F">
        <w:t xml:space="preserve"> targets will be adjusted if a provider does not retain the minimum performance threshold of 85 and 90 per cent for the </w:t>
      </w:r>
      <w:r w:rsidR="00EB3CFC">
        <w:t>review</w:t>
      </w:r>
      <w:r w:rsidR="001A466F">
        <w:t xml:space="preserve"> </w:t>
      </w:r>
      <w:r>
        <w:t>period</w:t>
      </w:r>
      <w:r w:rsidR="001A466F">
        <w:t xml:space="preserve">.  The </w:t>
      </w:r>
      <w:r w:rsidR="001A466F" w:rsidRPr="009F5EE4">
        <w:t xml:space="preserve">divisional </w:t>
      </w:r>
      <w:r w:rsidR="001A466F">
        <w:t xml:space="preserve">Deputy Secretary has discretion to permit </w:t>
      </w:r>
      <w:proofErr w:type="gramStart"/>
      <w:r w:rsidR="001A466F">
        <w:t>a</w:t>
      </w:r>
      <w:proofErr w:type="gramEnd"/>
      <w:r w:rsidR="001A466F">
        <w:t xml:space="preserve"> HBC provider to retain full funding for the </w:t>
      </w:r>
      <w:r>
        <w:t xml:space="preserve">relevant </w:t>
      </w:r>
      <w:r w:rsidR="0058082F">
        <w:t xml:space="preserve">review </w:t>
      </w:r>
      <w:r w:rsidR="006C4A86">
        <w:t>period</w:t>
      </w:r>
      <w:r w:rsidR="001A466F">
        <w:t xml:space="preserve"> if it is determined that the reason for under-performance was exceptional, reasonable and short-term or performance has improved throughout the </w:t>
      </w:r>
      <w:r w:rsidR="00EB3CFC">
        <w:t>review</w:t>
      </w:r>
      <w:r w:rsidR="001A466F">
        <w:t xml:space="preserve"> </w:t>
      </w:r>
      <w:r w:rsidR="006C4A86">
        <w:t>period</w:t>
      </w:r>
      <w:r w:rsidR="001A466F">
        <w:t xml:space="preserve"> and target adjustment would result in reducing capacity for the provider to continue improved performance levels.</w:t>
      </w:r>
    </w:p>
    <w:p w14:paraId="2548F33C" w14:textId="77777777" w:rsidR="001A466F" w:rsidRDefault="001A466F" w:rsidP="00210552">
      <w:pPr>
        <w:pStyle w:val="Body"/>
      </w:pPr>
      <w:r>
        <w:t xml:space="preserve">The definition of exceptional circumstances is as follows: </w:t>
      </w:r>
    </w:p>
    <w:p w14:paraId="7AA81A5D" w14:textId="77777777" w:rsidR="001A466F" w:rsidRDefault="001A466F" w:rsidP="00210552">
      <w:pPr>
        <w:pStyle w:val="Body"/>
      </w:pPr>
      <w:r>
        <w:t xml:space="preserve">‘Exceptional circumstances are short-term, unforeseen circumstances that are beyond </w:t>
      </w:r>
      <w:proofErr w:type="gramStart"/>
      <w:r>
        <w:t>a</w:t>
      </w:r>
      <w:proofErr w:type="gramEnd"/>
      <w:r>
        <w:t xml:space="preserve"> HBC provider’s reasonable control and have affected the provider’s capacity to deliver a funded service and where the strict application of the HBC policy would be unfair or unreasonable’. For example:</w:t>
      </w:r>
    </w:p>
    <w:p w14:paraId="1E084C43" w14:textId="388DA42E" w:rsidR="001A466F" w:rsidRDefault="001A466F" w:rsidP="00210552">
      <w:pPr>
        <w:pStyle w:val="Bullet1"/>
      </w:pPr>
      <w:r>
        <w:t>reduction in the pool of available carers and homes due to a natural disaster including a flood or fire in a divisional area</w:t>
      </w:r>
      <w:r w:rsidR="00C37EAA">
        <w:t xml:space="preserve">, </w:t>
      </w:r>
    </w:p>
    <w:p w14:paraId="7399D4F4" w14:textId="0165CA65" w:rsidR="736551D1" w:rsidRDefault="001A466F" w:rsidP="736551D1">
      <w:pPr>
        <w:pStyle w:val="Bullet1"/>
      </w:pPr>
      <w:r>
        <w:t>issues within the HBC provider’s organisation, for example the sudden loss of multiple key personnel</w:t>
      </w:r>
      <w:r w:rsidR="00C37EAA">
        <w:t xml:space="preserve">, </w:t>
      </w:r>
    </w:p>
    <w:p w14:paraId="19E0E927" w14:textId="6435A3F5" w:rsidR="00C37EAA" w:rsidRPr="00603F87" w:rsidRDefault="00C37EAA" w:rsidP="743661AD">
      <w:pPr>
        <w:pStyle w:val="Bullet1"/>
      </w:pPr>
      <w:r w:rsidRPr="00603F87">
        <w:rPr>
          <w:szCs w:val="21"/>
        </w:rPr>
        <w:t>w</w:t>
      </w:r>
      <w:r w:rsidR="77287408" w:rsidRPr="00603F87">
        <w:rPr>
          <w:szCs w:val="21"/>
        </w:rPr>
        <w:t xml:space="preserve">here an </w:t>
      </w:r>
      <w:r w:rsidR="0470CC26" w:rsidRPr="00603F87">
        <w:rPr>
          <w:szCs w:val="21"/>
        </w:rPr>
        <w:t xml:space="preserve">adjustment would have a </w:t>
      </w:r>
      <w:r w:rsidR="037D3C04" w:rsidRPr="00603F87">
        <w:rPr>
          <w:szCs w:val="21"/>
        </w:rPr>
        <w:t>significant impact</w:t>
      </w:r>
      <w:r w:rsidR="0470CC26" w:rsidRPr="00603F87">
        <w:rPr>
          <w:szCs w:val="21"/>
        </w:rPr>
        <w:t xml:space="preserve"> on </w:t>
      </w:r>
      <w:r w:rsidR="0E1878B5" w:rsidRPr="00603F87">
        <w:rPr>
          <w:szCs w:val="21"/>
        </w:rPr>
        <w:t xml:space="preserve">business planning </w:t>
      </w:r>
      <w:r w:rsidR="59888E02" w:rsidRPr="00603F87">
        <w:rPr>
          <w:szCs w:val="21"/>
        </w:rPr>
        <w:t xml:space="preserve">and/or </w:t>
      </w:r>
      <w:r w:rsidR="34EE16D9" w:rsidRPr="00603F87">
        <w:rPr>
          <w:szCs w:val="21"/>
        </w:rPr>
        <w:t xml:space="preserve">would </w:t>
      </w:r>
      <w:r w:rsidR="58402CE0" w:rsidRPr="00603F87">
        <w:rPr>
          <w:szCs w:val="21"/>
        </w:rPr>
        <w:t xml:space="preserve">impact on </w:t>
      </w:r>
      <w:r w:rsidR="36DCBF01" w:rsidRPr="00603F87">
        <w:rPr>
          <w:szCs w:val="21"/>
        </w:rPr>
        <w:t xml:space="preserve">financial sustainability of the </w:t>
      </w:r>
      <w:r w:rsidR="00414699" w:rsidRPr="00603F87">
        <w:rPr>
          <w:szCs w:val="21"/>
        </w:rPr>
        <w:t xml:space="preserve">HBC </w:t>
      </w:r>
      <w:r w:rsidR="36DCBF01" w:rsidRPr="00603F87">
        <w:rPr>
          <w:szCs w:val="21"/>
        </w:rPr>
        <w:t>provider</w:t>
      </w:r>
      <w:r w:rsidRPr="00603F87">
        <w:rPr>
          <w:szCs w:val="21"/>
        </w:rPr>
        <w:t>; or</w:t>
      </w:r>
    </w:p>
    <w:p w14:paraId="35EF6547" w14:textId="13801E87" w:rsidR="743661AD" w:rsidRPr="00603F87" w:rsidRDefault="00C37EAA" w:rsidP="743661AD">
      <w:pPr>
        <w:pStyle w:val="Bullet1"/>
      </w:pPr>
      <w:r w:rsidRPr="00603F87">
        <w:rPr>
          <w:szCs w:val="21"/>
        </w:rPr>
        <w:t>where performance does not reflect known investment in recruitment by the HBC provider</w:t>
      </w:r>
      <w:r w:rsidR="00576873" w:rsidRPr="00603F87">
        <w:rPr>
          <w:szCs w:val="21"/>
        </w:rPr>
        <w:t>, and as agreed with the department</w:t>
      </w:r>
      <w:r w:rsidRPr="00603F87">
        <w:rPr>
          <w:szCs w:val="21"/>
        </w:rPr>
        <w:t>.</w:t>
      </w:r>
    </w:p>
    <w:p w14:paraId="3BC33119" w14:textId="393FCD48" w:rsidR="001A466F" w:rsidRDefault="001A466F" w:rsidP="00210552">
      <w:pPr>
        <w:pStyle w:val="Bodyafterbullets"/>
      </w:pPr>
      <w:r>
        <w:lastRenderedPageBreak/>
        <w:t xml:space="preserve">The circumstance will likely have a </w:t>
      </w:r>
      <w:r w:rsidR="00F90333">
        <w:t>short-term</w:t>
      </w:r>
      <w:r>
        <w:t xml:space="preserve"> focus (three to six months during the </w:t>
      </w:r>
      <w:r w:rsidR="00EB3CFC">
        <w:t>review</w:t>
      </w:r>
      <w:r>
        <w:t xml:space="preserve"> </w:t>
      </w:r>
      <w:r w:rsidR="006C4A86">
        <w:t>period</w:t>
      </w:r>
      <w:r>
        <w:t xml:space="preserve">), and the HBC provider will be able to maintain a business-as-usual approach while responding to and overcoming the adverse situation enabling performance to return to the required threshold. </w:t>
      </w:r>
    </w:p>
    <w:p w14:paraId="4A3F5CA1" w14:textId="77777777" w:rsidR="001A466F" w:rsidRDefault="001A466F" w:rsidP="00210552">
      <w:pPr>
        <w:pStyle w:val="Body"/>
      </w:pPr>
      <w:r>
        <w:t xml:space="preserve">Exceptional circumstances will only justify departure from the general policy rule in the short term and cannot be applied as a justification for longer term business sustainability. </w:t>
      </w:r>
    </w:p>
    <w:p w14:paraId="7BD17070" w14:textId="77777777" w:rsidR="001A466F" w:rsidRDefault="001A466F" w:rsidP="008A702B">
      <w:pPr>
        <w:pStyle w:val="Heading3"/>
      </w:pPr>
      <w:r>
        <w:t>Is there a standard process for justifying exceptional circumstances?</w:t>
      </w:r>
    </w:p>
    <w:p w14:paraId="2CD384BB" w14:textId="2429C1BE" w:rsidR="001A466F" w:rsidRDefault="001A466F" w:rsidP="00210552">
      <w:pPr>
        <w:pStyle w:val="Body"/>
      </w:pPr>
      <w:r>
        <w:t xml:space="preserve">In circumstances in which ‘exceptional circumstances’ justify a departure from the general rule, a business case must be provided by the HBC provider seeking exemption from the general rule and a formal request must be completed by the relevant divisional staff for approval by the appropriate </w:t>
      </w:r>
      <w:r w:rsidR="00E61773">
        <w:t>d</w:t>
      </w:r>
      <w:r>
        <w:t>ivisional Deputy Secretary</w:t>
      </w:r>
      <w:r w:rsidR="00414699">
        <w:t>.</w:t>
      </w:r>
    </w:p>
    <w:p w14:paraId="4997C024" w14:textId="72D9FD63" w:rsidR="001A466F" w:rsidRDefault="001A466F" w:rsidP="00210552">
      <w:pPr>
        <w:pStyle w:val="Body"/>
      </w:pPr>
      <w:r>
        <w:t xml:space="preserve">The business case must outline the rationale for not adjusting targets and the proposed action by the HBC provider to improve performance in the subsequent </w:t>
      </w:r>
      <w:r w:rsidR="0093292A">
        <w:t>review</w:t>
      </w:r>
      <w:r>
        <w:t xml:space="preserve"> </w:t>
      </w:r>
      <w:r w:rsidR="00AC2057">
        <w:t>period</w:t>
      </w:r>
      <w:r>
        <w:t xml:space="preserve">. </w:t>
      </w:r>
    </w:p>
    <w:p w14:paraId="5DB3067C" w14:textId="72528F7E" w:rsidR="001A466F" w:rsidRDefault="00F90333" w:rsidP="00210552">
      <w:pPr>
        <w:pStyle w:val="Body"/>
      </w:pPr>
      <w:bookmarkStart w:id="27" w:name="_Hlk97044018"/>
      <w:r>
        <w:t xml:space="preserve">An exemption may also be considered where performance has improved throughout the </w:t>
      </w:r>
      <w:r w:rsidR="0093292A">
        <w:t>review</w:t>
      </w:r>
      <w:r>
        <w:t xml:space="preserve"> </w:t>
      </w:r>
      <w:r w:rsidR="00AC2057">
        <w:t xml:space="preserve">period </w:t>
      </w:r>
      <w:r>
        <w:t>and target adjustment would result in reducing capacity for the provider to continue improved performance levels.  The provide</w:t>
      </w:r>
      <w:r w:rsidR="00F4773C">
        <w:t>r</w:t>
      </w:r>
      <w:r>
        <w:t xml:space="preserve"> must provide a business case outlining how performance will be maintained at the improved performance levels.</w:t>
      </w:r>
    </w:p>
    <w:p w14:paraId="380CA1FB" w14:textId="1C1B0E65" w:rsidR="001A466F" w:rsidRDefault="001A466F" w:rsidP="00684B22">
      <w:pPr>
        <w:pStyle w:val="Heading1"/>
        <w:numPr>
          <w:ilvl w:val="0"/>
          <w:numId w:val="9"/>
        </w:numPr>
        <w:ind w:left="680" w:hanging="720"/>
      </w:pPr>
      <w:bookmarkStart w:id="28" w:name="_Toc97711987"/>
      <w:bookmarkEnd w:id="27"/>
      <w:r>
        <w:t>How will the department account for transition from foster care to permanent care?</w:t>
      </w:r>
      <w:bookmarkEnd w:id="28"/>
    </w:p>
    <w:p w14:paraId="57AEF957" w14:textId="54CBED4C" w:rsidR="001A466F" w:rsidRDefault="001A466F" w:rsidP="008A702B">
      <w:pPr>
        <w:pStyle w:val="Body"/>
      </w:pPr>
      <w:r>
        <w:t xml:space="preserve">A key feature of care </w:t>
      </w:r>
      <w:r w:rsidR="00E61773">
        <w:t xml:space="preserve">services’ </w:t>
      </w:r>
      <w:r>
        <w:t xml:space="preserve">focus </w:t>
      </w:r>
      <w:r w:rsidR="0019179F">
        <w:t xml:space="preserve">is </w:t>
      </w:r>
      <w:r>
        <w:t xml:space="preserve">on permanency and stability. The department recognises that permanent carers have a particularly crucial role in improving outcomes for vulnerable children and young people and is therefore committed to encouraging permanent care arrangements where appropriate. </w:t>
      </w:r>
    </w:p>
    <w:p w14:paraId="6EA072AB" w14:textId="77777777" w:rsidR="001A466F" w:rsidRDefault="001A466F" w:rsidP="008A702B">
      <w:pPr>
        <w:pStyle w:val="Body"/>
      </w:pPr>
      <w:r>
        <w:t xml:space="preserve">The transition of a placement from foster care to permanent care results in a loss of </w:t>
      </w:r>
      <w:proofErr w:type="gramStart"/>
      <w:r>
        <w:t>a</w:t>
      </w:r>
      <w:proofErr w:type="gramEnd"/>
      <w:r>
        <w:t xml:space="preserve"> HBC provider’s foster care capacity. While it is expected that HBC providers will continue to actively recruit foster carers to replace those transitioning to permanent care, the department acknowledges that recruitment is a lengthy and uncertain process. </w:t>
      </w:r>
    </w:p>
    <w:p w14:paraId="1C5BF1D3" w14:textId="77777777" w:rsidR="001A466F" w:rsidRDefault="001A466F" w:rsidP="008A702B">
      <w:pPr>
        <w:pStyle w:val="Body"/>
      </w:pPr>
      <w:r>
        <w:t xml:space="preserve">To ensure that HBC providers are not penalised in these circumstances, children and young people who transition from foster care to permanent care will be included in the HBC provider’s reported DAO for six months following the permanent care order being granted. This policy recognises both the importance of permanency in a child or young person’s life and the role of HBC providers in supporting the transition of children and young people from foster care to permanent care. </w:t>
      </w:r>
    </w:p>
    <w:p w14:paraId="0E58EE1E" w14:textId="421AB562" w:rsidR="001A466F" w:rsidRDefault="001A466F" w:rsidP="00684B22">
      <w:pPr>
        <w:pStyle w:val="Heading1"/>
        <w:numPr>
          <w:ilvl w:val="0"/>
          <w:numId w:val="9"/>
        </w:numPr>
        <w:ind w:left="680" w:hanging="720"/>
      </w:pPr>
      <w:bookmarkStart w:id="29" w:name="_Toc97711988"/>
      <w:r>
        <w:lastRenderedPageBreak/>
        <w:t xml:space="preserve">Case contracting and voluntary </w:t>
      </w:r>
      <w:proofErr w:type="gramStart"/>
      <w:r>
        <w:t>child</w:t>
      </w:r>
      <w:r w:rsidR="00121C18">
        <w:t xml:space="preserve"> </w:t>
      </w:r>
      <w:r>
        <w:t>care</w:t>
      </w:r>
      <w:proofErr w:type="gramEnd"/>
      <w:r>
        <w:t xml:space="preserve"> arrangements</w:t>
      </w:r>
      <w:bookmarkEnd w:id="29"/>
    </w:p>
    <w:p w14:paraId="04B3ACCD" w14:textId="77777777" w:rsidR="001A466F" w:rsidRDefault="001A466F" w:rsidP="001A466F">
      <w:pPr>
        <w:pStyle w:val="Heading2"/>
      </w:pPr>
      <w:bookmarkStart w:id="30" w:name="_Toc97711989"/>
      <w:r>
        <w:t>How is performance measured for case contracting arrangements?</w:t>
      </w:r>
      <w:bookmarkEnd w:id="30"/>
    </w:p>
    <w:p w14:paraId="7BF8D4EA" w14:textId="77777777" w:rsidR="001A466F" w:rsidRDefault="001A466F" w:rsidP="008A702B">
      <w:pPr>
        <w:pStyle w:val="Body"/>
      </w:pPr>
      <w:r>
        <w:t xml:space="preserve">The performance requirement for case contracted placements is 80 per cent of eligible clients. </w:t>
      </w:r>
    </w:p>
    <w:p w14:paraId="140D07CD" w14:textId="2B8CC2CD" w:rsidR="001A466F" w:rsidRDefault="001A466F" w:rsidP="001A466F">
      <w:pPr>
        <w:pStyle w:val="Heading2"/>
      </w:pPr>
      <w:bookmarkStart w:id="31" w:name="_Toc97711990"/>
      <w:r>
        <w:t xml:space="preserve">How </w:t>
      </w:r>
      <w:r w:rsidR="0066547F">
        <w:t xml:space="preserve">is </w:t>
      </w:r>
      <w:r>
        <w:t xml:space="preserve">performance measured for voluntary </w:t>
      </w:r>
      <w:proofErr w:type="gramStart"/>
      <w:r>
        <w:t>child care</w:t>
      </w:r>
      <w:proofErr w:type="gramEnd"/>
      <w:r>
        <w:t xml:space="preserve"> arrangements?</w:t>
      </w:r>
      <w:bookmarkEnd w:id="31"/>
    </w:p>
    <w:p w14:paraId="2654A521" w14:textId="28296B92" w:rsidR="00D96E72" w:rsidRDefault="001A466F" w:rsidP="000233B8">
      <w:pPr>
        <w:pStyle w:val="Body"/>
      </w:pPr>
      <w:r>
        <w:t xml:space="preserve">Placements arising from voluntary </w:t>
      </w:r>
      <w:proofErr w:type="gramStart"/>
      <w:r>
        <w:t>child care</w:t>
      </w:r>
      <w:proofErr w:type="gramEnd"/>
      <w:r>
        <w:t xml:space="preserve"> agreements are measured as part of a HBC provider’s DAO. The department understands that adjusting targets in response to sustained underperformance may affect </w:t>
      </w:r>
      <w:proofErr w:type="gramStart"/>
      <w:r>
        <w:t>a</w:t>
      </w:r>
      <w:proofErr w:type="gramEnd"/>
      <w:r>
        <w:t xml:space="preserve"> HBC provider’s capacity to facilitate these arrangements. This will be taken into consideration by the relevant divisional staff during performance discussions to minimise any impact. </w:t>
      </w:r>
      <w:bookmarkStart w:id="32" w:name="_Toc97711991"/>
    </w:p>
    <w:p w14:paraId="6991A95E" w14:textId="77777777" w:rsidR="00D96E72" w:rsidRDefault="00D96E72">
      <w:pPr>
        <w:spacing w:after="0" w:line="240" w:lineRule="auto"/>
        <w:rPr>
          <w:rFonts w:eastAsia="MS Gothic" w:cs="Arial"/>
          <w:bCs/>
          <w:color w:val="201547"/>
          <w:kern w:val="32"/>
          <w:sz w:val="44"/>
          <w:szCs w:val="44"/>
        </w:rPr>
      </w:pPr>
      <w:r>
        <w:br w:type="page"/>
      </w:r>
    </w:p>
    <w:p w14:paraId="163563A8" w14:textId="4EF35F09" w:rsidR="001A466F" w:rsidRDefault="001A466F" w:rsidP="001A466F">
      <w:pPr>
        <w:pStyle w:val="Heading1"/>
      </w:pPr>
      <w:r>
        <w:lastRenderedPageBreak/>
        <w:t xml:space="preserve">Attachment 1: Counting rules for calculating total delivered </w:t>
      </w:r>
      <w:proofErr w:type="gramStart"/>
      <w:r>
        <w:t>placements</w:t>
      </w:r>
      <w:bookmarkEnd w:id="32"/>
      <w:proofErr w:type="gramEnd"/>
    </w:p>
    <w:p w14:paraId="193CD556" w14:textId="77777777" w:rsidR="001A466F" w:rsidRDefault="001A466F" w:rsidP="008A702B">
      <w:pPr>
        <w:pStyle w:val="Body"/>
      </w:pPr>
      <w:r>
        <w:t xml:space="preserve">The service agreement between HBC providers and the department incorporates the performance measure DAO, that is, delivered targets. </w:t>
      </w:r>
    </w:p>
    <w:p w14:paraId="4DD10BA6" w14:textId="77777777" w:rsidR="001A466F" w:rsidRDefault="001A466F" w:rsidP="008A702B">
      <w:pPr>
        <w:pStyle w:val="Body"/>
      </w:pPr>
      <w:r>
        <w:t xml:space="preserve">DAO is calculated by dividing the total delivered placement days in the reporting period divided by the total number of days within the reporting period.  </w:t>
      </w:r>
    </w:p>
    <w:p w14:paraId="67B8BD1D" w14:textId="77777777" w:rsidR="001A466F" w:rsidRDefault="001A466F" w:rsidP="008A702B">
      <w:pPr>
        <w:pStyle w:val="Body"/>
      </w:pPr>
      <w:r>
        <w:t>The total delivered placement days are to be counted according to the following rules:</w:t>
      </w:r>
    </w:p>
    <w:p w14:paraId="353BEB43" w14:textId="77777777" w:rsidR="001A466F" w:rsidRDefault="001A466F" w:rsidP="008A702B">
      <w:pPr>
        <w:pStyle w:val="Bullet1"/>
      </w:pPr>
      <w:r>
        <w:t xml:space="preserve">Performance is measured on a 24 </w:t>
      </w:r>
      <w:proofErr w:type="gramStart"/>
      <w:r>
        <w:t>hours</w:t>
      </w:r>
      <w:proofErr w:type="gramEnd"/>
      <w:r>
        <w:t xml:space="preserve"> basis from midnight to midnight regardless of when the child enters the placement.</w:t>
      </w:r>
    </w:p>
    <w:p w14:paraId="56BD2821" w14:textId="77777777" w:rsidR="001A466F" w:rsidRDefault="001A466F" w:rsidP="008A702B">
      <w:pPr>
        <w:pStyle w:val="Bullet1"/>
      </w:pPr>
      <w:r>
        <w:t xml:space="preserve">Performance of one placement day is counted if a child is placed with a carer for more than one hour in a </w:t>
      </w:r>
      <w:proofErr w:type="gramStart"/>
      <w:r>
        <w:t>24 hour</w:t>
      </w:r>
      <w:proofErr w:type="gramEnd"/>
      <w:r>
        <w:t xml:space="preserve"> period from midnight to midnight. </w:t>
      </w:r>
    </w:p>
    <w:p w14:paraId="31B95C12" w14:textId="77777777" w:rsidR="001A466F" w:rsidRDefault="001A466F" w:rsidP="008A702B">
      <w:pPr>
        <w:pStyle w:val="Bullet1"/>
      </w:pPr>
      <w:r>
        <w:t>For each placement, count the first and the last day of a placement.</w:t>
      </w:r>
    </w:p>
    <w:p w14:paraId="2F0DEF77" w14:textId="77777777" w:rsidR="001A466F" w:rsidRDefault="001A466F" w:rsidP="008A702B">
      <w:pPr>
        <w:pStyle w:val="Bullet1"/>
      </w:pPr>
      <w:r>
        <w:t xml:space="preserve">Except where otherwise required under this policy (see, for example, the counting rule in relation to respite below), only one placement day can be counted for each child in care per calendar day. </w:t>
      </w:r>
    </w:p>
    <w:p w14:paraId="44A8624D" w14:textId="77777777" w:rsidR="001A466F" w:rsidRDefault="001A466F" w:rsidP="008A702B">
      <w:pPr>
        <w:pStyle w:val="Bullet1"/>
      </w:pPr>
      <w:r>
        <w:t xml:space="preserve">If a foster care arrangement is converted into permanent care placement through a court order, the HBC provider </w:t>
      </w:r>
      <w:proofErr w:type="gramStart"/>
      <w:r>
        <w:t>is able to</w:t>
      </w:r>
      <w:proofErr w:type="gramEnd"/>
      <w:r>
        <w:t xml:space="preserve"> continue to count this placement for a period of six months after the permanent care order is granted.</w:t>
      </w:r>
    </w:p>
    <w:p w14:paraId="0ACFF50C" w14:textId="77777777" w:rsidR="001A466F" w:rsidRDefault="001A466F" w:rsidP="008A702B">
      <w:pPr>
        <w:pStyle w:val="Bullet1"/>
      </w:pPr>
      <w:r>
        <w:t xml:space="preserve">If the department requests (in writing) that </w:t>
      </w:r>
      <w:proofErr w:type="gramStart"/>
      <w:r>
        <w:t>a</w:t>
      </w:r>
      <w:proofErr w:type="gramEnd"/>
      <w:r>
        <w:t xml:space="preserve"> HBC provider organise and ‘hold’ a placement for a particular child, the period of time requested to be held can be included in the count as a delivered placement. </w:t>
      </w:r>
    </w:p>
    <w:p w14:paraId="66F8955D" w14:textId="77777777" w:rsidR="001A466F" w:rsidRDefault="001A466F" w:rsidP="008A702B">
      <w:pPr>
        <w:pStyle w:val="Bullet1"/>
      </w:pPr>
      <w:r>
        <w:t>Both the primary placement and the respite placement will be counted during the respite period.</w:t>
      </w:r>
    </w:p>
    <w:p w14:paraId="0A747E4D" w14:textId="0DDB2756" w:rsidR="001A466F" w:rsidRDefault="001A466F" w:rsidP="008A702B">
      <w:pPr>
        <w:pStyle w:val="Bullet1"/>
      </w:pPr>
      <w:r>
        <w:t>If a child remains in a placement after turning 18 years of age (child protection order has lapsed), as part of the 18 years and school attending carer reimbursement policy, the placement will count for performance purposes until the end of the school year.</w:t>
      </w:r>
    </w:p>
    <w:p w14:paraId="63E4CFC4" w14:textId="77777777" w:rsidR="00684B22" w:rsidRDefault="00684B22" w:rsidP="00684B22">
      <w:pPr>
        <w:pStyle w:val="Heading1"/>
      </w:pPr>
      <w:bookmarkStart w:id="33" w:name="_Toc97711992"/>
      <w:r>
        <w:t>Attachment 2:  Target adjustment and reimbursement case study examples</w:t>
      </w:r>
      <w:bookmarkEnd w:id="33"/>
    </w:p>
    <w:p w14:paraId="5C037A0D" w14:textId="77777777" w:rsidR="00684B22" w:rsidRDefault="00684B22" w:rsidP="008A702B">
      <w:pPr>
        <w:pStyle w:val="Body"/>
      </w:pPr>
      <w:r>
        <w:t>The following case studies illustrate how the strengthened HBC performance management approach operates in practice under the HBC performance and reporting requirements policy.</w:t>
      </w:r>
    </w:p>
    <w:p w14:paraId="0C6E3B7D" w14:textId="559B57B4" w:rsidR="00684B22" w:rsidRDefault="00684B22" w:rsidP="008A702B">
      <w:pPr>
        <w:pStyle w:val="Body"/>
      </w:pPr>
      <w:r>
        <w:t xml:space="preserve">Our sample HBC provider is funded to deliver 50 general, 30 intensive and 20 complex targets each </w:t>
      </w:r>
      <w:r w:rsidR="0093292A">
        <w:t>review</w:t>
      </w:r>
      <w:r>
        <w:t xml:space="preserve"> </w:t>
      </w:r>
      <w:r w:rsidR="006C4A86">
        <w:t>period</w:t>
      </w:r>
      <w:r>
        <w:t>.  For ease of the example, the indicative unit prices for these targets are $</w:t>
      </w:r>
      <w:r w:rsidR="00121C18">
        <w:t>20</w:t>
      </w:r>
      <w:r>
        <w:t xml:space="preserve">,000, </w:t>
      </w:r>
      <w:proofErr w:type="gramStart"/>
      <w:r>
        <w:t>$</w:t>
      </w:r>
      <w:r w:rsidR="00121C18">
        <w:t>3</w:t>
      </w:r>
      <w:r>
        <w:t>0,000</w:t>
      </w:r>
      <w:proofErr w:type="gramEnd"/>
      <w:r>
        <w:t xml:space="preserve"> and $</w:t>
      </w:r>
      <w:r w:rsidR="00121C18">
        <w:t>4</w:t>
      </w:r>
      <w:r>
        <w:t xml:space="preserve">0,000 respectively. </w:t>
      </w:r>
    </w:p>
    <w:p w14:paraId="7BECDA10" w14:textId="77777777" w:rsidR="00684B22" w:rsidRPr="008A702B" w:rsidRDefault="00684B22" w:rsidP="008A702B">
      <w:pPr>
        <w:pStyle w:val="Body"/>
      </w:pPr>
      <w:r>
        <w:t xml:space="preserve">Where </w:t>
      </w:r>
      <w:proofErr w:type="gramStart"/>
      <w:r>
        <w:t>a</w:t>
      </w:r>
      <w:proofErr w:type="gramEnd"/>
      <w:r>
        <w:t xml:space="preserve"> HBC provider under performs, the funding and target adjustment may be the difference between the dollar value of the (unit-priced) targets delivered and the 85 or 90 per cent threshold for </w:t>
      </w:r>
      <w:r w:rsidRPr="008A702B">
        <w:t xml:space="preserve">specified in scope activities. Where </w:t>
      </w:r>
      <w:proofErr w:type="gramStart"/>
      <w:r w:rsidRPr="008A702B">
        <w:t>a</w:t>
      </w:r>
      <w:proofErr w:type="gramEnd"/>
      <w:r w:rsidRPr="008A702B">
        <w:t xml:space="preserve"> HBC provider over performs (i.e. performs above 100 per cent of funded targets), the dollar value of the over-performance may be reimbursed.</w:t>
      </w:r>
    </w:p>
    <w:p w14:paraId="487685BB" w14:textId="77777777" w:rsidR="00684B22" w:rsidRDefault="00684B22" w:rsidP="00684B22">
      <w:pPr>
        <w:pStyle w:val="Heading2"/>
      </w:pPr>
      <w:bookmarkStart w:id="34" w:name="_Toc97711993"/>
      <w:r>
        <w:lastRenderedPageBreak/>
        <w:t>Case study 1</w:t>
      </w:r>
      <w:bookmarkEnd w:id="34"/>
      <w:r>
        <w:t xml:space="preserve"> </w:t>
      </w:r>
    </w:p>
    <w:tbl>
      <w:tblPr>
        <w:tblW w:w="10953"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72"/>
        <w:gridCol w:w="1072"/>
        <w:gridCol w:w="1268"/>
        <w:gridCol w:w="1207"/>
        <w:gridCol w:w="1133"/>
        <w:gridCol w:w="1549"/>
        <w:gridCol w:w="1390"/>
        <w:gridCol w:w="1427"/>
      </w:tblGrid>
      <w:tr w:rsidR="009D18A0" w14:paraId="0CDE6788" w14:textId="77777777" w:rsidTr="007D2183">
        <w:tc>
          <w:tcPr>
            <w:tcW w:w="0" w:type="auto"/>
          </w:tcPr>
          <w:p w14:paraId="05F542C2" w14:textId="77777777" w:rsidR="00684B22" w:rsidRPr="007D2183" w:rsidRDefault="00684B22" w:rsidP="008A702B">
            <w:pPr>
              <w:pStyle w:val="Tablecolhead"/>
              <w:rPr>
                <w:sz w:val="22"/>
              </w:rPr>
            </w:pPr>
            <w:r w:rsidRPr="007D2183">
              <w:rPr>
                <w:sz w:val="22"/>
              </w:rPr>
              <w:t>HBC Activity</w:t>
            </w:r>
          </w:p>
        </w:tc>
        <w:tc>
          <w:tcPr>
            <w:tcW w:w="0" w:type="auto"/>
          </w:tcPr>
          <w:p w14:paraId="2D0ECE91" w14:textId="77777777" w:rsidR="00684B22" w:rsidRPr="007D2183" w:rsidRDefault="00684B22" w:rsidP="008A702B">
            <w:pPr>
              <w:pStyle w:val="Tablecolhead"/>
              <w:rPr>
                <w:sz w:val="22"/>
              </w:rPr>
            </w:pPr>
            <w:r w:rsidRPr="007D2183">
              <w:rPr>
                <w:sz w:val="22"/>
              </w:rPr>
              <w:t>Unit price (annual)</w:t>
            </w:r>
          </w:p>
        </w:tc>
        <w:tc>
          <w:tcPr>
            <w:tcW w:w="0" w:type="auto"/>
          </w:tcPr>
          <w:p w14:paraId="2C174C18" w14:textId="77777777" w:rsidR="00684B22" w:rsidRPr="007D2183" w:rsidRDefault="00684B22" w:rsidP="008A702B">
            <w:pPr>
              <w:pStyle w:val="Tablecolhead"/>
              <w:rPr>
                <w:sz w:val="22"/>
              </w:rPr>
            </w:pPr>
            <w:r w:rsidRPr="007D2183">
              <w:rPr>
                <w:sz w:val="22"/>
              </w:rPr>
              <w:t>Funded targets (annual)</w:t>
            </w:r>
          </w:p>
        </w:tc>
        <w:tc>
          <w:tcPr>
            <w:tcW w:w="0" w:type="auto"/>
          </w:tcPr>
          <w:p w14:paraId="14CF1022" w14:textId="77777777" w:rsidR="00684B22" w:rsidRPr="007D2183" w:rsidRDefault="00684B22" w:rsidP="008A702B">
            <w:pPr>
              <w:pStyle w:val="Tablecolhead"/>
              <w:rPr>
                <w:sz w:val="22"/>
              </w:rPr>
            </w:pPr>
            <w:r w:rsidRPr="007D2183">
              <w:rPr>
                <w:sz w:val="22"/>
              </w:rPr>
              <w:t>Total funding (annual)</w:t>
            </w:r>
          </w:p>
        </w:tc>
        <w:tc>
          <w:tcPr>
            <w:tcW w:w="0" w:type="auto"/>
          </w:tcPr>
          <w:p w14:paraId="66AAB2E7" w14:textId="3A28242B" w:rsidR="00684B22" w:rsidRPr="007D2183" w:rsidRDefault="00684B22" w:rsidP="008A702B">
            <w:pPr>
              <w:pStyle w:val="Tablecolhead"/>
              <w:rPr>
                <w:sz w:val="22"/>
              </w:rPr>
            </w:pPr>
            <w:r w:rsidRPr="007D2183">
              <w:rPr>
                <w:sz w:val="22"/>
              </w:rPr>
              <w:t>Delivered targets (</w:t>
            </w:r>
            <w:r w:rsidR="00E61773">
              <w:rPr>
                <w:sz w:val="22"/>
              </w:rPr>
              <w:t>annual</w:t>
            </w:r>
            <w:r w:rsidRPr="007D2183">
              <w:rPr>
                <w:sz w:val="22"/>
              </w:rPr>
              <w:t>)</w:t>
            </w:r>
          </w:p>
        </w:tc>
        <w:tc>
          <w:tcPr>
            <w:tcW w:w="0" w:type="auto"/>
          </w:tcPr>
          <w:p w14:paraId="3D9E3DDB" w14:textId="150C01AE" w:rsidR="00684B22" w:rsidRPr="007D2183" w:rsidRDefault="00684B22" w:rsidP="008A702B">
            <w:pPr>
              <w:pStyle w:val="Tablecolhead"/>
              <w:rPr>
                <w:sz w:val="22"/>
              </w:rPr>
            </w:pPr>
            <w:r w:rsidRPr="007D2183">
              <w:rPr>
                <w:sz w:val="22"/>
              </w:rPr>
              <w:t>Perform</w:t>
            </w:r>
            <w:r w:rsidR="007D2183">
              <w:rPr>
                <w:sz w:val="22"/>
              </w:rPr>
              <w:t>-</w:t>
            </w:r>
            <w:proofErr w:type="spellStart"/>
            <w:r w:rsidRPr="007D2183">
              <w:rPr>
                <w:sz w:val="22"/>
              </w:rPr>
              <w:t>ance</w:t>
            </w:r>
            <w:proofErr w:type="spellEnd"/>
            <w:r w:rsidRPr="007D2183">
              <w:rPr>
                <w:sz w:val="22"/>
              </w:rPr>
              <w:t xml:space="preserve"> </w:t>
            </w:r>
          </w:p>
        </w:tc>
        <w:tc>
          <w:tcPr>
            <w:tcW w:w="0" w:type="auto"/>
          </w:tcPr>
          <w:p w14:paraId="7AB7D0A6" w14:textId="77777777" w:rsidR="00684B22" w:rsidRPr="007D2183" w:rsidRDefault="00684B22" w:rsidP="008A702B">
            <w:pPr>
              <w:pStyle w:val="Tablecolhead"/>
              <w:rPr>
                <w:sz w:val="22"/>
              </w:rPr>
            </w:pPr>
            <w:r w:rsidRPr="007D2183">
              <w:rPr>
                <w:sz w:val="22"/>
              </w:rPr>
              <w:t>Under/over</w:t>
            </w:r>
            <w:r w:rsidRPr="007D2183">
              <w:rPr>
                <w:sz w:val="22"/>
              </w:rPr>
              <w:br/>
              <w:t>performance</w:t>
            </w:r>
          </w:p>
        </w:tc>
        <w:tc>
          <w:tcPr>
            <w:tcW w:w="0" w:type="auto"/>
          </w:tcPr>
          <w:p w14:paraId="78CC6531" w14:textId="77777777" w:rsidR="00684B22" w:rsidRPr="007D2183" w:rsidRDefault="00684B22" w:rsidP="008A702B">
            <w:pPr>
              <w:pStyle w:val="Tablecolhead"/>
              <w:rPr>
                <w:sz w:val="22"/>
              </w:rPr>
            </w:pPr>
            <w:r w:rsidRPr="007D2183">
              <w:rPr>
                <w:sz w:val="22"/>
              </w:rPr>
              <w:t>Target adjustment (annual)</w:t>
            </w:r>
          </w:p>
        </w:tc>
        <w:tc>
          <w:tcPr>
            <w:tcW w:w="1361" w:type="dxa"/>
          </w:tcPr>
          <w:p w14:paraId="5452F06D" w14:textId="08A93EE4" w:rsidR="00684B22" w:rsidRPr="007D2183" w:rsidRDefault="00684B22" w:rsidP="008A702B">
            <w:pPr>
              <w:pStyle w:val="Tablecolhead"/>
              <w:rPr>
                <w:sz w:val="22"/>
              </w:rPr>
            </w:pPr>
            <w:r w:rsidRPr="007D2183">
              <w:rPr>
                <w:sz w:val="22"/>
              </w:rPr>
              <w:t>Reimburse</w:t>
            </w:r>
            <w:r w:rsidR="007D2183">
              <w:rPr>
                <w:sz w:val="22"/>
              </w:rPr>
              <w:t>-</w:t>
            </w:r>
            <w:proofErr w:type="spellStart"/>
            <w:r w:rsidRPr="007D2183">
              <w:rPr>
                <w:sz w:val="22"/>
              </w:rPr>
              <w:t>ment</w:t>
            </w:r>
            <w:proofErr w:type="spellEnd"/>
            <w:r w:rsidRPr="007D2183">
              <w:rPr>
                <w:sz w:val="22"/>
              </w:rPr>
              <w:t xml:space="preserve"> (annual)</w:t>
            </w:r>
          </w:p>
        </w:tc>
      </w:tr>
      <w:tr w:rsidR="00E57DE9" w14:paraId="7FE59CA3" w14:textId="77777777" w:rsidTr="007D2183">
        <w:tc>
          <w:tcPr>
            <w:tcW w:w="0" w:type="auto"/>
            <w:vAlign w:val="bottom"/>
          </w:tcPr>
          <w:p w14:paraId="4B368F64" w14:textId="77777777" w:rsidR="00684B22" w:rsidRPr="008A702B" w:rsidRDefault="00684B22" w:rsidP="008A702B">
            <w:pPr>
              <w:pStyle w:val="Tabletext"/>
            </w:pPr>
            <w:r w:rsidRPr="008A702B">
              <w:t>General</w:t>
            </w:r>
          </w:p>
        </w:tc>
        <w:tc>
          <w:tcPr>
            <w:tcW w:w="0" w:type="auto"/>
            <w:vAlign w:val="bottom"/>
          </w:tcPr>
          <w:p w14:paraId="0727D802" w14:textId="307C4657" w:rsidR="00684B22" w:rsidRPr="008A702B" w:rsidRDefault="00684B22" w:rsidP="008A702B">
            <w:pPr>
              <w:pStyle w:val="Tabletext"/>
            </w:pPr>
            <w:r w:rsidRPr="008A702B">
              <w:t>$</w:t>
            </w:r>
            <w:r w:rsidR="007D2183">
              <w:t>20</w:t>
            </w:r>
            <w:r w:rsidRPr="008A702B">
              <w:t>,000</w:t>
            </w:r>
          </w:p>
        </w:tc>
        <w:tc>
          <w:tcPr>
            <w:tcW w:w="0" w:type="auto"/>
            <w:vAlign w:val="bottom"/>
          </w:tcPr>
          <w:p w14:paraId="1E966EB0" w14:textId="77777777" w:rsidR="00684B22" w:rsidRPr="008A702B" w:rsidRDefault="00684B22" w:rsidP="008A702B">
            <w:pPr>
              <w:pStyle w:val="Tabletext"/>
            </w:pPr>
            <w:r w:rsidRPr="008A702B">
              <w:t>50</w:t>
            </w:r>
          </w:p>
        </w:tc>
        <w:tc>
          <w:tcPr>
            <w:tcW w:w="0" w:type="auto"/>
          </w:tcPr>
          <w:p w14:paraId="0C2124FE" w14:textId="47112DEA" w:rsidR="00684B22" w:rsidRPr="008A702B" w:rsidDel="000F130F" w:rsidRDefault="00684B22" w:rsidP="008A702B">
            <w:pPr>
              <w:pStyle w:val="Tabletext"/>
            </w:pPr>
            <w:r w:rsidRPr="008A702B">
              <w:t>$</w:t>
            </w:r>
            <w:r w:rsidR="007D2183">
              <w:t>1,00</w:t>
            </w:r>
            <w:r w:rsidRPr="008A702B">
              <w:t>0,000</w:t>
            </w:r>
          </w:p>
        </w:tc>
        <w:tc>
          <w:tcPr>
            <w:tcW w:w="0" w:type="auto"/>
            <w:vAlign w:val="bottom"/>
          </w:tcPr>
          <w:p w14:paraId="6E94C996" w14:textId="77777777" w:rsidR="00684B22" w:rsidRPr="008A702B" w:rsidRDefault="00684B22" w:rsidP="008A702B">
            <w:pPr>
              <w:pStyle w:val="Tabletext"/>
            </w:pPr>
            <w:r w:rsidRPr="008A702B">
              <w:t>47.5</w:t>
            </w:r>
          </w:p>
        </w:tc>
        <w:tc>
          <w:tcPr>
            <w:tcW w:w="0" w:type="auto"/>
            <w:vAlign w:val="bottom"/>
          </w:tcPr>
          <w:p w14:paraId="5D066ADD" w14:textId="77777777" w:rsidR="00684B22" w:rsidRPr="008A702B" w:rsidRDefault="00684B22" w:rsidP="008A702B">
            <w:pPr>
              <w:pStyle w:val="Tabletext"/>
            </w:pPr>
            <w:r w:rsidRPr="008A702B">
              <w:t>95%</w:t>
            </w:r>
          </w:p>
        </w:tc>
        <w:tc>
          <w:tcPr>
            <w:tcW w:w="0" w:type="auto"/>
            <w:vAlign w:val="bottom"/>
          </w:tcPr>
          <w:p w14:paraId="5A3E855D" w14:textId="77777777" w:rsidR="00684B22" w:rsidRPr="008A702B" w:rsidRDefault="00684B22" w:rsidP="008A702B">
            <w:pPr>
              <w:pStyle w:val="Tabletext"/>
            </w:pPr>
            <w:r w:rsidRPr="008A702B">
              <w:t>0%</w:t>
            </w:r>
          </w:p>
        </w:tc>
        <w:tc>
          <w:tcPr>
            <w:tcW w:w="0" w:type="auto"/>
            <w:vAlign w:val="bottom"/>
          </w:tcPr>
          <w:p w14:paraId="2B8F1BE6" w14:textId="77777777" w:rsidR="00684B22" w:rsidRPr="008A702B" w:rsidRDefault="00684B22" w:rsidP="008A702B">
            <w:pPr>
              <w:pStyle w:val="Tabletext"/>
            </w:pPr>
            <w:r w:rsidRPr="008A702B">
              <w:t>$0</w:t>
            </w:r>
          </w:p>
        </w:tc>
        <w:tc>
          <w:tcPr>
            <w:tcW w:w="1361" w:type="dxa"/>
          </w:tcPr>
          <w:p w14:paraId="2C2E1B9A" w14:textId="77777777" w:rsidR="00684B22" w:rsidRPr="00BB00E8" w:rsidRDefault="00684B22" w:rsidP="008A702B">
            <w:pPr>
              <w:pStyle w:val="Tabletext"/>
            </w:pPr>
            <w:r w:rsidRPr="00BB00E8">
              <w:t>$0</w:t>
            </w:r>
          </w:p>
        </w:tc>
      </w:tr>
      <w:tr w:rsidR="00E57DE9" w14:paraId="11B94272" w14:textId="77777777" w:rsidTr="007D2183">
        <w:tc>
          <w:tcPr>
            <w:tcW w:w="0" w:type="auto"/>
            <w:vAlign w:val="bottom"/>
          </w:tcPr>
          <w:p w14:paraId="26B7142D" w14:textId="77777777" w:rsidR="00684B22" w:rsidRPr="008A702B" w:rsidRDefault="00684B22" w:rsidP="008A702B">
            <w:pPr>
              <w:pStyle w:val="Tabletext"/>
            </w:pPr>
            <w:r w:rsidRPr="008A702B">
              <w:t>Intensive</w:t>
            </w:r>
          </w:p>
        </w:tc>
        <w:tc>
          <w:tcPr>
            <w:tcW w:w="0" w:type="auto"/>
            <w:vAlign w:val="bottom"/>
          </w:tcPr>
          <w:p w14:paraId="588DB8AB" w14:textId="67C4FF0E" w:rsidR="00684B22" w:rsidRPr="008A702B" w:rsidRDefault="00684B22" w:rsidP="008A702B">
            <w:pPr>
              <w:pStyle w:val="Tabletext"/>
            </w:pPr>
            <w:r w:rsidRPr="008A702B">
              <w:t>$</w:t>
            </w:r>
            <w:r w:rsidR="007D2183">
              <w:t>3</w:t>
            </w:r>
            <w:r w:rsidRPr="008A702B">
              <w:t>0,000</w:t>
            </w:r>
          </w:p>
        </w:tc>
        <w:tc>
          <w:tcPr>
            <w:tcW w:w="0" w:type="auto"/>
            <w:vAlign w:val="bottom"/>
          </w:tcPr>
          <w:p w14:paraId="4FF26C69" w14:textId="77777777" w:rsidR="00684B22" w:rsidRPr="008A702B" w:rsidRDefault="00684B22" w:rsidP="008A702B">
            <w:pPr>
              <w:pStyle w:val="Tabletext"/>
            </w:pPr>
            <w:r w:rsidRPr="008A702B">
              <w:t>30</w:t>
            </w:r>
          </w:p>
        </w:tc>
        <w:tc>
          <w:tcPr>
            <w:tcW w:w="0" w:type="auto"/>
          </w:tcPr>
          <w:p w14:paraId="2235CE64" w14:textId="552597FD" w:rsidR="00684B22" w:rsidRPr="008A702B" w:rsidDel="000F130F" w:rsidRDefault="00684B22" w:rsidP="008A702B">
            <w:pPr>
              <w:pStyle w:val="Tabletext"/>
            </w:pPr>
            <w:r w:rsidRPr="008A702B">
              <w:t>$</w:t>
            </w:r>
            <w:r w:rsidR="00047561">
              <w:t>9</w:t>
            </w:r>
            <w:r w:rsidRPr="008A702B">
              <w:t>00,000</w:t>
            </w:r>
          </w:p>
        </w:tc>
        <w:tc>
          <w:tcPr>
            <w:tcW w:w="0" w:type="auto"/>
            <w:vAlign w:val="bottom"/>
          </w:tcPr>
          <w:p w14:paraId="053B886E" w14:textId="77777777" w:rsidR="00684B22" w:rsidRPr="008A702B" w:rsidRDefault="00684B22" w:rsidP="008A702B">
            <w:pPr>
              <w:pStyle w:val="Tabletext"/>
            </w:pPr>
            <w:r w:rsidRPr="008A702B">
              <w:t>28.5</w:t>
            </w:r>
          </w:p>
        </w:tc>
        <w:tc>
          <w:tcPr>
            <w:tcW w:w="0" w:type="auto"/>
            <w:vAlign w:val="bottom"/>
          </w:tcPr>
          <w:p w14:paraId="57ED9CFB" w14:textId="77777777" w:rsidR="00684B22" w:rsidRPr="008A702B" w:rsidRDefault="00684B22" w:rsidP="008A702B">
            <w:pPr>
              <w:pStyle w:val="Tabletext"/>
            </w:pPr>
            <w:r w:rsidRPr="008A702B">
              <w:t>95%</w:t>
            </w:r>
          </w:p>
        </w:tc>
        <w:tc>
          <w:tcPr>
            <w:tcW w:w="0" w:type="auto"/>
            <w:vAlign w:val="bottom"/>
          </w:tcPr>
          <w:p w14:paraId="51AC2BCA" w14:textId="77777777" w:rsidR="00684B22" w:rsidRPr="008A702B" w:rsidRDefault="00684B22" w:rsidP="008A702B">
            <w:pPr>
              <w:pStyle w:val="Tabletext"/>
            </w:pPr>
            <w:r w:rsidRPr="008A702B">
              <w:t>0%</w:t>
            </w:r>
          </w:p>
        </w:tc>
        <w:tc>
          <w:tcPr>
            <w:tcW w:w="0" w:type="auto"/>
            <w:vAlign w:val="bottom"/>
          </w:tcPr>
          <w:p w14:paraId="5518BFB8" w14:textId="77777777" w:rsidR="00684B22" w:rsidRPr="008A702B" w:rsidRDefault="00684B22" w:rsidP="008A702B">
            <w:pPr>
              <w:pStyle w:val="Tabletext"/>
            </w:pPr>
            <w:r w:rsidRPr="008A702B">
              <w:t>$0</w:t>
            </w:r>
          </w:p>
        </w:tc>
        <w:tc>
          <w:tcPr>
            <w:tcW w:w="1361" w:type="dxa"/>
          </w:tcPr>
          <w:p w14:paraId="317FDFCB" w14:textId="77777777" w:rsidR="00684B22" w:rsidRPr="00BB00E8" w:rsidRDefault="00684B22" w:rsidP="008A702B">
            <w:pPr>
              <w:pStyle w:val="Tabletext"/>
            </w:pPr>
            <w:r w:rsidRPr="00BB00E8">
              <w:t>$0</w:t>
            </w:r>
          </w:p>
        </w:tc>
      </w:tr>
      <w:tr w:rsidR="00E57DE9" w14:paraId="4625EFDC" w14:textId="77777777" w:rsidTr="007D2183">
        <w:tc>
          <w:tcPr>
            <w:tcW w:w="0" w:type="auto"/>
            <w:vAlign w:val="bottom"/>
          </w:tcPr>
          <w:p w14:paraId="0B36BEC6" w14:textId="77777777" w:rsidR="00684B22" w:rsidRPr="008A702B" w:rsidRDefault="00684B22" w:rsidP="008A702B">
            <w:pPr>
              <w:pStyle w:val="Tabletext"/>
            </w:pPr>
            <w:r w:rsidRPr="008A702B">
              <w:t>Complex</w:t>
            </w:r>
          </w:p>
        </w:tc>
        <w:tc>
          <w:tcPr>
            <w:tcW w:w="0" w:type="auto"/>
            <w:vAlign w:val="bottom"/>
          </w:tcPr>
          <w:p w14:paraId="4E415D9D" w14:textId="2BCF119A" w:rsidR="00684B22" w:rsidRPr="008A702B" w:rsidRDefault="00684B22" w:rsidP="008A702B">
            <w:pPr>
              <w:pStyle w:val="Tabletext"/>
            </w:pPr>
            <w:r w:rsidRPr="008A702B">
              <w:t>$</w:t>
            </w:r>
            <w:r w:rsidR="007D2183">
              <w:t>40</w:t>
            </w:r>
            <w:r w:rsidRPr="008A702B">
              <w:t>,000</w:t>
            </w:r>
          </w:p>
        </w:tc>
        <w:tc>
          <w:tcPr>
            <w:tcW w:w="0" w:type="auto"/>
            <w:vAlign w:val="bottom"/>
          </w:tcPr>
          <w:p w14:paraId="3CB125E7" w14:textId="77777777" w:rsidR="00684B22" w:rsidRPr="008A702B" w:rsidRDefault="00684B22" w:rsidP="008A702B">
            <w:pPr>
              <w:pStyle w:val="Tabletext"/>
            </w:pPr>
            <w:r w:rsidRPr="008A702B">
              <w:t>20</w:t>
            </w:r>
          </w:p>
        </w:tc>
        <w:tc>
          <w:tcPr>
            <w:tcW w:w="0" w:type="auto"/>
          </w:tcPr>
          <w:p w14:paraId="7307EEE6" w14:textId="4BF7E17D" w:rsidR="00684B22" w:rsidRPr="008A702B" w:rsidDel="000F130F" w:rsidRDefault="00684B22" w:rsidP="008A702B">
            <w:pPr>
              <w:pStyle w:val="Tabletext"/>
            </w:pPr>
            <w:r w:rsidRPr="008A702B">
              <w:t>$</w:t>
            </w:r>
            <w:r w:rsidR="00047561">
              <w:t>8</w:t>
            </w:r>
            <w:r w:rsidRPr="008A702B">
              <w:t>00,000</w:t>
            </w:r>
          </w:p>
        </w:tc>
        <w:tc>
          <w:tcPr>
            <w:tcW w:w="0" w:type="auto"/>
            <w:vAlign w:val="bottom"/>
          </w:tcPr>
          <w:p w14:paraId="1264E18C" w14:textId="77777777" w:rsidR="00684B22" w:rsidRPr="008A702B" w:rsidRDefault="00684B22" w:rsidP="008A702B">
            <w:pPr>
              <w:pStyle w:val="Tabletext"/>
            </w:pPr>
            <w:r w:rsidRPr="008A702B">
              <w:t>15</w:t>
            </w:r>
          </w:p>
        </w:tc>
        <w:tc>
          <w:tcPr>
            <w:tcW w:w="0" w:type="auto"/>
            <w:vAlign w:val="bottom"/>
          </w:tcPr>
          <w:p w14:paraId="432D723B" w14:textId="77777777" w:rsidR="00684B22" w:rsidRPr="008A702B" w:rsidRDefault="00684B22" w:rsidP="008A702B">
            <w:pPr>
              <w:pStyle w:val="Tabletext"/>
            </w:pPr>
            <w:r w:rsidRPr="008A702B">
              <w:t>75%</w:t>
            </w:r>
          </w:p>
        </w:tc>
        <w:tc>
          <w:tcPr>
            <w:tcW w:w="0" w:type="auto"/>
            <w:vAlign w:val="bottom"/>
          </w:tcPr>
          <w:p w14:paraId="41840804" w14:textId="77777777" w:rsidR="00684B22" w:rsidRPr="008A702B" w:rsidRDefault="00684B22" w:rsidP="008A702B">
            <w:pPr>
              <w:pStyle w:val="Tabletext"/>
            </w:pPr>
            <w:r w:rsidRPr="008A702B">
              <w:t>-15%</w:t>
            </w:r>
          </w:p>
        </w:tc>
        <w:tc>
          <w:tcPr>
            <w:tcW w:w="0" w:type="auto"/>
            <w:vAlign w:val="bottom"/>
          </w:tcPr>
          <w:p w14:paraId="01345F58" w14:textId="41EEE127" w:rsidR="00684B22" w:rsidRPr="008A702B" w:rsidRDefault="00684B22" w:rsidP="008A702B">
            <w:pPr>
              <w:pStyle w:val="Tabletext"/>
            </w:pPr>
            <w:r w:rsidRPr="008A702B">
              <w:t>-$</w:t>
            </w:r>
            <w:r w:rsidR="00047561">
              <w:t>12</w:t>
            </w:r>
            <w:r w:rsidRPr="008A702B">
              <w:t>0,000</w:t>
            </w:r>
          </w:p>
        </w:tc>
        <w:tc>
          <w:tcPr>
            <w:tcW w:w="1361" w:type="dxa"/>
          </w:tcPr>
          <w:p w14:paraId="513A56EF" w14:textId="77777777" w:rsidR="00684B22" w:rsidRPr="00BB00E8" w:rsidDel="002D214B" w:rsidRDefault="00684B22" w:rsidP="008A702B">
            <w:pPr>
              <w:pStyle w:val="Tabletext"/>
            </w:pPr>
            <w:r w:rsidRPr="00BB00E8">
              <w:t>$0</w:t>
            </w:r>
          </w:p>
        </w:tc>
      </w:tr>
      <w:tr w:rsidR="00F57F31" w14:paraId="71388342" w14:textId="77777777" w:rsidTr="007D2183">
        <w:tc>
          <w:tcPr>
            <w:tcW w:w="0" w:type="auto"/>
            <w:tcBorders>
              <w:left w:val="nil"/>
              <w:bottom w:val="nil"/>
              <w:right w:val="nil"/>
            </w:tcBorders>
            <w:vAlign w:val="bottom"/>
          </w:tcPr>
          <w:p w14:paraId="386F927B" w14:textId="77777777" w:rsidR="00684B22" w:rsidRPr="008A702B" w:rsidRDefault="00684B22" w:rsidP="008A702B">
            <w:pPr>
              <w:pStyle w:val="Tabletext"/>
            </w:pPr>
          </w:p>
        </w:tc>
        <w:tc>
          <w:tcPr>
            <w:tcW w:w="0" w:type="auto"/>
            <w:tcBorders>
              <w:left w:val="nil"/>
              <w:bottom w:val="nil"/>
              <w:right w:val="nil"/>
            </w:tcBorders>
            <w:vAlign w:val="bottom"/>
          </w:tcPr>
          <w:p w14:paraId="2B533E12" w14:textId="77777777" w:rsidR="00684B22" w:rsidRPr="008A702B" w:rsidRDefault="00684B22" w:rsidP="008A702B">
            <w:pPr>
              <w:pStyle w:val="Tabletext"/>
            </w:pPr>
          </w:p>
        </w:tc>
        <w:tc>
          <w:tcPr>
            <w:tcW w:w="0" w:type="auto"/>
            <w:tcBorders>
              <w:left w:val="nil"/>
              <w:bottom w:val="nil"/>
              <w:right w:val="nil"/>
            </w:tcBorders>
            <w:vAlign w:val="bottom"/>
          </w:tcPr>
          <w:p w14:paraId="3380F3A9" w14:textId="77777777" w:rsidR="00684B22" w:rsidRPr="008A702B" w:rsidRDefault="00684B22" w:rsidP="008A702B">
            <w:pPr>
              <w:pStyle w:val="Tabletext"/>
            </w:pPr>
          </w:p>
        </w:tc>
        <w:tc>
          <w:tcPr>
            <w:tcW w:w="0" w:type="auto"/>
            <w:tcBorders>
              <w:left w:val="nil"/>
              <w:bottom w:val="nil"/>
              <w:right w:val="nil"/>
            </w:tcBorders>
          </w:tcPr>
          <w:p w14:paraId="751059EE" w14:textId="77777777" w:rsidR="00684B22" w:rsidRPr="008A702B" w:rsidRDefault="00684B22" w:rsidP="008A702B">
            <w:pPr>
              <w:pStyle w:val="Tabletext"/>
            </w:pPr>
          </w:p>
        </w:tc>
        <w:tc>
          <w:tcPr>
            <w:tcW w:w="0" w:type="auto"/>
            <w:tcBorders>
              <w:left w:val="nil"/>
              <w:bottom w:val="nil"/>
              <w:right w:val="nil"/>
            </w:tcBorders>
            <w:vAlign w:val="bottom"/>
          </w:tcPr>
          <w:p w14:paraId="0F5700DE" w14:textId="77777777" w:rsidR="00684B22" w:rsidRPr="008A702B" w:rsidRDefault="00684B22" w:rsidP="008A702B">
            <w:pPr>
              <w:pStyle w:val="Tabletext"/>
            </w:pPr>
          </w:p>
        </w:tc>
        <w:tc>
          <w:tcPr>
            <w:tcW w:w="0" w:type="auto"/>
            <w:tcBorders>
              <w:left w:val="nil"/>
              <w:bottom w:val="nil"/>
              <w:right w:val="nil"/>
            </w:tcBorders>
            <w:vAlign w:val="bottom"/>
          </w:tcPr>
          <w:p w14:paraId="17C8EC70" w14:textId="77777777" w:rsidR="00684B22" w:rsidRPr="008A702B" w:rsidRDefault="00684B22" w:rsidP="008A702B">
            <w:pPr>
              <w:pStyle w:val="Tabletext"/>
            </w:pPr>
          </w:p>
        </w:tc>
        <w:tc>
          <w:tcPr>
            <w:tcW w:w="0" w:type="auto"/>
            <w:tcBorders>
              <w:left w:val="nil"/>
              <w:bottom w:val="nil"/>
            </w:tcBorders>
            <w:vAlign w:val="bottom"/>
          </w:tcPr>
          <w:p w14:paraId="1223497A" w14:textId="77777777" w:rsidR="00684B22" w:rsidRPr="008A702B" w:rsidRDefault="00684B22" w:rsidP="008A702B">
            <w:pPr>
              <w:pStyle w:val="Tabletext"/>
            </w:pPr>
          </w:p>
        </w:tc>
        <w:tc>
          <w:tcPr>
            <w:tcW w:w="0" w:type="auto"/>
            <w:vAlign w:val="bottom"/>
          </w:tcPr>
          <w:p w14:paraId="6EC6770E" w14:textId="77C85A8B" w:rsidR="00684B22" w:rsidRPr="008A702B" w:rsidRDefault="00684B22" w:rsidP="008A702B">
            <w:pPr>
              <w:pStyle w:val="Tabletext"/>
            </w:pPr>
            <w:r w:rsidRPr="008A702B">
              <w:t>-$</w:t>
            </w:r>
            <w:r w:rsidR="00047561">
              <w:t>12</w:t>
            </w:r>
            <w:r w:rsidRPr="008A702B">
              <w:t>0,000</w:t>
            </w:r>
          </w:p>
        </w:tc>
        <w:tc>
          <w:tcPr>
            <w:tcW w:w="1361" w:type="dxa"/>
          </w:tcPr>
          <w:p w14:paraId="4ED23498" w14:textId="77777777" w:rsidR="00684B22" w:rsidRPr="00BB00E8" w:rsidDel="002D214B" w:rsidRDefault="00684B22" w:rsidP="008A702B">
            <w:pPr>
              <w:pStyle w:val="Tabletext"/>
              <w:rPr>
                <w:b/>
              </w:rPr>
            </w:pPr>
            <w:r w:rsidRPr="00BB00E8">
              <w:rPr>
                <w:b/>
              </w:rPr>
              <w:t>$0</w:t>
            </w:r>
          </w:p>
        </w:tc>
      </w:tr>
    </w:tbl>
    <w:p w14:paraId="30082B6D" w14:textId="77777777" w:rsidR="00684B22" w:rsidRDefault="00684B22" w:rsidP="008A702B">
      <w:pPr>
        <w:pStyle w:val="Bodyaftertablefigure"/>
      </w:pPr>
      <w:r>
        <w:t xml:space="preserve">In case study 1, this HBC provider meets the thresholds for general and intensive but under-delivers by 5 complex targets. This equates to 25 per cent underperformance in complex targets. The target adjustment may be 15 per cent of the total complex funding which is the difference between the 90 per cent threshold and the actual performance:  </w:t>
      </w:r>
    </w:p>
    <w:p w14:paraId="4476C7C5" w14:textId="77777777" w:rsidR="00684B22" w:rsidRDefault="00684B22" w:rsidP="008A702B">
      <w:pPr>
        <w:pStyle w:val="Bullet1"/>
      </w:pPr>
      <w:r>
        <w:t>Delivered 15 complex targets vs. a target of 20 = 75 per cent performance.</w:t>
      </w:r>
    </w:p>
    <w:p w14:paraId="1BDA9BDF" w14:textId="77777777" w:rsidR="00684B22" w:rsidRDefault="00684B22" w:rsidP="008A702B">
      <w:pPr>
        <w:pStyle w:val="Bullet1"/>
      </w:pPr>
      <w:r>
        <w:t>(90 per cent threshold less 75 per cent actual = 15 per cent adjustment).</w:t>
      </w:r>
    </w:p>
    <w:p w14:paraId="2C9A828B" w14:textId="77777777" w:rsidR="00684B22" w:rsidRDefault="00684B22" w:rsidP="008A702B">
      <w:pPr>
        <w:pStyle w:val="Bullet1"/>
      </w:pPr>
      <w:r>
        <w:t xml:space="preserve">15 per cent of 20 targets is 3 </w:t>
      </w:r>
      <w:proofErr w:type="gramStart"/>
      <w:r>
        <w:t>targets</w:t>
      </w:r>
      <w:proofErr w:type="gramEnd"/>
    </w:p>
    <w:p w14:paraId="3E8EE1BE" w14:textId="5AA3C8FB" w:rsidR="00684B22" w:rsidRDefault="00684B22" w:rsidP="008A702B">
      <w:pPr>
        <w:pStyle w:val="Bullet1"/>
      </w:pPr>
      <w:r>
        <w:t>15 per cent total annual complex funding of $</w:t>
      </w:r>
      <w:r w:rsidR="00121C18">
        <w:t>80</w:t>
      </w:r>
      <w:r>
        <w:t>0,000 = $</w:t>
      </w:r>
      <w:r w:rsidR="00121C18">
        <w:t>120</w:t>
      </w:r>
      <w:r>
        <w:t>,000.</w:t>
      </w:r>
    </w:p>
    <w:p w14:paraId="0A77084C" w14:textId="310BDF5E" w:rsidR="00684B22" w:rsidRDefault="00684B22" w:rsidP="008A702B">
      <w:pPr>
        <w:pStyle w:val="Bullet1"/>
      </w:pPr>
      <w:r>
        <w:t xml:space="preserve">Targets may be reduced by three at the end of the </w:t>
      </w:r>
      <w:r w:rsidR="0093292A">
        <w:t>review</w:t>
      </w:r>
      <w:r>
        <w:t xml:space="preserve"> </w:t>
      </w:r>
      <w:r w:rsidR="006C4A86">
        <w:t>period</w:t>
      </w:r>
      <w:r w:rsidR="00121C18">
        <w:t>.</w:t>
      </w:r>
    </w:p>
    <w:p w14:paraId="13861006" w14:textId="6AB7A33F" w:rsidR="00684B22" w:rsidRDefault="00684B22" w:rsidP="00684B22">
      <w:pPr>
        <w:pStyle w:val="Heading2"/>
      </w:pPr>
      <w:bookmarkStart w:id="35" w:name="_Toc97711994"/>
      <w:r>
        <w:t>Case study 2</w:t>
      </w:r>
      <w:bookmarkEnd w:id="35"/>
      <w:r>
        <w:t xml:space="preserve"> </w:t>
      </w:r>
    </w:p>
    <w:tbl>
      <w:tblPr>
        <w:tblpPr w:leftFromText="180" w:rightFromText="180" w:vertAnchor="text" w:horzAnchor="margin" w:tblpXSpec="center" w:tblpY="696"/>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33"/>
        <w:gridCol w:w="1033"/>
        <w:gridCol w:w="1268"/>
        <w:gridCol w:w="1162"/>
        <w:gridCol w:w="1092"/>
        <w:gridCol w:w="1489"/>
        <w:gridCol w:w="1337"/>
        <w:gridCol w:w="1372"/>
      </w:tblGrid>
      <w:tr w:rsidR="00A924EE" w14:paraId="63FEBD98" w14:textId="77777777" w:rsidTr="00F167FC">
        <w:tc>
          <w:tcPr>
            <w:tcW w:w="1057" w:type="dxa"/>
          </w:tcPr>
          <w:p w14:paraId="5A0D01E3" w14:textId="77777777" w:rsidR="00A924EE" w:rsidRDefault="00A924EE" w:rsidP="00F167FC">
            <w:pPr>
              <w:pStyle w:val="Tablecolhead"/>
            </w:pPr>
            <w:r>
              <w:t>HBC Activity</w:t>
            </w:r>
          </w:p>
        </w:tc>
        <w:tc>
          <w:tcPr>
            <w:tcW w:w="1033" w:type="dxa"/>
          </w:tcPr>
          <w:p w14:paraId="400E36CF" w14:textId="77777777" w:rsidR="00A924EE" w:rsidRDefault="00A924EE" w:rsidP="00F167FC">
            <w:pPr>
              <w:pStyle w:val="Tablecolhead"/>
            </w:pPr>
            <w:r>
              <w:t>Unit price (annual)</w:t>
            </w:r>
          </w:p>
        </w:tc>
        <w:tc>
          <w:tcPr>
            <w:tcW w:w="1033" w:type="dxa"/>
          </w:tcPr>
          <w:p w14:paraId="7C5978C4" w14:textId="77777777" w:rsidR="00A924EE" w:rsidRDefault="00A924EE" w:rsidP="00F167FC">
            <w:pPr>
              <w:pStyle w:val="Tablecolhead"/>
            </w:pPr>
            <w:r>
              <w:t>Funded targets (annual)</w:t>
            </w:r>
          </w:p>
        </w:tc>
        <w:tc>
          <w:tcPr>
            <w:tcW w:w="1268" w:type="dxa"/>
          </w:tcPr>
          <w:p w14:paraId="0F7AE1AE" w14:textId="77777777" w:rsidR="00A924EE" w:rsidRDefault="00A924EE" w:rsidP="00F167FC">
            <w:pPr>
              <w:pStyle w:val="Tablecolhead"/>
            </w:pPr>
            <w:r>
              <w:t>Total funding (annual)</w:t>
            </w:r>
          </w:p>
        </w:tc>
        <w:tc>
          <w:tcPr>
            <w:tcW w:w="1162" w:type="dxa"/>
          </w:tcPr>
          <w:p w14:paraId="78308808" w14:textId="77777777" w:rsidR="00A924EE" w:rsidRDefault="00A924EE" w:rsidP="00F167FC">
            <w:pPr>
              <w:pStyle w:val="Tablecolhead"/>
            </w:pPr>
            <w:r>
              <w:t>Delivered targets (annual)</w:t>
            </w:r>
          </w:p>
        </w:tc>
        <w:tc>
          <w:tcPr>
            <w:tcW w:w="1092" w:type="dxa"/>
          </w:tcPr>
          <w:p w14:paraId="78DF811B" w14:textId="77777777" w:rsidR="00A924EE" w:rsidRDefault="00A924EE" w:rsidP="00F167FC">
            <w:pPr>
              <w:pStyle w:val="Tablecolhead"/>
            </w:pPr>
            <w:r>
              <w:t>Perform-</w:t>
            </w:r>
            <w:proofErr w:type="spellStart"/>
            <w:r>
              <w:t>ance</w:t>
            </w:r>
            <w:proofErr w:type="spellEnd"/>
            <w:r>
              <w:t xml:space="preserve"> </w:t>
            </w:r>
          </w:p>
        </w:tc>
        <w:tc>
          <w:tcPr>
            <w:tcW w:w="1489" w:type="dxa"/>
          </w:tcPr>
          <w:p w14:paraId="3168DFB9" w14:textId="77777777" w:rsidR="00A924EE" w:rsidRDefault="00A924EE" w:rsidP="00F167FC">
            <w:pPr>
              <w:pStyle w:val="Tablecolhead"/>
            </w:pPr>
            <w:r>
              <w:t>Under/over</w:t>
            </w:r>
            <w:r>
              <w:br/>
              <w:t>performance</w:t>
            </w:r>
          </w:p>
        </w:tc>
        <w:tc>
          <w:tcPr>
            <w:tcW w:w="1337" w:type="dxa"/>
          </w:tcPr>
          <w:p w14:paraId="1F5B79E0" w14:textId="77777777" w:rsidR="00A924EE" w:rsidRDefault="00A924EE" w:rsidP="00F167FC">
            <w:pPr>
              <w:pStyle w:val="Tablecolhead"/>
            </w:pPr>
            <w:r>
              <w:t>Target adjustment (annual)</w:t>
            </w:r>
          </w:p>
        </w:tc>
        <w:tc>
          <w:tcPr>
            <w:tcW w:w="1372" w:type="dxa"/>
          </w:tcPr>
          <w:p w14:paraId="135F4CA9" w14:textId="77777777" w:rsidR="00A924EE" w:rsidRDefault="00A924EE" w:rsidP="00F167FC">
            <w:pPr>
              <w:pStyle w:val="Tablecolhead"/>
            </w:pPr>
            <w:r>
              <w:t>Reimburse-</w:t>
            </w:r>
          </w:p>
          <w:p w14:paraId="4A0CB168" w14:textId="77777777" w:rsidR="00A924EE" w:rsidRDefault="00A924EE" w:rsidP="00F167FC">
            <w:pPr>
              <w:pStyle w:val="Tablecolhead"/>
            </w:pPr>
            <w:proofErr w:type="spellStart"/>
            <w:r>
              <w:t>ment</w:t>
            </w:r>
            <w:proofErr w:type="spellEnd"/>
            <w:r>
              <w:t xml:space="preserve"> (annual)</w:t>
            </w:r>
          </w:p>
        </w:tc>
      </w:tr>
      <w:tr w:rsidR="00A924EE" w14:paraId="522D1A21" w14:textId="77777777" w:rsidTr="00F167FC">
        <w:tc>
          <w:tcPr>
            <w:tcW w:w="1057" w:type="dxa"/>
            <w:vAlign w:val="center"/>
          </w:tcPr>
          <w:p w14:paraId="3EBC4FC1" w14:textId="77777777" w:rsidR="00A924EE" w:rsidRPr="00BB00E8" w:rsidRDefault="00A924EE" w:rsidP="00F167FC">
            <w:pPr>
              <w:pStyle w:val="Tabletext"/>
            </w:pPr>
            <w:r w:rsidRPr="00BB00E8">
              <w:t>General</w:t>
            </w:r>
          </w:p>
        </w:tc>
        <w:tc>
          <w:tcPr>
            <w:tcW w:w="1033" w:type="dxa"/>
            <w:vAlign w:val="center"/>
          </w:tcPr>
          <w:p w14:paraId="594C694B" w14:textId="77777777" w:rsidR="00A924EE" w:rsidRPr="00BB00E8" w:rsidRDefault="00A924EE" w:rsidP="00F167FC">
            <w:pPr>
              <w:pStyle w:val="Tabletext"/>
            </w:pPr>
            <w:r w:rsidRPr="00BB00E8">
              <w:t>$</w:t>
            </w:r>
            <w:r>
              <w:t>20</w:t>
            </w:r>
            <w:r w:rsidRPr="00BB00E8">
              <w:t>,000</w:t>
            </w:r>
          </w:p>
        </w:tc>
        <w:tc>
          <w:tcPr>
            <w:tcW w:w="1033" w:type="dxa"/>
            <w:vAlign w:val="bottom"/>
          </w:tcPr>
          <w:p w14:paraId="63703557" w14:textId="77777777" w:rsidR="00A924EE" w:rsidRPr="00BB00E8" w:rsidRDefault="00A924EE" w:rsidP="00F167FC">
            <w:pPr>
              <w:pStyle w:val="Tabletext"/>
              <w:rPr>
                <w:bCs/>
              </w:rPr>
            </w:pPr>
            <w:r w:rsidRPr="00BB00E8">
              <w:rPr>
                <w:bCs/>
              </w:rPr>
              <w:t>50</w:t>
            </w:r>
          </w:p>
        </w:tc>
        <w:tc>
          <w:tcPr>
            <w:tcW w:w="1268" w:type="dxa"/>
          </w:tcPr>
          <w:p w14:paraId="62BB354D" w14:textId="77777777" w:rsidR="00A924EE" w:rsidRPr="00BB00E8" w:rsidRDefault="00A924EE" w:rsidP="00F167FC">
            <w:pPr>
              <w:pStyle w:val="Tabletext"/>
            </w:pPr>
            <w:r w:rsidRPr="00032BC9">
              <w:t>$</w:t>
            </w:r>
            <w:r>
              <w:t>1,000,0</w:t>
            </w:r>
            <w:r w:rsidRPr="00032BC9">
              <w:t>00</w:t>
            </w:r>
          </w:p>
        </w:tc>
        <w:tc>
          <w:tcPr>
            <w:tcW w:w="1162" w:type="dxa"/>
            <w:vAlign w:val="center"/>
          </w:tcPr>
          <w:p w14:paraId="42F8BDFD" w14:textId="77777777" w:rsidR="00A924EE" w:rsidRPr="00BB00E8" w:rsidRDefault="00A924EE" w:rsidP="00F167FC">
            <w:pPr>
              <w:pStyle w:val="Tabletext"/>
            </w:pPr>
            <w:r w:rsidRPr="00BB00E8">
              <w:t>40.0</w:t>
            </w:r>
          </w:p>
        </w:tc>
        <w:tc>
          <w:tcPr>
            <w:tcW w:w="1092" w:type="dxa"/>
            <w:vAlign w:val="center"/>
          </w:tcPr>
          <w:p w14:paraId="5B9D65C8" w14:textId="77777777" w:rsidR="00A924EE" w:rsidRPr="00BB00E8" w:rsidRDefault="00A924EE" w:rsidP="00F167FC">
            <w:pPr>
              <w:pStyle w:val="Tabletext"/>
            </w:pPr>
            <w:r w:rsidRPr="00BB00E8">
              <w:t>80%</w:t>
            </w:r>
          </w:p>
        </w:tc>
        <w:tc>
          <w:tcPr>
            <w:tcW w:w="1489" w:type="dxa"/>
            <w:vAlign w:val="center"/>
          </w:tcPr>
          <w:p w14:paraId="40567F73" w14:textId="77777777" w:rsidR="00A924EE" w:rsidRPr="00BB00E8" w:rsidRDefault="00A924EE" w:rsidP="00F167FC">
            <w:pPr>
              <w:pStyle w:val="Tabletext"/>
            </w:pPr>
            <w:r w:rsidRPr="00BB00E8">
              <w:t>-5%</w:t>
            </w:r>
          </w:p>
        </w:tc>
        <w:tc>
          <w:tcPr>
            <w:tcW w:w="1337" w:type="dxa"/>
            <w:vAlign w:val="center"/>
          </w:tcPr>
          <w:p w14:paraId="516437CB" w14:textId="77777777" w:rsidR="00A924EE" w:rsidRPr="00BB00E8" w:rsidRDefault="00A924EE" w:rsidP="00F167FC">
            <w:pPr>
              <w:pStyle w:val="Tabletext"/>
            </w:pPr>
            <w:r>
              <w:t>-</w:t>
            </w:r>
            <w:r w:rsidRPr="00BB00E8">
              <w:t>$</w:t>
            </w:r>
            <w:r>
              <w:t>50,000</w:t>
            </w:r>
          </w:p>
        </w:tc>
        <w:tc>
          <w:tcPr>
            <w:tcW w:w="1372" w:type="dxa"/>
          </w:tcPr>
          <w:p w14:paraId="0CBD387F" w14:textId="77777777" w:rsidR="00A924EE" w:rsidRPr="00BB00E8" w:rsidRDefault="00A924EE" w:rsidP="00F167FC">
            <w:pPr>
              <w:pStyle w:val="Tabletext"/>
            </w:pPr>
            <w:r w:rsidRPr="00BB00E8">
              <w:t>0</w:t>
            </w:r>
          </w:p>
        </w:tc>
      </w:tr>
      <w:tr w:rsidR="00A924EE" w14:paraId="7BB2E686" w14:textId="77777777" w:rsidTr="00F167FC">
        <w:tc>
          <w:tcPr>
            <w:tcW w:w="1057" w:type="dxa"/>
            <w:vAlign w:val="center"/>
          </w:tcPr>
          <w:p w14:paraId="27505475" w14:textId="77777777" w:rsidR="00A924EE" w:rsidRPr="00BB00E8" w:rsidRDefault="00A924EE" w:rsidP="00F167FC">
            <w:pPr>
              <w:pStyle w:val="Tabletext"/>
            </w:pPr>
            <w:r w:rsidRPr="00BB00E8">
              <w:t>Intensive</w:t>
            </w:r>
          </w:p>
        </w:tc>
        <w:tc>
          <w:tcPr>
            <w:tcW w:w="1033" w:type="dxa"/>
            <w:vAlign w:val="center"/>
          </w:tcPr>
          <w:p w14:paraId="4FC4D8A1" w14:textId="77777777" w:rsidR="00A924EE" w:rsidRPr="00BB00E8" w:rsidRDefault="00A924EE" w:rsidP="00F167FC">
            <w:pPr>
              <w:pStyle w:val="Tabletext"/>
            </w:pPr>
            <w:r w:rsidRPr="00BB00E8">
              <w:t>$</w:t>
            </w:r>
            <w:r>
              <w:t>30</w:t>
            </w:r>
            <w:r w:rsidRPr="00BB00E8">
              <w:t>,000</w:t>
            </w:r>
          </w:p>
        </w:tc>
        <w:tc>
          <w:tcPr>
            <w:tcW w:w="1033" w:type="dxa"/>
            <w:vAlign w:val="bottom"/>
          </w:tcPr>
          <w:p w14:paraId="4DB7874F" w14:textId="77777777" w:rsidR="00A924EE" w:rsidRPr="00BB00E8" w:rsidRDefault="00A924EE" w:rsidP="00F167FC">
            <w:pPr>
              <w:pStyle w:val="Tabletext"/>
              <w:rPr>
                <w:bCs/>
              </w:rPr>
            </w:pPr>
            <w:r w:rsidRPr="00BB00E8">
              <w:rPr>
                <w:bCs/>
              </w:rPr>
              <w:t>30</w:t>
            </w:r>
          </w:p>
        </w:tc>
        <w:tc>
          <w:tcPr>
            <w:tcW w:w="1268" w:type="dxa"/>
          </w:tcPr>
          <w:p w14:paraId="14CEADFB" w14:textId="77777777" w:rsidR="00A924EE" w:rsidRPr="00BB00E8" w:rsidRDefault="00A924EE" w:rsidP="00F167FC">
            <w:pPr>
              <w:pStyle w:val="Tabletext"/>
            </w:pPr>
            <w:r w:rsidRPr="00032BC9">
              <w:t>$</w:t>
            </w:r>
            <w:r>
              <w:t>90</w:t>
            </w:r>
            <w:r w:rsidRPr="00032BC9">
              <w:t>0,000</w:t>
            </w:r>
          </w:p>
        </w:tc>
        <w:tc>
          <w:tcPr>
            <w:tcW w:w="1162" w:type="dxa"/>
            <w:vAlign w:val="center"/>
          </w:tcPr>
          <w:p w14:paraId="57F52636" w14:textId="77777777" w:rsidR="00A924EE" w:rsidRPr="00BB00E8" w:rsidRDefault="00A924EE" w:rsidP="00F167FC">
            <w:pPr>
              <w:pStyle w:val="Tabletext"/>
            </w:pPr>
            <w:r w:rsidRPr="00BB00E8">
              <w:t>39.9</w:t>
            </w:r>
          </w:p>
        </w:tc>
        <w:tc>
          <w:tcPr>
            <w:tcW w:w="1092" w:type="dxa"/>
            <w:vAlign w:val="center"/>
          </w:tcPr>
          <w:p w14:paraId="72C7D003" w14:textId="77777777" w:rsidR="00A924EE" w:rsidRPr="00BB00E8" w:rsidRDefault="00A924EE" w:rsidP="00F167FC">
            <w:pPr>
              <w:pStyle w:val="Tabletext"/>
            </w:pPr>
            <w:r w:rsidRPr="00BB00E8">
              <w:t>133%</w:t>
            </w:r>
          </w:p>
        </w:tc>
        <w:tc>
          <w:tcPr>
            <w:tcW w:w="1489" w:type="dxa"/>
            <w:vAlign w:val="center"/>
          </w:tcPr>
          <w:p w14:paraId="76840097" w14:textId="77777777" w:rsidR="00A924EE" w:rsidRPr="00BB00E8" w:rsidRDefault="00A924EE" w:rsidP="00F167FC">
            <w:pPr>
              <w:pStyle w:val="Tabletext"/>
            </w:pPr>
            <w:r w:rsidRPr="00BB00E8">
              <w:t>+33%</w:t>
            </w:r>
          </w:p>
        </w:tc>
        <w:tc>
          <w:tcPr>
            <w:tcW w:w="1337" w:type="dxa"/>
            <w:vAlign w:val="center"/>
          </w:tcPr>
          <w:p w14:paraId="4117AAA6" w14:textId="77777777" w:rsidR="00A924EE" w:rsidRPr="00BB00E8" w:rsidRDefault="00A924EE" w:rsidP="00F167FC">
            <w:pPr>
              <w:pStyle w:val="Tabletext"/>
            </w:pPr>
            <w:r w:rsidRPr="00BB00E8">
              <w:t>$0</w:t>
            </w:r>
          </w:p>
        </w:tc>
        <w:tc>
          <w:tcPr>
            <w:tcW w:w="1372" w:type="dxa"/>
          </w:tcPr>
          <w:p w14:paraId="43FA7DA4" w14:textId="77777777" w:rsidR="00A924EE" w:rsidRPr="00BB00E8" w:rsidDel="00171505" w:rsidRDefault="00A924EE" w:rsidP="00F167FC">
            <w:pPr>
              <w:pStyle w:val="Tabletext"/>
            </w:pPr>
            <w:r w:rsidRPr="00BB00E8">
              <w:t>$</w:t>
            </w:r>
            <w:r>
              <w:t>297</w:t>
            </w:r>
            <w:r w:rsidRPr="00BB00E8">
              <w:t>,</w:t>
            </w:r>
            <w:r>
              <w:t>0</w:t>
            </w:r>
            <w:r w:rsidRPr="00BB00E8">
              <w:t>00</w:t>
            </w:r>
          </w:p>
        </w:tc>
      </w:tr>
      <w:tr w:rsidR="00A924EE" w14:paraId="7A885726" w14:textId="77777777" w:rsidTr="00F167FC">
        <w:tc>
          <w:tcPr>
            <w:tcW w:w="1057" w:type="dxa"/>
            <w:vAlign w:val="center"/>
          </w:tcPr>
          <w:p w14:paraId="19429CBE" w14:textId="77777777" w:rsidR="00A924EE" w:rsidRPr="00BB00E8" w:rsidRDefault="00A924EE" w:rsidP="00F167FC">
            <w:pPr>
              <w:pStyle w:val="Tabletext"/>
            </w:pPr>
            <w:r w:rsidRPr="00BB00E8">
              <w:t>Complex</w:t>
            </w:r>
          </w:p>
        </w:tc>
        <w:tc>
          <w:tcPr>
            <w:tcW w:w="1033" w:type="dxa"/>
            <w:vAlign w:val="center"/>
          </w:tcPr>
          <w:p w14:paraId="2B83D474" w14:textId="77777777" w:rsidR="00A924EE" w:rsidRPr="00BB00E8" w:rsidRDefault="00A924EE" w:rsidP="00F167FC">
            <w:pPr>
              <w:pStyle w:val="Tabletext"/>
            </w:pPr>
            <w:r w:rsidRPr="00BB00E8">
              <w:t>$</w:t>
            </w:r>
            <w:r>
              <w:t>4</w:t>
            </w:r>
            <w:r w:rsidRPr="00BB00E8">
              <w:t>0,000</w:t>
            </w:r>
          </w:p>
        </w:tc>
        <w:tc>
          <w:tcPr>
            <w:tcW w:w="1033" w:type="dxa"/>
            <w:vAlign w:val="bottom"/>
          </w:tcPr>
          <w:p w14:paraId="7B7A3F27" w14:textId="77777777" w:rsidR="00A924EE" w:rsidRPr="00BB00E8" w:rsidRDefault="00A924EE" w:rsidP="00F167FC">
            <w:pPr>
              <w:pStyle w:val="Tabletext"/>
              <w:rPr>
                <w:bCs/>
              </w:rPr>
            </w:pPr>
            <w:r w:rsidRPr="00BB00E8">
              <w:rPr>
                <w:bCs/>
              </w:rPr>
              <w:t>20</w:t>
            </w:r>
          </w:p>
        </w:tc>
        <w:tc>
          <w:tcPr>
            <w:tcW w:w="1268" w:type="dxa"/>
          </w:tcPr>
          <w:p w14:paraId="1BD5B348" w14:textId="77777777" w:rsidR="00A924EE" w:rsidRPr="00BB00E8" w:rsidRDefault="00A924EE" w:rsidP="00F167FC">
            <w:pPr>
              <w:pStyle w:val="Tabletext"/>
            </w:pPr>
            <w:r w:rsidRPr="00032BC9">
              <w:t>$</w:t>
            </w:r>
            <w:r>
              <w:t>80</w:t>
            </w:r>
            <w:r w:rsidRPr="00032BC9">
              <w:t>0,000</w:t>
            </w:r>
          </w:p>
        </w:tc>
        <w:tc>
          <w:tcPr>
            <w:tcW w:w="1162" w:type="dxa"/>
            <w:vAlign w:val="center"/>
          </w:tcPr>
          <w:p w14:paraId="704B8B39" w14:textId="77777777" w:rsidR="00A924EE" w:rsidRPr="00BB00E8" w:rsidRDefault="00A924EE" w:rsidP="00F167FC">
            <w:pPr>
              <w:pStyle w:val="Tabletext"/>
            </w:pPr>
            <w:r w:rsidRPr="00BB00E8">
              <w:t>10.0</w:t>
            </w:r>
          </w:p>
        </w:tc>
        <w:tc>
          <w:tcPr>
            <w:tcW w:w="1092" w:type="dxa"/>
            <w:vAlign w:val="center"/>
          </w:tcPr>
          <w:p w14:paraId="1D290125" w14:textId="77777777" w:rsidR="00A924EE" w:rsidRPr="00BB00E8" w:rsidRDefault="00A924EE" w:rsidP="00F167FC">
            <w:pPr>
              <w:pStyle w:val="Tabletext"/>
            </w:pPr>
            <w:r w:rsidRPr="00BB00E8">
              <w:t>50%</w:t>
            </w:r>
          </w:p>
        </w:tc>
        <w:tc>
          <w:tcPr>
            <w:tcW w:w="1489" w:type="dxa"/>
            <w:vAlign w:val="center"/>
          </w:tcPr>
          <w:p w14:paraId="491DB099" w14:textId="77777777" w:rsidR="00A924EE" w:rsidRPr="00BB00E8" w:rsidRDefault="00A924EE" w:rsidP="00F167FC">
            <w:pPr>
              <w:pStyle w:val="Tabletext"/>
            </w:pPr>
            <w:r w:rsidRPr="00BB00E8">
              <w:t>-40%</w:t>
            </w:r>
          </w:p>
        </w:tc>
        <w:tc>
          <w:tcPr>
            <w:tcW w:w="1337" w:type="dxa"/>
            <w:vAlign w:val="center"/>
          </w:tcPr>
          <w:p w14:paraId="130CB45A" w14:textId="77777777" w:rsidR="00A924EE" w:rsidRPr="00BB00E8" w:rsidRDefault="00A924EE" w:rsidP="00F167FC">
            <w:pPr>
              <w:pStyle w:val="Tabletext"/>
            </w:pPr>
            <w:r>
              <w:t>-</w:t>
            </w:r>
            <w:r w:rsidRPr="00BB00E8">
              <w:t>$</w:t>
            </w:r>
            <w:r>
              <w:t>320</w:t>
            </w:r>
            <w:r w:rsidRPr="00BB00E8">
              <w:t>,000</w:t>
            </w:r>
          </w:p>
        </w:tc>
        <w:tc>
          <w:tcPr>
            <w:tcW w:w="1372" w:type="dxa"/>
          </w:tcPr>
          <w:p w14:paraId="696FA135" w14:textId="77777777" w:rsidR="00A924EE" w:rsidRPr="00BB00E8" w:rsidDel="00171505" w:rsidRDefault="00A924EE" w:rsidP="00F167FC">
            <w:pPr>
              <w:pStyle w:val="Tabletext"/>
            </w:pPr>
            <w:r w:rsidRPr="00BB00E8">
              <w:t>$0</w:t>
            </w:r>
          </w:p>
        </w:tc>
      </w:tr>
      <w:tr w:rsidR="00A924EE" w14:paraId="30DD6FB1" w14:textId="77777777" w:rsidTr="00F167FC">
        <w:tc>
          <w:tcPr>
            <w:tcW w:w="1057" w:type="dxa"/>
            <w:tcBorders>
              <w:left w:val="nil"/>
              <w:bottom w:val="nil"/>
              <w:right w:val="nil"/>
            </w:tcBorders>
            <w:vAlign w:val="center"/>
          </w:tcPr>
          <w:p w14:paraId="5B845865" w14:textId="77777777" w:rsidR="00A924EE" w:rsidRPr="00BB00E8" w:rsidRDefault="00A924EE" w:rsidP="00F167FC">
            <w:pPr>
              <w:pStyle w:val="Tabletext"/>
            </w:pPr>
          </w:p>
        </w:tc>
        <w:tc>
          <w:tcPr>
            <w:tcW w:w="1033" w:type="dxa"/>
            <w:tcBorders>
              <w:left w:val="nil"/>
              <w:bottom w:val="nil"/>
              <w:right w:val="nil"/>
            </w:tcBorders>
            <w:vAlign w:val="center"/>
          </w:tcPr>
          <w:p w14:paraId="7F4003D0" w14:textId="77777777" w:rsidR="00A924EE" w:rsidRPr="00BB00E8" w:rsidRDefault="00A924EE" w:rsidP="00F167FC">
            <w:pPr>
              <w:pStyle w:val="Tabletext"/>
            </w:pPr>
          </w:p>
        </w:tc>
        <w:tc>
          <w:tcPr>
            <w:tcW w:w="1033" w:type="dxa"/>
            <w:tcBorders>
              <w:left w:val="nil"/>
              <w:bottom w:val="nil"/>
              <w:right w:val="nil"/>
            </w:tcBorders>
            <w:vAlign w:val="center"/>
          </w:tcPr>
          <w:p w14:paraId="55DF3CB2" w14:textId="77777777" w:rsidR="00A924EE" w:rsidRPr="00BB00E8" w:rsidRDefault="00A924EE" w:rsidP="00F167FC">
            <w:pPr>
              <w:pStyle w:val="Tabletext"/>
            </w:pPr>
          </w:p>
        </w:tc>
        <w:tc>
          <w:tcPr>
            <w:tcW w:w="1268" w:type="dxa"/>
            <w:tcBorders>
              <w:left w:val="nil"/>
              <w:bottom w:val="nil"/>
              <w:right w:val="nil"/>
            </w:tcBorders>
          </w:tcPr>
          <w:p w14:paraId="7028557F" w14:textId="77777777" w:rsidR="00A924EE" w:rsidRPr="00BB00E8" w:rsidRDefault="00A924EE" w:rsidP="00F167FC">
            <w:pPr>
              <w:pStyle w:val="Tabletext"/>
            </w:pPr>
          </w:p>
        </w:tc>
        <w:tc>
          <w:tcPr>
            <w:tcW w:w="1162" w:type="dxa"/>
            <w:tcBorders>
              <w:left w:val="nil"/>
              <w:bottom w:val="nil"/>
              <w:right w:val="nil"/>
            </w:tcBorders>
            <w:vAlign w:val="center"/>
          </w:tcPr>
          <w:p w14:paraId="5664EB5C" w14:textId="77777777" w:rsidR="00A924EE" w:rsidRPr="00BB00E8" w:rsidRDefault="00A924EE" w:rsidP="00F167FC">
            <w:pPr>
              <w:pStyle w:val="Tabletext"/>
            </w:pPr>
          </w:p>
        </w:tc>
        <w:tc>
          <w:tcPr>
            <w:tcW w:w="1092" w:type="dxa"/>
            <w:tcBorders>
              <w:left w:val="nil"/>
              <w:bottom w:val="nil"/>
              <w:right w:val="nil"/>
            </w:tcBorders>
            <w:vAlign w:val="center"/>
          </w:tcPr>
          <w:p w14:paraId="78A61CEF" w14:textId="77777777" w:rsidR="00A924EE" w:rsidRPr="00BB00E8" w:rsidRDefault="00A924EE" w:rsidP="00F167FC">
            <w:pPr>
              <w:pStyle w:val="Tabletext"/>
            </w:pPr>
          </w:p>
        </w:tc>
        <w:tc>
          <w:tcPr>
            <w:tcW w:w="1489" w:type="dxa"/>
            <w:tcBorders>
              <w:left w:val="nil"/>
              <w:bottom w:val="nil"/>
            </w:tcBorders>
            <w:vAlign w:val="center"/>
          </w:tcPr>
          <w:p w14:paraId="17B0E7F9" w14:textId="77777777" w:rsidR="00A924EE" w:rsidRPr="00BB00E8" w:rsidRDefault="00A924EE" w:rsidP="00F167FC">
            <w:pPr>
              <w:pStyle w:val="Tabletext"/>
            </w:pPr>
          </w:p>
        </w:tc>
        <w:tc>
          <w:tcPr>
            <w:tcW w:w="1337" w:type="dxa"/>
            <w:vAlign w:val="center"/>
          </w:tcPr>
          <w:p w14:paraId="78C00BB4" w14:textId="77777777" w:rsidR="00A924EE" w:rsidRPr="00BB00E8" w:rsidRDefault="00A924EE" w:rsidP="00F167FC">
            <w:pPr>
              <w:pStyle w:val="Tabletext"/>
              <w:rPr>
                <w:b/>
                <w:bCs/>
              </w:rPr>
            </w:pPr>
            <w:r w:rsidRPr="00BB00E8">
              <w:rPr>
                <w:b/>
                <w:bCs/>
              </w:rPr>
              <w:t>- $</w:t>
            </w:r>
            <w:r>
              <w:rPr>
                <w:b/>
                <w:bCs/>
              </w:rPr>
              <w:t>370,000</w:t>
            </w:r>
          </w:p>
        </w:tc>
        <w:tc>
          <w:tcPr>
            <w:tcW w:w="1372" w:type="dxa"/>
          </w:tcPr>
          <w:p w14:paraId="7A8DE6D5" w14:textId="77777777" w:rsidR="00A924EE" w:rsidRPr="00BB00E8" w:rsidDel="00171505" w:rsidRDefault="00A924EE" w:rsidP="00F167FC">
            <w:pPr>
              <w:pStyle w:val="Tabletext"/>
              <w:rPr>
                <w:b/>
                <w:bCs/>
              </w:rPr>
            </w:pPr>
            <w:r w:rsidRPr="00BB00E8">
              <w:rPr>
                <w:b/>
                <w:bCs/>
              </w:rPr>
              <w:t>+$</w:t>
            </w:r>
            <w:r>
              <w:rPr>
                <w:b/>
                <w:bCs/>
              </w:rPr>
              <w:t>297</w:t>
            </w:r>
            <w:r w:rsidRPr="00BB00E8">
              <w:rPr>
                <w:b/>
                <w:bCs/>
              </w:rPr>
              <w:t>,</w:t>
            </w:r>
            <w:r>
              <w:rPr>
                <w:b/>
                <w:bCs/>
              </w:rPr>
              <w:t>0</w:t>
            </w:r>
            <w:r w:rsidRPr="00BB00E8">
              <w:rPr>
                <w:b/>
                <w:bCs/>
              </w:rPr>
              <w:t>00</w:t>
            </w:r>
          </w:p>
        </w:tc>
      </w:tr>
    </w:tbl>
    <w:p w14:paraId="21FEAA90" w14:textId="77777777" w:rsidR="00A924EE" w:rsidRPr="00A924EE" w:rsidRDefault="00A924EE" w:rsidP="00A924EE">
      <w:pPr>
        <w:pStyle w:val="Body"/>
      </w:pPr>
    </w:p>
    <w:p w14:paraId="04FC42A0" w14:textId="5C388F42" w:rsidR="00684B22" w:rsidRDefault="00A924EE" w:rsidP="008A702B">
      <w:pPr>
        <w:pStyle w:val="Bodyaftertablefigure"/>
      </w:pPr>
      <w:r>
        <w:t xml:space="preserve">In case study 2, there is both under and over performance. The underperformance adjustment is </w:t>
      </w:r>
      <w:r w:rsidR="00684B22">
        <w:t>calculated based on the difference between the 85/90 per cent threshold and the actual performance, as per case study 1. The over performance payment (reimbursement) is based on the difference between the actual performance and less 100%. Using case study 2:</w:t>
      </w:r>
    </w:p>
    <w:p w14:paraId="5C94B516" w14:textId="77777777" w:rsidR="00684B22" w:rsidRPr="00271D14" w:rsidRDefault="00684B22" w:rsidP="008A702B">
      <w:pPr>
        <w:pStyle w:val="Bullet1"/>
      </w:pPr>
      <w:r w:rsidRPr="00271D14">
        <w:t>Under-performance: 85 per cent less actual performance:</w:t>
      </w:r>
    </w:p>
    <w:p w14:paraId="4FF3F956" w14:textId="4C8832AF" w:rsidR="00684B22" w:rsidRDefault="00684B22" w:rsidP="008A702B">
      <w:pPr>
        <w:pStyle w:val="Bullet2"/>
      </w:pPr>
      <w:r>
        <w:t xml:space="preserve">General (85 per cent threshold less 80 per cent performance) = -5 per cent   </w:t>
      </w:r>
      <w:r w:rsidRPr="00271D14">
        <w:rPr>
          <w:rFonts w:cs="Arial"/>
          <w:b/>
          <w:sz w:val="28"/>
          <w:szCs w:val="28"/>
        </w:rPr>
        <w:t>→</w:t>
      </w:r>
      <w:r>
        <w:t xml:space="preserve"> -5 per cent of 50 targets is 2.5 targets @ $</w:t>
      </w:r>
      <w:r w:rsidR="00121C18">
        <w:t>20</w:t>
      </w:r>
      <w:r>
        <w:t>,000 per target = $</w:t>
      </w:r>
      <w:r w:rsidR="00121C18">
        <w:t>50</w:t>
      </w:r>
      <w:r>
        <w:t>,</w:t>
      </w:r>
      <w:r w:rsidR="00121C18">
        <w:t>0</w:t>
      </w:r>
      <w:r>
        <w:t>00</w:t>
      </w:r>
    </w:p>
    <w:p w14:paraId="5DB14B1B" w14:textId="15D5DA5A" w:rsidR="00684B22" w:rsidRDefault="00684B22" w:rsidP="008A702B">
      <w:pPr>
        <w:pStyle w:val="Bullet2"/>
      </w:pPr>
      <w:r>
        <w:t xml:space="preserve">General targets may be reduced by 2.5 at the end of the </w:t>
      </w:r>
      <w:r w:rsidR="0093292A">
        <w:t>review</w:t>
      </w:r>
      <w:r>
        <w:t xml:space="preserve"> </w:t>
      </w:r>
      <w:r w:rsidR="00AC2057">
        <w:t>period</w:t>
      </w:r>
      <w:r>
        <w:t>.</w:t>
      </w:r>
    </w:p>
    <w:p w14:paraId="759B361A" w14:textId="4DA2E595" w:rsidR="00684B22" w:rsidRDefault="00684B22" w:rsidP="008A702B">
      <w:pPr>
        <w:pStyle w:val="Bullet2"/>
      </w:pPr>
      <w:r>
        <w:t xml:space="preserve">Complex (90 per cent less 50 per cent) = -40 per cent   </w:t>
      </w:r>
      <w:r w:rsidRPr="00271D14">
        <w:rPr>
          <w:rFonts w:cs="Arial"/>
          <w:b/>
          <w:sz w:val="28"/>
          <w:szCs w:val="28"/>
        </w:rPr>
        <w:t>→</w:t>
      </w:r>
      <w:r>
        <w:t xml:space="preserve"> -40 per cent of 20 targets is 8 targets.</w:t>
      </w:r>
      <w:r>
        <w:tab/>
        <w:t>8 targets @ $</w:t>
      </w:r>
      <w:r w:rsidR="00121C18">
        <w:t>4</w:t>
      </w:r>
      <w:r>
        <w:t>0,000 = $</w:t>
      </w:r>
      <w:r w:rsidR="00121C18">
        <w:t>32</w:t>
      </w:r>
      <w:r>
        <w:t>0,000</w:t>
      </w:r>
    </w:p>
    <w:p w14:paraId="5E7787D8" w14:textId="0282CFD1" w:rsidR="00684B22" w:rsidRDefault="00684B22" w:rsidP="008A702B">
      <w:pPr>
        <w:pStyle w:val="Bullet2"/>
      </w:pPr>
      <w:r>
        <w:t xml:space="preserve">Complex targets may be reduced by 8 targets at the end of the </w:t>
      </w:r>
      <w:r w:rsidR="0093292A">
        <w:t>review</w:t>
      </w:r>
      <w:r>
        <w:t xml:space="preserve"> </w:t>
      </w:r>
      <w:proofErr w:type="gramStart"/>
      <w:r w:rsidR="00AC2057">
        <w:t>period</w:t>
      </w:r>
      <w:proofErr w:type="gramEnd"/>
    </w:p>
    <w:p w14:paraId="2AA341D0" w14:textId="77777777" w:rsidR="00684B22" w:rsidRPr="00271D14" w:rsidRDefault="00684B22" w:rsidP="008A702B">
      <w:pPr>
        <w:pStyle w:val="Bullet1"/>
      </w:pPr>
      <w:r w:rsidRPr="00271D14">
        <w:lastRenderedPageBreak/>
        <w:t>Over-performance: actual performance less 100%:</w:t>
      </w:r>
    </w:p>
    <w:p w14:paraId="542081F5" w14:textId="1BAD138C" w:rsidR="00684B22" w:rsidRPr="00271D14" w:rsidRDefault="00684B22" w:rsidP="008A702B">
      <w:pPr>
        <w:pStyle w:val="Bullet2"/>
      </w:pPr>
      <w:r w:rsidRPr="00271D14">
        <w:t>Intensive (133 per cent l</w:t>
      </w:r>
      <w:r>
        <w:t xml:space="preserve">ess 100 per cent) = 33 per cent </w:t>
      </w:r>
      <w:r w:rsidRPr="00271D14">
        <w:rPr>
          <w:rFonts w:cs="Arial"/>
          <w:b/>
          <w:sz w:val="28"/>
          <w:szCs w:val="28"/>
        </w:rPr>
        <w:t>→</w:t>
      </w:r>
      <w:r>
        <w:t xml:space="preserve"> </w:t>
      </w:r>
      <w:r w:rsidRPr="00271D14">
        <w:t>33 per cent* $</w:t>
      </w:r>
      <w:r w:rsidR="0019179F">
        <w:t>9</w:t>
      </w:r>
      <w:r>
        <w:t>0</w:t>
      </w:r>
      <w:r w:rsidRPr="00271D14">
        <w:t>0,</w:t>
      </w:r>
      <w:r>
        <w:t>000</w:t>
      </w:r>
      <w:r w:rsidRPr="00271D14">
        <w:t xml:space="preserve"> = $</w:t>
      </w:r>
      <w:r w:rsidR="0019179F">
        <w:t>297</w:t>
      </w:r>
      <w:r w:rsidRPr="00271D14">
        <w:t>,</w:t>
      </w:r>
      <w:r>
        <w:t>0</w:t>
      </w:r>
      <w:r w:rsidRPr="00271D14">
        <w:t>00</w:t>
      </w:r>
      <w:r>
        <w:t>.</w:t>
      </w:r>
    </w:p>
    <w:p w14:paraId="7E267316" w14:textId="77777777" w:rsidR="00684B22" w:rsidRDefault="00684B22" w:rsidP="00684B22">
      <w:pPr>
        <w:pStyle w:val="Heading2"/>
      </w:pPr>
      <w:bookmarkStart w:id="36" w:name="_Toc97711995"/>
      <w:r>
        <w:t>Case study 3</w:t>
      </w:r>
      <w:bookmarkEnd w:id="36"/>
      <w:r>
        <w:t xml:space="preserve"> </w:t>
      </w:r>
      <w:bookmarkStart w:id="37" w:name="_Toc64023314"/>
    </w:p>
    <w:tbl>
      <w:tblPr>
        <w:tblW w:w="107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1033"/>
        <w:gridCol w:w="1033"/>
        <w:gridCol w:w="1268"/>
        <w:gridCol w:w="1162"/>
        <w:gridCol w:w="1092"/>
        <w:gridCol w:w="1489"/>
        <w:gridCol w:w="1337"/>
        <w:gridCol w:w="1372"/>
      </w:tblGrid>
      <w:tr w:rsidR="009D18A0" w14:paraId="6CF4B6DC" w14:textId="77777777" w:rsidTr="007D2183">
        <w:tc>
          <w:tcPr>
            <w:tcW w:w="1057" w:type="dxa"/>
          </w:tcPr>
          <w:p w14:paraId="241A0017" w14:textId="77777777" w:rsidR="00684B22" w:rsidRDefault="00684B22" w:rsidP="008A702B">
            <w:pPr>
              <w:pStyle w:val="Tablecolhead"/>
            </w:pPr>
            <w:r>
              <w:t>HBC Activity</w:t>
            </w:r>
          </w:p>
        </w:tc>
        <w:tc>
          <w:tcPr>
            <w:tcW w:w="1033" w:type="dxa"/>
          </w:tcPr>
          <w:p w14:paraId="148237D1" w14:textId="77777777" w:rsidR="00684B22" w:rsidRDefault="00684B22" w:rsidP="008A702B">
            <w:pPr>
              <w:pStyle w:val="Tablecolhead"/>
            </w:pPr>
            <w:r>
              <w:t>Unit price (annual)</w:t>
            </w:r>
          </w:p>
        </w:tc>
        <w:tc>
          <w:tcPr>
            <w:tcW w:w="1080" w:type="dxa"/>
          </w:tcPr>
          <w:p w14:paraId="62A40F03" w14:textId="7BF79217" w:rsidR="00684B22" w:rsidRDefault="00684B22" w:rsidP="008A702B">
            <w:pPr>
              <w:pStyle w:val="Tablecolhead"/>
            </w:pPr>
            <w:r>
              <w:t>Funded targets (</w:t>
            </w:r>
            <w:r w:rsidR="00E61773">
              <w:t>annual</w:t>
            </w:r>
            <w:r>
              <w:t>)</w:t>
            </w:r>
          </w:p>
        </w:tc>
        <w:tc>
          <w:tcPr>
            <w:tcW w:w="1092" w:type="dxa"/>
          </w:tcPr>
          <w:p w14:paraId="4AE0C7DF" w14:textId="77777777" w:rsidR="00684B22" w:rsidRDefault="00684B22" w:rsidP="008A702B">
            <w:pPr>
              <w:pStyle w:val="Tablecolhead"/>
            </w:pPr>
            <w:r>
              <w:t>Total funding (annual)</w:t>
            </w:r>
          </w:p>
        </w:tc>
        <w:tc>
          <w:tcPr>
            <w:tcW w:w="1162" w:type="dxa"/>
          </w:tcPr>
          <w:p w14:paraId="2C60916D" w14:textId="77777777" w:rsidR="00684B22" w:rsidRDefault="00684B22" w:rsidP="008A702B">
            <w:pPr>
              <w:pStyle w:val="Tablecolhead"/>
            </w:pPr>
            <w:r>
              <w:t>Delivered targets (annual)</w:t>
            </w:r>
          </w:p>
        </w:tc>
        <w:tc>
          <w:tcPr>
            <w:tcW w:w="1092" w:type="dxa"/>
          </w:tcPr>
          <w:p w14:paraId="3C2FA0F6" w14:textId="77777777" w:rsidR="007D2183" w:rsidRDefault="00684B22" w:rsidP="008A702B">
            <w:pPr>
              <w:pStyle w:val="Tablecolhead"/>
            </w:pPr>
            <w:r>
              <w:t>Perform</w:t>
            </w:r>
            <w:r w:rsidR="007D2183">
              <w:t>-</w:t>
            </w:r>
          </w:p>
          <w:p w14:paraId="0FB7CD28" w14:textId="0645BB50" w:rsidR="00684B22" w:rsidRDefault="00684B22" w:rsidP="008A702B">
            <w:pPr>
              <w:pStyle w:val="Tablecolhead"/>
            </w:pPr>
            <w:proofErr w:type="spellStart"/>
            <w:r>
              <w:t>ance</w:t>
            </w:r>
            <w:proofErr w:type="spellEnd"/>
            <w:r>
              <w:t xml:space="preserve"> </w:t>
            </w:r>
          </w:p>
        </w:tc>
        <w:tc>
          <w:tcPr>
            <w:tcW w:w="1489" w:type="dxa"/>
          </w:tcPr>
          <w:p w14:paraId="194620BF" w14:textId="77777777" w:rsidR="00684B22" w:rsidRDefault="00684B22" w:rsidP="008A702B">
            <w:pPr>
              <w:pStyle w:val="Tablecolhead"/>
            </w:pPr>
            <w:r>
              <w:t>Under/over</w:t>
            </w:r>
            <w:r>
              <w:br/>
              <w:t>performance</w:t>
            </w:r>
          </w:p>
        </w:tc>
        <w:tc>
          <w:tcPr>
            <w:tcW w:w="1337" w:type="dxa"/>
          </w:tcPr>
          <w:p w14:paraId="3262EF1E" w14:textId="77777777" w:rsidR="00684B22" w:rsidRDefault="00684B22" w:rsidP="008A702B">
            <w:pPr>
              <w:pStyle w:val="Tablecolhead"/>
            </w:pPr>
            <w:r>
              <w:t>Target adjustment (annual)</w:t>
            </w:r>
          </w:p>
        </w:tc>
        <w:tc>
          <w:tcPr>
            <w:tcW w:w="1372" w:type="dxa"/>
          </w:tcPr>
          <w:p w14:paraId="381724C7" w14:textId="77777777" w:rsidR="007D2183" w:rsidRDefault="00684B22" w:rsidP="008A702B">
            <w:pPr>
              <w:pStyle w:val="Tablecolhead"/>
            </w:pPr>
            <w:r>
              <w:t>Reimburse</w:t>
            </w:r>
            <w:r w:rsidR="007D2183">
              <w:t>-</w:t>
            </w:r>
          </w:p>
          <w:p w14:paraId="187C206D" w14:textId="3D1A6165" w:rsidR="00684B22" w:rsidRDefault="00684B22" w:rsidP="008A702B">
            <w:pPr>
              <w:pStyle w:val="Tablecolhead"/>
            </w:pPr>
            <w:proofErr w:type="spellStart"/>
            <w:r>
              <w:t>ment</w:t>
            </w:r>
            <w:proofErr w:type="spellEnd"/>
            <w:r>
              <w:t xml:space="preserve"> (annual)</w:t>
            </w:r>
          </w:p>
        </w:tc>
      </w:tr>
      <w:tr w:rsidR="00E57DE9" w14:paraId="3945E0C6" w14:textId="77777777" w:rsidTr="007D2183">
        <w:tc>
          <w:tcPr>
            <w:tcW w:w="1057" w:type="dxa"/>
            <w:vAlign w:val="center"/>
          </w:tcPr>
          <w:p w14:paraId="0317F7C8" w14:textId="77777777" w:rsidR="00684B22" w:rsidRPr="00BB00E8" w:rsidRDefault="00684B22" w:rsidP="008A702B">
            <w:pPr>
              <w:pStyle w:val="Tabletext"/>
            </w:pPr>
            <w:r w:rsidRPr="00BB00E8">
              <w:t>General</w:t>
            </w:r>
          </w:p>
        </w:tc>
        <w:tc>
          <w:tcPr>
            <w:tcW w:w="1033" w:type="dxa"/>
            <w:vAlign w:val="center"/>
          </w:tcPr>
          <w:p w14:paraId="49896FD3" w14:textId="4C66F584" w:rsidR="00684B22" w:rsidRPr="00BB00E8" w:rsidRDefault="00684B22" w:rsidP="008A702B">
            <w:pPr>
              <w:pStyle w:val="Tabletext"/>
            </w:pPr>
            <w:r w:rsidRPr="00BB00E8">
              <w:t>$</w:t>
            </w:r>
            <w:r w:rsidR="007D2183">
              <w:t>20</w:t>
            </w:r>
            <w:r w:rsidRPr="00BB00E8">
              <w:t>,000</w:t>
            </w:r>
          </w:p>
        </w:tc>
        <w:tc>
          <w:tcPr>
            <w:tcW w:w="1080" w:type="dxa"/>
            <w:vAlign w:val="center"/>
          </w:tcPr>
          <w:p w14:paraId="3893C606" w14:textId="77777777" w:rsidR="00684B22" w:rsidRPr="00BB00E8" w:rsidRDefault="00684B22" w:rsidP="008A702B">
            <w:pPr>
              <w:pStyle w:val="Tabletext"/>
            </w:pPr>
            <w:r w:rsidRPr="00BB00E8">
              <w:t>50</w:t>
            </w:r>
          </w:p>
        </w:tc>
        <w:tc>
          <w:tcPr>
            <w:tcW w:w="1092" w:type="dxa"/>
          </w:tcPr>
          <w:p w14:paraId="1820B2E4" w14:textId="2FE7C608" w:rsidR="00684B22" w:rsidRPr="00BB00E8" w:rsidDel="007321B2" w:rsidRDefault="00684B22" w:rsidP="008A702B">
            <w:pPr>
              <w:pStyle w:val="Tabletext"/>
            </w:pPr>
            <w:r w:rsidRPr="00032BC9">
              <w:t>$</w:t>
            </w:r>
            <w:r w:rsidR="00047561">
              <w:t>1,000</w:t>
            </w:r>
            <w:r>
              <w:t>,0</w:t>
            </w:r>
            <w:r w:rsidRPr="00032BC9">
              <w:t>00</w:t>
            </w:r>
          </w:p>
        </w:tc>
        <w:tc>
          <w:tcPr>
            <w:tcW w:w="1162" w:type="dxa"/>
            <w:vAlign w:val="center"/>
          </w:tcPr>
          <w:p w14:paraId="397B9F15" w14:textId="77777777" w:rsidR="00684B22" w:rsidRPr="00BB00E8" w:rsidRDefault="00684B22" w:rsidP="008A702B">
            <w:pPr>
              <w:pStyle w:val="Tabletext"/>
            </w:pPr>
            <w:r w:rsidRPr="00BB00E8">
              <w:t>20</w:t>
            </w:r>
          </w:p>
        </w:tc>
        <w:tc>
          <w:tcPr>
            <w:tcW w:w="1092" w:type="dxa"/>
            <w:vAlign w:val="center"/>
          </w:tcPr>
          <w:p w14:paraId="5692C2B1" w14:textId="77777777" w:rsidR="00684B22" w:rsidRPr="00BB00E8" w:rsidRDefault="00684B22" w:rsidP="008A702B">
            <w:pPr>
              <w:pStyle w:val="Tabletext"/>
            </w:pPr>
            <w:r w:rsidRPr="00BB00E8">
              <w:t>40%</w:t>
            </w:r>
          </w:p>
        </w:tc>
        <w:tc>
          <w:tcPr>
            <w:tcW w:w="1489" w:type="dxa"/>
            <w:vAlign w:val="center"/>
          </w:tcPr>
          <w:p w14:paraId="5743E6E0" w14:textId="77777777" w:rsidR="00684B22" w:rsidRPr="00BB00E8" w:rsidRDefault="00684B22" w:rsidP="008A702B">
            <w:pPr>
              <w:pStyle w:val="Tabletext"/>
            </w:pPr>
            <w:r w:rsidRPr="00BB00E8">
              <w:t>-45%</w:t>
            </w:r>
          </w:p>
        </w:tc>
        <w:tc>
          <w:tcPr>
            <w:tcW w:w="1337" w:type="dxa"/>
            <w:vAlign w:val="center"/>
          </w:tcPr>
          <w:p w14:paraId="62FD12C3" w14:textId="14860868" w:rsidR="00684B22" w:rsidRPr="00BB00E8" w:rsidRDefault="00684B22" w:rsidP="008A702B">
            <w:pPr>
              <w:pStyle w:val="Tabletext"/>
              <w:rPr>
                <w:b/>
                <w:bCs/>
              </w:rPr>
            </w:pPr>
            <w:r w:rsidRPr="00BB00E8">
              <w:rPr>
                <w:b/>
                <w:bCs/>
              </w:rPr>
              <w:t>-$</w:t>
            </w:r>
            <w:r w:rsidR="00047561">
              <w:rPr>
                <w:b/>
                <w:bCs/>
              </w:rPr>
              <w:t>450</w:t>
            </w:r>
            <w:r>
              <w:rPr>
                <w:b/>
                <w:bCs/>
              </w:rPr>
              <w:t>,</w:t>
            </w:r>
            <w:r w:rsidR="00047561">
              <w:rPr>
                <w:b/>
                <w:bCs/>
              </w:rPr>
              <w:t>0</w:t>
            </w:r>
            <w:r>
              <w:rPr>
                <w:b/>
                <w:bCs/>
              </w:rPr>
              <w:t>00</w:t>
            </w:r>
          </w:p>
        </w:tc>
        <w:tc>
          <w:tcPr>
            <w:tcW w:w="1372" w:type="dxa"/>
          </w:tcPr>
          <w:p w14:paraId="21C5B88E" w14:textId="77777777" w:rsidR="00684B22" w:rsidRPr="00BB00E8" w:rsidRDefault="00684B22" w:rsidP="008A702B">
            <w:pPr>
              <w:pStyle w:val="Tabletext"/>
              <w:rPr>
                <w:b/>
                <w:bCs/>
              </w:rPr>
            </w:pPr>
            <w:r w:rsidRPr="00BB00E8">
              <w:rPr>
                <w:b/>
                <w:bCs/>
              </w:rPr>
              <w:t>$0</w:t>
            </w:r>
          </w:p>
        </w:tc>
      </w:tr>
      <w:tr w:rsidR="00E57DE9" w14:paraId="6734BCE1" w14:textId="77777777" w:rsidTr="007D2183">
        <w:tc>
          <w:tcPr>
            <w:tcW w:w="1057" w:type="dxa"/>
            <w:vAlign w:val="center"/>
          </w:tcPr>
          <w:p w14:paraId="48CCE6D1" w14:textId="77777777" w:rsidR="00684B22" w:rsidRPr="00BB00E8" w:rsidRDefault="00684B22" w:rsidP="008A702B">
            <w:pPr>
              <w:pStyle w:val="Tabletext"/>
            </w:pPr>
            <w:r w:rsidRPr="00BB00E8">
              <w:t>Intensive</w:t>
            </w:r>
          </w:p>
        </w:tc>
        <w:tc>
          <w:tcPr>
            <w:tcW w:w="1033" w:type="dxa"/>
            <w:vAlign w:val="center"/>
          </w:tcPr>
          <w:p w14:paraId="77BFC66D" w14:textId="1B0A3BBF" w:rsidR="00684B22" w:rsidRPr="00BB00E8" w:rsidRDefault="00684B22" w:rsidP="008A702B">
            <w:pPr>
              <w:pStyle w:val="Tabletext"/>
            </w:pPr>
            <w:r w:rsidRPr="00BB00E8">
              <w:t>$</w:t>
            </w:r>
            <w:r w:rsidR="007D2183">
              <w:t>3</w:t>
            </w:r>
            <w:r w:rsidRPr="00BB00E8">
              <w:t>0,000</w:t>
            </w:r>
          </w:p>
        </w:tc>
        <w:tc>
          <w:tcPr>
            <w:tcW w:w="1080" w:type="dxa"/>
            <w:vAlign w:val="center"/>
          </w:tcPr>
          <w:p w14:paraId="132C3006" w14:textId="77777777" w:rsidR="00684B22" w:rsidRPr="00BB00E8" w:rsidRDefault="00684B22" w:rsidP="008A702B">
            <w:pPr>
              <w:pStyle w:val="Tabletext"/>
            </w:pPr>
            <w:r w:rsidRPr="00BB00E8">
              <w:t>30</w:t>
            </w:r>
          </w:p>
        </w:tc>
        <w:tc>
          <w:tcPr>
            <w:tcW w:w="1092" w:type="dxa"/>
          </w:tcPr>
          <w:p w14:paraId="213B035D" w14:textId="769F20CD" w:rsidR="00684B22" w:rsidRPr="00BB00E8" w:rsidDel="007321B2" w:rsidRDefault="00684B22" w:rsidP="008A702B">
            <w:pPr>
              <w:pStyle w:val="Tabletext"/>
            </w:pPr>
            <w:r w:rsidRPr="00032BC9">
              <w:t>$</w:t>
            </w:r>
            <w:r w:rsidR="00047561">
              <w:t>9</w:t>
            </w:r>
            <w:r>
              <w:t>0</w:t>
            </w:r>
            <w:r w:rsidRPr="00032BC9">
              <w:t>0,000</w:t>
            </w:r>
          </w:p>
        </w:tc>
        <w:tc>
          <w:tcPr>
            <w:tcW w:w="1162" w:type="dxa"/>
            <w:vAlign w:val="center"/>
          </w:tcPr>
          <w:p w14:paraId="6FFCCE90" w14:textId="77777777" w:rsidR="00684B22" w:rsidRPr="00BB00E8" w:rsidRDefault="00684B22" w:rsidP="008A702B">
            <w:pPr>
              <w:pStyle w:val="Tabletext"/>
            </w:pPr>
            <w:r w:rsidRPr="00BB00E8">
              <w:t>30</w:t>
            </w:r>
          </w:p>
        </w:tc>
        <w:tc>
          <w:tcPr>
            <w:tcW w:w="1092" w:type="dxa"/>
            <w:vAlign w:val="center"/>
          </w:tcPr>
          <w:p w14:paraId="508D6AF7" w14:textId="77777777" w:rsidR="00684B22" w:rsidRPr="00BB00E8" w:rsidRDefault="00684B22" w:rsidP="008A702B">
            <w:pPr>
              <w:pStyle w:val="Tabletext"/>
            </w:pPr>
            <w:r w:rsidRPr="00BB00E8">
              <w:t>100%</w:t>
            </w:r>
          </w:p>
        </w:tc>
        <w:tc>
          <w:tcPr>
            <w:tcW w:w="1489" w:type="dxa"/>
            <w:vAlign w:val="center"/>
          </w:tcPr>
          <w:p w14:paraId="5C4D5AEC" w14:textId="77777777" w:rsidR="00684B22" w:rsidRPr="00BB00E8" w:rsidRDefault="00684B22" w:rsidP="008A702B">
            <w:pPr>
              <w:pStyle w:val="Tabletext"/>
            </w:pPr>
            <w:r w:rsidRPr="00BB00E8">
              <w:t>0%</w:t>
            </w:r>
          </w:p>
        </w:tc>
        <w:tc>
          <w:tcPr>
            <w:tcW w:w="1337" w:type="dxa"/>
            <w:vAlign w:val="center"/>
          </w:tcPr>
          <w:p w14:paraId="1EA5FDBB" w14:textId="77777777" w:rsidR="00684B22" w:rsidRPr="00BB00E8" w:rsidRDefault="00684B22" w:rsidP="008A702B">
            <w:pPr>
              <w:pStyle w:val="Tabletext"/>
              <w:rPr>
                <w:b/>
                <w:bCs/>
              </w:rPr>
            </w:pPr>
            <w:r w:rsidRPr="00BB00E8">
              <w:rPr>
                <w:b/>
                <w:bCs/>
              </w:rPr>
              <w:t>$0</w:t>
            </w:r>
          </w:p>
        </w:tc>
        <w:tc>
          <w:tcPr>
            <w:tcW w:w="1372" w:type="dxa"/>
          </w:tcPr>
          <w:p w14:paraId="6103BB49" w14:textId="77777777" w:rsidR="00684B22" w:rsidRPr="00BB00E8" w:rsidRDefault="00684B22" w:rsidP="008A702B">
            <w:pPr>
              <w:pStyle w:val="Tabletext"/>
              <w:rPr>
                <w:b/>
                <w:bCs/>
              </w:rPr>
            </w:pPr>
            <w:r w:rsidRPr="00BB00E8">
              <w:rPr>
                <w:b/>
                <w:bCs/>
              </w:rPr>
              <w:t>$0</w:t>
            </w:r>
          </w:p>
        </w:tc>
      </w:tr>
      <w:tr w:rsidR="00E57DE9" w14:paraId="4242FCDC" w14:textId="77777777" w:rsidTr="007D2183">
        <w:trPr>
          <w:trHeight w:val="152"/>
        </w:trPr>
        <w:tc>
          <w:tcPr>
            <w:tcW w:w="1057" w:type="dxa"/>
            <w:vAlign w:val="center"/>
          </w:tcPr>
          <w:p w14:paraId="6D3EEA03" w14:textId="77777777" w:rsidR="00684B22" w:rsidRPr="00BB00E8" w:rsidRDefault="00684B22" w:rsidP="008A702B">
            <w:pPr>
              <w:pStyle w:val="Tabletext"/>
            </w:pPr>
            <w:r w:rsidRPr="00BB00E8">
              <w:t>Complex</w:t>
            </w:r>
          </w:p>
        </w:tc>
        <w:tc>
          <w:tcPr>
            <w:tcW w:w="1033" w:type="dxa"/>
            <w:vAlign w:val="center"/>
          </w:tcPr>
          <w:p w14:paraId="21A472F9" w14:textId="68F40CF4" w:rsidR="00684B22" w:rsidRPr="00BB00E8" w:rsidRDefault="00684B22" w:rsidP="008A702B">
            <w:pPr>
              <w:pStyle w:val="Tabletext"/>
            </w:pPr>
            <w:r w:rsidRPr="00BB00E8">
              <w:t>$</w:t>
            </w:r>
            <w:r w:rsidR="007D2183">
              <w:t>4</w:t>
            </w:r>
            <w:r w:rsidRPr="00BB00E8">
              <w:t>0,000</w:t>
            </w:r>
          </w:p>
        </w:tc>
        <w:tc>
          <w:tcPr>
            <w:tcW w:w="1080" w:type="dxa"/>
            <w:vAlign w:val="center"/>
          </w:tcPr>
          <w:p w14:paraId="3CDB73ED" w14:textId="77777777" w:rsidR="00684B22" w:rsidRPr="00BB00E8" w:rsidRDefault="00684B22" w:rsidP="008A702B">
            <w:pPr>
              <w:pStyle w:val="Tabletext"/>
            </w:pPr>
            <w:r w:rsidRPr="00BB00E8">
              <w:t>20</w:t>
            </w:r>
          </w:p>
        </w:tc>
        <w:tc>
          <w:tcPr>
            <w:tcW w:w="1092" w:type="dxa"/>
          </w:tcPr>
          <w:p w14:paraId="49FB3126" w14:textId="73284AC4" w:rsidR="00684B22" w:rsidRPr="00BB00E8" w:rsidDel="007321B2" w:rsidRDefault="00684B22" w:rsidP="008A702B">
            <w:pPr>
              <w:pStyle w:val="Tabletext"/>
            </w:pPr>
            <w:r w:rsidRPr="00032BC9">
              <w:t>$</w:t>
            </w:r>
            <w:r w:rsidR="00047561">
              <w:t>8</w:t>
            </w:r>
            <w:r>
              <w:t>0</w:t>
            </w:r>
            <w:r w:rsidRPr="00032BC9">
              <w:t>0,000</w:t>
            </w:r>
          </w:p>
        </w:tc>
        <w:tc>
          <w:tcPr>
            <w:tcW w:w="1162" w:type="dxa"/>
            <w:vAlign w:val="center"/>
          </w:tcPr>
          <w:p w14:paraId="449967C7" w14:textId="77777777" w:rsidR="00684B22" w:rsidRPr="00BB00E8" w:rsidRDefault="00684B22" w:rsidP="008A702B">
            <w:pPr>
              <w:pStyle w:val="Tabletext"/>
            </w:pPr>
            <w:r w:rsidRPr="00BB00E8">
              <w:t>40</w:t>
            </w:r>
          </w:p>
        </w:tc>
        <w:tc>
          <w:tcPr>
            <w:tcW w:w="1092" w:type="dxa"/>
            <w:vAlign w:val="center"/>
          </w:tcPr>
          <w:p w14:paraId="4C2F297D" w14:textId="77777777" w:rsidR="00684B22" w:rsidRPr="00BB00E8" w:rsidRDefault="00684B22" w:rsidP="008A702B">
            <w:pPr>
              <w:pStyle w:val="Tabletext"/>
            </w:pPr>
            <w:r w:rsidRPr="00BB00E8">
              <w:t>200%</w:t>
            </w:r>
          </w:p>
        </w:tc>
        <w:tc>
          <w:tcPr>
            <w:tcW w:w="1489" w:type="dxa"/>
            <w:vAlign w:val="center"/>
          </w:tcPr>
          <w:p w14:paraId="48578557" w14:textId="77777777" w:rsidR="00684B22" w:rsidRPr="00BB00E8" w:rsidRDefault="00684B22" w:rsidP="008A702B">
            <w:pPr>
              <w:pStyle w:val="Tabletext"/>
            </w:pPr>
            <w:r w:rsidRPr="00BB00E8">
              <w:t>100%</w:t>
            </w:r>
          </w:p>
        </w:tc>
        <w:tc>
          <w:tcPr>
            <w:tcW w:w="1337" w:type="dxa"/>
            <w:vAlign w:val="center"/>
          </w:tcPr>
          <w:p w14:paraId="60A327C8" w14:textId="77777777" w:rsidR="00684B22" w:rsidRPr="00BB00E8" w:rsidRDefault="00684B22" w:rsidP="008A702B">
            <w:pPr>
              <w:pStyle w:val="Tabletext"/>
              <w:rPr>
                <w:b/>
                <w:bCs/>
              </w:rPr>
            </w:pPr>
            <w:r w:rsidRPr="00BB00E8">
              <w:rPr>
                <w:b/>
                <w:bCs/>
              </w:rPr>
              <w:t>$0</w:t>
            </w:r>
          </w:p>
        </w:tc>
        <w:tc>
          <w:tcPr>
            <w:tcW w:w="1372" w:type="dxa"/>
          </w:tcPr>
          <w:p w14:paraId="6E3A00F1" w14:textId="232C5A60" w:rsidR="00684B22" w:rsidRPr="00BB00E8" w:rsidDel="002D214B" w:rsidRDefault="00684B22" w:rsidP="008A702B">
            <w:pPr>
              <w:pStyle w:val="Tabletext"/>
              <w:rPr>
                <w:b/>
                <w:bCs/>
              </w:rPr>
            </w:pPr>
            <w:r w:rsidRPr="00BB00E8">
              <w:rPr>
                <w:b/>
                <w:bCs/>
              </w:rPr>
              <w:t>+$</w:t>
            </w:r>
            <w:r w:rsidR="00047561">
              <w:rPr>
                <w:b/>
                <w:bCs/>
              </w:rPr>
              <w:t>8</w:t>
            </w:r>
            <w:r>
              <w:rPr>
                <w:b/>
                <w:bCs/>
              </w:rPr>
              <w:t>0</w:t>
            </w:r>
            <w:r w:rsidRPr="00BB00E8">
              <w:rPr>
                <w:b/>
                <w:bCs/>
              </w:rPr>
              <w:t>0,000</w:t>
            </w:r>
          </w:p>
        </w:tc>
      </w:tr>
      <w:tr w:rsidR="00F57F31" w14:paraId="27F3104D" w14:textId="77777777" w:rsidTr="007D2183">
        <w:tc>
          <w:tcPr>
            <w:tcW w:w="1057" w:type="dxa"/>
            <w:tcBorders>
              <w:left w:val="nil"/>
              <w:bottom w:val="nil"/>
              <w:right w:val="nil"/>
            </w:tcBorders>
            <w:vAlign w:val="center"/>
          </w:tcPr>
          <w:p w14:paraId="1EEB5F90" w14:textId="77777777" w:rsidR="00684B22" w:rsidRPr="00BB00E8" w:rsidRDefault="00684B22" w:rsidP="008A702B">
            <w:pPr>
              <w:pStyle w:val="Tabletext"/>
            </w:pPr>
          </w:p>
        </w:tc>
        <w:tc>
          <w:tcPr>
            <w:tcW w:w="1033" w:type="dxa"/>
            <w:tcBorders>
              <w:left w:val="nil"/>
              <w:bottom w:val="nil"/>
              <w:right w:val="nil"/>
            </w:tcBorders>
            <w:vAlign w:val="center"/>
          </w:tcPr>
          <w:p w14:paraId="46BDD068" w14:textId="77777777" w:rsidR="00684B22" w:rsidRPr="00BB00E8" w:rsidRDefault="00684B22" w:rsidP="008A702B">
            <w:pPr>
              <w:pStyle w:val="Tabletext"/>
            </w:pPr>
          </w:p>
        </w:tc>
        <w:tc>
          <w:tcPr>
            <w:tcW w:w="1080" w:type="dxa"/>
            <w:tcBorders>
              <w:left w:val="nil"/>
              <w:bottom w:val="nil"/>
              <w:right w:val="nil"/>
            </w:tcBorders>
            <w:vAlign w:val="center"/>
          </w:tcPr>
          <w:p w14:paraId="7AF10F5A" w14:textId="77777777" w:rsidR="00684B22" w:rsidRPr="00BB00E8" w:rsidRDefault="00684B22" w:rsidP="008A702B">
            <w:pPr>
              <w:pStyle w:val="Tabletext"/>
            </w:pPr>
          </w:p>
        </w:tc>
        <w:tc>
          <w:tcPr>
            <w:tcW w:w="1092" w:type="dxa"/>
            <w:tcBorders>
              <w:left w:val="nil"/>
              <w:bottom w:val="nil"/>
              <w:right w:val="nil"/>
            </w:tcBorders>
          </w:tcPr>
          <w:p w14:paraId="0CE6ED47" w14:textId="77777777" w:rsidR="00684B22" w:rsidRPr="00BB00E8" w:rsidRDefault="00684B22" w:rsidP="008A702B">
            <w:pPr>
              <w:pStyle w:val="Tabletext"/>
            </w:pPr>
          </w:p>
        </w:tc>
        <w:tc>
          <w:tcPr>
            <w:tcW w:w="1162" w:type="dxa"/>
            <w:tcBorders>
              <w:left w:val="nil"/>
              <w:bottom w:val="nil"/>
              <w:right w:val="nil"/>
            </w:tcBorders>
            <w:vAlign w:val="center"/>
          </w:tcPr>
          <w:p w14:paraId="122980C2" w14:textId="77777777" w:rsidR="00684B22" w:rsidRPr="00BB00E8" w:rsidRDefault="00684B22" w:rsidP="008A702B">
            <w:pPr>
              <w:pStyle w:val="Tabletext"/>
            </w:pPr>
          </w:p>
        </w:tc>
        <w:tc>
          <w:tcPr>
            <w:tcW w:w="1092" w:type="dxa"/>
            <w:tcBorders>
              <w:left w:val="nil"/>
              <w:bottom w:val="nil"/>
              <w:right w:val="nil"/>
            </w:tcBorders>
            <w:vAlign w:val="center"/>
          </w:tcPr>
          <w:p w14:paraId="5D3D3C49" w14:textId="77777777" w:rsidR="00684B22" w:rsidRPr="00BB00E8" w:rsidRDefault="00684B22" w:rsidP="008A702B">
            <w:pPr>
              <w:pStyle w:val="Tabletext"/>
            </w:pPr>
          </w:p>
        </w:tc>
        <w:tc>
          <w:tcPr>
            <w:tcW w:w="1489" w:type="dxa"/>
            <w:tcBorders>
              <w:left w:val="nil"/>
              <w:bottom w:val="nil"/>
            </w:tcBorders>
            <w:vAlign w:val="center"/>
          </w:tcPr>
          <w:p w14:paraId="113EA400" w14:textId="77777777" w:rsidR="00684B22" w:rsidRPr="00BB00E8" w:rsidRDefault="00684B22" w:rsidP="008A702B">
            <w:pPr>
              <w:pStyle w:val="Tabletext"/>
            </w:pPr>
          </w:p>
        </w:tc>
        <w:tc>
          <w:tcPr>
            <w:tcW w:w="1337" w:type="dxa"/>
            <w:vAlign w:val="center"/>
          </w:tcPr>
          <w:p w14:paraId="2B26418F" w14:textId="4BF265EE" w:rsidR="00684B22" w:rsidRPr="00BB00E8" w:rsidRDefault="00684B22" w:rsidP="008A702B">
            <w:pPr>
              <w:pStyle w:val="Tabletext"/>
              <w:rPr>
                <w:b/>
                <w:bCs/>
              </w:rPr>
            </w:pPr>
            <w:r w:rsidRPr="00BB00E8">
              <w:rPr>
                <w:b/>
                <w:bCs/>
              </w:rPr>
              <w:t>-$</w:t>
            </w:r>
            <w:r w:rsidR="00047561">
              <w:rPr>
                <w:b/>
                <w:bCs/>
              </w:rPr>
              <w:t>450</w:t>
            </w:r>
            <w:r>
              <w:rPr>
                <w:b/>
                <w:bCs/>
              </w:rPr>
              <w:t>,</w:t>
            </w:r>
            <w:r w:rsidR="00047561">
              <w:rPr>
                <w:b/>
                <w:bCs/>
              </w:rPr>
              <w:t>0</w:t>
            </w:r>
            <w:r>
              <w:rPr>
                <w:b/>
                <w:bCs/>
              </w:rPr>
              <w:t>00</w:t>
            </w:r>
          </w:p>
        </w:tc>
        <w:tc>
          <w:tcPr>
            <w:tcW w:w="1372" w:type="dxa"/>
          </w:tcPr>
          <w:p w14:paraId="75ADCF35" w14:textId="1C42A3CD" w:rsidR="00684B22" w:rsidRPr="00BB00E8" w:rsidRDefault="00684B22" w:rsidP="008A702B">
            <w:pPr>
              <w:pStyle w:val="Tabletext"/>
              <w:rPr>
                <w:b/>
                <w:bCs/>
              </w:rPr>
            </w:pPr>
            <w:r w:rsidRPr="00BB00E8">
              <w:rPr>
                <w:b/>
                <w:bCs/>
              </w:rPr>
              <w:t>$</w:t>
            </w:r>
            <w:r w:rsidR="0019179F">
              <w:rPr>
                <w:b/>
                <w:bCs/>
              </w:rPr>
              <w:t>8</w:t>
            </w:r>
            <w:r>
              <w:rPr>
                <w:b/>
                <w:bCs/>
              </w:rPr>
              <w:t>0</w:t>
            </w:r>
            <w:r w:rsidRPr="00BB00E8">
              <w:rPr>
                <w:b/>
                <w:bCs/>
              </w:rPr>
              <w:t>0,000</w:t>
            </w:r>
          </w:p>
        </w:tc>
      </w:tr>
    </w:tbl>
    <w:p w14:paraId="32C5311E" w14:textId="3D5FAD93" w:rsidR="00684B22" w:rsidRDefault="00684B22" w:rsidP="008A702B">
      <w:pPr>
        <w:pStyle w:val="Bodyaftertablefigure"/>
      </w:pPr>
      <w:r>
        <w:t xml:space="preserve">In case study 3, our sample HBC provider has over performed in </w:t>
      </w:r>
      <w:r w:rsidR="00414699">
        <w:t>C</w:t>
      </w:r>
      <w:r>
        <w:t xml:space="preserve">omplex by 20 targets and under performed in </w:t>
      </w:r>
      <w:r w:rsidR="00414699">
        <w:t>G</w:t>
      </w:r>
      <w:r>
        <w:t>eneral by 30 targets</w:t>
      </w:r>
      <w:r w:rsidRPr="00603F87">
        <w:t xml:space="preserve">. Although a target adjustment </w:t>
      </w:r>
      <w:r w:rsidR="00414699" w:rsidRPr="00603F87">
        <w:t xml:space="preserve">and reimbursement </w:t>
      </w:r>
      <w:r w:rsidRPr="00603F87">
        <w:t xml:space="preserve">would need to be made to reconcile performance, this scenario should not occur in practice as significant levels of over or underperformance </w:t>
      </w:r>
      <w:r w:rsidR="00414699" w:rsidRPr="00603F87">
        <w:t>are expected to</w:t>
      </w:r>
      <w:r w:rsidRPr="00603F87">
        <w:t xml:space="preserve"> be managed through ongoing performance review as part of regular performance monitoring, </w:t>
      </w:r>
      <w:r w:rsidR="00414699" w:rsidRPr="00603F87">
        <w:t>with</w:t>
      </w:r>
      <w:r w:rsidRPr="00603F87">
        <w:t xml:space="preserve"> action </w:t>
      </w:r>
      <w:r w:rsidR="00414699" w:rsidRPr="00603F87">
        <w:t xml:space="preserve">taken </w:t>
      </w:r>
      <w:r w:rsidRPr="00603F87">
        <w:t>by the department in consultation with the HBC provider to reconcile performance as needed (see Section 5).</w:t>
      </w:r>
    </w:p>
    <w:p w14:paraId="51FA08E4" w14:textId="012DA931" w:rsidR="00684B22" w:rsidRPr="00AD53E5" w:rsidRDefault="00684B22" w:rsidP="008A702B">
      <w:pPr>
        <w:pStyle w:val="Body"/>
      </w:pPr>
      <w:r w:rsidRPr="006E4F3B">
        <w:t>** Note: this will also apply to Therapeutic Foster Care</w:t>
      </w:r>
      <w:bookmarkEnd w:id="37"/>
    </w:p>
    <w:sectPr w:rsidR="00684B22" w:rsidRPr="00AD53E5"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A1AA" w14:textId="77777777" w:rsidR="0021007C" w:rsidRDefault="0021007C">
      <w:r>
        <w:separator/>
      </w:r>
    </w:p>
    <w:p w14:paraId="663FDA8F" w14:textId="77777777" w:rsidR="0021007C" w:rsidRDefault="0021007C"/>
  </w:endnote>
  <w:endnote w:type="continuationSeparator" w:id="0">
    <w:p w14:paraId="24AC4D77" w14:textId="77777777" w:rsidR="0021007C" w:rsidRDefault="0021007C">
      <w:r>
        <w:continuationSeparator/>
      </w:r>
    </w:p>
    <w:p w14:paraId="0124818F" w14:textId="77777777" w:rsidR="0021007C" w:rsidRDefault="0021007C"/>
  </w:endnote>
  <w:endnote w:type="continuationNotice" w:id="1">
    <w:p w14:paraId="21BF3136" w14:textId="77777777" w:rsidR="0021007C" w:rsidRDefault="00210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2010" w14:textId="77777777" w:rsidR="00EB4BC7" w:rsidRDefault="00EB4BC7">
    <w:pPr>
      <w:pStyle w:val="Footer"/>
    </w:pPr>
    <w:r>
      <w:rPr>
        <w:noProof/>
      </w:rPr>
      <mc:AlternateContent>
        <mc:Choice Requires="wps">
          <w:drawing>
            <wp:anchor distT="0" distB="0" distL="114300" distR="114300" simplePos="0" relativeHeight="251661824" behindDoc="0" locked="0" layoutInCell="0" allowOverlap="1" wp14:anchorId="3C3B45BC" wp14:editId="48EEFF15">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CDF0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B45B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75CDF0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304B" w14:textId="77777777" w:rsidR="00431A70" w:rsidRDefault="00EB4BC7">
    <w:pPr>
      <w:pStyle w:val="Footer"/>
    </w:pPr>
    <w:r>
      <w:rPr>
        <w:noProof/>
        <w:lang w:eastAsia="en-AU"/>
      </w:rPr>
      <mc:AlternateContent>
        <mc:Choice Requires="wps">
          <w:drawing>
            <wp:anchor distT="0" distB="0" distL="114300" distR="114300" simplePos="0" relativeHeight="251652608" behindDoc="0" locked="0" layoutInCell="0" allowOverlap="1" wp14:anchorId="13BCB4E7" wp14:editId="4974C77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B441A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BCB4E7"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2CB441A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4FC5" w14:textId="77777777" w:rsidR="00EB4BC7" w:rsidRDefault="00EB4BC7">
    <w:pPr>
      <w:pStyle w:val="Footer"/>
    </w:pPr>
    <w:r>
      <w:rPr>
        <w:noProof/>
      </w:rPr>
      <mc:AlternateContent>
        <mc:Choice Requires="wps">
          <w:drawing>
            <wp:anchor distT="0" distB="0" distL="114300" distR="114300" simplePos="0" relativeHeight="251660800" behindDoc="0" locked="0" layoutInCell="0" allowOverlap="1" wp14:anchorId="20147633" wp14:editId="4C0739D3">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D000C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14763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1BD000C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A191" w14:textId="77777777" w:rsidR="00431A70" w:rsidRDefault="00EB4BC7">
    <w:pPr>
      <w:pStyle w:val="Footer"/>
    </w:pPr>
    <w:r>
      <w:rPr>
        <w:noProof/>
      </w:rPr>
      <mc:AlternateContent>
        <mc:Choice Requires="wps">
          <w:drawing>
            <wp:anchor distT="0" distB="0" distL="114300" distR="114300" simplePos="0" relativeHeight="251654656" behindDoc="0" locked="0" layoutInCell="0" allowOverlap="1" wp14:anchorId="4C422F70" wp14:editId="2222C916">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1EAFB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422F70"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081EAFB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9CB0" w14:textId="77777777" w:rsidR="00D63636" w:rsidRDefault="002C5B7C">
    <w:pPr>
      <w:pStyle w:val="Footer"/>
    </w:pPr>
    <w:r>
      <w:rPr>
        <w:noProof/>
        <w:lang w:eastAsia="en-AU"/>
      </w:rPr>
      <mc:AlternateContent>
        <mc:Choice Requires="wps">
          <w:drawing>
            <wp:anchor distT="0" distB="0" distL="114300" distR="114300" simplePos="0" relativeHeight="251657728" behindDoc="0" locked="0" layoutInCell="0" allowOverlap="1" wp14:anchorId="6DD15D90" wp14:editId="13FF5ABF">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CB564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D15D90"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18CB564F"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D63636">
      <w:rPr>
        <w:noProof/>
        <w:lang w:eastAsia="en-AU"/>
      </w:rPr>
      <w:drawing>
        <wp:anchor distT="0" distB="0" distL="114300" distR="114300" simplePos="0" relativeHeight="251656704" behindDoc="1" locked="1" layoutInCell="1" allowOverlap="1" wp14:anchorId="4649078F" wp14:editId="7AB3DF4C">
          <wp:simplePos x="0" y="0"/>
          <wp:positionH relativeFrom="page">
            <wp:align>right</wp:align>
          </wp:positionH>
          <wp:positionV relativeFrom="page">
            <wp:align>bottom</wp:align>
          </wp:positionV>
          <wp:extent cx="7560000" cy="1008000"/>
          <wp:effectExtent l="0" t="0" r="3175" b="1905"/>
          <wp:wrapNone/>
          <wp:docPr id="17" name="Picture 1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A046" w14:textId="77777777" w:rsidR="00431A70" w:rsidRDefault="00EB4BC7">
    <w:pPr>
      <w:pStyle w:val="Footer"/>
    </w:pPr>
    <w:r>
      <w:rPr>
        <w:noProof/>
        <w:lang w:eastAsia="en-AU"/>
      </w:rPr>
      <mc:AlternateContent>
        <mc:Choice Requires="wps">
          <w:drawing>
            <wp:anchor distT="0" distB="0" distL="114300" distR="114300" simplePos="0" relativeHeight="251655680" behindDoc="0" locked="0" layoutInCell="0" allowOverlap="1" wp14:anchorId="618A6B75" wp14:editId="1649434B">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47FBE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A6B7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5747FBE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431A70">
      <w:rPr>
        <w:noProof/>
        <w:lang w:eastAsia="en-AU"/>
      </w:rPr>
      <w:drawing>
        <wp:anchor distT="0" distB="0" distL="114300" distR="114300" simplePos="0" relativeHeight="251653632" behindDoc="1" locked="1" layoutInCell="1" allowOverlap="1" wp14:anchorId="13A75B48" wp14:editId="16659421">
          <wp:simplePos x="0" y="0"/>
          <wp:positionH relativeFrom="page">
            <wp:align>right</wp:align>
          </wp:positionH>
          <wp:positionV relativeFrom="page">
            <wp:align>bottom</wp:align>
          </wp:positionV>
          <wp:extent cx="7559640" cy="1007280"/>
          <wp:effectExtent l="0" t="0" r="3810" b="2540"/>
          <wp:wrapNone/>
          <wp:docPr id="18" name="Picture 1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A476" w14:textId="77777777" w:rsidR="0021007C" w:rsidRDefault="0021007C" w:rsidP="00207717">
      <w:pPr>
        <w:spacing w:before="120"/>
      </w:pPr>
      <w:r>
        <w:separator/>
      </w:r>
    </w:p>
  </w:footnote>
  <w:footnote w:type="continuationSeparator" w:id="0">
    <w:p w14:paraId="4F6BAB7A" w14:textId="77777777" w:rsidR="0021007C" w:rsidRDefault="0021007C">
      <w:r>
        <w:continuationSeparator/>
      </w:r>
    </w:p>
    <w:p w14:paraId="709E3E76" w14:textId="77777777" w:rsidR="0021007C" w:rsidRDefault="0021007C"/>
  </w:footnote>
  <w:footnote w:type="continuationNotice" w:id="1">
    <w:p w14:paraId="00E11728" w14:textId="77777777" w:rsidR="0021007C" w:rsidRDefault="00210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BCF3" w14:textId="77777777" w:rsidR="007E246B" w:rsidRDefault="007E2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0D61" w14:textId="77777777" w:rsidR="007E246B" w:rsidRDefault="007E2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781D" w14:textId="77777777" w:rsidR="007E246B" w:rsidRDefault="007E24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C697" w14:textId="41B4A2BD" w:rsidR="00F90333" w:rsidRDefault="00C60411" w:rsidP="00F90333">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90333" w:rsidRPr="00F90333">
      <w:rPr>
        <w:noProof/>
      </w:rPr>
      <w:t xml:space="preserve"> </w:t>
    </w:r>
    <w:r w:rsidR="00F90333">
      <w:rPr>
        <w:noProof/>
      </w:rPr>
      <w:tab/>
    </w:r>
    <w:r w:rsidR="00F90333">
      <w:rPr>
        <w:noProof/>
      </w:rPr>
      <w:tab/>
    </w:r>
    <w:r w:rsidR="00F90333">
      <w:rPr>
        <w:noProof/>
      </w:rPr>
      <w:tab/>
      <w:t xml:space="preserve">              Home Based Care Performance and Reporting Requirements Policy (</w:t>
    </w:r>
    <w:r w:rsidR="00E96F4E">
      <w:rPr>
        <w:noProof/>
      </w:rPr>
      <w:t xml:space="preserve">May </w:t>
    </w:r>
    <w:r w:rsidR="00F90333">
      <w:rPr>
        <w:noProof/>
      </w:rPr>
      <w:t>2022)</w:t>
    </w:r>
    <w:r w:rsidR="00F90333">
      <w:rPr>
        <w:noProof/>
      </w:rPr>
      <w:drawing>
        <wp:anchor distT="0" distB="0" distL="114300" distR="114300" simplePos="0" relativeHeight="251659776" behindDoc="1" locked="1" layoutInCell="1" allowOverlap="1" wp14:anchorId="56939A40" wp14:editId="77917777">
          <wp:simplePos x="828040" y="560705"/>
          <wp:positionH relativeFrom="page">
            <wp:posOffset>0</wp:posOffset>
          </wp:positionH>
          <wp:positionV relativeFrom="page">
            <wp:posOffset>0</wp:posOffset>
          </wp:positionV>
          <wp:extent cx="7560000" cy="27000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5458" w14:textId="573260F0" w:rsidR="00562811" w:rsidRPr="0051568D" w:rsidRDefault="00562811" w:rsidP="0017674D">
    <w:pPr>
      <w:pStyle w:val="Header"/>
    </w:pPr>
    <w:r>
      <w:t>Document title</w:t>
    </w:r>
    <w:r w:rsidR="009C245E">
      <w:t xml:space="preserve"> (use </w:t>
    </w:r>
    <w:r w:rsidR="005F121D">
      <w:t>Header</w:t>
    </w:r>
    <w:r w:rsidR="009C245E">
      <w:t xml:space="preserve"> style)</w:t>
    </w:r>
    <w:r w:rsidR="005F121D">
      <w:rPr>
        <w:noProof/>
      </w:rPr>
      <w:drawing>
        <wp:anchor distT="0" distB="0" distL="114300" distR="114300" simplePos="0" relativeHeight="251658752" behindDoc="1" locked="1" layoutInCell="1" allowOverlap="1" wp14:anchorId="6DBF0428" wp14:editId="540F6638">
          <wp:simplePos x="828040" y="560705"/>
          <wp:positionH relativeFrom="page">
            <wp:posOffset>0</wp:posOffset>
          </wp:positionH>
          <wp:positionV relativeFrom="page">
            <wp:posOffset>0</wp:posOffset>
          </wp:positionV>
          <wp:extent cx="7560000" cy="270000"/>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EAE"/>
    <w:multiLevelType w:val="hybridMultilevel"/>
    <w:tmpl w:val="3C806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551BD"/>
    <w:multiLevelType w:val="hybridMultilevel"/>
    <w:tmpl w:val="8E5AB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hybridMultilevel"/>
    <w:tmpl w:val="F05C78C0"/>
    <w:styleLink w:val="ZZBullets"/>
    <w:lvl w:ilvl="0" w:tplc="2558EFAA">
      <w:start w:val="1"/>
      <w:numFmt w:val="bullet"/>
      <w:pStyle w:val="Bullet1"/>
      <w:lvlText w:val="•"/>
      <w:lvlJc w:val="left"/>
      <w:pPr>
        <w:ind w:left="284" w:hanging="284"/>
      </w:pPr>
      <w:rPr>
        <w:rFonts w:ascii="Calibri" w:hAnsi="Calibri" w:hint="default"/>
      </w:rPr>
    </w:lvl>
    <w:lvl w:ilvl="1" w:tplc="DD1AA98C">
      <w:start w:val="1"/>
      <w:numFmt w:val="bullet"/>
      <w:lvlRestart w:val="0"/>
      <w:pStyle w:val="Bullet2"/>
      <w:lvlText w:val="–"/>
      <w:lvlJc w:val="left"/>
      <w:pPr>
        <w:ind w:left="567" w:hanging="283"/>
      </w:pPr>
      <w:rPr>
        <w:rFonts w:ascii="Calibri" w:hAnsi="Calibri" w:hint="default"/>
      </w:rPr>
    </w:lvl>
    <w:lvl w:ilvl="2" w:tplc="0640291C">
      <w:start w:val="1"/>
      <w:numFmt w:val="decimal"/>
      <w:lvlRestart w:val="0"/>
      <w:lvlText w:val=""/>
      <w:lvlJc w:val="left"/>
      <w:pPr>
        <w:ind w:left="0" w:firstLine="0"/>
      </w:pPr>
    </w:lvl>
    <w:lvl w:ilvl="3" w:tplc="8EB2A7AE">
      <w:start w:val="1"/>
      <w:numFmt w:val="decimal"/>
      <w:lvlRestart w:val="0"/>
      <w:lvlText w:val=""/>
      <w:lvlJc w:val="left"/>
      <w:pPr>
        <w:ind w:left="0" w:firstLine="0"/>
      </w:pPr>
    </w:lvl>
    <w:lvl w:ilvl="4" w:tplc="3A52B358">
      <w:start w:val="1"/>
      <w:numFmt w:val="decimal"/>
      <w:lvlRestart w:val="0"/>
      <w:lvlText w:val=""/>
      <w:lvlJc w:val="left"/>
      <w:pPr>
        <w:ind w:left="0" w:firstLine="0"/>
      </w:pPr>
    </w:lvl>
    <w:lvl w:ilvl="5" w:tplc="AD9A7F0A">
      <w:start w:val="1"/>
      <w:numFmt w:val="decimal"/>
      <w:lvlRestart w:val="0"/>
      <w:lvlText w:val=""/>
      <w:lvlJc w:val="left"/>
      <w:pPr>
        <w:ind w:left="0" w:firstLine="0"/>
      </w:pPr>
    </w:lvl>
    <w:lvl w:ilvl="6" w:tplc="34921DD2">
      <w:start w:val="1"/>
      <w:numFmt w:val="decimal"/>
      <w:lvlRestart w:val="0"/>
      <w:lvlText w:val=""/>
      <w:lvlJc w:val="left"/>
      <w:pPr>
        <w:ind w:left="0" w:firstLine="0"/>
      </w:pPr>
    </w:lvl>
    <w:lvl w:ilvl="7" w:tplc="7B1C48DA">
      <w:start w:val="1"/>
      <w:numFmt w:val="decimal"/>
      <w:lvlRestart w:val="0"/>
      <w:lvlText w:val=""/>
      <w:lvlJc w:val="left"/>
      <w:pPr>
        <w:ind w:left="0" w:firstLine="0"/>
      </w:pPr>
    </w:lvl>
    <w:lvl w:ilvl="8" w:tplc="2B721E8E">
      <w:start w:val="1"/>
      <w:numFmt w:val="decimal"/>
      <w:lvlRestart w:val="0"/>
      <w:lvlText w:val=""/>
      <w:lvlJc w:val="left"/>
      <w:pPr>
        <w:ind w:left="0" w:firstLine="0"/>
      </w:p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6BD2D05"/>
    <w:multiLevelType w:val="hybridMultilevel"/>
    <w:tmpl w:val="C670429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67FA2EDB"/>
    <w:multiLevelType w:val="hybridMultilevel"/>
    <w:tmpl w:val="89E6B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num w:numId="1" w16cid:durableId="955259275">
    <w:abstractNumId w:val="3"/>
  </w:num>
  <w:num w:numId="2" w16cid:durableId="477650812">
    <w:abstractNumId w:val="7"/>
  </w:num>
  <w:num w:numId="3" w16cid:durableId="479734679">
    <w:abstractNumId w:val="6"/>
  </w:num>
  <w:num w:numId="4" w16cid:durableId="2134246933">
    <w:abstractNumId w:val="8"/>
  </w:num>
  <w:num w:numId="5" w16cid:durableId="530848101">
    <w:abstractNumId w:val="4"/>
  </w:num>
  <w:num w:numId="6" w16cid:durableId="826677067">
    <w:abstractNumId w:val="2"/>
  </w:num>
  <w:num w:numId="7" w16cid:durableId="895317071">
    <w:abstractNumId w:val="5"/>
  </w:num>
  <w:num w:numId="8" w16cid:durableId="1290161656">
    <w:abstractNumId w:val="11"/>
  </w:num>
  <w:num w:numId="9" w16cid:durableId="1673605808">
    <w:abstractNumId w:val="9"/>
  </w:num>
  <w:num w:numId="10" w16cid:durableId="2120179501">
    <w:abstractNumId w:val="10"/>
  </w:num>
  <w:num w:numId="11" w16cid:durableId="2143644577">
    <w:abstractNumId w:val="1"/>
  </w:num>
  <w:num w:numId="12" w16cid:durableId="17637964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0E"/>
    <w:rsid w:val="00000719"/>
    <w:rsid w:val="00002D68"/>
    <w:rsid w:val="000033F7"/>
    <w:rsid w:val="00003403"/>
    <w:rsid w:val="00005347"/>
    <w:rsid w:val="000072B6"/>
    <w:rsid w:val="00007D79"/>
    <w:rsid w:val="0001021B"/>
    <w:rsid w:val="000103EE"/>
    <w:rsid w:val="00010582"/>
    <w:rsid w:val="00011D89"/>
    <w:rsid w:val="0001509C"/>
    <w:rsid w:val="000153AE"/>
    <w:rsid w:val="000154FD"/>
    <w:rsid w:val="00020D86"/>
    <w:rsid w:val="00022260"/>
    <w:rsid w:val="00022271"/>
    <w:rsid w:val="000233B8"/>
    <w:rsid w:val="000235E8"/>
    <w:rsid w:val="00024D89"/>
    <w:rsid w:val="00024F06"/>
    <w:rsid w:val="000250B6"/>
    <w:rsid w:val="0003113B"/>
    <w:rsid w:val="00033D81"/>
    <w:rsid w:val="00033DC9"/>
    <w:rsid w:val="00037366"/>
    <w:rsid w:val="00041BF0"/>
    <w:rsid w:val="00042C8A"/>
    <w:rsid w:val="0004536B"/>
    <w:rsid w:val="00046B68"/>
    <w:rsid w:val="00047561"/>
    <w:rsid w:val="0005169E"/>
    <w:rsid w:val="000527DD"/>
    <w:rsid w:val="00056EC4"/>
    <w:rsid w:val="000578B2"/>
    <w:rsid w:val="00060959"/>
    <w:rsid w:val="00060C8F"/>
    <w:rsid w:val="000617AA"/>
    <w:rsid w:val="00061CF3"/>
    <w:rsid w:val="0006298A"/>
    <w:rsid w:val="000663CD"/>
    <w:rsid w:val="000711BE"/>
    <w:rsid w:val="000733FE"/>
    <w:rsid w:val="00074219"/>
    <w:rsid w:val="00074ED5"/>
    <w:rsid w:val="0008204A"/>
    <w:rsid w:val="0008508E"/>
    <w:rsid w:val="00087951"/>
    <w:rsid w:val="00090003"/>
    <w:rsid w:val="0009113B"/>
    <w:rsid w:val="00093402"/>
    <w:rsid w:val="00093962"/>
    <w:rsid w:val="00094DA3"/>
    <w:rsid w:val="00095683"/>
    <w:rsid w:val="00096CD1"/>
    <w:rsid w:val="000A012C"/>
    <w:rsid w:val="000A0EB9"/>
    <w:rsid w:val="000A186C"/>
    <w:rsid w:val="000A1C50"/>
    <w:rsid w:val="000A1EA4"/>
    <w:rsid w:val="000A2154"/>
    <w:rsid w:val="000A2476"/>
    <w:rsid w:val="000A641A"/>
    <w:rsid w:val="000B3EDB"/>
    <w:rsid w:val="000B543D"/>
    <w:rsid w:val="000B55F9"/>
    <w:rsid w:val="000B5BF7"/>
    <w:rsid w:val="000B6BC8"/>
    <w:rsid w:val="000C0303"/>
    <w:rsid w:val="000C42EA"/>
    <w:rsid w:val="000C4546"/>
    <w:rsid w:val="000D1242"/>
    <w:rsid w:val="000D2ABA"/>
    <w:rsid w:val="000D4EFD"/>
    <w:rsid w:val="000E0970"/>
    <w:rsid w:val="000E3CC7"/>
    <w:rsid w:val="000E6BD4"/>
    <w:rsid w:val="000E6D6D"/>
    <w:rsid w:val="000E792C"/>
    <w:rsid w:val="000F1F1E"/>
    <w:rsid w:val="000F2259"/>
    <w:rsid w:val="000F2DDA"/>
    <w:rsid w:val="000F2EA0"/>
    <w:rsid w:val="000F3107"/>
    <w:rsid w:val="000F5213"/>
    <w:rsid w:val="000F5ADA"/>
    <w:rsid w:val="00101001"/>
    <w:rsid w:val="00103276"/>
    <w:rsid w:val="0010340D"/>
    <w:rsid w:val="0010392D"/>
    <w:rsid w:val="0010447F"/>
    <w:rsid w:val="00104FE3"/>
    <w:rsid w:val="0010557C"/>
    <w:rsid w:val="0010714F"/>
    <w:rsid w:val="0011070D"/>
    <w:rsid w:val="001120C5"/>
    <w:rsid w:val="00116212"/>
    <w:rsid w:val="00120BD3"/>
    <w:rsid w:val="00121266"/>
    <w:rsid w:val="00121C18"/>
    <w:rsid w:val="00122FEA"/>
    <w:rsid w:val="001232BD"/>
    <w:rsid w:val="00124ED5"/>
    <w:rsid w:val="001276FA"/>
    <w:rsid w:val="00136EB1"/>
    <w:rsid w:val="00141A91"/>
    <w:rsid w:val="001447B3"/>
    <w:rsid w:val="001503BC"/>
    <w:rsid w:val="00152073"/>
    <w:rsid w:val="00152329"/>
    <w:rsid w:val="001537D1"/>
    <w:rsid w:val="00155DFA"/>
    <w:rsid w:val="00156598"/>
    <w:rsid w:val="00161939"/>
    <w:rsid w:val="00161AA0"/>
    <w:rsid w:val="00161D2E"/>
    <w:rsid w:val="00161DB9"/>
    <w:rsid w:val="00161F3E"/>
    <w:rsid w:val="00162093"/>
    <w:rsid w:val="00162CA9"/>
    <w:rsid w:val="00165459"/>
    <w:rsid w:val="00165A57"/>
    <w:rsid w:val="001712C2"/>
    <w:rsid w:val="00172BAF"/>
    <w:rsid w:val="001755F7"/>
    <w:rsid w:val="00175E83"/>
    <w:rsid w:val="0017674D"/>
    <w:rsid w:val="001771DD"/>
    <w:rsid w:val="00177995"/>
    <w:rsid w:val="00177A8C"/>
    <w:rsid w:val="0018244E"/>
    <w:rsid w:val="00184F29"/>
    <w:rsid w:val="00185270"/>
    <w:rsid w:val="00186B33"/>
    <w:rsid w:val="001875E3"/>
    <w:rsid w:val="001901C1"/>
    <w:rsid w:val="00191166"/>
    <w:rsid w:val="0019179F"/>
    <w:rsid w:val="00192F9D"/>
    <w:rsid w:val="001947CD"/>
    <w:rsid w:val="00196EB8"/>
    <w:rsid w:val="00196EFB"/>
    <w:rsid w:val="001979FF"/>
    <w:rsid w:val="00197B17"/>
    <w:rsid w:val="001A1950"/>
    <w:rsid w:val="001A1C54"/>
    <w:rsid w:val="001A3ACE"/>
    <w:rsid w:val="001A466F"/>
    <w:rsid w:val="001A6272"/>
    <w:rsid w:val="001B058F"/>
    <w:rsid w:val="001B278D"/>
    <w:rsid w:val="001B6B96"/>
    <w:rsid w:val="001B738B"/>
    <w:rsid w:val="001B7AC5"/>
    <w:rsid w:val="001C09DB"/>
    <w:rsid w:val="001C277E"/>
    <w:rsid w:val="001C2A72"/>
    <w:rsid w:val="001C31B7"/>
    <w:rsid w:val="001D0B75"/>
    <w:rsid w:val="001D39A5"/>
    <w:rsid w:val="001D3C09"/>
    <w:rsid w:val="001D44E8"/>
    <w:rsid w:val="001D60EC"/>
    <w:rsid w:val="001D6F59"/>
    <w:rsid w:val="001E1911"/>
    <w:rsid w:val="001E44DF"/>
    <w:rsid w:val="001E68A5"/>
    <w:rsid w:val="001E6BB0"/>
    <w:rsid w:val="001E7282"/>
    <w:rsid w:val="001F3826"/>
    <w:rsid w:val="001F6E46"/>
    <w:rsid w:val="001F7C91"/>
    <w:rsid w:val="002033B7"/>
    <w:rsid w:val="00204148"/>
    <w:rsid w:val="00206463"/>
    <w:rsid w:val="00206F2F"/>
    <w:rsid w:val="00207717"/>
    <w:rsid w:val="0021007C"/>
    <w:rsid w:val="00210209"/>
    <w:rsid w:val="0021053D"/>
    <w:rsid w:val="00210552"/>
    <w:rsid w:val="00210A92"/>
    <w:rsid w:val="0021233D"/>
    <w:rsid w:val="00212B95"/>
    <w:rsid w:val="00215CC8"/>
    <w:rsid w:val="00216C03"/>
    <w:rsid w:val="00216ED0"/>
    <w:rsid w:val="00220A1A"/>
    <w:rsid w:val="00220C04"/>
    <w:rsid w:val="00221E9D"/>
    <w:rsid w:val="0022200A"/>
    <w:rsid w:val="0022278D"/>
    <w:rsid w:val="0022701F"/>
    <w:rsid w:val="00227C68"/>
    <w:rsid w:val="002333F5"/>
    <w:rsid w:val="00233724"/>
    <w:rsid w:val="00234D54"/>
    <w:rsid w:val="002358DB"/>
    <w:rsid w:val="002365B4"/>
    <w:rsid w:val="0024050C"/>
    <w:rsid w:val="002432E1"/>
    <w:rsid w:val="00246207"/>
    <w:rsid w:val="00246C5E"/>
    <w:rsid w:val="00250960"/>
    <w:rsid w:val="00251343"/>
    <w:rsid w:val="002536A4"/>
    <w:rsid w:val="00254F58"/>
    <w:rsid w:val="002620BC"/>
    <w:rsid w:val="00262790"/>
    <w:rsid w:val="00262802"/>
    <w:rsid w:val="00263A90"/>
    <w:rsid w:val="0026408B"/>
    <w:rsid w:val="00267790"/>
    <w:rsid w:val="00267C3E"/>
    <w:rsid w:val="002709BB"/>
    <w:rsid w:val="0027131C"/>
    <w:rsid w:val="0027281E"/>
    <w:rsid w:val="00273BAC"/>
    <w:rsid w:val="00276019"/>
    <w:rsid w:val="002763B3"/>
    <w:rsid w:val="002802E3"/>
    <w:rsid w:val="0028213D"/>
    <w:rsid w:val="002862F1"/>
    <w:rsid w:val="00290CDF"/>
    <w:rsid w:val="00291373"/>
    <w:rsid w:val="00292E8D"/>
    <w:rsid w:val="0029597D"/>
    <w:rsid w:val="002962C3"/>
    <w:rsid w:val="00296C8F"/>
    <w:rsid w:val="0029752B"/>
    <w:rsid w:val="002A0A9C"/>
    <w:rsid w:val="002A483C"/>
    <w:rsid w:val="002B0C7C"/>
    <w:rsid w:val="002B1729"/>
    <w:rsid w:val="002B3023"/>
    <w:rsid w:val="002B36C7"/>
    <w:rsid w:val="002B4DD4"/>
    <w:rsid w:val="002B5277"/>
    <w:rsid w:val="002B5375"/>
    <w:rsid w:val="002B77C1"/>
    <w:rsid w:val="002C0ED7"/>
    <w:rsid w:val="002C2279"/>
    <w:rsid w:val="002C2728"/>
    <w:rsid w:val="002C5B7C"/>
    <w:rsid w:val="002C61F3"/>
    <w:rsid w:val="002D0125"/>
    <w:rsid w:val="002D1E0D"/>
    <w:rsid w:val="002D5006"/>
    <w:rsid w:val="002D7C61"/>
    <w:rsid w:val="002E01D0"/>
    <w:rsid w:val="002E1269"/>
    <w:rsid w:val="002E161D"/>
    <w:rsid w:val="002E28A2"/>
    <w:rsid w:val="002E3100"/>
    <w:rsid w:val="002E38B6"/>
    <w:rsid w:val="002E5145"/>
    <w:rsid w:val="002E5C9D"/>
    <w:rsid w:val="002E6C95"/>
    <w:rsid w:val="002E7C36"/>
    <w:rsid w:val="002F3D32"/>
    <w:rsid w:val="002F5F00"/>
    <w:rsid w:val="002F5F31"/>
    <w:rsid w:val="002F5F46"/>
    <w:rsid w:val="002F65D7"/>
    <w:rsid w:val="003018A8"/>
    <w:rsid w:val="00302216"/>
    <w:rsid w:val="003039D8"/>
    <w:rsid w:val="00303E53"/>
    <w:rsid w:val="00305CC1"/>
    <w:rsid w:val="00306E5F"/>
    <w:rsid w:val="00307E14"/>
    <w:rsid w:val="003110EF"/>
    <w:rsid w:val="00314054"/>
    <w:rsid w:val="00316F27"/>
    <w:rsid w:val="003214F1"/>
    <w:rsid w:val="003224EF"/>
    <w:rsid w:val="00322C2A"/>
    <w:rsid w:val="00322E4B"/>
    <w:rsid w:val="00325C60"/>
    <w:rsid w:val="00327870"/>
    <w:rsid w:val="00330E75"/>
    <w:rsid w:val="0033259D"/>
    <w:rsid w:val="003333D2"/>
    <w:rsid w:val="00334686"/>
    <w:rsid w:val="00337339"/>
    <w:rsid w:val="00340345"/>
    <w:rsid w:val="003406C6"/>
    <w:rsid w:val="003418CC"/>
    <w:rsid w:val="003434EE"/>
    <w:rsid w:val="003459BD"/>
    <w:rsid w:val="003463A9"/>
    <w:rsid w:val="00350D38"/>
    <w:rsid w:val="00351B36"/>
    <w:rsid w:val="0035628F"/>
    <w:rsid w:val="00356B0E"/>
    <w:rsid w:val="00357B4E"/>
    <w:rsid w:val="00357B8A"/>
    <w:rsid w:val="00362EC0"/>
    <w:rsid w:val="003716FD"/>
    <w:rsid w:val="0037204B"/>
    <w:rsid w:val="00373A54"/>
    <w:rsid w:val="003744CF"/>
    <w:rsid w:val="00374717"/>
    <w:rsid w:val="0037676C"/>
    <w:rsid w:val="00376BB5"/>
    <w:rsid w:val="003805FD"/>
    <w:rsid w:val="00381043"/>
    <w:rsid w:val="003822B6"/>
    <w:rsid w:val="003829E5"/>
    <w:rsid w:val="00386109"/>
    <w:rsid w:val="00386944"/>
    <w:rsid w:val="003956CC"/>
    <w:rsid w:val="00395C9A"/>
    <w:rsid w:val="00395D78"/>
    <w:rsid w:val="003A0853"/>
    <w:rsid w:val="003A4879"/>
    <w:rsid w:val="003A6B67"/>
    <w:rsid w:val="003B13B6"/>
    <w:rsid w:val="003B14C3"/>
    <w:rsid w:val="003B15E6"/>
    <w:rsid w:val="003B22EF"/>
    <w:rsid w:val="003B408A"/>
    <w:rsid w:val="003B607C"/>
    <w:rsid w:val="003B60C5"/>
    <w:rsid w:val="003C008C"/>
    <w:rsid w:val="003C08A2"/>
    <w:rsid w:val="003C0B1B"/>
    <w:rsid w:val="003C2045"/>
    <w:rsid w:val="003C2D07"/>
    <w:rsid w:val="003C43A1"/>
    <w:rsid w:val="003C476F"/>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5FF"/>
    <w:rsid w:val="00401FCF"/>
    <w:rsid w:val="00406285"/>
    <w:rsid w:val="00414699"/>
    <w:rsid w:val="004148F9"/>
    <w:rsid w:val="004166D2"/>
    <w:rsid w:val="0042084E"/>
    <w:rsid w:val="00421EEF"/>
    <w:rsid w:val="00424D65"/>
    <w:rsid w:val="00430393"/>
    <w:rsid w:val="00431806"/>
    <w:rsid w:val="00431A70"/>
    <w:rsid w:val="00431F42"/>
    <w:rsid w:val="004417ED"/>
    <w:rsid w:val="00442C6C"/>
    <w:rsid w:val="00443CBE"/>
    <w:rsid w:val="00443E8A"/>
    <w:rsid w:val="004441BC"/>
    <w:rsid w:val="0044686E"/>
    <w:rsid w:val="004468B4"/>
    <w:rsid w:val="00446D86"/>
    <w:rsid w:val="004509BE"/>
    <w:rsid w:val="0045230A"/>
    <w:rsid w:val="004531BD"/>
    <w:rsid w:val="00454AD0"/>
    <w:rsid w:val="00457337"/>
    <w:rsid w:val="00462E3D"/>
    <w:rsid w:val="00466E79"/>
    <w:rsid w:val="00467D4C"/>
    <w:rsid w:val="004700CB"/>
    <w:rsid w:val="00470D7D"/>
    <w:rsid w:val="0047372D"/>
    <w:rsid w:val="00473BA3"/>
    <w:rsid w:val="004743DD"/>
    <w:rsid w:val="00474CEA"/>
    <w:rsid w:val="00483968"/>
    <w:rsid w:val="004841BE"/>
    <w:rsid w:val="00484F86"/>
    <w:rsid w:val="00490746"/>
    <w:rsid w:val="00490852"/>
    <w:rsid w:val="00491547"/>
    <w:rsid w:val="00491C9C"/>
    <w:rsid w:val="00492F30"/>
    <w:rsid w:val="004946F4"/>
    <w:rsid w:val="0049487E"/>
    <w:rsid w:val="004950FA"/>
    <w:rsid w:val="004A160D"/>
    <w:rsid w:val="004A3CD9"/>
    <w:rsid w:val="004A3E81"/>
    <w:rsid w:val="004A4195"/>
    <w:rsid w:val="004A474D"/>
    <w:rsid w:val="004A5C62"/>
    <w:rsid w:val="004A5CE5"/>
    <w:rsid w:val="004A707D"/>
    <w:rsid w:val="004B0974"/>
    <w:rsid w:val="004B3773"/>
    <w:rsid w:val="004B4185"/>
    <w:rsid w:val="004B7739"/>
    <w:rsid w:val="004C12A2"/>
    <w:rsid w:val="004C22FD"/>
    <w:rsid w:val="004C5541"/>
    <w:rsid w:val="004C6EEE"/>
    <w:rsid w:val="004C702B"/>
    <w:rsid w:val="004D0033"/>
    <w:rsid w:val="004D016B"/>
    <w:rsid w:val="004D1B22"/>
    <w:rsid w:val="004D23CC"/>
    <w:rsid w:val="004D36F2"/>
    <w:rsid w:val="004E0E64"/>
    <w:rsid w:val="004E1106"/>
    <w:rsid w:val="004E138F"/>
    <w:rsid w:val="004E4649"/>
    <w:rsid w:val="004E5C2B"/>
    <w:rsid w:val="004F00DD"/>
    <w:rsid w:val="004F2133"/>
    <w:rsid w:val="004F42A9"/>
    <w:rsid w:val="004F5398"/>
    <w:rsid w:val="004F55F1"/>
    <w:rsid w:val="004F6936"/>
    <w:rsid w:val="005011DA"/>
    <w:rsid w:val="00503DC6"/>
    <w:rsid w:val="0050497D"/>
    <w:rsid w:val="00506F5D"/>
    <w:rsid w:val="00510C37"/>
    <w:rsid w:val="00510FB1"/>
    <w:rsid w:val="005126D0"/>
    <w:rsid w:val="00514667"/>
    <w:rsid w:val="005150A4"/>
    <w:rsid w:val="0051568D"/>
    <w:rsid w:val="00515FE2"/>
    <w:rsid w:val="00526A8E"/>
    <w:rsid w:val="00526AC7"/>
    <w:rsid w:val="00526C15"/>
    <w:rsid w:val="00526DD7"/>
    <w:rsid w:val="00536499"/>
    <w:rsid w:val="00542433"/>
    <w:rsid w:val="00542A03"/>
    <w:rsid w:val="00543903"/>
    <w:rsid w:val="00543BCC"/>
    <w:rsid w:val="00543F11"/>
    <w:rsid w:val="00546305"/>
    <w:rsid w:val="00547A95"/>
    <w:rsid w:val="0055119B"/>
    <w:rsid w:val="00561202"/>
    <w:rsid w:val="00562507"/>
    <w:rsid w:val="00562811"/>
    <w:rsid w:val="00572031"/>
    <w:rsid w:val="00572282"/>
    <w:rsid w:val="00573CE3"/>
    <w:rsid w:val="00576873"/>
    <w:rsid w:val="00576E84"/>
    <w:rsid w:val="00580394"/>
    <w:rsid w:val="0058082F"/>
    <w:rsid w:val="005809CD"/>
    <w:rsid w:val="00582B8C"/>
    <w:rsid w:val="00583D00"/>
    <w:rsid w:val="0058757E"/>
    <w:rsid w:val="00596A4B"/>
    <w:rsid w:val="00597507"/>
    <w:rsid w:val="005A332E"/>
    <w:rsid w:val="005A479D"/>
    <w:rsid w:val="005A7454"/>
    <w:rsid w:val="005A7B76"/>
    <w:rsid w:val="005B07A3"/>
    <w:rsid w:val="005B1C6D"/>
    <w:rsid w:val="005B21B6"/>
    <w:rsid w:val="005B3A08"/>
    <w:rsid w:val="005B6DCD"/>
    <w:rsid w:val="005B7A63"/>
    <w:rsid w:val="005C0955"/>
    <w:rsid w:val="005C2BEE"/>
    <w:rsid w:val="005C49DA"/>
    <w:rsid w:val="005C50F3"/>
    <w:rsid w:val="005C54B5"/>
    <w:rsid w:val="005C5BA1"/>
    <w:rsid w:val="005C5D80"/>
    <w:rsid w:val="005C5D91"/>
    <w:rsid w:val="005D07B8"/>
    <w:rsid w:val="005D4E7B"/>
    <w:rsid w:val="005D6597"/>
    <w:rsid w:val="005E0FC8"/>
    <w:rsid w:val="005E14E7"/>
    <w:rsid w:val="005E26A3"/>
    <w:rsid w:val="005E2ECB"/>
    <w:rsid w:val="005E3654"/>
    <w:rsid w:val="005E447E"/>
    <w:rsid w:val="005E4FD1"/>
    <w:rsid w:val="005F064F"/>
    <w:rsid w:val="005F0775"/>
    <w:rsid w:val="005F0CF5"/>
    <w:rsid w:val="005F121D"/>
    <w:rsid w:val="005F21EB"/>
    <w:rsid w:val="005F64CF"/>
    <w:rsid w:val="005F6DCA"/>
    <w:rsid w:val="00603F87"/>
    <w:rsid w:val="006041AD"/>
    <w:rsid w:val="00605908"/>
    <w:rsid w:val="00607850"/>
    <w:rsid w:val="00607EF7"/>
    <w:rsid w:val="00610D7C"/>
    <w:rsid w:val="00611220"/>
    <w:rsid w:val="00611EA2"/>
    <w:rsid w:val="00613414"/>
    <w:rsid w:val="00620154"/>
    <w:rsid w:val="0062408D"/>
    <w:rsid w:val="006240CC"/>
    <w:rsid w:val="00624940"/>
    <w:rsid w:val="006254F8"/>
    <w:rsid w:val="00627DA7"/>
    <w:rsid w:val="00630DA4"/>
    <w:rsid w:val="00631CD4"/>
    <w:rsid w:val="00632597"/>
    <w:rsid w:val="00634D13"/>
    <w:rsid w:val="006358B4"/>
    <w:rsid w:val="00641724"/>
    <w:rsid w:val="0064186B"/>
    <w:rsid w:val="006419AA"/>
    <w:rsid w:val="00644B1F"/>
    <w:rsid w:val="00644B7E"/>
    <w:rsid w:val="006454E6"/>
    <w:rsid w:val="00646235"/>
    <w:rsid w:val="00646A68"/>
    <w:rsid w:val="00647CE0"/>
    <w:rsid w:val="006505BD"/>
    <w:rsid w:val="006508EA"/>
    <w:rsid w:val="0065092E"/>
    <w:rsid w:val="0065300D"/>
    <w:rsid w:val="006551B4"/>
    <w:rsid w:val="006557A7"/>
    <w:rsid w:val="00656290"/>
    <w:rsid w:val="006601C9"/>
    <w:rsid w:val="006608D8"/>
    <w:rsid w:val="006621D7"/>
    <w:rsid w:val="0066302A"/>
    <w:rsid w:val="0066547F"/>
    <w:rsid w:val="00667770"/>
    <w:rsid w:val="00670597"/>
    <w:rsid w:val="006706D0"/>
    <w:rsid w:val="00677574"/>
    <w:rsid w:val="00680824"/>
    <w:rsid w:val="006812ED"/>
    <w:rsid w:val="00683878"/>
    <w:rsid w:val="00684380"/>
    <w:rsid w:val="0068454C"/>
    <w:rsid w:val="00684B22"/>
    <w:rsid w:val="00691B28"/>
    <w:rsid w:val="00691B62"/>
    <w:rsid w:val="006933B5"/>
    <w:rsid w:val="00693D14"/>
    <w:rsid w:val="00694C1C"/>
    <w:rsid w:val="00695653"/>
    <w:rsid w:val="00696C48"/>
    <w:rsid w:val="00696F27"/>
    <w:rsid w:val="006A18C2"/>
    <w:rsid w:val="006A223B"/>
    <w:rsid w:val="006A3383"/>
    <w:rsid w:val="006B077C"/>
    <w:rsid w:val="006B4DBF"/>
    <w:rsid w:val="006B6803"/>
    <w:rsid w:val="006C14DD"/>
    <w:rsid w:val="006C4A86"/>
    <w:rsid w:val="006C768B"/>
    <w:rsid w:val="006C7EC2"/>
    <w:rsid w:val="006D0F16"/>
    <w:rsid w:val="006D2A3F"/>
    <w:rsid w:val="006D2FBC"/>
    <w:rsid w:val="006D3026"/>
    <w:rsid w:val="006D5F63"/>
    <w:rsid w:val="006D6E34"/>
    <w:rsid w:val="006E138B"/>
    <w:rsid w:val="006E1867"/>
    <w:rsid w:val="006E6B91"/>
    <w:rsid w:val="006F0330"/>
    <w:rsid w:val="006F1FDC"/>
    <w:rsid w:val="006F6B8C"/>
    <w:rsid w:val="007013EF"/>
    <w:rsid w:val="007055BD"/>
    <w:rsid w:val="007061A0"/>
    <w:rsid w:val="00712C9B"/>
    <w:rsid w:val="00712E76"/>
    <w:rsid w:val="007173CA"/>
    <w:rsid w:val="00720B69"/>
    <w:rsid w:val="007216AA"/>
    <w:rsid w:val="00721AB5"/>
    <w:rsid w:val="00721CFB"/>
    <w:rsid w:val="00721DEF"/>
    <w:rsid w:val="00724A43"/>
    <w:rsid w:val="007252DE"/>
    <w:rsid w:val="007273AC"/>
    <w:rsid w:val="00731AD4"/>
    <w:rsid w:val="007346E4"/>
    <w:rsid w:val="00735564"/>
    <w:rsid w:val="00737724"/>
    <w:rsid w:val="00740F22"/>
    <w:rsid w:val="00741CF0"/>
    <w:rsid w:val="00741F1A"/>
    <w:rsid w:val="007447DA"/>
    <w:rsid w:val="007450F8"/>
    <w:rsid w:val="0074696E"/>
    <w:rsid w:val="00747388"/>
    <w:rsid w:val="00750135"/>
    <w:rsid w:val="00750EC2"/>
    <w:rsid w:val="00752B28"/>
    <w:rsid w:val="007536BC"/>
    <w:rsid w:val="007541A9"/>
    <w:rsid w:val="00754E36"/>
    <w:rsid w:val="00763139"/>
    <w:rsid w:val="0076335A"/>
    <w:rsid w:val="007668BE"/>
    <w:rsid w:val="00770F37"/>
    <w:rsid w:val="007711A0"/>
    <w:rsid w:val="00772D5E"/>
    <w:rsid w:val="0077463E"/>
    <w:rsid w:val="0077665E"/>
    <w:rsid w:val="00776928"/>
    <w:rsid w:val="00776D56"/>
    <w:rsid w:val="00776E0F"/>
    <w:rsid w:val="007774B1"/>
    <w:rsid w:val="00777BE1"/>
    <w:rsid w:val="00782222"/>
    <w:rsid w:val="007833D8"/>
    <w:rsid w:val="00785677"/>
    <w:rsid w:val="00786F16"/>
    <w:rsid w:val="00791BD7"/>
    <w:rsid w:val="007933F7"/>
    <w:rsid w:val="00794B6D"/>
    <w:rsid w:val="00796E20"/>
    <w:rsid w:val="00797C32"/>
    <w:rsid w:val="007A11E8"/>
    <w:rsid w:val="007B0914"/>
    <w:rsid w:val="007B1374"/>
    <w:rsid w:val="007B32E5"/>
    <w:rsid w:val="007B3DB9"/>
    <w:rsid w:val="007B589F"/>
    <w:rsid w:val="007B6186"/>
    <w:rsid w:val="007B73BC"/>
    <w:rsid w:val="007C074D"/>
    <w:rsid w:val="007C1838"/>
    <w:rsid w:val="007C20B9"/>
    <w:rsid w:val="007C210F"/>
    <w:rsid w:val="007C7301"/>
    <w:rsid w:val="007C7859"/>
    <w:rsid w:val="007C7976"/>
    <w:rsid w:val="007C7F28"/>
    <w:rsid w:val="007D1466"/>
    <w:rsid w:val="007D2183"/>
    <w:rsid w:val="007D2BDE"/>
    <w:rsid w:val="007D2FB6"/>
    <w:rsid w:val="007D49EB"/>
    <w:rsid w:val="007D5E1C"/>
    <w:rsid w:val="007E0DE2"/>
    <w:rsid w:val="007E246B"/>
    <w:rsid w:val="007E3667"/>
    <w:rsid w:val="007E3B98"/>
    <w:rsid w:val="007E417A"/>
    <w:rsid w:val="007F31B6"/>
    <w:rsid w:val="007F546C"/>
    <w:rsid w:val="007F625F"/>
    <w:rsid w:val="007F665E"/>
    <w:rsid w:val="007F794D"/>
    <w:rsid w:val="00800412"/>
    <w:rsid w:val="00801029"/>
    <w:rsid w:val="00801561"/>
    <w:rsid w:val="0080587B"/>
    <w:rsid w:val="00806468"/>
    <w:rsid w:val="008119CA"/>
    <w:rsid w:val="008130C4"/>
    <w:rsid w:val="008155F0"/>
    <w:rsid w:val="00816735"/>
    <w:rsid w:val="00817A64"/>
    <w:rsid w:val="00820141"/>
    <w:rsid w:val="00820E0C"/>
    <w:rsid w:val="008229A3"/>
    <w:rsid w:val="00823275"/>
    <w:rsid w:val="0082366F"/>
    <w:rsid w:val="00831C13"/>
    <w:rsid w:val="008338A2"/>
    <w:rsid w:val="00836FEB"/>
    <w:rsid w:val="00841AA9"/>
    <w:rsid w:val="008474FE"/>
    <w:rsid w:val="00853EE4"/>
    <w:rsid w:val="00855535"/>
    <w:rsid w:val="00857C5A"/>
    <w:rsid w:val="0086255E"/>
    <w:rsid w:val="008633F0"/>
    <w:rsid w:val="00867D9D"/>
    <w:rsid w:val="00870FE5"/>
    <w:rsid w:val="00872E0A"/>
    <w:rsid w:val="00873594"/>
    <w:rsid w:val="00875285"/>
    <w:rsid w:val="00884589"/>
    <w:rsid w:val="00884B62"/>
    <w:rsid w:val="0088529C"/>
    <w:rsid w:val="00886006"/>
    <w:rsid w:val="00887903"/>
    <w:rsid w:val="008879B4"/>
    <w:rsid w:val="0089270A"/>
    <w:rsid w:val="00893AF6"/>
    <w:rsid w:val="00894BC4"/>
    <w:rsid w:val="00896890"/>
    <w:rsid w:val="008A28A8"/>
    <w:rsid w:val="008A430F"/>
    <w:rsid w:val="008A5B32"/>
    <w:rsid w:val="008A702B"/>
    <w:rsid w:val="008B2029"/>
    <w:rsid w:val="008B2EE4"/>
    <w:rsid w:val="008B3821"/>
    <w:rsid w:val="008B3B12"/>
    <w:rsid w:val="008B41F5"/>
    <w:rsid w:val="008B47AF"/>
    <w:rsid w:val="008B4D3D"/>
    <w:rsid w:val="008B57C7"/>
    <w:rsid w:val="008C2F92"/>
    <w:rsid w:val="008C3546"/>
    <w:rsid w:val="008C4B22"/>
    <w:rsid w:val="008C589D"/>
    <w:rsid w:val="008C6D51"/>
    <w:rsid w:val="008D2846"/>
    <w:rsid w:val="008D4236"/>
    <w:rsid w:val="008D462F"/>
    <w:rsid w:val="008D6DCF"/>
    <w:rsid w:val="008D7600"/>
    <w:rsid w:val="008E13A9"/>
    <w:rsid w:val="008E23EC"/>
    <w:rsid w:val="008E4376"/>
    <w:rsid w:val="008E7A0A"/>
    <w:rsid w:val="008E7B49"/>
    <w:rsid w:val="008F59F6"/>
    <w:rsid w:val="00900719"/>
    <w:rsid w:val="009017AC"/>
    <w:rsid w:val="00902A9A"/>
    <w:rsid w:val="00903770"/>
    <w:rsid w:val="00903D7A"/>
    <w:rsid w:val="00904A1C"/>
    <w:rsid w:val="00905030"/>
    <w:rsid w:val="00906490"/>
    <w:rsid w:val="009111B2"/>
    <w:rsid w:val="009151F5"/>
    <w:rsid w:val="00924AE1"/>
    <w:rsid w:val="009269B1"/>
    <w:rsid w:val="0092724D"/>
    <w:rsid w:val="009272B3"/>
    <w:rsid w:val="009314AB"/>
    <w:rsid w:val="009315BE"/>
    <w:rsid w:val="009326DD"/>
    <w:rsid w:val="0093292A"/>
    <w:rsid w:val="0093338F"/>
    <w:rsid w:val="009344BD"/>
    <w:rsid w:val="00937BD9"/>
    <w:rsid w:val="009401FB"/>
    <w:rsid w:val="00943E22"/>
    <w:rsid w:val="00950E2C"/>
    <w:rsid w:val="00951D50"/>
    <w:rsid w:val="009525EB"/>
    <w:rsid w:val="00953474"/>
    <w:rsid w:val="0095470B"/>
    <w:rsid w:val="00954874"/>
    <w:rsid w:val="0095615A"/>
    <w:rsid w:val="00961400"/>
    <w:rsid w:val="00963646"/>
    <w:rsid w:val="00966113"/>
    <w:rsid w:val="0096632D"/>
    <w:rsid w:val="00967124"/>
    <w:rsid w:val="0096766F"/>
    <w:rsid w:val="00971400"/>
    <w:rsid w:val="0097166C"/>
    <w:rsid w:val="009718C7"/>
    <w:rsid w:val="0097559F"/>
    <w:rsid w:val="009761EA"/>
    <w:rsid w:val="0097761E"/>
    <w:rsid w:val="009811EB"/>
    <w:rsid w:val="00982454"/>
    <w:rsid w:val="00982CF0"/>
    <w:rsid w:val="009853E1"/>
    <w:rsid w:val="00986E6B"/>
    <w:rsid w:val="00990032"/>
    <w:rsid w:val="00990B19"/>
    <w:rsid w:val="00991399"/>
    <w:rsid w:val="0099153B"/>
    <w:rsid w:val="0099156B"/>
    <w:rsid w:val="00991769"/>
    <w:rsid w:val="0099232C"/>
    <w:rsid w:val="0099245C"/>
    <w:rsid w:val="00994386"/>
    <w:rsid w:val="009959AC"/>
    <w:rsid w:val="009A0E86"/>
    <w:rsid w:val="009A13D8"/>
    <w:rsid w:val="009A279E"/>
    <w:rsid w:val="009A3015"/>
    <w:rsid w:val="009A3490"/>
    <w:rsid w:val="009A7427"/>
    <w:rsid w:val="009B00F1"/>
    <w:rsid w:val="009B0A6F"/>
    <w:rsid w:val="009B0A94"/>
    <w:rsid w:val="009B0C62"/>
    <w:rsid w:val="009B2009"/>
    <w:rsid w:val="009B2AE8"/>
    <w:rsid w:val="009B349C"/>
    <w:rsid w:val="009B5622"/>
    <w:rsid w:val="009B59E9"/>
    <w:rsid w:val="009B6A97"/>
    <w:rsid w:val="009B70AA"/>
    <w:rsid w:val="009C245E"/>
    <w:rsid w:val="009C5932"/>
    <w:rsid w:val="009C5E77"/>
    <w:rsid w:val="009C7A7E"/>
    <w:rsid w:val="009D02E8"/>
    <w:rsid w:val="009D18A0"/>
    <w:rsid w:val="009D51D0"/>
    <w:rsid w:val="009D70A4"/>
    <w:rsid w:val="009D7B14"/>
    <w:rsid w:val="009E08D1"/>
    <w:rsid w:val="009E0D96"/>
    <w:rsid w:val="009E1B95"/>
    <w:rsid w:val="009E4420"/>
    <w:rsid w:val="009E496F"/>
    <w:rsid w:val="009E4B0D"/>
    <w:rsid w:val="009E5250"/>
    <w:rsid w:val="009E7A69"/>
    <w:rsid w:val="009E7F92"/>
    <w:rsid w:val="009F02A3"/>
    <w:rsid w:val="009F0572"/>
    <w:rsid w:val="009F2182"/>
    <w:rsid w:val="009F2F27"/>
    <w:rsid w:val="009F34AA"/>
    <w:rsid w:val="009F5EE4"/>
    <w:rsid w:val="009F60EF"/>
    <w:rsid w:val="009F6BCB"/>
    <w:rsid w:val="009F7B78"/>
    <w:rsid w:val="00A0057A"/>
    <w:rsid w:val="00A02FA1"/>
    <w:rsid w:val="00A04CCE"/>
    <w:rsid w:val="00A06377"/>
    <w:rsid w:val="00A07421"/>
    <w:rsid w:val="00A0776B"/>
    <w:rsid w:val="00A10D9F"/>
    <w:rsid w:val="00A10FB9"/>
    <w:rsid w:val="00A11421"/>
    <w:rsid w:val="00A1381F"/>
    <w:rsid w:val="00A1389F"/>
    <w:rsid w:val="00A157B1"/>
    <w:rsid w:val="00A218A8"/>
    <w:rsid w:val="00A22229"/>
    <w:rsid w:val="00A2376A"/>
    <w:rsid w:val="00A24442"/>
    <w:rsid w:val="00A24ADA"/>
    <w:rsid w:val="00A2551C"/>
    <w:rsid w:val="00A32577"/>
    <w:rsid w:val="00A32E01"/>
    <w:rsid w:val="00A330BB"/>
    <w:rsid w:val="00A41AF4"/>
    <w:rsid w:val="00A446F5"/>
    <w:rsid w:val="00A44882"/>
    <w:rsid w:val="00A45125"/>
    <w:rsid w:val="00A54715"/>
    <w:rsid w:val="00A55EE7"/>
    <w:rsid w:val="00A6061C"/>
    <w:rsid w:val="00A60E92"/>
    <w:rsid w:val="00A62D44"/>
    <w:rsid w:val="00A67263"/>
    <w:rsid w:val="00A7161C"/>
    <w:rsid w:val="00A71CE4"/>
    <w:rsid w:val="00A77AA3"/>
    <w:rsid w:val="00A80DDC"/>
    <w:rsid w:val="00A8236D"/>
    <w:rsid w:val="00A8333C"/>
    <w:rsid w:val="00A854EB"/>
    <w:rsid w:val="00A872E5"/>
    <w:rsid w:val="00A91406"/>
    <w:rsid w:val="00A924EE"/>
    <w:rsid w:val="00A92F16"/>
    <w:rsid w:val="00A94F26"/>
    <w:rsid w:val="00A96A83"/>
    <w:rsid w:val="00A96E65"/>
    <w:rsid w:val="00A96ECE"/>
    <w:rsid w:val="00A97C72"/>
    <w:rsid w:val="00AA310B"/>
    <w:rsid w:val="00AA5EE5"/>
    <w:rsid w:val="00AA63D4"/>
    <w:rsid w:val="00AB06E8"/>
    <w:rsid w:val="00AB1CD3"/>
    <w:rsid w:val="00AB3100"/>
    <w:rsid w:val="00AB352F"/>
    <w:rsid w:val="00AC2020"/>
    <w:rsid w:val="00AC2057"/>
    <w:rsid w:val="00AC274B"/>
    <w:rsid w:val="00AC4764"/>
    <w:rsid w:val="00AC6D36"/>
    <w:rsid w:val="00AC752D"/>
    <w:rsid w:val="00AD0CBA"/>
    <w:rsid w:val="00AD26E2"/>
    <w:rsid w:val="00AD70F9"/>
    <w:rsid w:val="00AD784C"/>
    <w:rsid w:val="00AE126A"/>
    <w:rsid w:val="00AE1BAE"/>
    <w:rsid w:val="00AE3005"/>
    <w:rsid w:val="00AE3BD5"/>
    <w:rsid w:val="00AE59A0"/>
    <w:rsid w:val="00AF0C57"/>
    <w:rsid w:val="00AF26F3"/>
    <w:rsid w:val="00AF5F04"/>
    <w:rsid w:val="00B00672"/>
    <w:rsid w:val="00B01B4D"/>
    <w:rsid w:val="00B03975"/>
    <w:rsid w:val="00B04489"/>
    <w:rsid w:val="00B04AB8"/>
    <w:rsid w:val="00B06571"/>
    <w:rsid w:val="00B068BA"/>
    <w:rsid w:val="00B07217"/>
    <w:rsid w:val="00B11BA4"/>
    <w:rsid w:val="00B13851"/>
    <w:rsid w:val="00B13B1C"/>
    <w:rsid w:val="00B1482A"/>
    <w:rsid w:val="00B14B5F"/>
    <w:rsid w:val="00B20EAA"/>
    <w:rsid w:val="00B21F90"/>
    <w:rsid w:val="00B22291"/>
    <w:rsid w:val="00B23F9A"/>
    <w:rsid w:val="00B2417B"/>
    <w:rsid w:val="00B24E6F"/>
    <w:rsid w:val="00B26CB5"/>
    <w:rsid w:val="00B2752E"/>
    <w:rsid w:val="00B307CC"/>
    <w:rsid w:val="00B326B7"/>
    <w:rsid w:val="00B3588E"/>
    <w:rsid w:val="00B4198F"/>
    <w:rsid w:val="00B41F3D"/>
    <w:rsid w:val="00B42546"/>
    <w:rsid w:val="00B431E8"/>
    <w:rsid w:val="00B45141"/>
    <w:rsid w:val="00B468C6"/>
    <w:rsid w:val="00B47768"/>
    <w:rsid w:val="00B519CD"/>
    <w:rsid w:val="00B5273A"/>
    <w:rsid w:val="00B57329"/>
    <w:rsid w:val="00B60E61"/>
    <w:rsid w:val="00B62B50"/>
    <w:rsid w:val="00B635B7"/>
    <w:rsid w:val="00B63AE8"/>
    <w:rsid w:val="00B65950"/>
    <w:rsid w:val="00B65C7C"/>
    <w:rsid w:val="00B66D83"/>
    <w:rsid w:val="00B672C0"/>
    <w:rsid w:val="00B676FD"/>
    <w:rsid w:val="00B678B6"/>
    <w:rsid w:val="00B72E24"/>
    <w:rsid w:val="00B74B96"/>
    <w:rsid w:val="00B75646"/>
    <w:rsid w:val="00B7629E"/>
    <w:rsid w:val="00B90729"/>
    <w:rsid w:val="00B907DA"/>
    <w:rsid w:val="00B9086F"/>
    <w:rsid w:val="00B94C5E"/>
    <w:rsid w:val="00B950BC"/>
    <w:rsid w:val="00B9714C"/>
    <w:rsid w:val="00BA24FD"/>
    <w:rsid w:val="00BA29AD"/>
    <w:rsid w:val="00BA33CF"/>
    <w:rsid w:val="00BA3F8D"/>
    <w:rsid w:val="00BA4589"/>
    <w:rsid w:val="00BB132C"/>
    <w:rsid w:val="00BB1F4D"/>
    <w:rsid w:val="00BB314C"/>
    <w:rsid w:val="00BB60D1"/>
    <w:rsid w:val="00BB7A10"/>
    <w:rsid w:val="00BC0CE3"/>
    <w:rsid w:val="00BC27CE"/>
    <w:rsid w:val="00BC60BE"/>
    <w:rsid w:val="00BC7468"/>
    <w:rsid w:val="00BC7D4F"/>
    <w:rsid w:val="00BC7ED7"/>
    <w:rsid w:val="00BD1F84"/>
    <w:rsid w:val="00BD2850"/>
    <w:rsid w:val="00BD5056"/>
    <w:rsid w:val="00BE28D2"/>
    <w:rsid w:val="00BE30A6"/>
    <w:rsid w:val="00BE352C"/>
    <w:rsid w:val="00BE4A64"/>
    <w:rsid w:val="00BE5E43"/>
    <w:rsid w:val="00BF557D"/>
    <w:rsid w:val="00BF658D"/>
    <w:rsid w:val="00BF7F58"/>
    <w:rsid w:val="00C01381"/>
    <w:rsid w:val="00C01AB1"/>
    <w:rsid w:val="00C026A0"/>
    <w:rsid w:val="00C06137"/>
    <w:rsid w:val="00C06440"/>
    <w:rsid w:val="00C06929"/>
    <w:rsid w:val="00C06A0A"/>
    <w:rsid w:val="00C079B8"/>
    <w:rsid w:val="00C10037"/>
    <w:rsid w:val="00C115E1"/>
    <w:rsid w:val="00C123EA"/>
    <w:rsid w:val="00C12A49"/>
    <w:rsid w:val="00C133EE"/>
    <w:rsid w:val="00C145BD"/>
    <w:rsid w:val="00C149D0"/>
    <w:rsid w:val="00C26588"/>
    <w:rsid w:val="00C27DE9"/>
    <w:rsid w:val="00C32103"/>
    <w:rsid w:val="00C32989"/>
    <w:rsid w:val="00C33388"/>
    <w:rsid w:val="00C35484"/>
    <w:rsid w:val="00C37EAA"/>
    <w:rsid w:val="00C4173A"/>
    <w:rsid w:val="00C50428"/>
    <w:rsid w:val="00C50DED"/>
    <w:rsid w:val="00C51602"/>
    <w:rsid w:val="00C52217"/>
    <w:rsid w:val="00C566EC"/>
    <w:rsid w:val="00C602FF"/>
    <w:rsid w:val="00C60411"/>
    <w:rsid w:val="00C61174"/>
    <w:rsid w:val="00C6148F"/>
    <w:rsid w:val="00C621B1"/>
    <w:rsid w:val="00C62F7A"/>
    <w:rsid w:val="00C63B9C"/>
    <w:rsid w:val="00C63BDD"/>
    <w:rsid w:val="00C6682F"/>
    <w:rsid w:val="00C67BF4"/>
    <w:rsid w:val="00C7275E"/>
    <w:rsid w:val="00C727B4"/>
    <w:rsid w:val="00C731AF"/>
    <w:rsid w:val="00C74C5D"/>
    <w:rsid w:val="00C863C4"/>
    <w:rsid w:val="00C90DAB"/>
    <w:rsid w:val="00C920EA"/>
    <w:rsid w:val="00C93977"/>
    <w:rsid w:val="00C93C3E"/>
    <w:rsid w:val="00CA12E3"/>
    <w:rsid w:val="00CA1476"/>
    <w:rsid w:val="00CA5521"/>
    <w:rsid w:val="00CA6611"/>
    <w:rsid w:val="00CA6AE6"/>
    <w:rsid w:val="00CA782F"/>
    <w:rsid w:val="00CB187B"/>
    <w:rsid w:val="00CB2835"/>
    <w:rsid w:val="00CB3285"/>
    <w:rsid w:val="00CB4500"/>
    <w:rsid w:val="00CC0C72"/>
    <w:rsid w:val="00CC2BFD"/>
    <w:rsid w:val="00CC6F40"/>
    <w:rsid w:val="00CD3476"/>
    <w:rsid w:val="00CD64DF"/>
    <w:rsid w:val="00CE0362"/>
    <w:rsid w:val="00CE225F"/>
    <w:rsid w:val="00CF2BA8"/>
    <w:rsid w:val="00CF2F50"/>
    <w:rsid w:val="00CF6198"/>
    <w:rsid w:val="00D0021D"/>
    <w:rsid w:val="00D0135D"/>
    <w:rsid w:val="00D01EFE"/>
    <w:rsid w:val="00D02919"/>
    <w:rsid w:val="00D04C61"/>
    <w:rsid w:val="00D04D6E"/>
    <w:rsid w:val="00D05B8D"/>
    <w:rsid w:val="00D05B9B"/>
    <w:rsid w:val="00D065A2"/>
    <w:rsid w:val="00D079AA"/>
    <w:rsid w:val="00D07F00"/>
    <w:rsid w:val="00D1130F"/>
    <w:rsid w:val="00D16E93"/>
    <w:rsid w:val="00D17B72"/>
    <w:rsid w:val="00D30CC9"/>
    <w:rsid w:val="00D3185C"/>
    <w:rsid w:val="00D3205F"/>
    <w:rsid w:val="00D32FD4"/>
    <w:rsid w:val="00D330B0"/>
    <w:rsid w:val="00D3318E"/>
    <w:rsid w:val="00D338BB"/>
    <w:rsid w:val="00D33E72"/>
    <w:rsid w:val="00D35BD6"/>
    <w:rsid w:val="00D361B5"/>
    <w:rsid w:val="00D411A2"/>
    <w:rsid w:val="00D4366A"/>
    <w:rsid w:val="00D4606D"/>
    <w:rsid w:val="00D50A7E"/>
    <w:rsid w:val="00D50B9C"/>
    <w:rsid w:val="00D513AF"/>
    <w:rsid w:val="00D52D73"/>
    <w:rsid w:val="00D52E58"/>
    <w:rsid w:val="00D54A9C"/>
    <w:rsid w:val="00D56B20"/>
    <w:rsid w:val="00D578B3"/>
    <w:rsid w:val="00D618F4"/>
    <w:rsid w:val="00D63636"/>
    <w:rsid w:val="00D714CC"/>
    <w:rsid w:val="00D72359"/>
    <w:rsid w:val="00D75EA7"/>
    <w:rsid w:val="00D81ADF"/>
    <w:rsid w:val="00D81F21"/>
    <w:rsid w:val="00D8351C"/>
    <w:rsid w:val="00D864F2"/>
    <w:rsid w:val="00D943F8"/>
    <w:rsid w:val="00D95470"/>
    <w:rsid w:val="00D96B55"/>
    <w:rsid w:val="00D96E72"/>
    <w:rsid w:val="00DA1FE5"/>
    <w:rsid w:val="00DA2619"/>
    <w:rsid w:val="00DA2EB7"/>
    <w:rsid w:val="00DA4239"/>
    <w:rsid w:val="00DA588C"/>
    <w:rsid w:val="00DA65DE"/>
    <w:rsid w:val="00DA777F"/>
    <w:rsid w:val="00DB0B61"/>
    <w:rsid w:val="00DB1474"/>
    <w:rsid w:val="00DB2962"/>
    <w:rsid w:val="00DB52FB"/>
    <w:rsid w:val="00DB5328"/>
    <w:rsid w:val="00DC013B"/>
    <w:rsid w:val="00DC090B"/>
    <w:rsid w:val="00DC1024"/>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D6A72"/>
    <w:rsid w:val="00DE2D04"/>
    <w:rsid w:val="00DE3250"/>
    <w:rsid w:val="00DE6028"/>
    <w:rsid w:val="00DE6C85"/>
    <w:rsid w:val="00DE78A3"/>
    <w:rsid w:val="00DF1292"/>
    <w:rsid w:val="00DF1A71"/>
    <w:rsid w:val="00DF50FC"/>
    <w:rsid w:val="00DF68C7"/>
    <w:rsid w:val="00DF731A"/>
    <w:rsid w:val="00E02FEC"/>
    <w:rsid w:val="00E06B75"/>
    <w:rsid w:val="00E11332"/>
    <w:rsid w:val="00E11352"/>
    <w:rsid w:val="00E170DC"/>
    <w:rsid w:val="00E17546"/>
    <w:rsid w:val="00E210B5"/>
    <w:rsid w:val="00E261B3"/>
    <w:rsid w:val="00E26818"/>
    <w:rsid w:val="00E27676"/>
    <w:rsid w:val="00E27FFC"/>
    <w:rsid w:val="00E30B15"/>
    <w:rsid w:val="00E33237"/>
    <w:rsid w:val="00E40181"/>
    <w:rsid w:val="00E4785E"/>
    <w:rsid w:val="00E54950"/>
    <w:rsid w:val="00E55FB3"/>
    <w:rsid w:val="00E56A01"/>
    <w:rsid w:val="00E57DE9"/>
    <w:rsid w:val="00E61773"/>
    <w:rsid w:val="00E629A1"/>
    <w:rsid w:val="00E6794C"/>
    <w:rsid w:val="00E71591"/>
    <w:rsid w:val="00E71CEB"/>
    <w:rsid w:val="00E7474F"/>
    <w:rsid w:val="00E80DE3"/>
    <w:rsid w:val="00E82C55"/>
    <w:rsid w:val="00E8787E"/>
    <w:rsid w:val="00E91719"/>
    <w:rsid w:val="00E92A32"/>
    <w:rsid w:val="00E92AC3"/>
    <w:rsid w:val="00E96F4E"/>
    <w:rsid w:val="00EA02C1"/>
    <w:rsid w:val="00EA2F6A"/>
    <w:rsid w:val="00EA759B"/>
    <w:rsid w:val="00EB00E0"/>
    <w:rsid w:val="00EB05D5"/>
    <w:rsid w:val="00EB3200"/>
    <w:rsid w:val="00EB3CFC"/>
    <w:rsid w:val="00EB4BC7"/>
    <w:rsid w:val="00EB7BEF"/>
    <w:rsid w:val="00EC059F"/>
    <w:rsid w:val="00EC1267"/>
    <w:rsid w:val="00EC139D"/>
    <w:rsid w:val="00EC1EC0"/>
    <w:rsid w:val="00EC1F24"/>
    <w:rsid w:val="00EC22F6"/>
    <w:rsid w:val="00EC3DB9"/>
    <w:rsid w:val="00EC520E"/>
    <w:rsid w:val="00ED3DAD"/>
    <w:rsid w:val="00ED5A8E"/>
    <w:rsid w:val="00ED5B9B"/>
    <w:rsid w:val="00ED6BAD"/>
    <w:rsid w:val="00ED7447"/>
    <w:rsid w:val="00ED7762"/>
    <w:rsid w:val="00EE00D6"/>
    <w:rsid w:val="00EE11E7"/>
    <w:rsid w:val="00EE1488"/>
    <w:rsid w:val="00EE1A7C"/>
    <w:rsid w:val="00EE29AD"/>
    <w:rsid w:val="00EE3E24"/>
    <w:rsid w:val="00EE4D5D"/>
    <w:rsid w:val="00EE5131"/>
    <w:rsid w:val="00EF109B"/>
    <w:rsid w:val="00EF201C"/>
    <w:rsid w:val="00EF2C72"/>
    <w:rsid w:val="00EF36AF"/>
    <w:rsid w:val="00EF59A3"/>
    <w:rsid w:val="00EF6675"/>
    <w:rsid w:val="00F0063D"/>
    <w:rsid w:val="00F00F9C"/>
    <w:rsid w:val="00F01DFB"/>
    <w:rsid w:val="00F01E5F"/>
    <w:rsid w:val="00F024F3"/>
    <w:rsid w:val="00F02ABA"/>
    <w:rsid w:val="00F0437A"/>
    <w:rsid w:val="00F101B8"/>
    <w:rsid w:val="00F11037"/>
    <w:rsid w:val="00F112EF"/>
    <w:rsid w:val="00F16F1B"/>
    <w:rsid w:val="00F213EC"/>
    <w:rsid w:val="00F23E33"/>
    <w:rsid w:val="00F250A9"/>
    <w:rsid w:val="00F267AF"/>
    <w:rsid w:val="00F27AD3"/>
    <w:rsid w:val="00F30FF4"/>
    <w:rsid w:val="00F3122E"/>
    <w:rsid w:val="00F32368"/>
    <w:rsid w:val="00F331AD"/>
    <w:rsid w:val="00F35287"/>
    <w:rsid w:val="00F37AD9"/>
    <w:rsid w:val="00F40A70"/>
    <w:rsid w:val="00F41E5C"/>
    <w:rsid w:val="00F43A37"/>
    <w:rsid w:val="00F4641B"/>
    <w:rsid w:val="00F46EB8"/>
    <w:rsid w:val="00F4749E"/>
    <w:rsid w:val="00F4773C"/>
    <w:rsid w:val="00F50CD1"/>
    <w:rsid w:val="00F511E4"/>
    <w:rsid w:val="00F52D09"/>
    <w:rsid w:val="00F52E08"/>
    <w:rsid w:val="00F53A66"/>
    <w:rsid w:val="00F5462D"/>
    <w:rsid w:val="00F549AB"/>
    <w:rsid w:val="00F55B21"/>
    <w:rsid w:val="00F56EF6"/>
    <w:rsid w:val="00F57F31"/>
    <w:rsid w:val="00F60082"/>
    <w:rsid w:val="00F61A9F"/>
    <w:rsid w:val="00F61B5F"/>
    <w:rsid w:val="00F6219A"/>
    <w:rsid w:val="00F64696"/>
    <w:rsid w:val="00F65AA9"/>
    <w:rsid w:val="00F6768F"/>
    <w:rsid w:val="00F70EA0"/>
    <w:rsid w:val="00F72C2C"/>
    <w:rsid w:val="00F741F2"/>
    <w:rsid w:val="00F76049"/>
    <w:rsid w:val="00F76CAB"/>
    <w:rsid w:val="00F772C6"/>
    <w:rsid w:val="00F815B5"/>
    <w:rsid w:val="00F8336D"/>
    <w:rsid w:val="00F83B81"/>
    <w:rsid w:val="00F84749"/>
    <w:rsid w:val="00F85195"/>
    <w:rsid w:val="00F868E3"/>
    <w:rsid w:val="00F86ED4"/>
    <w:rsid w:val="00F90333"/>
    <w:rsid w:val="00F938BA"/>
    <w:rsid w:val="00F97919"/>
    <w:rsid w:val="00FA2C46"/>
    <w:rsid w:val="00FA3525"/>
    <w:rsid w:val="00FA5A53"/>
    <w:rsid w:val="00FB1F6E"/>
    <w:rsid w:val="00FB228D"/>
    <w:rsid w:val="00FB4769"/>
    <w:rsid w:val="00FB4CDA"/>
    <w:rsid w:val="00FB6481"/>
    <w:rsid w:val="00FB6D36"/>
    <w:rsid w:val="00FC0965"/>
    <w:rsid w:val="00FC0F81"/>
    <w:rsid w:val="00FC252F"/>
    <w:rsid w:val="00FC395C"/>
    <w:rsid w:val="00FC5E8E"/>
    <w:rsid w:val="00FC6A5D"/>
    <w:rsid w:val="00FD3557"/>
    <w:rsid w:val="00FD3766"/>
    <w:rsid w:val="00FD3D05"/>
    <w:rsid w:val="00FD47C4"/>
    <w:rsid w:val="00FD73DE"/>
    <w:rsid w:val="00FE1CDF"/>
    <w:rsid w:val="00FE2DCF"/>
    <w:rsid w:val="00FE3FA7"/>
    <w:rsid w:val="00FE4081"/>
    <w:rsid w:val="00FF2A4E"/>
    <w:rsid w:val="00FF2FCE"/>
    <w:rsid w:val="00FF3048"/>
    <w:rsid w:val="00FF4F7D"/>
    <w:rsid w:val="00FF5C69"/>
    <w:rsid w:val="00FF6D9D"/>
    <w:rsid w:val="00FF6DBA"/>
    <w:rsid w:val="00FF7620"/>
    <w:rsid w:val="00FF7DD5"/>
    <w:rsid w:val="017EB9CB"/>
    <w:rsid w:val="01ED7C76"/>
    <w:rsid w:val="0305B7ED"/>
    <w:rsid w:val="037D3C04"/>
    <w:rsid w:val="038926FC"/>
    <w:rsid w:val="03C5F199"/>
    <w:rsid w:val="040C53E6"/>
    <w:rsid w:val="0470CC26"/>
    <w:rsid w:val="050C8C53"/>
    <w:rsid w:val="052A1566"/>
    <w:rsid w:val="06136267"/>
    <w:rsid w:val="06A49E0E"/>
    <w:rsid w:val="06E7371D"/>
    <w:rsid w:val="073753D0"/>
    <w:rsid w:val="083ABE03"/>
    <w:rsid w:val="08492543"/>
    <w:rsid w:val="08B7283D"/>
    <w:rsid w:val="08EBA30B"/>
    <w:rsid w:val="0972AD9C"/>
    <w:rsid w:val="09D713D1"/>
    <w:rsid w:val="0A6D1D1A"/>
    <w:rsid w:val="0B9DE976"/>
    <w:rsid w:val="0CC49E38"/>
    <w:rsid w:val="0E1878B5"/>
    <w:rsid w:val="0E672297"/>
    <w:rsid w:val="0E75FF8E"/>
    <w:rsid w:val="0E77614F"/>
    <w:rsid w:val="0E9E751C"/>
    <w:rsid w:val="0EA1E862"/>
    <w:rsid w:val="0F1A9332"/>
    <w:rsid w:val="0FE3E859"/>
    <w:rsid w:val="1065D6A6"/>
    <w:rsid w:val="1094CD61"/>
    <w:rsid w:val="10EC6AC5"/>
    <w:rsid w:val="10F61D78"/>
    <w:rsid w:val="11561022"/>
    <w:rsid w:val="115934F2"/>
    <w:rsid w:val="116973AA"/>
    <w:rsid w:val="119C00D2"/>
    <w:rsid w:val="12BC8E76"/>
    <w:rsid w:val="12BEFD66"/>
    <w:rsid w:val="12EE14E7"/>
    <w:rsid w:val="1311F6EE"/>
    <w:rsid w:val="1341E8CD"/>
    <w:rsid w:val="138AA8FA"/>
    <w:rsid w:val="1406505E"/>
    <w:rsid w:val="15AEA0D1"/>
    <w:rsid w:val="15F397C0"/>
    <w:rsid w:val="161D637C"/>
    <w:rsid w:val="161F29E4"/>
    <w:rsid w:val="16478775"/>
    <w:rsid w:val="165982D1"/>
    <w:rsid w:val="16DF0886"/>
    <w:rsid w:val="16F3D02D"/>
    <w:rsid w:val="173470FE"/>
    <w:rsid w:val="1765C49E"/>
    <w:rsid w:val="18A1B046"/>
    <w:rsid w:val="18E6A735"/>
    <w:rsid w:val="1915057D"/>
    <w:rsid w:val="193C7359"/>
    <w:rsid w:val="194B952C"/>
    <w:rsid w:val="1A27B4A7"/>
    <w:rsid w:val="1A6D8491"/>
    <w:rsid w:val="1ADBDB22"/>
    <w:rsid w:val="1AE3DA4C"/>
    <w:rsid w:val="1B256C10"/>
    <w:rsid w:val="1BAF7AB4"/>
    <w:rsid w:val="1BB24A31"/>
    <w:rsid w:val="1BE6CD39"/>
    <w:rsid w:val="1C6DCD32"/>
    <w:rsid w:val="1CC7B62B"/>
    <w:rsid w:val="1CD7F4E3"/>
    <w:rsid w:val="1E6E7565"/>
    <w:rsid w:val="1E879DC2"/>
    <w:rsid w:val="1EF560F5"/>
    <w:rsid w:val="1F396DD0"/>
    <w:rsid w:val="204C4C72"/>
    <w:rsid w:val="2085B8F6"/>
    <w:rsid w:val="208A40EA"/>
    <w:rsid w:val="217190C1"/>
    <w:rsid w:val="2365BB99"/>
    <w:rsid w:val="2392B91B"/>
    <w:rsid w:val="2425F545"/>
    <w:rsid w:val="247FBD78"/>
    <w:rsid w:val="24F313AA"/>
    <w:rsid w:val="255463C1"/>
    <w:rsid w:val="263D12FB"/>
    <w:rsid w:val="2672F927"/>
    <w:rsid w:val="26778F0C"/>
    <w:rsid w:val="269E8B4B"/>
    <w:rsid w:val="271807A0"/>
    <w:rsid w:val="273A6720"/>
    <w:rsid w:val="27A5BEBC"/>
    <w:rsid w:val="28C64C60"/>
    <w:rsid w:val="29F6B415"/>
    <w:rsid w:val="2AA29234"/>
    <w:rsid w:val="2CFC2C56"/>
    <w:rsid w:val="2D39DB28"/>
    <w:rsid w:val="2D94A48F"/>
    <w:rsid w:val="2D9A0164"/>
    <w:rsid w:val="2F73D848"/>
    <w:rsid w:val="2FD1BD50"/>
    <w:rsid w:val="3016B43F"/>
    <w:rsid w:val="3058BD49"/>
    <w:rsid w:val="312F29FA"/>
    <w:rsid w:val="326DC61E"/>
    <w:rsid w:val="32AEFE67"/>
    <w:rsid w:val="33143FF5"/>
    <w:rsid w:val="33245DE7"/>
    <w:rsid w:val="33FFB048"/>
    <w:rsid w:val="34605FBD"/>
    <w:rsid w:val="34BB89B1"/>
    <w:rsid w:val="34EE16D9"/>
    <w:rsid w:val="3693FED4"/>
    <w:rsid w:val="36DCBF01"/>
    <w:rsid w:val="37527218"/>
    <w:rsid w:val="37586665"/>
    <w:rsid w:val="382FE140"/>
    <w:rsid w:val="38A82EA5"/>
    <w:rsid w:val="3945ADC7"/>
    <w:rsid w:val="3A5AB778"/>
    <w:rsid w:val="3A5C262F"/>
    <w:rsid w:val="3B02F7B7"/>
    <w:rsid w:val="3B078B3E"/>
    <w:rsid w:val="3B275070"/>
    <w:rsid w:val="3BB13E4E"/>
    <w:rsid w:val="3D37F88F"/>
    <w:rsid w:val="3DDC4757"/>
    <w:rsid w:val="3E1D7FA0"/>
    <w:rsid w:val="3E778217"/>
    <w:rsid w:val="3F7AEC4A"/>
    <w:rsid w:val="405D9B59"/>
    <w:rsid w:val="40BEB272"/>
    <w:rsid w:val="41A8B7DA"/>
    <w:rsid w:val="42AD8D6B"/>
    <w:rsid w:val="42F118FC"/>
    <w:rsid w:val="43C8F10B"/>
    <w:rsid w:val="44214DE0"/>
    <w:rsid w:val="44C43E40"/>
    <w:rsid w:val="45F71287"/>
    <w:rsid w:val="46265BDE"/>
    <w:rsid w:val="46B7D1A0"/>
    <w:rsid w:val="46E4CF22"/>
    <w:rsid w:val="47A30F95"/>
    <w:rsid w:val="47A8269E"/>
    <w:rsid w:val="47D1D37F"/>
    <w:rsid w:val="48A42DF3"/>
    <w:rsid w:val="497E8706"/>
    <w:rsid w:val="49F0A152"/>
    <w:rsid w:val="4A6A1DA7"/>
    <w:rsid w:val="4B82591E"/>
    <w:rsid w:val="4BABCD29"/>
    <w:rsid w:val="4D137A6D"/>
    <w:rsid w:val="4DF4A83B"/>
    <w:rsid w:val="4EDEEA11"/>
    <w:rsid w:val="4F3BFB33"/>
    <w:rsid w:val="4F79376D"/>
    <w:rsid w:val="50DA366A"/>
    <w:rsid w:val="50E44BA6"/>
    <w:rsid w:val="51114928"/>
    <w:rsid w:val="511FEDC6"/>
    <w:rsid w:val="51D0FC6C"/>
    <w:rsid w:val="52BE228A"/>
    <w:rsid w:val="52D0C8BF"/>
    <w:rsid w:val="532B8374"/>
    <w:rsid w:val="533177C1"/>
    <w:rsid w:val="54C139AD"/>
    <w:rsid w:val="55885A12"/>
    <w:rsid w:val="56F23C18"/>
    <w:rsid w:val="57373307"/>
    <w:rsid w:val="58402CE0"/>
    <w:rsid w:val="59586857"/>
    <w:rsid w:val="59888E02"/>
    <w:rsid w:val="5AA0C979"/>
    <w:rsid w:val="5B70899F"/>
    <w:rsid w:val="5C031C46"/>
    <w:rsid w:val="5CC18F8A"/>
    <w:rsid w:val="5DACCD7F"/>
    <w:rsid w:val="5DDAA755"/>
    <w:rsid w:val="5E59A145"/>
    <w:rsid w:val="606C2B74"/>
    <w:rsid w:val="60786F18"/>
    <w:rsid w:val="612E5D5E"/>
    <w:rsid w:val="614BB3A0"/>
    <w:rsid w:val="616F95A7"/>
    <w:rsid w:val="618D78C9"/>
    <w:rsid w:val="61A53F65"/>
    <w:rsid w:val="61BA764B"/>
    <w:rsid w:val="628244D1"/>
    <w:rsid w:val="62CD0251"/>
    <w:rsid w:val="63E82BAD"/>
    <w:rsid w:val="63FE6625"/>
    <w:rsid w:val="652C5EEA"/>
    <w:rsid w:val="65DD99DE"/>
    <w:rsid w:val="65EC21AF"/>
    <w:rsid w:val="666E334C"/>
    <w:rsid w:val="66E7E272"/>
    <w:rsid w:val="6711EB97"/>
    <w:rsid w:val="671B0712"/>
    <w:rsid w:val="675CCC3B"/>
    <w:rsid w:val="681555CA"/>
    <w:rsid w:val="685A4CB9"/>
    <w:rsid w:val="68C7E074"/>
    <w:rsid w:val="692272F0"/>
    <w:rsid w:val="6949288E"/>
    <w:rsid w:val="69728830"/>
    <w:rsid w:val="69C8227E"/>
    <w:rsid w:val="6A8AFDEB"/>
    <w:rsid w:val="6AF5259C"/>
    <w:rsid w:val="6B23E986"/>
    <w:rsid w:val="6B57D86F"/>
    <w:rsid w:val="6CAF7B2F"/>
    <w:rsid w:val="6D14FC84"/>
    <w:rsid w:val="6D42B759"/>
    <w:rsid w:val="6F5B68A6"/>
    <w:rsid w:val="6F6A786E"/>
    <w:rsid w:val="6F9BFEDF"/>
    <w:rsid w:val="709C2023"/>
    <w:rsid w:val="71096FFD"/>
    <w:rsid w:val="71C81612"/>
    <w:rsid w:val="72CB4D74"/>
    <w:rsid w:val="72E31410"/>
    <w:rsid w:val="73076CC9"/>
    <w:rsid w:val="736551D1"/>
    <w:rsid w:val="738CF27E"/>
    <w:rsid w:val="73A1BA25"/>
    <w:rsid w:val="743661AD"/>
    <w:rsid w:val="74635F2F"/>
    <w:rsid w:val="754F9A3E"/>
    <w:rsid w:val="7566C962"/>
    <w:rsid w:val="75BECE86"/>
    <w:rsid w:val="75CF6F87"/>
    <w:rsid w:val="76267CA6"/>
    <w:rsid w:val="7664D6C0"/>
    <w:rsid w:val="7667D5B5"/>
    <w:rsid w:val="7675E95E"/>
    <w:rsid w:val="76C5C48E"/>
    <w:rsid w:val="77287408"/>
    <w:rsid w:val="78D6C03B"/>
    <w:rsid w:val="78EB917F"/>
    <w:rsid w:val="792AF4AE"/>
    <w:rsid w:val="7A05B51F"/>
    <w:rsid w:val="7A1A8663"/>
    <w:rsid w:val="7B361CD4"/>
    <w:rsid w:val="7B6BE23A"/>
    <w:rsid w:val="7CA2F67A"/>
    <w:rsid w:val="7DA2A97A"/>
    <w:rsid w:val="7DF69E26"/>
    <w:rsid w:val="7E75EE02"/>
    <w:rsid w:val="7EEA3B3E"/>
    <w:rsid w:val="7EF97DD7"/>
    <w:rsid w:val="7EFA0859"/>
    <w:rsid w:val="7FD1E0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3E83B4A"/>
  <w15:docId w15:val="{9E1B1FF7-DF51-438B-B129-F1244175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9"/>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9"/>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99"/>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99"/>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9"/>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9"/>
    <w:rsid w:val="00DC2DC7"/>
    <w:rPr>
      <w:rFonts w:ascii="Arial" w:hAnsi="Arial"/>
      <w:b/>
      <w:color w:val="201547"/>
      <w:sz w:val="32"/>
      <w:szCs w:val="28"/>
      <w:lang w:eastAsia="en-US"/>
    </w:rPr>
  </w:style>
  <w:style w:type="character" w:customStyle="1" w:styleId="Heading3Char">
    <w:name w:val="Heading 3 Char"/>
    <w:link w:val="Heading3"/>
    <w:uiPriority w:val="99"/>
    <w:rsid w:val="00776D56"/>
    <w:rPr>
      <w:rFonts w:ascii="Arial" w:eastAsia="MS Gothic" w:hAnsi="Arial"/>
      <w:bCs/>
      <w:color w:val="201547"/>
      <w:sz w:val="30"/>
      <w:szCs w:val="26"/>
      <w:lang w:eastAsia="en-US"/>
    </w:rPr>
  </w:style>
  <w:style w:type="character" w:customStyle="1" w:styleId="Heading4Char">
    <w:name w:val="Heading 4 Char"/>
    <w:link w:val="Heading4"/>
    <w:uiPriority w:val="99"/>
    <w:rsid w:val="00ED7762"/>
    <w:rPr>
      <w:rFonts w:ascii="Arial" w:eastAsia="MS Mincho" w:hAnsi="Arial"/>
      <w:b/>
      <w:bCs/>
      <w:color w:val="201547"/>
      <w:sz w:val="24"/>
      <w:szCs w:val="22"/>
      <w:lang w:eastAsia="en-US"/>
    </w:rPr>
  </w:style>
  <w:style w:type="paragraph" w:styleId="Header">
    <w:name w:val="header"/>
    <w:link w:val="HeaderChar"/>
    <w:uiPriority w:val="99"/>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aliases w:val="Endnote Text Char1"/>
    <w:uiPriority w:val="99"/>
    <w:semiHidden/>
    <w:rsid w:val="00EA6F2B"/>
    <w:rPr>
      <w:vertAlign w:val="superscript"/>
    </w:rPr>
  </w:style>
  <w:style w:type="table" w:styleId="TableGrid">
    <w:name w:val="Table Grid"/>
    <w:basedOn w:val="TableNormal"/>
    <w:uiPriority w:val="9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99"/>
    <w:rsid w:val="000033F7"/>
    <w:pPr>
      <w:keepLines/>
      <w:tabs>
        <w:tab w:val="right" w:leader="dot" w:pos="9299"/>
      </w:tabs>
      <w:spacing w:after="60"/>
      <w:ind w:left="284"/>
    </w:pPr>
    <w:rPr>
      <w:rFonts w:cs="Arial"/>
    </w:rPr>
  </w:style>
  <w:style w:type="paragraph" w:styleId="TOC4">
    <w:name w:val="toc 4"/>
    <w:basedOn w:val="TOC3"/>
    <w:uiPriority w:val="99"/>
    <w:rsid w:val="000033F7"/>
    <w:pPr>
      <w:ind w:left="567"/>
    </w:pPr>
  </w:style>
  <w:style w:type="paragraph" w:styleId="TOC5">
    <w:name w:val="toc 5"/>
    <w:basedOn w:val="TOC4"/>
    <w:uiPriority w:val="99"/>
    <w:rsid w:val="000033F7"/>
    <w:pPr>
      <w:ind w:left="851"/>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erChar">
    <w:name w:val="Header Char"/>
    <w:link w:val="Header"/>
    <w:uiPriority w:val="99"/>
    <w:locked/>
    <w:rsid w:val="00943E22"/>
    <w:rPr>
      <w:rFonts w:ascii="Arial" w:hAnsi="Arial" w:cs="Arial"/>
      <w:color w:val="201547"/>
      <w:sz w:val="18"/>
      <w:szCs w:val="18"/>
      <w:lang w:eastAsia="en-US"/>
    </w:rPr>
  </w:style>
  <w:style w:type="character" w:customStyle="1" w:styleId="FooterChar">
    <w:name w:val="Footer Char"/>
    <w:link w:val="Footer"/>
    <w:uiPriority w:val="99"/>
    <w:locked/>
    <w:rsid w:val="00943E22"/>
    <w:rPr>
      <w:rFonts w:ascii="Arial" w:hAnsi="Arial" w:cs="Arial"/>
      <w:szCs w:val="18"/>
      <w:lang w:eastAsia="en-US"/>
    </w:rPr>
  </w:style>
  <w:style w:type="paragraph" w:customStyle="1" w:styleId="DHHSreportsubtitle">
    <w:name w:val="DHHS report subtitle"/>
    <w:basedOn w:val="Normal"/>
    <w:uiPriority w:val="99"/>
    <w:rsid w:val="00943E22"/>
    <w:pPr>
      <w:spacing w:line="380" w:lineRule="atLeast"/>
    </w:pPr>
    <w:rPr>
      <w:color w:val="000000"/>
      <w:sz w:val="30"/>
      <w:szCs w:val="30"/>
    </w:rPr>
  </w:style>
  <w:style w:type="paragraph" w:customStyle="1" w:styleId="DHHSreportmaintitle">
    <w:name w:val="DHHS report main title"/>
    <w:uiPriority w:val="99"/>
    <w:rsid w:val="00943E22"/>
    <w:pPr>
      <w:keepLines/>
      <w:spacing w:after="160" w:line="580" w:lineRule="atLeast"/>
    </w:pPr>
    <w:rPr>
      <w:rFonts w:ascii="Arial" w:hAnsi="Arial"/>
      <w:color w:val="7D398D"/>
      <w:sz w:val="50"/>
      <w:szCs w:val="24"/>
      <w:lang w:eastAsia="en-US"/>
    </w:rPr>
  </w:style>
  <w:style w:type="paragraph" w:customStyle="1" w:styleId="DHHSreportmaintitlewhite">
    <w:name w:val="DHHS report main title white"/>
    <w:uiPriority w:val="99"/>
    <w:rsid w:val="00943E22"/>
    <w:pPr>
      <w:keepLines/>
      <w:spacing w:after="16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943E22"/>
    <w:pPr>
      <w:spacing w:after="120" w:line="480" w:lineRule="atLeast"/>
    </w:pPr>
    <w:rPr>
      <w:rFonts w:ascii="Arial" w:hAnsi="Arial"/>
      <w:bCs/>
      <w:color w:val="FFFFFF"/>
      <w:sz w:val="30"/>
      <w:szCs w:val="30"/>
      <w:lang w:eastAsia="en-US"/>
    </w:rPr>
  </w:style>
  <w:style w:type="paragraph" w:customStyle="1" w:styleId="Coverinstructions">
    <w:name w:val="Cover instructions"/>
    <w:uiPriority w:val="99"/>
    <w:rsid w:val="00943E22"/>
    <w:pPr>
      <w:spacing w:after="200" w:line="320" w:lineRule="atLeast"/>
    </w:pPr>
    <w:rPr>
      <w:rFonts w:ascii="Arial" w:hAnsi="Arial"/>
      <w:color w:val="FFFFFF"/>
      <w:sz w:val="24"/>
      <w:lang w:eastAsia="en-US"/>
    </w:rPr>
  </w:style>
  <w:style w:type="paragraph" w:customStyle="1" w:styleId="DHHSbody">
    <w:name w:val="DHHS body"/>
    <w:uiPriority w:val="99"/>
    <w:rsid w:val="00943E22"/>
    <w:pPr>
      <w:spacing w:after="120" w:line="270" w:lineRule="atLeast"/>
    </w:pPr>
    <w:rPr>
      <w:rFonts w:ascii="Arial" w:hAnsi="Arial"/>
      <w:lang w:eastAsia="en-US"/>
    </w:rPr>
  </w:style>
  <w:style w:type="paragraph" w:customStyle="1" w:styleId="DHHSbullet1">
    <w:name w:val="DHHS bullet 1"/>
    <w:basedOn w:val="DHHSbody"/>
    <w:uiPriority w:val="99"/>
    <w:rsid w:val="00943E22"/>
    <w:pPr>
      <w:numPr>
        <w:numId w:val="7"/>
      </w:numPr>
      <w:spacing w:after="40"/>
    </w:pPr>
  </w:style>
  <w:style w:type="paragraph" w:customStyle="1" w:styleId="DHHSnumberloweralpha">
    <w:name w:val="DHHS number lower alpha"/>
    <w:basedOn w:val="DHHSbody"/>
    <w:uiPriority w:val="99"/>
    <w:rsid w:val="00943E22"/>
    <w:pPr>
      <w:numPr>
        <w:ilvl w:val="2"/>
        <w:numId w:val="8"/>
      </w:numPr>
    </w:pPr>
  </w:style>
  <w:style w:type="paragraph" w:customStyle="1" w:styleId="DHHSnumberloweralphaindent">
    <w:name w:val="DHHS number lower alpha indent"/>
    <w:basedOn w:val="DHHSbody"/>
    <w:uiPriority w:val="99"/>
    <w:rsid w:val="00943E22"/>
    <w:pPr>
      <w:numPr>
        <w:ilvl w:val="3"/>
        <w:numId w:val="8"/>
      </w:numPr>
    </w:pPr>
  </w:style>
  <w:style w:type="paragraph" w:customStyle="1" w:styleId="DHHStablefigurenote">
    <w:name w:val="DHHS table/figure note"/>
    <w:uiPriority w:val="99"/>
    <w:rsid w:val="00943E22"/>
    <w:pPr>
      <w:spacing w:before="60" w:after="60" w:line="240" w:lineRule="exact"/>
    </w:pPr>
    <w:rPr>
      <w:rFonts w:ascii="Arial" w:hAnsi="Arial"/>
      <w:i/>
      <w:sz w:val="18"/>
      <w:lang w:eastAsia="en-US"/>
    </w:rPr>
  </w:style>
  <w:style w:type="paragraph" w:customStyle="1" w:styleId="DHHStabletext">
    <w:name w:val="DHHS table text"/>
    <w:uiPriority w:val="99"/>
    <w:rsid w:val="00943E22"/>
    <w:pPr>
      <w:spacing w:before="80" w:after="60"/>
    </w:pPr>
    <w:rPr>
      <w:rFonts w:ascii="Arial" w:hAnsi="Arial"/>
      <w:lang w:eastAsia="en-US"/>
    </w:rPr>
  </w:style>
  <w:style w:type="paragraph" w:customStyle="1" w:styleId="DHHStablecaption">
    <w:name w:val="DHHS table caption"/>
    <w:uiPriority w:val="99"/>
    <w:rsid w:val="00943E22"/>
    <w:pPr>
      <w:keepNext/>
      <w:keepLines/>
      <w:spacing w:before="240" w:after="120" w:line="270" w:lineRule="exact"/>
    </w:pPr>
    <w:rPr>
      <w:rFonts w:ascii="Arial" w:hAnsi="Arial"/>
      <w:b/>
      <w:lang w:eastAsia="en-US"/>
    </w:rPr>
  </w:style>
  <w:style w:type="paragraph" w:customStyle="1" w:styleId="DHHSfootnote">
    <w:name w:val="DHHS footnote"/>
    <w:link w:val="DHHSfootnoteChar"/>
    <w:uiPriority w:val="99"/>
    <w:rsid w:val="00943E22"/>
    <w:pPr>
      <w:spacing w:before="60" w:after="60" w:line="200" w:lineRule="atLeast"/>
    </w:pPr>
    <w:rPr>
      <w:rFonts w:ascii="Arial" w:hAnsi="Arial"/>
      <w:sz w:val="16"/>
      <w:szCs w:val="22"/>
    </w:rPr>
  </w:style>
  <w:style w:type="character" w:customStyle="1" w:styleId="DHHSfootnoteChar">
    <w:name w:val="DHHS footnote Char"/>
    <w:link w:val="DHHSfootnote"/>
    <w:uiPriority w:val="99"/>
    <w:locked/>
    <w:rsid w:val="00943E22"/>
    <w:rPr>
      <w:rFonts w:ascii="Arial" w:hAnsi="Arial"/>
      <w:sz w:val="16"/>
      <w:szCs w:val="22"/>
    </w:rPr>
  </w:style>
  <w:style w:type="paragraph" w:customStyle="1" w:styleId="DHHSbullet2">
    <w:name w:val="DHHS bullet 2"/>
    <w:basedOn w:val="DHHSbody"/>
    <w:uiPriority w:val="99"/>
    <w:rsid w:val="00943E22"/>
    <w:pPr>
      <w:numPr>
        <w:ilvl w:val="2"/>
        <w:numId w:val="7"/>
      </w:numPr>
      <w:spacing w:after="40"/>
    </w:pPr>
  </w:style>
  <w:style w:type="paragraph" w:customStyle="1" w:styleId="DHHSfigurecaption">
    <w:name w:val="DHHS figure caption"/>
    <w:next w:val="DHHSbody"/>
    <w:link w:val="DHHSfigurecaptionChar"/>
    <w:uiPriority w:val="99"/>
    <w:rsid w:val="00943E22"/>
    <w:pPr>
      <w:keepNext/>
      <w:keepLines/>
      <w:spacing w:before="240" w:after="120"/>
    </w:pPr>
    <w:rPr>
      <w:rFonts w:ascii="Arial" w:hAnsi="Arial"/>
      <w:b/>
      <w:sz w:val="22"/>
      <w:szCs w:val="22"/>
    </w:rPr>
  </w:style>
  <w:style w:type="character" w:customStyle="1" w:styleId="DHHSfigurecaptionChar">
    <w:name w:val="DHHS figure caption Char"/>
    <w:link w:val="DHHSfigurecaption"/>
    <w:uiPriority w:val="99"/>
    <w:locked/>
    <w:rsid w:val="00943E22"/>
    <w:rPr>
      <w:rFonts w:ascii="Arial" w:hAnsi="Arial"/>
      <w:b/>
      <w:sz w:val="22"/>
      <w:szCs w:val="22"/>
    </w:rPr>
  </w:style>
  <w:style w:type="paragraph" w:customStyle="1" w:styleId="DHHSnumberdigit">
    <w:name w:val="DHHS number digit"/>
    <w:basedOn w:val="DHHSbody"/>
    <w:uiPriority w:val="99"/>
    <w:rsid w:val="00943E22"/>
    <w:pPr>
      <w:numPr>
        <w:numId w:val="8"/>
      </w:numPr>
    </w:pPr>
  </w:style>
  <w:style w:type="paragraph" w:customStyle="1" w:styleId="DHHStablecolhead">
    <w:name w:val="DHHS table col head"/>
    <w:uiPriority w:val="99"/>
    <w:rsid w:val="00943E22"/>
    <w:pPr>
      <w:spacing w:before="80" w:after="60"/>
    </w:pPr>
    <w:rPr>
      <w:rFonts w:ascii="Arial" w:hAnsi="Arial"/>
      <w:b/>
      <w:color w:val="7D398D"/>
      <w:lang w:eastAsia="en-US"/>
    </w:rPr>
  </w:style>
  <w:style w:type="paragraph" w:customStyle="1" w:styleId="DHHSbodyaftertablefigure">
    <w:name w:val="DHHS body after table/figure"/>
    <w:basedOn w:val="DHHSbody"/>
    <w:uiPriority w:val="99"/>
    <w:rsid w:val="00943E22"/>
    <w:pPr>
      <w:spacing w:before="240"/>
    </w:pPr>
  </w:style>
  <w:style w:type="paragraph" w:customStyle="1" w:styleId="DHHSbullet1lastline">
    <w:name w:val="DHHS bullet 1 last line"/>
    <w:basedOn w:val="DHHSbullet1"/>
    <w:uiPriority w:val="99"/>
    <w:rsid w:val="00943E22"/>
    <w:pPr>
      <w:numPr>
        <w:ilvl w:val="1"/>
      </w:numPr>
      <w:spacing w:after="120"/>
    </w:pPr>
  </w:style>
  <w:style w:type="paragraph" w:customStyle="1" w:styleId="DHHSbullet2lastline">
    <w:name w:val="DHHS bullet 2 last line"/>
    <w:basedOn w:val="DHHSbullet2"/>
    <w:uiPriority w:val="99"/>
    <w:rsid w:val="00943E22"/>
    <w:pPr>
      <w:numPr>
        <w:ilvl w:val="3"/>
      </w:numPr>
      <w:spacing w:after="120"/>
    </w:pPr>
  </w:style>
  <w:style w:type="paragraph" w:customStyle="1" w:styleId="DHHStablebullet">
    <w:name w:val="DHHS table bullet"/>
    <w:basedOn w:val="DHHStabletext"/>
    <w:uiPriority w:val="99"/>
    <w:rsid w:val="00943E22"/>
    <w:pPr>
      <w:numPr>
        <w:ilvl w:val="6"/>
        <w:numId w:val="7"/>
      </w:numPr>
    </w:pPr>
  </w:style>
  <w:style w:type="paragraph" w:customStyle="1" w:styleId="DHHSTOCheadingreport">
    <w:name w:val="DHHS TOC heading report"/>
    <w:basedOn w:val="Heading1"/>
    <w:link w:val="DHHSTOCheadingreportChar"/>
    <w:uiPriority w:val="99"/>
    <w:rsid w:val="00943E22"/>
    <w:pPr>
      <w:pageBreakBefore/>
      <w:spacing w:after="440" w:line="440" w:lineRule="atLeast"/>
      <w:outlineLvl w:val="9"/>
    </w:pPr>
    <w:rPr>
      <w:rFonts w:eastAsia="Times New Roman" w:cs="Times New Roman"/>
      <w:bCs w:val="0"/>
      <w:color w:val="7D398D"/>
      <w:kern w:val="0"/>
      <w:szCs w:val="20"/>
    </w:rPr>
  </w:style>
  <w:style w:type="character" w:customStyle="1" w:styleId="DHHSTOCheadingreportChar">
    <w:name w:val="DHHS TOC heading report Char"/>
    <w:link w:val="DHHSTOCheadingreport"/>
    <w:uiPriority w:val="99"/>
    <w:locked/>
    <w:rsid w:val="00943E22"/>
    <w:rPr>
      <w:rFonts w:ascii="Arial" w:hAnsi="Arial"/>
      <w:color w:val="7D398D"/>
      <w:sz w:val="44"/>
      <w:lang w:eastAsia="en-US"/>
    </w:rPr>
  </w:style>
  <w:style w:type="paragraph" w:customStyle="1" w:styleId="DHHSaccessibilitypara">
    <w:name w:val="DHHS accessibility para"/>
    <w:uiPriority w:val="99"/>
    <w:rsid w:val="00943E22"/>
    <w:pPr>
      <w:spacing w:after="300" w:line="300" w:lineRule="atLeast"/>
    </w:pPr>
    <w:rPr>
      <w:rFonts w:ascii="Arial" w:hAnsi="Arial"/>
      <w:sz w:val="24"/>
      <w:szCs w:val="19"/>
      <w:lang w:eastAsia="en-US"/>
    </w:rPr>
  </w:style>
  <w:style w:type="paragraph" w:customStyle="1" w:styleId="DHHSbodynospace">
    <w:name w:val="DHHS body no space"/>
    <w:basedOn w:val="DHHSbody"/>
    <w:uiPriority w:val="99"/>
    <w:rsid w:val="00943E22"/>
    <w:pPr>
      <w:spacing w:after="0"/>
    </w:pPr>
  </w:style>
  <w:style w:type="paragraph" w:customStyle="1" w:styleId="DHHSquote">
    <w:name w:val="DHHS quote"/>
    <w:basedOn w:val="DHHSbody"/>
    <w:uiPriority w:val="99"/>
    <w:rsid w:val="00943E22"/>
    <w:pPr>
      <w:ind w:left="397"/>
    </w:pPr>
    <w:rPr>
      <w:szCs w:val="18"/>
      <w:lang w:val="fr-FR"/>
    </w:rPr>
  </w:style>
  <w:style w:type="paragraph" w:customStyle="1" w:styleId="DHHSbulletindent">
    <w:name w:val="DHHS bullet indent"/>
    <w:basedOn w:val="DHHSbody"/>
    <w:uiPriority w:val="99"/>
    <w:rsid w:val="00943E22"/>
    <w:pPr>
      <w:numPr>
        <w:ilvl w:val="4"/>
        <w:numId w:val="7"/>
      </w:numPr>
      <w:spacing w:after="40"/>
    </w:pPr>
  </w:style>
  <w:style w:type="paragraph" w:customStyle="1" w:styleId="DHHSbulletindentlastline">
    <w:name w:val="DHHS bullet indent last line"/>
    <w:basedOn w:val="DHHSbody"/>
    <w:uiPriority w:val="99"/>
    <w:rsid w:val="00943E22"/>
    <w:pPr>
      <w:numPr>
        <w:ilvl w:val="5"/>
        <w:numId w:val="7"/>
      </w:numPr>
    </w:pPr>
  </w:style>
  <w:style w:type="paragraph" w:customStyle="1" w:styleId="DHHSnumberlowerroman">
    <w:name w:val="DHHS number lower roman"/>
    <w:basedOn w:val="DHHSbody"/>
    <w:uiPriority w:val="99"/>
    <w:rsid w:val="00943E22"/>
    <w:pPr>
      <w:numPr>
        <w:ilvl w:val="4"/>
        <w:numId w:val="8"/>
      </w:numPr>
    </w:pPr>
  </w:style>
  <w:style w:type="paragraph" w:customStyle="1" w:styleId="DHHSnumberlowerromanindent">
    <w:name w:val="DHHS number lower roman indent"/>
    <w:basedOn w:val="DHHSbody"/>
    <w:uiPriority w:val="99"/>
    <w:rsid w:val="00943E22"/>
    <w:pPr>
      <w:numPr>
        <w:ilvl w:val="5"/>
        <w:numId w:val="8"/>
      </w:numPr>
    </w:pPr>
  </w:style>
  <w:style w:type="paragraph" w:customStyle="1" w:styleId="DHHSnumberdigitindent">
    <w:name w:val="DHHS number digit indent"/>
    <w:basedOn w:val="DHHSnumberloweralphaindent"/>
    <w:uiPriority w:val="99"/>
    <w:rsid w:val="00943E22"/>
    <w:pPr>
      <w:numPr>
        <w:ilvl w:val="1"/>
      </w:numPr>
    </w:pPr>
  </w:style>
  <w:style w:type="paragraph" w:customStyle="1" w:styleId="DHSbody">
    <w:name w:val="DHS body"/>
    <w:link w:val="DHSbodyChar"/>
    <w:uiPriority w:val="99"/>
    <w:rsid w:val="00943E22"/>
    <w:pPr>
      <w:spacing w:after="120" w:line="270" w:lineRule="exact"/>
    </w:pPr>
    <w:rPr>
      <w:rFonts w:ascii="Arial" w:hAnsi="Arial"/>
      <w:sz w:val="22"/>
      <w:szCs w:val="22"/>
      <w:lang w:eastAsia="en-US"/>
    </w:rPr>
  </w:style>
  <w:style w:type="character" w:customStyle="1" w:styleId="DHSbodyChar">
    <w:name w:val="DHS body Char"/>
    <w:link w:val="DHSbody"/>
    <w:uiPriority w:val="99"/>
    <w:locked/>
    <w:rsid w:val="00943E22"/>
    <w:rPr>
      <w:rFonts w:ascii="Arial" w:hAnsi="Arial"/>
      <w:sz w:val="22"/>
      <w:szCs w:val="22"/>
      <w:lang w:eastAsia="en-US"/>
    </w:rPr>
  </w:style>
  <w:style w:type="numbering" w:customStyle="1" w:styleId="Bullets">
    <w:name w:val="Bullets"/>
    <w:rsid w:val="00943E22"/>
    <w:pPr>
      <w:numPr>
        <w:numId w:val="7"/>
      </w:numPr>
    </w:pPr>
  </w:style>
  <w:style w:type="numbering" w:customStyle="1" w:styleId="Numbers">
    <w:name w:val="Numbers"/>
    <w:rsid w:val="00943E22"/>
    <w:pPr>
      <w:numPr>
        <w:numId w:val="8"/>
      </w:numPr>
    </w:pPr>
  </w:style>
  <w:style w:type="character" w:styleId="Mention">
    <w:name w:val="Mention"/>
    <w:uiPriority w:val="99"/>
    <w:unhideWhenUsed/>
    <w:rsid w:val="00943E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9dd2b7-399c-4633-a2c8-a86a36d4dd78">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7" ma:contentTypeDescription="Create a new document." ma:contentTypeScope="" ma:versionID="58bb81d6ac998c76146f18ae3ce12752">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a75f69594ffd3a090f980a4fcc6116cb"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openxmlformats.org/package/2006/metadata/core-properties"/>
    <ds:schemaRef ds:uri="http://purl.org/dc/terms/"/>
    <ds:schemaRef ds:uri="ba9dd2b7-399c-4633-a2c8-a86a36d4dd78"/>
    <ds:schemaRef ds:uri="http://schemas.microsoft.com/office/infopath/2007/PartnerControls"/>
    <ds:schemaRef ds:uri="http://schemas.microsoft.com/office/2006/documentManagement/types"/>
    <ds:schemaRef ds:uri="4e0e260c-6ea3-4ee1-8b1a-9dcf29b9b192"/>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60801E3-7390-40BD-92E7-B3DCC8B10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6158</Words>
  <Characters>35829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DFFH teal report</vt:lpstr>
    </vt:vector>
  </TitlesOfParts>
  <Company>Victoria State Government, Department of Familes, Fairness and Housing</Company>
  <LinksUpToDate>false</LinksUpToDate>
  <CharactersWithSpaces>41904</CharactersWithSpaces>
  <SharedDoc>false</SharedDoc>
  <HyperlinkBase/>
  <HLinks>
    <vt:vector size="192" baseType="variant">
      <vt:variant>
        <vt:i4>1900598</vt:i4>
      </vt:variant>
      <vt:variant>
        <vt:i4>191</vt:i4>
      </vt:variant>
      <vt:variant>
        <vt:i4>0</vt:i4>
      </vt:variant>
      <vt:variant>
        <vt:i4>5</vt:i4>
      </vt:variant>
      <vt:variant>
        <vt:lpwstr/>
      </vt:variant>
      <vt:variant>
        <vt:lpwstr>_Toc97711995</vt:lpwstr>
      </vt:variant>
      <vt:variant>
        <vt:i4>1835062</vt:i4>
      </vt:variant>
      <vt:variant>
        <vt:i4>185</vt:i4>
      </vt:variant>
      <vt:variant>
        <vt:i4>0</vt:i4>
      </vt:variant>
      <vt:variant>
        <vt:i4>5</vt:i4>
      </vt:variant>
      <vt:variant>
        <vt:lpwstr/>
      </vt:variant>
      <vt:variant>
        <vt:lpwstr>_Toc97711994</vt:lpwstr>
      </vt:variant>
      <vt:variant>
        <vt:i4>1769526</vt:i4>
      </vt:variant>
      <vt:variant>
        <vt:i4>179</vt:i4>
      </vt:variant>
      <vt:variant>
        <vt:i4>0</vt:i4>
      </vt:variant>
      <vt:variant>
        <vt:i4>5</vt:i4>
      </vt:variant>
      <vt:variant>
        <vt:lpwstr/>
      </vt:variant>
      <vt:variant>
        <vt:lpwstr>_Toc97711993</vt:lpwstr>
      </vt:variant>
      <vt:variant>
        <vt:i4>1703990</vt:i4>
      </vt:variant>
      <vt:variant>
        <vt:i4>173</vt:i4>
      </vt:variant>
      <vt:variant>
        <vt:i4>0</vt:i4>
      </vt:variant>
      <vt:variant>
        <vt:i4>5</vt:i4>
      </vt:variant>
      <vt:variant>
        <vt:lpwstr/>
      </vt:variant>
      <vt:variant>
        <vt:lpwstr>_Toc97711992</vt:lpwstr>
      </vt:variant>
      <vt:variant>
        <vt:i4>1638454</vt:i4>
      </vt:variant>
      <vt:variant>
        <vt:i4>167</vt:i4>
      </vt:variant>
      <vt:variant>
        <vt:i4>0</vt:i4>
      </vt:variant>
      <vt:variant>
        <vt:i4>5</vt:i4>
      </vt:variant>
      <vt:variant>
        <vt:lpwstr/>
      </vt:variant>
      <vt:variant>
        <vt:lpwstr>_Toc97711991</vt:lpwstr>
      </vt:variant>
      <vt:variant>
        <vt:i4>1572918</vt:i4>
      </vt:variant>
      <vt:variant>
        <vt:i4>161</vt:i4>
      </vt:variant>
      <vt:variant>
        <vt:i4>0</vt:i4>
      </vt:variant>
      <vt:variant>
        <vt:i4>5</vt:i4>
      </vt:variant>
      <vt:variant>
        <vt:lpwstr/>
      </vt:variant>
      <vt:variant>
        <vt:lpwstr>_Toc97711990</vt:lpwstr>
      </vt:variant>
      <vt:variant>
        <vt:i4>1114167</vt:i4>
      </vt:variant>
      <vt:variant>
        <vt:i4>155</vt:i4>
      </vt:variant>
      <vt:variant>
        <vt:i4>0</vt:i4>
      </vt:variant>
      <vt:variant>
        <vt:i4>5</vt:i4>
      </vt:variant>
      <vt:variant>
        <vt:lpwstr/>
      </vt:variant>
      <vt:variant>
        <vt:lpwstr>_Toc97711989</vt:lpwstr>
      </vt:variant>
      <vt:variant>
        <vt:i4>1048631</vt:i4>
      </vt:variant>
      <vt:variant>
        <vt:i4>149</vt:i4>
      </vt:variant>
      <vt:variant>
        <vt:i4>0</vt:i4>
      </vt:variant>
      <vt:variant>
        <vt:i4>5</vt:i4>
      </vt:variant>
      <vt:variant>
        <vt:lpwstr/>
      </vt:variant>
      <vt:variant>
        <vt:lpwstr>_Toc97711988</vt:lpwstr>
      </vt:variant>
      <vt:variant>
        <vt:i4>2031671</vt:i4>
      </vt:variant>
      <vt:variant>
        <vt:i4>143</vt:i4>
      </vt:variant>
      <vt:variant>
        <vt:i4>0</vt:i4>
      </vt:variant>
      <vt:variant>
        <vt:i4>5</vt:i4>
      </vt:variant>
      <vt:variant>
        <vt:lpwstr/>
      </vt:variant>
      <vt:variant>
        <vt:lpwstr>_Toc97711987</vt:lpwstr>
      </vt:variant>
      <vt:variant>
        <vt:i4>1966135</vt:i4>
      </vt:variant>
      <vt:variant>
        <vt:i4>137</vt:i4>
      </vt:variant>
      <vt:variant>
        <vt:i4>0</vt:i4>
      </vt:variant>
      <vt:variant>
        <vt:i4>5</vt:i4>
      </vt:variant>
      <vt:variant>
        <vt:lpwstr/>
      </vt:variant>
      <vt:variant>
        <vt:lpwstr>_Toc97711986</vt:lpwstr>
      </vt:variant>
      <vt:variant>
        <vt:i4>1900599</vt:i4>
      </vt:variant>
      <vt:variant>
        <vt:i4>131</vt:i4>
      </vt:variant>
      <vt:variant>
        <vt:i4>0</vt:i4>
      </vt:variant>
      <vt:variant>
        <vt:i4>5</vt:i4>
      </vt:variant>
      <vt:variant>
        <vt:lpwstr/>
      </vt:variant>
      <vt:variant>
        <vt:lpwstr>_Toc97711985</vt:lpwstr>
      </vt:variant>
      <vt:variant>
        <vt:i4>1835063</vt:i4>
      </vt:variant>
      <vt:variant>
        <vt:i4>125</vt:i4>
      </vt:variant>
      <vt:variant>
        <vt:i4>0</vt:i4>
      </vt:variant>
      <vt:variant>
        <vt:i4>5</vt:i4>
      </vt:variant>
      <vt:variant>
        <vt:lpwstr/>
      </vt:variant>
      <vt:variant>
        <vt:lpwstr>_Toc97711984</vt:lpwstr>
      </vt:variant>
      <vt:variant>
        <vt:i4>1769527</vt:i4>
      </vt:variant>
      <vt:variant>
        <vt:i4>119</vt:i4>
      </vt:variant>
      <vt:variant>
        <vt:i4>0</vt:i4>
      </vt:variant>
      <vt:variant>
        <vt:i4>5</vt:i4>
      </vt:variant>
      <vt:variant>
        <vt:lpwstr/>
      </vt:variant>
      <vt:variant>
        <vt:lpwstr>_Toc97711983</vt:lpwstr>
      </vt:variant>
      <vt:variant>
        <vt:i4>1703991</vt:i4>
      </vt:variant>
      <vt:variant>
        <vt:i4>113</vt:i4>
      </vt:variant>
      <vt:variant>
        <vt:i4>0</vt:i4>
      </vt:variant>
      <vt:variant>
        <vt:i4>5</vt:i4>
      </vt:variant>
      <vt:variant>
        <vt:lpwstr/>
      </vt:variant>
      <vt:variant>
        <vt:lpwstr>_Toc97711982</vt:lpwstr>
      </vt:variant>
      <vt:variant>
        <vt:i4>1638455</vt:i4>
      </vt:variant>
      <vt:variant>
        <vt:i4>107</vt:i4>
      </vt:variant>
      <vt:variant>
        <vt:i4>0</vt:i4>
      </vt:variant>
      <vt:variant>
        <vt:i4>5</vt:i4>
      </vt:variant>
      <vt:variant>
        <vt:lpwstr/>
      </vt:variant>
      <vt:variant>
        <vt:lpwstr>_Toc97711981</vt:lpwstr>
      </vt:variant>
      <vt:variant>
        <vt:i4>1572919</vt:i4>
      </vt:variant>
      <vt:variant>
        <vt:i4>101</vt:i4>
      </vt:variant>
      <vt:variant>
        <vt:i4>0</vt:i4>
      </vt:variant>
      <vt:variant>
        <vt:i4>5</vt:i4>
      </vt:variant>
      <vt:variant>
        <vt:lpwstr/>
      </vt:variant>
      <vt:variant>
        <vt:lpwstr>_Toc97711980</vt:lpwstr>
      </vt:variant>
      <vt:variant>
        <vt:i4>1114168</vt:i4>
      </vt:variant>
      <vt:variant>
        <vt:i4>95</vt:i4>
      </vt:variant>
      <vt:variant>
        <vt:i4>0</vt:i4>
      </vt:variant>
      <vt:variant>
        <vt:i4>5</vt:i4>
      </vt:variant>
      <vt:variant>
        <vt:lpwstr/>
      </vt:variant>
      <vt:variant>
        <vt:lpwstr>_Toc97711979</vt:lpwstr>
      </vt:variant>
      <vt:variant>
        <vt:i4>1048632</vt:i4>
      </vt:variant>
      <vt:variant>
        <vt:i4>89</vt:i4>
      </vt:variant>
      <vt:variant>
        <vt:i4>0</vt:i4>
      </vt:variant>
      <vt:variant>
        <vt:i4>5</vt:i4>
      </vt:variant>
      <vt:variant>
        <vt:lpwstr/>
      </vt:variant>
      <vt:variant>
        <vt:lpwstr>_Toc97711978</vt:lpwstr>
      </vt:variant>
      <vt:variant>
        <vt:i4>2031672</vt:i4>
      </vt:variant>
      <vt:variant>
        <vt:i4>83</vt:i4>
      </vt:variant>
      <vt:variant>
        <vt:i4>0</vt:i4>
      </vt:variant>
      <vt:variant>
        <vt:i4>5</vt:i4>
      </vt:variant>
      <vt:variant>
        <vt:lpwstr/>
      </vt:variant>
      <vt:variant>
        <vt:lpwstr>_Toc97711977</vt:lpwstr>
      </vt:variant>
      <vt:variant>
        <vt:i4>1966136</vt:i4>
      </vt:variant>
      <vt:variant>
        <vt:i4>77</vt:i4>
      </vt:variant>
      <vt:variant>
        <vt:i4>0</vt:i4>
      </vt:variant>
      <vt:variant>
        <vt:i4>5</vt:i4>
      </vt:variant>
      <vt:variant>
        <vt:lpwstr/>
      </vt:variant>
      <vt:variant>
        <vt:lpwstr>_Toc97711976</vt:lpwstr>
      </vt:variant>
      <vt:variant>
        <vt:i4>1900600</vt:i4>
      </vt:variant>
      <vt:variant>
        <vt:i4>71</vt:i4>
      </vt:variant>
      <vt:variant>
        <vt:i4>0</vt:i4>
      </vt:variant>
      <vt:variant>
        <vt:i4>5</vt:i4>
      </vt:variant>
      <vt:variant>
        <vt:lpwstr/>
      </vt:variant>
      <vt:variant>
        <vt:lpwstr>_Toc97711975</vt:lpwstr>
      </vt:variant>
      <vt:variant>
        <vt:i4>1835064</vt:i4>
      </vt:variant>
      <vt:variant>
        <vt:i4>65</vt:i4>
      </vt:variant>
      <vt:variant>
        <vt:i4>0</vt:i4>
      </vt:variant>
      <vt:variant>
        <vt:i4>5</vt:i4>
      </vt:variant>
      <vt:variant>
        <vt:lpwstr/>
      </vt:variant>
      <vt:variant>
        <vt:lpwstr>_Toc97711974</vt:lpwstr>
      </vt:variant>
      <vt:variant>
        <vt:i4>1769528</vt:i4>
      </vt:variant>
      <vt:variant>
        <vt:i4>59</vt:i4>
      </vt:variant>
      <vt:variant>
        <vt:i4>0</vt:i4>
      </vt:variant>
      <vt:variant>
        <vt:i4>5</vt:i4>
      </vt:variant>
      <vt:variant>
        <vt:lpwstr/>
      </vt:variant>
      <vt:variant>
        <vt:lpwstr>_Toc97711973</vt:lpwstr>
      </vt:variant>
      <vt:variant>
        <vt:i4>1703992</vt:i4>
      </vt:variant>
      <vt:variant>
        <vt:i4>53</vt:i4>
      </vt:variant>
      <vt:variant>
        <vt:i4>0</vt:i4>
      </vt:variant>
      <vt:variant>
        <vt:i4>5</vt:i4>
      </vt:variant>
      <vt:variant>
        <vt:lpwstr/>
      </vt:variant>
      <vt:variant>
        <vt:lpwstr>_Toc97711972</vt:lpwstr>
      </vt:variant>
      <vt:variant>
        <vt:i4>1638456</vt:i4>
      </vt:variant>
      <vt:variant>
        <vt:i4>47</vt:i4>
      </vt:variant>
      <vt:variant>
        <vt:i4>0</vt:i4>
      </vt:variant>
      <vt:variant>
        <vt:i4>5</vt:i4>
      </vt:variant>
      <vt:variant>
        <vt:lpwstr/>
      </vt:variant>
      <vt:variant>
        <vt:lpwstr>_Toc97711971</vt:lpwstr>
      </vt:variant>
      <vt:variant>
        <vt:i4>1572920</vt:i4>
      </vt:variant>
      <vt:variant>
        <vt:i4>41</vt:i4>
      </vt:variant>
      <vt:variant>
        <vt:i4>0</vt:i4>
      </vt:variant>
      <vt:variant>
        <vt:i4>5</vt:i4>
      </vt:variant>
      <vt:variant>
        <vt:lpwstr/>
      </vt:variant>
      <vt:variant>
        <vt:lpwstr>_Toc97711970</vt:lpwstr>
      </vt:variant>
      <vt:variant>
        <vt:i4>1114169</vt:i4>
      </vt:variant>
      <vt:variant>
        <vt:i4>35</vt:i4>
      </vt:variant>
      <vt:variant>
        <vt:i4>0</vt:i4>
      </vt:variant>
      <vt:variant>
        <vt:i4>5</vt:i4>
      </vt:variant>
      <vt:variant>
        <vt:lpwstr/>
      </vt:variant>
      <vt:variant>
        <vt:lpwstr>_Toc97711969</vt:lpwstr>
      </vt:variant>
      <vt:variant>
        <vt:i4>1048633</vt:i4>
      </vt:variant>
      <vt:variant>
        <vt:i4>29</vt:i4>
      </vt:variant>
      <vt:variant>
        <vt:i4>0</vt:i4>
      </vt:variant>
      <vt:variant>
        <vt:i4>5</vt:i4>
      </vt:variant>
      <vt:variant>
        <vt:lpwstr/>
      </vt:variant>
      <vt:variant>
        <vt:lpwstr>_Toc97711968</vt:lpwstr>
      </vt:variant>
      <vt:variant>
        <vt:i4>1900601</vt:i4>
      </vt:variant>
      <vt:variant>
        <vt:i4>23</vt:i4>
      </vt:variant>
      <vt:variant>
        <vt:i4>0</vt:i4>
      </vt:variant>
      <vt:variant>
        <vt:i4>5</vt:i4>
      </vt:variant>
      <vt:variant>
        <vt:lpwstr/>
      </vt:variant>
      <vt:variant>
        <vt:lpwstr>_Toc97711965</vt:lpwstr>
      </vt:variant>
      <vt:variant>
        <vt:i4>1835065</vt:i4>
      </vt:variant>
      <vt:variant>
        <vt:i4>17</vt:i4>
      </vt:variant>
      <vt:variant>
        <vt:i4>0</vt:i4>
      </vt:variant>
      <vt:variant>
        <vt:i4>5</vt:i4>
      </vt:variant>
      <vt:variant>
        <vt:lpwstr/>
      </vt:variant>
      <vt:variant>
        <vt:lpwstr>_Toc97711964</vt:lpwstr>
      </vt:variant>
      <vt:variant>
        <vt:i4>1769529</vt:i4>
      </vt:variant>
      <vt:variant>
        <vt:i4>11</vt:i4>
      </vt:variant>
      <vt:variant>
        <vt:i4>0</vt:i4>
      </vt:variant>
      <vt:variant>
        <vt:i4>5</vt:i4>
      </vt:variant>
      <vt:variant>
        <vt:lpwstr/>
      </vt:variant>
      <vt:variant>
        <vt:lpwstr>_Toc97711963</vt:lpwstr>
      </vt:variant>
      <vt:variant>
        <vt:i4>1703993</vt:i4>
      </vt:variant>
      <vt:variant>
        <vt:i4>5</vt:i4>
      </vt:variant>
      <vt:variant>
        <vt:i4>0</vt:i4>
      </vt:variant>
      <vt:variant>
        <vt:i4>5</vt:i4>
      </vt:variant>
      <vt:variant>
        <vt:lpwstr/>
      </vt:variant>
      <vt:variant>
        <vt:lpwstr>_Toc97711962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based care performance and reporting requirements policy</dc:title>
  <dc:creator>Feodora Fomin (DFFH)</dc:creator>
  <cp:lastModifiedBy>Maria</cp:lastModifiedBy>
  <cp:revision>3</cp:revision>
  <cp:lastPrinted>2021-01-29T05:27:00Z</cp:lastPrinted>
  <dcterms:created xsi:type="dcterms:W3CDTF">2024-01-03T06:47:00Z</dcterms:created>
  <dcterms:modified xsi:type="dcterms:W3CDTF">2024-01-03T06:51:00Z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2023-07-27T01:21:32Z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73f51641-fab7-44be-89ee-86a28416cdd5</vt:lpwstr>
  </property>
  <property fmtid="{D5CDD505-2E9C-101B-9397-08002B2CF9AE}" pid="11" name="MSIP_Label_43e64453-338c-4f93-8a4d-0039a0a41f2a_ContentBits">
    <vt:lpwstr>2</vt:lpwstr>
  </property>
</Properties>
</file>