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1272" w14:textId="5394DFF1" w:rsidR="0074696E" w:rsidRPr="004C6EEE" w:rsidRDefault="008B2029" w:rsidP="00AD784C">
      <w:pPr>
        <w:pStyle w:val="Spacerparatopoffirstpage"/>
      </w:pPr>
      <w:r>
        <w:drawing>
          <wp:anchor distT="0" distB="0" distL="114300" distR="114300" simplePos="0" relativeHeight="251658240" behindDoc="1" locked="1" layoutInCell="1" allowOverlap="1" wp14:anchorId="116012AB" wp14:editId="57B37985">
            <wp:simplePos x="0" y="0"/>
            <wp:positionH relativeFrom="page">
              <wp:align>left</wp:align>
            </wp:positionH>
            <wp:positionV relativeFrom="page">
              <wp:align>top</wp:align>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13DC7F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AD784C" w14:paraId="106C5350" w14:textId="77777777" w:rsidTr="0027131C">
        <w:tc>
          <w:tcPr>
            <w:tcW w:w="0" w:type="auto"/>
            <w:tcMar>
              <w:top w:w="1588" w:type="dxa"/>
              <w:left w:w="0" w:type="dxa"/>
              <w:right w:w="0" w:type="dxa"/>
            </w:tcMar>
          </w:tcPr>
          <w:p w14:paraId="7B9B5081" w14:textId="6EC1BCDD" w:rsidR="00AD784C" w:rsidRPr="00161AA0" w:rsidRDefault="0099272B" w:rsidP="00A32577">
            <w:pPr>
              <w:pStyle w:val="Mainheading"/>
              <w:spacing w:after="240"/>
            </w:pPr>
            <w:bookmarkStart w:id="0" w:name="_Hlk66723825"/>
            <w:r>
              <w:t>Streamlined</w:t>
            </w:r>
            <w:r w:rsidRPr="00101DF4">
              <w:t xml:space="preserve"> acquittal process for placement support brokerage</w:t>
            </w:r>
          </w:p>
        </w:tc>
      </w:tr>
      <w:tr w:rsidR="00AD784C" w14:paraId="67122BE0" w14:textId="77777777" w:rsidTr="004841BE">
        <w:tc>
          <w:tcPr>
            <w:tcW w:w="0" w:type="auto"/>
          </w:tcPr>
          <w:p w14:paraId="26C4CDA6" w14:textId="15F551A4" w:rsidR="00386109" w:rsidRPr="00A1389F" w:rsidRDefault="0099272B" w:rsidP="009315BE">
            <w:pPr>
              <w:pStyle w:val="Mainsubheading"/>
            </w:pPr>
            <w:r w:rsidRPr="0099272B">
              <w:t>Client support funding framework</w:t>
            </w:r>
            <w:r>
              <w:t xml:space="preserve">: </w:t>
            </w:r>
            <w:r w:rsidR="008A6366">
              <w:t>Operational update 1-202</w:t>
            </w:r>
            <w:r w:rsidR="003A491A">
              <w:t>1</w:t>
            </w:r>
            <w:r w:rsidR="008A6366">
              <w:t xml:space="preserve"> </w:t>
            </w:r>
          </w:p>
        </w:tc>
      </w:tr>
      <w:bookmarkEnd w:id="0"/>
      <w:tr w:rsidR="00430393" w14:paraId="3DBAA540" w14:textId="77777777" w:rsidTr="004841BE">
        <w:tc>
          <w:tcPr>
            <w:tcW w:w="0" w:type="auto"/>
          </w:tcPr>
          <w:p w14:paraId="5017D7B2" w14:textId="036BB0FD" w:rsidR="00430393" w:rsidRDefault="00914E77" w:rsidP="00430393">
            <w:pPr>
              <w:pStyle w:val="Bannermarking"/>
            </w:pPr>
            <w:r>
              <w:fldChar w:fldCharType="begin"/>
            </w:r>
            <w:r>
              <w:instrText xml:space="preserve"> FILLIN  "Type the protective marking" \d OFFICIAL \o  \* MERGEFORMAT </w:instrText>
            </w:r>
            <w:r>
              <w:fldChar w:fldCharType="separate"/>
            </w:r>
            <w:r w:rsidR="00430393" w:rsidRPr="003970B6">
              <w:t>OFFICIAL</w:t>
            </w:r>
            <w:r>
              <w:fldChar w:fldCharType="end"/>
            </w:r>
          </w:p>
        </w:tc>
      </w:tr>
    </w:tbl>
    <w:p w14:paraId="7AC644E6" w14:textId="4DB0AD11" w:rsidR="007173CA" w:rsidRPr="001B523C" w:rsidRDefault="007173CA" w:rsidP="00D079AA">
      <w:pPr>
        <w:pStyle w:val="Body"/>
      </w:pPr>
    </w:p>
    <w:p w14:paraId="234E1462" w14:textId="77777777" w:rsidR="00580394" w:rsidRPr="001B523C" w:rsidRDefault="00580394" w:rsidP="007173CA">
      <w:pPr>
        <w:pStyle w:val="Body"/>
        <w:sectPr w:rsidR="00580394" w:rsidRPr="001B523C" w:rsidSect="00F072AA">
          <w:headerReference w:type="default" r:id="rId18"/>
          <w:type w:val="continuous"/>
          <w:pgSz w:w="11906" w:h="16838" w:code="9"/>
          <w:pgMar w:top="1418" w:right="851" w:bottom="993" w:left="851" w:header="851" w:footer="851" w:gutter="0"/>
          <w:cols w:space="340"/>
          <w:titlePg/>
          <w:docGrid w:linePitch="360"/>
        </w:sectPr>
      </w:pPr>
    </w:p>
    <w:p w14:paraId="3E26BE9B" w14:textId="18125A66" w:rsidR="00101DF4" w:rsidRPr="00B57329" w:rsidRDefault="00101DF4" w:rsidP="00B428FD">
      <w:pPr>
        <w:pStyle w:val="Heading2"/>
        <w:spacing w:before="0"/>
      </w:pPr>
      <w:bookmarkStart w:id="1" w:name="_Toc62829998"/>
      <w:r>
        <w:t>Using this update</w:t>
      </w:r>
    </w:p>
    <w:p w14:paraId="14389661" w14:textId="52C0ADEB" w:rsidR="009F364B" w:rsidRDefault="009F364B" w:rsidP="00101DF4">
      <w:pPr>
        <w:pStyle w:val="Body"/>
      </w:pPr>
      <w:r w:rsidRPr="009F364B">
        <w:t xml:space="preserve">This update supports the operation of the </w:t>
      </w:r>
      <w:r w:rsidRPr="009F364B">
        <w:rPr>
          <w:i/>
          <w:iCs/>
        </w:rPr>
        <w:t>Statewide client support funding framework: Placement support brokerage and client expenses funding guidelines</w:t>
      </w:r>
      <w:r w:rsidRPr="009F364B">
        <w:t xml:space="preserve"> (2016)</w:t>
      </w:r>
      <w:r w:rsidR="00FC4B95">
        <w:t>.</w:t>
      </w:r>
      <w:r w:rsidRPr="009F364B">
        <w:t xml:space="preserve"> </w:t>
      </w:r>
      <w:r w:rsidR="00FC4B95">
        <w:t>I</w:t>
      </w:r>
      <w:r w:rsidRPr="009F364B">
        <w:t xml:space="preserve">t provides </w:t>
      </w:r>
      <w:r w:rsidR="001E5C4E">
        <w:t xml:space="preserve">updated </w:t>
      </w:r>
      <w:r w:rsidRPr="009F364B">
        <w:t xml:space="preserve">guidance in relation to acquittal </w:t>
      </w:r>
      <w:r w:rsidR="003048FA">
        <w:t xml:space="preserve">requirements for </w:t>
      </w:r>
      <w:r w:rsidRPr="009F364B">
        <w:t>placement support brokerage</w:t>
      </w:r>
      <w:r w:rsidR="004C3071">
        <w:t xml:space="preserve"> and </w:t>
      </w:r>
      <w:r w:rsidR="00E80413">
        <w:t xml:space="preserve">information about </w:t>
      </w:r>
      <w:r w:rsidR="004C3071" w:rsidRPr="004C3071">
        <w:t xml:space="preserve">the </w:t>
      </w:r>
      <w:r w:rsidR="004C3071">
        <w:t>new acquittal template</w:t>
      </w:r>
      <w:r w:rsidR="009601AB">
        <w:t xml:space="preserve"> for service providers</w:t>
      </w:r>
      <w:r w:rsidRPr="009F364B">
        <w:t>.</w:t>
      </w:r>
    </w:p>
    <w:p w14:paraId="5E5B7724" w14:textId="7C5B3C95" w:rsidR="00101DF4" w:rsidRPr="00B57329" w:rsidRDefault="00101DF4" w:rsidP="00101DF4">
      <w:pPr>
        <w:pStyle w:val="Heading2"/>
      </w:pPr>
      <w:r w:rsidRPr="00101DF4">
        <w:t>Which service providers and placement types are affected?</w:t>
      </w:r>
    </w:p>
    <w:p w14:paraId="5A4782B4" w14:textId="547A4123" w:rsidR="00167568" w:rsidRDefault="009F364B" w:rsidP="00167568">
      <w:pPr>
        <w:pStyle w:val="Body"/>
      </w:pPr>
      <w:r>
        <w:t xml:space="preserve">Placement support brokerage is available to service providers </w:t>
      </w:r>
      <w:r w:rsidR="00C10740">
        <w:t>that</w:t>
      </w:r>
      <w:r>
        <w:t xml:space="preserve"> have been allocated foster care and lead tenant placements for children and young people involved with the child protection program. </w:t>
      </w:r>
      <w:r w:rsidR="00167568" w:rsidRPr="00E67121">
        <w:t>This funding is provided to agencies in their service agreement under activity 31217 – Client Placement Support Services.</w:t>
      </w:r>
    </w:p>
    <w:p w14:paraId="470CDE6B" w14:textId="13E08830" w:rsidR="00E67121" w:rsidRDefault="009F364B" w:rsidP="00F50751">
      <w:pPr>
        <w:pStyle w:val="Body"/>
      </w:pPr>
      <w:r w:rsidRPr="005E76E5">
        <w:t>Eligible placement types</w:t>
      </w:r>
      <w:r>
        <w:t xml:space="preserve"> include: home-based care (general, intensive and complex), therapeutic foster care, adolescent community placement, and lead tenant services</w:t>
      </w:r>
      <w:r w:rsidR="00497A0F">
        <w:t>.</w:t>
      </w:r>
    </w:p>
    <w:p w14:paraId="0F5EB9E0" w14:textId="78240ADF" w:rsidR="00101DF4" w:rsidRPr="00B57329" w:rsidRDefault="00657189" w:rsidP="00101DF4">
      <w:pPr>
        <w:pStyle w:val="Heading2"/>
      </w:pPr>
      <w:r>
        <w:t>How</w:t>
      </w:r>
      <w:r w:rsidRPr="00306082">
        <w:t xml:space="preserve"> </w:t>
      </w:r>
      <w:r w:rsidR="00306082" w:rsidRPr="00306082">
        <w:t xml:space="preserve">are </w:t>
      </w:r>
      <w:r w:rsidRPr="00306082">
        <w:t xml:space="preserve">acquittal requirements </w:t>
      </w:r>
      <w:r>
        <w:t>changing</w:t>
      </w:r>
      <w:r w:rsidR="00306082" w:rsidRPr="00306082">
        <w:t xml:space="preserve">? </w:t>
      </w:r>
    </w:p>
    <w:p w14:paraId="65A7EC88" w14:textId="1F70394B" w:rsidR="009F364B" w:rsidRDefault="009F364B" w:rsidP="009F364B">
      <w:pPr>
        <w:pStyle w:val="Body"/>
      </w:pPr>
      <w:r>
        <w:t xml:space="preserve">Quarterly reporting of expenditure by item at a </w:t>
      </w:r>
      <w:r w:rsidRPr="00C10740">
        <w:t xml:space="preserve">client level </w:t>
      </w:r>
      <w:r w:rsidR="005D01D4" w:rsidRPr="00C10740">
        <w:t>has been</w:t>
      </w:r>
      <w:r w:rsidRPr="00C10740">
        <w:t xml:space="preserve"> replaced by </w:t>
      </w:r>
      <w:r w:rsidRPr="00C10740">
        <w:rPr>
          <w:i/>
          <w:iCs/>
        </w:rPr>
        <w:t>annual</w:t>
      </w:r>
      <w:r w:rsidRPr="00C10740">
        <w:t xml:space="preserve"> reporting of expenditure by </w:t>
      </w:r>
      <w:r w:rsidRPr="00C10740">
        <w:rPr>
          <w:i/>
          <w:iCs/>
        </w:rPr>
        <w:t>placement support category</w:t>
      </w:r>
      <w:r w:rsidRPr="00C10740">
        <w:t>.</w:t>
      </w:r>
      <w:r>
        <w:t xml:space="preserve"> </w:t>
      </w:r>
    </w:p>
    <w:p w14:paraId="2495CD66" w14:textId="405776A9" w:rsidR="00E129E5" w:rsidRDefault="009F364B" w:rsidP="00655FD9">
      <w:pPr>
        <w:pStyle w:val="Body"/>
      </w:pPr>
      <w:r>
        <w:t>This means that service providers are not required to routinely provide date, client name, funded activity, item descriptor</w:t>
      </w:r>
      <w:r w:rsidR="00E37B26">
        <w:t>,</w:t>
      </w:r>
      <w:r>
        <w:t xml:space="preserve"> and period of service information for acquittal of placement support brokerage expenditure</w:t>
      </w:r>
      <w:r w:rsidR="006636EB">
        <w:t xml:space="preserve">.  </w:t>
      </w:r>
    </w:p>
    <w:p w14:paraId="2D754C8B" w14:textId="3AE00AB8" w:rsidR="00E129E5" w:rsidRDefault="009F364B" w:rsidP="009F364B">
      <w:pPr>
        <w:pStyle w:val="Body"/>
      </w:pPr>
      <w:r>
        <w:t>Please note that</w:t>
      </w:r>
      <w:r w:rsidR="00E129E5">
        <w:t>:</w:t>
      </w:r>
    </w:p>
    <w:p w14:paraId="1DC0E315" w14:textId="77777777" w:rsidR="00F304D0" w:rsidRDefault="00F304D0" w:rsidP="00F50751">
      <w:pPr>
        <w:pStyle w:val="Bullet1"/>
      </w:pPr>
      <w:r>
        <w:t>u</w:t>
      </w:r>
      <w:r w:rsidRPr="00655FD9">
        <w:t>se</w:t>
      </w:r>
      <w:r>
        <w:t xml:space="preserve"> of funds may be audited at a detailed (item) level by the department to ensure expenditure is in line with its intended purpose, and to support ongoing policy development and planning </w:t>
      </w:r>
    </w:p>
    <w:p w14:paraId="35403865" w14:textId="77777777" w:rsidR="00F304D0" w:rsidRDefault="00F50751" w:rsidP="00F50751">
      <w:pPr>
        <w:pStyle w:val="Bullet1"/>
      </w:pPr>
      <w:r>
        <w:t xml:space="preserve">these changes </w:t>
      </w:r>
      <w:r w:rsidR="009F364B">
        <w:t xml:space="preserve">do not apply to the </w:t>
      </w:r>
      <w:r w:rsidR="009F364B" w:rsidRPr="00ED6290">
        <w:t xml:space="preserve">acquittal of </w:t>
      </w:r>
      <w:r w:rsidR="009F364B" w:rsidRPr="00ED6290">
        <w:rPr>
          <w:i/>
          <w:iCs/>
        </w:rPr>
        <w:t xml:space="preserve">high-cost </w:t>
      </w:r>
      <w:r w:rsidR="009F364B" w:rsidRPr="00ED6290">
        <w:t>placement support</w:t>
      </w:r>
      <w:r w:rsidR="009F364B" w:rsidRPr="00ED6290">
        <w:rPr>
          <w:rStyle w:val="FootnoteReference"/>
        </w:rPr>
        <w:footnoteReference w:id="1"/>
      </w:r>
      <w:r w:rsidR="009F364B" w:rsidRPr="00ED6290">
        <w:t>, for which service providers will still need to provide expenditure information by item at a client level</w:t>
      </w:r>
    </w:p>
    <w:p w14:paraId="0DC5C1B3" w14:textId="6276D350" w:rsidR="00F50751" w:rsidRDefault="00F304D0" w:rsidP="00F50751">
      <w:pPr>
        <w:pStyle w:val="Bullet1"/>
      </w:pPr>
      <w:r>
        <w:t>these changes</w:t>
      </w:r>
      <w:r w:rsidR="00F50751">
        <w:t xml:space="preserve"> do not affect </w:t>
      </w:r>
      <w:r w:rsidR="00F50751" w:rsidRPr="00E129E5">
        <w:t>performance report</w:t>
      </w:r>
      <w:r w:rsidR="00F50751">
        <w:t xml:space="preserve">ing </w:t>
      </w:r>
      <w:r w:rsidR="00F50751" w:rsidRPr="00E129E5">
        <w:t>against funded targets via service delivery tracking (SDT)</w:t>
      </w:r>
      <w:r>
        <w:t>.</w:t>
      </w:r>
    </w:p>
    <w:p w14:paraId="78E3A7C8" w14:textId="2412B21A" w:rsidR="00A62D44" w:rsidRPr="00B57329" w:rsidRDefault="00306082" w:rsidP="00F304D0">
      <w:pPr>
        <w:pStyle w:val="Heading2"/>
        <w:keepNext w:val="0"/>
        <w:keepLines w:val="0"/>
        <w:widowControl w:val="0"/>
      </w:pPr>
      <w:bookmarkStart w:id="2" w:name="_Toc62829999"/>
      <w:bookmarkEnd w:id="1"/>
      <w:r w:rsidRPr="00306082">
        <w:t>What is the rationale for these changes?</w:t>
      </w:r>
      <w:bookmarkEnd w:id="2"/>
    </w:p>
    <w:p w14:paraId="7C1828AE" w14:textId="59A686AC" w:rsidR="00944FFE" w:rsidRDefault="00C46B99" w:rsidP="00F304D0">
      <w:pPr>
        <w:pStyle w:val="Body"/>
        <w:widowControl w:val="0"/>
      </w:pPr>
      <w:r w:rsidRPr="00C46B99">
        <w:t xml:space="preserve">Placement support brokerage is </w:t>
      </w:r>
      <w:r>
        <w:t>allocated</w:t>
      </w:r>
      <w:r w:rsidRPr="00C46B99">
        <w:t xml:space="preserve"> to service providers based on the number of foster care and lead tenant placement targets they </w:t>
      </w:r>
      <w:r>
        <w:t>have</w:t>
      </w:r>
      <w:r w:rsidR="00F63475">
        <w:t xml:space="preserve"> been assigned</w:t>
      </w:r>
      <w:r w:rsidRPr="00C46B99">
        <w:t xml:space="preserve">. </w:t>
      </w:r>
      <w:r w:rsidR="00944FFE" w:rsidRPr="00C46B99">
        <w:t xml:space="preserve">It is not expected that a specific brokerage amount </w:t>
      </w:r>
      <w:r w:rsidR="00FE5BBD">
        <w:t>is</w:t>
      </w:r>
      <w:r w:rsidR="00944FFE" w:rsidRPr="00C46B99">
        <w:t xml:space="preserve"> </w:t>
      </w:r>
      <w:r w:rsidR="00944FFE" w:rsidRPr="00C46B99">
        <w:lastRenderedPageBreak/>
        <w:t xml:space="preserve">attached to each </w:t>
      </w:r>
      <w:r w:rsidR="00F57289">
        <w:t>client</w:t>
      </w:r>
      <w:r w:rsidR="00944FFE" w:rsidRPr="00C46B99">
        <w:t xml:space="preserve">, but that service providers use the brokerage as a pool of funds </w:t>
      </w:r>
      <w:r w:rsidR="00355DEE">
        <w:t xml:space="preserve">and </w:t>
      </w:r>
      <w:r w:rsidR="00944FFE" w:rsidRPr="00C46B99">
        <w:t xml:space="preserve">based on need. </w:t>
      </w:r>
    </w:p>
    <w:p w14:paraId="4CD21FDC" w14:textId="6038BF85" w:rsidR="00306082" w:rsidRDefault="00306082" w:rsidP="00F304D0">
      <w:pPr>
        <w:pStyle w:val="Body"/>
        <w:widowControl w:val="0"/>
      </w:pPr>
      <w:r>
        <w:t xml:space="preserve">Reporting expenditure by category on an annual basis streamlines the administrative effort required to acquit funds. It provides proportionate accountability that is more consistent and aligned with the level at which funding is allocated, and supports analysis of expenditure trends. </w:t>
      </w:r>
    </w:p>
    <w:p w14:paraId="59CCEAF4" w14:textId="77777777" w:rsidR="003048FA" w:rsidRDefault="003048FA" w:rsidP="00F072AA">
      <w:pPr>
        <w:pStyle w:val="Body"/>
        <w:keepNext/>
        <w:keepLines/>
      </w:pPr>
      <w:r>
        <w:t>This level of reporting is also considered appropriate given that:</w:t>
      </w:r>
    </w:p>
    <w:p w14:paraId="33D6B95A" w14:textId="77777777" w:rsidR="003048FA" w:rsidRPr="003048FA" w:rsidRDefault="003048FA" w:rsidP="00F072AA">
      <w:pPr>
        <w:pStyle w:val="Bullet1"/>
        <w:keepNext/>
        <w:keepLines/>
      </w:pPr>
      <w:r>
        <w:t xml:space="preserve">requests for high-cost placement support must be approved by the department and acquitted at an item level </w:t>
      </w:r>
    </w:p>
    <w:p w14:paraId="4F91708F" w14:textId="77777777" w:rsidR="003048FA" w:rsidRDefault="003048FA" w:rsidP="003048FA">
      <w:pPr>
        <w:pStyle w:val="Bullet1"/>
      </w:pPr>
      <w:r>
        <w:t>if there are concerns that funds are not being managed in accordance with the funding framework, the department can seek additional detail from service providers for audit purposes</w:t>
      </w:r>
    </w:p>
    <w:p w14:paraId="19980700" w14:textId="77777777" w:rsidR="003048FA" w:rsidRDefault="003048FA" w:rsidP="003048FA">
      <w:pPr>
        <w:pStyle w:val="Bullet1"/>
      </w:pPr>
      <w:r>
        <w:t>additional detail can also be requested to support policy development or planning.</w:t>
      </w:r>
    </w:p>
    <w:p w14:paraId="65DB1209" w14:textId="606E815C" w:rsidR="003048FA" w:rsidRPr="00B57329" w:rsidRDefault="003048FA" w:rsidP="003048FA">
      <w:pPr>
        <w:pStyle w:val="Heading2"/>
      </w:pPr>
      <w:r w:rsidRPr="003048FA">
        <w:t>What acquittal information will service providers submit</w:t>
      </w:r>
      <w:r w:rsidRPr="00306082">
        <w:t>?</w:t>
      </w:r>
    </w:p>
    <w:p w14:paraId="6F6AFE49" w14:textId="2A4E4E19" w:rsidR="003048FA" w:rsidRDefault="003048FA" w:rsidP="003048FA">
      <w:pPr>
        <w:pStyle w:val="Body"/>
      </w:pPr>
      <w:r w:rsidRPr="003048FA">
        <w:t>Under the streamlined acquittal requirements, service providers are required to report spending against the expenditure categories for placement support brokerage:</w:t>
      </w:r>
    </w:p>
    <w:p w14:paraId="33245CDF" w14:textId="046A9306" w:rsidR="009F364B" w:rsidRDefault="009F364B" w:rsidP="009F364B">
      <w:pPr>
        <w:pStyle w:val="Bullet1"/>
        <w:numPr>
          <w:ilvl w:val="0"/>
          <w:numId w:val="41"/>
        </w:numPr>
        <w:ind w:left="851" w:hanging="491"/>
      </w:pPr>
      <w:r>
        <w:t>Items and equipment</w:t>
      </w:r>
    </w:p>
    <w:p w14:paraId="150B95F4" w14:textId="4CC20A66" w:rsidR="009F364B" w:rsidRDefault="009F364B" w:rsidP="009F364B">
      <w:pPr>
        <w:pStyle w:val="Bullet1"/>
        <w:numPr>
          <w:ilvl w:val="0"/>
          <w:numId w:val="41"/>
        </w:numPr>
        <w:ind w:left="851" w:hanging="491"/>
      </w:pPr>
      <w:r>
        <w:t>Assist integration in the household</w:t>
      </w:r>
    </w:p>
    <w:p w14:paraId="78847B4B" w14:textId="4B15C0D9" w:rsidR="009F364B" w:rsidRDefault="009F364B" w:rsidP="009F364B">
      <w:pPr>
        <w:pStyle w:val="Bullet1"/>
        <w:numPr>
          <w:ilvl w:val="0"/>
          <w:numId w:val="41"/>
        </w:numPr>
        <w:ind w:left="851" w:hanging="491"/>
      </w:pPr>
      <w:r>
        <w:t xml:space="preserve">Carer support </w:t>
      </w:r>
    </w:p>
    <w:p w14:paraId="0D7ADB4B" w14:textId="1C941DD9" w:rsidR="009F364B" w:rsidRDefault="009F364B" w:rsidP="009F364B">
      <w:pPr>
        <w:pStyle w:val="Bullet1"/>
        <w:numPr>
          <w:ilvl w:val="0"/>
          <w:numId w:val="41"/>
        </w:numPr>
        <w:ind w:left="851" w:hanging="491"/>
      </w:pPr>
      <w:r>
        <w:t>Childcare under $3,000 where the carer works, studies or attends training</w:t>
      </w:r>
    </w:p>
    <w:p w14:paraId="3D3B8737" w14:textId="7949DF93" w:rsidR="009F364B" w:rsidRDefault="009F364B" w:rsidP="009F364B">
      <w:pPr>
        <w:pStyle w:val="Bullet1"/>
        <w:numPr>
          <w:ilvl w:val="0"/>
          <w:numId w:val="41"/>
        </w:numPr>
        <w:ind w:left="851" w:hanging="491"/>
      </w:pPr>
      <w:r>
        <w:t>Transport under $3,000</w:t>
      </w:r>
    </w:p>
    <w:p w14:paraId="2FBF20F3" w14:textId="22131120" w:rsidR="009F364B" w:rsidRDefault="009F364B" w:rsidP="009F364B">
      <w:pPr>
        <w:pStyle w:val="Bullet1"/>
        <w:numPr>
          <w:ilvl w:val="0"/>
          <w:numId w:val="41"/>
        </w:numPr>
        <w:ind w:left="851" w:hanging="491"/>
      </w:pPr>
      <w:r>
        <w:t>Insurance</w:t>
      </w:r>
    </w:p>
    <w:p w14:paraId="7A8C48AD" w14:textId="5084C2E1" w:rsidR="009F364B" w:rsidRDefault="009F364B" w:rsidP="009F364B">
      <w:pPr>
        <w:pStyle w:val="Bullet1"/>
        <w:numPr>
          <w:ilvl w:val="0"/>
          <w:numId w:val="41"/>
        </w:numPr>
        <w:ind w:left="851" w:hanging="491"/>
      </w:pPr>
      <w:r>
        <w:t>Other.</w:t>
      </w:r>
    </w:p>
    <w:p w14:paraId="364CCC90" w14:textId="64896D31" w:rsidR="00FE2E59" w:rsidRDefault="00FE2E59" w:rsidP="00FE2E59">
      <w:pPr>
        <w:pStyle w:val="Bodyafterbullets"/>
      </w:pPr>
      <w:r>
        <w:t xml:space="preserve">Total expenditure will be deducted from the total funds allocated to the organisation for the financial year to determine </w:t>
      </w:r>
      <w:r w:rsidRPr="00FE5BBD">
        <w:t>funds to be recouped by the department</w:t>
      </w:r>
      <w:r w:rsidR="00DC0F0F">
        <w:t>, where applicable</w:t>
      </w:r>
      <w:r>
        <w:t xml:space="preserve">. </w:t>
      </w:r>
    </w:p>
    <w:p w14:paraId="3B508F19" w14:textId="77777777" w:rsidR="00FE2E59" w:rsidRDefault="00FE2E59" w:rsidP="00FE2E59">
      <w:pPr>
        <w:pStyle w:val="Body"/>
      </w:pPr>
      <w:r>
        <w:t>Note that:</w:t>
      </w:r>
    </w:p>
    <w:p w14:paraId="1C8E834F" w14:textId="4925E79F" w:rsidR="00FE2E59" w:rsidRDefault="00FE2E59" w:rsidP="00FE2E59">
      <w:pPr>
        <w:pStyle w:val="Bullet1"/>
      </w:pPr>
      <w:r>
        <w:t>total funds allocated will be adjusted to reflect full year funding if</w:t>
      </w:r>
      <w:r w:rsidR="003F34A6">
        <w:t xml:space="preserve"> the number of </w:t>
      </w:r>
      <w:r>
        <w:t xml:space="preserve">service provider targets </w:t>
      </w:r>
      <w:r w:rsidR="003F34A6">
        <w:t xml:space="preserve">is </w:t>
      </w:r>
      <w:r>
        <w:t>amended during the year based on performance</w:t>
      </w:r>
    </w:p>
    <w:p w14:paraId="22501D48" w14:textId="617DF5C8" w:rsidR="00FE2E59" w:rsidRDefault="00FE2E59" w:rsidP="00FE2E59">
      <w:pPr>
        <w:pStyle w:val="Bullet1"/>
      </w:pPr>
      <w:r>
        <w:t>use of funds may be audited at a detailed (item) level by the department to ensure expenditure is in line with its intended purpose, and to support ongoing policy development and planning</w:t>
      </w:r>
    </w:p>
    <w:p w14:paraId="768013BE" w14:textId="2CB5BDFF" w:rsidR="00FE2E59" w:rsidRDefault="00FE2E59" w:rsidP="00FE2E59">
      <w:pPr>
        <w:pStyle w:val="Bullet1"/>
      </w:pPr>
      <w:r>
        <w:t xml:space="preserve">service providers </w:t>
      </w:r>
      <w:r w:rsidR="005D01D4" w:rsidRPr="005D01D4">
        <w:t>are expected to use their discretion and manage their placement support brokerage budget within their allocation</w:t>
      </w:r>
      <w:r w:rsidR="005D01D4">
        <w:t xml:space="preserve">, and </w:t>
      </w:r>
      <w:r>
        <w:t>are required to keep track of cumulative and projected expenditure on individual clients to identify when applications for high-cost placement support are required</w:t>
      </w:r>
      <w:r w:rsidR="005D01D4" w:rsidRPr="005D01D4">
        <w:t>.</w:t>
      </w:r>
      <w:r>
        <w:t xml:space="preserve"> </w:t>
      </w:r>
    </w:p>
    <w:p w14:paraId="4A6E5B92" w14:textId="72F7006B" w:rsidR="00E76818" w:rsidRPr="000F67F2" w:rsidRDefault="00E76818" w:rsidP="00B428FD">
      <w:pPr>
        <w:pStyle w:val="Bodyafterbullets"/>
      </w:pPr>
      <w:r w:rsidRPr="000F67F2">
        <w:t xml:space="preserve">The structure of the </w:t>
      </w:r>
      <w:r w:rsidR="008C6353">
        <w:t xml:space="preserve">new </w:t>
      </w:r>
      <w:r w:rsidRPr="000F67F2">
        <w:t xml:space="preserve">acquittal template and a link to the Excel file with the new template can be found at </w:t>
      </w:r>
      <w:r w:rsidRPr="00B428FD">
        <w:t>Attachment 1</w:t>
      </w:r>
      <w:r w:rsidRPr="000F67F2">
        <w:t xml:space="preserve">. </w:t>
      </w:r>
      <w:r w:rsidR="00024F44">
        <w:t xml:space="preserve">This template </w:t>
      </w:r>
      <w:r w:rsidR="00024F44" w:rsidRPr="008C6353">
        <w:t>replaces</w:t>
      </w:r>
      <w:r w:rsidR="00024F44">
        <w:t xml:space="preserve"> the previous</w:t>
      </w:r>
      <w:r w:rsidR="00355DEE">
        <w:t>, more</w:t>
      </w:r>
      <w:r w:rsidR="00024F44">
        <w:t xml:space="preserve"> detailed template</w:t>
      </w:r>
      <w:r w:rsidR="00E06086">
        <w:t xml:space="preserve"> that was submitted quarterly</w:t>
      </w:r>
      <w:r w:rsidR="00024F44">
        <w:t>.</w:t>
      </w:r>
    </w:p>
    <w:p w14:paraId="12684254" w14:textId="7862BAD4" w:rsidR="006A45D4" w:rsidRPr="006A45D4" w:rsidRDefault="006A45D4" w:rsidP="00B3506D">
      <w:pPr>
        <w:pStyle w:val="Heading2"/>
        <w:keepNext w:val="0"/>
        <w:keepLines w:val="0"/>
      </w:pPr>
      <w:r w:rsidRPr="006A45D4">
        <w:t xml:space="preserve">What happens to acquittal spreadsheets tracking expenditure for the start of 2020-21? </w:t>
      </w:r>
    </w:p>
    <w:p w14:paraId="08FBF1A1" w14:textId="0AB6617F" w:rsidR="00F07F68" w:rsidRPr="00623A19" w:rsidRDefault="00C10740" w:rsidP="00B3506D">
      <w:pPr>
        <w:pStyle w:val="Body"/>
      </w:pPr>
      <w:r>
        <w:t xml:space="preserve">Service providers </w:t>
      </w:r>
      <w:r w:rsidRPr="00623A19">
        <w:t xml:space="preserve">should consolidate </w:t>
      </w:r>
      <w:r w:rsidR="007354D8" w:rsidRPr="00623A19">
        <w:t xml:space="preserve">existing </w:t>
      </w:r>
      <w:r w:rsidRPr="00623A19">
        <w:t>e</w:t>
      </w:r>
      <w:r w:rsidR="003A6720" w:rsidRPr="00623A19">
        <w:t xml:space="preserve">xpenditure information in quarterly acquittal spreadsheets in the new </w:t>
      </w:r>
      <w:r w:rsidR="00CB0E38">
        <w:t xml:space="preserve">annual </w:t>
      </w:r>
      <w:r w:rsidR="003A6720" w:rsidRPr="00623A19">
        <w:t>acquittal template and forward to local</w:t>
      </w:r>
      <w:r w:rsidR="00627944" w:rsidRPr="00623A19">
        <w:t xml:space="preserve"> contacts at the department </w:t>
      </w:r>
      <w:r w:rsidR="00AF2DF9" w:rsidRPr="00623A19">
        <w:t xml:space="preserve">for submission at </w:t>
      </w:r>
      <w:r w:rsidR="00E50EC1" w:rsidRPr="00623A19">
        <w:t xml:space="preserve">the end of the financial year. </w:t>
      </w:r>
    </w:p>
    <w:p w14:paraId="57A606B1" w14:textId="6EED3543" w:rsidR="00032CFF" w:rsidRPr="002365B4" w:rsidRDefault="00032CFF" w:rsidP="00B3506D">
      <w:pPr>
        <w:pStyle w:val="Body"/>
      </w:pPr>
      <w:r w:rsidRPr="00623A19">
        <w:t xml:space="preserve">There </w:t>
      </w:r>
      <w:r w:rsidR="00401FBE" w:rsidRPr="00623A19">
        <w:t>are</w:t>
      </w:r>
      <w:r w:rsidRPr="00623A19">
        <w:t xml:space="preserve"> no change</w:t>
      </w:r>
      <w:r w:rsidR="00401FBE" w:rsidRPr="00623A19">
        <w:t>s</w:t>
      </w:r>
      <w:r w:rsidRPr="00623A19">
        <w:t xml:space="preserve"> to the acquittal template</w:t>
      </w:r>
      <w:r>
        <w:t xml:space="preserve"> or acquittal process for high-cost placement support.</w:t>
      </w:r>
    </w:p>
    <w:p w14:paraId="081C7D06" w14:textId="2485AEFD" w:rsidR="009F364B" w:rsidRPr="0029752B" w:rsidRDefault="00823FA4" w:rsidP="00B3506D">
      <w:pPr>
        <w:pStyle w:val="Heading2"/>
      </w:pPr>
      <w:r>
        <w:lastRenderedPageBreak/>
        <w:t>Further information</w:t>
      </w:r>
    </w:p>
    <w:p w14:paraId="46E0304C" w14:textId="5064821A" w:rsidR="00D37CFB" w:rsidRDefault="009919C1" w:rsidP="00B3506D">
      <w:pPr>
        <w:pStyle w:val="Body"/>
        <w:keepNext/>
        <w:keepLines/>
      </w:pPr>
      <w:r w:rsidRPr="001E5C4E">
        <w:t>F</w:t>
      </w:r>
      <w:r w:rsidR="00823FA4" w:rsidRPr="001E5C4E">
        <w:t xml:space="preserve">urther information on the client support funding framework </w:t>
      </w:r>
      <w:r w:rsidR="00FA1C58">
        <w:t xml:space="preserve">and placement support brokerage </w:t>
      </w:r>
      <w:r w:rsidRPr="001E5C4E">
        <w:t xml:space="preserve">is </w:t>
      </w:r>
      <w:r w:rsidR="00823FA4" w:rsidRPr="001E5C4E">
        <w:t xml:space="preserve">available on the department’s website on </w:t>
      </w:r>
      <w:r w:rsidR="00823FA4" w:rsidRPr="008C1A3C">
        <w:rPr>
          <w:rFonts w:cs="Arial"/>
        </w:rPr>
        <w:t xml:space="preserve">the </w:t>
      </w:r>
      <w:hyperlink r:id="rId19" w:history="1">
        <w:r w:rsidR="008C1A3C" w:rsidRPr="008C1A3C">
          <w:rPr>
            <w:rStyle w:val="Hyperlink"/>
            <w:rFonts w:cs="Arial"/>
            <w:bCs/>
            <w:lang w:eastAsia="en-AU"/>
          </w:rPr>
          <w:t>Support for home based carers</w:t>
        </w:r>
      </w:hyperlink>
      <w:r w:rsidR="008C1A3C" w:rsidRPr="008C1A3C">
        <w:rPr>
          <w:rStyle w:val="Hyperlink"/>
          <w:rFonts w:cs="Arial"/>
          <w:bCs/>
          <w:lang w:eastAsia="en-AU"/>
        </w:rPr>
        <w:t xml:space="preserve"> </w:t>
      </w:r>
      <w:r w:rsidR="00823FA4" w:rsidRPr="008C1A3C">
        <w:rPr>
          <w:rFonts w:cs="Arial"/>
        </w:rPr>
        <w:t>at</w:t>
      </w:r>
      <w:r w:rsidR="00823FA4" w:rsidRPr="001E5C4E">
        <w:t xml:space="preserve"> &lt;</w:t>
      </w:r>
      <w:r w:rsidR="008C1A3C" w:rsidRPr="008C1A3C">
        <w:t>https://services.dffh.vic.gov.au/support-carer</w:t>
      </w:r>
      <w:r w:rsidR="008C1A3C">
        <w:t>s</w:t>
      </w:r>
      <w:r w:rsidR="00823FA4" w:rsidRPr="001E5C4E">
        <w:t>&gt;.</w:t>
      </w:r>
    </w:p>
    <w:p w14:paraId="283E0417" w14:textId="77777777" w:rsidR="00D37CFB" w:rsidRDefault="00D37CFB" w:rsidP="00162CA9">
      <w:pPr>
        <w:pStyle w:val="Body"/>
        <w:sectPr w:rsidR="00D37CFB" w:rsidSect="00CA48C5">
          <w:type w:val="continuous"/>
          <w:pgSz w:w="11906" w:h="16838" w:code="9"/>
          <w:pgMar w:top="1418" w:right="851" w:bottom="1135" w:left="851" w:header="680" w:footer="851" w:gutter="0"/>
          <w:cols w:space="340"/>
          <w:docGrid w:linePitch="360"/>
        </w:sectPr>
      </w:pPr>
    </w:p>
    <w:p w14:paraId="6E3B22ED" w14:textId="7B3AD35B" w:rsidR="00D37CFB" w:rsidRPr="00B57329" w:rsidRDefault="00D37CFB" w:rsidP="00D37CFB">
      <w:pPr>
        <w:pStyle w:val="Heading2"/>
      </w:pPr>
      <w:r>
        <w:lastRenderedPageBreak/>
        <w:t>Attachment 1</w:t>
      </w:r>
      <w:r w:rsidR="00306082">
        <w:t>: Streamlined e</w:t>
      </w:r>
      <w:r w:rsidR="00306082" w:rsidRPr="00306082">
        <w:t xml:space="preserve">xpenditure </w:t>
      </w:r>
      <w:r w:rsidR="000F67F2">
        <w:t>a</w:t>
      </w:r>
      <w:r w:rsidR="00306082" w:rsidRPr="00306082">
        <w:t xml:space="preserve">cquittal </w:t>
      </w:r>
      <w:r w:rsidR="000F67F2">
        <w:t>t</w:t>
      </w:r>
      <w:r w:rsidR="00306082" w:rsidRPr="00306082">
        <w:t>emplate</w:t>
      </w:r>
    </w:p>
    <w:p w14:paraId="0031381A" w14:textId="77777777" w:rsidR="00D37CFB" w:rsidRDefault="00D37CFB" w:rsidP="00D37CFB">
      <w:pPr>
        <w:pStyle w:val="Body"/>
      </w:pPr>
      <w:r>
        <w:t xml:space="preserve">Figures 1 and 2 illustrate the structure and use of the streamlined acquittal template for placement support brokerage. </w:t>
      </w:r>
    </w:p>
    <w:p w14:paraId="7C84C425" w14:textId="13C155F3" w:rsidR="00D37CFB" w:rsidRDefault="00D37CFB" w:rsidP="00D37CFB">
      <w:pPr>
        <w:pStyle w:val="Body"/>
      </w:pPr>
      <w:bookmarkStart w:id="3" w:name="_Hlk71028983"/>
      <w:r w:rsidRPr="001E5C4E">
        <w:t xml:space="preserve">The Excel file </w:t>
      </w:r>
      <w:r w:rsidR="00D84EB1">
        <w:t>containing</w:t>
      </w:r>
      <w:r w:rsidR="00D84EB1" w:rsidRPr="001E5C4E">
        <w:t xml:space="preserve"> </w:t>
      </w:r>
      <w:r w:rsidR="000F67F2" w:rsidRPr="001E5C4E">
        <w:t xml:space="preserve">guidance and </w:t>
      </w:r>
      <w:r w:rsidR="0033576F" w:rsidRPr="001E5C4E">
        <w:t xml:space="preserve">the </w:t>
      </w:r>
      <w:r w:rsidR="000A2EA8" w:rsidRPr="001E5C4E">
        <w:t xml:space="preserve">new </w:t>
      </w:r>
      <w:r w:rsidR="000F67F2" w:rsidRPr="001E5C4E">
        <w:t xml:space="preserve">acquittal </w:t>
      </w:r>
      <w:r w:rsidRPr="001E5C4E">
        <w:t xml:space="preserve">template for </w:t>
      </w:r>
      <w:r w:rsidRPr="00FA1C58">
        <w:t>placement support brokerage can be downloaded from the</w:t>
      </w:r>
      <w:r w:rsidR="008C1A3C">
        <w:t xml:space="preserve"> </w:t>
      </w:r>
      <w:hyperlink r:id="rId20" w:history="1">
        <w:r w:rsidR="008C1A3C" w:rsidRPr="008C1A3C">
          <w:rPr>
            <w:rStyle w:val="Hyperlink"/>
            <w:szCs w:val="19"/>
          </w:rPr>
          <w:t>Funded Agency Channel</w:t>
        </w:r>
      </w:hyperlink>
      <w:r w:rsidRPr="001E5C4E">
        <w:t xml:space="preserve"> &lt;</w:t>
      </w:r>
      <w:r w:rsidR="008C1A3C" w:rsidRPr="008C1A3C">
        <w:t>https://fac.dffh.vic.gov.au/data-collecti</w:t>
      </w:r>
      <w:r w:rsidR="008C1A3C">
        <w:t>on</w:t>
      </w:r>
      <w:r>
        <w:t xml:space="preserve">&gt; </w:t>
      </w:r>
    </w:p>
    <w:bookmarkEnd w:id="3"/>
    <w:p w14:paraId="00E08FE4" w14:textId="4F17A84B" w:rsidR="00D37CFB" w:rsidRPr="00306082" w:rsidRDefault="00D37CFB" w:rsidP="00306082">
      <w:pPr>
        <w:pStyle w:val="Figurecaption"/>
      </w:pPr>
      <w:r>
        <w:t xml:space="preserve">Figure 1: Template for acquitting placement support brokerage </w:t>
      </w:r>
      <w:r w:rsidR="00AB370B">
        <w:t>for allocated targets</w:t>
      </w:r>
    </w:p>
    <w:p w14:paraId="217F195C" w14:textId="634ABAF5" w:rsidR="00AB370B" w:rsidRDefault="007D3389" w:rsidP="00D37CFB">
      <w:pPr>
        <w:pStyle w:val="DHHSbody"/>
      </w:pPr>
      <w:r>
        <w:rPr>
          <w:noProof/>
        </w:rPr>
        <w:drawing>
          <wp:inline distT="0" distB="0" distL="0" distR="0" wp14:anchorId="44F32684" wp14:editId="76A0D007">
            <wp:extent cx="6296025" cy="25445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08281" cy="2549524"/>
                    </a:xfrm>
                    <a:prstGeom prst="rect">
                      <a:avLst/>
                    </a:prstGeom>
                  </pic:spPr>
                </pic:pic>
              </a:graphicData>
            </a:graphic>
          </wp:inline>
        </w:drawing>
      </w:r>
    </w:p>
    <w:p w14:paraId="0E8A6072" w14:textId="34803A4B" w:rsidR="006514AC" w:rsidRPr="006514AC" w:rsidRDefault="00D37CFB" w:rsidP="00E37B26">
      <w:pPr>
        <w:pStyle w:val="Figurecaption"/>
      </w:pPr>
      <w:r>
        <w:t>Figure 2: Acquittal of placement support brokerage allocated to a service provider in North Division</w:t>
      </w:r>
    </w:p>
    <w:p w14:paraId="012E3487" w14:textId="6A82A902" w:rsidR="007D3389" w:rsidRDefault="007D3389" w:rsidP="00D37CFB">
      <w:pPr>
        <w:pStyle w:val="DHHSbody"/>
      </w:pPr>
      <w:r>
        <w:rPr>
          <w:noProof/>
        </w:rPr>
        <w:drawing>
          <wp:inline distT="0" distB="0" distL="0" distR="0" wp14:anchorId="03B9D1E4" wp14:editId="13A98C93">
            <wp:extent cx="6315075" cy="229791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24473" cy="2301330"/>
                    </a:xfrm>
                    <a:prstGeom prst="rect">
                      <a:avLst/>
                    </a:prstGeom>
                  </pic:spPr>
                </pic:pic>
              </a:graphicData>
            </a:graphic>
          </wp:inline>
        </w:drawing>
      </w:r>
    </w:p>
    <w:p w14:paraId="5262A312" w14:textId="4C39DF13" w:rsidR="000B3DE8" w:rsidRPr="00F32368" w:rsidRDefault="000B3DE8" w:rsidP="00ED6290">
      <w:pPr>
        <w:pStyle w:val="Body"/>
        <w:spacing w:after="0"/>
      </w:pPr>
    </w:p>
    <w:tbl>
      <w:tblPr>
        <w:tblStyle w:val="TableGrid"/>
        <w:tblW w:w="0" w:type="auto"/>
        <w:tblCellMar>
          <w:bottom w:w="108" w:type="dxa"/>
        </w:tblCellMar>
        <w:tblLook w:val="0600" w:firstRow="0" w:lastRow="0" w:firstColumn="0" w:lastColumn="0" w:noHBand="1" w:noVBand="1"/>
      </w:tblPr>
      <w:tblGrid>
        <w:gridCol w:w="10194"/>
      </w:tblGrid>
      <w:tr w:rsidR="000B3DE8" w14:paraId="51B6AB45" w14:textId="77777777" w:rsidTr="00E9623B">
        <w:tc>
          <w:tcPr>
            <w:tcW w:w="10194" w:type="dxa"/>
          </w:tcPr>
          <w:p w14:paraId="2D16C4E1" w14:textId="0FF274A7" w:rsidR="000B3DE8" w:rsidRPr="001E5C4E" w:rsidRDefault="000B3DE8" w:rsidP="00E9623B">
            <w:pPr>
              <w:pStyle w:val="Accessibilitypara"/>
            </w:pPr>
            <w:r w:rsidRPr="0055119B">
              <w:t>To receive this document in another format</w:t>
            </w:r>
            <w:r>
              <w:t>,</w:t>
            </w:r>
            <w:r w:rsidRPr="0055119B">
              <w:t xml:space="preserve"> email </w:t>
            </w:r>
            <w:r w:rsidRPr="001E5C4E">
              <w:t xml:space="preserve">the </w:t>
            </w:r>
            <w:hyperlink r:id="rId23" w:history="1">
              <w:r w:rsidR="008C1A3C" w:rsidRPr="00235B2E">
                <w:rPr>
                  <w:rStyle w:val="Hyperlink"/>
                  <w:rFonts w:cs="Arial"/>
                </w:rPr>
                <w:t>monitoring framework helpdesk</w:t>
              </w:r>
            </w:hyperlink>
            <w:r w:rsidRPr="001E5C4E">
              <w:rPr>
                <w:rFonts w:cs="Arial"/>
              </w:rPr>
              <w:t xml:space="preserve"> </w:t>
            </w:r>
            <w:r w:rsidRPr="001E5C4E">
              <w:t>&lt;monitoringframework.helpdesk@</w:t>
            </w:r>
            <w:r w:rsidR="008C1A3C">
              <w:t>dffh</w:t>
            </w:r>
            <w:r w:rsidRPr="001E5C4E">
              <w:t xml:space="preserve">.vic.gov.au&gt; </w:t>
            </w:r>
          </w:p>
          <w:p w14:paraId="5D8BAF52" w14:textId="77777777" w:rsidR="000B3DE8" w:rsidRPr="00FA1C58" w:rsidRDefault="000B3DE8" w:rsidP="00E9623B">
            <w:pPr>
              <w:pStyle w:val="Imprint"/>
            </w:pPr>
            <w:r w:rsidRPr="00FA1C58">
              <w:t>Authorised and published by the Victorian Government, 1 Treasury Place, Melbourne.</w:t>
            </w:r>
          </w:p>
          <w:p w14:paraId="52D1D6D9" w14:textId="5E71F1D7" w:rsidR="000B3DE8" w:rsidRPr="001E5C4E" w:rsidRDefault="000B3DE8" w:rsidP="00E9623B">
            <w:pPr>
              <w:pStyle w:val="Imprint"/>
            </w:pPr>
            <w:r w:rsidRPr="00FA1C58">
              <w:t xml:space="preserve">© State of Victoria, Australia, Department of </w:t>
            </w:r>
            <w:r w:rsidRPr="00655FD9">
              <w:t>Families, Fairness and Hou</w:t>
            </w:r>
            <w:r w:rsidRPr="00655FD9">
              <w:rPr>
                <w:color w:val="auto"/>
              </w:rPr>
              <w:t xml:space="preserve">sing, </w:t>
            </w:r>
            <w:r w:rsidR="001E5C4E">
              <w:rPr>
                <w:color w:val="auto"/>
              </w:rPr>
              <w:t>May</w:t>
            </w:r>
            <w:r w:rsidR="001E5C4E" w:rsidRPr="001E5C4E">
              <w:rPr>
                <w:color w:val="auto"/>
              </w:rPr>
              <w:t xml:space="preserve"> </w:t>
            </w:r>
            <w:r w:rsidRPr="001E5C4E">
              <w:rPr>
                <w:color w:val="auto"/>
              </w:rPr>
              <w:t>2021.</w:t>
            </w:r>
          </w:p>
          <w:p w14:paraId="572C188D" w14:textId="386C11EA" w:rsidR="000B3DE8" w:rsidRPr="00FE2E59" w:rsidRDefault="000B3DE8" w:rsidP="00E9623B">
            <w:pPr>
              <w:pStyle w:val="Imprint"/>
              <w:rPr>
                <w:rFonts w:cs="Arial"/>
              </w:rPr>
            </w:pPr>
            <w:r w:rsidRPr="001E5C4E">
              <w:rPr>
                <w:rFonts w:cs="Arial"/>
              </w:rPr>
              <w:t xml:space="preserve">Available at </w:t>
            </w:r>
            <w:hyperlink r:id="rId24" w:history="1">
              <w:r w:rsidR="008C1A3C" w:rsidRPr="008C1A3C">
                <w:rPr>
                  <w:rStyle w:val="Hyperlink"/>
                  <w:rFonts w:cs="Arial"/>
                </w:rPr>
                <w:t>Funded Agency Channel</w:t>
              </w:r>
            </w:hyperlink>
            <w:r w:rsidR="008C1A3C">
              <w:rPr>
                <w:rFonts w:cs="Arial"/>
              </w:rPr>
              <w:t xml:space="preserve"> </w:t>
            </w:r>
            <w:r w:rsidRPr="001E5C4E">
              <w:rPr>
                <w:rFonts w:cs="Arial"/>
              </w:rPr>
              <w:t>&lt;</w:t>
            </w:r>
            <w:r w:rsidR="008C1A3C" w:rsidRPr="008C1A3C">
              <w:rPr>
                <w:rFonts w:cs="Arial"/>
              </w:rPr>
              <w:t>https://fac.dffh.vic.gov.au/data-collecti</w:t>
            </w:r>
            <w:r w:rsidR="008C1A3C">
              <w:rPr>
                <w:rFonts w:cs="Arial"/>
              </w:rPr>
              <w:t>on</w:t>
            </w:r>
            <w:r w:rsidRPr="001E5C4E">
              <w:rPr>
                <w:rFonts w:cs="Arial"/>
              </w:rPr>
              <w:t>&gt;</w:t>
            </w:r>
            <w:r w:rsidRPr="00FE2E59">
              <w:rPr>
                <w:rFonts w:cs="Arial"/>
              </w:rPr>
              <w:t xml:space="preserve"> </w:t>
            </w:r>
          </w:p>
        </w:tc>
      </w:tr>
    </w:tbl>
    <w:p w14:paraId="252B4DDA" w14:textId="77777777" w:rsidR="00D37CFB" w:rsidRDefault="00D37CFB" w:rsidP="00ED6290">
      <w:pPr>
        <w:pStyle w:val="Body"/>
      </w:pPr>
    </w:p>
    <w:sectPr w:rsidR="00D37CFB" w:rsidSect="00ED6290">
      <w:pgSz w:w="11906" w:h="16838" w:code="9"/>
      <w:pgMar w:top="1418" w:right="851" w:bottom="113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CAE5" w14:textId="77777777" w:rsidR="00A646B1" w:rsidRDefault="00A646B1">
      <w:r>
        <w:separator/>
      </w:r>
    </w:p>
    <w:p w14:paraId="1A089041" w14:textId="77777777" w:rsidR="00A646B1" w:rsidRDefault="00A646B1"/>
  </w:endnote>
  <w:endnote w:type="continuationSeparator" w:id="0">
    <w:p w14:paraId="7D75F973" w14:textId="77777777" w:rsidR="00A646B1" w:rsidRDefault="00A646B1">
      <w:r>
        <w:continuationSeparator/>
      </w:r>
    </w:p>
    <w:p w14:paraId="31EFB57A" w14:textId="77777777" w:rsidR="00A646B1" w:rsidRDefault="00A64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0C70" w14:textId="77777777" w:rsidR="00507ECD" w:rsidRDefault="00507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B990" w14:textId="0A768483" w:rsidR="00E261B3" w:rsidRPr="00F65AA9" w:rsidRDefault="0062727A" w:rsidP="00EF2C72">
    <w:pPr>
      <w:pStyle w:val="Footer"/>
    </w:pPr>
    <w:r>
      <w:rPr>
        <w:noProof/>
        <w:lang w:eastAsia="en-AU"/>
      </w:rPr>
      <mc:AlternateContent>
        <mc:Choice Requires="wps">
          <w:drawing>
            <wp:anchor distT="0" distB="0" distL="114300" distR="114300" simplePos="0" relativeHeight="251678208" behindDoc="0" locked="0" layoutInCell="0" allowOverlap="1" wp14:anchorId="7FC64B63" wp14:editId="4847CCF7">
              <wp:simplePos x="0" y="0"/>
              <wp:positionH relativeFrom="page">
                <wp:posOffset>0</wp:posOffset>
              </wp:positionH>
              <wp:positionV relativeFrom="page">
                <wp:posOffset>10189210</wp:posOffset>
              </wp:positionV>
              <wp:extent cx="7560310" cy="311785"/>
              <wp:effectExtent l="0" t="0" r="0" b="12065"/>
              <wp:wrapNone/>
              <wp:docPr id="5" name="MSIPCM9e164abc8d89b47c19d57e9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B4AE8" w14:textId="4807AF8C" w:rsidR="0062727A" w:rsidRPr="0062727A" w:rsidRDefault="0062727A" w:rsidP="0062727A">
                          <w:pPr>
                            <w:spacing w:after="0"/>
                            <w:jc w:val="center"/>
                            <w:rPr>
                              <w:rFonts w:ascii="Arial Black" w:hAnsi="Arial Black"/>
                              <w:color w:val="000000"/>
                              <w:sz w:val="20"/>
                            </w:rPr>
                          </w:pPr>
                          <w:r w:rsidRPr="006272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C64B63" id="_x0000_t202" coordsize="21600,21600" o:spt="202" path="m,l,21600r21600,l21600,xe">
              <v:stroke joinstyle="miter"/>
              <v:path gradientshapeok="t" o:connecttype="rect"/>
            </v:shapetype>
            <v:shape id="MSIPCM9e164abc8d89b47c19d57e9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FAB4AE8" w14:textId="4807AF8C" w:rsidR="0062727A" w:rsidRPr="0062727A" w:rsidRDefault="0062727A" w:rsidP="0062727A">
                    <w:pPr>
                      <w:spacing w:after="0"/>
                      <w:jc w:val="center"/>
                      <w:rPr>
                        <w:rFonts w:ascii="Arial Black" w:hAnsi="Arial Black"/>
                        <w:color w:val="000000"/>
                        <w:sz w:val="20"/>
                      </w:rPr>
                    </w:pPr>
                    <w:r w:rsidRPr="0062727A">
                      <w:rPr>
                        <w:rFonts w:ascii="Arial Black" w:hAnsi="Arial Black"/>
                        <w:color w:val="000000"/>
                        <w:sz w:val="20"/>
                      </w:rPr>
                      <w:t>OFFICIAL</w:t>
                    </w:r>
                  </w:p>
                </w:txbxContent>
              </v:textbox>
              <w10:wrap anchorx="page" anchory="page"/>
            </v:shape>
          </w:pict>
        </mc:Fallback>
      </mc:AlternateContent>
    </w:r>
    <w:r w:rsidR="00B14B5F">
      <w:rPr>
        <w:noProof/>
        <w:lang w:eastAsia="en-AU"/>
      </w:rPr>
      <w:drawing>
        <wp:anchor distT="0" distB="0" distL="114300" distR="114300" simplePos="0" relativeHeight="251659264" behindDoc="1" locked="0" layoutInCell="1" allowOverlap="1" wp14:anchorId="4BC95B91" wp14:editId="1FA19EAE">
          <wp:simplePos x="0" y="0"/>
          <wp:positionH relativeFrom="page">
            <wp:posOffset>15241</wp:posOffset>
          </wp:positionH>
          <wp:positionV relativeFrom="paragraph">
            <wp:posOffset>-156845</wp:posOffset>
          </wp:positionV>
          <wp:extent cx="7560000" cy="1008000"/>
          <wp:effectExtent l="0" t="0" r="3175" b="1905"/>
          <wp:wrapNone/>
          <wp:docPr id="13" name="Picture 1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001F" w14:textId="024CEE90" w:rsidR="00E261B3" w:rsidRDefault="0062727A">
    <w:pPr>
      <w:pStyle w:val="Footer"/>
    </w:pPr>
    <w:r>
      <w:rPr>
        <w:noProof/>
      </w:rPr>
      <mc:AlternateContent>
        <mc:Choice Requires="wps">
          <w:drawing>
            <wp:anchor distT="0" distB="0" distL="114300" distR="114300" simplePos="1" relativeHeight="251679232" behindDoc="0" locked="0" layoutInCell="0" allowOverlap="1" wp14:anchorId="5C68ADE7" wp14:editId="18119EF4">
              <wp:simplePos x="0" y="10189687"/>
              <wp:positionH relativeFrom="page">
                <wp:posOffset>0</wp:posOffset>
              </wp:positionH>
              <wp:positionV relativeFrom="page">
                <wp:posOffset>10189210</wp:posOffset>
              </wp:positionV>
              <wp:extent cx="7560310" cy="311785"/>
              <wp:effectExtent l="0" t="0" r="0" b="12065"/>
              <wp:wrapNone/>
              <wp:docPr id="6" name="MSIPCMb8414cdb8919378d078f328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618A8" w14:textId="361CA29F" w:rsidR="0062727A" w:rsidRPr="0062727A" w:rsidRDefault="0062727A" w:rsidP="0062727A">
                          <w:pPr>
                            <w:spacing w:after="0"/>
                            <w:jc w:val="center"/>
                            <w:rPr>
                              <w:rFonts w:ascii="Arial Black" w:hAnsi="Arial Black"/>
                              <w:color w:val="000000"/>
                              <w:sz w:val="20"/>
                            </w:rPr>
                          </w:pPr>
                          <w:r w:rsidRPr="006272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68ADE7" id="_x0000_t202" coordsize="21600,21600" o:spt="202" path="m,l,21600r21600,l21600,xe">
              <v:stroke joinstyle="miter"/>
              <v:path gradientshapeok="t" o:connecttype="rect"/>
            </v:shapetype>
            <v:shape id="MSIPCMb8414cdb8919378d078f3280"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19618A8" w14:textId="361CA29F" w:rsidR="0062727A" w:rsidRPr="0062727A" w:rsidRDefault="0062727A" w:rsidP="0062727A">
                    <w:pPr>
                      <w:spacing w:after="0"/>
                      <w:jc w:val="center"/>
                      <w:rPr>
                        <w:rFonts w:ascii="Arial Black" w:hAnsi="Arial Black"/>
                        <w:color w:val="000000"/>
                        <w:sz w:val="20"/>
                      </w:rPr>
                    </w:pPr>
                    <w:r w:rsidRPr="0062727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4FE7" w14:textId="77777777" w:rsidR="00A646B1" w:rsidRDefault="00A646B1" w:rsidP="00207717">
      <w:pPr>
        <w:spacing w:before="120"/>
      </w:pPr>
      <w:r>
        <w:separator/>
      </w:r>
    </w:p>
  </w:footnote>
  <w:footnote w:type="continuationSeparator" w:id="0">
    <w:p w14:paraId="405DD759" w14:textId="77777777" w:rsidR="00A646B1" w:rsidRDefault="00A646B1">
      <w:r>
        <w:continuationSeparator/>
      </w:r>
    </w:p>
    <w:p w14:paraId="6B1B55CF" w14:textId="77777777" w:rsidR="00A646B1" w:rsidRDefault="00A646B1"/>
  </w:footnote>
  <w:footnote w:id="1">
    <w:p w14:paraId="7FE1A3BC" w14:textId="34DEADBE" w:rsidR="009F364B" w:rsidRDefault="009F364B">
      <w:pPr>
        <w:pStyle w:val="FootnoteText"/>
      </w:pPr>
      <w:r>
        <w:rPr>
          <w:rStyle w:val="FootnoteReference"/>
        </w:rPr>
        <w:footnoteRef/>
      </w:r>
      <w:r>
        <w:t xml:space="preserve"> </w:t>
      </w:r>
      <w:r w:rsidRPr="009F364B">
        <w:rPr>
          <w:lang w:val="en-US"/>
        </w:rPr>
        <w:t>High</w:t>
      </w:r>
      <w:r w:rsidR="003048FA">
        <w:rPr>
          <w:lang w:val="en-US"/>
        </w:rPr>
        <w:t>-</w:t>
      </w:r>
      <w:r w:rsidRPr="009F364B">
        <w:rPr>
          <w:lang w:val="en-US"/>
        </w:rPr>
        <w:t>cost placement support: For placement support that requires either a one-off purchase over $3,000 (per child) or cumulative transport or childcare costs greater than $3,000 for up to a 12-month period, additional placement support brokerage may be sought from the department</w:t>
      </w:r>
      <w:r w:rsidR="00F0430F">
        <w:rPr>
          <w:lang w:val="en-US"/>
        </w:rPr>
        <w:t>’s placement and support planning staff</w:t>
      </w:r>
      <w:r w:rsidR="00DC0F0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7BCF" w14:textId="77777777" w:rsidR="00507ECD" w:rsidRDefault="00507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D6E8" w14:textId="7B5EB44F"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4BAE" w14:textId="77777777" w:rsidR="00507ECD" w:rsidRDefault="00507E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46DD" w14:textId="0761EE70" w:rsidR="00E261B3" w:rsidRPr="0051568D" w:rsidRDefault="0099272B" w:rsidP="0017674D">
    <w:pPr>
      <w:pStyle w:val="Header"/>
    </w:pPr>
    <w:r>
      <w:t>Streamlined acquittal process for placement support br</w:t>
    </w:r>
    <w:r w:rsidR="00B14B5F">
      <w:rPr>
        <w:noProof/>
      </w:rPr>
      <w:drawing>
        <wp:anchor distT="0" distB="0" distL="114300" distR="114300" simplePos="0" relativeHeight="251673088" behindDoc="1" locked="1" layoutInCell="1" allowOverlap="1" wp14:anchorId="53306B66" wp14:editId="7F7E8214">
          <wp:simplePos x="0" y="0"/>
          <wp:positionH relativeFrom="page">
            <wp:posOffset>17780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t>okerage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796476D"/>
    <w:multiLevelType w:val="hybridMultilevel"/>
    <w:tmpl w:val="2CECE5B2"/>
    <w:lvl w:ilvl="0" w:tplc="717C44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1D694E"/>
    <w:multiLevelType w:val="hybridMultilevel"/>
    <w:tmpl w:val="2098E89E"/>
    <w:lvl w:ilvl="0" w:tplc="717C440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8D43DB"/>
    <w:multiLevelType w:val="multilevel"/>
    <w:tmpl w:val="5890EA66"/>
    <w:numStyleLink w:val="ZZNumbersdigit"/>
  </w:abstractNum>
  <w:abstractNum w:abstractNumId="16"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6C75070"/>
    <w:multiLevelType w:val="hybridMultilevel"/>
    <w:tmpl w:val="30C438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19639231">
    <w:abstractNumId w:val="10"/>
  </w:num>
  <w:num w:numId="2" w16cid:durableId="569075635">
    <w:abstractNumId w:val="19"/>
  </w:num>
  <w:num w:numId="3" w16cid:durableId="16648957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9700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5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9949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1583546">
    <w:abstractNumId w:val="23"/>
  </w:num>
  <w:num w:numId="8" w16cid:durableId="822739268">
    <w:abstractNumId w:val="18"/>
  </w:num>
  <w:num w:numId="9" w16cid:durableId="338701258">
    <w:abstractNumId w:val="22"/>
  </w:num>
  <w:num w:numId="10" w16cid:durableId="1275360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2412389">
    <w:abstractNumId w:val="25"/>
  </w:num>
  <w:num w:numId="12" w16cid:durableId="3234379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2574223">
    <w:abstractNumId w:val="20"/>
  </w:num>
  <w:num w:numId="14" w16cid:durableId="2072658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6054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4441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5155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813125">
    <w:abstractNumId w:val="27"/>
  </w:num>
  <w:num w:numId="19" w16cid:durableId="9512097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1974593">
    <w:abstractNumId w:val="16"/>
  </w:num>
  <w:num w:numId="21" w16cid:durableId="1506900670">
    <w:abstractNumId w:val="12"/>
  </w:num>
  <w:num w:numId="22" w16cid:durableId="12911274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3484620">
    <w:abstractNumId w:val="17"/>
  </w:num>
  <w:num w:numId="24" w16cid:durableId="1141460436">
    <w:abstractNumId w:val="28"/>
  </w:num>
  <w:num w:numId="25" w16cid:durableId="1527862876">
    <w:abstractNumId w:val="26"/>
  </w:num>
  <w:num w:numId="26" w16cid:durableId="1706440657">
    <w:abstractNumId w:val="21"/>
  </w:num>
  <w:num w:numId="27" w16cid:durableId="776289159">
    <w:abstractNumId w:val="11"/>
  </w:num>
  <w:num w:numId="28" w16cid:durableId="773405927">
    <w:abstractNumId w:val="29"/>
  </w:num>
  <w:num w:numId="29" w16cid:durableId="1661084252">
    <w:abstractNumId w:val="9"/>
  </w:num>
  <w:num w:numId="30" w16cid:durableId="1915816050">
    <w:abstractNumId w:val="7"/>
  </w:num>
  <w:num w:numId="31" w16cid:durableId="90930656">
    <w:abstractNumId w:val="6"/>
  </w:num>
  <w:num w:numId="32" w16cid:durableId="316882138">
    <w:abstractNumId w:val="5"/>
  </w:num>
  <w:num w:numId="33" w16cid:durableId="1644460424">
    <w:abstractNumId w:val="4"/>
  </w:num>
  <w:num w:numId="34" w16cid:durableId="1837064129">
    <w:abstractNumId w:val="8"/>
  </w:num>
  <w:num w:numId="35" w16cid:durableId="2146464227">
    <w:abstractNumId w:val="3"/>
  </w:num>
  <w:num w:numId="36" w16cid:durableId="1624073922">
    <w:abstractNumId w:val="2"/>
  </w:num>
  <w:num w:numId="37" w16cid:durableId="978732462">
    <w:abstractNumId w:val="1"/>
  </w:num>
  <w:num w:numId="38" w16cid:durableId="1414084635">
    <w:abstractNumId w:val="0"/>
  </w:num>
  <w:num w:numId="39" w16cid:durableId="15733452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2835083">
    <w:abstractNumId w:val="24"/>
  </w:num>
  <w:num w:numId="41" w16cid:durableId="997804212">
    <w:abstractNumId w:val="13"/>
  </w:num>
  <w:num w:numId="42" w16cid:durableId="661740554">
    <w:abstractNumId w:val="14"/>
  </w:num>
  <w:num w:numId="43" w16cid:durableId="1903101366">
    <w:abstractNumId w:val="23"/>
  </w:num>
  <w:num w:numId="44" w16cid:durableId="2100983777">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5" w16cid:durableId="1286278354">
    <w:abstractNumId w:val="23"/>
  </w:num>
  <w:num w:numId="46" w16cid:durableId="1875193474">
    <w:abstractNumId w:val="23"/>
  </w:num>
  <w:num w:numId="47" w16cid:durableId="1285380121">
    <w:abstractNumId w:val="23"/>
  </w:num>
  <w:num w:numId="48" w16cid:durableId="1025790253">
    <w:abstractNumId w:val="23"/>
  </w:num>
  <w:num w:numId="49" w16cid:durableId="13995517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2D68"/>
    <w:rsid w:val="00003403"/>
    <w:rsid w:val="00005347"/>
    <w:rsid w:val="000072B6"/>
    <w:rsid w:val="00007983"/>
    <w:rsid w:val="0001021B"/>
    <w:rsid w:val="00011D89"/>
    <w:rsid w:val="000154FD"/>
    <w:rsid w:val="00022271"/>
    <w:rsid w:val="000235E8"/>
    <w:rsid w:val="00024D89"/>
    <w:rsid w:val="00024F44"/>
    <w:rsid w:val="000250B6"/>
    <w:rsid w:val="00032CFF"/>
    <w:rsid w:val="00033D81"/>
    <w:rsid w:val="00037366"/>
    <w:rsid w:val="00041BF0"/>
    <w:rsid w:val="00042C8A"/>
    <w:rsid w:val="0004536B"/>
    <w:rsid w:val="00046B68"/>
    <w:rsid w:val="000527DD"/>
    <w:rsid w:val="000578B2"/>
    <w:rsid w:val="00060959"/>
    <w:rsid w:val="00060C8F"/>
    <w:rsid w:val="0006298A"/>
    <w:rsid w:val="000663CD"/>
    <w:rsid w:val="00070742"/>
    <w:rsid w:val="000733FE"/>
    <w:rsid w:val="00074219"/>
    <w:rsid w:val="00074ED5"/>
    <w:rsid w:val="0008262F"/>
    <w:rsid w:val="0008508E"/>
    <w:rsid w:val="00087951"/>
    <w:rsid w:val="0009113B"/>
    <w:rsid w:val="00091EB4"/>
    <w:rsid w:val="00093402"/>
    <w:rsid w:val="000936AE"/>
    <w:rsid w:val="00094DA3"/>
    <w:rsid w:val="00096CD1"/>
    <w:rsid w:val="000A012C"/>
    <w:rsid w:val="000A0EB9"/>
    <w:rsid w:val="000A186C"/>
    <w:rsid w:val="000A1EA4"/>
    <w:rsid w:val="000A2476"/>
    <w:rsid w:val="000A2EA8"/>
    <w:rsid w:val="000A641A"/>
    <w:rsid w:val="000B0049"/>
    <w:rsid w:val="000B3DE8"/>
    <w:rsid w:val="000B3EDB"/>
    <w:rsid w:val="000B543D"/>
    <w:rsid w:val="000B55F9"/>
    <w:rsid w:val="000B5BF7"/>
    <w:rsid w:val="000B6BC8"/>
    <w:rsid w:val="000C0303"/>
    <w:rsid w:val="000C42EA"/>
    <w:rsid w:val="000C4546"/>
    <w:rsid w:val="000D1242"/>
    <w:rsid w:val="000D7A91"/>
    <w:rsid w:val="000E0970"/>
    <w:rsid w:val="000E3CC7"/>
    <w:rsid w:val="000E6BD4"/>
    <w:rsid w:val="000E6D6D"/>
    <w:rsid w:val="000F1F1E"/>
    <w:rsid w:val="000F2259"/>
    <w:rsid w:val="000F2DDA"/>
    <w:rsid w:val="000F2EA0"/>
    <w:rsid w:val="000F5213"/>
    <w:rsid w:val="000F67F2"/>
    <w:rsid w:val="000F7DE8"/>
    <w:rsid w:val="00101001"/>
    <w:rsid w:val="00101DF4"/>
    <w:rsid w:val="00103276"/>
    <w:rsid w:val="0010392D"/>
    <w:rsid w:val="0010447F"/>
    <w:rsid w:val="00104FE3"/>
    <w:rsid w:val="0010714F"/>
    <w:rsid w:val="001120C5"/>
    <w:rsid w:val="001169C7"/>
    <w:rsid w:val="00116CFD"/>
    <w:rsid w:val="00120BD3"/>
    <w:rsid w:val="00120F7C"/>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67568"/>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3ACE"/>
    <w:rsid w:val="001B058F"/>
    <w:rsid w:val="001B4E65"/>
    <w:rsid w:val="001B523C"/>
    <w:rsid w:val="001B6B96"/>
    <w:rsid w:val="001B6CE4"/>
    <w:rsid w:val="001B738B"/>
    <w:rsid w:val="001C09DB"/>
    <w:rsid w:val="001C277E"/>
    <w:rsid w:val="001C2A72"/>
    <w:rsid w:val="001C31B7"/>
    <w:rsid w:val="001D0B75"/>
    <w:rsid w:val="001D39A5"/>
    <w:rsid w:val="001D3C09"/>
    <w:rsid w:val="001D44E8"/>
    <w:rsid w:val="001D60EC"/>
    <w:rsid w:val="001D6F59"/>
    <w:rsid w:val="001D75F4"/>
    <w:rsid w:val="001E44DF"/>
    <w:rsid w:val="001E5C4E"/>
    <w:rsid w:val="001E68A5"/>
    <w:rsid w:val="001E6BB0"/>
    <w:rsid w:val="001E7282"/>
    <w:rsid w:val="001F3826"/>
    <w:rsid w:val="001F53CC"/>
    <w:rsid w:val="001F6E46"/>
    <w:rsid w:val="001F7C91"/>
    <w:rsid w:val="002033B7"/>
    <w:rsid w:val="00206463"/>
    <w:rsid w:val="00206F2F"/>
    <w:rsid w:val="00207717"/>
    <w:rsid w:val="0021053D"/>
    <w:rsid w:val="00210A92"/>
    <w:rsid w:val="00216C03"/>
    <w:rsid w:val="00220A1A"/>
    <w:rsid w:val="00220C04"/>
    <w:rsid w:val="0022278D"/>
    <w:rsid w:val="0022701F"/>
    <w:rsid w:val="00227C68"/>
    <w:rsid w:val="002333F5"/>
    <w:rsid w:val="00233724"/>
    <w:rsid w:val="002365B4"/>
    <w:rsid w:val="002432E1"/>
    <w:rsid w:val="00246207"/>
    <w:rsid w:val="00246C5E"/>
    <w:rsid w:val="00250551"/>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9AF"/>
    <w:rsid w:val="00291373"/>
    <w:rsid w:val="0029597D"/>
    <w:rsid w:val="002962C3"/>
    <w:rsid w:val="002970DE"/>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D32"/>
    <w:rsid w:val="002F5F31"/>
    <w:rsid w:val="002F5F46"/>
    <w:rsid w:val="00302216"/>
    <w:rsid w:val="00303E53"/>
    <w:rsid w:val="003048FA"/>
    <w:rsid w:val="00305CC1"/>
    <w:rsid w:val="00306082"/>
    <w:rsid w:val="00306E5F"/>
    <w:rsid w:val="00307E14"/>
    <w:rsid w:val="00314054"/>
    <w:rsid w:val="00316F27"/>
    <w:rsid w:val="003214F1"/>
    <w:rsid w:val="00322E4B"/>
    <w:rsid w:val="00323968"/>
    <w:rsid w:val="00327870"/>
    <w:rsid w:val="0033259D"/>
    <w:rsid w:val="003333D2"/>
    <w:rsid w:val="0033576F"/>
    <w:rsid w:val="00337339"/>
    <w:rsid w:val="00337F74"/>
    <w:rsid w:val="003406C6"/>
    <w:rsid w:val="003418CC"/>
    <w:rsid w:val="003434EE"/>
    <w:rsid w:val="003459BD"/>
    <w:rsid w:val="003501C9"/>
    <w:rsid w:val="00350D38"/>
    <w:rsid w:val="00351B36"/>
    <w:rsid w:val="00355DEE"/>
    <w:rsid w:val="00357B4E"/>
    <w:rsid w:val="003716FD"/>
    <w:rsid w:val="0037204B"/>
    <w:rsid w:val="003744CF"/>
    <w:rsid w:val="00374717"/>
    <w:rsid w:val="0037676C"/>
    <w:rsid w:val="00381043"/>
    <w:rsid w:val="003829E5"/>
    <w:rsid w:val="00386109"/>
    <w:rsid w:val="00386944"/>
    <w:rsid w:val="003956CC"/>
    <w:rsid w:val="00395C9A"/>
    <w:rsid w:val="00396C03"/>
    <w:rsid w:val="003A0853"/>
    <w:rsid w:val="003A491A"/>
    <w:rsid w:val="003A5278"/>
    <w:rsid w:val="003A6720"/>
    <w:rsid w:val="003A6B67"/>
    <w:rsid w:val="003B13B6"/>
    <w:rsid w:val="003B14C3"/>
    <w:rsid w:val="003B15E6"/>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4F53"/>
    <w:rsid w:val="003E639E"/>
    <w:rsid w:val="003E71E5"/>
    <w:rsid w:val="003F0445"/>
    <w:rsid w:val="003F0CF0"/>
    <w:rsid w:val="003F14B1"/>
    <w:rsid w:val="003F2B20"/>
    <w:rsid w:val="003F3289"/>
    <w:rsid w:val="003F34A6"/>
    <w:rsid w:val="003F3C62"/>
    <w:rsid w:val="003F5CB9"/>
    <w:rsid w:val="004013C7"/>
    <w:rsid w:val="00401FBE"/>
    <w:rsid w:val="00401FCF"/>
    <w:rsid w:val="00406285"/>
    <w:rsid w:val="004148F9"/>
    <w:rsid w:val="0042084E"/>
    <w:rsid w:val="00421EEF"/>
    <w:rsid w:val="00424D65"/>
    <w:rsid w:val="00430393"/>
    <w:rsid w:val="00431806"/>
    <w:rsid w:val="00442B19"/>
    <w:rsid w:val="00442C6C"/>
    <w:rsid w:val="00443CBE"/>
    <w:rsid w:val="00443E8A"/>
    <w:rsid w:val="004441BC"/>
    <w:rsid w:val="004468B4"/>
    <w:rsid w:val="0045230A"/>
    <w:rsid w:val="00454AD0"/>
    <w:rsid w:val="00457337"/>
    <w:rsid w:val="00462E3D"/>
    <w:rsid w:val="00466A2C"/>
    <w:rsid w:val="00466E79"/>
    <w:rsid w:val="00470D7D"/>
    <w:rsid w:val="0047372D"/>
    <w:rsid w:val="00473BA3"/>
    <w:rsid w:val="004743DD"/>
    <w:rsid w:val="00474CEA"/>
    <w:rsid w:val="00475468"/>
    <w:rsid w:val="00483968"/>
    <w:rsid w:val="004841BE"/>
    <w:rsid w:val="00484ECF"/>
    <w:rsid w:val="00484F86"/>
    <w:rsid w:val="0048513E"/>
    <w:rsid w:val="004904BB"/>
    <w:rsid w:val="00490746"/>
    <w:rsid w:val="00490852"/>
    <w:rsid w:val="00491C9C"/>
    <w:rsid w:val="00492F30"/>
    <w:rsid w:val="004946F4"/>
    <w:rsid w:val="0049487E"/>
    <w:rsid w:val="00497A0F"/>
    <w:rsid w:val="004A160D"/>
    <w:rsid w:val="004A3E81"/>
    <w:rsid w:val="004A4195"/>
    <w:rsid w:val="004A5C62"/>
    <w:rsid w:val="004A5CE5"/>
    <w:rsid w:val="004A707D"/>
    <w:rsid w:val="004A7B8F"/>
    <w:rsid w:val="004B4185"/>
    <w:rsid w:val="004B4CD3"/>
    <w:rsid w:val="004C27D4"/>
    <w:rsid w:val="004C3071"/>
    <w:rsid w:val="004C5541"/>
    <w:rsid w:val="004C6EEE"/>
    <w:rsid w:val="004C702B"/>
    <w:rsid w:val="004D0033"/>
    <w:rsid w:val="004D016B"/>
    <w:rsid w:val="004D1B22"/>
    <w:rsid w:val="004D23CC"/>
    <w:rsid w:val="004D36F2"/>
    <w:rsid w:val="004E069C"/>
    <w:rsid w:val="004E1106"/>
    <w:rsid w:val="004E138F"/>
    <w:rsid w:val="004E4649"/>
    <w:rsid w:val="004E5C2B"/>
    <w:rsid w:val="004F00DD"/>
    <w:rsid w:val="004F2133"/>
    <w:rsid w:val="004F5398"/>
    <w:rsid w:val="004F55F1"/>
    <w:rsid w:val="004F6936"/>
    <w:rsid w:val="00503DC6"/>
    <w:rsid w:val="00506F5D"/>
    <w:rsid w:val="00507EC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6528A"/>
    <w:rsid w:val="00572031"/>
    <w:rsid w:val="00572282"/>
    <w:rsid w:val="00573CE3"/>
    <w:rsid w:val="00576E84"/>
    <w:rsid w:val="0057748F"/>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ADF"/>
    <w:rsid w:val="005D01D4"/>
    <w:rsid w:val="005D07B8"/>
    <w:rsid w:val="005D6597"/>
    <w:rsid w:val="005E14E7"/>
    <w:rsid w:val="005E26A3"/>
    <w:rsid w:val="005E2ECB"/>
    <w:rsid w:val="005E447E"/>
    <w:rsid w:val="005E4520"/>
    <w:rsid w:val="005E4FD1"/>
    <w:rsid w:val="005E76E5"/>
    <w:rsid w:val="005F0775"/>
    <w:rsid w:val="005F0CF5"/>
    <w:rsid w:val="005F1CB0"/>
    <w:rsid w:val="005F21EB"/>
    <w:rsid w:val="005F64CF"/>
    <w:rsid w:val="006041AD"/>
    <w:rsid w:val="00605908"/>
    <w:rsid w:val="00607850"/>
    <w:rsid w:val="00610D7C"/>
    <w:rsid w:val="00613414"/>
    <w:rsid w:val="00616B9E"/>
    <w:rsid w:val="00620154"/>
    <w:rsid w:val="00623A19"/>
    <w:rsid w:val="0062408D"/>
    <w:rsid w:val="006240CC"/>
    <w:rsid w:val="00624940"/>
    <w:rsid w:val="006254F8"/>
    <w:rsid w:val="0062727A"/>
    <w:rsid w:val="00627944"/>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4AC"/>
    <w:rsid w:val="006545BB"/>
    <w:rsid w:val="006557A7"/>
    <w:rsid w:val="00655FD9"/>
    <w:rsid w:val="00656290"/>
    <w:rsid w:val="00657189"/>
    <w:rsid w:val="006601C9"/>
    <w:rsid w:val="006608D8"/>
    <w:rsid w:val="006621D7"/>
    <w:rsid w:val="0066302A"/>
    <w:rsid w:val="006636EB"/>
    <w:rsid w:val="0066775C"/>
    <w:rsid w:val="00667770"/>
    <w:rsid w:val="00670597"/>
    <w:rsid w:val="006706D0"/>
    <w:rsid w:val="006720EB"/>
    <w:rsid w:val="00677574"/>
    <w:rsid w:val="00683878"/>
    <w:rsid w:val="0068454C"/>
    <w:rsid w:val="00691B62"/>
    <w:rsid w:val="006933B5"/>
    <w:rsid w:val="00693D14"/>
    <w:rsid w:val="00696F27"/>
    <w:rsid w:val="006A18C2"/>
    <w:rsid w:val="006A32A6"/>
    <w:rsid w:val="006A3383"/>
    <w:rsid w:val="006A38CA"/>
    <w:rsid w:val="006A45D4"/>
    <w:rsid w:val="006B077C"/>
    <w:rsid w:val="006B6803"/>
    <w:rsid w:val="006C4306"/>
    <w:rsid w:val="006C5375"/>
    <w:rsid w:val="006D0F16"/>
    <w:rsid w:val="006D2A3F"/>
    <w:rsid w:val="006D2FBC"/>
    <w:rsid w:val="006E138B"/>
    <w:rsid w:val="006E1867"/>
    <w:rsid w:val="006F0330"/>
    <w:rsid w:val="006F1FDC"/>
    <w:rsid w:val="006F6B8C"/>
    <w:rsid w:val="00700A78"/>
    <w:rsid w:val="007013EF"/>
    <w:rsid w:val="007055BD"/>
    <w:rsid w:val="007173CA"/>
    <w:rsid w:val="007216AA"/>
    <w:rsid w:val="00721AB5"/>
    <w:rsid w:val="00721CFB"/>
    <w:rsid w:val="00721DEF"/>
    <w:rsid w:val="00722FA2"/>
    <w:rsid w:val="0072404B"/>
    <w:rsid w:val="00724A43"/>
    <w:rsid w:val="007273AC"/>
    <w:rsid w:val="00731AD4"/>
    <w:rsid w:val="007346E4"/>
    <w:rsid w:val="007354D8"/>
    <w:rsid w:val="00740F22"/>
    <w:rsid w:val="00741849"/>
    <w:rsid w:val="00741CF0"/>
    <w:rsid w:val="00741F1A"/>
    <w:rsid w:val="007447DA"/>
    <w:rsid w:val="007450F8"/>
    <w:rsid w:val="00745D22"/>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345"/>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3389"/>
    <w:rsid w:val="007D49EB"/>
    <w:rsid w:val="007D5E1C"/>
    <w:rsid w:val="007E0DE2"/>
    <w:rsid w:val="007E3B98"/>
    <w:rsid w:val="007E417A"/>
    <w:rsid w:val="007E4C35"/>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3FA4"/>
    <w:rsid w:val="00826356"/>
    <w:rsid w:val="008338A2"/>
    <w:rsid w:val="00841AA9"/>
    <w:rsid w:val="008474FE"/>
    <w:rsid w:val="00853EE4"/>
    <w:rsid w:val="00855535"/>
    <w:rsid w:val="00857C5A"/>
    <w:rsid w:val="0086255E"/>
    <w:rsid w:val="00863060"/>
    <w:rsid w:val="008633F0"/>
    <w:rsid w:val="00867D9D"/>
    <w:rsid w:val="00872E0A"/>
    <w:rsid w:val="00873594"/>
    <w:rsid w:val="00874051"/>
    <w:rsid w:val="00875285"/>
    <w:rsid w:val="00881388"/>
    <w:rsid w:val="00884B62"/>
    <w:rsid w:val="0088529C"/>
    <w:rsid w:val="00887903"/>
    <w:rsid w:val="0089270A"/>
    <w:rsid w:val="00893AF6"/>
    <w:rsid w:val="00894BC4"/>
    <w:rsid w:val="00896B27"/>
    <w:rsid w:val="008A28A8"/>
    <w:rsid w:val="008A5B32"/>
    <w:rsid w:val="008A6366"/>
    <w:rsid w:val="008A6900"/>
    <w:rsid w:val="008B2029"/>
    <w:rsid w:val="008B2EE4"/>
    <w:rsid w:val="008B3821"/>
    <w:rsid w:val="008B4D3D"/>
    <w:rsid w:val="008B57C7"/>
    <w:rsid w:val="008C1A3C"/>
    <w:rsid w:val="008C2F92"/>
    <w:rsid w:val="008C589D"/>
    <w:rsid w:val="008C6353"/>
    <w:rsid w:val="008C6D51"/>
    <w:rsid w:val="008D2846"/>
    <w:rsid w:val="008D4236"/>
    <w:rsid w:val="008D462F"/>
    <w:rsid w:val="008D5230"/>
    <w:rsid w:val="008D6DCF"/>
    <w:rsid w:val="008E4376"/>
    <w:rsid w:val="008E7A0A"/>
    <w:rsid w:val="008E7B49"/>
    <w:rsid w:val="008F59F6"/>
    <w:rsid w:val="00900719"/>
    <w:rsid w:val="009017AC"/>
    <w:rsid w:val="00902A9A"/>
    <w:rsid w:val="00904A1C"/>
    <w:rsid w:val="00905030"/>
    <w:rsid w:val="00906490"/>
    <w:rsid w:val="009111B2"/>
    <w:rsid w:val="00914E77"/>
    <w:rsid w:val="009151F5"/>
    <w:rsid w:val="00924AE1"/>
    <w:rsid w:val="009269B1"/>
    <w:rsid w:val="0092724D"/>
    <w:rsid w:val="009272B3"/>
    <w:rsid w:val="009315BE"/>
    <w:rsid w:val="0093338F"/>
    <w:rsid w:val="009335E5"/>
    <w:rsid w:val="00937BD9"/>
    <w:rsid w:val="00944FFE"/>
    <w:rsid w:val="00950E2C"/>
    <w:rsid w:val="00951D50"/>
    <w:rsid w:val="009525EB"/>
    <w:rsid w:val="0095470B"/>
    <w:rsid w:val="00954874"/>
    <w:rsid w:val="0095615A"/>
    <w:rsid w:val="009601AB"/>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9C1"/>
    <w:rsid w:val="0099232C"/>
    <w:rsid w:val="0099272B"/>
    <w:rsid w:val="00994386"/>
    <w:rsid w:val="009A13D8"/>
    <w:rsid w:val="009A279E"/>
    <w:rsid w:val="009A3015"/>
    <w:rsid w:val="009A3490"/>
    <w:rsid w:val="009B0A6F"/>
    <w:rsid w:val="009B0A94"/>
    <w:rsid w:val="009B2AE8"/>
    <w:rsid w:val="009B5622"/>
    <w:rsid w:val="009B59E9"/>
    <w:rsid w:val="009B70AA"/>
    <w:rsid w:val="009C5E77"/>
    <w:rsid w:val="009C7A7E"/>
    <w:rsid w:val="009D02E8"/>
    <w:rsid w:val="009D51D0"/>
    <w:rsid w:val="009D70A4"/>
    <w:rsid w:val="009D7B14"/>
    <w:rsid w:val="009E08D1"/>
    <w:rsid w:val="009E1B95"/>
    <w:rsid w:val="009E496F"/>
    <w:rsid w:val="009E4B0D"/>
    <w:rsid w:val="009E5250"/>
    <w:rsid w:val="009E5AE7"/>
    <w:rsid w:val="009E7A69"/>
    <w:rsid w:val="009E7F92"/>
    <w:rsid w:val="009F02A3"/>
    <w:rsid w:val="009F2F27"/>
    <w:rsid w:val="009F34AA"/>
    <w:rsid w:val="009F364B"/>
    <w:rsid w:val="009F6BCB"/>
    <w:rsid w:val="009F7B78"/>
    <w:rsid w:val="00A0057A"/>
    <w:rsid w:val="00A02FA1"/>
    <w:rsid w:val="00A04CCE"/>
    <w:rsid w:val="00A07421"/>
    <w:rsid w:val="00A0776B"/>
    <w:rsid w:val="00A10FB9"/>
    <w:rsid w:val="00A11421"/>
    <w:rsid w:val="00A1389F"/>
    <w:rsid w:val="00A157B1"/>
    <w:rsid w:val="00A22229"/>
    <w:rsid w:val="00A24442"/>
    <w:rsid w:val="00A32577"/>
    <w:rsid w:val="00A330BB"/>
    <w:rsid w:val="00A41A7D"/>
    <w:rsid w:val="00A446F5"/>
    <w:rsid w:val="00A44882"/>
    <w:rsid w:val="00A45125"/>
    <w:rsid w:val="00A54715"/>
    <w:rsid w:val="00A6061C"/>
    <w:rsid w:val="00A62D44"/>
    <w:rsid w:val="00A646B1"/>
    <w:rsid w:val="00A67263"/>
    <w:rsid w:val="00A7161C"/>
    <w:rsid w:val="00A77AA3"/>
    <w:rsid w:val="00A8236D"/>
    <w:rsid w:val="00A854EB"/>
    <w:rsid w:val="00A872E5"/>
    <w:rsid w:val="00A91406"/>
    <w:rsid w:val="00A96C5C"/>
    <w:rsid w:val="00A96E65"/>
    <w:rsid w:val="00A96ECE"/>
    <w:rsid w:val="00A97C72"/>
    <w:rsid w:val="00AA310B"/>
    <w:rsid w:val="00AA63D4"/>
    <w:rsid w:val="00AB06E8"/>
    <w:rsid w:val="00AB1CD3"/>
    <w:rsid w:val="00AB352F"/>
    <w:rsid w:val="00AB370B"/>
    <w:rsid w:val="00AC274B"/>
    <w:rsid w:val="00AC4764"/>
    <w:rsid w:val="00AC6D36"/>
    <w:rsid w:val="00AD0CBA"/>
    <w:rsid w:val="00AD26E2"/>
    <w:rsid w:val="00AD784C"/>
    <w:rsid w:val="00AE126A"/>
    <w:rsid w:val="00AE1BAE"/>
    <w:rsid w:val="00AE3005"/>
    <w:rsid w:val="00AE3BD5"/>
    <w:rsid w:val="00AE59A0"/>
    <w:rsid w:val="00AF0C57"/>
    <w:rsid w:val="00AF26F3"/>
    <w:rsid w:val="00AF2AF1"/>
    <w:rsid w:val="00AF2DF9"/>
    <w:rsid w:val="00AF5F04"/>
    <w:rsid w:val="00B00672"/>
    <w:rsid w:val="00B00687"/>
    <w:rsid w:val="00B01B4D"/>
    <w:rsid w:val="00B04489"/>
    <w:rsid w:val="00B04AB8"/>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06D"/>
    <w:rsid w:val="00B3588E"/>
    <w:rsid w:val="00B4198F"/>
    <w:rsid w:val="00B41F3D"/>
    <w:rsid w:val="00B428F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32C"/>
    <w:rsid w:val="00B75646"/>
    <w:rsid w:val="00B7629E"/>
    <w:rsid w:val="00B90729"/>
    <w:rsid w:val="00B907DA"/>
    <w:rsid w:val="00B950BC"/>
    <w:rsid w:val="00B9714C"/>
    <w:rsid w:val="00BA1489"/>
    <w:rsid w:val="00BA29AD"/>
    <w:rsid w:val="00BA33CF"/>
    <w:rsid w:val="00BA3F8D"/>
    <w:rsid w:val="00BA422A"/>
    <w:rsid w:val="00BB7A10"/>
    <w:rsid w:val="00BC60BE"/>
    <w:rsid w:val="00BC7468"/>
    <w:rsid w:val="00BC7D4F"/>
    <w:rsid w:val="00BC7ED7"/>
    <w:rsid w:val="00BD2850"/>
    <w:rsid w:val="00BD3EE9"/>
    <w:rsid w:val="00BE28D2"/>
    <w:rsid w:val="00BE4A64"/>
    <w:rsid w:val="00BE55BB"/>
    <w:rsid w:val="00BE5E43"/>
    <w:rsid w:val="00BF557D"/>
    <w:rsid w:val="00BF7BB4"/>
    <w:rsid w:val="00BF7F58"/>
    <w:rsid w:val="00C01381"/>
    <w:rsid w:val="00C01AB1"/>
    <w:rsid w:val="00C026A0"/>
    <w:rsid w:val="00C06137"/>
    <w:rsid w:val="00C06929"/>
    <w:rsid w:val="00C076E1"/>
    <w:rsid w:val="00C079B8"/>
    <w:rsid w:val="00C10037"/>
    <w:rsid w:val="00C10740"/>
    <w:rsid w:val="00C123EA"/>
    <w:rsid w:val="00C12A49"/>
    <w:rsid w:val="00C133EE"/>
    <w:rsid w:val="00C149D0"/>
    <w:rsid w:val="00C26588"/>
    <w:rsid w:val="00C27DE9"/>
    <w:rsid w:val="00C32989"/>
    <w:rsid w:val="00C33388"/>
    <w:rsid w:val="00C35484"/>
    <w:rsid w:val="00C4173A"/>
    <w:rsid w:val="00C43B7F"/>
    <w:rsid w:val="00C46B99"/>
    <w:rsid w:val="00C47D49"/>
    <w:rsid w:val="00C50DED"/>
    <w:rsid w:val="00C52217"/>
    <w:rsid w:val="00C602FF"/>
    <w:rsid w:val="00C61174"/>
    <w:rsid w:val="00C6148F"/>
    <w:rsid w:val="00C621B1"/>
    <w:rsid w:val="00C62F7A"/>
    <w:rsid w:val="00C63B9C"/>
    <w:rsid w:val="00C667CC"/>
    <w:rsid w:val="00C6682F"/>
    <w:rsid w:val="00C67BF4"/>
    <w:rsid w:val="00C7275E"/>
    <w:rsid w:val="00C74C5D"/>
    <w:rsid w:val="00C77A0B"/>
    <w:rsid w:val="00C863C4"/>
    <w:rsid w:val="00C86AB6"/>
    <w:rsid w:val="00C920EA"/>
    <w:rsid w:val="00C92E05"/>
    <w:rsid w:val="00C93C3E"/>
    <w:rsid w:val="00C9597C"/>
    <w:rsid w:val="00CA12E3"/>
    <w:rsid w:val="00CA1476"/>
    <w:rsid w:val="00CA48C5"/>
    <w:rsid w:val="00CA6611"/>
    <w:rsid w:val="00CA6AE6"/>
    <w:rsid w:val="00CA782F"/>
    <w:rsid w:val="00CB0E38"/>
    <w:rsid w:val="00CB187B"/>
    <w:rsid w:val="00CB2835"/>
    <w:rsid w:val="00CB3285"/>
    <w:rsid w:val="00CB4500"/>
    <w:rsid w:val="00CC0C72"/>
    <w:rsid w:val="00CC2BFD"/>
    <w:rsid w:val="00CC6F40"/>
    <w:rsid w:val="00CD3476"/>
    <w:rsid w:val="00CD64DF"/>
    <w:rsid w:val="00CE225F"/>
    <w:rsid w:val="00CF2F50"/>
    <w:rsid w:val="00CF6198"/>
    <w:rsid w:val="00D02919"/>
    <w:rsid w:val="00D04C61"/>
    <w:rsid w:val="00D04DB7"/>
    <w:rsid w:val="00D058B9"/>
    <w:rsid w:val="00D05B8D"/>
    <w:rsid w:val="00D05B9B"/>
    <w:rsid w:val="00D065A2"/>
    <w:rsid w:val="00D079AA"/>
    <w:rsid w:val="00D07F00"/>
    <w:rsid w:val="00D107DA"/>
    <w:rsid w:val="00D1130F"/>
    <w:rsid w:val="00D17B72"/>
    <w:rsid w:val="00D3185C"/>
    <w:rsid w:val="00D3205F"/>
    <w:rsid w:val="00D3318E"/>
    <w:rsid w:val="00D33E72"/>
    <w:rsid w:val="00D35BD6"/>
    <w:rsid w:val="00D361B5"/>
    <w:rsid w:val="00D37CFB"/>
    <w:rsid w:val="00D411A2"/>
    <w:rsid w:val="00D4606D"/>
    <w:rsid w:val="00D50B9C"/>
    <w:rsid w:val="00D52D73"/>
    <w:rsid w:val="00D52E58"/>
    <w:rsid w:val="00D56B20"/>
    <w:rsid w:val="00D578B3"/>
    <w:rsid w:val="00D618F4"/>
    <w:rsid w:val="00D714CC"/>
    <w:rsid w:val="00D75EA7"/>
    <w:rsid w:val="00D81ADF"/>
    <w:rsid w:val="00D81F21"/>
    <w:rsid w:val="00D84EB1"/>
    <w:rsid w:val="00D864F2"/>
    <w:rsid w:val="00D943F8"/>
    <w:rsid w:val="00D95470"/>
    <w:rsid w:val="00D96B55"/>
    <w:rsid w:val="00DA2619"/>
    <w:rsid w:val="00DA4239"/>
    <w:rsid w:val="00DA65DE"/>
    <w:rsid w:val="00DB0B61"/>
    <w:rsid w:val="00DB1474"/>
    <w:rsid w:val="00DB2962"/>
    <w:rsid w:val="00DB2A52"/>
    <w:rsid w:val="00DB52FB"/>
    <w:rsid w:val="00DC013B"/>
    <w:rsid w:val="00DC0788"/>
    <w:rsid w:val="00DC090B"/>
    <w:rsid w:val="00DC0F0F"/>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3EE4"/>
    <w:rsid w:val="00E06086"/>
    <w:rsid w:val="00E06B75"/>
    <w:rsid w:val="00E10D59"/>
    <w:rsid w:val="00E11332"/>
    <w:rsid w:val="00E11352"/>
    <w:rsid w:val="00E129E5"/>
    <w:rsid w:val="00E170DC"/>
    <w:rsid w:val="00E17546"/>
    <w:rsid w:val="00E210B5"/>
    <w:rsid w:val="00E261B3"/>
    <w:rsid w:val="00E26818"/>
    <w:rsid w:val="00E27FFC"/>
    <w:rsid w:val="00E30B15"/>
    <w:rsid w:val="00E33237"/>
    <w:rsid w:val="00E37B26"/>
    <w:rsid w:val="00E40181"/>
    <w:rsid w:val="00E50EC1"/>
    <w:rsid w:val="00E54950"/>
    <w:rsid w:val="00E55FB3"/>
    <w:rsid w:val="00E56A01"/>
    <w:rsid w:val="00E629A1"/>
    <w:rsid w:val="00E651FF"/>
    <w:rsid w:val="00E66F0E"/>
    <w:rsid w:val="00E67121"/>
    <w:rsid w:val="00E6794C"/>
    <w:rsid w:val="00E71591"/>
    <w:rsid w:val="00E71CEB"/>
    <w:rsid w:val="00E7474F"/>
    <w:rsid w:val="00E76818"/>
    <w:rsid w:val="00E80413"/>
    <w:rsid w:val="00E80DE3"/>
    <w:rsid w:val="00E82C55"/>
    <w:rsid w:val="00E8787E"/>
    <w:rsid w:val="00E92AC3"/>
    <w:rsid w:val="00E9356E"/>
    <w:rsid w:val="00EA2F6A"/>
    <w:rsid w:val="00EB00E0"/>
    <w:rsid w:val="00EB05D5"/>
    <w:rsid w:val="00EC059F"/>
    <w:rsid w:val="00EC1F24"/>
    <w:rsid w:val="00EC22F6"/>
    <w:rsid w:val="00EC5139"/>
    <w:rsid w:val="00EC7C33"/>
    <w:rsid w:val="00ED5B9B"/>
    <w:rsid w:val="00ED6290"/>
    <w:rsid w:val="00ED6BAD"/>
    <w:rsid w:val="00ED7447"/>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0F"/>
    <w:rsid w:val="00F0437A"/>
    <w:rsid w:val="00F072AA"/>
    <w:rsid w:val="00F07F68"/>
    <w:rsid w:val="00F101B8"/>
    <w:rsid w:val="00F11037"/>
    <w:rsid w:val="00F16F1B"/>
    <w:rsid w:val="00F250A9"/>
    <w:rsid w:val="00F267AF"/>
    <w:rsid w:val="00F304D0"/>
    <w:rsid w:val="00F30FF4"/>
    <w:rsid w:val="00F3122E"/>
    <w:rsid w:val="00F32368"/>
    <w:rsid w:val="00F331AD"/>
    <w:rsid w:val="00F33315"/>
    <w:rsid w:val="00F35287"/>
    <w:rsid w:val="00F36B5E"/>
    <w:rsid w:val="00F40A70"/>
    <w:rsid w:val="00F43A37"/>
    <w:rsid w:val="00F4641B"/>
    <w:rsid w:val="00F46EB8"/>
    <w:rsid w:val="00F50751"/>
    <w:rsid w:val="00F50CD1"/>
    <w:rsid w:val="00F511E4"/>
    <w:rsid w:val="00F51CE7"/>
    <w:rsid w:val="00F52D09"/>
    <w:rsid w:val="00F52E08"/>
    <w:rsid w:val="00F53A66"/>
    <w:rsid w:val="00F5462D"/>
    <w:rsid w:val="00F55B21"/>
    <w:rsid w:val="00F56EF6"/>
    <w:rsid w:val="00F57289"/>
    <w:rsid w:val="00F60082"/>
    <w:rsid w:val="00F61A9F"/>
    <w:rsid w:val="00F61B5F"/>
    <w:rsid w:val="00F63475"/>
    <w:rsid w:val="00F64696"/>
    <w:rsid w:val="00F65AA9"/>
    <w:rsid w:val="00F6768F"/>
    <w:rsid w:val="00F72C2C"/>
    <w:rsid w:val="00F741F2"/>
    <w:rsid w:val="00F76CAB"/>
    <w:rsid w:val="00F772C6"/>
    <w:rsid w:val="00F815B5"/>
    <w:rsid w:val="00F85195"/>
    <w:rsid w:val="00F868E3"/>
    <w:rsid w:val="00F938BA"/>
    <w:rsid w:val="00F97919"/>
    <w:rsid w:val="00FA1C58"/>
    <w:rsid w:val="00FA2C46"/>
    <w:rsid w:val="00FA3525"/>
    <w:rsid w:val="00FA5A53"/>
    <w:rsid w:val="00FB4769"/>
    <w:rsid w:val="00FB4CDA"/>
    <w:rsid w:val="00FB6481"/>
    <w:rsid w:val="00FB6D36"/>
    <w:rsid w:val="00FC0965"/>
    <w:rsid w:val="00FC0F81"/>
    <w:rsid w:val="00FC252F"/>
    <w:rsid w:val="00FC395C"/>
    <w:rsid w:val="00FC4B95"/>
    <w:rsid w:val="00FC5E8E"/>
    <w:rsid w:val="00FD3766"/>
    <w:rsid w:val="00FD47C4"/>
    <w:rsid w:val="00FE2DCF"/>
    <w:rsid w:val="00FE2E59"/>
    <w:rsid w:val="00FE3FA7"/>
    <w:rsid w:val="00FE5BBD"/>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B6EF28"/>
  <w15:docId w15:val="{2D45001D-7B5D-42B5-B6BA-DB5A4721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semiHidden/>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semiHidden/>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8B2029"/>
    <w:pPr>
      <w:spacing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Mainsubheading">
    <w:name w:val="Main subheading"/>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rsid w:val="00D37CFB"/>
    <w:pPr>
      <w:spacing w:after="120" w:line="270" w:lineRule="atLeast"/>
    </w:pPr>
    <w:rPr>
      <w:rFonts w:ascii="Arial" w:hAnsi="Arial"/>
      <w:lang w:eastAsia="en-US"/>
    </w:rPr>
  </w:style>
  <w:style w:type="paragraph" w:customStyle="1" w:styleId="DHHSfigurecaption">
    <w:name w:val="DHHS figure caption"/>
    <w:next w:val="DHHSbody"/>
    <w:uiPriority w:val="99"/>
    <w:rsid w:val="00D37CFB"/>
    <w:pPr>
      <w:keepNext/>
      <w:keepLines/>
      <w:spacing w:before="240" w:after="120"/>
    </w:pPr>
    <w:rPr>
      <w:rFonts w:ascii="Arial" w:hAnsi="Arial"/>
      <w:b/>
      <w:lang w:eastAsia="en-US"/>
    </w:rPr>
  </w:style>
  <w:style w:type="paragraph" w:customStyle="1" w:styleId="DHHSbullet1">
    <w:name w:val="DHHS bullet 1"/>
    <w:basedOn w:val="Normal"/>
    <w:qFormat/>
    <w:rsid w:val="003048FA"/>
    <w:pPr>
      <w:spacing w:after="40" w:line="270" w:lineRule="atLeast"/>
      <w:ind w:left="284" w:hanging="284"/>
    </w:pPr>
    <w:rPr>
      <w:sz w:val="20"/>
    </w:rPr>
  </w:style>
  <w:style w:type="paragraph" w:customStyle="1" w:styleId="DHHSbullet2">
    <w:name w:val="DHHS bullet 2"/>
    <w:basedOn w:val="Normal"/>
    <w:uiPriority w:val="2"/>
    <w:qFormat/>
    <w:rsid w:val="003048FA"/>
    <w:pPr>
      <w:spacing w:after="40" w:line="270" w:lineRule="atLeast"/>
      <w:ind w:left="567" w:hanging="283"/>
    </w:pPr>
    <w:rPr>
      <w:sz w:val="20"/>
    </w:rPr>
  </w:style>
  <w:style w:type="paragraph" w:customStyle="1" w:styleId="DHHStablebullet">
    <w:name w:val="DHHS table bullet"/>
    <w:basedOn w:val="Normal"/>
    <w:uiPriority w:val="99"/>
    <w:rsid w:val="003048FA"/>
    <w:pPr>
      <w:spacing w:before="80" w:after="60" w:line="240" w:lineRule="auto"/>
      <w:ind w:left="227" w:hanging="227"/>
    </w:pPr>
    <w:rPr>
      <w:sz w:val="20"/>
    </w:rPr>
  </w:style>
  <w:style w:type="paragraph" w:customStyle="1" w:styleId="DHHSbulletindent">
    <w:name w:val="DHHS bullet indent"/>
    <w:basedOn w:val="Normal"/>
    <w:uiPriority w:val="99"/>
    <w:rsid w:val="003048FA"/>
    <w:pPr>
      <w:spacing w:after="40" w:line="270" w:lineRule="atLeast"/>
      <w:ind w:left="680" w:hanging="283"/>
    </w:pPr>
    <w:rPr>
      <w:sz w:val="20"/>
    </w:rPr>
  </w:style>
  <w:style w:type="paragraph" w:customStyle="1" w:styleId="DHHSbullet1lastline">
    <w:name w:val="DHHS bullet 1 last line"/>
    <w:basedOn w:val="DHHSbullet1"/>
    <w:uiPriority w:val="99"/>
    <w:rsid w:val="003048FA"/>
    <w:pPr>
      <w:spacing w:after="120"/>
    </w:pPr>
  </w:style>
  <w:style w:type="paragraph" w:customStyle="1" w:styleId="DHHSbullet2lastline">
    <w:name w:val="DHHS bullet 2 last line"/>
    <w:basedOn w:val="DHHSbullet2"/>
    <w:uiPriority w:val="99"/>
    <w:rsid w:val="003048FA"/>
    <w:pPr>
      <w:spacing w:after="120"/>
    </w:pPr>
  </w:style>
  <w:style w:type="paragraph" w:customStyle="1" w:styleId="DHHSbulletindentlastline">
    <w:name w:val="DHHS bullet indent last line"/>
    <w:basedOn w:val="Normal"/>
    <w:uiPriority w:val="99"/>
    <w:rsid w:val="003048FA"/>
    <w:pPr>
      <w:spacing w:line="270" w:lineRule="atLeast"/>
      <w:ind w:left="680"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7201599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4002444">
      <w:bodyDiv w:val="1"/>
      <w:marLeft w:val="0"/>
      <w:marRight w:val="0"/>
      <w:marTop w:val="0"/>
      <w:marBottom w:val="0"/>
      <w:divBdr>
        <w:top w:val="none" w:sz="0" w:space="0" w:color="auto"/>
        <w:left w:val="none" w:sz="0" w:space="0" w:color="auto"/>
        <w:bottom w:val="none" w:sz="0" w:space="0" w:color="auto"/>
        <w:right w:val="none" w:sz="0" w:space="0" w:color="auto"/>
      </w:divBdr>
    </w:div>
    <w:div w:id="199717570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ac.dffh.vic.gov.au/data-coll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ac.dffh.vic.gov.au/data-collect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onitoring%20framework%20helpdesk" TargetMode="External"/><Relationship Id="rId10" Type="http://schemas.openxmlformats.org/officeDocument/2006/relationships/endnotes" Target="endnotes.xml"/><Relationship Id="rId19" Type="http://schemas.openxmlformats.org/officeDocument/2006/relationships/hyperlink" Target="https://services.dffh.vic.gov.au/support-car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9dd2b7-399c-4633-a2c8-a86a36d4dd78">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7" ma:contentTypeDescription="Create a new document." ma:contentTypeScope="" ma:versionID="58bb81d6ac998c76146f18ae3ce12752">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a75f69594ffd3a090f980a4fcc6116cb"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ba9dd2b7-399c-4633-a2c8-a86a36d4dd78"/>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52EE373-3F44-4879-87B6-0F9D02A24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DFFH A4 portrait factsheet Green</vt:lpstr>
    </vt:vector>
  </TitlesOfParts>
  <Company>Victoria State Government, Department of Familes, Fairness and Housing</Company>
  <LinksUpToDate>false</LinksUpToDate>
  <CharactersWithSpaces>6416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A4 portrait factsheet Green</dc:title>
  <dc:creator>Matt Haworth</dc:creator>
  <cp:lastModifiedBy>Maria Tsekouras (DFFH)</cp:lastModifiedBy>
  <cp:revision>2</cp:revision>
  <cp:lastPrinted>2021-01-29T05:27:00Z</cp:lastPrinted>
  <dcterms:created xsi:type="dcterms:W3CDTF">2023-10-05T02:03:00Z</dcterms:created>
  <dcterms:modified xsi:type="dcterms:W3CDTF">2023-10-05T02:03:00Z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2023-10-05T02:02:51Z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b8d7d3f2-e64b-4d42-aa75-e9dad6c444cb</vt:lpwstr>
  </property>
  <property fmtid="{D5CDD505-2E9C-101B-9397-08002B2CF9AE}" pid="12" name="MSIP_Label_43e64453-338c-4f93-8a4d-0039a0a41f2a_ContentBits">
    <vt:lpwstr>2</vt:lpwstr>
  </property>
</Properties>
</file>