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3ECD5093" w14:textId="77777777" w:rsidTr="00A42F56">
        <w:trPr>
          <w:cantSplit/>
          <w:trHeight w:val="1122"/>
        </w:trPr>
        <w:tc>
          <w:tcPr>
            <w:tcW w:w="9498" w:type="dxa"/>
            <w:tcMar>
              <w:top w:w="0" w:type="dxa"/>
              <w:left w:w="0" w:type="dxa"/>
              <w:right w:w="0" w:type="dxa"/>
            </w:tcMar>
          </w:tcPr>
          <w:p w14:paraId="1DA78606" w14:textId="03B8CEEC" w:rsidR="008A09F8" w:rsidRPr="00431F42" w:rsidRDefault="00AC2532" w:rsidP="00A42F56">
            <w:pPr>
              <w:pStyle w:val="Documenttitle"/>
            </w:pPr>
            <w:r>
              <w:t>Aboriginal Private Rental Assistance Program</w:t>
            </w:r>
          </w:p>
        </w:tc>
      </w:tr>
      <w:tr w:rsidR="008A09F8" w14:paraId="33FC10C5" w14:textId="77777777" w:rsidTr="00A42F56">
        <w:trPr>
          <w:cantSplit/>
          <w:trHeight w:val="693"/>
        </w:trPr>
        <w:tc>
          <w:tcPr>
            <w:tcW w:w="9498" w:type="dxa"/>
          </w:tcPr>
          <w:p w14:paraId="6598DA50" w14:textId="076D7BB4" w:rsidR="008A09F8" w:rsidRPr="00A1389F" w:rsidRDefault="00AC2532" w:rsidP="00A42F56">
            <w:pPr>
              <w:pStyle w:val="Documentsubtitle"/>
            </w:pPr>
            <w:r>
              <w:t>Guidelines – July 2023</w:t>
            </w:r>
          </w:p>
        </w:tc>
      </w:tr>
      <w:tr w:rsidR="008A09F8" w14:paraId="1B8483C4" w14:textId="77777777" w:rsidTr="00A42F56">
        <w:trPr>
          <w:cantSplit/>
          <w:trHeight w:val="376"/>
        </w:trPr>
        <w:tc>
          <w:tcPr>
            <w:tcW w:w="9498" w:type="dxa"/>
          </w:tcPr>
          <w:p w14:paraId="681C2A02" w14:textId="77777777" w:rsidR="008A09F8" w:rsidRDefault="00C46FAD" w:rsidP="00A42F56">
            <w:pPr>
              <w:pStyle w:val="Bannermarking"/>
            </w:pPr>
            <w:r>
              <w:fldChar w:fldCharType="begin"/>
            </w:r>
            <w:r>
              <w:instrText xml:space="preserve"> FILLIN  "Type the protective marking" \d OFFICIAL \o  \* MERGEFORMAT </w:instrText>
            </w:r>
            <w:r>
              <w:fldChar w:fldCharType="separate"/>
            </w:r>
            <w:r w:rsidR="00AC2532">
              <w:t>OFFICIAL</w:t>
            </w:r>
            <w:r>
              <w:fldChar w:fldCharType="end"/>
            </w:r>
          </w:p>
        </w:tc>
      </w:tr>
    </w:tbl>
    <w:p w14:paraId="45BFC567" w14:textId="77777777" w:rsidR="00056EC4" w:rsidRDefault="00DF40A5" w:rsidP="00056EC4">
      <w:pPr>
        <w:pStyle w:val="Body"/>
      </w:pPr>
      <w:r>
        <w:rPr>
          <w:noProof/>
          <w:color w:val="2B579A"/>
          <w:shd w:val="clear" w:color="auto" w:fill="E6E6E6"/>
        </w:rPr>
        <w:drawing>
          <wp:anchor distT="0" distB="0" distL="114300" distR="114300" simplePos="0" relativeHeight="251658240" behindDoc="1" locked="0" layoutInCell="1" allowOverlap="1" wp14:anchorId="3B1181DA" wp14:editId="29AF67F5">
            <wp:simplePos x="0" y="0"/>
            <wp:positionH relativeFrom="column">
              <wp:posOffset>-828040</wp:posOffset>
            </wp:positionH>
            <wp:positionV relativeFrom="page">
              <wp:posOffset>-10951</wp:posOffset>
            </wp:positionV>
            <wp:extent cx="7559643" cy="10685143"/>
            <wp:effectExtent l="0" t="0" r="0" b="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r w:rsidR="008A09F8">
        <w:rPr>
          <w:noProof/>
        </w:rPr>
        <w:t xml:space="preserve"> </w:t>
      </w:r>
    </w:p>
    <w:p w14:paraId="6904DA08" w14:textId="77777777" w:rsidR="00FE4081" w:rsidRDefault="00FE4081" w:rsidP="00FE4081">
      <w:pPr>
        <w:pStyle w:val="Body"/>
      </w:pPr>
    </w:p>
    <w:p w14:paraId="7A2D4808" w14:textId="77777777"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36316706" w14:textId="77777777" w:rsidR="00CF230C" w:rsidRDefault="00EF187B" w:rsidP="6C808949">
      <w:pPr>
        <w:spacing w:after="20" w:line="240" w:lineRule="auto"/>
        <w:rPr>
          <w:rFonts w:eastAsia="Times"/>
        </w:rPr>
      </w:pPr>
      <w:r>
        <w:rPr>
          <w:noProof/>
          <w:color w:val="2B579A"/>
          <w:shd w:val="clear" w:color="auto" w:fill="E6E6E6"/>
        </w:rPr>
        <w:lastRenderedPageBreak/>
        <w:drawing>
          <wp:anchor distT="0" distB="0" distL="114300" distR="114300" simplePos="0" relativeHeight="251658241" behindDoc="1" locked="0" layoutInCell="1" allowOverlap="1" wp14:anchorId="4933DAB9" wp14:editId="655AD84D">
            <wp:simplePos x="0" y="0"/>
            <wp:positionH relativeFrom="column">
              <wp:posOffset>-844466</wp:posOffset>
            </wp:positionH>
            <wp:positionV relativeFrom="page">
              <wp:posOffset>10951</wp:posOffset>
            </wp:positionV>
            <wp:extent cx="7574915"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5"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4558872B" w14:textId="77777777" w:rsidTr="00431F42">
        <w:trPr>
          <w:trHeight w:val="7371"/>
        </w:trPr>
        <w:tc>
          <w:tcPr>
            <w:tcW w:w="7598" w:type="dxa"/>
            <w:vAlign w:val="center"/>
          </w:tcPr>
          <w:p w14:paraId="204A1E6F" w14:textId="50AEFC02" w:rsidR="00431F42" w:rsidRDefault="00AC2532" w:rsidP="6C808949">
            <w:pPr>
              <w:pStyle w:val="Documenttitle"/>
              <w:spacing w:after="20" w:line="240" w:lineRule="auto"/>
            </w:pPr>
            <w:r>
              <w:lastRenderedPageBreak/>
              <w:t>Aboriginal Private Rental Assistance Program</w:t>
            </w:r>
          </w:p>
          <w:p w14:paraId="567E4637" w14:textId="3D8ED771" w:rsidR="00431F42" w:rsidRDefault="00AC2532" w:rsidP="6C808949">
            <w:pPr>
              <w:pStyle w:val="Documentsubtitle"/>
              <w:spacing w:after="20" w:line="240" w:lineRule="auto"/>
            </w:pPr>
            <w:r>
              <w:t>Guidelines July 2023</w:t>
            </w:r>
          </w:p>
        </w:tc>
      </w:tr>
      <w:tr w:rsidR="00431F42" w14:paraId="55C31ACA" w14:textId="77777777" w:rsidTr="00431F42">
        <w:tc>
          <w:tcPr>
            <w:tcW w:w="7598" w:type="dxa"/>
          </w:tcPr>
          <w:p w14:paraId="704658A1" w14:textId="77777777" w:rsidR="00431F42" w:rsidRDefault="00431F42" w:rsidP="6C808949">
            <w:pPr>
              <w:pStyle w:val="Body"/>
              <w:spacing w:after="20" w:line="240" w:lineRule="auto"/>
            </w:pPr>
          </w:p>
        </w:tc>
      </w:tr>
    </w:tbl>
    <w:p w14:paraId="38E78C6D" w14:textId="77777777" w:rsidR="000D2ABA" w:rsidRDefault="000D2ABA" w:rsidP="6C808949">
      <w:pPr>
        <w:pStyle w:val="Body"/>
        <w:spacing w:after="2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74547300" w14:textId="77777777" w:rsidTr="00562507">
        <w:trPr>
          <w:cantSplit/>
          <w:trHeight w:val="7088"/>
        </w:trPr>
        <w:tc>
          <w:tcPr>
            <w:tcW w:w="9288" w:type="dxa"/>
          </w:tcPr>
          <w:p w14:paraId="79DB7CEC" w14:textId="7B47D896" w:rsidR="009F2182" w:rsidRPr="00DF4F13" w:rsidRDefault="009F2182" w:rsidP="6C808949">
            <w:pPr>
              <w:pStyle w:val="Body"/>
              <w:spacing w:before="120" w:after="20" w:line="240" w:lineRule="auto"/>
              <w:rPr>
                <w:rFonts w:eastAsia="Times New Roman"/>
                <w:color w:val="8761A9"/>
                <w:sz w:val="24"/>
                <w:szCs w:val="24"/>
              </w:rPr>
            </w:pPr>
          </w:p>
        </w:tc>
      </w:tr>
      <w:tr w:rsidR="009F2182" w14:paraId="33F1420E" w14:textId="77777777" w:rsidTr="00562507">
        <w:trPr>
          <w:cantSplit/>
          <w:trHeight w:val="5103"/>
        </w:trPr>
        <w:tc>
          <w:tcPr>
            <w:tcW w:w="9288" w:type="dxa"/>
            <w:vAlign w:val="bottom"/>
          </w:tcPr>
          <w:p w14:paraId="0025A7DB" w14:textId="77777777" w:rsidR="00DE19D2" w:rsidRPr="0055119B" w:rsidRDefault="00DE19D2" w:rsidP="00DE19D2">
            <w:pPr>
              <w:pStyle w:val="Imprint"/>
              <w:spacing w:after="20" w:line="240" w:lineRule="auto"/>
            </w:pPr>
            <w:r w:rsidRPr="0055119B">
              <w:t>Authorised and published by the Victorian Government, 1 Treasury Place, Melbourne.</w:t>
            </w:r>
          </w:p>
          <w:p w14:paraId="3FA53607" w14:textId="77777777" w:rsidR="00DE19D2" w:rsidRPr="00F525E9" w:rsidRDefault="00DE19D2" w:rsidP="00DE19D2">
            <w:pPr>
              <w:pStyle w:val="Imprint"/>
              <w:spacing w:after="20" w:line="240" w:lineRule="auto"/>
            </w:pPr>
            <w:r w:rsidRPr="0055119B">
              <w:t xml:space="preserve">© State of Victoria, Australia, </w:t>
            </w:r>
            <w:r>
              <w:t>Homes Victoria</w:t>
            </w:r>
            <w:r w:rsidRPr="00F525E9">
              <w:t>, July 2023.</w:t>
            </w:r>
          </w:p>
          <w:p w14:paraId="40169099" w14:textId="77777777" w:rsidR="00DE19D2" w:rsidRPr="009C6893" w:rsidRDefault="00DE19D2" w:rsidP="00DE19D2">
            <w:pPr>
              <w:pStyle w:val="Imprint"/>
              <w:spacing w:after="20" w:line="240" w:lineRule="auto"/>
            </w:pPr>
            <w:bookmarkStart w:id="0" w:name="_Hlk62746129"/>
            <w:r w:rsidRPr="009C6893">
              <w:t xml:space="preserve">Except where otherwise indicated, the images in this document show models and illustrative settings only, and do not necessarily depict actual services, </w:t>
            </w:r>
            <w:proofErr w:type="gramStart"/>
            <w:r w:rsidRPr="009C6893">
              <w:t>facilities</w:t>
            </w:r>
            <w:proofErr w:type="gramEnd"/>
            <w:r w:rsidRPr="009C6893">
              <w:t xml:space="preserve"> or recipients of services. This document may contain images of deceased Aboriginal and Torres Strait Islander peoples.</w:t>
            </w:r>
          </w:p>
          <w:p w14:paraId="1C5CECB3" w14:textId="04294F58" w:rsidR="009F2182" w:rsidRDefault="00DE19D2" w:rsidP="00DE19D2">
            <w:pPr>
              <w:pStyle w:val="Imprint"/>
              <w:spacing w:after="20" w:line="240" w:lineRule="auto"/>
            </w:pPr>
            <w:r w:rsidRPr="009C6893">
              <w:t>In this document, ‘Aboriginal’ refers to both Aboriginal and Torres Strait Islander people. ‘Indigenous’ or ‘Koori/</w:t>
            </w:r>
            <w:proofErr w:type="spellStart"/>
            <w:r w:rsidRPr="009C6893">
              <w:t>Koorie</w:t>
            </w:r>
            <w:proofErr w:type="spellEnd"/>
            <w:r w:rsidRPr="009C6893">
              <w:t xml:space="preserve">’ is retained when part of the title of a report, </w:t>
            </w:r>
            <w:proofErr w:type="gramStart"/>
            <w:r w:rsidRPr="009C6893">
              <w:t>program</w:t>
            </w:r>
            <w:proofErr w:type="gramEnd"/>
            <w:r w:rsidRPr="009C6893">
              <w:t xml:space="preserve"> or quotation</w:t>
            </w:r>
            <w:bookmarkEnd w:id="0"/>
            <w:r>
              <w:t>.</w:t>
            </w:r>
          </w:p>
        </w:tc>
      </w:tr>
      <w:tr w:rsidR="0008204A" w14:paraId="49F385D1" w14:textId="77777777" w:rsidTr="0008204A">
        <w:trPr>
          <w:cantSplit/>
        </w:trPr>
        <w:tc>
          <w:tcPr>
            <w:tcW w:w="9288" w:type="dxa"/>
          </w:tcPr>
          <w:p w14:paraId="497FE150" w14:textId="77777777" w:rsidR="0008204A" w:rsidRPr="0055119B" w:rsidRDefault="0008204A" w:rsidP="6C808949">
            <w:pPr>
              <w:pStyle w:val="Body"/>
              <w:spacing w:after="20" w:line="240" w:lineRule="auto"/>
            </w:pPr>
          </w:p>
        </w:tc>
      </w:tr>
    </w:tbl>
    <w:p w14:paraId="1E616EE8" w14:textId="77777777" w:rsidR="0008204A" w:rsidRPr="0008204A" w:rsidRDefault="0008204A" w:rsidP="6C808949">
      <w:pPr>
        <w:pStyle w:val="Body"/>
        <w:spacing w:after="20" w:line="240" w:lineRule="auto"/>
      </w:pPr>
      <w:r w:rsidRPr="0008204A">
        <w:br w:type="page"/>
      </w:r>
    </w:p>
    <w:p w14:paraId="1AE874CE" w14:textId="77777777" w:rsidR="00AD784C" w:rsidRPr="00B57329" w:rsidRDefault="00AD784C" w:rsidP="6C808949">
      <w:pPr>
        <w:pStyle w:val="TOCheadingreport"/>
        <w:keepNext w:val="0"/>
        <w:keepLines w:val="0"/>
        <w:spacing w:after="20" w:line="240" w:lineRule="auto"/>
      </w:pPr>
      <w:r w:rsidRPr="00B57329">
        <w:lastRenderedPageBreak/>
        <w:t>Contents</w:t>
      </w:r>
    </w:p>
    <w:p w14:paraId="08E1A9D0" w14:textId="26BD938E" w:rsidR="004C42D6" w:rsidRDefault="00AD784C">
      <w:pPr>
        <w:pStyle w:val="TOC1"/>
        <w:rPr>
          <w:rFonts w:asciiTheme="minorHAnsi" w:eastAsiaTheme="minorEastAsia" w:hAnsiTheme="minorHAnsi" w:cstheme="minorBidi"/>
          <w:b w:val="0"/>
          <w:sz w:val="22"/>
          <w:szCs w:val="22"/>
          <w:lang w:eastAsia="en-AU"/>
        </w:rPr>
      </w:pPr>
      <w:r w:rsidRPr="6C808949">
        <w:rPr>
          <w:rFonts w:eastAsia="Times"/>
          <w:color w:val="2B579A"/>
          <w:shd w:val="clear" w:color="auto" w:fill="E6E6E6"/>
        </w:rPr>
        <w:fldChar w:fldCharType="begin"/>
      </w:r>
      <w:r>
        <w:instrText xml:space="preserve"> TOC \h \z \t "Heading 1,1,Heading 2,2" </w:instrText>
      </w:r>
      <w:r w:rsidRPr="6C808949">
        <w:rPr>
          <w:rFonts w:eastAsia="Times"/>
          <w:color w:val="2B579A"/>
          <w:shd w:val="clear" w:color="auto" w:fill="E6E6E6"/>
        </w:rPr>
        <w:fldChar w:fldCharType="separate"/>
      </w:r>
      <w:hyperlink w:anchor="_Toc141442135" w:history="1">
        <w:r w:rsidR="004C42D6" w:rsidRPr="00D92AF8">
          <w:rPr>
            <w:rStyle w:val="Hyperlink"/>
          </w:rPr>
          <w:t>Introduction</w:t>
        </w:r>
        <w:r w:rsidR="004C42D6">
          <w:rPr>
            <w:webHidden/>
          </w:rPr>
          <w:tab/>
        </w:r>
        <w:r w:rsidR="004C42D6">
          <w:rPr>
            <w:webHidden/>
          </w:rPr>
          <w:fldChar w:fldCharType="begin"/>
        </w:r>
        <w:r w:rsidR="004C42D6">
          <w:rPr>
            <w:webHidden/>
          </w:rPr>
          <w:instrText xml:space="preserve"> PAGEREF _Toc141442135 \h </w:instrText>
        </w:r>
        <w:r w:rsidR="004C42D6">
          <w:rPr>
            <w:webHidden/>
          </w:rPr>
        </w:r>
        <w:r w:rsidR="004C42D6">
          <w:rPr>
            <w:webHidden/>
          </w:rPr>
          <w:fldChar w:fldCharType="separate"/>
        </w:r>
        <w:r w:rsidR="00C46FAD">
          <w:rPr>
            <w:webHidden/>
          </w:rPr>
          <w:t>6</w:t>
        </w:r>
        <w:r w:rsidR="004C42D6">
          <w:rPr>
            <w:webHidden/>
          </w:rPr>
          <w:fldChar w:fldCharType="end"/>
        </w:r>
      </w:hyperlink>
    </w:p>
    <w:p w14:paraId="543C47A2" w14:textId="06C9B6E3" w:rsidR="004C42D6" w:rsidRDefault="00C46FAD">
      <w:pPr>
        <w:pStyle w:val="TOC1"/>
        <w:rPr>
          <w:rFonts w:asciiTheme="minorHAnsi" w:eastAsiaTheme="minorEastAsia" w:hAnsiTheme="minorHAnsi" w:cstheme="minorBidi"/>
          <w:b w:val="0"/>
          <w:sz w:val="22"/>
          <w:szCs w:val="22"/>
          <w:lang w:eastAsia="en-AU"/>
        </w:rPr>
      </w:pPr>
      <w:hyperlink w:anchor="_Toc141442136" w:history="1">
        <w:r w:rsidR="004C42D6" w:rsidRPr="00D92AF8">
          <w:rPr>
            <w:rStyle w:val="Hyperlink"/>
          </w:rPr>
          <w:t>Background</w:t>
        </w:r>
        <w:r w:rsidR="004C42D6">
          <w:rPr>
            <w:webHidden/>
          </w:rPr>
          <w:tab/>
        </w:r>
        <w:r w:rsidR="004C42D6">
          <w:rPr>
            <w:webHidden/>
          </w:rPr>
          <w:fldChar w:fldCharType="begin"/>
        </w:r>
        <w:r w:rsidR="004C42D6">
          <w:rPr>
            <w:webHidden/>
          </w:rPr>
          <w:instrText xml:space="preserve"> PAGEREF _Toc141442136 \h </w:instrText>
        </w:r>
        <w:r w:rsidR="004C42D6">
          <w:rPr>
            <w:webHidden/>
          </w:rPr>
        </w:r>
        <w:r w:rsidR="004C42D6">
          <w:rPr>
            <w:webHidden/>
          </w:rPr>
          <w:fldChar w:fldCharType="separate"/>
        </w:r>
        <w:r>
          <w:rPr>
            <w:webHidden/>
          </w:rPr>
          <w:t>6</w:t>
        </w:r>
        <w:r w:rsidR="004C42D6">
          <w:rPr>
            <w:webHidden/>
          </w:rPr>
          <w:fldChar w:fldCharType="end"/>
        </w:r>
      </w:hyperlink>
    </w:p>
    <w:p w14:paraId="2794FF19" w14:textId="77054E35" w:rsidR="004C42D6" w:rsidRDefault="00C46FAD">
      <w:pPr>
        <w:pStyle w:val="TOC1"/>
        <w:rPr>
          <w:rFonts w:asciiTheme="minorHAnsi" w:eastAsiaTheme="minorEastAsia" w:hAnsiTheme="minorHAnsi" w:cstheme="minorBidi"/>
          <w:b w:val="0"/>
          <w:sz w:val="22"/>
          <w:szCs w:val="22"/>
          <w:lang w:eastAsia="en-AU"/>
        </w:rPr>
      </w:pPr>
      <w:hyperlink w:anchor="_Toc141442137" w:history="1">
        <w:r w:rsidR="004C42D6" w:rsidRPr="00D92AF8">
          <w:rPr>
            <w:rStyle w:val="Hyperlink"/>
          </w:rPr>
          <w:t>Principles</w:t>
        </w:r>
        <w:r w:rsidR="004C42D6">
          <w:rPr>
            <w:webHidden/>
          </w:rPr>
          <w:tab/>
        </w:r>
        <w:r w:rsidR="004C42D6">
          <w:rPr>
            <w:webHidden/>
          </w:rPr>
          <w:fldChar w:fldCharType="begin"/>
        </w:r>
        <w:r w:rsidR="004C42D6">
          <w:rPr>
            <w:webHidden/>
          </w:rPr>
          <w:instrText xml:space="preserve"> PAGEREF _Toc141442137 \h </w:instrText>
        </w:r>
        <w:r w:rsidR="004C42D6">
          <w:rPr>
            <w:webHidden/>
          </w:rPr>
        </w:r>
        <w:r w:rsidR="004C42D6">
          <w:rPr>
            <w:webHidden/>
          </w:rPr>
          <w:fldChar w:fldCharType="separate"/>
        </w:r>
        <w:r>
          <w:rPr>
            <w:webHidden/>
          </w:rPr>
          <w:t>7</w:t>
        </w:r>
        <w:r w:rsidR="004C42D6">
          <w:rPr>
            <w:webHidden/>
          </w:rPr>
          <w:fldChar w:fldCharType="end"/>
        </w:r>
      </w:hyperlink>
    </w:p>
    <w:p w14:paraId="1A0B357B" w14:textId="1BBC16A3" w:rsidR="004C42D6" w:rsidRDefault="00C46FAD">
      <w:pPr>
        <w:pStyle w:val="TOC1"/>
        <w:rPr>
          <w:rFonts w:asciiTheme="minorHAnsi" w:eastAsiaTheme="minorEastAsia" w:hAnsiTheme="minorHAnsi" w:cstheme="minorBidi"/>
          <w:b w:val="0"/>
          <w:sz w:val="22"/>
          <w:szCs w:val="22"/>
          <w:lang w:eastAsia="en-AU"/>
        </w:rPr>
      </w:pPr>
      <w:hyperlink w:anchor="_Toc141442138" w:history="1">
        <w:r w:rsidR="004C42D6" w:rsidRPr="00D92AF8">
          <w:rPr>
            <w:rStyle w:val="Hyperlink"/>
          </w:rPr>
          <w:t>Objectives</w:t>
        </w:r>
        <w:r w:rsidR="004C42D6">
          <w:rPr>
            <w:webHidden/>
          </w:rPr>
          <w:tab/>
        </w:r>
        <w:r w:rsidR="004C42D6">
          <w:rPr>
            <w:webHidden/>
          </w:rPr>
          <w:fldChar w:fldCharType="begin"/>
        </w:r>
        <w:r w:rsidR="004C42D6">
          <w:rPr>
            <w:webHidden/>
          </w:rPr>
          <w:instrText xml:space="preserve"> PAGEREF _Toc141442138 \h </w:instrText>
        </w:r>
        <w:r w:rsidR="004C42D6">
          <w:rPr>
            <w:webHidden/>
          </w:rPr>
        </w:r>
        <w:r w:rsidR="004C42D6">
          <w:rPr>
            <w:webHidden/>
          </w:rPr>
          <w:fldChar w:fldCharType="separate"/>
        </w:r>
        <w:r>
          <w:rPr>
            <w:webHidden/>
          </w:rPr>
          <w:t>7</w:t>
        </w:r>
        <w:r w:rsidR="004C42D6">
          <w:rPr>
            <w:webHidden/>
          </w:rPr>
          <w:fldChar w:fldCharType="end"/>
        </w:r>
      </w:hyperlink>
    </w:p>
    <w:p w14:paraId="3B0F6987" w14:textId="0A20BD84" w:rsidR="004C42D6" w:rsidRDefault="00C46FAD">
      <w:pPr>
        <w:pStyle w:val="TOC1"/>
        <w:rPr>
          <w:rFonts w:asciiTheme="minorHAnsi" w:eastAsiaTheme="minorEastAsia" w:hAnsiTheme="minorHAnsi" w:cstheme="minorBidi"/>
          <w:b w:val="0"/>
          <w:sz w:val="22"/>
          <w:szCs w:val="22"/>
          <w:lang w:eastAsia="en-AU"/>
        </w:rPr>
      </w:pPr>
      <w:hyperlink w:anchor="_Toc141442139" w:history="1">
        <w:r w:rsidR="004C42D6" w:rsidRPr="00D92AF8">
          <w:rPr>
            <w:rStyle w:val="Hyperlink"/>
          </w:rPr>
          <w:t>Local Areas</w:t>
        </w:r>
        <w:r w:rsidR="004C42D6">
          <w:rPr>
            <w:webHidden/>
          </w:rPr>
          <w:tab/>
        </w:r>
        <w:r w:rsidR="004C42D6">
          <w:rPr>
            <w:webHidden/>
          </w:rPr>
          <w:fldChar w:fldCharType="begin"/>
        </w:r>
        <w:r w:rsidR="004C42D6">
          <w:rPr>
            <w:webHidden/>
          </w:rPr>
          <w:instrText xml:space="preserve"> PAGEREF _Toc141442139 \h </w:instrText>
        </w:r>
        <w:r w:rsidR="004C42D6">
          <w:rPr>
            <w:webHidden/>
          </w:rPr>
        </w:r>
        <w:r w:rsidR="004C42D6">
          <w:rPr>
            <w:webHidden/>
          </w:rPr>
          <w:fldChar w:fldCharType="separate"/>
        </w:r>
        <w:r>
          <w:rPr>
            <w:webHidden/>
          </w:rPr>
          <w:t>8</w:t>
        </w:r>
        <w:r w:rsidR="004C42D6">
          <w:rPr>
            <w:webHidden/>
          </w:rPr>
          <w:fldChar w:fldCharType="end"/>
        </w:r>
      </w:hyperlink>
    </w:p>
    <w:p w14:paraId="59504293" w14:textId="6A8EBFF3" w:rsidR="004C42D6" w:rsidRDefault="00C46FAD">
      <w:pPr>
        <w:pStyle w:val="TOC1"/>
        <w:rPr>
          <w:rFonts w:asciiTheme="minorHAnsi" w:eastAsiaTheme="minorEastAsia" w:hAnsiTheme="minorHAnsi" w:cstheme="minorBidi"/>
          <w:b w:val="0"/>
          <w:sz w:val="22"/>
          <w:szCs w:val="22"/>
          <w:lang w:eastAsia="en-AU"/>
        </w:rPr>
      </w:pPr>
      <w:hyperlink w:anchor="_Toc141442140" w:history="1">
        <w:r w:rsidR="004C42D6" w:rsidRPr="00D92AF8">
          <w:rPr>
            <w:rStyle w:val="Hyperlink"/>
          </w:rPr>
          <w:t>Target group and eligibility</w:t>
        </w:r>
        <w:r w:rsidR="004C42D6">
          <w:rPr>
            <w:webHidden/>
          </w:rPr>
          <w:tab/>
        </w:r>
        <w:r w:rsidR="004C42D6">
          <w:rPr>
            <w:webHidden/>
          </w:rPr>
          <w:fldChar w:fldCharType="begin"/>
        </w:r>
        <w:r w:rsidR="004C42D6">
          <w:rPr>
            <w:webHidden/>
          </w:rPr>
          <w:instrText xml:space="preserve"> PAGEREF _Toc141442140 \h </w:instrText>
        </w:r>
        <w:r w:rsidR="004C42D6">
          <w:rPr>
            <w:webHidden/>
          </w:rPr>
        </w:r>
        <w:r w:rsidR="004C42D6">
          <w:rPr>
            <w:webHidden/>
          </w:rPr>
          <w:fldChar w:fldCharType="separate"/>
        </w:r>
        <w:r>
          <w:rPr>
            <w:webHidden/>
          </w:rPr>
          <w:t>8</w:t>
        </w:r>
        <w:r w:rsidR="004C42D6">
          <w:rPr>
            <w:webHidden/>
          </w:rPr>
          <w:fldChar w:fldCharType="end"/>
        </w:r>
      </w:hyperlink>
    </w:p>
    <w:p w14:paraId="7716D5C5" w14:textId="5D8CF462" w:rsidR="004C42D6" w:rsidRDefault="00C46FAD">
      <w:pPr>
        <w:pStyle w:val="TOC1"/>
        <w:rPr>
          <w:rFonts w:asciiTheme="minorHAnsi" w:eastAsiaTheme="minorEastAsia" w:hAnsiTheme="minorHAnsi" w:cstheme="minorBidi"/>
          <w:b w:val="0"/>
          <w:sz w:val="22"/>
          <w:szCs w:val="22"/>
          <w:lang w:eastAsia="en-AU"/>
        </w:rPr>
      </w:pPr>
      <w:hyperlink w:anchor="_Toc141442141" w:history="1">
        <w:r w:rsidR="004C42D6" w:rsidRPr="00D92AF8">
          <w:rPr>
            <w:rStyle w:val="Hyperlink"/>
          </w:rPr>
          <w:t>Homelessness to a Home (H2H)</w:t>
        </w:r>
        <w:r w:rsidR="004C42D6">
          <w:rPr>
            <w:webHidden/>
          </w:rPr>
          <w:tab/>
        </w:r>
        <w:r w:rsidR="004C42D6">
          <w:rPr>
            <w:webHidden/>
          </w:rPr>
          <w:fldChar w:fldCharType="begin"/>
        </w:r>
        <w:r w:rsidR="004C42D6">
          <w:rPr>
            <w:webHidden/>
          </w:rPr>
          <w:instrText xml:space="preserve"> PAGEREF _Toc141442141 \h </w:instrText>
        </w:r>
        <w:r w:rsidR="004C42D6">
          <w:rPr>
            <w:webHidden/>
          </w:rPr>
        </w:r>
        <w:r w:rsidR="004C42D6">
          <w:rPr>
            <w:webHidden/>
          </w:rPr>
          <w:fldChar w:fldCharType="separate"/>
        </w:r>
        <w:r>
          <w:rPr>
            <w:webHidden/>
          </w:rPr>
          <w:t>9</w:t>
        </w:r>
        <w:r w:rsidR="004C42D6">
          <w:rPr>
            <w:webHidden/>
          </w:rPr>
          <w:fldChar w:fldCharType="end"/>
        </w:r>
      </w:hyperlink>
    </w:p>
    <w:p w14:paraId="4213D4A3" w14:textId="1CCAE817" w:rsidR="004C42D6" w:rsidRDefault="00C46FAD">
      <w:pPr>
        <w:pStyle w:val="TOC1"/>
        <w:rPr>
          <w:rFonts w:asciiTheme="minorHAnsi" w:eastAsiaTheme="minorEastAsia" w:hAnsiTheme="minorHAnsi" w:cstheme="minorBidi"/>
          <w:b w:val="0"/>
          <w:sz w:val="22"/>
          <w:szCs w:val="22"/>
          <w:lang w:eastAsia="en-AU"/>
        </w:rPr>
      </w:pPr>
      <w:hyperlink w:anchor="_Toc141442142" w:history="1">
        <w:r w:rsidR="004C42D6" w:rsidRPr="00D92AF8">
          <w:rPr>
            <w:rStyle w:val="Hyperlink"/>
          </w:rPr>
          <w:t>Outcomes to be achieved by APRAP</w:t>
        </w:r>
        <w:r w:rsidR="004C42D6">
          <w:rPr>
            <w:webHidden/>
          </w:rPr>
          <w:tab/>
        </w:r>
        <w:r w:rsidR="004C42D6">
          <w:rPr>
            <w:webHidden/>
          </w:rPr>
          <w:fldChar w:fldCharType="begin"/>
        </w:r>
        <w:r w:rsidR="004C42D6">
          <w:rPr>
            <w:webHidden/>
          </w:rPr>
          <w:instrText xml:space="preserve"> PAGEREF _Toc141442142 \h </w:instrText>
        </w:r>
        <w:r w:rsidR="004C42D6">
          <w:rPr>
            <w:webHidden/>
          </w:rPr>
        </w:r>
        <w:r w:rsidR="004C42D6">
          <w:rPr>
            <w:webHidden/>
          </w:rPr>
          <w:fldChar w:fldCharType="separate"/>
        </w:r>
        <w:r>
          <w:rPr>
            <w:webHidden/>
          </w:rPr>
          <w:t>9</w:t>
        </w:r>
        <w:r w:rsidR="004C42D6">
          <w:rPr>
            <w:webHidden/>
          </w:rPr>
          <w:fldChar w:fldCharType="end"/>
        </w:r>
      </w:hyperlink>
    </w:p>
    <w:p w14:paraId="0DD1449D" w14:textId="59A12DB3" w:rsidR="004C42D6" w:rsidRDefault="00C46FAD">
      <w:pPr>
        <w:pStyle w:val="TOC1"/>
        <w:rPr>
          <w:rFonts w:asciiTheme="minorHAnsi" w:eastAsiaTheme="minorEastAsia" w:hAnsiTheme="minorHAnsi" w:cstheme="minorBidi"/>
          <w:b w:val="0"/>
          <w:sz w:val="22"/>
          <w:szCs w:val="22"/>
          <w:lang w:eastAsia="en-AU"/>
        </w:rPr>
      </w:pPr>
      <w:hyperlink w:anchor="_Toc141442143" w:history="1">
        <w:r w:rsidR="004C42D6" w:rsidRPr="00D92AF8">
          <w:rPr>
            <w:rStyle w:val="Hyperlink"/>
          </w:rPr>
          <w:t>Referral to the mainstream Private Rental Assistance Program</w:t>
        </w:r>
        <w:r w:rsidR="004C42D6">
          <w:rPr>
            <w:webHidden/>
          </w:rPr>
          <w:tab/>
        </w:r>
        <w:r w:rsidR="004C42D6">
          <w:rPr>
            <w:webHidden/>
          </w:rPr>
          <w:fldChar w:fldCharType="begin"/>
        </w:r>
        <w:r w:rsidR="004C42D6">
          <w:rPr>
            <w:webHidden/>
          </w:rPr>
          <w:instrText xml:space="preserve"> PAGEREF _Toc141442143 \h </w:instrText>
        </w:r>
        <w:r w:rsidR="004C42D6">
          <w:rPr>
            <w:webHidden/>
          </w:rPr>
        </w:r>
        <w:r w:rsidR="004C42D6">
          <w:rPr>
            <w:webHidden/>
          </w:rPr>
          <w:fldChar w:fldCharType="separate"/>
        </w:r>
        <w:r>
          <w:rPr>
            <w:webHidden/>
          </w:rPr>
          <w:t>10</w:t>
        </w:r>
        <w:r w:rsidR="004C42D6">
          <w:rPr>
            <w:webHidden/>
          </w:rPr>
          <w:fldChar w:fldCharType="end"/>
        </w:r>
      </w:hyperlink>
    </w:p>
    <w:p w14:paraId="3041F4E2" w14:textId="4F9C8806" w:rsidR="004C42D6" w:rsidRDefault="00C46FAD">
      <w:pPr>
        <w:pStyle w:val="TOC1"/>
        <w:rPr>
          <w:rFonts w:asciiTheme="minorHAnsi" w:eastAsiaTheme="minorEastAsia" w:hAnsiTheme="minorHAnsi" w:cstheme="minorBidi"/>
          <w:b w:val="0"/>
          <w:sz w:val="22"/>
          <w:szCs w:val="22"/>
          <w:lang w:eastAsia="en-AU"/>
        </w:rPr>
      </w:pPr>
      <w:hyperlink w:anchor="_Toc141442144" w:history="1">
        <w:r w:rsidR="004C42D6" w:rsidRPr="00D92AF8">
          <w:rPr>
            <w:rStyle w:val="Hyperlink"/>
          </w:rPr>
          <w:t>APRAP State-wide coordinator</w:t>
        </w:r>
        <w:r w:rsidR="004C42D6">
          <w:rPr>
            <w:webHidden/>
          </w:rPr>
          <w:tab/>
        </w:r>
        <w:r w:rsidR="004C42D6">
          <w:rPr>
            <w:webHidden/>
          </w:rPr>
          <w:fldChar w:fldCharType="begin"/>
        </w:r>
        <w:r w:rsidR="004C42D6">
          <w:rPr>
            <w:webHidden/>
          </w:rPr>
          <w:instrText xml:space="preserve"> PAGEREF _Toc141442144 \h </w:instrText>
        </w:r>
        <w:r w:rsidR="004C42D6">
          <w:rPr>
            <w:webHidden/>
          </w:rPr>
        </w:r>
        <w:r w:rsidR="004C42D6">
          <w:rPr>
            <w:webHidden/>
          </w:rPr>
          <w:fldChar w:fldCharType="separate"/>
        </w:r>
        <w:r>
          <w:rPr>
            <w:webHidden/>
          </w:rPr>
          <w:t>10</w:t>
        </w:r>
        <w:r w:rsidR="004C42D6">
          <w:rPr>
            <w:webHidden/>
          </w:rPr>
          <w:fldChar w:fldCharType="end"/>
        </w:r>
      </w:hyperlink>
    </w:p>
    <w:p w14:paraId="6D5C3E44" w14:textId="03CF9A02" w:rsidR="004C42D6" w:rsidRDefault="00C46FAD">
      <w:pPr>
        <w:pStyle w:val="TOC1"/>
        <w:rPr>
          <w:rFonts w:asciiTheme="minorHAnsi" w:eastAsiaTheme="minorEastAsia" w:hAnsiTheme="minorHAnsi" w:cstheme="minorBidi"/>
          <w:b w:val="0"/>
          <w:sz w:val="22"/>
          <w:szCs w:val="22"/>
          <w:lang w:eastAsia="en-AU"/>
        </w:rPr>
      </w:pPr>
      <w:hyperlink w:anchor="_Toc141442145" w:history="1">
        <w:r w:rsidR="004C42D6" w:rsidRPr="00D92AF8">
          <w:rPr>
            <w:rStyle w:val="Hyperlink"/>
          </w:rPr>
          <w:t>Private rental brokers</w:t>
        </w:r>
        <w:r w:rsidR="004C42D6">
          <w:rPr>
            <w:webHidden/>
          </w:rPr>
          <w:tab/>
        </w:r>
        <w:r w:rsidR="004C42D6">
          <w:rPr>
            <w:webHidden/>
          </w:rPr>
          <w:fldChar w:fldCharType="begin"/>
        </w:r>
        <w:r w:rsidR="004C42D6">
          <w:rPr>
            <w:webHidden/>
          </w:rPr>
          <w:instrText xml:space="preserve"> PAGEREF _Toc141442145 \h </w:instrText>
        </w:r>
        <w:r w:rsidR="004C42D6">
          <w:rPr>
            <w:webHidden/>
          </w:rPr>
        </w:r>
        <w:r w:rsidR="004C42D6">
          <w:rPr>
            <w:webHidden/>
          </w:rPr>
          <w:fldChar w:fldCharType="separate"/>
        </w:r>
        <w:r>
          <w:rPr>
            <w:webHidden/>
          </w:rPr>
          <w:t>10</w:t>
        </w:r>
        <w:r w:rsidR="004C42D6">
          <w:rPr>
            <w:webHidden/>
          </w:rPr>
          <w:fldChar w:fldCharType="end"/>
        </w:r>
      </w:hyperlink>
    </w:p>
    <w:p w14:paraId="06CDB171" w14:textId="07E6AAE4" w:rsidR="004C42D6" w:rsidRDefault="00C46FAD">
      <w:pPr>
        <w:pStyle w:val="TOC1"/>
        <w:rPr>
          <w:rFonts w:asciiTheme="minorHAnsi" w:eastAsiaTheme="minorEastAsia" w:hAnsiTheme="minorHAnsi" w:cstheme="minorBidi"/>
          <w:b w:val="0"/>
          <w:sz w:val="22"/>
          <w:szCs w:val="22"/>
          <w:lang w:eastAsia="en-AU"/>
        </w:rPr>
      </w:pPr>
      <w:hyperlink w:anchor="_Toc141442146" w:history="1">
        <w:r w:rsidR="004C42D6" w:rsidRPr="00D92AF8">
          <w:rPr>
            <w:rStyle w:val="Hyperlink"/>
          </w:rPr>
          <w:t>APRAP Plus</w:t>
        </w:r>
        <w:r w:rsidR="004C42D6">
          <w:rPr>
            <w:webHidden/>
          </w:rPr>
          <w:tab/>
        </w:r>
        <w:r w:rsidR="004C42D6">
          <w:rPr>
            <w:webHidden/>
          </w:rPr>
          <w:fldChar w:fldCharType="begin"/>
        </w:r>
        <w:r w:rsidR="004C42D6">
          <w:rPr>
            <w:webHidden/>
          </w:rPr>
          <w:instrText xml:space="preserve"> PAGEREF _Toc141442146 \h </w:instrText>
        </w:r>
        <w:r w:rsidR="004C42D6">
          <w:rPr>
            <w:webHidden/>
          </w:rPr>
        </w:r>
        <w:r w:rsidR="004C42D6">
          <w:rPr>
            <w:webHidden/>
          </w:rPr>
          <w:fldChar w:fldCharType="separate"/>
        </w:r>
        <w:r>
          <w:rPr>
            <w:webHidden/>
          </w:rPr>
          <w:t>11</w:t>
        </w:r>
        <w:r w:rsidR="004C42D6">
          <w:rPr>
            <w:webHidden/>
          </w:rPr>
          <w:fldChar w:fldCharType="end"/>
        </w:r>
      </w:hyperlink>
    </w:p>
    <w:p w14:paraId="1C1CDD8C" w14:textId="45B0A202" w:rsidR="004C42D6" w:rsidRDefault="00C46FAD">
      <w:pPr>
        <w:pStyle w:val="TOC1"/>
        <w:rPr>
          <w:rFonts w:asciiTheme="minorHAnsi" w:eastAsiaTheme="minorEastAsia" w:hAnsiTheme="minorHAnsi" w:cstheme="minorBidi"/>
          <w:b w:val="0"/>
          <w:sz w:val="22"/>
          <w:szCs w:val="22"/>
          <w:lang w:eastAsia="en-AU"/>
        </w:rPr>
      </w:pPr>
      <w:hyperlink w:anchor="_Toc141442147" w:history="1">
        <w:r w:rsidR="004C42D6" w:rsidRPr="00D92AF8">
          <w:rPr>
            <w:rStyle w:val="Hyperlink"/>
          </w:rPr>
          <w:t>Service Components</w:t>
        </w:r>
        <w:r w:rsidR="004C42D6">
          <w:rPr>
            <w:webHidden/>
          </w:rPr>
          <w:tab/>
        </w:r>
        <w:r w:rsidR="004C42D6">
          <w:rPr>
            <w:webHidden/>
          </w:rPr>
          <w:fldChar w:fldCharType="begin"/>
        </w:r>
        <w:r w:rsidR="004C42D6">
          <w:rPr>
            <w:webHidden/>
          </w:rPr>
          <w:instrText xml:space="preserve"> PAGEREF _Toc141442147 \h </w:instrText>
        </w:r>
        <w:r w:rsidR="004C42D6">
          <w:rPr>
            <w:webHidden/>
          </w:rPr>
        </w:r>
        <w:r w:rsidR="004C42D6">
          <w:rPr>
            <w:webHidden/>
          </w:rPr>
          <w:fldChar w:fldCharType="separate"/>
        </w:r>
        <w:r>
          <w:rPr>
            <w:webHidden/>
          </w:rPr>
          <w:t>11</w:t>
        </w:r>
        <w:r w:rsidR="004C42D6">
          <w:rPr>
            <w:webHidden/>
          </w:rPr>
          <w:fldChar w:fldCharType="end"/>
        </w:r>
      </w:hyperlink>
    </w:p>
    <w:p w14:paraId="1A6BFEC1" w14:textId="5FC54D1F" w:rsidR="004C42D6" w:rsidRDefault="00C46FAD">
      <w:pPr>
        <w:pStyle w:val="TOC1"/>
        <w:rPr>
          <w:rFonts w:asciiTheme="minorHAnsi" w:eastAsiaTheme="minorEastAsia" w:hAnsiTheme="minorHAnsi" w:cstheme="minorBidi"/>
          <w:b w:val="0"/>
          <w:sz w:val="22"/>
          <w:szCs w:val="22"/>
          <w:lang w:eastAsia="en-AU"/>
        </w:rPr>
      </w:pPr>
      <w:hyperlink w:anchor="_Toc141442148" w:history="1">
        <w:r w:rsidR="004C42D6" w:rsidRPr="00D92AF8">
          <w:rPr>
            <w:rStyle w:val="Hyperlink"/>
          </w:rPr>
          <w:t>Targets and reporting</w:t>
        </w:r>
        <w:r w:rsidR="004C42D6">
          <w:rPr>
            <w:webHidden/>
          </w:rPr>
          <w:tab/>
        </w:r>
        <w:r w:rsidR="004C42D6">
          <w:rPr>
            <w:webHidden/>
          </w:rPr>
          <w:fldChar w:fldCharType="begin"/>
        </w:r>
        <w:r w:rsidR="004C42D6">
          <w:rPr>
            <w:webHidden/>
          </w:rPr>
          <w:instrText xml:space="preserve"> PAGEREF _Toc141442148 \h </w:instrText>
        </w:r>
        <w:r w:rsidR="004C42D6">
          <w:rPr>
            <w:webHidden/>
          </w:rPr>
        </w:r>
        <w:r w:rsidR="004C42D6">
          <w:rPr>
            <w:webHidden/>
          </w:rPr>
          <w:fldChar w:fldCharType="separate"/>
        </w:r>
        <w:r>
          <w:rPr>
            <w:webHidden/>
          </w:rPr>
          <w:t>15</w:t>
        </w:r>
        <w:r w:rsidR="004C42D6">
          <w:rPr>
            <w:webHidden/>
          </w:rPr>
          <w:fldChar w:fldCharType="end"/>
        </w:r>
      </w:hyperlink>
    </w:p>
    <w:p w14:paraId="3C19031D" w14:textId="5BABA537" w:rsidR="004C42D6" w:rsidRDefault="00C46FAD">
      <w:pPr>
        <w:pStyle w:val="TOC1"/>
        <w:rPr>
          <w:rFonts w:asciiTheme="minorHAnsi" w:eastAsiaTheme="minorEastAsia" w:hAnsiTheme="minorHAnsi" w:cstheme="minorBidi"/>
          <w:b w:val="0"/>
          <w:sz w:val="22"/>
          <w:szCs w:val="22"/>
          <w:lang w:eastAsia="en-AU"/>
        </w:rPr>
      </w:pPr>
      <w:hyperlink w:anchor="_Toc141442149" w:history="1">
        <w:r w:rsidR="004C42D6" w:rsidRPr="00D92AF8">
          <w:rPr>
            <w:rStyle w:val="Hyperlink"/>
          </w:rPr>
          <w:t>Acquittal</w:t>
        </w:r>
        <w:r w:rsidR="004C42D6">
          <w:rPr>
            <w:webHidden/>
          </w:rPr>
          <w:tab/>
        </w:r>
        <w:r w:rsidR="004C42D6">
          <w:rPr>
            <w:webHidden/>
          </w:rPr>
          <w:fldChar w:fldCharType="begin"/>
        </w:r>
        <w:r w:rsidR="004C42D6">
          <w:rPr>
            <w:webHidden/>
          </w:rPr>
          <w:instrText xml:space="preserve"> PAGEREF _Toc141442149 \h </w:instrText>
        </w:r>
        <w:r w:rsidR="004C42D6">
          <w:rPr>
            <w:webHidden/>
          </w:rPr>
        </w:r>
        <w:r w:rsidR="004C42D6">
          <w:rPr>
            <w:webHidden/>
          </w:rPr>
          <w:fldChar w:fldCharType="separate"/>
        </w:r>
        <w:r>
          <w:rPr>
            <w:webHidden/>
          </w:rPr>
          <w:t>15</w:t>
        </w:r>
        <w:r w:rsidR="004C42D6">
          <w:rPr>
            <w:webHidden/>
          </w:rPr>
          <w:fldChar w:fldCharType="end"/>
        </w:r>
      </w:hyperlink>
    </w:p>
    <w:p w14:paraId="26993093" w14:textId="61E365CD" w:rsidR="004C42D6" w:rsidRDefault="00C46FAD">
      <w:pPr>
        <w:pStyle w:val="TOC1"/>
        <w:rPr>
          <w:rFonts w:asciiTheme="minorHAnsi" w:eastAsiaTheme="minorEastAsia" w:hAnsiTheme="minorHAnsi" w:cstheme="minorBidi"/>
          <w:b w:val="0"/>
          <w:sz w:val="22"/>
          <w:szCs w:val="22"/>
          <w:lang w:eastAsia="en-AU"/>
        </w:rPr>
      </w:pPr>
      <w:hyperlink w:anchor="_Toc141442150" w:history="1">
        <w:r w:rsidR="004C42D6" w:rsidRPr="00D92AF8">
          <w:rPr>
            <w:rStyle w:val="Hyperlink"/>
          </w:rPr>
          <w:t>Legal Implications</w:t>
        </w:r>
        <w:r w:rsidR="004C42D6">
          <w:rPr>
            <w:webHidden/>
          </w:rPr>
          <w:tab/>
        </w:r>
        <w:r w:rsidR="004C42D6">
          <w:rPr>
            <w:webHidden/>
          </w:rPr>
          <w:fldChar w:fldCharType="begin"/>
        </w:r>
        <w:r w:rsidR="004C42D6">
          <w:rPr>
            <w:webHidden/>
          </w:rPr>
          <w:instrText xml:space="preserve"> PAGEREF _Toc141442150 \h </w:instrText>
        </w:r>
        <w:r w:rsidR="004C42D6">
          <w:rPr>
            <w:webHidden/>
          </w:rPr>
        </w:r>
        <w:r w:rsidR="004C42D6">
          <w:rPr>
            <w:webHidden/>
          </w:rPr>
          <w:fldChar w:fldCharType="separate"/>
        </w:r>
        <w:r>
          <w:rPr>
            <w:webHidden/>
          </w:rPr>
          <w:t>15</w:t>
        </w:r>
        <w:r w:rsidR="004C42D6">
          <w:rPr>
            <w:webHidden/>
          </w:rPr>
          <w:fldChar w:fldCharType="end"/>
        </w:r>
      </w:hyperlink>
    </w:p>
    <w:p w14:paraId="5DE9445A" w14:textId="0ED2EAC4" w:rsidR="004C42D6" w:rsidRDefault="00C46FAD">
      <w:pPr>
        <w:pStyle w:val="TOC2"/>
        <w:rPr>
          <w:rFonts w:asciiTheme="minorHAnsi" w:eastAsiaTheme="minorEastAsia" w:hAnsiTheme="minorHAnsi" w:cstheme="minorBidi"/>
          <w:sz w:val="22"/>
          <w:szCs w:val="22"/>
          <w:lang w:eastAsia="en-AU"/>
        </w:rPr>
      </w:pPr>
      <w:hyperlink w:anchor="_Toc141442151" w:history="1">
        <w:r w:rsidR="004C42D6" w:rsidRPr="00D92AF8">
          <w:rPr>
            <w:rStyle w:val="Hyperlink"/>
          </w:rPr>
          <w:t>Residential Tenancies Act 1997</w:t>
        </w:r>
        <w:r w:rsidR="004C42D6">
          <w:rPr>
            <w:webHidden/>
          </w:rPr>
          <w:tab/>
        </w:r>
        <w:r w:rsidR="004C42D6">
          <w:rPr>
            <w:webHidden/>
          </w:rPr>
          <w:fldChar w:fldCharType="begin"/>
        </w:r>
        <w:r w:rsidR="004C42D6">
          <w:rPr>
            <w:webHidden/>
          </w:rPr>
          <w:instrText xml:space="preserve"> PAGEREF _Toc141442151 \h </w:instrText>
        </w:r>
        <w:r w:rsidR="004C42D6">
          <w:rPr>
            <w:webHidden/>
          </w:rPr>
        </w:r>
        <w:r w:rsidR="004C42D6">
          <w:rPr>
            <w:webHidden/>
          </w:rPr>
          <w:fldChar w:fldCharType="separate"/>
        </w:r>
        <w:r>
          <w:rPr>
            <w:webHidden/>
          </w:rPr>
          <w:t>15</w:t>
        </w:r>
        <w:r w:rsidR="004C42D6">
          <w:rPr>
            <w:webHidden/>
          </w:rPr>
          <w:fldChar w:fldCharType="end"/>
        </w:r>
      </w:hyperlink>
    </w:p>
    <w:p w14:paraId="58F01F70" w14:textId="2882A85E" w:rsidR="004C42D6" w:rsidRDefault="00C46FAD">
      <w:pPr>
        <w:pStyle w:val="TOC2"/>
        <w:rPr>
          <w:rFonts w:asciiTheme="minorHAnsi" w:eastAsiaTheme="minorEastAsia" w:hAnsiTheme="minorHAnsi" w:cstheme="minorBidi"/>
          <w:sz w:val="22"/>
          <w:szCs w:val="22"/>
          <w:lang w:eastAsia="en-AU"/>
        </w:rPr>
      </w:pPr>
      <w:hyperlink w:anchor="_Toc141442152" w:history="1">
        <w:r w:rsidR="004C42D6" w:rsidRPr="00D92AF8">
          <w:rPr>
            <w:rStyle w:val="Hyperlink"/>
          </w:rPr>
          <w:t>Private rental assistance brokerage financial limits</w:t>
        </w:r>
        <w:r w:rsidR="004C42D6">
          <w:rPr>
            <w:webHidden/>
          </w:rPr>
          <w:tab/>
        </w:r>
        <w:r w:rsidR="004C42D6">
          <w:rPr>
            <w:webHidden/>
          </w:rPr>
          <w:fldChar w:fldCharType="begin"/>
        </w:r>
        <w:r w:rsidR="004C42D6">
          <w:rPr>
            <w:webHidden/>
          </w:rPr>
          <w:instrText xml:space="preserve"> PAGEREF _Toc141442152 \h </w:instrText>
        </w:r>
        <w:r w:rsidR="004C42D6">
          <w:rPr>
            <w:webHidden/>
          </w:rPr>
        </w:r>
        <w:r w:rsidR="004C42D6">
          <w:rPr>
            <w:webHidden/>
          </w:rPr>
          <w:fldChar w:fldCharType="separate"/>
        </w:r>
        <w:r>
          <w:rPr>
            <w:webHidden/>
          </w:rPr>
          <w:t>16</w:t>
        </w:r>
        <w:r w:rsidR="004C42D6">
          <w:rPr>
            <w:webHidden/>
          </w:rPr>
          <w:fldChar w:fldCharType="end"/>
        </w:r>
      </w:hyperlink>
    </w:p>
    <w:p w14:paraId="0EF2F75D" w14:textId="0D89D3D0" w:rsidR="004C42D6" w:rsidRDefault="00C46FAD">
      <w:pPr>
        <w:pStyle w:val="TOC1"/>
        <w:rPr>
          <w:rFonts w:asciiTheme="minorHAnsi" w:eastAsiaTheme="minorEastAsia" w:hAnsiTheme="minorHAnsi" w:cstheme="minorBidi"/>
          <w:b w:val="0"/>
          <w:sz w:val="22"/>
          <w:szCs w:val="22"/>
          <w:lang w:eastAsia="en-AU"/>
        </w:rPr>
      </w:pPr>
      <w:hyperlink w:anchor="_Toc141442153" w:history="1">
        <w:r w:rsidR="004C42D6" w:rsidRPr="00D92AF8">
          <w:rPr>
            <w:rStyle w:val="Hyperlink"/>
          </w:rPr>
          <w:t>Addendum 1:</w:t>
        </w:r>
        <w:r w:rsidR="004C42D6">
          <w:rPr>
            <w:webHidden/>
          </w:rPr>
          <w:tab/>
        </w:r>
        <w:r w:rsidR="004C42D6">
          <w:rPr>
            <w:webHidden/>
          </w:rPr>
          <w:fldChar w:fldCharType="begin"/>
        </w:r>
        <w:r w:rsidR="004C42D6">
          <w:rPr>
            <w:webHidden/>
          </w:rPr>
          <w:instrText xml:space="preserve"> PAGEREF _Toc141442153 \h </w:instrText>
        </w:r>
        <w:r w:rsidR="004C42D6">
          <w:rPr>
            <w:webHidden/>
          </w:rPr>
        </w:r>
        <w:r w:rsidR="004C42D6">
          <w:rPr>
            <w:webHidden/>
          </w:rPr>
          <w:fldChar w:fldCharType="separate"/>
        </w:r>
        <w:r>
          <w:rPr>
            <w:webHidden/>
          </w:rPr>
          <w:t>17</w:t>
        </w:r>
        <w:r w:rsidR="004C42D6">
          <w:rPr>
            <w:webHidden/>
          </w:rPr>
          <w:fldChar w:fldCharType="end"/>
        </w:r>
      </w:hyperlink>
    </w:p>
    <w:p w14:paraId="751BEEB5" w14:textId="1A085EF0" w:rsidR="00FB1F6E" w:rsidRDefault="00AD784C" w:rsidP="6C808949">
      <w:pPr>
        <w:pStyle w:val="Body"/>
        <w:spacing w:after="20" w:line="240" w:lineRule="auto"/>
      </w:pPr>
      <w:r w:rsidRPr="6C808949">
        <w:rPr>
          <w:color w:val="2B579A"/>
        </w:rPr>
        <w:fldChar w:fldCharType="end"/>
      </w:r>
    </w:p>
    <w:p w14:paraId="4BA18B17" w14:textId="77777777" w:rsidR="00FB1F6E" w:rsidRDefault="00FB1F6E" w:rsidP="6C808949">
      <w:pPr>
        <w:spacing w:after="20" w:line="240" w:lineRule="auto"/>
        <w:rPr>
          <w:rFonts w:eastAsia="Times"/>
        </w:rPr>
      </w:pPr>
      <w:r>
        <w:br w:type="page"/>
      </w:r>
    </w:p>
    <w:p w14:paraId="0F61DC95" w14:textId="77725154" w:rsidR="00EE29AD" w:rsidRPr="009E3248" w:rsidRDefault="00AC2532" w:rsidP="009E3248">
      <w:pPr>
        <w:pStyle w:val="Heading1"/>
      </w:pPr>
      <w:bookmarkStart w:id="1" w:name="_Toc141442135"/>
      <w:r w:rsidRPr="009E3248">
        <w:lastRenderedPageBreak/>
        <w:t>Introduction</w:t>
      </w:r>
      <w:bookmarkEnd w:id="1"/>
    </w:p>
    <w:p w14:paraId="188FDA7A" w14:textId="77777777" w:rsidR="00AC2532" w:rsidRPr="00AC2532" w:rsidRDefault="00AC2532" w:rsidP="00852978">
      <w:pPr>
        <w:pStyle w:val="Body"/>
      </w:pPr>
      <w:r w:rsidRPr="00AC2532">
        <w:t xml:space="preserve">These guidelines set out the Homes Victoria, Department of Families, Fairness and Housing’s (the department) minimum program requirements for service providers delivering the Aboriginal Private Rental Assistance Program (APRAP). </w:t>
      </w:r>
    </w:p>
    <w:p w14:paraId="61BD35BD" w14:textId="77777777" w:rsidR="00AC2532" w:rsidRPr="00AC2532" w:rsidRDefault="00AC2532" w:rsidP="00852978">
      <w:pPr>
        <w:pStyle w:val="Body"/>
      </w:pPr>
      <w:r w:rsidRPr="00AC2532">
        <w:t xml:space="preserve">The guidelines aim to ensure service providers implement APRAP in a way that is consistent with program objectives, supports ongoing improvement and provides accountability for the outcomes achieved with service users. </w:t>
      </w:r>
    </w:p>
    <w:p w14:paraId="32C36F13" w14:textId="77777777" w:rsidR="00AC2532" w:rsidRPr="00AC2532" w:rsidRDefault="00AC2532" w:rsidP="00852978">
      <w:pPr>
        <w:pStyle w:val="Body"/>
      </w:pPr>
      <w:r w:rsidRPr="00AC2532">
        <w:t xml:space="preserve">Private rental refers to a private tenancy agreement under the </w:t>
      </w:r>
      <w:r w:rsidRPr="00AC2532">
        <w:rPr>
          <w:i/>
          <w:iCs/>
        </w:rPr>
        <w:t>Residential Tenancies Act 1997</w:t>
      </w:r>
      <w:r w:rsidRPr="00AC2532">
        <w:t>. Some marginal tenures, including caravan parks and rooming houses, are included under the</w:t>
      </w:r>
      <w:r w:rsidRPr="00AC2532">
        <w:rPr>
          <w:i/>
        </w:rPr>
        <w:t xml:space="preserve"> Residential Tenancies Act 1997</w:t>
      </w:r>
      <w:r w:rsidRPr="00AC2532">
        <w:t xml:space="preserve">. APRAP service providers must ensure that there is a formal private tenancy agreement in place. APRAP service providers must work with households to ensure these forms of housing are appropriate and a long-term option and are not used as an emergency response. </w:t>
      </w:r>
    </w:p>
    <w:p w14:paraId="4AD176C3" w14:textId="588755CE" w:rsidR="00AC2532" w:rsidRPr="00852978" w:rsidRDefault="00AC2532" w:rsidP="00852978">
      <w:pPr>
        <w:pStyle w:val="Body"/>
      </w:pPr>
      <w:r w:rsidRPr="00AC2532">
        <w:t xml:space="preserve">APRAP </w:t>
      </w:r>
      <w:r w:rsidRPr="00852978">
        <w:t xml:space="preserve">is a preventative intervention that provides holistic support to households experiencing or at risk of homelessness. It should be delivered in a flexible manner, to provide support and practical assistance that is tailored to the needs of each household. </w:t>
      </w:r>
    </w:p>
    <w:p w14:paraId="0E88F676" w14:textId="755F8B18" w:rsidR="00AC2532" w:rsidRPr="00852978" w:rsidRDefault="00AC2532" w:rsidP="00852978">
      <w:pPr>
        <w:pStyle w:val="Body"/>
      </w:pPr>
      <w:r w:rsidRPr="00852978">
        <w:t>APRAP includes four elements:</w:t>
      </w:r>
    </w:p>
    <w:p w14:paraId="3763B614" w14:textId="77777777" w:rsidR="00AC2532" w:rsidRPr="00AC2532" w:rsidRDefault="00AC2532" w:rsidP="00CD4E5F">
      <w:pPr>
        <w:pStyle w:val="Bullet1"/>
      </w:pPr>
      <w:r w:rsidRPr="00AC2532">
        <w:t>Private rental brokers</w:t>
      </w:r>
    </w:p>
    <w:p w14:paraId="074CF35D" w14:textId="77777777" w:rsidR="00AC2532" w:rsidRPr="00AC2532" w:rsidRDefault="00AC2532" w:rsidP="00CD4E5F">
      <w:pPr>
        <w:pStyle w:val="Bullet1"/>
      </w:pPr>
      <w:r w:rsidRPr="00AC2532">
        <w:t>Private rental assistance brokerage</w:t>
      </w:r>
    </w:p>
    <w:p w14:paraId="2E20DEF3" w14:textId="77777777" w:rsidR="00AC2532" w:rsidRPr="00AC2532" w:rsidRDefault="00AC2532" w:rsidP="00CD4E5F">
      <w:pPr>
        <w:pStyle w:val="Bullet1"/>
      </w:pPr>
      <w:r w:rsidRPr="00AC2532">
        <w:t>APRAP Plus – support program</w:t>
      </w:r>
    </w:p>
    <w:p w14:paraId="3E15D18A" w14:textId="41B51703" w:rsidR="00AC2532" w:rsidRPr="00AC2532" w:rsidRDefault="750AD11C" w:rsidP="00CD4E5F">
      <w:pPr>
        <w:pStyle w:val="Bullet1"/>
      </w:pPr>
      <w:r w:rsidRPr="3F2C3437">
        <w:t xml:space="preserve">APRAP </w:t>
      </w:r>
      <w:r w:rsidR="00AC2532" w:rsidRPr="00AC2532">
        <w:t>State-wide Coordinator</w:t>
      </w:r>
    </w:p>
    <w:p w14:paraId="38EF7E20" w14:textId="7CCC4283" w:rsidR="00F15144" w:rsidRPr="009E3248" w:rsidRDefault="00AC2532" w:rsidP="009E3248">
      <w:pPr>
        <w:pStyle w:val="Heading1"/>
      </w:pPr>
      <w:bookmarkStart w:id="2" w:name="_Toc141442136"/>
      <w:r w:rsidRPr="009E3248">
        <w:t>Background</w:t>
      </w:r>
      <w:bookmarkEnd w:id="2"/>
    </w:p>
    <w:p w14:paraId="5B706252" w14:textId="77777777" w:rsidR="00AC2532" w:rsidRPr="009E3248" w:rsidRDefault="00AC2532" w:rsidP="009E3248">
      <w:pPr>
        <w:pStyle w:val="Heading3"/>
      </w:pPr>
      <w:r w:rsidRPr="009E3248">
        <w:t>Mana-ana worn-</w:t>
      </w:r>
      <w:proofErr w:type="spellStart"/>
      <w:r w:rsidRPr="009E3248">
        <w:t>tyeen</w:t>
      </w:r>
      <w:proofErr w:type="spellEnd"/>
      <w:r w:rsidRPr="009E3248">
        <w:t xml:space="preserve"> maar-</w:t>
      </w:r>
      <w:proofErr w:type="spellStart"/>
      <w:r w:rsidRPr="009E3248">
        <w:t>takoort</w:t>
      </w:r>
      <w:proofErr w:type="spellEnd"/>
    </w:p>
    <w:p w14:paraId="0178BD8F" w14:textId="77777777" w:rsidR="00AC2532" w:rsidRPr="00AC2532" w:rsidRDefault="00AC2532" w:rsidP="00CD4E5F">
      <w:pPr>
        <w:pStyle w:val="Body"/>
      </w:pPr>
      <w:r w:rsidRPr="00AC2532">
        <w:t>The Victorian Aboriginal Housing and Homelessness Framework; Mana-ana worn-tyeen maar-takoort was officially launched on 26 February 2020 at Parliament House.</w:t>
      </w:r>
      <w:r w:rsidRPr="512ED0A6">
        <w:rPr>
          <w:vertAlign w:val="superscript"/>
        </w:rPr>
        <w:footnoteReference w:id="2"/>
      </w:r>
    </w:p>
    <w:p w14:paraId="100CBB4B" w14:textId="77777777" w:rsidR="00AC2532" w:rsidRPr="00AC2532" w:rsidRDefault="00AC2532" w:rsidP="00CD4E5F">
      <w:pPr>
        <w:pStyle w:val="Body"/>
      </w:pPr>
      <w:r w:rsidRPr="00AC2532">
        <w:t xml:space="preserve">Some of the issues highlighted in the framework include: </w:t>
      </w:r>
    </w:p>
    <w:p w14:paraId="5379E365" w14:textId="77777777" w:rsidR="00AC2532" w:rsidRPr="00AC2532" w:rsidRDefault="00AC2532" w:rsidP="00CD4E5F">
      <w:pPr>
        <w:pStyle w:val="Body"/>
      </w:pPr>
      <w:r w:rsidRPr="00AC2532">
        <w:t xml:space="preserve">limited access to affordable or appropriate private rental </w:t>
      </w:r>
    </w:p>
    <w:p w14:paraId="0615730C" w14:textId="77777777" w:rsidR="00AC2532" w:rsidRPr="00AC2532" w:rsidRDefault="00AC2532" w:rsidP="00CD4E5F">
      <w:pPr>
        <w:pStyle w:val="Body"/>
      </w:pPr>
      <w:r w:rsidRPr="00AC2532">
        <w:t>lack of access is compounded by experiences of racism and discrimination for Aboriginal and Torres Strait Islander peoples, locking many out of the private rental market</w:t>
      </w:r>
    </w:p>
    <w:p w14:paraId="7E780BE4" w14:textId="25F311D6" w:rsidR="6AAED1C1" w:rsidRPr="0026527D" w:rsidRDefault="00AC2532" w:rsidP="0026527D">
      <w:pPr>
        <w:pStyle w:val="Body"/>
      </w:pPr>
      <w:r w:rsidRPr="00AC2532">
        <w:t xml:space="preserve">a significant proportion of Aboriginal Victorians seeking homelessness and housing services have experienced trauma and may require more support to secure or maintain </w:t>
      </w:r>
      <w:r w:rsidRPr="0026527D">
        <w:t xml:space="preserve">tenancies. </w:t>
      </w:r>
    </w:p>
    <w:p w14:paraId="31A5E8F6" w14:textId="77777777" w:rsidR="00AC2532" w:rsidRPr="0026527D" w:rsidRDefault="00AC2532" w:rsidP="0026527D">
      <w:pPr>
        <w:pStyle w:val="Body"/>
      </w:pPr>
      <w:r w:rsidRPr="0026527D">
        <w:t>One of the goals identified in Mana-ana worn-</w:t>
      </w:r>
      <w:proofErr w:type="spellStart"/>
      <w:r w:rsidRPr="0026527D">
        <w:t>tyeen</w:t>
      </w:r>
      <w:proofErr w:type="spellEnd"/>
      <w:r w:rsidRPr="0026527D">
        <w:t xml:space="preserve"> maar-</w:t>
      </w:r>
      <w:proofErr w:type="spellStart"/>
      <w:r w:rsidRPr="0026527D">
        <w:t>takoort</w:t>
      </w:r>
      <w:proofErr w:type="spellEnd"/>
      <w:r w:rsidRPr="0026527D">
        <w:t xml:space="preserve"> is to ‘Open doors to home ownership and private rental’. In response to the Framework, the Victorian Government committed over $4 million in funding over two years for the APRAP. </w:t>
      </w:r>
    </w:p>
    <w:p w14:paraId="44074477" w14:textId="7E85F530" w:rsidR="00AC2532" w:rsidRPr="0026527D" w:rsidRDefault="00AC2532" w:rsidP="0026527D">
      <w:pPr>
        <w:pStyle w:val="Body"/>
      </w:pPr>
      <w:r w:rsidRPr="0026527D">
        <w:lastRenderedPageBreak/>
        <w:t xml:space="preserve">In June 2020, the then Department of Health and Human Services consulted and sought advice from Aboriginal Housing and Homelessness providers about how best to implement and deliver the APRAP. </w:t>
      </w:r>
    </w:p>
    <w:p w14:paraId="697DF818" w14:textId="228BB72E" w:rsidR="00AC2532" w:rsidRPr="0026527D" w:rsidRDefault="00AC2532" w:rsidP="0026527D">
      <w:pPr>
        <w:pStyle w:val="Body"/>
      </w:pPr>
      <w:r w:rsidRPr="0026527D">
        <w:t>Victorian Aboriginal Community and Housing Organisations were consulted in the design and implementation of this initiative through the Aboriginal Housing and Homelessness Forum. The Forum advised the APRAP model should be implemented in five local areas with a state coordinator position to support implementation and ongoing improvements. Departmental local areas were selected based on data on the number of Aboriginal households presenting for homelessness assistance.</w:t>
      </w:r>
    </w:p>
    <w:p w14:paraId="2CB8EB21" w14:textId="75944E78" w:rsidR="00AC2532" w:rsidRPr="00CB2851" w:rsidRDefault="00AC2532" w:rsidP="00CB2851">
      <w:pPr>
        <w:pStyle w:val="Heading1"/>
      </w:pPr>
      <w:bookmarkStart w:id="3" w:name="_Toc141442137"/>
      <w:r w:rsidRPr="00CB2851">
        <w:t>Principles</w:t>
      </w:r>
      <w:bookmarkEnd w:id="3"/>
    </w:p>
    <w:p w14:paraId="2521ACCC" w14:textId="5D874589" w:rsidR="2DFE06CC" w:rsidRDefault="00AC2532" w:rsidP="0026527D">
      <w:pPr>
        <w:pStyle w:val="Body"/>
      </w:pPr>
      <w:r w:rsidRPr="6C808949">
        <w:t xml:space="preserve">Two key principles highlighted in </w:t>
      </w:r>
      <w:r w:rsidRPr="6C808949">
        <w:rPr>
          <w:rFonts w:eastAsia="MS PGothic"/>
        </w:rPr>
        <w:t>Mana-ana worn-tyeen maar-takoort</w:t>
      </w:r>
      <w:r w:rsidRPr="6C808949">
        <w:t xml:space="preserve"> are reflected in the Aboriginal Private Rental Assistance Program.</w:t>
      </w:r>
    </w:p>
    <w:p w14:paraId="5E69CA84" w14:textId="75E39144" w:rsidR="00AC2532" w:rsidRPr="00C753CD" w:rsidRDefault="00AC2532" w:rsidP="00C753CD">
      <w:pPr>
        <w:pStyle w:val="Numberdigit"/>
        <w:rPr>
          <w:b/>
          <w:bCs/>
        </w:rPr>
      </w:pPr>
      <w:r w:rsidRPr="00C753CD">
        <w:rPr>
          <w:b/>
          <w:bCs/>
        </w:rPr>
        <w:t>Increase uptake of Private Rental</w:t>
      </w:r>
    </w:p>
    <w:p w14:paraId="4014894C" w14:textId="77777777" w:rsidR="00AC2532" w:rsidRPr="00AC2532" w:rsidRDefault="00AC2532" w:rsidP="009E3248">
      <w:pPr>
        <w:pStyle w:val="Bulletafternumbers1"/>
      </w:pPr>
      <w:r w:rsidRPr="00AC2532">
        <w:t>Campaigning with landlords and real estate agents – ‘Aboriginal people are good tenants’</w:t>
      </w:r>
    </w:p>
    <w:p w14:paraId="6EE3F8DB" w14:textId="77777777" w:rsidR="00AC2532" w:rsidRPr="00AC2532" w:rsidRDefault="00AC2532" w:rsidP="009E3248">
      <w:pPr>
        <w:pStyle w:val="Bulletafternumbers1"/>
        <w:rPr>
          <w:rFonts w:cs="Helvetica"/>
        </w:rPr>
      </w:pPr>
      <w:r w:rsidRPr="00AC2532">
        <w:t>informing community housing aspirations</w:t>
      </w:r>
    </w:p>
    <w:p w14:paraId="3ACED801" w14:textId="77777777" w:rsidR="00AC2532" w:rsidRPr="00AC2532" w:rsidRDefault="00AC2532" w:rsidP="009E3248">
      <w:pPr>
        <w:pStyle w:val="Bulletafternumbers1"/>
        <w:rPr>
          <w:rFonts w:cs="Helvetica"/>
        </w:rPr>
      </w:pPr>
      <w:r w:rsidRPr="00AC2532">
        <w:t>provide training opportunities and encourage Aboriginal people to pursue careers in the real estate industry</w:t>
      </w:r>
    </w:p>
    <w:p w14:paraId="2C416E50" w14:textId="77777777" w:rsidR="00AC2532" w:rsidRPr="00AC2532" w:rsidRDefault="00AC2532" w:rsidP="009E3248">
      <w:pPr>
        <w:pStyle w:val="Bulletafternumbers1"/>
      </w:pPr>
      <w:r w:rsidRPr="00AC2532">
        <w:rPr>
          <w:rFonts w:cs="Helvetica"/>
          <w:szCs w:val="21"/>
        </w:rPr>
        <w:t>rental brokerage to improve uptake in the private rental market</w:t>
      </w:r>
    </w:p>
    <w:p w14:paraId="6531C5A2" w14:textId="77777777" w:rsidR="00AC2532" w:rsidRPr="00AC2532" w:rsidRDefault="00AC2532" w:rsidP="009E3248">
      <w:pPr>
        <w:pStyle w:val="Bulletafternumbers1"/>
      </w:pPr>
      <w:r w:rsidRPr="00AC2532">
        <w:rPr>
          <w:rFonts w:cs="Helvetica"/>
          <w:szCs w:val="21"/>
        </w:rPr>
        <w:t>meeting the rental gap between market rates and affordability</w:t>
      </w:r>
    </w:p>
    <w:p w14:paraId="4177B822" w14:textId="77777777" w:rsidR="00AC2532" w:rsidRPr="00AC2532" w:rsidRDefault="00AC2532" w:rsidP="009E3248">
      <w:pPr>
        <w:pStyle w:val="Bulletafternumbers1"/>
      </w:pPr>
      <w:r w:rsidRPr="00AC2532">
        <w:rPr>
          <w:rFonts w:cs="Helvetica"/>
          <w:szCs w:val="21"/>
        </w:rPr>
        <w:t>bond subsidies</w:t>
      </w:r>
    </w:p>
    <w:p w14:paraId="28DFD9DA" w14:textId="77777777" w:rsidR="00AC2532" w:rsidRPr="00AC2532" w:rsidRDefault="00AC2532" w:rsidP="009E3248">
      <w:pPr>
        <w:pStyle w:val="Bulletafternumbers1"/>
      </w:pPr>
      <w:r w:rsidRPr="00AC2532">
        <w:rPr>
          <w:rFonts w:cs="Helvetica"/>
          <w:szCs w:val="21"/>
        </w:rPr>
        <w:t>develop models to manage tenancies at risk so that rent can be maintained, and property managed.</w:t>
      </w:r>
    </w:p>
    <w:p w14:paraId="7CDBED7E" w14:textId="70DD9BB9" w:rsidR="00AC2532" w:rsidRPr="00C753CD" w:rsidRDefault="00AC2532" w:rsidP="00C753CD">
      <w:pPr>
        <w:pStyle w:val="Numberdigit"/>
        <w:rPr>
          <w:b/>
          <w:bCs/>
        </w:rPr>
      </w:pPr>
      <w:r w:rsidRPr="00C753CD">
        <w:rPr>
          <w:b/>
          <w:bCs/>
        </w:rPr>
        <w:t>Build a systems-based partnership between the mainstream and Aboriginal housing and homelessness systems</w:t>
      </w:r>
    </w:p>
    <w:p w14:paraId="6951EBE5" w14:textId="77777777" w:rsidR="00AC2532" w:rsidRPr="00AC2532" w:rsidRDefault="00AC2532" w:rsidP="009E3248">
      <w:pPr>
        <w:pStyle w:val="Bulletafternumbers1"/>
      </w:pPr>
      <w:r w:rsidRPr="00AC2532">
        <w:t>System connectivity is created, building natural pathways between different forms of housing tenure</w:t>
      </w:r>
    </w:p>
    <w:p w14:paraId="06D39FB0" w14:textId="77777777" w:rsidR="00AC2532" w:rsidRPr="00AC2532" w:rsidRDefault="00AC2532" w:rsidP="009E3248">
      <w:pPr>
        <w:pStyle w:val="Bulletafternumbers1"/>
        <w:rPr>
          <w:rFonts w:eastAsiaTheme="minorEastAsia"/>
          <w:kern w:val="24"/>
        </w:rPr>
      </w:pPr>
      <w:r w:rsidRPr="00AC2532">
        <w:t>develop localised and customised delivery models.</w:t>
      </w:r>
    </w:p>
    <w:p w14:paraId="7FA1E133" w14:textId="77777777" w:rsidR="00AC2532" w:rsidRPr="00AC2532" w:rsidRDefault="00AC2532" w:rsidP="00C753CD">
      <w:pPr>
        <w:pStyle w:val="Body"/>
      </w:pPr>
      <w:r w:rsidRPr="6C808949">
        <w:t xml:space="preserve">Specialist Homelessness Services have established relationships with private real-estate agents in their local community and it is critical Aboriginal Service Providers are able to leverage these relationships. As part of this initiative, learnings and continuous improvement will be coordinated through established networks so that APRAP providers can flexibly respond to the needs of people in their communities. Each community has its own unique identity, and their needs can be different, so local understandings and flexibility is important. </w:t>
      </w:r>
    </w:p>
    <w:p w14:paraId="5C130B42" w14:textId="40EE2992" w:rsidR="00AC2532" w:rsidRPr="009E3248" w:rsidRDefault="00AC2532" w:rsidP="009E3248">
      <w:pPr>
        <w:pStyle w:val="Heading1"/>
      </w:pPr>
      <w:bookmarkStart w:id="4" w:name="_Toc141442138"/>
      <w:r w:rsidRPr="009E3248">
        <w:t>Objectives</w:t>
      </w:r>
      <w:bookmarkEnd w:id="4"/>
    </w:p>
    <w:p w14:paraId="6DF52836" w14:textId="77777777" w:rsidR="00AC2532" w:rsidRPr="00C753CD" w:rsidRDefault="00AC2532" w:rsidP="00C753CD">
      <w:pPr>
        <w:pStyle w:val="Body"/>
      </w:pPr>
      <w:r w:rsidRPr="00C753CD">
        <w:t>Private rental assistance is intended to prevent or end homelessness and housing crisis experienced by Aboriginal households by:</w:t>
      </w:r>
    </w:p>
    <w:p w14:paraId="71148FEF" w14:textId="77777777" w:rsidR="00AC2532" w:rsidRPr="00C753CD" w:rsidRDefault="00AC2532" w:rsidP="00C753CD">
      <w:pPr>
        <w:pStyle w:val="Bullet1"/>
      </w:pPr>
      <w:r w:rsidRPr="00C753CD">
        <w:lastRenderedPageBreak/>
        <w:t>Rapidly rehousing people capable of sustaining private rental after some initial support</w:t>
      </w:r>
    </w:p>
    <w:p w14:paraId="3CE2A874" w14:textId="77777777" w:rsidR="00AC2532" w:rsidRPr="00C753CD" w:rsidRDefault="00AC2532" w:rsidP="00C753CD">
      <w:pPr>
        <w:pStyle w:val="Bullet1"/>
      </w:pPr>
      <w:r w:rsidRPr="00C753CD">
        <w:t>Supporting at risk households to sustain affordable and appropriate housing in the private rental market</w:t>
      </w:r>
    </w:p>
    <w:p w14:paraId="5E6541E1" w14:textId="77777777" w:rsidR="00AC2532" w:rsidRPr="00C753CD" w:rsidRDefault="00AC2532" w:rsidP="00C753CD">
      <w:pPr>
        <w:pStyle w:val="Bullet1"/>
      </w:pPr>
      <w:r w:rsidRPr="00C753CD">
        <w:t xml:space="preserve">Assisting people who currently live in crisis, transitional or social housing to become independent in the private rental market if appropriate and sustainable. </w:t>
      </w:r>
    </w:p>
    <w:p w14:paraId="2F030787" w14:textId="56858A2F" w:rsidR="6829AD88" w:rsidRPr="009E3248" w:rsidRDefault="6829AD88" w:rsidP="009E3248">
      <w:pPr>
        <w:pStyle w:val="Heading1"/>
      </w:pPr>
      <w:bookmarkStart w:id="5" w:name="_Toc141442139"/>
      <w:r w:rsidRPr="009E3248">
        <w:t>Local Areas</w:t>
      </w:r>
      <w:bookmarkEnd w:id="5"/>
    </w:p>
    <w:p w14:paraId="7CFE0E6A" w14:textId="77777777" w:rsidR="6829AD88" w:rsidRPr="00C753CD" w:rsidRDefault="6829AD88" w:rsidP="00C753CD">
      <w:pPr>
        <w:pStyle w:val="Body"/>
      </w:pPr>
      <w:r w:rsidRPr="00C753CD">
        <w:t>The local areas delivering APRAP are:</w:t>
      </w:r>
    </w:p>
    <w:p w14:paraId="31CB2F9A" w14:textId="2EC42B04" w:rsidR="6829AD88" w:rsidRDefault="6829AD88" w:rsidP="00C753CD">
      <w:pPr>
        <w:pStyle w:val="Bullet1"/>
      </w:pPr>
      <w:r w:rsidRPr="64BD30DA">
        <w:t>Bayside Peninsula</w:t>
      </w:r>
    </w:p>
    <w:p w14:paraId="4341D4F3" w14:textId="3DD28272" w:rsidR="6829AD88" w:rsidRDefault="6829AD88" w:rsidP="00C753CD">
      <w:pPr>
        <w:pStyle w:val="Bullet1"/>
      </w:pPr>
      <w:r w:rsidRPr="64BD30DA">
        <w:t>Brimbank Melton</w:t>
      </w:r>
    </w:p>
    <w:p w14:paraId="557D4DA9" w14:textId="1B7147A1" w:rsidR="6829AD88" w:rsidRDefault="6829AD88" w:rsidP="00C753CD">
      <w:pPr>
        <w:pStyle w:val="Bullet1"/>
      </w:pPr>
      <w:proofErr w:type="gramStart"/>
      <w:r w:rsidRPr="64BD30DA">
        <w:t>North East</w:t>
      </w:r>
      <w:proofErr w:type="gramEnd"/>
      <w:r w:rsidRPr="64BD30DA">
        <w:t xml:space="preserve"> Melbourne </w:t>
      </w:r>
    </w:p>
    <w:p w14:paraId="561DA136" w14:textId="1F2479DF" w:rsidR="6829AD88" w:rsidRDefault="6829AD88" w:rsidP="00C753CD">
      <w:pPr>
        <w:pStyle w:val="Bullet1"/>
      </w:pPr>
      <w:r w:rsidRPr="64BD30DA">
        <w:t xml:space="preserve">Western Melbourne </w:t>
      </w:r>
    </w:p>
    <w:p w14:paraId="3341024E" w14:textId="77777777" w:rsidR="6829AD88" w:rsidRDefault="6829AD88" w:rsidP="00C753CD">
      <w:pPr>
        <w:pStyle w:val="Bullet1"/>
      </w:pPr>
      <w:r w:rsidRPr="64BD30DA">
        <w:t xml:space="preserve">Inner Gippsland </w:t>
      </w:r>
    </w:p>
    <w:p w14:paraId="3D0CB7F3" w14:textId="3301D1A8" w:rsidR="6829AD88" w:rsidRDefault="6829AD88" w:rsidP="00C753CD">
      <w:pPr>
        <w:pStyle w:val="Bullet1"/>
      </w:pPr>
      <w:r w:rsidRPr="64BD30DA">
        <w:t>Outer Gippsland</w:t>
      </w:r>
    </w:p>
    <w:p w14:paraId="6767D8DB" w14:textId="3530E7F7" w:rsidR="1B7218AE" w:rsidRDefault="6829AD88" w:rsidP="00C753CD">
      <w:pPr>
        <w:pStyle w:val="Bullet1"/>
      </w:pPr>
      <w:r w:rsidRPr="64BD30DA">
        <w:t xml:space="preserve">Loddon </w:t>
      </w:r>
    </w:p>
    <w:p w14:paraId="5DDEF155" w14:textId="0517EC01" w:rsidR="6829AD88" w:rsidRDefault="6829AD88" w:rsidP="00C753CD">
      <w:pPr>
        <w:pStyle w:val="Bullet1"/>
      </w:pPr>
      <w:r w:rsidRPr="64BD30DA">
        <w:t>Mallee</w:t>
      </w:r>
    </w:p>
    <w:p w14:paraId="7F7EB15F" w14:textId="1D571D3E" w:rsidR="6829AD88" w:rsidRDefault="6829AD88" w:rsidP="00C753CD">
      <w:pPr>
        <w:pStyle w:val="Bullet1"/>
      </w:pPr>
      <w:r w:rsidRPr="64BD30DA">
        <w:t>Goulburn</w:t>
      </w:r>
    </w:p>
    <w:p w14:paraId="0BBDACC5" w14:textId="7080CB33" w:rsidR="00AC2532" w:rsidRPr="00AC2532" w:rsidRDefault="00AC2532" w:rsidP="009E3248">
      <w:pPr>
        <w:pStyle w:val="Heading1"/>
      </w:pPr>
      <w:bookmarkStart w:id="6" w:name="_Toc141442140"/>
      <w:r>
        <w:t>Target group and eligibility</w:t>
      </w:r>
      <w:bookmarkEnd w:id="6"/>
    </w:p>
    <w:p w14:paraId="1FE5EEF5" w14:textId="07D7923C" w:rsidR="00AC2532" w:rsidRPr="00AC2532" w:rsidRDefault="00AC2532" w:rsidP="00C753CD">
      <w:pPr>
        <w:pStyle w:val="Body"/>
      </w:pPr>
      <w:r w:rsidRPr="00AC2532">
        <w:t xml:space="preserve">To be eligible for APRAP, at least one person in the household receiving the benefit must be Aboriginal. For example, this includes households that contain a child who is Aboriginal, households where only one person is Aboriginal, or where non-Aboriginal carers or </w:t>
      </w:r>
      <w:r w:rsidR="00DA5AB1" w:rsidRPr="00AC2532">
        <w:t>guardians’</w:t>
      </w:r>
      <w:r w:rsidRPr="00AC2532">
        <w:t xml:space="preserve"> access APRAP for the benefit of an Aboriginal person in their care.</w:t>
      </w:r>
    </w:p>
    <w:p w14:paraId="530CF6CF" w14:textId="77777777" w:rsidR="00AC2532" w:rsidRPr="00AC2532" w:rsidRDefault="00AC2532" w:rsidP="00C753CD">
      <w:pPr>
        <w:pStyle w:val="Body"/>
      </w:pPr>
      <w:r w:rsidRPr="00AC2532">
        <w:t xml:space="preserve">Aboriginal households must be either financially disadvantaged or victims of family violence to be eligible. A household </w:t>
      </w:r>
      <w:proofErr w:type="gramStart"/>
      <w:r w:rsidRPr="00AC2532">
        <w:t>is considered to be</w:t>
      </w:r>
      <w:proofErr w:type="gramEnd"/>
      <w:r w:rsidRPr="00AC2532">
        <w:t xml:space="preserve"> experiencing financial disadvantage if:</w:t>
      </w:r>
    </w:p>
    <w:p w14:paraId="336539D1" w14:textId="5385B8D6" w:rsidR="00AC2532" w:rsidRPr="00AC2532" w:rsidRDefault="00AC2532" w:rsidP="005224B6">
      <w:pPr>
        <w:pStyle w:val="Bullet1"/>
      </w:pPr>
      <w:r w:rsidRPr="00AC2532">
        <w:t>they have no income; or</w:t>
      </w:r>
    </w:p>
    <w:p w14:paraId="4D67DFDD" w14:textId="77777777" w:rsidR="00AC2532" w:rsidRPr="00AC2532" w:rsidRDefault="00AC2532" w:rsidP="005224B6">
      <w:pPr>
        <w:pStyle w:val="Bullet1"/>
      </w:pPr>
      <w:r w:rsidRPr="00AC2532">
        <w:t>their main source of income is a Centrelink benefit; or</w:t>
      </w:r>
    </w:p>
    <w:p w14:paraId="2504126E" w14:textId="77777777" w:rsidR="00AC2532" w:rsidRPr="00AC2532" w:rsidRDefault="00AC2532" w:rsidP="005224B6">
      <w:pPr>
        <w:pStyle w:val="Bullet1"/>
      </w:pPr>
      <w:r w:rsidRPr="00AC2532">
        <w:t xml:space="preserve">their income is insufficient to sustain their personal financial commitments and they have defaulted in the payment of rent, utility bills or other personal debts. </w:t>
      </w:r>
    </w:p>
    <w:p w14:paraId="2843C414" w14:textId="77777777" w:rsidR="00AC2532" w:rsidRPr="00AC2532" w:rsidRDefault="00AC2532" w:rsidP="00C753CD">
      <w:pPr>
        <w:pStyle w:val="Body"/>
      </w:pPr>
      <w:r w:rsidRPr="00AC2532">
        <w:t xml:space="preserve">Service providers should conduct an assessment with households of income and assets to determine eligibility for APRAP. Service providers may use the department’s RentAssist bond loan income and asset limits as a guide </w:t>
      </w:r>
      <w:hyperlink r:id="rId19">
        <w:r w:rsidRPr="6C808949">
          <w:rPr>
            <w:rStyle w:val="Hyperlink"/>
            <w:rFonts w:eastAsia="MS Gothic"/>
            <w:szCs w:val="21"/>
          </w:rPr>
          <w:t>https://www.housing.vic.gov.au/rentassist-bond-loan-income-and-asset-limits</w:t>
        </w:r>
      </w:hyperlink>
      <w:r w:rsidRPr="00AC2532">
        <w:t>) however, discretion may be applied considering the circumstances of the household.</w:t>
      </w:r>
    </w:p>
    <w:p w14:paraId="4AC5FCFF" w14:textId="77777777" w:rsidR="00AC2532" w:rsidRPr="00AC2532" w:rsidRDefault="00AC2532" w:rsidP="00C753CD">
      <w:pPr>
        <w:pStyle w:val="Body"/>
      </w:pPr>
      <w:r w:rsidRPr="00AC2532">
        <w:t>Households who are victims of family violence are eligible for APRAP regardless of their financial circumstances.</w:t>
      </w:r>
    </w:p>
    <w:p w14:paraId="2887924A" w14:textId="77777777" w:rsidR="00AC2532" w:rsidRPr="00AC2532" w:rsidRDefault="00AC2532" w:rsidP="00C753CD">
      <w:pPr>
        <w:pStyle w:val="Body"/>
      </w:pPr>
      <w:r w:rsidRPr="00AC2532">
        <w:t>Private rental assistance should be provided to Aboriginal households who are able to sustain private rental housing with time limited support.  Resources are targeted to people who:</w:t>
      </w:r>
    </w:p>
    <w:p w14:paraId="7403D794" w14:textId="77777777" w:rsidR="00AC2532" w:rsidRPr="00C753CD" w:rsidRDefault="00AC2532" w:rsidP="00C753CD">
      <w:pPr>
        <w:pStyle w:val="Bullet1"/>
      </w:pPr>
      <w:r w:rsidRPr="00C753CD">
        <w:lastRenderedPageBreak/>
        <w:t>Are at risk of losing their current tenancy – for example, due to a personal crisis, short term financial crisis, rent arrears, tenancy dispute etc.</w:t>
      </w:r>
    </w:p>
    <w:p w14:paraId="52723988" w14:textId="77777777" w:rsidR="00AC2532" w:rsidRPr="00C753CD" w:rsidRDefault="00AC2532" w:rsidP="00C753CD">
      <w:pPr>
        <w:pStyle w:val="Bullet1"/>
      </w:pPr>
      <w:r w:rsidRPr="00C753CD">
        <w:t>Are currently homeless but can be rapidly and sustainably housed in the private rental market with short term assistance.</w:t>
      </w:r>
    </w:p>
    <w:p w14:paraId="0315FE7C" w14:textId="77777777" w:rsidR="00AC2532" w:rsidRPr="00C753CD" w:rsidRDefault="00AC2532" w:rsidP="00C753CD">
      <w:pPr>
        <w:pStyle w:val="Bullet1"/>
      </w:pPr>
      <w:r w:rsidRPr="00C753CD">
        <w:t>Could sustain affordable and appropriate housing in the private rental market but need assistance with the transition from crisis, transitional or social housing.</w:t>
      </w:r>
    </w:p>
    <w:p w14:paraId="7DD099FC" w14:textId="77777777" w:rsidR="00AC2532" w:rsidRPr="00C753CD" w:rsidRDefault="00AC2532" w:rsidP="00C753CD">
      <w:pPr>
        <w:pStyle w:val="Body"/>
      </w:pPr>
      <w:r w:rsidRPr="00C753CD">
        <w:t xml:space="preserve">Each potential household will be assessed, with an emphasis on identifying personal and/or financial capabilities that can be enhanced to improve their capacity to sustain appropriate and affordable housing in the private rental market. When assessing households, service providers should prioritise assistance to those who are in one or more of the following categories:  </w:t>
      </w:r>
    </w:p>
    <w:p w14:paraId="46B04891" w14:textId="77777777" w:rsidR="00AC2532" w:rsidRPr="00C753CD" w:rsidRDefault="00AC2532" w:rsidP="00C753CD">
      <w:pPr>
        <w:pStyle w:val="Bullet1"/>
      </w:pPr>
      <w:r w:rsidRPr="00C753CD">
        <w:t>Those presenting at Aboriginal Community Controlled Organisations, or other services including homelessness entry points with a recent private rental history.</w:t>
      </w:r>
    </w:p>
    <w:p w14:paraId="73DCC25B" w14:textId="77777777" w:rsidR="00AC2532" w:rsidRPr="00C753CD" w:rsidRDefault="00AC2532" w:rsidP="00C753CD">
      <w:pPr>
        <w:pStyle w:val="Bullet1"/>
      </w:pPr>
      <w:r w:rsidRPr="00C753CD">
        <w:t>Living in marginal private rental housing such as rooming houses or caravan parks who can afford and sustain a private rental tenancy.</w:t>
      </w:r>
    </w:p>
    <w:p w14:paraId="77191B89" w14:textId="77777777" w:rsidR="00AC2532" w:rsidRPr="00C753CD" w:rsidRDefault="00AC2532" w:rsidP="00C753CD">
      <w:pPr>
        <w:pStyle w:val="Bullet1"/>
      </w:pPr>
      <w:r w:rsidRPr="00C753CD">
        <w:t>On the Victorian Housing Register who can afford and sustain a private rental tenancy.</w:t>
      </w:r>
    </w:p>
    <w:p w14:paraId="194247FD" w14:textId="77777777" w:rsidR="00AC2532" w:rsidRPr="00C753CD" w:rsidRDefault="00AC2532" w:rsidP="00C753CD">
      <w:pPr>
        <w:pStyle w:val="Bullet1"/>
      </w:pPr>
      <w:r w:rsidRPr="00C753CD">
        <w:t xml:space="preserve">Living in social housing or transitional housing who are working and who can afford to sustain a private rental tenancy. </w:t>
      </w:r>
    </w:p>
    <w:p w14:paraId="1ED07A12" w14:textId="77777777" w:rsidR="00AC2532" w:rsidRPr="00C753CD" w:rsidRDefault="00AC2532" w:rsidP="00C753CD">
      <w:pPr>
        <w:pStyle w:val="Bullet1"/>
      </w:pPr>
      <w:r w:rsidRPr="00C753CD">
        <w:t>Living in private rental with a tenancy at risk, including with legal action or Victorian Civil and Administrative Tribunal (VCAT) hearing pending.</w:t>
      </w:r>
    </w:p>
    <w:p w14:paraId="150FE10D" w14:textId="77777777" w:rsidR="0086200B" w:rsidRPr="00C753CD" w:rsidRDefault="00AC2532" w:rsidP="00C753CD">
      <w:pPr>
        <w:pStyle w:val="Body"/>
      </w:pPr>
      <w:r w:rsidRPr="00C753CD">
        <w:t xml:space="preserve">In determining eligibility for assistance, service providers are required to ensure that the rent paid by the household is affordable, based on an assessment of the household’s ongoing capacity to sustain housing. For example, the department’s </w:t>
      </w:r>
      <w:proofErr w:type="spellStart"/>
      <w:r w:rsidRPr="00C753CD">
        <w:t>RentAssist</w:t>
      </w:r>
      <w:proofErr w:type="spellEnd"/>
      <w:r w:rsidRPr="00C753CD">
        <w:t xml:space="preserve"> bond loan eligibility assesses that rent must be less than 55 per cent of household income.</w:t>
      </w:r>
      <w:r w:rsidR="0086200B" w:rsidRPr="00C753CD">
        <w:t xml:space="preserve"> </w:t>
      </w:r>
    </w:p>
    <w:p w14:paraId="5B5F9E70" w14:textId="77777777" w:rsidR="00C41E23" w:rsidRPr="009E3248" w:rsidRDefault="00C41E23" w:rsidP="009E3248">
      <w:pPr>
        <w:pStyle w:val="Heading1"/>
      </w:pPr>
      <w:bookmarkStart w:id="7" w:name="_Toc141442141"/>
      <w:r w:rsidRPr="009E3248">
        <w:t>Homelessness to a Home (H2H)</w:t>
      </w:r>
      <w:bookmarkEnd w:id="7"/>
    </w:p>
    <w:p w14:paraId="7E4E142D" w14:textId="1AAE01BC" w:rsidR="00C41E23" w:rsidRPr="00C753CD" w:rsidRDefault="00C41E23" w:rsidP="00C753CD">
      <w:pPr>
        <w:pStyle w:val="Body"/>
      </w:pPr>
      <w:r w:rsidRPr="00C753CD">
        <w:t xml:space="preserve">Homelessness to a Home (H2H) clients who seek assistance to pay rental arrears to sustain their Head Lease tenancy, can access </w:t>
      </w:r>
      <w:r w:rsidR="2D65280C" w:rsidRPr="00C753CD">
        <w:t>A</w:t>
      </w:r>
      <w:r w:rsidRPr="00C753CD">
        <w:t xml:space="preserve">PRAP funding to support this. It is however, expected that clients will share responsibility to repay their debts by contributing to the repayment.  </w:t>
      </w:r>
    </w:p>
    <w:p w14:paraId="1468F0A5" w14:textId="409D335D" w:rsidR="00C41E23" w:rsidRPr="00C753CD" w:rsidRDefault="00C41E23" w:rsidP="00C753CD">
      <w:pPr>
        <w:pStyle w:val="Body"/>
      </w:pPr>
      <w:r w:rsidRPr="00C753CD">
        <w:t xml:space="preserve">Spot purchased/General Leased properties cannot access </w:t>
      </w:r>
      <w:r w:rsidR="4E24F0A4" w:rsidRPr="00C753CD">
        <w:t>A</w:t>
      </w:r>
      <w:r w:rsidRPr="00C753CD">
        <w:t>PRAP for assistance in payment of rental arrears as they are not private rentals. Clients in General Leased properties can access HEF for this purpose.</w:t>
      </w:r>
    </w:p>
    <w:p w14:paraId="1C84D3AA" w14:textId="77777777" w:rsidR="0086200B" w:rsidRPr="009E3248" w:rsidRDefault="0086200B" w:rsidP="009E3248">
      <w:pPr>
        <w:pStyle w:val="Heading1"/>
      </w:pPr>
      <w:bookmarkStart w:id="8" w:name="_Toc141442142"/>
      <w:r w:rsidRPr="009E3248">
        <w:t>Outcomes to be achieved by APRAP</w:t>
      </w:r>
      <w:bookmarkEnd w:id="8"/>
      <w:r w:rsidRPr="009E3248">
        <w:t xml:space="preserve"> </w:t>
      </w:r>
    </w:p>
    <w:p w14:paraId="2EB8E338" w14:textId="4221721C" w:rsidR="0086200B" w:rsidRPr="00C753CD" w:rsidRDefault="0086200B" w:rsidP="00C753CD">
      <w:pPr>
        <w:pStyle w:val="Body"/>
      </w:pPr>
      <w:r w:rsidRPr="00C753CD">
        <w:t>Private rental assistance should help people who are homeless or at risk of homelessness to either maintain their existing tenancy or to secure a new private rental tenancy. People receiving private rental assistance should expect outcomes such as:</w:t>
      </w:r>
    </w:p>
    <w:p w14:paraId="05F1B99B" w14:textId="77777777" w:rsidR="0086200B" w:rsidRPr="00C753CD" w:rsidRDefault="0086200B" w:rsidP="00C753CD">
      <w:pPr>
        <w:pStyle w:val="Bullet1"/>
      </w:pPr>
      <w:r w:rsidRPr="00C753CD">
        <w:t>Improved access to affordable and appropriate private rental housing</w:t>
      </w:r>
    </w:p>
    <w:p w14:paraId="256A361E" w14:textId="77777777" w:rsidR="0086200B" w:rsidRPr="00C753CD" w:rsidRDefault="0086200B" w:rsidP="00C753CD">
      <w:pPr>
        <w:pStyle w:val="Bullet1"/>
      </w:pPr>
      <w:r w:rsidRPr="00C753CD">
        <w:t>Support to sustain tenancies, repair their rental history and transition between tenancies</w:t>
      </w:r>
    </w:p>
    <w:p w14:paraId="76AAE953" w14:textId="77777777" w:rsidR="0086200B" w:rsidRPr="00C753CD" w:rsidRDefault="0086200B" w:rsidP="00C753CD">
      <w:pPr>
        <w:pStyle w:val="Bullet1"/>
      </w:pPr>
      <w:r w:rsidRPr="00C753CD">
        <w:lastRenderedPageBreak/>
        <w:t>Assistance tailored to their needs, based on evidence of what works</w:t>
      </w:r>
    </w:p>
    <w:p w14:paraId="15C5F97C" w14:textId="77777777" w:rsidR="0086200B" w:rsidRPr="00C753CD" w:rsidRDefault="0086200B" w:rsidP="00C753CD">
      <w:pPr>
        <w:pStyle w:val="Bullet1"/>
      </w:pPr>
      <w:r w:rsidRPr="00C753CD">
        <w:t>Diversion of at-risk households from homelessness crisis and transitional services</w:t>
      </w:r>
    </w:p>
    <w:p w14:paraId="6700C5EA" w14:textId="77777777" w:rsidR="0086200B" w:rsidRPr="00C753CD" w:rsidRDefault="0086200B" w:rsidP="00C753CD">
      <w:pPr>
        <w:pStyle w:val="Bullet1"/>
      </w:pPr>
      <w:r w:rsidRPr="00C753CD">
        <w:t>Rapid re-entry to the private rental market for households experiencing homelessness</w:t>
      </w:r>
    </w:p>
    <w:p w14:paraId="23B580DE" w14:textId="77777777" w:rsidR="0086200B" w:rsidRPr="00C753CD" w:rsidRDefault="0086200B" w:rsidP="00C753CD">
      <w:pPr>
        <w:pStyle w:val="Bullet1"/>
      </w:pPr>
      <w:r w:rsidRPr="00C753CD">
        <w:t xml:space="preserve">Improved capacity to maintain stable housing. </w:t>
      </w:r>
    </w:p>
    <w:p w14:paraId="051D9CD8" w14:textId="77777777" w:rsidR="0086200B" w:rsidRPr="009E3248" w:rsidRDefault="0086200B" w:rsidP="009E3248">
      <w:pPr>
        <w:pStyle w:val="Heading1"/>
      </w:pPr>
      <w:bookmarkStart w:id="9" w:name="_Toc85534889"/>
      <w:bookmarkStart w:id="10" w:name="_Toc141442143"/>
      <w:r w:rsidRPr="009E3248">
        <w:t>Referral to the mainstream Private Rental Assistance Program</w:t>
      </w:r>
      <w:bookmarkEnd w:id="9"/>
      <w:bookmarkEnd w:id="10"/>
    </w:p>
    <w:p w14:paraId="5C16B5ED" w14:textId="2AC2B4FC" w:rsidR="0086200B" w:rsidRPr="0086200B" w:rsidRDefault="0086200B" w:rsidP="00CD4E5F">
      <w:pPr>
        <w:pStyle w:val="Body"/>
      </w:pPr>
      <w:r w:rsidRPr="00C753CD">
        <w:t xml:space="preserve">Aboriginal people are eligible to seek assistance through either APRAP or mainstream PRAP. Only one source of </w:t>
      </w:r>
      <w:r w:rsidR="0069724F" w:rsidRPr="00C753CD">
        <w:t>assistance</w:t>
      </w:r>
      <w:r w:rsidRPr="00C753CD">
        <w:t xml:space="preserve"> can be accessed, but this should be at the choice of the eligible person. Where an APRAP service refers a person to a mainstream PRAP provider for financial assistance, this needs to be documented as ‘referred’ and not as ‘provided’ in the Specialist Homelessness Services data collection. </w:t>
      </w:r>
      <w:r w:rsidRPr="0086200B">
        <w:t xml:space="preserve"> </w:t>
      </w:r>
    </w:p>
    <w:p w14:paraId="6E4E2C6C" w14:textId="77777777" w:rsidR="0086200B" w:rsidRPr="009E3248" w:rsidRDefault="0086200B" w:rsidP="009E3248">
      <w:pPr>
        <w:pStyle w:val="Heading1"/>
      </w:pPr>
      <w:bookmarkStart w:id="11" w:name="_Toc85534890"/>
      <w:bookmarkStart w:id="12" w:name="_Toc141442144"/>
      <w:r w:rsidRPr="009E3248">
        <w:t>APRAP State-wide coordinator</w:t>
      </w:r>
      <w:bookmarkEnd w:id="11"/>
      <w:bookmarkEnd w:id="12"/>
      <w:r w:rsidRPr="009E3248">
        <w:t xml:space="preserve"> </w:t>
      </w:r>
    </w:p>
    <w:p w14:paraId="480B1795" w14:textId="77777777" w:rsidR="0086200B" w:rsidRPr="0086200B" w:rsidRDefault="0086200B" w:rsidP="00CD4E5F">
      <w:pPr>
        <w:pStyle w:val="Body"/>
      </w:pPr>
      <w:r w:rsidRPr="0086200B">
        <w:t xml:space="preserve">The APRAP State-wide Coordinator drives and supports the implementation of the program and undertakes capacity building activities that will enhance practice and support positive outcomes for Aboriginal households sustaining or </w:t>
      </w:r>
      <w:proofErr w:type="gramStart"/>
      <w:r w:rsidRPr="0086200B">
        <w:t>entering into</w:t>
      </w:r>
      <w:proofErr w:type="gramEnd"/>
      <w:r w:rsidRPr="0086200B">
        <w:t xml:space="preserve"> private rental. Key components of the APRAP State-wide Coordinator include:</w:t>
      </w:r>
    </w:p>
    <w:p w14:paraId="6C947BC7" w14:textId="77777777" w:rsidR="0086200B" w:rsidRPr="0086200B" w:rsidRDefault="0086200B" w:rsidP="001B4187">
      <w:pPr>
        <w:pStyle w:val="Bullet1"/>
      </w:pPr>
      <w:r w:rsidRPr="0086200B">
        <w:t>Building capacity, facilitating information sharing and best practice of APRAP workers and APRAP brokers</w:t>
      </w:r>
    </w:p>
    <w:p w14:paraId="175D7A88" w14:textId="77777777" w:rsidR="0086200B" w:rsidRPr="0086200B" w:rsidRDefault="0086200B" w:rsidP="001B4187">
      <w:pPr>
        <w:pStyle w:val="Bullet1"/>
      </w:pPr>
      <w:r w:rsidRPr="0086200B">
        <w:t>Improving coordination and collaboration between APRAP and mainstream PRAP providers</w:t>
      </w:r>
    </w:p>
    <w:p w14:paraId="783262FC" w14:textId="77777777" w:rsidR="0086200B" w:rsidRPr="0086200B" w:rsidRDefault="0086200B" w:rsidP="001B4187">
      <w:pPr>
        <w:pStyle w:val="Bullet1"/>
      </w:pPr>
      <w:r w:rsidRPr="0086200B">
        <w:t>Facilitating private rental forums with ACCOs both APRAP and non-APRAP funded providers</w:t>
      </w:r>
    </w:p>
    <w:p w14:paraId="400C4480" w14:textId="77777777" w:rsidR="0086200B" w:rsidRPr="0086200B" w:rsidRDefault="0086200B" w:rsidP="001B4187">
      <w:pPr>
        <w:pStyle w:val="Bullet1"/>
      </w:pPr>
      <w:r w:rsidRPr="0086200B">
        <w:t xml:space="preserve">Communication conduit between APRAP program and Homes Victoria on implementation, </w:t>
      </w:r>
      <w:proofErr w:type="gramStart"/>
      <w:r w:rsidRPr="0086200B">
        <w:t>progress</w:t>
      </w:r>
      <w:proofErr w:type="gramEnd"/>
      <w:r w:rsidRPr="0086200B">
        <w:t xml:space="preserve"> and outcomes</w:t>
      </w:r>
    </w:p>
    <w:p w14:paraId="31ACAC28" w14:textId="77777777" w:rsidR="0086200B" w:rsidRPr="0086200B" w:rsidRDefault="0086200B" w:rsidP="001B4187">
      <w:pPr>
        <w:pStyle w:val="Bullet1"/>
      </w:pPr>
      <w:r w:rsidRPr="0086200B">
        <w:t>Seek biannual consumer feedback on their experiences of the APRAP program and the benefits and challenges of living in private rental</w:t>
      </w:r>
    </w:p>
    <w:p w14:paraId="48554336" w14:textId="77777777" w:rsidR="0086200B" w:rsidRPr="0086200B" w:rsidRDefault="0086200B" w:rsidP="001B4187">
      <w:pPr>
        <w:pStyle w:val="Bullet1"/>
      </w:pPr>
      <w:r w:rsidRPr="0086200B">
        <w:t>Produce culturally appropriate resources and information on private rental</w:t>
      </w:r>
    </w:p>
    <w:p w14:paraId="0A004FCE" w14:textId="77777777" w:rsidR="0086200B" w:rsidRPr="009E3248" w:rsidRDefault="0086200B" w:rsidP="009E3248">
      <w:pPr>
        <w:pStyle w:val="Heading1"/>
      </w:pPr>
      <w:bookmarkStart w:id="13" w:name="_Toc85534891"/>
      <w:bookmarkStart w:id="14" w:name="_Toc141442145"/>
      <w:r w:rsidRPr="009E3248">
        <w:t>Private rental brokers</w:t>
      </w:r>
      <w:bookmarkEnd w:id="13"/>
      <w:bookmarkEnd w:id="14"/>
    </w:p>
    <w:p w14:paraId="49023580" w14:textId="183DFBE5" w:rsidR="0086200B" w:rsidRPr="00C753CD" w:rsidRDefault="0086200B" w:rsidP="00C753CD">
      <w:pPr>
        <w:pStyle w:val="Body"/>
      </w:pPr>
      <w:r w:rsidRPr="00C753CD">
        <w:t xml:space="preserve">Private rental brokers will generate and maintain access opportunities in the private rental market. They will build links with relevant service agencies to support early intervention with households at risk, have sound knowledge of and strong relationships with the local real estate market to leverage opportunities for vulnerable households, and have proven capacity in helping to assist people to access and sustain private rental tenancies. Private rental brokers will also be responsible for administering and distributing brokerage funding for the local area. </w:t>
      </w:r>
    </w:p>
    <w:p w14:paraId="74CB5B05" w14:textId="77777777" w:rsidR="0086200B" w:rsidRPr="00C753CD" w:rsidRDefault="0086200B" w:rsidP="00C753CD">
      <w:pPr>
        <w:pStyle w:val="Body"/>
      </w:pPr>
      <w:r w:rsidRPr="00C753CD">
        <w:t>The private rental broker function is focused on generating and maintaining private rental access opportunities for clients, rather than direct client support.</w:t>
      </w:r>
    </w:p>
    <w:p w14:paraId="386FC1C2" w14:textId="09E249B9" w:rsidR="0086200B" w:rsidRPr="00C753CD" w:rsidRDefault="0086200B" w:rsidP="00C753CD">
      <w:pPr>
        <w:pStyle w:val="Body"/>
      </w:pPr>
      <w:r w:rsidRPr="00C753CD">
        <w:lastRenderedPageBreak/>
        <w:t>Private rental brokers are expected to:</w:t>
      </w:r>
    </w:p>
    <w:p w14:paraId="3268FB88" w14:textId="77777777" w:rsidR="0086200B" w:rsidRPr="00C753CD" w:rsidRDefault="0086200B" w:rsidP="00C753CD">
      <w:pPr>
        <w:pStyle w:val="Bullet1"/>
      </w:pPr>
      <w:r w:rsidRPr="00C753CD">
        <w:t xml:space="preserve">Build links and identify referral pathways with legal, health, </w:t>
      </w:r>
      <w:proofErr w:type="gramStart"/>
      <w:r w:rsidRPr="00C753CD">
        <w:t>education</w:t>
      </w:r>
      <w:proofErr w:type="gramEnd"/>
      <w:r w:rsidRPr="00C753CD">
        <w:t xml:space="preserve"> and community services to support prevention and early intervention.</w:t>
      </w:r>
    </w:p>
    <w:p w14:paraId="008651E6" w14:textId="77777777" w:rsidR="0086200B" w:rsidRPr="00C753CD" w:rsidRDefault="0086200B" w:rsidP="00C753CD">
      <w:pPr>
        <w:pStyle w:val="Bullet1"/>
      </w:pPr>
      <w:r w:rsidRPr="00C753CD">
        <w:t>Advocate for at risk tenancies and negotiate payment plans.</w:t>
      </w:r>
    </w:p>
    <w:p w14:paraId="3C008E97" w14:textId="77777777" w:rsidR="0086200B" w:rsidRPr="00C753CD" w:rsidRDefault="0086200B" w:rsidP="00C753CD">
      <w:pPr>
        <w:pStyle w:val="Bullet1"/>
      </w:pPr>
      <w:r w:rsidRPr="00C753CD">
        <w:t>Build strong relationships with the real estate industry and landlords to leverage opportunities.</w:t>
      </w:r>
    </w:p>
    <w:p w14:paraId="7C6B0CDF" w14:textId="77777777" w:rsidR="0086200B" w:rsidRPr="00C753CD" w:rsidRDefault="0086200B" w:rsidP="00C753CD">
      <w:pPr>
        <w:pStyle w:val="Bullet1"/>
      </w:pPr>
      <w:r w:rsidRPr="00C753CD">
        <w:t>Understand the causes and impacts of homelessness and have skills in holistic assessment and referral.</w:t>
      </w:r>
    </w:p>
    <w:p w14:paraId="31D9C066" w14:textId="77777777" w:rsidR="0086200B" w:rsidRPr="00C753CD" w:rsidRDefault="0086200B" w:rsidP="00C753CD">
      <w:pPr>
        <w:pStyle w:val="Bullet1"/>
      </w:pPr>
      <w:r w:rsidRPr="00C753CD">
        <w:t>Understand local private rental housing market dynamics and identify access opportunities for at risk households.</w:t>
      </w:r>
    </w:p>
    <w:p w14:paraId="09B6C66D" w14:textId="77777777" w:rsidR="0086200B" w:rsidRPr="00C753CD" w:rsidRDefault="0086200B" w:rsidP="00C753CD">
      <w:pPr>
        <w:pStyle w:val="Bullet1"/>
      </w:pPr>
      <w:r w:rsidRPr="00C753CD">
        <w:t>Facilitate and improve a household’s capacity to access and sustain private rental tenancies. This includes ensuring all eligible households are in receipt of relevant government concessions and payments, including Commonwealth Rent Assistance.</w:t>
      </w:r>
    </w:p>
    <w:p w14:paraId="43E6EE02" w14:textId="77777777" w:rsidR="0086200B" w:rsidRPr="00C753CD" w:rsidRDefault="0086200B" w:rsidP="00C753CD">
      <w:pPr>
        <w:pStyle w:val="Bullet1"/>
      </w:pPr>
      <w:r w:rsidRPr="00C753CD">
        <w:t xml:space="preserve">Build relationships with housing and homelessness staff in the local area that means better access to resources and better outcomes for Aboriginal households </w:t>
      </w:r>
    </w:p>
    <w:p w14:paraId="38A158D5" w14:textId="41C7DFBF" w:rsidR="0086200B" w:rsidRPr="009E3248" w:rsidRDefault="0086200B" w:rsidP="009E3248">
      <w:pPr>
        <w:pStyle w:val="Heading1"/>
      </w:pPr>
      <w:bookmarkStart w:id="15" w:name="_Toc85534892"/>
      <w:bookmarkStart w:id="16" w:name="_Toc141442146"/>
      <w:r w:rsidRPr="009E3248">
        <w:t>APRAP Plus</w:t>
      </w:r>
      <w:bookmarkEnd w:id="15"/>
      <w:bookmarkEnd w:id="16"/>
      <w:r w:rsidRPr="009E3248">
        <w:t xml:space="preserve"> </w:t>
      </w:r>
    </w:p>
    <w:p w14:paraId="20D9B488" w14:textId="77777777" w:rsidR="0086200B" w:rsidRPr="00C753CD" w:rsidRDefault="0086200B" w:rsidP="00C753CD">
      <w:pPr>
        <w:pStyle w:val="Body"/>
      </w:pPr>
      <w:r w:rsidRPr="00C753CD">
        <w:t>APRAP Plus is an outreach intervention for households living in or entering private rental tenancies. APRAP positions work alongside the APRAP broker to provide additional support to households to establish or maintain their housing</w:t>
      </w:r>
    </w:p>
    <w:p w14:paraId="5AEF8505" w14:textId="77777777" w:rsidR="0086200B" w:rsidRPr="00C753CD" w:rsidRDefault="0086200B" w:rsidP="00C753CD">
      <w:pPr>
        <w:pStyle w:val="Body"/>
      </w:pPr>
      <w:r w:rsidRPr="00C753CD">
        <w:t>APRAP Plus is designed to:</w:t>
      </w:r>
    </w:p>
    <w:p w14:paraId="31CEF2D3" w14:textId="77777777" w:rsidR="0086200B" w:rsidRPr="00C753CD" w:rsidRDefault="0086200B" w:rsidP="00C753CD">
      <w:pPr>
        <w:pStyle w:val="Bullet1"/>
      </w:pPr>
      <w:r w:rsidRPr="00C753CD">
        <w:t xml:space="preserve">Provide time-limited outreach intervention to support tenancies. </w:t>
      </w:r>
    </w:p>
    <w:p w14:paraId="6B46529B" w14:textId="77777777" w:rsidR="0086200B" w:rsidRPr="00C753CD" w:rsidRDefault="0086200B" w:rsidP="00C753CD">
      <w:pPr>
        <w:pStyle w:val="Bullet1"/>
      </w:pPr>
      <w:r w:rsidRPr="00C753CD">
        <w:t>Address issues which are contributing to the risk of tenancy breakdown.</w:t>
      </w:r>
    </w:p>
    <w:p w14:paraId="03DBE8DE" w14:textId="77777777" w:rsidR="0086200B" w:rsidRPr="00C753CD" w:rsidRDefault="0086200B" w:rsidP="00C753CD">
      <w:pPr>
        <w:pStyle w:val="Bullet1"/>
      </w:pPr>
      <w:r w:rsidRPr="00C753CD">
        <w:t>Achieve outcomes that lead to successful, sustainable private rental tenancies.</w:t>
      </w:r>
    </w:p>
    <w:p w14:paraId="26813722" w14:textId="3ED3B2AE" w:rsidR="0086200B" w:rsidRPr="00C753CD" w:rsidRDefault="0086200B" w:rsidP="00C753CD">
      <w:pPr>
        <w:pStyle w:val="Bullet1"/>
      </w:pPr>
      <w:r w:rsidRPr="00C753CD">
        <w:t>Reduce preventable exits from private rental.</w:t>
      </w:r>
    </w:p>
    <w:p w14:paraId="43EEB86D" w14:textId="147B2C72" w:rsidR="006428ED" w:rsidRPr="00C753CD" w:rsidRDefault="1D835AD7" w:rsidP="00C753CD">
      <w:pPr>
        <w:pStyle w:val="Bullet1"/>
      </w:pPr>
      <w:r w:rsidRPr="00C753CD">
        <w:t>Prevent homelessness</w:t>
      </w:r>
      <w:r w:rsidR="00C753CD" w:rsidRPr="00C753CD">
        <w:t>.</w:t>
      </w:r>
    </w:p>
    <w:p w14:paraId="57183C2B" w14:textId="212A4217" w:rsidR="0069724F" w:rsidRPr="006428ED" w:rsidRDefault="006428ED" w:rsidP="00CD4E5F">
      <w:pPr>
        <w:pStyle w:val="Body"/>
      </w:pPr>
      <w:r w:rsidRPr="00C753CD">
        <w:t xml:space="preserve">APRAP Plus is not an office-based position, while APRAP Plus will work alongside the Private rental broker, it is an outreach position. Staff will primarily work with clients in the communities where they live. </w:t>
      </w:r>
    </w:p>
    <w:p w14:paraId="1F77110B" w14:textId="77777777" w:rsidR="006428ED" w:rsidRPr="006428ED" w:rsidRDefault="006428ED" w:rsidP="00CD4E5F">
      <w:pPr>
        <w:pStyle w:val="Body"/>
      </w:pPr>
      <w:r w:rsidRPr="006428ED">
        <w:t xml:space="preserve">APRAP Plus is not designed to assist clients who have existing support from other housing support programs. </w:t>
      </w:r>
    </w:p>
    <w:p w14:paraId="5678C033" w14:textId="3DD61770" w:rsidR="006428ED" w:rsidRPr="009E3248" w:rsidRDefault="006428ED" w:rsidP="009E3248">
      <w:pPr>
        <w:pStyle w:val="Heading1"/>
      </w:pPr>
      <w:bookmarkStart w:id="17" w:name="_Toc141442147"/>
      <w:r w:rsidRPr="009E3248">
        <w:t>Service Components</w:t>
      </w:r>
      <w:bookmarkEnd w:id="17"/>
      <w:r w:rsidRPr="009E3248">
        <w:t xml:space="preserve"> </w:t>
      </w:r>
    </w:p>
    <w:p w14:paraId="0941948C" w14:textId="42C20626" w:rsidR="0086200B" w:rsidRPr="009E3248" w:rsidRDefault="0086200B" w:rsidP="009E3248">
      <w:pPr>
        <w:pStyle w:val="Heading3"/>
      </w:pPr>
      <w:r w:rsidRPr="009E3248">
        <w:t>Establishing successful tenancies</w:t>
      </w:r>
    </w:p>
    <w:p w14:paraId="33EC75DC" w14:textId="77777777" w:rsidR="0086200B" w:rsidRPr="00546F6C" w:rsidRDefault="0086200B" w:rsidP="00546F6C">
      <w:pPr>
        <w:pStyle w:val="Bullet1"/>
      </w:pPr>
      <w:r w:rsidRPr="00546F6C">
        <w:t>Educate and assist with private rental applications.</w:t>
      </w:r>
    </w:p>
    <w:p w14:paraId="117238D7" w14:textId="77777777" w:rsidR="0086200B" w:rsidRPr="00546F6C" w:rsidRDefault="0086200B" w:rsidP="00546F6C">
      <w:pPr>
        <w:pStyle w:val="Bullet1"/>
      </w:pPr>
      <w:r w:rsidRPr="00546F6C">
        <w:t>Attend inspections with clients, role modelling communication and presentation at inspections.</w:t>
      </w:r>
    </w:p>
    <w:p w14:paraId="65FB4142" w14:textId="77777777" w:rsidR="0086200B" w:rsidRPr="00546F6C" w:rsidRDefault="0086200B" w:rsidP="00546F6C">
      <w:pPr>
        <w:pStyle w:val="Bullet1"/>
      </w:pPr>
      <w:r w:rsidRPr="00546F6C">
        <w:t>Assist clients to connect to utilities and services.</w:t>
      </w:r>
    </w:p>
    <w:p w14:paraId="730360CF" w14:textId="77777777" w:rsidR="0086200B" w:rsidRPr="00546F6C" w:rsidRDefault="0086200B" w:rsidP="00546F6C">
      <w:pPr>
        <w:pStyle w:val="Bullet1"/>
      </w:pPr>
      <w:r w:rsidRPr="00546F6C">
        <w:t>Assist clients to enrol children in school.</w:t>
      </w:r>
    </w:p>
    <w:p w14:paraId="63A5CB40" w14:textId="45C63EE0" w:rsidR="0086200B" w:rsidRPr="00546F6C" w:rsidRDefault="0086200B" w:rsidP="00546F6C">
      <w:pPr>
        <w:pStyle w:val="Bullet1"/>
      </w:pPr>
      <w:r w:rsidRPr="00546F6C">
        <w:t>Assist clients to become acquainted with the local area, public transport, support services, shops, schools, hospitals, community health centres, neighbourhood houses et cetera</w:t>
      </w:r>
      <w:r w:rsidR="00546F6C">
        <w:t>.</w:t>
      </w:r>
    </w:p>
    <w:p w14:paraId="625319A5" w14:textId="77777777" w:rsidR="0086200B" w:rsidRPr="009E3248" w:rsidRDefault="0086200B" w:rsidP="009E3248">
      <w:pPr>
        <w:pStyle w:val="Heading3"/>
      </w:pPr>
      <w:r w:rsidRPr="009E3248">
        <w:lastRenderedPageBreak/>
        <w:t xml:space="preserve">Intervening when tenancies are at risk </w:t>
      </w:r>
    </w:p>
    <w:p w14:paraId="290BABA1" w14:textId="77777777" w:rsidR="0086200B" w:rsidRPr="0086200B" w:rsidRDefault="0086200B" w:rsidP="001B4187">
      <w:pPr>
        <w:pStyle w:val="Bullet1"/>
      </w:pPr>
      <w:r w:rsidRPr="0086200B">
        <w:t>Develop a support plan with the client to address issues that are causing or have the potential to cause tenancy breakdown.</w:t>
      </w:r>
    </w:p>
    <w:p w14:paraId="3FC40D6A" w14:textId="77777777" w:rsidR="0086200B" w:rsidRPr="0086200B" w:rsidRDefault="0086200B" w:rsidP="001B4187">
      <w:pPr>
        <w:pStyle w:val="Bullet1"/>
      </w:pPr>
      <w:r w:rsidRPr="0086200B">
        <w:t xml:space="preserve">Oversight, </w:t>
      </w:r>
      <w:proofErr w:type="gramStart"/>
      <w:r w:rsidRPr="0086200B">
        <w:t>coordination</w:t>
      </w:r>
      <w:proofErr w:type="gramEnd"/>
      <w:r w:rsidRPr="0086200B">
        <w:t xml:space="preserve"> and implementation of the plan.</w:t>
      </w:r>
    </w:p>
    <w:p w14:paraId="5F4371C0" w14:textId="77777777" w:rsidR="0086200B" w:rsidRPr="0086200B" w:rsidRDefault="0086200B" w:rsidP="001B4187">
      <w:pPr>
        <w:pStyle w:val="Bullet1"/>
      </w:pPr>
      <w:r w:rsidRPr="0086200B">
        <w:t>Assist the client to liaise and negotiate with real estate agents, including understanding rental ledgers and reporting maintenance.</w:t>
      </w:r>
    </w:p>
    <w:p w14:paraId="396FAF36" w14:textId="77777777" w:rsidR="0086200B" w:rsidRPr="0086200B" w:rsidRDefault="0086200B" w:rsidP="001B4187">
      <w:pPr>
        <w:pStyle w:val="Bullet1"/>
      </w:pPr>
      <w:r w:rsidRPr="0086200B">
        <w:t>Actively engage with appropriate organisations to address the underlying issues that are causing the tenancy to be at risk.</w:t>
      </w:r>
    </w:p>
    <w:p w14:paraId="0CA18A01" w14:textId="77777777" w:rsidR="0086200B" w:rsidRPr="0086200B" w:rsidRDefault="0086200B" w:rsidP="001B4187">
      <w:pPr>
        <w:pStyle w:val="Bullet1"/>
      </w:pPr>
      <w:r w:rsidRPr="0086200B">
        <w:t xml:space="preserve">Advocacy including providing support at VCAT, negotiating agreements with real estate </w:t>
      </w:r>
      <w:proofErr w:type="gramStart"/>
      <w:r w:rsidRPr="0086200B">
        <w:t>agents</w:t>
      </w:r>
      <w:proofErr w:type="gramEnd"/>
      <w:r w:rsidRPr="0086200B">
        <w:t xml:space="preserve"> and supporting tenants whose tenancies are at risk. </w:t>
      </w:r>
    </w:p>
    <w:p w14:paraId="11DD7E80" w14:textId="1D609884" w:rsidR="0086200B" w:rsidRPr="009E3248" w:rsidRDefault="0086200B" w:rsidP="009E3248">
      <w:pPr>
        <w:pStyle w:val="Heading3"/>
      </w:pPr>
      <w:r w:rsidRPr="009E3248">
        <w:t>Capacity building</w:t>
      </w:r>
    </w:p>
    <w:p w14:paraId="794AB370" w14:textId="6F59B9E2" w:rsidR="0086200B" w:rsidRPr="0086200B" w:rsidRDefault="0086200B" w:rsidP="001B4187">
      <w:pPr>
        <w:pStyle w:val="Bullet1"/>
      </w:pPr>
      <w:r w:rsidRPr="0086200B">
        <w:t>Understanding how to manage household bills and budgeting.</w:t>
      </w:r>
    </w:p>
    <w:p w14:paraId="41D2CE13" w14:textId="1BD7BD1E" w:rsidR="0086200B" w:rsidRPr="0086200B" w:rsidRDefault="0086200B" w:rsidP="001B4187">
      <w:pPr>
        <w:pStyle w:val="Bullet1"/>
      </w:pPr>
      <w:r w:rsidRPr="0086200B">
        <w:t xml:space="preserve">Referral to services if required. </w:t>
      </w:r>
    </w:p>
    <w:p w14:paraId="4F387AA7" w14:textId="1502628F" w:rsidR="0086200B" w:rsidRDefault="0086200B" w:rsidP="001B4187">
      <w:pPr>
        <w:pStyle w:val="Bullet1"/>
      </w:pPr>
      <w:r w:rsidRPr="0086200B">
        <w:t xml:space="preserve">Attend pre-vacating inspections, addressing issues to prevent blacklisting on TICA (tenancy database). </w:t>
      </w:r>
    </w:p>
    <w:p w14:paraId="44C64B02" w14:textId="1A4F8676" w:rsidR="0086200B" w:rsidRPr="009E3248" w:rsidRDefault="0086200B" w:rsidP="009E3248">
      <w:pPr>
        <w:pStyle w:val="Heading3"/>
      </w:pPr>
      <w:r w:rsidRPr="009E3248">
        <w:t>Service requirements</w:t>
      </w:r>
    </w:p>
    <w:p w14:paraId="06386C9D" w14:textId="70A5D438" w:rsidR="0086200B" w:rsidRPr="005C7391" w:rsidRDefault="0086200B" w:rsidP="005C7391">
      <w:pPr>
        <w:pStyle w:val="Body"/>
      </w:pPr>
      <w:r w:rsidRPr="005C7391">
        <w:t xml:space="preserve">APRAP Plus service providers should leverage relationships with ‘first to know’ agencies, using existing relationships with local real estate agents, emergency relief workers, financial </w:t>
      </w:r>
      <w:proofErr w:type="gramStart"/>
      <w:r w:rsidRPr="005C7391">
        <w:t>counsellors</w:t>
      </w:r>
      <w:proofErr w:type="gramEnd"/>
      <w:r w:rsidRPr="005C7391">
        <w:t xml:space="preserve"> and other support services to identify ‘at risk’ private rental tenancies The referring organisation must ensure consent is obtained from the client prior to exchanging personal information.</w:t>
      </w:r>
    </w:p>
    <w:p w14:paraId="3DAB7131" w14:textId="5F95D4DF" w:rsidR="0086200B" w:rsidRPr="005C7391" w:rsidRDefault="0086200B" w:rsidP="005C7391">
      <w:pPr>
        <w:pStyle w:val="Body"/>
      </w:pPr>
      <w:r w:rsidRPr="005C7391">
        <w:t>Services are required to ensure staff are suitably skilled in:</w:t>
      </w:r>
    </w:p>
    <w:p w14:paraId="75223A71" w14:textId="4AC32218" w:rsidR="0086200B" w:rsidRPr="0086200B" w:rsidRDefault="0086200B" w:rsidP="001B4187">
      <w:pPr>
        <w:pStyle w:val="Bullet1"/>
      </w:pPr>
      <w:r w:rsidRPr="0086200B">
        <w:t>Tenancy matters and up to date regarding tenancy and housing legislation via training provided by the Tenants Union Victoria.</w:t>
      </w:r>
    </w:p>
    <w:p w14:paraId="3D28F27E" w14:textId="7FABA4FE" w:rsidR="0086200B" w:rsidRPr="0086200B" w:rsidRDefault="0086200B" w:rsidP="001B4187">
      <w:pPr>
        <w:pStyle w:val="Bullet1"/>
      </w:pPr>
      <w:r w:rsidRPr="0086200B">
        <w:t>Developing client support plans with tenants, tailored to meet their needs and aspirations in establishing and/or sustaining their tenancy.</w:t>
      </w:r>
    </w:p>
    <w:p w14:paraId="66EBA5E9" w14:textId="7AF92982" w:rsidR="0086200B" w:rsidRPr="0086200B" w:rsidRDefault="0086200B" w:rsidP="001B4187">
      <w:pPr>
        <w:pStyle w:val="Bullet1"/>
      </w:pPr>
      <w:r w:rsidRPr="0086200B">
        <w:t>Referring clients to services and coordinating the service response.</w:t>
      </w:r>
    </w:p>
    <w:p w14:paraId="7948C930" w14:textId="7205D9AB" w:rsidR="0086200B" w:rsidRPr="0086200B" w:rsidRDefault="0086200B" w:rsidP="001B4187">
      <w:pPr>
        <w:pStyle w:val="Bullet1"/>
      </w:pPr>
      <w:r w:rsidRPr="0086200B">
        <w:t>Providing advocacy at VCAT.</w:t>
      </w:r>
    </w:p>
    <w:p w14:paraId="785B25B4" w14:textId="5DD02720" w:rsidR="0086200B" w:rsidRPr="0086200B" w:rsidRDefault="0086200B" w:rsidP="001B4187">
      <w:pPr>
        <w:pStyle w:val="Bullet1"/>
      </w:pPr>
      <w:r w:rsidRPr="0086200B">
        <w:t>Demonstrating a commitment to continuous improvement both at a service level and through broader networks to improve client outcomes.</w:t>
      </w:r>
    </w:p>
    <w:p w14:paraId="5BC2608D" w14:textId="5CD68B44" w:rsidR="0086200B" w:rsidRPr="0086200B" w:rsidRDefault="0086200B" w:rsidP="009E3248">
      <w:pPr>
        <w:pStyle w:val="Bullet1"/>
      </w:pPr>
      <w:r w:rsidRPr="0086200B">
        <w:t>Build relationships with housing and homelessness staff in the local area that means better access to resources and better outcomes for Aboriginal households</w:t>
      </w:r>
      <w:r w:rsidR="009E3248">
        <w:t>.</w:t>
      </w:r>
    </w:p>
    <w:p w14:paraId="5FD5740F" w14:textId="77777777" w:rsidR="00A97AC4" w:rsidRPr="009E3248" w:rsidRDefault="00A97AC4" w:rsidP="009E3248">
      <w:pPr>
        <w:pStyle w:val="Heading3"/>
      </w:pPr>
      <w:r w:rsidRPr="009E3248">
        <w:t xml:space="preserve">Referral </w:t>
      </w:r>
    </w:p>
    <w:p w14:paraId="3ED1EE5E" w14:textId="2876EBA1" w:rsidR="00F97578" w:rsidRDefault="00A97AC4" w:rsidP="00CD4E5F">
      <w:pPr>
        <w:pStyle w:val="Body"/>
      </w:pPr>
      <w:r w:rsidRPr="00F97578">
        <w:t xml:space="preserve">Service providers should develop referral processes aligned with existing referral processes for the mainstream PRAP program. Referral may come from a range of sources, including homelessness access points, local real estate agents, emergency relief workers, financial </w:t>
      </w:r>
      <w:proofErr w:type="gramStart"/>
      <w:r w:rsidRPr="00F97578">
        <w:t>counsellors</w:t>
      </w:r>
      <w:proofErr w:type="gramEnd"/>
      <w:r w:rsidRPr="00F97578">
        <w:t xml:space="preserve"> and other support services. </w:t>
      </w:r>
      <w:bookmarkStart w:id="18" w:name="_Hlk19809315"/>
      <w:r w:rsidRPr="00F97578">
        <w:t xml:space="preserve">Referrals including tenancies with legal action or VCAT hearing pending should be prioritised for support.  Service providers will have established assessment procedures. </w:t>
      </w:r>
    </w:p>
    <w:p w14:paraId="1AD25BF0" w14:textId="2DA9AA4A" w:rsidR="00A97AC4" w:rsidRPr="00F97578" w:rsidRDefault="00A97AC4" w:rsidP="00CD4E5F">
      <w:pPr>
        <w:pStyle w:val="Body"/>
        <w:rPr>
          <w:rFonts w:cs="Arial"/>
          <w:b/>
        </w:rPr>
      </w:pPr>
      <w:r w:rsidRPr="00F97578">
        <w:t xml:space="preserve">APRAP Plus is a voluntary program and consent must be obtained for referral and exchange of personal information into the program, and for the use and disclosure of personal information by service providers. The Office of the Victorian Information Commissioner provides guidance on key privacy concepts and provides useful guidance </w:t>
      </w:r>
      <w:r w:rsidRPr="00F97578">
        <w:lastRenderedPageBreak/>
        <w:t xml:space="preserve">on the requirements to ensure consent is free and informed. </w:t>
      </w:r>
      <w:bookmarkEnd w:id="18"/>
      <w:r w:rsidRPr="00F97578">
        <w:t xml:space="preserve">More information can be found: </w:t>
      </w:r>
      <w:hyperlink r:id="rId20">
        <w:r w:rsidRPr="6C808949">
          <w:rPr>
            <w:rStyle w:val="Hyperlink"/>
            <w:rFonts w:eastAsia="MS Gothic"/>
            <w:szCs w:val="21"/>
          </w:rPr>
          <w:t>https://ovic.vic.gov.au/book/key-concepts/</w:t>
        </w:r>
      </w:hyperlink>
      <w:r w:rsidR="009E3248" w:rsidRPr="009E3248">
        <w:t>.</w:t>
      </w:r>
    </w:p>
    <w:p w14:paraId="131DBCAA" w14:textId="77777777" w:rsidR="00A97AC4" w:rsidRPr="009E3248" w:rsidRDefault="00A97AC4" w:rsidP="009E3248">
      <w:pPr>
        <w:pStyle w:val="Heading3"/>
      </w:pPr>
      <w:r w:rsidRPr="009E3248">
        <w:t>Client support plans</w:t>
      </w:r>
    </w:p>
    <w:p w14:paraId="76DB7B41" w14:textId="77777777" w:rsidR="00A97AC4" w:rsidRPr="00A97AC4" w:rsidRDefault="00A97AC4" w:rsidP="00CD4E5F">
      <w:pPr>
        <w:pStyle w:val="Body"/>
      </w:pPr>
      <w:r w:rsidRPr="00A97AC4">
        <w:t xml:space="preserve">APRAP Plus staff are required to develop client support plans in collaboration with clients to address the issues that are causing or have the potential to cause tenancy breakdown. </w:t>
      </w:r>
    </w:p>
    <w:p w14:paraId="5D1460FA" w14:textId="77777777" w:rsidR="00A97AC4" w:rsidRPr="009E3248" w:rsidRDefault="00A97AC4" w:rsidP="009E3248">
      <w:pPr>
        <w:pStyle w:val="Heading3"/>
      </w:pPr>
      <w:r w:rsidRPr="009E3248">
        <w:t>Duration of support</w:t>
      </w:r>
    </w:p>
    <w:p w14:paraId="71D9341A" w14:textId="77777777" w:rsidR="006428ED" w:rsidRDefault="00A97AC4" w:rsidP="6C808949">
      <w:pPr>
        <w:spacing w:after="20" w:line="240" w:lineRule="auto"/>
        <w:textAlignment w:val="baseline"/>
        <w:rPr>
          <w:rStyle w:val="Heading3Char"/>
        </w:rPr>
      </w:pPr>
      <w:r w:rsidRPr="6C808949">
        <w:rPr>
          <w:rFonts w:cs="Arial"/>
        </w:rPr>
        <w:t>It is expected that APRAP Plus will provide tailored support to clients depending on the needs of the client. The duration of support for households should be between six to twelve weeks. Clients may be eligible to be referred for multiple or repeated support periods throughout their tenancy to achieve program outcomes.</w:t>
      </w:r>
      <w:r>
        <w:br/>
      </w:r>
      <w:bookmarkStart w:id="19" w:name="_Hlk19613665"/>
    </w:p>
    <w:p w14:paraId="34B0CF1E" w14:textId="77777777" w:rsidR="00A97AC4" w:rsidRPr="009E3248" w:rsidRDefault="00A97AC4" w:rsidP="009E3248">
      <w:pPr>
        <w:pStyle w:val="Heading3"/>
      </w:pPr>
      <w:r w:rsidRPr="009E3248">
        <w:t>Private rental assistance brokerage</w:t>
      </w:r>
    </w:p>
    <w:p w14:paraId="140AF0F5" w14:textId="5945D31B" w:rsidR="006428ED" w:rsidRDefault="006428ED" w:rsidP="00CD4E5F">
      <w:pPr>
        <w:pStyle w:val="Body"/>
        <w:rPr>
          <w:b/>
        </w:rPr>
      </w:pPr>
      <w:r w:rsidRPr="0086200B">
        <w:t xml:space="preserve">APRAP brokerage funds are available for APRAP Plus clients. Average brokerage packages are $2,745 in metropolitan areas and $2,000 in regional areas. The total limit of $7,000 per household per annum still applies with </w:t>
      </w:r>
      <w:r w:rsidR="1F002938" w:rsidRPr="418F4ED9">
        <w:t>these</w:t>
      </w:r>
      <w:r w:rsidRPr="0086200B">
        <w:t xml:space="preserve"> packages requiring department local area approval </w:t>
      </w:r>
      <w:r w:rsidRPr="0086200B">
        <w:rPr>
          <w:b/>
        </w:rPr>
        <w:t>(See Addendum 1).</w:t>
      </w:r>
    </w:p>
    <w:bookmarkEnd w:id="19"/>
    <w:p w14:paraId="7E068D88" w14:textId="0CAAB9CC" w:rsidR="00A97AC4" w:rsidRDefault="00A97AC4" w:rsidP="009E3248">
      <w:pPr>
        <w:pStyle w:val="Body"/>
      </w:pPr>
      <w:r>
        <w:t xml:space="preserve">Private rental assistance brokerage is a flexible fund designed to be tailored to the needs of the household and used to the best effect given the local private rental market conditions. </w:t>
      </w:r>
    </w:p>
    <w:p w14:paraId="5C70A03A" w14:textId="3E82A82A" w:rsidR="00A97AC4" w:rsidRDefault="00A97AC4" w:rsidP="009E3248">
      <w:pPr>
        <w:pStyle w:val="Body"/>
      </w:pPr>
      <w:r>
        <w:t xml:space="preserve">It is expected that service provider’s senior management have regular monitoring and oversight over brokerage expenditure. </w:t>
      </w:r>
    </w:p>
    <w:p w14:paraId="67BFBACB" w14:textId="77777777" w:rsidR="00A97AC4" w:rsidRPr="00A97AC4" w:rsidRDefault="00A97AC4" w:rsidP="009E3248">
      <w:pPr>
        <w:pStyle w:val="Body"/>
      </w:pPr>
      <w:r>
        <w:t>Examples of primary suitable use of brokerage funds:</w:t>
      </w:r>
    </w:p>
    <w:p w14:paraId="416DE2E6" w14:textId="77777777" w:rsidR="00A97AC4" w:rsidRPr="00A97AC4" w:rsidRDefault="00A97AC4" w:rsidP="005224B6">
      <w:pPr>
        <w:pStyle w:val="Bullet1"/>
      </w:pPr>
      <w:r>
        <w:t>Rent in advance or in arrears (which must be reviewed to determine affordability).</w:t>
      </w:r>
    </w:p>
    <w:p w14:paraId="2FA673A3" w14:textId="77777777" w:rsidR="00A97AC4" w:rsidRPr="00A97AC4" w:rsidRDefault="00A97AC4" w:rsidP="005224B6">
      <w:pPr>
        <w:pStyle w:val="Bullet1"/>
      </w:pPr>
      <w:r>
        <w:t>Rental subsidies (maximum package of $7,000 per household with greater packages subject to local area approval).</w:t>
      </w:r>
    </w:p>
    <w:p w14:paraId="1FAF0524" w14:textId="77777777" w:rsidR="00A97AC4" w:rsidRPr="00A97AC4" w:rsidRDefault="00A97AC4" w:rsidP="005224B6">
      <w:pPr>
        <w:pStyle w:val="Bullet1"/>
      </w:pPr>
      <w:r>
        <w:t>Guarantees to cover any loss of rent damage costs that are not covered under insurance or the bond.</w:t>
      </w:r>
    </w:p>
    <w:p w14:paraId="1864F026" w14:textId="77777777" w:rsidR="00A97AC4" w:rsidRPr="00A97AC4" w:rsidRDefault="00A97AC4" w:rsidP="005224B6">
      <w:pPr>
        <w:pStyle w:val="Bullet1"/>
      </w:pPr>
      <w:r>
        <w:t xml:space="preserve">Costs associated with accessing private rental such as storage costs, transport rental inspections, or payment of bond (however, the Bond Loan Scheme should be first used whenever possible). </w:t>
      </w:r>
    </w:p>
    <w:p w14:paraId="735DB2E0" w14:textId="39DC693A" w:rsidR="00A97AC4" w:rsidRPr="00A97AC4" w:rsidRDefault="00A97AC4" w:rsidP="005224B6">
      <w:pPr>
        <w:pStyle w:val="Bullet1"/>
      </w:pPr>
      <w:r>
        <w:t>Costs associated with establishing a new tenancy such as furniture, appliances, removalist costs or utility connection.</w:t>
      </w:r>
    </w:p>
    <w:p w14:paraId="70E24D4A" w14:textId="54B2F918" w:rsidR="00A97AC4" w:rsidRPr="005224B6" w:rsidRDefault="00A97AC4" w:rsidP="005224B6">
      <w:pPr>
        <w:pStyle w:val="Bullet1"/>
        <w:rPr>
          <w:rFonts w:ascii="Arial" w:hAnsi="Arial"/>
          <w:sz w:val="20"/>
        </w:rPr>
      </w:pPr>
      <w:r>
        <w:t>Landlord incentives – this may include minor works to the property that will benefit the tenant. For example, modifications for a tenant with a disability to make the property accessible (see below for further guidance on landlord incentives).</w:t>
      </w:r>
    </w:p>
    <w:p w14:paraId="34BC060C" w14:textId="5692C911" w:rsidR="00A97AC4" w:rsidRPr="009E3248" w:rsidRDefault="00A97AC4" w:rsidP="009E3248">
      <w:pPr>
        <w:pStyle w:val="Body"/>
      </w:pPr>
      <w:r w:rsidRPr="009E3248">
        <w:t>Discretionary use (with clear linkages to how the expenditure will assist to sustain private rental. Other funding sources must be exhausted):</w:t>
      </w:r>
    </w:p>
    <w:p w14:paraId="2C40BF12" w14:textId="77777777" w:rsidR="00A97AC4" w:rsidRPr="00A97AC4" w:rsidRDefault="00A97AC4" w:rsidP="005224B6">
      <w:pPr>
        <w:pStyle w:val="Bullet1"/>
      </w:pPr>
      <w:r>
        <w:t>Alleviation of debts or one-off financial assistance in times of crisis.</w:t>
      </w:r>
    </w:p>
    <w:p w14:paraId="4AEEDEAB" w14:textId="466A374D" w:rsidR="00A97AC4" w:rsidRPr="00A97AC4" w:rsidRDefault="00A97AC4" w:rsidP="005224B6">
      <w:pPr>
        <w:pStyle w:val="Bullet1"/>
      </w:pPr>
      <w:r>
        <w:t>Life skills training to learn about budgeting, bill payments, house maintenance, tenant responsibilities and rights.</w:t>
      </w:r>
    </w:p>
    <w:p w14:paraId="48E12AC0" w14:textId="1CE34E45" w:rsidR="00A97AC4" w:rsidRPr="00A97AC4" w:rsidRDefault="00A97AC4" w:rsidP="005224B6">
      <w:pPr>
        <w:pStyle w:val="Bullet1"/>
      </w:pPr>
      <w:r>
        <w:t xml:space="preserve">Training or materials to assist clients to gain or maintain employment (must be identified as part of case plan). </w:t>
      </w:r>
    </w:p>
    <w:p w14:paraId="0131DF6C" w14:textId="6044FC02" w:rsidR="00A97AC4" w:rsidRDefault="00A97AC4" w:rsidP="005224B6">
      <w:pPr>
        <w:pStyle w:val="Bullet1"/>
      </w:pPr>
      <w:r>
        <w:lastRenderedPageBreak/>
        <w:t>Clothing for interviews with real estate agents and landlords.</w:t>
      </w:r>
    </w:p>
    <w:p w14:paraId="6F74C049" w14:textId="77777777" w:rsidR="006428ED" w:rsidRPr="00A97AC4" w:rsidRDefault="006428ED" w:rsidP="005224B6">
      <w:pPr>
        <w:pStyle w:val="Body"/>
      </w:pPr>
      <w:r w:rsidRPr="00A97AC4">
        <w:t xml:space="preserve">Funds are </w:t>
      </w:r>
      <w:r w:rsidRPr="00A97AC4">
        <w:rPr>
          <w:b/>
        </w:rPr>
        <w:t>not</w:t>
      </w:r>
      <w:r w:rsidRPr="00A97AC4">
        <w:t xml:space="preserve"> to be expended for any other purposes other than client related expenditure and assistance. Brokerage cannot be used for:</w:t>
      </w:r>
    </w:p>
    <w:p w14:paraId="6D01B404" w14:textId="77777777" w:rsidR="006428ED" w:rsidRPr="00A97AC4" w:rsidRDefault="006428ED" w:rsidP="001B4187">
      <w:pPr>
        <w:pStyle w:val="Bullet1"/>
      </w:pPr>
      <w:r w:rsidRPr="00A97AC4">
        <w:t>Short term or emergency accommodation of any type.</w:t>
      </w:r>
    </w:p>
    <w:p w14:paraId="7563F543" w14:textId="77777777" w:rsidR="006428ED" w:rsidRPr="00A97AC4" w:rsidRDefault="006428ED" w:rsidP="001B4187">
      <w:pPr>
        <w:pStyle w:val="Bullet1"/>
      </w:pPr>
      <w:r w:rsidRPr="00A97AC4">
        <w:t>Products or services that have not been identified in the client plan.</w:t>
      </w:r>
    </w:p>
    <w:p w14:paraId="16C4F644" w14:textId="77777777" w:rsidR="006428ED" w:rsidRPr="00A97AC4" w:rsidRDefault="006428ED" w:rsidP="001B4187">
      <w:pPr>
        <w:pStyle w:val="Bullet1"/>
      </w:pPr>
      <w:r w:rsidRPr="00A97AC4">
        <w:t>Staff related activities.</w:t>
      </w:r>
    </w:p>
    <w:p w14:paraId="1D2849F9" w14:textId="77777777" w:rsidR="006428ED" w:rsidRPr="00A97AC4" w:rsidRDefault="006428ED" w:rsidP="001B4187">
      <w:pPr>
        <w:pStyle w:val="Bullet1"/>
      </w:pPr>
      <w:r w:rsidRPr="00A97AC4">
        <w:t>Support services that are already available to the household through other funding sources.</w:t>
      </w:r>
    </w:p>
    <w:p w14:paraId="2DAAA2EF" w14:textId="77777777" w:rsidR="006428ED" w:rsidRPr="00A97AC4" w:rsidRDefault="006428ED" w:rsidP="001B4187">
      <w:pPr>
        <w:pStyle w:val="Bullet1"/>
      </w:pPr>
      <w:r w:rsidRPr="00A97AC4">
        <w:t>Anything illegal.</w:t>
      </w:r>
    </w:p>
    <w:p w14:paraId="7B76639C" w14:textId="77777777" w:rsidR="00A97AC4" w:rsidRPr="009E3248" w:rsidRDefault="00A97AC4" w:rsidP="009E3248">
      <w:pPr>
        <w:pStyle w:val="Heading3"/>
      </w:pPr>
      <w:r w:rsidRPr="009E3248">
        <w:t>Landlord Incentives</w:t>
      </w:r>
    </w:p>
    <w:p w14:paraId="07D8411A" w14:textId="77777777" w:rsidR="00A97AC4" w:rsidRPr="00A97AC4" w:rsidRDefault="00A97AC4" w:rsidP="009E3248">
      <w:pPr>
        <w:pStyle w:val="Body"/>
      </w:pPr>
      <w:r>
        <w:t xml:space="preserve">From 2016, landlord incentives were trialled in the homelessness launch sites and have now been incorporated into the broader use of mainstream PRAP and APRAP. Landlord incentives are intended to engage landlords in an effective way to achieve sustainable outcomes for vulnerable households. The incentives are also designed to work towards changing perceptions and practices that see tenancy terminations as the only response to rent arrears, property damage and neighbourhood disputes. </w:t>
      </w:r>
    </w:p>
    <w:p w14:paraId="0E462571" w14:textId="36E42371" w:rsidR="00A97AC4" w:rsidRPr="009E3248" w:rsidRDefault="00A97AC4" w:rsidP="009E3248">
      <w:pPr>
        <w:pStyle w:val="Heading4"/>
      </w:pPr>
      <w:r w:rsidRPr="009E3248">
        <w:t>Example of landlord incentives</w:t>
      </w:r>
    </w:p>
    <w:p w14:paraId="34170CDC" w14:textId="77777777" w:rsidR="00A97AC4" w:rsidRPr="009E3248" w:rsidRDefault="00A97AC4" w:rsidP="009E3248">
      <w:pPr>
        <w:pStyle w:val="Bullet1"/>
      </w:pPr>
      <w:r w:rsidRPr="009E3248">
        <w:t>Payment of landlord insurance to provide financial security against property damage or theft.</w:t>
      </w:r>
    </w:p>
    <w:p w14:paraId="73551F39" w14:textId="77777777" w:rsidR="00A97AC4" w:rsidRPr="009E3248" w:rsidRDefault="00A97AC4" w:rsidP="009E3248">
      <w:pPr>
        <w:pStyle w:val="Bullet1"/>
      </w:pPr>
      <w:r w:rsidRPr="009E3248">
        <w:t>Ongoing support to the landlord and the tenant to manage and mitigate any potential conflicts, including identifying if a household is at risk of not sustaining their tenancy and intervening before their issues reach crisis point.</w:t>
      </w:r>
    </w:p>
    <w:p w14:paraId="239BBC9A" w14:textId="7C51DDA9" w:rsidR="00A97AC4" w:rsidRPr="009E3248" w:rsidRDefault="00A97AC4" w:rsidP="009E3248">
      <w:pPr>
        <w:pStyle w:val="Bullet1"/>
      </w:pPr>
      <w:r w:rsidRPr="009E3248">
        <w:t>Minor property works that improve the amenity of the property to benefit the tenant.</w:t>
      </w:r>
    </w:p>
    <w:p w14:paraId="289F3331" w14:textId="77777777" w:rsidR="00A97AC4" w:rsidRPr="009E3248" w:rsidRDefault="00A97AC4" w:rsidP="009E3248">
      <w:pPr>
        <w:pStyle w:val="Heading4"/>
      </w:pPr>
      <w:r w:rsidRPr="009E3248">
        <w:t>When considering a property for the landlord incentive scheme, consideration should be given to:</w:t>
      </w:r>
    </w:p>
    <w:p w14:paraId="7E7BB112" w14:textId="77777777" w:rsidR="00A97AC4" w:rsidRPr="00A97AC4" w:rsidRDefault="00A97AC4" w:rsidP="005224B6">
      <w:pPr>
        <w:pStyle w:val="Bullet1"/>
      </w:pPr>
      <w:r>
        <w:t>Rental affordability for the target client group.</w:t>
      </w:r>
    </w:p>
    <w:p w14:paraId="6A44EA4F" w14:textId="77777777" w:rsidR="00A97AC4" w:rsidRPr="00A97AC4" w:rsidRDefault="00A97AC4" w:rsidP="005224B6">
      <w:pPr>
        <w:pStyle w:val="Bullet1"/>
      </w:pPr>
      <w:r>
        <w:t xml:space="preserve">Providing access to sustainable housing, for example a private rental lease for a minimum of 12 months, not short-term options such as rooming houses. </w:t>
      </w:r>
    </w:p>
    <w:p w14:paraId="70DDD2C1" w14:textId="77777777" w:rsidR="00A97AC4" w:rsidRPr="00A97AC4" w:rsidRDefault="00A97AC4" w:rsidP="005224B6">
      <w:pPr>
        <w:pStyle w:val="Bullet1"/>
      </w:pPr>
      <w:r>
        <w:t>The size and location of the property matches the clients’ requirements.</w:t>
      </w:r>
    </w:p>
    <w:p w14:paraId="08EB3233" w14:textId="77777777" w:rsidR="00A97AC4" w:rsidRPr="00A97AC4" w:rsidRDefault="00A97AC4" w:rsidP="005224B6">
      <w:pPr>
        <w:pStyle w:val="Bullet1"/>
      </w:pPr>
      <w:r>
        <w:t xml:space="preserve">The landlord meets all requirements of the </w:t>
      </w:r>
      <w:r w:rsidRPr="512ED0A6">
        <w:rPr>
          <w:i/>
        </w:rPr>
        <w:t>Residential Tenancies Act 1997</w:t>
      </w:r>
      <w:r>
        <w:t>, including safety standards, other ‘good repair’ requirements and cleanliness in relation to the physical condition of the property, gas, electrical, furnishing, and fire safety standards under building laws.</w:t>
      </w:r>
    </w:p>
    <w:p w14:paraId="67EA3F7C" w14:textId="77777777" w:rsidR="00A97AC4" w:rsidRPr="009E3248" w:rsidRDefault="00A97AC4" w:rsidP="009E3248">
      <w:pPr>
        <w:pStyle w:val="Heading4"/>
      </w:pPr>
      <w:r w:rsidRPr="009E3248">
        <w:t>A landlord will receive an incentive with the understanding that they will:</w:t>
      </w:r>
    </w:p>
    <w:p w14:paraId="20925808" w14:textId="77777777" w:rsidR="00A97AC4" w:rsidRPr="00A97AC4" w:rsidRDefault="00A97AC4" w:rsidP="005224B6">
      <w:pPr>
        <w:pStyle w:val="Bullet1"/>
      </w:pPr>
      <w:r>
        <w:t>Lease their home to a household for a minimum of 12 months and if appropriate, offer the household the option to carry over the lease after this period.</w:t>
      </w:r>
    </w:p>
    <w:p w14:paraId="2947F889" w14:textId="77777777" w:rsidR="00A97AC4" w:rsidRPr="00A97AC4" w:rsidRDefault="00A97AC4" w:rsidP="005224B6">
      <w:pPr>
        <w:pStyle w:val="Bullet1"/>
      </w:pPr>
      <w:r>
        <w:t>Meet the milestones outlined by the service provider/tenancy broker.</w:t>
      </w:r>
    </w:p>
    <w:p w14:paraId="49165A23" w14:textId="77777777" w:rsidR="00A97AC4" w:rsidRPr="00A97AC4" w:rsidRDefault="00A97AC4" w:rsidP="005224B6">
      <w:pPr>
        <w:pStyle w:val="Bullet1"/>
      </w:pPr>
      <w:r>
        <w:t xml:space="preserve">Maintain the property in good repair to comply with the </w:t>
      </w:r>
      <w:r w:rsidRPr="512ED0A6">
        <w:rPr>
          <w:i/>
        </w:rPr>
        <w:t>Residential Tenancies Act 1997</w:t>
      </w:r>
      <w:r>
        <w:t>.</w:t>
      </w:r>
    </w:p>
    <w:p w14:paraId="798CDDA8" w14:textId="77777777" w:rsidR="00A97AC4" w:rsidRPr="00A97AC4" w:rsidRDefault="00A97AC4" w:rsidP="005224B6">
      <w:pPr>
        <w:pStyle w:val="Bullet1"/>
      </w:pPr>
      <w:r>
        <w:t>Provide a reference for the tenants at the completion of the successful tenancy.</w:t>
      </w:r>
    </w:p>
    <w:p w14:paraId="534C8E8D" w14:textId="77777777" w:rsidR="00784D63" w:rsidRPr="00F0126D" w:rsidRDefault="00784D63" w:rsidP="005224B6">
      <w:pPr>
        <w:pStyle w:val="Bullet1"/>
        <w:rPr>
          <w:szCs w:val="21"/>
        </w:rPr>
      </w:pPr>
      <w:r w:rsidRPr="00F0126D">
        <w:rPr>
          <w:szCs w:val="21"/>
        </w:rPr>
        <w:t>A landlord who fails to meet their obligations should not be considered for any further incentive packages.</w:t>
      </w:r>
    </w:p>
    <w:p w14:paraId="1689D7A1" w14:textId="77777777" w:rsidR="00784D63" w:rsidRPr="009E3248" w:rsidRDefault="00784D63" w:rsidP="009E3248">
      <w:pPr>
        <w:pStyle w:val="Heading1"/>
      </w:pPr>
      <w:bookmarkStart w:id="20" w:name="_Toc85534894"/>
      <w:bookmarkStart w:id="21" w:name="_Toc141442148"/>
      <w:r w:rsidRPr="009E3248">
        <w:lastRenderedPageBreak/>
        <w:t>Targets and reporting</w:t>
      </w:r>
      <w:bookmarkEnd w:id="20"/>
      <w:bookmarkEnd w:id="21"/>
    </w:p>
    <w:p w14:paraId="4121FB67" w14:textId="77777777" w:rsidR="00784D63" w:rsidRPr="00784D63" w:rsidRDefault="00784D63" w:rsidP="00CD4E5F">
      <w:pPr>
        <w:pStyle w:val="Body"/>
      </w:pPr>
      <w:r w:rsidRPr="00784D63">
        <w:t>Targets are included in the service provider’s Funding and Service Agreement with the department. Service providers are required to report against targets for private rental assistance brokerage and APRAP Plus via Service Delivery Tracking. APRAP is funded through activity code 94675 – Private Rental Assistance. Service providers should contact their local area if further advice is required.</w:t>
      </w:r>
    </w:p>
    <w:p w14:paraId="4FB675EF" w14:textId="616D5E56" w:rsidR="00784D63" w:rsidRPr="00784D63" w:rsidRDefault="00784D63" w:rsidP="00CD4E5F">
      <w:pPr>
        <w:pStyle w:val="Body"/>
      </w:pPr>
      <w:r w:rsidRPr="00784D63">
        <w:t>Service providers should ensure that the purpose of each payment is accurately recorded within existing data collection. The department will use existing monthly Specialist Homelessness Data Collection (HDC) reporting processes to collect and analyse data on the use of brokerage funds including:</w:t>
      </w:r>
    </w:p>
    <w:p w14:paraId="25D731A9" w14:textId="77777777" w:rsidR="00784D63" w:rsidRPr="00784D63" w:rsidRDefault="00784D63" w:rsidP="001B4187">
      <w:pPr>
        <w:pStyle w:val="Bullet1"/>
      </w:pPr>
      <w:r w:rsidRPr="00784D63">
        <w:t>Time from assessment to being housed.</w:t>
      </w:r>
    </w:p>
    <w:p w14:paraId="4B98E015" w14:textId="77777777" w:rsidR="00784D63" w:rsidRPr="00784D63" w:rsidRDefault="00784D63" w:rsidP="001B4187">
      <w:pPr>
        <w:pStyle w:val="Bullet1"/>
      </w:pPr>
      <w:r w:rsidRPr="00784D63">
        <w:t>Expenditure (total and per household).</w:t>
      </w:r>
    </w:p>
    <w:p w14:paraId="42D96E9B" w14:textId="77777777" w:rsidR="00784D63" w:rsidRPr="00784D63" w:rsidRDefault="00784D63" w:rsidP="001B4187">
      <w:pPr>
        <w:pStyle w:val="Bullet1"/>
      </w:pPr>
      <w:r w:rsidRPr="00784D63">
        <w:t>Number of people in household assisted.</w:t>
      </w:r>
    </w:p>
    <w:p w14:paraId="2A74F625" w14:textId="77777777" w:rsidR="00784D63" w:rsidRPr="00784D63" w:rsidRDefault="00784D63" w:rsidP="001B4187">
      <w:pPr>
        <w:pStyle w:val="Bullet1"/>
      </w:pPr>
      <w:r w:rsidRPr="00784D63">
        <w:t>Number of people housed and the type of rental housing (</w:t>
      </w:r>
      <w:proofErr w:type="gramStart"/>
      <w:r w:rsidRPr="00784D63">
        <w:t>i.e.</w:t>
      </w:r>
      <w:proofErr w:type="gramEnd"/>
      <w:r w:rsidRPr="00784D63">
        <w:t xml:space="preserve"> independent private rental, shared rental or marginal tenure such as rooming house or caravan park). </w:t>
      </w:r>
    </w:p>
    <w:p w14:paraId="6413A801" w14:textId="77777777" w:rsidR="00784D63" w:rsidRPr="00784D63" w:rsidRDefault="00784D63" w:rsidP="005224B6">
      <w:pPr>
        <w:pStyle w:val="Bullet1"/>
      </w:pPr>
      <w:r w:rsidRPr="00784D63">
        <w:t>Number of support periods.</w:t>
      </w:r>
    </w:p>
    <w:p w14:paraId="612121E7" w14:textId="77777777" w:rsidR="00784D63" w:rsidRPr="00784D63" w:rsidRDefault="00784D63" w:rsidP="005224B6">
      <w:pPr>
        <w:pStyle w:val="Bullet1"/>
      </w:pPr>
      <w:r w:rsidRPr="00784D63">
        <w:t>Number of rental applications made by each client.</w:t>
      </w:r>
    </w:p>
    <w:p w14:paraId="4F1E7834" w14:textId="77777777" w:rsidR="00784D63" w:rsidRPr="00784D63" w:rsidRDefault="00784D63" w:rsidP="005224B6">
      <w:pPr>
        <w:pStyle w:val="Bullet1"/>
      </w:pPr>
      <w:r w:rsidRPr="00784D63">
        <w:t>Type of services required.</w:t>
      </w:r>
    </w:p>
    <w:p w14:paraId="5EF64233" w14:textId="77777777" w:rsidR="00784D63" w:rsidRPr="00784D63" w:rsidRDefault="00784D63" w:rsidP="005224B6">
      <w:pPr>
        <w:pStyle w:val="Bullet1"/>
      </w:pPr>
      <w:r w:rsidRPr="00784D63">
        <w:t>Other services received by client.</w:t>
      </w:r>
    </w:p>
    <w:p w14:paraId="28567A2B" w14:textId="77777777" w:rsidR="00784D63" w:rsidRPr="00784D63" w:rsidRDefault="00784D63" w:rsidP="005224B6">
      <w:pPr>
        <w:pStyle w:val="Bullet1"/>
      </w:pPr>
      <w:r w:rsidRPr="00784D63">
        <w:t>Client income.</w:t>
      </w:r>
    </w:p>
    <w:p w14:paraId="18997CB8" w14:textId="77777777" w:rsidR="00784D63" w:rsidRPr="00784D63" w:rsidRDefault="00784D63" w:rsidP="005224B6">
      <w:pPr>
        <w:pStyle w:val="Bullet1"/>
      </w:pPr>
      <w:r w:rsidRPr="00784D63">
        <w:t>Rent and duration of lease.</w:t>
      </w:r>
    </w:p>
    <w:p w14:paraId="1A888A4E" w14:textId="77777777" w:rsidR="00784D63" w:rsidRPr="009E3248" w:rsidRDefault="00784D63" w:rsidP="009E3248">
      <w:pPr>
        <w:pStyle w:val="Heading1"/>
      </w:pPr>
      <w:bookmarkStart w:id="22" w:name="_Toc85534895"/>
      <w:bookmarkStart w:id="23" w:name="_Toc141442149"/>
      <w:bookmarkStart w:id="24" w:name="_Hlk53006868"/>
      <w:r w:rsidRPr="009E3248">
        <w:t>Acquittal</w:t>
      </w:r>
      <w:bookmarkEnd w:id="22"/>
      <w:bookmarkEnd w:id="23"/>
    </w:p>
    <w:p w14:paraId="032E964D" w14:textId="3D4050B1" w:rsidR="00784D63" w:rsidRPr="00784D63" w:rsidRDefault="00784D63" w:rsidP="00CD4E5F">
      <w:pPr>
        <w:pStyle w:val="Body"/>
      </w:pPr>
      <w:r w:rsidRPr="00784D63">
        <w:t xml:space="preserve">Service providers are required to acquit brokerage funding to the department every six months. The acquittal process will ensure funds are used in accordance with the outcomes and principles of the program. The acquittal process will involve service providers submitting payment lists through the department’s Secure Data Exchange portal, as well as providing a financial acquittal of funds expended. </w:t>
      </w:r>
    </w:p>
    <w:p w14:paraId="2D48B1C9" w14:textId="77777777" w:rsidR="00784D63" w:rsidRPr="00784D63" w:rsidRDefault="00784D63" w:rsidP="00CD4E5F">
      <w:pPr>
        <w:pStyle w:val="Body"/>
      </w:pPr>
      <w:r w:rsidRPr="00784D63">
        <w:t xml:space="preserve">Service providers are expected to fully expend allocated brokerage funding over the relevant funding period. Service providers must report any unspent APRAP brokerage funds within one month after the end of the funding period. </w:t>
      </w:r>
    </w:p>
    <w:p w14:paraId="43666601" w14:textId="79D6C1C1" w:rsidR="512ED0A6" w:rsidRDefault="00784D63" w:rsidP="00CD4E5F">
      <w:pPr>
        <w:pStyle w:val="Body"/>
      </w:pPr>
      <w:r w:rsidRPr="00784D63">
        <w:t>The treatment of any unspent funds will be negotiated with the department, depending on the amount and reasons. The department reserves the right to recoup the unspent funds. The department may undertake a forensic audit of the brokerage expenditure to ensure funds have been acquitted as reported and in line with the guidelines.</w:t>
      </w:r>
      <w:bookmarkEnd w:id="24"/>
    </w:p>
    <w:p w14:paraId="43CCC1A1" w14:textId="22643824" w:rsidR="004917FF" w:rsidRPr="009E3248" w:rsidRDefault="004917FF" w:rsidP="009E3248">
      <w:pPr>
        <w:pStyle w:val="Heading1"/>
      </w:pPr>
      <w:bookmarkStart w:id="25" w:name="_Toc141442150"/>
      <w:r w:rsidRPr="009E3248">
        <w:t>Legal Implications</w:t>
      </w:r>
      <w:bookmarkEnd w:id="25"/>
    </w:p>
    <w:p w14:paraId="212D0892" w14:textId="77777777" w:rsidR="004917FF" w:rsidRPr="009E3248" w:rsidRDefault="004917FF" w:rsidP="009E3248">
      <w:pPr>
        <w:pStyle w:val="Heading2"/>
      </w:pPr>
      <w:bookmarkStart w:id="26" w:name="_Toc141442151"/>
      <w:r w:rsidRPr="009E3248">
        <w:t>Residential Tenancies Act 1997</w:t>
      </w:r>
      <w:bookmarkEnd w:id="26"/>
    </w:p>
    <w:p w14:paraId="57AE7CAA" w14:textId="77777777" w:rsidR="004917FF" w:rsidRPr="00784D63" w:rsidRDefault="004917FF" w:rsidP="009E3248">
      <w:pPr>
        <w:pStyle w:val="Body"/>
      </w:pPr>
      <w:r>
        <w:t xml:space="preserve">To ensure compliance with the </w:t>
      </w:r>
      <w:r w:rsidRPr="6C808949">
        <w:rPr>
          <w:i/>
        </w:rPr>
        <w:t>Residential Tenancies Act 1997</w:t>
      </w:r>
      <w:r>
        <w:t xml:space="preserve">, the private rental broker or funded agency will be responsible for providing any landlord incentive </w:t>
      </w:r>
      <w:r>
        <w:lastRenderedPageBreak/>
        <w:t xml:space="preserve">payment directly to a landlord or real estate agent. The tenant </w:t>
      </w:r>
      <w:r w:rsidRPr="6C808949">
        <w:rPr>
          <w:b/>
        </w:rPr>
        <w:t>is not</w:t>
      </w:r>
      <w:r>
        <w:t xml:space="preserve"> responsible in any way for providing such incentives to a landlord.</w:t>
      </w:r>
    </w:p>
    <w:p w14:paraId="5BF1655D" w14:textId="77777777" w:rsidR="004917FF" w:rsidRPr="009E3248" w:rsidRDefault="004917FF" w:rsidP="009E3248">
      <w:pPr>
        <w:pStyle w:val="Heading2"/>
      </w:pPr>
      <w:bookmarkStart w:id="27" w:name="_Toc85534893"/>
      <w:bookmarkStart w:id="28" w:name="_Toc141442152"/>
      <w:r w:rsidRPr="009E3248">
        <w:t>Private rental assistance brokerage financial limits</w:t>
      </w:r>
      <w:bookmarkEnd w:id="27"/>
      <w:bookmarkEnd w:id="28"/>
      <w:r w:rsidRPr="009E3248">
        <w:t xml:space="preserve"> </w:t>
      </w:r>
    </w:p>
    <w:p w14:paraId="56CA984B" w14:textId="77777777" w:rsidR="004917FF" w:rsidRPr="00784D63" w:rsidRDefault="004917FF" w:rsidP="009E3248">
      <w:pPr>
        <w:pStyle w:val="Body"/>
      </w:pPr>
      <w:r w:rsidRPr="00784D63">
        <w:t xml:space="preserve">One application per year per household will be considered, however multiple applications will be accepted under exceptional circumstances. Private rental broker targets allow for an average brokerage package of $2,650. Service providers may provide packages up to $7,000 per annum per household, with larger packages subject to approval by the department. Note: this limit includes cumulative payments throughout the year. Any applications to the department for packages over $7,000 are to be made by representatives from the service provider with appropriate delegation. </w:t>
      </w:r>
    </w:p>
    <w:p w14:paraId="35416A96" w14:textId="77777777" w:rsidR="004917FF" w:rsidRPr="00784D63" w:rsidRDefault="004917FF" w:rsidP="009E3248">
      <w:pPr>
        <w:pStyle w:val="Body"/>
      </w:pPr>
      <w:r w:rsidRPr="00784D63">
        <w:t xml:space="preserve">See </w:t>
      </w:r>
      <w:r w:rsidRPr="00784D63">
        <w:rPr>
          <w:b/>
          <w:bCs/>
        </w:rPr>
        <w:t>Addendum 1</w:t>
      </w:r>
      <w:r w:rsidRPr="00784D63">
        <w:t>: application to the department for packages over $7,000. Service providers must keep a register of approved packages over $7,000.</w:t>
      </w:r>
    </w:p>
    <w:p w14:paraId="5744D943" w14:textId="2D37A5D3" w:rsidR="699D220F" w:rsidRDefault="699D220F" w:rsidP="009E3248">
      <w:pPr>
        <w:pStyle w:val="Body"/>
      </w:pPr>
      <w:r>
        <w:br w:type="page"/>
      </w:r>
    </w:p>
    <w:p w14:paraId="6E73BD0D" w14:textId="77777777" w:rsidR="002D7118" w:rsidRPr="009E3248" w:rsidRDefault="00C73DA3" w:rsidP="009E3248">
      <w:pPr>
        <w:pStyle w:val="Heading1"/>
      </w:pPr>
      <w:bookmarkStart w:id="29" w:name="_Toc141442153"/>
      <w:r w:rsidRPr="009E3248">
        <w:lastRenderedPageBreak/>
        <w:t>Addendum 1:</w:t>
      </w:r>
      <w:bookmarkStart w:id="30" w:name="_Toc256778633"/>
      <w:bookmarkEnd w:id="29"/>
      <w:r w:rsidRPr="009E3248">
        <w:t xml:space="preserve"> </w:t>
      </w:r>
    </w:p>
    <w:p w14:paraId="0C76908C" w14:textId="6E091B93" w:rsidR="00C73DA3" w:rsidRDefault="00C73DA3" w:rsidP="009E3248">
      <w:pPr>
        <w:pStyle w:val="Heading5"/>
        <w:rPr>
          <w:sz w:val="20"/>
          <w:szCs w:val="20"/>
        </w:rPr>
      </w:pPr>
      <w:r w:rsidRPr="418F4ED9">
        <w:t>Application to Homes Victoria for APRAP brokerage package over $7,000</w:t>
      </w:r>
    </w:p>
    <w:p w14:paraId="3B940EF8" w14:textId="77777777" w:rsidR="00C73DA3" w:rsidRPr="009E3248" w:rsidRDefault="00C73DA3" w:rsidP="009E3248">
      <w:pPr>
        <w:pStyle w:val="Body"/>
      </w:pPr>
      <w:r w:rsidRPr="009E3248">
        <w:t>Applications to be made from representative of service provider with delegation to department local area Agency Performance and System Support Manager.</w:t>
      </w:r>
    </w:p>
    <w:tbl>
      <w:tblPr>
        <w:tblStyle w:val="TableGrid"/>
        <w:tblW w:w="9318" w:type="dxa"/>
        <w:tblLook w:val="04A0" w:firstRow="1" w:lastRow="0" w:firstColumn="1" w:lastColumn="0" w:noHBand="0" w:noVBand="1"/>
      </w:tblPr>
      <w:tblGrid>
        <w:gridCol w:w="2730"/>
        <w:gridCol w:w="1678"/>
        <w:gridCol w:w="252"/>
        <w:gridCol w:w="2490"/>
        <w:gridCol w:w="2168"/>
      </w:tblGrid>
      <w:tr w:rsidR="00C73DA3" w14:paraId="314D5798" w14:textId="77777777" w:rsidTr="418F4ED9">
        <w:trPr>
          <w:cnfStyle w:val="100000000000" w:firstRow="1" w:lastRow="0" w:firstColumn="0" w:lastColumn="0" w:oddVBand="0" w:evenVBand="0" w:oddHBand="0" w:evenHBand="0" w:firstRowFirstColumn="0" w:firstRowLastColumn="0" w:lastRowFirstColumn="0" w:lastRowLastColumn="0"/>
          <w:trHeight w:val="424"/>
        </w:trPr>
        <w:tc>
          <w:tcPr>
            <w:tcW w:w="2730" w:type="dxa"/>
            <w:tcBorders>
              <w:top w:val="single" w:sz="4" w:space="0" w:color="auto"/>
              <w:left w:val="single" w:sz="4" w:space="0" w:color="auto"/>
              <w:bottom w:val="single" w:sz="4" w:space="0" w:color="auto"/>
              <w:right w:val="single" w:sz="4" w:space="0" w:color="auto"/>
            </w:tcBorders>
            <w:hideMark/>
          </w:tcPr>
          <w:p w14:paraId="3A0F1E34" w14:textId="77777777" w:rsidR="00C73DA3" w:rsidRPr="003567F4" w:rsidRDefault="00C73DA3" w:rsidP="009E3248">
            <w:pPr>
              <w:pStyle w:val="Tablecolhead"/>
              <w:spacing w:before="0"/>
            </w:pPr>
            <w:r w:rsidRPr="418F4ED9">
              <w:t>Organisation</w:t>
            </w:r>
          </w:p>
        </w:tc>
        <w:tc>
          <w:tcPr>
            <w:tcW w:w="1678" w:type="dxa"/>
            <w:tcBorders>
              <w:top w:val="single" w:sz="4" w:space="0" w:color="auto"/>
              <w:left w:val="single" w:sz="4" w:space="0" w:color="auto"/>
              <w:bottom w:val="single" w:sz="4" w:space="0" w:color="auto"/>
              <w:right w:val="single" w:sz="4" w:space="0" w:color="auto"/>
            </w:tcBorders>
          </w:tcPr>
          <w:p w14:paraId="7106901F" w14:textId="77777777" w:rsidR="00C73DA3" w:rsidRPr="003567F4" w:rsidRDefault="00C73DA3" w:rsidP="009E3248">
            <w:pPr>
              <w:pStyle w:val="Tablecolhead"/>
              <w:spacing w:before="0"/>
            </w:pPr>
          </w:p>
        </w:tc>
        <w:tc>
          <w:tcPr>
            <w:tcW w:w="2742" w:type="dxa"/>
            <w:gridSpan w:val="2"/>
            <w:tcBorders>
              <w:top w:val="single" w:sz="4" w:space="0" w:color="auto"/>
              <w:left w:val="single" w:sz="4" w:space="0" w:color="auto"/>
              <w:bottom w:val="single" w:sz="4" w:space="0" w:color="auto"/>
              <w:right w:val="single" w:sz="4" w:space="0" w:color="auto"/>
            </w:tcBorders>
            <w:hideMark/>
          </w:tcPr>
          <w:p w14:paraId="23D3F04C" w14:textId="77777777" w:rsidR="00C73DA3" w:rsidRPr="003567F4" w:rsidRDefault="00C73DA3" w:rsidP="009E3248">
            <w:pPr>
              <w:pStyle w:val="Tablecolhead"/>
              <w:spacing w:before="0"/>
            </w:pPr>
            <w:r w:rsidRPr="418F4ED9">
              <w:t>Organisation representative</w:t>
            </w:r>
          </w:p>
        </w:tc>
        <w:tc>
          <w:tcPr>
            <w:tcW w:w="2168" w:type="dxa"/>
            <w:tcBorders>
              <w:top w:val="single" w:sz="4" w:space="0" w:color="auto"/>
              <w:left w:val="single" w:sz="4" w:space="0" w:color="auto"/>
              <w:bottom w:val="single" w:sz="4" w:space="0" w:color="auto"/>
              <w:right w:val="single" w:sz="4" w:space="0" w:color="auto"/>
            </w:tcBorders>
          </w:tcPr>
          <w:p w14:paraId="14B650FB" w14:textId="77777777" w:rsidR="00C73DA3" w:rsidRPr="003567F4" w:rsidRDefault="00C73DA3" w:rsidP="009E3248">
            <w:pPr>
              <w:pStyle w:val="Tablecolhead"/>
              <w:spacing w:before="0"/>
            </w:pPr>
          </w:p>
        </w:tc>
      </w:tr>
      <w:tr w:rsidR="00C73DA3" w14:paraId="3885CDA7" w14:textId="77777777" w:rsidTr="418F4ED9">
        <w:trPr>
          <w:trHeight w:val="440"/>
        </w:trPr>
        <w:tc>
          <w:tcPr>
            <w:tcW w:w="2730" w:type="dxa"/>
            <w:tcBorders>
              <w:top w:val="single" w:sz="4" w:space="0" w:color="auto"/>
              <w:left w:val="single" w:sz="4" w:space="0" w:color="auto"/>
              <w:bottom w:val="single" w:sz="4" w:space="0" w:color="auto"/>
              <w:right w:val="single" w:sz="4" w:space="0" w:color="auto"/>
            </w:tcBorders>
            <w:hideMark/>
          </w:tcPr>
          <w:p w14:paraId="7F2634B6" w14:textId="77777777" w:rsidR="00C73DA3" w:rsidRPr="003567F4" w:rsidRDefault="00C73DA3" w:rsidP="009E3248">
            <w:pPr>
              <w:pStyle w:val="Tabletext"/>
              <w:spacing w:before="0"/>
            </w:pPr>
            <w:r w:rsidRPr="418F4ED9">
              <w:t>Date of request</w:t>
            </w:r>
          </w:p>
        </w:tc>
        <w:tc>
          <w:tcPr>
            <w:tcW w:w="1678" w:type="dxa"/>
            <w:tcBorders>
              <w:top w:val="single" w:sz="4" w:space="0" w:color="auto"/>
              <w:left w:val="single" w:sz="4" w:space="0" w:color="auto"/>
              <w:bottom w:val="single" w:sz="4" w:space="0" w:color="auto"/>
              <w:right w:val="single" w:sz="4" w:space="0" w:color="auto"/>
            </w:tcBorders>
          </w:tcPr>
          <w:p w14:paraId="77C129CB" w14:textId="77777777" w:rsidR="00C73DA3" w:rsidRPr="003567F4" w:rsidRDefault="00C73DA3" w:rsidP="009E3248">
            <w:pPr>
              <w:pStyle w:val="Tabletext"/>
              <w:spacing w:before="0"/>
            </w:pPr>
          </w:p>
        </w:tc>
        <w:tc>
          <w:tcPr>
            <w:tcW w:w="2742" w:type="dxa"/>
            <w:gridSpan w:val="2"/>
            <w:tcBorders>
              <w:top w:val="single" w:sz="4" w:space="0" w:color="auto"/>
              <w:left w:val="single" w:sz="4" w:space="0" w:color="auto"/>
              <w:bottom w:val="single" w:sz="4" w:space="0" w:color="auto"/>
              <w:right w:val="single" w:sz="4" w:space="0" w:color="auto"/>
            </w:tcBorders>
            <w:hideMark/>
          </w:tcPr>
          <w:p w14:paraId="486D3E5E" w14:textId="77777777" w:rsidR="00C73DA3" w:rsidRPr="003567F4" w:rsidRDefault="00C73DA3" w:rsidP="009E3248">
            <w:pPr>
              <w:pStyle w:val="Tabletext"/>
              <w:spacing w:before="0"/>
            </w:pPr>
            <w:r w:rsidRPr="418F4ED9">
              <w:t>Response required by</w:t>
            </w:r>
          </w:p>
        </w:tc>
        <w:tc>
          <w:tcPr>
            <w:tcW w:w="2168" w:type="dxa"/>
            <w:tcBorders>
              <w:top w:val="single" w:sz="4" w:space="0" w:color="auto"/>
              <w:left w:val="single" w:sz="4" w:space="0" w:color="auto"/>
              <w:bottom w:val="single" w:sz="4" w:space="0" w:color="auto"/>
              <w:right w:val="single" w:sz="4" w:space="0" w:color="auto"/>
            </w:tcBorders>
          </w:tcPr>
          <w:p w14:paraId="21FE6C19" w14:textId="77777777" w:rsidR="00C73DA3" w:rsidRPr="003567F4" w:rsidRDefault="00C73DA3" w:rsidP="009E3248">
            <w:pPr>
              <w:pStyle w:val="Tabletext"/>
              <w:spacing w:before="0"/>
            </w:pPr>
          </w:p>
        </w:tc>
      </w:tr>
      <w:tr w:rsidR="00C73DA3" w14:paraId="316FF0BC" w14:textId="77777777" w:rsidTr="418F4ED9">
        <w:trPr>
          <w:trHeight w:val="365"/>
        </w:trPr>
        <w:tc>
          <w:tcPr>
            <w:tcW w:w="2730" w:type="dxa"/>
            <w:tcBorders>
              <w:top w:val="single" w:sz="4" w:space="0" w:color="auto"/>
              <w:left w:val="single" w:sz="4" w:space="0" w:color="auto"/>
              <w:bottom w:val="single" w:sz="4" w:space="0" w:color="auto"/>
              <w:right w:val="single" w:sz="4" w:space="0" w:color="auto"/>
            </w:tcBorders>
            <w:hideMark/>
          </w:tcPr>
          <w:p w14:paraId="002F5FF4" w14:textId="77777777" w:rsidR="00C73DA3" w:rsidRPr="003567F4" w:rsidRDefault="00C73DA3" w:rsidP="009E3248">
            <w:pPr>
              <w:pStyle w:val="Tabletext"/>
              <w:spacing w:before="0"/>
            </w:pPr>
            <w:r w:rsidRPr="418F4ED9">
              <w:t>Client name</w:t>
            </w:r>
          </w:p>
        </w:tc>
        <w:tc>
          <w:tcPr>
            <w:tcW w:w="1678" w:type="dxa"/>
            <w:tcBorders>
              <w:top w:val="single" w:sz="4" w:space="0" w:color="auto"/>
              <w:left w:val="single" w:sz="4" w:space="0" w:color="auto"/>
              <w:bottom w:val="single" w:sz="4" w:space="0" w:color="auto"/>
              <w:right w:val="single" w:sz="4" w:space="0" w:color="auto"/>
            </w:tcBorders>
          </w:tcPr>
          <w:p w14:paraId="3480D6C7" w14:textId="77777777" w:rsidR="00C73DA3" w:rsidRPr="003567F4" w:rsidRDefault="00C73DA3" w:rsidP="009E3248">
            <w:pPr>
              <w:pStyle w:val="Tabletext"/>
              <w:spacing w:before="0"/>
            </w:pPr>
          </w:p>
        </w:tc>
        <w:tc>
          <w:tcPr>
            <w:tcW w:w="2742" w:type="dxa"/>
            <w:gridSpan w:val="2"/>
            <w:tcBorders>
              <w:top w:val="single" w:sz="4" w:space="0" w:color="auto"/>
              <w:left w:val="single" w:sz="4" w:space="0" w:color="auto"/>
              <w:bottom w:val="single" w:sz="4" w:space="0" w:color="auto"/>
              <w:right w:val="single" w:sz="4" w:space="0" w:color="auto"/>
            </w:tcBorders>
            <w:hideMark/>
          </w:tcPr>
          <w:p w14:paraId="4DBC608B" w14:textId="77777777" w:rsidR="00C73DA3" w:rsidRPr="003567F4" w:rsidRDefault="00C73DA3" w:rsidP="009E3248">
            <w:pPr>
              <w:pStyle w:val="Tabletext"/>
              <w:spacing w:before="0"/>
            </w:pPr>
            <w:r w:rsidRPr="418F4ED9">
              <w:t>Age</w:t>
            </w:r>
          </w:p>
        </w:tc>
        <w:tc>
          <w:tcPr>
            <w:tcW w:w="2168" w:type="dxa"/>
            <w:tcBorders>
              <w:top w:val="single" w:sz="4" w:space="0" w:color="auto"/>
              <w:left w:val="single" w:sz="4" w:space="0" w:color="auto"/>
              <w:bottom w:val="single" w:sz="4" w:space="0" w:color="auto"/>
              <w:right w:val="single" w:sz="4" w:space="0" w:color="auto"/>
            </w:tcBorders>
          </w:tcPr>
          <w:p w14:paraId="4ED08AF6" w14:textId="77777777" w:rsidR="00C73DA3" w:rsidRPr="003567F4" w:rsidRDefault="00C73DA3" w:rsidP="009E3248">
            <w:pPr>
              <w:pStyle w:val="Tabletext"/>
              <w:spacing w:before="0"/>
            </w:pPr>
          </w:p>
        </w:tc>
      </w:tr>
      <w:tr w:rsidR="00C73DA3" w14:paraId="29DF07B2" w14:textId="77777777" w:rsidTr="418F4ED9">
        <w:trPr>
          <w:trHeight w:val="623"/>
        </w:trPr>
        <w:tc>
          <w:tcPr>
            <w:tcW w:w="2730" w:type="dxa"/>
            <w:tcBorders>
              <w:top w:val="single" w:sz="4" w:space="0" w:color="auto"/>
              <w:left w:val="single" w:sz="4" w:space="0" w:color="auto"/>
              <w:bottom w:val="single" w:sz="4" w:space="0" w:color="auto"/>
              <w:right w:val="single" w:sz="4" w:space="0" w:color="auto"/>
            </w:tcBorders>
            <w:hideMark/>
          </w:tcPr>
          <w:p w14:paraId="2E732F52" w14:textId="77777777" w:rsidR="00C73DA3" w:rsidRPr="003567F4" w:rsidRDefault="00C73DA3" w:rsidP="009E3248">
            <w:pPr>
              <w:pStyle w:val="Tabletext"/>
              <w:spacing w:before="0"/>
            </w:pPr>
            <w:r w:rsidRPr="418F4ED9">
              <w:t>Number of household members</w:t>
            </w:r>
          </w:p>
        </w:tc>
        <w:tc>
          <w:tcPr>
            <w:tcW w:w="1678" w:type="dxa"/>
            <w:tcBorders>
              <w:top w:val="single" w:sz="4" w:space="0" w:color="auto"/>
              <w:left w:val="single" w:sz="4" w:space="0" w:color="auto"/>
              <w:bottom w:val="single" w:sz="4" w:space="0" w:color="auto"/>
              <w:right w:val="single" w:sz="4" w:space="0" w:color="auto"/>
            </w:tcBorders>
          </w:tcPr>
          <w:p w14:paraId="13EB1A29" w14:textId="77777777" w:rsidR="00C73DA3" w:rsidRPr="003567F4" w:rsidRDefault="00C73DA3" w:rsidP="009E3248">
            <w:pPr>
              <w:pStyle w:val="Tabletext"/>
              <w:spacing w:before="0"/>
            </w:pPr>
          </w:p>
        </w:tc>
        <w:tc>
          <w:tcPr>
            <w:tcW w:w="2742" w:type="dxa"/>
            <w:gridSpan w:val="2"/>
            <w:tcBorders>
              <w:top w:val="single" w:sz="4" w:space="0" w:color="auto"/>
              <w:left w:val="single" w:sz="4" w:space="0" w:color="auto"/>
              <w:bottom w:val="single" w:sz="4" w:space="0" w:color="auto"/>
              <w:right w:val="single" w:sz="4" w:space="0" w:color="auto"/>
            </w:tcBorders>
            <w:hideMark/>
          </w:tcPr>
          <w:p w14:paraId="3D57414E" w14:textId="77777777" w:rsidR="00C73DA3" w:rsidRPr="003567F4" w:rsidRDefault="00C73DA3" w:rsidP="009E3248">
            <w:pPr>
              <w:pStyle w:val="Tabletext"/>
              <w:spacing w:before="0"/>
            </w:pPr>
            <w:r w:rsidRPr="418F4ED9">
              <w:t>Is the client culturally and linguistically diverse?</w:t>
            </w:r>
          </w:p>
        </w:tc>
        <w:tc>
          <w:tcPr>
            <w:tcW w:w="2168" w:type="dxa"/>
            <w:tcBorders>
              <w:top w:val="single" w:sz="4" w:space="0" w:color="auto"/>
              <w:left w:val="single" w:sz="4" w:space="0" w:color="auto"/>
              <w:bottom w:val="single" w:sz="4" w:space="0" w:color="auto"/>
              <w:right w:val="single" w:sz="4" w:space="0" w:color="auto"/>
            </w:tcBorders>
            <w:hideMark/>
          </w:tcPr>
          <w:p w14:paraId="57711FD5" w14:textId="77777777" w:rsidR="00C73DA3" w:rsidRPr="003567F4" w:rsidRDefault="00C73DA3" w:rsidP="009E3248">
            <w:pPr>
              <w:pStyle w:val="Tabletext"/>
              <w:spacing w:before="0"/>
            </w:pPr>
            <w:r w:rsidRPr="418F4ED9">
              <w:t>Yes/No</w:t>
            </w:r>
          </w:p>
        </w:tc>
      </w:tr>
      <w:tr w:rsidR="00C73DA3" w14:paraId="1AB0B04A" w14:textId="77777777" w:rsidTr="418F4ED9">
        <w:trPr>
          <w:trHeight w:val="661"/>
        </w:trPr>
        <w:tc>
          <w:tcPr>
            <w:tcW w:w="2730" w:type="dxa"/>
            <w:tcBorders>
              <w:top w:val="single" w:sz="4" w:space="0" w:color="auto"/>
              <w:left w:val="single" w:sz="4" w:space="0" w:color="auto"/>
              <w:bottom w:val="single" w:sz="4" w:space="0" w:color="auto"/>
              <w:right w:val="single" w:sz="4" w:space="0" w:color="auto"/>
            </w:tcBorders>
            <w:hideMark/>
          </w:tcPr>
          <w:p w14:paraId="6C36FEEB" w14:textId="77777777" w:rsidR="00C73DA3" w:rsidRPr="003567F4" w:rsidRDefault="00C73DA3" w:rsidP="009E3248">
            <w:pPr>
              <w:pStyle w:val="Tabletext"/>
              <w:spacing w:before="0"/>
            </w:pPr>
            <w:r w:rsidRPr="418F4ED9">
              <w:t>Is the client Aboriginal or Torres Strait Islander?</w:t>
            </w:r>
          </w:p>
        </w:tc>
        <w:tc>
          <w:tcPr>
            <w:tcW w:w="1678" w:type="dxa"/>
            <w:tcBorders>
              <w:top w:val="single" w:sz="4" w:space="0" w:color="auto"/>
              <w:left w:val="single" w:sz="4" w:space="0" w:color="auto"/>
              <w:bottom w:val="single" w:sz="4" w:space="0" w:color="auto"/>
              <w:right w:val="single" w:sz="4" w:space="0" w:color="auto"/>
            </w:tcBorders>
            <w:hideMark/>
          </w:tcPr>
          <w:p w14:paraId="14DE739C" w14:textId="77777777" w:rsidR="00C73DA3" w:rsidRPr="003567F4" w:rsidRDefault="00C73DA3" w:rsidP="009E3248">
            <w:pPr>
              <w:pStyle w:val="Tabletext"/>
              <w:spacing w:before="0"/>
            </w:pPr>
            <w:r w:rsidRPr="418F4ED9">
              <w:t>Yes/No</w:t>
            </w:r>
          </w:p>
        </w:tc>
        <w:tc>
          <w:tcPr>
            <w:tcW w:w="2742" w:type="dxa"/>
            <w:gridSpan w:val="2"/>
            <w:tcBorders>
              <w:top w:val="single" w:sz="4" w:space="0" w:color="auto"/>
              <w:left w:val="single" w:sz="4" w:space="0" w:color="auto"/>
              <w:bottom w:val="single" w:sz="4" w:space="0" w:color="auto"/>
              <w:right w:val="single" w:sz="4" w:space="0" w:color="auto"/>
            </w:tcBorders>
            <w:hideMark/>
          </w:tcPr>
          <w:p w14:paraId="3505F36D" w14:textId="77777777" w:rsidR="00C73DA3" w:rsidRPr="003567F4" w:rsidRDefault="00C73DA3" w:rsidP="009E3248">
            <w:pPr>
              <w:pStyle w:val="Tabletext"/>
              <w:spacing w:before="0"/>
            </w:pPr>
            <w:r w:rsidRPr="418F4ED9">
              <w:t>Is the client experiencing family violence?</w:t>
            </w:r>
          </w:p>
        </w:tc>
        <w:tc>
          <w:tcPr>
            <w:tcW w:w="2168" w:type="dxa"/>
            <w:tcBorders>
              <w:top w:val="single" w:sz="4" w:space="0" w:color="auto"/>
              <w:left w:val="single" w:sz="4" w:space="0" w:color="auto"/>
              <w:bottom w:val="single" w:sz="4" w:space="0" w:color="auto"/>
              <w:right w:val="single" w:sz="4" w:space="0" w:color="auto"/>
            </w:tcBorders>
            <w:hideMark/>
          </w:tcPr>
          <w:p w14:paraId="40586893" w14:textId="77777777" w:rsidR="00C73DA3" w:rsidRPr="003567F4" w:rsidRDefault="00C73DA3" w:rsidP="009E3248">
            <w:pPr>
              <w:pStyle w:val="Tabletext"/>
              <w:spacing w:before="0"/>
            </w:pPr>
            <w:r w:rsidRPr="418F4ED9">
              <w:t>Yes/No</w:t>
            </w:r>
          </w:p>
        </w:tc>
      </w:tr>
      <w:tr w:rsidR="00C73DA3" w14:paraId="2AE2BCAF" w14:textId="77777777" w:rsidTr="418F4ED9">
        <w:trPr>
          <w:trHeight w:val="415"/>
        </w:trPr>
        <w:tc>
          <w:tcPr>
            <w:tcW w:w="2730" w:type="dxa"/>
            <w:tcBorders>
              <w:top w:val="single" w:sz="4" w:space="0" w:color="auto"/>
              <w:left w:val="single" w:sz="4" w:space="0" w:color="auto"/>
              <w:bottom w:val="single" w:sz="4" w:space="0" w:color="auto"/>
              <w:right w:val="single" w:sz="4" w:space="0" w:color="auto"/>
            </w:tcBorders>
            <w:hideMark/>
          </w:tcPr>
          <w:p w14:paraId="0767B50B" w14:textId="77777777" w:rsidR="00C73DA3" w:rsidRPr="003567F4" w:rsidRDefault="00C73DA3" w:rsidP="009E3248">
            <w:pPr>
              <w:pStyle w:val="Tabletext"/>
              <w:spacing w:before="0"/>
            </w:pPr>
            <w:r w:rsidRPr="418F4ED9">
              <w:t>Weekly rent</w:t>
            </w:r>
          </w:p>
        </w:tc>
        <w:tc>
          <w:tcPr>
            <w:tcW w:w="1678" w:type="dxa"/>
            <w:tcBorders>
              <w:top w:val="single" w:sz="4" w:space="0" w:color="auto"/>
              <w:left w:val="single" w:sz="4" w:space="0" w:color="auto"/>
              <w:bottom w:val="single" w:sz="4" w:space="0" w:color="auto"/>
              <w:right w:val="single" w:sz="4" w:space="0" w:color="auto"/>
            </w:tcBorders>
          </w:tcPr>
          <w:p w14:paraId="30991647" w14:textId="77777777" w:rsidR="00C73DA3" w:rsidRPr="003567F4" w:rsidRDefault="00C73DA3" w:rsidP="009E3248">
            <w:pPr>
              <w:pStyle w:val="Tabletext"/>
              <w:spacing w:before="0"/>
            </w:pPr>
          </w:p>
        </w:tc>
        <w:tc>
          <w:tcPr>
            <w:tcW w:w="2742" w:type="dxa"/>
            <w:gridSpan w:val="2"/>
            <w:tcBorders>
              <w:top w:val="single" w:sz="4" w:space="0" w:color="auto"/>
              <w:left w:val="single" w:sz="4" w:space="0" w:color="auto"/>
              <w:bottom w:val="single" w:sz="4" w:space="0" w:color="auto"/>
              <w:right w:val="single" w:sz="4" w:space="0" w:color="auto"/>
            </w:tcBorders>
            <w:hideMark/>
          </w:tcPr>
          <w:p w14:paraId="7BF86CDE" w14:textId="77777777" w:rsidR="00C73DA3" w:rsidRPr="003567F4" w:rsidRDefault="00C73DA3" w:rsidP="009E3248">
            <w:pPr>
              <w:pStyle w:val="Tabletext"/>
              <w:spacing w:before="0"/>
            </w:pPr>
            <w:r w:rsidRPr="418F4ED9">
              <w:t>Start date of tenancy (if current tenancy)</w:t>
            </w:r>
          </w:p>
        </w:tc>
        <w:tc>
          <w:tcPr>
            <w:tcW w:w="2168" w:type="dxa"/>
            <w:tcBorders>
              <w:top w:val="single" w:sz="4" w:space="0" w:color="auto"/>
              <w:left w:val="single" w:sz="4" w:space="0" w:color="auto"/>
              <w:bottom w:val="single" w:sz="4" w:space="0" w:color="auto"/>
              <w:right w:val="single" w:sz="4" w:space="0" w:color="auto"/>
            </w:tcBorders>
          </w:tcPr>
          <w:p w14:paraId="04758101" w14:textId="77777777" w:rsidR="00C73DA3" w:rsidRPr="003567F4" w:rsidRDefault="00C73DA3" w:rsidP="009E3248">
            <w:pPr>
              <w:pStyle w:val="Tabletext"/>
              <w:spacing w:before="0"/>
            </w:pPr>
          </w:p>
        </w:tc>
      </w:tr>
      <w:tr w:rsidR="00C73DA3" w14:paraId="7BCF80BF" w14:textId="77777777" w:rsidTr="418F4ED9">
        <w:trPr>
          <w:trHeight w:val="940"/>
        </w:trPr>
        <w:tc>
          <w:tcPr>
            <w:tcW w:w="2730" w:type="dxa"/>
            <w:tcBorders>
              <w:top w:val="single" w:sz="4" w:space="0" w:color="auto"/>
              <w:left w:val="single" w:sz="4" w:space="0" w:color="auto"/>
              <w:bottom w:val="single" w:sz="4" w:space="0" w:color="auto"/>
              <w:right w:val="single" w:sz="4" w:space="0" w:color="auto"/>
            </w:tcBorders>
            <w:hideMark/>
          </w:tcPr>
          <w:p w14:paraId="576D5DB0" w14:textId="77777777" w:rsidR="00C73DA3" w:rsidRPr="003567F4" w:rsidRDefault="00C73DA3" w:rsidP="009E3248">
            <w:pPr>
              <w:pStyle w:val="Tabletext"/>
              <w:spacing w:before="0"/>
            </w:pPr>
            <w:r w:rsidRPr="418F4ED9">
              <w:t>Is the client eligible for APRAP (refer to eligibility criteria in guidelines)?</w:t>
            </w:r>
          </w:p>
        </w:tc>
        <w:tc>
          <w:tcPr>
            <w:tcW w:w="1678" w:type="dxa"/>
            <w:tcBorders>
              <w:top w:val="single" w:sz="4" w:space="0" w:color="auto"/>
              <w:left w:val="single" w:sz="4" w:space="0" w:color="auto"/>
              <w:bottom w:val="single" w:sz="4" w:space="0" w:color="auto"/>
              <w:right w:val="single" w:sz="4" w:space="0" w:color="auto"/>
            </w:tcBorders>
            <w:hideMark/>
          </w:tcPr>
          <w:p w14:paraId="19B01A28" w14:textId="77777777" w:rsidR="00C73DA3" w:rsidRPr="003567F4" w:rsidRDefault="00C73DA3" w:rsidP="009E3248">
            <w:pPr>
              <w:pStyle w:val="Tabletext"/>
              <w:spacing w:before="0"/>
            </w:pPr>
            <w:r w:rsidRPr="418F4ED9">
              <w:t xml:space="preserve">Yes/No </w:t>
            </w:r>
          </w:p>
        </w:tc>
        <w:tc>
          <w:tcPr>
            <w:tcW w:w="2742" w:type="dxa"/>
            <w:gridSpan w:val="2"/>
            <w:tcBorders>
              <w:top w:val="single" w:sz="4" w:space="0" w:color="auto"/>
              <w:left w:val="single" w:sz="4" w:space="0" w:color="auto"/>
              <w:bottom w:val="single" w:sz="4" w:space="0" w:color="auto"/>
              <w:right w:val="single" w:sz="4" w:space="0" w:color="auto"/>
            </w:tcBorders>
            <w:hideMark/>
          </w:tcPr>
          <w:p w14:paraId="13E8359E" w14:textId="77777777" w:rsidR="00C73DA3" w:rsidRPr="003567F4" w:rsidRDefault="00C73DA3" w:rsidP="009E3248">
            <w:pPr>
              <w:pStyle w:val="Tabletext"/>
              <w:spacing w:before="0"/>
            </w:pPr>
            <w:r w:rsidRPr="418F4ED9">
              <w:t>Are APRAP brokerage funds available?</w:t>
            </w:r>
          </w:p>
        </w:tc>
        <w:tc>
          <w:tcPr>
            <w:tcW w:w="2168" w:type="dxa"/>
            <w:tcBorders>
              <w:top w:val="single" w:sz="4" w:space="0" w:color="auto"/>
              <w:left w:val="single" w:sz="4" w:space="0" w:color="auto"/>
              <w:bottom w:val="single" w:sz="4" w:space="0" w:color="auto"/>
              <w:right w:val="single" w:sz="4" w:space="0" w:color="auto"/>
            </w:tcBorders>
            <w:hideMark/>
          </w:tcPr>
          <w:p w14:paraId="4E5DB402" w14:textId="77777777" w:rsidR="00C73DA3" w:rsidRPr="003567F4" w:rsidRDefault="00C73DA3" w:rsidP="009E3248">
            <w:pPr>
              <w:pStyle w:val="Tabletext"/>
              <w:spacing w:before="0"/>
            </w:pPr>
            <w:r w:rsidRPr="418F4ED9">
              <w:t>Yes/No</w:t>
            </w:r>
          </w:p>
        </w:tc>
      </w:tr>
      <w:tr w:rsidR="00C73DA3" w14:paraId="0E3C361F" w14:textId="77777777" w:rsidTr="418F4ED9">
        <w:trPr>
          <w:trHeight w:val="409"/>
        </w:trPr>
        <w:tc>
          <w:tcPr>
            <w:tcW w:w="9318" w:type="dxa"/>
            <w:gridSpan w:val="5"/>
            <w:tcBorders>
              <w:top w:val="single" w:sz="4" w:space="0" w:color="auto"/>
              <w:left w:val="single" w:sz="4" w:space="0" w:color="auto"/>
              <w:bottom w:val="single" w:sz="4" w:space="0" w:color="auto"/>
              <w:right w:val="single" w:sz="4" w:space="0" w:color="auto"/>
            </w:tcBorders>
            <w:hideMark/>
          </w:tcPr>
          <w:p w14:paraId="628B1F4A" w14:textId="77777777" w:rsidR="00C73DA3" w:rsidRPr="003567F4" w:rsidRDefault="00C73DA3" w:rsidP="009E3248">
            <w:pPr>
              <w:pStyle w:val="Tabletext"/>
              <w:spacing w:before="0"/>
            </w:pPr>
            <w:r w:rsidRPr="418F4ED9">
              <w:t>What is the amount and payment purpose of APRAP brokerage being sought?</w:t>
            </w:r>
          </w:p>
        </w:tc>
      </w:tr>
      <w:tr w:rsidR="00C73DA3" w14:paraId="721CFAA0" w14:textId="77777777" w:rsidTr="418F4ED9">
        <w:trPr>
          <w:trHeight w:val="345"/>
        </w:trPr>
        <w:tc>
          <w:tcPr>
            <w:tcW w:w="9318" w:type="dxa"/>
            <w:gridSpan w:val="5"/>
            <w:tcBorders>
              <w:top w:val="single" w:sz="4" w:space="0" w:color="auto"/>
              <w:left w:val="single" w:sz="4" w:space="0" w:color="auto"/>
              <w:bottom w:val="single" w:sz="4" w:space="0" w:color="auto"/>
              <w:right w:val="single" w:sz="4" w:space="0" w:color="auto"/>
            </w:tcBorders>
          </w:tcPr>
          <w:p w14:paraId="36F50DBE" w14:textId="77777777" w:rsidR="00C73DA3" w:rsidRPr="003567F4" w:rsidRDefault="00C73DA3" w:rsidP="009E3248">
            <w:pPr>
              <w:pStyle w:val="Tabletext"/>
              <w:spacing w:before="0"/>
            </w:pPr>
          </w:p>
        </w:tc>
      </w:tr>
      <w:tr w:rsidR="00C73DA3" w14:paraId="7804E38A" w14:textId="77777777" w:rsidTr="418F4ED9">
        <w:trPr>
          <w:trHeight w:val="327"/>
        </w:trPr>
        <w:tc>
          <w:tcPr>
            <w:tcW w:w="9318" w:type="dxa"/>
            <w:gridSpan w:val="5"/>
            <w:tcBorders>
              <w:top w:val="single" w:sz="4" w:space="0" w:color="auto"/>
              <w:left w:val="single" w:sz="4" w:space="0" w:color="auto"/>
              <w:bottom w:val="single" w:sz="4" w:space="0" w:color="auto"/>
              <w:right w:val="single" w:sz="4" w:space="0" w:color="auto"/>
            </w:tcBorders>
            <w:hideMark/>
          </w:tcPr>
          <w:p w14:paraId="5CC7CCB3" w14:textId="77777777" w:rsidR="00C73DA3" w:rsidRPr="003567F4" w:rsidRDefault="00C73DA3" w:rsidP="009E3248">
            <w:pPr>
              <w:pStyle w:val="Tabletext"/>
              <w:spacing w:before="0"/>
            </w:pPr>
            <w:r w:rsidRPr="418F4ED9">
              <w:t xml:space="preserve">What </w:t>
            </w:r>
            <w:proofErr w:type="gramStart"/>
            <w:r w:rsidRPr="418F4ED9">
              <w:t>are</w:t>
            </w:r>
            <w:proofErr w:type="gramEnd"/>
            <w:r w:rsidRPr="418F4ED9">
              <w:t xml:space="preserve"> the tenancy risk factors?</w:t>
            </w:r>
          </w:p>
        </w:tc>
      </w:tr>
      <w:tr w:rsidR="00C73DA3" w14:paraId="276F6A68" w14:textId="77777777" w:rsidTr="418F4ED9">
        <w:trPr>
          <w:trHeight w:val="345"/>
        </w:trPr>
        <w:tc>
          <w:tcPr>
            <w:tcW w:w="9318" w:type="dxa"/>
            <w:gridSpan w:val="5"/>
            <w:tcBorders>
              <w:top w:val="single" w:sz="4" w:space="0" w:color="auto"/>
              <w:left w:val="single" w:sz="4" w:space="0" w:color="auto"/>
              <w:bottom w:val="single" w:sz="4" w:space="0" w:color="auto"/>
              <w:right w:val="single" w:sz="4" w:space="0" w:color="auto"/>
            </w:tcBorders>
          </w:tcPr>
          <w:p w14:paraId="6E9A1047" w14:textId="77777777" w:rsidR="00C73DA3" w:rsidRPr="003567F4" w:rsidRDefault="00C73DA3" w:rsidP="009E3248">
            <w:pPr>
              <w:pStyle w:val="Tabletext"/>
              <w:spacing w:before="0"/>
            </w:pPr>
          </w:p>
        </w:tc>
      </w:tr>
      <w:tr w:rsidR="00C73DA3" w14:paraId="7808D0F4" w14:textId="77777777" w:rsidTr="418F4ED9">
        <w:trPr>
          <w:trHeight w:val="273"/>
        </w:trPr>
        <w:tc>
          <w:tcPr>
            <w:tcW w:w="9318" w:type="dxa"/>
            <w:gridSpan w:val="5"/>
            <w:tcBorders>
              <w:top w:val="single" w:sz="4" w:space="0" w:color="auto"/>
              <w:left w:val="single" w:sz="4" w:space="0" w:color="auto"/>
              <w:bottom w:val="single" w:sz="4" w:space="0" w:color="auto"/>
              <w:right w:val="single" w:sz="4" w:space="0" w:color="auto"/>
            </w:tcBorders>
            <w:hideMark/>
          </w:tcPr>
          <w:p w14:paraId="7851DFEF" w14:textId="77777777" w:rsidR="00C73DA3" w:rsidRPr="003567F4" w:rsidRDefault="00C73DA3" w:rsidP="009E3248">
            <w:pPr>
              <w:pStyle w:val="Tabletext"/>
              <w:spacing w:before="0"/>
            </w:pPr>
            <w:r w:rsidRPr="418F4ED9">
              <w:t>What other support is the household receiving?</w:t>
            </w:r>
          </w:p>
        </w:tc>
      </w:tr>
      <w:tr w:rsidR="00C73DA3" w14:paraId="4443FBAB" w14:textId="77777777" w:rsidTr="418F4ED9">
        <w:trPr>
          <w:trHeight w:val="325"/>
        </w:trPr>
        <w:tc>
          <w:tcPr>
            <w:tcW w:w="9318" w:type="dxa"/>
            <w:gridSpan w:val="5"/>
            <w:tcBorders>
              <w:top w:val="single" w:sz="4" w:space="0" w:color="auto"/>
              <w:left w:val="single" w:sz="4" w:space="0" w:color="auto"/>
              <w:bottom w:val="single" w:sz="4" w:space="0" w:color="auto"/>
              <w:right w:val="single" w:sz="4" w:space="0" w:color="auto"/>
            </w:tcBorders>
          </w:tcPr>
          <w:p w14:paraId="054507AC" w14:textId="77777777" w:rsidR="00C73DA3" w:rsidRPr="003567F4" w:rsidRDefault="00C73DA3" w:rsidP="009E3248">
            <w:pPr>
              <w:pStyle w:val="Tabletext"/>
              <w:spacing w:before="0"/>
            </w:pPr>
          </w:p>
        </w:tc>
      </w:tr>
      <w:tr w:rsidR="00C73DA3" w14:paraId="3E54C595" w14:textId="77777777" w:rsidTr="418F4ED9">
        <w:trPr>
          <w:trHeight w:val="325"/>
        </w:trPr>
        <w:tc>
          <w:tcPr>
            <w:tcW w:w="9318" w:type="dxa"/>
            <w:gridSpan w:val="5"/>
            <w:tcBorders>
              <w:top w:val="single" w:sz="4" w:space="0" w:color="auto"/>
              <w:left w:val="single" w:sz="4" w:space="0" w:color="auto"/>
              <w:bottom w:val="single" w:sz="4" w:space="0" w:color="auto"/>
              <w:right w:val="single" w:sz="4" w:space="0" w:color="auto"/>
            </w:tcBorders>
            <w:hideMark/>
          </w:tcPr>
          <w:p w14:paraId="7F1AB312" w14:textId="77777777" w:rsidR="00C73DA3" w:rsidRPr="003567F4" w:rsidRDefault="00C73DA3" w:rsidP="009E3248">
            <w:pPr>
              <w:pStyle w:val="Tabletext"/>
              <w:spacing w:before="0"/>
            </w:pPr>
            <w:r w:rsidRPr="418F4ED9">
              <w:t xml:space="preserve">Has the household accessed other brokerage sources? (HEF/ Family Violence Flexible Support Packages etc) Please specify.  </w:t>
            </w:r>
          </w:p>
        </w:tc>
      </w:tr>
      <w:tr w:rsidR="00C73DA3" w14:paraId="2DB5E3A7" w14:textId="77777777" w:rsidTr="418F4ED9">
        <w:trPr>
          <w:trHeight w:val="195"/>
        </w:trPr>
        <w:tc>
          <w:tcPr>
            <w:tcW w:w="9318" w:type="dxa"/>
            <w:gridSpan w:val="5"/>
            <w:tcBorders>
              <w:top w:val="single" w:sz="4" w:space="0" w:color="auto"/>
              <w:left w:val="single" w:sz="4" w:space="0" w:color="auto"/>
              <w:bottom w:val="single" w:sz="4" w:space="0" w:color="auto"/>
              <w:right w:val="single" w:sz="4" w:space="0" w:color="auto"/>
            </w:tcBorders>
          </w:tcPr>
          <w:p w14:paraId="552CAB56" w14:textId="77777777" w:rsidR="00C73DA3" w:rsidRPr="003567F4" w:rsidRDefault="00C73DA3" w:rsidP="009E3248">
            <w:pPr>
              <w:pStyle w:val="Tabletext"/>
              <w:spacing w:before="0"/>
            </w:pPr>
          </w:p>
        </w:tc>
      </w:tr>
      <w:tr w:rsidR="00C73DA3" w14:paraId="1B8CA152" w14:textId="77777777" w:rsidTr="418F4ED9">
        <w:trPr>
          <w:trHeight w:val="195"/>
        </w:trPr>
        <w:tc>
          <w:tcPr>
            <w:tcW w:w="9318" w:type="dxa"/>
            <w:gridSpan w:val="5"/>
            <w:tcBorders>
              <w:top w:val="single" w:sz="4" w:space="0" w:color="auto"/>
              <w:left w:val="single" w:sz="4" w:space="0" w:color="auto"/>
              <w:bottom w:val="single" w:sz="4" w:space="0" w:color="auto"/>
              <w:right w:val="single" w:sz="4" w:space="0" w:color="auto"/>
            </w:tcBorders>
            <w:hideMark/>
          </w:tcPr>
          <w:p w14:paraId="35EB363D" w14:textId="77777777" w:rsidR="00C73DA3" w:rsidRPr="003567F4" w:rsidRDefault="00C73DA3" w:rsidP="009E3248">
            <w:pPr>
              <w:pStyle w:val="Tabletext"/>
              <w:spacing w:before="0"/>
            </w:pPr>
            <w:r w:rsidRPr="418F4ED9">
              <w:t>What strategies are in place to ensure this tenancy is sustainable?</w:t>
            </w:r>
          </w:p>
        </w:tc>
      </w:tr>
      <w:tr w:rsidR="00C73DA3" w14:paraId="3FEE671C" w14:textId="77777777" w:rsidTr="418F4ED9">
        <w:trPr>
          <w:trHeight w:val="195"/>
        </w:trPr>
        <w:tc>
          <w:tcPr>
            <w:tcW w:w="9318" w:type="dxa"/>
            <w:gridSpan w:val="5"/>
            <w:tcBorders>
              <w:top w:val="single" w:sz="4" w:space="0" w:color="auto"/>
              <w:left w:val="single" w:sz="4" w:space="0" w:color="auto"/>
              <w:bottom w:val="single" w:sz="4" w:space="0" w:color="auto"/>
              <w:right w:val="single" w:sz="4" w:space="0" w:color="auto"/>
            </w:tcBorders>
          </w:tcPr>
          <w:p w14:paraId="7D15947C" w14:textId="77777777" w:rsidR="00C73DA3" w:rsidRPr="003567F4" w:rsidRDefault="00C73DA3" w:rsidP="009E3248">
            <w:pPr>
              <w:pStyle w:val="Tabletext"/>
              <w:spacing w:before="0"/>
            </w:pPr>
          </w:p>
        </w:tc>
      </w:tr>
      <w:tr w:rsidR="00C73DA3" w14:paraId="077F65E6" w14:textId="77777777" w:rsidTr="418F4ED9">
        <w:trPr>
          <w:trHeight w:val="195"/>
        </w:trPr>
        <w:tc>
          <w:tcPr>
            <w:tcW w:w="9318" w:type="dxa"/>
            <w:gridSpan w:val="5"/>
            <w:tcBorders>
              <w:top w:val="single" w:sz="4" w:space="0" w:color="auto"/>
              <w:left w:val="single" w:sz="4" w:space="0" w:color="auto"/>
              <w:bottom w:val="single" w:sz="4" w:space="0" w:color="auto"/>
              <w:right w:val="single" w:sz="4" w:space="0" w:color="auto"/>
            </w:tcBorders>
            <w:hideMark/>
          </w:tcPr>
          <w:p w14:paraId="37F685FF" w14:textId="77777777" w:rsidR="00C73DA3" w:rsidRPr="003567F4" w:rsidRDefault="00C73DA3" w:rsidP="009E3248">
            <w:pPr>
              <w:pStyle w:val="Tabletext"/>
              <w:spacing w:before="0"/>
            </w:pPr>
            <w:r w:rsidRPr="418F4ED9">
              <w:t xml:space="preserve">List any previous APRAP allocations for this household </w:t>
            </w:r>
          </w:p>
        </w:tc>
      </w:tr>
      <w:tr w:rsidR="00C73DA3" w14:paraId="51F5EEF2" w14:textId="77777777" w:rsidTr="418F4ED9">
        <w:trPr>
          <w:trHeight w:val="78"/>
        </w:trPr>
        <w:tc>
          <w:tcPr>
            <w:tcW w:w="4660" w:type="dxa"/>
            <w:gridSpan w:val="3"/>
            <w:tcBorders>
              <w:top w:val="single" w:sz="4" w:space="0" w:color="auto"/>
              <w:left w:val="single" w:sz="4" w:space="0" w:color="auto"/>
              <w:bottom w:val="single" w:sz="4" w:space="0" w:color="auto"/>
              <w:right w:val="single" w:sz="4" w:space="0" w:color="auto"/>
            </w:tcBorders>
            <w:hideMark/>
          </w:tcPr>
          <w:p w14:paraId="3D74EF5D" w14:textId="77777777" w:rsidR="00C73DA3" w:rsidRPr="003567F4" w:rsidRDefault="00C73DA3" w:rsidP="009E3248">
            <w:pPr>
              <w:pStyle w:val="Tabletext"/>
              <w:spacing w:before="0"/>
            </w:pPr>
            <w:r w:rsidRPr="418F4ED9">
              <w:t>Amount</w:t>
            </w:r>
          </w:p>
        </w:tc>
        <w:tc>
          <w:tcPr>
            <w:tcW w:w="4658" w:type="dxa"/>
            <w:gridSpan w:val="2"/>
            <w:tcBorders>
              <w:top w:val="single" w:sz="4" w:space="0" w:color="auto"/>
              <w:left w:val="single" w:sz="4" w:space="0" w:color="auto"/>
              <w:bottom w:val="single" w:sz="4" w:space="0" w:color="auto"/>
              <w:right w:val="single" w:sz="4" w:space="0" w:color="auto"/>
            </w:tcBorders>
            <w:hideMark/>
          </w:tcPr>
          <w:p w14:paraId="4A0F8F36" w14:textId="77777777" w:rsidR="00C73DA3" w:rsidRPr="003567F4" w:rsidRDefault="00C73DA3" w:rsidP="009E3248">
            <w:pPr>
              <w:pStyle w:val="Tabletext"/>
              <w:spacing w:before="0"/>
            </w:pPr>
            <w:r w:rsidRPr="418F4ED9">
              <w:t>Date</w:t>
            </w:r>
          </w:p>
        </w:tc>
      </w:tr>
      <w:tr w:rsidR="00C73DA3" w14:paraId="20A0F646" w14:textId="77777777" w:rsidTr="418F4ED9">
        <w:trPr>
          <w:trHeight w:val="215"/>
        </w:trPr>
        <w:tc>
          <w:tcPr>
            <w:tcW w:w="4660" w:type="dxa"/>
            <w:gridSpan w:val="3"/>
            <w:tcBorders>
              <w:top w:val="single" w:sz="4" w:space="0" w:color="auto"/>
              <w:left w:val="single" w:sz="4" w:space="0" w:color="auto"/>
              <w:bottom w:val="single" w:sz="4" w:space="0" w:color="auto"/>
              <w:right w:val="single" w:sz="4" w:space="0" w:color="auto"/>
            </w:tcBorders>
          </w:tcPr>
          <w:p w14:paraId="62DC9C11" w14:textId="77777777" w:rsidR="00C73DA3" w:rsidRPr="003567F4" w:rsidRDefault="00C73DA3" w:rsidP="009E3248">
            <w:pPr>
              <w:pStyle w:val="Tabletext"/>
              <w:spacing w:before="0"/>
            </w:pPr>
          </w:p>
        </w:tc>
        <w:tc>
          <w:tcPr>
            <w:tcW w:w="4658" w:type="dxa"/>
            <w:gridSpan w:val="2"/>
            <w:tcBorders>
              <w:top w:val="single" w:sz="4" w:space="0" w:color="auto"/>
              <w:left w:val="single" w:sz="4" w:space="0" w:color="auto"/>
              <w:bottom w:val="single" w:sz="4" w:space="0" w:color="auto"/>
              <w:right w:val="single" w:sz="4" w:space="0" w:color="auto"/>
            </w:tcBorders>
          </w:tcPr>
          <w:p w14:paraId="445C366E" w14:textId="77777777" w:rsidR="00C73DA3" w:rsidRPr="003567F4" w:rsidRDefault="00C73DA3" w:rsidP="009E3248">
            <w:pPr>
              <w:pStyle w:val="Tabletext"/>
              <w:spacing w:before="0"/>
            </w:pPr>
          </w:p>
        </w:tc>
      </w:tr>
      <w:tr w:rsidR="00C73DA3" w14:paraId="32977D4C" w14:textId="77777777" w:rsidTr="418F4ED9">
        <w:trPr>
          <w:trHeight w:val="78"/>
        </w:trPr>
        <w:tc>
          <w:tcPr>
            <w:tcW w:w="4660" w:type="dxa"/>
            <w:gridSpan w:val="3"/>
            <w:tcBorders>
              <w:top w:val="single" w:sz="4" w:space="0" w:color="auto"/>
              <w:left w:val="single" w:sz="4" w:space="0" w:color="auto"/>
              <w:bottom w:val="single" w:sz="4" w:space="0" w:color="auto"/>
              <w:right w:val="single" w:sz="4" w:space="0" w:color="auto"/>
            </w:tcBorders>
          </w:tcPr>
          <w:p w14:paraId="5A14ACE0" w14:textId="77777777" w:rsidR="00C73DA3" w:rsidRPr="003567F4" w:rsidRDefault="00C73DA3" w:rsidP="009E3248">
            <w:pPr>
              <w:pStyle w:val="Tabletext"/>
              <w:spacing w:before="0"/>
            </w:pPr>
          </w:p>
        </w:tc>
        <w:tc>
          <w:tcPr>
            <w:tcW w:w="4658" w:type="dxa"/>
            <w:gridSpan w:val="2"/>
            <w:tcBorders>
              <w:top w:val="single" w:sz="4" w:space="0" w:color="auto"/>
              <w:left w:val="single" w:sz="4" w:space="0" w:color="auto"/>
              <w:bottom w:val="single" w:sz="4" w:space="0" w:color="auto"/>
              <w:right w:val="single" w:sz="4" w:space="0" w:color="auto"/>
            </w:tcBorders>
          </w:tcPr>
          <w:p w14:paraId="6638F839" w14:textId="77777777" w:rsidR="00C73DA3" w:rsidRPr="003567F4" w:rsidRDefault="00C73DA3" w:rsidP="009E3248">
            <w:pPr>
              <w:pStyle w:val="Tabletext"/>
              <w:spacing w:before="0"/>
            </w:pPr>
          </w:p>
        </w:tc>
      </w:tr>
      <w:tr w:rsidR="00C73DA3" w14:paraId="04CF2C71" w14:textId="77777777" w:rsidTr="418F4ED9">
        <w:trPr>
          <w:trHeight w:val="78"/>
        </w:trPr>
        <w:tc>
          <w:tcPr>
            <w:tcW w:w="4660" w:type="dxa"/>
            <w:gridSpan w:val="3"/>
            <w:tcBorders>
              <w:top w:val="single" w:sz="4" w:space="0" w:color="auto"/>
              <w:left w:val="single" w:sz="4" w:space="0" w:color="auto"/>
              <w:bottom w:val="single" w:sz="4" w:space="0" w:color="auto"/>
              <w:right w:val="single" w:sz="4" w:space="0" w:color="auto"/>
            </w:tcBorders>
          </w:tcPr>
          <w:p w14:paraId="78AE973C" w14:textId="77777777" w:rsidR="00C73DA3" w:rsidRPr="003567F4" w:rsidRDefault="00C73DA3" w:rsidP="009E3248">
            <w:pPr>
              <w:pStyle w:val="Tabletext"/>
              <w:spacing w:before="0"/>
            </w:pPr>
          </w:p>
        </w:tc>
        <w:tc>
          <w:tcPr>
            <w:tcW w:w="4658" w:type="dxa"/>
            <w:gridSpan w:val="2"/>
            <w:tcBorders>
              <w:top w:val="single" w:sz="4" w:space="0" w:color="auto"/>
              <w:left w:val="single" w:sz="4" w:space="0" w:color="auto"/>
              <w:bottom w:val="single" w:sz="4" w:space="0" w:color="auto"/>
              <w:right w:val="single" w:sz="4" w:space="0" w:color="auto"/>
            </w:tcBorders>
          </w:tcPr>
          <w:p w14:paraId="5CECD5B3" w14:textId="77777777" w:rsidR="00C73DA3" w:rsidRPr="003567F4" w:rsidRDefault="00C73DA3" w:rsidP="009E3248">
            <w:pPr>
              <w:pStyle w:val="Tabletext"/>
              <w:spacing w:before="0"/>
            </w:pPr>
          </w:p>
        </w:tc>
      </w:tr>
      <w:tr w:rsidR="00C73DA3" w14:paraId="48A7C3AA" w14:textId="77777777" w:rsidTr="418F4ED9">
        <w:trPr>
          <w:trHeight w:val="489"/>
        </w:trPr>
        <w:tc>
          <w:tcPr>
            <w:tcW w:w="4660" w:type="dxa"/>
            <w:gridSpan w:val="3"/>
            <w:tcBorders>
              <w:top w:val="single" w:sz="4" w:space="0" w:color="auto"/>
              <w:left w:val="single" w:sz="4" w:space="0" w:color="auto"/>
              <w:bottom w:val="single" w:sz="4" w:space="0" w:color="auto"/>
              <w:right w:val="single" w:sz="4" w:space="0" w:color="auto"/>
            </w:tcBorders>
            <w:hideMark/>
          </w:tcPr>
          <w:p w14:paraId="1AE89A8F" w14:textId="77777777" w:rsidR="00C73DA3" w:rsidRPr="003567F4" w:rsidRDefault="00C73DA3" w:rsidP="009E3248">
            <w:pPr>
              <w:pStyle w:val="Tabletext"/>
              <w:spacing w:before="0"/>
            </w:pPr>
            <w:r w:rsidRPr="418F4ED9">
              <w:t>Are APRAP brokerage funds available?</w:t>
            </w:r>
          </w:p>
        </w:tc>
        <w:tc>
          <w:tcPr>
            <w:tcW w:w="4658" w:type="dxa"/>
            <w:gridSpan w:val="2"/>
            <w:tcBorders>
              <w:top w:val="single" w:sz="4" w:space="0" w:color="auto"/>
              <w:left w:val="single" w:sz="4" w:space="0" w:color="auto"/>
              <w:bottom w:val="single" w:sz="4" w:space="0" w:color="auto"/>
              <w:right w:val="single" w:sz="4" w:space="0" w:color="auto"/>
            </w:tcBorders>
            <w:hideMark/>
          </w:tcPr>
          <w:p w14:paraId="687E1991" w14:textId="77777777" w:rsidR="00C73DA3" w:rsidRPr="003567F4" w:rsidRDefault="00C73DA3" w:rsidP="009E3248">
            <w:pPr>
              <w:pStyle w:val="Tabletext"/>
              <w:spacing w:before="0"/>
            </w:pPr>
            <w:r w:rsidRPr="418F4ED9">
              <w:t>Yes/No</w:t>
            </w:r>
          </w:p>
        </w:tc>
      </w:tr>
      <w:tr w:rsidR="00C73DA3" w14:paraId="0D19755C" w14:textId="77777777" w:rsidTr="418F4ED9">
        <w:trPr>
          <w:trHeight w:val="300"/>
        </w:trPr>
        <w:tc>
          <w:tcPr>
            <w:tcW w:w="9318" w:type="dxa"/>
            <w:gridSpan w:val="5"/>
            <w:tcBorders>
              <w:top w:val="single" w:sz="4" w:space="0" w:color="auto"/>
              <w:left w:val="single" w:sz="4" w:space="0" w:color="auto"/>
              <w:bottom w:val="single" w:sz="4" w:space="0" w:color="auto"/>
              <w:right w:val="single" w:sz="4" w:space="0" w:color="auto"/>
            </w:tcBorders>
            <w:shd w:val="clear" w:color="auto" w:fill="A8E7FA"/>
            <w:hideMark/>
          </w:tcPr>
          <w:p w14:paraId="670A317D" w14:textId="77777777" w:rsidR="00C73DA3" w:rsidRPr="003567F4" w:rsidRDefault="00C73DA3" w:rsidP="009E3248">
            <w:pPr>
              <w:pStyle w:val="Tabletext"/>
              <w:spacing w:before="0"/>
            </w:pPr>
            <w:r w:rsidRPr="418F4ED9">
              <w:t>For local area:</w:t>
            </w:r>
          </w:p>
        </w:tc>
      </w:tr>
      <w:tr w:rsidR="00C73DA3" w14:paraId="30320A8F" w14:textId="77777777" w:rsidTr="418F4ED9">
        <w:trPr>
          <w:trHeight w:val="489"/>
        </w:trPr>
        <w:tc>
          <w:tcPr>
            <w:tcW w:w="4660" w:type="dxa"/>
            <w:gridSpan w:val="3"/>
            <w:tcBorders>
              <w:top w:val="single" w:sz="4" w:space="0" w:color="auto"/>
              <w:left w:val="single" w:sz="4" w:space="0" w:color="auto"/>
              <w:bottom w:val="single" w:sz="4" w:space="0" w:color="auto"/>
              <w:right w:val="single" w:sz="4" w:space="0" w:color="auto"/>
            </w:tcBorders>
            <w:shd w:val="clear" w:color="auto" w:fill="A8E7FA"/>
            <w:hideMark/>
          </w:tcPr>
          <w:p w14:paraId="24B801F2" w14:textId="77777777" w:rsidR="00C73DA3" w:rsidRPr="003567F4" w:rsidRDefault="00C73DA3" w:rsidP="009E3248">
            <w:pPr>
              <w:pStyle w:val="Tabletext"/>
              <w:spacing w:before="0"/>
            </w:pPr>
            <w:r w:rsidRPr="418F4ED9">
              <w:t>Approver (Agency Performance and System Support Manager): (Name and title)</w:t>
            </w:r>
          </w:p>
        </w:tc>
        <w:tc>
          <w:tcPr>
            <w:tcW w:w="4658" w:type="dxa"/>
            <w:gridSpan w:val="2"/>
            <w:tcBorders>
              <w:top w:val="single" w:sz="4" w:space="0" w:color="auto"/>
              <w:left w:val="single" w:sz="4" w:space="0" w:color="auto"/>
              <w:bottom w:val="single" w:sz="4" w:space="0" w:color="auto"/>
              <w:right w:val="single" w:sz="4" w:space="0" w:color="auto"/>
            </w:tcBorders>
            <w:shd w:val="clear" w:color="auto" w:fill="A8E7FA"/>
            <w:hideMark/>
          </w:tcPr>
          <w:p w14:paraId="422F6B3E" w14:textId="77777777" w:rsidR="00C73DA3" w:rsidRPr="003567F4" w:rsidRDefault="00C73DA3" w:rsidP="009E3248">
            <w:pPr>
              <w:pStyle w:val="Tabletext"/>
              <w:spacing w:before="0"/>
            </w:pPr>
            <w:r w:rsidRPr="418F4ED9">
              <w:t>Date of response:</w:t>
            </w:r>
          </w:p>
        </w:tc>
      </w:tr>
      <w:tr w:rsidR="00C73DA3" w14:paraId="475F8F66" w14:textId="77777777" w:rsidTr="418F4ED9">
        <w:trPr>
          <w:trHeight w:val="423"/>
        </w:trPr>
        <w:tc>
          <w:tcPr>
            <w:tcW w:w="9318" w:type="dxa"/>
            <w:gridSpan w:val="5"/>
            <w:tcBorders>
              <w:top w:val="single" w:sz="4" w:space="0" w:color="auto"/>
              <w:left w:val="single" w:sz="4" w:space="0" w:color="auto"/>
              <w:bottom w:val="single" w:sz="4" w:space="0" w:color="auto"/>
              <w:right w:val="single" w:sz="4" w:space="0" w:color="auto"/>
            </w:tcBorders>
            <w:shd w:val="clear" w:color="auto" w:fill="A8E7FA"/>
            <w:hideMark/>
          </w:tcPr>
          <w:p w14:paraId="0ACBCC0C" w14:textId="77777777" w:rsidR="00C73DA3" w:rsidRPr="003567F4" w:rsidRDefault="00C73DA3" w:rsidP="009E3248">
            <w:pPr>
              <w:pStyle w:val="Tabletext"/>
              <w:spacing w:before="0"/>
            </w:pPr>
            <w:r w:rsidRPr="418F4ED9">
              <w:t>Application approved or declined – rationale:</w:t>
            </w:r>
          </w:p>
        </w:tc>
      </w:tr>
      <w:bookmarkEnd w:id="30"/>
    </w:tbl>
    <w:p w14:paraId="42B0751F" w14:textId="77777777" w:rsidR="00C73DA3" w:rsidRPr="007A01B0" w:rsidRDefault="00C73DA3" w:rsidP="009E3248">
      <w:pPr>
        <w:pStyle w:val="Body"/>
        <w:rPr>
          <w:sz w:val="16"/>
          <w:szCs w:val="16"/>
        </w:rPr>
      </w:pPr>
    </w:p>
    <w:sectPr w:rsidR="00C73DA3" w:rsidRPr="007A01B0" w:rsidSect="00D549D1">
      <w:headerReference w:type="even" r:id="rId21"/>
      <w:headerReference w:type="default" r:id="rId22"/>
      <w:footerReference w:type="even" r:id="rId23"/>
      <w:footerReference w:type="default" r:id="rId24"/>
      <w:pgSz w:w="11906" w:h="16838" w:code="9"/>
      <w:pgMar w:top="1418" w:right="127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81A3B" w14:textId="77777777" w:rsidR="00981627" w:rsidRDefault="00981627">
      <w:r>
        <w:separator/>
      </w:r>
    </w:p>
    <w:p w14:paraId="2BC331CF" w14:textId="77777777" w:rsidR="00981627" w:rsidRDefault="00981627"/>
  </w:endnote>
  <w:endnote w:type="continuationSeparator" w:id="0">
    <w:p w14:paraId="03AC2BA1" w14:textId="77777777" w:rsidR="00981627" w:rsidRDefault="00981627">
      <w:r>
        <w:continuationSeparator/>
      </w:r>
    </w:p>
    <w:p w14:paraId="7F126360" w14:textId="77777777" w:rsidR="00981627" w:rsidRDefault="00981627"/>
  </w:endnote>
  <w:endnote w:type="continuationNotice" w:id="1">
    <w:p w14:paraId="3A4422B3" w14:textId="77777777" w:rsidR="00981627" w:rsidRDefault="00981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9075" w14:textId="77777777" w:rsidR="00EB4BC7" w:rsidRDefault="00EB4BC7">
    <w:pPr>
      <w:pStyle w:val="Footer"/>
    </w:pPr>
    <w:r>
      <w:rPr>
        <w:noProof/>
        <w:color w:val="2B579A"/>
        <w:shd w:val="clear" w:color="auto" w:fill="E6E6E6"/>
      </w:rPr>
      <mc:AlternateContent>
        <mc:Choice Requires="wps">
          <w:drawing>
            <wp:anchor distT="0" distB="0" distL="114300" distR="114300" simplePos="0" relativeHeight="251658242" behindDoc="0" locked="0" layoutInCell="0" allowOverlap="1" wp14:anchorId="6F5FCB0F" wp14:editId="48FDDF2E">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EAF9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5FCB0F"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01EAF9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303E" w14:textId="04F8D5E0" w:rsidR="00431A70" w:rsidRDefault="001223D4">
    <w:pPr>
      <w:pStyle w:val="Footer"/>
    </w:pPr>
    <w:r>
      <w:rPr>
        <w:noProof/>
        <w:color w:val="2B579A"/>
        <w:lang w:eastAsia="en-AU"/>
      </w:rPr>
      <mc:AlternateContent>
        <mc:Choice Requires="wps">
          <w:drawing>
            <wp:anchor distT="0" distB="0" distL="114300" distR="114300" simplePos="1" relativeHeight="251659272" behindDoc="0" locked="0" layoutInCell="0" allowOverlap="1" wp14:anchorId="5931B06A" wp14:editId="12B80E05">
              <wp:simplePos x="0" y="10189687"/>
              <wp:positionH relativeFrom="page">
                <wp:posOffset>0</wp:posOffset>
              </wp:positionH>
              <wp:positionV relativeFrom="page">
                <wp:posOffset>10189210</wp:posOffset>
              </wp:positionV>
              <wp:extent cx="7560310" cy="311785"/>
              <wp:effectExtent l="0" t="0" r="0" b="12065"/>
              <wp:wrapNone/>
              <wp:docPr id="9" name="MSIPCMa7d34d45bf847e760327efd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DF573" w14:textId="4C366398" w:rsidR="001223D4" w:rsidRPr="001223D4" w:rsidRDefault="001223D4" w:rsidP="001223D4">
                          <w:pPr>
                            <w:spacing w:after="0"/>
                            <w:jc w:val="center"/>
                            <w:rPr>
                              <w:rFonts w:ascii="Arial Black" w:hAnsi="Arial Black"/>
                              <w:color w:val="000000"/>
                              <w:sz w:val="20"/>
                            </w:rPr>
                          </w:pPr>
                          <w:r w:rsidRPr="001223D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31B06A" id="_x0000_t202" coordsize="21600,21600" o:spt="202" path="m,l,21600r21600,l21600,xe">
              <v:stroke joinstyle="miter"/>
              <v:path gradientshapeok="t" o:connecttype="rect"/>
            </v:shapetype>
            <v:shape id="MSIPCMa7d34d45bf847e760327efd7"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9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196DF573" w14:textId="4C366398" w:rsidR="001223D4" w:rsidRPr="001223D4" w:rsidRDefault="001223D4" w:rsidP="001223D4">
                    <w:pPr>
                      <w:spacing w:after="0"/>
                      <w:jc w:val="center"/>
                      <w:rPr>
                        <w:rFonts w:ascii="Arial Black" w:hAnsi="Arial Black"/>
                        <w:color w:val="000000"/>
                        <w:sz w:val="20"/>
                      </w:rPr>
                    </w:pPr>
                    <w:r w:rsidRPr="001223D4">
                      <w:rPr>
                        <w:rFonts w:ascii="Arial Black" w:hAnsi="Arial Black"/>
                        <w:color w:val="000000"/>
                        <w:sz w:val="20"/>
                      </w:rPr>
                      <w:t>OFFICIAL</w:t>
                    </w:r>
                  </w:p>
                </w:txbxContent>
              </v:textbox>
              <w10:wrap anchorx="page" anchory="page"/>
            </v:shape>
          </w:pict>
        </mc:Fallback>
      </mc:AlternateContent>
    </w:r>
    <w:r w:rsidR="0069724F">
      <w:rPr>
        <w:noProof/>
        <w:color w:val="2B579A"/>
        <w:lang w:eastAsia="en-AU"/>
      </w:rPr>
      <mc:AlternateContent>
        <mc:Choice Requires="wps">
          <w:drawing>
            <wp:anchor distT="0" distB="0" distL="114300" distR="114300" simplePos="1" relativeHeight="251658246" behindDoc="0" locked="0" layoutInCell="0" allowOverlap="1" wp14:anchorId="1A39B0CA" wp14:editId="560FF975">
              <wp:simplePos x="0" y="10189687"/>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0CD9D" w14:textId="7F6D2391" w:rsidR="0069724F" w:rsidRPr="0069724F" w:rsidRDefault="0069724F" w:rsidP="0069724F">
                          <w:pPr>
                            <w:spacing w:after="0"/>
                            <w:jc w:val="center"/>
                            <w:rPr>
                              <w:rFonts w:ascii="Arial Black" w:hAnsi="Arial Black"/>
                              <w:color w:val="000000"/>
                              <w:sz w:val="20"/>
                            </w:rPr>
                          </w:pPr>
                          <w:r w:rsidRPr="006972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39B0CA" id="_x0000_t202" coordsize="21600,21600" o:spt="202" path="m,l,21600r21600,l21600,xe">
              <v:stroke joinstyle="miter"/>
              <v:path gradientshapeok="t" o:connecttype="rect"/>
            </v:shapetype>
            <v:shape id="Text Box 1"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110CD9D" w14:textId="7F6D2391" w:rsidR="0069724F" w:rsidRPr="0069724F" w:rsidRDefault="0069724F" w:rsidP="0069724F">
                    <w:pPr>
                      <w:spacing w:after="0"/>
                      <w:jc w:val="center"/>
                      <w:rPr>
                        <w:rFonts w:ascii="Arial Black" w:hAnsi="Arial Black"/>
                        <w:color w:val="000000"/>
                        <w:sz w:val="20"/>
                      </w:rPr>
                    </w:pPr>
                    <w:r w:rsidRPr="0069724F">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4E67D4BB" wp14:editId="0058EECB">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93AE9"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67D4BB"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3F593AE9"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0A28" w14:textId="789A693D" w:rsidR="00EB4BC7" w:rsidRDefault="001223D4">
    <w:pPr>
      <w:pStyle w:val="Footer"/>
    </w:pPr>
    <w:r>
      <w:rPr>
        <w:noProof/>
        <w:color w:val="2B579A"/>
      </w:rPr>
      <mc:AlternateContent>
        <mc:Choice Requires="wps">
          <w:drawing>
            <wp:anchor distT="0" distB="0" distL="114300" distR="114300" simplePos="0" relativeHeight="251660296" behindDoc="0" locked="0" layoutInCell="0" allowOverlap="1" wp14:anchorId="56C437AE" wp14:editId="75B83293">
              <wp:simplePos x="0" y="0"/>
              <wp:positionH relativeFrom="page">
                <wp:posOffset>0</wp:posOffset>
              </wp:positionH>
              <wp:positionV relativeFrom="page">
                <wp:posOffset>10189210</wp:posOffset>
              </wp:positionV>
              <wp:extent cx="7560310" cy="311785"/>
              <wp:effectExtent l="0" t="0" r="0" b="12065"/>
              <wp:wrapNone/>
              <wp:docPr id="10" name="MSIPCMabbd4616a8a2c0e3209069e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E6CC75" w14:textId="4F866802" w:rsidR="001223D4" w:rsidRPr="001223D4" w:rsidRDefault="001223D4" w:rsidP="001223D4">
                          <w:pPr>
                            <w:spacing w:after="0"/>
                            <w:jc w:val="center"/>
                            <w:rPr>
                              <w:rFonts w:ascii="Arial Black" w:hAnsi="Arial Black"/>
                              <w:color w:val="000000"/>
                              <w:sz w:val="20"/>
                            </w:rPr>
                          </w:pPr>
                          <w:r w:rsidRPr="001223D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C437AE" id="_x0000_t202" coordsize="21600,21600" o:spt="202" path="m,l,21600r21600,l21600,xe">
              <v:stroke joinstyle="miter"/>
              <v:path gradientshapeok="t" o:connecttype="rect"/>
            </v:shapetype>
            <v:shape id="MSIPCMabbd4616a8a2c0e3209069ee" o:spid="_x0000_s1030" type="#_x0000_t202" alt="{&quot;HashCode&quot;:904758361,&quot;Height&quot;:841.0,&quot;Width&quot;:595.0,&quot;Placement&quot;:&quot;Footer&quot;,&quot;Index&quot;:&quot;FirstPage&quot;,&quot;Section&quot;:1,&quot;Top&quot;:0.0,&quot;Left&quot;:0.0}" style="position:absolute;margin-left:0;margin-top:802.3pt;width:595.3pt;height:24.55pt;z-index:251660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fill o:detectmouseclick="t"/>
              <v:textbox inset=",0,,0">
                <w:txbxContent>
                  <w:p w14:paraId="18E6CC75" w14:textId="4F866802" w:rsidR="001223D4" w:rsidRPr="001223D4" w:rsidRDefault="001223D4" w:rsidP="001223D4">
                    <w:pPr>
                      <w:spacing w:after="0"/>
                      <w:jc w:val="center"/>
                      <w:rPr>
                        <w:rFonts w:ascii="Arial Black" w:hAnsi="Arial Black"/>
                        <w:color w:val="000000"/>
                        <w:sz w:val="20"/>
                      </w:rPr>
                    </w:pPr>
                    <w:r w:rsidRPr="001223D4">
                      <w:rPr>
                        <w:rFonts w:ascii="Arial Black" w:hAnsi="Arial Black"/>
                        <w:color w:val="000000"/>
                        <w:sz w:val="20"/>
                      </w:rPr>
                      <w:t>OFFICIAL</w:t>
                    </w:r>
                  </w:p>
                </w:txbxContent>
              </v:textbox>
              <w10:wrap anchorx="page" anchory="page"/>
            </v:shape>
          </w:pict>
        </mc:Fallback>
      </mc:AlternateContent>
    </w:r>
    <w:r w:rsidR="0069724F">
      <w:rPr>
        <w:noProof/>
        <w:color w:val="2B579A"/>
      </w:rPr>
      <mc:AlternateContent>
        <mc:Choice Requires="wps">
          <w:drawing>
            <wp:anchor distT="0" distB="0" distL="114300" distR="114300" simplePos="0" relativeHeight="251658247" behindDoc="0" locked="0" layoutInCell="0" allowOverlap="1" wp14:anchorId="6B636F17" wp14:editId="4F8B365C">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64EB6" w14:textId="428B50A4" w:rsidR="0069724F" w:rsidRPr="0069724F" w:rsidRDefault="0069724F" w:rsidP="0069724F">
                          <w:pPr>
                            <w:spacing w:after="0"/>
                            <w:jc w:val="center"/>
                            <w:rPr>
                              <w:rFonts w:ascii="Arial Black" w:hAnsi="Arial Black"/>
                              <w:color w:val="000000"/>
                              <w:sz w:val="20"/>
                            </w:rPr>
                          </w:pPr>
                          <w:r w:rsidRPr="006972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636F17" id="_x0000_t202" coordsize="21600,21600" o:spt="202" path="m,l,21600r21600,l21600,xe">
              <v:stroke joinstyle="miter"/>
              <v:path gradientshapeok="t" o:connecttype="rect"/>
            </v:shapetype>
            <v:shape id="Text Box 2"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1064EB6" w14:textId="428B50A4" w:rsidR="0069724F" w:rsidRPr="0069724F" w:rsidRDefault="0069724F" w:rsidP="0069724F">
                    <w:pPr>
                      <w:spacing w:after="0"/>
                      <w:jc w:val="center"/>
                      <w:rPr>
                        <w:rFonts w:ascii="Arial Black" w:hAnsi="Arial Black"/>
                        <w:color w:val="000000"/>
                        <w:sz w:val="20"/>
                      </w:rPr>
                    </w:pPr>
                    <w:r w:rsidRPr="0069724F">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rPr>
      <mc:AlternateContent>
        <mc:Choice Requires="wps">
          <w:drawing>
            <wp:anchor distT="0" distB="0" distL="114300" distR="114300" simplePos="0" relativeHeight="251658241" behindDoc="0" locked="0" layoutInCell="0" allowOverlap="1" wp14:anchorId="6ECD8197" wp14:editId="5CF15F43">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0DB4C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CD8197"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740DB4C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6A3E" w14:textId="77777777" w:rsidR="00D63636" w:rsidRDefault="002C5B7C">
    <w:pPr>
      <w:pStyle w:val="Footer"/>
    </w:pPr>
    <w:r>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32E07AA9" wp14:editId="68CE7FC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872F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E07AA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70872F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3081" w14:textId="63E3A84C" w:rsidR="00431A70" w:rsidRDefault="001223D4" w:rsidP="00DC00C1">
    <w:pPr>
      <w:pStyle w:val="Footer"/>
      <w:tabs>
        <w:tab w:val="left" w:pos="3667"/>
      </w:tabs>
    </w:pPr>
    <w:r>
      <w:rPr>
        <w:noProof/>
        <w:color w:val="2B579A"/>
        <w:lang w:eastAsia="en-AU"/>
      </w:rPr>
      <mc:AlternateContent>
        <mc:Choice Requires="wps">
          <w:drawing>
            <wp:anchor distT="0" distB="0" distL="114300" distR="114300" simplePos="0" relativeHeight="251661320" behindDoc="0" locked="0" layoutInCell="0" allowOverlap="1" wp14:anchorId="2FBC4A78" wp14:editId="76936236">
              <wp:simplePos x="0" y="0"/>
              <wp:positionH relativeFrom="page">
                <wp:posOffset>0</wp:posOffset>
              </wp:positionH>
              <wp:positionV relativeFrom="page">
                <wp:posOffset>10189210</wp:posOffset>
              </wp:positionV>
              <wp:extent cx="7560310" cy="311785"/>
              <wp:effectExtent l="0" t="0" r="0" b="12065"/>
              <wp:wrapNone/>
              <wp:docPr id="13" name="MSIPCMd2a94bbeb6472328b06b55d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E6C6E" w14:textId="5A803B6A" w:rsidR="001223D4" w:rsidRPr="001223D4" w:rsidRDefault="001223D4" w:rsidP="001223D4">
                          <w:pPr>
                            <w:spacing w:after="0"/>
                            <w:jc w:val="center"/>
                            <w:rPr>
                              <w:rFonts w:ascii="Arial Black" w:hAnsi="Arial Black"/>
                              <w:color w:val="000000"/>
                              <w:sz w:val="20"/>
                            </w:rPr>
                          </w:pPr>
                          <w:r w:rsidRPr="001223D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BC4A78" id="_x0000_t202" coordsize="21600,21600" o:spt="202" path="m,l,21600r21600,l21600,xe">
              <v:stroke joinstyle="miter"/>
              <v:path gradientshapeok="t" o:connecttype="rect"/>
            </v:shapetype>
            <v:shape id="MSIPCMd2a94bbeb6472328b06b55d1" o:spid="_x0000_s1034" type="#_x0000_t202" alt="{&quot;HashCode&quot;:904758361,&quot;Height&quot;:841.0,&quot;Width&quot;:595.0,&quot;Placement&quot;:&quot;Footer&quot;,&quot;Index&quot;:&quot;Primary&quot;,&quot;Section&quot;:2,&quot;Top&quot;:0.0,&quot;Left&quot;:0.0}" style="position:absolute;margin-left:0;margin-top:802.3pt;width:595.3pt;height:24.55pt;z-index:251661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fill o:detectmouseclick="t"/>
              <v:textbox inset=",0,,0">
                <w:txbxContent>
                  <w:p w14:paraId="59DE6C6E" w14:textId="5A803B6A" w:rsidR="001223D4" w:rsidRPr="001223D4" w:rsidRDefault="001223D4" w:rsidP="001223D4">
                    <w:pPr>
                      <w:spacing w:after="0"/>
                      <w:jc w:val="center"/>
                      <w:rPr>
                        <w:rFonts w:ascii="Arial Black" w:hAnsi="Arial Black"/>
                        <w:color w:val="000000"/>
                        <w:sz w:val="20"/>
                      </w:rPr>
                    </w:pPr>
                    <w:r w:rsidRPr="001223D4">
                      <w:rPr>
                        <w:rFonts w:ascii="Arial Black" w:hAnsi="Arial Black"/>
                        <w:color w:val="000000"/>
                        <w:sz w:val="20"/>
                      </w:rPr>
                      <w:t>OFFICIAL</w:t>
                    </w:r>
                  </w:p>
                </w:txbxContent>
              </v:textbox>
              <w10:wrap anchorx="page" anchory="page"/>
            </v:shape>
          </w:pict>
        </mc:Fallback>
      </mc:AlternateContent>
    </w:r>
    <w:r w:rsidR="0069724F">
      <w:rPr>
        <w:noProof/>
        <w:color w:val="2B579A"/>
        <w:lang w:eastAsia="en-AU"/>
      </w:rPr>
      <mc:AlternateContent>
        <mc:Choice Requires="wps">
          <w:drawing>
            <wp:anchor distT="0" distB="0" distL="114300" distR="114300" simplePos="0" relativeHeight="251658248" behindDoc="0" locked="0" layoutInCell="0" allowOverlap="1" wp14:anchorId="12F14E4F" wp14:editId="48E2CB95">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D8813" w14:textId="2DAA8266" w:rsidR="0069724F" w:rsidRPr="0069724F" w:rsidRDefault="0069724F" w:rsidP="0069724F">
                          <w:pPr>
                            <w:spacing w:after="0"/>
                            <w:jc w:val="center"/>
                            <w:rPr>
                              <w:rFonts w:ascii="Arial Black" w:hAnsi="Arial Black"/>
                              <w:color w:val="000000"/>
                              <w:sz w:val="20"/>
                            </w:rPr>
                          </w:pPr>
                          <w:r w:rsidRPr="006972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F14E4F" id="_x0000_t202" coordsize="21600,21600" o:spt="202" path="m,l,21600r21600,l21600,xe">
              <v:stroke joinstyle="miter"/>
              <v:path gradientshapeok="t" o:connecttype="rect"/>
            </v:shapetype>
            <v:shape id="Text Box 8"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4AED8813" w14:textId="2DAA8266" w:rsidR="0069724F" w:rsidRPr="0069724F" w:rsidRDefault="0069724F" w:rsidP="0069724F">
                    <w:pPr>
                      <w:spacing w:after="0"/>
                      <w:jc w:val="center"/>
                      <w:rPr>
                        <w:rFonts w:ascii="Arial Black" w:hAnsi="Arial Black"/>
                        <w:color w:val="000000"/>
                        <w:sz w:val="20"/>
                      </w:rPr>
                    </w:pPr>
                    <w:r w:rsidRPr="0069724F">
                      <w:rPr>
                        <w:rFonts w:ascii="Arial Black" w:hAnsi="Arial Black"/>
                        <w:color w:val="000000"/>
                        <w:sz w:val="20"/>
                      </w:rPr>
                      <w:t>OFFICIAL</w:t>
                    </w:r>
                  </w:p>
                </w:txbxContent>
              </v:textbox>
              <w10:wrap anchorx="page" anchory="page"/>
            </v:shape>
          </w:pict>
        </mc:Fallback>
      </mc:AlternateContent>
    </w:r>
    <w:r w:rsidR="001C7128">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55081190" wp14:editId="3196A438">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C974B"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081190"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2BC974B"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3" behindDoc="0" locked="0" layoutInCell="0" allowOverlap="1" wp14:anchorId="7B26C930" wp14:editId="1A013645">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41E7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B26C930"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61941E7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102CD" w14:textId="77777777" w:rsidR="00981627" w:rsidRDefault="00981627" w:rsidP="00207717">
      <w:pPr>
        <w:spacing w:before="120"/>
      </w:pPr>
      <w:r>
        <w:separator/>
      </w:r>
    </w:p>
  </w:footnote>
  <w:footnote w:type="continuationSeparator" w:id="0">
    <w:p w14:paraId="6317E70E" w14:textId="77777777" w:rsidR="00981627" w:rsidRDefault="00981627">
      <w:r>
        <w:continuationSeparator/>
      </w:r>
    </w:p>
    <w:p w14:paraId="2707F1A2" w14:textId="77777777" w:rsidR="00981627" w:rsidRDefault="00981627"/>
  </w:footnote>
  <w:footnote w:type="continuationNotice" w:id="1">
    <w:p w14:paraId="49038E33" w14:textId="77777777" w:rsidR="00981627" w:rsidRDefault="00981627">
      <w:pPr>
        <w:spacing w:after="0" w:line="240" w:lineRule="auto"/>
      </w:pPr>
    </w:p>
  </w:footnote>
  <w:footnote w:id="2">
    <w:p w14:paraId="3FD8E129" w14:textId="2E9D938A" w:rsidR="00AC2532" w:rsidRPr="000F70A4" w:rsidRDefault="00AC2532" w:rsidP="004C42D6">
      <w:pPr>
        <w:pStyle w:val="NormalWeb"/>
        <w:kinsoku w:val="0"/>
        <w:overflowPunct w:val="0"/>
        <w:spacing w:before="86" w:beforeAutospacing="0" w:after="0" w:afterAutospacing="0"/>
        <w:textAlignment w:val="baseline"/>
        <w:rPr>
          <w:rFonts w:ascii="Arial" w:hAnsi="Arial"/>
          <w:szCs w:val="18"/>
        </w:rPr>
      </w:pPr>
      <w:r>
        <w:rPr>
          <w:rStyle w:val="FootnoteReference"/>
          <w:sz w:val="18"/>
          <w:szCs w:val="18"/>
        </w:rPr>
        <w:footnoteRef/>
      </w:r>
      <w:r>
        <w:rPr>
          <w:sz w:val="18"/>
          <w:szCs w:val="18"/>
        </w:rPr>
        <w:t xml:space="preserve"> </w:t>
      </w:r>
      <w:r>
        <w:rPr>
          <w:rFonts w:ascii="Arial" w:hAnsi="Arial" w:cs="Arial"/>
          <w:sz w:val="18"/>
          <w:szCs w:val="18"/>
          <w:lang w:eastAsia="en-US"/>
        </w:rPr>
        <w:t>Mana-</w:t>
      </w:r>
      <w:proofErr w:type="spellStart"/>
      <w:r>
        <w:rPr>
          <w:rFonts w:ascii="Arial" w:hAnsi="Arial" w:cs="Arial"/>
          <w:sz w:val="18"/>
          <w:szCs w:val="18"/>
          <w:lang w:eastAsia="en-US"/>
        </w:rPr>
        <w:t>na</w:t>
      </w:r>
      <w:proofErr w:type="spellEnd"/>
      <w:r>
        <w:rPr>
          <w:rFonts w:ascii="Arial" w:hAnsi="Arial" w:cs="Arial"/>
          <w:sz w:val="18"/>
          <w:szCs w:val="18"/>
          <w:lang w:eastAsia="en-US"/>
        </w:rPr>
        <w:t xml:space="preserve"> worn-</w:t>
      </w:r>
      <w:proofErr w:type="spellStart"/>
      <w:r>
        <w:rPr>
          <w:rFonts w:ascii="Arial" w:hAnsi="Arial" w:cs="Arial"/>
          <w:sz w:val="18"/>
          <w:szCs w:val="18"/>
          <w:lang w:eastAsia="en-US"/>
        </w:rPr>
        <w:t>tyeen</w:t>
      </w:r>
      <w:proofErr w:type="spellEnd"/>
      <w:r>
        <w:rPr>
          <w:rFonts w:ascii="Arial" w:hAnsi="Arial" w:cs="Arial"/>
          <w:sz w:val="18"/>
          <w:szCs w:val="18"/>
          <w:lang w:eastAsia="en-US"/>
        </w:rPr>
        <w:t xml:space="preserve"> maar-</w:t>
      </w:r>
      <w:proofErr w:type="spellStart"/>
      <w:r>
        <w:rPr>
          <w:rFonts w:ascii="Arial" w:hAnsi="Arial" w:cs="Arial"/>
          <w:sz w:val="18"/>
          <w:szCs w:val="18"/>
          <w:lang w:eastAsia="en-US"/>
        </w:rPr>
        <w:t>takoort</w:t>
      </w:r>
      <w:proofErr w:type="spellEnd"/>
      <w:r>
        <w:rPr>
          <w:rFonts w:ascii="Arial" w:hAnsi="Arial" w:cs="Arial"/>
          <w:sz w:val="18"/>
          <w:szCs w:val="18"/>
          <w:lang w:eastAsia="en-US"/>
        </w:rPr>
        <w:t>: Every Aboriginal Person Has a Home</w:t>
      </w:r>
      <w:r w:rsidRPr="000F70A4">
        <w:rPr>
          <w:rFonts w:ascii="Arial" w:hAnsi="Arial" w:cs="Arial"/>
          <w:sz w:val="18"/>
          <w:szCs w:val="18"/>
          <w:lang w:eastAsia="en-US"/>
        </w:rPr>
        <w:t> </w:t>
      </w:r>
      <w:r>
        <w:rPr>
          <w:rFonts w:ascii="Arial" w:hAnsi="Arial" w:cs="Arial"/>
          <w:sz w:val="18"/>
          <w:szCs w:val="18"/>
          <w:lang w:eastAsia="en-US"/>
        </w:rPr>
        <w:t>can be accessed online at </w:t>
      </w:r>
      <w:hyperlink r:id="rId1" w:history="1">
        <w:r w:rsidRPr="000F70A4">
          <w:rPr>
            <w:rFonts w:ascii="Arial" w:hAnsi="Arial" w:cs="Arial"/>
            <w:sz w:val="18"/>
            <w:szCs w:val="18"/>
            <w:lang w:eastAsia="en-US"/>
          </w:rPr>
          <w:t>www.vahhf.org.au</w:t>
        </w:r>
      </w:hyperlink>
      <w:r>
        <w:rPr>
          <w:rFonts w:ascii="Arial" w:hAnsi="Arial" w:cs="Arial"/>
          <w:sz w:val="18"/>
          <w:szCs w:val="18"/>
          <w:lang w:eastAsia="en-US"/>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D92B" w14:textId="77777777" w:rsidR="00C46FAD" w:rsidRDefault="00C46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8416" w14:textId="77777777" w:rsidR="00C46FAD" w:rsidRDefault="00C46F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FA97" w14:textId="77777777" w:rsidR="00C46FAD" w:rsidRDefault="00C46F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104B" w14:textId="77777777" w:rsidR="00431A70" w:rsidRDefault="00C60411">
    <w:pPr>
      <w:pStyle w:val="Header"/>
    </w:pPr>
    <w:r w:rsidRPr="00DE6C85">
      <w:rPr>
        <w:b w:val="0"/>
        <w:color w:val="2B579A"/>
        <w:shd w:val="clear" w:color="auto" w:fill="E6E6E6"/>
      </w:rPr>
      <w:fldChar w:fldCharType="begin"/>
    </w:r>
    <w:r w:rsidRPr="00DE6C85">
      <w:rPr>
        <w:bCs/>
      </w:rPr>
      <w:instrText xml:space="preserve"> PAGE </w:instrText>
    </w:r>
    <w:r w:rsidRPr="00DE6C85">
      <w:rPr>
        <w:b w:val="0"/>
        <w:color w:val="2B579A"/>
        <w:shd w:val="clear" w:color="auto" w:fill="E6E6E6"/>
      </w:rPr>
      <w:fldChar w:fldCharType="separate"/>
    </w:r>
    <w:r>
      <w:rPr>
        <w:bCs/>
      </w:rPr>
      <w:t>11</w:t>
    </w:r>
    <w:r w:rsidRPr="00DE6C85">
      <w:rPr>
        <w:b w:val="0"/>
        <w:color w:val="2B579A"/>
        <w:shd w:val="clear" w:color="auto" w:fill="E6E6E6"/>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0BC4" w14:textId="26FDAC2F" w:rsidR="00562811" w:rsidRPr="001C7128" w:rsidRDefault="00AC2532" w:rsidP="001C7128">
    <w:pPr>
      <w:pStyle w:val="Header"/>
    </w:pPr>
    <w:r>
      <w:t xml:space="preserve">Aboriginal Private Rental Assistance Program </w:t>
    </w:r>
    <w:r w:rsidR="00844E00">
      <w:t>G</w:t>
    </w:r>
    <w:r>
      <w:t xml:space="preserve">uidelines </w:t>
    </w:r>
    <w:r w:rsidR="00844E00">
      <w:t>-</w:t>
    </w:r>
    <w:r>
      <w:t xml:space="preserve"> July 2023</w:t>
    </w:r>
    <w:r w:rsidR="001C7128">
      <w:ptab w:relativeTo="margin" w:alignment="right" w:leader="none"/>
    </w:r>
    <w:r w:rsidR="001C7128" w:rsidRPr="00DE6C85">
      <w:rPr>
        <w:b w:val="0"/>
        <w:color w:val="2B579A"/>
        <w:shd w:val="clear" w:color="auto" w:fill="E6E6E6"/>
      </w:rPr>
      <w:fldChar w:fldCharType="begin"/>
    </w:r>
    <w:r w:rsidR="001C7128" w:rsidRPr="00DE6C85">
      <w:rPr>
        <w:bCs/>
      </w:rPr>
      <w:instrText xml:space="preserve"> PAGE </w:instrText>
    </w:r>
    <w:r w:rsidR="001C7128" w:rsidRPr="00DE6C85">
      <w:rPr>
        <w:b w:val="0"/>
        <w:color w:val="2B579A"/>
        <w:shd w:val="clear" w:color="auto" w:fill="E6E6E6"/>
      </w:rPr>
      <w:fldChar w:fldCharType="separate"/>
    </w:r>
    <w:r w:rsidR="001C7128">
      <w:rPr>
        <w:bCs/>
      </w:rPr>
      <w:t>7</w:t>
    </w:r>
    <w:r w:rsidR="001C7128" w:rsidRPr="00DE6C85">
      <w:rPr>
        <w:b w:val="0"/>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58F"/>
    <w:multiLevelType w:val="hybridMultilevel"/>
    <w:tmpl w:val="897E072C"/>
    <w:lvl w:ilvl="0" w:tplc="9B1E4B64">
      <w:start w:val="1"/>
      <w:numFmt w:val="lowerLetter"/>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3A50056"/>
    <w:multiLevelType w:val="multilevel"/>
    <w:tmpl w:val="4D10C7E2"/>
    <w:numStyleLink w:val="ZZNumbersloweralpha"/>
  </w:abstractNum>
  <w:abstractNum w:abstractNumId="2"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07B7933"/>
    <w:multiLevelType w:val="hybridMultilevel"/>
    <w:tmpl w:val="B85A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36CC0"/>
    <w:multiLevelType w:val="hybridMultilevel"/>
    <w:tmpl w:val="B51A516A"/>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144B47F6"/>
    <w:multiLevelType w:val="hybridMultilevel"/>
    <w:tmpl w:val="C8D4F5C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1CEE0203"/>
    <w:multiLevelType w:val="hybridMultilevel"/>
    <w:tmpl w:val="C23C0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F6D9F"/>
    <w:multiLevelType w:val="hybridMultilevel"/>
    <w:tmpl w:val="9142FDF4"/>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8AD21F7"/>
    <w:multiLevelType w:val="hybridMultilevel"/>
    <w:tmpl w:val="705A9AF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2A4C997D"/>
    <w:multiLevelType w:val="hybridMultilevel"/>
    <w:tmpl w:val="FFFFFFFF"/>
    <w:lvl w:ilvl="0" w:tplc="9078F082">
      <w:start w:val="1"/>
      <w:numFmt w:val="bullet"/>
      <w:lvlText w:val=""/>
      <w:lvlJc w:val="left"/>
      <w:pPr>
        <w:ind w:left="720" w:hanging="360"/>
      </w:pPr>
      <w:rPr>
        <w:rFonts w:ascii="Symbol" w:hAnsi="Symbol" w:hint="default"/>
      </w:rPr>
    </w:lvl>
    <w:lvl w:ilvl="1" w:tplc="4A8A114C">
      <w:start w:val="1"/>
      <w:numFmt w:val="bullet"/>
      <w:lvlText w:val="o"/>
      <w:lvlJc w:val="left"/>
      <w:pPr>
        <w:ind w:left="1440" w:hanging="360"/>
      </w:pPr>
      <w:rPr>
        <w:rFonts w:ascii="Courier New" w:hAnsi="Courier New" w:hint="default"/>
      </w:rPr>
    </w:lvl>
    <w:lvl w:ilvl="2" w:tplc="05A4DAAC">
      <w:start w:val="1"/>
      <w:numFmt w:val="bullet"/>
      <w:lvlText w:val=""/>
      <w:lvlJc w:val="left"/>
      <w:pPr>
        <w:ind w:left="2160" w:hanging="360"/>
      </w:pPr>
      <w:rPr>
        <w:rFonts w:ascii="Wingdings" w:hAnsi="Wingdings" w:hint="default"/>
      </w:rPr>
    </w:lvl>
    <w:lvl w:ilvl="3" w:tplc="7416FFFA">
      <w:start w:val="1"/>
      <w:numFmt w:val="bullet"/>
      <w:lvlText w:val=""/>
      <w:lvlJc w:val="left"/>
      <w:pPr>
        <w:ind w:left="2880" w:hanging="360"/>
      </w:pPr>
      <w:rPr>
        <w:rFonts w:ascii="Symbol" w:hAnsi="Symbol" w:hint="default"/>
      </w:rPr>
    </w:lvl>
    <w:lvl w:ilvl="4" w:tplc="CACA3F20">
      <w:start w:val="1"/>
      <w:numFmt w:val="bullet"/>
      <w:lvlText w:val="o"/>
      <w:lvlJc w:val="left"/>
      <w:pPr>
        <w:ind w:left="3600" w:hanging="360"/>
      </w:pPr>
      <w:rPr>
        <w:rFonts w:ascii="Courier New" w:hAnsi="Courier New" w:hint="default"/>
      </w:rPr>
    </w:lvl>
    <w:lvl w:ilvl="5" w:tplc="FCC80DC8">
      <w:start w:val="1"/>
      <w:numFmt w:val="bullet"/>
      <w:lvlText w:val=""/>
      <w:lvlJc w:val="left"/>
      <w:pPr>
        <w:ind w:left="4320" w:hanging="360"/>
      </w:pPr>
      <w:rPr>
        <w:rFonts w:ascii="Wingdings" w:hAnsi="Wingdings" w:hint="default"/>
      </w:rPr>
    </w:lvl>
    <w:lvl w:ilvl="6" w:tplc="1076F1F8">
      <w:start w:val="1"/>
      <w:numFmt w:val="bullet"/>
      <w:lvlText w:val=""/>
      <w:lvlJc w:val="left"/>
      <w:pPr>
        <w:ind w:left="5040" w:hanging="360"/>
      </w:pPr>
      <w:rPr>
        <w:rFonts w:ascii="Symbol" w:hAnsi="Symbol" w:hint="default"/>
      </w:rPr>
    </w:lvl>
    <w:lvl w:ilvl="7" w:tplc="647C5760">
      <w:start w:val="1"/>
      <w:numFmt w:val="bullet"/>
      <w:lvlText w:val="o"/>
      <w:lvlJc w:val="left"/>
      <w:pPr>
        <w:ind w:left="5760" w:hanging="360"/>
      </w:pPr>
      <w:rPr>
        <w:rFonts w:ascii="Courier New" w:hAnsi="Courier New" w:hint="default"/>
      </w:rPr>
    </w:lvl>
    <w:lvl w:ilvl="8" w:tplc="63FC1A6C">
      <w:start w:val="1"/>
      <w:numFmt w:val="bullet"/>
      <w:lvlText w:val=""/>
      <w:lvlJc w:val="left"/>
      <w:pPr>
        <w:ind w:left="6480" w:hanging="360"/>
      </w:pPr>
      <w:rPr>
        <w:rFonts w:ascii="Wingdings" w:hAnsi="Wingdings" w:hint="default"/>
      </w:rPr>
    </w:lvl>
  </w:abstractNum>
  <w:abstractNum w:abstractNumId="10" w15:restartNumberingAfterBreak="0">
    <w:nsid w:val="37A441FB"/>
    <w:multiLevelType w:val="hybridMultilevel"/>
    <w:tmpl w:val="897E072C"/>
    <w:lvl w:ilvl="0" w:tplc="9B1E4B64">
      <w:start w:val="1"/>
      <w:numFmt w:val="lowerLetter"/>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393A32B7"/>
    <w:multiLevelType w:val="hybridMultilevel"/>
    <w:tmpl w:val="AE2435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ED41375"/>
    <w:multiLevelType w:val="hybridMultilevel"/>
    <w:tmpl w:val="F59E53B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43C34B7F"/>
    <w:multiLevelType w:val="hybridMultilevel"/>
    <w:tmpl w:val="29B09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45062A6"/>
    <w:multiLevelType w:val="hybridMultilevel"/>
    <w:tmpl w:val="EB1E9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362721"/>
    <w:multiLevelType w:val="hybridMultilevel"/>
    <w:tmpl w:val="8FE49374"/>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52A2512F"/>
    <w:multiLevelType w:val="hybridMultilevel"/>
    <w:tmpl w:val="92706160"/>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98185D"/>
    <w:multiLevelType w:val="hybridMultilevel"/>
    <w:tmpl w:val="A3022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F035D2"/>
    <w:multiLevelType w:val="hybridMultilevel"/>
    <w:tmpl w:val="FFFFFFFF"/>
    <w:lvl w:ilvl="0" w:tplc="32B25A34">
      <w:start w:val="1"/>
      <w:numFmt w:val="bullet"/>
      <w:lvlText w:val=""/>
      <w:lvlJc w:val="left"/>
      <w:pPr>
        <w:ind w:left="720" w:hanging="360"/>
      </w:pPr>
      <w:rPr>
        <w:rFonts w:ascii="Symbol" w:hAnsi="Symbol" w:hint="default"/>
      </w:rPr>
    </w:lvl>
    <w:lvl w:ilvl="1" w:tplc="19703996">
      <w:start w:val="1"/>
      <w:numFmt w:val="bullet"/>
      <w:lvlText w:val="o"/>
      <w:lvlJc w:val="left"/>
      <w:pPr>
        <w:ind w:left="1440" w:hanging="360"/>
      </w:pPr>
      <w:rPr>
        <w:rFonts w:ascii="Courier New" w:hAnsi="Courier New" w:hint="default"/>
      </w:rPr>
    </w:lvl>
    <w:lvl w:ilvl="2" w:tplc="984C26A0">
      <w:start w:val="1"/>
      <w:numFmt w:val="bullet"/>
      <w:lvlText w:val=""/>
      <w:lvlJc w:val="left"/>
      <w:pPr>
        <w:ind w:left="2160" w:hanging="360"/>
      </w:pPr>
      <w:rPr>
        <w:rFonts w:ascii="Wingdings" w:hAnsi="Wingdings" w:hint="default"/>
      </w:rPr>
    </w:lvl>
    <w:lvl w:ilvl="3" w:tplc="2DA44570">
      <w:start w:val="1"/>
      <w:numFmt w:val="bullet"/>
      <w:lvlText w:val=""/>
      <w:lvlJc w:val="left"/>
      <w:pPr>
        <w:ind w:left="2880" w:hanging="360"/>
      </w:pPr>
      <w:rPr>
        <w:rFonts w:ascii="Symbol" w:hAnsi="Symbol" w:hint="default"/>
      </w:rPr>
    </w:lvl>
    <w:lvl w:ilvl="4" w:tplc="67442D3C">
      <w:start w:val="1"/>
      <w:numFmt w:val="bullet"/>
      <w:lvlText w:val="o"/>
      <w:lvlJc w:val="left"/>
      <w:pPr>
        <w:ind w:left="3600" w:hanging="360"/>
      </w:pPr>
      <w:rPr>
        <w:rFonts w:ascii="Courier New" w:hAnsi="Courier New" w:hint="default"/>
      </w:rPr>
    </w:lvl>
    <w:lvl w:ilvl="5" w:tplc="C37ABA0E">
      <w:start w:val="1"/>
      <w:numFmt w:val="bullet"/>
      <w:lvlText w:val=""/>
      <w:lvlJc w:val="left"/>
      <w:pPr>
        <w:ind w:left="4320" w:hanging="360"/>
      </w:pPr>
      <w:rPr>
        <w:rFonts w:ascii="Wingdings" w:hAnsi="Wingdings" w:hint="default"/>
      </w:rPr>
    </w:lvl>
    <w:lvl w:ilvl="6" w:tplc="4E2EA004">
      <w:start w:val="1"/>
      <w:numFmt w:val="bullet"/>
      <w:lvlText w:val=""/>
      <w:lvlJc w:val="left"/>
      <w:pPr>
        <w:ind w:left="5040" w:hanging="360"/>
      </w:pPr>
      <w:rPr>
        <w:rFonts w:ascii="Symbol" w:hAnsi="Symbol" w:hint="default"/>
      </w:rPr>
    </w:lvl>
    <w:lvl w:ilvl="7" w:tplc="2E1AF74A">
      <w:start w:val="1"/>
      <w:numFmt w:val="bullet"/>
      <w:lvlText w:val="o"/>
      <w:lvlJc w:val="left"/>
      <w:pPr>
        <w:ind w:left="5760" w:hanging="360"/>
      </w:pPr>
      <w:rPr>
        <w:rFonts w:ascii="Courier New" w:hAnsi="Courier New" w:hint="default"/>
      </w:rPr>
    </w:lvl>
    <w:lvl w:ilvl="8" w:tplc="93A0CC04">
      <w:start w:val="1"/>
      <w:numFmt w:val="bullet"/>
      <w:lvlText w:val=""/>
      <w:lvlJc w:val="left"/>
      <w:pPr>
        <w:ind w:left="6480" w:hanging="360"/>
      </w:pPr>
      <w:rPr>
        <w:rFonts w:ascii="Wingdings" w:hAnsi="Wingdings" w:hint="default"/>
      </w:rPr>
    </w:lvl>
  </w:abstractNum>
  <w:abstractNum w:abstractNumId="23" w15:restartNumberingAfterBreak="0">
    <w:nsid w:val="592B0ED6"/>
    <w:multiLevelType w:val="hybridMultilevel"/>
    <w:tmpl w:val="897E072C"/>
    <w:lvl w:ilvl="0" w:tplc="9B1E4B64">
      <w:start w:val="1"/>
      <w:numFmt w:val="lowerLetter"/>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60421866"/>
    <w:multiLevelType w:val="hybridMultilevel"/>
    <w:tmpl w:val="87040C2E"/>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7403C56"/>
    <w:multiLevelType w:val="hybridMultilevel"/>
    <w:tmpl w:val="7B8078A2"/>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6C25BF76"/>
    <w:multiLevelType w:val="hybridMultilevel"/>
    <w:tmpl w:val="FFFFFFFF"/>
    <w:lvl w:ilvl="0" w:tplc="D86EAB52">
      <w:start w:val="1"/>
      <w:numFmt w:val="bullet"/>
      <w:lvlText w:val=""/>
      <w:lvlJc w:val="left"/>
      <w:pPr>
        <w:ind w:left="720" w:hanging="360"/>
      </w:pPr>
      <w:rPr>
        <w:rFonts w:ascii="Symbol" w:hAnsi="Symbol" w:hint="default"/>
      </w:rPr>
    </w:lvl>
    <w:lvl w:ilvl="1" w:tplc="F4FACA70">
      <w:start w:val="1"/>
      <w:numFmt w:val="bullet"/>
      <w:lvlText w:val="o"/>
      <w:lvlJc w:val="left"/>
      <w:pPr>
        <w:ind w:left="1440" w:hanging="360"/>
      </w:pPr>
      <w:rPr>
        <w:rFonts w:ascii="Courier New" w:hAnsi="Courier New" w:hint="default"/>
      </w:rPr>
    </w:lvl>
    <w:lvl w:ilvl="2" w:tplc="B80065F8">
      <w:start w:val="1"/>
      <w:numFmt w:val="bullet"/>
      <w:lvlText w:val=""/>
      <w:lvlJc w:val="left"/>
      <w:pPr>
        <w:ind w:left="2160" w:hanging="360"/>
      </w:pPr>
      <w:rPr>
        <w:rFonts w:ascii="Wingdings" w:hAnsi="Wingdings" w:hint="default"/>
      </w:rPr>
    </w:lvl>
    <w:lvl w:ilvl="3" w:tplc="52701592">
      <w:start w:val="1"/>
      <w:numFmt w:val="bullet"/>
      <w:lvlText w:val=""/>
      <w:lvlJc w:val="left"/>
      <w:pPr>
        <w:ind w:left="2880" w:hanging="360"/>
      </w:pPr>
      <w:rPr>
        <w:rFonts w:ascii="Symbol" w:hAnsi="Symbol" w:hint="default"/>
      </w:rPr>
    </w:lvl>
    <w:lvl w:ilvl="4" w:tplc="D2E2E89C">
      <w:start w:val="1"/>
      <w:numFmt w:val="bullet"/>
      <w:lvlText w:val="o"/>
      <w:lvlJc w:val="left"/>
      <w:pPr>
        <w:ind w:left="3600" w:hanging="360"/>
      </w:pPr>
      <w:rPr>
        <w:rFonts w:ascii="Courier New" w:hAnsi="Courier New" w:hint="default"/>
      </w:rPr>
    </w:lvl>
    <w:lvl w:ilvl="5" w:tplc="4B80F4D4">
      <w:start w:val="1"/>
      <w:numFmt w:val="bullet"/>
      <w:lvlText w:val=""/>
      <w:lvlJc w:val="left"/>
      <w:pPr>
        <w:ind w:left="4320" w:hanging="360"/>
      </w:pPr>
      <w:rPr>
        <w:rFonts w:ascii="Wingdings" w:hAnsi="Wingdings" w:hint="default"/>
      </w:rPr>
    </w:lvl>
    <w:lvl w:ilvl="6" w:tplc="2DBCE050">
      <w:start w:val="1"/>
      <w:numFmt w:val="bullet"/>
      <w:lvlText w:val=""/>
      <w:lvlJc w:val="left"/>
      <w:pPr>
        <w:ind w:left="5040" w:hanging="360"/>
      </w:pPr>
      <w:rPr>
        <w:rFonts w:ascii="Symbol" w:hAnsi="Symbol" w:hint="default"/>
      </w:rPr>
    </w:lvl>
    <w:lvl w:ilvl="7" w:tplc="0EE6EA20">
      <w:start w:val="1"/>
      <w:numFmt w:val="bullet"/>
      <w:lvlText w:val="o"/>
      <w:lvlJc w:val="left"/>
      <w:pPr>
        <w:ind w:left="5760" w:hanging="360"/>
      </w:pPr>
      <w:rPr>
        <w:rFonts w:ascii="Courier New" w:hAnsi="Courier New" w:hint="default"/>
      </w:rPr>
    </w:lvl>
    <w:lvl w:ilvl="8" w:tplc="54FCA2C6">
      <w:start w:val="1"/>
      <w:numFmt w:val="bullet"/>
      <w:lvlText w:val=""/>
      <w:lvlJc w:val="left"/>
      <w:pPr>
        <w:ind w:left="6480" w:hanging="360"/>
      </w:pPr>
      <w:rPr>
        <w:rFonts w:ascii="Wingdings" w:hAnsi="Wingdings" w:hint="default"/>
      </w:rPr>
    </w:lvl>
  </w:abstractNum>
  <w:abstractNum w:abstractNumId="28" w15:restartNumberingAfterBreak="0">
    <w:nsid w:val="70EA2318"/>
    <w:multiLevelType w:val="hybridMultilevel"/>
    <w:tmpl w:val="FE688C2E"/>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7BA07F66"/>
    <w:multiLevelType w:val="hybridMultilevel"/>
    <w:tmpl w:val="7262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39118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287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03464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4133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7106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8442295">
    <w:abstractNumId w:val="21"/>
  </w:num>
  <w:num w:numId="7" w16cid:durableId="278680221">
    <w:abstractNumId w:val="12"/>
  </w:num>
  <w:num w:numId="8" w16cid:durableId="979304588">
    <w:abstractNumId w:val="2"/>
  </w:num>
  <w:num w:numId="9" w16cid:durableId="1364743387">
    <w:abstractNumId w:val="25"/>
  </w:num>
  <w:num w:numId="10" w16cid:durableId="1007631734">
    <w:abstractNumId w:val="13"/>
  </w:num>
  <w:num w:numId="11" w16cid:durableId="1786997885">
    <w:abstractNumId w:val="19"/>
  </w:num>
  <w:num w:numId="12" w16cid:durableId="1103846362">
    <w:abstractNumId w:val="21"/>
    <w:lvlOverride w:ilvl="0"/>
    <w:lvlOverride w:ilvl="1"/>
    <w:lvlOverride w:ilvl="2"/>
    <w:lvlOverride w:ilvl="3"/>
    <w:lvlOverride w:ilvl="4"/>
    <w:lvlOverride w:ilvl="5"/>
    <w:lvlOverride w:ilvl="6"/>
    <w:lvlOverride w:ilvl="7">
      <w:startOverride w:val="1"/>
    </w:lvlOverride>
    <w:lvlOverride w:ilvl="8">
      <w:startOverride w:val="1"/>
    </w:lvlOverride>
  </w:num>
  <w:num w:numId="13" w16cid:durableId="1282372882">
    <w:abstractNumId w:val="16"/>
  </w:num>
  <w:num w:numId="14" w16cid:durableId="2144762269">
    <w:abstractNumId w:val="20"/>
  </w:num>
  <w:num w:numId="15" w16cid:durableId="273367593">
    <w:abstractNumId w:val="1"/>
  </w:num>
  <w:num w:numId="16" w16cid:durableId="120849161">
    <w:abstractNumId w:val="3"/>
  </w:num>
  <w:num w:numId="17" w16cid:durableId="1952593168">
    <w:abstractNumId w:val="6"/>
  </w:num>
  <w:num w:numId="18" w16cid:durableId="2124879029">
    <w:abstractNumId w:val="15"/>
  </w:num>
  <w:num w:numId="19" w16cid:durableId="423650425">
    <w:abstractNumId w:val="11"/>
  </w:num>
  <w:num w:numId="20" w16cid:durableId="16002120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17483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1490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3656756">
    <w:abstractNumId w:val="29"/>
  </w:num>
  <w:num w:numId="24" w16cid:durableId="2120446266">
    <w:abstractNumId w:val="8"/>
  </w:num>
  <w:num w:numId="25" w16cid:durableId="632060983">
    <w:abstractNumId w:val="26"/>
  </w:num>
  <w:num w:numId="26" w16cid:durableId="39617386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994407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94071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37753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714908">
    <w:abstractNumId w:val="14"/>
  </w:num>
  <w:num w:numId="31" w16cid:durableId="20750828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751749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4204860">
    <w:abstractNumId w:val="5"/>
  </w:num>
  <w:num w:numId="34" w16cid:durableId="36011972">
    <w:abstractNumId w:val="0"/>
  </w:num>
  <w:num w:numId="35" w16cid:durableId="99570570">
    <w:abstractNumId w:val="27"/>
  </w:num>
  <w:num w:numId="36" w16cid:durableId="666983886">
    <w:abstractNumId w:val="22"/>
  </w:num>
  <w:num w:numId="37" w16cid:durableId="209708925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532"/>
    <w:rsid w:val="00000719"/>
    <w:rsid w:val="00002D68"/>
    <w:rsid w:val="000033F7"/>
    <w:rsid w:val="00003403"/>
    <w:rsid w:val="00005347"/>
    <w:rsid w:val="000072B6"/>
    <w:rsid w:val="0001021B"/>
    <w:rsid w:val="00011D89"/>
    <w:rsid w:val="000154FD"/>
    <w:rsid w:val="00020678"/>
    <w:rsid w:val="00022271"/>
    <w:rsid w:val="000235E8"/>
    <w:rsid w:val="00024D89"/>
    <w:rsid w:val="000250B6"/>
    <w:rsid w:val="00033D81"/>
    <w:rsid w:val="00033DC9"/>
    <w:rsid w:val="000344EA"/>
    <w:rsid w:val="00037366"/>
    <w:rsid w:val="00041BF0"/>
    <w:rsid w:val="00042C8A"/>
    <w:rsid w:val="0004536B"/>
    <w:rsid w:val="00046B68"/>
    <w:rsid w:val="000527DD"/>
    <w:rsid w:val="00056EC4"/>
    <w:rsid w:val="000578B2"/>
    <w:rsid w:val="00060959"/>
    <w:rsid w:val="00060C8F"/>
    <w:rsid w:val="0006298A"/>
    <w:rsid w:val="000663CD"/>
    <w:rsid w:val="00071AE1"/>
    <w:rsid w:val="000733FE"/>
    <w:rsid w:val="00074219"/>
    <w:rsid w:val="00074ED5"/>
    <w:rsid w:val="0008170F"/>
    <w:rsid w:val="0008204A"/>
    <w:rsid w:val="0008508E"/>
    <w:rsid w:val="00087951"/>
    <w:rsid w:val="0009113B"/>
    <w:rsid w:val="00093402"/>
    <w:rsid w:val="000939ED"/>
    <w:rsid w:val="00094DA3"/>
    <w:rsid w:val="00096CD1"/>
    <w:rsid w:val="000A012C"/>
    <w:rsid w:val="000A0EB9"/>
    <w:rsid w:val="000A0F5A"/>
    <w:rsid w:val="000A186C"/>
    <w:rsid w:val="000A1EA4"/>
    <w:rsid w:val="000A2476"/>
    <w:rsid w:val="000A641A"/>
    <w:rsid w:val="000B14C9"/>
    <w:rsid w:val="000B3EDB"/>
    <w:rsid w:val="000B543D"/>
    <w:rsid w:val="000B55F9"/>
    <w:rsid w:val="000B5BF7"/>
    <w:rsid w:val="000B6BC8"/>
    <w:rsid w:val="000C0303"/>
    <w:rsid w:val="000C2B69"/>
    <w:rsid w:val="000C42EA"/>
    <w:rsid w:val="000C4546"/>
    <w:rsid w:val="000D02EC"/>
    <w:rsid w:val="000D1242"/>
    <w:rsid w:val="000D1B58"/>
    <w:rsid w:val="000D2ABA"/>
    <w:rsid w:val="000D6262"/>
    <w:rsid w:val="000E0970"/>
    <w:rsid w:val="000E3CC7"/>
    <w:rsid w:val="000E6BD4"/>
    <w:rsid w:val="000E6D6D"/>
    <w:rsid w:val="000F1F1E"/>
    <w:rsid w:val="000F2259"/>
    <w:rsid w:val="000F2DDA"/>
    <w:rsid w:val="000F2EA0"/>
    <w:rsid w:val="000F3B38"/>
    <w:rsid w:val="000F5213"/>
    <w:rsid w:val="000F70A4"/>
    <w:rsid w:val="00101001"/>
    <w:rsid w:val="00103276"/>
    <w:rsid w:val="0010392D"/>
    <w:rsid w:val="0010447F"/>
    <w:rsid w:val="00104FE3"/>
    <w:rsid w:val="0010714F"/>
    <w:rsid w:val="001120C5"/>
    <w:rsid w:val="0011393F"/>
    <w:rsid w:val="00116515"/>
    <w:rsid w:val="00120BD3"/>
    <w:rsid w:val="00120E56"/>
    <w:rsid w:val="001223D4"/>
    <w:rsid w:val="001228DD"/>
    <w:rsid w:val="00122FEA"/>
    <w:rsid w:val="001232BD"/>
    <w:rsid w:val="00124ED5"/>
    <w:rsid w:val="001276FA"/>
    <w:rsid w:val="00142912"/>
    <w:rsid w:val="001447B3"/>
    <w:rsid w:val="00152073"/>
    <w:rsid w:val="00152329"/>
    <w:rsid w:val="0015246C"/>
    <w:rsid w:val="00156598"/>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139E"/>
    <w:rsid w:val="0018244E"/>
    <w:rsid w:val="00183356"/>
    <w:rsid w:val="0018382D"/>
    <w:rsid w:val="00185179"/>
    <w:rsid w:val="00186B33"/>
    <w:rsid w:val="00192F9D"/>
    <w:rsid w:val="00196EB8"/>
    <w:rsid w:val="00196EFB"/>
    <w:rsid w:val="001979FF"/>
    <w:rsid w:val="00197B17"/>
    <w:rsid w:val="001A1950"/>
    <w:rsid w:val="001A1C54"/>
    <w:rsid w:val="001A27A7"/>
    <w:rsid w:val="001A28FE"/>
    <w:rsid w:val="001A3ACE"/>
    <w:rsid w:val="001A6272"/>
    <w:rsid w:val="001B058F"/>
    <w:rsid w:val="001B4187"/>
    <w:rsid w:val="001B6B96"/>
    <w:rsid w:val="001B738B"/>
    <w:rsid w:val="001C09DB"/>
    <w:rsid w:val="001C277E"/>
    <w:rsid w:val="001C2A72"/>
    <w:rsid w:val="001C31B7"/>
    <w:rsid w:val="001C7128"/>
    <w:rsid w:val="001D0B75"/>
    <w:rsid w:val="001D39A5"/>
    <w:rsid w:val="001D3C09"/>
    <w:rsid w:val="001D4041"/>
    <w:rsid w:val="001D44E8"/>
    <w:rsid w:val="001D5B14"/>
    <w:rsid w:val="001D60EC"/>
    <w:rsid w:val="001D6F59"/>
    <w:rsid w:val="001E44DF"/>
    <w:rsid w:val="001E68A5"/>
    <w:rsid w:val="001E6BB0"/>
    <w:rsid w:val="001E7282"/>
    <w:rsid w:val="001E7CE9"/>
    <w:rsid w:val="001F3826"/>
    <w:rsid w:val="001F6E46"/>
    <w:rsid w:val="001F7C91"/>
    <w:rsid w:val="00200442"/>
    <w:rsid w:val="002033B7"/>
    <w:rsid w:val="00206463"/>
    <w:rsid w:val="00206F2F"/>
    <w:rsid w:val="00207717"/>
    <w:rsid w:val="0021053D"/>
    <w:rsid w:val="00210A92"/>
    <w:rsid w:val="00212B95"/>
    <w:rsid w:val="00215CC8"/>
    <w:rsid w:val="00216983"/>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3A3E"/>
    <w:rsid w:val="00254F58"/>
    <w:rsid w:val="002577C0"/>
    <w:rsid w:val="002600BD"/>
    <w:rsid w:val="00260767"/>
    <w:rsid w:val="002620BC"/>
    <w:rsid w:val="00262802"/>
    <w:rsid w:val="00263A90"/>
    <w:rsid w:val="0026408B"/>
    <w:rsid w:val="0026527D"/>
    <w:rsid w:val="00267C3E"/>
    <w:rsid w:val="002709BB"/>
    <w:rsid w:val="0027131C"/>
    <w:rsid w:val="002739BB"/>
    <w:rsid w:val="00273BAC"/>
    <w:rsid w:val="00273C89"/>
    <w:rsid w:val="002763B3"/>
    <w:rsid w:val="002802E3"/>
    <w:rsid w:val="0028213D"/>
    <w:rsid w:val="00282A7F"/>
    <w:rsid w:val="00285C7B"/>
    <w:rsid w:val="002862F1"/>
    <w:rsid w:val="00287533"/>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364B"/>
    <w:rsid w:val="002D5006"/>
    <w:rsid w:val="002D7118"/>
    <w:rsid w:val="002D7C61"/>
    <w:rsid w:val="002E01D0"/>
    <w:rsid w:val="002E161D"/>
    <w:rsid w:val="002E28A2"/>
    <w:rsid w:val="002E3100"/>
    <w:rsid w:val="002E6C95"/>
    <w:rsid w:val="002E7C36"/>
    <w:rsid w:val="002F221F"/>
    <w:rsid w:val="002F3D32"/>
    <w:rsid w:val="002F5F31"/>
    <w:rsid w:val="002F5F46"/>
    <w:rsid w:val="00302216"/>
    <w:rsid w:val="00303E53"/>
    <w:rsid w:val="00305CC1"/>
    <w:rsid w:val="00306E5F"/>
    <w:rsid w:val="00307E14"/>
    <w:rsid w:val="00314054"/>
    <w:rsid w:val="00314BF9"/>
    <w:rsid w:val="00316F27"/>
    <w:rsid w:val="003176FE"/>
    <w:rsid w:val="003211E2"/>
    <w:rsid w:val="003214F1"/>
    <w:rsid w:val="00322E4B"/>
    <w:rsid w:val="00327870"/>
    <w:rsid w:val="0033259D"/>
    <w:rsid w:val="003333D2"/>
    <w:rsid w:val="00334686"/>
    <w:rsid w:val="00337339"/>
    <w:rsid w:val="00340345"/>
    <w:rsid w:val="003406C6"/>
    <w:rsid w:val="003413E4"/>
    <w:rsid w:val="003418CC"/>
    <w:rsid w:val="003434EE"/>
    <w:rsid w:val="0034556D"/>
    <w:rsid w:val="003459BD"/>
    <w:rsid w:val="00350D38"/>
    <w:rsid w:val="00351B36"/>
    <w:rsid w:val="00357B4E"/>
    <w:rsid w:val="003716FD"/>
    <w:rsid w:val="0037204B"/>
    <w:rsid w:val="003744CF"/>
    <w:rsid w:val="00374717"/>
    <w:rsid w:val="0037676C"/>
    <w:rsid w:val="00381043"/>
    <w:rsid w:val="0038187B"/>
    <w:rsid w:val="003829E5"/>
    <w:rsid w:val="00386109"/>
    <w:rsid w:val="00386944"/>
    <w:rsid w:val="003956CC"/>
    <w:rsid w:val="00395C9A"/>
    <w:rsid w:val="003A0853"/>
    <w:rsid w:val="003A6B67"/>
    <w:rsid w:val="003B13B6"/>
    <w:rsid w:val="003B14C3"/>
    <w:rsid w:val="003B15E6"/>
    <w:rsid w:val="003B22EF"/>
    <w:rsid w:val="003B408A"/>
    <w:rsid w:val="003B4EC7"/>
    <w:rsid w:val="003C08A2"/>
    <w:rsid w:val="003C1BAB"/>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5C2A"/>
    <w:rsid w:val="003E639E"/>
    <w:rsid w:val="003E71E5"/>
    <w:rsid w:val="003F0445"/>
    <w:rsid w:val="003F0CF0"/>
    <w:rsid w:val="003F14B1"/>
    <w:rsid w:val="003F2707"/>
    <w:rsid w:val="003F2B20"/>
    <w:rsid w:val="003F3289"/>
    <w:rsid w:val="003F3C62"/>
    <w:rsid w:val="003F5CB9"/>
    <w:rsid w:val="004013C7"/>
    <w:rsid w:val="00401FCF"/>
    <w:rsid w:val="00406285"/>
    <w:rsid w:val="004115A2"/>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D86"/>
    <w:rsid w:val="0045230A"/>
    <w:rsid w:val="00454AD0"/>
    <w:rsid w:val="0045606D"/>
    <w:rsid w:val="00457337"/>
    <w:rsid w:val="00462E3D"/>
    <w:rsid w:val="00466E79"/>
    <w:rsid w:val="00470D7D"/>
    <w:rsid w:val="0047372D"/>
    <w:rsid w:val="00473BA3"/>
    <w:rsid w:val="004743DD"/>
    <w:rsid w:val="00474CEA"/>
    <w:rsid w:val="00483968"/>
    <w:rsid w:val="004841BE"/>
    <w:rsid w:val="00484F86"/>
    <w:rsid w:val="00490746"/>
    <w:rsid w:val="00490852"/>
    <w:rsid w:val="004917FF"/>
    <w:rsid w:val="00491C9C"/>
    <w:rsid w:val="00492F30"/>
    <w:rsid w:val="004946F4"/>
    <w:rsid w:val="0049487E"/>
    <w:rsid w:val="004A00B9"/>
    <w:rsid w:val="004A160D"/>
    <w:rsid w:val="004A1866"/>
    <w:rsid w:val="004A3E81"/>
    <w:rsid w:val="004A4195"/>
    <w:rsid w:val="004A5C62"/>
    <w:rsid w:val="004A5CE5"/>
    <w:rsid w:val="004A707D"/>
    <w:rsid w:val="004B0974"/>
    <w:rsid w:val="004B301D"/>
    <w:rsid w:val="004B4185"/>
    <w:rsid w:val="004C014B"/>
    <w:rsid w:val="004C42D6"/>
    <w:rsid w:val="004C5541"/>
    <w:rsid w:val="004C56C3"/>
    <w:rsid w:val="004C6EEE"/>
    <w:rsid w:val="004C702B"/>
    <w:rsid w:val="004D0033"/>
    <w:rsid w:val="004D016B"/>
    <w:rsid w:val="004D1B22"/>
    <w:rsid w:val="004D23CC"/>
    <w:rsid w:val="004D2B45"/>
    <w:rsid w:val="004D36F2"/>
    <w:rsid w:val="004D5708"/>
    <w:rsid w:val="004E1106"/>
    <w:rsid w:val="004E138F"/>
    <w:rsid w:val="004E4649"/>
    <w:rsid w:val="004E5C2B"/>
    <w:rsid w:val="004E6D6C"/>
    <w:rsid w:val="004F00DD"/>
    <w:rsid w:val="004F2133"/>
    <w:rsid w:val="004F5398"/>
    <w:rsid w:val="004F55F1"/>
    <w:rsid w:val="004F6936"/>
    <w:rsid w:val="00503DC6"/>
    <w:rsid w:val="00506F5D"/>
    <w:rsid w:val="00510C37"/>
    <w:rsid w:val="005126D0"/>
    <w:rsid w:val="00514667"/>
    <w:rsid w:val="0051568D"/>
    <w:rsid w:val="0051720B"/>
    <w:rsid w:val="005224B6"/>
    <w:rsid w:val="00526AC7"/>
    <w:rsid w:val="00526C15"/>
    <w:rsid w:val="00536499"/>
    <w:rsid w:val="00540CBB"/>
    <w:rsid w:val="00541688"/>
    <w:rsid w:val="00542A03"/>
    <w:rsid w:val="00543903"/>
    <w:rsid w:val="00543BCC"/>
    <w:rsid w:val="00543F11"/>
    <w:rsid w:val="00546305"/>
    <w:rsid w:val="00546F6C"/>
    <w:rsid w:val="00547A95"/>
    <w:rsid w:val="0055119B"/>
    <w:rsid w:val="00552A25"/>
    <w:rsid w:val="00561202"/>
    <w:rsid w:val="00562507"/>
    <w:rsid w:val="00562811"/>
    <w:rsid w:val="00572031"/>
    <w:rsid w:val="00572282"/>
    <w:rsid w:val="00573CE3"/>
    <w:rsid w:val="00576E84"/>
    <w:rsid w:val="00580108"/>
    <w:rsid w:val="00580394"/>
    <w:rsid w:val="005809CD"/>
    <w:rsid w:val="00580F7E"/>
    <w:rsid w:val="00582B8C"/>
    <w:rsid w:val="0058757E"/>
    <w:rsid w:val="00590098"/>
    <w:rsid w:val="00596A4B"/>
    <w:rsid w:val="00597507"/>
    <w:rsid w:val="005A3CEC"/>
    <w:rsid w:val="005A447E"/>
    <w:rsid w:val="005A479D"/>
    <w:rsid w:val="005B1C6D"/>
    <w:rsid w:val="005B21B6"/>
    <w:rsid w:val="005B3A08"/>
    <w:rsid w:val="005B49F5"/>
    <w:rsid w:val="005B6AB9"/>
    <w:rsid w:val="005B7A63"/>
    <w:rsid w:val="005C0955"/>
    <w:rsid w:val="005C49DA"/>
    <w:rsid w:val="005C50F3"/>
    <w:rsid w:val="005C54B5"/>
    <w:rsid w:val="005C5D80"/>
    <w:rsid w:val="005C5D91"/>
    <w:rsid w:val="005C7391"/>
    <w:rsid w:val="005D07B8"/>
    <w:rsid w:val="005D6597"/>
    <w:rsid w:val="005E14E7"/>
    <w:rsid w:val="005E26A3"/>
    <w:rsid w:val="005E2ECB"/>
    <w:rsid w:val="005E447E"/>
    <w:rsid w:val="005E4FD1"/>
    <w:rsid w:val="005E5038"/>
    <w:rsid w:val="005F0775"/>
    <w:rsid w:val="005F0CF5"/>
    <w:rsid w:val="005F21EB"/>
    <w:rsid w:val="005F23C1"/>
    <w:rsid w:val="005F335A"/>
    <w:rsid w:val="005F64CF"/>
    <w:rsid w:val="006041AD"/>
    <w:rsid w:val="00605908"/>
    <w:rsid w:val="00607850"/>
    <w:rsid w:val="00607EF7"/>
    <w:rsid w:val="00610D7C"/>
    <w:rsid w:val="00613414"/>
    <w:rsid w:val="00620154"/>
    <w:rsid w:val="0062408D"/>
    <w:rsid w:val="006240CC"/>
    <w:rsid w:val="00624940"/>
    <w:rsid w:val="006254F8"/>
    <w:rsid w:val="00626060"/>
    <w:rsid w:val="00627DA7"/>
    <w:rsid w:val="00630DA4"/>
    <w:rsid w:val="00631CD4"/>
    <w:rsid w:val="00632597"/>
    <w:rsid w:val="00634D13"/>
    <w:rsid w:val="006358B4"/>
    <w:rsid w:val="00637446"/>
    <w:rsid w:val="00641724"/>
    <w:rsid w:val="006419AA"/>
    <w:rsid w:val="00641D69"/>
    <w:rsid w:val="006428ED"/>
    <w:rsid w:val="00644B1F"/>
    <w:rsid w:val="00644B7E"/>
    <w:rsid w:val="006454E6"/>
    <w:rsid w:val="00646235"/>
    <w:rsid w:val="00646A68"/>
    <w:rsid w:val="00646CEB"/>
    <w:rsid w:val="006505BD"/>
    <w:rsid w:val="006508EA"/>
    <w:rsid w:val="0065092E"/>
    <w:rsid w:val="00650C23"/>
    <w:rsid w:val="006557A7"/>
    <w:rsid w:val="00656290"/>
    <w:rsid w:val="006601C9"/>
    <w:rsid w:val="006608D8"/>
    <w:rsid w:val="006621D7"/>
    <w:rsid w:val="0066302A"/>
    <w:rsid w:val="00667770"/>
    <w:rsid w:val="00670597"/>
    <w:rsid w:val="006706D0"/>
    <w:rsid w:val="006736D5"/>
    <w:rsid w:val="00677574"/>
    <w:rsid w:val="00677EC5"/>
    <w:rsid w:val="006812ED"/>
    <w:rsid w:val="00683878"/>
    <w:rsid w:val="00684380"/>
    <w:rsid w:val="0068454C"/>
    <w:rsid w:val="00684CE2"/>
    <w:rsid w:val="00691B62"/>
    <w:rsid w:val="006933B5"/>
    <w:rsid w:val="00693546"/>
    <w:rsid w:val="00693D14"/>
    <w:rsid w:val="00696F27"/>
    <w:rsid w:val="0069724F"/>
    <w:rsid w:val="0069756E"/>
    <w:rsid w:val="006A18C2"/>
    <w:rsid w:val="006A2717"/>
    <w:rsid w:val="006A3383"/>
    <w:rsid w:val="006B077C"/>
    <w:rsid w:val="006B0C81"/>
    <w:rsid w:val="006B6803"/>
    <w:rsid w:val="006C68ED"/>
    <w:rsid w:val="006C73DE"/>
    <w:rsid w:val="006C767C"/>
    <w:rsid w:val="006D0F16"/>
    <w:rsid w:val="006D2A3F"/>
    <w:rsid w:val="006D2FBC"/>
    <w:rsid w:val="006D3EF9"/>
    <w:rsid w:val="006D6E34"/>
    <w:rsid w:val="006E138B"/>
    <w:rsid w:val="006E1867"/>
    <w:rsid w:val="006E4A01"/>
    <w:rsid w:val="006F0330"/>
    <w:rsid w:val="006F1FDC"/>
    <w:rsid w:val="006F36F7"/>
    <w:rsid w:val="006F6B76"/>
    <w:rsid w:val="006F6B8C"/>
    <w:rsid w:val="007013EF"/>
    <w:rsid w:val="00704B40"/>
    <w:rsid w:val="007055BD"/>
    <w:rsid w:val="00712D4A"/>
    <w:rsid w:val="0071589C"/>
    <w:rsid w:val="007173CA"/>
    <w:rsid w:val="007216AA"/>
    <w:rsid w:val="00721AB5"/>
    <w:rsid w:val="00721CFB"/>
    <w:rsid w:val="00721DEF"/>
    <w:rsid w:val="00724A43"/>
    <w:rsid w:val="007273AC"/>
    <w:rsid w:val="00731AD4"/>
    <w:rsid w:val="0073275B"/>
    <w:rsid w:val="00733ED9"/>
    <w:rsid w:val="007346E4"/>
    <w:rsid w:val="00735564"/>
    <w:rsid w:val="00740AE6"/>
    <w:rsid w:val="00740F22"/>
    <w:rsid w:val="00741CF0"/>
    <w:rsid w:val="00741F1A"/>
    <w:rsid w:val="007447DA"/>
    <w:rsid w:val="007450F8"/>
    <w:rsid w:val="0074696E"/>
    <w:rsid w:val="0075005B"/>
    <w:rsid w:val="00750135"/>
    <w:rsid w:val="00750EC2"/>
    <w:rsid w:val="00752B28"/>
    <w:rsid w:val="007536BC"/>
    <w:rsid w:val="007541A9"/>
    <w:rsid w:val="00754E36"/>
    <w:rsid w:val="00755753"/>
    <w:rsid w:val="0075661E"/>
    <w:rsid w:val="00761FA6"/>
    <w:rsid w:val="00763139"/>
    <w:rsid w:val="0076733A"/>
    <w:rsid w:val="00770F37"/>
    <w:rsid w:val="007711A0"/>
    <w:rsid w:val="00772D5E"/>
    <w:rsid w:val="0077463E"/>
    <w:rsid w:val="00776928"/>
    <w:rsid w:val="00776D56"/>
    <w:rsid w:val="00776E0F"/>
    <w:rsid w:val="007774B1"/>
    <w:rsid w:val="00777BE1"/>
    <w:rsid w:val="00782222"/>
    <w:rsid w:val="007833D8"/>
    <w:rsid w:val="00784D63"/>
    <w:rsid w:val="00785677"/>
    <w:rsid w:val="00786F16"/>
    <w:rsid w:val="00787472"/>
    <w:rsid w:val="00791BD7"/>
    <w:rsid w:val="007933F7"/>
    <w:rsid w:val="0079625C"/>
    <w:rsid w:val="00796E20"/>
    <w:rsid w:val="00797C32"/>
    <w:rsid w:val="007A11E8"/>
    <w:rsid w:val="007B0914"/>
    <w:rsid w:val="007B1374"/>
    <w:rsid w:val="007B32E5"/>
    <w:rsid w:val="007B3DB9"/>
    <w:rsid w:val="007B589F"/>
    <w:rsid w:val="007B6186"/>
    <w:rsid w:val="007B73BC"/>
    <w:rsid w:val="007C1838"/>
    <w:rsid w:val="007C20B9"/>
    <w:rsid w:val="007C3212"/>
    <w:rsid w:val="007C7301"/>
    <w:rsid w:val="007C7859"/>
    <w:rsid w:val="007C7F28"/>
    <w:rsid w:val="007D1466"/>
    <w:rsid w:val="007D2BDE"/>
    <w:rsid w:val="007D2FB6"/>
    <w:rsid w:val="007D49EB"/>
    <w:rsid w:val="007D4BA1"/>
    <w:rsid w:val="007D5E1C"/>
    <w:rsid w:val="007E003A"/>
    <w:rsid w:val="007E0DE2"/>
    <w:rsid w:val="007E277C"/>
    <w:rsid w:val="007E3667"/>
    <w:rsid w:val="007E3B98"/>
    <w:rsid w:val="007E417A"/>
    <w:rsid w:val="007E465B"/>
    <w:rsid w:val="007E79A7"/>
    <w:rsid w:val="007F31B6"/>
    <w:rsid w:val="007F546C"/>
    <w:rsid w:val="007F625F"/>
    <w:rsid w:val="007F665E"/>
    <w:rsid w:val="00800412"/>
    <w:rsid w:val="0080587B"/>
    <w:rsid w:val="00806468"/>
    <w:rsid w:val="008119CA"/>
    <w:rsid w:val="008130C4"/>
    <w:rsid w:val="008155F0"/>
    <w:rsid w:val="00816735"/>
    <w:rsid w:val="00816760"/>
    <w:rsid w:val="00820141"/>
    <w:rsid w:val="00820E0C"/>
    <w:rsid w:val="00823275"/>
    <w:rsid w:val="0082366F"/>
    <w:rsid w:val="00825DE5"/>
    <w:rsid w:val="00831B47"/>
    <w:rsid w:val="00831D3F"/>
    <w:rsid w:val="008338A2"/>
    <w:rsid w:val="00841AA9"/>
    <w:rsid w:val="00844E00"/>
    <w:rsid w:val="00846FE3"/>
    <w:rsid w:val="00847177"/>
    <w:rsid w:val="008474FE"/>
    <w:rsid w:val="00852978"/>
    <w:rsid w:val="008531B7"/>
    <w:rsid w:val="00853EE4"/>
    <w:rsid w:val="00855535"/>
    <w:rsid w:val="00857C5A"/>
    <w:rsid w:val="0086200B"/>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96E38"/>
    <w:rsid w:val="008A09F8"/>
    <w:rsid w:val="008A28A8"/>
    <w:rsid w:val="008A5B32"/>
    <w:rsid w:val="008B2029"/>
    <w:rsid w:val="008B2EE4"/>
    <w:rsid w:val="008B3821"/>
    <w:rsid w:val="008B4D3D"/>
    <w:rsid w:val="008B57C7"/>
    <w:rsid w:val="008B7E4D"/>
    <w:rsid w:val="008C2F92"/>
    <w:rsid w:val="008C3546"/>
    <w:rsid w:val="008C589D"/>
    <w:rsid w:val="008C6D51"/>
    <w:rsid w:val="008D2846"/>
    <w:rsid w:val="008D4236"/>
    <w:rsid w:val="008D462F"/>
    <w:rsid w:val="008D6DCF"/>
    <w:rsid w:val="008E4376"/>
    <w:rsid w:val="008E63C1"/>
    <w:rsid w:val="008E7807"/>
    <w:rsid w:val="008E7A0A"/>
    <w:rsid w:val="008E7B49"/>
    <w:rsid w:val="008F59F6"/>
    <w:rsid w:val="00900719"/>
    <w:rsid w:val="009017AC"/>
    <w:rsid w:val="00902A9A"/>
    <w:rsid w:val="00904A1C"/>
    <w:rsid w:val="00905030"/>
    <w:rsid w:val="00906490"/>
    <w:rsid w:val="009111B2"/>
    <w:rsid w:val="00912DFF"/>
    <w:rsid w:val="009151F5"/>
    <w:rsid w:val="00920644"/>
    <w:rsid w:val="00924AE1"/>
    <w:rsid w:val="00924B57"/>
    <w:rsid w:val="009269B1"/>
    <w:rsid w:val="0092724D"/>
    <w:rsid w:val="009272B3"/>
    <w:rsid w:val="009315BE"/>
    <w:rsid w:val="009326DD"/>
    <w:rsid w:val="0093338F"/>
    <w:rsid w:val="00937BD9"/>
    <w:rsid w:val="00950E2C"/>
    <w:rsid w:val="0095144E"/>
    <w:rsid w:val="00951D50"/>
    <w:rsid w:val="009525EB"/>
    <w:rsid w:val="009543D8"/>
    <w:rsid w:val="0095469D"/>
    <w:rsid w:val="0095470B"/>
    <w:rsid w:val="00954874"/>
    <w:rsid w:val="0095615A"/>
    <w:rsid w:val="00961400"/>
    <w:rsid w:val="00963646"/>
    <w:rsid w:val="0096506F"/>
    <w:rsid w:val="0096632D"/>
    <w:rsid w:val="00967124"/>
    <w:rsid w:val="0097166C"/>
    <w:rsid w:val="009718C7"/>
    <w:rsid w:val="0097559F"/>
    <w:rsid w:val="009761EA"/>
    <w:rsid w:val="0097761E"/>
    <w:rsid w:val="00981627"/>
    <w:rsid w:val="00982454"/>
    <w:rsid w:val="00982CF0"/>
    <w:rsid w:val="009853E1"/>
    <w:rsid w:val="00986BC3"/>
    <w:rsid w:val="00986E6B"/>
    <w:rsid w:val="00987BAF"/>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3306"/>
    <w:rsid w:val="009B5622"/>
    <w:rsid w:val="009B59E9"/>
    <w:rsid w:val="009B70AA"/>
    <w:rsid w:val="009C245E"/>
    <w:rsid w:val="009C3CF1"/>
    <w:rsid w:val="009C5E77"/>
    <w:rsid w:val="009C7415"/>
    <w:rsid w:val="009C7A7E"/>
    <w:rsid w:val="009C7B8F"/>
    <w:rsid w:val="009D02E8"/>
    <w:rsid w:val="009D328F"/>
    <w:rsid w:val="009D33F0"/>
    <w:rsid w:val="009D51D0"/>
    <w:rsid w:val="009D70A4"/>
    <w:rsid w:val="009D7B14"/>
    <w:rsid w:val="009E08D1"/>
    <w:rsid w:val="009E0D96"/>
    <w:rsid w:val="009E1B95"/>
    <w:rsid w:val="009E3248"/>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52DC"/>
    <w:rsid w:val="00A07421"/>
    <w:rsid w:val="00A0776B"/>
    <w:rsid w:val="00A10FB9"/>
    <w:rsid w:val="00A11421"/>
    <w:rsid w:val="00A11F73"/>
    <w:rsid w:val="00A1389F"/>
    <w:rsid w:val="00A1410F"/>
    <w:rsid w:val="00A157B1"/>
    <w:rsid w:val="00A20F6A"/>
    <w:rsid w:val="00A22229"/>
    <w:rsid w:val="00A227BD"/>
    <w:rsid w:val="00A24442"/>
    <w:rsid w:val="00A24ADA"/>
    <w:rsid w:val="00A25924"/>
    <w:rsid w:val="00A31871"/>
    <w:rsid w:val="00A32577"/>
    <w:rsid w:val="00A330BB"/>
    <w:rsid w:val="00A42F56"/>
    <w:rsid w:val="00A446F5"/>
    <w:rsid w:val="00A44882"/>
    <w:rsid w:val="00A45125"/>
    <w:rsid w:val="00A47D7B"/>
    <w:rsid w:val="00A54715"/>
    <w:rsid w:val="00A568C7"/>
    <w:rsid w:val="00A6061C"/>
    <w:rsid w:val="00A62D44"/>
    <w:rsid w:val="00A67263"/>
    <w:rsid w:val="00A7161C"/>
    <w:rsid w:val="00A71CE4"/>
    <w:rsid w:val="00A77AA3"/>
    <w:rsid w:val="00A8236D"/>
    <w:rsid w:val="00A854EB"/>
    <w:rsid w:val="00A872E5"/>
    <w:rsid w:val="00A91406"/>
    <w:rsid w:val="00A953BE"/>
    <w:rsid w:val="00A96E65"/>
    <w:rsid w:val="00A96ECE"/>
    <w:rsid w:val="00A97AC4"/>
    <w:rsid w:val="00A97C72"/>
    <w:rsid w:val="00AA1C69"/>
    <w:rsid w:val="00AA310B"/>
    <w:rsid w:val="00AA63D4"/>
    <w:rsid w:val="00AA6AC0"/>
    <w:rsid w:val="00AA72AA"/>
    <w:rsid w:val="00AB06E8"/>
    <w:rsid w:val="00AB1CD3"/>
    <w:rsid w:val="00AB352F"/>
    <w:rsid w:val="00AC2532"/>
    <w:rsid w:val="00AC274B"/>
    <w:rsid w:val="00AC4764"/>
    <w:rsid w:val="00AC6D36"/>
    <w:rsid w:val="00AD0CBA"/>
    <w:rsid w:val="00AD26E2"/>
    <w:rsid w:val="00AD784C"/>
    <w:rsid w:val="00AE126A"/>
    <w:rsid w:val="00AE1BAE"/>
    <w:rsid w:val="00AE3005"/>
    <w:rsid w:val="00AE3BD5"/>
    <w:rsid w:val="00AE59A0"/>
    <w:rsid w:val="00AE6535"/>
    <w:rsid w:val="00AF0C57"/>
    <w:rsid w:val="00AF2558"/>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5F85"/>
    <w:rsid w:val="00B57329"/>
    <w:rsid w:val="00B60E61"/>
    <w:rsid w:val="00B62B50"/>
    <w:rsid w:val="00B635B7"/>
    <w:rsid w:val="00B63AE8"/>
    <w:rsid w:val="00B65950"/>
    <w:rsid w:val="00B66D83"/>
    <w:rsid w:val="00B672C0"/>
    <w:rsid w:val="00B674D1"/>
    <w:rsid w:val="00B676FD"/>
    <w:rsid w:val="00B678B6"/>
    <w:rsid w:val="00B75646"/>
    <w:rsid w:val="00B7629E"/>
    <w:rsid w:val="00B7768B"/>
    <w:rsid w:val="00B8352E"/>
    <w:rsid w:val="00B86AE3"/>
    <w:rsid w:val="00B90729"/>
    <w:rsid w:val="00B907DA"/>
    <w:rsid w:val="00B94C5E"/>
    <w:rsid w:val="00B950BC"/>
    <w:rsid w:val="00B962C7"/>
    <w:rsid w:val="00B9714C"/>
    <w:rsid w:val="00BA29AD"/>
    <w:rsid w:val="00BA33CF"/>
    <w:rsid w:val="00BA3F8D"/>
    <w:rsid w:val="00BA45B6"/>
    <w:rsid w:val="00BB205D"/>
    <w:rsid w:val="00BB7A10"/>
    <w:rsid w:val="00BC60BE"/>
    <w:rsid w:val="00BC7468"/>
    <w:rsid w:val="00BC7D4F"/>
    <w:rsid w:val="00BC7ED7"/>
    <w:rsid w:val="00BD2850"/>
    <w:rsid w:val="00BD2BBE"/>
    <w:rsid w:val="00BE16C8"/>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39E"/>
    <w:rsid w:val="00C149D0"/>
    <w:rsid w:val="00C15D95"/>
    <w:rsid w:val="00C26588"/>
    <w:rsid w:val="00C27DE9"/>
    <w:rsid w:val="00C32989"/>
    <w:rsid w:val="00C33388"/>
    <w:rsid w:val="00C35484"/>
    <w:rsid w:val="00C377DB"/>
    <w:rsid w:val="00C4173A"/>
    <w:rsid w:val="00C41E23"/>
    <w:rsid w:val="00C46FAD"/>
    <w:rsid w:val="00C50DED"/>
    <w:rsid w:val="00C52217"/>
    <w:rsid w:val="00C602FF"/>
    <w:rsid w:val="00C60411"/>
    <w:rsid w:val="00C61174"/>
    <w:rsid w:val="00C6148F"/>
    <w:rsid w:val="00C621B1"/>
    <w:rsid w:val="00C62F7A"/>
    <w:rsid w:val="00C63B9C"/>
    <w:rsid w:val="00C64B3E"/>
    <w:rsid w:val="00C6682F"/>
    <w:rsid w:val="00C67BF4"/>
    <w:rsid w:val="00C71253"/>
    <w:rsid w:val="00C71800"/>
    <w:rsid w:val="00C7275E"/>
    <w:rsid w:val="00C731AF"/>
    <w:rsid w:val="00C73DA3"/>
    <w:rsid w:val="00C74C5D"/>
    <w:rsid w:val="00C753CD"/>
    <w:rsid w:val="00C82EA9"/>
    <w:rsid w:val="00C863C4"/>
    <w:rsid w:val="00C90DAB"/>
    <w:rsid w:val="00C92029"/>
    <w:rsid w:val="00C920EA"/>
    <w:rsid w:val="00C93C3E"/>
    <w:rsid w:val="00C9512E"/>
    <w:rsid w:val="00C96C38"/>
    <w:rsid w:val="00CA12E3"/>
    <w:rsid w:val="00CA1476"/>
    <w:rsid w:val="00CA6611"/>
    <w:rsid w:val="00CA6AE6"/>
    <w:rsid w:val="00CA782F"/>
    <w:rsid w:val="00CB187B"/>
    <w:rsid w:val="00CB2835"/>
    <w:rsid w:val="00CB2851"/>
    <w:rsid w:val="00CB3285"/>
    <w:rsid w:val="00CB4500"/>
    <w:rsid w:val="00CB5EA8"/>
    <w:rsid w:val="00CC0C72"/>
    <w:rsid w:val="00CC2BFD"/>
    <w:rsid w:val="00CC6F40"/>
    <w:rsid w:val="00CD3476"/>
    <w:rsid w:val="00CD4E5F"/>
    <w:rsid w:val="00CD64DF"/>
    <w:rsid w:val="00CD768F"/>
    <w:rsid w:val="00CE225F"/>
    <w:rsid w:val="00CF230C"/>
    <w:rsid w:val="00CF2F50"/>
    <w:rsid w:val="00CF6198"/>
    <w:rsid w:val="00CF671C"/>
    <w:rsid w:val="00D0069B"/>
    <w:rsid w:val="00D02919"/>
    <w:rsid w:val="00D02BBB"/>
    <w:rsid w:val="00D04C61"/>
    <w:rsid w:val="00D05B8D"/>
    <w:rsid w:val="00D05B9B"/>
    <w:rsid w:val="00D065A2"/>
    <w:rsid w:val="00D079AA"/>
    <w:rsid w:val="00D07F00"/>
    <w:rsid w:val="00D1130F"/>
    <w:rsid w:val="00D1473F"/>
    <w:rsid w:val="00D1571F"/>
    <w:rsid w:val="00D17B72"/>
    <w:rsid w:val="00D21997"/>
    <w:rsid w:val="00D24BDF"/>
    <w:rsid w:val="00D3185C"/>
    <w:rsid w:val="00D3205F"/>
    <w:rsid w:val="00D3318E"/>
    <w:rsid w:val="00D33E72"/>
    <w:rsid w:val="00D35BD6"/>
    <w:rsid w:val="00D361B5"/>
    <w:rsid w:val="00D411A2"/>
    <w:rsid w:val="00D43936"/>
    <w:rsid w:val="00D4606D"/>
    <w:rsid w:val="00D50B9C"/>
    <w:rsid w:val="00D50DEB"/>
    <w:rsid w:val="00D513AF"/>
    <w:rsid w:val="00D52D73"/>
    <w:rsid w:val="00D52E58"/>
    <w:rsid w:val="00D549D1"/>
    <w:rsid w:val="00D56B20"/>
    <w:rsid w:val="00D578B3"/>
    <w:rsid w:val="00D618F4"/>
    <w:rsid w:val="00D63636"/>
    <w:rsid w:val="00D640AD"/>
    <w:rsid w:val="00D714CC"/>
    <w:rsid w:val="00D75EA7"/>
    <w:rsid w:val="00D77252"/>
    <w:rsid w:val="00D81ADF"/>
    <w:rsid w:val="00D81F21"/>
    <w:rsid w:val="00D83D06"/>
    <w:rsid w:val="00D864F2"/>
    <w:rsid w:val="00D913B9"/>
    <w:rsid w:val="00D943F8"/>
    <w:rsid w:val="00D95470"/>
    <w:rsid w:val="00D95825"/>
    <w:rsid w:val="00D96B55"/>
    <w:rsid w:val="00D977BF"/>
    <w:rsid w:val="00DA2619"/>
    <w:rsid w:val="00DA4239"/>
    <w:rsid w:val="00DA588C"/>
    <w:rsid w:val="00DA5AB1"/>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C6ABE"/>
    <w:rsid w:val="00DD1130"/>
    <w:rsid w:val="00DD1951"/>
    <w:rsid w:val="00DD487D"/>
    <w:rsid w:val="00DD4E83"/>
    <w:rsid w:val="00DD5DED"/>
    <w:rsid w:val="00DD6628"/>
    <w:rsid w:val="00DD6945"/>
    <w:rsid w:val="00DE19D2"/>
    <w:rsid w:val="00DE2D04"/>
    <w:rsid w:val="00DE2D88"/>
    <w:rsid w:val="00DE2F2A"/>
    <w:rsid w:val="00DE3250"/>
    <w:rsid w:val="00DE6028"/>
    <w:rsid w:val="00DE6C85"/>
    <w:rsid w:val="00DE78A3"/>
    <w:rsid w:val="00DF1A71"/>
    <w:rsid w:val="00DF40A5"/>
    <w:rsid w:val="00DF4F13"/>
    <w:rsid w:val="00DF50FC"/>
    <w:rsid w:val="00DF68C7"/>
    <w:rsid w:val="00DF731A"/>
    <w:rsid w:val="00DF79AF"/>
    <w:rsid w:val="00E04BBB"/>
    <w:rsid w:val="00E06B75"/>
    <w:rsid w:val="00E06C0E"/>
    <w:rsid w:val="00E11332"/>
    <w:rsid w:val="00E11352"/>
    <w:rsid w:val="00E170DC"/>
    <w:rsid w:val="00E17546"/>
    <w:rsid w:val="00E210B5"/>
    <w:rsid w:val="00E261B3"/>
    <w:rsid w:val="00E26818"/>
    <w:rsid w:val="00E27FFC"/>
    <w:rsid w:val="00E30B15"/>
    <w:rsid w:val="00E33237"/>
    <w:rsid w:val="00E40181"/>
    <w:rsid w:val="00E459CA"/>
    <w:rsid w:val="00E54950"/>
    <w:rsid w:val="00E55FB3"/>
    <w:rsid w:val="00E56A01"/>
    <w:rsid w:val="00E629A1"/>
    <w:rsid w:val="00E6794C"/>
    <w:rsid w:val="00E71591"/>
    <w:rsid w:val="00E71CEB"/>
    <w:rsid w:val="00E7219F"/>
    <w:rsid w:val="00E7474F"/>
    <w:rsid w:val="00E804CE"/>
    <w:rsid w:val="00E80DE3"/>
    <w:rsid w:val="00E82C55"/>
    <w:rsid w:val="00E8787E"/>
    <w:rsid w:val="00E92711"/>
    <w:rsid w:val="00E92AC3"/>
    <w:rsid w:val="00EA13D9"/>
    <w:rsid w:val="00EA2F6A"/>
    <w:rsid w:val="00EB00E0"/>
    <w:rsid w:val="00EB05D5"/>
    <w:rsid w:val="00EB4BC7"/>
    <w:rsid w:val="00EC059F"/>
    <w:rsid w:val="00EC1F24"/>
    <w:rsid w:val="00EC22F6"/>
    <w:rsid w:val="00EC3377"/>
    <w:rsid w:val="00EC3DB9"/>
    <w:rsid w:val="00EC4A48"/>
    <w:rsid w:val="00ED46AA"/>
    <w:rsid w:val="00ED58CA"/>
    <w:rsid w:val="00ED5B9B"/>
    <w:rsid w:val="00ED6BAD"/>
    <w:rsid w:val="00ED7447"/>
    <w:rsid w:val="00ED7762"/>
    <w:rsid w:val="00EE00D6"/>
    <w:rsid w:val="00EE11E7"/>
    <w:rsid w:val="00EE1488"/>
    <w:rsid w:val="00EE29AD"/>
    <w:rsid w:val="00EE3E24"/>
    <w:rsid w:val="00EE4D5D"/>
    <w:rsid w:val="00EE5131"/>
    <w:rsid w:val="00EF109B"/>
    <w:rsid w:val="00EF187B"/>
    <w:rsid w:val="00EF201C"/>
    <w:rsid w:val="00EF2C72"/>
    <w:rsid w:val="00EF36AF"/>
    <w:rsid w:val="00EF59A3"/>
    <w:rsid w:val="00EF6675"/>
    <w:rsid w:val="00F0063D"/>
    <w:rsid w:val="00F00F9C"/>
    <w:rsid w:val="00F0126D"/>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5A6"/>
    <w:rsid w:val="00F55788"/>
    <w:rsid w:val="00F55B21"/>
    <w:rsid w:val="00F56EF6"/>
    <w:rsid w:val="00F56FFB"/>
    <w:rsid w:val="00F60082"/>
    <w:rsid w:val="00F61A9F"/>
    <w:rsid w:val="00F61B5F"/>
    <w:rsid w:val="00F64696"/>
    <w:rsid w:val="00F65AA9"/>
    <w:rsid w:val="00F6768F"/>
    <w:rsid w:val="00F71111"/>
    <w:rsid w:val="00F7270D"/>
    <w:rsid w:val="00F72C2C"/>
    <w:rsid w:val="00F741F2"/>
    <w:rsid w:val="00F76CAB"/>
    <w:rsid w:val="00F772C6"/>
    <w:rsid w:val="00F815B5"/>
    <w:rsid w:val="00F85195"/>
    <w:rsid w:val="00F857D4"/>
    <w:rsid w:val="00F868E3"/>
    <w:rsid w:val="00F938BA"/>
    <w:rsid w:val="00F97578"/>
    <w:rsid w:val="00F97919"/>
    <w:rsid w:val="00FA230B"/>
    <w:rsid w:val="00FA2C46"/>
    <w:rsid w:val="00FA3525"/>
    <w:rsid w:val="00FA5A53"/>
    <w:rsid w:val="00FA7B0C"/>
    <w:rsid w:val="00FB1F6E"/>
    <w:rsid w:val="00FB4769"/>
    <w:rsid w:val="00FB4CDA"/>
    <w:rsid w:val="00FB6481"/>
    <w:rsid w:val="00FB6D36"/>
    <w:rsid w:val="00FC0965"/>
    <w:rsid w:val="00FC0F81"/>
    <w:rsid w:val="00FC252F"/>
    <w:rsid w:val="00FC395C"/>
    <w:rsid w:val="00FC5A70"/>
    <w:rsid w:val="00FC5E8E"/>
    <w:rsid w:val="00FD3766"/>
    <w:rsid w:val="00FD3D05"/>
    <w:rsid w:val="00FD47C4"/>
    <w:rsid w:val="00FD74FC"/>
    <w:rsid w:val="00FE0246"/>
    <w:rsid w:val="00FE060A"/>
    <w:rsid w:val="00FE2DCF"/>
    <w:rsid w:val="00FE331E"/>
    <w:rsid w:val="00FE3FA7"/>
    <w:rsid w:val="00FE4081"/>
    <w:rsid w:val="00FF2A4E"/>
    <w:rsid w:val="00FF2FCE"/>
    <w:rsid w:val="00FF4F7D"/>
    <w:rsid w:val="00FF6D9D"/>
    <w:rsid w:val="00FF7620"/>
    <w:rsid w:val="00FF7DD5"/>
    <w:rsid w:val="030851A1"/>
    <w:rsid w:val="03C91491"/>
    <w:rsid w:val="04A42202"/>
    <w:rsid w:val="04AF3B2A"/>
    <w:rsid w:val="04CB2B37"/>
    <w:rsid w:val="0D924D57"/>
    <w:rsid w:val="0E2FDE84"/>
    <w:rsid w:val="108B90D6"/>
    <w:rsid w:val="11524860"/>
    <w:rsid w:val="115DAAE7"/>
    <w:rsid w:val="17CD3FAD"/>
    <w:rsid w:val="181DF859"/>
    <w:rsid w:val="1843BD0D"/>
    <w:rsid w:val="1AE44E8C"/>
    <w:rsid w:val="1B03D1A8"/>
    <w:rsid w:val="1B7218AE"/>
    <w:rsid w:val="1C113447"/>
    <w:rsid w:val="1C2B2B1B"/>
    <w:rsid w:val="1D835AD7"/>
    <w:rsid w:val="1F002938"/>
    <w:rsid w:val="1F0A370E"/>
    <w:rsid w:val="21878DFD"/>
    <w:rsid w:val="228CC30C"/>
    <w:rsid w:val="235DD2E8"/>
    <w:rsid w:val="25120686"/>
    <w:rsid w:val="2849A748"/>
    <w:rsid w:val="2AF646CC"/>
    <w:rsid w:val="2B1A9F92"/>
    <w:rsid w:val="2BC37749"/>
    <w:rsid w:val="2C7AC750"/>
    <w:rsid w:val="2D65280C"/>
    <w:rsid w:val="2DE5A8B8"/>
    <w:rsid w:val="2DFE06CC"/>
    <w:rsid w:val="2EBE955E"/>
    <w:rsid w:val="31EF5A9E"/>
    <w:rsid w:val="347406E6"/>
    <w:rsid w:val="35B70B33"/>
    <w:rsid w:val="36C27A07"/>
    <w:rsid w:val="3931DC7C"/>
    <w:rsid w:val="39A75CC2"/>
    <w:rsid w:val="3B46D779"/>
    <w:rsid w:val="3B8ABE60"/>
    <w:rsid w:val="3B95D314"/>
    <w:rsid w:val="3BAB09FA"/>
    <w:rsid w:val="3C612B11"/>
    <w:rsid w:val="3F0F4397"/>
    <w:rsid w:val="3F2C3437"/>
    <w:rsid w:val="4022EC82"/>
    <w:rsid w:val="418F4ED9"/>
    <w:rsid w:val="43432B4F"/>
    <w:rsid w:val="46B9D3DC"/>
    <w:rsid w:val="4BC20E49"/>
    <w:rsid w:val="4E24F0A4"/>
    <w:rsid w:val="4E8283F7"/>
    <w:rsid w:val="4FB35053"/>
    <w:rsid w:val="512ED0A6"/>
    <w:rsid w:val="5155E189"/>
    <w:rsid w:val="53C93A77"/>
    <w:rsid w:val="549B299F"/>
    <w:rsid w:val="5A9932C7"/>
    <w:rsid w:val="5AB797D0"/>
    <w:rsid w:val="5BC48320"/>
    <w:rsid w:val="5D466216"/>
    <w:rsid w:val="5D87A370"/>
    <w:rsid w:val="5E896528"/>
    <w:rsid w:val="5FD32626"/>
    <w:rsid w:val="6148210D"/>
    <w:rsid w:val="62423CF4"/>
    <w:rsid w:val="63813160"/>
    <w:rsid w:val="64BD30DA"/>
    <w:rsid w:val="663D96FF"/>
    <w:rsid w:val="6829AD88"/>
    <w:rsid w:val="694A7C1E"/>
    <w:rsid w:val="699D220F"/>
    <w:rsid w:val="6AAED1C1"/>
    <w:rsid w:val="6C808949"/>
    <w:rsid w:val="6CA20801"/>
    <w:rsid w:val="71BBC3A0"/>
    <w:rsid w:val="73EA4B5B"/>
    <w:rsid w:val="750AD11C"/>
    <w:rsid w:val="763D9E94"/>
    <w:rsid w:val="782E3FF5"/>
    <w:rsid w:val="78BF1E3F"/>
    <w:rsid w:val="7A0ED474"/>
    <w:rsid w:val="7E86DB12"/>
    <w:rsid w:val="7EB57AE6"/>
    <w:rsid w:val="7F166B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08C9E1"/>
  <w15:docId w15:val="{0A0A05AE-5F68-4632-B158-78743FA3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A28FE"/>
    <w:pPr>
      <w:spacing w:after="120" w:line="280" w:lineRule="atLeast"/>
    </w:pPr>
    <w:rPr>
      <w:rFonts w:ascii="Verdana" w:hAnsi="Verdana"/>
      <w:sz w:val="21"/>
      <w:lang w:eastAsia="en-US"/>
    </w:rPr>
  </w:style>
  <w:style w:type="paragraph" w:styleId="Heading1">
    <w:name w:val="heading 1"/>
    <w:next w:val="Body"/>
    <w:link w:val="Heading1Char"/>
    <w:uiPriority w:val="1"/>
    <w:qFormat/>
    <w:rsid w:val="001A28FE"/>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1A28FE"/>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1A28FE"/>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1A28FE"/>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1A28FE"/>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A28FE"/>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1A28FE"/>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1A28FE"/>
    <w:rPr>
      <w:rFonts w:ascii="Verdana" w:hAnsi="Verdana"/>
      <w:b/>
      <w:color w:val="032833" w:themeColor="text1"/>
      <w:sz w:val="32"/>
      <w:szCs w:val="28"/>
      <w:lang w:eastAsia="en-US"/>
    </w:rPr>
  </w:style>
  <w:style w:type="character" w:customStyle="1" w:styleId="Heading3Char">
    <w:name w:val="Heading 3 Char"/>
    <w:link w:val="Heading3"/>
    <w:uiPriority w:val="1"/>
    <w:rsid w:val="001A28FE"/>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1A28FE"/>
    <w:rPr>
      <w:rFonts w:ascii="Verdana" w:eastAsia="MS Mincho" w:hAnsi="Verdana"/>
      <w:b/>
      <w:bCs/>
      <w:color w:val="032833" w:themeColor="text1"/>
      <w:sz w:val="24"/>
      <w:szCs w:val="22"/>
      <w:lang w:eastAsia="en-US"/>
    </w:rPr>
  </w:style>
  <w:style w:type="paragraph" w:styleId="Header">
    <w:name w:val="header"/>
    <w:link w:val="HeaderChar"/>
    <w:uiPriority w:val="10"/>
    <w:rsid w:val="001A28FE"/>
    <w:rPr>
      <w:rFonts w:ascii="Verdana" w:hAnsi="Verdana" w:cs="Arial"/>
      <w:b/>
      <w:color w:val="032833" w:themeColor="text1"/>
      <w:sz w:val="18"/>
      <w:szCs w:val="18"/>
      <w:lang w:eastAsia="en-US"/>
    </w:rPr>
  </w:style>
  <w:style w:type="paragraph" w:styleId="Footer">
    <w:name w:val="footer"/>
    <w:uiPriority w:val="8"/>
    <w:rsid w:val="001A28FE"/>
    <w:rPr>
      <w:rFonts w:ascii="Verdana" w:hAnsi="Verdana" w:cs="Arial"/>
      <w:sz w:val="18"/>
      <w:szCs w:val="18"/>
      <w:lang w:eastAsia="en-US"/>
    </w:rPr>
  </w:style>
  <w:style w:type="character" w:styleId="FollowedHyperlink">
    <w:name w:val="FollowedHyperlink"/>
    <w:uiPriority w:val="99"/>
    <w:rsid w:val="001A28FE"/>
    <w:rPr>
      <w:rFonts w:ascii="Verdana" w:hAnsi="Verdana"/>
      <w:color w:val="8761A9" w:themeColor="accent6"/>
      <w:u w:val="dotted"/>
    </w:rPr>
  </w:style>
  <w:style w:type="paragraph" w:customStyle="1" w:styleId="Tabletext6pt">
    <w:name w:val="Table text + 6pt"/>
    <w:basedOn w:val="Tabletext"/>
    <w:rsid w:val="001A28FE"/>
    <w:pPr>
      <w:spacing w:after="120"/>
    </w:pPr>
  </w:style>
  <w:style w:type="paragraph" w:styleId="EndnoteText">
    <w:name w:val="endnote text"/>
    <w:basedOn w:val="Normal"/>
    <w:link w:val="EndnoteTextChar"/>
    <w:semiHidden/>
    <w:rsid w:val="001A28FE"/>
    <w:rPr>
      <w:sz w:val="24"/>
      <w:szCs w:val="24"/>
    </w:rPr>
  </w:style>
  <w:style w:type="character" w:customStyle="1" w:styleId="EndnoteTextChar">
    <w:name w:val="Endnote Text Char"/>
    <w:link w:val="EndnoteText"/>
    <w:semiHidden/>
    <w:rsid w:val="001A28FE"/>
    <w:rPr>
      <w:rFonts w:ascii="Verdana" w:hAnsi="Verdana"/>
      <w:sz w:val="24"/>
      <w:szCs w:val="24"/>
      <w:lang w:eastAsia="en-US"/>
    </w:rPr>
  </w:style>
  <w:style w:type="character" w:styleId="EndnoteReference">
    <w:name w:val="endnote reference"/>
    <w:semiHidden/>
    <w:rsid w:val="001A28FE"/>
    <w:rPr>
      <w:vertAlign w:val="superscript"/>
    </w:rPr>
  </w:style>
  <w:style w:type="table" w:styleId="TableGrid">
    <w:name w:val="Table Grid"/>
    <w:basedOn w:val="TableNormal"/>
    <w:uiPriority w:val="99"/>
    <w:rsid w:val="001A2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1A28FE"/>
    <w:pPr>
      <w:spacing w:after="0"/>
    </w:pPr>
  </w:style>
  <w:style w:type="paragraph" w:customStyle="1" w:styleId="Bullet1">
    <w:name w:val="Bullet 1"/>
    <w:basedOn w:val="Body"/>
    <w:qFormat/>
    <w:rsid w:val="001A28FE"/>
    <w:pPr>
      <w:numPr>
        <w:numId w:val="6"/>
      </w:numPr>
      <w:spacing w:after="40"/>
    </w:pPr>
  </w:style>
  <w:style w:type="paragraph" w:styleId="DocumentMap">
    <w:name w:val="Document Map"/>
    <w:basedOn w:val="Normal"/>
    <w:link w:val="DocumentMapChar"/>
    <w:uiPriority w:val="99"/>
    <w:semiHidden/>
    <w:unhideWhenUsed/>
    <w:rsid w:val="001A28FE"/>
    <w:rPr>
      <w:rFonts w:ascii="Lucida Grande" w:hAnsi="Lucida Grande" w:cs="Lucida Grande"/>
      <w:sz w:val="24"/>
      <w:szCs w:val="24"/>
    </w:rPr>
  </w:style>
  <w:style w:type="character" w:customStyle="1" w:styleId="DocumentMapChar">
    <w:name w:val="Document Map Char"/>
    <w:link w:val="DocumentMap"/>
    <w:uiPriority w:val="99"/>
    <w:semiHidden/>
    <w:rsid w:val="001A28FE"/>
    <w:rPr>
      <w:rFonts w:ascii="Lucida Grande" w:hAnsi="Lucida Grande" w:cs="Lucida Grande"/>
      <w:sz w:val="24"/>
      <w:szCs w:val="24"/>
      <w:lang w:eastAsia="en-US"/>
    </w:rPr>
  </w:style>
  <w:style w:type="character" w:styleId="PageNumber">
    <w:name w:val="page number"/>
    <w:uiPriority w:val="99"/>
    <w:semiHidden/>
    <w:unhideWhenUsed/>
    <w:rsid w:val="001A28FE"/>
    <w:rPr>
      <w:sz w:val="18"/>
    </w:rPr>
  </w:style>
  <w:style w:type="paragraph" w:styleId="TOC1">
    <w:name w:val="toc 1"/>
    <w:basedOn w:val="Normal"/>
    <w:next w:val="Normal"/>
    <w:uiPriority w:val="39"/>
    <w:rsid w:val="001A28FE"/>
    <w:pPr>
      <w:keepNext/>
      <w:keepLines/>
      <w:tabs>
        <w:tab w:val="right" w:leader="dot" w:pos="9299"/>
      </w:tabs>
      <w:spacing w:before="160" w:after="60"/>
    </w:pPr>
    <w:rPr>
      <w:b/>
      <w:noProof/>
    </w:rPr>
  </w:style>
  <w:style w:type="character" w:customStyle="1" w:styleId="Heading5Char">
    <w:name w:val="Heading 5 Char"/>
    <w:link w:val="Heading5"/>
    <w:uiPriority w:val="98"/>
    <w:rsid w:val="001A28FE"/>
    <w:rPr>
      <w:rFonts w:ascii="Verdana" w:eastAsia="MS Mincho" w:hAnsi="Verdana"/>
      <w:b/>
      <w:bCs/>
      <w:iCs/>
      <w:color w:val="032833"/>
      <w:sz w:val="21"/>
      <w:szCs w:val="26"/>
      <w:lang w:eastAsia="en-US"/>
    </w:rPr>
  </w:style>
  <w:style w:type="character" w:styleId="Strong">
    <w:name w:val="Strong"/>
    <w:uiPriority w:val="22"/>
    <w:qFormat/>
    <w:rsid w:val="001A28FE"/>
    <w:rPr>
      <w:b/>
      <w:bCs/>
    </w:rPr>
  </w:style>
  <w:style w:type="paragraph" w:customStyle="1" w:styleId="TOCheadingreport">
    <w:name w:val="TOC heading report"/>
    <w:basedOn w:val="Heading1"/>
    <w:next w:val="Body"/>
    <w:link w:val="TOCheadingreportChar"/>
    <w:uiPriority w:val="4"/>
    <w:rsid w:val="001A28FE"/>
    <w:pPr>
      <w:pageBreakBefore/>
      <w:spacing w:before="0"/>
      <w:outlineLvl w:val="9"/>
    </w:pPr>
  </w:style>
  <w:style w:type="character" w:customStyle="1" w:styleId="TOCheadingreportChar">
    <w:name w:val="TOC heading report Char"/>
    <w:link w:val="TOCheadingreport"/>
    <w:uiPriority w:val="4"/>
    <w:rsid w:val="001A28FE"/>
    <w:rPr>
      <w:rFonts w:ascii="Verdana" w:eastAsia="MS Gothic" w:hAnsi="Verdana" w:cs="Arial"/>
      <w:bCs/>
      <w:color w:val="032833" w:themeColor="text1"/>
      <w:kern w:val="32"/>
      <w:sz w:val="44"/>
      <w:szCs w:val="44"/>
      <w:lang w:eastAsia="en-US"/>
    </w:rPr>
  </w:style>
  <w:style w:type="paragraph" w:styleId="TOC2">
    <w:name w:val="toc 2"/>
    <w:basedOn w:val="Normal"/>
    <w:next w:val="Normal"/>
    <w:uiPriority w:val="39"/>
    <w:rsid w:val="001A28FE"/>
    <w:pPr>
      <w:keepLines/>
      <w:tabs>
        <w:tab w:val="right" w:leader="dot" w:pos="9299"/>
      </w:tabs>
      <w:spacing w:after="60"/>
    </w:pPr>
    <w:rPr>
      <w:noProof/>
    </w:rPr>
  </w:style>
  <w:style w:type="paragraph" w:styleId="TOC3">
    <w:name w:val="toc 3"/>
    <w:basedOn w:val="Normal"/>
    <w:next w:val="Normal"/>
    <w:uiPriority w:val="39"/>
    <w:rsid w:val="001A28FE"/>
    <w:pPr>
      <w:keepLines/>
      <w:tabs>
        <w:tab w:val="right" w:leader="dot" w:pos="9299"/>
      </w:tabs>
      <w:spacing w:after="60"/>
      <w:ind w:left="284"/>
    </w:pPr>
    <w:rPr>
      <w:rFonts w:cs="Arial"/>
    </w:rPr>
  </w:style>
  <w:style w:type="paragraph" w:styleId="TOC4">
    <w:name w:val="toc 4"/>
    <w:basedOn w:val="TOC3"/>
    <w:uiPriority w:val="39"/>
    <w:rsid w:val="001A28FE"/>
    <w:pPr>
      <w:ind w:left="567"/>
    </w:pPr>
  </w:style>
  <w:style w:type="paragraph" w:styleId="TOC5">
    <w:name w:val="toc 5"/>
    <w:basedOn w:val="TOC4"/>
    <w:rsid w:val="001A28FE"/>
    <w:pPr>
      <w:ind w:left="851"/>
    </w:pPr>
  </w:style>
  <w:style w:type="paragraph" w:styleId="TOC6">
    <w:name w:val="toc 6"/>
    <w:basedOn w:val="Normal"/>
    <w:next w:val="Normal"/>
    <w:autoRedefine/>
    <w:uiPriority w:val="39"/>
    <w:semiHidden/>
    <w:rsid w:val="001A28FE"/>
    <w:pPr>
      <w:ind w:left="1000"/>
    </w:pPr>
  </w:style>
  <w:style w:type="paragraph" w:styleId="TOC7">
    <w:name w:val="toc 7"/>
    <w:basedOn w:val="Normal"/>
    <w:next w:val="Normal"/>
    <w:autoRedefine/>
    <w:uiPriority w:val="39"/>
    <w:semiHidden/>
    <w:rsid w:val="001A28FE"/>
    <w:pPr>
      <w:ind w:left="1200"/>
    </w:pPr>
  </w:style>
  <w:style w:type="paragraph" w:styleId="TOC8">
    <w:name w:val="toc 8"/>
    <w:basedOn w:val="Normal"/>
    <w:next w:val="Normal"/>
    <w:autoRedefine/>
    <w:uiPriority w:val="39"/>
    <w:semiHidden/>
    <w:rsid w:val="001A28FE"/>
    <w:pPr>
      <w:ind w:left="1400"/>
    </w:pPr>
  </w:style>
  <w:style w:type="paragraph" w:styleId="TOC9">
    <w:name w:val="toc 9"/>
    <w:basedOn w:val="Normal"/>
    <w:next w:val="Normal"/>
    <w:autoRedefine/>
    <w:uiPriority w:val="39"/>
    <w:semiHidden/>
    <w:rsid w:val="001A28FE"/>
    <w:pPr>
      <w:ind w:left="1600"/>
    </w:pPr>
  </w:style>
  <w:style w:type="paragraph" w:styleId="Subtitle">
    <w:name w:val="Subtitle"/>
    <w:basedOn w:val="Normal"/>
    <w:next w:val="Normal"/>
    <w:link w:val="SubtitleChar"/>
    <w:uiPriority w:val="11"/>
    <w:semiHidden/>
    <w:qFormat/>
    <w:rsid w:val="001A28FE"/>
    <w:pPr>
      <w:spacing w:after="60"/>
      <w:jc w:val="center"/>
    </w:pPr>
    <w:rPr>
      <w:rFonts w:ascii="Calibri Light" w:hAnsi="Calibri Light"/>
      <w:sz w:val="24"/>
      <w:szCs w:val="24"/>
    </w:rPr>
  </w:style>
  <w:style w:type="paragraph" w:customStyle="1" w:styleId="Tabletext">
    <w:name w:val="Table text"/>
    <w:uiPriority w:val="3"/>
    <w:qFormat/>
    <w:rsid w:val="001A28FE"/>
    <w:pPr>
      <w:spacing w:before="80" w:after="60"/>
    </w:pPr>
    <w:rPr>
      <w:rFonts w:ascii="Verdana" w:hAnsi="Verdana"/>
      <w:sz w:val="21"/>
      <w:lang w:eastAsia="en-US"/>
    </w:rPr>
  </w:style>
  <w:style w:type="paragraph" w:customStyle="1" w:styleId="Tablecaption">
    <w:name w:val="Table caption"/>
    <w:next w:val="Body"/>
    <w:uiPriority w:val="3"/>
    <w:qFormat/>
    <w:rsid w:val="001A28FE"/>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1A28FE"/>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1A28FE"/>
    <w:rPr>
      <w:rFonts w:ascii="Verdana" w:hAnsi="Verdana"/>
      <w:vertAlign w:val="superscript"/>
    </w:rPr>
  </w:style>
  <w:style w:type="paragraph" w:customStyle="1" w:styleId="Accessibilitypara">
    <w:name w:val="Accessibility para"/>
    <w:uiPriority w:val="8"/>
    <w:rsid w:val="001A28FE"/>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1A28FE"/>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1A28FE"/>
    <w:pPr>
      <w:numPr>
        <w:ilvl w:val="1"/>
        <w:numId w:val="6"/>
      </w:numPr>
      <w:spacing w:after="40"/>
    </w:pPr>
  </w:style>
  <w:style w:type="paragraph" w:customStyle="1" w:styleId="Bodyafterbullets">
    <w:name w:val="Body after bullets"/>
    <w:basedOn w:val="Body"/>
    <w:uiPriority w:val="11"/>
    <w:rsid w:val="001A28FE"/>
    <w:pPr>
      <w:spacing w:before="120"/>
    </w:pPr>
  </w:style>
  <w:style w:type="paragraph" w:customStyle="1" w:styleId="Tablebullet2">
    <w:name w:val="Table bullet 2"/>
    <w:basedOn w:val="Tabletext"/>
    <w:uiPriority w:val="11"/>
    <w:rsid w:val="001A28FE"/>
    <w:pPr>
      <w:numPr>
        <w:ilvl w:val="1"/>
        <w:numId w:val="11"/>
      </w:numPr>
    </w:pPr>
  </w:style>
  <w:style w:type="character" w:customStyle="1" w:styleId="SubtitleChar">
    <w:name w:val="Subtitle Char"/>
    <w:link w:val="Subtitle"/>
    <w:uiPriority w:val="11"/>
    <w:semiHidden/>
    <w:rsid w:val="001A28FE"/>
    <w:rPr>
      <w:rFonts w:ascii="Calibri Light" w:hAnsi="Calibri Light"/>
      <w:sz w:val="24"/>
      <w:szCs w:val="24"/>
      <w:lang w:eastAsia="en-US"/>
    </w:rPr>
  </w:style>
  <w:style w:type="paragraph" w:customStyle="1" w:styleId="Tablebullet1">
    <w:name w:val="Table bullet 1"/>
    <w:basedOn w:val="Tabletext"/>
    <w:uiPriority w:val="3"/>
    <w:qFormat/>
    <w:rsid w:val="001A28FE"/>
    <w:pPr>
      <w:numPr>
        <w:numId w:val="11"/>
      </w:numPr>
    </w:pPr>
  </w:style>
  <w:style w:type="numbering" w:customStyle="1" w:styleId="ZZTablebullets">
    <w:name w:val="ZZ Table bullets"/>
    <w:basedOn w:val="NoList"/>
    <w:rsid w:val="001A28FE"/>
    <w:pPr>
      <w:numPr>
        <w:numId w:val="11"/>
      </w:numPr>
    </w:pPr>
  </w:style>
  <w:style w:type="paragraph" w:customStyle="1" w:styleId="Tablecolhead">
    <w:name w:val="Table col head"/>
    <w:uiPriority w:val="3"/>
    <w:qFormat/>
    <w:rsid w:val="001A28FE"/>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1A28FE"/>
    <w:pPr>
      <w:numPr>
        <w:ilvl w:val="2"/>
        <w:numId w:val="7"/>
      </w:numPr>
    </w:pPr>
  </w:style>
  <w:style w:type="character" w:styleId="Hyperlink">
    <w:name w:val="Hyperlink"/>
    <w:uiPriority w:val="99"/>
    <w:rsid w:val="001A28FE"/>
    <w:rPr>
      <w:rFonts w:ascii="Verdana" w:hAnsi="Verdana"/>
      <w:color w:val="00865C"/>
      <w:u w:val="dotted"/>
    </w:rPr>
  </w:style>
  <w:style w:type="paragraph" w:customStyle="1" w:styleId="Documentsubtitle">
    <w:name w:val="Document subtitle"/>
    <w:uiPriority w:val="8"/>
    <w:rsid w:val="001A28FE"/>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1A28FE"/>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1A28FE"/>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1A28FE"/>
    <w:pPr>
      <w:spacing w:line="240" w:lineRule="auto"/>
    </w:pPr>
    <w:rPr>
      <w:noProof/>
      <w:sz w:val="12"/>
    </w:rPr>
  </w:style>
  <w:style w:type="paragraph" w:styleId="Title">
    <w:name w:val="Title"/>
    <w:basedOn w:val="Normal"/>
    <w:next w:val="Normal"/>
    <w:link w:val="TitleChar"/>
    <w:uiPriority w:val="10"/>
    <w:semiHidden/>
    <w:qFormat/>
    <w:rsid w:val="001A28FE"/>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A28FE"/>
    <w:rPr>
      <w:rFonts w:ascii="Calibri Light" w:hAnsi="Calibri Light"/>
      <w:b/>
      <w:bCs/>
      <w:kern w:val="28"/>
      <w:sz w:val="32"/>
      <w:szCs w:val="32"/>
      <w:lang w:eastAsia="en-US"/>
    </w:rPr>
  </w:style>
  <w:style w:type="numbering" w:customStyle="1" w:styleId="ZZBullets">
    <w:name w:val="ZZ Bullets"/>
    <w:rsid w:val="001A28FE"/>
    <w:pPr>
      <w:numPr>
        <w:numId w:val="6"/>
      </w:numPr>
    </w:pPr>
  </w:style>
  <w:style w:type="numbering" w:customStyle="1" w:styleId="ZZNumbersdigit">
    <w:name w:val="ZZ Numbers digit"/>
    <w:rsid w:val="001A28FE"/>
    <w:pPr>
      <w:numPr>
        <w:numId w:val="7"/>
      </w:numPr>
    </w:pPr>
  </w:style>
  <w:style w:type="numbering" w:customStyle="1" w:styleId="ZZQuotebullets">
    <w:name w:val="ZZ Quote bullets"/>
    <w:basedOn w:val="ZZNumbersdigit"/>
    <w:rsid w:val="001A28FE"/>
    <w:pPr>
      <w:numPr>
        <w:numId w:val="9"/>
      </w:numPr>
    </w:pPr>
  </w:style>
  <w:style w:type="paragraph" w:customStyle="1" w:styleId="Numberdigit">
    <w:name w:val="Number digit"/>
    <w:basedOn w:val="Body"/>
    <w:uiPriority w:val="2"/>
    <w:rsid w:val="001A28FE"/>
    <w:pPr>
      <w:numPr>
        <w:numId w:val="7"/>
      </w:numPr>
    </w:pPr>
  </w:style>
  <w:style w:type="paragraph" w:customStyle="1" w:styleId="Numberloweralphaindent">
    <w:name w:val="Number lower alpha indent"/>
    <w:basedOn w:val="Body"/>
    <w:uiPriority w:val="3"/>
    <w:rsid w:val="001A28FE"/>
    <w:pPr>
      <w:numPr>
        <w:ilvl w:val="1"/>
        <w:numId w:val="15"/>
      </w:numPr>
    </w:pPr>
  </w:style>
  <w:style w:type="paragraph" w:customStyle="1" w:styleId="Numberdigitindent">
    <w:name w:val="Number digit indent"/>
    <w:basedOn w:val="Body"/>
    <w:uiPriority w:val="3"/>
    <w:rsid w:val="001A28FE"/>
    <w:pPr>
      <w:numPr>
        <w:ilvl w:val="1"/>
        <w:numId w:val="7"/>
      </w:numPr>
    </w:pPr>
  </w:style>
  <w:style w:type="paragraph" w:customStyle="1" w:styleId="Numberloweralpha">
    <w:name w:val="Number lower alpha"/>
    <w:basedOn w:val="Body"/>
    <w:uiPriority w:val="3"/>
    <w:rsid w:val="001A28FE"/>
    <w:pPr>
      <w:numPr>
        <w:numId w:val="15"/>
      </w:numPr>
    </w:pPr>
  </w:style>
  <w:style w:type="paragraph" w:customStyle="1" w:styleId="Numberlowerroman">
    <w:name w:val="Number lower roman"/>
    <w:basedOn w:val="Body"/>
    <w:uiPriority w:val="3"/>
    <w:rsid w:val="001A28FE"/>
    <w:pPr>
      <w:numPr>
        <w:numId w:val="10"/>
      </w:numPr>
    </w:pPr>
  </w:style>
  <w:style w:type="paragraph" w:customStyle="1" w:styleId="Numberlowerromanindent">
    <w:name w:val="Number lower roman indent"/>
    <w:basedOn w:val="Body"/>
    <w:uiPriority w:val="3"/>
    <w:rsid w:val="001A28FE"/>
    <w:pPr>
      <w:numPr>
        <w:ilvl w:val="1"/>
        <w:numId w:val="10"/>
      </w:numPr>
    </w:pPr>
  </w:style>
  <w:style w:type="paragraph" w:customStyle="1" w:styleId="Quotetext">
    <w:name w:val="Quote text"/>
    <w:basedOn w:val="Body"/>
    <w:uiPriority w:val="4"/>
    <w:rsid w:val="001A28FE"/>
    <w:pPr>
      <w:ind w:left="397"/>
    </w:pPr>
    <w:rPr>
      <w:szCs w:val="18"/>
    </w:rPr>
  </w:style>
  <w:style w:type="paragraph" w:customStyle="1" w:styleId="Tablefigurenote">
    <w:name w:val="Table/figure note"/>
    <w:uiPriority w:val="4"/>
    <w:rsid w:val="001A28FE"/>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1A28FE"/>
    <w:pPr>
      <w:spacing w:before="240"/>
    </w:pPr>
  </w:style>
  <w:style w:type="paragraph" w:customStyle="1" w:styleId="Bulletafternumbers2">
    <w:name w:val="Bullet after numbers 2"/>
    <w:basedOn w:val="Body"/>
    <w:rsid w:val="001A28FE"/>
    <w:pPr>
      <w:numPr>
        <w:ilvl w:val="3"/>
        <w:numId w:val="7"/>
      </w:numPr>
    </w:pPr>
  </w:style>
  <w:style w:type="numbering" w:customStyle="1" w:styleId="ZZNumberslowerroman">
    <w:name w:val="ZZ Numbers lower roman"/>
    <w:basedOn w:val="ZZQuotebullets"/>
    <w:rsid w:val="001A28FE"/>
    <w:pPr>
      <w:numPr>
        <w:numId w:val="10"/>
      </w:numPr>
    </w:pPr>
  </w:style>
  <w:style w:type="numbering" w:customStyle="1" w:styleId="ZZNumbersloweralpha">
    <w:name w:val="ZZ Numbers lower alpha"/>
    <w:basedOn w:val="NoList"/>
    <w:rsid w:val="001A28FE"/>
    <w:pPr>
      <w:numPr>
        <w:numId w:val="8"/>
      </w:numPr>
    </w:pPr>
  </w:style>
  <w:style w:type="paragraph" w:customStyle="1" w:styleId="Quotebullet1">
    <w:name w:val="Quote bullet 1"/>
    <w:basedOn w:val="Quotetext"/>
    <w:rsid w:val="001A28FE"/>
    <w:pPr>
      <w:numPr>
        <w:numId w:val="9"/>
      </w:numPr>
    </w:pPr>
  </w:style>
  <w:style w:type="paragraph" w:customStyle="1" w:styleId="Quotebullet2">
    <w:name w:val="Quote bullet 2"/>
    <w:basedOn w:val="Quotetext"/>
    <w:rsid w:val="001A28FE"/>
    <w:pPr>
      <w:numPr>
        <w:ilvl w:val="1"/>
        <w:numId w:val="9"/>
      </w:numPr>
    </w:pPr>
  </w:style>
  <w:style w:type="paragraph" w:styleId="CommentText">
    <w:name w:val="annotation text"/>
    <w:basedOn w:val="Normal"/>
    <w:link w:val="CommentTextChar"/>
    <w:uiPriority w:val="99"/>
    <w:semiHidden/>
    <w:unhideWhenUsed/>
    <w:rsid w:val="001A28FE"/>
  </w:style>
  <w:style w:type="character" w:customStyle="1" w:styleId="CommentTextChar">
    <w:name w:val="Comment Text Char"/>
    <w:basedOn w:val="DefaultParagraphFont"/>
    <w:link w:val="CommentText"/>
    <w:uiPriority w:val="99"/>
    <w:semiHidden/>
    <w:rsid w:val="001A28FE"/>
    <w:rPr>
      <w:rFonts w:ascii="Verdana" w:hAnsi="Verdana"/>
      <w:sz w:val="21"/>
      <w:lang w:eastAsia="en-US"/>
    </w:rPr>
  </w:style>
  <w:style w:type="character" w:styleId="CommentReference">
    <w:name w:val="annotation reference"/>
    <w:basedOn w:val="DefaultParagraphFont"/>
    <w:uiPriority w:val="99"/>
    <w:semiHidden/>
    <w:unhideWhenUsed/>
    <w:rsid w:val="001A28FE"/>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1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8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1A28FE"/>
    <w:rPr>
      <w:b/>
      <w:bCs/>
    </w:rPr>
  </w:style>
  <w:style w:type="character" w:customStyle="1" w:styleId="CommentSubjectChar">
    <w:name w:val="Comment Subject Char"/>
    <w:basedOn w:val="CommentTextChar"/>
    <w:link w:val="CommentSubject"/>
    <w:uiPriority w:val="99"/>
    <w:semiHidden/>
    <w:rsid w:val="001A28FE"/>
    <w:rPr>
      <w:rFonts w:ascii="Verdana" w:hAnsi="Verdana"/>
      <w:b/>
      <w:bCs/>
      <w:sz w:val="21"/>
      <w:lang w:eastAsia="en-US"/>
    </w:rPr>
  </w:style>
  <w:style w:type="character" w:customStyle="1" w:styleId="BodyChar">
    <w:name w:val="Body Char"/>
    <w:basedOn w:val="DefaultParagraphFont"/>
    <w:link w:val="Body"/>
    <w:rsid w:val="001A28FE"/>
    <w:rPr>
      <w:rFonts w:ascii="Verdana" w:eastAsia="Times" w:hAnsi="Verdana"/>
      <w:sz w:val="21"/>
      <w:lang w:eastAsia="en-US"/>
    </w:rPr>
  </w:style>
  <w:style w:type="paragraph" w:customStyle="1" w:styleId="Bannermarking">
    <w:name w:val="Banner marking"/>
    <w:basedOn w:val="Body"/>
    <w:uiPriority w:val="11"/>
    <w:rsid w:val="001A28FE"/>
    <w:pPr>
      <w:spacing w:after="0"/>
    </w:pPr>
    <w:rPr>
      <w:b/>
      <w:bCs/>
    </w:rPr>
  </w:style>
  <w:style w:type="character" w:styleId="UnresolvedMention">
    <w:name w:val="Unresolved Mention"/>
    <w:basedOn w:val="DefaultParagraphFont"/>
    <w:uiPriority w:val="99"/>
    <w:unhideWhenUsed/>
    <w:rsid w:val="001A28FE"/>
    <w:rPr>
      <w:color w:val="605E5C"/>
      <w:shd w:val="clear" w:color="auto" w:fill="E1DFDD"/>
    </w:rPr>
  </w:style>
  <w:style w:type="paragraph" w:customStyle="1" w:styleId="Imprint">
    <w:name w:val="Imprint"/>
    <w:basedOn w:val="Body"/>
    <w:uiPriority w:val="11"/>
    <w:rsid w:val="001A28FE"/>
    <w:pPr>
      <w:spacing w:after="60" w:line="270" w:lineRule="atLeast"/>
    </w:pPr>
    <w:rPr>
      <w:sz w:val="20"/>
    </w:rPr>
  </w:style>
  <w:style w:type="paragraph" w:customStyle="1" w:styleId="Introtext">
    <w:name w:val="Intro text"/>
    <w:basedOn w:val="Body"/>
    <w:uiPriority w:val="11"/>
    <w:rsid w:val="001A28FE"/>
    <w:pPr>
      <w:spacing w:line="320" w:lineRule="atLeast"/>
    </w:pPr>
    <w:rPr>
      <w:color w:val="032833" w:themeColor="text1"/>
      <w:sz w:val="24"/>
    </w:rPr>
  </w:style>
  <w:style w:type="character" w:customStyle="1" w:styleId="HeaderChar">
    <w:name w:val="Header Char"/>
    <w:basedOn w:val="DefaultParagraphFont"/>
    <w:link w:val="Header"/>
    <w:uiPriority w:val="10"/>
    <w:rsid w:val="001A28FE"/>
    <w:rPr>
      <w:rFonts w:ascii="Verdana" w:hAnsi="Verdana" w:cs="Arial"/>
      <w:b/>
      <w:color w:val="032833" w:themeColor="text1"/>
      <w:sz w:val="18"/>
      <w:szCs w:val="18"/>
      <w:lang w:eastAsia="en-US"/>
    </w:rPr>
  </w:style>
  <w:style w:type="character" w:styleId="Emphasis">
    <w:name w:val="Emphasis"/>
    <w:basedOn w:val="DefaultParagraphFont"/>
    <w:uiPriority w:val="20"/>
    <w:rsid w:val="001A28FE"/>
    <w:rPr>
      <w:rFonts w:ascii="Verdana" w:hAnsi="Verdana"/>
      <w:i/>
      <w:iCs/>
    </w:rPr>
  </w:style>
  <w:style w:type="paragraph" w:styleId="NormalWeb">
    <w:name w:val="Normal (Web)"/>
    <w:basedOn w:val="Normal"/>
    <w:uiPriority w:val="99"/>
    <w:unhideWhenUsed/>
    <w:rsid w:val="00AC2532"/>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AC2532"/>
    <w:pPr>
      <w:spacing w:after="0" w:line="240" w:lineRule="auto"/>
      <w:ind w:left="720"/>
      <w:contextualSpacing/>
    </w:pPr>
    <w:rPr>
      <w:rFonts w:ascii="Times New Roman" w:hAnsi="Times New Roman"/>
      <w:sz w:val="24"/>
      <w:szCs w:val="24"/>
      <w:lang w:eastAsia="en-AU"/>
    </w:rPr>
  </w:style>
  <w:style w:type="paragraph" w:customStyle="1" w:styleId="Default">
    <w:name w:val="Default"/>
    <w:uiPriority w:val="99"/>
    <w:rsid w:val="0086200B"/>
    <w:pPr>
      <w:autoSpaceDE w:val="0"/>
      <w:autoSpaceDN w:val="0"/>
      <w:adjustRightInd w:val="0"/>
    </w:pPr>
    <w:rPr>
      <w:rFonts w:ascii="Symbol" w:hAnsi="Symbol" w:cs="Symbol"/>
      <w:color w:val="000000"/>
      <w:sz w:val="24"/>
      <w:szCs w:val="24"/>
    </w:rPr>
  </w:style>
  <w:style w:type="paragraph" w:customStyle="1" w:styleId="paragraph">
    <w:name w:val="paragraph"/>
    <w:basedOn w:val="Normal"/>
    <w:rsid w:val="00784D63"/>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784D63"/>
  </w:style>
  <w:style w:type="character" w:customStyle="1" w:styleId="eop">
    <w:name w:val="eop"/>
    <w:basedOn w:val="DefaultParagraphFont"/>
    <w:rsid w:val="00784D63"/>
  </w:style>
  <w:style w:type="character" w:styleId="Mention">
    <w:name w:val="Mention"/>
    <w:basedOn w:val="DefaultParagraphFont"/>
    <w:uiPriority w:val="99"/>
    <w:unhideWhenUsed/>
    <w:rsid w:val="00DF79A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046349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ovic.vic.gov.au/book/key-concep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ousing.vic.gov.au/rentassist-bond-loan-income-and-asset-lim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1" Type="http://schemas.openxmlformats.org/officeDocument/2006/relationships/hyperlink" Target="http://www.vahhf.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Homes%20Victoria%20Visual%20Style%20-%202022\HV_Report_Construction.dotx" TargetMode="External"/></Relationships>
</file>

<file path=word/documenttasks/documenttasks1.xml><?xml version="1.0" encoding="utf-8"?>
<t:Tasks xmlns:t="http://schemas.microsoft.com/office/tasks/2019/documenttasks" xmlns:oel="http://schemas.microsoft.com/office/2019/extlst">
  <t:Task id="{A17BF75F-A4BB-4D5C-AB96-BFA1A65CEB6A}">
    <t:Anchor>
      <t:Comment id="231940197"/>
    </t:Anchor>
    <t:History>
      <t:Event id="{BB357005-CA5E-4E1A-88C0-4713DFCB10AD}" time="2023-07-24T06:40:04.943Z">
        <t:Attribution userId="S::matt.o'rourke@homes.vic.gov.au::60fd3b0f-58a8-4c5e-89e0-475be120a881" userProvider="AD" userName="Matt O'Rourke (Homes Victoria)"/>
        <t:Anchor>
          <t:Comment id="231940197"/>
        </t:Anchor>
        <t:Create/>
      </t:Event>
      <t:Event id="{63B6C0D8-329F-4D82-9E0F-9581888FAC54}" time="2023-07-24T06:40:04.943Z">
        <t:Attribution userId="S::matt.o'rourke@homes.vic.gov.au::60fd3b0f-58a8-4c5e-89e0-475be120a881" userProvider="AD" userName="Matt O'Rourke (Homes Victoria)"/>
        <t:Anchor>
          <t:Comment id="231940197"/>
        </t:Anchor>
        <t:Assign userId="S::karen.hodgskiss@homes.vic.gov.au::c8645409-ac07-495c-9882-3b668c4771de" userProvider="AD" userName="Karen Hodgskiss (Homes Victoria)"/>
      </t:Event>
      <t:Event id="{33EA5624-76BE-492C-B1E7-8AAB0CC963A4}" time="2023-07-24T06:40:04.943Z">
        <t:Attribution userId="S::matt.o'rourke@homes.vic.gov.au::60fd3b0f-58a8-4c5e-89e0-475be120a881" userProvider="AD" userName="Matt O'Rourke (Homes Victoria)"/>
        <t:Anchor>
          <t:Comment id="231940197"/>
        </t:Anchor>
        <t:SetTitle title="@Karen Hodgskiss (Homes Victoria) - Hey Karen is this still correct? @Paula Robinson (Homes Victoria)"/>
      </t:Event>
    </t:History>
  </t:Task>
  <t:Task id="{685E72DD-CB54-45B5-A7B7-CE54BD7F34E5}">
    <t:Anchor>
      <t:Comment id="2023920718"/>
    </t:Anchor>
    <t:History>
      <t:Event id="{EF7B8BB0-0DFE-4758-8241-CC1077461753}" time="2023-07-24T07:07:47.448Z">
        <t:Attribution userId="S::paula.robinson@homes.vic.gov.au::0e925d02-6d1e-4f46-8996-7fc3973ea292" userProvider="AD" userName="Paula Robinson (Homes Victoria)"/>
        <t:Anchor>
          <t:Comment id="1665646338"/>
        </t:Anchor>
        <t:Create/>
      </t:Event>
      <t:Event id="{8FDBE50D-0BCF-4A04-9BF5-12C2699538E0}" time="2023-07-24T07:07:47.448Z">
        <t:Attribution userId="S::paula.robinson@homes.vic.gov.au::0e925d02-6d1e-4f46-8996-7fc3973ea292" userProvider="AD" userName="Paula Robinson (Homes Victoria)"/>
        <t:Anchor>
          <t:Comment id="1665646338"/>
        </t:Anchor>
        <t:Assign userId="S::matt.o'rourke@homes.vic.gov.au::60fd3b0f-58a8-4c5e-89e0-475be120a881" userProvider="AD" userName="Matt O'Rourke (Homes Victoria)"/>
      </t:Event>
      <t:Event id="{DC1D9BF3-9CDC-4193-8F3D-5C924C09BBD1}" time="2023-07-24T07:07:47.448Z">
        <t:Attribution userId="S::paula.robinson@homes.vic.gov.au::0e925d02-6d1e-4f46-8996-7fc3973ea292" userProvider="AD" userName="Paula Robinson (Homes Victoria)"/>
        <t:Anchor>
          <t:Comment id="1665646338"/>
        </t:Anchor>
        <t:SetTitle title="@Matt O'Rourke (Homes Victoria) I know what you mean. I am happy to make these changes although I think these guidelines should go to the AHHF for a review. I wouldn't want to remove the no income before checking with the APRAP providers."/>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5" ma:contentTypeDescription="Create a new document." ma:contentTypeScope="" ma:versionID="a196f261661accedfa7f8be46f377275">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a8e6f27e7edde99571256f0aefaca033"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59077d1-a94d-482b-bbec-f51d73bd1eef}"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Regina Wursthorn (Homes Victoria)</DisplayName>
        <AccountId>759</AccountId>
        <AccountType/>
      </UserInfo>
    </SharedWithUser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2E6B1B23-7C18-4F35-9C1C-2844B473F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infopath/2007/PartnerControls"/>
    <ds:schemaRef ds:uri="5ce0f2b5-5be5-4508-bce9-d7011ece0659"/>
    <ds:schemaRef ds:uri="7ee2ad8a-2b33-419f-875c-ac0e4cfc6b7f"/>
    <ds:schemaRef ds:uri="http://schemas.microsoft.com/office/2006/metadata/properties"/>
    <ds:schemaRef ds:uri="http://schemas.microsoft.com/office/2006/documentManagement/types"/>
    <ds:schemaRef ds:uri="http://purl.org/dc/elements/1.1/"/>
    <ds:schemaRef ds:uri="31b2e4f9-c376-4e2f-bd2e-796d1bcd5746"/>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HV_Report_Construction.dotx</Template>
  <TotalTime>148</TotalTime>
  <Pages>17</Pages>
  <Words>4045</Words>
  <Characters>25530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Homes Victoria, Victoria State Government</Company>
  <LinksUpToDate>false</LinksUpToDate>
  <CharactersWithSpaces>29516</CharactersWithSpaces>
  <SharedDoc>false</SharedDoc>
  <HyperlinkBase/>
  <HLinks>
    <vt:vector size="150" baseType="variant">
      <vt:variant>
        <vt:i4>5636174</vt:i4>
      </vt:variant>
      <vt:variant>
        <vt:i4>135</vt:i4>
      </vt:variant>
      <vt:variant>
        <vt:i4>0</vt:i4>
      </vt:variant>
      <vt:variant>
        <vt:i4>5</vt:i4>
      </vt:variant>
      <vt:variant>
        <vt:lpwstr>https://fac.dhhs.vic.gov.au/aboriginal-private-rental-assistance-program-aprap-guidelines</vt:lpwstr>
      </vt:variant>
      <vt:variant>
        <vt:lpwstr/>
      </vt:variant>
      <vt:variant>
        <vt:i4>6946880</vt:i4>
      </vt:variant>
      <vt:variant>
        <vt:i4>132</vt:i4>
      </vt:variant>
      <vt:variant>
        <vt:i4>0</vt:i4>
      </vt:variant>
      <vt:variant>
        <vt:i4>5</vt:i4>
      </vt:variant>
      <vt:variant>
        <vt:lpwstr>mailto:hhs@homes.vic.gov.au</vt:lpwstr>
      </vt:variant>
      <vt:variant>
        <vt:lpwstr/>
      </vt:variant>
      <vt:variant>
        <vt:i4>7012478</vt:i4>
      </vt:variant>
      <vt:variant>
        <vt:i4>129</vt:i4>
      </vt:variant>
      <vt:variant>
        <vt:i4>0</vt:i4>
      </vt:variant>
      <vt:variant>
        <vt:i4>5</vt:i4>
      </vt:variant>
      <vt:variant>
        <vt:lpwstr>https://ovic.vic.gov.au/book/key-concepts/</vt:lpwstr>
      </vt:variant>
      <vt:variant>
        <vt:lpwstr/>
      </vt:variant>
      <vt:variant>
        <vt:i4>7209076</vt:i4>
      </vt:variant>
      <vt:variant>
        <vt:i4>126</vt:i4>
      </vt:variant>
      <vt:variant>
        <vt:i4>0</vt:i4>
      </vt:variant>
      <vt:variant>
        <vt:i4>5</vt:i4>
      </vt:variant>
      <vt:variant>
        <vt:lpwstr>https://www.housing.vic.gov.au/rentassist-bond-loan-income-and-asset-limits</vt:lpwstr>
      </vt:variant>
      <vt:variant>
        <vt:lpwstr/>
      </vt:variant>
      <vt:variant>
        <vt:i4>1966134</vt:i4>
      </vt:variant>
      <vt:variant>
        <vt:i4>119</vt:i4>
      </vt:variant>
      <vt:variant>
        <vt:i4>0</vt:i4>
      </vt:variant>
      <vt:variant>
        <vt:i4>5</vt:i4>
      </vt:variant>
      <vt:variant>
        <vt:lpwstr/>
      </vt:variant>
      <vt:variant>
        <vt:lpwstr>_Toc141439501</vt:lpwstr>
      </vt:variant>
      <vt:variant>
        <vt:i4>1966134</vt:i4>
      </vt:variant>
      <vt:variant>
        <vt:i4>113</vt:i4>
      </vt:variant>
      <vt:variant>
        <vt:i4>0</vt:i4>
      </vt:variant>
      <vt:variant>
        <vt:i4>5</vt:i4>
      </vt:variant>
      <vt:variant>
        <vt:lpwstr/>
      </vt:variant>
      <vt:variant>
        <vt:lpwstr>_Toc141439500</vt:lpwstr>
      </vt:variant>
      <vt:variant>
        <vt:i4>1507383</vt:i4>
      </vt:variant>
      <vt:variant>
        <vt:i4>107</vt:i4>
      </vt:variant>
      <vt:variant>
        <vt:i4>0</vt:i4>
      </vt:variant>
      <vt:variant>
        <vt:i4>5</vt:i4>
      </vt:variant>
      <vt:variant>
        <vt:lpwstr/>
      </vt:variant>
      <vt:variant>
        <vt:lpwstr>_Toc141439499</vt:lpwstr>
      </vt:variant>
      <vt:variant>
        <vt:i4>1507383</vt:i4>
      </vt:variant>
      <vt:variant>
        <vt:i4>101</vt:i4>
      </vt:variant>
      <vt:variant>
        <vt:i4>0</vt:i4>
      </vt:variant>
      <vt:variant>
        <vt:i4>5</vt:i4>
      </vt:variant>
      <vt:variant>
        <vt:lpwstr/>
      </vt:variant>
      <vt:variant>
        <vt:lpwstr>_Toc141439498</vt:lpwstr>
      </vt:variant>
      <vt:variant>
        <vt:i4>1507383</vt:i4>
      </vt:variant>
      <vt:variant>
        <vt:i4>95</vt:i4>
      </vt:variant>
      <vt:variant>
        <vt:i4>0</vt:i4>
      </vt:variant>
      <vt:variant>
        <vt:i4>5</vt:i4>
      </vt:variant>
      <vt:variant>
        <vt:lpwstr/>
      </vt:variant>
      <vt:variant>
        <vt:lpwstr>_Toc141439497</vt:lpwstr>
      </vt:variant>
      <vt:variant>
        <vt:i4>1507383</vt:i4>
      </vt:variant>
      <vt:variant>
        <vt:i4>89</vt:i4>
      </vt:variant>
      <vt:variant>
        <vt:i4>0</vt:i4>
      </vt:variant>
      <vt:variant>
        <vt:i4>5</vt:i4>
      </vt:variant>
      <vt:variant>
        <vt:lpwstr/>
      </vt:variant>
      <vt:variant>
        <vt:lpwstr>_Toc141439496</vt:lpwstr>
      </vt:variant>
      <vt:variant>
        <vt:i4>1507383</vt:i4>
      </vt:variant>
      <vt:variant>
        <vt:i4>83</vt:i4>
      </vt:variant>
      <vt:variant>
        <vt:i4>0</vt:i4>
      </vt:variant>
      <vt:variant>
        <vt:i4>5</vt:i4>
      </vt:variant>
      <vt:variant>
        <vt:lpwstr/>
      </vt:variant>
      <vt:variant>
        <vt:lpwstr>_Toc141439495</vt:lpwstr>
      </vt:variant>
      <vt:variant>
        <vt:i4>1507383</vt:i4>
      </vt:variant>
      <vt:variant>
        <vt:i4>77</vt:i4>
      </vt:variant>
      <vt:variant>
        <vt:i4>0</vt:i4>
      </vt:variant>
      <vt:variant>
        <vt:i4>5</vt:i4>
      </vt:variant>
      <vt:variant>
        <vt:lpwstr/>
      </vt:variant>
      <vt:variant>
        <vt:lpwstr>_Toc141439494</vt:lpwstr>
      </vt:variant>
      <vt:variant>
        <vt:i4>1507383</vt:i4>
      </vt:variant>
      <vt:variant>
        <vt:i4>71</vt:i4>
      </vt:variant>
      <vt:variant>
        <vt:i4>0</vt:i4>
      </vt:variant>
      <vt:variant>
        <vt:i4>5</vt:i4>
      </vt:variant>
      <vt:variant>
        <vt:lpwstr/>
      </vt:variant>
      <vt:variant>
        <vt:lpwstr>_Toc141439493</vt:lpwstr>
      </vt:variant>
      <vt:variant>
        <vt:i4>1507383</vt:i4>
      </vt:variant>
      <vt:variant>
        <vt:i4>65</vt:i4>
      </vt:variant>
      <vt:variant>
        <vt:i4>0</vt:i4>
      </vt:variant>
      <vt:variant>
        <vt:i4>5</vt:i4>
      </vt:variant>
      <vt:variant>
        <vt:lpwstr/>
      </vt:variant>
      <vt:variant>
        <vt:lpwstr>_Toc141439492</vt:lpwstr>
      </vt:variant>
      <vt:variant>
        <vt:i4>1507383</vt:i4>
      </vt:variant>
      <vt:variant>
        <vt:i4>59</vt:i4>
      </vt:variant>
      <vt:variant>
        <vt:i4>0</vt:i4>
      </vt:variant>
      <vt:variant>
        <vt:i4>5</vt:i4>
      </vt:variant>
      <vt:variant>
        <vt:lpwstr/>
      </vt:variant>
      <vt:variant>
        <vt:lpwstr>_Toc141439491</vt:lpwstr>
      </vt:variant>
      <vt:variant>
        <vt:i4>1507383</vt:i4>
      </vt:variant>
      <vt:variant>
        <vt:i4>53</vt:i4>
      </vt:variant>
      <vt:variant>
        <vt:i4>0</vt:i4>
      </vt:variant>
      <vt:variant>
        <vt:i4>5</vt:i4>
      </vt:variant>
      <vt:variant>
        <vt:lpwstr/>
      </vt:variant>
      <vt:variant>
        <vt:lpwstr>_Toc141439490</vt:lpwstr>
      </vt:variant>
      <vt:variant>
        <vt:i4>1441847</vt:i4>
      </vt:variant>
      <vt:variant>
        <vt:i4>47</vt:i4>
      </vt:variant>
      <vt:variant>
        <vt:i4>0</vt:i4>
      </vt:variant>
      <vt:variant>
        <vt:i4>5</vt:i4>
      </vt:variant>
      <vt:variant>
        <vt:lpwstr/>
      </vt:variant>
      <vt:variant>
        <vt:lpwstr>_Toc141439489</vt:lpwstr>
      </vt:variant>
      <vt:variant>
        <vt:i4>1441847</vt:i4>
      </vt:variant>
      <vt:variant>
        <vt:i4>41</vt:i4>
      </vt:variant>
      <vt:variant>
        <vt:i4>0</vt:i4>
      </vt:variant>
      <vt:variant>
        <vt:i4>5</vt:i4>
      </vt:variant>
      <vt:variant>
        <vt:lpwstr/>
      </vt:variant>
      <vt:variant>
        <vt:lpwstr>_Toc141439488</vt:lpwstr>
      </vt:variant>
      <vt:variant>
        <vt:i4>1441847</vt:i4>
      </vt:variant>
      <vt:variant>
        <vt:i4>35</vt:i4>
      </vt:variant>
      <vt:variant>
        <vt:i4>0</vt:i4>
      </vt:variant>
      <vt:variant>
        <vt:i4>5</vt:i4>
      </vt:variant>
      <vt:variant>
        <vt:lpwstr/>
      </vt:variant>
      <vt:variant>
        <vt:lpwstr>_Toc141439487</vt:lpwstr>
      </vt:variant>
      <vt:variant>
        <vt:i4>1441847</vt:i4>
      </vt:variant>
      <vt:variant>
        <vt:i4>29</vt:i4>
      </vt:variant>
      <vt:variant>
        <vt:i4>0</vt:i4>
      </vt:variant>
      <vt:variant>
        <vt:i4>5</vt:i4>
      </vt:variant>
      <vt:variant>
        <vt:lpwstr/>
      </vt:variant>
      <vt:variant>
        <vt:lpwstr>_Toc141439486</vt:lpwstr>
      </vt:variant>
      <vt:variant>
        <vt:i4>1441847</vt:i4>
      </vt:variant>
      <vt:variant>
        <vt:i4>23</vt:i4>
      </vt:variant>
      <vt:variant>
        <vt:i4>0</vt:i4>
      </vt:variant>
      <vt:variant>
        <vt:i4>5</vt:i4>
      </vt:variant>
      <vt:variant>
        <vt:lpwstr/>
      </vt:variant>
      <vt:variant>
        <vt:lpwstr>_Toc141439485</vt:lpwstr>
      </vt:variant>
      <vt:variant>
        <vt:i4>1441847</vt:i4>
      </vt:variant>
      <vt:variant>
        <vt:i4>17</vt:i4>
      </vt:variant>
      <vt:variant>
        <vt:i4>0</vt:i4>
      </vt:variant>
      <vt:variant>
        <vt:i4>5</vt:i4>
      </vt:variant>
      <vt:variant>
        <vt:lpwstr/>
      </vt:variant>
      <vt:variant>
        <vt:lpwstr>_Toc141439484</vt:lpwstr>
      </vt:variant>
      <vt:variant>
        <vt:i4>1441847</vt:i4>
      </vt:variant>
      <vt:variant>
        <vt:i4>11</vt:i4>
      </vt:variant>
      <vt:variant>
        <vt:i4>0</vt:i4>
      </vt:variant>
      <vt:variant>
        <vt:i4>5</vt:i4>
      </vt:variant>
      <vt:variant>
        <vt:lpwstr/>
      </vt:variant>
      <vt:variant>
        <vt:lpwstr>_Toc141439483</vt:lpwstr>
      </vt:variant>
      <vt:variant>
        <vt:i4>1441847</vt:i4>
      </vt:variant>
      <vt:variant>
        <vt:i4>5</vt:i4>
      </vt:variant>
      <vt:variant>
        <vt:i4>0</vt:i4>
      </vt:variant>
      <vt:variant>
        <vt:i4>5</vt:i4>
      </vt:variant>
      <vt:variant>
        <vt:lpwstr/>
      </vt:variant>
      <vt:variant>
        <vt:lpwstr>_Toc141439482</vt:lpwstr>
      </vt:variant>
      <vt:variant>
        <vt:i4>1376350</vt:i4>
      </vt:variant>
      <vt:variant>
        <vt:i4>0</vt:i4>
      </vt:variant>
      <vt:variant>
        <vt:i4>0</vt:i4>
      </vt:variant>
      <vt:variant>
        <vt:i4>5</vt:i4>
      </vt:variant>
      <vt:variant>
        <vt:lpwstr>http://www.vahhf.org.au/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Robinson (Homes Victoria)</dc:creator>
  <cp:keywords/>
  <dc:description/>
  <cp:lastModifiedBy>Eleanor Osman (Homes Victoria)</cp:lastModifiedBy>
  <cp:revision>44</cp:revision>
  <cp:lastPrinted>2023-07-28T03:48:00Z</cp:lastPrinted>
  <dcterms:created xsi:type="dcterms:W3CDTF">2023-07-24T21:20:00Z</dcterms:created>
  <dcterms:modified xsi:type="dcterms:W3CDTF">2023-07-28T03:49:00Z</dcterms:modified>
  <cp:category>Homes Victoria Construction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2023-07-28T03:48:38Z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9a3180d0-8277-4a5a-a0ed-dd4d308681b0</vt:lpwstr>
  </property>
  <property fmtid="{D5CDD505-2E9C-101B-9397-08002B2CF9AE}" pid="12" name="MSIP_Label_43e64453-338c-4f93-8a4d-0039a0a41f2a_ContentBits">
    <vt:lpwstr>2</vt:lpwstr>
  </property>
</Properties>
</file>