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17209" w14:textId="77777777" w:rsidR="00A62D44" w:rsidRPr="004C6EEE" w:rsidRDefault="00625559" w:rsidP="00003703">
      <w:pPr>
        <w:pStyle w:val="Spacerparatopoffirstpage"/>
        <w:sectPr w:rsidR="00A62D44" w:rsidRPr="004C6EEE" w:rsidSect="00BE5224">
          <w:footerReference w:type="default" r:id="rId8"/>
          <w:footerReference w:type="first" r:id="rId9"/>
          <w:pgSz w:w="11906" w:h="16838" w:code="9"/>
          <w:pgMar w:top="-397" w:right="851" w:bottom="1134" w:left="851" w:header="510" w:footer="510" w:gutter="0"/>
          <w:cols w:space="708"/>
          <w:docGrid w:linePitch="360"/>
        </w:sectPr>
      </w:pPr>
      <w:r>
        <w:rPr>
          <w:lang w:eastAsia="en-AU"/>
        </w:rPr>
        <w:drawing>
          <wp:anchor distT="0" distB="0" distL="114300" distR="114300" simplePos="0" relativeHeight="251657728" behindDoc="1" locked="1" layoutInCell="1" allowOverlap="1" wp14:anchorId="283121B1" wp14:editId="7FE64A8E">
            <wp:simplePos x="0" y="0"/>
            <wp:positionH relativeFrom="page">
              <wp:posOffset>0</wp:posOffset>
            </wp:positionH>
            <wp:positionV relativeFrom="page">
              <wp:posOffset>0</wp:posOffset>
            </wp:positionV>
            <wp:extent cx="7555230" cy="2162175"/>
            <wp:effectExtent l="0" t="0" r="7620" b="9525"/>
            <wp:wrapNone/>
            <wp:docPr id="2" name="Picture 31" descr="Description: Victorian Housing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Victorian Housing Regis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5230" cy="21621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10121"/>
      </w:tblGrid>
      <w:tr w:rsidR="00AD784C" w14:paraId="1DDEEC9B" w14:textId="77777777" w:rsidTr="001D1FFA">
        <w:trPr>
          <w:trHeight w:val="1272"/>
        </w:trPr>
        <w:tc>
          <w:tcPr>
            <w:tcW w:w="10121" w:type="dxa"/>
            <w:shd w:val="clear" w:color="auto" w:fill="auto"/>
            <w:vAlign w:val="bottom"/>
          </w:tcPr>
          <w:p w14:paraId="0710782C" w14:textId="77777777" w:rsidR="00AD784C" w:rsidRPr="00161AA0" w:rsidRDefault="00894218" w:rsidP="00F30FA5">
            <w:pPr>
              <w:pStyle w:val="DHHSmainheading"/>
            </w:pPr>
            <w:r>
              <w:t xml:space="preserve">7. </w:t>
            </w:r>
            <w:r w:rsidR="00547AF0">
              <w:t>Offer of Housing</w:t>
            </w:r>
          </w:p>
        </w:tc>
      </w:tr>
      <w:tr w:rsidR="00AD784C" w14:paraId="685BB92E" w14:textId="77777777" w:rsidTr="001D1FFA">
        <w:trPr>
          <w:trHeight w:hRule="exact" w:val="1652"/>
        </w:trPr>
        <w:tc>
          <w:tcPr>
            <w:tcW w:w="10121" w:type="dxa"/>
            <w:shd w:val="clear" w:color="auto" w:fill="auto"/>
            <w:tcMar>
              <w:top w:w="170" w:type="dxa"/>
              <w:bottom w:w="510" w:type="dxa"/>
            </w:tcMar>
          </w:tcPr>
          <w:p w14:paraId="0C27A7C4" w14:textId="77777777" w:rsidR="00357B4E" w:rsidRPr="00AD784C" w:rsidRDefault="00F30FA5" w:rsidP="00357B4E">
            <w:pPr>
              <w:pStyle w:val="DHHSmainsubheading"/>
              <w:rPr>
                <w:szCs w:val="28"/>
              </w:rPr>
            </w:pPr>
            <w:r>
              <w:rPr>
                <w:szCs w:val="28"/>
                <w:lang w:bidi="x-none"/>
              </w:rPr>
              <w:t>Operational Guidelines</w:t>
            </w:r>
          </w:p>
        </w:tc>
      </w:tr>
    </w:tbl>
    <w:p w14:paraId="21DC15A5" w14:textId="77777777" w:rsidR="00AD784C" w:rsidRPr="008D2846" w:rsidRDefault="00AD784C" w:rsidP="008D2846">
      <w:pPr>
        <w:pStyle w:val="DHHSTOCheadingfactsheet"/>
      </w:pPr>
      <w:r w:rsidRPr="008D2846">
        <w:t>Contents</w:t>
      </w:r>
    </w:p>
    <w:p w14:paraId="6CCE7145" w14:textId="45890687" w:rsidR="008B5F4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67651938" w:history="1">
        <w:r w:rsidR="008B5F47" w:rsidRPr="004E0E89">
          <w:rPr>
            <w:rStyle w:val="Hyperlink"/>
          </w:rPr>
          <w:t>When do these operational guidelines apply?</w:t>
        </w:r>
        <w:r w:rsidR="008B5F47">
          <w:rPr>
            <w:webHidden/>
          </w:rPr>
          <w:tab/>
        </w:r>
        <w:r w:rsidR="008B5F47">
          <w:rPr>
            <w:webHidden/>
          </w:rPr>
          <w:fldChar w:fldCharType="begin"/>
        </w:r>
        <w:r w:rsidR="008B5F47">
          <w:rPr>
            <w:webHidden/>
          </w:rPr>
          <w:instrText xml:space="preserve"> PAGEREF _Toc67651938 \h </w:instrText>
        </w:r>
        <w:r w:rsidR="008B5F47">
          <w:rPr>
            <w:webHidden/>
          </w:rPr>
        </w:r>
        <w:r w:rsidR="008B5F47">
          <w:rPr>
            <w:webHidden/>
          </w:rPr>
          <w:fldChar w:fldCharType="separate"/>
        </w:r>
        <w:r w:rsidR="008B5F47">
          <w:rPr>
            <w:webHidden/>
          </w:rPr>
          <w:t>1</w:t>
        </w:r>
        <w:r w:rsidR="008B5F47">
          <w:rPr>
            <w:webHidden/>
          </w:rPr>
          <w:fldChar w:fldCharType="end"/>
        </w:r>
      </w:hyperlink>
    </w:p>
    <w:p w14:paraId="46DC4938" w14:textId="30E6BA0D" w:rsidR="008B5F47" w:rsidRDefault="008B5F47">
      <w:pPr>
        <w:pStyle w:val="TOC1"/>
        <w:rPr>
          <w:rFonts w:asciiTheme="minorHAnsi" w:eastAsiaTheme="minorEastAsia" w:hAnsiTheme="minorHAnsi" w:cstheme="minorBidi"/>
          <w:b w:val="0"/>
          <w:sz w:val="22"/>
          <w:szCs w:val="22"/>
          <w:lang w:eastAsia="en-AU"/>
        </w:rPr>
      </w:pPr>
      <w:hyperlink w:anchor="_Toc67651939" w:history="1">
        <w:r w:rsidRPr="004E0E89">
          <w:rPr>
            <w:rStyle w:val="Hyperlink"/>
          </w:rPr>
          <w:t>Purpose statement</w:t>
        </w:r>
        <w:r>
          <w:rPr>
            <w:webHidden/>
          </w:rPr>
          <w:tab/>
        </w:r>
        <w:r>
          <w:rPr>
            <w:webHidden/>
          </w:rPr>
          <w:fldChar w:fldCharType="begin"/>
        </w:r>
        <w:r>
          <w:rPr>
            <w:webHidden/>
          </w:rPr>
          <w:instrText xml:space="preserve"> PAGEREF _Toc67651939 \h </w:instrText>
        </w:r>
        <w:r>
          <w:rPr>
            <w:webHidden/>
          </w:rPr>
        </w:r>
        <w:r>
          <w:rPr>
            <w:webHidden/>
          </w:rPr>
          <w:fldChar w:fldCharType="separate"/>
        </w:r>
        <w:r>
          <w:rPr>
            <w:webHidden/>
          </w:rPr>
          <w:t>2</w:t>
        </w:r>
        <w:r>
          <w:rPr>
            <w:webHidden/>
          </w:rPr>
          <w:fldChar w:fldCharType="end"/>
        </w:r>
      </w:hyperlink>
    </w:p>
    <w:p w14:paraId="0BF1CB94" w14:textId="0D6614CA" w:rsidR="008B5F47" w:rsidRDefault="008B5F47">
      <w:pPr>
        <w:pStyle w:val="TOC1"/>
        <w:rPr>
          <w:rFonts w:asciiTheme="minorHAnsi" w:eastAsiaTheme="minorEastAsia" w:hAnsiTheme="minorHAnsi" w:cstheme="minorBidi"/>
          <w:b w:val="0"/>
          <w:sz w:val="22"/>
          <w:szCs w:val="22"/>
          <w:lang w:eastAsia="en-AU"/>
        </w:rPr>
      </w:pPr>
      <w:hyperlink w:anchor="_Toc67651940" w:history="1">
        <w:r w:rsidRPr="004E0E89">
          <w:rPr>
            <w:rStyle w:val="Hyperlink"/>
          </w:rPr>
          <w:t>Human rights considerations</w:t>
        </w:r>
        <w:r>
          <w:rPr>
            <w:webHidden/>
          </w:rPr>
          <w:tab/>
        </w:r>
        <w:r>
          <w:rPr>
            <w:webHidden/>
          </w:rPr>
          <w:fldChar w:fldCharType="begin"/>
        </w:r>
        <w:r>
          <w:rPr>
            <w:webHidden/>
          </w:rPr>
          <w:instrText xml:space="preserve"> PAGEREF _Toc67651940 \h </w:instrText>
        </w:r>
        <w:r>
          <w:rPr>
            <w:webHidden/>
          </w:rPr>
        </w:r>
        <w:r>
          <w:rPr>
            <w:webHidden/>
          </w:rPr>
          <w:fldChar w:fldCharType="separate"/>
        </w:r>
        <w:r>
          <w:rPr>
            <w:webHidden/>
          </w:rPr>
          <w:t>2</w:t>
        </w:r>
        <w:r>
          <w:rPr>
            <w:webHidden/>
          </w:rPr>
          <w:fldChar w:fldCharType="end"/>
        </w:r>
      </w:hyperlink>
    </w:p>
    <w:p w14:paraId="561BA543" w14:textId="65BECF16" w:rsidR="008B5F47" w:rsidRDefault="008B5F47">
      <w:pPr>
        <w:pStyle w:val="TOC1"/>
        <w:rPr>
          <w:rFonts w:asciiTheme="minorHAnsi" w:eastAsiaTheme="minorEastAsia" w:hAnsiTheme="minorHAnsi" w:cstheme="minorBidi"/>
          <w:b w:val="0"/>
          <w:sz w:val="22"/>
          <w:szCs w:val="22"/>
          <w:lang w:eastAsia="en-AU"/>
        </w:rPr>
      </w:pPr>
      <w:hyperlink w:anchor="_Toc67651941" w:history="1">
        <w:r w:rsidRPr="004E0E89">
          <w:rPr>
            <w:rStyle w:val="Hyperlink"/>
          </w:rPr>
          <w:t>What is an offer of housing?</w:t>
        </w:r>
        <w:r>
          <w:rPr>
            <w:webHidden/>
          </w:rPr>
          <w:tab/>
        </w:r>
        <w:r>
          <w:rPr>
            <w:webHidden/>
          </w:rPr>
          <w:fldChar w:fldCharType="begin"/>
        </w:r>
        <w:r>
          <w:rPr>
            <w:webHidden/>
          </w:rPr>
          <w:instrText xml:space="preserve"> PAGEREF _Toc67651941 \h </w:instrText>
        </w:r>
        <w:r>
          <w:rPr>
            <w:webHidden/>
          </w:rPr>
        </w:r>
        <w:r>
          <w:rPr>
            <w:webHidden/>
          </w:rPr>
          <w:fldChar w:fldCharType="separate"/>
        </w:r>
        <w:r>
          <w:rPr>
            <w:webHidden/>
          </w:rPr>
          <w:t>2</w:t>
        </w:r>
        <w:r>
          <w:rPr>
            <w:webHidden/>
          </w:rPr>
          <w:fldChar w:fldCharType="end"/>
        </w:r>
      </w:hyperlink>
    </w:p>
    <w:p w14:paraId="7D9FD387" w14:textId="54D64B04" w:rsidR="008B5F47" w:rsidRDefault="008B5F47">
      <w:pPr>
        <w:pStyle w:val="TOC2"/>
        <w:rPr>
          <w:rFonts w:asciiTheme="minorHAnsi" w:eastAsiaTheme="minorEastAsia" w:hAnsiTheme="minorHAnsi" w:cstheme="minorBidi"/>
          <w:sz w:val="22"/>
          <w:szCs w:val="22"/>
          <w:lang w:eastAsia="en-AU"/>
        </w:rPr>
      </w:pPr>
      <w:hyperlink w:anchor="_Toc67651942" w:history="1">
        <w:r w:rsidRPr="004E0E89">
          <w:rPr>
            <w:rStyle w:val="Hyperlink"/>
          </w:rPr>
          <w:t>Key considerations in making a reasonable offer</w:t>
        </w:r>
        <w:r>
          <w:rPr>
            <w:webHidden/>
          </w:rPr>
          <w:tab/>
        </w:r>
        <w:r>
          <w:rPr>
            <w:webHidden/>
          </w:rPr>
          <w:fldChar w:fldCharType="begin"/>
        </w:r>
        <w:r>
          <w:rPr>
            <w:webHidden/>
          </w:rPr>
          <w:instrText xml:space="preserve"> PAGEREF _Toc67651942 \h </w:instrText>
        </w:r>
        <w:r>
          <w:rPr>
            <w:webHidden/>
          </w:rPr>
        </w:r>
        <w:r>
          <w:rPr>
            <w:webHidden/>
          </w:rPr>
          <w:fldChar w:fldCharType="separate"/>
        </w:r>
        <w:r>
          <w:rPr>
            <w:webHidden/>
          </w:rPr>
          <w:t>3</w:t>
        </w:r>
        <w:r>
          <w:rPr>
            <w:webHidden/>
          </w:rPr>
          <w:fldChar w:fldCharType="end"/>
        </w:r>
      </w:hyperlink>
    </w:p>
    <w:p w14:paraId="7782DA3A" w14:textId="1C8ADA52" w:rsidR="008B5F47" w:rsidRDefault="008B5F47">
      <w:pPr>
        <w:pStyle w:val="TOC2"/>
        <w:rPr>
          <w:rFonts w:asciiTheme="minorHAnsi" w:eastAsiaTheme="minorEastAsia" w:hAnsiTheme="minorHAnsi" w:cstheme="minorBidi"/>
          <w:sz w:val="22"/>
          <w:szCs w:val="22"/>
          <w:lang w:eastAsia="en-AU"/>
        </w:rPr>
      </w:pPr>
      <w:hyperlink w:anchor="_Toc67651943" w:history="1">
        <w:r w:rsidRPr="004E0E89">
          <w:rPr>
            <w:rStyle w:val="Hyperlink"/>
          </w:rPr>
          <w:t>Mandatory Disclosures</w:t>
        </w:r>
        <w:r>
          <w:rPr>
            <w:webHidden/>
          </w:rPr>
          <w:tab/>
        </w:r>
        <w:r>
          <w:rPr>
            <w:webHidden/>
          </w:rPr>
          <w:fldChar w:fldCharType="begin"/>
        </w:r>
        <w:r>
          <w:rPr>
            <w:webHidden/>
          </w:rPr>
          <w:instrText xml:space="preserve"> PAGEREF _Toc67651943 \h </w:instrText>
        </w:r>
        <w:r>
          <w:rPr>
            <w:webHidden/>
          </w:rPr>
        </w:r>
        <w:r>
          <w:rPr>
            <w:webHidden/>
          </w:rPr>
          <w:fldChar w:fldCharType="separate"/>
        </w:r>
        <w:r>
          <w:rPr>
            <w:webHidden/>
          </w:rPr>
          <w:t>3</w:t>
        </w:r>
        <w:r>
          <w:rPr>
            <w:webHidden/>
          </w:rPr>
          <w:fldChar w:fldCharType="end"/>
        </w:r>
      </w:hyperlink>
    </w:p>
    <w:p w14:paraId="71FACA65" w14:textId="332F11D7" w:rsidR="008B5F47" w:rsidRDefault="008B5F47">
      <w:pPr>
        <w:pStyle w:val="TOC2"/>
        <w:rPr>
          <w:rFonts w:asciiTheme="minorHAnsi" w:eastAsiaTheme="minorEastAsia" w:hAnsiTheme="minorHAnsi" w:cstheme="minorBidi"/>
          <w:sz w:val="22"/>
          <w:szCs w:val="22"/>
          <w:lang w:eastAsia="en-AU"/>
        </w:rPr>
      </w:pPr>
      <w:hyperlink w:anchor="_Toc67651944" w:history="1">
        <w:r w:rsidRPr="004E0E89">
          <w:rPr>
            <w:rStyle w:val="Hyperlink"/>
          </w:rPr>
          <w:t>Housing for specific client groups</w:t>
        </w:r>
        <w:r>
          <w:rPr>
            <w:webHidden/>
          </w:rPr>
          <w:tab/>
        </w:r>
        <w:r>
          <w:rPr>
            <w:webHidden/>
          </w:rPr>
          <w:fldChar w:fldCharType="begin"/>
        </w:r>
        <w:r>
          <w:rPr>
            <w:webHidden/>
          </w:rPr>
          <w:instrText xml:space="preserve"> PAGEREF _Toc67651944 \h </w:instrText>
        </w:r>
        <w:r>
          <w:rPr>
            <w:webHidden/>
          </w:rPr>
        </w:r>
        <w:r>
          <w:rPr>
            <w:webHidden/>
          </w:rPr>
          <w:fldChar w:fldCharType="separate"/>
        </w:r>
        <w:r>
          <w:rPr>
            <w:webHidden/>
          </w:rPr>
          <w:t>4</w:t>
        </w:r>
        <w:r>
          <w:rPr>
            <w:webHidden/>
          </w:rPr>
          <w:fldChar w:fldCharType="end"/>
        </w:r>
      </w:hyperlink>
    </w:p>
    <w:p w14:paraId="3D33711D" w14:textId="4070892D" w:rsidR="008B5F47" w:rsidRDefault="008B5F47">
      <w:pPr>
        <w:pStyle w:val="TOC2"/>
        <w:rPr>
          <w:rFonts w:asciiTheme="minorHAnsi" w:eastAsiaTheme="minorEastAsia" w:hAnsiTheme="minorHAnsi" w:cstheme="minorBidi"/>
          <w:sz w:val="22"/>
          <w:szCs w:val="22"/>
          <w:lang w:eastAsia="en-AU"/>
        </w:rPr>
      </w:pPr>
      <w:hyperlink w:anchor="_Toc67651945" w:history="1">
        <w:r w:rsidRPr="004E0E89">
          <w:rPr>
            <w:rStyle w:val="Hyperlink"/>
          </w:rPr>
          <w:t>Participating registered agencies</w:t>
        </w:r>
        <w:r>
          <w:rPr>
            <w:webHidden/>
          </w:rPr>
          <w:tab/>
        </w:r>
        <w:r>
          <w:rPr>
            <w:webHidden/>
          </w:rPr>
          <w:fldChar w:fldCharType="begin"/>
        </w:r>
        <w:r>
          <w:rPr>
            <w:webHidden/>
          </w:rPr>
          <w:instrText xml:space="preserve"> PAGEREF _Toc67651945 \h </w:instrText>
        </w:r>
        <w:r>
          <w:rPr>
            <w:webHidden/>
          </w:rPr>
        </w:r>
        <w:r>
          <w:rPr>
            <w:webHidden/>
          </w:rPr>
          <w:fldChar w:fldCharType="separate"/>
        </w:r>
        <w:r>
          <w:rPr>
            <w:webHidden/>
          </w:rPr>
          <w:t>4</w:t>
        </w:r>
        <w:r>
          <w:rPr>
            <w:webHidden/>
          </w:rPr>
          <w:fldChar w:fldCharType="end"/>
        </w:r>
      </w:hyperlink>
    </w:p>
    <w:p w14:paraId="79873914" w14:textId="148730C5" w:rsidR="008B5F47" w:rsidRDefault="008B5F47">
      <w:pPr>
        <w:pStyle w:val="TOC2"/>
        <w:rPr>
          <w:rFonts w:asciiTheme="minorHAnsi" w:eastAsiaTheme="minorEastAsia" w:hAnsiTheme="minorHAnsi" w:cstheme="minorBidi"/>
          <w:sz w:val="22"/>
          <w:szCs w:val="22"/>
          <w:lang w:eastAsia="en-AU"/>
        </w:rPr>
      </w:pPr>
      <w:hyperlink w:anchor="_Toc67651946" w:history="1">
        <w:r w:rsidRPr="004E0E89">
          <w:rPr>
            <w:rStyle w:val="Hyperlink"/>
          </w:rPr>
          <w:t>Nomination Rights</w:t>
        </w:r>
        <w:r>
          <w:rPr>
            <w:webHidden/>
          </w:rPr>
          <w:tab/>
        </w:r>
        <w:r>
          <w:rPr>
            <w:webHidden/>
          </w:rPr>
          <w:fldChar w:fldCharType="begin"/>
        </w:r>
        <w:r>
          <w:rPr>
            <w:webHidden/>
          </w:rPr>
          <w:instrText xml:space="preserve"> PAGEREF _Toc67651946 \h </w:instrText>
        </w:r>
        <w:r>
          <w:rPr>
            <w:webHidden/>
          </w:rPr>
        </w:r>
        <w:r>
          <w:rPr>
            <w:webHidden/>
          </w:rPr>
          <w:fldChar w:fldCharType="separate"/>
        </w:r>
        <w:r>
          <w:rPr>
            <w:webHidden/>
          </w:rPr>
          <w:t>4</w:t>
        </w:r>
        <w:r>
          <w:rPr>
            <w:webHidden/>
          </w:rPr>
          <w:fldChar w:fldCharType="end"/>
        </w:r>
      </w:hyperlink>
    </w:p>
    <w:p w14:paraId="53A5A269" w14:textId="6A718265" w:rsidR="008B5F47" w:rsidRDefault="008B5F47">
      <w:pPr>
        <w:pStyle w:val="TOC1"/>
        <w:rPr>
          <w:rFonts w:asciiTheme="minorHAnsi" w:eastAsiaTheme="minorEastAsia" w:hAnsiTheme="minorHAnsi" w:cstheme="minorBidi"/>
          <w:b w:val="0"/>
          <w:sz w:val="22"/>
          <w:szCs w:val="22"/>
          <w:lang w:eastAsia="en-AU"/>
        </w:rPr>
      </w:pPr>
      <w:hyperlink w:anchor="_Toc67651947" w:history="1">
        <w:r w:rsidRPr="004E0E89">
          <w:rPr>
            <w:rStyle w:val="Hyperlink"/>
          </w:rPr>
          <w:t>Public housing</w:t>
        </w:r>
        <w:r>
          <w:rPr>
            <w:webHidden/>
          </w:rPr>
          <w:tab/>
        </w:r>
        <w:r>
          <w:rPr>
            <w:webHidden/>
          </w:rPr>
          <w:fldChar w:fldCharType="begin"/>
        </w:r>
        <w:r>
          <w:rPr>
            <w:webHidden/>
          </w:rPr>
          <w:instrText xml:space="preserve"> PAGEREF _Toc67651947 \h </w:instrText>
        </w:r>
        <w:r>
          <w:rPr>
            <w:webHidden/>
          </w:rPr>
        </w:r>
        <w:r>
          <w:rPr>
            <w:webHidden/>
          </w:rPr>
          <w:fldChar w:fldCharType="separate"/>
        </w:r>
        <w:r>
          <w:rPr>
            <w:webHidden/>
          </w:rPr>
          <w:t>4</w:t>
        </w:r>
        <w:r>
          <w:rPr>
            <w:webHidden/>
          </w:rPr>
          <w:fldChar w:fldCharType="end"/>
        </w:r>
      </w:hyperlink>
    </w:p>
    <w:p w14:paraId="14547096" w14:textId="098FE213" w:rsidR="008B5F47" w:rsidRDefault="008B5F47">
      <w:pPr>
        <w:pStyle w:val="TOC2"/>
        <w:rPr>
          <w:rFonts w:asciiTheme="minorHAnsi" w:eastAsiaTheme="minorEastAsia" w:hAnsiTheme="minorHAnsi" w:cstheme="minorBidi"/>
          <w:sz w:val="22"/>
          <w:szCs w:val="22"/>
          <w:lang w:eastAsia="en-AU"/>
        </w:rPr>
      </w:pPr>
      <w:hyperlink w:anchor="_Toc67651948" w:history="1">
        <w:r w:rsidRPr="004E0E89">
          <w:rPr>
            <w:rStyle w:val="Hyperlink"/>
          </w:rPr>
          <w:t>Sponsored housing</w:t>
        </w:r>
        <w:r>
          <w:rPr>
            <w:webHidden/>
          </w:rPr>
          <w:tab/>
        </w:r>
        <w:r>
          <w:rPr>
            <w:webHidden/>
          </w:rPr>
          <w:fldChar w:fldCharType="begin"/>
        </w:r>
        <w:r>
          <w:rPr>
            <w:webHidden/>
          </w:rPr>
          <w:instrText xml:space="preserve"> PAGEREF _Toc67651948 \h </w:instrText>
        </w:r>
        <w:r>
          <w:rPr>
            <w:webHidden/>
          </w:rPr>
        </w:r>
        <w:r>
          <w:rPr>
            <w:webHidden/>
          </w:rPr>
          <w:fldChar w:fldCharType="separate"/>
        </w:r>
        <w:r>
          <w:rPr>
            <w:webHidden/>
          </w:rPr>
          <w:t>4</w:t>
        </w:r>
        <w:r>
          <w:rPr>
            <w:webHidden/>
          </w:rPr>
          <w:fldChar w:fldCharType="end"/>
        </w:r>
      </w:hyperlink>
    </w:p>
    <w:p w14:paraId="066FE730" w14:textId="3D328D8B" w:rsidR="008B5F47" w:rsidRDefault="008B5F47">
      <w:pPr>
        <w:pStyle w:val="TOC2"/>
        <w:rPr>
          <w:rFonts w:asciiTheme="minorHAnsi" w:eastAsiaTheme="minorEastAsia" w:hAnsiTheme="minorHAnsi" w:cstheme="minorBidi"/>
          <w:sz w:val="22"/>
          <w:szCs w:val="22"/>
          <w:lang w:eastAsia="en-AU"/>
        </w:rPr>
      </w:pPr>
      <w:hyperlink w:anchor="_Toc67651949" w:history="1">
        <w:r w:rsidRPr="004E0E89">
          <w:rPr>
            <w:rStyle w:val="Hyperlink"/>
          </w:rPr>
          <w:t>Housing and Support Program</w:t>
        </w:r>
        <w:r>
          <w:rPr>
            <w:webHidden/>
          </w:rPr>
          <w:tab/>
        </w:r>
        <w:r>
          <w:rPr>
            <w:webHidden/>
          </w:rPr>
          <w:fldChar w:fldCharType="begin"/>
        </w:r>
        <w:r>
          <w:rPr>
            <w:webHidden/>
          </w:rPr>
          <w:instrText xml:space="preserve"> PAGEREF _Toc67651949 \h </w:instrText>
        </w:r>
        <w:r>
          <w:rPr>
            <w:webHidden/>
          </w:rPr>
        </w:r>
        <w:r>
          <w:rPr>
            <w:webHidden/>
          </w:rPr>
          <w:fldChar w:fldCharType="separate"/>
        </w:r>
        <w:r>
          <w:rPr>
            <w:webHidden/>
          </w:rPr>
          <w:t>5</w:t>
        </w:r>
        <w:r>
          <w:rPr>
            <w:webHidden/>
          </w:rPr>
          <w:fldChar w:fldCharType="end"/>
        </w:r>
      </w:hyperlink>
    </w:p>
    <w:p w14:paraId="0E04D4DD" w14:textId="507A26F4" w:rsidR="008B5F47" w:rsidRDefault="008B5F47">
      <w:pPr>
        <w:pStyle w:val="TOC2"/>
        <w:rPr>
          <w:rFonts w:asciiTheme="minorHAnsi" w:eastAsiaTheme="minorEastAsia" w:hAnsiTheme="minorHAnsi" w:cstheme="minorBidi"/>
          <w:sz w:val="22"/>
          <w:szCs w:val="22"/>
          <w:lang w:eastAsia="en-AU"/>
        </w:rPr>
      </w:pPr>
      <w:hyperlink w:anchor="_Toc67651950" w:history="1">
        <w:r w:rsidRPr="004E0E89">
          <w:rPr>
            <w:rStyle w:val="Hyperlink"/>
          </w:rPr>
          <w:t>Singles housing</w:t>
        </w:r>
        <w:r>
          <w:rPr>
            <w:webHidden/>
          </w:rPr>
          <w:tab/>
        </w:r>
        <w:r>
          <w:rPr>
            <w:webHidden/>
          </w:rPr>
          <w:fldChar w:fldCharType="begin"/>
        </w:r>
        <w:r>
          <w:rPr>
            <w:webHidden/>
          </w:rPr>
          <w:instrText xml:space="preserve"> PAGEREF _Toc67651950 \h </w:instrText>
        </w:r>
        <w:r>
          <w:rPr>
            <w:webHidden/>
          </w:rPr>
        </w:r>
        <w:r>
          <w:rPr>
            <w:webHidden/>
          </w:rPr>
          <w:fldChar w:fldCharType="separate"/>
        </w:r>
        <w:r>
          <w:rPr>
            <w:webHidden/>
          </w:rPr>
          <w:t>5</w:t>
        </w:r>
        <w:r>
          <w:rPr>
            <w:webHidden/>
          </w:rPr>
          <w:fldChar w:fldCharType="end"/>
        </w:r>
      </w:hyperlink>
    </w:p>
    <w:p w14:paraId="6A66CD24" w14:textId="1BB32BCB" w:rsidR="008B5F47" w:rsidRDefault="008B5F47">
      <w:pPr>
        <w:pStyle w:val="TOC1"/>
        <w:rPr>
          <w:rFonts w:asciiTheme="minorHAnsi" w:eastAsiaTheme="minorEastAsia" w:hAnsiTheme="minorHAnsi" w:cstheme="minorBidi"/>
          <w:b w:val="0"/>
          <w:sz w:val="22"/>
          <w:szCs w:val="22"/>
          <w:lang w:eastAsia="en-AU"/>
        </w:rPr>
      </w:pPr>
      <w:hyperlink w:anchor="_Toc67651951" w:history="1">
        <w:r w:rsidRPr="004E0E89">
          <w:rPr>
            <w:rStyle w:val="Hyperlink"/>
          </w:rPr>
          <w:t>Decision Review</w:t>
        </w:r>
        <w:r>
          <w:rPr>
            <w:webHidden/>
          </w:rPr>
          <w:tab/>
        </w:r>
        <w:r>
          <w:rPr>
            <w:webHidden/>
          </w:rPr>
          <w:fldChar w:fldCharType="begin"/>
        </w:r>
        <w:r>
          <w:rPr>
            <w:webHidden/>
          </w:rPr>
          <w:instrText xml:space="preserve"> PAGEREF _Toc67651951 \h </w:instrText>
        </w:r>
        <w:r>
          <w:rPr>
            <w:webHidden/>
          </w:rPr>
        </w:r>
        <w:r>
          <w:rPr>
            <w:webHidden/>
          </w:rPr>
          <w:fldChar w:fldCharType="separate"/>
        </w:r>
        <w:r>
          <w:rPr>
            <w:webHidden/>
          </w:rPr>
          <w:t>5</w:t>
        </w:r>
        <w:r>
          <w:rPr>
            <w:webHidden/>
          </w:rPr>
          <w:fldChar w:fldCharType="end"/>
        </w:r>
      </w:hyperlink>
    </w:p>
    <w:p w14:paraId="3C2E2416" w14:textId="77777777" w:rsidR="002C363D" w:rsidRDefault="00AD784C" w:rsidP="002C363D">
      <w:pPr>
        <w:pStyle w:val="TOC1"/>
      </w:pPr>
      <w:r>
        <w:fldChar w:fldCharType="end"/>
      </w:r>
      <w:bookmarkStart w:id="0" w:name="_Toc448485110"/>
      <w:bookmarkStart w:id="1" w:name="_Toc452713320"/>
      <w:bookmarkStart w:id="2" w:name="_Toc453080481"/>
      <w:bookmarkStart w:id="3" w:name="_Toc456263616"/>
    </w:p>
    <w:p w14:paraId="2E7BC53F" w14:textId="77777777" w:rsidR="0024332C" w:rsidRDefault="0024332C" w:rsidP="002C363D">
      <w:pPr>
        <w:pStyle w:val="TOC1"/>
        <w:sectPr w:rsidR="0024332C"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p>
    <w:p w14:paraId="5D4ABEE0" w14:textId="77777777" w:rsidR="00F30FA5" w:rsidRPr="00AA4A43" w:rsidRDefault="00F30FA5" w:rsidP="008C2076">
      <w:pPr>
        <w:pStyle w:val="Heading1"/>
      </w:pPr>
      <w:bookmarkStart w:id="4" w:name="_Toc67651938"/>
      <w:r w:rsidRPr="00AA4A43">
        <w:t>When do these operational guidelines apply?</w:t>
      </w:r>
      <w:bookmarkEnd w:id="0"/>
      <w:bookmarkEnd w:id="1"/>
      <w:bookmarkEnd w:id="2"/>
      <w:bookmarkEnd w:id="3"/>
      <w:bookmarkEnd w:id="4"/>
    </w:p>
    <w:p w14:paraId="17899209" w14:textId="77777777" w:rsidR="00F30FA5" w:rsidRPr="00581FCD" w:rsidRDefault="00F30FA5" w:rsidP="00581FCD">
      <w:pPr>
        <w:pStyle w:val="DHHSbody"/>
      </w:pPr>
      <w:bookmarkStart w:id="5" w:name="_Toc448485111"/>
      <w:r w:rsidRPr="00581FCD">
        <w:t xml:space="preserve">These operational guidelines should be followed by </w:t>
      </w:r>
      <w:r w:rsidR="00456C8C" w:rsidRPr="00581FCD">
        <w:t>designated service</w:t>
      </w:r>
      <w:r w:rsidRPr="00581FCD">
        <w:t xml:space="preserve"> providers and social housing organisations when making decisions related to </w:t>
      </w:r>
      <w:r w:rsidR="00456C8C" w:rsidRPr="00581FCD">
        <w:t xml:space="preserve">applications to </w:t>
      </w:r>
      <w:r w:rsidRPr="00581FCD">
        <w:t>the Victorian Housing Register (the register)</w:t>
      </w:r>
      <w:proofErr w:type="gramStart"/>
      <w:r w:rsidR="00A115E4" w:rsidRPr="00581FCD">
        <w:t xml:space="preserve">, in particular, </w:t>
      </w:r>
      <w:r w:rsidR="00456C8C" w:rsidRPr="00581FCD">
        <w:t>to</w:t>
      </w:r>
      <w:proofErr w:type="gramEnd"/>
      <w:r w:rsidR="00456C8C" w:rsidRPr="00581FCD">
        <w:t xml:space="preserve"> determine if an offer of housing is a reasonable offer</w:t>
      </w:r>
      <w:r w:rsidRPr="00581FCD">
        <w:t>.</w:t>
      </w:r>
    </w:p>
    <w:p w14:paraId="13B42403" w14:textId="77777777" w:rsidR="00207E1F" w:rsidRPr="00581FCD" w:rsidRDefault="00207E1F" w:rsidP="00581FCD">
      <w:pPr>
        <w:pStyle w:val="DHHSbody"/>
      </w:pPr>
      <w:r w:rsidRPr="00581FCD">
        <w:t>Decisions in relation to allocation of social housing are to be made in accordance with the relevant social housing organisation’s allocations practices. However, a social housing orga</w:t>
      </w:r>
      <w:r w:rsidR="00100CAA" w:rsidRPr="00581FCD">
        <w:t>nisation may have regard to these</w:t>
      </w:r>
      <w:r w:rsidRPr="00581FCD">
        <w:t xml:space="preserve"> operational guideline</w:t>
      </w:r>
      <w:r w:rsidR="00100CAA" w:rsidRPr="00581FCD">
        <w:t>s</w:t>
      </w:r>
      <w:r w:rsidRPr="00581FCD">
        <w:t xml:space="preserve"> when making decisions about allocation.</w:t>
      </w:r>
    </w:p>
    <w:bookmarkEnd w:id="5"/>
    <w:p w14:paraId="00D6382C" w14:textId="77777777" w:rsidR="00A55081" w:rsidRPr="00581FCD" w:rsidRDefault="00A55081" w:rsidP="00581FCD">
      <w:pPr>
        <w:pStyle w:val="DHHSbody"/>
      </w:pPr>
      <w:r w:rsidRPr="00581FCD">
        <w:t xml:space="preserve">The </w:t>
      </w:r>
      <w:hyperlink r:id="rId13" w:history="1">
        <w:r w:rsidR="001D1FFA" w:rsidRPr="008C1EC7">
          <w:rPr>
            <w:rStyle w:val="Hyperlink"/>
            <w:i/>
          </w:rPr>
          <w:t>Offer of Housing</w:t>
        </w:r>
        <w:r w:rsidR="001D1FFA" w:rsidRPr="008C1EC7">
          <w:rPr>
            <w:rStyle w:val="Hyperlink"/>
          </w:rPr>
          <w:t xml:space="preserve"> operational guidelines</w:t>
        </w:r>
      </w:hyperlink>
      <w:r w:rsidRPr="00581FCD">
        <w:t xml:space="preserve"> </w:t>
      </w:r>
      <w:r w:rsidR="00581FCD">
        <w:t>&lt;</w:t>
      </w:r>
      <w:r w:rsidR="00581FCD" w:rsidRPr="00581FCD">
        <w:t>https://fac.dhhs.vic.gov.au/offer-housing</w:t>
      </w:r>
      <w:r w:rsidR="00581FCD">
        <w:t xml:space="preserve">&gt; </w:t>
      </w:r>
      <w:r w:rsidRPr="00581FCD">
        <w:t xml:space="preserve">should be read in conjunction with the </w:t>
      </w:r>
      <w:hyperlink r:id="rId14" w:history="1">
        <w:r w:rsidRPr="0084337E">
          <w:rPr>
            <w:rStyle w:val="Hyperlink"/>
            <w:i/>
          </w:rPr>
          <w:t>Clients with Special Accommodation Requirements</w:t>
        </w:r>
        <w:r w:rsidR="008F7778">
          <w:rPr>
            <w:rStyle w:val="Hyperlink"/>
          </w:rPr>
          <w:t xml:space="preserve"> operational g</w:t>
        </w:r>
        <w:r w:rsidRPr="0084337E">
          <w:rPr>
            <w:rStyle w:val="Hyperlink"/>
          </w:rPr>
          <w:t>uidelines</w:t>
        </w:r>
      </w:hyperlink>
      <w:r w:rsidR="0084337E">
        <w:t xml:space="preserve"> &lt;</w:t>
      </w:r>
      <w:r w:rsidR="0084337E" w:rsidRPr="0084337E">
        <w:t>https://fac.dhhs.vic.gov.au/clients-special-accommodation-requirements</w:t>
      </w:r>
      <w:r w:rsidR="0084337E">
        <w:t>&gt;</w:t>
      </w:r>
      <w:r w:rsidRPr="00581FCD">
        <w:t>.</w:t>
      </w:r>
    </w:p>
    <w:p w14:paraId="3535A27D" w14:textId="77777777" w:rsidR="00F30FA5" w:rsidRPr="00581FCD" w:rsidRDefault="00F30FA5" w:rsidP="00581FCD">
      <w:pPr>
        <w:pStyle w:val="DHHSbody"/>
      </w:pPr>
      <w:r w:rsidRPr="00581FCD">
        <w:t>These</w:t>
      </w:r>
      <w:r w:rsidR="00FC17CB" w:rsidRPr="00581FCD">
        <w:t xml:space="preserve"> operational</w:t>
      </w:r>
      <w:r w:rsidRPr="00581FCD">
        <w:t xml:space="preserve"> guidelines form part of a set of guidelines that together sit under the </w:t>
      </w:r>
      <w:hyperlink r:id="rId15" w:history="1">
        <w:r w:rsidR="00DA2945" w:rsidRPr="0084337E">
          <w:rPr>
            <w:rStyle w:val="Hyperlink"/>
            <w:i/>
          </w:rPr>
          <w:t>E</w:t>
        </w:r>
        <w:r w:rsidRPr="0084337E">
          <w:rPr>
            <w:rStyle w:val="Hyperlink"/>
            <w:i/>
          </w:rPr>
          <w:t xml:space="preserve">ligibility </w:t>
        </w:r>
        <w:r w:rsidR="00DA2945" w:rsidRPr="0084337E">
          <w:rPr>
            <w:rStyle w:val="Hyperlink"/>
            <w:i/>
          </w:rPr>
          <w:t>P</w:t>
        </w:r>
        <w:r w:rsidRPr="0084337E">
          <w:rPr>
            <w:rStyle w:val="Hyperlink"/>
            <w:i/>
          </w:rPr>
          <w:t xml:space="preserve">olicy </w:t>
        </w:r>
        <w:r w:rsidR="00DA2945" w:rsidRPr="0084337E">
          <w:rPr>
            <w:rStyle w:val="Hyperlink"/>
            <w:i/>
          </w:rPr>
          <w:t>F</w:t>
        </w:r>
        <w:r w:rsidRPr="0084337E">
          <w:rPr>
            <w:rStyle w:val="Hyperlink"/>
            <w:i/>
          </w:rPr>
          <w:t>ramework</w:t>
        </w:r>
      </w:hyperlink>
      <w:r w:rsidR="0084337E">
        <w:t xml:space="preserve"> &lt;</w:t>
      </w:r>
      <w:r w:rsidR="0084337E" w:rsidRPr="0084337E">
        <w:t>https://fac.dhhs.vic.gov.au/eligibility-policy-framework</w:t>
      </w:r>
      <w:r w:rsidR="0084337E">
        <w:t>&gt;</w:t>
      </w:r>
      <w:r w:rsidRPr="00581FCD">
        <w:t>.</w:t>
      </w:r>
    </w:p>
    <w:p w14:paraId="65A75938" w14:textId="77777777" w:rsidR="001A6A1A" w:rsidRDefault="001A6A1A">
      <w:pPr>
        <w:rPr>
          <w:rFonts w:ascii="Arial" w:eastAsia="MS Gothic" w:hAnsi="Arial" w:cs="Arial"/>
          <w:bCs/>
          <w:color w:val="15354D"/>
          <w:kern w:val="32"/>
          <w:sz w:val="36"/>
          <w:szCs w:val="40"/>
        </w:rPr>
      </w:pPr>
      <w:bookmarkStart w:id="6" w:name="_Toc448485112"/>
      <w:bookmarkStart w:id="7" w:name="_Toc452713322"/>
      <w:bookmarkStart w:id="8" w:name="_Toc453080482"/>
      <w:bookmarkStart w:id="9" w:name="_Toc456263617"/>
      <w:r>
        <w:br w:type="page"/>
      </w:r>
    </w:p>
    <w:p w14:paraId="6016AD72" w14:textId="77777777" w:rsidR="00F30FA5" w:rsidRPr="00AA4A43" w:rsidRDefault="00F30FA5" w:rsidP="008C2076">
      <w:pPr>
        <w:pStyle w:val="Heading1"/>
      </w:pPr>
      <w:bookmarkStart w:id="10" w:name="_Toc67651939"/>
      <w:r w:rsidRPr="00AA4A43">
        <w:lastRenderedPageBreak/>
        <w:t>Purpose statement</w:t>
      </w:r>
      <w:bookmarkEnd w:id="6"/>
      <w:bookmarkEnd w:id="7"/>
      <w:bookmarkEnd w:id="8"/>
      <w:bookmarkEnd w:id="9"/>
      <w:bookmarkEnd w:id="10"/>
    </w:p>
    <w:p w14:paraId="6108C661" w14:textId="77777777" w:rsidR="00F30FA5" w:rsidRPr="0044318E" w:rsidRDefault="00F30FA5" w:rsidP="0044318E">
      <w:pPr>
        <w:pStyle w:val="DHHSbody"/>
      </w:pPr>
      <w:r w:rsidRPr="0044318E">
        <w:t xml:space="preserve">The intent of these operational guidelines is to </w:t>
      </w:r>
      <w:r w:rsidR="00456C8C" w:rsidRPr="0044318E">
        <w:t>provide guidance to staff</w:t>
      </w:r>
      <w:r w:rsidR="00B12D2A" w:rsidRPr="0044318E">
        <w:t>, by setting out criteria,</w:t>
      </w:r>
      <w:r w:rsidR="00456C8C" w:rsidRPr="0044318E">
        <w:t xml:space="preserve"> </w:t>
      </w:r>
      <w:r w:rsidR="00FD0297" w:rsidRPr="0044318E">
        <w:t>in making</w:t>
      </w:r>
      <w:r w:rsidR="00456C8C" w:rsidRPr="0044318E">
        <w:t xml:space="preserve"> decisions </w:t>
      </w:r>
      <w:r w:rsidR="00FD0297" w:rsidRPr="0044318E">
        <w:t>to best match people with housing, with a view to assisting social housing organisations to maximise the use of social housing properties in accordance with their allocations practices.</w:t>
      </w:r>
    </w:p>
    <w:p w14:paraId="28AF5A85" w14:textId="77777777" w:rsidR="00F30FA5" w:rsidRPr="0044318E" w:rsidRDefault="00F30FA5" w:rsidP="0044318E">
      <w:pPr>
        <w:pStyle w:val="DHHSbody"/>
      </w:pPr>
      <w:r w:rsidRPr="0044318E">
        <w:t>Matching a person to a property is</w:t>
      </w:r>
      <w:r w:rsidR="00002418" w:rsidRPr="0044318E">
        <w:t xml:space="preserve"> typically</w:t>
      </w:r>
      <w:r w:rsidRPr="0044318E">
        <w:t xml:space="preserve"> based on the following:</w:t>
      </w:r>
    </w:p>
    <w:p w14:paraId="6A306DA4" w14:textId="77777777" w:rsidR="00F30FA5" w:rsidRPr="0044318E" w:rsidRDefault="00FB4349" w:rsidP="0044318E">
      <w:pPr>
        <w:pStyle w:val="DHHSbullet1"/>
      </w:pPr>
      <w:r w:rsidRPr="0044318E">
        <w:t>H</w:t>
      </w:r>
      <w:r w:rsidR="00F30FA5" w:rsidRPr="0044318E">
        <w:t>ou</w:t>
      </w:r>
      <w:r w:rsidRPr="0044318E">
        <w:t>sing Size G</w:t>
      </w:r>
      <w:r w:rsidR="00F30FA5" w:rsidRPr="0044318E">
        <w:t>uidelines</w:t>
      </w:r>
    </w:p>
    <w:p w14:paraId="5EEB17CD" w14:textId="77777777" w:rsidR="00F30FA5" w:rsidRPr="0044318E" w:rsidRDefault="00F30FA5" w:rsidP="0044318E">
      <w:pPr>
        <w:pStyle w:val="DHHSbullet1"/>
      </w:pPr>
      <w:r w:rsidRPr="0044318E">
        <w:t xml:space="preserve">consideration of any Special Accommodation Requirements such as, access to </w:t>
      </w:r>
      <w:proofErr w:type="gramStart"/>
      <w:r w:rsidRPr="0044318E">
        <w:t>particular location</w:t>
      </w:r>
      <w:proofErr w:type="gramEnd"/>
      <w:r w:rsidRPr="0044318E">
        <w:t xml:space="preserve"> requirements, property access needs or property construction type for medical reasons</w:t>
      </w:r>
    </w:p>
    <w:p w14:paraId="7BFCEA89" w14:textId="77777777" w:rsidR="00CE7166" w:rsidRDefault="00F30FA5" w:rsidP="0044318E">
      <w:pPr>
        <w:pStyle w:val="DHHSbullet1lastline"/>
      </w:pPr>
      <w:r>
        <w:t>c</w:t>
      </w:r>
      <w:r w:rsidRPr="00056A06">
        <w:t>onsideration of housing requests from specific client g</w:t>
      </w:r>
      <w:r>
        <w:t>roups, such as transfer applicants and</w:t>
      </w:r>
      <w:r w:rsidRPr="00056A06">
        <w:t xml:space="preserve"> sponsore</w:t>
      </w:r>
      <w:r w:rsidR="00740C6F">
        <w:t>d housing</w:t>
      </w:r>
      <w:r w:rsidR="00E85D59">
        <w:t>.</w:t>
      </w:r>
    </w:p>
    <w:p w14:paraId="30BE8C85" w14:textId="77777777" w:rsidR="00F30FA5" w:rsidRPr="00AA4A43" w:rsidRDefault="00F30FA5" w:rsidP="008C2076">
      <w:pPr>
        <w:pStyle w:val="Heading1"/>
      </w:pPr>
      <w:bookmarkStart w:id="11" w:name="_Toc456094537"/>
      <w:bookmarkStart w:id="12" w:name="_Toc456263618"/>
      <w:bookmarkStart w:id="13" w:name="_Toc67651940"/>
      <w:r w:rsidRPr="00AA4A43">
        <w:t>Human rights considerations</w:t>
      </w:r>
      <w:bookmarkEnd w:id="11"/>
      <w:bookmarkEnd w:id="12"/>
      <w:bookmarkEnd w:id="13"/>
    </w:p>
    <w:p w14:paraId="1921A2CF" w14:textId="77777777" w:rsidR="009A772F" w:rsidRPr="0044318E" w:rsidRDefault="009A772F" w:rsidP="0044318E">
      <w:pPr>
        <w:pStyle w:val="DHHSbody"/>
      </w:pPr>
      <w:bookmarkStart w:id="14" w:name="_Assessing_Housing_Opportunity"/>
      <w:bookmarkStart w:id="15" w:name="_Toc451181596"/>
      <w:bookmarkStart w:id="16" w:name="_Toc454808577"/>
      <w:bookmarkEnd w:id="14"/>
      <w:r w:rsidRPr="0044318E">
        <w:t xml:space="preserve">In deciding what action to take, staff must </w:t>
      </w:r>
      <w:proofErr w:type="gramStart"/>
      <w:r w:rsidRPr="0044318E">
        <w:t>give proper consideration to</w:t>
      </w:r>
      <w:proofErr w:type="gramEnd"/>
      <w:r w:rsidRPr="0044318E">
        <w:t xml:space="preserve"> the relevant human rights in accordance with the Charter of Human Rights and Responsibilities Act 2006 s38(1) (the Charter). This consideration should include the potential impact the proposed action they are undertaking through these operational guidelines may have on the person’s (and their househol</w:t>
      </w:r>
      <w:r w:rsidR="008C2076">
        <w:t>d’s) rights under the Charter.</w:t>
      </w:r>
    </w:p>
    <w:p w14:paraId="3A6FA688" w14:textId="77777777" w:rsidR="009A772F" w:rsidRPr="0044318E" w:rsidRDefault="009A772F" w:rsidP="0044318E">
      <w:pPr>
        <w:pStyle w:val="DHHSbody"/>
      </w:pPr>
      <w:r w:rsidRPr="0044318E">
        <w:t xml:space="preserve">For more information see </w:t>
      </w:r>
      <w:hyperlink r:id="rId16" w:history="1">
        <w:r w:rsidRPr="0044318E">
          <w:rPr>
            <w:rStyle w:val="Hyperlink"/>
            <w:i/>
          </w:rPr>
          <w:t>Making Client Focused Decisions</w:t>
        </w:r>
        <w:r w:rsidR="00571F9E">
          <w:rPr>
            <w:rStyle w:val="Hyperlink"/>
          </w:rPr>
          <w:t xml:space="preserve"> operational g</w:t>
        </w:r>
        <w:r w:rsidRPr="0044318E">
          <w:rPr>
            <w:rStyle w:val="Hyperlink"/>
          </w:rPr>
          <w:t>uidelines</w:t>
        </w:r>
      </w:hyperlink>
      <w:r w:rsidR="0044318E">
        <w:t xml:space="preserve"> &lt;</w:t>
      </w:r>
      <w:r w:rsidR="0044318E" w:rsidRPr="0044318E">
        <w:t>https://fac.dhhs.vic.gov.au/making-client-focused-decisions</w:t>
      </w:r>
      <w:r w:rsidR="0044318E">
        <w:t>&gt;</w:t>
      </w:r>
      <w:r w:rsidRPr="0044318E">
        <w:t>.</w:t>
      </w:r>
    </w:p>
    <w:p w14:paraId="6854863F" w14:textId="77777777" w:rsidR="00537D9A" w:rsidRPr="00AA4A43" w:rsidRDefault="00FD0297" w:rsidP="008C2076">
      <w:pPr>
        <w:pStyle w:val="Heading1"/>
      </w:pPr>
      <w:bookmarkStart w:id="17" w:name="_Toc67651941"/>
      <w:r w:rsidRPr="00AA4A43">
        <w:t>What is an offer of housing?</w:t>
      </w:r>
      <w:bookmarkEnd w:id="17"/>
    </w:p>
    <w:p w14:paraId="0DAF0CBC" w14:textId="0A87A850" w:rsidR="00FD0297" w:rsidRDefault="00FD0297" w:rsidP="0044318E">
      <w:pPr>
        <w:pStyle w:val="DHHSbody"/>
      </w:pPr>
      <w:r w:rsidRPr="00C730CF">
        <w:t>An offer</w:t>
      </w:r>
      <w:r>
        <w:t xml:space="preserve"> of housing</w:t>
      </w:r>
      <w:r w:rsidRPr="00C730CF">
        <w:t xml:space="preserve"> is the formal process that, if </w:t>
      </w:r>
      <w:r>
        <w:t>accepted, will result in the si</w:t>
      </w:r>
      <w:r w:rsidRPr="00C730CF">
        <w:t>g</w:t>
      </w:r>
      <w:r>
        <w:t>n</w:t>
      </w:r>
      <w:r w:rsidRPr="00C730CF">
        <w:t xml:space="preserve">ing of a </w:t>
      </w:r>
      <w:r w:rsidR="00B3577A">
        <w:t>renters</w:t>
      </w:r>
      <w:r w:rsidR="00970165">
        <w:t>’</w:t>
      </w:r>
      <w:r>
        <w:t xml:space="preserve"> agreement for a household.</w:t>
      </w:r>
    </w:p>
    <w:p w14:paraId="0F8846B7" w14:textId="77777777" w:rsidR="00FD0297" w:rsidRDefault="00FD0297" w:rsidP="0044318E">
      <w:pPr>
        <w:pStyle w:val="DHHSbody"/>
      </w:pPr>
      <w:r w:rsidRPr="00C730CF">
        <w:t xml:space="preserve">It does not include interviews, discussions with support workers, selection panels or other processes that are used </w:t>
      </w:r>
      <w:r>
        <w:t xml:space="preserve">by social housing organisations. </w:t>
      </w:r>
      <w:r w:rsidRPr="00C730CF">
        <w:t>These activities constitute ‘pre-offer’ activities.</w:t>
      </w:r>
    </w:p>
    <w:p w14:paraId="7A0D99B7" w14:textId="77777777" w:rsidR="00FD0297" w:rsidRDefault="00FD0297" w:rsidP="0044318E">
      <w:pPr>
        <w:pStyle w:val="DHHSbody"/>
      </w:pPr>
      <w:r w:rsidRPr="00C730CF">
        <w:t xml:space="preserve">Before making the formal offer, </w:t>
      </w:r>
      <w:r>
        <w:t>applicants</w:t>
      </w:r>
      <w:r w:rsidRPr="00C730CF">
        <w:t xml:space="preserve"> will be offered the opportunity to walk through the property. After this has occurred, </w:t>
      </w:r>
      <w:r>
        <w:t>they</w:t>
      </w:r>
      <w:r w:rsidRPr="00C730CF">
        <w:t xml:space="preserve"> </w:t>
      </w:r>
      <w:r>
        <w:t>can</w:t>
      </w:r>
      <w:r w:rsidRPr="00C730CF">
        <w:t xml:space="preserve"> be</w:t>
      </w:r>
      <w:r w:rsidR="0044318E">
        <w:t xml:space="preserve"> formally offered the property.</w:t>
      </w:r>
    </w:p>
    <w:p w14:paraId="76CF0D5E" w14:textId="77777777" w:rsidR="00F30FA5" w:rsidRPr="00002418" w:rsidRDefault="00F30FA5" w:rsidP="0044318E">
      <w:pPr>
        <w:pStyle w:val="DHHSbody"/>
      </w:pPr>
      <w:r w:rsidRPr="00002418">
        <w:t xml:space="preserve">If an applicant has Priority Access </w:t>
      </w:r>
      <w:proofErr w:type="gramStart"/>
      <w:r w:rsidRPr="00002418">
        <w:t>status</w:t>
      </w:r>
      <w:proofErr w:type="gramEnd"/>
      <w:r w:rsidRPr="00002418">
        <w:t xml:space="preserve"> they will be made a maximum of two reasonable offers of housing by social housing organisations.</w:t>
      </w:r>
    </w:p>
    <w:p w14:paraId="0040D426" w14:textId="77777777" w:rsidR="00F30FA5" w:rsidRDefault="00F30FA5" w:rsidP="0044318E">
      <w:pPr>
        <w:pStyle w:val="DHHSbody"/>
      </w:pPr>
      <w:r w:rsidRPr="00AB02AB">
        <w:t xml:space="preserve">If </w:t>
      </w:r>
      <w:r>
        <w:t>an applicant</w:t>
      </w:r>
      <w:r w:rsidRPr="00AB02AB">
        <w:t xml:space="preserve"> decline</w:t>
      </w:r>
      <w:r>
        <w:t>s</w:t>
      </w:r>
      <w:r w:rsidRPr="00AB02AB">
        <w:t xml:space="preserve"> two reasonable offers of housing </w:t>
      </w:r>
      <w:r>
        <w:t>their</w:t>
      </w:r>
      <w:r w:rsidRPr="00AB02AB">
        <w:t xml:space="preserve"> application will be removed from Priority Access and placed on the Register of Interest</w:t>
      </w:r>
      <w:r w:rsidR="00002418">
        <w:t>.</w:t>
      </w:r>
    </w:p>
    <w:p w14:paraId="5217792A" w14:textId="77777777" w:rsidR="00670BB4" w:rsidRPr="00AB02AB" w:rsidRDefault="00670BB4" w:rsidP="0044318E">
      <w:pPr>
        <w:pStyle w:val="DHHSbody"/>
      </w:pPr>
      <w:r>
        <w:t xml:space="preserve">If an applicant has Register of Interest </w:t>
      </w:r>
      <w:proofErr w:type="gramStart"/>
      <w:r>
        <w:t>status</w:t>
      </w:r>
      <w:proofErr w:type="gramEnd"/>
      <w:r>
        <w:t xml:space="preserve"> they will be made a maximum of two reasonable offers of housing.</w:t>
      </w:r>
    </w:p>
    <w:p w14:paraId="69902569" w14:textId="77777777" w:rsidR="00FD0297" w:rsidRDefault="00FD0297" w:rsidP="0044318E">
      <w:pPr>
        <w:pStyle w:val="DHHSbody"/>
      </w:pPr>
      <w:r>
        <w:t>Where an applicant chooses community housing only and they are made an offer by a participating registered agency, if they decline the offer because they only want to be housed by</w:t>
      </w:r>
      <w:r w:rsidR="0084052A">
        <w:t xml:space="preserve"> a particular social housing organisation, for example</w:t>
      </w:r>
      <w:r>
        <w:t xml:space="preserve"> Aboriginal Housing Victoria, this should not be counted as an offer. Participating registered agencies are required to file note the outcome when the housing application becomes available.</w:t>
      </w:r>
    </w:p>
    <w:p w14:paraId="59F81D9C" w14:textId="1150CD39" w:rsidR="00207E1F" w:rsidRDefault="00F30FA5" w:rsidP="0044318E">
      <w:pPr>
        <w:pStyle w:val="DHHSbody"/>
      </w:pPr>
      <w:r w:rsidRPr="00AB02AB">
        <w:t xml:space="preserve">When </w:t>
      </w:r>
      <w:r>
        <w:t>an applicant</w:t>
      </w:r>
      <w:r w:rsidRPr="00AB02AB">
        <w:t xml:space="preserve"> enter</w:t>
      </w:r>
      <w:r>
        <w:t>s</w:t>
      </w:r>
      <w:r w:rsidRPr="00AB02AB">
        <w:t xml:space="preserve"> into a </w:t>
      </w:r>
      <w:r w:rsidR="00970165">
        <w:t>renters’</w:t>
      </w:r>
      <w:r w:rsidR="00B3577A" w:rsidRPr="00AB02AB">
        <w:t xml:space="preserve"> </w:t>
      </w:r>
      <w:r w:rsidRPr="00AB02AB">
        <w:t xml:space="preserve">agreement with a social housing organisation </w:t>
      </w:r>
      <w:r>
        <w:t>their</w:t>
      </w:r>
      <w:r w:rsidRPr="00AB02AB">
        <w:t xml:space="preserve"> application will be removed from the </w:t>
      </w:r>
      <w:r w:rsidR="00E42D3C">
        <w:t>r</w:t>
      </w:r>
      <w:r>
        <w:t>egister</w:t>
      </w:r>
      <w:r w:rsidRPr="00AB02AB">
        <w:t xml:space="preserve"> as </w:t>
      </w:r>
      <w:r>
        <w:t>their</w:t>
      </w:r>
      <w:r w:rsidRPr="00AB02AB">
        <w:t xml:space="preserve"> housing request is considered met.</w:t>
      </w:r>
      <w:bookmarkEnd w:id="15"/>
      <w:bookmarkEnd w:id="16"/>
    </w:p>
    <w:p w14:paraId="1E94DC2A" w14:textId="77777777" w:rsidR="001A6A1A" w:rsidRDefault="001A6A1A">
      <w:pPr>
        <w:rPr>
          <w:rFonts w:ascii="Arial" w:hAnsi="Arial"/>
          <w:b/>
          <w:color w:val="15354D"/>
          <w:sz w:val="28"/>
          <w:szCs w:val="28"/>
        </w:rPr>
      </w:pPr>
      <w:r>
        <w:br w:type="page"/>
      </w:r>
    </w:p>
    <w:p w14:paraId="4FCEFFB6" w14:textId="77777777" w:rsidR="00D1317A" w:rsidRPr="008C2076" w:rsidRDefault="00D1317A" w:rsidP="008C2076">
      <w:pPr>
        <w:pStyle w:val="Heading2"/>
      </w:pPr>
      <w:bookmarkStart w:id="18" w:name="_Toc67651942"/>
      <w:r w:rsidRPr="008C2076">
        <w:lastRenderedPageBreak/>
        <w:t>Key considerations</w:t>
      </w:r>
      <w:r w:rsidR="00B30931" w:rsidRPr="008C2076">
        <w:t xml:space="preserve"> in making a reasonable offer</w:t>
      </w:r>
      <w:bookmarkEnd w:id="18"/>
    </w:p>
    <w:p w14:paraId="5334DBC2" w14:textId="77777777" w:rsidR="00D1317A" w:rsidRPr="008613CB" w:rsidRDefault="00D1317A" w:rsidP="008613CB">
      <w:pPr>
        <w:pStyle w:val="DHHSbody"/>
      </w:pPr>
      <w:r w:rsidRPr="008613CB">
        <w:t>When determining whether to make an offer, social housing providers consider the appropriateness of the property to the person’s expressed needs. This consideration will include the applicant’s connections and linkages to the community, including their need for access to</w:t>
      </w:r>
      <w:r w:rsidR="001E6F0B" w:rsidRPr="008613CB">
        <w:t xml:space="preserve"> </w:t>
      </w:r>
      <w:proofErr w:type="gramStart"/>
      <w:r w:rsidR="001E6F0B" w:rsidRPr="008613CB">
        <w:t>particular</w:t>
      </w:r>
      <w:r w:rsidRPr="008613CB">
        <w:t xml:space="preserve"> support</w:t>
      </w:r>
      <w:proofErr w:type="gramEnd"/>
      <w:r w:rsidRPr="008613CB">
        <w:t xml:space="preserve"> services, schools and medical facilities in the area.</w:t>
      </w:r>
    </w:p>
    <w:p w14:paraId="2DDF77DF" w14:textId="77777777" w:rsidR="00D1317A" w:rsidRPr="008613CB" w:rsidRDefault="00D1317A" w:rsidP="008613CB">
      <w:pPr>
        <w:pStyle w:val="DHHSbody"/>
      </w:pPr>
      <w:r w:rsidRPr="008613CB">
        <w:t>Additional key considerations in making an offer of housing include:</w:t>
      </w:r>
    </w:p>
    <w:p w14:paraId="71066A0B" w14:textId="77777777" w:rsidR="00D009FB" w:rsidRPr="00002418" w:rsidRDefault="00D009FB" w:rsidP="008C2076">
      <w:pPr>
        <w:pStyle w:val="DHHSbullet1"/>
      </w:pPr>
      <w:r w:rsidRPr="00002418">
        <w:t xml:space="preserve">the number of bedrooms </w:t>
      </w:r>
      <w:r>
        <w:t>the household</w:t>
      </w:r>
      <w:r w:rsidRPr="00002418">
        <w:t xml:space="preserve"> need</w:t>
      </w:r>
      <w:r>
        <w:t>s</w:t>
      </w:r>
      <w:r w:rsidRPr="00002418">
        <w:t xml:space="preserve"> in accordance with the Housing Size Guidelines</w:t>
      </w:r>
    </w:p>
    <w:p w14:paraId="1E1F2581" w14:textId="77777777" w:rsidR="00D1317A" w:rsidRDefault="00D1317A" w:rsidP="008C2076">
      <w:pPr>
        <w:pStyle w:val="DHHSbullet1"/>
      </w:pPr>
      <w:r>
        <w:t xml:space="preserve">whether </w:t>
      </w:r>
      <w:r w:rsidRPr="00002418">
        <w:t xml:space="preserve">the </w:t>
      </w:r>
      <w:r w:rsidR="00344B9D">
        <w:t xml:space="preserve">location </w:t>
      </w:r>
      <w:r>
        <w:t xml:space="preserve">meets the </w:t>
      </w:r>
      <w:r w:rsidR="00344B9D">
        <w:t>household’s</w:t>
      </w:r>
      <w:r>
        <w:t xml:space="preserve"> safety and access needs </w:t>
      </w:r>
      <w:r w:rsidRPr="00002418">
        <w:t>(the property may be in any suburb within the preferred area)</w:t>
      </w:r>
      <w:r>
        <w:t xml:space="preserve">, for example, a location exemption </w:t>
      </w:r>
      <w:r w:rsidR="00C60B70">
        <w:t>was applied due to</w:t>
      </w:r>
      <w:r>
        <w:t xml:space="preserve"> family violence</w:t>
      </w:r>
    </w:p>
    <w:p w14:paraId="2BEE82EE" w14:textId="77777777" w:rsidR="00D1317A" w:rsidRDefault="007F225D" w:rsidP="008C2076">
      <w:pPr>
        <w:pStyle w:val="DHHSbullet1"/>
      </w:pPr>
      <w:r>
        <w:t xml:space="preserve">any property modifications the applicant or household member </w:t>
      </w:r>
      <w:r w:rsidR="00F737CD">
        <w:t>wa</w:t>
      </w:r>
      <w:r w:rsidR="00C60B70">
        <w:t>s</w:t>
      </w:r>
      <w:r>
        <w:t xml:space="preserve"> assessed as </w:t>
      </w:r>
      <w:r w:rsidR="00F737CD">
        <w:t>needing</w:t>
      </w:r>
      <w:r>
        <w:t xml:space="preserve"> to meet </w:t>
      </w:r>
      <w:r w:rsidR="00D1317A">
        <w:t xml:space="preserve">disability </w:t>
      </w:r>
      <w:r w:rsidR="00F737CD">
        <w:t>requirements</w:t>
      </w:r>
    </w:p>
    <w:p w14:paraId="7821BFB8" w14:textId="77777777" w:rsidR="00D1317A" w:rsidRPr="00D84689" w:rsidRDefault="00D1317A" w:rsidP="008C2076">
      <w:pPr>
        <w:pStyle w:val="DHHSbullet1"/>
      </w:pPr>
      <w:r>
        <w:t xml:space="preserve">any </w:t>
      </w:r>
      <w:r w:rsidR="007F225D">
        <w:t xml:space="preserve">other property features the applicant or household member </w:t>
      </w:r>
      <w:r w:rsidR="00F737CD">
        <w:t>wa</w:t>
      </w:r>
      <w:r w:rsidR="00C60B70">
        <w:t>s</w:t>
      </w:r>
      <w:r w:rsidR="007F225D">
        <w:t xml:space="preserve"> assessed as </w:t>
      </w:r>
      <w:r w:rsidR="00F737CD">
        <w:t>needing</w:t>
      </w:r>
      <w:r w:rsidR="007F225D">
        <w:t xml:space="preserve"> to meet </w:t>
      </w:r>
      <w:r>
        <w:t>serious health conditions, for example, level access</w:t>
      </w:r>
    </w:p>
    <w:p w14:paraId="41C4FF30" w14:textId="77777777" w:rsidR="00D1317A" w:rsidRDefault="00D1317A" w:rsidP="008C2076">
      <w:pPr>
        <w:pStyle w:val="DHHSbullet1lastline"/>
      </w:pPr>
      <w:r>
        <w:t>whether there</w:t>
      </w:r>
      <w:r w:rsidRPr="00002418">
        <w:t xml:space="preserve"> ha</w:t>
      </w:r>
      <w:r>
        <w:t>s been any change in a household’s circumstances that has affected</w:t>
      </w:r>
      <w:r w:rsidRPr="00002418">
        <w:t xml:space="preserve"> their housing outcome</w:t>
      </w:r>
      <w:r>
        <w:t>.</w:t>
      </w:r>
    </w:p>
    <w:p w14:paraId="6B268B85" w14:textId="77777777" w:rsidR="00746CB4" w:rsidRDefault="00746CB4" w:rsidP="005C52C0">
      <w:pPr>
        <w:pStyle w:val="DHHSbullet1"/>
        <w:numPr>
          <w:ilvl w:val="0"/>
          <w:numId w:val="0"/>
        </w:numPr>
      </w:pPr>
      <w:bookmarkStart w:id="19" w:name="PolicySect8"/>
      <w:bookmarkStart w:id="20" w:name="_Toc288128576"/>
      <w:bookmarkStart w:id="21" w:name="_Toc301874120"/>
      <w:bookmarkStart w:id="22" w:name="_Toc456263624"/>
      <w:bookmarkStart w:id="23" w:name="_Toc491091377"/>
    </w:p>
    <w:p w14:paraId="4FC071B5" w14:textId="627657B7" w:rsidR="005C52C0" w:rsidRDefault="00746CB4" w:rsidP="005C52C0">
      <w:pPr>
        <w:pStyle w:val="DHHSbullet1"/>
        <w:numPr>
          <w:ilvl w:val="0"/>
          <w:numId w:val="0"/>
        </w:numPr>
      </w:pPr>
      <w:r>
        <w:t>W</w:t>
      </w:r>
      <w:r w:rsidR="005C52C0">
        <w:t>here possible</w:t>
      </w:r>
      <w:r>
        <w:t>,</w:t>
      </w:r>
      <w:r w:rsidR="005C52C0">
        <w:t xml:space="preserve"> the client should be given every opportunity to view the property</w:t>
      </w:r>
      <w:r w:rsidR="007066E7">
        <w:t xml:space="preserve"> prior to signing the Residential Tenancy Agreeme</w:t>
      </w:r>
      <w:r w:rsidR="006F34B8">
        <w:t>nt</w:t>
      </w:r>
      <w:r w:rsidR="005C52C0">
        <w:t xml:space="preserve">. </w:t>
      </w:r>
    </w:p>
    <w:p w14:paraId="58782BA3" w14:textId="5CF232A3" w:rsidR="00F84B7E" w:rsidRDefault="00367135" w:rsidP="008C2076">
      <w:pPr>
        <w:pStyle w:val="Heading2"/>
      </w:pPr>
      <w:bookmarkStart w:id="24" w:name="_Toc67651943"/>
      <w:r>
        <w:t>Mandatory Disclosures</w:t>
      </w:r>
      <w:bookmarkEnd w:id="24"/>
    </w:p>
    <w:p w14:paraId="51D23E7B" w14:textId="38AFE84C" w:rsidR="009846FE" w:rsidRPr="00611980" w:rsidRDefault="00777123" w:rsidP="009846FE">
      <w:pPr>
        <w:spacing w:after="120" w:line="270" w:lineRule="atLeast"/>
        <w:rPr>
          <w:rFonts w:ascii="Arial" w:eastAsia="Times" w:hAnsi="Arial"/>
        </w:rPr>
      </w:pPr>
      <w:r>
        <w:rPr>
          <w:rFonts w:ascii="Arial" w:eastAsia="Times" w:hAnsi="Arial"/>
        </w:rPr>
        <w:t xml:space="preserve">Reforms to </w:t>
      </w:r>
      <w:r w:rsidR="009846FE" w:rsidRPr="00611980">
        <w:rPr>
          <w:rFonts w:ascii="Arial" w:eastAsia="Times" w:hAnsi="Arial"/>
        </w:rPr>
        <w:t xml:space="preserve">the </w:t>
      </w:r>
      <w:r w:rsidR="009846FE" w:rsidRPr="00611980">
        <w:rPr>
          <w:rFonts w:ascii="Arial" w:eastAsia="Times" w:hAnsi="Arial"/>
          <w:i/>
          <w:iCs/>
        </w:rPr>
        <w:t>Residential Tenancies Act 1997</w:t>
      </w:r>
      <w:r w:rsidR="009846FE" w:rsidRPr="00611980">
        <w:rPr>
          <w:rFonts w:ascii="Arial" w:eastAsia="Times" w:hAnsi="Arial"/>
        </w:rPr>
        <w:t xml:space="preserve"> effective from 29 March 2021 changed the way rental providers offer vacant properties. Before potential renters accept properties, all rental providers must disclose certain known information required by s. 30D of the Residential Tenancies Act and regulation 16 of the </w:t>
      </w:r>
      <w:r w:rsidR="009846FE" w:rsidRPr="00611980">
        <w:rPr>
          <w:rFonts w:ascii="Arial" w:eastAsia="Times" w:hAnsi="Arial"/>
          <w:i/>
          <w:iCs/>
        </w:rPr>
        <w:t>Residential Tenancies Regulations 2021</w:t>
      </w:r>
      <w:r w:rsidR="009846FE" w:rsidRPr="00611980">
        <w:rPr>
          <w:rFonts w:ascii="Arial" w:eastAsia="Times" w:hAnsi="Arial"/>
        </w:rPr>
        <w:t>.</w:t>
      </w:r>
    </w:p>
    <w:p w14:paraId="09B3DF16" w14:textId="4115C647" w:rsidR="009846FE" w:rsidRPr="00611980" w:rsidRDefault="009846FE" w:rsidP="009846FE">
      <w:pPr>
        <w:spacing w:after="120" w:line="270" w:lineRule="atLeast"/>
        <w:rPr>
          <w:rFonts w:ascii="Arial" w:eastAsia="Times" w:hAnsi="Arial"/>
        </w:rPr>
      </w:pPr>
      <w:r w:rsidRPr="00611980">
        <w:rPr>
          <w:rFonts w:ascii="Arial" w:eastAsia="Times" w:hAnsi="Arial"/>
        </w:rPr>
        <w:t>The aims of the mandatory disclosure reform</w:t>
      </w:r>
      <w:r w:rsidR="00987C9C">
        <w:rPr>
          <w:rFonts w:ascii="Arial" w:eastAsia="Times" w:hAnsi="Arial"/>
        </w:rPr>
        <w:t>s</w:t>
      </w:r>
      <w:r w:rsidRPr="00611980">
        <w:rPr>
          <w:rFonts w:ascii="Arial" w:eastAsia="Times" w:hAnsi="Arial"/>
        </w:rPr>
        <w:t xml:space="preserve"> are to:</w:t>
      </w:r>
    </w:p>
    <w:p w14:paraId="5481FFC5" w14:textId="77777777" w:rsidR="009846FE" w:rsidRPr="00611980" w:rsidRDefault="009846FE" w:rsidP="009846FE">
      <w:pPr>
        <w:pStyle w:val="ListParagraph"/>
        <w:numPr>
          <w:ilvl w:val="0"/>
          <w:numId w:val="11"/>
        </w:numPr>
        <w:spacing w:line="240" w:lineRule="atLeast"/>
        <w:rPr>
          <w:rFonts w:ascii="Arial" w:eastAsia="Times New Roman" w:hAnsi="Arial" w:cs="Arial"/>
          <w:sz w:val="20"/>
          <w:szCs w:val="20"/>
        </w:rPr>
      </w:pPr>
      <w:r w:rsidRPr="00611980">
        <w:rPr>
          <w:rFonts w:ascii="Arial" w:eastAsia="Times New Roman" w:hAnsi="Arial" w:cs="Arial"/>
          <w:sz w:val="20"/>
          <w:szCs w:val="20"/>
        </w:rPr>
        <w:t>provide the minimum information that potential renters should know when considering whether to enter into a rental agreement</w:t>
      </w:r>
    </w:p>
    <w:p w14:paraId="1A3E0BED" w14:textId="77777777" w:rsidR="009846FE" w:rsidRPr="00611980" w:rsidRDefault="009846FE" w:rsidP="009846FE">
      <w:pPr>
        <w:pStyle w:val="ListParagraph"/>
        <w:numPr>
          <w:ilvl w:val="0"/>
          <w:numId w:val="11"/>
        </w:numPr>
        <w:spacing w:line="240" w:lineRule="atLeast"/>
        <w:rPr>
          <w:rFonts w:ascii="Arial" w:eastAsia="Times New Roman" w:hAnsi="Arial" w:cs="Arial"/>
          <w:sz w:val="20"/>
          <w:szCs w:val="20"/>
        </w:rPr>
      </w:pPr>
      <w:r w:rsidRPr="00611980">
        <w:rPr>
          <w:rFonts w:ascii="Arial" w:eastAsia="Times New Roman" w:hAnsi="Arial" w:cs="Arial"/>
          <w:sz w:val="20"/>
          <w:szCs w:val="20"/>
        </w:rPr>
        <w:t>ensure that the information which could significantly impact on a potential renter is disclosed prior to the beginning of the rental agreement.</w:t>
      </w:r>
    </w:p>
    <w:p w14:paraId="595C3107" w14:textId="77777777" w:rsidR="009846FE" w:rsidRDefault="009846FE" w:rsidP="009846FE">
      <w:pPr>
        <w:spacing w:after="120" w:line="270" w:lineRule="atLeast"/>
        <w:rPr>
          <w:rFonts w:ascii="Arial" w:eastAsia="Times" w:hAnsi="Arial"/>
        </w:rPr>
      </w:pPr>
    </w:p>
    <w:p w14:paraId="40D1C0A5" w14:textId="02296887" w:rsidR="009846FE" w:rsidRPr="00611980" w:rsidRDefault="00251D26" w:rsidP="009846FE">
      <w:pPr>
        <w:spacing w:after="120" w:line="270" w:lineRule="atLeast"/>
        <w:rPr>
          <w:rFonts w:ascii="Arial" w:eastAsia="Times" w:hAnsi="Arial"/>
        </w:rPr>
      </w:pPr>
      <w:r>
        <w:rPr>
          <w:rFonts w:ascii="Arial" w:eastAsia="Times" w:hAnsi="Arial"/>
        </w:rPr>
        <w:t>I</w:t>
      </w:r>
      <w:r w:rsidR="009846FE" w:rsidRPr="00611980">
        <w:rPr>
          <w:rFonts w:ascii="Arial" w:eastAsia="Times" w:hAnsi="Arial"/>
        </w:rPr>
        <w:t>f an applicant</w:t>
      </w:r>
      <w:r w:rsidR="00BC7FD6">
        <w:rPr>
          <w:rFonts w:ascii="Arial" w:eastAsia="Times" w:hAnsi="Arial"/>
        </w:rPr>
        <w:t xml:space="preserve"> does not accept a</w:t>
      </w:r>
      <w:r w:rsidR="00C344F8">
        <w:rPr>
          <w:rFonts w:ascii="Arial" w:eastAsia="Times" w:hAnsi="Arial"/>
        </w:rPr>
        <w:t xml:space="preserve"> reasonable</w:t>
      </w:r>
      <w:r w:rsidR="00BC7FD6">
        <w:rPr>
          <w:rFonts w:ascii="Arial" w:eastAsia="Times" w:hAnsi="Arial"/>
        </w:rPr>
        <w:t xml:space="preserve"> offer of housing due to</w:t>
      </w:r>
      <w:r w:rsidR="00C344F8">
        <w:rPr>
          <w:rFonts w:ascii="Arial" w:eastAsia="Times" w:hAnsi="Arial"/>
        </w:rPr>
        <w:t xml:space="preserve"> </w:t>
      </w:r>
      <w:r w:rsidR="00364C3F">
        <w:rPr>
          <w:rFonts w:ascii="Arial" w:eastAsia="Times" w:hAnsi="Arial"/>
        </w:rPr>
        <w:t xml:space="preserve">a </w:t>
      </w:r>
      <w:r w:rsidR="00C344F8">
        <w:rPr>
          <w:rFonts w:ascii="Arial" w:eastAsia="Times" w:hAnsi="Arial"/>
        </w:rPr>
        <w:t>mandatory</w:t>
      </w:r>
      <w:r w:rsidR="00BC7FD6">
        <w:rPr>
          <w:rFonts w:ascii="Arial" w:eastAsia="Times" w:hAnsi="Arial"/>
        </w:rPr>
        <w:t xml:space="preserve"> disclosure, </w:t>
      </w:r>
      <w:r w:rsidR="00364C3F">
        <w:rPr>
          <w:rFonts w:ascii="Arial" w:eastAsia="Times" w:hAnsi="Arial"/>
        </w:rPr>
        <w:t>they will</w:t>
      </w:r>
      <w:r w:rsidR="00BC7FD6">
        <w:rPr>
          <w:rFonts w:ascii="Arial" w:eastAsia="Times" w:hAnsi="Arial"/>
        </w:rPr>
        <w:t xml:space="preserve"> not lose their place on the </w:t>
      </w:r>
      <w:r w:rsidR="00F4616B">
        <w:rPr>
          <w:rFonts w:ascii="Arial" w:eastAsia="Times" w:hAnsi="Arial"/>
        </w:rPr>
        <w:t>register</w:t>
      </w:r>
      <w:r w:rsidR="00BC7FD6">
        <w:rPr>
          <w:rFonts w:ascii="Arial" w:eastAsia="Times" w:hAnsi="Arial"/>
        </w:rPr>
        <w:t>.</w:t>
      </w:r>
      <w:r w:rsidR="009846FE" w:rsidRPr="00611980">
        <w:rPr>
          <w:rFonts w:ascii="Arial" w:eastAsia="Times" w:hAnsi="Arial"/>
        </w:rPr>
        <w:t xml:space="preserve"> </w:t>
      </w:r>
      <w:r w:rsidR="00C344F8">
        <w:rPr>
          <w:rFonts w:ascii="Arial" w:eastAsia="Times" w:hAnsi="Arial"/>
        </w:rPr>
        <w:t>T</w:t>
      </w:r>
      <w:r w:rsidR="009846FE" w:rsidRPr="00611980">
        <w:rPr>
          <w:rFonts w:ascii="Arial" w:eastAsia="Times" w:hAnsi="Arial"/>
        </w:rPr>
        <w:t xml:space="preserve">he offer will be recorded in HiiP as </w:t>
      </w:r>
      <w:r w:rsidR="007648A6">
        <w:rPr>
          <w:rFonts w:ascii="Arial" w:eastAsia="Times" w:hAnsi="Arial"/>
        </w:rPr>
        <w:t>‘</w:t>
      </w:r>
      <w:r w:rsidR="009846FE" w:rsidRPr="00611980">
        <w:rPr>
          <w:rFonts w:ascii="Arial" w:eastAsia="Times" w:hAnsi="Arial"/>
        </w:rPr>
        <w:t>Cancelled</w:t>
      </w:r>
      <w:r w:rsidR="007648A6">
        <w:rPr>
          <w:rFonts w:ascii="Arial" w:eastAsia="Times" w:hAnsi="Arial"/>
        </w:rPr>
        <w:t>’</w:t>
      </w:r>
      <w:r w:rsidR="009846FE" w:rsidRPr="00611980">
        <w:rPr>
          <w:rFonts w:ascii="Arial" w:eastAsia="Times" w:hAnsi="Arial"/>
        </w:rPr>
        <w:t>.</w:t>
      </w:r>
    </w:p>
    <w:p w14:paraId="49D85162" w14:textId="68E9556F" w:rsidR="009846FE" w:rsidRPr="00611980" w:rsidRDefault="009846FE" w:rsidP="009846FE">
      <w:pPr>
        <w:rPr>
          <w:rFonts w:ascii="Arial" w:hAnsi="Arial" w:cs="Arial"/>
        </w:rPr>
      </w:pPr>
      <w:r w:rsidRPr="00611980">
        <w:rPr>
          <w:rFonts w:ascii="Arial" w:hAnsi="Arial" w:cs="Arial"/>
        </w:rPr>
        <w:t xml:space="preserve">The </w:t>
      </w:r>
      <w:r w:rsidR="00C078F2">
        <w:rPr>
          <w:rFonts w:ascii="Arial" w:hAnsi="Arial" w:cs="Arial"/>
        </w:rPr>
        <w:t xml:space="preserve">relevant </w:t>
      </w:r>
      <w:r w:rsidRPr="00611980">
        <w:rPr>
          <w:rFonts w:ascii="Arial" w:hAnsi="Arial" w:cs="Arial"/>
        </w:rPr>
        <w:t>mandatory disclosures include:</w:t>
      </w:r>
    </w:p>
    <w:p w14:paraId="0AB6F578" w14:textId="77777777" w:rsidR="009846FE" w:rsidRPr="00611980" w:rsidRDefault="009846FE" w:rsidP="009846FE"/>
    <w:p w14:paraId="27F3C068" w14:textId="43E97169" w:rsidR="009846FE" w:rsidRPr="00611980" w:rsidRDefault="0007031C" w:rsidP="009846FE">
      <w:pPr>
        <w:pStyle w:val="ListParagraph"/>
        <w:numPr>
          <w:ilvl w:val="0"/>
          <w:numId w:val="12"/>
        </w:numPr>
        <w:rPr>
          <w:rFonts w:ascii="Arial" w:hAnsi="Arial" w:cs="Arial"/>
          <w:sz w:val="20"/>
          <w:szCs w:val="20"/>
        </w:rPr>
      </w:pPr>
      <w:r>
        <w:rPr>
          <w:rFonts w:ascii="Arial" w:hAnsi="Arial" w:cs="Arial"/>
          <w:sz w:val="20"/>
          <w:szCs w:val="20"/>
        </w:rPr>
        <w:t>m</w:t>
      </w:r>
      <w:r w:rsidR="009846FE" w:rsidRPr="00611980">
        <w:rPr>
          <w:rFonts w:ascii="Arial" w:hAnsi="Arial" w:cs="Arial"/>
          <w:sz w:val="20"/>
          <w:szCs w:val="20"/>
        </w:rPr>
        <w:t>ould (from 31 December 2021) – any mould or damp reported to the department by a renter and was caused by structural issues at the property offered in the last 3 years</w:t>
      </w:r>
    </w:p>
    <w:p w14:paraId="4D291804" w14:textId="29F9AB49" w:rsidR="009846FE" w:rsidRPr="00611980" w:rsidRDefault="0007031C" w:rsidP="009846FE">
      <w:pPr>
        <w:pStyle w:val="ListParagraph"/>
        <w:numPr>
          <w:ilvl w:val="0"/>
          <w:numId w:val="12"/>
        </w:numPr>
        <w:rPr>
          <w:rFonts w:ascii="Arial" w:hAnsi="Arial" w:cs="Arial"/>
          <w:sz w:val="20"/>
          <w:szCs w:val="20"/>
        </w:rPr>
      </w:pPr>
      <w:r>
        <w:rPr>
          <w:rFonts w:ascii="Arial" w:hAnsi="Arial" w:cs="Arial"/>
          <w:sz w:val="20"/>
          <w:szCs w:val="20"/>
        </w:rPr>
        <w:t>h</w:t>
      </w:r>
      <w:r w:rsidR="009846FE" w:rsidRPr="00611980">
        <w:rPr>
          <w:rFonts w:ascii="Arial" w:hAnsi="Arial" w:cs="Arial"/>
          <w:sz w:val="20"/>
          <w:szCs w:val="20"/>
        </w:rPr>
        <w:t xml:space="preserve">omicide – any known homicide that occurred in the property offered or its common areas in the last 5 years </w:t>
      </w:r>
    </w:p>
    <w:p w14:paraId="3C8B412C" w14:textId="53FC2E64" w:rsidR="009846FE" w:rsidRPr="00611980" w:rsidRDefault="0007031C" w:rsidP="009846FE">
      <w:pPr>
        <w:pStyle w:val="ListParagraph"/>
        <w:numPr>
          <w:ilvl w:val="0"/>
          <w:numId w:val="12"/>
        </w:numPr>
        <w:rPr>
          <w:rFonts w:ascii="Arial" w:hAnsi="Arial" w:cs="Arial"/>
          <w:sz w:val="20"/>
          <w:szCs w:val="20"/>
        </w:rPr>
      </w:pPr>
      <w:r>
        <w:rPr>
          <w:rFonts w:ascii="Arial" w:hAnsi="Arial" w:cs="Arial"/>
          <w:sz w:val="20"/>
          <w:szCs w:val="20"/>
        </w:rPr>
        <w:t>m</w:t>
      </w:r>
      <w:r w:rsidR="009846FE" w:rsidRPr="00611980">
        <w:rPr>
          <w:rFonts w:ascii="Arial" w:hAnsi="Arial" w:cs="Arial"/>
          <w:sz w:val="20"/>
          <w:szCs w:val="20"/>
        </w:rPr>
        <w:t xml:space="preserve">inimum standards – confirmation that the property offered complies with the rental minimum standards </w:t>
      </w:r>
    </w:p>
    <w:p w14:paraId="45500828" w14:textId="097981CF" w:rsidR="009846FE" w:rsidRPr="00611980" w:rsidRDefault="0007031C" w:rsidP="009846FE">
      <w:pPr>
        <w:pStyle w:val="ListParagraph"/>
        <w:numPr>
          <w:ilvl w:val="0"/>
          <w:numId w:val="12"/>
        </w:numPr>
        <w:rPr>
          <w:rFonts w:ascii="Arial" w:hAnsi="Arial" w:cs="Arial"/>
          <w:sz w:val="20"/>
          <w:szCs w:val="20"/>
        </w:rPr>
      </w:pPr>
      <w:r>
        <w:rPr>
          <w:rFonts w:ascii="Arial" w:hAnsi="Arial" w:cs="Arial"/>
          <w:sz w:val="20"/>
          <w:szCs w:val="20"/>
        </w:rPr>
        <w:t>s</w:t>
      </w:r>
      <w:r w:rsidR="009846FE" w:rsidRPr="00611980">
        <w:rPr>
          <w:rFonts w:ascii="Arial" w:hAnsi="Arial" w:cs="Arial"/>
          <w:sz w:val="20"/>
          <w:szCs w:val="20"/>
        </w:rPr>
        <w:t xml:space="preserve">afety checks – the date of the most recent gas safety and electrical safety checks </w:t>
      </w:r>
    </w:p>
    <w:p w14:paraId="2A55B1D6" w14:textId="5DD5FEAB" w:rsidR="009846FE" w:rsidRPr="00611980" w:rsidRDefault="0007031C" w:rsidP="009846FE">
      <w:pPr>
        <w:pStyle w:val="ListParagraph"/>
        <w:numPr>
          <w:ilvl w:val="0"/>
          <w:numId w:val="12"/>
        </w:numPr>
        <w:rPr>
          <w:rFonts w:ascii="Arial" w:hAnsi="Arial" w:cs="Arial"/>
          <w:sz w:val="20"/>
          <w:szCs w:val="20"/>
        </w:rPr>
      </w:pPr>
      <w:r>
        <w:rPr>
          <w:rFonts w:ascii="Arial" w:hAnsi="Arial" w:cs="Arial"/>
          <w:sz w:val="20"/>
          <w:szCs w:val="20"/>
        </w:rPr>
        <w:t>d</w:t>
      </w:r>
      <w:r w:rsidR="009846FE" w:rsidRPr="00611980">
        <w:rPr>
          <w:rFonts w:ascii="Arial" w:hAnsi="Arial" w:cs="Arial"/>
          <w:sz w:val="20"/>
          <w:szCs w:val="20"/>
        </w:rPr>
        <w:t>rugs – if the property offered is known to be contaminated due to trafficking or cultivation of a drug of dependence in the last 5 years</w:t>
      </w:r>
    </w:p>
    <w:p w14:paraId="34942746" w14:textId="5DB6E37B" w:rsidR="009846FE" w:rsidRPr="00611980" w:rsidRDefault="0007031C" w:rsidP="009846FE">
      <w:pPr>
        <w:pStyle w:val="ListParagraph"/>
        <w:numPr>
          <w:ilvl w:val="0"/>
          <w:numId w:val="12"/>
        </w:numPr>
        <w:rPr>
          <w:rFonts w:ascii="Arial" w:hAnsi="Arial" w:cs="Arial"/>
          <w:sz w:val="20"/>
          <w:szCs w:val="20"/>
        </w:rPr>
      </w:pPr>
      <w:r>
        <w:rPr>
          <w:rFonts w:ascii="Arial" w:hAnsi="Arial" w:cs="Arial"/>
          <w:sz w:val="20"/>
          <w:szCs w:val="20"/>
        </w:rPr>
        <w:t>a</w:t>
      </w:r>
      <w:r w:rsidR="009846FE" w:rsidRPr="00611980">
        <w:rPr>
          <w:rFonts w:ascii="Arial" w:hAnsi="Arial" w:cs="Arial"/>
          <w:sz w:val="20"/>
          <w:szCs w:val="20"/>
        </w:rPr>
        <w:t>sbestos – if the property offered is known to have friable or non-friable asbestos based on an inspection by a suitably qualified person</w:t>
      </w:r>
    </w:p>
    <w:p w14:paraId="32B37BAD" w14:textId="4C9CF7DE" w:rsidR="009846FE" w:rsidRDefault="005D5D7A" w:rsidP="009846FE">
      <w:pPr>
        <w:pStyle w:val="ListParagraph"/>
        <w:numPr>
          <w:ilvl w:val="0"/>
          <w:numId w:val="12"/>
        </w:numPr>
        <w:rPr>
          <w:rFonts w:ascii="Arial" w:hAnsi="Arial" w:cs="Arial"/>
          <w:sz w:val="20"/>
          <w:szCs w:val="20"/>
        </w:rPr>
      </w:pPr>
      <w:proofErr w:type="gramStart"/>
      <w:r>
        <w:rPr>
          <w:rFonts w:ascii="Arial" w:hAnsi="Arial" w:cs="Arial"/>
          <w:sz w:val="20"/>
          <w:szCs w:val="20"/>
        </w:rPr>
        <w:t>o</w:t>
      </w:r>
      <w:r w:rsidR="009846FE" w:rsidRPr="00611980">
        <w:rPr>
          <w:rFonts w:ascii="Arial" w:hAnsi="Arial" w:cs="Arial"/>
          <w:sz w:val="20"/>
          <w:szCs w:val="20"/>
        </w:rPr>
        <w:t>wners</w:t>
      </w:r>
      <w:proofErr w:type="gramEnd"/>
      <w:r w:rsidR="009846FE" w:rsidRPr="00611980">
        <w:rPr>
          <w:rFonts w:ascii="Arial" w:hAnsi="Arial" w:cs="Arial"/>
          <w:sz w:val="20"/>
          <w:szCs w:val="20"/>
        </w:rPr>
        <w:t xml:space="preserve"> </w:t>
      </w:r>
      <w:r>
        <w:rPr>
          <w:rFonts w:ascii="Arial" w:hAnsi="Arial" w:cs="Arial"/>
          <w:sz w:val="20"/>
          <w:szCs w:val="20"/>
        </w:rPr>
        <w:t>c</w:t>
      </w:r>
      <w:r w:rsidR="009846FE" w:rsidRPr="00611980">
        <w:rPr>
          <w:rFonts w:ascii="Arial" w:hAnsi="Arial" w:cs="Arial"/>
          <w:sz w:val="20"/>
          <w:szCs w:val="20"/>
        </w:rPr>
        <w:t xml:space="preserve">orporations – to provide a copy of the owners corporations rules and to disclose any current dispute under Part 10 of the </w:t>
      </w:r>
      <w:r w:rsidR="009846FE" w:rsidRPr="00611980">
        <w:rPr>
          <w:rFonts w:ascii="Arial" w:hAnsi="Arial" w:cs="Arial"/>
          <w:i/>
          <w:iCs/>
          <w:sz w:val="20"/>
          <w:szCs w:val="20"/>
        </w:rPr>
        <w:t>Owners Corporations Act 2006</w:t>
      </w:r>
      <w:r w:rsidR="009846FE" w:rsidRPr="00611980">
        <w:rPr>
          <w:rFonts w:ascii="Arial" w:hAnsi="Arial" w:cs="Arial"/>
          <w:sz w:val="20"/>
          <w:szCs w:val="20"/>
        </w:rPr>
        <w:t>.</w:t>
      </w:r>
    </w:p>
    <w:p w14:paraId="4E395FAC" w14:textId="77777777" w:rsidR="009846FE" w:rsidRPr="00701205" w:rsidRDefault="009846FE" w:rsidP="009846FE">
      <w:pPr>
        <w:rPr>
          <w:rFonts w:eastAsia="Calibri"/>
          <w:color w:val="4F81BD" w:themeColor="accent1"/>
        </w:rPr>
      </w:pPr>
    </w:p>
    <w:p w14:paraId="4341CA03" w14:textId="32EC7EDD" w:rsidR="009846FE" w:rsidRPr="00701205" w:rsidRDefault="009846FE" w:rsidP="009846FE">
      <w:pPr>
        <w:spacing w:after="120" w:line="270" w:lineRule="atLeast"/>
        <w:rPr>
          <w:rFonts w:ascii="Arial" w:eastAsia="Times" w:hAnsi="Arial"/>
          <w:color w:val="4F81BD" w:themeColor="accent1"/>
        </w:rPr>
      </w:pPr>
      <w:r>
        <w:rPr>
          <w:rFonts w:ascii="Arial" w:eastAsia="Times" w:hAnsi="Arial"/>
        </w:rPr>
        <w:t>When making an offer</w:t>
      </w:r>
      <w:r w:rsidR="00ED39D7">
        <w:rPr>
          <w:rFonts w:ascii="Arial" w:eastAsia="Times" w:hAnsi="Arial"/>
        </w:rPr>
        <w:t>,</w:t>
      </w:r>
      <w:r>
        <w:rPr>
          <w:rFonts w:ascii="Arial" w:eastAsia="Times" w:hAnsi="Arial"/>
        </w:rPr>
        <w:t xml:space="preserve"> </w:t>
      </w:r>
      <w:r w:rsidR="006E1E42">
        <w:rPr>
          <w:rFonts w:ascii="Arial" w:eastAsia="Times" w:hAnsi="Arial"/>
        </w:rPr>
        <w:t>social housing organisations</w:t>
      </w:r>
      <w:r>
        <w:rPr>
          <w:rFonts w:ascii="Arial" w:eastAsia="Times" w:hAnsi="Arial"/>
        </w:rPr>
        <w:t xml:space="preserve"> should draw the attention of the client to any factors which require mandatory disclosure.</w:t>
      </w:r>
    </w:p>
    <w:p w14:paraId="3D7EAC54" w14:textId="72B9AEEA" w:rsidR="00853E54" w:rsidRPr="008C2076" w:rsidRDefault="00853E54" w:rsidP="008C2076">
      <w:pPr>
        <w:pStyle w:val="Heading2"/>
      </w:pPr>
      <w:bookmarkStart w:id="25" w:name="_Toc67651944"/>
      <w:r w:rsidRPr="008C2076">
        <w:lastRenderedPageBreak/>
        <w:t>Housing for specific client groups</w:t>
      </w:r>
      <w:bookmarkStart w:id="26" w:name="_Toc288128577"/>
      <w:bookmarkStart w:id="27" w:name="Subsect10"/>
      <w:bookmarkEnd w:id="19"/>
      <w:bookmarkEnd w:id="20"/>
      <w:bookmarkEnd w:id="21"/>
      <w:bookmarkEnd w:id="22"/>
      <w:bookmarkEnd w:id="23"/>
      <w:bookmarkEnd w:id="25"/>
    </w:p>
    <w:p w14:paraId="3FA5EED4" w14:textId="77777777" w:rsidR="00AB0E09" w:rsidRPr="008613CB" w:rsidRDefault="00D0058D" w:rsidP="008613CB">
      <w:pPr>
        <w:pStyle w:val="DHHSbody"/>
      </w:pPr>
      <w:r w:rsidRPr="008613CB">
        <w:t>Sometimes social housing organisations only offer specific types of housing and will apply extra criteria to decide if an applic</w:t>
      </w:r>
      <w:r w:rsidR="00FA14C1" w:rsidRPr="008613CB">
        <w:t>ant will be offered a property.</w:t>
      </w:r>
      <w:r w:rsidR="00AB0E09" w:rsidRPr="008613CB">
        <w:t xml:space="preserve"> </w:t>
      </w:r>
      <w:r w:rsidRPr="008613CB">
        <w:t xml:space="preserve">For example, a </w:t>
      </w:r>
      <w:r w:rsidR="00AB0E09" w:rsidRPr="008613CB">
        <w:t>social housing organisation</w:t>
      </w:r>
      <w:r w:rsidR="003F23C4" w:rsidRPr="008613CB">
        <w:t xml:space="preserve"> </w:t>
      </w:r>
      <w:r w:rsidR="00853E54" w:rsidRPr="008613CB">
        <w:t>that</w:t>
      </w:r>
      <w:r w:rsidRPr="008613CB">
        <w:t xml:space="preserve"> only provides housing to people with a disability who require support will only select a person who needs this type of housing.</w:t>
      </w:r>
    </w:p>
    <w:p w14:paraId="5BC80C76" w14:textId="77777777" w:rsidR="00853E54" w:rsidRPr="008C2076" w:rsidRDefault="00853E54" w:rsidP="008C2076">
      <w:pPr>
        <w:pStyle w:val="Heading2"/>
      </w:pPr>
      <w:bookmarkStart w:id="28" w:name="_Toc67651945"/>
      <w:r w:rsidRPr="008C2076">
        <w:t>Participating registered agencies</w:t>
      </w:r>
      <w:bookmarkEnd w:id="28"/>
    </w:p>
    <w:p w14:paraId="2492F5B8" w14:textId="77777777" w:rsidR="00AB0E09" w:rsidRDefault="00D2317D" w:rsidP="008613CB">
      <w:pPr>
        <w:pStyle w:val="DHHSbody"/>
      </w:pPr>
      <w:r>
        <w:t>P</w:t>
      </w:r>
      <w:r w:rsidR="00AB0E09">
        <w:t>articipating registered agencies</w:t>
      </w:r>
      <w:r>
        <w:t xml:space="preserve"> may apply</w:t>
      </w:r>
      <w:r w:rsidR="00F737CD">
        <w:t xml:space="preserve"> specific criteria </w:t>
      </w:r>
      <w:r w:rsidR="00070DD2">
        <w:t xml:space="preserve">in an offer of housing </w:t>
      </w:r>
      <w:r w:rsidR="008613CB">
        <w:t>under the following program:</w:t>
      </w:r>
    </w:p>
    <w:p w14:paraId="34E94812" w14:textId="77777777" w:rsidR="00DC61ED" w:rsidRPr="00E1639A" w:rsidRDefault="00DC61ED" w:rsidP="008C2076">
      <w:pPr>
        <w:pStyle w:val="Heading2"/>
      </w:pPr>
      <w:bookmarkStart w:id="29" w:name="_Toc67651946"/>
      <w:bookmarkStart w:id="30" w:name="_Toc288128579"/>
      <w:bookmarkStart w:id="31" w:name="Subsect12"/>
      <w:r w:rsidRPr="00E1639A">
        <w:t>Nomination Rights</w:t>
      </w:r>
      <w:bookmarkEnd w:id="29"/>
    </w:p>
    <w:p w14:paraId="747EA52A" w14:textId="77777777" w:rsidR="00DC61ED" w:rsidRDefault="00DC61ED" w:rsidP="002C363D">
      <w:pPr>
        <w:pStyle w:val="DHHSbody"/>
      </w:pPr>
      <w:r w:rsidRPr="00B32201">
        <w:t>A</w:t>
      </w:r>
      <w:r w:rsidR="00AB0E09">
        <w:t xml:space="preserve"> support provider </w:t>
      </w:r>
      <w:r w:rsidR="00CB0676">
        <w:t xml:space="preserve">or other third party </w:t>
      </w:r>
      <w:r w:rsidR="00AB0E09">
        <w:t>may have nomination rights to a social housing property. This means if a property becomes vacant, the support provider</w:t>
      </w:r>
      <w:r w:rsidR="004911D9">
        <w:t xml:space="preserve"> or other third party</w:t>
      </w:r>
      <w:r w:rsidR="00AB0E09">
        <w:t xml:space="preserve"> can nominate a suitable client to be offered the property.</w:t>
      </w:r>
      <w:bookmarkEnd w:id="30"/>
      <w:bookmarkEnd w:id="31"/>
    </w:p>
    <w:p w14:paraId="3993392A" w14:textId="77777777" w:rsidR="00406CDC" w:rsidRDefault="00406CDC" w:rsidP="002C363D">
      <w:pPr>
        <w:pStyle w:val="DHHSbody"/>
      </w:pPr>
      <w:r>
        <w:t xml:space="preserve">The nomination process occurs where a support provider (or a housing organisation on their behalf) lodges a VHR application for properties to which they have the right to nominate a client. If this is signified on the application, it is recorded on HiiP with the Participating Registered agency being able to use filters to identify their client. </w:t>
      </w:r>
    </w:p>
    <w:p w14:paraId="6004D24D" w14:textId="77777777" w:rsidR="00853E54" w:rsidRPr="00D32600" w:rsidRDefault="00853E54" w:rsidP="00355332">
      <w:pPr>
        <w:pStyle w:val="Heading1"/>
      </w:pPr>
      <w:bookmarkStart w:id="32" w:name="_Toc67651947"/>
      <w:r w:rsidRPr="00D32600">
        <w:t>Public housing</w:t>
      </w:r>
      <w:bookmarkEnd w:id="32"/>
    </w:p>
    <w:p w14:paraId="3404D034" w14:textId="77777777" w:rsidR="00651CD8" w:rsidRDefault="00D2317D" w:rsidP="00D32600">
      <w:pPr>
        <w:pStyle w:val="DHHSbody"/>
      </w:pPr>
      <w:r>
        <w:t>Public housing may apply</w:t>
      </w:r>
      <w:r w:rsidR="00F737CD">
        <w:t xml:space="preserve"> </w:t>
      </w:r>
      <w:r w:rsidR="003548E6">
        <w:t xml:space="preserve">specific criteria </w:t>
      </w:r>
      <w:r w:rsidR="00070DD2">
        <w:t>in an offer of housing</w:t>
      </w:r>
      <w:r w:rsidR="00F737CD">
        <w:t xml:space="preserve"> under the following programs</w:t>
      </w:r>
      <w:r w:rsidR="003548E6">
        <w:t>:</w:t>
      </w:r>
    </w:p>
    <w:p w14:paraId="37B43AE0" w14:textId="77777777" w:rsidR="00FA14C1" w:rsidRPr="00C0379E" w:rsidRDefault="00FA14C1" w:rsidP="00355332">
      <w:pPr>
        <w:pStyle w:val="Heading2"/>
      </w:pPr>
      <w:bookmarkStart w:id="33" w:name="_Toc288128578"/>
      <w:bookmarkStart w:id="34" w:name="_Toc67651948"/>
      <w:bookmarkStart w:id="35" w:name="Subsect11"/>
      <w:r w:rsidRPr="00C0379E">
        <w:t>Sponsored housing</w:t>
      </w:r>
      <w:bookmarkEnd w:id="33"/>
      <w:bookmarkEnd w:id="34"/>
    </w:p>
    <w:bookmarkEnd w:id="35"/>
    <w:p w14:paraId="18437101" w14:textId="77777777" w:rsidR="00FA14C1" w:rsidRDefault="00FA14C1" w:rsidP="00D32600">
      <w:pPr>
        <w:pStyle w:val="DHHSbody"/>
      </w:pPr>
      <w:r w:rsidRPr="00617AA2">
        <w:t xml:space="preserve">Some </w:t>
      </w:r>
      <w:r>
        <w:t xml:space="preserve">designated service providers can sponsor applications for social housing. For example, if a council has given land to a social housing </w:t>
      </w:r>
      <w:proofErr w:type="gramStart"/>
      <w:r>
        <w:t>organisation</w:t>
      </w:r>
      <w:proofErr w:type="gramEnd"/>
      <w:r>
        <w:t xml:space="preserve"> they may be able to recommend applicant</w:t>
      </w:r>
      <w:r w:rsidR="00D32600">
        <w:t>s to be offered social housing.</w:t>
      </w:r>
    </w:p>
    <w:p w14:paraId="6E52EDBB" w14:textId="77777777" w:rsidR="00FA14C1" w:rsidRPr="00617AA2" w:rsidRDefault="00FA14C1" w:rsidP="00D32600">
      <w:pPr>
        <w:pStyle w:val="DHHSbody"/>
      </w:pPr>
      <w:r w:rsidRPr="00617AA2">
        <w:t xml:space="preserve">When </w:t>
      </w:r>
      <w:r>
        <w:t>recommending</w:t>
      </w:r>
      <w:r w:rsidRPr="00617AA2">
        <w:t xml:space="preserve"> applicants, the sponsoring body often considers:</w:t>
      </w:r>
    </w:p>
    <w:p w14:paraId="7E770BE0" w14:textId="77777777" w:rsidR="00FA14C1" w:rsidRPr="00D32600" w:rsidRDefault="00FA14C1" w:rsidP="00D32600">
      <w:pPr>
        <w:pStyle w:val="DHHSbullet1"/>
      </w:pPr>
      <w:r w:rsidRPr="00D32600">
        <w:t>the length of time an applicant has lived in a local area</w:t>
      </w:r>
    </w:p>
    <w:p w14:paraId="380F94C6" w14:textId="77777777" w:rsidR="00FA14C1" w:rsidRPr="00D32600" w:rsidRDefault="00FA14C1" w:rsidP="00D32600">
      <w:pPr>
        <w:pStyle w:val="DHHSbullet1"/>
      </w:pPr>
      <w:r w:rsidRPr="00D32600">
        <w:t>family ties to a local area</w:t>
      </w:r>
    </w:p>
    <w:p w14:paraId="48CB4845" w14:textId="77777777" w:rsidR="00FA14C1" w:rsidRPr="00617AA2" w:rsidRDefault="00FA14C1" w:rsidP="00D32600">
      <w:pPr>
        <w:pStyle w:val="DHHSbullet1"/>
      </w:pPr>
      <w:r w:rsidRPr="00D32600">
        <w:t>links with a local church, support service or other local community group</w:t>
      </w:r>
    </w:p>
    <w:p w14:paraId="39A05ED3" w14:textId="77777777" w:rsidR="00FA14C1" w:rsidRPr="00D32600" w:rsidRDefault="00FA14C1" w:rsidP="00D32600">
      <w:pPr>
        <w:pStyle w:val="DHHSbullet1lastline"/>
      </w:pPr>
      <w:r w:rsidRPr="00D32600">
        <w:t>the criteria are listed in the sponsorship agreement between the sponsoring body and the social housing organisation.</w:t>
      </w:r>
    </w:p>
    <w:p w14:paraId="5862A3BC" w14:textId="77777777" w:rsidR="00FA14C1" w:rsidRPr="00C0379E" w:rsidRDefault="00FA14C1" w:rsidP="00C0379E">
      <w:pPr>
        <w:pStyle w:val="DHHSbody"/>
      </w:pPr>
      <w:r w:rsidRPr="00C0379E">
        <w:t>Once approved to the register, applicants must request sponsorship from the relevant organisation. If they are granted sponsorship, the sponsor is required to send a letter to the social housing organisation responsible for the property. The sponsorship is then noted on the application in HiiP and linked to the sponsoring organisation.</w:t>
      </w:r>
    </w:p>
    <w:p w14:paraId="5B305064" w14:textId="77777777" w:rsidR="00FA14C1" w:rsidRPr="00E1639A" w:rsidRDefault="001A6A1A">
      <w:pPr>
        <w:pStyle w:val="Heading2"/>
      </w:pPr>
      <w:r>
        <w:br w:type="page"/>
      </w:r>
      <w:bookmarkStart w:id="36" w:name="_Toc67651949"/>
      <w:r w:rsidR="00FA14C1" w:rsidRPr="00E1639A">
        <w:lastRenderedPageBreak/>
        <w:t>Housing and Support Program</w:t>
      </w:r>
      <w:bookmarkEnd w:id="36"/>
      <w:r w:rsidR="00794BA9">
        <w:br/>
      </w:r>
    </w:p>
    <w:p w14:paraId="6788F826" w14:textId="77777777" w:rsidR="00FA14C1" w:rsidRPr="00B32201" w:rsidRDefault="00FA14C1" w:rsidP="00C0379E">
      <w:pPr>
        <w:pStyle w:val="DHHSbody"/>
      </w:pPr>
      <w:r>
        <w:t>Housing and Support Program has nomination rights for public housing properties.</w:t>
      </w:r>
    </w:p>
    <w:p w14:paraId="0CA4B242" w14:textId="77777777" w:rsidR="00FA14C1" w:rsidRPr="006C24E9" w:rsidRDefault="00FA14C1" w:rsidP="00C0379E">
      <w:pPr>
        <w:pStyle w:val="DHHSbody"/>
      </w:pPr>
      <w:r w:rsidRPr="006C24E9">
        <w:t xml:space="preserve">Housing and Support </w:t>
      </w:r>
      <w:r>
        <w:t>P</w:t>
      </w:r>
      <w:r w:rsidRPr="006C24E9">
        <w:t xml:space="preserve">rogram (HASP) properties are managed under a nomination arrangement, which links housing and support for </w:t>
      </w:r>
      <w:r>
        <w:t>the Department of Health and Human Services</w:t>
      </w:r>
      <w:r w:rsidRPr="006C24E9">
        <w:t xml:space="preserve"> clients.</w:t>
      </w:r>
    </w:p>
    <w:p w14:paraId="25574966" w14:textId="77777777" w:rsidR="00FA14C1" w:rsidRPr="006C24E9" w:rsidRDefault="00FA14C1" w:rsidP="00C0379E">
      <w:pPr>
        <w:pStyle w:val="DHHSbody"/>
      </w:pPr>
      <w:r w:rsidRPr="006C24E9">
        <w:t xml:space="preserve">When a vacancy comes up in a HASP property, the nominating agency provides the details of the applicant to be housed. Ideally, they will already be on the </w:t>
      </w:r>
      <w:r>
        <w:t>register</w:t>
      </w:r>
      <w:r w:rsidRPr="006C24E9">
        <w:t xml:space="preserve">, but in cases of high need, can be added to the </w:t>
      </w:r>
      <w:r>
        <w:t>register</w:t>
      </w:r>
      <w:r w:rsidRPr="006C24E9">
        <w:t xml:space="preserve"> and then housed.</w:t>
      </w:r>
    </w:p>
    <w:p w14:paraId="20A7831B" w14:textId="77777777" w:rsidR="00FA14C1" w:rsidRPr="006C24E9" w:rsidRDefault="00FA14C1" w:rsidP="00C0379E">
      <w:pPr>
        <w:pStyle w:val="DHHSbody"/>
      </w:pPr>
      <w:r w:rsidRPr="006C24E9">
        <w:t>Alternatively, the vacant property can be moved from the HASP program and a new property provided to the nominating group.</w:t>
      </w:r>
    </w:p>
    <w:p w14:paraId="555D6D5C" w14:textId="77777777" w:rsidR="00FA14C1" w:rsidRPr="00E1639A" w:rsidRDefault="00FA14C1" w:rsidP="00355332">
      <w:pPr>
        <w:pStyle w:val="Heading2"/>
      </w:pPr>
      <w:bookmarkStart w:id="37" w:name="_Toc67651950"/>
      <w:r w:rsidRPr="00E1639A">
        <w:t>Singles housing</w:t>
      </w:r>
      <w:bookmarkEnd w:id="37"/>
    </w:p>
    <w:p w14:paraId="7C39585B" w14:textId="77777777" w:rsidR="00FA14C1" w:rsidRDefault="00FA14C1" w:rsidP="00C0379E">
      <w:pPr>
        <w:pStyle w:val="DHHSbody"/>
      </w:pPr>
      <w:r>
        <w:t>Bedsit accommodation is allocated to single people only.</w:t>
      </w:r>
    </w:p>
    <w:p w14:paraId="3EFF9784" w14:textId="7A685580" w:rsidR="00FA14C1" w:rsidRPr="00617AA2" w:rsidRDefault="00FA14C1" w:rsidP="00C0379E">
      <w:pPr>
        <w:pStyle w:val="DHHSbody"/>
      </w:pPr>
      <w:r w:rsidRPr="00617AA2">
        <w:t>Some bedsit and one</w:t>
      </w:r>
      <w:r w:rsidR="00381F39">
        <w:t>-</w:t>
      </w:r>
      <w:r w:rsidRPr="00617AA2">
        <w:t xml:space="preserve">bedroom housing </w:t>
      </w:r>
      <w:proofErr w:type="gramStart"/>
      <w:r w:rsidRPr="00617AA2">
        <w:t>is</w:t>
      </w:r>
      <w:proofErr w:type="gramEnd"/>
      <w:r w:rsidRPr="00617AA2">
        <w:t xml:space="preserve"> for single people of a specified age only. The target groups </w:t>
      </w:r>
      <w:proofErr w:type="gramStart"/>
      <w:r w:rsidRPr="00617AA2">
        <w:t>are:</w:t>
      </w:r>
      <w:proofErr w:type="gramEnd"/>
      <w:r w:rsidRPr="00617AA2">
        <w:t xml:space="preserve"> youth aged under 25 years, singles </w:t>
      </w:r>
      <w:r w:rsidR="008B1BE6">
        <w:t xml:space="preserve">aged </w:t>
      </w:r>
      <w:r w:rsidRPr="00617AA2">
        <w:t>25 to 54 years, and th</w:t>
      </w:r>
      <w:r w:rsidR="00B375C4">
        <w:t>e elderly</w:t>
      </w:r>
      <w:r>
        <w:t xml:space="preserve"> </w:t>
      </w:r>
      <w:r w:rsidR="008B1BE6">
        <w:t xml:space="preserve">aged </w:t>
      </w:r>
      <w:r>
        <w:t>55 years</w:t>
      </w:r>
      <w:r w:rsidR="008B1BE6">
        <w:t xml:space="preserve"> </w:t>
      </w:r>
      <w:r>
        <w:t>and over</w:t>
      </w:r>
      <w:r w:rsidRPr="00617AA2">
        <w:t>.</w:t>
      </w:r>
    </w:p>
    <w:p w14:paraId="6E64718D" w14:textId="77777777" w:rsidR="00FA14C1" w:rsidRPr="00617AA2" w:rsidRDefault="00FA14C1" w:rsidP="00C0379E">
      <w:pPr>
        <w:pStyle w:val="DHHSbody"/>
      </w:pPr>
      <w:r w:rsidRPr="00617AA2">
        <w:t xml:space="preserve">The </w:t>
      </w:r>
      <w:r w:rsidRPr="005141AE">
        <w:t>Tenancy Manager</w:t>
      </w:r>
      <w:r w:rsidRPr="00617AA2">
        <w:t xml:space="preserve"> or equivalent can approve the allocation of housing to an applicant not within the target age group. The Tenancy </w:t>
      </w:r>
      <w:r>
        <w:t>M</w:t>
      </w:r>
      <w:r w:rsidRPr="00617AA2">
        <w:t>anager or equivalent considers:</w:t>
      </w:r>
    </w:p>
    <w:p w14:paraId="1E651CD2" w14:textId="77777777" w:rsidR="00FA14C1" w:rsidRPr="00C0379E" w:rsidRDefault="00FA14C1" w:rsidP="00355332">
      <w:pPr>
        <w:pStyle w:val="DHHSbullet1"/>
      </w:pPr>
      <w:r w:rsidRPr="00C0379E">
        <w:t>the difference between the target age range and the applicant’s age - ideally, the difference is only small</w:t>
      </w:r>
    </w:p>
    <w:p w14:paraId="280F5BAA" w14:textId="0FA5036B" w:rsidR="00FA14C1" w:rsidRPr="00C0379E" w:rsidRDefault="00FA14C1" w:rsidP="00355332">
      <w:pPr>
        <w:pStyle w:val="DHHSbullet1"/>
      </w:pPr>
      <w:r w:rsidRPr="00C0379E">
        <w:t xml:space="preserve">the impact on other </w:t>
      </w:r>
      <w:r w:rsidR="00B3577A">
        <w:t>renter</w:t>
      </w:r>
      <w:r w:rsidR="00B3577A" w:rsidRPr="00C0379E">
        <w:t>s</w:t>
      </w:r>
      <w:r w:rsidR="00970165">
        <w:t>’</w:t>
      </w:r>
    </w:p>
    <w:p w14:paraId="703C4526" w14:textId="77777777" w:rsidR="00FA14C1" w:rsidRPr="00C0379E" w:rsidRDefault="00FA14C1" w:rsidP="00355332">
      <w:pPr>
        <w:pStyle w:val="DHHSbullet1"/>
      </w:pPr>
      <w:r w:rsidRPr="00C0379E">
        <w:t>the availability of housing for the applicant’s age group in their preferred area</w:t>
      </w:r>
    </w:p>
    <w:p w14:paraId="5335AC14" w14:textId="77777777" w:rsidR="00207E1F" w:rsidRDefault="00FA14C1" w:rsidP="00355332">
      <w:pPr>
        <w:pStyle w:val="DHHSbullet1lastline"/>
      </w:pPr>
      <w:r w:rsidRPr="00617AA2">
        <w:t xml:space="preserve">the demand for singles housing in the </w:t>
      </w:r>
      <w:r>
        <w:t>preferred</w:t>
      </w:r>
      <w:r w:rsidRPr="00617AA2">
        <w:t xml:space="preserve"> area.</w:t>
      </w:r>
      <w:bookmarkEnd w:id="26"/>
      <w:bookmarkEnd w:id="27"/>
    </w:p>
    <w:p w14:paraId="4D175D0C" w14:textId="77777777" w:rsidR="00D4557D" w:rsidRPr="00355332" w:rsidRDefault="00D4557D" w:rsidP="00355332">
      <w:pPr>
        <w:pStyle w:val="Heading1"/>
      </w:pPr>
      <w:bookmarkStart w:id="38" w:name="_Toc493253580"/>
      <w:bookmarkStart w:id="39" w:name="_Toc67651951"/>
      <w:r w:rsidRPr="00355332">
        <w:t>Decision Review</w:t>
      </w:r>
      <w:bookmarkEnd w:id="38"/>
      <w:bookmarkEnd w:id="39"/>
    </w:p>
    <w:p w14:paraId="145970C6" w14:textId="77777777" w:rsidR="005C5160" w:rsidRDefault="005C5160" w:rsidP="00C0379E">
      <w:pPr>
        <w:pStyle w:val="DHHSbody"/>
      </w:pPr>
      <w:r w:rsidRPr="00FD0746">
        <w:t xml:space="preserve">If </w:t>
      </w:r>
      <w:r>
        <w:t>an</w:t>
      </w:r>
      <w:r w:rsidRPr="00FD0746">
        <w:t xml:space="preserve"> </w:t>
      </w:r>
      <w:r>
        <w:t>applicant feels an offer is not reasonable, the applicant should provide more information to the social housing organisation making the offer, to assess whether the application should be updated.</w:t>
      </w:r>
    </w:p>
    <w:p w14:paraId="4648267C" w14:textId="255CFBF0" w:rsidR="00D4557D" w:rsidRDefault="00AE270B" w:rsidP="005A0481">
      <w:pPr>
        <w:pStyle w:val="DHHSbody"/>
        <w:spacing w:after="240"/>
        <w:rPr>
          <w:i/>
        </w:rPr>
      </w:pPr>
      <w:r>
        <w:t xml:space="preserve">Applicants </w:t>
      </w:r>
      <w:r w:rsidR="00234A32">
        <w:t xml:space="preserve">that </w:t>
      </w:r>
      <w:r>
        <w:t>did not a</w:t>
      </w:r>
      <w:r w:rsidR="00133A04">
        <w:t>ccept a formal offer of housing</w:t>
      </w:r>
      <w:r>
        <w:t xml:space="preserve"> where</w:t>
      </w:r>
      <w:r w:rsidR="00234A32">
        <w:t xml:space="preserve"> </w:t>
      </w:r>
      <w:r w:rsidR="005C5160">
        <w:t>the</w:t>
      </w:r>
      <w:r>
        <w:t xml:space="preserve"> offer was </w:t>
      </w:r>
      <w:r w:rsidR="00133A04">
        <w:t>determined</w:t>
      </w:r>
      <w:r>
        <w:t xml:space="preserve"> </w:t>
      </w:r>
      <w:r w:rsidR="00133A04">
        <w:t>to be</w:t>
      </w:r>
      <w:r>
        <w:t xml:space="preserve"> reasonable</w:t>
      </w:r>
      <w:r w:rsidR="00234A32">
        <w:t>,</w:t>
      </w:r>
      <w:r>
        <w:t xml:space="preserve"> may </w:t>
      </w:r>
      <w:r w:rsidR="00D4557D" w:rsidRPr="00FF1E6C">
        <w:t xml:space="preserve">request to have the decision reviewed. For more information see the </w:t>
      </w:r>
      <w:hyperlink r:id="rId17" w:history="1">
        <w:r w:rsidR="00D4557D" w:rsidRPr="00C0379E">
          <w:rPr>
            <w:rStyle w:val="Hyperlink"/>
            <w:i/>
          </w:rPr>
          <w:t xml:space="preserve">Complaints, Appeals and Feedback Processes </w:t>
        </w:r>
        <w:r w:rsidR="00B65F30">
          <w:rPr>
            <w:rStyle w:val="Hyperlink"/>
          </w:rPr>
          <w:t>operational g</w:t>
        </w:r>
        <w:r w:rsidR="00D4557D" w:rsidRPr="00C0379E">
          <w:rPr>
            <w:rStyle w:val="Hyperlink"/>
          </w:rPr>
          <w:t>uidelines</w:t>
        </w:r>
      </w:hyperlink>
      <w:r w:rsidR="00C0379E">
        <w:rPr>
          <w:i/>
        </w:rPr>
        <w:t xml:space="preserve"> </w:t>
      </w:r>
      <w:r w:rsidR="00C0379E" w:rsidRPr="00C0379E">
        <w:t>&lt;https://fac.</w:t>
      </w:r>
      <w:r w:rsidR="00296914">
        <w:t>d</w:t>
      </w:r>
      <w:r w:rsidR="00381F39">
        <w:t>hhs</w:t>
      </w:r>
      <w:r w:rsidR="00C0379E" w:rsidRPr="00C0379E">
        <w:t>.vic.gov.au/complaints-appeals-and-feedback-processes&gt;</w:t>
      </w:r>
      <w:r w:rsidR="00D4557D" w:rsidRPr="00C0379E">
        <w:t>.</w:t>
      </w:r>
    </w:p>
    <w:tbl>
      <w:tblPr>
        <w:tblW w:w="4800" w:type="pct"/>
        <w:tblInd w:w="113" w:type="dxa"/>
        <w:tblCellMar>
          <w:top w:w="113" w:type="dxa"/>
          <w:bottom w:w="57" w:type="dxa"/>
        </w:tblCellMar>
        <w:tblLook w:val="00A0" w:firstRow="1" w:lastRow="0" w:firstColumn="1" w:lastColumn="0" w:noHBand="0" w:noVBand="0"/>
      </w:tblPr>
      <w:tblGrid>
        <w:gridCol w:w="9786"/>
      </w:tblGrid>
      <w:tr w:rsidR="00E00A3F" w:rsidRPr="00762B03" w14:paraId="0B6038FA" w14:textId="77777777" w:rsidTr="00C94C40">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8F9329F" w14:textId="164D95ED" w:rsidR="00C0379E" w:rsidRPr="00C0379E" w:rsidRDefault="00C0379E" w:rsidP="00C0379E">
            <w:pPr>
              <w:pStyle w:val="DHHSbody"/>
              <w:rPr>
                <w:sz w:val="24"/>
                <w:szCs w:val="24"/>
              </w:rPr>
            </w:pPr>
            <w:r w:rsidRPr="00C0379E">
              <w:rPr>
                <w:sz w:val="24"/>
                <w:szCs w:val="24"/>
              </w:rPr>
              <w:t xml:space="preserve">To receive this publication in an accessible format email the </w:t>
            </w:r>
            <w:hyperlink r:id="rId18" w:history="1">
              <w:r w:rsidRPr="00C0379E">
                <w:rPr>
                  <w:rStyle w:val="Hyperlink"/>
                  <w:sz w:val="24"/>
                  <w:szCs w:val="24"/>
                </w:rPr>
                <w:t>Victorian Housing Register</w:t>
              </w:r>
            </w:hyperlink>
            <w:r w:rsidRPr="00C0379E">
              <w:rPr>
                <w:sz w:val="24"/>
                <w:szCs w:val="24"/>
              </w:rPr>
              <w:t xml:space="preserve"> &lt;VictorianHousingRegister@</w:t>
            </w:r>
            <w:r w:rsidR="00A21120">
              <w:rPr>
                <w:sz w:val="24"/>
                <w:szCs w:val="24"/>
              </w:rPr>
              <w:t>dffh</w:t>
            </w:r>
            <w:r w:rsidRPr="00C0379E">
              <w:rPr>
                <w:sz w:val="24"/>
                <w:szCs w:val="24"/>
              </w:rPr>
              <w:t>.vic.gov.au&gt;.</w:t>
            </w:r>
          </w:p>
          <w:p w14:paraId="6B17D3DA" w14:textId="77777777" w:rsidR="00C0379E" w:rsidRPr="00850AA7" w:rsidRDefault="00C0379E" w:rsidP="00C0379E">
            <w:pPr>
              <w:pStyle w:val="DHHSbody"/>
            </w:pPr>
            <w:r w:rsidRPr="00850AA7">
              <w:t>Authorised and published by the Victoria</w:t>
            </w:r>
            <w:bookmarkStart w:id="40" w:name="_GoBack"/>
            <w:bookmarkEnd w:id="40"/>
            <w:r w:rsidRPr="00850AA7">
              <w:t>n Government, 1 Treasury Place, Melbourne.</w:t>
            </w:r>
          </w:p>
          <w:p w14:paraId="0C274716" w14:textId="54BEB40D" w:rsidR="00C0379E" w:rsidRPr="00850AA7" w:rsidRDefault="00C0379E" w:rsidP="00C0379E">
            <w:pPr>
              <w:pStyle w:val="DHHSbody"/>
            </w:pPr>
            <w:r w:rsidRPr="00850AA7">
              <w:t>© State of Victoria, Department of Heal</w:t>
            </w:r>
            <w:r>
              <w:t xml:space="preserve">th and Human Services, </w:t>
            </w:r>
            <w:r w:rsidR="002222F2">
              <w:t xml:space="preserve">March </w:t>
            </w:r>
            <w:r w:rsidRPr="00850AA7">
              <w:t>20</w:t>
            </w:r>
            <w:r w:rsidR="002222F2">
              <w:t>21</w:t>
            </w:r>
            <w:r w:rsidRPr="00850AA7">
              <w:t>.</w:t>
            </w:r>
          </w:p>
          <w:p w14:paraId="59DED841" w14:textId="77777777" w:rsidR="00C0379E" w:rsidRPr="00C0379E" w:rsidRDefault="00C0379E" w:rsidP="00C0379E">
            <w:pPr>
              <w:pStyle w:val="DHHSbody"/>
              <w:rPr>
                <w:rFonts w:eastAsia="Times New Roman" w:cs="Arial"/>
              </w:rPr>
            </w:pPr>
            <w:r w:rsidRPr="00850AA7">
              <w:rPr>
                <w:szCs w:val="19"/>
              </w:rPr>
              <w:t>ISBN</w:t>
            </w:r>
            <w:r>
              <w:rPr>
                <w:lang w:eastAsia="en-AU"/>
              </w:rPr>
              <w:t xml:space="preserve"> </w:t>
            </w:r>
            <w:r>
              <w:rPr>
                <w:rFonts w:cs="Arial"/>
              </w:rPr>
              <w:t xml:space="preserve">978-1-76069-253-7 </w:t>
            </w:r>
            <w:r>
              <w:rPr>
                <w:lang w:eastAsia="en-AU"/>
              </w:rPr>
              <w:t>(online)</w:t>
            </w:r>
          </w:p>
          <w:p w14:paraId="551B1778" w14:textId="77777777" w:rsidR="00E00A3F" w:rsidRPr="00762B03" w:rsidRDefault="00C0379E" w:rsidP="00C0379E">
            <w:pPr>
              <w:pStyle w:val="DHHSbody"/>
            </w:pPr>
            <w:r>
              <w:t>Available on</w:t>
            </w:r>
            <w:r w:rsidRPr="0084087C">
              <w:t xml:space="preserve"> the </w:t>
            </w:r>
            <w:hyperlink r:id="rId19" w:history="1">
              <w:r w:rsidRPr="00C0379E">
                <w:rPr>
                  <w:rStyle w:val="Hyperlink"/>
                  <w:sz w:val="24"/>
                  <w:szCs w:val="24"/>
                </w:rPr>
                <w:t>Victorian Housing Register</w:t>
              </w:r>
            </w:hyperlink>
            <w:r>
              <w:t xml:space="preserve"> website &lt;</w:t>
            </w:r>
            <w:r w:rsidRPr="00B42157">
              <w:t>https://fac.dhhs.vic.gov.au/victorian-housing-register</w:t>
            </w:r>
            <w:r w:rsidRPr="0084087C">
              <w:t>&gt;</w:t>
            </w:r>
            <w:r>
              <w:t>.</w:t>
            </w:r>
          </w:p>
        </w:tc>
      </w:tr>
    </w:tbl>
    <w:p w14:paraId="05769542" w14:textId="77777777" w:rsidR="00E00A3F" w:rsidRPr="00906490" w:rsidRDefault="00E00A3F" w:rsidP="002C363D">
      <w:pPr>
        <w:pStyle w:val="DHHSbody"/>
      </w:pPr>
    </w:p>
    <w:sectPr w:rsidR="00E00A3F"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AD665" w14:textId="77777777" w:rsidR="00E45AAC" w:rsidRDefault="00E45AAC">
      <w:r>
        <w:separator/>
      </w:r>
    </w:p>
  </w:endnote>
  <w:endnote w:type="continuationSeparator" w:id="0">
    <w:p w14:paraId="4083531A" w14:textId="77777777" w:rsidR="00E45AAC" w:rsidRDefault="00E4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163A2" w14:textId="06CBD6A4" w:rsidR="002C363D" w:rsidRPr="00F65AA9" w:rsidRDefault="00796340"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54F60979" wp14:editId="0D949FB9">
              <wp:simplePos x="0" y="0"/>
              <wp:positionH relativeFrom="page">
                <wp:posOffset>0</wp:posOffset>
              </wp:positionH>
              <wp:positionV relativeFrom="page">
                <wp:posOffset>10234930</wp:posOffset>
              </wp:positionV>
              <wp:extent cx="7560310" cy="266700"/>
              <wp:effectExtent l="0" t="0" r="0" b="0"/>
              <wp:wrapNone/>
              <wp:docPr id="3" name="MSIPCMc66a44b49fe01552e5404a0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08B3E5" w14:textId="51907AAE" w:rsidR="00796340" w:rsidRPr="00796340" w:rsidRDefault="00796340" w:rsidP="00796340">
                          <w:pPr>
                            <w:jc w:val="center"/>
                            <w:rPr>
                              <w:rFonts w:ascii="Arial Black" w:hAnsi="Arial Black"/>
                              <w:color w:val="000000"/>
                            </w:rPr>
                          </w:pPr>
                          <w:r w:rsidRPr="0079634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F60979" id="_x0000_t202" coordsize="21600,21600" o:spt="202" path="m,l,21600r21600,l21600,xe">
              <v:stroke joinstyle="miter"/>
              <v:path gradientshapeok="t" o:connecttype="rect"/>
            </v:shapetype>
            <v:shape id="MSIPCMc66a44b49fe01552e5404a06" o:spid="_x0000_s1026" type="#_x0000_t202" alt="{&quot;HashCode&quot;:90475836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" o:allowincell="f" filled="f" stroked="f" strokeweight=".5pt">
              <v:fill o:detectmouseclick="t"/>
              <v:textbox inset=",0,,0">
                <w:txbxContent>
                  <w:p w14:paraId="7908B3E5" w14:textId="51907AAE" w:rsidR="00796340" w:rsidRPr="00796340" w:rsidRDefault="00796340" w:rsidP="00796340">
                    <w:pPr>
                      <w:jc w:val="center"/>
                      <w:rPr>
                        <w:rFonts w:ascii="Arial Black" w:hAnsi="Arial Black"/>
                        <w:color w:val="000000"/>
                      </w:rPr>
                    </w:pPr>
                    <w:r w:rsidRPr="00796340">
                      <w:rPr>
                        <w:rFonts w:ascii="Arial Black" w:hAnsi="Arial Black"/>
                        <w:color w:val="000000"/>
                      </w:rPr>
                      <w:t>OFFICIAL</w:t>
                    </w:r>
                  </w:p>
                </w:txbxContent>
              </v:textbox>
              <w10:wrap anchorx="page" anchory="page"/>
            </v:shape>
          </w:pict>
        </mc:Fallback>
      </mc:AlternateContent>
    </w:r>
    <w:r w:rsidR="002C363D">
      <w:rPr>
        <w:noProof/>
        <w:lang w:eastAsia="en-AU"/>
      </w:rPr>
      <w:drawing>
        <wp:anchor distT="0" distB="0" distL="114300" distR="114300" simplePos="0" relativeHeight="251657728" behindDoc="1" locked="1" layoutInCell="1" allowOverlap="1" wp14:anchorId="230825CD" wp14:editId="0A9EFD52">
          <wp:simplePos x="0" y="0"/>
          <wp:positionH relativeFrom="page">
            <wp:posOffset>0</wp:posOffset>
          </wp:positionH>
          <wp:positionV relativeFrom="page">
            <wp:posOffset>10297160</wp:posOffset>
          </wp:positionV>
          <wp:extent cx="7561580" cy="398780"/>
          <wp:effectExtent l="0" t="0" r="1270" b="1270"/>
          <wp:wrapNone/>
          <wp:docPr id="1" name="Picture 15" descr="A Partnership between the Victorian Government and Community Housing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3987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6B63" w14:textId="7D6DB8AE" w:rsidR="00B3577A" w:rsidRDefault="00796340">
    <w:pPr>
      <w:pStyle w:val="Footer"/>
    </w:pPr>
    <w:r>
      <w:rPr>
        <w:noProof/>
      </w:rPr>
      <mc:AlternateContent>
        <mc:Choice Requires="wps">
          <w:drawing>
            <wp:anchor distT="0" distB="0" distL="114300" distR="114300" simplePos="1" relativeHeight="251660288" behindDoc="0" locked="0" layoutInCell="0" allowOverlap="1" wp14:anchorId="7552F992" wp14:editId="50AC9F3C">
              <wp:simplePos x="0" y="10234930"/>
              <wp:positionH relativeFrom="page">
                <wp:posOffset>0</wp:posOffset>
              </wp:positionH>
              <wp:positionV relativeFrom="page">
                <wp:posOffset>10234930</wp:posOffset>
              </wp:positionV>
              <wp:extent cx="7560310" cy="266700"/>
              <wp:effectExtent l="0" t="0" r="0" b="0"/>
              <wp:wrapNone/>
              <wp:docPr id="4" name="MSIPCM21b44e68bbefce476a2b0a2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6EBADD" w14:textId="3EC5DA49" w:rsidR="00796340" w:rsidRPr="00796340" w:rsidRDefault="00796340" w:rsidP="00796340">
                          <w:pPr>
                            <w:jc w:val="center"/>
                            <w:rPr>
                              <w:rFonts w:ascii="Arial Black" w:hAnsi="Arial Black"/>
                              <w:color w:val="000000"/>
                            </w:rPr>
                          </w:pPr>
                          <w:r w:rsidRPr="0079634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52F992" id="_x0000_t202" coordsize="21600,21600" o:spt="202" path="m,l,21600r21600,l21600,xe">
              <v:stroke joinstyle="miter"/>
              <v:path gradientshapeok="t" o:connecttype="rect"/>
            </v:shapetype>
            <v:shape id="MSIPCM21b44e68bbefce476a2b0a26" o:spid="_x0000_s1027" type="#_x0000_t202" alt="{&quot;HashCode&quot;:904758361,&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PGjVWuwAgAATgUAAA4A&#10;AAAAAAAAAAAAAAAALgIAAGRycy9lMm9Eb2MueG1sUEsBAi0AFAAGAAgAAAAhAIOyjyvfAAAACwEA&#10;AA8AAAAAAAAAAAAAAAAACgUAAGRycy9kb3ducmV2LnhtbFBLBQYAAAAABAAEAPMAAAAWBgAAAAA=&#10;" o:allowincell="f" filled="f" stroked="f" strokeweight=".5pt">
              <v:fill o:detectmouseclick="t"/>
              <v:textbox inset=",0,,0">
                <w:txbxContent>
                  <w:p w14:paraId="586EBADD" w14:textId="3EC5DA49" w:rsidR="00796340" w:rsidRPr="00796340" w:rsidRDefault="00796340" w:rsidP="00796340">
                    <w:pPr>
                      <w:jc w:val="center"/>
                      <w:rPr>
                        <w:rFonts w:ascii="Arial Black" w:hAnsi="Arial Black"/>
                        <w:color w:val="000000"/>
                      </w:rPr>
                    </w:pPr>
                    <w:r w:rsidRPr="0079634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00B3C" w14:textId="1DC42488" w:rsidR="002C363D" w:rsidRPr="00A11421" w:rsidRDefault="00796340" w:rsidP="0051568D">
    <w:pPr>
      <w:pStyle w:val="DHHSfooter"/>
    </w:pPr>
    <w:r>
      <w:rPr>
        <w:noProof/>
      </w:rPr>
      <mc:AlternateContent>
        <mc:Choice Requires="wps">
          <w:drawing>
            <wp:anchor distT="0" distB="0" distL="114300" distR="114300" simplePos="0" relativeHeight="251661312" behindDoc="0" locked="0" layoutInCell="0" allowOverlap="1" wp14:anchorId="08BA2E5B" wp14:editId="7F6A32F0">
              <wp:simplePos x="0" y="0"/>
              <wp:positionH relativeFrom="page">
                <wp:posOffset>0</wp:posOffset>
              </wp:positionH>
              <wp:positionV relativeFrom="page">
                <wp:posOffset>10234930</wp:posOffset>
              </wp:positionV>
              <wp:extent cx="7560310" cy="266700"/>
              <wp:effectExtent l="0" t="0" r="0" b="0"/>
              <wp:wrapNone/>
              <wp:docPr id="5" name="MSIPCMef474f2ca62d6a997a0088b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C976D1" w14:textId="26DA7688" w:rsidR="00796340" w:rsidRPr="00796340" w:rsidRDefault="00796340" w:rsidP="00796340">
                          <w:pPr>
                            <w:jc w:val="center"/>
                            <w:rPr>
                              <w:rFonts w:ascii="Arial Black" w:hAnsi="Arial Black"/>
                              <w:color w:val="000000"/>
                            </w:rPr>
                          </w:pPr>
                          <w:r w:rsidRPr="0079634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BA2E5B" id="_x0000_t202" coordsize="21600,21600" o:spt="202" path="m,l,21600r21600,l21600,xe">
              <v:stroke joinstyle="miter"/>
              <v:path gradientshapeok="t" o:connecttype="rect"/>
            </v:shapetype>
            <v:shape id="MSIPCMef474f2ca62d6a997a0088b8" o:spid="_x0000_s1028" type="#_x0000_t202" alt="{&quot;HashCode&quot;:904758361,&quot;Height&quot;:841.0,&quot;Width&quot;:595.0,&quot;Placement&quot;:&quot;Footer&quot;,&quot;Index&quot;:&quot;Primary&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I4fE1uwAgAATAUAAA4A&#10;AAAAAAAAAAAAAAAALgIAAGRycy9lMm9Eb2MueG1sUEsBAi0AFAAGAAgAAAAhAIOyjyvfAAAACwEA&#10;AA8AAAAAAAAAAAAAAAAACgUAAGRycy9kb3ducmV2LnhtbFBLBQYAAAAABAAEAPMAAAAWBgAAAAA=&#10;" o:allowincell="f" filled="f" stroked="f" strokeweight=".5pt">
              <v:fill o:detectmouseclick="t"/>
              <v:textbox inset=",0,,0">
                <w:txbxContent>
                  <w:p w14:paraId="2CC976D1" w14:textId="26DA7688" w:rsidR="00796340" w:rsidRPr="00796340" w:rsidRDefault="00796340" w:rsidP="00796340">
                    <w:pPr>
                      <w:jc w:val="center"/>
                      <w:rPr>
                        <w:rFonts w:ascii="Arial Black" w:hAnsi="Arial Black"/>
                        <w:color w:val="000000"/>
                      </w:rPr>
                    </w:pPr>
                    <w:r w:rsidRPr="00796340">
                      <w:rPr>
                        <w:rFonts w:ascii="Arial Black" w:hAnsi="Arial Black"/>
                        <w:color w:val="000000"/>
                      </w:rPr>
                      <w:t>OFFICIAL</w:t>
                    </w:r>
                  </w:p>
                </w:txbxContent>
              </v:textbox>
              <w10:wrap anchorx="page" anchory="page"/>
            </v:shape>
          </w:pict>
        </mc:Fallback>
      </mc:AlternateContent>
    </w:r>
    <w:r w:rsidR="002C363D">
      <w:t>Victorian Housing Register: Offer of Housing Operational Guidelines</w:t>
    </w:r>
    <w:r w:rsidR="002C363D" w:rsidRPr="00A11421">
      <w:tab/>
    </w:r>
    <w:r w:rsidR="002C363D" w:rsidRPr="00A11421">
      <w:fldChar w:fldCharType="begin"/>
    </w:r>
    <w:r w:rsidR="002C363D" w:rsidRPr="00A11421">
      <w:instrText xml:space="preserve"> PAGE </w:instrText>
    </w:r>
    <w:r w:rsidR="002C363D" w:rsidRPr="00A11421">
      <w:fldChar w:fldCharType="separate"/>
    </w:r>
    <w:r w:rsidR="008427DF">
      <w:rPr>
        <w:noProof/>
      </w:rPr>
      <w:t>4</w:t>
    </w:r>
    <w:r w:rsidR="002C363D"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96473" w14:textId="77777777" w:rsidR="00E45AAC" w:rsidRDefault="00E45AAC" w:rsidP="002862F1">
      <w:pPr>
        <w:spacing w:before="120"/>
      </w:pPr>
      <w:r>
        <w:separator/>
      </w:r>
    </w:p>
  </w:footnote>
  <w:footnote w:type="continuationSeparator" w:id="0">
    <w:p w14:paraId="3105D1A7" w14:textId="77777777" w:rsidR="00E45AAC" w:rsidRDefault="00E4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5822" w14:textId="77777777" w:rsidR="002C363D" w:rsidRPr="0051568D" w:rsidRDefault="002C363D"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5CE65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06715"/>
    <w:multiLevelType w:val="multilevel"/>
    <w:tmpl w:val="8A86A6B0"/>
    <w:lvl w:ilvl="0">
      <w:start w:val="1"/>
      <w:numFmt w:val="bullet"/>
      <w:lvlText w:val=""/>
      <w:lvlJc w:val="left"/>
      <w:pPr>
        <w:ind w:left="-852" w:hanging="284"/>
      </w:pPr>
      <w:rPr>
        <w:rFonts w:ascii="Symbol" w:hAnsi="Symbol" w:hint="default"/>
      </w:rPr>
    </w:lvl>
    <w:lvl w:ilvl="1">
      <w:start w:val="1"/>
      <w:numFmt w:val="bullet"/>
      <w:lvlRestart w:val="0"/>
      <w:lvlText w:val=""/>
      <w:lvlJc w:val="left"/>
      <w:pPr>
        <w:ind w:left="-852" w:hanging="284"/>
      </w:pPr>
      <w:rPr>
        <w:rFonts w:ascii="Symbol" w:hAnsi="Symbol" w:hint="default"/>
      </w:rPr>
    </w:lvl>
    <w:lvl w:ilvl="2">
      <w:start w:val="1"/>
      <w:numFmt w:val="bullet"/>
      <w:lvlRestart w:val="0"/>
      <w:lvlText w:val="–"/>
      <w:lvlJc w:val="left"/>
      <w:pPr>
        <w:ind w:left="-569" w:hanging="283"/>
      </w:pPr>
      <w:rPr>
        <w:rFonts w:hint="default"/>
      </w:rPr>
    </w:lvl>
    <w:lvl w:ilvl="3">
      <w:start w:val="1"/>
      <w:numFmt w:val="bullet"/>
      <w:lvlRestart w:val="0"/>
      <w:lvlText w:val="–"/>
      <w:lvlJc w:val="left"/>
      <w:pPr>
        <w:ind w:left="-569" w:hanging="283"/>
      </w:pPr>
      <w:rPr>
        <w:rFonts w:hint="default"/>
      </w:rPr>
    </w:lvl>
    <w:lvl w:ilvl="4">
      <w:start w:val="1"/>
      <w:numFmt w:val="bullet"/>
      <w:lvlRestart w:val="0"/>
      <w:lvlText w:val=""/>
      <w:lvlJc w:val="left"/>
      <w:pPr>
        <w:ind w:left="-456" w:hanging="283"/>
      </w:pPr>
      <w:rPr>
        <w:rFonts w:ascii="Symbol" w:hAnsi="Symbol" w:hint="default"/>
      </w:rPr>
    </w:lvl>
    <w:lvl w:ilvl="5">
      <w:start w:val="1"/>
      <w:numFmt w:val="bullet"/>
      <w:lvlRestart w:val="0"/>
      <w:lvlText w:val=""/>
      <w:lvlJc w:val="left"/>
      <w:pPr>
        <w:ind w:left="-456" w:hanging="283"/>
      </w:pPr>
      <w:rPr>
        <w:rFonts w:ascii="Symbol" w:hAnsi="Symbol" w:hint="default"/>
      </w:rPr>
    </w:lvl>
    <w:lvl w:ilvl="6">
      <w:start w:val="1"/>
      <w:numFmt w:val="bullet"/>
      <w:lvlRestart w:val="0"/>
      <w:lvlText w:val=""/>
      <w:lvlJc w:val="left"/>
      <w:pPr>
        <w:ind w:left="-909" w:hanging="227"/>
      </w:pPr>
      <w:rPr>
        <w:rFonts w:ascii="Symbol" w:hAnsi="Symbol" w:hint="default"/>
      </w:rPr>
    </w:lvl>
    <w:lvl w:ilvl="7">
      <w:start w:val="1"/>
      <w:numFmt w:val="none"/>
      <w:lvlRestart w:val="0"/>
      <w:lvlText w:val=""/>
      <w:lvlJc w:val="left"/>
      <w:pPr>
        <w:ind w:left="-1136" w:firstLine="0"/>
      </w:pPr>
      <w:rPr>
        <w:rFonts w:hint="default"/>
      </w:rPr>
    </w:lvl>
    <w:lvl w:ilvl="8">
      <w:start w:val="1"/>
      <w:numFmt w:val="none"/>
      <w:lvlRestart w:val="0"/>
      <w:lvlText w:val=""/>
      <w:lvlJc w:val="left"/>
      <w:pPr>
        <w:ind w:left="-1136" w:firstLine="0"/>
      </w:pPr>
      <w:rPr>
        <w:rFonts w:hint="default"/>
      </w:rPr>
    </w:lvl>
  </w:abstractNum>
  <w:abstractNum w:abstractNumId="2"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8D43DB"/>
    <w:multiLevelType w:val="multilevel"/>
    <w:tmpl w:val="4B4E7622"/>
    <w:numStyleLink w:val="ZZNumbers"/>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D453614"/>
    <w:multiLevelType w:val="hybridMultilevel"/>
    <w:tmpl w:val="BE36CA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7" w15:restartNumberingAfterBreak="0">
    <w:nsid w:val="4BD335BE"/>
    <w:multiLevelType w:val="hybridMultilevel"/>
    <w:tmpl w:val="DA0ED8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6"/>
  </w:num>
  <w:num w:numId="10">
    <w:abstractNumId w:val="0"/>
  </w:num>
  <w:num w:numId="11">
    <w:abstractNumId w:val="7"/>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AB"/>
    <w:rsid w:val="00002418"/>
    <w:rsid w:val="00003703"/>
    <w:rsid w:val="0000520C"/>
    <w:rsid w:val="000072B6"/>
    <w:rsid w:val="0001021B"/>
    <w:rsid w:val="000115C8"/>
    <w:rsid w:val="00011D89"/>
    <w:rsid w:val="00024D89"/>
    <w:rsid w:val="000250B6"/>
    <w:rsid w:val="000250D0"/>
    <w:rsid w:val="00027FE3"/>
    <w:rsid w:val="00033D81"/>
    <w:rsid w:val="0003434C"/>
    <w:rsid w:val="00041BF0"/>
    <w:rsid w:val="00042C4C"/>
    <w:rsid w:val="0004536B"/>
    <w:rsid w:val="00046B68"/>
    <w:rsid w:val="000527DD"/>
    <w:rsid w:val="00053473"/>
    <w:rsid w:val="0005708C"/>
    <w:rsid w:val="000578B2"/>
    <w:rsid w:val="00060959"/>
    <w:rsid w:val="0006452F"/>
    <w:rsid w:val="000663CD"/>
    <w:rsid w:val="0007031C"/>
    <w:rsid w:val="00070DD2"/>
    <w:rsid w:val="000733FE"/>
    <w:rsid w:val="00074219"/>
    <w:rsid w:val="00074ED5"/>
    <w:rsid w:val="000818D5"/>
    <w:rsid w:val="00083366"/>
    <w:rsid w:val="0009113B"/>
    <w:rsid w:val="00094DA3"/>
    <w:rsid w:val="00096526"/>
    <w:rsid w:val="00096CD1"/>
    <w:rsid w:val="000A012C"/>
    <w:rsid w:val="000A0EB9"/>
    <w:rsid w:val="000A186C"/>
    <w:rsid w:val="000A3E6F"/>
    <w:rsid w:val="000A4A07"/>
    <w:rsid w:val="000B111E"/>
    <w:rsid w:val="000B23FD"/>
    <w:rsid w:val="000B340D"/>
    <w:rsid w:val="000B543D"/>
    <w:rsid w:val="000B5BF7"/>
    <w:rsid w:val="000B6BC8"/>
    <w:rsid w:val="000C42EA"/>
    <w:rsid w:val="000C4546"/>
    <w:rsid w:val="000D1242"/>
    <w:rsid w:val="000D2D29"/>
    <w:rsid w:val="000E3CC7"/>
    <w:rsid w:val="000E6BD4"/>
    <w:rsid w:val="000F1F1E"/>
    <w:rsid w:val="000F2259"/>
    <w:rsid w:val="00100CAA"/>
    <w:rsid w:val="0010392D"/>
    <w:rsid w:val="0010447F"/>
    <w:rsid w:val="00104FE3"/>
    <w:rsid w:val="00111917"/>
    <w:rsid w:val="00120514"/>
    <w:rsid w:val="00120BD3"/>
    <w:rsid w:val="00122FEA"/>
    <w:rsid w:val="001232BD"/>
    <w:rsid w:val="00124ED5"/>
    <w:rsid w:val="00133A04"/>
    <w:rsid w:val="00140838"/>
    <w:rsid w:val="001447B3"/>
    <w:rsid w:val="00152073"/>
    <w:rsid w:val="00161939"/>
    <w:rsid w:val="00161AA0"/>
    <w:rsid w:val="00162093"/>
    <w:rsid w:val="001748D7"/>
    <w:rsid w:val="001771DD"/>
    <w:rsid w:val="00177995"/>
    <w:rsid w:val="00177A8C"/>
    <w:rsid w:val="00185020"/>
    <w:rsid w:val="00186B33"/>
    <w:rsid w:val="0019149A"/>
    <w:rsid w:val="00192F9D"/>
    <w:rsid w:val="00196EB8"/>
    <w:rsid w:val="001979FF"/>
    <w:rsid w:val="00197B17"/>
    <w:rsid w:val="001A321E"/>
    <w:rsid w:val="001A3ACE"/>
    <w:rsid w:val="001A41AD"/>
    <w:rsid w:val="001A5F5A"/>
    <w:rsid w:val="001A6A1A"/>
    <w:rsid w:val="001C277E"/>
    <w:rsid w:val="001C2A72"/>
    <w:rsid w:val="001C3017"/>
    <w:rsid w:val="001C7166"/>
    <w:rsid w:val="001C7A2C"/>
    <w:rsid w:val="001D0B75"/>
    <w:rsid w:val="001D1FFA"/>
    <w:rsid w:val="001D3536"/>
    <w:rsid w:val="001D3C09"/>
    <w:rsid w:val="001D44E8"/>
    <w:rsid w:val="001D60EC"/>
    <w:rsid w:val="001E44DF"/>
    <w:rsid w:val="001E68A5"/>
    <w:rsid w:val="001E6BB0"/>
    <w:rsid w:val="001E6F0B"/>
    <w:rsid w:val="001E76D9"/>
    <w:rsid w:val="001F3826"/>
    <w:rsid w:val="001F6E46"/>
    <w:rsid w:val="001F7C91"/>
    <w:rsid w:val="00202061"/>
    <w:rsid w:val="00206463"/>
    <w:rsid w:val="00206F2F"/>
    <w:rsid w:val="00206F68"/>
    <w:rsid w:val="00207E1F"/>
    <w:rsid w:val="0021053D"/>
    <w:rsid w:val="00210A92"/>
    <w:rsid w:val="00215CA2"/>
    <w:rsid w:val="00216C03"/>
    <w:rsid w:val="00220C04"/>
    <w:rsid w:val="002222F2"/>
    <w:rsid w:val="0022278D"/>
    <w:rsid w:val="00223AA3"/>
    <w:rsid w:val="0022701F"/>
    <w:rsid w:val="002333F5"/>
    <w:rsid w:val="00233724"/>
    <w:rsid w:val="00234A32"/>
    <w:rsid w:val="00237784"/>
    <w:rsid w:val="002432E1"/>
    <w:rsid w:val="0024332C"/>
    <w:rsid w:val="00246207"/>
    <w:rsid w:val="00246C5E"/>
    <w:rsid w:val="0024788A"/>
    <w:rsid w:val="00247F2E"/>
    <w:rsid w:val="00251343"/>
    <w:rsid w:val="00251D26"/>
    <w:rsid w:val="00254F58"/>
    <w:rsid w:val="002620BC"/>
    <w:rsid w:val="00262802"/>
    <w:rsid w:val="00263A90"/>
    <w:rsid w:val="0026408B"/>
    <w:rsid w:val="00267C3E"/>
    <w:rsid w:val="002709BB"/>
    <w:rsid w:val="002763B3"/>
    <w:rsid w:val="002802E3"/>
    <w:rsid w:val="0028213D"/>
    <w:rsid w:val="0028413C"/>
    <w:rsid w:val="002862F1"/>
    <w:rsid w:val="00291373"/>
    <w:rsid w:val="0029597D"/>
    <w:rsid w:val="002962C3"/>
    <w:rsid w:val="00296914"/>
    <w:rsid w:val="0029752B"/>
    <w:rsid w:val="002A483C"/>
    <w:rsid w:val="002B1729"/>
    <w:rsid w:val="002B4DD4"/>
    <w:rsid w:val="002B5277"/>
    <w:rsid w:val="002B5375"/>
    <w:rsid w:val="002B77C1"/>
    <w:rsid w:val="002C2728"/>
    <w:rsid w:val="002C363D"/>
    <w:rsid w:val="002D3261"/>
    <w:rsid w:val="002D5006"/>
    <w:rsid w:val="002E01D0"/>
    <w:rsid w:val="002E161D"/>
    <w:rsid w:val="002E3100"/>
    <w:rsid w:val="002E6C95"/>
    <w:rsid w:val="002E7C36"/>
    <w:rsid w:val="002F5F31"/>
    <w:rsid w:val="002F5F46"/>
    <w:rsid w:val="002F7DB9"/>
    <w:rsid w:val="00302216"/>
    <w:rsid w:val="00302E6B"/>
    <w:rsid w:val="00303E53"/>
    <w:rsid w:val="0030533D"/>
    <w:rsid w:val="00306E5F"/>
    <w:rsid w:val="00307E14"/>
    <w:rsid w:val="00314054"/>
    <w:rsid w:val="00316F27"/>
    <w:rsid w:val="00327870"/>
    <w:rsid w:val="00330A44"/>
    <w:rsid w:val="0033259D"/>
    <w:rsid w:val="003406C6"/>
    <w:rsid w:val="003418CC"/>
    <w:rsid w:val="003441D4"/>
    <w:rsid w:val="00344B9D"/>
    <w:rsid w:val="003459BD"/>
    <w:rsid w:val="00350D38"/>
    <w:rsid w:val="00351B36"/>
    <w:rsid w:val="003548E6"/>
    <w:rsid w:val="00355332"/>
    <w:rsid w:val="0035633F"/>
    <w:rsid w:val="00357B4E"/>
    <w:rsid w:val="00360E38"/>
    <w:rsid w:val="00364C3F"/>
    <w:rsid w:val="00367135"/>
    <w:rsid w:val="003744CF"/>
    <w:rsid w:val="00374717"/>
    <w:rsid w:val="0037676C"/>
    <w:rsid w:val="00381159"/>
    <w:rsid w:val="00381F39"/>
    <w:rsid w:val="003829E5"/>
    <w:rsid w:val="00387923"/>
    <w:rsid w:val="00394AFC"/>
    <w:rsid w:val="003956CC"/>
    <w:rsid w:val="00395C9A"/>
    <w:rsid w:val="00397B0A"/>
    <w:rsid w:val="003A6B67"/>
    <w:rsid w:val="003B15E6"/>
    <w:rsid w:val="003B1C98"/>
    <w:rsid w:val="003B26EC"/>
    <w:rsid w:val="003B2D63"/>
    <w:rsid w:val="003C2045"/>
    <w:rsid w:val="003C43A1"/>
    <w:rsid w:val="003C4FC0"/>
    <w:rsid w:val="003C50AC"/>
    <w:rsid w:val="003C55F4"/>
    <w:rsid w:val="003C7A3F"/>
    <w:rsid w:val="003D2766"/>
    <w:rsid w:val="003D3851"/>
    <w:rsid w:val="003D3E8F"/>
    <w:rsid w:val="003D6475"/>
    <w:rsid w:val="003E22B6"/>
    <w:rsid w:val="003F0445"/>
    <w:rsid w:val="003F0CF0"/>
    <w:rsid w:val="003F14B1"/>
    <w:rsid w:val="003F23C4"/>
    <w:rsid w:val="003F3289"/>
    <w:rsid w:val="003F328A"/>
    <w:rsid w:val="003F4057"/>
    <w:rsid w:val="00401FCF"/>
    <w:rsid w:val="0040496F"/>
    <w:rsid w:val="00406285"/>
    <w:rsid w:val="00406CDC"/>
    <w:rsid w:val="00410DB0"/>
    <w:rsid w:val="00413B83"/>
    <w:rsid w:val="00413BAF"/>
    <w:rsid w:val="004148F9"/>
    <w:rsid w:val="0042084E"/>
    <w:rsid w:val="00421EEF"/>
    <w:rsid w:val="004248B0"/>
    <w:rsid w:val="00424D65"/>
    <w:rsid w:val="0042674C"/>
    <w:rsid w:val="00426DF3"/>
    <w:rsid w:val="00442A27"/>
    <w:rsid w:val="00442C6C"/>
    <w:rsid w:val="0044318E"/>
    <w:rsid w:val="00443CBE"/>
    <w:rsid w:val="00443E8A"/>
    <w:rsid w:val="004441BC"/>
    <w:rsid w:val="004468B4"/>
    <w:rsid w:val="00446C69"/>
    <w:rsid w:val="0045230A"/>
    <w:rsid w:val="00454C48"/>
    <w:rsid w:val="00456C8C"/>
    <w:rsid w:val="00457337"/>
    <w:rsid w:val="0046054F"/>
    <w:rsid w:val="0046401C"/>
    <w:rsid w:val="004700F0"/>
    <w:rsid w:val="00471188"/>
    <w:rsid w:val="0047372D"/>
    <w:rsid w:val="0047398A"/>
    <w:rsid w:val="004743DD"/>
    <w:rsid w:val="00474CEA"/>
    <w:rsid w:val="0048109B"/>
    <w:rsid w:val="00483968"/>
    <w:rsid w:val="00484F86"/>
    <w:rsid w:val="00486CAD"/>
    <w:rsid w:val="00490746"/>
    <w:rsid w:val="00490852"/>
    <w:rsid w:val="004911D9"/>
    <w:rsid w:val="00491C8D"/>
    <w:rsid w:val="00492F30"/>
    <w:rsid w:val="004946F4"/>
    <w:rsid w:val="0049487E"/>
    <w:rsid w:val="00496D90"/>
    <w:rsid w:val="004A160D"/>
    <w:rsid w:val="004A3E81"/>
    <w:rsid w:val="004A533E"/>
    <w:rsid w:val="004A5C62"/>
    <w:rsid w:val="004A707D"/>
    <w:rsid w:val="004B5534"/>
    <w:rsid w:val="004B6F91"/>
    <w:rsid w:val="004C6EEE"/>
    <w:rsid w:val="004C702B"/>
    <w:rsid w:val="004D016B"/>
    <w:rsid w:val="004D1B22"/>
    <w:rsid w:val="004D36F2"/>
    <w:rsid w:val="004E138F"/>
    <w:rsid w:val="004E4649"/>
    <w:rsid w:val="004E5C2B"/>
    <w:rsid w:val="004F00DD"/>
    <w:rsid w:val="004F2133"/>
    <w:rsid w:val="004F3468"/>
    <w:rsid w:val="004F55F1"/>
    <w:rsid w:val="004F6936"/>
    <w:rsid w:val="00503DC6"/>
    <w:rsid w:val="00506F5D"/>
    <w:rsid w:val="005126D0"/>
    <w:rsid w:val="0051568D"/>
    <w:rsid w:val="00515F60"/>
    <w:rsid w:val="00526C15"/>
    <w:rsid w:val="005276DB"/>
    <w:rsid w:val="00536499"/>
    <w:rsid w:val="00537D9A"/>
    <w:rsid w:val="005435CB"/>
    <w:rsid w:val="00543903"/>
    <w:rsid w:val="00543F11"/>
    <w:rsid w:val="00547A95"/>
    <w:rsid w:val="00547AF0"/>
    <w:rsid w:val="00555F2F"/>
    <w:rsid w:val="00557FF5"/>
    <w:rsid w:val="00571F9E"/>
    <w:rsid w:val="00572031"/>
    <w:rsid w:val="00576E84"/>
    <w:rsid w:val="00581FCD"/>
    <w:rsid w:val="00582B8C"/>
    <w:rsid w:val="00582C09"/>
    <w:rsid w:val="00582C2C"/>
    <w:rsid w:val="0058757E"/>
    <w:rsid w:val="00592278"/>
    <w:rsid w:val="00596A4B"/>
    <w:rsid w:val="00597507"/>
    <w:rsid w:val="005A0481"/>
    <w:rsid w:val="005B175E"/>
    <w:rsid w:val="005B21B6"/>
    <w:rsid w:val="005B3A08"/>
    <w:rsid w:val="005B6E91"/>
    <w:rsid w:val="005B7A63"/>
    <w:rsid w:val="005C0955"/>
    <w:rsid w:val="005C49DA"/>
    <w:rsid w:val="005C50F3"/>
    <w:rsid w:val="005C5160"/>
    <w:rsid w:val="005C52C0"/>
    <w:rsid w:val="005C5D91"/>
    <w:rsid w:val="005D07B8"/>
    <w:rsid w:val="005D1FCD"/>
    <w:rsid w:val="005D5D7A"/>
    <w:rsid w:val="005D6597"/>
    <w:rsid w:val="005E0199"/>
    <w:rsid w:val="005E14E7"/>
    <w:rsid w:val="005E26A3"/>
    <w:rsid w:val="005E447E"/>
    <w:rsid w:val="005E68BB"/>
    <w:rsid w:val="005E742B"/>
    <w:rsid w:val="005F0775"/>
    <w:rsid w:val="005F0CF5"/>
    <w:rsid w:val="005F21EB"/>
    <w:rsid w:val="006011BA"/>
    <w:rsid w:val="00605908"/>
    <w:rsid w:val="00610D7C"/>
    <w:rsid w:val="00613414"/>
    <w:rsid w:val="0062408D"/>
    <w:rsid w:val="006240CC"/>
    <w:rsid w:val="00625559"/>
    <w:rsid w:val="00627DA7"/>
    <w:rsid w:val="006358B4"/>
    <w:rsid w:val="00637A4D"/>
    <w:rsid w:val="006419AA"/>
    <w:rsid w:val="00644B7E"/>
    <w:rsid w:val="006454E6"/>
    <w:rsid w:val="00646A68"/>
    <w:rsid w:val="0065092E"/>
    <w:rsid w:val="00651CD8"/>
    <w:rsid w:val="006557A7"/>
    <w:rsid w:val="00656290"/>
    <w:rsid w:val="006621D7"/>
    <w:rsid w:val="00662AD0"/>
    <w:rsid w:val="0066302A"/>
    <w:rsid w:val="00670597"/>
    <w:rsid w:val="006706D0"/>
    <w:rsid w:val="00670BB4"/>
    <w:rsid w:val="00677574"/>
    <w:rsid w:val="0068454C"/>
    <w:rsid w:val="0068502F"/>
    <w:rsid w:val="00691B62"/>
    <w:rsid w:val="00693D14"/>
    <w:rsid w:val="006A18C2"/>
    <w:rsid w:val="006A29F5"/>
    <w:rsid w:val="006B077C"/>
    <w:rsid w:val="006B6803"/>
    <w:rsid w:val="006D2826"/>
    <w:rsid w:val="006D2A3F"/>
    <w:rsid w:val="006D2FBC"/>
    <w:rsid w:val="006D5945"/>
    <w:rsid w:val="006E138B"/>
    <w:rsid w:val="006E1E42"/>
    <w:rsid w:val="006F1FDC"/>
    <w:rsid w:val="006F34B8"/>
    <w:rsid w:val="007013EF"/>
    <w:rsid w:val="007016D0"/>
    <w:rsid w:val="00702EB2"/>
    <w:rsid w:val="007066E7"/>
    <w:rsid w:val="00716C68"/>
    <w:rsid w:val="007173CA"/>
    <w:rsid w:val="00717B45"/>
    <w:rsid w:val="007216AA"/>
    <w:rsid w:val="00721AB5"/>
    <w:rsid w:val="00721DEF"/>
    <w:rsid w:val="0072238F"/>
    <w:rsid w:val="00724A43"/>
    <w:rsid w:val="007346E4"/>
    <w:rsid w:val="00740C6F"/>
    <w:rsid w:val="00740F22"/>
    <w:rsid w:val="00741096"/>
    <w:rsid w:val="00741F1A"/>
    <w:rsid w:val="007450F8"/>
    <w:rsid w:val="0074696E"/>
    <w:rsid w:val="00746CB4"/>
    <w:rsid w:val="00750135"/>
    <w:rsid w:val="00750EC2"/>
    <w:rsid w:val="00752B28"/>
    <w:rsid w:val="00754E36"/>
    <w:rsid w:val="007554F6"/>
    <w:rsid w:val="00757F66"/>
    <w:rsid w:val="00763139"/>
    <w:rsid w:val="007648A6"/>
    <w:rsid w:val="00770F37"/>
    <w:rsid w:val="007711A0"/>
    <w:rsid w:val="00771F44"/>
    <w:rsid w:val="00772D5E"/>
    <w:rsid w:val="00776928"/>
    <w:rsid w:val="00777123"/>
    <w:rsid w:val="00785677"/>
    <w:rsid w:val="00786F16"/>
    <w:rsid w:val="00787695"/>
    <w:rsid w:val="007903D4"/>
    <w:rsid w:val="00791301"/>
    <w:rsid w:val="00794BA9"/>
    <w:rsid w:val="00796340"/>
    <w:rsid w:val="00796E20"/>
    <w:rsid w:val="00797C32"/>
    <w:rsid w:val="007A36BC"/>
    <w:rsid w:val="007A3BE0"/>
    <w:rsid w:val="007B0914"/>
    <w:rsid w:val="007B1374"/>
    <w:rsid w:val="007B589F"/>
    <w:rsid w:val="007B6186"/>
    <w:rsid w:val="007B73BC"/>
    <w:rsid w:val="007C20B9"/>
    <w:rsid w:val="007C7301"/>
    <w:rsid w:val="007C7859"/>
    <w:rsid w:val="007C7EB2"/>
    <w:rsid w:val="007D0D30"/>
    <w:rsid w:val="007D2BDE"/>
    <w:rsid w:val="007D2FB6"/>
    <w:rsid w:val="007E0DE2"/>
    <w:rsid w:val="007E3B98"/>
    <w:rsid w:val="007F047D"/>
    <w:rsid w:val="007F225D"/>
    <w:rsid w:val="007F31B6"/>
    <w:rsid w:val="007F4D9C"/>
    <w:rsid w:val="007F546C"/>
    <w:rsid w:val="007F625F"/>
    <w:rsid w:val="007F665E"/>
    <w:rsid w:val="00800412"/>
    <w:rsid w:val="0080059F"/>
    <w:rsid w:val="0080587B"/>
    <w:rsid w:val="00806468"/>
    <w:rsid w:val="008155F0"/>
    <w:rsid w:val="00816735"/>
    <w:rsid w:val="008178C9"/>
    <w:rsid w:val="00820141"/>
    <w:rsid w:val="00820E0C"/>
    <w:rsid w:val="008338A2"/>
    <w:rsid w:val="0084052A"/>
    <w:rsid w:val="00841AA9"/>
    <w:rsid w:val="008427DF"/>
    <w:rsid w:val="0084337E"/>
    <w:rsid w:val="0085025E"/>
    <w:rsid w:val="00852B74"/>
    <w:rsid w:val="00853E54"/>
    <w:rsid w:val="00853EE4"/>
    <w:rsid w:val="00855535"/>
    <w:rsid w:val="00857C70"/>
    <w:rsid w:val="008613CB"/>
    <w:rsid w:val="0086255E"/>
    <w:rsid w:val="008633F0"/>
    <w:rsid w:val="00863534"/>
    <w:rsid w:val="00867D9D"/>
    <w:rsid w:val="00872E0A"/>
    <w:rsid w:val="00875285"/>
    <w:rsid w:val="00880B1D"/>
    <w:rsid w:val="00882581"/>
    <w:rsid w:val="00884B62"/>
    <w:rsid w:val="0088529C"/>
    <w:rsid w:val="00887903"/>
    <w:rsid w:val="0089270A"/>
    <w:rsid w:val="00893AF6"/>
    <w:rsid w:val="00894218"/>
    <w:rsid w:val="00894BC4"/>
    <w:rsid w:val="008A5B32"/>
    <w:rsid w:val="008B1BE6"/>
    <w:rsid w:val="008B2EE4"/>
    <w:rsid w:val="008B4D3D"/>
    <w:rsid w:val="008B57C7"/>
    <w:rsid w:val="008B5F47"/>
    <w:rsid w:val="008C2076"/>
    <w:rsid w:val="008C2F92"/>
    <w:rsid w:val="008C7C7E"/>
    <w:rsid w:val="008D044B"/>
    <w:rsid w:val="008D0998"/>
    <w:rsid w:val="008D2846"/>
    <w:rsid w:val="008D4236"/>
    <w:rsid w:val="008D462F"/>
    <w:rsid w:val="008D5D30"/>
    <w:rsid w:val="008D6DCF"/>
    <w:rsid w:val="008E4376"/>
    <w:rsid w:val="008E7A0A"/>
    <w:rsid w:val="008F4CAB"/>
    <w:rsid w:val="008F7778"/>
    <w:rsid w:val="00900719"/>
    <w:rsid w:val="009017AC"/>
    <w:rsid w:val="00904A1C"/>
    <w:rsid w:val="00905030"/>
    <w:rsid w:val="00906490"/>
    <w:rsid w:val="009111B2"/>
    <w:rsid w:val="009128AF"/>
    <w:rsid w:val="009218FC"/>
    <w:rsid w:val="00924AE1"/>
    <w:rsid w:val="009269B1"/>
    <w:rsid w:val="0092724D"/>
    <w:rsid w:val="0093035C"/>
    <w:rsid w:val="00937BD9"/>
    <w:rsid w:val="00943870"/>
    <w:rsid w:val="00943DB9"/>
    <w:rsid w:val="00950E2C"/>
    <w:rsid w:val="00951D50"/>
    <w:rsid w:val="009525EB"/>
    <w:rsid w:val="0095484B"/>
    <w:rsid w:val="00954874"/>
    <w:rsid w:val="00961400"/>
    <w:rsid w:val="00963646"/>
    <w:rsid w:val="00966331"/>
    <w:rsid w:val="00970165"/>
    <w:rsid w:val="00983F66"/>
    <w:rsid w:val="009846FE"/>
    <w:rsid w:val="009853E1"/>
    <w:rsid w:val="00986E6B"/>
    <w:rsid w:val="00987C9C"/>
    <w:rsid w:val="00991769"/>
    <w:rsid w:val="00994386"/>
    <w:rsid w:val="009A13D8"/>
    <w:rsid w:val="009A279E"/>
    <w:rsid w:val="009A772F"/>
    <w:rsid w:val="009B0A6F"/>
    <w:rsid w:val="009B0A94"/>
    <w:rsid w:val="009B59E9"/>
    <w:rsid w:val="009B70AA"/>
    <w:rsid w:val="009C7A7E"/>
    <w:rsid w:val="009D02E8"/>
    <w:rsid w:val="009D1AC2"/>
    <w:rsid w:val="009D43A8"/>
    <w:rsid w:val="009D51D0"/>
    <w:rsid w:val="009D70A4"/>
    <w:rsid w:val="009E08D1"/>
    <w:rsid w:val="009E1B95"/>
    <w:rsid w:val="009E496F"/>
    <w:rsid w:val="009E4B0D"/>
    <w:rsid w:val="009E7F92"/>
    <w:rsid w:val="009F02A3"/>
    <w:rsid w:val="009F2F27"/>
    <w:rsid w:val="009F34AA"/>
    <w:rsid w:val="009F6BCB"/>
    <w:rsid w:val="009F7B78"/>
    <w:rsid w:val="00A0057A"/>
    <w:rsid w:val="00A05701"/>
    <w:rsid w:val="00A11421"/>
    <w:rsid w:val="00A115E4"/>
    <w:rsid w:val="00A1406B"/>
    <w:rsid w:val="00A157B1"/>
    <w:rsid w:val="00A21120"/>
    <w:rsid w:val="00A22229"/>
    <w:rsid w:val="00A239B6"/>
    <w:rsid w:val="00A34221"/>
    <w:rsid w:val="00A375E0"/>
    <w:rsid w:val="00A40366"/>
    <w:rsid w:val="00A44882"/>
    <w:rsid w:val="00A54715"/>
    <w:rsid w:val="00A55081"/>
    <w:rsid w:val="00A5761A"/>
    <w:rsid w:val="00A6061C"/>
    <w:rsid w:val="00A62D44"/>
    <w:rsid w:val="00A65A88"/>
    <w:rsid w:val="00A67263"/>
    <w:rsid w:val="00A7161C"/>
    <w:rsid w:val="00A75B4E"/>
    <w:rsid w:val="00A77AA3"/>
    <w:rsid w:val="00A854EB"/>
    <w:rsid w:val="00A872E5"/>
    <w:rsid w:val="00A91406"/>
    <w:rsid w:val="00A96E65"/>
    <w:rsid w:val="00A97C72"/>
    <w:rsid w:val="00AA4A43"/>
    <w:rsid w:val="00AA4D82"/>
    <w:rsid w:val="00AA5995"/>
    <w:rsid w:val="00AA63D4"/>
    <w:rsid w:val="00AA7D02"/>
    <w:rsid w:val="00AB06E8"/>
    <w:rsid w:val="00AB0E09"/>
    <w:rsid w:val="00AB1CD3"/>
    <w:rsid w:val="00AB293B"/>
    <w:rsid w:val="00AB352F"/>
    <w:rsid w:val="00AB397F"/>
    <w:rsid w:val="00AC274B"/>
    <w:rsid w:val="00AC2BD1"/>
    <w:rsid w:val="00AC4764"/>
    <w:rsid w:val="00AC6D36"/>
    <w:rsid w:val="00AC787F"/>
    <w:rsid w:val="00AD0CBA"/>
    <w:rsid w:val="00AD26E2"/>
    <w:rsid w:val="00AD784C"/>
    <w:rsid w:val="00AE126A"/>
    <w:rsid w:val="00AE270B"/>
    <w:rsid w:val="00AE3005"/>
    <w:rsid w:val="00AE3BD5"/>
    <w:rsid w:val="00AE4082"/>
    <w:rsid w:val="00AE59A0"/>
    <w:rsid w:val="00AE7471"/>
    <w:rsid w:val="00AF0C57"/>
    <w:rsid w:val="00AF26F3"/>
    <w:rsid w:val="00AF5F04"/>
    <w:rsid w:val="00B00672"/>
    <w:rsid w:val="00B01B4D"/>
    <w:rsid w:val="00B02699"/>
    <w:rsid w:val="00B06571"/>
    <w:rsid w:val="00B068BA"/>
    <w:rsid w:val="00B12D2A"/>
    <w:rsid w:val="00B13785"/>
    <w:rsid w:val="00B13851"/>
    <w:rsid w:val="00B13B1C"/>
    <w:rsid w:val="00B1582A"/>
    <w:rsid w:val="00B16018"/>
    <w:rsid w:val="00B22291"/>
    <w:rsid w:val="00B23F9A"/>
    <w:rsid w:val="00B2417B"/>
    <w:rsid w:val="00B24E6F"/>
    <w:rsid w:val="00B26CB5"/>
    <w:rsid w:val="00B2752E"/>
    <w:rsid w:val="00B305B5"/>
    <w:rsid w:val="00B307CC"/>
    <w:rsid w:val="00B30931"/>
    <w:rsid w:val="00B326B7"/>
    <w:rsid w:val="00B3577A"/>
    <w:rsid w:val="00B35F2D"/>
    <w:rsid w:val="00B375C4"/>
    <w:rsid w:val="00B431E8"/>
    <w:rsid w:val="00B45141"/>
    <w:rsid w:val="00B461B8"/>
    <w:rsid w:val="00B5273A"/>
    <w:rsid w:val="00B56AE3"/>
    <w:rsid w:val="00B6014F"/>
    <w:rsid w:val="00B62B50"/>
    <w:rsid w:val="00B635B7"/>
    <w:rsid w:val="00B63AE8"/>
    <w:rsid w:val="00B65950"/>
    <w:rsid w:val="00B65F30"/>
    <w:rsid w:val="00B66D83"/>
    <w:rsid w:val="00B672C0"/>
    <w:rsid w:val="00B71607"/>
    <w:rsid w:val="00B75646"/>
    <w:rsid w:val="00B823FD"/>
    <w:rsid w:val="00B84F3B"/>
    <w:rsid w:val="00B90729"/>
    <w:rsid w:val="00B907DA"/>
    <w:rsid w:val="00B90BF3"/>
    <w:rsid w:val="00B921EB"/>
    <w:rsid w:val="00B949B5"/>
    <w:rsid w:val="00B950BC"/>
    <w:rsid w:val="00B9714C"/>
    <w:rsid w:val="00BA0F9C"/>
    <w:rsid w:val="00BA3F8D"/>
    <w:rsid w:val="00BB2A0C"/>
    <w:rsid w:val="00BB5D57"/>
    <w:rsid w:val="00BB7A10"/>
    <w:rsid w:val="00BC5D25"/>
    <w:rsid w:val="00BC7468"/>
    <w:rsid w:val="00BC7D4F"/>
    <w:rsid w:val="00BC7ED7"/>
    <w:rsid w:val="00BC7FD6"/>
    <w:rsid w:val="00BD2850"/>
    <w:rsid w:val="00BD2A1F"/>
    <w:rsid w:val="00BE28D2"/>
    <w:rsid w:val="00BE4A64"/>
    <w:rsid w:val="00BE5224"/>
    <w:rsid w:val="00BE79FC"/>
    <w:rsid w:val="00BF5C41"/>
    <w:rsid w:val="00BF6A9D"/>
    <w:rsid w:val="00BF7255"/>
    <w:rsid w:val="00BF7F58"/>
    <w:rsid w:val="00C004E0"/>
    <w:rsid w:val="00C01381"/>
    <w:rsid w:val="00C03411"/>
    <w:rsid w:val="00C0379E"/>
    <w:rsid w:val="00C078F2"/>
    <w:rsid w:val="00C079B8"/>
    <w:rsid w:val="00C123EA"/>
    <w:rsid w:val="00C12A49"/>
    <w:rsid w:val="00C133EE"/>
    <w:rsid w:val="00C22936"/>
    <w:rsid w:val="00C27DE9"/>
    <w:rsid w:val="00C33388"/>
    <w:rsid w:val="00C344F8"/>
    <w:rsid w:val="00C35484"/>
    <w:rsid w:val="00C4173A"/>
    <w:rsid w:val="00C55139"/>
    <w:rsid w:val="00C556FC"/>
    <w:rsid w:val="00C55E24"/>
    <w:rsid w:val="00C602FF"/>
    <w:rsid w:val="00C60B70"/>
    <w:rsid w:val="00C61174"/>
    <w:rsid w:val="00C6148F"/>
    <w:rsid w:val="00C62F7A"/>
    <w:rsid w:val="00C63B9C"/>
    <w:rsid w:val="00C6574D"/>
    <w:rsid w:val="00C6682F"/>
    <w:rsid w:val="00C716D2"/>
    <w:rsid w:val="00C71725"/>
    <w:rsid w:val="00C7275E"/>
    <w:rsid w:val="00C72900"/>
    <w:rsid w:val="00C74C5D"/>
    <w:rsid w:val="00C77860"/>
    <w:rsid w:val="00C80699"/>
    <w:rsid w:val="00C863C4"/>
    <w:rsid w:val="00C93C3E"/>
    <w:rsid w:val="00C94C40"/>
    <w:rsid w:val="00CA12E3"/>
    <w:rsid w:val="00CA6611"/>
    <w:rsid w:val="00CA6AE6"/>
    <w:rsid w:val="00CA782F"/>
    <w:rsid w:val="00CB0676"/>
    <w:rsid w:val="00CB3234"/>
    <w:rsid w:val="00CC09E5"/>
    <w:rsid w:val="00CC0C72"/>
    <w:rsid w:val="00CC2BFD"/>
    <w:rsid w:val="00CD2B1C"/>
    <w:rsid w:val="00CD3476"/>
    <w:rsid w:val="00CD64DF"/>
    <w:rsid w:val="00CE2E83"/>
    <w:rsid w:val="00CE4895"/>
    <w:rsid w:val="00CE5233"/>
    <w:rsid w:val="00CE7166"/>
    <w:rsid w:val="00CF2F50"/>
    <w:rsid w:val="00D0058D"/>
    <w:rsid w:val="00D00926"/>
    <w:rsid w:val="00D009FB"/>
    <w:rsid w:val="00D02919"/>
    <w:rsid w:val="00D04C61"/>
    <w:rsid w:val="00D05B8D"/>
    <w:rsid w:val="00D065A2"/>
    <w:rsid w:val="00D07F00"/>
    <w:rsid w:val="00D1317A"/>
    <w:rsid w:val="00D17B72"/>
    <w:rsid w:val="00D2317D"/>
    <w:rsid w:val="00D24422"/>
    <w:rsid w:val="00D3185C"/>
    <w:rsid w:val="00D32600"/>
    <w:rsid w:val="00D33E72"/>
    <w:rsid w:val="00D35BD6"/>
    <w:rsid w:val="00D361B5"/>
    <w:rsid w:val="00D411A2"/>
    <w:rsid w:val="00D43071"/>
    <w:rsid w:val="00D4557D"/>
    <w:rsid w:val="00D4606D"/>
    <w:rsid w:val="00D50B9C"/>
    <w:rsid w:val="00D52D73"/>
    <w:rsid w:val="00D52E58"/>
    <w:rsid w:val="00D53E4D"/>
    <w:rsid w:val="00D57E6C"/>
    <w:rsid w:val="00D714CC"/>
    <w:rsid w:val="00D75EA7"/>
    <w:rsid w:val="00D81F21"/>
    <w:rsid w:val="00D838F2"/>
    <w:rsid w:val="00D83D4D"/>
    <w:rsid w:val="00D84689"/>
    <w:rsid w:val="00D85AC1"/>
    <w:rsid w:val="00D872A7"/>
    <w:rsid w:val="00D95470"/>
    <w:rsid w:val="00DA2619"/>
    <w:rsid w:val="00DA2945"/>
    <w:rsid w:val="00DA4239"/>
    <w:rsid w:val="00DB0B61"/>
    <w:rsid w:val="00DC090B"/>
    <w:rsid w:val="00DC1679"/>
    <w:rsid w:val="00DC2012"/>
    <w:rsid w:val="00DC2CF1"/>
    <w:rsid w:val="00DC30DF"/>
    <w:rsid w:val="00DC4FCF"/>
    <w:rsid w:val="00DC50E0"/>
    <w:rsid w:val="00DC61ED"/>
    <w:rsid w:val="00DC6386"/>
    <w:rsid w:val="00DD1130"/>
    <w:rsid w:val="00DD1951"/>
    <w:rsid w:val="00DD6628"/>
    <w:rsid w:val="00DE3250"/>
    <w:rsid w:val="00DE3AC4"/>
    <w:rsid w:val="00DE6028"/>
    <w:rsid w:val="00DE78A3"/>
    <w:rsid w:val="00DF1A71"/>
    <w:rsid w:val="00DF68C7"/>
    <w:rsid w:val="00DF731A"/>
    <w:rsid w:val="00E00A3F"/>
    <w:rsid w:val="00E1399E"/>
    <w:rsid w:val="00E1639A"/>
    <w:rsid w:val="00E170DC"/>
    <w:rsid w:val="00E20898"/>
    <w:rsid w:val="00E26818"/>
    <w:rsid w:val="00E27FFC"/>
    <w:rsid w:val="00E30B15"/>
    <w:rsid w:val="00E32E1D"/>
    <w:rsid w:val="00E3492B"/>
    <w:rsid w:val="00E40181"/>
    <w:rsid w:val="00E42D3C"/>
    <w:rsid w:val="00E42E8F"/>
    <w:rsid w:val="00E45AAC"/>
    <w:rsid w:val="00E469FE"/>
    <w:rsid w:val="00E56A01"/>
    <w:rsid w:val="00E61EEE"/>
    <w:rsid w:val="00E629A1"/>
    <w:rsid w:val="00E654A5"/>
    <w:rsid w:val="00E71591"/>
    <w:rsid w:val="00E82C55"/>
    <w:rsid w:val="00E85D59"/>
    <w:rsid w:val="00E92AC3"/>
    <w:rsid w:val="00E95A5C"/>
    <w:rsid w:val="00EA0031"/>
    <w:rsid w:val="00EA64B1"/>
    <w:rsid w:val="00EB00E0"/>
    <w:rsid w:val="00EB08AB"/>
    <w:rsid w:val="00EB3403"/>
    <w:rsid w:val="00EC059F"/>
    <w:rsid w:val="00EC1F24"/>
    <w:rsid w:val="00EC22F6"/>
    <w:rsid w:val="00EC548A"/>
    <w:rsid w:val="00ED0C96"/>
    <w:rsid w:val="00ED39D7"/>
    <w:rsid w:val="00ED5B9B"/>
    <w:rsid w:val="00ED6BAD"/>
    <w:rsid w:val="00ED7447"/>
    <w:rsid w:val="00EE1488"/>
    <w:rsid w:val="00EE4D5D"/>
    <w:rsid w:val="00EE5131"/>
    <w:rsid w:val="00EF109B"/>
    <w:rsid w:val="00EF36AF"/>
    <w:rsid w:val="00F00F9C"/>
    <w:rsid w:val="00F01E5F"/>
    <w:rsid w:val="00F02ABA"/>
    <w:rsid w:val="00F03B30"/>
    <w:rsid w:val="00F0437A"/>
    <w:rsid w:val="00F07201"/>
    <w:rsid w:val="00F11037"/>
    <w:rsid w:val="00F139F1"/>
    <w:rsid w:val="00F155C3"/>
    <w:rsid w:val="00F16F1B"/>
    <w:rsid w:val="00F17CB3"/>
    <w:rsid w:val="00F250A9"/>
    <w:rsid w:val="00F30FA5"/>
    <w:rsid w:val="00F30FF4"/>
    <w:rsid w:val="00F3122E"/>
    <w:rsid w:val="00F3281F"/>
    <w:rsid w:val="00F331AD"/>
    <w:rsid w:val="00F34FC9"/>
    <w:rsid w:val="00F35287"/>
    <w:rsid w:val="00F43A37"/>
    <w:rsid w:val="00F4616B"/>
    <w:rsid w:val="00F4641B"/>
    <w:rsid w:val="00F4692E"/>
    <w:rsid w:val="00F46EB8"/>
    <w:rsid w:val="00F4787B"/>
    <w:rsid w:val="00F50C8D"/>
    <w:rsid w:val="00F511E4"/>
    <w:rsid w:val="00F52D09"/>
    <w:rsid w:val="00F52E08"/>
    <w:rsid w:val="00F55B21"/>
    <w:rsid w:val="00F56EF6"/>
    <w:rsid w:val="00F61A9F"/>
    <w:rsid w:val="00F64696"/>
    <w:rsid w:val="00F65AA9"/>
    <w:rsid w:val="00F6768F"/>
    <w:rsid w:val="00F72C2C"/>
    <w:rsid w:val="00F737CD"/>
    <w:rsid w:val="00F76CAB"/>
    <w:rsid w:val="00F772C6"/>
    <w:rsid w:val="00F815B5"/>
    <w:rsid w:val="00F84B7E"/>
    <w:rsid w:val="00F85195"/>
    <w:rsid w:val="00F85F8F"/>
    <w:rsid w:val="00F870DA"/>
    <w:rsid w:val="00F938BA"/>
    <w:rsid w:val="00FA11DE"/>
    <w:rsid w:val="00FA14C1"/>
    <w:rsid w:val="00FA2C46"/>
    <w:rsid w:val="00FA3525"/>
    <w:rsid w:val="00FB176B"/>
    <w:rsid w:val="00FB4349"/>
    <w:rsid w:val="00FB4CDA"/>
    <w:rsid w:val="00FC0666"/>
    <w:rsid w:val="00FC0B94"/>
    <w:rsid w:val="00FC0F81"/>
    <w:rsid w:val="00FC17CB"/>
    <w:rsid w:val="00FC3848"/>
    <w:rsid w:val="00FC395C"/>
    <w:rsid w:val="00FC79E1"/>
    <w:rsid w:val="00FD0297"/>
    <w:rsid w:val="00FD3766"/>
    <w:rsid w:val="00FD47C4"/>
    <w:rsid w:val="00FE2592"/>
    <w:rsid w:val="00FE2DCF"/>
    <w:rsid w:val="00FE66EC"/>
    <w:rsid w:val="00FF2FCE"/>
    <w:rsid w:val="00FF4F7D"/>
    <w:rsid w:val="00FF6D9D"/>
    <w:rsid w:val="00FF7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084A4A"/>
  <w15:docId w15:val="{177C350E-4659-4A89-B491-2A1F2A9A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qFormat="1"/>
    <w:lsdException w:name="Intense Emphasis" w:uiPriority="44" w:qFormat="1"/>
    <w:lsdException w:name="Subtle Reference" w:uiPriority="45" w:qFormat="1"/>
    <w:lsdException w:name="Intense Reference" w:uiPriority="40" w:qFormat="1"/>
    <w:lsdException w:name="Book Title" w:uiPriority="46" w:qFormat="1"/>
    <w:lsdException w:name="Bibliography" w:uiPriority="47"/>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DC2012"/>
    <w:pPr>
      <w:keepNext/>
      <w:keepLines/>
      <w:spacing w:before="320" w:after="200" w:line="440" w:lineRule="atLeast"/>
      <w:outlineLvl w:val="0"/>
    </w:pPr>
    <w:rPr>
      <w:rFonts w:ascii="Arial" w:eastAsia="MS Gothic" w:hAnsi="Arial" w:cs="Arial"/>
      <w:bCs/>
      <w:color w:val="15354D"/>
      <w:kern w:val="32"/>
      <w:sz w:val="36"/>
      <w:szCs w:val="40"/>
      <w:lang w:eastAsia="en-US"/>
    </w:rPr>
  </w:style>
  <w:style w:type="paragraph" w:styleId="Heading2">
    <w:name w:val="heading 2"/>
    <w:next w:val="DHHSbody"/>
    <w:link w:val="Heading2Char"/>
    <w:uiPriority w:val="1"/>
    <w:qFormat/>
    <w:rsid w:val="00DC2012"/>
    <w:pPr>
      <w:keepNext/>
      <w:keepLines/>
      <w:spacing w:before="240" w:after="90" w:line="320" w:lineRule="atLeast"/>
      <w:outlineLvl w:val="1"/>
    </w:pPr>
    <w:rPr>
      <w:rFonts w:ascii="Arial" w:hAnsi="Arial"/>
      <w:b/>
      <w:color w:val="15354D"/>
      <w:sz w:val="28"/>
      <w:szCs w:val="28"/>
      <w:lang w:eastAsia="en-US"/>
    </w:rPr>
  </w:style>
  <w:style w:type="paragraph" w:styleId="Heading3">
    <w:name w:val="heading 3"/>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9"/>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C2012"/>
    <w:rPr>
      <w:rFonts w:ascii="Arial" w:eastAsia="MS Gothic" w:hAnsi="Arial" w:cs="Arial"/>
      <w:bCs/>
      <w:color w:val="15354D"/>
      <w:kern w:val="32"/>
      <w:sz w:val="36"/>
      <w:szCs w:val="40"/>
    </w:rPr>
  </w:style>
  <w:style w:type="character" w:customStyle="1" w:styleId="Heading2Char">
    <w:name w:val="Heading 2 Char"/>
    <w:link w:val="Heading2"/>
    <w:uiPriority w:val="1"/>
    <w:rsid w:val="00DC2012"/>
    <w:rPr>
      <w:rFonts w:ascii="Arial" w:hAnsi="Arial"/>
      <w:b/>
      <w:color w:val="15354D"/>
      <w:sz w:val="28"/>
      <w:szCs w:val="28"/>
    </w:rPr>
  </w:style>
  <w:style w:type="character" w:customStyle="1" w:styleId="Heading3Char">
    <w:name w:val="Heading 3 Char"/>
    <w:link w:val="Heading3"/>
    <w:uiPriority w:val="99"/>
    <w:rsid w:val="00152073"/>
    <w:rPr>
      <w:rFonts w:ascii="Arial" w:eastAsia="MS Gothic" w:hAnsi="Arial"/>
      <w:b/>
      <w:bCs/>
      <w:sz w:val="24"/>
      <w:szCs w:val="26"/>
      <w:lang w:eastAsia="en-US"/>
    </w:rPr>
  </w:style>
  <w:style w:type="character" w:customStyle="1" w:styleId="Heading4Char">
    <w:name w:val="Heading 4 Char"/>
    <w:link w:val="Heading4"/>
    <w:uiPriority w:val="99"/>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C2012"/>
    <w:pPr>
      <w:spacing w:before="0" w:after="200"/>
      <w:outlineLvl w:val="9"/>
    </w:pPr>
  </w:style>
  <w:style w:type="character" w:customStyle="1" w:styleId="DHHSTOCheadingfactsheetChar">
    <w:name w:val="DHHS TOC heading fact sheet Char"/>
    <w:link w:val="DHHSTOCheadingfactsheet"/>
    <w:uiPriority w:val="4"/>
    <w:rsid w:val="00DC2012"/>
    <w:rPr>
      <w:rFonts w:ascii="Arial" w:hAnsi="Arial"/>
      <w:b/>
      <w:color w:val="15354D"/>
      <w:sz w:val="28"/>
      <w:szCs w:val="28"/>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99"/>
    <w:rsid w:val="004C6EEE"/>
    <w:pPr>
      <w:spacing w:after="400"/>
    </w:pPr>
    <w:rPr>
      <w:rFonts w:ascii="Arial" w:hAnsi="Arial"/>
      <w:lang w:eastAsia="en-US"/>
    </w:rPr>
  </w:style>
  <w:style w:type="paragraph" w:customStyle="1" w:styleId="DHHStabletext">
    <w:name w:val="DHHS table text"/>
    <w:qFormat/>
    <w:rsid w:val="00DA2619"/>
    <w:pPr>
      <w:spacing w:before="80" w:after="60"/>
    </w:pPr>
    <w:rPr>
      <w:rFonts w:ascii="Arial" w:hAnsi="Arial"/>
      <w:lang w:eastAsia="en-US"/>
    </w:rPr>
  </w:style>
  <w:style w:type="paragraph" w:customStyle="1" w:styleId="DHHStablecaption">
    <w:name w:val="DHHS table caption"/>
    <w:next w:val="DHHSbody"/>
    <w:uiPriority w:val="99"/>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99"/>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DHHStablecolhead">
    <w:name w:val="DHHS table col head"/>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DC2012"/>
    <w:rPr>
      <w:rFonts w:ascii="Lucida Grande" w:hAnsi="Lucida Grande" w:cs="Lucida Grande"/>
      <w:sz w:val="18"/>
      <w:szCs w:val="18"/>
    </w:rPr>
  </w:style>
  <w:style w:type="character" w:customStyle="1" w:styleId="BalloonTextChar">
    <w:name w:val="Balloon Text Char"/>
    <w:link w:val="BalloonText"/>
    <w:uiPriority w:val="99"/>
    <w:semiHidden/>
    <w:rsid w:val="00DC2012"/>
    <w:rPr>
      <w:rFonts w:ascii="Lucida Grande" w:hAnsi="Lucida Grande" w:cs="Lucida Grande"/>
      <w:sz w:val="18"/>
      <w:szCs w:val="18"/>
    </w:rPr>
  </w:style>
  <w:style w:type="character" w:customStyle="1" w:styleId="DHHSbodyChar">
    <w:name w:val="DHHS body Char"/>
    <w:link w:val="DHHSbody"/>
    <w:uiPriority w:val="99"/>
    <w:locked/>
    <w:rsid w:val="00F30FA5"/>
    <w:rPr>
      <w:rFonts w:ascii="Arial" w:eastAsia="Times" w:hAnsi="Arial"/>
    </w:rPr>
  </w:style>
  <w:style w:type="paragraph" w:customStyle="1" w:styleId="ColorfulList-Accent11">
    <w:name w:val="Colorful List - Accent 11"/>
    <w:basedOn w:val="Normal"/>
    <w:uiPriority w:val="99"/>
    <w:qFormat/>
    <w:rsid w:val="00F30FA5"/>
    <w:pPr>
      <w:ind w:left="720"/>
      <w:contextualSpacing/>
    </w:pPr>
  </w:style>
  <w:style w:type="numbering" w:customStyle="1" w:styleId="Bullets">
    <w:name w:val="Bullets"/>
    <w:rsid w:val="00F30FA5"/>
    <w:pPr>
      <w:numPr>
        <w:numId w:val="9"/>
      </w:numPr>
    </w:pPr>
  </w:style>
  <w:style w:type="character" w:styleId="CommentReference">
    <w:name w:val="annotation reference"/>
    <w:uiPriority w:val="99"/>
    <w:semiHidden/>
    <w:unhideWhenUsed/>
    <w:rsid w:val="00C22936"/>
    <w:rPr>
      <w:sz w:val="16"/>
      <w:szCs w:val="16"/>
    </w:rPr>
  </w:style>
  <w:style w:type="paragraph" w:styleId="CommentText">
    <w:name w:val="annotation text"/>
    <w:basedOn w:val="Normal"/>
    <w:link w:val="CommentTextChar"/>
    <w:uiPriority w:val="99"/>
    <w:semiHidden/>
    <w:unhideWhenUsed/>
    <w:rsid w:val="00C22936"/>
  </w:style>
  <w:style w:type="character" w:customStyle="1" w:styleId="CommentTextChar">
    <w:name w:val="Comment Text Char"/>
    <w:link w:val="CommentText"/>
    <w:uiPriority w:val="99"/>
    <w:semiHidden/>
    <w:rsid w:val="00C2293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22936"/>
    <w:rPr>
      <w:b/>
      <w:bCs/>
    </w:rPr>
  </w:style>
  <w:style w:type="character" w:customStyle="1" w:styleId="CommentSubjectChar">
    <w:name w:val="Comment Subject Char"/>
    <w:link w:val="CommentSubject"/>
    <w:uiPriority w:val="99"/>
    <w:semiHidden/>
    <w:rsid w:val="00C22936"/>
    <w:rPr>
      <w:rFonts w:ascii="Cambria" w:hAnsi="Cambria"/>
      <w:b/>
      <w:bCs/>
      <w:lang w:eastAsia="en-US"/>
    </w:rPr>
  </w:style>
  <w:style w:type="paragraph" w:styleId="ListParagraph">
    <w:name w:val="List Paragraph"/>
    <w:basedOn w:val="Normal"/>
    <w:uiPriority w:val="34"/>
    <w:qFormat/>
    <w:rsid w:val="009846FE"/>
    <w:pPr>
      <w:ind w:left="720"/>
      <w:contextualSpacing/>
    </w:pPr>
    <w:rPr>
      <w:rFonts w:ascii="Times New Roman" w:eastAsiaTheme="minorHAnsi"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ac.dhhs.vic.gov.au/offer-housing" TargetMode="External"/><Relationship Id="rId18" Type="http://schemas.openxmlformats.org/officeDocument/2006/relationships/hyperlink" Target="mailto:VictorianHousingRegister@dhhs.vic.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fac.dhhs.vic.gov.au/complaints-appeals-and-feedback-processes" TargetMode="External"/><Relationship Id="rId2" Type="http://schemas.openxmlformats.org/officeDocument/2006/relationships/numbering" Target="numbering.xml"/><Relationship Id="rId16" Type="http://schemas.openxmlformats.org/officeDocument/2006/relationships/hyperlink" Target="https://fac.dhhs.vic.gov.au/making-client-focused-decis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fac.dhhs.vic.gov.au/eligibility-policy-framework" TargetMode="External"/><Relationship Id="rId10" Type="http://schemas.openxmlformats.org/officeDocument/2006/relationships/image" Target="media/image2.jpeg"/><Relationship Id="rId19" Type="http://schemas.openxmlformats.org/officeDocument/2006/relationships/hyperlink" Target="https://fac.dhhs.vic.gov.au/victorian-housing-register"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fac.dhhs.vic.gov.au/clients-special-accommodation-requirem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543EE-088A-4764-88A6-BC7E0DAA0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VHR_Offer_of_Housing_Operational_Guidelines_Nov2017</vt:lpstr>
    </vt:vector>
  </TitlesOfParts>
  <Company>Department of Health and Human Services</Company>
  <LinksUpToDate>false</LinksUpToDate>
  <CharactersWithSpaces>13469</CharactersWithSpaces>
  <SharedDoc>false</SharedDoc>
  <HyperlinkBase/>
  <HLinks>
    <vt:vector size="60" baseType="variant">
      <vt:variant>
        <vt:i4>5243001</vt:i4>
      </vt:variant>
      <vt:variant>
        <vt:i4>57</vt:i4>
      </vt:variant>
      <vt:variant>
        <vt:i4>0</vt:i4>
      </vt:variant>
      <vt:variant>
        <vt:i4>5</vt:i4>
      </vt:variant>
      <vt:variant>
        <vt:lpwstr>mailto:VictorianHousingRegister@dhhs.vic.gov.au</vt:lpwstr>
      </vt:variant>
      <vt:variant>
        <vt:lpwstr/>
      </vt:variant>
      <vt:variant>
        <vt:i4>1703987</vt:i4>
      </vt:variant>
      <vt:variant>
        <vt:i4>50</vt:i4>
      </vt:variant>
      <vt:variant>
        <vt:i4>0</vt:i4>
      </vt:variant>
      <vt:variant>
        <vt:i4>5</vt:i4>
      </vt:variant>
      <vt:variant>
        <vt:lpwstr/>
      </vt:variant>
      <vt:variant>
        <vt:lpwstr>_Toc497204020</vt:lpwstr>
      </vt:variant>
      <vt:variant>
        <vt:i4>1638451</vt:i4>
      </vt:variant>
      <vt:variant>
        <vt:i4>44</vt:i4>
      </vt:variant>
      <vt:variant>
        <vt:i4>0</vt:i4>
      </vt:variant>
      <vt:variant>
        <vt:i4>5</vt:i4>
      </vt:variant>
      <vt:variant>
        <vt:lpwstr/>
      </vt:variant>
      <vt:variant>
        <vt:lpwstr>_Toc497204019</vt:lpwstr>
      </vt:variant>
      <vt:variant>
        <vt:i4>1638451</vt:i4>
      </vt:variant>
      <vt:variant>
        <vt:i4>38</vt:i4>
      </vt:variant>
      <vt:variant>
        <vt:i4>0</vt:i4>
      </vt:variant>
      <vt:variant>
        <vt:i4>5</vt:i4>
      </vt:variant>
      <vt:variant>
        <vt:lpwstr/>
      </vt:variant>
      <vt:variant>
        <vt:lpwstr>_Toc497204018</vt:lpwstr>
      </vt:variant>
      <vt:variant>
        <vt:i4>1638451</vt:i4>
      </vt:variant>
      <vt:variant>
        <vt:i4>32</vt:i4>
      </vt:variant>
      <vt:variant>
        <vt:i4>0</vt:i4>
      </vt:variant>
      <vt:variant>
        <vt:i4>5</vt:i4>
      </vt:variant>
      <vt:variant>
        <vt:lpwstr/>
      </vt:variant>
      <vt:variant>
        <vt:lpwstr>_Toc497204017</vt:lpwstr>
      </vt:variant>
      <vt:variant>
        <vt:i4>1638451</vt:i4>
      </vt:variant>
      <vt:variant>
        <vt:i4>26</vt:i4>
      </vt:variant>
      <vt:variant>
        <vt:i4>0</vt:i4>
      </vt:variant>
      <vt:variant>
        <vt:i4>5</vt:i4>
      </vt:variant>
      <vt:variant>
        <vt:lpwstr/>
      </vt:variant>
      <vt:variant>
        <vt:lpwstr>_Toc497204016</vt:lpwstr>
      </vt:variant>
      <vt:variant>
        <vt:i4>1638451</vt:i4>
      </vt:variant>
      <vt:variant>
        <vt:i4>20</vt:i4>
      </vt:variant>
      <vt:variant>
        <vt:i4>0</vt:i4>
      </vt:variant>
      <vt:variant>
        <vt:i4>5</vt:i4>
      </vt:variant>
      <vt:variant>
        <vt:lpwstr/>
      </vt:variant>
      <vt:variant>
        <vt:lpwstr>_Toc497204015</vt:lpwstr>
      </vt:variant>
      <vt:variant>
        <vt:i4>1638451</vt:i4>
      </vt:variant>
      <vt:variant>
        <vt:i4>14</vt:i4>
      </vt:variant>
      <vt:variant>
        <vt:i4>0</vt:i4>
      </vt:variant>
      <vt:variant>
        <vt:i4>5</vt:i4>
      </vt:variant>
      <vt:variant>
        <vt:lpwstr/>
      </vt:variant>
      <vt:variant>
        <vt:lpwstr>_Toc497204014</vt:lpwstr>
      </vt:variant>
      <vt:variant>
        <vt:i4>1638451</vt:i4>
      </vt:variant>
      <vt:variant>
        <vt:i4>8</vt:i4>
      </vt:variant>
      <vt:variant>
        <vt:i4>0</vt:i4>
      </vt:variant>
      <vt:variant>
        <vt:i4>5</vt:i4>
      </vt:variant>
      <vt:variant>
        <vt:lpwstr/>
      </vt:variant>
      <vt:variant>
        <vt:lpwstr>_Toc497204013</vt:lpwstr>
      </vt:variant>
      <vt:variant>
        <vt:i4>1638451</vt:i4>
      </vt:variant>
      <vt:variant>
        <vt:i4>2</vt:i4>
      </vt:variant>
      <vt:variant>
        <vt:i4>0</vt:i4>
      </vt:variant>
      <vt:variant>
        <vt:i4>5</vt:i4>
      </vt:variant>
      <vt:variant>
        <vt:lpwstr/>
      </vt:variant>
      <vt:variant>
        <vt:lpwstr>_Toc497204012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VHR_Offer_of_Housing_Operational_Guidelines_Nov2017</dc:title>
  <dc:creator>Victorian Housing Register, Service Implementation and Support Branch</dc:creator>
  <cp:keywords>Victorian Housing Register, Offer, Eligibility, Accept, Refuse, Operational Guidelines</cp:keywords>
  <cp:lastModifiedBy>Elpi Anasta (Homes Victoria)</cp:lastModifiedBy>
  <cp:revision>44</cp:revision>
  <cp:lastPrinted>2017-11-13T03:06:00Z</cp:lastPrinted>
  <dcterms:created xsi:type="dcterms:W3CDTF">2021-03-25T23:58:00Z</dcterms:created>
  <dcterms:modified xsi:type="dcterms:W3CDTF">2021-03-26T05:37:00Z</dcterms:modified>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iteId">
    <vt:lpwstr>c0e0601f-0fac-449c-9c88-a104c4eb9f28</vt:lpwstr>
  </property>
  <property fmtid="{D5CDD505-2E9C-101B-9397-08002B2CF9AE}" pid="5" name="MSIP_Label_43e64453-338c-4f93-8a4d-0039a0a41f2a_Owner">
    <vt:lpwstr>Elpi.Anasta@homes.vic.gov.au</vt:lpwstr>
  </property>
  <property fmtid="{D5CDD505-2E9C-101B-9397-08002B2CF9AE}" pid="6" name="MSIP_Label_43e64453-338c-4f93-8a4d-0039a0a41f2a_SetDate">
    <vt:lpwstr>2021-03-25T23:57:50.9777195Z</vt:lpwstr>
  </property>
  <property fmtid="{D5CDD505-2E9C-101B-9397-08002B2CF9AE}" pid="7" name="MSIP_Label_43e64453-338c-4f93-8a4d-0039a0a41f2a_Name">
    <vt:lpwstr>OFFICIAL</vt:lpwstr>
  </property>
  <property fmtid="{D5CDD505-2E9C-101B-9397-08002B2CF9AE}" pid="8" name="MSIP_Label_43e64453-338c-4f93-8a4d-0039a0a41f2a_Application">
    <vt:lpwstr>Microsoft Azure Information Protection</vt:lpwstr>
  </property>
  <property fmtid="{D5CDD505-2E9C-101B-9397-08002B2CF9AE}" pid="9" name="MSIP_Label_43e64453-338c-4f93-8a4d-0039a0a41f2a_ActionId">
    <vt:lpwstr>02cd3111-f749-4eb7-87f4-aaeb2d2c0dfc</vt:lpwstr>
  </property>
  <property fmtid="{D5CDD505-2E9C-101B-9397-08002B2CF9AE}" pid="10" name="MSIP_Label_43e64453-338c-4f93-8a4d-0039a0a41f2a_Extended_MSFT_Method">
    <vt:lpwstr>Manual</vt:lpwstr>
  </property>
  <property fmtid="{D5CDD505-2E9C-101B-9397-08002B2CF9AE}" pid="11" name="Sensitivity">
    <vt:lpwstr>OFFICIAL</vt:lpwstr>
  </property>
</Properties>
</file>