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5209C" w14:textId="77777777" w:rsidR="00002990" w:rsidRPr="00276391" w:rsidRDefault="00236748" w:rsidP="00A55989">
      <w:pPr>
        <w:pStyle w:val="DHHSbodynospace"/>
        <w:rPr>
          <w:rFonts w:cs="Arial"/>
        </w:rPr>
      </w:pPr>
      <w:r w:rsidRPr="00276391">
        <w:rPr>
          <w:rFonts w:cs="Arial"/>
          <w:noProof/>
          <w:lang w:eastAsia="en-AU"/>
        </w:rPr>
        <w:drawing>
          <wp:anchor distT="0" distB="0" distL="114300" distR="114300" simplePos="0" relativeHeight="251658240" behindDoc="1" locked="1" layoutInCell="0" allowOverlap="1" wp14:anchorId="5ABE1ABC" wp14:editId="580D9207">
            <wp:simplePos x="0" y="0"/>
            <wp:positionH relativeFrom="page">
              <wp:posOffset>2540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276391" w14:paraId="58762BE3" w14:textId="77777777" w:rsidTr="004C5777">
        <w:trPr>
          <w:trHeight w:val="3988"/>
        </w:trPr>
        <w:tc>
          <w:tcPr>
            <w:tcW w:w="7938" w:type="dxa"/>
            <w:shd w:val="clear" w:color="auto" w:fill="auto"/>
          </w:tcPr>
          <w:p w14:paraId="1C00FD5B" w14:textId="4966A6AE" w:rsidR="00C416E1" w:rsidRPr="00276391" w:rsidRDefault="009B3052" w:rsidP="00E91933">
            <w:pPr>
              <w:pStyle w:val="DHHSreportmaintitlewhite"/>
              <w:rPr>
                <w:rFonts w:cs="Arial"/>
              </w:rPr>
            </w:pPr>
            <w:r>
              <w:rPr>
                <w:rFonts w:cs="Arial"/>
              </w:rPr>
              <w:t>Service agreement</w:t>
            </w:r>
            <w:r w:rsidR="00C32843">
              <w:rPr>
                <w:rFonts w:cs="Arial"/>
              </w:rPr>
              <w:t xml:space="preserve"> information kit </w:t>
            </w:r>
          </w:p>
          <w:p w14:paraId="6D04491F" w14:textId="77777777" w:rsidR="00444D82" w:rsidRPr="00276391" w:rsidRDefault="00236748" w:rsidP="00236748">
            <w:pPr>
              <w:pStyle w:val="DHHSreportsubtitlewhite"/>
              <w:rPr>
                <w:rFonts w:cs="Arial"/>
              </w:rPr>
            </w:pPr>
            <w:r w:rsidRPr="00276391">
              <w:rPr>
                <w:rFonts w:cs="Arial"/>
              </w:rPr>
              <w:t>for</w:t>
            </w:r>
            <w:r w:rsidR="005D5532" w:rsidRPr="00276391">
              <w:rPr>
                <w:rFonts w:cs="Arial"/>
              </w:rPr>
              <w:t xml:space="preserve"> </w:t>
            </w:r>
            <w:r w:rsidRPr="00276391">
              <w:rPr>
                <w:rFonts w:cs="Arial"/>
              </w:rPr>
              <w:t>organisations</w:t>
            </w:r>
            <w:r w:rsidR="005D5532" w:rsidRPr="00276391">
              <w:rPr>
                <w:rFonts w:cs="Arial"/>
              </w:rPr>
              <w:t xml:space="preserve"> </w:t>
            </w:r>
            <w:r w:rsidRPr="00276391">
              <w:rPr>
                <w:rFonts w:cs="Arial"/>
              </w:rPr>
              <w:t>funded</w:t>
            </w:r>
            <w:r w:rsidR="005D5532" w:rsidRPr="00276391">
              <w:rPr>
                <w:rFonts w:cs="Arial"/>
              </w:rPr>
              <w:t xml:space="preserve"> </w:t>
            </w:r>
            <w:r w:rsidRPr="00276391">
              <w:rPr>
                <w:rFonts w:cs="Arial"/>
              </w:rPr>
              <w:t>by</w:t>
            </w:r>
            <w:r w:rsidR="005D5532" w:rsidRPr="00276391">
              <w:rPr>
                <w:rFonts w:cs="Arial"/>
              </w:rPr>
              <w:t xml:space="preserve"> </w:t>
            </w:r>
            <w:r w:rsidRPr="00276391">
              <w:rPr>
                <w:rFonts w:cs="Arial"/>
              </w:rPr>
              <w:t>the</w:t>
            </w:r>
            <w:r w:rsidR="005D5532" w:rsidRPr="00276391">
              <w:rPr>
                <w:rFonts w:cs="Arial"/>
              </w:rPr>
              <w:t xml:space="preserve"> </w:t>
            </w:r>
            <w:r w:rsidRPr="00276391">
              <w:rPr>
                <w:rFonts w:cs="Arial"/>
              </w:rPr>
              <w:t>Department</w:t>
            </w:r>
            <w:r w:rsidR="005D5532" w:rsidRPr="00276391">
              <w:rPr>
                <w:rFonts w:cs="Arial"/>
              </w:rPr>
              <w:t xml:space="preserve"> </w:t>
            </w:r>
            <w:r w:rsidRPr="00276391">
              <w:rPr>
                <w:rFonts w:cs="Arial"/>
              </w:rPr>
              <w:t>of</w:t>
            </w:r>
            <w:r w:rsidR="005D5532" w:rsidRPr="00276391">
              <w:rPr>
                <w:rFonts w:cs="Arial"/>
              </w:rPr>
              <w:t xml:space="preserve"> </w:t>
            </w:r>
            <w:r w:rsidRPr="00276391">
              <w:rPr>
                <w:rFonts w:cs="Arial"/>
              </w:rPr>
              <w:t>Health</w:t>
            </w:r>
            <w:r w:rsidR="005D5532" w:rsidRPr="00276391">
              <w:rPr>
                <w:rFonts w:cs="Arial"/>
              </w:rPr>
              <w:t xml:space="preserve"> </w:t>
            </w:r>
            <w:r w:rsidRPr="00276391">
              <w:rPr>
                <w:rFonts w:cs="Arial"/>
              </w:rPr>
              <w:t>and</w:t>
            </w:r>
            <w:r w:rsidR="005D5532" w:rsidRPr="00276391">
              <w:rPr>
                <w:rFonts w:cs="Arial"/>
              </w:rPr>
              <w:t xml:space="preserve"> </w:t>
            </w:r>
            <w:r w:rsidRPr="00276391">
              <w:rPr>
                <w:rFonts w:cs="Arial"/>
              </w:rPr>
              <w:t>Human</w:t>
            </w:r>
            <w:r w:rsidR="005D5532" w:rsidRPr="00276391">
              <w:rPr>
                <w:rFonts w:cs="Arial"/>
              </w:rPr>
              <w:t xml:space="preserve"> </w:t>
            </w:r>
            <w:r w:rsidRPr="00276391">
              <w:rPr>
                <w:rFonts w:cs="Arial"/>
              </w:rPr>
              <w:t>Services,</w:t>
            </w:r>
            <w:r w:rsidR="005D5532" w:rsidRPr="00276391">
              <w:rPr>
                <w:rFonts w:cs="Arial"/>
              </w:rPr>
              <w:t xml:space="preserve"> </w:t>
            </w:r>
            <w:r w:rsidRPr="00276391">
              <w:rPr>
                <w:rFonts w:cs="Arial"/>
              </w:rPr>
              <w:t>the</w:t>
            </w:r>
            <w:r w:rsidR="005D5532" w:rsidRPr="00276391">
              <w:rPr>
                <w:rFonts w:cs="Arial"/>
              </w:rPr>
              <w:t xml:space="preserve"> </w:t>
            </w:r>
            <w:r w:rsidRPr="00276391">
              <w:rPr>
                <w:rFonts w:cs="Arial"/>
              </w:rPr>
              <w:t>Department</w:t>
            </w:r>
            <w:r w:rsidR="005D5532" w:rsidRPr="00276391">
              <w:rPr>
                <w:rFonts w:cs="Arial"/>
              </w:rPr>
              <w:t xml:space="preserve"> </w:t>
            </w:r>
            <w:r w:rsidRPr="00276391">
              <w:rPr>
                <w:rFonts w:cs="Arial"/>
              </w:rPr>
              <w:t>of</w:t>
            </w:r>
            <w:r w:rsidR="005D5532" w:rsidRPr="00276391">
              <w:rPr>
                <w:rFonts w:cs="Arial"/>
              </w:rPr>
              <w:t xml:space="preserve"> </w:t>
            </w:r>
            <w:r w:rsidRPr="00276391">
              <w:rPr>
                <w:rFonts w:cs="Arial"/>
              </w:rPr>
              <w:t>Education</w:t>
            </w:r>
            <w:r w:rsidR="005D5532" w:rsidRPr="00276391">
              <w:rPr>
                <w:rFonts w:cs="Arial"/>
              </w:rPr>
              <w:t xml:space="preserve"> </w:t>
            </w:r>
            <w:r w:rsidRPr="00276391">
              <w:rPr>
                <w:rFonts w:cs="Arial"/>
              </w:rPr>
              <w:t>and</w:t>
            </w:r>
            <w:r w:rsidR="005D5532" w:rsidRPr="00276391">
              <w:rPr>
                <w:rFonts w:cs="Arial"/>
              </w:rPr>
              <w:t xml:space="preserve"> </w:t>
            </w:r>
            <w:r w:rsidRPr="00276391">
              <w:rPr>
                <w:rFonts w:cs="Arial"/>
              </w:rPr>
              <w:t>Training</w:t>
            </w:r>
            <w:r w:rsidR="005D5532" w:rsidRPr="00276391">
              <w:rPr>
                <w:rFonts w:cs="Arial"/>
              </w:rPr>
              <w:t xml:space="preserve"> </w:t>
            </w:r>
            <w:r w:rsidR="00AE6DBC">
              <w:rPr>
                <w:rFonts w:cs="Arial"/>
              </w:rPr>
              <w:t xml:space="preserve">Adult, Community and Further Education, </w:t>
            </w:r>
            <w:r w:rsidRPr="00276391">
              <w:rPr>
                <w:rFonts w:cs="Arial"/>
              </w:rPr>
              <w:t>and</w:t>
            </w:r>
            <w:r w:rsidR="005D5532" w:rsidRPr="00276391">
              <w:rPr>
                <w:rFonts w:cs="Arial"/>
              </w:rPr>
              <w:t xml:space="preserve"> </w:t>
            </w:r>
            <w:r w:rsidRPr="00276391">
              <w:rPr>
                <w:rFonts w:cs="Arial"/>
              </w:rPr>
              <w:t>Department</w:t>
            </w:r>
            <w:r w:rsidR="005D5532" w:rsidRPr="00276391">
              <w:rPr>
                <w:rFonts w:cs="Arial"/>
              </w:rPr>
              <w:t xml:space="preserve"> </w:t>
            </w:r>
            <w:r w:rsidRPr="00276391">
              <w:rPr>
                <w:rFonts w:cs="Arial"/>
              </w:rPr>
              <w:t>of</w:t>
            </w:r>
            <w:r w:rsidR="005D5532" w:rsidRPr="00276391">
              <w:rPr>
                <w:rFonts w:cs="Arial"/>
              </w:rPr>
              <w:t xml:space="preserve"> </w:t>
            </w:r>
            <w:r w:rsidRPr="00276391">
              <w:rPr>
                <w:rFonts w:cs="Arial"/>
              </w:rPr>
              <w:t>Justice</w:t>
            </w:r>
            <w:r w:rsidR="00AE6DBC">
              <w:rPr>
                <w:rFonts w:cs="Arial"/>
              </w:rPr>
              <w:t xml:space="preserve"> and Regulation</w:t>
            </w:r>
          </w:p>
        </w:tc>
      </w:tr>
      <w:tr w:rsidR="001817CD" w:rsidRPr="00276391" w14:paraId="38FE5AF9" w14:textId="77777777" w:rsidTr="004C5777">
        <w:trPr>
          <w:trHeight w:val="4664"/>
        </w:trPr>
        <w:tc>
          <w:tcPr>
            <w:tcW w:w="10252" w:type="dxa"/>
            <w:shd w:val="clear" w:color="auto" w:fill="auto"/>
          </w:tcPr>
          <w:p w14:paraId="487E8698" w14:textId="77777777" w:rsidR="00BC01C1" w:rsidRPr="00276391" w:rsidRDefault="00BC01C1" w:rsidP="004F3441">
            <w:pPr>
              <w:pStyle w:val="Coverinstructions"/>
              <w:rPr>
                <w:rFonts w:cs="Arial"/>
              </w:rPr>
            </w:pPr>
          </w:p>
        </w:tc>
      </w:tr>
    </w:tbl>
    <w:p w14:paraId="10F4CF90" w14:textId="77777777" w:rsidR="0069374A" w:rsidRPr="00276391" w:rsidRDefault="0069374A" w:rsidP="00C2657D">
      <w:pPr>
        <w:pStyle w:val="DHHSbodynospace"/>
        <w:ind w:left="-454"/>
        <w:rPr>
          <w:rFonts w:cs="Arial"/>
        </w:rPr>
      </w:pPr>
    </w:p>
    <w:p w14:paraId="1ACB7745" w14:textId="77777777" w:rsidR="00C51B1C" w:rsidRPr="00276391" w:rsidRDefault="00C51B1C" w:rsidP="00CA6D4E">
      <w:pPr>
        <w:pStyle w:val="DHHSbodynospace"/>
        <w:rPr>
          <w:rFonts w:cs="Arial"/>
        </w:rPr>
        <w:sectPr w:rsidR="00C51B1C" w:rsidRPr="00276391" w:rsidSect="00A55989">
          <w:type w:val="oddPage"/>
          <w:pgSz w:w="11906" w:h="16838"/>
          <w:pgMar w:top="3969" w:right="1304" w:bottom="1134" w:left="1304" w:header="454" w:footer="567" w:gutter="0"/>
          <w:cols w:space="720"/>
          <w:docGrid w:linePitch="360"/>
        </w:sectPr>
      </w:pPr>
    </w:p>
    <w:p w14:paraId="0AAB4F23" w14:textId="77777777" w:rsidR="00AC0C3B" w:rsidRPr="00276391" w:rsidRDefault="009208F5" w:rsidP="00CA6D4E">
      <w:pPr>
        <w:pStyle w:val="DHHSbodynospace"/>
        <w:rPr>
          <w:rFonts w:cs="Arial"/>
        </w:rPr>
      </w:pPr>
      <w:r w:rsidRPr="00276391">
        <w:rPr>
          <w:rFonts w:cs="Arial"/>
        </w:rPr>
        <w:lastRenderedPageBreak/>
        <w:br w:type="page"/>
      </w:r>
      <w:r w:rsidR="00236748" w:rsidRPr="00276391">
        <w:rPr>
          <w:rFonts w:cs="Arial"/>
          <w:noProof/>
          <w:lang w:eastAsia="en-AU"/>
        </w:rPr>
        <mc:AlternateContent>
          <mc:Choice Requires="wps">
            <w:drawing>
              <wp:anchor distT="0" distB="0" distL="114300" distR="114300" simplePos="0" relativeHeight="251657216" behindDoc="0" locked="0" layoutInCell="1" allowOverlap="1" wp14:anchorId="131191AF" wp14:editId="240EAF1B">
                <wp:simplePos x="0" y="0"/>
                <wp:positionH relativeFrom="column">
                  <wp:posOffset>4572000</wp:posOffset>
                </wp:positionH>
                <wp:positionV relativeFrom="paragraph">
                  <wp:posOffset>10172700</wp:posOffset>
                </wp:positionV>
                <wp:extent cx="2514600" cy="342900"/>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D46C" w14:textId="77777777" w:rsidR="005E47A5" w:rsidRDefault="005E47A5" w:rsidP="00276391">
                            <w:pPr>
                              <w:pStyle w:val="DHHSbody"/>
                            </w:pPr>
                            <w:r w:rsidRPr="000147AF">
                              <w:rPr>
                                <w:rFonts w:cs="Arial"/>
                                <w:color w:val="808080"/>
                                <w:sz w:val="22"/>
                                <w:szCs w:val="22"/>
                              </w:rPr>
                              <w:t>Department</w:t>
                            </w:r>
                            <w:r>
                              <w:rPr>
                                <w:rFonts w:cs="Arial"/>
                                <w:color w:val="808080"/>
                                <w:sz w:val="22"/>
                                <w:szCs w:val="22"/>
                              </w:rPr>
                              <w:t xml:space="preserve"> </w:t>
                            </w:r>
                            <w:r w:rsidRPr="000147AF">
                              <w:rPr>
                                <w:rFonts w:cs="Arial"/>
                                <w:color w:val="808080"/>
                                <w:sz w:val="22"/>
                                <w:szCs w:val="22"/>
                              </w:rPr>
                              <w:t>of</w:t>
                            </w:r>
                            <w:r>
                              <w:rPr>
                                <w:rFonts w:cs="Arial"/>
                                <w:color w:val="808080"/>
                                <w:sz w:val="22"/>
                                <w:szCs w:val="22"/>
                              </w:rPr>
                              <w:t xml:space="preserve"> </w:t>
                            </w:r>
                            <w:r w:rsidRPr="000147AF">
                              <w:rPr>
                                <w:rFonts w:cs="Arial"/>
                                <w:color w:val="808080"/>
                                <w:sz w:val="22"/>
                                <w:szCs w:val="22"/>
                              </w:rPr>
                              <w:t>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91AF"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dW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" filled="f" stroked="f">
                <v:textbox>
                  <w:txbxContent>
                    <w:p w14:paraId="5EBFD46C" w14:textId="77777777" w:rsidR="005E47A5" w:rsidRDefault="005E47A5" w:rsidP="00276391">
                      <w:pPr>
                        <w:pStyle w:val="DHHSbody"/>
                      </w:pPr>
                      <w:r w:rsidRPr="000147AF">
                        <w:rPr>
                          <w:rFonts w:cs="Arial"/>
                          <w:color w:val="808080"/>
                          <w:sz w:val="22"/>
                          <w:szCs w:val="22"/>
                        </w:rPr>
                        <w:t>Department</w:t>
                      </w:r>
                      <w:r>
                        <w:rPr>
                          <w:rFonts w:cs="Arial"/>
                          <w:color w:val="808080"/>
                          <w:sz w:val="22"/>
                          <w:szCs w:val="22"/>
                        </w:rPr>
                        <w:t xml:space="preserve"> </w:t>
                      </w:r>
                      <w:r w:rsidRPr="000147AF">
                        <w:rPr>
                          <w:rFonts w:cs="Arial"/>
                          <w:color w:val="808080"/>
                          <w:sz w:val="22"/>
                          <w:szCs w:val="22"/>
                        </w:rPr>
                        <w:t>of</w:t>
                      </w:r>
                      <w:r>
                        <w:rPr>
                          <w:rFonts w:cs="Arial"/>
                          <w:color w:val="808080"/>
                          <w:sz w:val="22"/>
                          <w:szCs w:val="22"/>
                        </w:rPr>
                        <w:t xml:space="preserve"> </w:t>
                      </w:r>
                      <w:r w:rsidRPr="000147AF">
                        <w:rPr>
                          <w:rFonts w:cs="Arial"/>
                          <w:color w:val="808080"/>
                          <w:sz w:val="22"/>
                          <w:szCs w:val="22"/>
                        </w:rPr>
                        <w:t>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276391" w14:paraId="55934945" w14:textId="77777777" w:rsidTr="00CA6D4E">
        <w:trPr>
          <w:trHeight w:val="7402"/>
        </w:trPr>
        <w:tc>
          <w:tcPr>
            <w:tcW w:w="9298" w:type="dxa"/>
            <w:shd w:val="clear" w:color="auto" w:fill="auto"/>
            <w:vAlign w:val="center"/>
          </w:tcPr>
          <w:p w14:paraId="6907A69D" w14:textId="537AF2E2" w:rsidR="00F53CFD" w:rsidRPr="00276391" w:rsidRDefault="009B3052" w:rsidP="00711B0C">
            <w:pPr>
              <w:pStyle w:val="DHHSreportmaintitle"/>
              <w:rPr>
                <w:rFonts w:cs="Arial"/>
              </w:rPr>
            </w:pPr>
            <w:r>
              <w:rPr>
                <w:rFonts w:cs="Arial"/>
              </w:rPr>
              <w:lastRenderedPageBreak/>
              <w:t>Service agreement</w:t>
            </w:r>
            <w:r w:rsidR="00C32843">
              <w:rPr>
                <w:rFonts w:cs="Arial"/>
              </w:rPr>
              <w:t xml:space="preserve"> information kit </w:t>
            </w:r>
          </w:p>
          <w:p w14:paraId="658FB803" w14:textId="77777777" w:rsidR="00BB47D7" w:rsidRPr="00276391" w:rsidRDefault="00DA1181" w:rsidP="00630937">
            <w:pPr>
              <w:pStyle w:val="DHHSreportsubtitle"/>
              <w:rPr>
                <w:rFonts w:cs="Arial"/>
              </w:rPr>
            </w:pPr>
            <w:r w:rsidRPr="00276391">
              <w:rPr>
                <w:rFonts w:cs="Arial"/>
              </w:rPr>
              <w:t xml:space="preserve">for organisations funded by the Department of Health and Human Services, the Department of Education and Training </w:t>
            </w:r>
            <w:r>
              <w:rPr>
                <w:rFonts w:cs="Arial"/>
              </w:rPr>
              <w:t xml:space="preserve">Adult, Community and Further Education, </w:t>
            </w:r>
            <w:r w:rsidRPr="00276391">
              <w:rPr>
                <w:rFonts w:cs="Arial"/>
              </w:rPr>
              <w:t>and Department of Justice</w:t>
            </w:r>
            <w:r>
              <w:rPr>
                <w:rFonts w:cs="Arial"/>
              </w:rPr>
              <w:t xml:space="preserve"> and Regulation</w:t>
            </w:r>
          </w:p>
        </w:tc>
      </w:tr>
      <w:tr w:rsidR="009906C7" w:rsidRPr="00276391" w14:paraId="4798DEB6" w14:textId="77777777" w:rsidTr="009906C7">
        <w:tc>
          <w:tcPr>
            <w:tcW w:w="9298" w:type="dxa"/>
            <w:shd w:val="clear" w:color="auto" w:fill="auto"/>
            <w:vAlign w:val="center"/>
          </w:tcPr>
          <w:p w14:paraId="0E6EB16A" w14:textId="77777777" w:rsidR="009906C7" w:rsidRPr="00276391" w:rsidRDefault="009906C7" w:rsidP="009906C7">
            <w:pPr>
              <w:pStyle w:val="DHHSbody"/>
              <w:rPr>
                <w:rFonts w:cs="Arial"/>
              </w:rPr>
            </w:pPr>
          </w:p>
        </w:tc>
      </w:tr>
    </w:tbl>
    <w:p w14:paraId="4EA4D697" w14:textId="77777777" w:rsidR="00CA6D4E" w:rsidRPr="00276391" w:rsidRDefault="00CA6D4E" w:rsidP="00CA6D4E">
      <w:pPr>
        <w:pStyle w:val="DHHSbodynospace"/>
        <w:rPr>
          <w:rFonts w:cs="Arial"/>
        </w:rPr>
      </w:pPr>
    </w:p>
    <w:p w14:paraId="24C93CF8" w14:textId="77777777" w:rsidR="00AC0C3B" w:rsidRPr="00276391" w:rsidRDefault="00C81BA6" w:rsidP="00CA6D4E">
      <w:pPr>
        <w:pStyle w:val="DHHSbodynospace"/>
        <w:rPr>
          <w:rFonts w:cs="Arial"/>
        </w:rPr>
      </w:pPr>
      <w:r w:rsidRPr="00276391">
        <w:rPr>
          <w:rFonts w:cs="Arial"/>
        </w:rP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276391" w14:paraId="1B290E67" w14:textId="77777777" w:rsidTr="00564E8F">
        <w:trPr>
          <w:trHeight w:val="4313"/>
        </w:trPr>
        <w:tc>
          <w:tcPr>
            <w:tcW w:w="9401" w:type="dxa"/>
          </w:tcPr>
          <w:p w14:paraId="5734AEF7" w14:textId="77777777" w:rsidR="00564E8F" w:rsidRPr="00276391" w:rsidRDefault="00564E8F" w:rsidP="00031263">
            <w:pPr>
              <w:pStyle w:val="DHHSbody"/>
              <w:rPr>
                <w:rFonts w:cs="Arial"/>
                <w:i/>
                <w:color w:val="008950"/>
                <w:sz w:val="26"/>
                <w:szCs w:val="26"/>
              </w:rPr>
            </w:pPr>
          </w:p>
        </w:tc>
      </w:tr>
      <w:tr w:rsidR="00564E8F" w:rsidRPr="00276391" w14:paraId="377B2A0D" w14:textId="77777777" w:rsidTr="001F09DC">
        <w:trPr>
          <w:trHeight w:val="6336"/>
        </w:trPr>
        <w:tc>
          <w:tcPr>
            <w:tcW w:w="9401" w:type="dxa"/>
            <w:vAlign w:val="bottom"/>
          </w:tcPr>
          <w:p w14:paraId="111A42A3" w14:textId="77777777" w:rsidR="00564E8F" w:rsidRPr="00276391" w:rsidRDefault="00564E8F" w:rsidP="0030320B">
            <w:pPr>
              <w:pStyle w:val="DHHSbody"/>
              <w:rPr>
                <w:rFonts w:cs="Arial"/>
              </w:rPr>
            </w:pPr>
          </w:p>
        </w:tc>
      </w:tr>
      <w:tr w:rsidR="009906C7" w:rsidRPr="00276391" w14:paraId="0461BD17" w14:textId="77777777" w:rsidTr="009906C7">
        <w:tc>
          <w:tcPr>
            <w:tcW w:w="9401" w:type="dxa"/>
            <w:vAlign w:val="bottom"/>
          </w:tcPr>
          <w:p w14:paraId="0B090F77" w14:textId="6B57A165" w:rsidR="0030320B" w:rsidRPr="00276391" w:rsidRDefault="0030320B" w:rsidP="0030320B">
            <w:pPr>
              <w:pStyle w:val="DHHSbody"/>
            </w:pPr>
            <w:r w:rsidRPr="00276391">
              <w:rPr>
                <w:rFonts w:cs="Arial"/>
                <w:sz w:val="24"/>
                <w:szCs w:val="19"/>
              </w:rPr>
              <w:t xml:space="preserve">To receive this publication in an </w:t>
            </w:r>
            <w:r>
              <w:rPr>
                <w:rFonts w:cs="Arial"/>
                <w:sz w:val="24"/>
                <w:szCs w:val="19"/>
              </w:rPr>
              <w:t>accessible format</w:t>
            </w:r>
            <w:r w:rsidR="00CF101C">
              <w:rPr>
                <w:rFonts w:cs="Arial"/>
                <w:sz w:val="24"/>
                <w:szCs w:val="19"/>
              </w:rPr>
              <w:t xml:space="preserve"> </w:t>
            </w:r>
            <w:r w:rsidRPr="00276391">
              <w:rPr>
                <w:rFonts w:cs="Arial"/>
                <w:sz w:val="24"/>
                <w:szCs w:val="19"/>
              </w:rPr>
              <w:t xml:space="preserve">email </w:t>
            </w:r>
            <w:hyperlink r:id="rId9" w:history="1">
              <w:r w:rsidR="007C3CEC">
                <w:rPr>
                  <w:rStyle w:val="Hyperlink"/>
                  <w:rFonts w:cs="Arial"/>
                  <w:sz w:val="24"/>
                  <w:szCs w:val="19"/>
                </w:rPr>
                <w:t>sacomms@dhhs.vic.gov.au</w:t>
              </w:r>
            </w:hyperlink>
          </w:p>
          <w:p w14:paraId="75A2FA6E" w14:textId="77777777" w:rsidR="0030320B" w:rsidRPr="00276391" w:rsidRDefault="0030320B" w:rsidP="0030320B">
            <w:pPr>
              <w:pStyle w:val="DHHSbody"/>
            </w:pPr>
            <w:r w:rsidRPr="00276391">
              <w:t>Authorised and published by the Victorian Government, 1 Treasury Place, Melbourne.</w:t>
            </w:r>
          </w:p>
          <w:p w14:paraId="086E42A1" w14:textId="4E2D2AE2" w:rsidR="0030320B" w:rsidRPr="00276391" w:rsidRDefault="0030320B" w:rsidP="0030320B">
            <w:pPr>
              <w:pStyle w:val="DHHSbody"/>
            </w:pPr>
            <w:r w:rsidRPr="00276391">
              <w:t>© State of Victoria, Department of Health and Human Services</w:t>
            </w:r>
            <w:r w:rsidRPr="00BF6E66">
              <w:t xml:space="preserve"> </w:t>
            </w:r>
            <w:r w:rsidR="003C6568">
              <w:t>August</w:t>
            </w:r>
            <w:r w:rsidR="00E555AC">
              <w:t xml:space="preserve"> 201</w:t>
            </w:r>
            <w:r w:rsidR="00B0029A">
              <w:t>9</w:t>
            </w:r>
          </w:p>
          <w:p w14:paraId="426BF000" w14:textId="22656BFF" w:rsidR="00BF6E66" w:rsidRPr="00736FAC" w:rsidRDefault="00736FAC" w:rsidP="00736FAC">
            <w:pPr>
              <w:pStyle w:val="DHHSbody"/>
            </w:pPr>
            <w:r w:rsidRPr="00736FAC">
              <w:t>ISBN 978-1-76069-084-7</w:t>
            </w:r>
          </w:p>
          <w:p w14:paraId="31221A8F" w14:textId="7ED052AE" w:rsidR="009906C7" w:rsidRPr="00276391" w:rsidRDefault="0030320B" w:rsidP="00987C05">
            <w:pPr>
              <w:pStyle w:val="DHHSbody"/>
              <w:rPr>
                <w:rFonts w:cs="Arial"/>
              </w:rPr>
            </w:pPr>
            <w:r w:rsidRPr="00276391">
              <w:t>Available at</w:t>
            </w:r>
            <w:r w:rsidR="00987C05">
              <w:t xml:space="preserve"> </w:t>
            </w:r>
            <w:hyperlink r:id="rId10" w:history="1">
              <w:r w:rsidR="00987C05" w:rsidRPr="00987C05">
                <w:rPr>
                  <w:rStyle w:val="Hyperlink"/>
                </w:rPr>
                <w:t>https://fac.dhhs.vic.gov.au/service-agreement-information-kit</w:t>
              </w:r>
            </w:hyperlink>
          </w:p>
        </w:tc>
      </w:tr>
    </w:tbl>
    <w:p w14:paraId="349FC65E" w14:textId="77777777" w:rsidR="0030320B" w:rsidRDefault="0030320B" w:rsidP="003072C6">
      <w:pPr>
        <w:pStyle w:val="DHHSbody"/>
        <w:rPr>
          <w:rFonts w:cs="Arial"/>
        </w:rPr>
      </w:pPr>
    </w:p>
    <w:p w14:paraId="7089C1A9" w14:textId="77777777" w:rsidR="0030320B" w:rsidRDefault="0030320B">
      <w:pPr>
        <w:rPr>
          <w:rFonts w:ascii="Arial" w:eastAsia="Times" w:hAnsi="Arial" w:cs="Arial"/>
        </w:rPr>
      </w:pPr>
      <w:r>
        <w:rPr>
          <w:rFonts w:cs="Arial"/>
        </w:rPr>
        <w:br w:type="page"/>
      </w:r>
    </w:p>
    <w:p w14:paraId="37C246D9" w14:textId="77777777" w:rsidR="001C6DA7" w:rsidRPr="00711B0C" w:rsidRDefault="001C6DA7" w:rsidP="001C6DA7">
      <w:pPr>
        <w:pStyle w:val="DHHSTOCheadingreport"/>
      </w:pPr>
      <w:r w:rsidRPr="00711B0C">
        <w:lastRenderedPageBreak/>
        <w:t>Contents</w:t>
      </w:r>
    </w:p>
    <w:bookmarkStart w:id="0" w:name="_Toc478991665" w:displacedByCustomXml="next"/>
    <w:bookmarkStart w:id="1" w:name="_Toc478992291" w:displacedByCustomXml="next"/>
    <w:bookmarkStart w:id="2" w:name="_Toc478992868" w:displacedByCustomXml="next"/>
    <w:sdt>
      <w:sdtPr>
        <w:rPr>
          <w:rFonts w:ascii="Cambria" w:hAnsi="Cambria"/>
          <w:b/>
          <w:noProof w:val="0"/>
        </w:rPr>
        <w:id w:val="-1889860155"/>
        <w:docPartObj>
          <w:docPartGallery w:val="Table of Contents"/>
          <w:docPartUnique/>
        </w:docPartObj>
      </w:sdtPr>
      <w:sdtEndPr>
        <w:rPr>
          <w:b w:val="0"/>
          <w:bCs/>
        </w:rPr>
      </w:sdtEndPr>
      <w:sdtContent>
        <w:p w14:paraId="10CF95D2" w14:textId="2221BB4F" w:rsidR="00463F5A" w:rsidRDefault="003D3866">
          <w:pPr>
            <w:pStyle w:val="TOC2"/>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4141972" w:history="1">
            <w:r w:rsidR="00463F5A" w:rsidRPr="005217E0">
              <w:rPr>
                <w:rStyle w:val="Hyperlink"/>
              </w:rPr>
              <w:t>Revision history</w:t>
            </w:r>
            <w:r w:rsidR="00463F5A">
              <w:rPr>
                <w:webHidden/>
              </w:rPr>
              <w:tab/>
            </w:r>
            <w:r w:rsidR="00463F5A">
              <w:rPr>
                <w:webHidden/>
              </w:rPr>
              <w:fldChar w:fldCharType="begin"/>
            </w:r>
            <w:r w:rsidR="00463F5A">
              <w:rPr>
                <w:webHidden/>
              </w:rPr>
              <w:instrText xml:space="preserve"> PAGEREF _Toc4141972 \h </w:instrText>
            </w:r>
            <w:r w:rsidR="00463F5A">
              <w:rPr>
                <w:webHidden/>
              </w:rPr>
            </w:r>
            <w:r w:rsidR="00463F5A">
              <w:rPr>
                <w:webHidden/>
              </w:rPr>
              <w:fldChar w:fldCharType="separate"/>
            </w:r>
            <w:r w:rsidR="00463F5A">
              <w:rPr>
                <w:webHidden/>
              </w:rPr>
              <w:t>11</w:t>
            </w:r>
            <w:r w:rsidR="00463F5A">
              <w:rPr>
                <w:webHidden/>
              </w:rPr>
              <w:fldChar w:fldCharType="end"/>
            </w:r>
          </w:hyperlink>
        </w:p>
        <w:p w14:paraId="06B34EB7" w14:textId="0E264619" w:rsidR="00463F5A" w:rsidRDefault="0016341D">
          <w:pPr>
            <w:pStyle w:val="TOC1"/>
            <w:rPr>
              <w:rFonts w:asciiTheme="minorHAnsi" w:eastAsiaTheme="minorEastAsia" w:hAnsiTheme="minorHAnsi" w:cstheme="minorBidi"/>
              <w:b w:val="0"/>
              <w:sz w:val="22"/>
              <w:szCs w:val="22"/>
              <w:lang w:eastAsia="en-AU"/>
            </w:rPr>
          </w:pPr>
          <w:hyperlink w:anchor="_Toc4141973" w:history="1">
            <w:r w:rsidR="00920939">
              <w:rPr>
                <w:rFonts w:cs="Arial"/>
                <w:lang w:eastAsia="en-AU"/>
              </w:rPr>
              <w:drawing>
                <wp:inline distT="0" distB="0" distL="0" distR="0" wp14:anchorId="1F7CC649" wp14:editId="51BB011B">
                  <wp:extent cx="9525" cy="9525"/>
                  <wp:effectExtent l="0" t="0" r="0" b="0"/>
                  <wp:docPr id="9" name="Picture 7" descr="Skip to cont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ip to conten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63F5A" w:rsidRPr="005217E0">
              <w:rPr>
                <w:rStyle w:val="Hyperlink"/>
                <w:rFonts w:cs="Arial"/>
              </w:rPr>
              <w:t>Chapter 1. Introduction</w:t>
            </w:r>
            <w:r w:rsidR="00463F5A">
              <w:rPr>
                <w:webHidden/>
              </w:rPr>
              <w:tab/>
            </w:r>
            <w:r w:rsidR="00463F5A">
              <w:rPr>
                <w:webHidden/>
              </w:rPr>
              <w:fldChar w:fldCharType="begin"/>
            </w:r>
            <w:r w:rsidR="00463F5A">
              <w:rPr>
                <w:webHidden/>
              </w:rPr>
              <w:instrText xml:space="preserve"> PAGEREF _Toc4141973 \h </w:instrText>
            </w:r>
            <w:r w:rsidR="00463F5A">
              <w:rPr>
                <w:webHidden/>
              </w:rPr>
            </w:r>
            <w:r w:rsidR="00463F5A">
              <w:rPr>
                <w:webHidden/>
              </w:rPr>
              <w:fldChar w:fldCharType="separate"/>
            </w:r>
            <w:r w:rsidR="00463F5A">
              <w:rPr>
                <w:webHidden/>
              </w:rPr>
              <w:t>11</w:t>
            </w:r>
            <w:r w:rsidR="00463F5A">
              <w:rPr>
                <w:webHidden/>
              </w:rPr>
              <w:fldChar w:fldCharType="end"/>
            </w:r>
          </w:hyperlink>
        </w:p>
        <w:p w14:paraId="27DF8984" w14:textId="5374A7CA" w:rsidR="00463F5A" w:rsidRDefault="0016341D">
          <w:pPr>
            <w:pStyle w:val="TOC2"/>
            <w:rPr>
              <w:rFonts w:asciiTheme="minorHAnsi" w:eastAsiaTheme="minorEastAsia" w:hAnsiTheme="minorHAnsi" w:cstheme="minorBidi"/>
              <w:sz w:val="22"/>
              <w:szCs w:val="22"/>
              <w:lang w:eastAsia="en-AU"/>
            </w:rPr>
          </w:pPr>
          <w:hyperlink w:anchor="_Toc4141974" w:history="1">
            <w:r w:rsidR="00463F5A" w:rsidRPr="005217E0">
              <w:rPr>
                <w:rStyle w:val="Hyperlink"/>
                <w:lang w:eastAsia="en-AU"/>
              </w:rPr>
              <w:t>1.1 About the Service agreement information kit for funded organisations</w:t>
            </w:r>
            <w:r w:rsidR="00463F5A">
              <w:rPr>
                <w:webHidden/>
              </w:rPr>
              <w:tab/>
            </w:r>
            <w:r w:rsidR="00463F5A">
              <w:rPr>
                <w:webHidden/>
              </w:rPr>
              <w:fldChar w:fldCharType="begin"/>
            </w:r>
            <w:r w:rsidR="00463F5A">
              <w:rPr>
                <w:webHidden/>
              </w:rPr>
              <w:instrText xml:space="preserve"> PAGEREF _Toc4141974 \h </w:instrText>
            </w:r>
            <w:r w:rsidR="00463F5A">
              <w:rPr>
                <w:webHidden/>
              </w:rPr>
            </w:r>
            <w:r w:rsidR="00463F5A">
              <w:rPr>
                <w:webHidden/>
              </w:rPr>
              <w:fldChar w:fldCharType="separate"/>
            </w:r>
            <w:r w:rsidR="00463F5A">
              <w:rPr>
                <w:webHidden/>
              </w:rPr>
              <w:t>11</w:t>
            </w:r>
            <w:r w:rsidR="00463F5A">
              <w:rPr>
                <w:webHidden/>
              </w:rPr>
              <w:fldChar w:fldCharType="end"/>
            </w:r>
          </w:hyperlink>
        </w:p>
        <w:p w14:paraId="45AB47EC" w14:textId="2092CCC8" w:rsidR="00463F5A" w:rsidRDefault="0016341D">
          <w:pPr>
            <w:pStyle w:val="TOC3"/>
            <w:rPr>
              <w:rFonts w:asciiTheme="minorHAnsi" w:eastAsiaTheme="minorEastAsia" w:hAnsiTheme="minorHAnsi" w:cstheme="minorBidi"/>
              <w:noProof/>
              <w:sz w:val="22"/>
              <w:szCs w:val="22"/>
              <w:lang w:eastAsia="en-AU"/>
            </w:rPr>
          </w:pPr>
          <w:hyperlink w:anchor="_Toc4141975" w:history="1">
            <w:r w:rsidR="00463F5A" w:rsidRPr="005217E0">
              <w:rPr>
                <w:rStyle w:val="Hyperlink"/>
                <w:noProof/>
              </w:rPr>
              <w:t>Disclaimer</w:t>
            </w:r>
            <w:r w:rsidR="00463F5A">
              <w:rPr>
                <w:noProof/>
                <w:webHidden/>
              </w:rPr>
              <w:tab/>
            </w:r>
            <w:r w:rsidR="00463F5A">
              <w:rPr>
                <w:noProof/>
                <w:webHidden/>
              </w:rPr>
              <w:fldChar w:fldCharType="begin"/>
            </w:r>
            <w:r w:rsidR="00463F5A">
              <w:rPr>
                <w:noProof/>
                <w:webHidden/>
              </w:rPr>
              <w:instrText xml:space="preserve"> PAGEREF _Toc4141975 \h </w:instrText>
            </w:r>
            <w:r w:rsidR="00463F5A">
              <w:rPr>
                <w:noProof/>
                <w:webHidden/>
              </w:rPr>
            </w:r>
            <w:r w:rsidR="00463F5A">
              <w:rPr>
                <w:noProof/>
                <w:webHidden/>
              </w:rPr>
              <w:fldChar w:fldCharType="separate"/>
            </w:r>
            <w:r w:rsidR="00463F5A">
              <w:rPr>
                <w:noProof/>
                <w:webHidden/>
              </w:rPr>
              <w:t>11</w:t>
            </w:r>
            <w:r w:rsidR="00463F5A">
              <w:rPr>
                <w:noProof/>
                <w:webHidden/>
              </w:rPr>
              <w:fldChar w:fldCharType="end"/>
            </w:r>
          </w:hyperlink>
        </w:p>
        <w:p w14:paraId="56F300B3" w14:textId="11FEDBD5" w:rsidR="00463F5A" w:rsidRDefault="0016341D">
          <w:pPr>
            <w:pStyle w:val="TOC3"/>
            <w:rPr>
              <w:rFonts w:asciiTheme="minorHAnsi" w:eastAsiaTheme="minorEastAsia" w:hAnsiTheme="minorHAnsi" w:cstheme="minorBidi"/>
              <w:noProof/>
              <w:sz w:val="22"/>
              <w:szCs w:val="22"/>
              <w:lang w:eastAsia="en-AU"/>
            </w:rPr>
          </w:pPr>
          <w:hyperlink w:anchor="_Toc4141976" w:history="1">
            <w:r w:rsidR="00463F5A" w:rsidRPr="005217E0">
              <w:rPr>
                <w:rStyle w:val="Hyperlink"/>
                <w:noProof/>
                <w:lang w:eastAsia="en-AU"/>
              </w:rPr>
              <w:t>Updates to the Service agreement information kit for funded organisations</w:t>
            </w:r>
            <w:r w:rsidR="00463F5A">
              <w:rPr>
                <w:noProof/>
                <w:webHidden/>
              </w:rPr>
              <w:tab/>
            </w:r>
            <w:r w:rsidR="00463F5A">
              <w:rPr>
                <w:noProof/>
                <w:webHidden/>
              </w:rPr>
              <w:fldChar w:fldCharType="begin"/>
            </w:r>
            <w:r w:rsidR="00463F5A">
              <w:rPr>
                <w:noProof/>
                <w:webHidden/>
              </w:rPr>
              <w:instrText xml:space="preserve"> PAGEREF _Toc4141976 \h </w:instrText>
            </w:r>
            <w:r w:rsidR="00463F5A">
              <w:rPr>
                <w:noProof/>
                <w:webHidden/>
              </w:rPr>
            </w:r>
            <w:r w:rsidR="00463F5A">
              <w:rPr>
                <w:noProof/>
                <w:webHidden/>
              </w:rPr>
              <w:fldChar w:fldCharType="separate"/>
            </w:r>
            <w:r w:rsidR="00463F5A">
              <w:rPr>
                <w:noProof/>
                <w:webHidden/>
              </w:rPr>
              <w:t>12</w:t>
            </w:r>
            <w:r w:rsidR="00463F5A">
              <w:rPr>
                <w:noProof/>
                <w:webHidden/>
              </w:rPr>
              <w:fldChar w:fldCharType="end"/>
            </w:r>
          </w:hyperlink>
        </w:p>
        <w:p w14:paraId="436EB64F" w14:textId="33F0C3B5" w:rsidR="00463F5A" w:rsidRDefault="0016341D">
          <w:pPr>
            <w:pStyle w:val="TOC2"/>
            <w:rPr>
              <w:rFonts w:asciiTheme="minorHAnsi" w:eastAsiaTheme="minorEastAsia" w:hAnsiTheme="minorHAnsi" w:cstheme="minorBidi"/>
              <w:sz w:val="22"/>
              <w:szCs w:val="22"/>
              <w:lang w:eastAsia="en-AU"/>
            </w:rPr>
          </w:pPr>
          <w:hyperlink w:anchor="_Toc4141977" w:history="1">
            <w:r w:rsidR="00463F5A" w:rsidRPr="005217E0">
              <w:rPr>
                <w:rStyle w:val="Hyperlink"/>
                <w:rFonts w:cs="Arial"/>
                <w:lang w:eastAsia="en-AU"/>
              </w:rPr>
              <w:t>1.2 Overview of the departments</w:t>
            </w:r>
            <w:r w:rsidR="00463F5A">
              <w:rPr>
                <w:webHidden/>
              </w:rPr>
              <w:tab/>
            </w:r>
            <w:r w:rsidR="00463F5A">
              <w:rPr>
                <w:webHidden/>
              </w:rPr>
              <w:fldChar w:fldCharType="begin"/>
            </w:r>
            <w:r w:rsidR="00463F5A">
              <w:rPr>
                <w:webHidden/>
              </w:rPr>
              <w:instrText xml:space="preserve"> PAGEREF _Toc4141977 \h </w:instrText>
            </w:r>
            <w:r w:rsidR="00463F5A">
              <w:rPr>
                <w:webHidden/>
              </w:rPr>
            </w:r>
            <w:r w:rsidR="00463F5A">
              <w:rPr>
                <w:webHidden/>
              </w:rPr>
              <w:fldChar w:fldCharType="separate"/>
            </w:r>
            <w:r w:rsidR="00463F5A">
              <w:rPr>
                <w:webHidden/>
              </w:rPr>
              <w:t>12</w:t>
            </w:r>
            <w:r w:rsidR="00463F5A">
              <w:rPr>
                <w:webHidden/>
              </w:rPr>
              <w:fldChar w:fldCharType="end"/>
            </w:r>
          </w:hyperlink>
        </w:p>
        <w:p w14:paraId="0954C207" w14:textId="0E9D0BDD" w:rsidR="00463F5A" w:rsidRDefault="0016341D">
          <w:pPr>
            <w:pStyle w:val="TOC3"/>
            <w:rPr>
              <w:rFonts w:asciiTheme="minorHAnsi" w:eastAsiaTheme="minorEastAsia" w:hAnsiTheme="minorHAnsi" w:cstheme="minorBidi"/>
              <w:noProof/>
              <w:sz w:val="22"/>
              <w:szCs w:val="22"/>
              <w:lang w:eastAsia="en-AU"/>
            </w:rPr>
          </w:pPr>
          <w:hyperlink w:anchor="_Toc4141978" w:history="1">
            <w:r w:rsidR="00463F5A" w:rsidRPr="005217E0">
              <w:rPr>
                <w:rStyle w:val="Hyperlink"/>
                <w:noProof/>
                <w:lang w:eastAsia="en-AU"/>
              </w:rPr>
              <w:t>Department of Health and Human Services</w:t>
            </w:r>
            <w:r w:rsidR="00463F5A">
              <w:rPr>
                <w:noProof/>
                <w:webHidden/>
              </w:rPr>
              <w:tab/>
            </w:r>
            <w:r w:rsidR="00463F5A">
              <w:rPr>
                <w:noProof/>
                <w:webHidden/>
              </w:rPr>
              <w:fldChar w:fldCharType="begin"/>
            </w:r>
            <w:r w:rsidR="00463F5A">
              <w:rPr>
                <w:noProof/>
                <w:webHidden/>
              </w:rPr>
              <w:instrText xml:space="preserve"> PAGEREF _Toc4141978 \h </w:instrText>
            </w:r>
            <w:r w:rsidR="00463F5A">
              <w:rPr>
                <w:noProof/>
                <w:webHidden/>
              </w:rPr>
            </w:r>
            <w:r w:rsidR="00463F5A">
              <w:rPr>
                <w:noProof/>
                <w:webHidden/>
              </w:rPr>
              <w:fldChar w:fldCharType="separate"/>
            </w:r>
            <w:r w:rsidR="00463F5A">
              <w:rPr>
                <w:noProof/>
                <w:webHidden/>
              </w:rPr>
              <w:t>12</w:t>
            </w:r>
            <w:r w:rsidR="00463F5A">
              <w:rPr>
                <w:noProof/>
                <w:webHidden/>
              </w:rPr>
              <w:fldChar w:fldCharType="end"/>
            </w:r>
          </w:hyperlink>
        </w:p>
        <w:p w14:paraId="13A44B68" w14:textId="4AB287E7" w:rsidR="00463F5A" w:rsidRDefault="0016341D">
          <w:pPr>
            <w:pStyle w:val="TOC3"/>
            <w:rPr>
              <w:rFonts w:asciiTheme="minorHAnsi" w:eastAsiaTheme="minorEastAsia" w:hAnsiTheme="minorHAnsi" w:cstheme="minorBidi"/>
              <w:noProof/>
              <w:sz w:val="22"/>
              <w:szCs w:val="22"/>
              <w:lang w:eastAsia="en-AU"/>
            </w:rPr>
          </w:pPr>
          <w:hyperlink w:anchor="_Toc4141979" w:history="1">
            <w:r w:rsidR="00463F5A" w:rsidRPr="005217E0">
              <w:rPr>
                <w:rStyle w:val="Hyperlink"/>
                <w:noProof/>
                <w:lang w:eastAsia="en-AU"/>
              </w:rPr>
              <w:t>Department of Education and Training</w:t>
            </w:r>
            <w:r w:rsidR="00463F5A">
              <w:rPr>
                <w:noProof/>
                <w:webHidden/>
              </w:rPr>
              <w:tab/>
            </w:r>
            <w:r w:rsidR="00463F5A">
              <w:rPr>
                <w:noProof/>
                <w:webHidden/>
              </w:rPr>
              <w:fldChar w:fldCharType="begin"/>
            </w:r>
            <w:r w:rsidR="00463F5A">
              <w:rPr>
                <w:noProof/>
                <w:webHidden/>
              </w:rPr>
              <w:instrText xml:space="preserve"> PAGEREF _Toc4141979 \h </w:instrText>
            </w:r>
            <w:r w:rsidR="00463F5A">
              <w:rPr>
                <w:noProof/>
                <w:webHidden/>
              </w:rPr>
            </w:r>
            <w:r w:rsidR="00463F5A">
              <w:rPr>
                <w:noProof/>
                <w:webHidden/>
              </w:rPr>
              <w:fldChar w:fldCharType="separate"/>
            </w:r>
            <w:r w:rsidR="00463F5A">
              <w:rPr>
                <w:noProof/>
                <w:webHidden/>
              </w:rPr>
              <w:t>12</w:t>
            </w:r>
            <w:r w:rsidR="00463F5A">
              <w:rPr>
                <w:noProof/>
                <w:webHidden/>
              </w:rPr>
              <w:fldChar w:fldCharType="end"/>
            </w:r>
          </w:hyperlink>
        </w:p>
        <w:p w14:paraId="20ED857D" w14:textId="3C65F3F5" w:rsidR="00463F5A" w:rsidRDefault="0016341D">
          <w:pPr>
            <w:pStyle w:val="TOC2"/>
            <w:rPr>
              <w:rFonts w:asciiTheme="minorHAnsi" w:eastAsiaTheme="minorEastAsia" w:hAnsiTheme="minorHAnsi" w:cstheme="minorBidi"/>
              <w:sz w:val="22"/>
              <w:szCs w:val="22"/>
              <w:lang w:eastAsia="en-AU"/>
            </w:rPr>
          </w:pPr>
          <w:hyperlink w:anchor="_Toc4141980" w:history="1">
            <w:r w:rsidR="00463F5A" w:rsidRPr="005217E0">
              <w:rPr>
                <w:rStyle w:val="Hyperlink"/>
              </w:rPr>
              <w:t>1.3 Policy and funding plans and guidelines</w:t>
            </w:r>
            <w:r w:rsidR="00463F5A">
              <w:rPr>
                <w:webHidden/>
              </w:rPr>
              <w:tab/>
            </w:r>
            <w:r w:rsidR="00463F5A">
              <w:rPr>
                <w:webHidden/>
              </w:rPr>
              <w:fldChar w:fldCharType="begin"/>
            </w:r>
            <w:r w:rsidR="00463F5A">
              <w:rPr>
                <w:webHidden/>
              </w:rPr>
              <w:instrText xml:space="preserve"> PAGEREF _Toc4141980 \h </w:instrText>
            </w:r>
            <w:r w:rsidR="00463F5A">
              <w:rPr>
                <w:webHidden/>
              </w:rPr>
            </w:r>
            <w:r w:rsidR="00463F5A">
              <w:rPr>
                <w:webHidden/>
              </w:rPr>
              <w:fldChar w:fldCharType="separate"/>
            </w:r>
            <w:r w:rsidR="00463F5A">
              <w:rPr>
                <w:webHidden/>
              </w:rPr>
              <w:t>12</w:t>
            </w:r>
            <w:r w:rsidR="00463F5A">
              <w:rPr>
                <w:webHidden/>
              </w:rPr>
              <w:fldChar w:fldCharType="end"/>
            </w:r>
          </w:hyperlink>
        </w:p>
        <w:p w14:paraId="5326C26F" w14:textId="0B4885FB" w:rsidR="00463F5A" w:rsidRDefault="0016341D">
          <w:pPr>
            <w:pStyle w:val="TOC3"/>
            <w:rPr>
              <w:rFonts w:asciiTheme="minorHAnsi" w:eastAsiaTheme="minorEastAsia" w:hAnsiTheme="minorHAnsi" w:cstheme="minorBidi"/>
              <w:noProof/>
              <w:sz w:val="22"/>
              <w:szCs w:val="22"/>
              <w:lang w:eastAsia="en-AU"/>
            </w:rPr>
          </w:pPr>
          <w:hyperlink w:anchor="_Toc4141981" w:history="1">
            <w:r w:rsidR="00463F5A" w:rsidRPr="005217E0">
              <w:rPr>
                <w:rStyle w:val="Hyperlink"/>
                <w:noProof/>
                <w:lang w:eastAsia="en-AU"/>
              </w:rPr>
              <w:t>Department of Health and Human Services</w:t>
            </w:r>
            <w:r w:rsidR="00463F5A">
              <w:rPr>
                <w:noProof/>
                <w:webHidden/>
              </w:rPr>
              <w:tab/>
            </w:r>
            <w:r w:rsidR="00463F5A">
              <w:rPr>
                <w:noProof/>
                <w:webHidden/>
              </w:rPr>
              <w:fldChar w:fldCharType="begin"/>
            </w:r>
            <w:r w:rsidR="00463F5A">
              <w:rPr>
                <w:noProof/>
                <w:webHidden/>
              </w:rPr>
              <w:instrText xml:space="preserve"> PAGEREF _Toc4141981 \h </w:instrText>
            </w:r>
            <w:r w:rsidR="00463F5A">
              <w:rPr>
                <w:noProof/>
                <w:webHidden/>
              </w:rPr>
            </w:r>
            <w:r w:rsidR="00463F5A">
              <w:rPr>
                <w:noProof/>
                <w:webHidden/>
              </w:rPr>
              <w:fldChar w:fldCharType="separate"/>
            </w:r>
            <w:r w:rsidR="00463F5A">
              <w:rPr>
                <w:noProof/>
                <w:webHidden/>
              </w:rPr>
              <w:t>12</w:t>
            </w:r>
            <w:r w:rsidR="00463F5A">
              <w:rPr>
                <w:noProof/>
                <w:webHidden/>
              </w:rPr>
              <w:fldChar w:fldCharType="end"/>
            </w:r>
          </w:hyperlink>
        </w:p>
        <w:p w14:paraId="10FDF4BE" w14:textId="207954FE" w:rsidR="00463F5A" w:rsidRDefault="0016341D">
          <w:pPr>
            <w:pStyle w:val="TOC3"/>
            <w:rPr>
              <w:rFonts w:asciiTheme="minorHAnsi" w:eastAsiaTheme="minorEastAsia" w:hAnsiTheme="minorHAnsi" w:cstheme="minorBidi"/>
              <w:noProof/>
              <w:sz w:val="22"/>
              <w:szCs w:val="22"/>
              <w:lang w:eastAsia="en-AU"/>
            </w:rPr>
          </w:pPr>
          <w:hyperlink w:anchor="_Toc4141982" w:history="1">
            <w:r w:rsidR="00463F5A" w:rsidRPr="005217E0">
              <w:rPr>
                <w:rStyle w:val="Hyperlink"/>
                <w:noProof/>
                <w:lang w:eastAsia="en-AU"/>
              </w:rPr>
              <w:t>Department of Education and Training</w:t>
            </w:r>
            <w:r w:rsidR="00463F5A">
              <w:rPr>
                <w:noProof/>
                <w:webHidden/>
              </w:rPr>
              <w:tab/>
            </w:r>
            <w:r w:rsidR="00463F5A">
              <w:rPr>
                <w:noProof/>
                <w:webHidden/>
              </w:rPr>
              <w:fldChar w:fldCharType="begin"/>
            </w:r>
            <w:r w:rsidR="00463F5A">
              <w:rPr>
                <w:noProof/>
                <w:webHidden/>
              </w:rPr>
              <w:instrText xml:space="preserve"> PAGEREF _Toc4141982 \h </w:instrText>
            </w:r>
            <w:r w:rsidR="00463F5A">
              <w:rPr>
                <w:noProof/>
                <w:webHidden/>
              </w:rPr>
            </w:r>
            <w:r w:rsidR="00463F5A">
              <w:rPr>
                <w:noProof/>
                <w:webHidden/>
              </w:rPr>
              <w:fldChar w:fldCharType="separate"/>
            </w:r>
            <w:r w:rsidR="00463F5A">
              <w:rPr>
                <w:noProof/>
                <w:webHidden/>
              </w:rPr>
              <w:t>13</w:t>
            </w:r>
            <w:r w:rsidR="00463F5A">
              <w:rPr>
                <w:noProof/>
                <w:webHidden/>
              </w:rPr>
              <w:fldChar w:fldCharType="end"/>
            </w:r>
          </w:hyperlink>
        </w:p>
        <w:p w14:paraId="79A2DD62" w14:textId="54EA4B14" w:rsidR="00463F5A" w:rsidRDefault="0016341D">
          <w:pPr>
            <w:pStyle w:val="TOC2"/>
            <w:rPr>
              <w:rFonts w:asciiTheme="minorHAnsi" w:eastAsiaTheme="minorEastAsia" w:hAnsiTheme="minorHAnsi" w:cstheme="minorBidi"/>
              <w:sz w:val="22"/>
              <w:szCs w:val="22"/>
              <w:lang w:eastAsia="en-AU"/>
            </w:rPr>
          </w:pPr>
          <w:hyperlink w:anchor="_Toc4141983" w:history="1">
            <w:r w:rsidR="00463F5A" w:rsidRPr="005217E0">
              <w:rPr>
                <w:rStyle w:val="Hyperlink"/>
                <w:rFonts w:cs="Arial"/>
                <w:lang w:eastAsia="en-AU"/>
              </w:rPr>
              <w:t>1.4 Funded agency channel</w:t>
            </w:r>
            <w:r w:rsidR="00463F5A">
              <w:rPr>
                <w:webHidden/>
              </w:rPr>
              <w:tab/>
            </w:r>
            <w:r w:rsidR="00463F5A">
              <w:rPr>
                <w:webHidden/>
              </w:rPr>
              <w:fldChar w:fldCharType="begin"/>
            </w:r>
            <w:r w:rsidR="00463F5A">
              <w:rPr>
                <w:webHidden/>
              </w:rPr>
              <w:instrText xml:space="preserve"> PAGEREF _Toc4141983 \h </w:instrText>
            </w:r>
            <w:r w:rsidR="00463F5A">
              <w:rPr>
                <w:webHidden/>
              </w:rPr>
            </w:r>
            <w:r w:rsidR="00463F5A">
              <w:rPr>
                <w:webHidden/>
              </w:rPr>
              <w:fldChar w:fldCharType="separate"/>
            </w:r>
            <w:r w:rsidR="00463F5A">
              <w:rPr>
                <w:webHidden/>
              </w:rPr>
              <w:t>13</w:t>
            </w:r>
            <w:r w:rsidR="00463F5A">
              <w:rPr>
                <w:webHidden/>
              </w:rPr>
              <w:fldChar w:fldCharType="end"/>
            </w:r>
          </w:hyperlink>
        </w:p>
        <w:p w14:paraId="7813F9ED" w14:textId="4C0590F3" w:rsidR="00463F5A" w:rsidRDefault="0016341D">
          <w:pPr>
            <w:pStyle w:val="TOC3"/>
            <w:rPr>
              <w:rFonts w:asciiTheme="minorHAnsi" w:eastAsiaTheme="minorEastAsia" w:hAnsiTheme="minorHAnsi" w:cstheme="minorBidi"/>
              <w:noProof/>
              <w:sz w:val="22"/>
              <w:szCs w:val="22"/>
              <w:lang w:eastAsia="en-AU"/>
            </w:rPr>
          </w:pPr>
          <w:hyperlink w:anchor="_Toc4141984" w:history="1">
            <w:r w:rsidR="00463F5A" w:rsidRPr="005217E0">
              <w:rPr>
                <w:rStyle w:val="Hyperlink"/>
                <w:noProof/>
                <w:lang w:eastAsia="en-AU"/>
              </w:rPr>
              <w:t>Registering for My Agency</w:t>
            </w:r>
            <w:r w:rsidR="00463F5A">
              <w:rPr>
                <w:noProof/>
                <w:webHidden/>
              </w:rPr>
              <w:tab/>
            </w:r>
            <w:r w:rsidR="00463F5A">
              <w:rPr>
                <w:noProof/>
                <w:webHidden/>
              </w:rPr>
              <w:fldChar w:fldCharType="begin"/>
            </w:r>
            <w:r w:rsidR="00463F5A">
              <w:rPr>
                <w:noProof/>
                <w:webHidden/>
              </w:rPr>
              <w:instrText xml:space="preserve"> PAGEREF _Toc4141984 \h </w:instrText>
            </w:r>
            <w:r w:rsidR="00463F5A">
              <w:rPr>
                <w:noProof/>
                <w:webHidden/>
              </w:rPr>
            </w:r>
            <w:r w:rsidR="00463F5A">
              <w:rPr>
                <w:noProof/>
                <w:webHidden/>
              </w:rPr>
              <w:fldChar w:fldCharType="separate"/>
            </w:r>
            <w:r w:rsidR="00463F5A">
              <w:rPr>
                <w:noProof/>
                <w:webHidden/>
              </w:rPr>
              <w:t>13</w:t>
            </w:r>
            <w:r w:rsidR="00463F5A">
              <w:rPr>
                <w:noProof/>
                <w:webHidden/>
              </w:rPr>
              <w:fldChar w:fldCharType="end"/>
            </w:r>
          </w:hyperlink>
        </w:p>
        <w:p w14:paraId="3167E6B8" w14:textId="55BC04A5" w:rsidR="00463F5A" w:rsidRDefault="0016341D">
          <w:pPr>
            <w:pStyle w:val="TOC3"/>
            <w:rPr>
              <w:rFonts w:asciiTheme="minorHAnsi" w:eastAsiaTheme="minorEastAsia" w:hAnsiTheme="minorHAnsi" w:cstheme="minorBidi"/>
              <w:noProof/>
              <w:sz w:val="22"/>
              <w:szCs w:val="22"/>
              <w:lang w:eastAsia="en-AU"/>
            </w:rPr>
          </w:pPr>
          <w:hyperlink w:anchor="_Toc4141985" w:history="1">
            <w:r w:rsidR="00463F5A" w:rsidRPr="005217E0">
              <w:rPr>
                <w:rStyle w:val="Hyperlink"/>
                <w:noProof/>
                <w:lang w:eastAsia="en-AU"/>
              </w:rPr>
              <w:t>User feedback and queries</w:t>
            </w:r>
            <w:r w:rsidR="00463F5A">
              <w:rPr>
                <w:noProof/>
                <w:webHidden/>
              </w:rPr>
              <w:tab/>
            </w:r>
            <w:r w:rsidR="00463F5A">
              <w:rPr>
                <w:noProof/>
                <w:webHidden/>
              </w:rPr>
              <w:fldChar w:fldCharType="begin"/>
            </w:r>
            <w:r w:rsidR="00463F5A">
              <w:rPr>
                <w:noProof/>
                <w:webHidden/>
              </w:rPr>
              <w:instrText xml:space="preserve"> PAGEREF _Toc4141985 \h </w:instrText>
            </w:r>
            <w:r w:rsidR="00463F5A">
              <w:rPr>
                <w:noProof/>
                <w:webHidden/>
              </w:rPr>
            </w:r>
            <w:r w:rsidR="00463F5A">
              <w:rPr>
                <w:noProof/>
                <w:webHidden/>
              </w:rPr>
              <w:fldChar w:fldCharType="separate"/>
            </w:r>
            <w:r w:rsidR="00463F5A">
              <w:rPr>
                <w:noProof/>
                <w:webHidden/>
              </w:rPr>
              <w:t>14</w:t>
            </w:r>
            <w:r w:rsidR="00463F5A">
              <w:rPr>
                <w:noProof/>
                <w:webHidden/>
              </w:rPr>
              <w:fldChar w:fldCharType="end"/>
            </w:r>
          </w:hyperlink>
        </w:p>
        <w:p w14:paraId="7A0AF0CA" w14:textId="4BBDAC10" w:rsidR="00463F5A" w:rsidRDefault="0016341D">
          <w:pPr>
            <w:pStyle w:val="TOC2"/>
            <w:rPr>
              <w:rFonts w:asciiTheme="minorHAnsi" w:eastAsiaTheme="minorEastAsia" w:hAnsiTheme="minorHAnsi" w:cstheme="minorBidi"/>
              <w:sz w:val="22"/>
              <w:szCs w:val="22"/>
              <w:lang w:eastAsia="en-AU"/>
            </w:rPr>
          </w:pPr>
          <w:hyperlink w:anchor="_Toc4141986" w:history="1">
            <w:r w:rsidR="00463F5A" w:rsidRPr="005217E0">
              <w:rPr>
                <w:rStyle w:val="Hyperlink"/>
                <w:rFonts w:cs="Arial"/>
                <w:lang w:eastAsia="en-AU"/>
              </w:rPr>
              <w:t>1.5 Partnering with the community sector</w:t>
            </w:r>
            <w:r w:rsidR="00463F5A">
              <w:rPr>
                <w:webHidden/>
              </w:rPr>
              <w:tab/>
            </w:r>
            <w:r w:rsidR="00463F5A">
              <w:rPr>
                <w:webHidden/>
              </w:rPr>
              <w:fldChar w:fldCharType="begin"/>
            </w:r>
            <w:r w:rsidR="00463F5A">
              <w:rPr>
                <w:webHidden/>
              </w:rPr>
              <w:instrText xml:space="preserve"> PAGEREF _Toc4141986 \h </w:instrText>
            </w:r>
            <w:r w:rsidR="00463F5A">
              <w:rPr>
                <w:webHidden/>
              </w:rPr>
            </w:r>
            <w:r w:rsidR="00463F5A">
              <w:rPr>
                <w:webHidden/>
              </w:rPr>
              <w:fldChar w:fldCharType="separate"/>
            </w:r>
            <w:r w:rsidR="00463F5A">
              <w:rPr>
                <w:webHidden/>
              </w:rPr>
              <w:t>14</w:t>
            </w:r>
            <w:r w:rsidR="00463F5A">
              <w:rPr>
                <w:webHidden/>
              </w:rPr>
              <w:fldChar w:fldCharType="end"/>
            </w:r>
          </w:hyperlink>
        </w:p>
        <w:p w14:paraId="10C46E52" w14:textId="07586188" w:rsidR="00463F5A" w:rsidRDefault="0016341D">
          <w:pPr>
            <w:pStyle w:val="TOC3"/>
            <w:rPr>
              <w:rFonts w:asciiTheme="minorHAnsi" w:eastAsiaTheme="minorEastAsia" w:hAnsiTheme="minorHAnsi" w:cstheme="minorBidi"/>
              <w:noProof/>
              <w:sz w:val="22"/>
              <w:szCs w:val="22"/>
              <w:lang w:eastAsia="en-AU"/>
            </w:rPr>
          </w:pPr>
          <w:hyperlink w:anchor="_Toc4141987" w:history="1">
            <w:r w:rsidR="00463F5A" w:rsidRPr="005217E0">
              <w:rPr>
                <w:rStyle w:val="Hyperlink"/>
                <w:noProof/>
                <w:lang w:eastAsia="en-AU"/>
              </w:rPr>
              <w:t>Partnering resources</w:t>
            </w:r>
            <w:r w:rsidR="00463F5A">
              <w:rPr>
                <w:noProof/>
                <w:webHidden/>
              </w:rPr>
              <w:tab/>
            </w:r>
            <w:r w:rsidR="00463F5A">
              <w:rPr>
                <w:noProof/>
                <w:webHidden/>
              </w:rPr>
              <w:fldChar w:fldCharType="begin"/>
            </w:r>
            <w:r w:rsidR="00463F5A">
              <w:rPr>
                <w:noProof/>
                <w:webHidden/>
              </w:rPr>
              <w:instrText xml:space="preserve"> PAGEREF _Toc4141987 \h </w:instrText>
            </w:r>
            <w:r w:rsidR="00463F5A">
              <w:rPr>
                <w:noProof/>
                <w:webHidden/>
              </w:rPr>
            </w:r>
            <w:r w:rsidR="00463F5A">
              <w:rPr>
                <w:noProof/>
                <w:webHidden/>
              </w:rPr>
              <w:fldChar w:fldCharType="separate"/>
            </w:r>
            <w:r w:rsidR="00463F5A">
              <w:rPr>
                <w:noProof/>
                <w:webHidden/>
              </w:rPr>
              <w:t>14</w:t>
            </w:r>
            <w:r w:rsidR="00463F5A">
              <w:rPr>
                <w:noProof/>
                <w:webHidden/>
              </w:rPr>
              <w:fldChar w:fldCharType="end"/>
            </w:r>
          </w:hyperlink>
        </w:p>
        <w:p w14:paraId="5AC8F9DB" w14:textId="57BA12F5" w:rsidR="00463F5A" w:rsidRDefault="0016341D">
          <w:pPr>
            <w:pStyle w:val="TOC2"/>
            <w:rPr>
              <w:rFonts w:asciiTheme="minorHAnsi" w:eastAsiaTheme="minorEastAsia" w:hAnsiTheme="minorHAnsi" w:cstheme="minorBidi"/>
              <w:sz w:val="22"/>
              <w:szCs w:val="22"/>
              <w:lang w:eastAsia="en-AU"/>
            </w:rPr>
          </w:pPr>
          <w:hyperlink w:anchor="_Toc4141988" w:history="1">
            <w:r w:rsidR="00463F5A" w:rsidRPr="005217E0">
              <w:rPr>
                <w:rStyle w:val="Hyperlink"/>
                <w:rFonts w:cs="Arial"/>
                <w:lang w:eastAsia="en-AU"/>
              </w:rPr>
              <w:t>1.6 Human Services and Health partnership implementation committee</w:t>
            </w:r>
            <w:r w:rsidR="00463F5A">
              <w:rPr>
                <w:webHidden/>
              </w:rPr>
              <w:tab/>
            </w:r>
            <w:r w:rsidR="00463F5A">
              <w:rPr>
                <w:webHidden/>
              </w:rPr>
              <w:fldChar w:fldCharType="begin"/>
            </w:r>
            <w:r w:rsidR="00463F5A">
              <w:rPr>
                <w:webHidden/>
              </w:rPr>
              <w:instrText xml:space="preserve"> PAGEREF _Toc4141988 \h </w:instrText>
            </w:r>
            <w:r w:rsidR="00463F5A">
              <w:rPr>
                <w:webHidden/>
              </w:rPr>
            </w:r>
            <w:r w:rsidR="00463F5A">
              <w:rPr>
                <w:webHidden/>
              </w:rPr>
              <w:fldChar w:fldCharType="separate"/>
            </w:r>
            <w:r w:rsidR="00463F5A">
              <w:rPr>
                <w:webHidden/>
              </w:rPr>
              <w:t>14</w:t>
            </w:r>
            <w:r w:rsidR="00463F5A">
              <w:rPr>
                <w:webHidden/>
              </w:rPr>
              <w:fldChar w:fldCharType="end"/>
            </w:r>
          </w:hyperlink>
        </w:p>
        <w:p w14:paraId="6B263DFE" w14:textId="14CAA2EA" w:rsidR="00463F5A" w:rsidRDefault="0016341D">
          <w:pPr>
            <w:pStyle w:val="TOC3"/>
            <w:rPr>
              <w:rFonts w:asciiTheme="minorHAnsi" w:eastAsiaTheme="minorEastAsia" w:hAnsiTheme="minorHAnsi" w:cstheme="minorBidi"/>
              <w:noProof/>
              <w:sz w:val="22"/>
              <w:szCs w:val="22"/>
              <w:lang w:eastAsia="en-AU"/>
            </w:rPr>
          </w:pPr>
          <w:hyperlink w:anchor="_Toc4141989" w:history="1">
            <w:r w:rsidR="00463F5A" w:rsidRPr="005217E0">
              <w:rPr>
                <w:rStyle w:val="Hyperlink"/>
                <w:noProof/>
                <w:lang w:eastAsia="en-AU"/>
              </w:rPr>
              <w:t>1.6.1 Purpose</w:t>
            </w:r>
            <w:r w:rsidR="00463F5A">
              <w:rPr>
                <w:noProof/>
                <w:webHidden/>
              </w:rPr>
              <w:tab/>
            </w:r>
            <w:r w:rsidR="00463F5A">
              <w:rPr>
                <w:noProof/>
                <w:webHidden/>
              </w:rPr>
              <w:fldChar w:fldCharType="begin"/>
            </w:r>
            <w:r w:rsidR="00463F5A">
              <w:rPr>
                <w:noProof/>
                <w:webHidden/>
              </w:rPr>
              <w:instrText xml:space="preserve"> PAGEREF _Toc4141989 \h </w:instrText>
            </w:r>
            <w:r w:rsidR="00463F5A">
              <w:rPr>
                <w:noProof/>
                <w:webHidden/>
              </w:rPr>
            </w:r>
            <w:r w:rsidR="00463F5A">
              <w:rPr>
                <w:noProof/>
                <w:webHidden/>
              </w:rPr>
              <w:fldChar w:fldCharType="separate"/>
            </w:r>
            <w:r w:rsidR="00463F5A">
              <w:rPr>
                <w:noProof/>
                <w:webHidden/>
              </w:rPr>
              <w:t>14</w:t>
            </w:r>
            <w:r w:rsidR="00463F5A">
              <w:rPr>
                <w:noProof/>
                <w:webHidden/>
              </w:rPr>
              <w:fldChar w:fldCharType="end"/>
            </w:r>
          </w:hyperlink>
        </w:p>
        <w:p w14:paraId="352527A5" w14:textId="62CDF0A7" w:rsidR="00463F5A" w:rsidRDefault="0016341D">
          <w:pPr>
            <w:pStyle w:val="TOC3"/>
            <w:rPr>
              <w:rFonts w:asciiTheme="minorHAnsi" w:eastAsiaTheme="minorEastAsia" w:hAnsiTheme="minorHAnsi" w:cstheme="minorBidi"/>
              <w:noProof/>
              <w:sz w:val="22"/>
              <w:szCs w:val="22"/>
              <w:lang w:eastAsia="en-AU"/>
            </w:rPr>
          </w:pPr>
          <w:hyperlink w:anchor="_Toc4141990" w:history="1">
            <w:r w:rsidR="00463F5A" w:rsidRPr="005217E0">
              <w:rPr>
                <w:rStyle w:val="Hyperlink"/>
                <w:noProof/>
                <w:lang w:eastAsia="en-AU"/>
              </w:rPr>
              <w:t>1.6.2 Background</w:t>
            </w:r>
            <w:r w:rsidR="00463F5A">
              <w:rPr>
                <w:noProof/>
                <w:webHidden/>
              </w:rPr>
              <w:tab/>
            </w:r>
            <w:r w:rsidR="00463F5A">
              <w:rPr>
                <w:noProof/>
                <w:webHidden/>
              </w:rPr>
              <w:fldChar w:fldCharType="begin"/>
            </w:r>
            <w:r w:rsidR="00463F5A">
              <w:rPr>
                <w:noProof/>
                <w:webHidden/>
              </w:rPr>
              <w:instrText xml:space="preserve"> PAGEREF _Toc4141990 \h </w:instrText>
            </w:r>
            <w:r w:rsidR="00463F5A">
              <w:rPr>
                <w:noProof/>
                <w:webHidden/>
              </w:rPr>
            </w:r>
            <w:r w:rsidR="00463F5A">
              <w:rPr>
                <w:noProof/>
                <w:webHidden/>
              </w:rPr>
              <w:fldChar w:fldCharType="separate"/>
            </w:r>
            <w:r w:rsidR="00463F5A">
              <w:rPr>
                <w:noProof/>
                <w:webHidden/>
              </w:rPr>
              <w:t>14</w:t>
            </w:r>
            <w:r w:rsidR="00463F5A">
              <w:rPr>
                <w:noProof/>
                <w:webHidden/>
              </w:rPr>
              <w:fldChar w:fldCharType="end"/>
            </w:r>
          </w:hyperlink>
        </w:p>
        <w:p w14:paraId="6D6EADD8" w14:textId="22854FEA" w:rsidR="00463F5A" w:rsidRDefault="0016341D">
          <w:pPr>
            <w:pStyle w:val="TOC2"/>
            <w:rPr>
              <w:rFonts w:asciiTheme="minorHAnsi" w:eastAsiaTheme="minorEastAsia" w:hAnsiTheme="minorHAnsi" w:cstheme="minorBidi"/>
              <w:sz w:val="22"/>
              <w:szCs w:val="22"/>
              <w:lang w:eastAsia="en-AU"/>
            </w:rPr>
          </w:pPr>
          <w:hyperlink w:anchor="_Toc4141991" w:history="1">
            <w:r w:rsidR="00463F5A" w:rsidRPr="005217E0">
              <w:rPr>
                <w:rStyle w:val="Hyperlink"/>
                <w:rFonts w:cs="Arial"/>
                <w:lang w:eastAsia="en-AU"/>
              </w:rPr>
              <w:t>1.7 Service agreement working group Terms of reference</w:t>
            </w:r>
            <w:r w:rsidR="00463F5A">
              <w:rPr>
                <w:webHidden/>
              </w:rPr>
              <w:tab/>
            </w:r>
            <w:r w:rsidR="00463F5A">
              <w:rPr>
                <w:webHidden/>
              </w:rPr>
              <w:fldChar w:fldCharType="begin"/>
            </w:r>
            <w:r w:rsidR="00463F5A">
              <w:rPr>
                <w:webHidden/>
              </w:rPr>
              <w:instrText xml:space="preserve"> PAGEREF _Toc4141991 \h </w:instrText>
            </w:r>
            <w:r w:rsidR="00463F5A">
              <w:rPr>
                <w:webHidden/>
              </w:rPr>
            </w:r>
            <w:r w:rsidR="00463F5A">
              <w:rPr>
                <w:webHidden/>
              </w:rPr>
              <w:fldChar w:fldCharType="separate"/>
            </w:r>
            <w:r w:rsidR="00463F5A">
              <w:rPr>
                <w:webHidden/>
              </w:rPr>
              <w:t>15</w:t>
            </w:r>
            <w:r w:rsidR="00463F5A">
              <w:rPr>
                <w:webHidden/>
              </w:rPr>
              <w:fldChar w:fldCharType="end"/>
            </w:r>
          </w:hyperlink>
        </w:p>
        <w:p w14:paraId="4A102D8E" w14:textId="20E68B3B" w:rsidR="00463F5A" w:rsidRDefault="0016341D">
          <w:pPr>
            <w:pStyle w:val="TOC3"/>
            <w:rPr>
              <w:rFonts w:asciiTheme="minorHAnsi" w:eastAsiaTheme="minorEastAsia" w:hAnsiTheme="minorHAnsi" w:cstheme="minorBidi"/>
              <w:noProof/>
              <w:sz w:val="22"/>
              <w:szCs w:val="22"/>
              <w:lang w:eastAsia="en-AU"/>
            </w:rPr>
          </w:pPr>
          <w:hyperlink w:anchor="_Toc4141992" w:history="1">
            <w:r w:rsidR="00463F5A" w:rsidRPr="005217E0">
              <w:rPr>
                <w:rStyle w:val="Hyperlink"/>
                <w:noProof/>
                <w:lang w:eastAsia="en-AU"/>
              </w:rPr>
              <w:t>Background</w:t>
            </w:r>
            <w:r w:rsidR="00463F5A">
              <w:rPr>
                <w:noProof/>
                <w:webHidden/>
              </w:rPr>
              <w:tab/>
            </w:r>
            <w:r w:rsidR="00463F5A">
              <w:rPr>
                <w:noProof/>
                <w:webHidden/>
              </w:rPr>
              <w:fldChar w:fldCharType="begin"/>
            </w:r>
            <w:r w:rsidR="00463F5A">
              <w:rPr>
                <w:noProof/>
                <w:webHidden/>
              </w:rPr>
              <w:instrText xml:space="preserve"> PAGEREF _Toc4141992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69B0849D" w14:textId="6507A409" w:rsidR="00463F5A" w:rsidRDefault="0016341D">
          <w:pPr>
            <w:pStyle w:val="TOC3"/>
            <w:rPr>
              <w:rFonts w:asciiTheme="minorHAnsi" w:eastAsiaTheme="minorEastAsia" w:hAnsiTheme="minorHAnsi" w:cstheme="minorBidi"/>
              <w:noProof/>
              <w:sz w:val="22"/>
              <w:szCs w:val="22"/>
              <w:lang w:eastAsia="en-AU"/>
            </w:rPr>
          </w:pPr>
          <w:hyperlink w:anchor="_Toc4141993" w:history="1">
            <w:r w:rsidR="00463F5A" w:rsidRPr="005217E0">
              <w:rPr>
                <w:rStyle w:val="Hyperlink"/>
                <w:noProof/>
                <w:lang w:eastAsia="en-AU"/>
              </w:rPr>
              <w:t>Role</w:t>
            </w:r>
            <w:r w:rsidR="00463F5A">
              <w:rPr>
                <w:noProof/>
                <w:webHidden/>
              </w:rPr>
              <w:tab/>
            </w:r>
            <w:r w:rsidR="00463F5A">
              <w:rPr>
                <w:noProof/>
                <w:webHidden/>
              </w:rPr>
              <w:fldChar w:fldCharType="begin"/>
            </w:r>
            <w:r w:rsidR="00463F5A">
              <w:rPr>
                <w:noProof/>
                <w:webHidden/>
              </w:rPr>
              <w:instrText xml:space="preserve"> PAGEREF _Toc4141993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33DC67AF" w14:textId="7D7E5EAB" w:rsidR="00463F5A" w:rsidRDefault="0016341D">
          <w:pPr>
            <w:pStyle w:val="TOC3"/>
            <w:rPr>
              <w:rFonts w:asciiTheme="minorHAnsi" w:eastAsiaTheme="minorEastAsia" w:hAnsiTheme="minorHAnsi" w:cstheme="minorBidi"/>
              <w:noProof/>
              <w:sz w:val="22"/>
              <w:szCs w:val="22"/>
              <w:lang w:eastAsia="en-AU"/>
            </w:rPr>
          </w:pPr>
          <w:hyperlink w:anchor="_Toc4141994" w:history="1">
            <w:r w:rsidR="00463F5A" w:rsidRPr="005217E0">
              <w:rPr>
                <w:rStyle w:val="Hyperlink"/>
                <w:noProof/>
                <w:lang w:eastAsia="en-AU"/>
              </w:rPr>
              <w:t>Membership</w:t>
            </w:r>
            <w:r w:rsidR="00463F5A">
              <w:rPr>
                <w:noProof/>
                <w:webHidden/>
              </w:rPr>
              <w:tab/>
            </w:r>
            <w:r w:rsidR="00463F5A">
              <w:rPr>
                <w:noProof/>
                <w:webHidden/>
              </w:rPr>
              <w:fldChar w:fldCharType="begin"/>
            </w:r>
            <w:r w:rsidR="00463F5A">
              <w:rPr>
                <w:noProof/>
                <w:webHidden/>
              </w:rPr>
              <w:instrText xml:space="preserve"> PAGEREF _Toc4141994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29826696" w14:textId="4EF7B81C" w:rsidR="00463F5A" w:rsidRDefault="0016341D">
          <w:pPr>
            <w:pStyle w:val="TOC3"/>
            <w:rPr>
              <w:rFonts w:asciiTheme="minorHAnsi" w:eastAsiaTheme="minorEastAsia" w:hAnsiTheme="minorHAnsi" w:cstheme="minorBidi"/>
              <w:noProof/>
              <w:sz w:val="22"/>
              <w:szCs w:val="22"/>
              <w:lang w:eastAsia="en-AU"/>
            </w:rPr>
          </w:pPr>
          <w:hyperlink w:anchor="_Toc4141995" w:history="1">
            <w:r w:rsidR="00463F5A" w:rsidRPr="005217E0">
              <w:rPr>
                <w:rStyle w:val="Hyperlink"/>
                <w:noProof/>
                <w:lang w:eastAsia="en-AU"/>
              </w:rPr>
              <w:t>Chair</w:t>
            </w:r>
            <w:r w:rsidR="00463F5A">
              <w:rPr>
                <w:noProof/>
                <w:webHidden/>
              </w:rPr>
              <w:tab/>
            </w:r>
            <w:r w:rsidR="00463F5A">
              <w:rPr>
                <w:noProof/>
                <w:webHidden/>
              </w:rPr>
              <w:fldChar w:fldCharType="begin"/>
            </w:r>
            <w:r w:rsidR="00463F5A">
              <w:rPr>
                <w:noProof/>
                <w:webHidden/>
              </w:rPr>
              <w:instrText xml:space="preserve"> PAGEREF _Toc4141995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0AA6634F" w14:textId="72780F5A" w:rsidR="00463F5A" w:rsidRDefault="0016341D">
          <w:pPr>
            <w:pStyle w:val="TOC3"/>
            <w:rPr>
              <w:rFonts w:asciiTheme="minorHAnsi" w:eastAsiaTheme="minorEastAsia" w:hAnsiTheme="minorHAnsi" w:cstheme="minorBidi"/>
              <w:noProof/>
              <w:sz w:val="22"/>
              <w:szCs w:val="22"/>
              <w:lang w:eastAsia="en-AU"/>
            </w:rPr>
          </w:pPr>
          <w:hyperlink w:anchor="_Toc4141996" w:history="1">
            <w:r w:rsidR="00463F5A" w:rsidRPr="005217E0">
              <w:rPr>
                <w:rStyle w:val="Hyperlink"/>
                <w:noProof/>
                <w:lang w:eastAsia="en-AU"/>
              </w:rPr>
              <w:t>Working group meeting design and frequency</w:t>
            </w:r>
            <w:r w:rsidR="00463F5A">
              <w:rPr>
                <w:noProof/>
                <w:webHidden/>
              </w:rPr>
              <w:tab/>
            </w:r>
            <w:r w:rsidR="00463F5A">
              <w:rPr>
                <w:noProof/>
                <w:webHidden/>
              </w:rPr>
              <w:fldChar w:fldCharType="begin"/>
            </w:r>
            <w:r w:rsidR="00463F5A">
              <w:rPr>
                <w:noProof/>
                <w:webHidden/>
              </w:rPr>
              <w:instrText xml:space="preserve"> PAGEREF _Toc4141996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2C3C86DF" w14:textId="6DACC086" w:rsidR="00463F5A" w:rsidRDefault="0016341D">
          <w:pPr>
            <w:pStyle w:val="TOC3"/>
            <w:rPr>
              <w:rFonts w:asciiTheme="minorHAnsi" w:eastAsiaTheme="minorEastAsia" w:hAnsiTheme="minorHAnsi" w:cstheme="minorBidi"/>
              <w:noProof/>
              <w:sz w:val="22"/>
              <w:szCs w:val="22"/>
              <w:lang w:eastAsia="en-AU"/>
            </w:rPr>
          </w:pPr>
          <w:hyperlink w:anchor="_Toc4141997" w:history="1">
            <w:r w:rsidR="00463F5A" w:rsidRPr="005217E0">
              <w:rPr>
                <w:rStyle w:val="Hyperlink"/>
                <w:noProof/>
                <w:lang w:eastAsia="en-AU"/>
              </w:rPr>
              <w:t>Reporting</w:t>
            </w:r>
            <w:r w:rsidR="00463F5A">
              <w:rPr>
                <w:noProof/>
                <w:webHidden/>
              </w:rPr>
              <w:tab/>
            </w:r>
            <w:r w:rsidR="00463F5A">
              <w:rPr>
                <w:noProof/>
                <w:webHidden/>
              </w:rPr>
              <w:fldChar w:fldCharType="begin"/>
            </w:r>
            <w:r w:rsidR="00463F5A">
              <w:rPr>
                <w:noProof/>
                <w:webHidden/>
              </w:rPr>
              <w:instrText xml:space="preserve"> PAGEREF _Toc4141997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290EE331" w14:textId="2345557E" w:rsidR="00463F5A" w:rsidRDefault="0016341D">
          <w:pPr>
            <w:pStyle w:val="TOC3"/>
            <w:rPr>
              <w:rFonts w:asciiTheme="minorHAnsi" w:eastAsiaTheme="minorEastAsia" w:hAnsiTheme="minorHAnsi" w:cstheme="minorBidi"/>
              <w:noProof/>
              <w:sz w:val="22"/>
              <w:szCs w:val="22"/>
              <w:lang w:eastAsia="en-AU"/>
            </w:rPr>
          </w:pPr>
          <w:hyperlink w:anchor="_Toc4141998" w:history="1">
            <w:r w:rsidR="00463F5A" w:rsidRPr="005217E0">
              <w:rPr>
                <w:rStyle w:val="Hyperlink"/>
                <w:noProof/>
                <w:lang w:eastAsia="en-AU"/>
              </w:rPr>
              <w:t>Term of working group</w:t>
            </w:r>
            <w:r w:rsidR="00463F5A">
              <w:rPr>
                <w:noProof/>
                <w:webHidden/>
              </w:rPr>
              <w:tab/>
            </w:r>
            <w:r w:rsidR="00463F5A">
              <w:rPr>
                <w:noProof/>
                <w:webHidden/>
              </w:rPr>
              <w:fldChar w:fldCharType="begin"/>
            </w:r>
            <w:r w:rsidR="00463F5A">
              <w:rPr>
                <w:noProof/>
                <w:webHidden/>
              </w:rPr>
              <w:instrText xml:space="preserve"> PAGEREF _Toc4141998 \h </w:instrText>
            </w:r>
            <w:r w:rsidR="00463F5A">
              <w:rPr>
                <w:noProof/>
                <w:webHidden/>
              </w:rPr>
            </w:r>
            <w:r w:rsidR="00463F5A">
              <w:rPr>
                <w:noProof/>
                <w:webHidden/>
              </w:rPr>
              <w:fldChar w:fldCharType="separate"/>
            </w:r>
            <w:r w:rsidR="00463F5A">
              <w:rPr>
                <w:noProof/>
                <w:webHidden/>
              </w:rPr>
              <w:t>15</w:t>
            </w:r>
            <w:r w:rsidR="00463F5A">
              <w:rPr>
                <w:noProof/>
                <w:webHidden/>
              </w:rPr>
              <w:fldChar w:fldCharType="end"/>
            </w:r>
          </w:hyperlink>
        </w:p>
        <w:p w14:paraId="3B2EA1E6" w14:textId="7E3AA32D" w:rsidR="00463F5A" w:rsidRDefault="0016341D">
          <w:pPr>
            <w:pStyle w:val="TOC3"/>
            <w:rPr>
              <w:rFonts w:asciiTheme="minorHAnsi" w:eastAsiaTheme="minorEastAsia" w:hAnsiTheme="minorHAnsi" w:cstheme="minorBidi"/>
              <w:noProof/>
              <w:sz w:val="22"/>
              <w:szCs w:val="22"/>
              <w:lang w:eastAsia="en-AU"/>
            </w:rPr>
          </w:pPr>
          <w:hyperlink w:anchor="_Toc4141999" w:history="1">
            <w:r w:rsidR="00463F5A" w:rsidRPr="005217E0">
              <w:rPr>
                <w:rStyle w:val="Hyperlink"/>
                <w:noProof/>
                <w:lang w:eastAsia="en-AU"/>
              </w:rPr>
              <w:t>Secretariat</w:t>
            </w:r>
            <w:r w:rsidR="00463F5A">
              <w:rPr>
                <w:noProof/>
                <w:webHidden/>
              </w:rPr>
              <w:tab/>
            </w:r>
            <w:r w:rsidR="00463F5A">
              <w:rPr>
                <w:noProof/>
                <w:webHidden/>
              </w:rPr>
              <w:fldChar w:fldCharType="begin"/>
            </w:r>
            <w:r w:rsidR="00463F5A">
              <w:rPr>
                <w:noProof/>
                <w:webHidden/>
              </w:rPr>
              <w:instrText xml:space="preserve"> PAGEREF _Toc4141999 \h </w:instrText>
            </w:r>
            <w:r w:rsidR="00463F5A">
              <w:rPr>
                <w:noProof/>
                <w:webHidden/>
              </w:rPr>
            </w:r>
            <w:r w:rsidR="00463F5A">
              <w:rPr>
                <w:noProof/>
                <w:webHidden/>
              </w:rPr>
              <w:fldChar w:fldCharType="separate"/>
            </w:r>
            <w:r w:rsidR="00463F5A">
              <w:rPr>
                <w:noProof/>
                <w:webHidden/>
              </w:rPr>
              <w:t>16</w:t>
            </w:r>
            <w:r w:rsidR="00463F5A">
              <w:rPr>
                <w:noProof/>
                <w:webHidden/>
              </w:rPr>
              <w:fldChar w:fldCharType="end"/>
            </w:r>
          </w:hyperlink>
        </w:p>
        <w:p w14:paraId="0705B8E5" w14:textId="4CC06150" w:rsidR="00463F5A" w:rsidRDefault="0016341D">
          <w:pPr>
            <w:pStyle w:val="TOC2"/>
            <w:rPr>
              <w:rFonts w:asciiTheme="minorHAnsi" w:eastAsiaTheme="minorEastAsia" w:hAnsiTheme="minorHAnsi" w:cstheme="minorBidi"/>
              <w:sz w:val="22"/>
              <w:szCs w:val="22"/>
              <w:lang w:eastAsia="en-AU"/>
            </w:rPr>
          </w:pPr>
          <w:hyperlink w:anchor="_Toc4142000" w:history="1">
            <w:r w:rsidR="00463F5A" w:rsidRPr="005217E0">
              <w:rPr>
                <w:rStyle w:val="Hyperlink"/>
                <w:rFonts w:cs="Arial"/>
                <w:lang w:eastAsia="en-AU"/>
              </w:rPr>
              <w:t>1.8 Whole of Victorian Government Common Funding Agreement</w:t>
            </w:r>
            <w:r w:rsidR="00463F5A">
              <w:rPr>
                <w:webHidden/>
              </w:rPr>
              <w:tab/>
            </w:r>
            <w:r w:rsidR="00463F5A">
              <w:rPr>
                <w:webHidden/>
              </w:rPr>
              <w:fldChar w:fldCharType="begin"/>
            </w:r>
            <w:r w:rsidR="00463F5A">
              <w:rPr>
                <w:webHidden/>
              </w:rPr>
              <w:instrText xml:space="preserve"> PAGEREF _Toc4142000 \h </w:instrText>
            </w:r>
            <w:r w:rsidR="00463F5A">
              <w:rPr>
                <w:webHidden/>
              </w:rPr>
            </w:r>
            <w:r w:rsidR="00463F5A">
              <w:rPr>
                <w:webHidden/>
              </w:rPr>
              <w:fldChar w:fldCharType="separate"/>
            </w:r>
            <w:r w:rsidR="00463F5A">
              <w:rPr>
                <w:webHidden/>
              </w:rPr>
              <w:t>16</w:t>
            </w:r>
            <w:r w:rsidR="00463F5A">
              <w:rPr>
                <w:webHidden/>
              </w:rPr>
              <w:fldChar w:fldCharType="end"/>
            </w:r>
          </w:hyperlink>
        </w:p>
        <w:p w14:paraId="0192CF7C" w14:textId="4EC501E6" w:rsidR="00463F5A" w:rsidRDefault="0016341D">
          <w:pPr>
            <w:pStyle w:val="TOC3"/>
            <w:rPr>
              <w:rFonts w:asciiTheme="minorHAnsi" w:eastAsiaTheme="minorEastAsia" w:hAnsiTheme="minorHAnsi" w:cstheme="minorBidi"/>
              <w:noProof/>
              <w:sz w:val="22"/>
              <w:szCs w:val="22"/>
              <w:lang w:eastAsia="en-AU"/>
            </w:rPr>
          </w:pPr>
          <w:hyperlink w:anchor="_Toc4142001" w:history="1">
            <w:r w:rsidR="00463F5A" w:rsidRPr="005217E0">
              <w:rPr>
                <w:rStyle w:val="Hyperlink"/>
                <w:noProof/>
                <w:lang w:eastAsia="en-AU"/>
              </w:rPr>
              <w:t>What changes will be made to the department’s Service agreement to align with the CFA?</w:t>
            </w:r>
            <w:r w:rsidR="00463F5A">
              <w:rPr>
                <w:noProof/>
                <w:webHidden/>
              </w:rPr>
              <w:tab/>
            </w:r>
            <w:r w:rsidR="00463F5A">
              <w:rPr>
                <w:noProof/>
                <w:webHidden/>
              </w:rPr>
              <w:fldChar w:fldCharType="begin"/>
            </w:r>
            <w:r w:rsidR="00463F5A">
              <w:rPr>
                <w:noProof/>
                <w:webHidden/>
              </w:rPr>
              <w:instrText xml:space="preserve"> PAGEREF _Toc4142001 \h </w:instrText>
            </w:r>
            <w:r w:rsidR="00463F5A">
              <w:rPr>
                <w:noProof/>
                <w:webHidden/>
              </w:rPr>
            </w:r>
            <w:r w:rsidR="00463F5A">
              <w:rPr>
                <w:noProof/>
                <w:webHidden/>
              </w:rPr>
              <w:fldChar w:fldCharType="separate"/>
            </w:r>
            <w:r w:rsidR="00463F5A">
              <w:rPr>
                <w:noProof/>
                <w:webHidden/>
              </w:rPr>
              <w:t>16</w:t>
            </w:r>
            <w:r w:rsidR="00463F5A">
              <w:rPr>
                <w:noProof/>
                <w:webHidden/>
              </w:rPr>
              <w:fldChar w:fldCharType="end"/>
            </w:r>
          </w:hyperlink>
        </w:p>
        <w:p w14:paraId="782E748D" w14:textId="5958D4B8" w:rsidR="00463F5A" w:rsidRDefault="0016341D">
          <w:pPr>
            <w:pStyle w:val="TOC3"/>
            <w:rPr>
              <w:rFonts w:asciiTheme="minorHAnsi" w:eastAsiaTheme="minorEastAsia" w:hAnsiTheme="minorHAnsi" w:cstheme="minorBidi"/>
              <w:noProof/>
              <w:sz w:val="22"/>
              <w:szCs w:val="22"/>
              <w:lang w:eastAsia="en-AU"/>
            </w:rPr>
          </w:pPr>
          <w:hyperlink w:anchor="_Toc4142002" w:history="1">
            <w:r w:rsidR="00463F5A" w:rsidRPr="005217E0">
              <w:rPr>
                <w:rStyle w:val="Hyperlink"/>
                <w:noProof/>
                <w:lang w:eastAsia="en-AU"/>
              </w:rPr>
              <w:t>What are the key differences between the Service agreement terms and conditions and the standard Common Funding Agreement?</w:t>
            </w:r>
            <w:r w:rsidR="00463F5A">
              <w:rPr>
                <w:noProof/>
                <w:webHidden/>
              </w:rPr>
              <w:tab/>
            </w:r>
            <w:r w:rsidR="00463F5A">
              <w:rPr>
                <w:noProof/>
                <w:webHidden/>
              </w:rPr>
              <w:fldChar w:fldCharType="begin"/>
            </w:r>
            <w:r w:rsidR="00463F5A">
              <w:rPr>
                <w:noProof/>
                <w:webHidden/>
              </w:rPr>
              <w:instrText xml:space="preserve"> PAGEREF _Toc4142002 \h </w:instrText>
            </w:r>
            <w:r w:rsidR="00463F5A">
              <w:rPr>
                <w:noProof/>
                <w:webHidden/>
              </w:rPr>
            </w:r>
            <w:r w:rsidR="00463F5A">
              <w:rPr>
                <w:noProof/>
                <w:webHidden/>
              </w:rPr>
              <w:fldChar w:fldCharType="separate"/>
            </w:r>
            <w:r w:rsidR="00463F5A">
              <w:rPr>
                <w:noProof/>
                <w:webHidden/>
              </w:rPr>
              <w:t>16</w:t>
            </w:r>
            <w:r w:rsidR="00463F5A">
              <w:rPr>
                <w:noProof/>
                <w:webHidden/>
              </w:rPr>
              <w:fldChar w:fldCharType="end"/>
            </w:r>
          </w:hyperlink>
        </w:p>
        <w:p w14:paraId="293A4162" w14:textId="47D908A5" w:rsidR="00463F5A" w:rsidRDefault="0016341D">
          <w:pPr>
            <w:pStyle w:val="TOC1"/>
            <w:rPr>
              <w:rFonts w:asciiTheme="minorHAnsi" w:eastAsiaTheme="minorEastAsia" w:hAnsiTheme="minorHAnsi" w:cstheme="minorBidi"/>
              <w:b w:val="0"/>
              <w:sz w:val="22"/>
              <w:szCs w:val="22"/>
              <w:lang w:eastAsia="en-AU"/>
            </w:rPr>
          </w:pPr>
          <w:hyperlink w:anchor="_Toc4142003" w:history="1">
            <w:r w:rsidR="00463F5A" w:rsidRPr="005217E0">
              <w:rPr>
                <w:rStyle w:val="Hyperlink"/>
                <w:lang w:eastAsia="en-AU"/>
              </w:rPr>
              <w:t>Chapter 2. Service agreements</w:t>
            </w:r>
            <w:r w:rsidR="00463F5A">
              <w:rPr>
                <w:webHidden/>
              </w:rPr>
              <w:tab/>
            </w:r>
            <w:r w:rsidR="00463F5A">
              <w:rPr>
                <w:webHidden/>
              </w:rPr>
              <w:fldChar w:fldCharType="begin"/>
            </w:r>
            <w:r w:rsidR="00463F5A">
              <w:rPr>
                <w:webHidden/>
              </w:rPr>
              <w:instrText xml:space="preserve"> PAGEREF _Toc4142003 \h </w:instrText>
            </w:r>
            <w:r w:rsidR="00463F5A">
              <w:rPr>
                <w:webHidden/>
              </w:rPr>
            </w:r>
            <w:r w:rsidR="00463F5A">
              <w:rPr>
                <w:webHidden/>
              </w:rPr>
              <w:fldChar w:fldCharType="separate"/>
            </w:r>
            <w:r w:rsidR="00463F5A">
              <w:rPr>
                <w:webHidden/>
              </w:rPr>
              <w:t>18</w:t>
            </w:r>
            <w:r w:rsidR="00463F5A">
              <w:rPr>
                <w:webHidden/>
              </w:rPr>
              <w:fldChar w:fldCharType="end"/>
            </w:r>
          </w:hyperlink>
        </w:p>
        <w:p w14:paraId="3AEB0ADE" w14:textId="560E4BD3" w:rsidR="00463F5A" w:rsidRDefault="0016341D">
          <w:pPr>
            <w:pStyle w:val="TOC2"/>
            <w:rPr>
              <w:rFonts w:asciiTheme="minorHAnsi" w:eastAsiaTheme="minorEastAsia" w:hAnsiTheme="minorHAnsi" w:cstheme="minorBidi"/>
              <w:sz w:val="22"/>
              <w:szCs w:val="22"/>
              <w:lang w:eastAsia="en-AU"/>
            </w:rPr>
          </w:pPr>
          <w:hyperlink w:anchor="_Toc4142004" w:history="1">
            <w:r w:rsidR="00463F5A" w:rsidRPr="005217E0">
              <w:rPr>
                <w:rStyle w:val="Hyperlink"/>
                <w:rFonts w:cs="Arial"/>
                <w:lang w:eastAsia="en-AU"/>
              </w:rPr>
              <w:t>2.1 Role of Service agreements</w:t>
            </w:r>
            <w:r w:rsidR="00463F5A">
              <w:rPr>
                <w:webHidden/>
              </w:rPr>
              <w:tab/>
            </w:r>
            <w:r w:rsidR="00463F5A">
              <w:rPr>
                <w:webHidden/>
              </w:rPr>
              <w:fldChar w:fldCharType="begin"/>
            </w:r>
            <w:r w:rsidR="00463F5A">
              <w:rPr>
                <w:webHidden/>
              </w:rPr>
              <w:instrText xml:space="preserve"> PAGEREF _Toc4142004 \h </w:instrText>
            </w:r>
            <w:r w:rsidR="00463F5A">
              <w:rPr>
                <w:webHidden/>
              </w:rPr>
            </w:r>
            <w:r w:rsidR="00463F5A">
              <w:rPr>
                <w:webHidden/>
              </w:rPr>
              <w:fldChar w:fldCharType="separate"/>
            </w:r>
            <w:r w:rsidR="00463F5A">
              <w:rPr>
                <w:webHidden/>
              </w:rPr>
              <w:t>18</w:t>
            </w:r>
            <w:r w:rsidR="00463F5A">
              <w:rPr>
                <w:webHidden/>
              </w:rPr>
              <w:fldChar w:fldCharType="end"/>
            </w:r>
          </w:hyperlink>
        </w:p>
        <w:p w14:paraId="660CBE50" w14:textId="3B2D5CDA" w:rsidR="00463F5A" w:rsidRDefault="0016341D">
          <w:pPr>
            <w:pStyle w:val="TOC2"/>
            <w:rPr>
              <w:rFonts w:asciiTheme="minorHAnsi" w:eastAsiaTheme="minorEastAsia" w:hAnsiTheme="minorHAnsi" w:cstheme="minorBidi"/>
              <w:sz w:val="22"/>
              <w:szCs w:val="22"/>
              <w:lang w:eastAsia="en-AU"/>
            </w:rPr>
          </w:pPr>
          <w:hyperlink w:anchor="_Toc4142005" w:history="1">
            <w:r w:rsidR="00463F5A" w:rsidRPr="005217E0">
              <w:rPr>
                <w:rStyle w:val="Hyperlink"/>
                <w:rFonts w:cs="Arial"/>
                <w:lang w:eastAsia="en-AU"/>
              </w:rPr>
              <w:t>2.2 Service agreement document and structure</w:t>
            </w:r>
            <w:r w:rsidR="00463F5A">
              <w:rPr>
                <w:webHidden/>
              </w:rPr>
              <w:tab/>
            </w:r>
            <w:r w:rsidR="00463F5A">
              <w:rPr>
                <w:webHidden/>
              </w:rPr>
              <w:fldChar w:fldCharType="begin"/>
            </w:r>
            <w:r w:rsidR="00463F5A">
              <w:rPr>
                <w:webHidden/>
              </w:rPr>
              <w:instrText xml:space="preserve"> PAGEREF _Toc4142005 \h </w:instrText>
            </w:r>
            <w:r w:rsidR="00463F5A">
              <w:rPr>
                <w:webHidden/>
              </w:rPr>
            </w:r>
            <w:r w:rsidR="00463F5A">
              <w:rPr>
                <w:webHidden/>
              </w:rPr>
              <w:fldChar w:fldCharType="separate"/>
            </w:r>
            <w:r w:rsidR="00463F5A">
              <w:rPr>
                <w:webHidden/>
              </w:rPr>
              <w:t>18</w:t>
            </w:r>
            <w:r w:rsidR="00463F5A">
              <w:rPr>
                <w:webHidden/>
              </w:rPr>
              <w:fldChar w:fldCharType="end"/>
            </w:r>
          </w:hyperlink>
        </w:p>
        <w:p w14:paraId="11EDF0D6" w14:textId="56C478BA" w:rsidR="00463F5A" w:rsidRDefault="0016341D">
          <w:pPr>
            <w:pStyle w:val="TOC3"/>
            <w:rPr>
              <w:rFonts w:asciiTheme="minorHAnsi" w:eastAsiaTheme="minorEastAsia" w:hAnsiTheme="minorHAnsi" w:cstheme="minorBidi"/>
              <w:noProof/>
              <w:sz w:val="22"/>
              <w:szCs w:val="22"/>
              <w:lang w:eastAsia="en-AU"/>
            </w:rPr>
          </w:pPr>
          <w:hyperlink w:anchor="_Toc4142006" w:history="1">
            <w:r w:rsidR="00463F5A" w:rsidRPr="005217E0">
              <w:rPr>
                <w:rStyle w:val="Hyperlink"/>
                <w:noProof/>
                <w:lang w:eastAsia="en-AU"/>
              </w:rPr>
              <w:t>Service agreement structure</w:t>
            </w:r>
            <w:r w:rsidR="00463F5A">
              <w:rPr>
                <w:noProof/>
                <w:webHidden/>
              </w:rPr>
              <w:tab/>
            </w:r>
            <w:r w:rsidR="00463F5A">
              <w:rPr>
                <w:noProof/>
                <w:webHidden/>
              </w:rPr>
              <w:fldChar w:fldCharType="begin"/>
            </w:r>
            <w:r w:rsidR="00463F5A">
              <w:rPr>
                <w:noProof/>
                <w:webHidden/>
              </w:rPr>
              <w:instrText xml:space="preserve"> PAGEREF _Toc4142006 \h </w:instrText>
            </w:r>
            <w:r w:rsidR="00463F5A">
              <w:rPr>
                <w:noProof/>
                <w:webHidden/>
              </w:rPr>
            </w:r>
            <w:r w:rsidR="00463F5A">
              <w:rPr>
                <w:noProof/>
                <w:webHidden/>
              </w:rPr>
              <w:fldChar w:fldCharType="separate"/>
            </w:r>
            <w:r w:rsidR="00463F5A">
              <w:rPr>
                <w:noProof/>
                <w:webHidden/>
              </w:rPr>
              <w:t>18</w:t>
            </w:r>
            <w:r w:rsidR="00463F5A">
              <w:rPr>
                <w:noProof/>
                <w:webHidden/>
              </w:rPr>
              <w:fldChar w:fldCharType="end"/>
            </w:r>
          </w:hyperlink>
        </w:p>
        <w:p w14:paraId="703CF930" w14:textId="668E15DB" w:rsidR="00463F5A" w:rsidRDefault="0016341D">
          <w:pPr>
            <w:pStyle w:val="TOC2"/>
            <w:rPr>
              <w:rFonts w:asciiTheme="minorHAnsi" w:eastAsiaTheme="minorEastAsia" w:hAnsiTheme="minorHAnsi" w:cstheme="minorBidi"/>
              <w:sz w:val="22"/>
              <w:szCs w:val="22"/>
              <w:lang w:eastAsia="en-AU"/>
            </w:rPr>
          </w:pPr>
          <w:hyperlink w:anchor="_Toc4142007" w:history="1">
            <w:r w:rsidR="00463F5A" w:rsidRPr="005217E0">
              <w:rPr>
                <w:rStyle w:val="Hyperlink"/>
                <w:rFonts w:cs="Arial"/>
                <w:lang w:eastAsia="en-AU"/>
              </w:rPr>
              <w:t>2.3 Entering into a new Service agreement</w:t>
            </w:r>
            <w:r w:rsidR="00463F5A">
              <w:rPr>
                <w:webHidden/>
              </w:rPr>
              <w:tab/>
            </w:r>
            <w:r w:rsidR="00463F5A">
              <w:rPr>
                <w:webHidden/>
              </w:rPr>
              <w:fldChar w:fldCharType="begin"/>
            </w:r>
            <w:r w:rsidR="00463F5A">
              <w:rPr>
                <w:webHidden/>
              </w:rPr>
              <w:instrText xml:space="preserve"> PAGEREF _Toc4142007 \h </w:instrText>
            </w:r>
            <w:r w:rsidR="00463F5A">
              <w:rPr>
                <w:webHidden/>
              </w:rPr>
            </w:r>
            <w:r w:rsidR="00463F5A">
              <w:rPr>
                <w:webHidden/>
              </w:rPr>
              <w:fldChar w:fldCharType="separate"/>
            </w:r>
            <w:r w:rsidR="00463F5A">
              <w:rPr>
                <w:webHidden/>
              </w:rPr>
              <w:t>20</w:t>
            </w:r>
            <w:r w:rsidR="00463F5A">
              <w:rPr>
                <w:webHidden/>
              </w:rPr>
              <w:fldChar w:fldCharType="end"/>
            </w:r>
          </w:hyperlink>
        </w:p>
        <w:p w14:paraId="6E309029" w14:textId="16690E6A" w:rsidR="00463F5A" w:rsidRDefault="0016341D">
          <w:pPr>
            <w:pStyle w:val="TOC3"/>
            <w:rPr>
              <w:rFonts w:asciiTheme="minorHAnsi" w:eastAsiaTheme="minorEastAsia" w:hAnsiTheme="minorHAnsi" w:cstheme="minorBidi"/>
              <w:noProof/>
              <w:sz w:val="22"/>
              <w:szCs w:val="22"/>
              <w:lang w:eastAsia="en-AU"/>
            </w:rPr>
          </w:pPr>
          <w:hyperlink w:anchor="_Toc4142008" w:history="1">
            <w:r w:rsidR="00463F5A" w:rsidRPr="005217E0">
              <w:rPr>
                <w:rStyle w:val="Hyperlink"/>
                <w:noProof/>
                <w:lang w:eastAsia="en-AU"/>
              </w:rPr>
              <w:t>Organisational contact details and legal status</w:t>
            </w:r>
            <w:r w:rsidR="00463F5A">
              <w:rPr>
                <w:noProof/>
                <w:webHidden/>
              </w:rPr>
              <w:tab/>
            </w:r>
            <w:r w:rsidR="00463F5A">
              <w:rPr>
                <w:noProof/>
                <w:webHidden/>
              </w:rPr>
              <w:fldChar w:fldCharType="begin"/>
            </w:r>
            <w:r w:rsidR="00463F5A">
              <w:rPr>
                <w:noProof/>
                <w:webHidden/>
              </w:rPr>
              <w:instrText xml:space="preserve"> PAGEREF _Toc4142008 \h </w:instrText>
            </w:r>
            <w:r w:rsidR="00463F5A">
              <w:rPr>
                <w:noProof/>
                <w:webHidden/>
              </w:rPr>
            </w:r>
            <w:r w:rsidR="00463F5A">
              <w:rPr>
                <w:noProof/>
                <w:webHidden/>
              </w:rPr>
              <w:fldChar w:fldCharType="separate"/>
            </w:r>
            <w:r w:rsidR="00463F5A">
              <w:rPr>
                <w:noProof/>
                <w:webHidden/>
              </w:rPr>
              <w:t>20</w:t>
            </w:r>
            <w:r w:rsidR="00463F5A">
              <w:rPr>
                <w:noProof/>
                <w:webHidden/>
              </w:rPr>
              <w:fldChar w:fldCharType="end"/>
            </w:r>
          </w:hyperlink>
        </w:p>
        <w:p w14:paraId="58175A1F" w14:textId="5DB73BD6" w:rsidR="00463F5A" w:rsidRDefault="0016341D">
          <w:pPr>
            <w:pStyle w:val="TOC3"/>
            <w:rPr>
              <w:rFonts w:asciiTheme="minorHAnsi" w:eastAsiaTheme="minorEastAsia" w:hAnsiTheme="minorHAnsi" w:cstheme="minorBidi"/>
              <w:noProof/>
              <w:sz w:val="22"/>
              <w:szCs w:val="22"/>
              <w:lang w:eastAsia="en-AU"/>
            </w:rPr>
          </w:pPr>
          <w:hyperlink w:anchor="_Toc4142009" w:history="1">
            <w:r w:rsidR="00463F5A" w:rsidRPr="005217E0">
              <w:rPr>
                <w:rStyle w:val="Hyperlink"/>
                <w:noProof/>
                <w:lang w:eastAsia="en-AU"/>
              </w:rPr>
              <w:t>Details for the electronic transfer of payments</w:t>
            </w:r>
            <w:r w:rsidR="00463F5A">
              <w:rPr>
                <w:noProof/>
                <w:webHidden/>
              </w:rPr>
              <w:tab/>
            </w:r>
            <w:r w:rsidR="00463F5A">
              <w:rPr>
                <w:noProof/>
                <w:webHidden/>
              </w:rPr>
              <w:fldChar w:fldCharType="begin"/>
            </w:r>
            <w:r w:rsidR="00463F5A">
              <w:rPr>
                <w:noProof/>
                <w:webHidden/>
              </w:rPr>
              <w:instrText xml:space="preserve"> PAGEREF _Toc4142009 \h </w:instrText>
            </w:r>
            <w:r w:rsidR="00463F5A">
              <w:rPr>
                <w:noProof/>
                <w:webHidden/>
              </w:rPr>
            </w:r>
            <w:r w:rsidR="00463F5A">
              <w:rPr>
                <w:noProof/>
                <w:webHidden/>
              </w:rPr>
              <w:fldChar w:fldCharType="separate"/>
            </w:r>
            <w:r w:rsidR="00463F5A">
              <w:rPr>
                <w:noProof/>
                <w:webHidden/>
              </w:rPr>
              <w:t>21</w:t>
            </w:r>
            <w:r w:rsidR="00463F5A">
              <w:rPr>
                <w:noProof/>
                <w:webHidden/>
              </w:rPr>
              <w:fldChar w:fldCharType="end"/>
            </w:r>
          </w:hyperlink>
        </w:p>
        <w:p w14:paraId="12E94064" w14:textId="04032A5E" w:rsidR="00463F5A" w:rsidRDefault="0016341D">
          <w:pPr>
            <w:pStyle w:val="TOC3"/>
            <w:rPr>
              <w:rFonts w:asciiTheme="minorHAnsi" w:eastAsiaTheme="minorEastAsia" w:hAnsiTheme="minorHAnsi" w:cstheme="minorBidi"/>
              <w:noProof/>
              <w:sz w:val="22"/>
              <w:szCs w:val="22"/>
              <w:lang w:eastAsia="en-AU"/>
            </w:rPr>
          </w:pPr>
          <w:hyperlink w:anchor="_Toc4142010" w:history="1">
            <w:r w:rsidR="00463F5A" w:rsidRPr="005217E0">
              <w:rPr>
                <w:rStyle w:val="Hyperlink"/>
                <w:noProof/>
                <w:lang w:eastAsia="en-AU"/>
              </w:rPr>
              <w:t>eBusiness agreement</w:t>
            </w:r>
            <w:r w:rsidR="00463F5A">
              <w:rPr>
                <w:noProof/>
                <w:webHidden/>
              </w:rPr>
              <w:tab/>
            </w:r>
            <w:r w:rsidR="00463F5A">
              <w:rPr>
                <w:noProof/>
                <w:webHidden/>
              </w:rPr>
              <w:fldChar w:fldCharType="begin"/>
            </w:r>
            <w:r w:rsidR="00463F5A">
              <w:rPr>
                <w:noProof/>
                <w:webHidden/>
              </w:rPr>
              <w:instrText xml:space="preserve"> PAGEREF _Toc4142010 \h </w:instrText>
            </w:r>
            <w:r w:rsidR="00463F5A">
              <w:rPr>
                <w:noProof/>
                <w:webHidden/>
              </w:rPr>
            </w:r>
            <w:r w:rsidR="00463F5A">
              <w:rPr>
                <w:noProof/>
                <w:webHidden/>
              </w:rPr>
              <w:fldChar w:fldCharType="separate"/>
            </w:r>
            <w:r w:rsidR="00463F5A">
              <w:rPr>
                <w:noProof/>
                <w:webHidden/>
              </w:rPr>
              <w:t>21</w:t>
            </w:r>
            <w:r w:rsidR="00463F5A">
              <w:rPr>
                <w:noProof/>
                <w:webHidden/>
              </w:rPr>
              <w:fldChar w:fldCharType="end"/>
            </w:r>
          </w:hyperlink>
        </w:p>
        <w:p w14:paraId="1957E9BD" w14:textId="488AD655" w:rsidR="00463F5A" w:rsidRDefault="0016341D">
          <w:pPr>
            <w:pStyle w:val="TOC3"/>
            <w:rPr>
              <w:rFonts w:asciiTheme="minorHAnsi" w:eastAsiaTheme="minorEastAsia" w:hAnsiTheme="minorHAnsi" w:cstheme="minorBidi"/>
              <w:noProof/>
              <w:sz w:val="22"/>
              <w:szCs w:val="22"/>
              <w:lang w:eastAsia="en-AU"/>
            </w:rPr>
          </w:pPr>
          <w:hyperlink w:anchor="_Toc4142011" w:history="1">
            <w:r w:rsidR="00463F5A" w:rsidRPr="005217E0">
              <w:rPr>
                <w:rStyle w:val="Hyperlink"/>
                <w:noProof/>
                <w:lang w:eastAsia="en-AU"/>
              </w:rPr>
              <w:t>Copies of financial statements/annual reports</w:t>
            </w:r>
            <w:r w:rsidR="00463F5A">
              <w:rPr>
                <w:noProof/>
                <w:webHidden/>
              </w:rPr>
              <w:tab/>
            </w:r>
            <w:r w:rsidR="00463F5A">
              <w:rPr>
                <w:noProof/>
                <w:webHidden/>
              </w:rPr>
              <w:fldChar w:fldCharType="begin"/>
            </w:r>
            <w:r w:rsidR="00463F5A">
              <w:rPr>
                <w:noProof/>
                <w:webHidden/>
              </w:rPr>
              <w:instrText xml:space="preserve"> PAGEREF _Toc4142011 \h </w:instrText>
            </w:r>
            <w:r w:rsidR="00463F5A">
              <w:rPr>
                <w:noProof/>
                <w:webHidden/>
              </w:rPr>
            </w:r>
            <w:r w:rsidR="00463F5A">
              <w:rPr>
                <w:noProof/>
                <w:webHidden/>
              </w:rPr>
              <w:fldChar w:fldCharType="separate"/>
            </w:r>
            <w:r w:rsidR="00463F5A">
              <w:rPr>
                <w:noProof/>
                <w:webHidden/>
              </w:rPr>
              <w:t>22</w:t>
            </w:r>
            <w:r w:rsidR="00463F5A">
              <w:rPr>
                <w:noProof/>
                <w:webHidden/>
              </w:rPr>
              <w:fldChar w:fldCharType="end"/>
            </w:r>
          </w:hyperlink>
        </w:p>
        <w:p w14:paraId="5CAEADFB" w14:textId="61B5D1EE" w:rsidR="00463F5A" w:rsidRDefault="0016341D">
          <w:pPr>
            <w:pStyle w:val="TOC3"/>
            <w:rPr>
              <w:rFonts w:asciiTheme="minorHAnsi" w:eastAsiaTheme="minorEastAsia" w:hAnsiTheme="minorHAnsi" w:cstheme="minorBidi"/>
              <w:noProof/>
              <w:sz w:val="22"/>
              <w:szCs w:val="22"/>
              <w:lang w:eastAsia="en-AU"/>
            </w:rPr>
          </w:pPr>
          <w:hyperlink w:anchor="_Toc4142012" w:history="1">
            <w:r w:rsidR="00463F5A" w:rsidRPr="005217E0">
              <w:rPr>
                <w:rStyle w:val="Hyperlink"/>
                <w:noProof/>
                <w:lang w:eastAsia="en-AU"/>
              </w:rPr>
              <w:t>Conflict of interest</w:t>
            </w:r>
            <w:r w:rsidR="00463F5A">
              <w:rPr>
                <w:noProof/>
                <w:webHidden/>
              </w:rPr>
              <w:tab/>
            </w:r>
            <w:r w:rsidR="00463F5A">
              <w:rPr>
                <w:noProof/>
                <w:webHidden/>
              </w:rPr>
              <w:fldChar w:fldCharType="begin"/>
            </w:r>
            <w:r w:rsidR="00463F5A">
              <w:rPr>
                <w:noProof/>
                <w:webHidden/>
              </w:rPr>
              <w:instrText xml:space="preserve"> PAGEREF _Toc4142012 \h </w:instrText>
            </w:r>
            <w:r w:rsidR="00463F5A">
              <w:rPr>
                <w:noProof/>
                <w:webHidden/>
              </w:rPr>
            </w:r>
            <w:r w:rsidR="00463F5A">
              <w:rPr>
                <w:noProof/>
                <w:webHidden/>
              </w:rPr>
              <w:fldChar w:fldCharType="separate"/>
            </w:r>
            <w:r w:rsidR="00463F5A">
              <w:rPr>
                <w:noProof/>
                <w:webHidden/>
              </w:rPr>
              <w:t>22</w:t>
            </w:r>
            <w:r w:rsidR="00463F5A">
              <w:rPr>
                <w:noProof/>
                <w:webHidden/>
              </w:rPr>
              <w:fldChar w:fldCharType="end"/>
            </w:r>
          </w:hyperlink>
        </w:p>
        <w:p w14:paraId="34556A79" w14:textId="1647079F" w:rsidR="00463F5A" w:rsidRDefault="0016341D">
          <w:pPr>
            <w:pStyle w:val="TOC2"/>
            <w:rPr>
              <w:rFonts w:asciiTheme="minorHAnsi" w:eastAsiaTheme="minorEastAsia" w:hAnsiTheme="minorHAnsi" w:cstheme="minorBidi"/>
              <w:sz w:val="22"/>
              <w:szCs w:val="22"/>
              <w:lang w:eastAsia="en-AU"/>
            </w:rPr>
          </w:pPr>
          <w:hyperlink w:anchor="_Toc4142013" w:history="1">
            <w:r w:rsidR="00463F5A" w:rsidRPr="005217E0">
              <w:rPr>
                <w:rStyle w:val="Hyperlink"/>
                <w:rFonts w:cs="Arial"/>
                <w:lang w:eastAsia="en-AU"/>
              </w:rPr>
              <w:t>2.4 Service agreements with more than one organisation</w:t>
            </w:r>
            <w:r w:rsidR="00463F5A">
              <w:rPr>
                <w:webHidden/>
              </w:rPr>
              <w:tab/>
            </w:r>
            <w:r w:rsidR="00463F5A">
              <w:rPr>
                <w:webHidden/>
              </w:rPr>
              <w:fldChar w:fldCharType="begin"/>
            </w:r>
            <w:r w:rsidR="00463F5A">
              <w:rPr>
                <w:webHidden/>
              </w:rPr>
              <w:instrText xml:space="preserve"> PAGEREF _Toc4142013 \h </w:instrText>
            </w:r>
            <w:r w:rsidR="00463F5A">
              <w:rPr>
                <w:webHidden/>
              </w:rPr>
            </w:r>
            <w:r w:rsidR="00463F5A">
              <w:rPr>
                <w:webHidden/>
              </w:rPr>
              <w:fldChar w:fldCharType="separate"/>
            </w:r>
            <w:r w:rsidR="00463F5A">
              <w:rPr>
                <w:webHidden/>
              </w:rPr>
              <w:t>22</w:t>
            </w:r>
            <w:r w:rsidR="00463F5A">
              <w:rPr>
                <w:webHidden/>
              </w:rPr>
              <w:fldChar w:fldCharType="end"/>
            </w:r>
          </w:hyperlink>
        </w:p>
        <w:p w14:paraId="4BE27A33" w14:textId="12809D58" w:rsidR="00463F5A" w:rsidRDefault="0016341D">
          <w:pPr>
            <w:pStyle w:val="TOC3"/>
            <w:rPr>
              <w:rFonts w:asciiTheme="minorHAnsi" w:eastAsiaTheme="minorEastAsia" w:hAnsiTheme="minorHAnsi" w:cstheme="minorBidi"/>
              <w:noProof/>
              <w:sz w:val="22"/>
              <w:szCs w:val="22"/>
              <w:lang w:eastAsia="en-AU"/>
            </w:rPr>
          </w:pPr>
          <w:hyperlink w:anchor="_Toc4142014" w:history="1">
            <w:r w:rsidR="00463F5A" w:rsidRPr="005217E0">
              <w:rPr>
                <w:rStyle w:val="Hyperlink"/>
                <w:noProof/>
                <w:lang w:eastAsia="en-AU"/>
              </w:rPr>
              <w:t>Non-incorporated alliance/consortium</w:t>
            </w:r>
            <w:r w:rsidR="00463F5A">
              <w:rPr>
                <w:noProof/>
                <w:webHidden/>
              </w:rPr>
              <w:tab/>
            </w:r>
            <w:r w:rsidR="00463F5A">
              <w:rPr>
                <w:noProof/>
                <w:webHidden/>
              </w:rPr>
              <w:fldChar w:fldCharType="begin"/>
            </w:r>
            <w:r w:rsidR="00463F5A">
              <w:rPr>
                <w:noProof/>
                <w:webHidden/>
              </w:rPr>
              <w:instrText xml:space="preserve"> PAGEREF _Toc4142014 \h </w:instrText>
            </w:r>
            <w:r w:rsidR="00463F5A">
              <w:rPr>
                <w:noProof/>
                <w:webHidden/>
              </w:rPr>
            </w:r>
            <w:r w:rsidR="00463F5A">
              <w:rPr>
                <w:noProof/>
                <w:webHidden/>
              </w:rPr>
              <w:fldChar w:fldCharType="separate"/>
            </w:r>
            <w:r w:rsidR="00463F5A">
              <w:rPr>
                <w:noProof/>
                <w:webHidden/>
              </w:rPr>
              <w:t>22</w:t>
            </w:r>
            <w:r w:rsidR="00463F5A">
              <w:rPr>
                <w:noProof/>
                <w:webHidden/>
              </w:rPr>
              <w:fldChar w:fldCharType="end"/>
            </w:r>
          </w:hyperlink>
        </w:p>
        <w:p w14:paraId="4A76D2FD" w14:textId="7C5D5E8D" w:rsidR="00463F5A" w:rsidRDefault="0016341D">
          <w:pPr>
            <w:pStyle w:val="TOC3"/>
            <w:rPr>
              <w:rFonts w:asciiTheme="minorHAnsi" w:eastAsiaTheme="minorEastAsia" w:hAnsiTheme="minorHAnsi" w:cstheme="minorBidi"/>
              <w:noProof/>
              <w:sz w:val="22"/>
              <w:szCs w:val="22"/>
              <w:lang w:eastAsia="en-AU"/>
            </w:rPr>
          </w:pPr>
          <w:hyperlink w:anchor="_Toc4142015" w:history="1">
            <w:r w:rsidR="00463F5A" w:rsidRPr="005217E0">
              <w:rPr>
                <w:rStyle w:val="Hyperlink"/>
                <w:noProof/>
                <w:lang w:eastAsia="en-AU"/>
              </w:rPr>
              <w:t>Incorporated consortium</w:t>
            </w:r>
            <w:r w:rsidR="00463F5A">
              <w:rPr>
                <w:noProof/>
                <w:webHidden/>
              </w:rPr>
              <w:tab/>
            </w:r>
            <w:r w:rsidR="00463F5A">
              <w:rPr>
                <w:noProof/>
                <w:webHidden/>
              </w:rPr>
              <w:fldChar w:fldCharType="begin"/>
            </w:r>
            <w:r w:rsidR="00463F5A">
              <w:rPr>
                <w:noProof/>
                <w:webHidden/>
              </w:rPr>
              <w:instrText xml:space="preserve"> PAGEREF _Toc4142015 \h </w:instrText>
            </w:r>
            <w:r w:rsidR="00463F5A">
              <w:rPr>
                <w:noProof/>
                <w:webHidden/>
              </w:rPr>
            </w:r>
            <w:r w:rsidR="00463F5A">
              <w:rPr>
                <w:noProof/>
                <w:webHidden/>
              </w:rPr>
              <w:fldChar w:fldCharType="separate"/>
            </w:r>
            <w:r w:rsidR="00463F5A">
              <w:rPr>
                <w:noProof/>
                <w:webHidden/>
              </w:rPr>
              <w:t>23</w:t>
            </w:r>
            <w:r w:rsidR="00463F5A">
              <w:rPr>
                <w:noProof/>
                <w:webHidden/>
              </w:rPr>
              <w:fldChar w:fldCharType="end"/>
            </w:r>
          </w:hyperlink>
        </w:p>
        <w:p w14:paraId="4B89134B" w14:textId="3BFBBA41" w:rsidR="00463F5A" w:rsidRDefault="0016341D">
          <w:pPr>
            <w:pStyle w:val="TOC3"/>
            <w:rPr>
              <w:rFonts w:asciiTheme="minorHAnsi" w:eastAsiaTheme="minorEastAsia" w:hAnsiTheme="minorHAnsi" w:cstheme="minorBidi"/>
              <w:noProof/>
              <w:sz w:val="22"/>
              <w:szCs w:val="22"/>
              <w:lang w:eastAsia="en-AU"/>
            </w:rPr>
          </w:pPr>
          <w:hyperlink w:anchor="_Toc4142016" w:history="1">
            <w:r w:rsidR="00463F5A" w:rsidRPr="005217E0">
              <w:rPr>
                <w:rStyle w:val="Hyperlink"/>
                <w:noProof/>
                <w:lang w:eastAsia="en-AU"/>
              </w:rPr>
              <w:t>Subcontracting</w:t>
            </w:r>
            <w:r w:rsidR="00463F5A">
              <w:rPr>
                <w:noProof/>
                <w:webHidden/>
              </w:rPr>
              <w:tab/>
            </w:r>
            <w:r w:rsidR="00463F5A">
              <w:rPr>
                <w:noProof/>
                <w:webHidden/>
              </w:rPr>
              <w:fldChar w:fldCharType="begin"/>
            </w:r>
            <w:r w:rsidR="00463F5A">
              <w:rPr>
                <w:noProof/>
                <w:webHidden/>
              </w:rPr>
              <w:instrText xml:space="preserve"> PAGEREF _Toc4142016 \h </w:instrText>
            </w:r>
            <w:r w:rsidR="00463F5A">
              <w:rPr>
                <w:noProof/>
                <w:webHidden/>
              </w:rPr>
            </w:r>
            <w:r w:rsidR="00463F5A">
              <w:rPr>
                <w:noProof/>
                <w:webHidden/>
              </w:rPr>
              <w:fldChar w:fldCharType="separate"/>
            </w:r>
            <w:r w:rsidR="00463F5A">
              <w:rPr>
                <w:noProof/>
                <w:webHidden/>
              </w:rPr>
              <w:t>23</w:t>
            </w:r>
            <w:r w:rsidR="00463F5A">
              <w:rPr>
                <w:noProof/>
                <w:webHidden/>
              </w:rPr>
              <w:fldChar w:fldCharType="end"/>
            </w:r>
          </w:hyperlink>
        </w:p>
        <w:p w14:paraId="64B606DA" w14:textId="4ED9209D" w:rsidR="00463F5A" w:rsidRDefault="0016341D">
          <w:pPr>
            <w:pStyle w:val="TOC2"/>
            <w:rPr>
              <w:rFonts w:asciiTheme="minorHAnsi" w:eastAsiaTheme="minorEastAsia" w:hAnsiTheme="minorHAnsi" w:cstheme="minorBidi"/>
              <w:sz w:val="22"/>
              <w:szCs w:val="22"/>
              <w:lang w:eastAsia="en-AU"/>
            </w:rPr>
          </w:pPr>
          <w:hyperlink w:anchor="_Toc4142017" w:history="1">
            <w:r w:rsidR="00463F5A" w:rsidRPr="005217E0">
              <w:rPr>
                <w:rStyle w:val="Hyperlink"/>
                <w:rFonts w:cs="Arial"/>
                <w:lang w:eastAsia="en-AU"/>
              </w:rPr>
              <w:t>2.5 Parties to agreement</w:t>
            </w:r>
            <w:r w:rsidR="00463F5A">
              <w:rPr>
                <w:webHidden/>
              </w:rPr>
              <w:tab/>
            </w:r>
            <w:r w:rsidR="00463F5A">
              <w:rPr>
                <w:webHidden/>
              </w:rPr>
              <w:fldChar w:fldCharType="begin"/>
            </w:r>
            <w:r w:rsidR="00463F5A">
              <w:rPr>
                <w:webHidden/>
              </w:rPr>
              <w:instrText xml:space="preserve"> PAGEREF _Toc4142017 \h </w:instrText>
            </w:r>
            <w:r w:rsidR="00463F5A">
              <w:rPr>
                <w:webHidden/>
              </w:rPr>
            </w:r>
            <w:r w:rsidR="00463F5A">
              <w:rPr>
                <w:webHidden/>
              </w:rPr>
              <w:fldChar w:fldCharType="separate"/>
            </w:r>
            <w:r w:rsidR="00463F5A">
              <w:rPr>
                <w:webHidden/>
              </w:rPr>
              <w:t>23</w:t>
            </w:r>
            <w:r w:rsidR="00463F5A">
              <w:rPr>
                <w:webHidden/>
              </w:rPr>
              <w:fldChar w:fldCharType="end"/>
            </w:r>
          </w:hyperlink>
        </w:p>
        <w:p w14:paraId="3631B489" w14:textId="60D519AA" w:rsidR="00463F5A" w:rsidRDefault="0016341D">
          <w:pPr>
            <w:pStyle w:val="TOC3"/>
            <w:rPr>
              <w:rFonts w:asciiTheme="minorHAnsi" w:eastAsiaTheme="minorEastAsia" w:hAnsiTheme="minorHAnsi" w:cstheme="minorBidi"/>
              <w:noProof/>
              <w:sz w:val="22"/>
              <w:szCs w:val="22"/>
              <w:lang w:eastAsia="en-AU"/>
            </w:rPr>
          </w:pPr>
          <w:hyperlink w:anchor="_Toc4142018" w:history="1">
            <w:r w:rsidR="00463F5A" w:rsidRPr="005217E0">
              <w:rPr>
                <w:rStyle w:val="Hyperlink"/>
                <w:noProof/>
                <w:lang w:eastAsia="en-AU"/>
              </w:rPr>
              <w:t>Organisation</w:t>
            </w:r>
            <w:r w:rsidR="00463F5A">
              <w:rPr>
                <w:noProof/>
                <w:webHidden/>
              </w:rPr>
              <w:tab/>
            </w:r>
            <w:r w:rsidR="00463F5A">
              <w:rPr>
                <w:noProof/>
                <w:webHidden/>
              </w:rPr>
              <w:fldChar w:fldCharType="begin"/>
            </w:r>
            <w:r w:rsidR="00463F5A">
              <w:rPr>
                <w:noProof/>
                <w:webHidden/>
              </w:rPr>
              <w:instrText xml:space="preserve"> PAGEREF _Toc4142018 \h </w:instrText>
            </w:r>
            <w:r w:rsidR="00463F5A">
              <w:rPr>
                <w:noProof/>
                <w:webHidden/>
              </w:rPr>
            </w:r>
            <w:r w:rsidR="00463F5A">
              <w:rPr>
                <w:noProof/>
                <w:webHidden/>
              </w:rPr>
              <w:fldChar w:fldCharType="separate"/>
            </w:r>
            <w:r w:rsidR="00463F5A">
              <w:rPr>
                <w:noProof/>
                <w:webHidden/>
              </w:rPr>
              <w:t>23</w:t>
            </w:r>
            <w:r w:rsidR="00463F5A">
              <w:rPr>
                <w:noProof/>
                <w:webHidden/>
              </w:rPr>
              <w:fldChar w:fldCharType="end"/>
            </w:r>
          </w:hyperlink>
        </w:p>
        <w:p w14:paraId="2BE7AF5B" w14:textId="785CC25D" w:rsidR="00463F5A" w:rsidRDefault="0016341D">
          <w:pPr>
            <w:pStyle w:val="TOC3"/>
            <w:rPr>
              <w:rFonts w:asciiTheme="minorHAnsi" w:eastAsiaTheme="minorEastAsia" w:hAnsiTheme="minorHAnsi" w:cstheme="minorBidi"/>
              <w:noProof/>
              <w:sz w:val="22"/>
              <w:szCs w:val="22"/>
              <w:lang w:eastAsia="en-AU"/>
            </w:rPr>
          </w:pPr>
          <w:hyperlink w:anchor="_Toc4142019" w:history="1">
            <w:r w:rsidR="00463F5A" w:rsidRPr="005217E0">
              <w:rPr>
                <w:rStyle w:val="Hyperlink"/>
                <w:noProof/>
                <w:lang w:eastAsia="en-AU"/>
              </w:rPr>
              <w:t>Department of Health and Human Services</w:t>
            </w:r>
            <w:r w:rsidR="00463F5A">
              <w:rPr>
                <w:noProof/>
                <w:webHidden/>
              </w:rPr>
              <w:tab/>
            </w:r>
            <w:r w:rsidR="00463F5A">
              <w:rPr>
                <w:noProof/>
                <w:webHidden/>
              </w:rPr>
              <w:fldChar w:fldCharType="begin"/>
            </w:r>
            <w:r w:rsidR="00463F5A">
              <w:rPr>
                <w:noProof/>
                <w:webHidden/>
              </w:rPr>
              <w:instrText xml:space="preserve"> PAGEREF _Toc4142019 \h </w:instrText>
            </w:r>
            <w:r w:rsidR="00463F5A">
              <w:rPr>
                <w:noProof/>
                <w:webHidden/>
              </w:rPr>
            </w:r>
            <w:r w:rsidR="00463F5A">
              <w:rPr>
                <w:noProof/>
                <w:webHidden/>
              </w:rPr>
              <w:fldChar w:fldCharType="separate"/>
            </w:r>
            <w:r w:rsidR="00463F5A">
              <w:rPr>
                <w:noProof/>
                <w:webHidden/>
              </w:rPr>
              <w:t>23</w:t>
            </w:r>
            <w:r w:rsidR="00463F5A">
              <w:rPr>
                <w:noProof/>
                <w:webHidden/>
              </w:rPr>
              <w:fldChar w:fldCharType="end"/>
            </w:r>
          </w:hyperlink>
        </w:p>
        <w:p w14:paraId="723F09C0" w14:textId="2C4D2CB9" w:rsidR="00463F5A" w:rsidRDefault="0016341D">
          <w:pPr>
            <w:pStyle w:val="TOC3"/>
            <w:rPr>
              <w:rFonts w:asciiTheme="minorHAnsi" w:eastAsiaTheme="minorEastAsia" w:hAnsiTheme="minorHAnsi" w:cstheme="minorBidi"/>
              <w:noProof/>
              <w:sz w:val="22"/>
              <w:szCs w:val="22"/>
              <w:lang w:eastAsia="en-AU"/>
            </w:rPr>
          </w:pPr>
          <w:hyperlink w:anchor="_Toc4142020" w:history="1">
            <w:r w:rsidR="00463F5A" w:rsidRPr="005217E0">
              <w:rPr>
                <w:rStyle w:val="Hyperlink"/>
                <w:noProof/>
                <w:lang w:eastAsia="en-AU"/>
              </w:rPr>
              <w:t>Department of Education and Training</w:t>
            </w:r>
            <w:r w:rsidR="00463F5A">
              <w:rPr>
                <w:noProof/>
                <w:webHidden/>
              </w:rPr>
              <w:tab/>
            </w:r>
            <w:r w:rsidR="00463F5A">
              <w:rPr>
                <w:noProof/>
                <w:webHidden/>
              </w:rPr>
              <w:fldChar w:fldCharType="begin"/>
            </w:r>
            <w:r w:rsidR="00463F5A">
              <w:rPr>
                <w:noProof/>
                <w:webHidden/>
              </w:rPr>
              <w:instrText xml:space="preserve"> PAGEREF _Toc4142020 \h </w:instrText>
            </w:r>
            <w:r w:rsidR="00463F5A">
              <w:rPr>
                <w:noProof/>
                <w:webHidden/>
              </w:rPr>
            </w:r>
            <w:r w:rsidR="00463F5A">
              <w:rPr>
                <w:noProof/>
                <w:webHidden/>
              </w:rPr>
              <w:fldChar w:fldCharType="separate"/>
            </w:r>
            <w:r w:rsidR="00463F5A">
              <w:rPr>
                <w:noProof/>
                <w:webHidden/>
              </w:rPr>
              <w:t>23</w:t>
            </w:r>
            <w:r w:rsidR="00463F5A">
              <w:rPr>
                <w:noProof/>
                <w:webHidden/>
              </w:rPr>
              <w:fldChar w:fldCharType="end"/>
            </w:r>
          </w:hyperlink>
        </w:p>
        <w:p w14:paraId="776606D4" w14:textId="5881B22A" w:rsidR="00463F5A" w:rsidRDefault="0016341D">
          <w:pPr>
            <w:pStyle w:val="TOC2"/>
            <w:rPr>
              <w:rFonts w:asciiTheme="minorHAnsi" w:eastAsiaTheme="minorEastAsia" w:hAnsiTheme="minorHAnsi" w:cstheme="minorBidi"/>
              <w:sz w:val="22"/>
              <w:szCs w:val="22"/>
              <w:lang w:eastAsia="en-AU"/>
            </w:rPr>
          </w:pPr>
          <w:hyperlink w:anchor="_Toc4142021" w:history="1">
            <w:r w:rsidR="00463F5A" w:rsidRPr="005217E0">
              <w:rPr>
                <w:rStyle w:val="Hyperlink"/>
                <w:rFonts w:cs="Arial"/>
                <w:lang w:eastAsia="en-AU"/>
              </w:rPr>
              <w:t>2.6 Signing of Service agreements</w:t>
            </w:r>
            <w:r w:rsidR="00463F5A">
              <w:rPr>
                <w:webHidden/>
              </w:rPr>
              <w:tab/>
            </w:r>
            <w:r w:rsidR="00463F5A">
              <w:rPr>
                <w:webHidden/>
              </w:rPr>
              <w:fldChar w:fldCharType="begin"/>
            </w:r>
            <w:r w:rsidR="00463F5A">
              <w:rPr>
                <w:webHidden/>
              </w:rPr>
              <w:instrText xml:space="preserve"> PAGEREF _Toc4142021 \h </w:instrText>
            </w:r>
            <w:r w:rsidR="00463F5A">
              <w:rPr>
                <w:webHidden/>
              </w:rPr>
            </w:r>
            <w:r w:rsidR="00463F5A">
              <w:rPr>
                <w:webHidden/>
              </w:rPr>
              <w:fldChar w:fldCharType="separate"/>
            </w:r>
            <w:r w:rsidR="00463F5A">
              <w:rPr>
                <w:webHidden/>
              </w:rPr>
              <w:t>24</w:t>
            </w:r>
            <w:r w:rsidR="00463F5A">
              <w:rPr>
                <w:webHidden/>
              </w:rPr>
              <w:fldChar w:fldCharType="end"/>
            </w:r>
          </w:hyperlink>
        </w:p>
        <w:p w14:paraId="2020EB6D" w14:textId="2E7550BD" w:rsidR="00463F5A" w:rsidRDefault="0016341D">
          <w:pPr>
            <w:pStyle w:val="TOC2"/>
            <w:rPr>
              <w:rFonts w:asciiTheme="minorHAnsi" w:eastAsiaTheme="minorEastAsia" w:hAnsiTheme="minorHAnsi" w:cstheme="minorBidi"/>
              <w:sz w:val="22"/>
              <w:szCs w:val="22"/>
              <w:lang w:eastAsia="en-AU"/>
            </w:rPr>
          </w:pPr>
          <w:hyperlink w:anchor="_Toc4142022" w:history="1">
            <w:r w:rsidR="00463F5A" w:rsidRPr="005217E0">
              <w:rPr>
                <w:rStyle w:val="Hyperlink"/>
                <w:rFonts w:cs="Arial"/>
                <w:lang w:eastAsia="en-AU"/>
              </w:rPr>
              <w:t>2.7 Management of Service agreements</w:t>
            </w:r>
            <w:r w:rsidR="00463F5A">
              <w:rPr>
                <w:webHidden/>
              </w:rPr>
              <w:tab/>
            </w:r>
            <w:r w:rsidR="00463F5A">
              <w:rPr>
                <w:webHidden/>
              </w:rPr>
              <w:fldChar w:fldCharType="begin"/>
            </w:r>
            <w:r w:rsidR="00463F5A">
              <w:rPr>
                <w:webHidden/>
              </w:rPr>
              <w:instrText xml:space="preserve"> PAGEREF _Toc4142022 \h </w:instrText>
            </w:r>
            <w:r w:rsidR="00463F5A">
              <w:rPr>
                <w:webHidden/>
              </w:rPr>
            </w:r>
            <w:r w:rsidR="00463F5A">
              <w:rPr>
                <w:webHidden/>
              </w:rPr>
              <w:fldChar w:fldCharType="separate"/>
            </w:r>
            <w:r w:rsidR="00463F5A">
              <w:rPr>
                <w:webHidden/>
              </w:rPr>
              <w:t>24</w:t>
            </w:r>
            <w:r w:rsidR="00463F5A">
              <w:rPr>
                <w:webHidden/>
              </w:rPr>
              <w:fldChar w:fldCharType="end"/>
            </w:r>
          </w:hyperlink>
        </w:p>
        <w:p w14:paraId="29F48A8B" w14:textId="77FFA2AC" w:rsidR="00463F5A" w:rsidRDefault="0016341D">
          <w:pPr>
            <w:pStyle w:val="TOC3"/>
            <w:rPr>
              <w:rFonts w:asciiTheme="minorHAnsi" w:eastAsiaTheme="minorEastAsia" w:hAnsiTheme="minorHAnsi" w:cstheme="minorBidi"/>
              <w:noProof/>
              <w:sz w:val="22"/>
              <w:szCs w:val="22"/>
              <w:lang w:eastAsia="en-AU"/>
            </w:rPr>
          </w:pPr>
          <w:hyperlink w:anchor="_Toc4142023" w:history="1">
            <w:r w:rsidR="00463F5A" w:rsidRPr="005217E0">
              <w:rPr>
                <w:rStyle w:val="Hyperlink"/>
                <w:noProof/>
                <w:lang w:eastAsia="en-AU"/>
              </w:rPr>
              <w:t>Role of departmental Service agreement contacts</w:t>
            </w:r>
            <w:r w:rsidR="00463F5A">
              <w:rPr>
                <w:noProof/>
                <w:webHidden/>
              </w:rPr>
              <w:tab/>
            </w:r>
            <w:r w:rsidR="00463F5A">
              <w:rPr>
                <w:noProof/>
                <w:webHidden/>
              </w:rPr>
              <w:fldChar w:fldCharType="begin"/>
            </w:r>
            <w:r w:rsidR="00463F5A">
              <w:rPr>
                <w:noProof/>
                <w:webHidden/>
              </w:rPr>
              <w:instrText xml:space="preserve"> PAGEREF _Toc4142023 \h </w:instrText>
            </w:r>
            <w:r w:rsidR="00463F5A">
              <w:rPr>
                <w:noProof/>
                <w:webHidden/>
              </w:rPr>
            </w:r>
            <w:r w:rsidR="00463F5A">
              <w:rPr>
                <w:noProof/>
                <w:webHidden/>
              </w:rPr>
              <w:fldChar w:fldCharType="separate"/>
            </w:r>
            <w:r w:rsidR="00463F5A">
              <w:rPr>
                <w:noProof/>
                <w:webHidden/>
              </w:rPr>
              <w:t>24</w:t>
            </w:r>
            <w:r w:rsidR="00463F5A">
              <w:rPr>
                <w:noProof/>
                <w:webHidden/>
              </w:rPr>
              <w:fldChar w:fldCharType="end"/>
            </w:r>
          </w:hyperlink>
        </w:p>
        <w:p w14:paraId="2573B716" w14:textId="00BA969D" w:rsidR="00463F5A" w:rsidRDefault="0016341D">
          <w:pPr>
            <w:pStyle w:val="TOC3"/>
            <w:rPr>
              <w:rFonts w:asciiTheme="minorHAnsi" w:eastAsiaTheme="minorEastAsia" w:hAnsiTheme="minorHAnsi" w:cstheme="minorBidi"/>
              <w:noProof/>
              <w:sz w:val="22"/>
              <w:szCs w:val="22"/>
              <w:lang w:eastAsia="en-AU"/>
            </w:rPr>
          </w:pPr>
          <w:hyperlink w:anchor="_Toc4142024" w:history="1">
            <w:r w:rsidR="00463F5A" w:rsidRPr="005217E0">
              <w:rPr>
                <w:rStyle w:val="Hyperlink"/>
                <w:noProof/>
                <w:lang w:eastAsia="en-AU"/>
              </w:rPr>
              <w:t>Calendar of Service agreement events</w:t>
            </w:r>
            <w:r w:rsidR="00463F5A">
              <w:rPr>
                <w:noProof/>
                <w:webHidden/>
              </w:rPr>
              <w:tab/>
            </w:r>
            <w:r w:rsidR="00463F5A">
              <w:rPr>
                <w:noProof/>
                <w:webHidden/>
              </w:rPr>
              <w:fldChar w:fldCharType="begin"/>
            </w:r>
            <w:r w:rsidR="00463F5A">
              <w:rPr>
                <w:noProof/>
                <w:webHidden/>
              </w:rPr>
              <w:instrText xml:space="preserve"> PAGEREF _Toc4142024 \h </w:instrText>
            </w:r>
            <w:r w:rsidR="00463F5A">
              <w:rPr>
                <w:noProof/>
                <w:webHidden/>
              </w:rPr>
            </w:r>
            <w:r w:rsidR="00463F5A">
              <w:rPr>
                <w:noProof/>
                <w:webHidden/>
              </w:rPr>
              <w:fldChar w:fldCharType="separate"/>
            </w:r>
            <w:r w:rsidR="00463F5A">
              <w:rPr>
                <w:noProof/>
                <w:webHidden/>
              </w:rPr>
              <w:t>24</w:t>
            </w:r>
            <w:r w:rsidR="00463F5A">
              <w:rPr>
                <w:noProof/>
                <w:webHidden/>
              </w:rPr>
              <w:fldChar w:fldCharType="end"/>
            </w:r>
          </w:hyperlink>
        </w:p>
        <w:p w14:paraId="6343907F" w14:textId="4C6B08B1" w:rsidR="00463F5A" w:rsidRDefault="0016341D">
          <w:pPr>
            <w:pStyle w:val="TOC3"/>
            <w:rPr>
              <w:rFonts w:asciiTheme="minorHAnsi" w:eastAsiaTheme="minorEastAsia" w:hAnsiTheme="minorHAnsi" w:cstheme="minorBidi"/>
              <w:noProof/>
              <w:sz w:val="22"/>
              <w:szCs w:val="22"/>
              <w:lang w:eastAsia="en-AU"/>
            </w:rPr>
          </w:pPr>
          <w:hyperlink w:anchor="_Toc4142025" w:history="1">
            <w:r w:rsidR="00463F5A" w:rsidRPr="005217E0">
              <w:rPr>
                <w:rStyle w:val="Hyperlink"/>
                <w:noProof/>
                <w:lang w:eastAsia="en-AU"/>
              </w:rPr>
              <w:t>Negotiating Service agreements</w:t>
            </w:r>
            <w:r w:rsidR="00463F5A">
              <w:rPr>
                <w:noProof/>
                <w:webHidden/>
              </w:rPr>
              <w:tab/>
            </w:r>
            <w:r w:rsidR="00463F5A">
              <w:rPr>
                <w:noProof/>
                <w:webHidden/>
              </w:rPr>
              <w:fldChar w:fldCharType="begin"/>
            </w:r>
            <w:r w:rsidR="00463F5A">
              <w:rPr>
                <w:noProof/>
                <w:webHidden/>
              </w:rPr>
              <w:instrText xml:space="preserve"> PAGEREF _Toc4142025 \h </w:instrText>
            </w:r>
            <w:r w:rsidR="00463F5A">
              <w:rPr>
                <w:noProof/>
                <w:webHidden/>
              </w:rPr>
            </w:r>
            <w:r w:rsidR="00463F5A">
              <w:rPr>
                <w:noProof/>
                <w:webHidden/>
              </w:rPr>
              <w:fldChar w:fldCharType="separate"/>
            </w:r>
            <w:r w:rsidR="00463F5A">
              <w:rPr>
                <w:noProof/>
                <w:webHidden/>
              </w:rPr>
              <w:t>26</w:t>
            </w:r>
            <w:r w:rsidR="00463F5A">
              <w:rPr>
                <w:noProof/>
                <w:webHidden/>
              </w:rPr>
              <w:fldChar w:fldCharType="end"/>
            </w:r>
          </w:hyperlink>
        </w:p>
        <w:p w14:paraId="320B393F" w14:textId="0EA7B94E" w:rsidR="00463F5A" w:rsidRDefault="0016341D">
          <w:pPr>
            <w:pStyle w:val="TOC3"/>
            <w:rPr>
              <w:rFonts w:asciiTheme="minorHAnsi" w:eastAsiaTheme="minorEastAsia" w:hAnsiTheme="minorHAnsi" w:cstheme="minorBidi"/>
              <w:noProof/>
              <w:sz w:val="22"/>
              <w:szCs w:val="22"/>
              <w:lang w:eastAsia="en-AU"/>
            </w:rPr>
          </w:pPr>
          <w:hyperlink w:anchor="_Toc4142026" w:history="1">
            <w:r w:rsidR="00463F5A" w:rsidRPr="005217E0">
              <w:rPr>
                <w:rStyle w:val="Hyperlink"/>
                <w:noProof/>
                <w:lang w:eastAsia="en-AU"/>
              </w:rPr>
              <w:t>Changes to applicable departmental policies</w:t>
            </w:r>
            <w:r w:rsidR="00463F5A">
              <w:rPr>
                <w:noProof/>
                <w:webHidden/>
              </w:rPr>
              <w:tab/>
            </w:r>
            <w:r w:rsidR="00463F5A">
              <w:rPr>
                <w:noProof/>
                <w:webHidden/>
              </w:rPr>
              <w:fldChar w:fldCharType="begin"/>
            </w:r>
            <w:r w:rsidR="00463F5A">
              <w:rPr>
                <w:noProof/>
                <w:webHidden/>
              </w:rPr>
              <w:instrText xml:space="preserve"> PAGEREF _Toc4142026 \h </w:instrText>
            </w:r>
            <w:r w:rsidR="00463F5A">
              <w:rPr>
                <w:noProof/>
                <w:webHidden/>
              </w:rPr>
            </w:r>
            <w:r w:rsidR="00463F5A">
              <w:rPr>
                <w:noProof/>
                <w:webHidden/>
              </w:rPr>
              <w:fldChar w:fldCharType="separate"/>
            </w:r>
            <w:r w:rsidR="00463F5A">
              <w:rPr>
                <w:noProof/>
                <w:webHidden/>
              </w:rPr>
              <w:t>26</w:t>
            </w:r>
            <w:r w:rsidR="00463F5A">
              <w:rPr>
                <w:noProof/>
                <w:webHidden/>
              </w:rPr>
              <w:fldChar w:fldCharType="end"/>
            </w:r>
          </w:hyperlink>
        </w:p>
        <w:p w14:paraId="739FE8F2" w14:textId="0F4F0DE4" w:rsidR="00463F5A" w:rsidRDefault="0016341D">
          <w:pPr>
            <w:pStyle w:val="TOC3"/>
            <w:rPr>
              <w:rFonts w:asciiTheme="minorHAnsi" w:eastAsiaTheme="minorEastAsia" w:hAnsiTheme="minorHAnsi" w:cstheme="minorBidi"/>
              <w:noProof/>
              <w:sz w:val="22"/>
              <w:szCs w:val="22"/>
              <w:lang w:eastAsia="en-AU"/>
            </w:rPr>
          </w:pPr>
          <w:hyperlink w:anchor="_Toc4142027" w:history="1">
            <w:r w:rsidR="00463F5A" w:rsidRPr="005217E0">
              <w:rPr>
                <w:rStyle w:val="Hyperlink"/>
                <w:noProof/>
                <w:lang w:eastAsia="en-AU"/>
              </w:rPr>
              <w:t>Meetings between the organisation and the department</w:t>
            </w:r>
            <w:r w:rsidR="00463F5A">
              <w:rPr>
                <w:noProof/>
                <w:webHidden/>
              </w:rPr>
              <w:tab/>
            </w:r>
            <w:r w:rsidR="00463F5A">
              <w:rPr>
                <w:noProof/>
                <w:webHidden/>
              </w:rPr>
              <w:fldChar w:fldCharType="begin"/>
            </w:r>
            <w:r w:rsidR="00463F5A">
              <w:rPr>
                <w:noProof/>
                <w:webHidden/>
              </w:rPr>
              <w:instrText xml:space="preserve"> PAGEREF _Toc4142027 \h </w:instrText>
            </w:r>
            <w:r w:rsidR="00463F5A">
              <w:rPr>
                <w:noProof/>
                <w:webHidden/>
              </w:rPr>
            </w:r>
            <w:r w:rsidR="00463F5A">
              <w:rPr>
                <w:noProof/>
                <w:webHidden/>
              </w:rPr>
              <w:fldChar w:fldCharType="separate"/>
            </w:r>
            <w:r w:rsidR="00463F5A">
              <w:rPr>
                <w:noProof/>
                <w:webHidden/>
              </w:rPr>
              <w:t>26</w:t>
            </w:r>
            <w:r w:rsidR="00463F5A">
              <w:rPr>
                <w:noProof/>
                <w:webHidden/>
              </w:rPr>
              <w:fldChar w:fldCharType="end"/>
            </w:r>
          </w:hyperlink>
        </w:p>
        <w:p w14:paraId="58B87B8E" w14:textId="1749F313" w:rsidR="00463F5A" w:rsidRDefault="0016341D">
          <w:pPr>
            <w:pStyle w:val="TOC3"/>
            <w:rPr>
              <w:rFonts w:asciiTheme="minorHAnsi" w:eastAsiaTheme="minorEastAsia" w:hAnsiTheme="minorHAnsi" w:cstheme="minorBidi"/>
              <w:noProof/>
              <w:sz w:val="22"/>
              <w:szCs w:val="22"/>
              <w:lang w:eastAsia="en-AU"/>
            </w:rPr>
          </w:pPr>
          <w:hyperlink w:anchor="_Toc4142028" w:history="1">
            <w:r w:rsidR="00463F5A" w:rsidRPr="005217E0">
              <w:rPr>
                <w:rStyle w:val="Hyperlink"/>
                <w:noProof/>
                <w:lang w:eastAsia="en-AU"/>
              </w:rPr>
              <w:t>Other communication</w:t>
            </w:r>
            <w:r w:rsidR="00463F5A">
              <w:rPr>
                <w:noProof/>
                <w:webHidden/>
              </w:rPr>
              <w:tab/>
            </w:r>
            <w:r w:rsidR="00463F5A">
              <w:rPr>
                <w:noProof/>
                <w:webHidden/>
              </w:rPr>
              <w:fldChar w:fldCharType="begin"/>
            </w:r>
            <w:r w:rsidR="00463F5A">
              <w:rPr>
                <w:noProof/>
                <w:webHidden/>
              </w:rPr>
              <w:instrText xml:space="preserve"> PAGEREF _Toc4142028 \h </w:instrText>
            </w:r>
            <w:r w:rsidR="00463F5A">
              <w:rPr>
                <w:noProof/>
                <w:webHidden/>
              </w:rPr>
            </w:r>
            <w:r w:rsidR="00463F5A">
              <w:rPr>
                <w:noProof/>
                <w:webHidden/>
              </w:rPr>
              <w:fldChar w:fldCharType="separate"/>
            </w:r>
            <w:r w:rsidR="00463F5A">
              <w:rPr>
                <w:noProof/>
                <w:webHidden/>
              </w:rPr>
              <w:t>27</w:t>
            </w:r>
            <w:r w:rsidR="00463F5A">
              <w:rPr>
                <w:noProof/>
                <w:webHidden/>
              </w:rPr>
              <w:fldChar w:fldCharType="end"/>
            </w:r>
          </w:hyperlink>
        </w:p>
        <w:p w14:paraId="3868E94D" w14:textId="0EC3BF4B" w:rsidR="00463F5A" w:rsidRDefault="0016341D">
          <w:pPr>
            <w:pStyle w:val="TOC3"/>
            <w:rPr>
              <w:rFonts w:asciiTheme="minorHAnsi" w:eastAsiaTheme="minorEastAsia" w:hAnsiTheme="minorHAnsi" w:cstheme="minorBidi"/>
              <w:noProof/>
              <w:sz w:val="22"/>
              <w:szCs w:val="22"/>
              <w:lang w:eastAsia="en-AU"/>
            </w:rPr>
          </w:pPr>
          <w:hyperlink w:anchor="_Toc4142029" w:history="1">
            <w:r w:rsidR="00463F5A" w:rsidRPr="005217E0">
              <w:rPr>
                <w:rStyle w:val="Hyperlink"/>
                <w:noProof/>
                <w:lang w:eastAsia="en-AU"/>
              </w:rPr>
              <w:t>Monitoring of Service agreements</w:t>
            </w:r>
            <w:r w:rsidR="00463F5A">
              <w:rPr>
                <w:noProof/>
                <w:webHidden/>
              </w:rPr>
              <w:tab/>
            </w:r>
            <w:r w:rsidR="00463F5A">
              <w:rPr>
                <w:noProof/>
                <w:webHidden/>
              </w:rPr>
              <w:fldChar w:fldCharType="begin"/>
            </w:r>
            <w:r w:rsidR="00463F5A">
              <w:rPr>
                <w:noProof/>
                <w:webHidden/>
              </w:rPr>
              <w:instrText xml:space="preserve"> PAGEREF _Toc4142029 \h </w:instrText>
            </w:r>
            <w:r w:rsidR="00463F5A">
              <w:rPr>
                <w:noProof/>
                <w:webHidden/>
              </w:rPr>
            </w:r>
            <w:r w:rsidR="00463F5A">
              <w:rPr>
                <w:noProof/>
                <w:webHidden/>
              </w:rPr>
              <w:fldChar w:fldCharType="separate"/>
            </w:r>
            <w:r w:rsidR="00463F5A">
              <w:rPr>
                <w:noProof/>
                <w:webHidden/>
              </w:rPr>
              <w:t>27</w:t>
            </w:r>
            <w:r w:rsidR="00463F5A">
              <w:rPr>
                <w:noProof/>
                <w:webHidden/>
              </w:rPr>
              <w:fldChar w:fldCharType="end"/>
            </w:r>
          </w:hyperlink>
        </w:p>
        <w:p w14:paraId="2BCB0C56" w14:textId="387E995C" w:rsidR="00463F5A" w:rsidRDefault="0016341D">
          <w:pPr>
            <w:pStyle w:val="TOC1"/>
            <w:rPr>
              <w:rFonts w:asciiTheme="minorHAnsi" w:eastAsiaTheme="minorEastAsia" w:hAnsiTheme="minorHAnsi" w:cstheme="minorBidi"/>
              <w:b w:val="0"/>
              <w:sz w:val="22"/>
              <w:szCs w:val="22"/>
              <w:lang w:eastAsia="en-AU"/>
            </w:rPr>
          </w:pPr>
          <w:hyperlink w:anchor="_Toc4142030" w:history="1">
            <w:r w:rsidR="00463F5A" w:rsidRPr="005217E0">
              <w:rPr>
                <w:rStyle w:val="Hyperlink"/>
                <w:rFonts w:cs="Arial"/>
                <w:lang w:eastAsia="en-AU"/>
              </w:rPr>
              <w:t>Chapter 3. Terms and conditions</w:t>
            </w:r>
            <w:r w:rsidR="00463F5A">
              <w:rPr>
                <w:webHidden/>
              </w:rPr>
              <w:tab/>
            </w:r>
            <w:r w:rsidR="00463F5A">
              <w:rPr>
                <w:webHidden/>
              </w:rPr>
              <w:fldChar w:fldCharType="begin"/>
            </w:r>
            <w:r w:rsidR="00463F5A">
              <w:rPr>
                <w:webHidden/>
              </w:rPr>
              <w:instrText xml:space="preserve"> PAGEREF _Toc4142030 \h </w:instrText>
            </w:r>
            <w:r w:rsidR="00463F5A">
              <w:rPr>
                <w:webHidden/>
              </w:rPr>
            </w:r>
            <w:r w:rsidR="00463F5A">
              <w:rPr>
                <w:webHidden/>
              </w:rPr>
              <w:fldChar w:fldCharType="separate"/>
            </w:r>
            <w:r w:rsidR="00463F5A">
              <w:rPr>
                <w:webHidden/>
              </w:rPr>
              <w:t>27</w:t>
            </w:r>
            <w:r w:rsidR="00463F5A">
              <w:rPr>
                <w:webHidden/>
              </w:rPr>
              <w:fldChar w:fldCharType="end"/>
            </w:r>
          </w:hyperlink>
        </w:p>
        <w:p w14:paraId="27A4FF28" w14:textId="49E8A7B7" w:rsidR="00463F5A" w:rsidRDefault="0016341D">
          <w:pPr>
            <w:pStyle w:val="TOC3"/>
            <w:rPr>
              <w:rFonts w:asciiTheme="minorHAnsi" w:eastAsiaTheme="minorEastAsia" w:hAnsiTheme="minorHAnsi" w:cstheme="minorBidi"/>
              <w:noProof/>
              <w:sz w:val="22"/>
              <w:szCs w:val="22"/>
              <w:lang w:eastAsia="en-AU"/>
            </w:rPr>
          </w:pPr>
          <w:hyperlink w:anchor="_Toc4142031" w:history="1">
            <w:r w:rsidR="00463F5A" w:rsidRPr="005217E0">
              <w:rPr>
                <w:rStyle w:val="Hyperlink"/>
                <w:noProof/>
              </w:rPr>
              <w:t>Terms and conditions disclaimer</w:t>
            </w:r>
            <w:r w:rsidR="00463F5A">
              <w:rPr>
                <w:noProof/>
                <w:webHidden/>
              </w:rPr>
              <w:tab/>
            </w:r>
            <w:r w:rsidR="00463F5A">
              <w:rPr>
                <w:noProof/>
                <w:webHidden/>
              </w:rPr>
              <w:fldChar w:fldCharType="begin"/>
            </w:r>
            <w:r w:rsidR="00463F5A">
              <w:rPr>
                <w:noProof/>
                <w:webHidden/>
              </w:rPr>
              <w:instrText xml:space="preserve"> PAGEREF _Toc4142031 \h </w:instrText>
            </w:r>
            <w:r w:rsidR="00463F5A">
              <w:rPr>
                <w:noProof/>
                <w:webHidden/>
              </w:rPr>
            </w:r>
            <w:r w:rsidR="00463F5A">
              <w:rPr>
                <w:noProof/>
                <w:webHidden/>
              </w:rPr>
              <w:fldChar w:fldCharType="separate"/>
            </w:r>
            <w:r w:rsidR="00463F5A">
              <w:rPr>
                <w:noProof/>
                <w:webHidden/>
              </w:rPr>
              <w:t>27</w:t>
            </w:r>
            <w:r w:rsidR="00463F5A">
              <w:rPr>
                <w:noProof/>
                <w:webHidden/>
              </w:rPr>
              <w:fldChar w:fldCharType="end"/>
            </w:r>
          </w:hyperlink>
        </w:p>
        <w:p w14:paraId="7FDD790B" w14:textId="73F1DF6B" w:rsidR="00463F5A" w:rsidRDefault="0016341D">
          <w:pPr>
            <w:pStyle w:val="TOC2"/>
            <w:rPr>
              <w:rFonts w:asciiTheme="minorHAnsi" w:eastAsiaTheme="minorEastAsia" w:hAnsiTheme="minorHAnsi" w:cstheme="minorBidi"/>
              <w:sz w:val="22"/>
              <w:szCs w:val="22"/>
              <w:lang w:eastAsia="en-AU"/>
            </w:rPr>
          </w:pPr>
          <w:hyperlink w:anchor="_Toc4142032" w:history="1">
            <w:r w:rsidR="00463F5A" w:rsidRPr="005217E0">
              <w:rPr>
                <w:rStyle w:val="Hyperlink"/>
                <w:rFonts w:cs="Arial"/>
              </w:rPr>
              <w:t>3.0 Overview of Service agreement terms and conditions</w:t>
            </w:r>
            <w:r w:rsidR="00463F5A">
              <w:rPr>
                <w:webHidden/>
              </w:rPr>
              <w:tab/>
            </w:r>
            <w:r w:rsidR="00463F5A">
              <w:rPr>
                <w:webHidden/>
              </w:rPr>
              <w:fldChar w:fldCharType="begin"/>
            </w:r>
            <w:r w:rsidR="00463F5A">
              <w:rPr>
                <w:webHidden/>
              </w:rPr>
              <w:instrText xml:space="preserve"> PAGEREF _Toc4142032 \h </w:instrText>
            </w:r>
            <w:r w:rsidR="00463F5A">
              <w:rPr>
                <w:webHidden/>
              </w:rPr>
            </w:r>
            <w:r w:rsidR="00463F5A">
              <w:rPr>
                <w:webHidden/>
              </w:rPr>
              <w:fldChar w:fldCharType="separate"/>
            </w:r>
            <w:r w:rsidR="00463F5A">
              <w:rPr>
                <w:webHidden/>
              </w:rPr>
              <w:t>28</w:t>
            </w:r>
            <w:r w:rsidR="00463F5A">
              <w:rPr>
                <w:webHidden/>
              </w:rPr>
              <w:fldChar w:fldCharType="end"/>
            </w:r>
          </w:hyperlink>
        </w:p>
        <w:p w14:paraId="6E79A131" w14:textId="5C0960B7" w:rsidR="00463F5A" w:rsidRDefault="0016341D">
          <w:pPr>
            <w:pStyle w:val="TOC3"/>
            <w:rPr>
              <w:rFonts w:asciiTheme="minorHAnsi" w:eastAsiaTheme="minorEastAsia" w:hAnsiTheme="minorHAnsi" w:cstheme="minorBidi"/>
              <w:noProof/>
              <w:sz w:val="22"/>
              <w:szCs w:val="22"/>
              <w:lang w:eastAsia="en-AU"/>
            </w:rPr>
          </w:pPr>
          <w:hyperlink w:anchor="_Toc4142033" w:history="1">
            <w:r w:rsidR="00463F5A" w:rsidRPr="005217E0">
              <w:rPr>
                <w:rStyle w:val="Hyperlink"/>
                <w:noProof/>
                <w:lang w:eastAsia="en-AU"/>
              </w:rPr>
              <w:t>3.0.1 Terms and conditions of the Service agreement</w:t>
            </w:r>
            <w:r w:rsidR="00463F5A">
              <w:rPr>
                <w:noProof/>
                <w:webHidden/>
              </w:rPr>
              <w:tab/>
            </w:r>
            <w:r w:rsidR="00463F5A">
              <w:rPr>
                <w:noProof/>
                <w:webHidden/>
              </w:rPr>
              <w:fldChar w:fldCharType="begin"/>
            </w:r>
            <w:r w:rsidR="00463F5A">
              <w:rPr>
                <w:noProof/>
                <w:webHidden/>
              </w:rPr>
              <w:instrText xml:space="preserve"> PAGEREF _Toc4142033 \h </w:instrText>
            </w:r>
            <w:r w:rsidR="00463F5A">
              <w:rPr>
                <w:noProof/>
                <w:webHidden/>
              </w:rPr>
            </w:r>
            <w:r w:rsidR="00463F5A">
              <w:rPr>
                <w:noProof/>
                <w:webHidden/>
              </w:rPr>
              <w:fldChar w:fldCharType="separate"/>
            </w:r>
            <w:r w:rsidR="00463F5A">
              <w:rPr>
                <w:noProof/>
                <w:webHidden/>
              </w:rPr>
              <w:t>28</w:t>
            </w:r>
            <w:r w:rsidR="00463F5A">
              <w:rPr>
                <w:noProof/>
                <w:webHidden/>
              </w:rPr>
              <w:fldChar w:fldCharType="end"/>
            </w:r>
          </w:hyperlink>
        </w:p>
        <w:p w14:paraId="4B29BAED" w14:textId="188782EF" w:rsidR="00463F5A" w:rsidRDefault="0016341D">
          <w:pPr>
            <w:pStyle w:val="TOC2"/>
            <w:rPr>
              <w:rFonts w:asciiTheme="minorHAnsi" w:eastAsiaTheme="minorEastAsia" w:hAnsiTheme="minorHAnsi" w:cstheme="minorBidi"/>
              <w:sz w:val="22"/>
              <w:szCs w:val="22"/>
              <w:lang w:eastAsia="en-AU"/>
            </w:rPr>
          </w:pPr>
          <w:hyperlink w:anchor="_Toc4142034" w:history="1">
            <w:r w:rsidR="00463F5A" w:rsidRPr="005217E0">
              <w:rPr>
                <w:rStyle w:val="Hyperlink"/>
                <w:rFonts w:cs="Arial"/>
                <w:lang w:eastAsia="en-AU"/>
              </w:rPr>
              <w:t>3.1 Definitions and interpretation of the Service agreement</w:t>
            </w:r>
            <w:r w:rsidR="00463F5A">
              <w:rPr>
                <w:webHidden/>
              </w:rPr>
              <w:tab/>
            </w:r>
            <w:r w:rsidR="00463F5A">
              <w:rPr>
                <w:webHidden/>
              </w:rPr>
              <w:fldChar w:fldCharType="begin"/>
            </w:r>
            <w:r w:rsidR="00463F5A">
              <w:rPr>
                <w:webHidden/>
              </w:rPr>
              <w:instrText xml:space="preserve"> PAGEREF _Toc4142034 \h </w:instrText>
            </w:r>
            <w:r w:rsidR="00463F5A">
              <w:rPr>
                <w:webHidden/>
              </w:rPr>
            </w:r>
            <w:r w:rsidR="00463F5A">
              <w:rPr>
                <w:webHidden/>
              </w:rPr>
              <w:fldChar w:fldCharType="separate"/>
            </w:r>
            <w:r w:rsidR="00463F5A">
              <w:rPr>
                <w:webHidden/>
              </w:rPr>
              <w:t>28</w:t>
            </w:r>
            <w:r w:rsidR="00463F5A">
              <w:rPr>
                <w:webHidden/>
              </w:rPr>
              <w:fldChar w:fldCharType="end"/>
            </w:r>
          </w:hyperlink>
        </w:p>
        <w:p w14:paraId="1AF5061E" w14:textId="7392F55F" w:rsidR="00463F5A" w:rsidRDefault="0016341D">
          <w:pPr>
            <w:pStyle w:val="TOC2"/>
            <w:rPr>
              <w:rFonts w:asciiTheme="minorHAnsi" w:eastAsiaTheme="minorEastAsia" w:hAnsiTheme="minorHAnsi" w:cstheme="minorBidi"/>
              <w:sz w:val="22"/>
              <w:szCs w:val="22"/>
              <w:lang w:eastAsia="en-AU"/>
            </w:rPr>
          </w:pPr>
          <w:hyperlink w:anchor="_Toc4142035" w:history="1">
            <w:r w:rsidR="00463F5A" w:rsidRPr="005217E0">
              <w:rPr>
                <w:rStyle w:val="Hyperlink"/>
                <w:rFonts w:cs="Arial"/>
                <w:lang w:eastAsia="en-AU"/>
              </w:rPr>
              <w:t>3.2 Term of agreement</w:t>
            </w:r>
            <w:r w:rsidR="00463F5A">
              <w:rPr>
                <w:webHidden/>
              </w:rPr>
              <w:tab/>
            </w:r>
            <w:r w:rsidR="00463F5A">
              <w:rPr>
                <w:webHidden/>
              </w:rPr>
              <w:fldChar w:fldCharType="begin"/>
            </w:r>
            <w:r w:rsidR="00463F5A">
              <w:rPr>
                <w:webHidden/>
              </w:rPr>
              <w:instrText xml:space="preserve"> PAGEREF _Toc4142035 \h </w:instrText>
            </w:r>
            <w:r w:rsidR="00463F5A">
              <w:rPr>
                <w:webHidden/>
              </w:rPr>
            </w:r>
            <w:r w:rsidR="00463F5A">
              <w:rPr>
                <w:webHidden/>
              </w:rPr>
              <w:fldChar w:fldCharType="separate"/>
            </w:r>
            <w:r w:rsidR="00463F5A">
              <w:rPr>
                <w:webHidden/>
              </w:rPr>
              <w:t>29</w:t>
            </w:r>
            <w:r w:rsidR="00463F5A">
              <w:rPr>
                <w:webHidden/>
              </w:rPr>
              <w:fldChar w:fldCharType="end"/>
            </w:r>
          </w:hyperlink>
        </w:p>
        <w:p w14:paraId="44F87594" w14:textId="102C1BF4" w:rsidR="00463F5A" w:rsidRDefault="0016341D">
          <w:pPr>
            <w:pStyle w:val="TOC2"/>
            <w:rPr>
              <w:rFonts w:asciiTheme="minorHAnsi" w:eastAsiaTheme="minorEastAsia" w:hAnsiTheme="minorHAnsi" w:cstheme="minorBidi"/>
              <w:sz w:val="22"/>
              <w:szCs w:val="22"/>
              <w:lang w:eastAsia="en-AU"/>
            </w:rPr>
          </w:pPr>
          <w:hyperlink w:anchor="_Toc4142036" w:history="1">
            <w:r w:rsidR="00463F5A" w:rsidRPr="005217E0">
              <w:rPr>
                <w:rStyle w:val="Hyperlink"/>
                <w:rFonts w:cs="Arial"/>
                <w:lang w:eastAsia="en-AU"/>
              </w:rPr>
              <w:t>3.3 Service delivery</w:t>
            </w:r>
            <w:r w:rsidR="00463F5A">
              <w:rPr>
                <w:webHidden/>
              </w:rPr>
              <w:tab/>
            </w:r>
            <w:r w:rsidR="00463F5A">
              <w:rPr>
                <w:webHidden/>
              </w:rPr>
              <w:fldChar w:fldCharType="begin"/>
            </w:r>
            <w:r w:rsidR="00463F5A">
              <w:rPr>
                <w:webHidden/>
              </w:rPr>
              <w:instrText xml:space="preserve"> PAGEREF _Toc4142036 \h </w:instrText>
            </w:r>
            <w:r w:rsidR="00463F5A">
              <w:rPr>
                <w:webHidden/>
              </w:rPr>
            </w:r>
            <w:r w:rsidR="00463F5A">
              <w:rPr>
                <w:webHidden/>
              </w:rPr>
              <w:fldChar w:fldCharType="separate"/>
            </w:r>
            <w:r w:rsidR="00463F5A">
              <w:rPr>
                <w:webHidden/>
              </w:rPr>
              <w:t>29</w:t>
            </w:r>
            <w:r w:rsidR="00463F5A">
              <w:rPr>
                <w:webHidden/>
              </w:rPr>
              <w:fldChar w:fldCharType="end"/>
            </w:r>
          </w:hyperlink>
        </w:p>
        <w:p w14:paraId="0AC38FF4" w14:textId="3F5DFC31" w:rsidR="00463F5A" w:rsidRDefault="0016341D">
          <w:pPr>
            <w:pStyle w:val="TOC3"/>
            <w:rPr>
              <w:rFonts w:asciiTheme="minorHAnsi" w:eastAsiaTheme="minorEastAsia" w:hAnsiTheme="minorHAnsi" w:cstheme="minorBidi"/>
              <w:noProof/>
              <w:sz w:val="22"/>
              <w:szCs w:val="22"/>
              <w:lang w:eastAsia="en-AU"/>
            </w:rPr>
          </w:pPr>
          <w:hyperlink w:anchor="_Toc4142037" w:history="1">
            <w:r w:rsidR="00463F5A" w:rsidRPr="005217E0">
              <w:rPr>
                <w:rStyle w:val="Hyperlink"/>
                <w:noProof/>
                <w:lang w:eastAsia="en-AU"/>
              </w:rPr>
              <w:t>3.3.1 Quality of service delivery</w:t>
            </w:r>
            <w:r w:rsidR="00463F5A">
              <w:rPr>
                <w:noProof/>
                <w:webHidden/>
              </w:rPr>
              <w:tab/>
            </w:r>
            <w:r w:rsidR="00463F5A">
              <w:rPr>
                <w:noProof/>
                <w:webHidden/>
              </w:rPr>
              <w:fldChar w:fldCharType="begin"/>
            </w:r>
            <w:r w:rsidR="00463F5A">
              <w:rPr>
                <w:noProof/>
                <w:webHidden/>
              </w:rPr>
              <w:instrText xml:space="preserve"> PAGEREF _Toc4142037 \h </w:instrText>
            </w:r>
            <w:r w:rsidR="00463F5A">
              <w:rPr>
                <w:noProof/>
                <w:webHidden/>
              </w:rPr>
            </w:r>
            <w:r w:rsidR="00463F5A">
              <w:rPr>
                <w:noProof/>
                <w:webHidden/>
              </w:rPr>
              <w:fldChar w:fldCharType="separate"/>
            </w:r>
            <w:r w:rsidR="00463F5A">
              <w:rPr>
                <w:noProof/>
                <w:webHidden/>
              </w:rPr>
              <w:t>29</w:t>
            </w:r>
            <w:r w:rsidR="00463F5A">
              <w:rPr>
                <w:noProof/>
                <w:webHidden/>
              </w:rPr>
              <w:fldChar w:fldCharType="end"/>
            </w:r>
          </w:hyperlink>
        </w:p>
        <w:p w14:paraId="0B76274F" w14:textId="6F207A66" w:rsidR="00463F5A" w:rsidRDefault="0016341D">
          <w:pPr>
            <w:pStyle w:val="TOC3"/>
            <w:rPr>
              <w:rFonts w:asciiTheme="minorHAnsi" w:eastAsiaTheme="minorEastAsia" w:hAnsiTheme="minorHAnsi" w:cstheme="minorBidi"/>
              <w:noProof/>
              <w:sz w:val="22"/>
              <w:szCs w:val="22"/>
              <w:lang w:eastAsia="en-AU"/>
            </w:rPr>
          </w:pPr>
          <w:hyperlink w:anchor="_Toc4142038" w:history="1">
            <w:r w:rsidR="00463F5A" w:rsidRPr="005217E0">
              <w:rPr>
                <w:rStyle w:val="Hyperlink"/>
                <w:noProof/>
                <w:lang w:eastAsia="en-AU"/>
              </w:rPr>
              <w:t>3.3.2 Continuity of services</w:t>
            </w:r>
            <w:r w:rsidR="00463F5A">
              <w:rPr>
                <w:noProof/>
                <w:webHidden/>
              </w:rPr>
              <w:tab/>
            </w:r>
            <w:r w:rsidR="00463F5A">
              <w:rPr>
                <w:noProof/>
                <w:webHidden/>
              </w:rPr>
              <w:fldChar w:fldCharType="begin"/>
            </w:r>
            <w:r w:rsidR="00463F5A">
              <w:rPr>
                <w:noProof/>
                <w:webHidden/>
              </w:rPr>
              <w:instrText xml:space="preserve"> PAGEREF _Toc4142038 \h </w:instrText>
            </w:r>
            <w:r w:rsidR="00463F5A">
              <w:rPr>
                <w:noProof/>
                <w:webHidden/>
              </w:rPr>
            </w:r>
            <w:r w:rsidR="00463F5A">
              <w:rPr>
                <w:noProof/>
                <w:webHidden/>
              </w:rPr>
              <w:fldChar w:fldCharType="separate"/>
            </w:r>
            <w:r w:rsidR="00463F5A">
              <w:rPr>
                <w:noProof/>
                <w:webHidden/>
              </w:rPr>
              <w:t>30</w:t>
            </w:r>
            <w:r w:rsidR="00463F5A">
              <w:rPr>
                <w:noProof/>
                <w:webHidden/>
              </w:rPr>
              <w:fldChar w:fldCharType="end"/>
            </w:r>
          </w:hyperlink>
        </w:p>
        <w:p w14:paraId="4ECEC6DC" w14:textId="7E686D30" w:rsidR="00463F5A" w:rsidRDefault="0016341D">
          <w:pPr>
            <w:pStyle w:val="TOC3"/>
            <w:rPr>
              <w:rFonts w:asciiTheme="minorHAnsi" w:eastAsiaTheme="minorEastAsia" w:hAnsiTheme="minorHAnsi" w:cstheme="minorBidi"/>
              <w:noProof/>
              <w:sz w:val="22"/>
              <w:szCs w:val="22"/>
              <w:lang w:eastAsia="en-AU"/>
            </w:rPr>
          </w:pPr>
          <w:hyperlink w:anchor="_Toc4142039" w:history="1">
            <w:r w:rsidR="00463F5A" w:rsidRPr="005217E0">
              <w:rPr>
                <w:rStyle w:val="Hyperlink"/>
                <w:noProof/>
                <w:lang w:eastAsia="en-AU"/>
              </w:rPr>
              <w:t>3.3.3 Compliance with Human Services Standards (Standards)</w:t>
            </w:r>
            <w:r w:rsidR="00463F5A">
              <w:rPr>
                <w:noProof/>
                <w:webHidden/>
              </w:rPr>
              <w:tab/>
            </w:r>
            <w:r w:rsidR="00463F5A">
              <w:rPr>
                <w:noProof/>
                <w:webHidden/>
              </w:rPr>
              <w:fldChar w:fldCharType="begin"/>
            </w:r>
            <w:r w:rsidR="00463F5A">
              <w:rPr>
                <w:noProof/>
                <w:webHidden/>
              </w:rPr>
              <w:instrText xml:space="preserve"> PAGEREF _Toc4142039 \h </w:instrText>
            </w:r>
            <w:r w:rsidR="00463F5A">
              <w:rPr>
                <w:noProof/>
                <w:webHidden/>
              </w:rPr>
            </w:r>
            <w:r w:rsidR="00463F5A">
              <w:rPr>
                <w:noProof/>
                <w:webHidden/>
              </w:rPr>
              <w:fldChar w:fldCharType="separate"/>
            </w:r>
            <w:r w:rsidR="00463F5A">
              <w:rPr>
                <w:noProof/>
                <w:webHidden/>
              </w:rPr>
              <w:t>31</w:t>
            </w:r>
            <w:r w:rsidR="00463F5A">
              <w:rPr>
                <w:noProof/>
                <w:webHidden/>
              </w:rPr>
              <w:fldChar w:fldCharType="end"/>
            </w:r>
          </w:hyperlink>
        </w:p>
        <w:p w14:paraId="6DAFB27F" w14:textId="71E877BA" w:rsidR="00463F5A" w:rsidRDefault="0016341D">
          <w:pPr>
            <w:pStyle w:val="TOC2"/>
            <w:rPr>
              <w:rFonts w:asciiTheme="minorHAnsi" w:eastAsiaTheme="minorEastAsia" w:hAnsiTheme="minorHAnsi" w:cstheme="minorBidi"/>
              <w:sz w:val="22"/>
              <w:szCs w:val="22"/>
              <w:lang w:eastAsia="en-AU"/>
            </w:rPr>
          </w:pPr>
          <w:hyperlink w:anchor="_Toc4142040" w:history="1">
            <w:r w:rsidR="00463F5A" w:rsidRPr="005217E0">
              <w:rPr>
                <w:rStyle w:val="Hyperlink"/>
                <w:rFonts w:cs="Arial"/>
                <w:lang w:eastAsia="en-AU"/>
              </w:rPr>
              <w:t>3.4 Funding</w:t>
            </w:r>
            <w:r w:rsidR="00463F5A">
              <w:rPr>
                <w:webHidden/>
              </w:rPr>
              <w:tab/>
            </w:r>
            <w:r w:rsidR="00463F5A">
              <w:rPr>
                <w:webHidden/>
              </w:rPr>
              <w:fldChar w:fldCharType="begin"/>
            </w:r>
            <w:r w:rsidR="00463F5A">
              <w:rPr>
                <w:webHidden/>
              </w:rPr>
              <w:instrText xml:space="preserve"> PAGEREF _Toc4142040 \h </w:instrText>
            </w:r>
            <w:r w:rsidR="00463F5A">
              <w:rPr>
                <w:webHidden/>
              </w:rPr>
            </w:r>
            <w:r w:rsidR="00463F5A">
              <w:rPr>
                <w:webHidden/>
              </w:rPr>
              <w:fldChar w:fldCharType="separate"/>
            </w:r>
            <w:r w:rsidR="00463F5A">
              <w:rPr>
                <w:webHidden/>
              </w:rPr>
              <w:t>32</w:t>
            </w:r>
            <w:r w:rsidR="00463F5A">
              <w:rPr>
                <w:webHidden/>
              </w:rPr>
              <w:fldChar w:fldCharType="end"/>
            </w:r>
          </w:hyperlink>
        </w:p>
        <w:p w14:paraId="085FA468" w14:textId="50FCCF40" w:rsidR="00463F5A" w:rsidRDefault="0016341D">
          <w:pPr>
            <w:pStyle w:val="TOC3"/>
            <w:rPr>
              <w:rFonts w:asciiTheme="minorHAnsi" w:eastAsiaTheme="minorEastAsia" w:hAnsiTheme="minorHAnsi" w:cstheme="minorBidi"/>
              <w:noProof/>
              <w:sz w:val="22"/>
              <w:szCs w:val="22"/>
              <w:lang w:eastAsia="en-AU"/>
            </w:rPr>
          </w:pPr>
          <w:hyperlink w:anchor="_Toc4142041" w:history="1">
            <w:r w:rsidR="00463F5A" w:rsidRPr="005217E0">
              <w:rPr>
                <w:rStyle w:val="Hyperlink"/>
                <w:noProof/>
                <w:lang w:eastAsia="en-AU"/>
              </w:rPr>
              <w:t>3.4.1 Payment and use of funding</w:t>
            </w:r>
            <w:r w:rsidR="00463F5A">
              <w:rPr>
                <w:noProof/>
                <w:webHidden/>
              </w:rPr>
              <w:tab/>
            </w:r>
            <w:r w:rsidR="00463F5A">
              <w:rPr>
                <w:noProof/>
                <w:webHidden/>
              </w:rPr>
              <w:fldChar w:fldCharType="begin"/>
            </w:r>
            <w:r w:rsidR="00463F5A">
              <w:rPr>
                <w:noProof/>
                <w:webHidden/>
              </w:rPr>
              <w:instrText xml:space="preserve"> PAGEREF _Toc4142041 \h </w:instrText>
            </w:r>
            <w:r w:rsidR="00463F5A">
              <w:rPr>
                <w:noProof/>
                <w:webHidden/>
              </w:rPr>
            </w:r>
            <w:r w:rsidR="00463F5A">
              <w:rPr>
                <w:noProof/>
                <w:webHidden/>
              </w:rPr>
              <w:fldChar w:fldCharType="separate"/>
            </w:r>
            <w:r w:rsidR="00463F5A">
              <w:rPr>
                <w:noProof/>
                <w:webHidden/>
              </w:rPr>
              <w:t>32</w:t>
            </w:r>
            <w:r w:rsidR="00463F5A">
              <w:rPr>
                <w:noProof/>
                <w:webHidden/>
              </w:rPr>
              <w:fldChar w:fldCharType="end"/>
            </w:r>
          </w:hyperlink>
        </w:p>
        <w:p w14:paraId="5832DD68" w14:textId="620DC12B" w:rsidR="00463F5A" w:rsidRDefault="0016341D">
          <w:pPr>
            <w:pStyle w:val="TOC3"/>
            <w:rPr>
              <w:rFonts w:asciiTheme="minorHAnsi" w:eastAsiaTheme="minorEastAsia" w:hAnsiTheme="minorHAnsi" w:cstheme="minorBidi"/>
              <w:noProof/>
              <w:sz w:val="22"/>
              <w:szCs w:val="22"/>
              <w:lang w:eastAsia="en-AU"/>
            </w:rPr>
          </w:pPr>
          <w:hyperlink w:anchor="_Toc4142042" w:history="1">
            <w:r w:rsidR="00463F5A" w:rsidRPr="005217E0">
              <w:rPr>
                <w:rStyle w:val="Hyperlink"/>
                <w:noProof/>
                <w:lang w:eastAsia="en-AU"/>
              </w:rPr>
              <w:t>3.4.2 Price indexation</w:t>
            </w:r>
            <w:r w:rsidR="00463F5A">
              <w:rPr>
                <w:noProof/>
                <w:webHidden/>
              </w:rPr>
              <w:tab/>
            </w:r>
            <w:r w:rsidR="00463F5A">
              <w:rPr>
                <w:noProof/>
                <w:webHidden/>
              </w:rPr>
              <w:fldChar w:fldCharType="begin"/>
            </w:r>
            <w:r w:rsidR="00463F5A">
              <w:rPr>
                <w:noProof/>
                <w:webHidden/>
              </w:rPr>
              <w:instrText xml:space="preserve"> PAGEREF _Toc4142042 \h </w:instrText>
            </w:r>
            <w:r w:rsidR="00463F5A">
              <w:rPr>
                <w:noProof/>
                <w:webHidden/>
              </w:rPr>
            </w:r>
            <w:r w:rsidR="00463F5A">
              <w:rPr>
                <w:noProof/>
                <w:webHidden/>
              </w:rPr>
              <w:fldChar w:fldCharType="separate"/>
            </w:r>
            <w:r w:rsidR="00463F5A">
              <w:rPr>
                <w:noProof/>
                <w:webHidden/>
              </w:rPr>
              <w:t>33</w:t>
            </w:r>
            <w:r w:rsidR="00463F5A">
              <w:rPr>
                <w:noProof/>
                <w:webHidden/>
              </w:rPr>
              <w:fldChar w:fldCharType="end"/>
            </w:r>
          </w:hyperlink>
        </w:p>
        <w:p w14:paraId="3264BE64" w14:textId="3EFDC180" w:rsidR="00463F5A" w:rsidRDefault="0016341D">
          <w:pPr>
            <w:pStyle w:val="TOC3"/>
            <w:rPr>
              <w:rFonts w:asciiTheme="minorHAnsi" w:eastAsiaTheme="minorEastAsia" w:hAnsiTheme="minorHAnsi" w:cstheme="minorBidi"/>
              <w:noProof/>
              <w:sz w:val="22"/>
              <w:szCs w:val="22"/>
              <w:lang w:eastAsia="en-AU"/>
            </w:rPr>
          </w:pPr>
          <w:hyperlink w:anchor="_Toc4142043" w:history="1">
            <w:r w:rsidR="00463F5A" w:rsidRPr="005217E0">
              <w:rPr>
                <w:rStyle w:val="Hyperlink"/>
                <w:noProof/>
                <w:lang w:eastAsia="en-AU"/>
              </w:rPr>
              <w:t>3.4.3 Goods and services tax</w:t>
            </w:r>
            <w:r w:rsidR="00463F5A">
              <w:rPr>
                <w:noProof/>
                <w:webHidden/>
              </w:rPr>
              <w:tab/>
            </w:r>
            <w:r w:rsidR="00463F5A">
              <w:rPr>
                <w:noProof/>
                <w:webHidden/>
              </w:rPr>
              <w:fldChar w:fldCharType="begin"/>
            </w:r>
            <w:r w:rsidR="00463F5A">
              <w:rPr>
                <w:noProof/>
                <w:webHidden/>
              </w:rPr>
              <w:instrText xml:space="preserve"> PAGEREF _Toc4142043 \h </w:instrText>
            </w:r>
            <w:r w:rsidR="00463F5A">
              <w:rPr>
                <w:noProof/>
                <w:webHidden/>
              </w:rPr>
            </w:r>
            <w:r w:rsidR="00463F5A">
              <w:rPr>
                <w:noProof/>
                <w:webHidden/>
              </w:rPr>
              <w:fldChar w:fldCharType="separate"/>
            </w:r>
            <w:r w:rsidR="00463F5A">
              <w:rPr>
                <w:noProof/>
                <w:webHidden/>
              </w:rPr>
              <w:t>34</w:t>
            </w:r>
            <w:r w:rsidR="00463F5A">
              <w:rPr>
                <w:noProof/>
                <w:webHidden/>
              </w:rPr>
              <w:fldChar w:fldCharType="end"/>
            </w:r>
          </w:hyperlink>
        </w:p>
        <w:p w14:paraId="5DE8D379" w14:textId="1E339F23" w:rsidR="00463F5A" w:rsidRDefault="0016341D">
          <w:pPr>
            <w:pStyle w:val="TOC3"/>
            <w:rPr>
              <w:rFonts w:asciiTheme="minorHAnsi" w:eastAsiaTheme="minorEastAsia" w:hAnsiTheme="minorHAnsi" w:cstheme="minorBidi"/>
              <w:noProof/>
              <w:sz w:val="22"/>
              <w:szCs w:val="22"/>
              <w:lang w:eastAsia="en-AU"/>
            </w:rPr>
          </w:pPr>
          <w:hyperlink w:anchor="_Toc4142044" w:history="1">
            <w:r w:rsidR="00463F5A" w:rsidRPr="005217E0">
              <w:rPr>
                <w:rStyle w:val="Hyperlink"/>
                <w:noProof/>
                <w:lang w:eastAsia="en-AU"/>
              </w:rPr>
              <w:t>3.4.4 Acknowledgement and Publicity Guidelines</w:t>
            </w:r>
            <w:r w:rsidR="00463F5A">
              <w:rPr>
                <w:noProof/>
                <w:webHidden/>
              </w:rPr>
              <w:tab/>
            </w:r>
            <w:r w:rsidR="00463F5A">
              <w:rPr>
                <w:noProof/>
                <w:webHidden/>
              </w:rPr>
              <w:fldChar w:fldCharType="begin"/>
            </w:r>
            <w:r w:rsidR="00463F5A">
              <w:rPr>
                <w:noProof/>
                <w:webHidden/>
              </w:rPr>
              <w:instrText xml:space="preserve"> PAGEREF _Toc4142044 \h </w:instrText>
            </w:r>
            <w:r w:rsidR="00463F5A">
              <w:rPr>
                <w:noProof/>
                <w:webHidden/>
              </w:rPr>
            </w:r>
            <w:r w:rsidR="00463F5A">
              <w:rPr>
                <w:noProof/>
                <w:webHidden/>
              </w:rPr>
              <w:fldChar w:fldCharType="separate"/>
            </w:r>
            <w:r w:rsidR="00463F5A">
              <w:rPr>
                <w:noProof/>
                <w:webHidden/>
              </w:rPr>
              <w:t>37</w:t>
            </w:r>
            <w:r w:rsidR="00463F5A">
              <w:rPr>
                <w:noProof/>
                <w:webHidden/>
              </w:rPr>
              <w:fldChar w:fldCharType="end"/>
            </w:r>
          </w:hyperlink>
        </w:p>
        <w:p w14:paraId="4805BE4B" w14:textId="089596B6" w:rsidR="00463F5A" w:rsidRDefault="0016341D">
          <w:pPr>
            <w:pStyle w:val="TOC2"/>
            <w:rPr>
              <w:rFonts w:asciiTheme="minorHAnsi" w:eastAsiaTheme="minorEastAsia" w:hAnsiTheme="minorHAnsi" w:cstheme="minorBidi"/>
              <w:sz w:val="22"/>
              <w:szCs w:val="22"/>
              <w:lang w:eastAsia="en-AU"/>
            </w:rPr>
          </w:pPr>
          <w:hyperlink w:anchor="_Toc4142045" w:history="1">
            <w:r w:rsidR="00463F5A" w:rsidRPr="005217E0">
              <w:rPr>
                <w:rStyle w:val="Hyperlink"/>
                <w:rFonts w:cs="Arial"/>
                <w:lang w:eastAsia="en-AU"/>
              </w:rPr>
              <w:t>3.5 Conflict of interest</w:t>
            </w:r>
            <w:r w:rsidR="00463F5A">
              <w:rPr>
                <w:webHidden/>
              </w:rPr>
              <w:tab/>
            </w:r>
            <w:r w:rsidR="00463F5A">
              <w:rPr>
                <w:webHidden/>
              </w:rPr>
              <w:fldChar w:fldCharType="begin"/>
            </w:r>
            <w:r w:rsidR="00463F5A">
              <w:rPr>
                <w:webHidden/>
              </w:rPr>
              <w:instrText xml:space="preserve"> PAGEREF _Toc4142045 \h </w:instrText>
            </w:r>
            <w:r w:rsidR="00463F5A">
              <w:rPr>
                <w:webHidden/>
              </w:rPr>
            </w:r>
            <w:r w:rsidR="00463F5A">
              <w:rPr>
                <w:webHidden/>
              </w:rPr>
              <w:fldChar w:fldCharType="separate"/>
            </w:r>
            <w:r w:rsidR="00463F5A">
              <w:rPr>
                <w:webHidden/>
              </w:rPr>
              <w:t>38</w:t>
            </w:r>
            <w:r w:rsidR="00463F5A">
              <w:rPr>
                <w:webHidden/>
              </w:rPr>
              <w:fldChar w:fldCharType="end"/>
            </w:r>
          </w:hyperlink>
        </w:p>
        <w:p w14:paraId="1F622E52" w14:textId="386356B8" w:rsidR="00463F5A" w:rsidRDefault="0016341D">
          <w:pPr>
            <w:pStyle w:val="TOC3"/>
            <w:rPr>
              <w:rFonts w:asciiTheme="minorHAnsi" w:eastAsiaTheme="minorEastAsia" w:hAnsiTheme="minorHAnsi" w:cstheme="minorBidi"/>
              <w:noProof/>
              <w:sz w:val="22"/>
              <w:szCs w:val="22"/>
              <w:lang w:eastAsia="en-AU"/>
            </w:rPr>
          </w:pPr>
          <w:hyperlink w:anchor="_Toc4142046" w:history="1">
            <w:r w:rsidR="00463F5A" w:rsidRPr="005217E0">
              <w:rPr>
                <w:rStyle w:val="Hyperlink"/>
                <w:noProof/>
                <w:lang w:eastAsia="en-AU"/>
              </w:rPr>
              <w:t>What is a conflict of interest under the Service agreement?</w:t>
            </w:r>
            <w:r w:rsidR="00463F5A">
              <w:rPr>
                <w:noProof/>
                <w:webHidden/>
              </w:rPr>
              <w:tab/>
            </w:r>
            <w:r w:rsidR="00463F5A">
              <w:rPr>
                <w:noProof/>
                <w:webHidden/>
              </w:rPr>
              <w:fldChar w:fldCharType="begin"/>
            </w:r>
            <w:r w:rsidR="00463F5A">
              <w:rPr>
                <w:noProof/>
                <w:webHidden/>
              </w:rPr>
              <w:instrText xml:space="preserve"> PAGEREF _Toc4142046 \h </w:instrText>
            </w:r>
            <w:r w:rsidR="00463F5A">
              <w:rPr>
                <w:noProof/>
                <w:webHidden/>
              </w:rPr>
            </w:r>
            <w:r w:rsidR="00463F5A">
              <w:rPr>
                <w:noProof/>
                <w:webHidden/>
              </w:rPr>
              <w:fldChar w:fldCharType="separate"/>
            </w:r>
            <w:r w:rsidR="00463F5A">
              <w:rPr>
                <w:noProof/>
                <w:webHidden/>
              </w:rPr>
              <w:t>38</w:t>
            </w:r>
            <w:r w:rsidR="00463F5A">
              <w:rPr>
                <w:noProof/>
                <w:webHidden/>
              </w:rPr>
              <w:fldChar w:fldCharType="end"/>
            </w:r>
          </w:hyperlink>
        </w:p>
        <w:p w14:paraId="1497C8EC" w14:textId="2FD58AF5" w:rsidR="00463F5A" w:rsidRDefault="0016341D">
          <w:pPr>
            <w:pStyle w:val="TOC3"/>
            <w:rPr>
              <w:rFonts w:asciiTheme="minorHAnsi" w:eastAsiaTheme="minorEastAsia" w:hAnsiTheme="minorHAnsi" w:cstheme="minorBidi"/>
              <w:noProof/>
              <w:sz w:val="22"/>
              <w:szCs w:val="22"/>
              <w:lang w:eastAsia="en-AU"/>
            </w:rPr>
          </w:pPr>
          <w:hyperlink w:anchor="_Toc4142047" w:history="1">
            <w:r w:rsidR="00463F5A" w:rsidRPr="005217E0">
              <w:rPr>
                <w:rStyle w:val="Hyperlink"/>
                <w:noProof/>
                <w:lang w:eastAsia="en-AU"/>
              </w:rPr>
              <w:t>What are examples of actual and potential conflicts of interest?</w:t>
            </w:r>
            <w:r w:rsidR="00463F5A">
              <w:rPr>
                <w:noProof/>
                <w:webHidden/>
              </w:rPr>
              <w:tab/>
            </w:r>
            <w:r w:rsidR="00463F5A">
              <w:rPr>
                <w:noProof/>
                <w:webHidden/>
              </w:rPr>
              <w:fldChar w:fldCharType="begin"/>
            </w:r>
            <w:r w:rsidR="00463F5A">
              <w:rPr>
                <w:noProof/>
                <w:webHidden/>
              </w:rPr>
              <w:instrText xml:space="preserve"> PAGEREF _Toc4142047 \h </w:instrText>
            </w:r>
            <w:r w:rsidR="00463F5A">
              <w:rPr>
                <w:noProof/>
                <w:webHidden/>
              </w:rPr>
            </w:r>
            <w:r w:rsidR="00463F5A">
              <w:rPr>
                <w:noProof/>
                <w:webHidden/>
              </w:rPr>
              <w:fldChar w:fldCharType="separate"/>
            </w:r>
            <w:r w:rsidR="00463F5A">
              <w:rPr>
                <w:noProof/>
                <w:webHidden/>
              </w:rPr>
              <w:t>38</w:t>
            </w:r>
            <w:r w:rsidR="00463F5A">
              <w:rPr>
                <w:noProof/>
                <w:webHidden/>
              </w:rPr>
              <w:fldChar w:fldCharType="end"/>
            </w:r>
          </w:hyperlink>
        </w:p>
        <w:p w14:paraId="1E03C401" w14:textId="4D23DE1A" w:rsidR="00463F5A" w:rsidRDefault="0016341D">
          <w:pPr>
            <w:pStyle w:val="TOC3"/>
            <w:rPr>
              <w:rFonts w:asciiTheme="minorHAnsi" w:eastAsiaTheme="minorEastAsia" w:hAnsiTheme="minorHAnsi" w:cstheme="minorBidi"/>
              <w:noProof/>
              <w:sz w:val="22"/>
              <w:szCs w:val="22"/>
              <w:lang w:eastAsia="en-AU"/>
            </w:rPr>
          </w:pPr>
          <w:hyperlink w:anchor="_Toc4142048" w:history="1">
            <w:r w:rsidR="00463F5A" w:rsidRPr="005217E0">
              <w:rPr>
                <w:rStyle w:val="Hyperlink"/>
                <w:noProof/>
                <w:lang w:eastAsia="en-AU"/>
              </w:rPr>
              <w:t>Management and disclosure of conflict of interest</w:t>
            </w:r>
            <w:r w:rsidR="00463F5A">
              <w:rPr>
                <w:noProof/>
                <w:webHidden/>
              </w:rPr>
              <w:tab/>
            </w:r>
            <w:r w:rsidR="00463F5A">
              <w:rPr>
                <w:noProof/>
                <w:webHidden/>
              </w:rPr>
              <w:fldChar w:fldCharType="begin"/>
            </w:r>
            <w:r w:rsidR="00463F5A">
              <w:rPr>
                <w:noProof/>
                <w:webHidden/>
              </w:rPr>
              <w:instrText xml:space="preserve"> PAGEREF _Toc4142048 \h </w:instrText>
            </w:r>
            <w:r w:rsidR="00463F5A">
              <w:rPr>
                <w:noProof/>
                <w:webHidden/>
              </w:rPr>
            </w:r>
            <w:r w:rsidR="00463F5A">
              <w:rPr>
                <w:noProof/>
                <w:webHidden/>
              </w:rPr>
              <w:fldChar w:fldCharType="separate"/>
            </w:r>
            <w:r w:rsidR="00463F5A">
              <w:rPr>
                <w:noProof/>
                <w:webHidden/>
              </w:rPr>
              <w:t>38</w:t>
            </w:r>
            <w:r w:rsidR="00463F5A">
              <w:rPr>
                <w:noProof/>
                <w:webHidden/>
              </w:rPr>
              <w:fldChar w:fldCharType="end"/>
            </w:r>
          </w:hyperlink>
        </w:p>
        <w:p w14:paraId="11830BAB" w14:textId="187756D6" w:rsidR="00463F5A" w:rsidRDefault="0016341D">
          <w:pPr>
            <w:pStyle w:val="TOC3"/>
            <w:rPr>
              <w:rFonts w:asciiTheme="minorHAnsi" w:eastAsiaTheme="minorEastAsia" w:hAnsiTheme="minorHAnsi" w:cstheme="minorBidi"/>
              <w:noProof/>
              <w:sz w:val="22"/>
              <w:szCs w:val="22"/>
              <w:lang w:eastAsia="en-AU"/>
            </w:rPr>
          </w:pPr>
          <w:hyperlink w:anchor="_Toc4142049" w:history="1">
            <w:r w:rsidR="00463F5A" w:rsidRPr="005217E0">
              <w:rPr>
                <w:rStyle w:val="Hyperlink"/>
                <w:noProof/>
                <w:lang w:eastAsia="en-AU"/>
              </w:rPr>
              <w:t>What needs to occur under the Service agreement if there is a potential or actual conflict of interest in place?</w:t>
            </w:r>
            <w:r w:rsidR="00463F5A">
              <w:rPr>
                <w:noProof/>
                <w:webHidden/>
              </w:rPr>
              <w:tab/>
            </w:r>
            <w:r w:rsidR="00463F5A">
              <w:rPr>
                <w:noProof/>
                <w:webHidden/>
              </w:rPr>
              <w:fldChar w:fldCharType="begin"/>
            </w:r>
            <w:r w:rsidR="00463F5A">
              <w:rPr>
                <w:noProof/>
                <w:webHidden/>
              </w:rPr>
              <w:instrText xml:space="preserve"> PAGEREF _Toc4142049 \h </w:instrText>
            </w:r>
            <w:r w:rsidR="00463F5A">
              <w:rPr>
                <w:noProof/>
                <w:webHidden/>
              </w:rPr>
            </w:r>
            <w:r w:rsidR="00463F5A">
              <w:rPr>
                <w:noProof/>
                <w:webHidden/>
              </w:rPr>
              <w:fldChar w:fldCharType="separate"/>
            </w:r>
            <w:r w:rsidR="00463F5A">
              <w:rPr>
                <w:noProof/>
                <w:webHidden/>
              </w:rPr>
              <w:t>39</w:t>
            </w:r>
            <w:r w:rsidR="00463F5A">
              <w:rPr>
                <w:noProof/>
                <w:webHidden/>
              </w:rPr>
              <w:fldChar w:fldCharType="end"/>
            </w:r>
          </w:hyperlink>
        </w:p>
        <w:p w14:paraId="6B636687" w14:textId="774A15F3" w:rsidR="00463F5A" w:rsidRDefault="0016341D">
          <w:pPr>
            <w:pStyle w:val="TOC2"/>
            <w:rPr>
              <w:rFonts w:asciiTheme="minorHAnsi" w:eastAsiaTheme="minorEastAsia" w:hAnsiTheme="minorHAnsi" w:cstheme="minorBidi"/>
              <w:sz w:val="22"/>
              <w:szCs w:val="22"/>
              <w:lang w:eastAsia="en-AU"/>
            </w:rPr>
          </w:pPr>
          <w:hyperlink w:anchor="_Toc4142050" w:history="1">
            <w:r w:rsidR="00463F5A" w:rsidRPr="005217E0">
              <w:rPr>
                <w:rStyle w:val="Hyperlink"/>
                <w:rFonts w:cs="Arial"/>
                <w:lang w:eastAsia="en-AU"/>
              </w:rPr>
              <w:t>3.6 Recordkeeping</w:t>
            </w:r>
            <w:r w:rsidR="00463F5A">
              <w:rPr>
                <w:webHidden/>
              </w:rPr>
              <w:tab/>
            </w:r>
            <w:r w:rsidR="00463F5A">
              <w:rPr>
                <w:webHidden/>
              </w:rPr>
              <w:fldChar w:fldCharType="begin"/>
            </w:r>
            <w:r w:rsidR="00463F5A">
              <w:rPr>
                <w:webHidden/>
              </w:rPr>
              <w:instrText xml:space="preserve"> PAGEREF _Toc4142050 \h </w:instrText>
            </w:r>
            <w:r w:rsidR="00463F5A">
              <w:rPr>
                <w:webHidden/>
              </w:rPr>
            </w:r>
            <w:r w:rsidR="00463F5A">
              <w:rPr>
                <w:webHidden/>
              </w:rPr>
              <w:fldChar w:fldCharType="separate"/>
            </w:r>
            <w:r w:rsidR="00463F5A">
              <w:rPr>
                <w:webHidden/>
              </w:rPr>
              <w:t>39</w:t>
            </w:r>
            <w:r w:rsidR="00463F5A">
              <w:rPr>
                <w:webHidden/>
              </w:rPr>
              <w:fldChar w:fldCharType="end"/>
            </w:r>
          </w:hyperlink>
        </w:p>
        <w:p w14:paraId="5F6126DA" w14:textId="5BC58AFB" w:rsidR="00463F5A" w:rsidRDefault="0016341D">
          <w:pPr>
            <w:pStyle w:val="TOC3"/>
            <w:rPr>
              <w:rFonts w:asciiTheme="minorHAnsi" w:eastAsiaTheme="minorEastAsia" w:hAnsiTheme="minorHAnsi" w:cstheme="minorBidi"/>
              <w:noProof/>
              <w:sz w:val="22"/>
              <w:szCs w:val="22"/>
              <w:lang w:eastAsia="en-AU"/>
            </w:rPr>
          </w:pPr>
          <w:hyperlink w:anchor="_Toc4142051" w:history="1">
            <w:r w:rsidR="00463F5A" w:rsidRPr="005217E0">
              <w:rPr>
                <w:rStyle w:val="Hyperlink"/>
                <w:noProof/>
                <w:lang w:eastAsia="en-AU"/>
              </w:rPr>
              <w:t>3.6.1 Financial records</w:t>
            </w:r>
            <w:r w:rsidR="00463F5A">
              <w:rPr>
                <w:noProof/>
                <w:webHidden/>
              </w:rPr>
              <w:tab/>
            </w:r>
            <w:r w:rsidR="00463F5A">
              <w:rPr>
                <w:noProof/>
                <w:webHidden/>
              </w:rPr>
              <w:fldChar w:fldCharType="begin"/>
            </w:r>
            <w:r w:rsidR="00463F5A">
              <w:rPr>
                <w:noProof/>
                <w:webHidden/>
              </w:rPr>
              <w:instrText xml:space="preserve"> PAGEREF _Toc4142051 \h </w:instrText>
            </w:r>
            <w:r w:rsidR="00463F5A">
              <w:rPr>
                <w:noProof/>
                <w:webHidden/>
              </w:rPr>
            </w:r>
            <w:r w:rsidR="00463F5A">
              <w:rPr>
                <w:noProof/>
                <w:webHidden/>
              </w:rPr>
              <w:fldChar w:fldCharType="separate"/>
            </w:r>
            <w:r w:rsidR="00463F5A">
              <w:rPr>
                <w:noProof/>
                <w:webHidden/>
              </w:rPr>
              <w:t>39</w:t>
            </w:r>
            <w:r w:rsidR="00463F5A">
              <w:rPr>
                <w:noProof/>
                <w:webHidden/>
              </w:rPr>
              <w:fldChar w:fldCharType="end"/>
            </w:r>
          </w:hyperlink>
        </w:p>
        <w:p w14:paraId="2D1C62EC" w14:textId="07BA35AC" w:rsidR="00463F5A" w:rsidRDefault="0016341D">
          <w:pPr>
            <w:pStyle w:val="TOC3"/>
            <w:rPr>
              <w:rFonts w:asciiTheme="minorHAnsi" w:eastAsiaTheme="minorEastAsia" w:hAnsiTheme="minorHAnsi" w:cstheme="minorBidi"/>
              <w:noProof/>
              <w:sz w:val="22"/>
              <w:szCs w:val="22"/>
              <w:lang w:eastAsia="en-AU"/>
            </w:rPr>
          </w:pPr>
          <w:hyperlink w:anchor="_Toc4142052" w:history="1">
            <w:r w:rsidR="00463F5A" w:rsidRPr="005217E0">
              <w:rPr>
                <w:rStyle w:val="Hyperlink"/>
                <w:noProof/>
                <w:lang w:eastAsia="en-AU"/>
              </w:rPr>
              <w:t>3.6.2 Recordkeeping</w:t>
            </w:r>
            <w:r w:rsidR="00463F5A">
              <w:rPr>
                <w:noProof/>
                <w:webHidden/>
              </w:rPr>
              <w:tab/>
            </w:r>
            <w:r w:rsidR="00463F5A">
              <w:rPr>
                <w:noProof/>
                <w:webHidden/>
              </w:rPr>
              <w:fldChar w:fldCharType="begin"/>
            </w:r>
            <w:r w:rsidR="00463F5A">
              <w:rPr>
                <w:noProof/>
                <w:webHidden/>
              </w:rPr>
              <w:instrText xml:space="preserve"> PAGEREF _Toc4142052 \h </w:instrText>
            </w:r>
            <w:r w:rsidR="00463F5A">
              <w:rPr>
                <w:noProof/>
                <w:webHidden/>
              </w:rPr>
            </w:r>
            <w:r w:rsidR="00463F5A">
              <w:rPr>
                <w:noProof/>
                <w:webHidden/>
              </w:rPr>
              <w:fldChar w:fldCharType="separate"/>
            </w:r>
            <w:r w:rsidR="00463F5A">
              <w:rPr>
                <w:noProof/>
                <w:webHidden/>
              </w:rPr>
              <w:t>40</w:t>
            </w:r>
            <w:r w:rsidR="00463F5A">
              <w:rPr>
                <w:noProof/>
                <w:webHidden/>
              </w:rPr>
              <w:fldChar w:fldCharType="end"/>
            </w:r>
          </w:hyperlink>
        </w:p>
        <w:p w14:paraId="350BB686" w14:textId="1F83EFC6" w:rsidR="00463F5A" w:rsidRDefault="0016341D">
          <w:pPr>
            <w:pStyle w:val="TOC3"/>
            <w:rPr>
              <w:rFonts w:asciiTheme="minorHAnsi" w:eastAsiaTheme="minorEastAsia" w:hAnsiTheme="minorHAnsi" w:cstheme="minorBidi"/>
              <w:noProof/>
              <w:sz w:val="22"/>
              <w:szCs w:val="22"/>
              <w:lang w:eastAsia="en-AU"/>
            </w:rPr>
          </w:pPr>
          <w:hyperlink w:anchor="_Toc4142053" w:history="1">
            <w:r w:rsidR="00463F5A" w:rsidRPr="005217E0">
              <w:rPr>
                <w:rStyle w:val="Hyperlink"/>
                <w:noProof/>
                <w:lang w:eastAsia="en-AU"/>
              </w:rPr>
              <w:t>3.6.3 Freedom of information</w:t>
            </w:r>
            <w:r w:rsidR="00463F5A">
              <w:rPr>
                <w:noProof/>
                <w:webHidden/>
              </w:rPr>
              <w:tab/>
            </w:r>
            <w:r w:rsidR="00463F5A">
              <w:rPr>
                <w:noProof/>
                <w:webHidden/>
              </w:rPr>
              <w:fldChar w:fldCharType="begin"/>
            </w:r>
            <w:r w:rsidR="00463F5A">
              <w:rPr>
                <w:noProof/>
                <w:webHidden/>
              </w:rPr>
              <w:instrText xml:space="preserve"> PAGEREF _Toc4142053 \h </w:instrText>
            </w:r>
            <w:r w:rsidR="00463F5A">
              <w:rPr>
                <w:noProof/>
                <w:webHidden/>
              </w:rPr>
            </w:r>
            <w:r w:rsidR="00463F5A">
              <w:rPr>
                <w:noProof/>
                <w:webHidden/>
              </w:rPr>
              <w:fldChar w:fldCharType="separate"/>
            </w:r>
            <w:r w:rsidR="00463F5A">
              <w:rPr>
                <w:noProof/>
                <w:webHidden/>
              </w:rPr>
              <w:t>41</w:t>
            </w:r>
            <w:r w:rsidR="00463F5A">
              <w:rPr>
                <w:noProof/>
                <w:webHidden/>
              </w:rPr>
              <w:fldChar w:fldCharType="end"/>
            </w:r>
          </w:hyperlink>
        </w:p>
        <w:p w14:paraId="1D6614C3" w14:textId="51D9D3B6" w:rsidR="00463F5A" w:rsidRDefault="0016341D">
          <w:pPr>
            <w:pStyle w:val="TOC2"/>
            <w:rPr>
              <w:rFonts w:asciiTheme="minorHAnsi" w:eastAsiaTheme="minorEastAsia" w:hAnsiTheme="minorHAnsi" w:cstheme="minorBidi"/>
              <w:sz w:val="22"/>
              <w:szCs w:val="22"/>
              <w:lang w:eastAsia="en-AU"/>
            </w:rPr>
          </w:pPr>
          <w:hyperlink w:anchor="_Toc4142054" w:history="1">
            <w:r w:rsidR="00463F5A" w:rsidRPr="005217E0">
              <w:rPr>
                <w:rStyle w:val="Hyperlink"/>
                <w:rFonts w:cs="Arial"/>
                <w:lang w:eastAsia="en-AU"/>
              </w:rPr>
              <w:t>3.7 Assets</w:t>
            </w:r>
            <w:r w:rsidR="00463F5A">
              <w:rPr>
                <w:webHidden/>
              </w:rPr>
              <w:tab/>
            </w:r>
            <w:r w:rsidR="00463F5A">
              <w:rPr>
                <w:webHidden/>
              </w:rPr>
              <w:fldChar w:fldCharType="begin"/>
            </w:r>
            <w:r w:rsidR="00463F5A">
              <w:rPr>
                <w:webHidden/>
              </w:rPr>
              <w:instrText xml:space="preserve"> PAGEREF _Toc4142054 \h </w:instrText>
            </w:r>
            <w:r w:rsidR="00463F5A">
              <w:rPr>
                <w:webHidden/>
              </w:rPr>
            </w:r>
            <w:r w:rsidR="00463F5A">
              <w:rPr>
                <w:webHidden/>
              </w:rPr>
              <w:fldChar w:fldCharType="separate"/>
            </w:r>
            <w:r w:rsidR="00463F5A">
              <w:rPr>
                <w:webHidden/>
              </w:rPr>
              <w:t>43</w:t>
            </w:r>
            <w:r w:rsidR="00463F5A">
              <w:rPr>
                <w:webHidden/>
              </w:rPr>
              <w:fldChar w:fldCharType="end"/>
            </w:r>
          </w:hyperlink>
        </w:p>
        <w:p w14:paraId="70374DC3" w14:textId="667CF6C0" w:rsidR="00463F5A" w:rsidRDefault="0016341D">
          <w:pPr>
            <w:pStyle w:val="TOC3"/>
            <w:rPr>
              <w:rFonts w:asciiTheme="minorHAnsi" w:eastAsiaTheme="minorEastAsia" w:hAnsiTheme="minorHAnsi" w:cstheme="minorBidi"/>
              <w:noProof/>
              <w:sz w:val="22"/>
              <w:szCs w:val="22"/>
              <w:lang w:eastAsia="en-AU"/>
            </w:rPr>
          </w:pPr>
          <w:hyperlink w:anchor="_Toc4142055" w:history="1">
            <w:r w:rsidR="00463F5A" w:rsidRPr="005217E0">
              <w:rPr>
                <w:rStyle w:val="Hyperlink"/>
                <w:noProof/>
                <w:lang w:eastAsia="en-AU"/>
              </w:rPr>
              <w:t>3.7.1 Definition of an asset under the Service agreement</w:t>
            </w:r>
            <w:r w:rsidR="00463F5A">
              <w:rPr>
                <w:noProof/>
                <w:webHidden/>
              </w:rPr>
              <w:tab/>
            </w:r>
            <w:r w:rsidR="00463F5A">
              <w:rPr>
                <w:noProof/>
                <w:webHidden/>
              </w:rPr>
              <w:fldChar w:fldCharType="begin"/>
            </w:r>
            <w:r w:rsidR="00463F5A">
              <w:rPr>
                <w:noProof/>
                <w:webHidden/>
              </w:rPr>
              <w:instrText xml:space="preserve"> PAGEREF _Toc4142055 \h </w:instrText>
            </w:r>
            <w:r w:rsidR="00463F5A">
              <w:rPr>
                <w:noProof/>
                <w:webHidden/>
              </w:rPr>
            </w:r>
            <w:r w:rsidR="00463F5A">
              <w:rPr>
                <w:noProof/>
                <w:webHidden/>
              </w:rPr>
              <w:fldChar w:fldCharType="separate"/>
            </w:r>
            <w:r w:rsidR="00463F5A">
              <w:rPr>
                <w:noProof/>
                <w:webHidden/>
              </w:rPr>
              <w:t>43</w:t>
            </w:r>
            <w:r w:rsidR="00463F5A">
              <w:rPr>
                <w:noProof/>
                <w:webHidden/>
              </w:rPr>
              <w:fldChar w:fldCharType="end"/>
            </w:r>
          </w:hyperlink>
        </w:p>
        <w:p w14:paraId="14AF1247" w14:textId="36B3C110" w:rsidR="00463F5A" w:rsidRDefault="0016341D">
          <w:pPr>
            <w:pStyle w:val="TOC3"/>
            <w:rPr>
              <w:rFonts w:asciiTheme="minorHAnsi" w:eastAsiaTheme="minorEastAsia" w:hAnsiTheme="minorHAnsi" w:cstheme="minorBidi"/>
              <w:noProof/>
              <w:sz w:val="22"/>
              <w:szCs w:val="22"/>
              <w:lang w:eastAsia="en-AU"/>
            </w:rPr>
          </w:pPr>
          <w:hyperlink w:anchor="_Toc4142056" w:history="1">
            <w:r w:rsidR="00463F5A" w:rsidRPr="005217E0">
              <w:rPr>
                <w:rStyle w:val="Hyperlink"/>
                <w:noProof/>
                <w:lang w:eastAsia="en-AU"/>
              </w:rPr>
              <w:t>3.7.2 Keeping an asset register</w:t>
            </w:r>
            <w:r w:rsidR="00463F5A">
              <w:rPr>
                <w:noProof/>
                <w:webHidden/>
              </w:rPr>
              <w:tab/>
            </w:r>
            <w:r w:rsidR="00463F5A">
              <w:rPr>
                <w:noProof/>
                <w:webHidden/>
              </w:rPr>
              <w:fldChar w:fldCharType="begin"/>
            </w:r>
            <w:r w:rsidR="00463F5A">
              <w:rPr>
                <w:noProof/>
                <w:webHidden/>
              </w:rPr>
              <w:instrText xml:space="preserve"> PAGEREF _Toc4142056 \h </w:instrText>
            </w:r>
            <w:r w:rsidR="00463F5A">
              <w:rPr>
                <w:noProof/>
                <w:webHidden/>
              </w:rPr>
            </w:r>
            <w:r w:rsidR="00463F5A">
              <w:rPr>
                <w:noProof/>
                <w:webHidden/>
              </w:rPr>
              <w:fldChar w:fldCharType="separate"/>
            </w:r>
            <w:r w:rsidR="00463F5A">
              <w:rPr>
                <w:noProof/>
                <w:webHidden/>
              </w:rPr>
              <w:t>43</w:t>
            </w:r>
            <w:r w:rsidR="00463F5A">
              <w:rPr>
                <w:noProof/>
                <w:webHidden/>
              </w:rPr>
              <w:fldChar w:fldCharType="end"/>
            </w:r>
          </w:hyperlink>
        </w:p>
        <w:p w14:paraId="1B5CD894" w14:textId="5CED90BA" w:rsidR="00463F5A" w:rsidRDefault="0016341D">
          <w:pPr>
            <w:pStyle w:val="TOC3"/>
            <w:rPr>
              <w:rFonts w:asciiTheme="minorHAnsi" w:eastAsiaTheme="minorEastAsia" w:hAnsiTheme="minorHAnsi" w:cstheme="minorBidi"/>
              <w:noProof/>
              <w:sz w:val="22"/>
              <w:szCs w:val="22"/>
              <w:lang w:eastAsia="en-AU"/>
            </w:rPr>
          </w:pPr>
          <w:hyperlink w:anchor="_Toc4142057" w:history="1">
            <w:r w:rsidR="00463F5A" w:rsidRPr="005217E0">
              <w:rPr>
                <w:rStyle w:val="Hyperlink"/>
                <w:noProof/>
                <w:lang w:eastAsia="en-AU"/>
              </w:rPr>
              <w:t>3.7.3 Disposal of assets</w:t>
            </w:r>
            <w:r w:rsidR="00463F5A">
              <w:rPr>
                <w:noProof/>
                <w:webHidden/>
              </w:rPr>
              <w:tab/>
            </w:r>
            <w:r w:rsidR="00463F5A">
              <w:rPr>
                <w:noProof/>
                <w:webHidden/>
              </w:rPr>
              <w:fldChar w:fldCharType="begin"/>
            </w:r>
            <w:r w:rsidR="00463F5A">
              <w:rPr>
                <w:noProof/>
                <w:webHidden/>
              </w:rPr>
              <w:instrText xml:space="preserve"> PAGEREF _Toc4142057 \h </w:instrText>
            </w:r>
            <w:r w:rsidR="00463F5A">
              <w:rPr>
                <w:noProof/>
                <w:webHidden/>
              </w:rPr>
            </w:r>
            <w:r w:rsidR="00463F5A">
              <w:rPr>
                <w:noProof/>
                <w:webHidden/>
              </w:rPr>
              <w:fldChar w:fldCharType="separate"/>
            </w:r>
            <w:r w:rsidR="00463F5A">
              <w:rPr>
                <w:noProof/>
                <w:webHidden/>
              </w:rPr>
              <w:t>44</w:t>
            </w:r>
            <w:r w:rsidR="00463F5A">
              <w:rPr>
                <w:noProof/>
                <w:webHidden/>
              </w:rPr>
              <w:fldChar w:fldCharType="end"/>
            </w:r>
          </w:hyperlink>
        </w:p>
        <w:p w14:paraId="53ED74BD" w14:textId="339E424A" w:rsidR="00463F5A" w:rsidRDefault="0016341D">
          <w:pPr>
            <w:pStyle w:val="TOC3"/>
            <w:rPr>
              <w:rFonts w:asciiTheme="minorHAnsi" w:eastAsiaTheme="minorEastAsia" w:hAnsiTheme="minorHAnsi" w:cstheme="minorBidi"/>
              <w:noProof/>
              <w:sz w:val="22"/>
              <w:szCs w:val="22"/>
              <w:lang w:eastAsia="en-AU"/>
            </w:rPr>
          </w:pPr>
          <w:hyperlink w:anchor="_Toc4142058" w:history="1">
            <w:r w:rsidR="00463F5A" w:rsidRPr="005217E0">
              <w:rPr>
                <w:rStyle w:val="Hyperlink"/>
                <w:noProof/>
                <w:lang w:eastAsia="en-AU"/>
              </w:rPr>
              <w:t>3.7.4 Loss damage and destruction</w:t>
            </w:r>
            <w:r w:rsidR="00463F5A">
              <w:rPr>
                <w:noProof/>
                <w:webHidden/>
              </w:rPr>
              <w:tab/>
            </w:r>
            <w:r w:rsidR="00463F5A">
              <w:rPr>
                <w:noProof/>
                <w:webHidden/>
              </w:rPr>
              <w:fldChar w:fldCharType="begin"/>
            </w:r>
            <w:r w:rsidR="00463F5A">
              <w:rPr>
                <w:noProof/>
                <w:webHidden/>
              </w:rPr>
              <w:instrText xml:space="preserve"> PAGEREF _Toc4142058 \h </w:instrText>
            </w:r>
            <w:r w:rsidR="00463F5A">
              <w:rPr>
                <w:noProof/>
                <w:webHidden/>
              </w:rPr>
            </w:r>
            <w:r w:rsidR="00463F5A">
              <w:rPr>
                <w:noProof/>
                <w:webHidden/>
              </w:rPr>
              <w:fldChar w:fldCharType="separate"/>
            </w:r>
            <w:r w:rsidR="00463F5A">
              <w:rPr>
                <w:noProof/>
                <w:webHidden/>
              </w:rPr>
              <w:t>44</w:t>
            </w:r>
            <w:r w:rsidR="00463F5A">
              <w:rPr>
                <w:noProof/>
                <w:webHidden/>
              </w:rPr>
              <w:fldChar w:fldCharType="end"/>
            </w:r>
          </w:hyperlink>
        </w:p>
        <w:p w14:paraId="57A461BB" w14:textId="5099DB61" w:rsidR="00463F5A" w:rsidRDefault="0016341D">
          <w:pPr>
            <w:pStyle w:val="TOC3"/>
            <w:rPr>
              <w:rFonts w:asciiTheme="minorHAnsi" w:eastAsiaTheme="minorEastAsia" w:hAnsiTheme="minorHAnsi" w:cstheme="minorBidi"/>
              <w:noProof/>
              <w:sz w:val="22"/>
              <w:szCs w:val="22"/>
              <w:lang w:eastAsia="en-AU"/>
            </w:rPr>
          </w:pPr>
          <w:hyperlink w:anchor="_Toc4142059" w:history="1">
            <w:r w:rsidR="00463F5A" w:rsidRPr="005217E0">
              <w:rPr>
                <w:rStyle w:val="Hyperlink"/>
                <w:noProof/>
                <w:lang w:eastAsia="en-AU"/>
              </w:rPr>
              <w:t>3.7.5 Transfer of assets</w:t>
            </w:r>
            <w:r w:rsidR="00463F5A">
              <w:rPr>
                <w:noProof/>
                <w:webHidden/>
              </w:rPr>
              <w:tab/>
            </w:r>
            <w:r w:rsidR="00463F5A">
              <w:rPr>
                <w:noProof/>
                <w:webHidden/>
              </w:rPr>
              <w:fldChar w:fldCharType="begin"/>
            </w:r>
            <w:r w:rsidR="00463F5A">
              <w:rPr>
                <w:noProof/>
                <w:webHidden/>
              </w:rPr>
              <w:instrText xml:space="preserve"> PAGEREF _Toc4142059 \h </w:instrText>
            </w:r>
            <w:r w:rsidR="00463F5A">
              <w:rPr>
                <w:noProof/>
                <w:webHidden/>
              </w:rPr>
            </w:r>
            <w:r w:rsidR="00463F5A">
              <w:rPr>
                <w:noProof/>
                <w:webHidden/>
              </w:rPr>
              <w:fldChar w:fldCharType="separate"/>
            </w:r>
            <w:r w:rsidR="00463F5A">
              <w:rPr>
                <w:noProof/>
                <w:webHidden/>
              </w:rPr>
              <w:t>44</w:t>
            </w:r>
            <w:r w:rsidR="00463F5A">
              <w:rPr>
                <w:noProof/>
                <w:webHidden/>
              </w:rPr>
              <w:fldChar w:fldCharType="end"/>
            </w:r>
          </w:hyperlink>
        </w:p>
        <w:p w14:paraId="5846326D" w14:textId="13A69CCC" w:rsidR="00463F5A" w:rsidRDefault="0016341D">
          <w:pPr>
            <w:pStyle w:val="TOC3"/>
            <w:rPr>
              <w:rFonts w:asciiTheme="minorHAnsi" w:eastAsiaTheme="minorEastAsia" w:hAnsiTheme="minorHAnsi" w:cstheme="minorBidi"/>
              <w:noProof/>
              <w:sz w:val="22"/>
              <w:szCs w:val="22"/>
              <w:lang w:eastAsia="en-AU"/>
            </w:rPr>
          </w:pPr>
          <w:hyperlink w:anchor="_Toc4142060" w:history="1">
            <w:r w:rsidR="00463F5A" w:rsidRPr="005217E0">
              <w:rPr>
                <w:rStyle w:val="Hyperlink"/>
                <w:noProof/>
                <w:lang w:eastAsia="en-AU"/>
              </w:rPr>
              <w:t>3.7.6 Depreciation in accordance with Australian Accounting Stan</w:t>
            </w:r>
            <w:r w:rsidR="00463F5A" w:rsidRPr="005217E0">
              <w:rPr>
                <w:rStyle w:val="Hyperlink"/>
                <w:noProof/>
              </w:rPr>
              <w:t>d</w:t>
            </w:r>
            <w:r w:rsidR="00463F5A" w:rsidRPr="005217E0">
              <w:rPr>
                <w:rStyle w:val="Hyperlink"/>
                <w:noProof/>
                <w:lang w:eastAsia="en-AU"/>
              </w:rPr>
              <w:t>ard</w:t>
            </w:r>
            <w:r w:rsidR="00463F5A">
              <w:rPr>
                <w:noProof/>
                <w:webHidden/>
              </w:rPr>
              <w:tab/>
            </w:r>
            <w:r w:rsidR="00463F5A">
              <w:rPr>
                <w:noProof/>
                <w:webHidden/>
              </w:rPr>
              <w:fldChar w:fldCharType="begin"/>
            </w:r>
            <w:r w:rsidR="00463F5A">
              <w:rPr>
                <w:noProof/>
                <w:webHidden/>
              </w:rPr>
              <w:instrText xml:space="preserve"> PAGEREF _Toc4142060 \h </w:instrText>
            </w:r>
            <w:r w:rsidR="00463F5A">
              <w:rPr>
                <w:noProof/>
                <w:webHidden/>
              </w:rPr>
            </w:r>
            <w:r w:rsidR="00463F5A">
              <w:rPr>
                <w:noProof/>
                <w:webHidden/>
              </w:rPr>
              <w:fldChar w:fldCharType="separate"/>
            </w:r>
            <w:r w:rsidR="00463F5A">
              <w:rPr>
                <w:noProof/>
                <w:webHidden/>
              </w:rPr>
              <w:t>45</w:t>
            </w:r>
            <w:r w:rsidR="00463F5A">
              <w:rPr>
                <w:noProof/>
                <w:webHidden/>
              </w:rPr>
              <w:fldChar w:fldCharType="end"/>
            </w:r>
          </w:hyperlink>
        </w:p>
        <w:p w14:paraId="1809643B" w14:textId="7BC56737" w:rsidR="00463F5A" w:rsidRDefault="0016341D">
          <w:pPr>
            <w:pStyle w:val="TOC3"/>
            <w:rPr>
              <w:rFonts w:asciiTheme="minorHAnsi" w:eastAsiaTheme="minorEastAsia" w:hAnsiTheme="minorHAnsi" w:cstheme="minorBidi"/>
              <w:noProof/>
              <w:sz w:val="22"/>
              <w:szCs w:val="22"/>
              <w:lang w:eastAsia="en-AU"/>
            </w:rPr>
          </w:pPr>
          <w:hyperlink w:anchor="_Toc4142061" w:history="1">
            <w:r w:rsidR="00463F5A" w:rsidRPr="005217E0">
              <w:rPr>
                <w:rStyle w:val="Hyperlink"/>
                <w:noProof/>
                <w:lang w:eastAsia="en-AU"/>
              </w:rPr>
              <w:t>3.7.7 Assets funded under previous Service agreements</w:t>
            </w:r>
            <w:r w:rsidR="00463F5A">
              <w:rPr>
                <w:noProof/>
                <w:webHidden/>
              </w:rPr>
              <w:tab/>
            </w:r>
            <w:r w:rsidR="00463F5A">
              <w:rPr>
                <w:noProof/>
                <w:webHidden/>
              </w:rPr>
              <w:fldChar w:fldCharType="begin"/>
            </w:r>
            <w:r w:rsidR="00463F5A">
              <w:rPr>
                <w:noProof/>
                <w:webHidden/>
              </w:rPr>
              <w:instrText xml:space="preserve"> PAGEREF _Toc4142061 \h </w:instrText>
            </w:r>
            <w:r w:rsidR="00463F5A">
              <w:rPr>
                <w:noProof/>
                <w:webHidden/>
              </w:rPr>
            </w:r>
            <w:r w:rsidR="00463F5A">
              <w:rPr>
                <w:noProof/>
                <w:webHidden/>
              </w:rPr>
              <w:fldChar w:fldCharType="separate"/>
            </w:r>
            <w:r w:rsidR="00463F5A">
              <w:rPr>
                <w:noProof/>
                <w:webHidden/>
              </w:rPr>
              <w:t>45</w:t>
            </w:r>
            <w:r w:rsidR="00463F5A">
              <w:rPr>
                <w:noProof/>
                <w:webHidden/>
              </w:rPr>
              <w:fldChar w:fldCharType="end"/>
            </w:r>
          </w:hyperlink>
        </w:p>
        <w:p w14:paraId="3B56DCBD" w14:textId="7F8F9365" w:rsidR="00463F5A" w:rsidRDefault="0016341D">
          <w:pPr>
            <w:pStyle w:val="TOC2"/>
            <w:rPr>
              <w:rFonts w:asciiTheme="minorHAnsi" w:eastAsiaTheme="minorEastAsia" w:hAnsiTheme="minorHAnsi" w:cstheme="minorBidi"/>
              <w:sz w:val="22"/>
              <w:szCs w:val="22"/>
              <w:lang w:eastAsia="en-AU"/>
            </w:rPr>
          </w:pPr>
          <w:hyperlink w:anchor="_Toc4142062" w:history="1">
            <w:r w:rsidR="00463F5A" w:rsidRPr="005217E0">
              <w:rPr>
                <w:rStyle w:val="Hyperlink"/>
                <w:lang w:eastAsia="en-AU"/>
              </w:rPr>
              <w:t>3.8 Reporting</w:t>
            </w:r>
            <w:r w:rsidR="00463F5A">
              <w:rPr>
                <w:webHidden/>
              </w:rPr>
              <w:tab/>
            </w:r>
            <w:r w:rsidR="00463F5A">
              <w:rPr>
                <w:webHidden/>
              </w:rPr>
              <w:fldChar w:fldCharType="begin"/>
            </w:r>
            <w:r w:rsidR="00463F5A">
              <w:rPr>
                <w:webHidden/>
              </w:rPr>
              <w:instrText xml:space="preserve"> PAGEREF _Toc4142062 \h </w:instrText>
            </w:r>
            <w:r w:rsidR="00463F5A">
              <w:rPr>
                <w:webHidden/>
              </w:rPr>
            </w:r>
            <w:r w:rsidR="00463F5A">
              <w:rPr>
                <w:webHidden/>
              </w:rPr>
              <w:fldChar w:fldCharType="separate"/>
            </w:r>
            <w:r w:rsidR="00463F5A">
              <w:rPr>
                <w:webHidden/>
              </w:rPr>
              <w:t>45</w:t>
            </w:r>
            <w:r w:rsidR="00463F5A">
              <w:rPr>
                <w:webHidden/>
              </w:rPr>
              <w:fldChar w:fldCharType="end"/>
            </w:r>
          </w:hyperlink>
        </w:p>
        <w:p w14:paraId="0E5F0612" w14:textId="5538E8FA" w:rsidR="00463F5A" w:rsidRDefault="0016341D">
          <w:pPr>
            <w:pStyle w:val="TOC3"/>
            <w:rPr>
              <w:rFonts w:asciiTheme="minorHAnsi" w:eastAsiaTheme="minorEastAsia" w:hAnsiTheme="minorHAnsi" w:cstheme="minorBidi"/>
              <w:noProof/>
              <w:sz w:val="22"/>
              <w:szCs w:val="22"/>
              <w:lang w:eastAsia="en-AU"/>
            </w:rPr>
          </w:pPr>
          <w:hyperlink w:anchor="_Toc4142063" w:history="1">
            <w:r w:rsidR="00463F5A" w:rsidRPr="005217E0">
              <w:rPr>
                <w:rStyle w:val="Hyperlink"/>
                <w:noProof/>
                <w:lang w:eastAsia="en-AU"/>
              </w:rPr>
              <w:t>3.8.1 Reporting and accountability</w:t>
            </w:r>
            <w:r w:rsidR="00463F5A">
              <w:rPr>
                <w:noProof/>
                <w:webHidden/>
              </w:rPr>
              <w:tab/>
            </w:r>
            <w:r w:rsidR="00463F5A">
              <w:rPr>
                <w:noProof/>
                <w:webHidden/>
              </w:rPr>
              <w:fldChar w:fldCharType="begin"/>
            </w:r>
            <w:r w:rsidR="00463F5A">
              <w:rPr>
                <w:noProof/>
                <w:webHidden/>
              </w:rPr>
              <w:instrText xml:space="preserve"> PAGEREF _Toc4142063 \h </w:instrText>
            </w:r>
            <w:r w:rsidR="00463F5A">
              <w:rPr>
                <w:noProof/>
                <w:webHidden/>
              </w:rPr>
            </w:r>
            <w:r w:rsidR="00463F5A">
              <w:rPr>
                <w:noProof/>
                <w:webHidden/>
              </w:rPr>
              <w:fldChar w:fldCharType="separate"/>
            </w:r>
            <w:r w:rsidR="00463F5A">
              <w:rPr>
                <w:noProof/>
                <w:webHidden/>
              </w:rPr>
              <w:t>45</w:t>
            </w:r>
            <w:r w:rsidR="00463F5A">
              <w:rPr>
                <w:noProof/>
                <w:webHidden/>
              </w:rPr>
              <w:fldChar w:fldCharType="end"/>
            </w:r>
          </w:hyperlink>
        </w:p>
        <w:p w14:paraId="6E7897FC" w14:textId="09BB7968" w:rsidR="00463F5A" w:rsidRDefault="0016341D">
          <w:pPr>
            <w:pStyle w:val="TOC3"/>
            <w:rPr>
              <w:rFonts w:asciiTheme="minorHAnsi" w:eastAsiaTheme="minorEastAsia" w:hAnsiTheme="minorHAnsi" w:cstheme="minorBidi"/>
              <w:noProof/>
              <w:sz w:val="22"/>
              <w:szCs w:val="22"/>
              <w:lang w:eastAsia="en-AU"/>
            </w:rPr>
          </w:pPr>
          <w:hyperlink w:anchor="_Toc4142064" w:history="1">
            <w:r w:rsidR="00463F5A" w:rsidRPr="005217E0">
              <w:rPr>
                <w:rStyle w:val="Hyperlink"/>
                <w:noProof/>
                <w:lang w:eastAsia="en-AU"/>
              </w:rPr>
              <w:t>3.8.2 Financial accountability requirements</w:t>
            </w:r>
            <w:r w:rsidR="00463F5A">
              <w:rPr>
                <w:noProof/>
                <w:webHidden/>
              </w:rPr>
              <w:tab/>
            </w:r>
            <w:r w:rsidR="00463F5A">
              <w:rPr>
                <w:noProof/>
                <w:webHidden/>
              </w:rPr>
              <w:fldChar w:fldCharType="begin"/>
            </w:r>
            <w:r w:rsidR="00463F5A">
              <w:rPr>
                <w:noProof/>
                <w:webHidden/>
              </w:rPr>
              <w:instrText xml:space="preserve"> PAGEREF _Toc4142064 \h </w:instrText>
            </w:r>
            <w:r w:rsidR="00463F5A">
              <w:rPr>
                <w:noProof/>
                <w:webHidden/>
              </w:rPr>
            </w:r>
            <w:r w:rsidR="00463F5A">
              <w:rPr>
                <w:noProof/>
                <w:webHidden/>
              </w:rPr>
              <w:fldChar w:fldCharType="separate"/>
            </w:r>
            <w:r w:rsidR="00463F5A">
              <w:rPr>
                <w:noProof/>
                <w:webHidden/>
              </w:rPr>
              <w:t>47</w:t>
            </w:r>
            <w:r w:rsidR="00463F5A">
              <w:rPr>
                <w:noProof/>
                <w:webHidden/>
              </w:rPr>
              <w:fldChar w:fldCharType="end"/>
            </w:r>
          </w:hyperlink>
        </w:p>
        <w:p w14:paraId="236B8846" w14:textId="68E391D6" w:rsidR="00463F5A" w:rsidRDefault="0016341D">
          <w:pPr>
            <w:pStyle w:val="TOC3"/>
            <w:rPr>
              <w:rFonts w:asciiTheme="minorHAnsi" w:eastAsiaTheme="minorEastAsia" w:hAnsiTheme="minorHAnsi" w:cstheme="minorBidi"/>
              <w:noProof/>
              <w:sz w:val="22"/>
              <w:szCs w:val="22"/>
              <w:lang w:eastAsia="en-AU"/>
            </w:rPr>
          </w:pPr>
          <w:hyperlink w:anchor="_Toc4142065" w:history="1">
            <w:r w:rsidR="00463F5A" w:rsidRPr="005217E0">
              <w:rPr>
                <w:rStyle w:val="Hyperlink"/>
                <w:noProof/>
                <w:lang w:eastAsia="en-AU"/>
              </w:rPr>
              <w:t>3.8.3 Timelines for Service agreement compliance certification</w:t>
            </w:r>
            <w:r w:rsidR="00463F5A">
              <w:rPr>
                <w:noProof/>
                <w:webHidden/>
              </w:rPr>
              <w:tab/>
            </w:r>
            <w:r w:rsidR="00463F5A">
              <w:rPr>
                <w:noProof/>
                <w:webHidden/>
              </w:rPr>
              <w:fldChar w:fldCharType="begin"/>
            </w:r>
            <w:r w:rsidR="00463F5A">
              <w:rPr>
                <w:noProof/>
                <w:webHidden/>
              </w:rPr>
              <w:instrText xml:space="preserve"> PAGEREF _Toc4142065 \h </w:instrText>
            </w:r>
            <w:r w:rsidR="00463F5A">
              <w:rPr>
                <w:noProof/>
                <w:webHidden/>
              </w:rPr>
            </w:r>
            <w:r w:rsidR="00463F5A">
              <w:rPr>
                <w:noProof/>
                <w:webHidden/>
              </w:rPr>
              <w:fldChar w:fldCharType="separate"/>
            </w:r>
            <w:r w:rsidR="00463F5A">
              <w:rPr>
                <w:noProof/>
                <w:webHidden/>
              </w:rPr>
              <w:t>48</w:t>
            </w:r>
            <w:r w:rsidR="00463F5A">
              <w:rPr>
                <w:noProof/>
                <w:webHidden/>
              </w:rPr>
              <w:fldChar w:fldCharType="end"/>
            </w:r>
          </w:hyperlink>
        </w:p>
        <w:p w14:paraId="6F57A44B" w14:textId="43B6D5B8" w:rsidR="00463F5A" w:rsidRDefault="0016341D">
          <w:pPr>
            <w:pStyle w:val="TOC3"/>
            <w:rPr>
              <w:rFonts w:asciiTheme="minorHAnsi" w:eastAsiaTheme="minorEastAsia" w:hAnsiTheme="minorHAnsi" w:cstheme="minorBidi"/>
              <w:noProof/>
              <w:sz w:val="22"/>
              <w:szCs w:val="22"/>
              <w:lang w:eastAsia="en-AU"/>
            </w:rPr>
          </w:pPr>
          <w:hyperlink w:anchor="_Toc4142066" w:history="1">
            <w:r w:rsidR="00463F5A" w:rsidRPr="005217E0">
              <w:rPr>
                <w:rStyle w:val="Hyperlink"/>
                <w:noProof/>
                <w:lang w:eastAsia="en-AU"/>
              </w:rPr>
              <w:t>3.8.4 Glossary of financial accountability terms</w:t>
            </w:r>
            <w:r w:rsidR="00463F5A">
              <w:rPr>
                <w:noProof/>
                <w:webHidden/>
              </w:rPr>
              <w:tab/>
            </w:r>
            <w:r w:rsidR="00463F5A">
              <w:rPr>
                <w:noProof/>
                <w:webHidden/>
              </w:rPr>
              <w:fldChar w:fldCharType="begin"/>
            </w:r>
            <w:r w:rsidR="00463F5A">
              <w:rPr>
                <w:noProof/>
                <w:webHidden/>
              </w:rPr>
              <w:instrText xml:space="preserve"> PAGEREF _Toc4142066 \h </w:instrText>
            </w:r>
            <w:r w:rsidR="00463F5A">
              <w:rPr>
                <w:noProof/>
                <w:webHidden/>
              </w:rPr>
            </w:r>
            <w:r w:rsidR="00463F5A">
              <w:rPr>
                <w:noProof/>
                <w:webHidden/>
              </w:rPr>
              <w:fldChar w:fldCharType="separate"/>
            </w:r>
            <w:r w:rsidR="00463F5A">
              <w:rPr>
                <w:noProof/>
                <w:webHidden/>
              </w:rPr>
              <w:t>48</w:t>
            </w:r>
            <w:r w:rsidR="00463F5A">
              <w:rPr>
                <w:noProof/>
                <w:webHidden/>
              </w:rPr>
              <w:fldChar w:fldCharType="end"/>
            </w:r>
          </w:hyperlink>
        </w:p>
        <w:p w14:paraId="1046BA4C" w14:textId="1CBC3D74" w:rsidR="00463F5A" w:rsidRDefault="0016341D">
          <w:pPr>
            <w:pStyle w:val="TOC2"/>
            <w:tabs>
              <w:tab w:val="left" w:pos="567"/>
            </w:tabs>
            <w:rPr>
              <w:rFonts w:asciiTheme="minorHAnsi" w:eastAsiaTheme="minorEastAsia" w:hAnsiTheme="minorHAnsi" w:cstheme="minorBidi"/>
              <w:sz w:val="22"/>
              <w:szCs w:val="22"/>
              <w:lang w:eastAsia="en-AU"/>
            </w:rPr>
          </w:pPr>
          <w:hyperlink w:anchor="_Toc4142067" w:history="1">
            <w:r w:rsidR="00463F5A" w:rsidRPr="005217E0">
              <w:rPr>
                <w:rStyle w:val="Hyperlink"/>
                <w:rFonts w:cs="Arial"/>
                <w:lang w:eastAsia="en-AU"/>
              </w:rPr>
              <w:t>3.9</w:t>
            </w:r>
            <w:r w:rsidR="00463F5A">
              <w:rPr>
                <w:rFonts w:asciiTheme="minorHAnsi" w:eastAsiaTheme="minorEastAsia" w:hAnsiTheme="minorHAnsi" w:cstheme="minorBidi"/>
                <w:sz w:val="22"/>
                <w:szCs w:val="22"/>
                <w:lang w:eastAsia="en-AU"/>
              </w:rPr>
              <w:tab/>
            </w:r>
            <w:r w:rsidR="00463F5A" w:rsidRPr="005217E0">
              <w:rPr>
                <w:rStyle w:val="Hyperlink"/>
                <w:rFonts w:cs="Arial"/>
                <w:lang w:eastAsia="en-AU"/>
              </w:rPr>
              <w:t>Audit and performance review</w:t>
            </w:r>
            <w:r w:rsidR="00463F5A">
              <w:rPr>
                <w:webHidden/>
              </w:rPr>
              <w:tab/>
            </w:r>
            <w:r w:rsidR="00463F5A">
              <w:rPr>
                <w:webHidden/>
              </w:rPr>
              <w:fldChar w:fldCharType="begin"/>
            </w:r>
            <w:r w:rsidR="00463F5A">
              <w:rPr>
                <w:webHidden/>
              </w:rPr>
              <w:instrText xml:space="preserve"> PAGEREF _Toc4142067 \h </w:instrText>
            </w:r>
            <w:r w:rsidR="00463F5A">
              <w:rPr>
                <w:webHidden/>
              </w:rPr>
            </w:r>
            <w:r w:rsidR="00463F5A">
              <w:rPr>
                <w:webHidden/>
              </w:rPr>
              <w:fldChar w:fldCharType="separate"/>
            </w:r>
            <w:r w:rsidR="00463F5A">
              <w:rPr>
                <w:webHidden/>
              </w:rPr>
              <w:t>49</w:t>
            </w:r>
            <w:r w:rsidR="00463F5A">
              <w:rPr>
                <w:webHidden/>
              </w:rPr>
              <w:fldChar w:fldCharType="end"/>
            </w:r>
          </w:hyperlink>
        </w:p>
        <w:p w14:paraId="0465C291" w14:textId="61EF6A1A" w:rsidR="00463F5A" w:rsidRDefault="0016341D">
          <w:pPr>
            <w:pStyle w:val="TOC3"/>
            <w:rPr>
              <w:rFonts w:asciiTheme="minorHAnsi" w:eastAsiaTheme="minorEastAsia" w:hAnsiTheme="minorHAnsi" w:cstheme="minorBidi"/>
              <w:noProof/>
              <w:sz w:val="22"/>
              <w:szCs w:val="22"/>
              <w:lang w:eastAsia="en-AU"/>
            </w:rPr>
          </w:pPr>
          <w:hyperlink w:anchor="_Toc4142068" w:history="1">
            <w:r w:rsidR="00463F5A" w:rsidRPr="005217E0">
              <w:rPr>
                <w:rStyle w:val="Hyperlink"/>
                <w:noProof/>
                <w:lang w:eastAsia="en-AU"/>
              </w:rPr>
              <w:t>Information for Department of Health and Human Services (human services' Service agreements)</w:t>
            </w:r>
            <w:r w:rsidR="00463F5A">
              <w:rPr>
                <w:noProof/>
                <w:webHidden/>
              </w:rPr>
              <w:tab/>
            </w:r>
            <w:r w:rsidR="00463F5A">
              <w:rPr>
                <w:noProof/>
                <w:webHidden/>
              </w:rPr>
              <w:fldChar w:fldCharType="begin"/>
            </w:r>
            <w:r w:rsidR="00463F5A">
              <w:rPr>
                <w:noProof/>
                <w:webHidden/>
              </w:rPr>
              <w:instrText xml:space="preserve"> PAGEREF _Toc4142068 \h </w:instrText>
            </w:r>
            <w:r w:rsidR="00463F5A">
              <w:rPr>
                <w:noProof/>
                <w:webHidden/>
              </w:rPr>
            </w:r>
            <w:r w:rsidR="00463F5A">
              <w:rPr>
                <w:noProof/>
                <w:webHidden/>
              </w:rPr>
              <w:fldChar w:fldCharType="separate"/>
            </w:r>
            <w:r w:rsidR="00463F5A">
              <w:rPr>
                <w:noProof/>
                <w:webHidden/>
              </w:rPr>
              <w:t>50</w:t>
            </w:r>
            <w:r w:rsidR="00463F5A">
              <w:rPr>
                <w:noProof/>
                <w:webHidden/>
              </w:rPr>
              <w:fldChar w:fldCharType="end"/>
            </w:r>
          </w:hyperlink>
        </w:p>
        <w:p w14:paraId="4EE5D6B1" w14:textId="3EF3B27E" w:rsidR="00463F5A" w:rsidRDefault="0016341D">
          <w:pPr>
            <w:pStyle w:val="TOC2"/>
            <w:rPr>
              <w:rFonts w:asciiTheme="minorHAnsi" w:eastAsiaTheme="minorEastAsia" w:hAnsiTheme="minorHAnsi" w:cstheme="minorBidi"/>
              <w:sz w:val="22"/>
              <w:szCs w:val="22"/>
              <w:lang w:eastAsia="en-AU"/>
            </w:rPr>
          </w:pPr>
          <w:hyperlink w:anchor="_Toc4142069" w:history="1">
            <w:r w:rsidR="00463F5A" w:rsidRPr="005217E0">
              <w:rPr>
                <w:rStyle w:val="Hyperlink"/>
                <w:rFonts w:cs="Arial"/>
                <w:lang w:eastAsia="en-AU"/>
              </w:rPr>
              <w:t>3.10 Assignment and subcontracting</w:t>
            </w:r>
            <w:r w:rsidR="00463F5A">
              <w:rPr>
                <w:webHidden/>
              </w:rPr>
              <w:tab/>
            </w:r>
            <w:r w:rsidR="00463F5A">
              <w:rPr>
                <w:webHidden/>
              </w:rPr>
              <w:fldChar w:fldCharType="begin"/>
            </w:r>
            <w:r w:rsidR="00463F5A">
              <w:rPr>
                <w:webHidden/>
              </w:rPr>
              <w:instrText xml:space="preserve"> PAGEREF _Toc4142069 \h </w:instrText>
            </w:r>
            <w:r w:rsidR="00463F5A">
              <w:rPr>
                <w:webHidden/>
              </w:rPr>
            </w:r>
            <w:r w:rsidR="00463F5A">
              <w:rPr>
                <w:webHidden/>
              </w:rPr>
              <w:fldChar w:fldCharType="separate"/>
            </w:r>
            <w:r w:rsidR="00463F5A">
              <w:rPr>
                <w:webHidden/>
              </w:rPr>
              <w:t>50</w:t>
            </w:r>
            <w:r w:rsidR="00463F5A">
              <w:rPr>
                <w:webHidden/>
              </w:rPr>
              <w:fldChar w:fldCharType="end"/>
            </w:r>
          </w:hyperlink>
        </w:p>
        <w:p w14:paraId="626A2FF9" w14:textId="11D68F48" w:rsidR="00463F5A" w:rsidRDefault="0016341D">
          <w:pPr>
            <w:pStyle w:val="TOC3"/>
            <w:rPr>
              <w:rFonts w:asciiTheme="minorHAnsi" w:eastAsiaTheme="minorEastAsia" w:hAnsiTheme="minorHAnsi" w:cstheme="minorBidi"/>
              <w:noProof/>
              <w:sz w:val="22"/>
              <w:szCs w:val="22"/>
              <w:lang w:eastAsia="en-AU"/>
            </w:rPr>
          </w:pPr>
          <w:hyperlink w:anchor="_Toc4142070" w:history="1">
            <w:r w:rsidR="00463F5A" w:rsidRPr="005217E0">
              <w:rPr>
                <w:rStyle w:val="Hyperlink"/>
                <w:noProof/>
                <w:lang w:eastAsia="en-AU"/>
              </w:rPr>
              <w:t>What is subcontracting?</w:t>
            </w:r>
            <w:r w:rsidR="00463F5A">
              <w:rPr>
                <w:noProof/>
                <w:webHidden/>
              </w:rPr>
              <w:tab/>
            </w:r>
            <w:r w:rsidR="00463F5A">
              <w:rPr>
                <w:noProof/>
                <w:webHidden/>
              </w:rPr>
              <w:fldChar w:fldCharType="begin"/>
            </w:r>
            <w:r w:rsidR="00463F5A">
              <w:rPr>
                <w:noProof/>
                <w:webHidden/>
              </w:rPr>
              <w:instrText xml:space="preserve"> PAGEREF _Toc4142070 \h </w:instrText>
            </w:r>
            <w:r w:rsidR="00463F5A">
              <w:rPr>
                <w:noProof/>
                <w:webHidden/>
              </w:rPr>
            </w:r>
            <w:r w:rsidR="00463F5A">
              <w:rPr>
                <w:noProof/>
                <w:webHidden/>
              </w:rPr>
              <w:fldChar w:fldCharType="separate"/>
            </w:r>
            <w:r w:rsidR="00463F5A">
              <w:rPr>
                <w:noProof/>
                <w:webHidden/>
              </w:rPr>
              <w:t>50</w:t>
            </w:r>
            <w:r w:rsidR="00463F5A">
              <w:rPr>
                <w:noProof/>
                <w:webHidden/>
              </w:rPr>
              <w:fldChar w:fldCharType="end"/>
            </w:r>
          </w:hyperlink>
        </w:p>
        <w:p w14:paraId="1EBF3DF9" w14:textId="7F296801" w:rsidR="00463F5A" w:rsidRDefault="0016341D">
          <w:pPr>
            <w:pStyle w:val="TOC3"/>
            <w:rPr>
              <w:rFonts w:asciiTheme="minorHAnsi" w:eastAsiaTheme="minorEastAsia" w:hAnsiTheme="minorHAnsi" w:cstheme="minorBidi"/>
              <w:noProof/>
              <w:sz w:val="22"/>
              <w:szCs w:val="22"/>
              <w:lang w:eastAsia="en-AU"/>
            </w:rPr>
          </w:pPr>
          <w:hyperlink w:anchor="_Toc4142071" w:history="1">
            <w:r w:rsidR="00463F5A" w:rsidRPr="005217E0">
              <w:rPr>
                <w:rStyle w:val="Hyperlink"/>
                <w:noProof/>
                <w:lang w:eastAsia="en-AU"/>
              </w:rPr>
              <w:t>Process for obtaining approval for subcontracting</w:t>
            </w:r>
            <w:r w:rsidR="00463F5A">
              <w:rPr>
                <w:noProof/>
                <w:webHidden/>
              </w:rPr>
              <w:tab/>
            </w:r>
            <w:r w:rsidR="00463F5A">
              <w:rPr>
                <w:noProof/>
                <w:webHidden/>
              </w:rPr>
              <w:fldChar w:fldCharType="begin"/>
            </w:r>
            <w:r w:rsidR="00463F5A">
              <w:rPr>
                <w:noProof/>
                <w:webHidden/>
              </w:rPr>
              <w:instrText xml:space="preserve"> PAGEREF _Toc4142071 \h </w:instrText>
            </w:r>
            <w:r w:rsidR="00463F5A">
              <w:rPr>
                <w:noProof/>
                <w:webHidden/>
              </w:rPr>
            </w:r>
            <w:r w:rsidR="00463F5A">
              <w:rPr>
                <w:noProof/>
                <w:webHidden/>
              </w:rPr>
              <w:fldChar w:fldCharType="separate"/>
            </w:r>
            <w:r w:rsidR="00463F5A">
              <w:rPr>
                <w:noProof/>
                <w:webHidden/>
              </w:rPr>
              <w:t>50</w:t>
            </w:r>
            <w:r w:rsidR="00463F5A">
              <w:rPr>
                <w:noProof/>
                <w:webHidden/>
              </w:rPr>
              <w:fldChar w:fldCharType="end"/>
            </w:r>
          </w:hyperlink>
        </w:p>
        <w:p w14:paraId="29B93D1E" w14:textId="737DAA59" w:rsidR="00463F5A" w:rsidRDefault="0016341D">
          <w:pPr>
            <w:pStyle w:val="TOC3"/>
            <w:rPr>
              <w:rFonts w:asciiTheme="minorHAnsi" w:eastAsiaTheme="minorEastAsia" w:hAnsiTheme="minorHAnsi" w:cstheme="minorBidi"/>
              <w:noProof/>
              <w:sz w:val="22"/>
              <w:szCs w:val="22"/>
              <w:lang w:eastAsia="en-AU"/>
            </w:rPr>
          </w:pPr>
          <w:hyperlink w:anchor="_Toc4142072" w:history="1">
            <w:r w:rsidR="00463F5A" w:rsidRPr="005217E0">
              <w:rPr>
                <w:rStyle w:val="Hyperlink"/>
                <w:noProof/>
                <w:lang w:eastAsia="en-AU"/>
              </w:rPr>
              <w:t>Engaging a subcontractor</w:t>
            </w:r>
            <w:r w:rsidR="00463F5A">
              <w:rPr>
                <w:noProof/>
                <w:webHidden/>
              </w:rPr>
              <w:tab/>
            </w:r>
            <w:r w:rsidR="00463F5A">
              <w:rPr>
                <w:noProof/>
                <w:webHidden/>
              </w:rPr>
              <w:fldChar w:fldCharType="begin"/>
            </w:r>
            <w:r w:rsidR="00463F5A">
              <w:rPr>
                <w:noProof/>
                <w:webHidden/>
              </w:rPr>
              <w:instrText xml:space="preserve"> PAGEREF _Toc4142072 \h </w:instrText>
            </w:r>
            <w:r w:rsidR="00463F5A">
              <w:rPr>
                <w:noProof/>
                <w:webHidden/>
              </w:rPr>
            </w:r>
            <w:r w:rsidR="00463F5A">
              <w:rPr>
                <w:noProof/>
                <w:webHidden/>
              </w:rPr>
              <w:fldChar w:fldCharType="separate"/>
            </w:r>
            <w:r w:rsidR="00463F5A">
              <w:rPr>
                <w:noProof/>
                <w:webHidden/>
              </w:rPr>
              <w:t>50</w:t>
            </w:r>
            <w:r w:rsidR="00463F5A">
              <w:rPr>
                <w:noProof/>
                <w:webHidden/>
              </w:rPr>
              <w:fldChar w:fldCharType="end"/>
            </w:r>
          </w:hyperlink>
        </w:p>
        <w:p w14:paraId="426A8290" w14:textId="729A42A4" w:rsidR="00463F5A" w:rsidRDefault="0016341D">
          <w:pPr>
            <w:pStyle w:val="TOC3"/>
            <w:rPr>
              <w:rFonts w:asciiTheme="minorHAnsi" w:eastAsiaTheme="minorEastAsia" w:hAnsiTheme="minorHAnsi" w:cstheme="minorBidi"/>
              <w:noProof/>
              <w:sz w:val="22"/>
              <w:szCs w:val="22"/>
              <w:lang w:eastAsia="en-AU"/>
            </w:rPr>
          </w:pPr>
          <w:hyperlink w:anchor="_Toc4142073" w:history="1">
            <w:r w:rsidR="00463F5A" w:rsidRPr="005217E0">
              <w:rPr>
                <w:rStyle w:val="Hyperlink"/>
                <w:noProof/>
                <w:lang w:eastAsia="en-AU"/>
              </w:rPr>
              <w:t>Information for Department of Health and Human Services (human services)</w:t>
            </w:r>
            <w:r w:rsidR="00463F5A">
              <w:rPr>
                <w:noProof/>
                <w:webHidden/>
              </w:rPr>
              <w:tab/>
            </w:r>
            <w:r w:rsidR="00463F5A">
              <w:rPr>
                <w:noProof/>
                <w:webHidden/>
              </w:rPr>
              <w:fldChar w:fldCharType="begin"/>
            </w:r>
            <w:r w:rsidR="00463F5A">
              <w:rPr>
                <w:noProof/>
                <w:webHidden/>
              </w:rPr>
              <w:instrText xml:space="preserve"> PAGEREF _Toc4142073 \h </w:instrText>
            </w:r>
            <w:r w:rsidR="00463F5A">
              <w:rPr>
                <w:noProof/>
                <w:webHidden/>
              </w:rPr>
            </w:r>
            <w:r w:rsidR="00463F5A">
              <w:rPr>
                <w:noProof/>
                <w:webHidden/>
              </w:rPr>
              <w:fldChar w:fldCharType="separate"/>
            </w:r>
            <w:r w:rsidR="00463F5A">
              <w:rPr>
                <w:noProof/>
                <w:webHidden/>
              </w:rPr>
              <w:t>51</w:t>
            </w:r>
            <w:r w:rsidR="00463F5A">
              <w:rPr>
                <w:noProof/>
                <w:webHidden/>
              </w:rPr>
              <w:fldChar w:fldCharType="end"/>
            </w:r>
          </w:hyperlink>
        </w:p>
        <w:p w14:paraId="0B1F9FEA" w14:textId="7E50034E" w:rsidR="00463F5A" w:rsidRDefault="0016341D">
          <w:pPr>
            <w:pStyle w:val="TOC2"/>
            <w:rPr>
              <w:rFonts w:asciiTheme="minorHAnsi" w:eastAsiaTheme="minorEastAsia" w:hAnsiTheme="minorHAnsi" w:cstheme="minorBidi"/>
              <w:sz w:val="22"/>
              <w:szCs w:val="22"/>
              <w:lang w:eastAsia="en-AU"/>
            </w:rPr>
          </w:pPr>
          <w:hyperlink w:anchor="_Toc4142074" w:history="1">
            <w:r w:rsidR="00463F5A" w:rsidRPr="005217E0">
              <w:rPr>
                <w:rStyle w:val="Hyperlink"/>
                <w:rFonts w:cs="Arial"/>
                <w:lang w:eastAsia="en-AU"/>
              </w:rPr>
              <w:t>3.11 Dispute resolution</w:t>
            </w:r>
            <w:r w:rsidR="00463F5A">
              <w:rPr>
                <w:webHidden/>
              </w:rPr>
              <w:tab/>
            </w:r>
            <w:r w:rsidR="00463F5A">
              <w:rPr>
                <w:webHidden/>
              </w:rPr>
              <w:fldChar w:fldCharType="begin"/>
            </w:r>
            <w:r w:rsidR="00463F5A">
              <w:rPr>
                <w:webHidden/>
              </w:rPr>
              <w:instrText xml:space="preserve"> PAGEREF _Toc4142074 \h </w:instrText>
            </w:r>
            <w:r w:rsidR="00463F5A">
              <w:rPr>
                <w:webHidden/>
              </w:rPr>
            </w:r>
            <w:r w:rsidR="00463F5A">
              <w:rPr>
                <w:webHidden/>
              </w:rPr>
              <w:fldChar w:fldCharType="separate"/>
            </w:r>
            <w:r w:rsidR="00463F5A">
              <w:rPr>
                <w:webHidden/>
              </w:rPr>
              <w:t>51</w:t>
            </w:r>
            <w:r w:rsidR="00463F5A">
              <w:rPr>
                <w:webHidden/>
              </w:rPr>
              <w:fldChar w:fldCharType="end"/>
            </w:r>
          </w:hyperlink>
        </w:p>
        <w:p w14:paraId="57468011" w14:textId="3D07E800" w:rsidR="00463F5A" w:rsidRDefault="0016341D">
          <w:pPr>
            <w:pStyle w:val="TOC2"/>
            <w:rPr>
              <w:rFonts w:asciiTheme="minorHAnsi" w:eastAsiaTheme="minorEastAsia" w:hAnsiTheme="minorHAnsi" w:cstheme="minorBidi"/>
              <w:sz w:val="22"/>
              <w:szCs w:val="22"/>
              <w:lang w:eastAsia="en-AU"/>
            </w:rPr>
          </w:pPr>
          <w:hyperlink w:anchor="_Toc4142075" w:history="1">
            <w:r w:rsidR="00463F5A" w:rsidRPr="005217E0">
              <w:rPr>
                <w:rStyle w:val="Hyperlink"/>
                <w:rFonts w:cs="Arial"/>
                <w:lang w:eastAsia="en-AU"/>
              </w:rPr>
              <w:t>3.12 Suspension</w:t>
            </w:r>
            <w:r w:rsidR="00463F5A">
              <w:rPr>
                <w:webHidden/>
              </w:rPr>
              <w:tab/>
            </w:r>
            <w:r w:rsidR="00463F5A">
              <w:rPr>
                <w:webHidden/>
              </w:rPr>
              <w:fldChar w:fldCharType="begin"/>
            </w:r>
            <w:r w:rsidR="00463F5A">
              <w:rPr>
                <w:webHidden/>
              </w:rPr>
              <w:instrText xml:space="preserve"> PAGEREF _Toc4142075 \h </w:instrText>
            </w:r>
            <w:r w:rsidR="00463F5A">
              <w:rPr>
                <w:webHidden/>
              </w:rPr>
            </w:r>
            <w:r w:rsidR="00463F5A">
              <w:rPr>
                <w:webHidden/>
              </w:rPr>
              <w:fldChar w:fldCharType="separate"/>
            </w:r>
            <w:r w:rsidR="00463F5A">
              <w:rPr>
                <w:webHidden/>
              </w:rPr>
              <w:t>53</w:t>
            </w:r>
            <w:r w:rsidR="00463F5A">
              <w:rPr>
                <w:webHidden/>
              </w:rPr>
              <w:fldChar w:fldCharType="end"/>
            </w:r>
          </w:hyperlink>
        </w:p>
        <w:p w14:paraId="46ABDE86" w14:textId="1CABE519" w:rsidR="00463F5A" w:rsidRDefault="0016341D">
          <w:pPr>
            <w:pStyle w:val="TOC3"/>
            <w:rPr>
              <w:rFonts w:asciiTheme="minorHAnsi" w:eastAsiaTheme="minorEastAsia" w:hAnsiTheme="minorHAnsi" w:cstheme="minorBidi"/>
              <w:noProof/>
              <w:sz w:val="22"/>
              <w:szCs w:val="22"/>
              <w:lang w:eastAsia="en-AU"/>
            </w:rPr>
          </w:pPr>
          <w:hyperlink w:anchor="_Toc4142076" w:history="1">
            <w:r w:rsidR="00463F5A" w:rsidRPr="005217E0">
              <w:rPr>
                <w:rStyle w:val="Hyperlink"/>
                <w:noProof/>
                <w:lang w:eastAsia="en-AU"/>
              </w:rPr>
              <w:t>3.12.1 Suspension of services</w:t>
            </w:r>
            <w:r w:rsidR="00463F5A">
              <w:rPr>
                <w:noProof/>
                <w:webHidden/>
              </w:rPr>
              <w:tab/>
            </w:r>
            <w:r w:rsidR="00463F5A">
              <w:rPr>
                <w:noProof/>
                <w:webHidden/>
              </w:rPr>
              <w:fldChar w:fldCharType="begin"/>
            </w:r>
            <w:r w:rsidR="00463F5A">
              <w:rPr>
                <w:noProof/>
                <w:webHidden/>
              </w:rPr>
              <w:instrText xml:space="preserve"> PAGEREF _Toc4142076 \h </w:instrText>
            </w:r>
            <w:r w:rsidR="00463F5A">
              <w:rPr>
                <w:noProof/>
                <w:webHidden/>
              </w:rPr>
            </w:r>
            <w:r w:rsidR="00463F5A">
              <w:rPr>
                <w:noProof/>
                <w:webHidden/>
              </w:rPr>
              <w:fldChar w:fldCharType="separate"/>
            </w:r>
            <w:r w:rsidR="00463F5A">
              <w:rPr>
                <w:noProof/>
                <w:webHidden/>
              </w:rPr>
              <w:t>53</w:t>
            </w:r>
            <w:r w:rsidR="00463F5A">
              <w:rPr>
                <w:noProof/>
                <w:webHidden/>
              </w:rPr>
              <w:fldChar w:fldCharType="end"/>
            </w:r>
          </w:hyperlink>
        </w:p>
        <w:p w14:paraId="4A84860F" w14:textId="6D7160AD" w:rsidR="00463F5A" w:rsidRDefault="0016341D">
          <w:pPr>
            <w:pStyle w:val="TOC3"/>
            <w:rPr>
              <w:rFonts w:asciiTheme="minorHAnsi" w:eastAsiaTheme="minorEastAsia" w:hAnsiTheme="minorHAnsi" w:cstheme="minorBidi"/>
              <w:noProof/>
              <w:sz w:val="22"/>
              <w:szCs w:val="22"/>
              <w:lang w:eastAsia="en-AU"/>
            </w:rPr>
          </w:pPr>
          <w:hyperlink w:anchor="_Toc4142077" w:history="1">
            <w:r w:rsidR="00463F5A" w:rsidRPr="005217E0">
              <w:rPr>
                <w:rStyle w:val="Hyperlink"/>
                <w:noProof/>
                <w:lang w:eastAsia="en-AU"/>
              </w:rPr>
              <w:t>3.12.2 Suspension of funding</w:t>
            </w:r>
            <w:r w:rsidR="00463F5A">
              <w:rPr>
                <w:noProof/>
                <w:webHidden/>
              </w:rPr>
              <w:tab/>
            </w:r>
            <w:r w:rsidR="00463F5A">
              <w:rPr>
                <w:noProof/>
                <w:webHidden/>
              </w:rPr>
              <w:fldChar w:fldCharType="begin"/>
            </w:r>
            <w:r w:rsidR="00463F5A">
              <w:rPr>
                <w:noProof/>
                <w:webHidden/>
              </w:rPr>
              <w:instrText xml:space="preserve"> PAGEREF _Toc4142077 \h </w:instrText>
            </w:r>
            <w:r w:rsidR="00463F5A">
              <w:rPr>
                <w:noProof/>
                <w:webHidden/>
              </w:rPr>
            </w:r>
            <w:r w:rsidR="00463F5A">
              <w:rPr>
                <w:noProof/>
                <w:webHidden/>
              </w:rPr>
              <w:fldChar w:fldCharType="separate"/>
            </w:r>
            <w:r w:rsidR="00463F5A">
              <w:rPr>
                <w:noProof/>
                <w:webHidden/>
              </w:rPr>
              <w:t>53</w:t>
            </w:r>
            <w:r w:rsidR="00463F5A">
              <w:rPr>
                <w:noProof/>
                <w:webHidden/>
              </w:rPr>
              <w:fldChar w:fldCharType="end"/>
            </w:r>
          </w:hyperlink>
        </w:p>
        <w:p w14:paraId="5917BCF2" w14:textId="5F310375" w:rsidR="00463F5A" w:rsidRDefault="0016341D">
          <w:pPr>
            <w:pStyle w:val="TOC2"/>
            <w:rPr>
              <w:rFonts w:asciiTheme="minorHAnsi" w:eastAsiaTheme="minorEastAsia" w:hAnsiTheme="minorHAnsi" w:cstheme="minorBidi"/>
              <w:sz w:val="22"/>
              <w:szCs w:val="22"/>
              <w:lang w:eastAsia="en-AU"/>
            </w:rPr>
          </w:pPr>
          <w:hyperlink w:anchor="_Toc4142078" w:history="1">
            <w:r w:rsidR="00463F5A" w:rsidRPr="005217E0">
              <w:rPr>
                <w:rStyle w:val="Hyperlink"/>
                <w:lang w:eastAsia="en-AU"/>
              </w:rPr>
              <w:t>3.13 Cessation</w:t>
            </w:r>
            <w:r w:rsidR="00463F5A">
              <w:rPr>
                <w:webHidden/>
              </w:rPr>
              <w:tab/>
            </w:r>
            <w:r w:rsidR="00463F5A">
              <w:rPr>
                <w:webHidden/>
              </w:rPr>
              <w:fldChar w:fldCharType="begin"/>
            </w:r>
            <w:r w:rsidR="00463F5A">
              <w:rPr>
                <w:webHidden/>
              </w:rPr>
              <w:instrText xml:space="preserve"> PAGEREF _Toc4142078 \h </w:instrText>
            </w:r>
            <w:r w:rsidR="00463F5A">
              <w:rPr>
                <w:webHidden/>
              </w:rPr>
            </w:r>
            <w:r w:rsidR="00463F5A">
              <w:rPr>
                <w:webHidden/>
              </w:rPr>
              <w:fldChar w:fldCharType="separate"/>
            </w:r>
            <w:r w:rsidR="00463F5A">
              <w:rPr>
                <w:webHidden/>
              </w:rPr>
              <w:t>54</w:t>
            </w:r>
            <w:r w:rsidR="00463F5A">
              <w:rPr>
                <w:webHidden/>
              </w:rPr>
              <w:fldChar w:fldCharType="end"/>
            </w:r>
          </w:hyperlink>
        </w:p>
        <w:p w14:paraId="7EB88566" w14:textId="050CD3C2" w:rsidR="00463F5A" w:rsidRDefault="0016341D">
          <w:pPr>
            <w:pStyle w:val="TOC2"/>
            <w:rPr>
              <w:rFonts w:asciiTheme="minorHAnsi" w:eastAsiaTheme="minorEastAsia" w:hAnsiTheme="minorHAnsi" w:cstheme="minorBidi"/>
              <w:sz w:val="22"/>
              <w:szCs w:val="22"/>
              <w:lang w:eastAsia="en-AU"/>
            </w:rPr>
          </w:pPr>
          <w:hyperlink w:anchor="_Toc4142079" w:history="1">
            <w:r w:rsidR="00463F5A" w:rsidRPr="005217E0">
              <w:rPr>
                <w:rStyle w:val="Hyperlink"/>
                <w:rFonts w:cs="Arial"/>
                <w:lang w:eastAsia="en-AU"/>
              </w:rPr>
              <w:t>3.14 Termination of agreement</w:t>
            </w:r>
            <w:r w:rsidR="00463F5A">
              <w:rPr>
                <w:webHidden/>
              </w:rPr>
              <w:tab/>
            </w:r>
            <w:r w:rsidR="00463F5A">
              <w:rPr>
                <w:webHidden/>
              </w:rPr>
              <w:fldChar w:fldCharType="begin"/>
            </w:r>
            <w:r w:rsidR="00463F5A">
              <w:rPr>
                <w:webHidden/>
              </w:rPr>
              <w:instrText xml:space="preserve"> PAGEREF _Toc4142079 \h </w:instrText>
            </w:r>
            <w:r w:rsidR="00463F5A">
              <w:rPr>
                <w:webHidden/>
              </w:rPr>
            </w:r>
            <w:r w:rsidR="00463F5A">
              <w:rPr>
                <w:webHidden/>
              </w:rPr>
              <w:fldChar w:fldCharType="separate"/>
            </w:r>
            <w:r w:rsidR="00463F5A">
              <w:rPr>
                <w:webHidden/>
              </w:rPr>
              <w:t>55</w:t>
            </w:r>
            <w:r w:rsidR="00463F5A">
              <w:rPr>
                <w:webHidden/>
              </w:rPr>
              <w:fldChar w:fldCharType="end"/>
            </w:r>
          </w:hyperlink>
        </w:p>
        <w:p w14:paraId="07E29311" w14:textId="3A3A9F7F" w:rsidR="00463F5A" w:rsidRDefault="0016341D">
          <w:pPr>
            <w:pStyle w:val="TOC3"/>
            <w:rPr>
              <w:rFonts w:asciiTheme="minorHAnsi" w:eastAsiaTheme="minorEastAsia" w:hAnsiTheme="minorHAnsi" w:cstheme="minorBidi"/>
              <w:noProof/>
              <w:sz w:val="22"/>
              <w:szCs w:val="22"/>
              <w:lang w:eastAsia="en-AU"/>
            </w:rPr>
          </w:pPr>
          <w:hyperlink w:anchor="_Toc4142080" w:history="1">
            <w:r w:rsidR="00463F5A" w:rsidRPr="005217E0">
              <w:rPr>
                <w:rStyle w:val="Hyperlink"/>
                <w:noProof/>
                <w:lang w:eastAsia="en-AU"/>
              </w:rPr>
              <w:t>Termination for breach</w:t>
            </w:r>
            <w:r w:rsidR="00463F5A">
              <w:rPr>
                <w:noProof/>
                <w:webHidden/>
              </w:rPr>
              <w:tab/>
            </w:r>
            <w:r w:rsidR="00463F5A">
              <w:rPr>
                <w:noProof/>
                <w:webHidden/>
              </w:rPr>
              <w:fldChar w:fldCharType="begin"/>
            </w:r>
            <w:r w:rsidR="00463F5A">
              <w:rPr>
                <w:noProof/>
                <w:webHidden/>
              </w:rPr>
              <w:instrText xml:space="preserve"> PAGEREF _Toc4142080 \h </w:instrText>
            </w:r>
            <w:r w:rsidR="00463F5A">
              <w:rPr>
                <w:noProof/>
                <w:webHidden/>
              </w:rPr>
            </w:r>
            <w:r w:rsidR="00463F5A">
              <w:rPr>
                <w:noProof/>
                <w:webHidden/>
              </w:rPr>
              <w:fldChar w:fldCharType="separate"/>
            </w:r>
            <w:r w:rsidR="00463F5A">
              <w:rPr>
                <w:noProof/>
                <w:webHidden/>
              </w:rPr>
              <w:t>55</w:t>
            </w:r>
            <w:r w:rsidR="00463F5A">
              <w:rPr>
                <w:noProof/>
                <w:webHidden/>
              </w:rPr>
              <w:fldChar w:fldCharType="end"/>
            </w:r>
          </w:hyperlink>
        </w:p>
        <w:p w14:paraId="1A30B424" w14:textId="44825CDC" w:rsidR="00463F5A" w:rsidRDefault="0016341D">
          <w:pPr>
            <w:pStyle w:val="TOC3"/>
            <w:rPr>
              <w:rFonts w:asciiTheme="minorHAnsi" w:eastAsiaTheme="minorEastAsia" w:hAnsiTheme="minorHAnsi" w:cstheme="minorBidi"/>
              <w:noProof/>
              <w:sz w:val="22"/>
              <w:szCs w:val="22"/>
              <w:lang w:eastAsia="en-AU"/>
            </w:rPr>
          </w:pPr>
          <w:hyperlink w:anchor="_Toc4142081" w:history="1">
            <w:r w:rsidR="00463F5A" w:rsidRPr="005217E0">
              <w:rPr>
                <w:rStyle w:val="Hyperlink"/>
                <w:noProof/>
                <w:lang w:eastAsia="en-AU"/>
              </w:rPr>
              <w:t>Termination by the department</w:t>
            </w:r>
            <w:r w:rsidR="00463F5A">
              <w:rPr>
                <w:noProof/>
                <w:webHidden/>
              </w:rPr>
              <w:tab/>
            </w:r>
            <w:r w:rsidR="00463F5A">
              <w:rPr>
                <w:noProof/>
                <w:webHidden/>
              </w:rPr>
              <w:fldChar w:fldCharType="begin"/>
            </w:r>
            <w:r w:rsidR="00463F5A">
              <w:rPr>
                <w:noProof/>
                <w:webHidden/>
              </w:rPr>
              <w:instrText xml:space="preserve"> PAGEREF _Toc4142081 \h </w:instrText>
            </w:r>
            <w:r w:rsidR="00463F5A">
              <w:rPr>
                <w:noProof/>
                <w:webHidden/>
              </w:rPr>
            </w:r>
            <w:r w:rsidR="00463F5A">
              <w:rPr>
                <w:noProof/>
                <w:webHidden/>
              </w:rPr>
              <w:fldChar w:fldCharType="separate"/>
            </w:r>
            <w:r w:rsidR="00463F5A">
              <w:rPr>
                <w:noProof/>
                <w:webHidden/>
              </w:rPr>
              <w:t>55</w:t>
            </w:r>
            <w:r w:rsidR="00463F5A">
              <w:rPr>
                <w:noProof/>
                <w:webHidden/>
              </w:rPr>
              <w:fldChar w:fldCharType="end"/>
            </w:r>
          </w:hyperlink>
        </w:p>
        <w:p w14:paraId="597B8F0F" w14:textId="0A3F4563" w:rsidR="00463F5A" w:rsidRDefault="0016341D">
          <w:pPr>
            <w:pStyle w:val="TOC3"/>
            <w:rPr>
              <w:rFonts w:asciiTheme="minorHAnsi" w:eastAsiaTheme="minorEastAsia" w:hAnsiTheme="minorHAnsi" w:cstheme="minorBidi"/>
              <w:noProof/>
              <w:sz w:val="22"/>
              <w:szCs w:val="22"/>
              <w:lang w:eastAsia="en-AU"/>
            </w:rPr>
          </w:pPr>
          <w:hyperlink w:anchor="_Toc4142082" w:history="1">
            <w:r w:rsidR="00463F5A" w:rsidRPr="005217E0">
              <w:rPr>
                <w:rStyle w:val="Hyperlink"/>
                <w:noProof/>
                <w:lang w:eastAsia="en-AU"/>
              </w:rPr>
              <w:t>Termination without fault</w:t>
            </w:r>
            <w:r w:rsidR="00463F5A">
              <w:rPr>
                <w:noProof/>
                <w:webHidden/>
              </w:rPr>
              <w:tab/>
            </w:r>
            <w:r w:rsidR="00463F5A">
              <w:rPr>
                <w:noProof/>
                <w:webHidden/>
              </w:rPr>
              <w:fldChar w:fldCharType="begin"/>
            </w:r>
            <w:r w:rsidR="00463F5A">
              <w:rPr>
                <w:noProof/>
                <w:webHidden/>
              </w:rPr>
              <w:instrText xml:space="preserve"> PAGEREF _Toc4142082 \h </w:instrText>
            </w:r>
            <w:r w:rsidR="00463F5A">
              <w:rPr>
                <w:noProof/>
                <w:webHidden/>
              </w:rPr>
            </w:r>
            <w:r w:rsidR="00463F5A">
              <w:rPr>
                <w:noProof/>
                <w:webHidden/>
              </w:rPr>
              <w:fldChar w:fldCharType="separate"/>
            </w:r>
            <w:r w:rsidR="00463F5A">
              <w:rPr>
                <w:noProof/>
                <w:webHidden/>
              </w:rPr>
              <w:t>56</w:t>
            </w:r>
            <w:r w:rsidR="00463F5A">
              <w:rPr>
                <w:noProof/>
                <w:webHidden/>
              </w:rPr>
              <w:fldChar w:fldCharType="end"/>
            </w:r>
          </w:hyperlink>
        </w:p>
        <w:p w14:paraId="742C2550" w14:textId="180851DC" w:rsidR="00463F5A" w:rsidRDefault="0016341D">
          <w:pPr>
            <w:pStyle w:val="TOC2"/>
            <w:rPr>
              <w:rFonts w:asciiTheme="minorHAnsi" w:eastAsiaTheme="minorEastAsia" w:hAnsiTheme="minorHAnsi" w:cstheme="minorBidi"/>
              <w:sz w:val="22"/>
              <w:szCs w:val="22"/>
              <w:lang w:eastAsia="en-AU"/>
            </w:rPr>
          </w:pPr>
          <w:hyperlink w:anchor="_Toc4142083" w:history="1">
            <w:r w:rsidR="00463F5A" w:rsidRPr="005217E0">
              <w:rPr>
                <w:rStyle w:val="Hyperlink"/>
                <w:rFonts w:cs="Arial"/>
                <w:lang w:eastAsia="en-AU"/>
              </w:rPr>
              <w:t>3.15 Transition of services</w:t>
            </w:r>
            <w:r w:rsidR="00463F5A">
              <w:rPr>
                <w:webHidden/>
              </w:rPr>
              <w:tab/>
            </w:r>
            <w:r w:rsidR="00463F5A">
              <w:rPr>
                <w:webHidden/>
              </w:rPr>
              <w:fldChar w:fldCharType="begin"/>
            </w:r>
            <w:r w:rsidR="00463F5A">
              <w:rPr>
                <w:webHidden/>
              </w:rPr>
              <w:instrText xml:space="preserve"> PAGEREF _Toc4142083 \h </w:instrText>
            </w:r>
            <w:r w:rsidR="00463F5A">
              <w:rPr>
                <w:webHidden/>
              </w:rPr>
            </w:r>
            <w:r w:rsidR="00463F5A">
              <w:rPr>
                <w:webHidden/>
              </w:rPr>
              <w:fldChar w:fldCharType="separate"/>
            </w:r>
            <w:r w:rsidR="00463F5A">
              <w:rPr>
                <w:webHidden/>
              </w:rPr>
              <w:t>56</w:t>
            </w:r>
            <w:r w:rsidR="00463F5A">
              <w:rPr>
                <w:webHidden/>
              </w:rPr>
              <w:fldChar w:fldCharType="end"/>
            </w:r>
          </w:hyperlink>
        </w:p>
        <w:p w14:paraId="5CA0595C" w14:textId="61F59D75" w:rsidR="00463F5A" w:rsidRDefault="0016341D">
          <w:pPr>
            <w:pStyle w:val="TOC2"/>
            <w:rPr>
              <w:rFonts w:asciiTheme="minorHAnsi" w:eastAsiaTheme="minorEastAsia" w:hAnsiTheme="minorHAnsi" w:cstheme="minorBidi"/>
              <w:sz w:val="22"/>
              <w:szCs w:val="22"/>
              <w:lang w:eastAsia="en-AU"/>
            </w:rPr>
          </w:pPr>
          <w:hyperlink w:anchor="_Toc4142084" w:history="1">
            <w:r w:rsidR="00463F5A" w:rsidRPr="005217E0">
              <w:rPr>
                <w:rStyle w:val="Hyperlink"/>
                <w:rFonts w:cs="Arial"/>
                <w:lang w:eastAsia="en-AU"/>
              </w:rPr>
              <w:t>3.16 Intellectual property</w:t>
            </w:r>
            <w:r w:rsidR="00463F5A">
              <w:rPr>
                <w:webHidden/>
              </w:rPr>
              <w:tab/>
            </w:r>
            <w:r w:rsidR="00463F5A">
              <w:rPr>
                <w:webHidden/>
              </w:rPr>
              <w:fldChar w:fldCharType="begin"/>
            </w:r>
            <w:r w:rsidR="00463F5A">
              <w:rPr>
                <w:webHidden/>
              </w:rPr>
              <w:instrText xml:space="preserve"> PAGEREF _Toc4142084 \h </w:instrText>
            </w:r>
            <w:r w:rsidR="00463F5A">
              <w:rPr>
                <w:webHidden/>
              </w:rPr>
            </w:r>
            <w:r w:rsidR="00463F5A">
              <w:rPr>
                <w:webHidden/>
              </w:rPr>
              <w:fldChar w:fldCharType="separate"/>
            </w:r>
            <w:r w:rsidR="00463F5A">
              <w:rPr>
                <w:webHidden/>
              </w:rPr>
              <w:t>57</w:t>
            </w:r>
            <w:r w:rsidR="00463F5A">
              <w:rPr>
                <w:webHidden/>
              </w:rPr>
              <w:fldChar w:fldCharType="end"/>
            </w:r>
          </w:hyperlink>
        </w:p>
        <w:p w14:paraId="0E90FC76" w14:textId="4F5EDC27" w:rsidR="00463F5A" w:rsidRDefault="0016341D">
          <w:pPr>
            <w:pStyle w:val="TOC2"/>
            <w:rPr>
              <w:rFonts w:asciiTheme="minorHAnsi" w:eastAsiaTheme="minorEastAsia" w:hAnsiTheme="minorHAnsi" w:cstheme="minorBidi"/>
              <w:sz w:val="22"/>
              <w:szCs w:val="22"/>
              <w:lang w:eastAsia="en-AU"/>
            </w:rPr>
          </w:pPr>
          <w:hyperlink w:anchor="_Toc4142085" w:history="1">
            <w:r w:rsidR="00463F5A" w:rsidRPr="005217E0">
              <w:rPr>
                <w:rStyle w:val="Hyperlink"/>
                <w:rFonts w:cs="Arial"/>
                <w:lang w:eastAsia="en-AU"/>
              </w:rPr>
              <w:t>3.17 Privacy, Data Protection and Protected Disclosures</w:t>
            </w:r>
            <w:r w:rsidR="00463F5A">
              <w:rPr>
                <w:webHidden/>
              </w:rPr>
              <w:tab/>
            </w:r>
            <w:r w:rsidR="00463F5A">
              <w:rPr>
                <w:webHidden/>
              </w:rPr>
              <w:fldChar w:fldCharType="begin"/>
            </w:r>
            <w:r w:rsidR="00463F5A">
              <w:rPr>
                <w:webHidden/>
              </w:rPr>
              <w:instrText xml:space="preserve"> PAGEREF _Toc4142085 \h </w:instrText>
            </w:r>
            <w:r w:rsidR="00463F5A">
              <w:rPr>
                <w:webHidden/>
              </w:rPr>
            </w:r>
            <w:r w:rsidR="00463F5A">
              <w:rPr>
                <w:webHidden/>
              </w:rPr>
              <w:fldChar w:fldCharType="separate"/>
            </w:r>
            <w:r w:rsidR="00463F5A">
              <w:rPr>
                <w:webHidden/>
              </w:rPr>
              <w:t>57</w:t>
            </w:r>
            <w:r w:rsidR="00463F5A">
              <w:rPr>
                <w:webHidden/>
              </w:rPr>
              <w:fldChar w:fldCharType="end"/>
            </w:r>
          </w:hyperlink>
        </w:p>
        <w:p w14:paraId="6B31ECC4" w14:textId="4EF73501" w:rsidR="00463F5A" w:rsidRDefault="0016341D">
          <w:pPr>
            <w:pStyle w:val="TOC3"/>
            <w:rPr>
              <w:rFonts w:asciiTheme="minorHAnsi" w:eastAsiaTheme="minorEastAsia" w:hAnsiTheme="minorHAnsi" w:cstheme="minorBidi"/>
              <w:noProof/>
              <w:sz w:val="22"/>
              <w:szCs w:val="22"/>
              <w:lang w:eastAsia="en-AU"/>
            </w:rPr>
          </w:pPr>
          <w:hyperlink w:anchor="_Toc4142086" w:history="1">
            <w:r w:rsidR="00463F5A" w:rsidRPr="005217E0">
              <w:rPr>
                <w:rStyle w:val="Hyperlink"/>
                <w:noProof/>
                <w:lang w:eastAsia="en-AU"/>
              </w:rPr>
              <w:t>Privacy</w:t>
            </w:r>
            <w:r w:rsidR="00463F5A">
              <w:rPr>
                <w:noProof/>
                <w:webHidden/>
              </w:rPr>
              <w:tab/>
            </w:r>
            <w:r w:rsidR="00463F5A">
              <w:rPr>
                <w:noProof/>
                <w:webHidden/>
              </w:rPr>
              <w:fldChar w:fldCharType="begin"/>
            </w:r>
            <w:r w:rsidR="00463F5A">
              <w:rPr>
                <w:noProof/>
                <w:webHidden/>
              </w:rPr>
              <w:instrText xml:space="preserve"> PAGEREF _Toc4142086 \h </w:instrText>
            </w:r>
            <w:r w:rsidR="00463F5A">
              <w:rPr>
                <w:noProof/>
                <w:webHidden/>
              </w:rPr>
            </w:r>
            <w:r w:rsidR="00463F5A">
              <w:rPr>
                <w:noProof/>
                <w:webHidden/>
              </w:rPr>
              <w:fldChar w:fldCharType="separate"/>
            </w:r>
            <w:r w:rsidR="00463F5A">
              <w:rPr>
                <w:noProof/>
                <w:webHidden/>
              </w:rPr>
              <w:t>57</w:t>
            </w:r>
            <w:r w:rsidR="00463F5A">
              <w:rPr>
                <w:noProof/>
                <w:webHidden/>
              </w:rPr>
              <w:fldChar w:fldCharType="end"/>
            </w:r>
          </w:hyperlink>
        </w:p>
        <w:p w14:paraId="75551A5A" w14:textId="53AA732E" w:rsidR="00463F5A" w:rsidRDefault="0016341D">
          <w:pPr>
            <w:pStyle w:val="TOC3"/>
            <w:rPr>
              <w:rFonts w:asciiTheme="minorHAnsi" w:eastAsiaTheme="minorEastAsia" w:hAnsiTheme="minorHAnsi" w:cstheme="minorBidi"/>
              <w:noProof/>
              <w:sz w:val="22"/>
              <w:szCs w:val="22"/>
              <w:lang w:eastAsia="en-AU"/>
            </w:rPr>
          </w:pPr>
          <w:hyperlink w:anchor="_Toc4142087" w:history="1">
            <w:r w:rsidR="00463F5A" w:rsidRPr="005217E0">
              <w:rPr>
                <w:rStyle w:val="Hyperlink"/>
                <w:noProof/>
                <w:lang w:eastAsia="en-AU"/>
              </w:rPr>
              <w:t>Protected Disclosure Act 2012</w:t>
            </w:r>
            <w:r w:rsidR="00463F5A">
              <w:rPr>
                <w:noProof/>
                <w:webHidden/>
              </w:rPr>
              <w:tab/>
            </w:r>
            <w:r w:rsidR="00463F5A">
              <w:rPr>
                <w:noProof/>
                <w:webHidden/>
              </w:rPr>
              <w:fldChar w:fldCharType="begin"/>
            </w:r>
            <w:r w:rsidR="00463F5A">
              <w:rPr>
                <w:noProof/>
                <w:webHidden/>
              </w:rPr>
              <w:instrText xml:space="preserve"> PAGEREF _Toc4142087 \h </w:instrText>
            </w:r>
            <w:r w:rsidR="00463F5A">
              <w:rPr>
                <w:noProof/>
                <w:webHidden/>
              </w:rPr>
            </w:r>
            <w:r w:rsidR="00463F5A">
              <w:rPr>
                <w:noProof/>
                <w:webHidden/>
              </w:rPr>
              <w:fldChar w:fldCharType="separate"/>
            </w:r>
            <w:r w:rsidR="00463F5A">
              <w:rPr>
                <w:noProof/>
                <w:webHidden/>
              </w:rPr>
              <w:t>57</w:t>
            </w:r>
            <w:r w:rsidR="00463F5A">
              <w:rPr>
                <w:noProof/>
                <w:webHidden/>
              </w:rPr>
              <w:fldChar w:fldCharType="end"/>
            </w:r>
          </w:hyperlink>
        </w:p>
        <w:p w14:paraId="5CE0F856" w14:textId="54DE29BF" w:rsidR="00463F5A" w:rsidRDefault="0016341D">
          <w:pPr>
            <w:pStyle w:val="TOC3"/>
            <w:rPr>
              <w:rFonts w:asciiTheme="minorHAnsi" w:eastAsiaTheme="minorEastAsia" w:hAnsiTheme="minorHAnsi" w:cstheme="minorBidi"/>
              <w:noProof/>
              <w:sz w:val="22"/>
              <w:szCs w:val="22"/>
              <w:lang w:eastAsia="en-AU"/>
            </w:rPr>
          </w:pPr>
          <w:hyperlink w:anchor="_Toc4142088" w:history="1">
            <w:r w:rsidR="00463F5A" w:rsidRPr="005217E0">
              <w:rPr>
                <w:rStyle w:val="Hyperlink"/>
                <w:noProof/>
                <w:lang w:eastAsia="en-AU"/>
              </w:rPr>
              <w:t>3.17.1 Overview of privacy requirements</w:t>
            </w:r>
            <w:r w:rsidR="00463F5A">
              <w:rPr>
                <w:noProof/>
                <w:webHidden/>
              </w:rPr>
              <w:tab/>
            </w:r>
            <w:r w:rsidR="00463F5A">
              <w:rPr>
                <w:noProof/>
                <w:webHidden/>
              </w:rPr>
              <w:fldChar w:fldCharType="begin"/>
            </w:r>
            <w:r w:rsidR="00463F5A">
              <w:rPr>
                <w:noProof/>
                <w:webHidden/>
              </w:rPr>
              <w:instrText xml:space="preserve"> PAGEREF _Toc4142088 \h </w:instrText>
            </w:r>
            <w:r w:rsidR="00463F5A">
              <w:rPr>
                <w:noProof/>
                <w:webHidden/>
              </w:rPr>
            </w:r>
            <w:r w:rsidR="00463F5A">
              <w:rPr>
                <w:noProof/>
                <w:webHidden/>
              </w:rPr>
              <w:fldChar w:fldCharType="separate"/>
            </w:r>
            <w:r w:rsidR="00463F5A">
              <w:rPr>
                <w:noProof/>
                <w:webHidden/>
              </w:rPr>
              <w:t>57</w:t>
            </w:r>
            <w:r w:rsidR="00463F5A">
              <w:rPr>
                <w:noProof/>
                <w:webHidden/>
              </w:rPr>
              <w:fldChar w:fldCharType="end"/>
            </w:r>
          </w:hyperlink>
        </w:p>
        <w:p w14:paraId="3DA3EF02" w14:textId="0AE63455" w:rsidR="00463F5A" w:rsidRDefault="0016341D">
          <w:pPr>
            <w:pStyle w:val="TOC3"/>
            <w:rPr>
              <w:rFonts w:asciiTheme="minorHAnsi" w:eastAsiaTheme="minorEastAsia" w:hAnsiTheme="minorHAnsi" w:cstheme="minorBidi"/>
              <w:noProof/>
              <w:sz w:val="22"/>
              <w:szCs w:val="22"/>
              <w:lang w:eastAsia="en-AU"/>
            </w:rPr>
          </w:pPr>
          <w:hyperlink w:anchor="_Toc4142089" w:history="1">
            <w:r w:rsidR="00463F5A" w:rsidRPr="005217E0">
              <w:rPr>
                <w:rStyle w:val="Hyperlink"/>
                <w:noProof/>
                <w:lang w:eastAsia="en-AU"/>
              </w:rPr>
              <w:t>3.17.2 Access and correction of personal and health information</w:t>
            </w:r>
            <w:r w:rsidR="00463F5A">
              <w:rPr>
                <w:noProof/>
                <w:webHidden/>
              </w:rPr>
              <w:tab/>
            </w:r>
            <w:r w:rsidR="00463F5A">
              <w:rPr>
                <w:noProof/>
                <w:webHidden/>
              </w:rPr>
              <w:fldChar w:fldCharType="begin"/>
            </w:r>
            <w:r w:rsidR="00463F5A">
              <w:rPr>
                <w:noProof/>
                <w:webHidden/>
              </w:rPr>
              <w:instrText xml:space="preserve"> PAGEREF _Toc4142089 \h </w:instrText>
            </w:r>
            <w:r w:rsidR="00463F5A">
              <w:rPr>
                <w:noProof/>
                <w:webHidden/>
              </w:rPr>
            </w:r>
            <w:r w:rsidR="00463F5A">
              <w:rPr>
                <w:noProof/>
                <w:webHidden/>
              </w:rPr>
              <w:fldChar w:fldCharType="separate"/>
            </w:r>
            <w:r w:rsidR="00463F5A">
              <w:rPr>
                <w:noProof/>
                <w:webHidden/>
              </w:rPr>
              <w:t>59</w:t>
            </w:r>
            <w:r w:rsidR="00463F5A">
              <w:rPr>
                <w:noProof/>
                <w:webHidden/>
              </w:rPr>
              <w:fldChar w:fldCharType="end"/>
            </w:r>
          </w:hyperlink>
        </w:p>
        <w:p w14:paraId="5514EB8E" w14:textId="34BC8980" w:rsidR="00463F5A" w:rsidRDefault="0016341D">
          <w:pPr>
            <w:pStyle w:val="TOC3"/>
            <w:rPr>
              <w:rFonts w:asciiTheme="minorHAnsi" w:eastAsiaTheme="minorEastAsia" w:hAnsiTheme="minorHAnsi" w:cstheme="minorBidi"/>
              <w:noProof/>
              <w:sz w:val="22"/>
              <w:szCs w:val="22"/>
              <w:lang w:eastAsia="en-AU"/>
            </w:rPr>
          </w:pPr>
          <w:hyperlink w:anchor="_Toc4142090" w:history="1">
            <w:r w:rsidR="00463F5A" w:rsidRPr="005217E0">
              <w:rPr>
                <w:rStyle w:val="Hyperlink"/>
                <w:noProof/>
                <w:lang w:eastAsia="en-AU"/>
              </w:rPr>
              <w:t>3.17.3 Collection and disclosure of personal and health information</w:t>
            </w:r>
            <w:r w:rsidR="00463F5A">
              <w:rPr>
                <w:noProof/>
                <w:webHidden/>
              </w:rPr>
              <w:tab/>
            </w:r>
            <w:r w:rsidR="00463F5A">
              <w:rPr>
                <w:noProof/>
                <w:webHidden/>
              </w:rPr>
              <w:fldChar w:fldCharType="begin"/>
            </w:r>
            <w:r w:rsidR="00463F5A">
              <w:rPr>
                <w:noProof/>
                <w:webHidden/>
              </w:rPr>
              <w:instrText xml:space="preserve"> PAGEREF _Toc4142090 \h </w:instrText>
            </w:r>
            <w:r w:rsidR="00463F5A">
              <w:rPr>
                <w:noProof/>
                <w:webHidden/>
              </w:rPr>
            </w:r>
            <w:r w:rsidR="00463F5A">
              <w:rPr>
                <w:noProof/>
                <w:webHidden/>
              </w:rPr>
              <w:fldChar w:fldCharType="separate"/>
            </w:r>
            <w:r w:rsidR="00463F5A">
              <w:rPr>
                <w:noProof/>
                <w:webHidden/>
              </w:rPr>
              <w:t>59</w:t>
            </w:r>
            <w:r w:rsidR="00463F5A">
              <w:rPr>
                <w:noProof/>
                <w:webHidden/>
              </w:rPr>
              <w:fldChar w:fldCharType="end"/>
            </w:r>
          </w:hyperlink>
        </w:p>
        <w:p w14:paraId="1E9D7989" w14:textId="1F53AAB1" w:rsidR="00463F5A" w:rsidRDefault="0016341D">
          <w:pPr>
            <w:pStyle w:val="TOC3"/>
            <w:rPr>
              <w:rFonts w:asciiTheme="minorHAnsi" w:eastAsiaTheme="minorEastAsia" w:hAnsiTheme="minorHAnsi" w:cstheme="minorBidi"/>
              <w:noProof/>
              <w:sz w:val="22"/>
              <w:szCs w:val="22"/>
              <w:lang w:eastAsia="en-AU"/>
            </w:rPr>
          </w:pPr>
          <w:hyperlink w:anchor="_Toc4142091" w:history="1">
            <w:r w:rsidR="00463F5A" w:rsidRPr="005217E0">
              <w:rPr>
                <w:rStyle w:val="Hyperlink"/>
                <w:noProof/>
                <w:lang w:eastAsia="en-AU"/>
              </w:rPr>
              <w:t>3.17.4 Security of personal and health information</w:t>
            </w:r>
            <w:r w:rsidR="00463F5A">
              <w:rPr>
                <w:noProof/>
                <w:webHidden/>
              </w:rPr>
              <w:tab/>
            </w:r>
            <w:r w:rsidR="00463F5A">
              <w:rPr>
                <w:noProof/>
                <w:webHidden/>
              </w:rPr>
              <w:fldChar w:fldCharType="begin"/>
            </w:r>
            <w:r w:rsidR="00463F5A">
              <w:rPr>
                <w:noProof/>
                <w:webHidden/>
              </w:rPr>
              <w:instrText xml:space="preserve"> PAGEREF _Toc4142091 \h </w:instrText>
            </w:r>
            <w:r w:rsidR="00463F5A">
              <w:rPr>
                <w:noProof/>
                <w:webHidden/>
              </w:rPr>
            </w:r>
            <w:r w:rsidR="00463F5A">
              <w:rPr>
                <w:noProof/>
                <w:webHidden/>
              </w:rPr>
              <w:fldChar w:fldCharType="separate"/>
            </w:r>
            <w:r w:rsidR="00463F5A">
              <w:rPr>
                <w:noProof/>
                <w:webHidden/>
              </w:rPr>
              <w:t>61</w:t>
            </w:r>
            <w:r w:rsidR="00463F5A">
              <w:rPr>
                <w:noProof/>
                <w:webHidden/>
              </w:rPr>
              <w:fldChar w:fldCharType="end"/>
            </w:r>
          </w:hyperlink>
        </w:p>
        <w:p w14:paraId="1A4C332C" w14:textId="2543B0DD" w:rsidR="00463F5A" w:rsidRDefault="0016341D">
          <w:pPr>
            <w:pStyle w:val="TOC3"/>
            <w:rPr>
              <w:rFonts w:asciiTheme="minorHAnsi" w:eastAsiaTheme="minorEastAsia" w:hAnsiTheme="minorHAnsi" w:cstheme="minorBidi"/>
              <w:noProof/>
              <w:sz w:val="22"/>
              <w:szCs w:val="22"/>
              <w:lang w:eastAsia="en-AU"/>
            </w:rPr>
          </w:pPr>
          <w:hyperlink w:anchor="_Toc4142092" w:history="1">
            <w:r w:rsidR="00463F5A" w:rsidRPr="005217E0">
              <w:rPr>
                <w:rStyle w:val="Hyperlink"/>
                <w:noProof/>
                <w:lang w:eastAsia="en-AU"/>
              </w:rPr>
              <w:t>3.17.5 Staff awareness and training in privacy, data protection and health information security</w:t>
            </w:r>
            <w:r w:rsidR="00463F5A">
              <w:rPr>
                <w:noProof/>
                <w:webHidden/>
              </w:rPr>
              <w:tab/>
            </w:r>
            <w:r w:rsidR="00463F5A">
              <w:rPr>
                <w:noProof/>
                <w:webHidden/>
              </w:rPr>
              <w:fldChar w:fldCharType="begin"/>
            </w:r>
            <w:r w:rsidR="00463F5A">
              <w:rPr>
                <w:noProof/>
                <w:webHidden/>
              </w:rPr>
              <w:instrText xml:space="preserve"> PAGEREF _Toc4142092 \h </w:instrText>
            </w:r>
            <w:r w:rsidR="00463F5A">
              <w:rPr>
                <w:noProof/>
                <w:webHidden/>
              </w:rPr>
            </w:r>
            <w:r w:rsidR="00463F5A">
              <w:rPr>
                <w:noProof/>
                <w:webHidden/>
              </w:rPr>
              <w:fldChar w:fldCharType="separate"/>
            </w:r>
            <w:r w:rsidR="00463F5A">
              <w:rPr>
                <w:noProof/>
                <w:webHidden/>
              </w:rPr>
              <w:t>62</w:t>
            </w:r>
            <w:r w:rsidR="00463F5A">
              <w:rPr>
                <w:noProof/>
                <w:webHidden/>
              </w:rPr>
              <w:fldChar w:fldCharType="end"/>
            </w:r>
          </w:hyperlink>
        </w:p>
        <w:p w14:paraId="7853CD83" w14:textId="573E1647" w:rsidR="00463F5A" w:rsidRDefault="0016341D">
          <w:pPr>
            <w:pStyle w:val="TOC3"/>
            <w:rPr>
              <w:rFonts w:asciiTheme="minorHAnsi" w:eastAsiaTheme="minorEastAsia" w:hAnsiTheme="minorHAnsi" w:cstheme="minorBidi"/>
              <w:noProof/>
              <w:sz w:val="22"/>
              <w:szCs w:val="22"/>
              <w:lang w:eastAsia="en-AU"/>
            </w:rPr>
          </w:pPr>
          <w:hyperlink w:anchor="_Toc4142093" w:history="1">
            <w:r w:rsidR="00463F5A" w:rsidRPr="005217E0">
              <w:rPr>
                <w:rStyle w:val="Hyperlink"/>
                <w:noProof/>
                <w:lang w:eastAsia="en-AU"/>
              </w:rPr>
              <w:t>3.17.6 Information on privacy complaints</w:t>
            </w:r>
            <w:r w:rsidR="00463F5A">
              <w:rPr>
                <w:noProof/>
                <w:webHidden/>
              </w:rPr>
              <w:tab/>
            </w:r>
            <w:r w:rsidR="00463F5A">
              <w:rPr>
                <w:noProof/>
                <w:webHidden/>
              </w:rPr>
              <w:fldChar w:fldCharType="begin"/>
            </w:r>
            <w:r w:rsidR="00463F5A">
              <w:rPr>
                <w:noProof/>
                <w:webHidden/>
              </w:rPr>
              <w:instrText xml:space="preserve"> PAGEREF _Toc4142093 \h </w:instrText>
            </w:r>
            <w:r w:rsidR="00463F5A">
              <w:rPr>
                <w:noProof/>
                <w:webHidden/>
              </w:rPr>
            </w:r>
            <w:r w:rsidR="00463F5A">
              <w:rPr>
                <w:noProof/>
                <w:webHidden/>
              </w:rPr>
              <w:fldChar w:fldCharType="separate"/>
            </w:r>
            <w:r w:rsidR="00463F5A">
              <w:rPr>
                <w:noProof/>
                <w:webHidden/>
              </w:rPr>
              <w:t>62</w:t>
            </w:r>
            <w:r w:rsidR="00463F5A">
              <w:rPr>
                <w:noProof/>
                <w:webHidden/>
              </w:rPr>
              <w:fldChar w:fldCharType="end"/>
            </w:r>
          </w:hyperlink>
        </w:p>
        <w:p w14:paraId="42001313" w14:textId="5A69B263" w:rsidR="00463F5A" w:rsidRDefault="0016341D">
          <w:pPr>
            <w:pStyle w:val="TOC3"/>
            <w:rPr>
              <w:rFonts w:asciiTheme="minorHAnsi" w:eastAsiaTheme="minorEastAsia" w:hAnsiTheme="minorHAnsi" w:cstheme="minorBidi"/>
              <w:noProof/>
              <w:sz w:val="22"/>
              <w:szCs w:val="22"/>
              <w:lang w:eastAsia="en-AU"/>
            </w:rPr>
          </w:pPr>
          <w:hyperlink w:anchor="_Toc4142094" w:history="1">
            <w:r w:rsidR="00463F5A" w:rsidRPr="005217E0">
              <w:rPr>
                <w:rStyle w:val="Hyperlink"/>
                <w:noProof/>
                <w:lang w:eastAsia="en-AU"/>
              </w:rPr>
              <w:t>3.17.7 Privacy contact information</w:t>
            </w:r>
            <w:r w:rsidR="00463F5A">
              <w:rPr>
                <w:noProof/>
                <w:webHidden/>
              </w:rPr>
              <w:tab/>
            </w:r>
            <w:r w:rsidR="00463F5A">
              <w:rPr>
                <w:noProof/>
                <w:webHidden/>
              </w:rPr>
              <w:fldChar w:fldCharType="begin"/>
            </w:r>
            <w:r w:rsidR="00463F5A">
              <w:rPr>
                <w:noProof/>
                <w:webHidden/>
              </w:rPr>
              <w:instrText xml:space="preserve"> PAGEREF _Toc4142094 \h </w:instrText>
            </w:r>
            <w:r w:rsidR="00463F5A">
              <w:rPr>
                <w:noProof/>
                <w:webHidden/>
              </w:rPr>
            </w:r>
            <w:r w:rsidR="00463F5A">
              <w:rPr>
                <w:noProof/>
                <w:webHidden/>
              </w:rPr>
              <w:fldChar w:fldCharType="separate"/>
            </w:r>
            <w:r w:rsidR="00463F5A">
              <w:rPr>
                <w:noProof/>
                <w:webHidden/>
              </w:rPr>
              <w:t>63</w:t>
            </w:r>
            <w:r w:rsidR="00463F5A">
              <w:rPr>
                <w:noProof/>
                <w:webHidden/>
              </w:rPr>
              <w:fldChar w:fldCharType="end"/>
            </w:r>
          </w:hyperlink>
        </w:p>
        <w:p w14:paraId="17E89CBE" w14:textId="669BBA76" w:rsidR="00463F5A" w:rsidRDefault="0016341D">
          <w:pPr>
            <w:pStyle w:val="TOC3"/>
            <w:rPr>
              <w:rFonts w:asciiTheme="minorHAnsi" w:eastAsiaTheme="minorEastAsia" w:hAnsiTheme="minorHAnsi" w:cstheme="minorBidi"/>
              <w:noProof/>
              <w:sz w:val="22"/>
              <w:szCs w:val="22"/>
              <w:lang w:eastAsia="en-AU"/>
            </w:rPr>
          </w:pPr>
          <w:hyperlink w:anchor="_Toc4142095" w:history="1">
            <w:r w:rsidR="00463F5A" w:rsidRPr="005217E0">
              <w:rPr>
                <w:rStyle w:val="Hyperlink"/>
                <w:noProof/>
                <w:lang w:eastAsia="en-AU"/>
              </w:rPr>
              <w:t>3.17.8 Protected Disclosure Act 2012</w:t>
            </w:r>
            <w:r w:rsidR="00463F5A">
              <w:rPr>
                <w:noProof/>
                <w:webHidden/>
              </w:rPr>
              <w:tab/>
            </w:r>
            <w:r w:rsidR="00463F5A">
              <w:rPr>
                <w:noProof/>
                <w:webHidden/>
              </w:rPr>
              <w:fldChar w:fldCharType="begin"/>
            </w:r>
            <w:r w:rsidR="00463F5A">
              <w:rPr>
                <w:noProof/>
                <w:webHidden/>
              </w:rPr>
              <w:instrText xml:space="preserve"> PAGEREF _Toc4142095 \h </w:instrText>
            </w:r>
            <w:r w:rsidR="00463F5A">
              <w:rPr>
                <w:noProof/>
                <w:webHidden/>
              </w:rPr>
            </w:r>
            <w:r w:rsidR="00463F5A">
              <w:rPr>
                <w:noProof/>
                <w:webHidden/>
              </w:rPr>
              <w:fldChar w:fldCharType="separate"/>
            </w:r>
            <w:r w:rsidR="00463F5A">
              <w:rPr>
                <w:noProof/>
                <w:webHidden/>
              </w:rPr>
              <w:t>64</w:t>
            </w:r>
            <w:r w:rsidR="00463F5A">
              <w:rPr>
                <w:noProof/>
                <w:webHidden/>
              </w:rPr>
              <w:fldChar w:fldCharType="end"/>
            </w:r>
          </w:hyperlink>
        </w:p>
        <w:p w14:paraId="51D1DA85" w14:textId="7192FDA7" w:rsidR="00463F5A" w:rsidRDefault="0016341D">
          <w:pPr>
            <w:pStyle w:val="TOC2"/>
            <w:rPr>
              <w:rFonts w:asciiTheme="minorHAnsi" w:eastAsiaTheme="minorEastAsia" w:hAnsiTheme="minorHAnsi" w:cstheme="minorBidi"/>
              <w:sz w:val="22"/>
              <w:szCs w:val="22"/>
              <w:lang w:eastAsia="en-AU"/>
            </w:rPr>
          </w:pPr>
          <w:hyperlink w:anchor="_Toc4142096" w:history="1">
            <w:r w:rsidR="00463F5A" w:rsidRPr="005217E0">
              <w:rPr>
                <w:rStyle w:val="Hyperlink"/>
                <w:rFonts w:cs="Arial"/>
                <w:lang w:eastAsia="en-AU"/>
              </w:rPr>
              <w:t>3.18 Confidential information</w:t>
            </w:r>
            <w:r w:rsidR="00463F5A">
              <w:rPr>
                <w:webHidden/>
              </w:rPr>
              <w:tab/>
            </w:r>
            <w:r w:rsidR="00463F5A">
              <w:rPr>
                <w:webHidden/>
              </w:rPr>
              <w:fldChar w:fldCharType="begin"/>
            </w:r>
            <w:r w:rsidR="00463F5A">
              <w:rPr>
                <w:webHidden/>
              </w:rPr>
              <w:instrText xml:space="preserve"> PAGEREF _Toc4142096 \h </w:instrText>
            </w:r>
            <w:r w:rsidR="00463F5A">
              <w:rPr>
                <w:webHidden/>
              </w:rPr>
            </w:r>
            <w:r w:rsidR="00463F5A">
              <w:rPr>
                <w:webHidden/>
              </w:rPr>
              <w:fldChar w:fldCharType="separate"/>
            </w:r>
            <w:r w:rsidR="00463F5A">
              <w:rPr>
                <w:webHidden/>
              </w:rPr>
              <w:t>65</w:t>
            </w:r>
            <w:r w:rsidR="00463F5A">
              <w:rPr>
                <w:webHidden/>
              </w:rPr>
              <w:fldChar w:fldCharType="end"/>
            </w:r>
          </w:hyperlink>
        </w:p>
        <w:p w14:paraId="7AB914AD" w14:textId="09083198" w:rsidR="00463F5A" w:rsidRDefault="0016341D">
          <w:pPr>
            <w:pStyle w:val="TOC3"/>
            <w:rPr>
              <w:rFonts w:asciiTheme="minorHAnsi" w:eastAsiaTheme="minorEastAsia" w:hAnsiTheme="minorHAnsi" w:cstheme="minorBidi"/>
              <w:noProof/>
              <w:sz w:val="22"/>
              <w:szCs w:val="22"/>
              <w:lang w:eastAsia="en-AU"/>
            </w:rPr>
          </w:pPr>
          <w:hyperlink w:anchor="_Toc4142097" w:history="1">
            <w:r w:rsidR="00463F5A" w:rsidRPr="005217E0">
              <w:rPr>
                <w:rStyle w:val="Hyperlink"/>
                <w:noProof/>
                <w:lang w:eastAsia="en-AU"/>
              </w:rPr>
              <w:t>Publication of Service agreement details</w:t>
            </w:r>
            <w:r w:rsidR="00463F5A">
              <w:rPr>
                <w:noProof/>
                <w:webHidden/>
              </w:rPr>
              <w:tab/>
            </w:r>
            <w:r w:rsidR="00463F5A">
              <w:rPr>
                <w:noProof/>
                <w:webHidden/>
              </w:rPr>
              <w:fldChar w:fldCharType="begin"/>
            </w:r>
            <w:r w:rsidR="00463F5A">
              <w:rPr>
                <w:noProof/>
                <w:webHidden/>
              </w:rPr>
              <w:instrText xml:space="preserve"> PAGEREF _Toc4142097 \h </w:instrText>
            </w:r>
            <w:r w:rsidR="00463F5A">
              <w:rPr>
                <w:noProof/>
                <w:webHidden/>
              </w:rPr>
            </w:r>
            <w:r w:rsidR="00463F5A">
              <w:rPr>
                <w:noProof/>
                <w:webHidden/>
              </w:rPr>
              <w:fldChar w:fldCharType="separate"/>
            </w:r>
            <w:r w:rsidR="00463F5A">
              <w:rPr>
                <w:noProof/>
                <w:webHidden/>
              </w:rPr>
              <w:t>65</w:t>
            </w:r>
            <w:r w:rsidR="00463F5A">
              <w:rPr>
                <w:noProof/>
                <w:webHidden/>
              </w:rPr>
              <w:fldChar w:fldCharType="end"/>
            </w:r>
          </w:hyperlink>
        </w:p>
        <w:p w14:paraId="295B346C" w14:textId="223F7554" w:rsidR="00463F5A" w:rsidRDefault="0016341D">
          <w:pPr>
            <w:pStyle w:val="TOC2"/>
            <w:rPr>
              <w:rFonts w:asciiTheme="minorHAnsi" w:eastAsiaTheme="minorEastAsia" w:hAnsiTheme="minorHAnsi" w:cstheme="minorBidi"/>
              <w:sz w:val="22"/>
              <w:szCs w:val="22"/>
              <w:lang w:eastAsia="en-AU"/>
            </w:rPr>
          </w:pPr>
          <w:hyperlink w:anchor="_Toc4142098" w:history="1">
            <w:r w:rsidR="00463F5A" w:rsidRPr="005217E0">
              <w:rPr>
                <w:rStyle w:val="Hyperlink"/>
                <w:rFonts w:cs="Arial"/>
                <w:lang w:eastAsia="en-AU"/>
              </w:rPr>
              <w:t>3.19 Indemnity</w:t>
            </w:r>
            <w:r w:rsidR="00463F5A">
              <w:rPr>
                <w:webHidden/>
              </w:rPr>
              <w:tab/>
            </w:r>
            <w:r w:rsidR="00463F5A">
              <w:rPr>
                <w:webHidden/>
              </w:rPr>
              <w:fldChar w:fldCharType="begin"/>
            </w:r>
            <w:r w:rsidR="00463F5A">
              <w:rPr>
                <w:webHidden/>
              </w:rPr>
              <w:instrText xml:space="preserve"> PAGEREF _Toc4142098 \h </w:instrText>
            </w:r>
            <w:r w:rsidR="00463F5A">
              <w:rPr>
                <w:webHidden/>
              </w:rPr>
            </w:r>
            <w:r w:rsidR="00463F5A">
              <w:rPr>
                <w:webHidden/>
              </w:rPr>
              <w:fldChar w:fldCharType="separate"/>
            </w:r>
            <w:r w:rsidR="00463F5A">
              <w:rPr>
                <w:webHidden/>
              </w:rPr>
              <w:t>66</w:t>
            </w:r>
            <w:r w:rsidR="00463F5A">
              <w:rPr>
                <w:webHidden/>
              </w:rPr>
              <w:fldChar w:fldCharType="end"/>
            </w:r>
          </w:hyperlink>
        </w:p>
        <w:p w14:paraId="2AF6EB94" w14:textId="59BCAC3A" w:rsidR="00463F5A" w:rsidRDefault="0016341D">
          <w:pPr>
            <w:pStyle w:val="TOC2"/>
            <w:rPr>
              <w:rFonts w:asciiTheme="minorHAnsi" w:eastAsiaTheme="minorEastAsia" w:hAnsiTheme="minorHAnsi" w:cstheme="minorBidi"/>
              <w:sz w:val="22"/>
              <w:szCs w:val="22"/>
              <w:lang w:eastAsia="en-AU"/>
            </w:rPr>
          </w:pPr>
          <w:hyperlink w:anchor="_Toc4142099" w:history="1">
            <w:r w:rsidR="00463F5A" w:rsidRPr="005217E0">
              <w:rPr>
                <w:rStyle w:val="Hyperlink"/>
                <w:rFonts w:cs="Arial"/>
                <w:lang w:eastAsia="en-AU"/>
              </w:rPr>
              <w:t>3.20 Insurance and risk management</w:t>
            </w:r>
            <w:r w:rsidR="00463F5A">
              <w:rPr>
                <w:webHidden/>
              </w:rPr>
              <w:tab/>
            </w:r>
            <w:r w:rsidR="00463F5A">
              <w:rPr>
                <w:webHidden/>
              </w:rPr>
              <w:fldChar w:fldCharType="begin"/>
            </w:r>
            <w:r w:rsidR="00463F5A">
              <w:rPr>
                <w:webHidden/>
              </w:rPr>
              <w:instrText xml:space="preserve"> PAGEREF _Toc4142099 \h </w:instrText>
            </w:r>
            <w:r w:rsidR="00463F5A">
              <w:rPr>
                <w:webHidden/>
              </w:rPr>
            </w:r>
            <w:r w:rsidR="00463F5A">
              <w:rPr>
                <w:webHidden/>
              </w:rPr>
              <w:fldChar w:fldCharType="separate"/>
            </w:r>
            <w:r w:rsidR="00463F5A">
              <w:rPr>
                <w:webHidden/>
              </w:rPr>
              <w:t>67</w:t>
            </w:r>
            <w:r w:rsidR="00463F5A">
              <w:rPr>
                <w:webHidden/>
              </w:rPr>
              <w:fldChar w:fldCharType="end"/>
            </w:r>
          </w:hyperlink>
        </w:p>
        <w:p w14:paraId="5DB84629" w14:textId="220A894B" w:rsidR="00463F5A" w:rsidRDefault="0016341D">
          <w:pPr>
            <w:pStyle w:val="TOC3"/>
            <w:rPr>
              <w:rFonts w:asciiTheme="minorHAnsi" w:eastAsiaTheme="minorEastAsia" w:hAnsiTheme="minorHAnsi" w:cstheme="minorBidi"/>
              <w:noProof/>
              <w:sz w:val="22"/>
              <w:szCs w:val="22"/>
              <w:lang w:eastAsia="en-AU"/>
            </w:rPr>
          </w:pPr>
          <w:hyperlink w:anchor="_Toc4142100" w:history="1">
            <w:r w:rsidR="00463F5A" w:rsidRPr="005217E0">
              <w:rPr>
                <w:rStyle w:val="Hyperlink"/>
                <w:noProof/>
                <w:lang w:eastAsia="en-AU"/>
              </w:rPr>
              <w:t>3.20.1 Insurance</w:t>
            </w:r>
            <w:r w:rsidR="00463F5A">
              <w:rPr>
                <w:noProof/>
                <w:webHidden/>
              </w:rPr>
              <w:tab/>
            </w:r>
            <w:r w:rsidR="00463F5A">
              <w:rPr>
                <w:noProof/>
                <w:webHidden/>
              </w:rPr>
              <w:fldChar w:fldCharType="begin"/>
            </w:r>
            <w:r w:rsidR="00463F5A">
              <w:rPr>
                <w:noProof/>
                <w:webHidden/>
              </w:rPr>
              <w:instrText xml:space="preserve"> PAGEREF _Toc4142100 \h </w:instrText>
            </w:r>
            <w:r w:rsidR="00463F5A">
              <w:rPr>
                <w:noProof/>
                <w:webHidden/>
              </w:rPr>
            </w:r>
            <w:r w:rsidR="00463F5A">
              <w:rPr>
                <w:noProof/>
                <w:webHidden/>
              </w:rPr>
              <w:fldChar w:fldCharType="separate"/>
            </w:r>
            <w:r w:rsidR="00463F5A">
              <w:rPr>
                <w:noProof/>
                <w:webHidden/>
              </w:rPr>
              <w:t>67</w:t>
            </w:r>
            <w:r w:rsidR="00463F5A">
              <w:rPr>
                <w:noProof/>
                <w:webHidden/>
              </w:rPr>
              <w:fldChar w:fldCharType="end"/>
            </w:r>
          </w:hyperlink>
        </w:p>
        <w:p w14:paraId="016871FC" w14:textId="6362D8EB" w:rsidR="00463F5A" w:rsidRDefault="0016341D">
          <w:pPr>
            <w:pStyle w:val="TOC3"/>
            <w:rPr>
              <w:rFonts w:asciiTheme="minorHAnsi" w:eastAsiaTheme="minorEastAsia" w:hAnsiTheme="minorHAnsi" w:cstheme="minorBidi"/>
              <w:noProof/>
              <w:sz w:val="22"/>
              <w:szCs w:val="22"/>
              <w:lang w:eastAsia="en-AU"/>
            </w:rPr>
          </w:pPr>
          <w:hyperlink w:anchor="_Toc4142101" w:history="1">
            <w:r w:rsidR="00463F5A" w:rsidRPr="005217E0">
              <w:rPr>
                <w:rStyle w:val="Hyperlink"/>
                <w:noProof/>
                <w:lang w:eastAsia="en-AU"/>
              </w:rPr>
              <w:t>3.20.2 Risk management</w:t>
            </w:r>
            <w:r w:rsidR="00463F5A">
              <w:rPr>
                <w:noProof/>
                <w:webHidden/>
              </w:rPr>
              <w:tab/>
            </w:r>
            <w:r w:rsidR="00463F5A">
              <w:rPr>
                <w:noProof/>
                <w:webHidden/>
              </w:rPr>
              <w:fldChar w:fldCharType="begin"/>
            </w:r>
            <w:r w:rsidR="00463F5A">
              <w:rPr>
                <w:noProof/>
                <w:webHidden/>
              </w:rPr>
              <w:instrText xml:space="preserve"> PAGEREF _Toc4142101 \h </w:instrText>
            </w:r>
            <w:r w:rsidR="00463F5A">
              <w:rPr>
                <w:noProof/>
                <w:webHidden/>
              </w:rPr>
            </w:r>
            <w:r w:rsidR="00463F5A">
              <w:rPr>
                <w:noProof/>
                <w:webHidden/>
              </w:rPr>
              <w:fldChar w:fldCharType="separate"/>
            </w:r>
            <w:r w:rsidR="00463F5A">
              <w:rPr>
                <w:noProof/>
                <w:webHidden/>
              </w:rPr>
              <w:t>69</w:t>
            </w:r>
            <w:r w:rsidR="00463F5A">
              <w:rPr>
                <w:noProof/>
                <w:webHidden/>
              </w:rPr>
              <w:fldChar w:fldCharType="end"/>
            </w:r>
          </w:hyperlink>
        </w:p>
        <w:p w14:paraId="1EE970EB" w14:textId="51134819" w:rsidR="00463F5A" w:rsidRDefault="0016341D">
          <w:pPr>
            <w:pStyle w:val="TOC2"/>
            <w:rPr>
              <w:rFonts w:asciiTheme="minorHAnsi" w:eastAsiaTheme="minorEastAsia" w:hAnsiTheme="minorHAnsi" w:cstheme="minorBidi"/>
              <w:sz w:val="22"/>
              <w:szCs w:val="22"/>
              <w:lang w:eastAsia="en-AU"/>
            </w:rPr>
          </w:pPr>
          <w:hyperlink w:anchor="_Toc4142102" w:history="1">
            <w:r w:rsidR="00463F5A" w:rsidRPr="005217E0">
              <w:rPr>
                <w:rStyle w:val="Hyperlink"/>
                <w:rFonts w:cs="Arial"/>
                <w:lang w:eastAsia="en-AU"/>
              </w:rPr>
              <w:t>3.21 Variation</w:t>
            </w:r>
            <w:r w:rsidR="00463F5A">
              <w:rPr>
                <w:webHidden/>
              </w:rPr>
              <w:tab/>
            </w:r>
            <w:r w:rsidR="00463F5A">
              <w:rPr>
                <w:webHidden/>
              </w:rPr>
              <w:fldChar w:fldCharType="begin"/>
            </w:r>
            <w:r w:rsidR="00463F5A">
              <w:rPr>
                <w:webHidden/>
              </w:rPr>
              <w:instrText xml:space="preserve"> PAGEREF _Toc4142102 \h </w:instrText>
            </w:r>
            <w:r w:rsidR="00463F5A">
              <w:rPr>
                <w:webHidden/>
              </w:rPr>
            </w:r>
            <w:r w:rsidR="00463F5A">
              <w:rPr>
                <w:webHidden/>
              </w:rPr>
              <w:fldChar w:fldCharType="separate"/>
            </w:r>
            <w:r w:rsidR="00463F5A">
              <w:rPr>
                <w:webHidden/>
              </w:rPr>
              <w:t>70</w:t>
            </w:r>
            <w:r w:rsidR="00463F5A">
              <w:rPr>
                <w:webHidden/>
              </w:rPr>
              <w:fldChar w:fldCharType="end"/>
            </w:r>
          </w:hyperlink>
        </w:p>
        <w:p w14:paraId="7C9DACD4" w14:textId="6C008AFB" w:rsidR="00463F5A" w:rsidRDefault="0016341D">
          <w:pPr>
            <w:pStyle w:val="TOC3"/>
            <w:rPr>
              <w:rFonts w:asciiTheme="minorHAnsi" w:eastAsiaTheme="minorEastAsia" w:hAnsiTheme="minorHAnsi" w:cstheme="minorBidi"/>
              <w:noProof/>
              <w:sz w:val="22"/>
              <w:szCs w:val="22"/>
              <w:lang w:eastAsia="en-AU"/>
            </w:rPr>
          </w:pPr>
          <w:hyperlink w:anchor="_Toc4142103" w:history="1">
            <w:r w:rsidR="00463F5A" w:rsidRPr="005217E0">
              <w:rPr>
                <w:rStyle w:val="Hyperlink"/>
                <w:noProof/>
                <w:lang w:eastAsia="en-AU"/>
              </w:rPr>
              <w:t>3.21.1 Variations</w:t>
            </w:r>
            <w:r w:rsidR="00463F5A">
              <w:rPr>
                <w:noProof/>
                <w:webHidden/>
              </w:rPr>
              <w:tab/>
            </w:r>
            <w:r w:rsidR="00463F5A">
              <w:rPr>
                <w:noProof/>
                <w:webHidden/>
              </w:rPr>
              <w:fldChar w:fldCharType="begin"/>
            </w:r>
            <w:r w:rsidR="00463F5A">
              <w:rPr>
                <w:noProof/>
                <w:webHidden/>
              </w:rPr>
              <w:instrText xml:space="preserve"> PAGEREF _Toc4142103 \h </w:instrText>
            </w:r>
            <w:r w:rsidR="00463F5A">
              <w:rPr>
                <w:noProof/>
                <w:webHidden/>
              </w:rPr>
            </w:r>
            <w:r w:rsidR="00463F5A">
              <w:rPr>
                <w:noProof/>
                <w:webHidden/>
              </w:rPr>
              <w:fldChar w:fldCharType="separate"/>
            </w:r>
            <w:r w:rsidR="00463F5A">
              <w:rPr>
                <w:noProof/>
                <w:webHidden/>
              </w:rPr>
              <w:t>70</w:t>
            </w:r>
            <w:r w:rsidR="00463F5A">
              <w:rPr>
                <w:noProof/>
                <w:webHidden/>
              </w:rPr>
              <w:fldChar w:fldCharType="end"/>
            </w:r>
          </w:hyperlink>
        </w:p>
        <w:p w14:paraId="47FC34F8" w14:textId="7FDEE2FA" w:rsidR="00463F5A" w:rsidRDefault="0016341D">
          <w:pPr>
            <w:pStyle w:val="TOC3"/>
            <w:rPr>
              <w:rFonts w:asciiTheme="minorHAnsi" w:eastAsiaTheme="minorEastAsia" w:hAnsiTheme="minorHAnsi" w:cstheme="minorBidi"/>
              <w:noProof/>
              <w:sz w:val="22"/>
              <w:szCs w:val="22"/>
              <w:lang w:eastAsia="en-AU"/>
            </w:rPr>
          </w:pPr>
          <w:hyperlink w:anchor="_Toc4142104" w:history="1">
            <w:r w:rsidR="00463F5A" w:rsidRPr="005217E0">
              <w:rPr>
                <w:rStyle w:val="Hyperlink"/>
                <w:noProof/>
                <w:lang w:eastAsia="en-AU"/>
              </w:rPr>
              <w:t>3.21.2 Adjustments</w:t>
            </w:r>
            <w:r w:rsidR="00463F5A">
              <w:rPr>
                <w:noProof/>
                <w:webHidden/>
              </w:rPr>
              <w:tab/>
            </w:r>
            <w:r w:rsidR="00463F5A">
              <w:rPr>
                <w:noProof/>
                <w:webHidden/>
              </w:rPr>
              <w:fldChar w:fldCharType="begin"/>
            </w:r>
            <w:r w:rsidR="00463F5A">
              <w:rPr>
                <w:noProof/>
                <w:webHidden/>
              </w:rPr>
              <w:instrText xml:space="preserve"> PAGEREF _Toc4142104 \h </w:instrText>
            </w:r>
            <w:r w:rsidR="00463F5A">
              <w:rPr>
                <w:noProof/>
                <w:webHidden/>
              </w:rPr>
            </w:r>
            <w:r w:rsidR="00463F5A">
              <w:rPr>
                <w:noProof/>
                <w:webHidden/>
              </w:rPr>
              <w:fldChar w:fldCharType="separate"/>
            </w:r>
            <w:r w:rsidR="00463F5A">
              <w:rPr>
                <w:noProof/>
                <w:webHidden/>
              </w:rPr>
              <w:t>71</w:t>
            </w:r>
            <w:r w:rsidR="00463F5A">
              <w:rPr>
                <w:noProof/>
                <w:webHidden/>
              </w:rPr>
              <w:fldChar w:fldCharType="end"/>
            </w:r>
          </w:hyperlink>
        </w:p>
        <w:p w14:paraId="3188D833" w14:textId="5B3FDA49" w:rsidR="00463F5A" w:rsidRDefault="0016341D">
          <w:pPr>
            <w:pStyle w:val="TOC2"/>
            <w:rPr>
              <w:rFonts w:asciiTheme="minorHAnsi" w:eastAsiaTheme="minorEastAsia" w:hAnsiTheme="minorHAnsi" w:cstheme="minorBidi"/>
              <w:sz w:val="22"/>
              <w:szCs w:val="22"/>
              <w:lang w:eastAsia="en-AU"/>
            </w:rPr>
          </w:pPr>
          <w:hyperlink w:anchor="_Toc4142105" w:history="1">
            <w:r w:rsidR="00463F5A" w:rsidRPr="005217E0">
              <w:rPr>
                <w:rStyle w:val="Hyperlink"/>
                <w:rFonts w:cs="Arial"/>
                <w:lang w:eastAsia="en-AU"/>
              </w:rPr>
              <w:t>3.22 The department's consent</w:t>
            </w:r>
            <w:r w:rsidR="00463F5A">
              <w:rPr>
                <w:webHidden/>
              </w:rPr>
              <w:tab/>
            </w:r>
            <w:r w:rsidR="00463F5A">
              <w:rPr>
                <w:webHidden/>
              </w:rPr>
              <w:fldChar w:fldCharType="begin"/>
            </w:r>
            <w:r w:rsidR="00463F5A">
              <w:rPr>
                <w:webHidden/>
              </w:rPr>
              <w:instrText xml:space="preserve"> PAGEREF _Toc4142105 \h </w:instrText>
            </w:r>
            <w:r w:rsidR="00463F5A">
              <w:rPr>
                <w:webHidden/>
              </w:rPr>
            </w:r>
            <w:r w:rsidR="00463F5A">
              <w:rPr>
                <w:webHidden/>
              </w:rPr>
              <w:fldChar w:fldCharType="separate"/>
            </w:r>
            <w:r w:rsidR="00463F5A">
              <w:rPr>
                <w:webHidden/>
              </w:rPr>
              <w:t>71</w:t>
            </w:r>
            <w:r w:rsidR="00463F5A">
              <w:rPr>
                <w:webHidden/>
              </w:rPr>
              <w:fldChar w:fldCharType="end"/>
            </w:r>
          </w:hyperlink>
        </w:p>
        <w:p w14:paraId="69DAE8A7" w14:textId="6F47EE34" w:rsidR="00463F5A" w:rsidRDefault="0016341D">
          <w:pPr>
            <w:pStyle w:val="TOC2"/>
            <w:rPr>
              <w:rFonts w:asciiTheme="minorHAnsi" w:eastAsiaTheme="minorEastAsia" w:hAnsiTheme="minorHAnsi" w:cstheme="minorBidi"/>
              <w:sz w:val="22"/>
              <w:szCs w:val="22"/>
              <w:lang w:eastAsia="en-AU"/>
            </w:rPr>
          </w:pPr>
          <w:hyperlink w:anchor="_Toc4142106" w:history="1">
            <w:r w:rsidR="00463F5A" w:rsidRPr="005217E0">
              <w:rPr>
                <w:rStyle w:val="Hyperlink"/>
                <w:rFonts w:cs="Arial"/>
                <w:lang w:eastAsia="en-AU"/>
              </w:rPr>
              <w:t>3.23 Status of organisations</w:t>
            </w:r>
            <w:r w:rsidR="00463F5A">
              <w:rPr>
                <w:webHidden/>
              </w:rPr>
              <w:tab/>
            </w:r>
            <w:r w:rsidR="00463F5A">
              <w:rPr>
                <w:webHidden/>
              </w:rPr>
              <w:fldChar w:fldCharType="begin"/>
            </w:r>
            <w:r w:rsidR="00463F5A">
              <w:rPr>
                <w:webHidden/>
              </w:rPr>
              <w:instrText xml:space="preserve"> PAGEREF _Toc4142106 \h </w:instrText>
            </w:r>
            <w:r w:rsidR="00463F5A">
              <w:rPr>
                <w:webHidden/>
              </w:rPr>
            </w:r>
            <w:r w:rsidR="00463F5A">
              <w:rPr>
                <w:webHidden/>
              </w:rPr>
              <w:fldChar w:fldCharType="separate"/>
            </w:r>
            <w:r w:rsidR="00463F5A">
              <w:rPr>
                <w:webHidden/>
              </w:rPr>
              <w:t>71</w:t>
            </w:r>
            <w:r w:rsidR="00463F5A">
              <w:rPr>
                <w:webHidden/>
              </w:rPr>
              <w:fldChar w:fldCharType="end"/>
            </w:r>
          </w:hyperlink>
        </w:p>
        <w:p w14:paraId="0E1C3D7E" w14:textId="266801CE" w:rsidR="00463F5A" w:rsidRDefault="0016341D">
          <w:pPr>
            <w:pStyle w:val="TOC3"/>
            <w:rPr>
              <w:rFonts w:asciiTheme="minorHAnsi" w:eastAsiaTheme="minorEastAsia" w:hAnsiTheme="minorHAnsi" w:cstheme="minorBidi"/>
              <w:noProof/>
              <w:sz w:val="22"/>
              <w:szCs w:val="22"/>
              <w:lang w:eastAsia="en-AU"/>
            </w:rPr>
          </w:pPr>
          <w:hyperlink w:anchor="_Toc4142107" w:history="1">
            <w:r w:rsidR="00463F5A" w:rsidRPr="005217E0">
              <w:rPr>
                <w:rStyle w:val="Hyperlink"/>
                <w:noProof/>
                <w:lang w:eastAsia="en-AU"/>
              </w:rPr>
              <w:t>Legal relationship</w:t>
            </w:r>
            <w:r w:rsidR="00463F5A">
              <w:rPr>
                <w:noProof/>
                <w:webHidden/>
              </w:rPr>
              <w:tab/>
            </w:r>
            <w:r w:rsidR="00463F5A">
              <w:rPr>
                <w:noProof/>
                <w:webHidden/>
              </w:rPr>
              <w:fldChar w:fldCharType="begin"/>
            </w:r>
            <w:r w:rsidR="00463F5A">
              <w:rPr>
                <w:noProof/>
                <w:webHidden/>
              </w:rPr>
              <w:instrText xml:space="preserve"> PAGEREF _Toc4142107 \h </w:instrText>
            </w:r>
            <w:r w:rsidR="00463F5A">
              <w:rPr>
                <w:noProof/>
                <w:webHidden/>
              </w:rPr>
            </w:r>
            <w:r w:rsidR="00463F5A">
              <w:rPr>
                <w:noProof/>
                <w:webHidden/>
              </w:rPr>
              <w:fldChar w:fldCharType="separate"/>
            </w:r>
            <w:r w:rsidR="00463F5A">
              <w:rPr>
                <w:noProof/>
                <w:webHidden/>
              </w:rPr>
              <w:t>71</w:t>
            </w:r>
            <w:r w:rsidR="00463F5A">
              <w:rPr>
                <w:noProof/>
                <w:webHidden/>
              </w:rPr>
              <w:fldChar w:fldCharType="end"/>
            </w:r>
          </w:hyperlink>
        </w:p>
        <w:p w14:paraId="6C6FB0AF" w14:textId="7AE3C8F4" w:rsidR="00463F5A" w:rsidRDefault="0016341D">
          <w:pPr>
            <w:pStyle w:val="TOC3"/>
            <w:rPr>
              <w:rFonts w:asciiTheme="minorHAnsi" w:eastAsiaTheme="minorEastAsia" w:hAnsiTheme="minorHAnsi" w:cstheme="minorBidi"/>
              <w:noProof/>
              <w:sz w:val="22"/>
              <w:szCs w:val="22"/>
              <w:lang w:eastAsia="en-AU"/>
            </w:rPr>
          </w:pPr>
          <w:hyperlink w:anchor="_Toc4142108" w:history="1">
            <w:r w:rsidR="00463F5A" w:rsidRPr="005217E0">
              <w:rPr>
                <w:rStyle w:val="Hyperlink"/>
                <w:noProof/>
                <w:lang w:eastAsia="en-AU"/>
              </w:rPr>
              <w:t>Legal status of the organisation</w:t>
            </w:r>
            <w:r w:rsidR="00463F5A">
              <w:rPr>
                <w:noProof/>
                <w:webHidden/>
              </w:rPr>
              <w:tab/>
            </w:r>
            <w:r w:rsidR="00463F5A">
              <w:rPr>
                <w:noProof/>
                <w:webHidden/>
              </w:rPr>
              <w:fldChar w:fldCharType="begin"/>
            </w:r>
            <w:r w:rsidR="00463F5A">
              <w:rPr>
                <w:noProof/>
                <w:webHidden/>
              </w:rPr>
              <w:instrText xml:space="preserve"> PAGEREF _Toc4142108 \h </w:instrText>
            </w:r>
            <w:r w:rsidR="00463F5A">
              <w:rPr>
                <w:noProof/>
                <w:webHidden/>
              </w:rPr>
            </w:r>
            <w:r w:rsidR="00463F5A">
              <w:rPr>
                <w:noProof/>
                <w:webHidden/>
              </w:rPr>
              <w:fldChar w:fldCharType="separate"/>
            </w:r>
            <w:r w:rsidR="00463F5A">
              <w:rPr>
                <w:noProof/>
                <w:webHidden/>
              </w:rPr>
              <w:t>71</w:t>
            </w:r>
            <w:r w:rsidR="00463F5A">
              <w:rPr>
                <w:noProof/>
                <w:webHidden/>
              </w:rPr>
              <w:fldChar w:fldCharType="end"/>
            </w:r>
          </w:hyperlink>
        </w:p>
        <w:p w14:paraId="13DA2655" w14:textId="6BB008FA" w:rsidR="00463F5A" w:rsidRDefault="0016341D">
          <w:pPr>
            <w:pStyle w:val="TOC3"/>
            <w:rPr>
              <w:rFonts w:asciiTheme="minorHAnsi" w:eastAsiaTheme="minorEastAsia" w:hAnsiTheme="minorHAnsi" w:cstheme="minorBidi"/>
              <w:noProof/>
              <w:sz w:val="22"/>
              <w:szCs w:val="22"/>
              <w:lang w:eastAsia="en-AU"/>
            </w:rPr>
          </w:pPr>
          <w:hyperlink w:anchor="_Toc4142109" w:history="1">
            <w:r w:rsidR="00463F5A" w:rsidRPr="005217E0">
              <w:rPr>
                <w:rStyle w:val="Hyperlink"/>
                <w:noProof/>
                <w:lang w:eastAsia="en-AU"/>
              </w:rPr>
              <w:t>Partnership, joint venture or consortium</w:t>
            </w:r>
            <w:r w:rsidR="00463F5A">
              <w:rPr>
                <w:noProof/>
                <w:webHidden/>
              </w:rPr>
              <w:tab/>
            </w:r>
            <w:r w:rsidR="00463F5A">
              <w:rPr>
                <w:noProof/>
                <w:webHidden/>
              </w:rPr>
              <w:fldChar w:fldCharType="begin"/>
            </w:r>
            <w:r w:rsidR="00463F5A">
              <w:rPr>
                <w:noProof/>
                <w:webHidden/>
              </w:rPr>
              <w:instrText xml:space="preserve"> PAGEREF _Toc4142109 \h </w:instrText>
            </w:r>
            <w:r w:rsidR="00463F5A">
              <w:rPr>
                <w:noProof/>
                <w:webHidden/>
              </w:rPr>
            </w:r>
            <w:r w:rsidR="00463F5A">
              <w:rPr>
                <w:noProof/>
                <w:webHidden/>
              </w:rPr>
              <w:fldChar w:fldCharType="separate"/>
            </w:r>
            <w:r w:rsidR="00463F5A">
              <w:rPr>
                <w:noProof/>
                <w:webHidden/>
              </w:rPr>
              <w:t>72</w:t>
            </w:r>
            <w:r w:rsidR="00463F5A">
              <w:rPr>
                <w:noProof/>
                <w:webHidden/>
              </w:rPr>
              <w:fldChar w:fldCharType="end"/>
            </w:r>
          </w:hyperlink>
        </w:p>
        <w:p w14:paraId="32FD4EFD" w14:textId="71DEB4CA" w:rsidR="00463F5A" w:rsidRDefault="0016341D">
          <w:pPr>
            <w:pStyle w:val="TOC3"/>
            <w:rPr>
              <w:rFonts w:asciiTheme="minorHAnsi" w:eastAsiaTheme="minorEastAsia" w:hAnsiTheme="minorHAnsi" w:cstheme="minorBidi"/>
              <w:noProof/>
              <w:sz w:val="22"/>
              <w:szCs w:val="22"/>
              <w:lang w:eastAsia="en-AU"/>
            </w:rPr>
          </w:pPr>
          <w:hyperlink w:anchor="_Toc4142110" w:history="1">
            <w:r w:rsidR="00463F5A" w:rsidRPr="005217E0">
              <w:rPr>
                <w:rStyle w:val="Hyperlink"/>
                <w:noProof/>
                <w:lang w:eastAsia="en-AU"/>
              </w:rPr>
              <w:t>Change in control, mergers or acquisitions</w:t>
            </w:r>
            <w:r w:rsidR="00463F5A">
              <w:rPr>
                <w:noProof/>
                <w:webHidden/>
              </w:rPr>
              <w:tab/>
            </w:r>
            <w:r w:rsidR="00463F5A">
              <w:rPr>
                <w:noProof/>
                <w:webHidden/>
              </w:rPr>
              <w:fldChar w:fldCharType="begin"/>
            </w:r>
            <w:r w:rsidR="00463F5A">
              <w:rPr>
                <w:noProof/>
                <w:webHidden/>
              </w:rPr>
              <w:instrText xml:space="preserve"> PAGEREF _Toc4142110 \h </w:instrText>
            </w:r>
            <w:r w:rsidR="00463F5A">
              <w:rPr>
                <w:noProof/>
                <w:webHidden/>
              </w:rPr>
            </w:r>
            <w:r w:rsidR="00463F5A">
              <w:rPr>
                <w:noProof/>
                <w:webHidden/>
              </w:rPr>
              <w:fldChar w:fldCharType="separate"/>
            </w:r>
            <w:r w:rsidR="00463F5A">
              <w:rPr>
                <w:noProof/>
                <w:webHidden/>
              </w:rPr>
              <w:t>72</w:t>
            </w:r>
            <w:r w:rsidR="00463F5A">
              <w:rPr>
                <w:noProof/>
                <w:webHidden/>
              </w:rPr>
              <w:fldChar w:fldCharType="end"/>
            </w:r>
          </w:hyperlink>
        </w:p>
        <w:p w14:paraId="3ACC1E05" w14:textId="5218C618" w:rsidR="00463F5A" w:rsidRDefault="0016341D">
          <w:pPr>
            <w:pStyle w:val="TOC2"/>
            <w:rPr>
              <w:rFonts w:asciiTheme="minorHAnsi" w:eastAsiaTheme="minorEastAsia" w:hAnsiTheme="minorHAnsi" w:cstheme="minorBidi"/>
              <w:sz w:val="22"/>
              <w:szCs w:val="22"/>
              <w:lang w:eastAsia="en-AU"/>
            </w:rPr>
          </w:pPr>
          <w:hyperlink w:anchor="_Toc4142111" w:history="1">
            <w:r w:rsidR="00463F5A" w:rsidRPr="005217E0">
              <w:rPr>
                <w:rStyle w:val="Hyperlink"/>
                <w:rFonts w:cs="Arial"/>
                <w:lang w:eastAsia="en-AU"/>
              </w:rPr>
              <w:t>3.24 Notices</w:t>
            </w:r>
            <w:r w:rsidR="00463F5A">
              <w:rPr>
                <w:webHidden/>
              </w:rPr>
              <w:tab/>
            </w:r>
            <w:r w:rsidR="00463F5A">
              <w:rPr>
                <w:webHidden/>
              </w:rPr>
              <w:fldChar w:fldCharType="begin"/>
            </w:r>
            <w:r w:rsidR="00463F5A">
              <w:rPr>
                <w:webHidden/>
              </w:rPr>
              <w:instrText xml:space="preserve"> PAGEREF _Toc4142111 \h </w:instrText>
            </w:r>
            <w:r w:rsidR="00463F5A">
              <w:rPr>
                <w:webHidden/>
              </w:rPr>
            </w:r>
            <w:r w:rsidR="00463F5A">
              <w:rPr>
                <w:webHidden/>
              </w:rPr>
              <w:fldChar w:fldCharType="separate"/>
            </w:r>
            <w:r w:rsidR="00463F5A">
              <w:rPr>
                <w:webHidden/>
              </w:rPr>
              <w:t>72</w:t>
            </w:r>
            <w:r w:rsidR="00463F5A">
              <w:rPr>
                <w:webHidden/>
              </w:rPr>
              <w:fldChar w:fldCharType="end"/>
            </w:r>
          </w:hyperlink>
        </w:p>
        <w:p w14:paraId="43A8850D" w14:textId="54E9C99A" w:rsidR="00463F5A" w:rsidRDefault="0016341D">
          <w:pPr>
            <w:pStyle w:val="TOC2"/>
            <w:rPr>
              <w:rFonts w:asciiTheme="minorHAnsi" w:eastAsiaTheme="minorEastAsia" w:hAnsiTheme="minorHAnsi" w:cstheme="minorBidi"/>
              <w:sz w:val="22"/>
              <w:szCs w:val="22"/>
              <w:lang w:eastAsia="en-AU"/>
            </w:rPr>
          </w:pPr>
          <w:hyperlink w:anchor="_Toc4142112" w:history="1">
            <w:r w:rsidR="00463F5A" w:rsidRPr="005217E0">
              <w:rPr>
                <w:rStyle w:val="Hyperlink"/>
                <w:rFonts w:cs="Arial"/>
                <w:lang w:eastAsia="en-AU"/>
              </w:rPr>
              <w:t>3.25 Waiver</w:t>
            </w:r>
            <w:r w:rsidR="00463F5A">
              <w:rPr>
                <w:webHidden/>
              </w:rPr>
              <w:tab/>
            </w:r>
            <w:r w:rsidR="00463F5A">
              <w:rPr>
                <w:webHidden/>
              </w:rPr>
              <w:fldChar w:fldCharType="begin"/>
            </w:r>
            <w:r w:rsidR="00463F5A">
              <w:rPr>
                <w:webHidden/>
              </w:rPr>
              <w:instrText xml:space="preserve"> PAGEREF _Toc4142112 \h </w:instrText>
            </w:r>
            <w:r w:rsidR="00463F5A">
              <w:rPr>
                <w:webHidden/>
              </w:rPr>
            </w:r>
            <w:r w:rsidR="00463F5A">
              <w:rPr>
                <w:webHidden/>
              </w:rPr>
              <w:fldChar w:fldCharType="separate"/>
            </w:r>
            <w:r w:rsidR="00463F5A">
              <w:rPr>
                <w:webHidden/>
              </w:rPr>
              <w:t>73</w:t>
            </w:r>
            <w:r w:rsidR="00463F5A">
              <w:rPr>
                <w:webHidden/>
              </w:rPr>
              <w:fldChar w:fldCharType="end"/>
            </w:r>
          </w:hyperlink>
        </w:p>
        <w:p w14:paraId="33051865" w14:textId="1C8F988C" w:rsidR="00463F5A" w:rsidRDefault="0016341D">
          <w:pPr>
            <w:pStyle w:val="TOC2"/>
            <w:rPr>
              <w:rFonts w:asciiTheme="minorHAnsi" w:eastAsiaTheme="minorEastAsia" w:hAnsiTheme="minorHAnsi" w:cstheme="minorBidi"/>
              <w:sz w:val="22"/>
              <w:szCs w:val="22"/>
              <w:lang w:eastAsia="en-AU"/>
            </w:rPr>
          </w:pPr>
          <w:hyperlink w:anchor="_Toc4142113" w:history="1">
            <w:r w:rsidR="00463F5A" w:rsidRPr="005217E0">
              <w:rPr>
                <w:rStyle w:val="Hyperlink"/>
                <w:rFonts w:cs="Arial"/>
                <w:lang w:eastAsia="en-AU"/>
              </w:rPr>
              <w:t>3.26 Survival</w:t>
            </w:r>
            <w:r w:rsidR="00463F5A">
              <w:rPr>
                <w:webHidden/>
              </w:rPr>
              <w:tab/>
            </w:r>
            <w:r w:rsidR="00463F5A">
              <w:rPr>
                <w:webHidden/>
              </w:rPr>
              <w:fldChar w:fldCharType="begin"/>
            </w:r>
            <w:r w:rsidR="00463F5A">
              <w:rPr>
                <w:webHidden/>
              </w:rPr>
              <w:instrText xml:space="preserve"> PAGEREF _Toc4142113 \h </w:instrText>
            </w:r>
            <w:r w:rsidR="00463F5A">
              <w:rPr>
                <w:webHidden/>
              </w:rPr>
            </w:r>
            <w:r w:rsidR="00463F5A">
              <w:rPr>
                <w:webHidden/>
              </w:rPr>
              <w:fldChar w:fldCharType="separate"/>
            </w:r>
            <w:r w:rsidR="00463F5A">
              <w:rPr>
                <w:webHidden/>
              </w:rPr>
              <w:t>73</w:t>
            </w:r>
            <w:r w:rsidR="00463F5A">
              <w:rPr>
                <w:webHidden/>
              </w:rPr>
              <w:fldChar w:fldCharType="end"/>
            </w:r>
          </w:hyperlink>
        </w:p>
        <w:p w14:paraId="658597E8" w14:textId="19EA6B10" w:rsidR="00463F5A" w:rsidRDefault="0016341D">
          <w:pPr>
            <w:pStyle w:val="TOC2"/>
            <w:rPr>
              <w:rFonts w:asciiTheme="minorHAnsi" w:eastAsiaTheme="minorEastAsia" w:hAnsiTheme="minorHAnsi" w:cstheme="minorBidi"/>
              <w:sz w:val="22"/>
              <w:szCs w:val="22"/>
              <w:lang w:eastAsia="en-AU"/>
            </w:rPr>
          </w:pPr>
          <w:hyperlink w:anchor="_Toc4142114" w:history="1">
            <w:r w:rsidR="00463F5A" w:rsidRPr="005217E0">
              <w:rPr>
                <w:rStyle w:val="Hyperlink"/>
                <w:rFonts w:cs="Arial"/>
                <w:lang w:eastAsia="en-AU"/>
              </w:rPr>
              <w:t>3.27 Early childhood facilities grant – Department of Education and Training only</w:t>
            </w:r>
            <w:r w:rsidR="00463F5A">
              <w:rPr>
                <w:webHidden/>
              </w:rPr>
              <w:tab/>
            </w:r>
            <w:r w:rsidR="00463F5A">
              <w:rPr>
                <w:webHidden/>
              </w:rPr>
              <w:fldChar w:fldCharType="begin"/>
            </w:r>
            <w:r w:rsidR="00463F5A">
              <w:rPr>
                <w:webHidden/>
              </w:rPr>
              <w:instrText xml:space="preserve"> PAGEREF _Toc4142114 \h </w:instrText>
            </w:r>
            <w:r w:rsidR="00463F5A">
              <w:rPr>
                <w:webHidden/>
              </w:rPr>
            </w:r>
            <w:r w:rsidR="00463F5A">
              <w:rPr>
                <w:webHidden/>
              </w:rPr>
              <w:fldChar w:fldCharType="separate"/>
            </w:r>
            <w:r w:rsidR="00463F5A">
              <w:rPr>
                <w:webHidden/>
              </w:rPr>
              <w:t>73</w:t>
            </w:r>
            <w:r w:rsidR="00463F5A">
              <w:rPr>
                <w:webHidden/>
              </w:rPr>
              <w:fldChar w:fldCharType="end"/>
            </w:r>
          </w:hyperlink>
        </w:p>
        <w:p w14:paraId="5121887B" w14:textId="1AD0E438" w:rsidR="00463F5A" w:rsidRDefault="0016341D">
          <w:pPr>
            <w:pStyle w:val="TOC3"/>
            <w:rPr>
              <w:rFonts w:asciiTheme="minorHAnsi" w:eastAsiaTheme="minorEastAsia" w:hAnsiTheme="minorHAnsi" w:cstheme="minorBidi"/>
              <w:noProof/>
              <w:sz w:val="22"/>
              <w:szCs w:val="22"/>
              <w:lang w:eastAsia="en-AU"/>
            </w:rPr>
          </w:pPr>
          <w:hyperlink w:anchor="_Toc4142115" w:history="1">
            <w:r w:rsidR="00463F5A" w:rsidRPr="005217E0">
              <w:rPr>
                <w:rStyle w:val="Hyperlink"/>
                <w:noProof/>
                <w:lang w:eastAsia="en-AU"/>
              </w:rPr>
              <w:t>This clause appears in Department of Education and Training agreements only.</w:t>
            </w:r>
            <w:r w:rsidR="00463F5A">
              <w:rPr>
                <w:noProof/>
                <w:webHidden/>
              </w:rPr>
              <w:tab/>
            </w:r>
            <w:r w:rsidR="00463F5A">
              <w:rPr>
                <w:noProof/>
                <w:webHidden/>
              </w:rPr>
              <w:fldChar w:fldCharType="begin"/>
            </w:r>
            <w:r w:rsidR="00463F5A">
              <w:rPr>
                <w:noProof/>
                <w:webHidden/>
              </w:rPr>
              <w:instrText xml:space="preserve"> PAGEREF _Toc4142115 \h </w:instrText>
            </w:r>
            <w:r w:rsidR="00463F5A">
              <w:rPr>
                <w:noProof/>
                <w:webHidden/>
              </w:rPr>
            </w:r>
            <w:r w:rsidR="00463F5A">
              <w:rPr>
                <w:noProof/>
                <w:webHidden/>
              </w:rPr>
              <w:fldChar w:fldCharType="separate"/>
            </w:r>
            <w:r w:rsidR="00463F5A">
              <w:rPr>
                <w:noProof/>
                <w:webHidden/>
              </w:rPr>
              <w:t>73</w:t>
            </w:r>
            <w:r w:rsidR="00463F5A">
              <w:rPr>
                <w:noProof/>
                <w:webHidden/>
              </w:rPr>
              <w:fldChar w:fldCharType="end"/>
            </w:r>
          </w:hyperlink>
        </w:p>
        <w:p w14:paraId="0E7DB16D" w14:textId="23BECE0E" w:rsidR="00463F5A" w:rsidRDefault="0016341D">
          <w:pPr>
            <w:pStyle w:val="TOC3"/>
            <w:rPr>
              <w:rFonts w:asciiTheme="minorHAnsi" w:eastAsiaTheme="minorEastAsia" w:hAnsiTheme="minorHAnsi" w:cstheme="minorBidi"/>
              <w:noProof/>
              <w:sz w:val="22"/>
              <w:szCs w:val="22"/>
              <w:lang w:eastAsia="en-AU"/>
            </w:rPr>
          </w:pPr>
          <w:hyperlink w:anchor="_Toc4142116" w:history="1">
            <w:r w:rsidR="00463F5A" w:rsidRPr="005217E0">
              <w:rPr>
                <w:rStyle w:val="Hyperlink"/>
                <w:noProof/>
                <w:lang w:eastAsia="en-AU"/>
              </w:rPr>
              <w:t>Early Childhood Facilities - Service agreements</w:t>
            </w:r>
            <w:r w:rsidR="00463F5A">
              <w:rPr>
                <w:noProof/>
                <w:webHidden/>
              </w:rPr>
              <w:tab/>
            </w:r>
            <w:r w:rsidR="00463F5A">
              <w:rPr>
                <w:noProof/>
                <w:webHidden/>
              </w:rPr>
              <w:fldChar w:fldCharType="begin"/>
            </w:r>
            <w:r w:rsidR="00463F5A">
              <w:rPr>
                <w:noProof/>
                <w:webHidden/>
              </w:rPr>
              <w:instrText xml:space="preserve"> PAGEREF _Toc4142116 \h </w:instrText>
            </w:r>
            <w:r w:rsidR="00463F5A">
              <w:rPr>
                <w:noProof/>
                <w:webHidden/>
              </w:rPr>
            </w:r>
            <w:r w:rsidR="00463F5A">
              <w:rPr>
                <w:noProof/>
                <w:webHidden/>
              </w:rPr>
              <w:fldChar w:fldCharType="separate"/>
            </w:r>
            <w:r w:rsidR="00463F5A">
              <w:rPr>
                <w:noProof/>
                <w:webHidden/>
              </w:rPr>
              <w:t>74</w:t>
            </w:r>
            <w:r w:rsidR="00463F5A">
              <w:rPr>
                <w:noProof/>
                <w:webHidden/>
              </w:rPr>
              <w:fldChar w:fldCharType="end"/>
            </w:r>
          </w:hyperlink>
        </w:p>
        <w:p w14:paraId="070C54CE" w14:textId="1FA3B670" w:rsidR="00463F5A" w:rsidRDefault="0016341D">
          <w:pPr>
            <w:pStyle w:val="TOC3"/>
            <w:rPr>
              <w:rFonts w:asciiTheme="minorHAnsi" w:eastAsiaTheme="minorEastAsia" w:hAnsiTheme="minorHAnsi" w:cstheme="minorBidi"/>
              <w:noProof/>
              <w:sz w:val="22"/>
              <w:szCs w:val="22"/>
              <w:lang w:eastAsia="en-AU"/>
            </w:rPr>
          </w:pPr>
          <w:hyperlink w:anchor="_Toc4142117" w:history="1">
            <w:r w:rsidR="00463F5A" w:rsidRPr="005217E0">
              <w:rPr>
                <w:rStyle w:val="Hyperlink"/>
                <w:noProof/>
                <w:lang w:eastAsia="en-AU"/>
              </w:rPr>
              <w:t>Early Childhood Facilities Grant Official Opening Requirements</w:t>
            </w:r>
            <w:r w:rsidR="00463F5A">
              <w:rPr>
                <w:noProof/>
                <w:webHidden/>
              </w:rPr>
              <w:tab/>
            </w:r>
            <w:r w:rsidR="00463F5A">
              <w:rPr>
                <w:noProof/>
                <w:webHidden/>
              </w:rPr>
              <w:fldChar w:fldCharType="begin"/>
            </w:r>
            <w:r w:rsidR="00463F5A">
              <w:rPr>
                <w:noProof/>
                <w:webHidden/>
              </w:rPr>
              <w:instrText xml:space="preserve"> PAGEREF _Toc4142117 \h </w:instrText>
            </w:r>
            <w:r w:rsidR="00463F5A">
              <w:rPr>
                <w:noProof/>
                <w:webHidden/>
              </w:rPr>
            </w:r>
            <w:r w:rsidR="00463F5A">
              <w:rPr>
                <w:noProof/>
                <w:webHidden/>
              </w:rPr>
              <w:fldChar w:fldCharType="separate"/>
            </w:r>
            <w:r w:rsidR="00463F5A">
              <w:rPr>
                <w:noProof/>
                <w:webHidden/>
              </w:rPr>
              <w:t>74</w:t>
            </w:r>
            <w:r w:rsidR="00463F5A">
              <w:rPr>
                <w:noProof/>
                <w:webHidden/>
              </w:rPr>
              <w:fldChar w:fldCharType="end"/>
            </w:r>
          </w:hyperlink>
        </w:p>
        <w:p w14:paraId="7F1E0AC5" w14:textId="1FCD0584" w:rsidR="00463F5A" w:rsidRDefault="0016341D">
          <w:pPr>
            <w:pStyle w:val="TOC3"/>
            <w:rPr>
              <w:rFonts w:asciiTheme="minorHAnsi" w:eastAsiaTheme="minorEastAsia" w:hAnsiTheme="minorHAnsi" w:cstheme="minorBidi"/>
              <w:noProof/>
              <w:sz w:val="22"/>
              <w:szCs w:val="22"/>
              <w:lang w:eastAsia="en-AU"/>
            </w:rPr>
          </w:pPr>
          <w:hyperlink w:anchor="_Toc4142118" w:history="1">
            <w:r w:rsidR="00463F5A" w:rsidRPr="005217E0">
              <w:rPr>
                <w:rStyle w:val="Hyperlink"/>
                <w:noProof/>
                <w:lang w:eastAsia="en-AU"/>
              </w:rPr>
              <w:t>Early Childhood Facilities Grant Recipient Signage Requirements</w:t>
            </w:r>
            <w:r w:rsidR="00463F5A">
              <w:rPr>
                <w:noProof/>
                <w:webHidden/>
              </w:rPr>
              <w:tab/>
            </w:r>
            <w:r w:rsidR="00463F5A">
              <w:rPr>
                <w:noProof/>
                <w:webHidden/>
              </w:rPr>
              <w:fldChar w:fldCharType="begin"/>
            </w:r>
            <w:r w:rsidR="00463F5A">
              <w:rPr>
                <w:noProof/>
                <w:webHidden/>
              </w:rPr>
              <w:instrText xml:space="preserve"> PAGEREF _Toc4142118 \h </w:instrText>
            </w:r>
            <w:r w:rsidR="00463F5A">
              <w:rPr>
                <w:noProof/>
                <w:webHidden/>
              </w:rPr>
            </w:r>
            <w:r w:rsidR="00463F5A">
              <w:rPr>
                <w:noProof/>
                <w:webHidden/>
              </w:rPr>
              <w:fldChar w:fldCharType="separate"/>
            </w:r>
            <w:r w:rsidR="00463F5A">
              <w:rPr>
                <w:noProof/>
                <w:webHidden/>
              </w:rPr>
              <w:t>74</w:t>
            </w:r>
            <w:r w:rsidR="00463F5A">
              <w:rPr>
                <w:noProof/>
                <w:webHidden/>
              </w:rPr>
              <w:fldChar w:fldCharType="end"/>
            </w:r>
          </w:hyperlink>
        </w:p>
        <w:p w14:paraId="3E9020A7" w14:textId="4E91B655" w:rsidR="00463F5A" w:rsidRDefault="0016341D">
          <w:pPr>
            <w:pStyle w:val="TOC1"/>
            <w:rPr>
              <w:rFonts w:asciiTheme="minorHAnsi" w:eastAsiaTheme="minorEastAsia" w:hAnsiTheme="minorHAnsi" w:cstheme="minorBidi"/>
              <w:b w:val="0"/>
              <w:sz w:val="22"/>
              <w:szCs w:val="22"/>
              <w:lang w:eastAsia="en-AU"/>
            </w:rPr>
          </w:pPr>
          <w:hyperlink w:anchor="_Toc4142119" w:history="1">
            <w:r w:rsidR="00463F5A" w:rsidRPr="005217E0">
              <w:rPr>
                <w:rStyle w:val="Hyperlink"/>
                <w:lang w:eastAsia="en-AU"/>
              </w:rPr>
              <w:t>Chapter 4. Department of Health and Human Service policies, procedures and initiatives</w:t>
            </w:r>
            <w:r w:rsidR="00463F5A">
              <w:rPr>
                <w:webHidden/>
              </w:rPr>
              <w:tab/>
            </w:r>
            <w:r w:rsidR="00463F5A">
              <w:rPr>
                <w:webHidden/>
              </w:rPr>
              <w:fldChar w:fldCharType="begin"/>
            </w:r>
            <w:r w:rsidR="00463F5A">
              <w:rPr>
                <w:webHidden/>
              </w:rPr>
              <w:instrText xml:space="preserve"> PAGEREF _Toc4142119 \h </w:instrText>
            </w:r>
            <w:r w:rsidR="00463F5A">
              <w:rPr>
                <w:webHidden/>
              </w:rPr>
            </w:r>
            <w:r w:rsidR="00463F5A">
              <w:rPr>
                <w:webHidden/>
              </w:rPr>
              <w:fldChar w:fldCharType="separate"/>
            </w:r>
            <w:r w:rsidR="00463F5A">
              <w:rPr>
                <w:webHidden/>
              </w:rPr>
              <w:t>74</w:t>
            </w:r>
            <w:r w:rsidR="00463F5A">
              <w:rPr>
                <w:webHidden/>
              </w:rPr>
              <w:fldChar w:fldCharType="end"/>
            </w:r>
          </w:hyperlink>
        </w:p>
        <w:p w14:paraId="3A416E86" w14:textId="2C30CFC1" w:rsidR="00463F5A" w:rsidRDefault="0016341D">
          <w:pPr>
            <w:pStyle w:val="TOC2"/>
            <w:rPr>
              <w:rFonts w:asciiTheme="minorHAnsi" w:eastAsiaTheme="minorEastAsia" w:hAnsiTheme="minorHAnsi" w:cstheme="minorBidi"/>
              <w:sz w:val="22"/>
              <w:szCs w:val="22"/>
              <w:lang w:eastAsia="en-AU"/>
            </w:rPr>
          </w:pPr>
          <w:hyperlink w:anchor="_Toc4142120" w:history="1">
            <w:r w:rsidR="00463F5A" w:rsidRPr="005217E0">
              <w:rPr>
                <w:rStyle w:val="Hyperlink"/>
                <w:rFonts w:cs="Arial"/>
                <w:lang w:eastAsia="en-AU"/>
              </w:rPr>
              <w:t>4.1 Fire risk management</w:t>
            </w:r>
            <w:r w:rsidR="00463F5A">
              <w:rPr>
                <w:webHidden/>
              </w:rPr>
              <w:tab/>
            </w:r>
            <w:r w:rsidR="00463F5A">
              <w:rPr>
                <w:webHidden/>
              </w:rPr>
              <w:fldChar w:fldCharType="begin"/>
            </w:r>
            <w:r w:rsidR="00463F5A">
              <w:rPr>
                <w:webHidden/>
              </w:rPr>
              <w:instrText xml:space="preserve"> PAGEREF _Toc4142120 \h </w:instrText>
            </w:r>
            <w:r w:rsidR="00463F5A">
              <w:rPr>
                <w:webHidden/>
              </w:rPr>
            </w:r>
            <w:r w:rsidR="00463F5A">
              <w:rPr>
                <w:webHidden/>
              </w:rPr>
              <w:fldChar w:fldCharType="separate"/>
            </w:r>
            <w:r w:rsidR="00463F5A">
              <w:rPr>
                <w:webHidden/>
              </w:rPr>
              <w:t>74</w:t>
            </w:r>
            <w:r w:rsidR="00463F5A">
              <w:rPr>
                <w:webHidden/>
              </w:rPr>
              <w:fldChar w:fldCharType="end"/>
            </w:r>
          </w:hyperlink>
        </w:p>
        <w:p w14:paraId="7B39EBEF" w14:textId="657F5036" w:rsidR="00463F5A" w:rsidRDefault="0016341D">
          <w:pPr>
            <w:pStyle w:val="TOC3"/>
            <w:rPr>
              <w:rFonts w:asciiTheme="minorHAnsi" w:eastAsiaTheme="minorEastAsia" w:hAnsiTheme="minorHAnsi" w:cstheme="minorBidi"/>
              <w:noProof/>
              <w:sz w:val="22"/>
              <w:szCs w:val="22"/>
              <w:lang w:eastAsia="en-AU"/>
            </w:rPr>
          </w:pPr>
          <w:hyperlink w:anchor="_Toc4142121" w:history="1">
            <w:r w:rsidR="00463F5A" w:rsidRPr="005217E0">
              <w:rPr>
                <w:rStyle w:val="Hyperlink"/>
                <w:noProof/>
                <w:lang w:eastAsia="en-AU"/>
              </w:rPr>
              <w:t>Fire safety standards</w:t>
            </w:r>
            <w:r w:rsidR="00463F5A">
              <w:rPr>
                <w:noProof/>
                <w:webHidden/>
              </w:rPr>
              <w:tab/>
            </w:r>
            <w:r w:rsidR="00463F5A">
              <w:rPr>
                <w:noProof/>
                <w:webHidden/>
              </w:rPr>
              <w:fldChar w:fldCharType="begin"/>
            </w:r>
            <w:r w:rsidR="00463F5A">
              <w:rPr>
                <w:noProof/>
                <w:webHidden/>
              </w:rPr>
              <w:instrText xml:space="preserve"> PAGEREF _Toc4142121 \h </w:instrText>
            </w:r>
            <w:r w:rsidR="00463F5A">
              <w:rPr>
                <w:noProof/>
                <w:webHidden/>
              </w:rPr>
            </w:r>
            <w:r w:rsidR="00463F5A">
              <w:rPr>
                <w:noProof/>
                <w:webHidden/>
              </w:rPr>
              <w:fldChar w:fldCharType="separate"/>
            </w:r>
            <w:r w:rsidR="00463F5A">
              <w:rPr>
                <w:noProof/>
                <w:webHidden/>
              </w:rPr>
              <w:t>80</w:t>
            </w:r>
            <w:r w:rsidR="00463F5A">
              <w:rPr>
                <w:noProof/>
                <w:webHidden/>
              </w:rPr>
              <w:fldChar w:fldCharType="end"/>
            </w:r>
          </w:hyperlink>
        </w:p>
        <w:p w14:paraId="781D272F" w14:textId="017A86CF" w:rsidR="00463F5A" w:rsidRDefault="0016341D" w:rsidP="004F7A56">
          <w:pPr>
            <w:pStyle w:val="TOC2"/>
            <w:rPr>
              <w:rFonts w:asciiTheme="minorHAnsi" w:eastAsiaTheme="minorEastAsia" w:hAnsiTheme="minorHAnsi" w:cstheme="minorBidi"/>
              <w:sz w:val="22"/>
              <w:szCs w:val="22"/>
              <w:lang w:eastAsia="en-AU"/>
            </w:rPr>
          </w:pPr>
          <w:hyperlink w:anchor="_Toc4142122" w:history="1">
            <w:r w:rsidR="00463F5A" w:rsidRPr="005217E0">
              <w:rPr>
                <w:rStyle w:val="Hyperlink"/>
                <w:rFonts w:cs="Arial"/>
                <w:lang w:eastAsia="en-AU"/>
              </w:rPr>
              <w:t>4.2 Asbestos risk management guidelines</w:t>
            </w:r>
            <w:r w:rsidR="00463F5A">
              <w:rPr>
                <w:webHidden/>
              </w:rPr>
              <w:tab/>
            </w:r>
            <w:r w:rsidR="00463F5A">
              <w:rPr>
                <w:webHidden/>
              </w:rPr>
              <w:fldChar w:fldCharType="begin"/>
            </w:r>
            <w:r w:rsidR="00463F5A">
              <w:rPr>
                <w:webHidden/>
              </w:rPr>
              <w:instrText xml:space="preserve"> PAGEREF _Toc4142122 \h </w:instrText>
            </w:r>
            <w:r w:rsidR="00463F5A">
              <w:rPr>
                <w:webHidden/>
              </w:rPr>
            </w:r>
            <w:r w:rsidR="00463F5A">
              <w:rPr>
                <w:webHidden/>
              </w:rPr>
              <w:fldChar w:fldCharType="separate"/>
            </w:r>
            <w:r w:rsidR="00463F5A">
              <w:rPr>
                <w:webHidden/>
              </w:rPr>
              <w:t>86</w:t>
            </w:r>
            <w:r w:rsidR="00463F5A">
              <w:rPr>
                <w:webHidden/>
              </w:rPr>
              <w:fldChar w:fldCharType="end"/>
            </w:r>
          </w:hyperlink>
        </w:p>
        <w:p w14:paraId="11751D8E" w14:textId="672E4AC3" w:rsidR="00463F5A" w:rsidRDefault="0016341D">
          <w:pPr>
            <w:pStyle w:val="TOC2"/>
            <w:rPr>
              <w:rFonts w:asciiTheme="minorHAnsi" w:eastAsiaTheme="minorEastAsia" w:hAnsiTheme="minorHAnsi" w:cstheme="minorBidi"/>
              <w:sz w:val="22"/>
              <w:szCs w:val="22"/>
              <w:lang w:eastAsia="en-AU"/>
            </w:rPr>
          </w:pPr>
          <w:hyperlink w:anchor="_Toc4142123" w:history="1">
            <w:r w:rsidR="00463F5A" w:rsidRPr="005217E0">
              <w:rPr>
                <w:rStyle w:val="Hyperlink"/>
                <w:rFonts w:cs="Arial"/>
                <w:lang w:eastAsia="en-AU"/>
              </w:rPr>
              <w:t>4.3 Incident reporting</w:t>
            </w:r>
            <w:r w:rsidR="00463F5A">
              <w:rPr>
                <w:webHidden/>
              </w:rPr>
              <w:tab/>
            </w:r>
            <w:r w:rsidR="00463F5A">
              <w:rPr>
                <w:webHidden/>
              </w:rPr>
              <w:fldChar w:fldCharType="begin"/>
            </w:r>
            <w:r w:rsidR="00463F5A">
              <w:rPr>
                <w:webHidden/>
              </w:rPr>
              <w:instrText xml:space="preserve"> PAGEREF _Toc4142123 \h </w:instrText>
            </w:r>
            <w:r w:rsidR="00463F5A">
              <w:rPr>
                <w:webHidden/>
              </w:rPr>
            </w:r>
            <w:r w:rsidR="00463F5A">
              <w:rPr>
                <w:webHidden/>
              </w:rPr>
              <w:fldChar w:fldCharType="separate"/>
            </w:r>
            <w:r w:rsidR="00463F5A">
              <w:rPr>
                <w:webHidden/>
              </w:rPr>
              <w:t>87</w:t>
            </w:r>
            <w:r w:rsidR="00463F5A">
              <w:rPr>
                <w:webHidden/>
              </w:rPr>
              <w:fldChar w:fldCharType="end"/>
            </w:r>
          </w:hyperlink>
        </w:p>
        <w:p w14:paraId="54FB7E37" w14:textId="6E1180D3" w:rsidR="00463F5A" w:rsidRDefault="0016341D">
          <w:pPr>
            <w:pStyle w:val="TOC2"/>
            <w:rPr>
              <w:rFonts w:asciiTheme="minorHAnsi" w:eastAsiaTheme="minorEastAsia" w:hAnsiTheme="minorHAnsi" w:cstheme="minorBidi"/>
              <w:sz w:val="22"/>
              <w:szCs w:val="22"/>
              <w:lang w:eastAsia="en-AU"/>
            </w:rPr>
          </w:pPr>
          <w:hyperlink w:anchor="_Toc4142124" w:history="1">
            <w:r w:rsidR="00463F5A" w:rsidRPr="005217E0">
              <w:rPr>
                <w:rStyle w:val="Hyperlink"/>
                <w:rFonts w:cs="Arial"/>
                <w:lang w:eastAsia="en-AU"/>
              </w:rPr>
              <w:t>4.4 Compliment and complaint management</w:t>
            </w:r>
            <w:r w:rsidR="00463F5A">
              <w:rPr>
                <w:webHidden/>
              </w:rPr>
              <w:tab/>
            </w:r>
            <w:r w:rsidR="00463F5A">
              <w:rPr>
                <w:webHidden/>
              </w:rPr>
              <w:fldChar w:fldCharType="begin"/>
            </w:r>
            <w:r w:rsidR="00463F5A">
              <w:rPr>
                <w:webHidden/>
              </w:rPr>
              <w:instrText xml:space="preserve"> PAGEREF _Toc4142124 \h </w:instrText>
            </w:r>
            <w:r w:rsidR="00463F5A">
              <w:rPr>
                <w:webHidden/>
              </w:rPr>
            </w:r>
            <w:r w:rsidR="00463F5A">
              <w:rPr>
                <w:webHidden/>
              </w:rPr>
              <w:fldChar w:fldCharType="separate"/>
            </w:r>
            <w:r w:rsidR="00463F5A">
              <w:rPr>
                <w:webHidden/>
              </w:rPr>
              <w:t>88</w:t>
            </w:r>
            <w:r w:rsidR="00463F5A">
              <w:rPr>
                <w:webHidden/>
              </w:rPr>
              <w:fldChar w:fldCharType="end"/>
            </w:r>
          </w:hyperlink>
        </w:p>
        <w:p w14:paraId="4F25F592" w14:textId="54BD2545" w:rsidR="00463F5A" w:rsidRDefault="0016341D">
          <w:pPr>
            <w:pStyle w:val="TOC2"/>
            <w:rPr>
              <w:rFonts w:asciiTheme="minorHAnsi" w:eastAsiaTheme="minorEastAsia" w:hAnsiTheme="minorHAnsi" w:cstheme="minorBidi"/>
              <w:sz w:val="22"/>
              <w:szCs w:val="22"/>
              <w:lang w:eastAsia="en-AU"/>
            </w:rPr>
          </w:pPr>
          <w:hyperlink w:anchor="_Toc4142125" w:history="1">
            <w:r w:rsidR="00463F5A" w:rsidRPr="005217E0">
              <w:rPr>
                <w:rStyle w:val="Hyperlink"/>
                <w:rFonts w:cs="Arial"/>
                <w:lang w:eastAsia="en-AU"/>
              </w:rPr>
              <w:t>4.5 Safety screening for funded organisations</w:t>
            </w:r>
            <w:r w:rsidR="00463F5A">
              <w:rPr>
                <w:webHidden/>
              </w:rPr>
              <w:tab/>
            </w:r>
            <w:r w:rsidR="00463F5A">
              <w:rPr>
                <w:webHidden/>
              </w:rPr>
              <w:fldChar w:fldCharType="begin"/>
            </w:r>
            <w:r w:rsidR="00463F5A">
              <w:rPr>
                <w:webHidden/>
              </w:rPr>
              <w:instrText xml:space="preserve"> PAGEREF _Toc4142125 \h </w:instrText>
            </w:r>
            <w:r w:rsidR="00463F5A">
              <w:rPr>
                <w:webHidden/>
              </w:rPr>
            </w:r>
            <w:r w:rsidR="00463F5A">
              <w:rPr>
                <w:webHidden/>
              </w:rPr>
              <w:fldChar w:fldCharType="separate"/>
            </w:r>
            <w:r w:rsidR="00463F5A">
              <w:rPr>
                <w:webHidden/>
              </w:rPr>
              <w:t>91</w:t>
            </w:r>
            <w:r w:rsidR="00463F5A">
              <w:rPr>
                <w:webHidden/>
              </w:rPr>
              <w:fldChar w:fldCharType="end"/>
            </w:r>
          </w:hyperlink>
        </w:p>
        <w:p w14:paraId="7E4AC9F6" w14:textId="7097ED09" w:rsidR="00463F5A" w:rsidRDefault="0016341D">
          <w:pPr>
            <w:pStyle w:val="TOC2"/>
            <w:rPr>
              <w:rFonts w:asciiTheme="minorHAnsi" w:eastAsiaTheme="minorEastAsia" w:hAnsiTheme="minorHAnsi" w:cstheme="minorBidi"/>
              <w:sz w:val="22"/>
              <w:szCs w:val="22"/>
              <w:lang w:eastAsia="en-AU"/>
            </w:rPr>
          </w:pPr>
          <w:hyperlink w:anchor="_Toc4142126" w:history="1">
            <w:r w:rsidR="00463F5A" w:rsidRPr="005217E0">
              <w:rPr>
                <w:rStyle w:val="Hyperlink"/>
                <w:rFonts w:cs="Arial"/>
                <w:lang w:eastAsia="en-AU"/>
              </w:rPr>
              <w:t>4.6 Occupational health and safety</w:t>
            </w:r>
            <w:r w:rsidR="00463F5A">
              <w:rPr>
                <w:webHidden/>
              </w:rPr>
              <w:tab/>
            </w:r>
            <w:r w:rsidR="00463F5A">
              <w:rPr>
                <w:webHidden/>
              </w:rPr>
              <w:fldChar w:fldCharType="begin"/>
            </w:r>
            <w:r w:rsidR="00463F5A">
              <w:rPr>
                <w:webHidden/>
              </w:rPr>
              <w:instrText xml:space="preserve"> PAGEREF _Toc4142126 \h </w:instrText>
            </w:r>
            <w:r w:rsidR="00463F5A">
              <w:rPr>
                <w:webHidden/>
              </w:rPr>
            </w:r>
            <w:r w:rsidR="00463F5A">
              <w:rPr>
                <w:webHidden/>
              </w:rPr>
              <w:fldChar w:fldCharType="separate"/>
            </w:r>
            <w:r w:rsidR="00463F5A">
              <w:rPr>
                <w:webHidden/>
              </w:rPr>
              <w:t>103</w:t>
            </w:r>
            <w:r w:rsidR="00463F5A">
              <w:rPr>
                <w:webHidden/>
              </w:rPr>
              <w:fldChar w:fldCharType="end"/>
            </w:r>
          </w:hyperlink>
        </w:p>
        <w:p w14:paraId="1632E01A" w14:textId="694AD480" w:rsidR="00463F5A" w:rsidRDefault="0016341D">
          <w:pPr>
            <w:pStyle w:val="TOC2"/>
            <w:rPr>
              <w:rFonts w:asciiTheme="minorHAnsi" w:eastAsiaTheme="minorEastAsia" w:hAnsiTheme="minorHAnsi" w:cstheme="minorBidi"/>
              <w:sz w:val="22"/>
              <w:szCs w:val="22"/>
              <w:lang w:eastAsia="en-AU"/>
            </w:rPr>
          </w:pPr>
          <w:hyperlink w:anchor="_Toc4142127" w:history="1">
            <w:r w:rsidR="00463F5A" w:rsidRPr="005217E0">
              <w:rPr>
                <w:rStyle w:val="Hyperlink"/>
                <w:lang w:eastAsia="en-AU"/>
              </w:rPr>
              <w:t>4.7 Workers Compensation</w:t>
            </w:r>
            <w:r w:rsidR="00463F5A">
              <w:rPr>
                <w:webHidden/>
              </w:rPr>
              <w:tab/>
            </w:r>
            <w:r w:rsidR="00463F5A">
              <w:rPr>
                <w:webHidden/>
              </w:rPr>
              <w:fldChar w:fldCharType="begin"/>
            </w:r>
            <w:r w:rsidR="00463F5A">
              <w:rPr>
                <w:webHidden/>
              </w:rPr>
              <w:instrText xml:space="preserve"> PAGEREF _Toc4142127 \h </w:instrText>
            </w:r>
            <w:r w:rsidR="00463F5A">
              <w:rPr>
                <w:webHidden/>
              </w:rPr>
            </w:r>
            <w:r w:rsidR="00463F5A">
              <w:rPr>
                <w:webHidden/>
              </w:rPr>
              <w:fldChar w:fldCharType="separate"/>
            </w:r>
            <w:r w:rsidR="00463F5A">
              <w:rPr>
                <w:webHidden/>
              </w:rPr>
              <w:t>106</w:t>
            </w:r>
            <w:r w:rsidR="00463F5A">
              <w:rPr>
                <w:webHidden/>
              </w:rPr>
              <w:fldChar w:fldCharType="end"/>
            </w:r>
          </w:hyperlink>
        </w:p>
        <w:p w14:paraId="38CBF121" w14:textId="7D1D0E36" w:rsidR="00463F5A" w:rsidRDefault="0016341D">
          <w:pPr>
            <w:pStyle w:val="TOC2"/>
            <w:rPr>
              <w:rFonts w:asciiTheme="minorHAnsi" w:eastAsiaTheme="minorEastAsia" w:hAnsiTheme="minorHAnsi" w:cstheme="minorBidi"/>
              <w:sz w:val="22"/>
              <w:szCs w:val="22"/>
              <w:lang w:eastAsia="en-AU"/>
            </w:rPr>
          </w:pPr>
          <w:hyperlink w:anchor="_Toc4142128" w:history="1">
            <w:r w:rsidR="00463F5A" w:rsidRPr="005217E0">
              <w:rPr>
                <w:rStyle w:val="Hyperlink"/>
                <w:rFonts w:cs="Arial"/>
                <w:lang w:eastAsia="en-AU"/>
              </w:rPr>
              <w:t>4.8 Victorian Charter of Human Rights and Responsibilities</w:t>
            </w:r>
            <w:r w:rsidR="00463F5A">
              <w:rPr>
                <w:webHidden/>
              </w:rPr>
              <w:tab/>
            </w:r>
            <w:r w:rsidR="00463F5A">
              <w:rPr>
                <w:webHidden/>
              </w:rPr>
              <w:fldChar w:fldCharType="begin"/>
            </w:r>
            <w:r w:rsidR="00463F5A">
              <w:rPr>
                <w:webHidden/>
              </w:rPr>
              <w:instrText xml:space="preserve"> PAGEREF _Toc4142128 \h </w:instrText>
            </w:r>
            <w:r w:rsidR="00463F5A">
              <w:rPr>
                <w:webHidden/>
              </w:rPr>
            </w:r>
            <w:r w:rsidR="00463F5A">
              <w:rPr>
                <w:webHidden/>
              </w:rPr>
              <w:fldChar w:fldCharType="separate"/>
            </w:r>
            <w:r w:rsidR="00463F5A">
              <w:rPr>
                <w:webHidden/>
              </w:rPr>
              <w:t>108</w:t>
            </w:r>
            <w:r w:rsidR="00463F5A">
              <w:rPr>
                <w:webHidden/>
              </w:rPr>
              <w:fldChar w:fldCharType="end"/>
            </w:r>
          </w:hyperlink>
        </w:p>
        <w:p w14:paraId="02EE54DC" w14:textId="6EEDBEFD" w:rsidR="00463F5A" w:rsidRDefault="0016341D">
          <w:pPr>
            <w:pStyle w:val="TOC2"/>
            <w:rPr>
              <w:rFonts w:asciiTheme="minorHAnsi" w:eastAsiaTheme="minorEastAsia" w:hAnsiTheme="minorHAnsi" w:cstheme="minorBidi"/>
              <w:sz w:val="22"/>
              <w:szCs w:val="22"/>
              <w:lang w:eastAsia="en-AU"/>
            </w:rPr>
          </w:pPr>
          <w:hyperlink w:anchor="_Toc4142129" w:history="1">
            <w:r w:rsidR="00463F5A" w:rsidRPr="005217E0">
              <w:rPr>
                <w:rStyle w:val="Hyperlink"/>
                <w:rFonts w:cs="Arial"/>
                <w:lang w:eastAsia="en-AU"/>
              </w:rPr>
              <w:t>4.9 Funded Organisation Performance Monitoring Framework</w:t>
            </w:r>
            <w:r w:rsidR="00463F5A">
              <w:rPr>
                <w:webHidden/>
              </w:rPr>
              <w:tab/>
            </w:r>
            <w:r w:rsidR="00463F5A">
              <w:rPr>
                <w:webHidden/>
              </w:rPr>
              <w:fldChar w:fldCharType="begin"/>
            </w:r>
            <w:r w:rsidR="00463F5A">
              <w:rPr>
                <w:webHidden/>
              </w:rPr>
              <w:instrText xml:space="preserve"> PAGEREF _Toc4142129 \h </w:instrText>
            </w:r>
            <w:r w:rsidR="00463F5A">
              <w:rPr>
                <w:webHidden/>
              </w:rPr>
            </w:r>
            <w:r w:rsidR="00463F5A">
              <w:rPr>
                <w:webHidden/>
              </w:rPr>
              <w:fldChar w:fldCharType="separate"/>
            </w:r>
            <w:r w:rsidR="00463F5A">
              <w:rPr>
                <w:webHidden/>
              </w:rPr>
              <w:t>111</w:t>
            </w:r>
            <w:r w:rsidR="00463F5A">
              <w:rPr>
                <w:webHidden/>
              </w:rPr>
              <w:fldChar w:fldCharType="end"/>
            </w:r>
          </w:hyperlink>
        </w:p>
        <w:p w14:paraId="0C3A358C" w14:textId="3AC85A9A" w:rsidR="00463F5A" w:rsidRDefault="0016341D">
          <w:pPr>
            <w:pStyle w:val="TOC2"/>
            <w:rPr>
              <w:rFonts w:asciiTheme="minorHAnsi" w:eastAsiaTheme="minorEastAsia" w:hAnsiTheme="minorHAnsi" w:cstheme="minorBidi"/>
              <w:sz w:val="22"/>
              <w:szCs w:val="22"/>
              <w:lang w:eastAsia="en-AU"/>
            </w:rPr>
          </w:pPr>
          <w:hyperlink w:anchor="_Toc4142130" w:history="1">
            <w:r w:rsidR="00463F5A" w:rsidRPr="005217E0">
              <w:rPr>
                <w:rStyle w:val="Hyperlink"/>
                <w:rFonts w:cs="Arial"/>
                <w:lang w:eastAsia="en-AU"/>
              </w:rPr>
              <w:t>4.10 Pandemic business continuity planning</w:t>
            </w:r>
            <w:r w:rsidR="00463F5A">
              <w:rPr>
                <w:webHidden/>
              </w:rPr>
              <w:tab/>
            </w:r>
            <w:r w:rsidR="00463F5A">
              <w:rPr>
                <w:webHidden/>
              </w:rPr>
              <w:fldChar w:fldCharType="begin"/>
            </w:r>
            <w:r w:rsidR="00463F5A">
              <w:rPr>
                <w:webHidden/>
              </w:rPr>
              <w:instrText xml:space="preserve"> PAGEREF _Toc4142130 \h </w:instrText>
            </w:r>
            <w:r w:rsidR="00463F5A">
              <w:rPr>
                <w:webHidden/>
              </w:rPr>
            </w:r>
            <w:r w:rsidR="00463F5A">
              <w:rPr>
                <w:webHidden/>
              </w:rPr>
              <w:fldChar w:fldCharType="separate"/>
            </w:r>
            <w:r w:rsidR="00463F5A">
              <w:rPr>
                <w:webHidden/>
              </w:rPr>
              <w:t>114</w:t>
            </w:r>
            <w:r w:rsidR="00463F5A">
              <w:rPr>
                <w:webHidden/>
              </w:rPr>
              <w:fldChar w:fldCharType="end"/>
            </w:r>
          </w:hyperlink>
        </w:p>
        <w:p w14:paraId="3024E320" w14:textId="5F46F235" w:rsidR="00463F5A" w:rsidRDefault="0016341D">
          <w:pPr>
            <w:pStyle w:val="TOC2"/>
            <w:rPr>
              <w:rFonts w:asciiTheme="minorHAnsi" w:eastAsiaTheme="minorEastAsia" w:hAnsiTheme="minorHAnsi" w:cstheme="minorBidi"/>
              <w:sz w:val="22"/>
              <w:szCs w:val="22"/>
              <w:lang w:eastAsia="en-AU"/>
            </w:rPr>
          </w:pPr>
          <w:hyperlink w:anchor="_Toc4142131" w:history="1">
            <w:r w:rsidR="00463F5A" w:rsidRPr="005217E0">
              <w:rPr>
                <w:rStyle w:val="Hyperlink"/>
                <w:rFonts w:cs="Arial"/>
                <w:lang w:eastAsia="en-AU"/>
              </w:rPr>
              <w:t>4.11 Climate change adaptation and environmental sustainability</w:t>
            </w:r>
            <w:r w:rsidR="00463F5A">
              <w:rPr>
                <w:webHidden/>
              </w:rPr>
              <w:tab/>
            </w:r>
            <w:r w:rsidR="00463F5A">
              <w:rPr>
                <w:webHidden/>
              </w:rPr>
              <w:fldChar w:fldCharType="begin"/>
            </w:r>
            <w:r w:rsidR="00463F5A">
              <w:rPr>
                <w:webHidden/>
              </w:rPr>
              <w:instrText xml:space="preserve"> PAGEREF _Toc4142131 \h </w:instrText>
            </w:r>
            <w:r w:rsidR="00463F5A">
              <w:rPr>
                <w:webHidden/>
              </w:rPr>
            </w:r>
            <w:r w:rsidR="00463F5A">
              <w:rPr>
                <w:webHidden/>
              </w:rPr>
              <w:fldChar w:fldCharType="separate"/>
            </w:r>
            <w:r w:rsidR="00463F5A">
              <w:rPr>
                <w:webHidden/>
              </w:rPr>
              <w:t>115</w:t>
            </w:r>
            <w:r w:rsidR="00463F5A">
              <w:rPr>
                <w:webHidden/>
              </w:rPr>
              <w:fldChar w:fldCharType="end"/>
            </w:r>
          </w:hyperlink>
        </w:p>
        <w:p w14:paraId="122A13FE" w14:textId="15EB9EC3" w:rsidR="00463F5A" w:rsidRDefault="0016341D">
          <w:pPr>
            <w:pStyle w:val="TOC2"/>
            <w:rPr>
              <w:rFonts w:asciiTheme="minorHAnsi" w:eastAsiaTheme="minorEastAsia" w:hAnsiTheme="minorHAnsi" w:cstheme="minorBidi"/>
              <w:sz w:val="22"/>
              <w:szCs w:val="22"/>
              <w:lang w:eastAsia="en-AU"/>
            </w:rPr>
          </w:pPr>
          <w:hyperlink w:anchor="_Toc4142132" w:history="1">
            <w:r w:rsidR="00463F5A" w:rsidRPr="005217E0">
              <w:rPr>
                <w:rStyle w:val="Hyperlink"/>
                <w:rFonts w:cs="Arial"/>
                <w:lang w:eastAsia="en-AU"/>
              </w:rPr>
              <w:t>4.12 Language services</w:t>
            </w:r>
            <w:r w:rsidR="00463F5A">
              <w:rPr>
                <w:webHidden/>
              </w:rPr>
              <w:tab/>
            </w:r>
            <w:r w:rsidR="00463F5A">
              <w:rPr>
                <w:webHidden/>
              </w:rPr>
              <w:fldChar w:fldCharType="begin"/>
            </w:r>
            <w:r w:rsidR="00463F5A">
              <w:rPr>
                <w:webHidden/>
              </w:rPr>
              <w:instrText xml:space="preserve"> PAGEREF _Toc4142132 \h </w:instrText>
            </w:r>
            <w:r w:rsidR="00463F5A">
              <w:rPr>
                <w:webHidden/>
              </w:rPr>
            </w:r>
            <w:r w:rsidR="00463F5A">
              <w:rPr>
                <w:webHidden/>
              </w:rPr>
              <w:fldChar w:fldCharType="separate"/>
            </w:r>
            <w:r w:rsidR="00463F5A">
              <w:rPr>
                <w:webHidden/>
              </w:rPr>
              <w:t>116</w:t>
            </w:r>
            <w:r w:rsidR="00463F5A">
              <w:rPr>
                <w:webHidden/>
              </w:rPr>
              <w:fldChar w:fldCharType="end"/>
            </w:r>
          </w:hyperlink>
        </w:p>
        <w:p w14:paraId="734DA58A" w14:textId="7E956AD7" w:rsidR="00463F5A" w:rsidRDefault="0016341D">
          <w:pPr>
            <w:pStyle w:val="TOC2"/>
            <w:rPr>
              <w:rFonts w:asciiTheme="minorHAnsi" w:eastAsiaTheme="minorEastAsia" w:hAnsiTheme="minorHAnsi" w:cstheme="minorBidi"/>
              <w:sz w:val="22"/>
              <w:szCs w:val="22"/>
              <w:lang w:eastAsia="en-AU"/>
            </w:rPr>
          </w:pPr>
          <w:hyperlink w:anchor="_Toc4142133" w:history="1">
            <w:r w:rsidR="00463F5A" w:rsidRPr="005217E0">
              <w:rPr>
                <w:rStyle w:val="Hyperlink"/>
                <w:rFonts w:cs="Arial"/>
                <w:lang w:eastAsia="en-AU"/>
              </w:rPr>
              <w:t>4.13 Cultural diversity planning</w:t>
            </w:r>
            <w:r w:rsidR="00463F5A">
              <w:rPr>
                <w:webHidden/>
              </w:rPr>
              <w:tab/>
            </w:r>
            <w:r w:rsidR="00463F5A">
              <w:rPr>
                <w:webHidden/>
              </w:rPr>
              <w:fldChar w:fldCharType="begin"/>
            </w:r>
            <w:r w:rsidR="00463F5A">
              <w:rPr>
                <w:webHidden/>
              </w:rPr>
              <w:instrText xml:space="preserve"> PAGEREF _Toc4142133 \h </w:instrText>
            </w:r>
            <w:r w:rsidR="00463F5A">
              <w:rPr>
                <w:webHidden/>
              </w:rPr>
            </w:r>
            <w:r w:rsidR="00463F5A">
              <w:rPr>
                <w:webHidden/>
              </w:rPr>
              <w:fldChar w:fldCharType="separate"/>
            </w:r>
            <w:r w:rsidR="00463F5A">
              <w:rPr>
                <w:webHidden/>
              </w:rPr>
              <w:t>117</w:t>
            </w:r>
            <w:r w:rsidR="00463F5A">
              <w:rPr>
                <w:webHidden/>
              </w:rPr>
              <w:fldChar w:fldCharType="end"/>
            </w:r>
          </w:hyperlink>
        </w:p>
        <w:p w14:paraId="04D4926A" w14:textId="203D0388" w:rsidR="00463F5A" w:rsidRDefault="0016341D">
          <w:pPr>
            <w:pStyle w:val="TOC2"/>
            <w:rPr>
              <w:rFonts w:asciiTheme="minorHAnsi" w:eastAsiaTheme="minorEastAsia" w:hAnsiTheme="minorHAnsi" w:cstheme="minorBidi"/>
              <w:sz w:val="22"/>
              <w:szCs w:val="22"/>
              <w:lang w:eastAsia="en-AU"/>
            </w:rPr>
          </w:pPr>
          <w:hyperlink w:anchor="_Toc4142134" w:history="1">
            <w:r w:rsidR="00463F5A" w:rsidRPr="005217E0">
              <w:rPr>
                <w:rStyle w:val="Hyperlink"/>
                <w:rFonts w:cs="Arial"/>
                <w:lang w:eastAsia="en-AU"/>
              </w:rPr>
              <w:t>4.14 Improving inclusion and access for Aboriginal people and communities</w:t>
            </w:r>
            <w:r w:rsidR="00463F5A">
              <w:rPr>
                <w:webHidden/>
              </w:rPr>
              <w:tab/>
            </w:r>
            <w:r w:rsidR="00463F5A">
              <w:rPr>
                <w:webHidden/>
              </w:rPr>
              <w:fldChar w:fldCharType="begin"/>
            </w:r>
            <w:r w:rsidR="00463F5A">
              <w:rPr>
                <w:webHidden/>
              </w:rPr>
              <w:instrText xml:space="preserve"> PAGEREF _Toc4142134 \h </w:instrText>
            </w:r>
            <w:r w:rsidR="00463F5A">
              <w:rPr>
                <w:webHidden/>
              </w:rPr>
            </w:r>
            <w:r w:rsidR="00463F5A">
              <w:rPr>
                <w:webHidden/>
              </w:rPr>
              <w:fldChar w:fldCharType="separate"/>
            </w:r>
            <w:r w:rsidR="00463F5A">
              <w:rPr>
                <w:webHidden/>
              </w:rPr>
              <w:t>117</w:t>
            </w:r>
            <w:r w:rsidR="00463F5A">
              <w:rPr>
                <w:webHidden/>
              </w:rPr>
              <w:fldChar w:fldCharType="end"/>
            </w:r>
          </w:hyperlink>
        </w:p>
        <w:p w14:paraId="6A019E55" w14:textId="2754F450" w:rsidR="00463F5A" w:rsidRDefault="0016341D">
          <w:pPr>
            <w:pStyle w:val="TOC2"/>
            <w:rPr>
              <w:rFonts w:asciiTheme="minorHAnsi" w:eastAsiaTheme="minorEastAsia" w:hAnsiTheme="minorHAnsi" w:cstheme="minorBidi"/>
              <w:sz w:val="22"/>
              <w:szCs w:val="22"/>
              <w:lang w:eastAsia="en-AU"/>
            </w:rPr>
          </w:pPr>
          <w:hyperlink w:anchor="_Toc4142135" w:history="1">
            <w:r w:rsidR="00463F5A" w:rsidRPr="005217E0">
              <w:rPr>
                <w:rStyle w:val="Hyperlink"/>
                <w:rFonts w:cs="Arial"/>
                <w:lang w:eastAsia="en-AU"/>
              </w:rPr>
              <w:t>4.15 Multiple and complex needs initiative (MACNI)</w:t>
            </w:r>
            <w:r w:rsidR="00463F5A">
              <w:rPr>
                <w:webHidden/>
              </w:rPr>
              <w:tab/>
            </w:r>
            <w:r w:rsidR="00463F5A">
              <w:rPr>
                <w:webHidden/>
              </w:rPr>
              <w:fldChar w:fldCharType="begin"/>
            </w:r>
            <w:r w:rsidR="00463F5A">
              <w:rPr>
                <w:webHidden/>
              </w:rPr>
              <w:instrText xml:space="preserve"> PAGEREF _Toc4142135 \h </w:instrText>
            </w:r>
            <w:r w:rsidR="00463F5A">
              <w:rPr>
                <w:webHidden/>
              </w:rPr>
            </w:r>
            <w:r w:rsidR="00463F5A">
              <w:rPr>
                <w:webHidden/>
              </w:rPr>
              <w:fldChar w:fldCharType="separate"/>
            </w:r>
            <w:r w:rsidR="00463F5A">
              <w:rPr>
                <w:webHidden/>
              </w:rPr>
              <w:t>120</w:t>
            </w:r>
            <w:r w:rsidR="00463F5A">
              <w:rPr>
                <w:webHidden/>
              </w:rPr>
              <w:fldChar w:fldCharType="end"/>
            </w:r>
          </w:hyperlink>
        </w:p>
        <w:p w14:paraId="5B241B10" w14:textId="0454A351" w:rsidR="00463F5A" w:rsidRDefault="0016341D">
          <w:pPr>
            <w:pStyle w:val="TOC2"/>
            <w:rPr>
              <w:rFonts w:asciiTheme="minorHAnsi" w:eastAsiaTheme="minorEastAsia" w:hAnsiTheme="minorHAnsi" w:cstheme="minorBidi"/>
              <w:sz w:val="22"/>
              <w:szCs w:val="22"/>
              <w:lang w:eastAsia="en-AU"/>
            </w:rPr>
          </w:pPr>
          <w:hyperlink w:anchor="_Toc4142136" w:history="1">
            <w:r w:rsidR="00463F5A" w:rsidRPr="005217E0">
              <w:rPr>
                <w:rStyle w:val="Hyperlink"/>
                <w:rFonts w:cs="Arial"/>
                <w:lang w:eastAsia="en-AU"/>
              </w:rPr>
              <w:t>4.16 With respect to age - 2009 (elder abuse prevention practice guidelines)</w:t>
            </w:r>
            <w:r w:rsidR="00463F5A">
              <w:rPr>
                <w:webHidden/>
              </w:rPr>
              <w:tab/>
            </w:r>
            <w:r w:rsidR="00463F5A">
              <w:rPr>
                <w:webHidden/>
              </w:rPr>
              <w:fldChar w:fldCharType="begin"/>
            </w:r>
            <w:r w:rsidR="00463F5A">
              <w:rPr>
                <w:webHidden/>
              </w:rPr>
              <w:instrText xml:space="preserve"> PAGEREF _Toc4142136 \h </w:instrText>
            </w:r>
            <w:r w:rsidR="00463F5A">
              <w:rPr>
                <w:webHidden/>
              </w:rPr>
            </w:r>
            <w:r w:rsidR="00463F5A">
              <w:rPr>
                <w:webHidden/>
              </w:rPr>
              <w:fldChar w:fldCharType="separate"/>
            </w:r>
            <w:r w:rsidR="00463F5A">
              <w:rPr>
                <w:webHidden/>
              </w:rPr>
              <w:t>121</w:t>
            </w:r>
            <w:r w:rsidR="00463F5A">
              <w:rPr>
                <w:webHidden/>
              </w:rPr>
              <w:fldChar w:fldCharType="end"/>
            </w:r>
          </w:hyperlink>
        </w:p>
        <w:p w14:paraId="132F1C24" w14:textId="6D3ACE60" w:rsidR="00463F5A" w:rsidRDefault="0016341D">
          <w:pPr>
            <w:pStyle w:val="TOC2"/>
            <w:rPr>
              <w:rFonts w:asciiTheme="minorHAnsi" w:eastAsiaTheme="minorEastAsia" w:hAnsiTheme="minorHAnsi" w:cstheme="minorBidi"/>
              <w:sz w:val="22"/>
              <w:szCs w:val="22"/>
              <w:lang w:eastAsia="en-AU"/>
            </w:rPr>
          </w:pPr>
          <w:hyperlink w:anchor="_Toc4142137" w:history="1">
            <w:r w:rsidR="00463F5A" w:rsidRPr="005217E0">
              <w:rPr>
                <w:rStyle w:val="Hyperlink"/>
                <w:rFonts w:cs="Arial"/>
                <w:lang w:eastAsia="en-AU"/>
              </w:rPr>
              <w:t>4.17 Vulnerable people in emergencies</w:t>
            </w:r>
            <w:r w:rsidR="00463F5A">
              <w:rPr>
                <w:webHidden/>
              </w:rPr>
              <w:tab/>
            </w:r>
            <w:r w:rsidR="00463F5A">
              <w:rPr>
                <w:webHidden/>
              </w:rPr>
              <w:fldChar w:fldCharType="begin"/>
            </w:r>
            <w:r w:rsidR="00463F5A">
              <w:rPr>
                <w:webHidden/>
              </w:rPr>
              <w:instrText xml:space="preserve"> PAGEREF _Toc4142137 \h </w:instrText>
            </w:r>
            <w:r w:rsidR="00463F5A">
              <w:rPr>
                <w:webHidden/>
              </w:rPr>
            </w:r>
            <w:r w:rsidR="00463F5A">
              <w:rPr>
                <w:webHidden/>
              </w:rPr>
              <w:fldChar w:fldCharType="separate"/>
            </w:r>
            <w:r w:rsidR="00463F5A">
              <w:rPr>
                <w:webHidden/>
              </w:rPr>
              <w:t>122</w:t>
            </w:r>
            <w:r w:rsidR="00463F5A">
              <w:rPr>
                <w:webHidden/>
              </w:rPr>
              <w:fldChar w:fldCharType="end"/>
            </w:r>
          </w:hyperlink>
        </w:p>
        <w:p w14:paraId="11575710" w14:textId="73703746" w:rsidR="00463F5A" w:rsidRDefault="0016341D">
          <w:pPr>
            <w:pStyle w:val="TOC2"/>
            <w:rPr>
              <w:rFonts w:asciiTheme="minorHAnsi" w:eastAsiaTheme="minorEastAsia" w:hAnsiTheme="minorHAnsi" w:cstheme="minorBidi"/>
              <w:sz w:val="22"/>
              <w:szCs w:val="22"/>
              <w:lang w:eastAsia="en-AU"/>
            </w:rPr>
          </w:pPr>
          <w:hyperlink w:anchor="_Toc4142138" w:history="1">
            <w:r w:rsidR="00463F5A" w:rsidRPr="005217E0">
              <w:rPr>
                <w:rStyle w:val="Hyperlink"/>
                <w:rFonts w:cs="Arial"/>
                <w:lang w:eastAsia="en-AU"/>
              </w:rPr>
              <w:t>4.18 Emergency preparedness policy</w:t>
            </w:r>
            <w:r w:rsidR="00463F5A">
              <w:rPr>
                <w:webHidden/>
              </w:rPr>
              <w:tab/>
            </w:r>
            <w:r w:rsidR="00463F5A">
              <w:rPr>
                <w:webHidden/>
              </w:rPr>
              <w:fldChar w:fldCharType="begin"/>
            </w:r>
            <w:r w:rsidR="00463F5A">
              <w:rPr>
                <w:webHidden/>
              </w:rPr>
              <w:instrText xml:space="preserve"> PAGEREF _Toc4142138 \h </w:instrText>
            </w:r>
            <w:r w:rsidR="00463F5A">
              <w:rPr>
                <w:webHidden/>
              </w:rPr>
            </w:r>
            <w:r w:rsidR="00463F5A">
              <w:rPr>
                <w:webHidden/>
              </w:rPr>
              <w:fldChar w:fldCharType="separate"/>
            </w:r>
            <w:r w:rsidR="00463F5A">
              <w:rPr>
                <w:webHidden/>
              </w:rPr>
              <w:t>122</w:t>
            </w:r>
            <w:r w:rsidR="00463F5A">
              <w:rPr>
                <w:webHidden/>
              </w:rPr>
              <w:fldChar w:fldCharType="end"/>
            </w:r>
          </w:hyperlink>
        </w:p>
        <w:p w14:paraId="5EB3CD50" w14:textId="5DA401CF" w:rsidR="00463F5A" w:rsidRDefault="0016341D">
          <w:pPr>
            <w:pStyle w:val="TOC2"/>
            <w:rPr>
              <w:rFonts w:asciiTheme="minorHAnsi" w:eastAsiaTheme="minorEastAsia" w:hAnsiTheme="minorHAnsi" w:cstheme="minorBidi"/>
              <w:sz w:val="22"/>
              <w:szCs w:val="22"/>
              <w:lang w:eastAsia="en-AU"/>
            </w:rPr>
          </w:pPr>
          <w:hyperlink w:anchor="_Toc4142139" w:history="1">
            <w:r w:rsidR="00463F5A" w:rsidRPr="005217E0">
              <w:rPr>
                <w:rStyle w:val="Hyperlink"/>
                <w:rFonts w:cs="Arial"/>
                <w:lang w:eastAsia="en-AU"/>
              </w:rPr>
              <w:t>4.19 Asset management accountability framework</w:t>
            </w:r>
            <w:r w:rsidR="00463F5A">
              <w:rPr>
                <w:webHidden/>
              </w:rPr>
              <w:tab/>
            </w:r>
            <w:r w:rsidR="00463F5A">
              <w:rPr>
                <w:webHidden/>
              </w:rPr>
              <w:fldChar w:fldCharType="begin"/>
            </w:r>
            <w:r w:rsidR="00463F5A">
              <w:rPr>
                <w:webHidden/>
              </w:rPr>
              <w:instrText xml:space="preserve"> PAGEREF _Toc4142139 \h </w:instrText>
            </w:r>
            <w:r w:rsidR="00463F5A">
              <w:rPr>
                <w:webHidden/>
              </w:rPr>
            </w:r>
            <w:r w:rsidR="00463F5A">
              <w:rPr>
                <w:webHidden/>
              </w:rPr>
              <w:fldChar w:fldCharType="separate"/>
            </w:r>
            <w:r w:rsidR="00463F5A">
              <w:rPr>
                <w:webHidden/>
              </w:rPr>
              <w:t>124</w:t>
            </w:r>
            <w:r w:rsidR="00463F5A">
              <w:rPr>
                <w:webHidden/>
              </w:rPr>
              <w:fldChar w:fldCharType="end"/>
            </w:r>
          </w:hyperlink>
        </w:p>
        <w:p w14:paraId="32D8615C" w14:textId="7688080B" w:rsidR="00463F5A" w:rsidRDefault="0016341D">
          <w:pPr>
            <w:pStyle w:val="TOC2"/>
            <w:rPr>
              <w:rFonts w:asciiTheme="minorHAnsi" w:eastAsiaTheme="minorEastAsia" w:hAnsiTheme="minorHAnsi" w:cstheme="minorBidi"/>
              <w:sz w:val="22"/>
              <w:szCs w:val="22"/>
              <w:lang w:eastAsia="en-AU"/>
            </w:rPr>
          </w:pPr>
          <w:hyperlink w:anchor="_Toc4142140" w:history="1">
            <w:r w:rsidR="00463F5A" w:rsidRPr="005217E0">
              <w:rPr>
                <w:rStyle w:val="Hyperlink"/>
                <w:rFonts w:cs="Arial"/>
                <w:lang w:eastAsia="en-AU"/>
              </w:rPr>
              <w:t>4.20 Victorian Carers Recognition Act</w:t>
            </w:r>
            <w:r w:rsidR="00463F5A">
              <w:rPr>
                <w:webHidden/>
              </w:rPr>
              <w:tab/>
            </w:r>
            <w:r w:rsidR="00463F5A">
              <w:rPr>
                <w:webHidden/>
              </w:rPr>
              <w:fldChar w:fldCharType="begin"/>
            </w:r>
            <w:r w:rsidR="00463F5A">
              <w:rPr>
                <w:webHidden/>
              </w:rPr>
              <w:instrText xml:space="preserve"> PAGEREF _Toc4142140 \h </w:instrText>
            </w:r>
            <w:r w:rsidR="00463F5A">
              <w:rPr>
                <w:webHidden/>
              </w:rPr>
            </w:r>
            <w:r w:rsidR="00463F5A">
              <w:rPr>
                <w:webHidden/>
              </w:rPr>
              <w:fldChar w:fldCharType="separate"/>
            </w:r>
            <w:r w:rsidR="00463F5A">
              <w:rPr>
                <w:webHidden/>
              </w:rPr>
              <w:t>124</w:t>
            </w:r>
            <w:r w:rsidR="00463F5A">
              <w:rPr>
                <w:webHidden/>
              </w:rPr>
              <w:fldChar w:fldCharType="end"/>
            </w:r>
          </w:hyperlink>
        </w:p>
        <w:p w14:paraId="321BE475" w14:textId="48FED109" w:rsidR="00463F5A" w:rsidRDefault="0016341D">
          <w:pPr>
            <w:pStyle w:val="TOC2"/>
            <w:rPr>
              <w:rFonts w:asciiTheme="minorHAnsi" w:eastAsiaTheme="minorEastAsia" w:hAnsiTheme="minorHAnsi" w:cstheme="minorBidi"/>
              <w:sz w:val="22"/>
              <w:szCs w:val="22"/>
              <w:lang w:eastAsia="en-AU"/>
            </w:rPr>
          </w:pPr>
          <w:hyperlink w:anchor="_Toc4142141" w:history="1">
            <w:r w:rsidR="00463F5A" w:rsidRPr="005217E0">
              <w:rPr>
                <w:rStyle w:val="Hyperlink"/>
                <w:rFonts w:cs="Arial"/>
                <w:lang w:eastAsia="en-AU"/>
              </w:rPr>
              <w:t>4.21 Hoarding and squalor resources</w:t>
            </w:r>
            <w:r w:rsidR="00463F5A">
              <w:rPr>
                <w:webHidden/>
              </w:rPr>
              <w:tab/>
            </w:r>
            <w:r w:rsidR="00463F5A">
              <w:rPr>
                <w:webHidden/>
              </w:rPr>
              <w:fldChar w:fldCharType="begin"/>
            </w:r>
            <w:r w:rsidR="00463F5A">
              <w:rPr>
                <w:webHidden/>
              </w:rPr>
              <w:instrText xml:space="preserve"> PAGEREF _Toc4142141 \h </w:instrText>
            </w:r>
            <w:r w:rsidR="00463F5A">
              <w:rPr>
                <w:webHidden/>
              </w:rPr>
            </w:r>
            <w:r w:rsidR="00463F5A">
              <w:rPr>
                <w:webHidden/>
              </w:rPr>
              <w:fldChar w:fldCharType="separate"/>
            </w:r>
            <w:r w:rsidR="00463F5A">
              <w:rPr>
                <w:webHidden/>
              </w:rPr>
              <w:t>126</w:t>
            </w:r>
            <w:r w:rsidR="00463F5A">
              <w:rPr>
                <w:webHidden/>
              </w:rPr>
              <w:fldChar w:fldCharType="end"/>
            </w:r>
          </w:hyperlink>
        </w:p>
        <w:p w14:paraId="731834C4" w14:textId="7B479919" w:rsidR="00463F5A" w:rsidRDefault="0016341D">
          <w:pPr>
            <w:pStyle w:val="TOC2"/>
            <w:rPr>
              <w:rFonts w:asciiTheme="minorHAnsi" w:eastAsiaTheme="minorEastAsia" w:hAnsiTheme="minorHAnsi" w:cstheme="minorBidi"/>
              <w:sz w:val="22"/>
              <w:szCs w:val="22"/>
              <w:lang w:eastAsia="en-AU"/>
            </w:rPr>
          </w:pPr>
          <w:hyperlink w:anchor="_Toc4142142" w:history="1">
            <w:r w:rsidR="00463F5A" w:rsidRPr="005217E0">
              <w:rPr>
                <w:rStyle w:val="Hyperlink"/>
                <w:rFonts w:cs="Arial"/>
                <w:lang w:eastAsia="en-AU"/>
              </w:rPr>
              <w:t>4.22 Child safe standards</w:t>
            </w:r>
            <w:r w:rsidR="00463F5A">
              <w:rPr>
                <w:webHidden/>
              </w:rPr>
              <w:tab/>
            </w:r>
            <w:r w:rsidR="00463F5A">
              <w:rPr>
                <w:webHidden/>
              </w:rPr>
              <w:fldChar w:fldCharType="begin"/>
            </w:r>
            <w:r w:rsidR="00463F5A">
              <w:rPr>
                <w:webHidden/>
              </w:rPr>
              <w:instrText xml:space="preserve"> PAGEREF _Toc4142142 \h </w:instrText>
            </w:r>
            <w:r w:rsidR="00463F5A">
              <w:rPr>
                <w:webHidden/>
              </w:rPr>
            </w:r>
            <w:r w:rsidR="00463F5A">
              <w:rPr>
                <w:webHidden/>
              </w:rPr>
              <w:fldChar w:fldCharType="separate"/>
            </w:r>
            <w:r w:rsidR="00463F5A">
              <w:rPr>
                <w:webHidden/>
              </w:rPr>
              <w:t>126</w:t>
            </w:r>
            <w:r w:rsidR="00463F5A">
              <w:rPr>
                <w:webHidden/>
              </w:rPr>
              <w:fldChar w:fldCharType="end"/>
            </w:r>
          </w:hyperlink>
        </w:p>
        <w:p w14:paraId="02AD425C" w14:textId="6AD8D746" w:rsidR="00463F5A" w:rsidRDefault="0016341D">
          <w:pPr>
            <w:pStyle w:val="TOC2"/>
            <w:rPr>
              <w:rFonts w:asciiTheme="minorHAnsi" w:eastAsiaTheme="minorEastAsia" w:hAnsiTheme="minorHAnsi" w:cstheme="minorBidi"/>
              <w:sz w:val="22"/>
              <w:szCs w:val="22"/>
              <w:lang w:eastAsia="en-AU"/>
            </w:rPr>
          </w:pPr>
          <w:hyperlink w:anchor="_Toc4142143" w:history="1">
            <w:r w:rsidR="00463F5A" w:rsidRPr="005217E0">
              <w:rPr>
                <w:rStyle w:val="Hyperlink"/>
                <w:rFonts w:cs="Arial"/>
                <w:lang w:eastAsia="en-AU"/>
              </w:rPr>
              <w:t>4.23 Reportable conduct scheme</w:t>
            </w:r>
            <w:r w:rsidR="00463F5A">
              <w:rPr>
                <w:webHidden/>
              </w:rPr>
              <w:tab/>
            </w:r>
            <w:r w:rsidR="00463F5A">
              <w:rPr>
                <w:webHidden/>
              </w:rPr>
              <w:fldChar w:fldCharType="begin"/>
            </w:r>
            <w:r w:rsidR="00463F5A">
              <w:rPr>
                <w:webHidden/>
              </w:rPr>
              <w:instrText xml:space="preserve"> PAGEREF _Toc4142143 \h </w:instrText>
            </w:r>
            <w:r w:rsidR="00463F5A">
              <w:rPr>
                <w:webHidden/>
              </w:rPr>
            </w:r>
            <w:r w:rsidR="00463F5A">
              <w:rPr>
                <w:webHidden/>
              </w:rPr>
              <w:fldChar w:fldCharType="separate"/>
            </w:r>
            <w:r w:rsidR="00463F5A">
              <w:rPr>
                <w:webHidden/>
              </w:rPr>
              <w:t>128</w:t>
            </w:r>
            <w:r w:rsidR="00463F5A">
              <w:rPr>
                <w:webHidden/>
              </w:rPr>
              <w:fldChar w:fldCharType="end"/>
            </w:r>
          </w:hyperlink>
        </w:p>
        <w:p w14:paraId="4BD78057" w14:textId="0795275D" w:rsidR="00463F5A" w:rsidRDefault="0016341D">
          <w:pPr>
            <w:pStyle w:val="TOC2"/>
            <w:rPr>
              <w:rFonts w:asciiTheme="minorHAnsi" w:eastAsiaTheme="minorEastAsia" w:hAnsiTheme="minorHAnsi" w:cstheme="minorBidi"/>
              <w:sz w:val="22"/>
              <w:szCs w:val="22"/>
              <w:lang w:eastAsia="en-AU"/>
            </w:rPr>
          </w:pPr>
          <w:hyperlink w:anchor="_Toc4142144" w:history="1">
            <w:r w:rsidR="00463F5A" w:rsidRPr="005217E0">
              <w:rPr>
                <w:rStyle w:val="Hyperlink"/>
                <w:rFonts w:cs="Arial"/>
                <w:lang w:eastAsia="en-AU"/>
              </w:rPr>
              <w:t>4.24 Fraud and corruption control framework</w:t>
            </w:r>
            <w:r w:rsidR="00463F5A">
              <w:rPr>
                <w:webHidden/>
              </w:rPr>
              <w:tab/>
            </w:r>
            <w:r w:rsidR="00463F5A">
              <w:rPr>
                <w:webHidden/>
              </w:rPr>
              <w:fldChar w:fldCharType="begin"/>
            </w:r>
            <w:r w:rsidR="00463F5A">
              <w:rPr>
                <w:webHidden/>
              </w:rPr>
              <w:instrText xml:space="preserve"> PAGEREF _Toc4142144 \h </w:instrText>
            </w:r>
            <w:r w:rsidR="00463F5A">
              <w:rPr>
                <w:webHidden/>
              </w:rPr>
            </w:r>
            <w:r w:rsidR="00463F5A">
              <w:rPr>
                <w:webHidden/>
              </w:rPr>
              <w:fldChar w:fldCharType="separate"/>
            </w:r>
            <w:r w:rsidR="00463F5A">
              <w:rPr>
                <w:webHidden/>
              </w:rPr>
              <w:t>129</w:t>
            </w:r>
            <w:r w:rsidR="00463F5A">
              <w:rPr>
                <w:webHidden/>
              </w:rPr>
              <w:fldChar w:fldCharType="end"/>
            </w:r>
          </w:hyperlink>
        </w:p>
        <w:p w14:paraId="256356F0" w14:textId="725B12E7" w:rsidR="00463F5A" w:rsidRDefault="0016341D">
          <w:pPr>
            <w:pStyle w:val="TOC2"/>
            <w:rPr>
              <w:rFonts w:asciiTheme="minorHAnsi" w:eastAsiaTheme="minorEastAsia" w:hAnsiTheme="minorHAnsi" w:cstheme="minorBidi"/>
              <w:sz w:val="22"/>
              <w:szCs w:val="22"/>
              <w:lang w:eastAsia="en-AU"/>
            </w:rPr>
          </w:pPr>
          <w:hyperlink w:anchor="_Toc4142145" w:history="1">
            <w:r w:rsidR="00463F5A" w:rsidRPr="005217E0">
              <w:rPr>
                <w:rStyle w:val="Hyperlink"/>
                <w:rFonts w:cs="Arial"/>
                <w:lang w:eastAsia="en-AU"/>
              </w:rPr>
              <w:t>4.25 Gifts, benefits and hospitality policy</w:t>
            </w:r>
            <w:r w:rsidR="00463F5A">
              <w:rPr>
                <w:webHidden/>
              </w:rPr>
              <w:tab/>
            </w:r>
            <w:r w:rsidR="00463F5A">
              <w:rPr>
                <w:webHidden/>
              </w:rPr>
              <w:fldChar w:fldCharType="begin"/>
            </w:r>
            <w:r w:rsidR="00463F5A">
              <w:rPr>
                <w:webHidden/>
              </w:rPr>
              <w:instrText xml:space="preserve"> PAGEREF _Toc4142145 \h </w:instrText>
            </w:r>
            <w:r w:rsidR="00463F5A">
              <w:rPr>
                <w:webHidden/>
              </w:rPr>
            </w:r>
            <w:r w:rsidR="00463F5A">
              <w:rPr>
                <w:webHidden/>
              </w:rPr>
              <w:fldChar w:fldCharType="separate"/>
            </w:r>
            <w:r w:rsidR="00463F5A">
              <w:rPr>
                <w:webHidden/>
              </w:rPr>
              <w:t>130</w:t>
            </w:r>
            <w:r w:rsidR="00463F5A">
              <w:rPr>
                <w:webHidden/>
              </w:rPr>
              <w:fldChar w:fldCharType="end"/>
            </w:r>
          </w:hyperlink>
        </w:p>
        <w:p w14:paraId="6F0AEAAF" w14:textId="0764573B" w:rsidR="00463F5A" w:rsidRDefault="0016341D">
          <w:pPr>
            <w:pStyle w:val="TOC1"/>
            <w:rPr>
              <w:rFonts w:asciiTheme="minorHAnsi" w:eastAsiaTheme="minorEastAsia" w:hAnsiTheme="minorHAnsi" w:cstheme="minorBidi"/>
              <w:b w:val="0"/>
              <w:sz w:val="22"/>
              <w:szCs w:val="22"/>
              <w:lang w:eastAsia="en-AU"/>
            </w:rPr>
          </w:pPr>
          <w:hyperlink w:anchor="_Toc4142146" w:history="1">
            <w:r w:rsidR="00463F5A" w:rsidRPr="005217E0">
              <w:rPr>
                <w:rStyle w:val="Hyperlink"/>
                <w:lang w:eastAsia="en-AU"/>
              </w:rPr>
              <w:t>Chapter 5. Department of Education and Training policies, procedures and initiatives</w:t>
            </w:r>
            <w:r w:rsidR="00463F5A">
              <w:rPr>
                <w:webHidden/>
              </w:rPr>
              <w:tab/>
            </w:r>
            <w:r w:rsidR="00463F5A">
              <w:rPr>
                <w:webHidden/>
              </w:rPr>
              <w:fldChar w:fldCharType="begin"/>
            </w:r>
            <w:r w:rsidR="00463F5A">
              <w:rPr>
                <w:webHidden/>
              </w:rPr>
              <w:instrText xml:space="preserve"> PAGEREF _Toc4142146 \h </w:instrText>
            </w:r>
            <w:r w:rsidR="00463F5A">
              <w:rPr>
                <w:webHidden/>
              </w:rPr>
            </w:r>
            <w:r w:rsidR="00463F5A">
              <w:rPr>
                <w:webHidden/>
              </w:rPr>
              <w:fldChar w:fldCharType="separate"/>
            </w:r>
            <w:r w:rsidR="00463F5A">
              <w:rPr>
                <w:webHidden/>
              </w:rPr>
              <w:t>132</w:t>
            </w:r>
            <w:r w:rsidR="00463F5A">
              <w:rPr>
                <w:webHidden/>
              </w:rPr>
              <w:fldChar w:fldCharType="end"/>
            </w:r>
          </w:hyperlink>
        </w:p>
        <w:p w14:paraId="10DA2FF1" w14:textId="671EF4FB" w:rsidR="00463F5A" w:rsidRDefault="0016341D">
          <w:pPr>
            <w:pStyle w:val="TOC2"/>
            <w:rPr>
              <w:rFonts w:asciiTheme="minorHAnsi" w:eastAsiaTheme="minorEastAsia" w:hAnsiTheme="minorHAnsi" w:cstheme="minorBidi"/>
              <w:sz w:val="22"/>
              <w:szCs w:val="22"/>
              <w:lang w:eastAsia="en-AU"/>
            </w:rPr>
          </w:pPr>
          <w:hyperlink w:anchor="_Toc4142147" w:history="1">
            <w:r w:rsidR="00463F5A" w:rsidRPr="005217E0">
              <w:rPr>
                <w:rStyle w:val="Hyperlink"/>
                <w:rFonts w:cs="Arial"/>
                <w:lang w:eastAsia="en-AU"/>
              </w:rPr>
              <w:t>5.1 Fire risk management</w:t>
            </w:r>
            <w:r w:rsidR="00463F5A">
              <w:rPr>
                <w:webHidden/>
              </w:rPr>
              <w:tab/>
            </w:r>
            <w:r w:rsidR="00463F5A">
              <w:rPr>
                <w:webHidden/>
              </w:rPr>
              <w:fldChar w:fldCharType="begin"/>
            </w:r>
            <w:r w:rsidR="00463F5A">
              <w:rPr>
                <w:webHidden/>
              </w:rPr>
              <w:instrText xml:space="preserve"> PAGEREF _Toc4142147 \h </w:instrText>
            </w:r>
            <w:r w:rsidR="00463F5A">
              <w:rPr>
                <w:webHidden/>
              </w:rPr>
            </w:r>
            <w:r w:rsidR="00463F5A">
              <w:rPr>
                <w:webHidden/>
              </w:rPr>
              <w:fldChar w:fldCharType="separate"/>
            </w:r>
            <w:r w:rsidR="00463F5A">
              <w:rPr>
                <w:webHidden/>
              </w:rPr>
              <w:t>132</w:t>
            </w:r>
            <w:r w:rsidR="00463F5A">
              <w:rPr>
                <w:webHidden/>
              </w:rPr>
              <w:fldChar w:fldCharType="end"/>
            </w:r>
          </w:hyperlink>
        </w:p>
        <w:p w14:paraId="1D6DE77A" w14:textId="28386063" w:rsidR="00463F5A" w:rsidRDefault="0016341D">
          <w:pPr>
            <w:pStyle w:val="TOC2"/>
            <w:rPr>
              <w:rFonts w:asciiTheme="minorHAnsi" w:eastAsiaTheme="minorEastAsia" w:hAnsiTheme="minorHAnsi" w:cstheme="minorBidi"/>
              <w:sz w:val="22"/>
              <w:szCs w:val="22"/>
              <w:lang w:eastAsia="en-AU"/>
            </w:rPr>
          </w:pPr>
          <w:hyperlink w:anchor="_Toc4142148"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_Toc4142148 \h </w:instrText>
            </w:r>
            <w:r w:rsidR="00463F5A">
              <w:rPr>
                <w:webHidden/>
              </w:rPr>
            </w:r>
            <w:r w:rsidR="00463F5A">
              <w:rPr>
                <w:webHidden/>
              </w:rPr>
              <w:fldChar w:fldCharType="separate"/>
            </w:r>
            <w:r w:rsidR="00463F5A">
              <w:rPr>
                <w:webHidden/>
              </w:rPr>
              <w:t>132</w:t>
            </w:r>
            <w:r w:rsidR="00463F5A">
              <w:rPr>
                <w:webHidden/>
              </w:rPr>
              <w:fldChar w:fldCharType="end"/>
            </w:r>
          </w:hyperlink>
        </w:p>
        <w:p w14:paraId="1C55EC45" w14:textId="3D74058F" w:rsidR="00463F5A" w:rsidRDefault="0016341D">
          <w:pPr>
            <w:pStyle w:val="TOC2"/>
            <w:rPr>
              <w:rFonts w:asciiTheme="minorHAnsi" w:eastAsiaTheme="minorEastAsia" w:hAnsiTheme="minorHAnsi" w:cstheme="minorBidi"/>
              <w:sz w:val="22"/>
              <w:szCs w:val="22"/>
              <w:lang w:eastAsia="en-AU"/>
            </w:rPr>
          </w:pPr>
          <w:hyperlink w:anchor="_Toc4142149" w:history="1">
            <w:r w:rsidR="00463F5A" w:rsidRPr="005217E0">
              <w:rPr>
                <w:rStyle w:val="Hyperlink"/>
                <w:rFonts w:cs="Arial"/>
                <w:lang w:eastAsia="en-AU"/>
              </w:rPr>
              <w:t>5.2 Asbestos risk management guidelines</w:t>
            </w:r>
            <w:r w:rsidR="00463F5A">
              <w:rPr>
                <w:webHidden/>
              </w:rPr>
              <w:tab/>
            </w:r>
            <w:r w:rsidR="00463F5A">
              <w:rPr>
                <w:webHidden/>
              </w:rPr>
              <w:fldChar w:fldCharType="begin"/>
            </w:r>
            <w:r w:rsidR="00463F5A">
              <w:rPr>
                <w:webHidden/>
              </w:rPr>
              <w:instrText xml:space="preserve"> PAGEREF _Toc4142149 \h </w:instrText>
            </w:r>
            <w:r w:rsidR="00463F5A">
              <w:rPr>
                <w:webHidden/>
              </w:rPr>
            </w:r>
            <w:r w:rsidR="00463F5A">
              <w:rPr>
                <w:webHidden/>
              </w:rPr>
              <w:fldChar w:fldCharType="separate"/>
            </w:r>
            <w:r w:rsidR="00463F5A">
              <w:rPr>
                <w:webHidden/>
              </w:rPr>
              <w:t>132</w:t>
            </w:r>
            <w:r w:rsidR="00463F5A">
              <w:rPr>
                <w:webHidden/>
              </w:rPr>
              <w:fldChar w:fldCharType="end"/>
            </w:r>
          </w:hyperlink>
        </w:p>
        <w:p w14:paraId="2755C858" w14:textId="6E265AB8" w:rsidR="00463F5A" w:rsidRDefault="0016341D">
          <w:pPr>
            <w:pStyle w:val="TOC2"/>
            <w:rPr>
              <w:rFonts w:asciiTheme="minorHAnsi" w:eastAsiaTheme="minorEastAsia" w:hAnsiTheme="minorHAnsi" w:cstheme="minorBidi"/>
              <w:sz w:val="22"/>
              <w:szCs w:val="22"/>
              <w:lang w:eastAsia="en-AU"/>
            </w:rPr>
          </w:pPr>
          <w:hyperlink w:anchor="_Toc4142150" w:history="1">
            <w:r w:rsidR="00463F5A" w:rsidRPr="005217E0">
              <w:rPr>
                <w:rStyle w:val="Hyperlink"/>
                <w:rFonts w:cs="Arial"/>
                <w:lang w:eastAsia="en-AU"/>
              </w:rPr>
              <w:t>5.3 Incident reporting</w:t>
            </w:r>
            <w:r w:rsidR="00463F5A">
              <w:rPr>
                <w:webHidden/>
              </w:rPr>
              <w:tab/>
            </w:r>
            <w:r w:rsidR="00463F5A">
              <w:rPr>
                <w:webHidden/>
              </w:rPr>
              <w:fldChar w:fldCharType="begin"/>
            </w:r>
            <w:r w:rsidR="00463F5A">
              <w:rPr>
                <w:webHidden/>
              </w:rPr>
              <w:instrText xml:space="preserve"> PAGEREF _Toc4142150 \h </w:instrText>
            </w:r>
            <w:r w:rsidR="00463F5A">
              <w:rPr>
                <w:webHidden/>
              </w:rPr>
            </w:r>
            <w:r w:rsidR="00463F5A">
              <w:rPr>
                <w:webHidden/>
              </w:rPr>
              <w:fldChar w:fldCharType="separate"/>
            </w:r>
            <w:r w:rsidR="00463F5A">
              <w:rPr>
                <w:webHidden/>
              </w:rPr>
              <w:t>132</w:t>
            </w:r>
            <w:r w:rsidR="00463F5A">
              <w:rPr>
                <w:webHidden/>
              </w:rPr>
              <w:fldChar w:fldCharType="end"/>
            </w:r>
          </w:hyperlink>
        </w:p>
        <w:p w14:paraId="20F39111" w14:textId="7982B00B" w:rsidR="00463F5A" w:rsidRDefault="0016341D">
          <w:pPr>
            <w:pStyle w:val="TOC2"/>
            <w:rPr>
              <w:rFonts w:asciiTheme="minorHAnsi" w:eastAsiaTheme="minorEastAsia" w:hAnsiTheme="minorHAnsi" w:cstheme="minorBidi"/>
              <w:sz w:val="22"/>
              <w:szCs w:val="22"/>
              <w:lang w:eastAsia="en-AU"/>
            </w:rPr>
          </w:pPr>
          <w:hyperlink w:anchor="_Toc4142151" w:history="1">
            <w:r w:rsidR="00463F5A" w:rsidRPr="005217E0">
              <w:rPr>
                <w:rStyle w:val="Hyperlink"/>
                <w:rFonts w:cs="Arial"/>
                <w:lang w:eastAsia="en-AU"/>
              </w:rPr>
              <w:t>5.4 Compliment and complaint management</w:t>
            </w:r>
            <w:r w:rsidR="00463F5A">
              <w:rPr>
                <w:webHidden/>
              </w:rPr>
              <w:tab/>
            </w:r>
            <w:r w:rsidR="00463F5A">
              <w:rPr>
                <w:webHidden/>
              </w:rPr>
              <w:fldChar w:fldCharType="begin"/>
            </w:r>
            <w:r w:rsidR="00463F5A">
              <w:rPr>
                <w:webHidden/>
              </w:rPr>
              <w:instrText xml:space="preserve"> PAGEREF _Toc4142151 \h </w:instrText>
            </w:r>
            <w:r w:rsidR="00463F5A">
              <w:rPr>
                <w:webHidden/>
              </w:rPr>
            </w:r>
            <w:r w:rsidR="00463F5A">
              <w:rPr>
                <w:webHidden/>
              </w:rPr>
              <w:fldChar w:fldCharType="separate"/>
            </w:r>
            <w:r w:rsidR="00463F5A">
              <w:rPr>
                <w:webHidden/>
              </w:rPr>
              <w:t>135</w:t>
            </w:r>
            <w:r w:rsidR="00463F5A">
              <w:rPr>
                <w:webHidden/>
              </w:rPr>
              <w:fldChar w:fldCharType="end"/>
            </w:r>
          </w:hyperlink>
        </w:p>
        <w:p w14:paraId="3B10FC63" w14:textId="2838A662" w:rsidR="00463F5A" w:rsidRDefault="0016341D">
          <w:pPr>
            <w:pStyle w:val="TOC2"/>
            <w:rPr>
              <w:rFonts w:asciiTheme="minorHAnsi" w:eastAsiaTheme="minorEastAsia" w:hAnsiTheme="minorHAnsi" w:cstheme="minorBidi"/>
              <w:sz w:val="22"/>
              <w:szCs w:val="22"/>
              <w:lang w:eastAsia="en-AU"/>
            </w:rPr>
          </w:pPr>
          <w:hyperlink w:anchor="_Toc4142152" w:history="1">
            <w:r w:rsidR="00463F5A" w:rsidRPr="005217E0">
              <w:rPr>
                <w:rStyle w:val="Hyperlink"/>
                <w:rFonts w:cs="Arial"/>
                <w:lang w:eastAsia="en-AU"/>
              </w:rPr>
              <w:t>5.5 Safety screening for funded organisations</w:t>
            </w:r>
            <w:r w:rsidR="00463F5A">
              <w:rPr>
                <w:webHidden/>
              </w:rPr>
              <w:tab/>
            </w:r>
            <w:r w:rsidR="00463F5A">
              <w:rPr>
                <w:webHidden/>
              </w:rPr>
              <w:fldChar w:fldCharType="begin"/>
            </w:r>
            <w:r w:rsidR="00463F5A">
              <w:rPr>
                <w:webHidden/>
              </w:rPr>
              <w:instrText xml:space="preserve"> PAGEREF _Toc4142152 \h </w:instrText>
            </w:r>
            <w:r w:rsidR="00463F5A">
              <w:rPr>
                <w:webHidden/>
              </w:rPr>
            </w:r>
            <w:r w:rsidR="00463F5A">
              <w:rPr>
                <w:webHidden/>
              </w:rPr>
              <w:fldChar w:fldCharType="separate"/>
            </w:r>
            <w:r w:rsidR="00463F5A">
              <w:rPr>
                <w:webHidden/>
              </w:rPr>
              <w:t>137</w:t>
            </w:r>
            <w:r w:rsidR="00463F5A">
              <w:rPr>
                <w:webHidden/>
              </w:rPr>
              <w:fldChar w:fldCharType="end"/>
            </w:r>
          </w:hyperlink>
        </w:p>
        <w:p w14:paraId="15AF392F" w14:textId="3A287ADA" w:rsidR="00463F5A" w:rsidRDefault="0016341D">
          <w:pPr>
            <w:pStyle w:val="TOC2"/>
            <w:rPr>
              <w:rFonts w:asciiTheme="minorHAnsi" w:eastAsiaTheme="minorEastAsia" w:hAnsiTheme="minorHAnsi" w:cstheme="minorBidi"/>
              <w:sz w:val="22"/>
              <w:szCs w:val="22"/>
              <w:lang w:eastAsia="en-AU"/>
            </w:rPr>
          </w:pPr>
          <w:hyperlink w:anchor="_Toc4142153" w:history="1">
            <w:r w:rsidR="00463F5A" w:rsidRPr="005217E0">
              <w:rPr>
                <w:rStyle w:val="Hyperlink"/>
                <w:rFonts w:cs="Arial"/>
                <w:lang w:eastAsia="en-AU"/>
              </w:rPr>
              <w:t>5.6 Occupational health and safety</w:t>
            </w:r>
            <w:r w:rsidR="00463F5A">
              <w:rPr>
                <w:webHidden/>
              </w:rPr>
              <w:tab/>
            </w:r>
            <w:r w:rsidR="00463F5A">
              <w:rPr>
                <w:webHidden/>
              </w:rPr>
              <w:fldChar w:fldCharType="begin"/>
            </w:r>
            <w:r w:rsidR="00463F5A">
              <w:rPr>
                <w:webHidden/>
              </w:rPr>
              <w:instrText xml:space="preserve"> PAGEREF _Toc4142153 \h </w:instrText>
            </w:r>
            <w:r w:rsidR="00463F5A">
              <w:rPr>
                <w:webHidden/>
              </w:rPr>
            </w:r>
            <w:r w:rsidR="00463F5A">
              <w:rPr>
                <w:webHidden/>
              </w:rPr>
              <w:fldChar w:fldCharType="separate"/>
            </w:r>
            <w:r w:rsidR="00463F5A">
              <w:rPr>
                <w:webHidden/>
              </w:rPr>
              <w:t>140</w:t>
            </w:r>
            <w:r w:rsidR="00463F5A">
              <w:rPr>
                <w:webHidden/>
              </w:rPr>
              <w:fldChar w:fldCharType="end"/>
            </w:r>
          </w:hyperlink>
        </w:p>
        <w:p w14:paraId="7E318408" w14:textId="1934ACA8" w:rsidR="00463F5A" w:rsidRDefault="0016341D">
          <w:pPr>
            <w:pStyle w:val="TOC2"/>
            <w:rPr>
              <w:rFonts w:asciiTheme="minorHAnsi" w:eastAsiaTheme="minorEastAsia" w:hAnsiTheme="minorHAnsi" w:cstheme="minorBidi"/>
              <w:sz w:val="22"/>
              <w:szCs w:val="22"/>
              <w:lang w:eastAsia="en-AU"/>
            </w:rPr>
          </w:pPr>
          <w:hyperlink w:anchor="_Toc4142154" w:history="1">
            <w:r w:rsidR="00463F5A" w:rsidRPr="005217E0">
              <w:rPr>
                <w:rStyle w:val="Hyperlink"/>
                <w:lang w:eastAsia="en-AU"/>
              </w:rPr>
              <w:t>5.7 Workers Compensation</w:t>
            </w:r>
            <w:r w:rsidR="00463F5A">
              <w:rPr>
                <w:webHidden/>
              </w:rPr>
              <w:tab/>
            </w:r>
            <w:r w:rsidR="00463F5A">
              <w:rPr>
                <w:webHidden/>
              </w:rPr>
              <w:fldChar w:fldCharType="begin"/>
            </w:r>
            <w:r w:rsidR="00463F5A">
              <w:rPr>
                <w:webHidden/>
              </w:rPr>
              <w:instrText xml:space="preserve"> PAGEREF _Toc4142154 \h </w:instrText>
            </w:r>
            <w:r w:rsidR="00463F5A">
              <w:rPr>
                <w:webHidden/>
              </w:rPr>
            </w:r>
            <w:r w:rsidR="00463F5A">
              <w:rPr>
                <w:webHidden/>
              </w:rPr>
              <w:fldChar w:fldCharType="separate"/>
            </w:r>
            <w:r w:rsidR="00463F5A">
              <w:rPr>
                <w:webHidden/>
              </w:rPr>
              <w:t>143</w:t>
            </w:r>
            <w:r w:rsidR="00463F5A">
              <w:rPr>
                <w:webHidden/>
              </w:rPr>
              <w:fldChar w:fldCharType="end"/>
            </w:r>
          </w:hyperlink>
        </w:p>
        <w:p w14:paraId="4CA31D71" w14:textId="39648588" w:rsidR="00463F5A" w:rsidRDefault="0016341D">
          <w:pPr>
            <w:pStyle w:val="TOC2"/>
            <w:rPr>
              <w:rFonts w:asciiTheme="minorHAnsi" w:eastAsiaTheme="minorEastAsia" w:hAnsiTheme="minorHAnsi" w:cstheme="minorBidi"/>
              <w:sz w:val="22"/>
              <w:szCs w:val="22"/>
              <w:lang w:eastAsia="en-AU"/>
            </w:rPr>
          </w:pPr>
          <w:hyperlink w:anchor="_Toc4142155" w:history="1">
            <w:r w:rsidR="00463F5A" w:rsidRPr="005217E0">
              <w:rPr>
                <w:rStyle w:val="Hyperlink"/>
                <w:rFonts w:cs="Arial"/>
                <w:lang w:eastAsia="en-AU"/>
              </w:rPr>
              <w:t>5.8 Victorian Charter of Human Rights and Responsibilities</w:t>
            </w:r>
            <w:r w:rsidR="00463F5A">
              <w:rPr>
                <w:webHidden/>
              </w:rPr>
              <w:tab/>
            </w:r>
            <w:r w:rsidR="00463F5A">
              <w:rPr>
                <w:webHidden/>
              </w:rPr>
              <w:fldChar w:fldCharType="begin"/>
            </w:r>
            <w:r w:rsidR="00463F5A">
              <w:rPr>
                <w:webHidden/>
              </w:rPr>
              <w:instrText xml:space="preserve"> PAGEREF _Toc4142155 \h </w:instrText>
            </w:r>
            <w:r w:rsidR="00463F5A">
              <w:rPr>
                <w:webHidden/>
              </w:rPr>
            </w:r>
            <w:r w:rsidR="00463F5A">
              <w:rPr>
                <w:webHidden/>
              </w:rPr>
              <w:fldChar w:fldCharType="separate"/>
            </w:r>
            <w:r w:rsidR="00463F5A">
              <w:rPr>
                <w:webHidden/>
              </w:rPr>
              <w:t>144</w:t>
            </w:r>
            <w:r w:rsidR="00463F5A">
              <w:rPr>
                <w:webHidden/>
              </w:rPr>
              <w:fldChar w:fldCharType="end"/>
            </w:r>
          </w:hyperlink>
        </w:p>
        <w:p w14:paraId="28AD5FAE" w14:textId="61724EC6" w:rsidR="00463F5A" w:rsidRDefault="0016341D">
          <w:pPr>
            <w:pStyle w:val="TOC2"/>
            <w:rPr>
              <w:rFonts w:asciiTheme="minorHAnsi" w:eastAsiaTheme="minorEastAsia" w:hAnsiTheme="minorHAnsi" w:cstheme="minorBidi"/>
              <w:sz w:val="22"/>
              <w:szCs w:val="22"/>
              <w:lang w:eastAsia="en-AU"/>
            </w:rPr>
          </w:pPr>
          <w:hyperlink w:anchor="_Toc4142156" w:history="1">
            <w:r w:rsidR="00463F5A" w:rsidRPr="005217E0">
              <w:rPr>
                <w:rStyle w:val="Hyperlink"/>
                <w:rFonts w:cs="Arial"/>
                <w:lang w:eastAsia="en-AU"/>
              </w:rPr>
              <w:t>5.9 Funded Organisation Performance Monitoring Framework</w:t>
            </w:r>
            <w:r w:rsidR="00463F5A">
              <w:rPr>
                <w:webHidden/>
              </w:rPr>
              <w:tab/>
            </w:r>
            <w:r w:rsidR="00463F5A">
              <w:rPr>
                <w:webHidden/>
              </w:rPr>
              <w:fldChar w:fldCharType="begin"/>
            </w:r>
            <w:r w:rsidR="00463F5A">
              <w:rPr>
                <w:webHidden/>
              </w:rPr>
              <w:instrText xml:space="preserve"> PAGEREF _Toc4142156 \h </w:instrText>
            </w:r>
            <w:r w:rsidR="00463F5A">
              <w:rPr>
                <w:webHidden/>
              </w:rPr>
            </w:r>
            <w:r w:rsidR="00463F5A">
              <w:rPr>
                <w:webHidden/>
              </w:rPr>
              <w:fldChar w:fldCharType="separate"/>
            </w:r>
            <w:r w:rsidR="00463F5A">
              <w:rPr>
                <w:webHidden/>
              </w:rPr>
              <w:t>147</w:t>
            </w:r>
            <w:r w:rsidR="00463F5A">
              <w:rPr>
                <w:webHidden/>
              </w:rPr>
              <w:fldChar w:fldCharType="end"/>
            </w:r>
          </w:hyperlink>
        </w:p>
        <w:p w14:paraId="1E3C51B5" w14:textId="26BB232A" w:rsidR="00463F5A" w:rsidRDefault="0016341D">
          <w:pPr>
            <w:pStyle w:val="TOC2"/>
            <w:rPr>
              <w:rFonts w:asciiTheme="minorHAnsi" w:eastAsiaTheme="minorEastAsia" w:hAnsiTheme="minorHAnsi" w:cstheme="minorBidi"/>
              <w:sz w:val="22"/>
              <w:szCs w:val="22"/>
              <w:lang w:eastAsia="en-AU"/>
            </w:rPr>
          </w:pPr>
          <w:hyperlink w:anchor="_Toc4142157" w:history="1">
            <w:r w:rsidR="00463F5A" w:rsidRPr="005217E0">
              <w:rPr>
                <w:rStyle w:val="Hyperlink"/>
                <w:rFonts w:cs="Arial"/>
                <w:lang w:eastAsia="en-AU"/>
              </w:rPr>
              <w:t>5.10 Pandemic business continuity planning</w:t>
            </w:r>
            <w:r w:rsidR="00463F5A">
              <w:rPr>
                <w:webHidden/>
              </w:rPr>
              <w:tab/>
            </w:r>
            <w:r w:rsidR="00463F5A">
              <w:rPr>
                <w:webHidden/>
              </w:rPr>
              <w:fldChar w:fldCharType="begin"/>
            </w:r>
            <w:r w:rsidR="00463F5A">
              <w:rPr>
                <w:webHidden/>
              </w:rPr>
              <w:instrText xml:space="preserve"> PAGEREF _Toc4142157 \h </w:instrText>
            </w:r>
            <w:r w:rsidR="00463F5A">
              <w:rPr>
                <w:webHidden/>
              </w:rPr>
            </w:r>
            <w:r w:rsidR="00463F5A">
              <w:rPr>
                <w:webHidden/>
              </w:rPr>
              <w:fldChar w:fldCharType="separate"/>
            </w:r>
            <w:r w:rsidR="00463F5A">
              <w:rPr>
                <w:webHidden/>
              </w:rPr>
              <w:t>148</w:t>
            </w:r>
            <w:r w:rsidR="00463F5A">
              <w:rPr>
                <w:webHidden/>
              </w:rPr>
              <w:fldChar w:fldCharType="end"/>
            </w:r>
          </w:hyperlink>
        </w:p>
        <w:p w14:paraId="0B1748C6" w14:textId="0AB53E2A" w:rsidR="00463F5A" w:rsidRDefault="0016341D">
          <w:pPr>
            <w:pStyle w:val="TOC2"/>
            <w:rPr>
              <w:rFonts w:asciiTheme="minorHAnsi" w:eastAsiaTheme="minorEastAsia" w:hAnsiTheme="minorHAnsi" w:cstheme="minorBidi"/>
              <w:sz w:val="22"/>
              <w:szCs w:val="22"/>
              <w:lang w:eastAsia="en-AU"/>
            </w:rPr>
          </w:pPr>
          <w:hyperlink w:anchor="_Toc4142158" w:history="1">
            <w:r w:rsidR="00463F5A" w:rsidRPr="005217E0">
              <w:rPr>
                <w:rStyle w:val="Hyperlink"/>
                <w:rFonts w:cs="Arial"/>
                <w:lang w:eastAsia="en-AU"/>
              </w:rPr>
              <w:t>5.11 Climate change adaptation and environmental sustainability</w:t>
            </w:r>
            <w:r w:rsidR="00463F5A">
              <w:rPr>
                <w:webHidden/>
              </w:rPr>
              <w:tab/>
            </w:r>
            <w:r w:rsidR="00463F5A">
              <w:rPr>
                <w:webHidden/>
              </w:rPr>
              <w:fldChar w:fldCharType="begin"/>
            </w:r>
            <w:r w:rsidR="00463F5A">
              <w:rPr>
                <w:webHidden/>
              </w:rPr>
              <w:instrText xml:space="preserve"> PAGEREF _Toc4142158 \h </w:instrText>
            </w:r>
            <w:r w:rsidR="00463F5A">
              <w:rPr>
                <w:webHidden/>
              </w:rPr>
            </w:r>
            <w:r w:rsidR="00463F5A">
              <w:rPr>
                <w:webHidden/>
              </w:rPr>
              <w:fldChar w:fldCharType="separate"/>
            </w:r>
            <w:r w:rsidR="00463F5A">
              <w:rPr>
                <w:webHidden/>
              </w:rPr>
              <w:t>149</w:t>
            </w:r>
            <w:r w:rsidR="00463F5A">
              <w:rPr>
                <w:webHidden/>
              </w:rPr>
              <w:fldChar w:fldCharType="end"/>
            </w:r>
          </w:hyperlink>
        </w:p>
        <w:p w14:paraId="174F9A5D" w14:textId="171040B9" w:rsidR="00463F5A" w:rsidRDefault="0016341D">
          <w:pPr>
            <w:pStyle w:val="TOC2"/>
            <w:rPr>
              <w:rFonts w:asciiTheme="minorHAnsi" w:eastAsiaTheme="minorEastAsia" w:hAnsiTheme="minorHAnsi" w:cstheme="minorBidi"/>
              <w:sz w:val="22"/>
              <w:szCs w:val="22"/>
              <w:lang w:eastAsia="en-AU"/>
            </w:rPr>
          </w:pPr>
          <w:hyperlink w:anchor="_Toc4142159" w:history="1">
            <w:r w:rsidR="00463F5A" w:rsidRPr="005217E0">
              <w:rPr>
                <w:rStyle w:val="Hyperlink"/>
                <w:rFonts w:cs="Arial"/>
                <w:lang w:eastAsia="en-AU"/>
              </w:rPr>
              <w:t>5.12 Language services</w:t>
            </w:r>
            <w:r w:rsidR="00463F5A">
              <w:rPr>
                <w:webHidden/>
              </w:rPr>
              <w:tab/>
            </w:r>
            <w:r w:rsidR="00463F5A">
              <w:rPr>
                <w:webHidden/>
              </w:rPr>
              <w:fldChar w:fldCharType="begin"/>
            </w:r>
            <w:r w:rsidR="00463F5A">
              <w:rPr>
                <w:webHidden/>
              </w:rPr>
              <w:instrText xml:space="preserve"> PAGEREF _Toc4142159 \h </w:instrText>
            </w:r>
            <w:r w:rsidR="00463F5A">
              <w:rPr>
                <w:webHidden/>
              </w:rPr>
            </w:r>
            <w:r w:rsidR="00463F5A">
              <w:rPr>
                <w:webHidden/>
              </w:rPr>
              <w:fldChar w:fldCharType="separate"/>
            </w:r>
            <w:r w:rsidR="00463F5A">
              <w:rPr>
                <w:webHidden/>
              </w:rPr>
              <w:t>150</w:t>
            </w:r>
            <w:r w:rsidR="00463F5A">
              <w:rPr>
                <w:webHidden/>
              </w:rPr>
              <w:fldChar w:fldCharType="end"/>
            </w:r>
          </w:hyperlink>
        </w:p>
        <w:p w14:paraId="63E1B1BB" w14:textId="18F8F3E1" w:rsidR="00463F5A" w:rsidRDefault="0016341D">
          <w:pPr>
            <w:pStyle w:val="TOC3"/>
            <w:rPr>
              <w:rFonts w:asciiTheme="minorHAnsi" w:eastAsiaTheme="minorEastAsia" w:hAnsiTheme="minorHAnsi" w:cstheme="minorBidi"/>
              <w:noProof/>
              <w:sz w:val="22"/>
              <w:szCs w:val="22"/>
              <w:lang w:eastAsia="en-AU"/>
            </w:rPr>
          </w:pPr>
          <w:hyperlink w:anchor="_Toc4142160" w:history="1">
            <w:r w:rsidR="00463F5A" w:rsidRPr="005217E0">
              <w:rPr>
                <w:rStyle w:val="Hyperlink"/>
                <w:noProof/>
                <w:lang w:eastAsia="en-AU"/>
              </w:rPr>
              <w:t>Department of Education and Training</w:t>
            </w:r>
            <w:r w:rsidR="00463F5A">
              <w:rPr>
                <w:noProof/>
                <w:webHidden/>
              </w:rPr>
              <w:tab/>
            </w:r>
            <w:r w:rsidR="00463F5A">
              <w:rPr>
                <w:noProof/>
                <w:webHidden/>
              </w:rPr>
              <w:fldChar w:fldCharType="begin"/>
            </w:r>
            <w:r w:rsidR="00463F5A">
              <w:rPr>
                <w:noProof/>
                <w:webHidden/>
              </w:rPr>
              <w:instrText xml:space="preserve"> PAGEREF _Toc4142160 \h </w:instrText>
            </w:r>
            <w:r w:rsidR="00463F5A">
              <w:rPr>
                <w:noProof/>
                <w:webHidden/>
              </w:rPr>
            </w:r>
            <w:r w:rsidR="00463F5A">
              <w:rPr>
                <w:noProof/>
                <w:webHidden/>
              </w:rPr>
              <w:fldChar w:fldCharType="separate"/>
            </w:r>
            <w:r w:rsidR="00463F5A">
              <w:rPr>
                <w:noProof/>
                <w:webHidden/>
              </w:rPr>
              <w:t>150</w:t>
            </w:r>
            <w:r w:rsidR="00463F5A">
              <w:rPr>
                <w:noProof/>
                <w:webHidden/>
              </w:rPr>
              <w:fldChar w:fldCharType="end"/>
            </w:r>
          </w:hyperlink>
        </w:p>
        <w:p w14:paraId="646C4BDE" w14:textId="571BA94E" w:rsidR="00463F5A" w:rsidRDefault="0016341D">
          <w:pPr>
            <w:pStyle w:val="TOC2"/>
            <w:rPr>
              <w:rFonts w:asciiTheme="minorHAnsi" w:eastAsiaTheme="minorEastAsia" w:hAnsiTheme="minorHAnsi" w:cstheme="minorBidi"/>
              <w:sz w:val="22"/>
              <w:szCs w:val="22"/>
              <w:lang w:eastAsia="en-AU"/>
            </w:rPr>
          </w:pPr>
          <w:hyperlink w:anchor="_Toc4142161" w:history="1">
            <w:r w:rsidR="00463F5A" w:rsidRPr="005217E0">
              <w:rPr>
                <w:rStyle w:val="Hyperlink"/>
                <w:rFonts w:cs="Arial"/>
                <w:lang w:eastAsia="en-AU"/>
              </w:rPr>
              <w:t>5.13 Cultural diversity planning</w:t>
            </w:r>
            <w:r w:rsidR="00463F5A">
              <w:rPr>
                <w:webHidden/>
              </w:rPr>
              <w:tab/>
            </w:r>
            <w:r w:rsidR="00463F5A">
              <w:rPr>
                <w:webHidden/>
              </w:rPr>
              <w:fldChar w:fldCharType="begin"/>
            </w:r>
            <w:r w:rsidR="00463F5A">
              <w:rPr>
                <w:webHidden/>
              </w:rPr>
              <w:instrText xml:space="preserve"> PAGEREF _Toc4142161 \h </w:instrText>
            </w:r>
            <w:r w:rsidR="00463F5A">
              <w:rPr>
                <w:webHidden/>
              </w:rPr>
            </w:r>
            <w:r w:rsidR="00463F5A">
              <w:rPr>
                <w:webHidden/>
              </w:rPr>
              <w:fldChar w:fldCharType="separate"/>
            </w:r>
            <w:r w:rsidR="00463F5A">
              <w:rPr>
                <w:webHidden/>
              </w:rPr>
              <w:t>150</w:t>
            </w:r>
            <w:r w:rsidR="00463F5A">
              <w:rPr>
                <w:webHidden/>
              </w:rPr>
              <w:fldChar w:fldCharType="end"/>
            </w:r>
          </w:hyperlink>
        </w:p>
        <w:p w14:paraId="29A763EF" w14:textId="679CF354" w:rsidR="00463F5A" w:rsidRDefault="0016341D">
          <w:pPr>
            <w:pStyle w:val="TOC2"/>
            <w:rPr>
              <w:rFonts w:asciiTheme="minorHAnsi" w:eastAsiaTheme="minorEastAsia" w:hAnsiTheme="minorHAnsi" w:cstheme="minorBidi"/>
              <w:sz w:val="22"/>
              <w:szCs w:val="22"/>
              <w:lang w:eastAsia="en-AU"/>
            </w:rPr>
          </w:pPr>
          <w:hyperlink w:anchor="_Toc4142162"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_Toc4142162 \h </w:instrText>
            </w:r>
            <w:r w:rsidR="00463F5A">
              <w:rPr>
                <w:webHidden/>
              </w:rPr>
            </w:r>
            <w:r w:rsidR="00463F5A">
              <w:rPr>
                <w:webHidden/>
              </w:rPr>
              <w:fldChar w:fldCharType="separate"/>
            </w:r>
            <w:r w:rsidR="00463F5A">
              <w:rPr>
                <w:webHidden/>
              </w:rPr>
              <w:t>150</w:t>
            </w:r>
            <w:r w:rsidR="00463F5A">
              <w:rPr>
                <w:webHidden/>
              </w:rPr>
              <w:fldChar w:fldCharType="end"/>
            </w:r>
          </w:hyperlink>
        </w:p>
        <w:p w14:paraId="15B18AF6" w14:textId="0C0F5473" w:rsidR="00463F5A" w:rsidRDefault="0016341D">
          <w:pPr>
            <w:pStyle w:val="TOC2"/>
            <w:rPr>
              <w:rFonts w:asciiTheme="minorHAnsi" w:eastAsiaTheme="minorEastAsia" w:hAnsiTheme="minorHAnsi" w:cstheme="minorBidi"/>
              <w:sz w:val="22"/>
              <w:szCs w:val="22"/>
              <w:lang w:eastAsia="en-AU"/>
            </w:rPr>
          </w:pPr>
          <w:hyperlink w:anchor="_Toc4142163" w:history="1">
            <w:r w:rsidR="00463F5A" w:rsidRPr="005217E0">
              <w:rPr>
                <w:rStyle w:val="Hyperlink"/>
                <w:rFonts w:cs="Arial"/>
                <w:lang w:eastAsia="en-AU"/>
              </w:rPr>
              <w:t>5.14 Improving inclusion and access for Aboriginal people and communities</w:t>
            </w:r>
            <w:r w:rsidR="00463F5A">
              <w:rPr>
                <w:webHidden/>
              </w:rPr>
              <w:tab/>
            </w:r>
            <w:r w:rsidR="00463F5A">
              <w:rPr>
                <w:webHidden/>
              </w:rPr>
              <w:fldChar w:fldCharType="begin"/>
            </w:r>
            <w:r w:rsidR="00463F5A">
              <w:rPr>
                <w:webHidden/>
              </w:rPr>
              <w:instrText xml:space="preserve"> PAGEREF _Toc4142163 \h </w:instrText>
            </w:r>
            <w:r w:rsidR="00463F5A">
              <w:rPr>
                <w:webHidden/>
              </w:rPr>
            </w:r>
            <w:r w:rsidR="00463F5A">
              <w:rPr>
                <w:webHidden/>
              </w:rPr>
              <w:fldChar w:fldCharType="separate"/>
            </w:r>
            <w:r w:rsidR="00463F5A">
              <w:rPr>
                <w:webHidden/>
              </w:rPr>
              <w:t>150</w:t>
            </w:r>
            <w:r w:rsidR="00463F5A">
              <w:rPr>
                <w:webHidden/>
              </w:rPr>
              <w:fldChar w:fldCharType="end"/>
            </w:r>
          </w:hyperlink>
        </w:p>
        <w:p w14:paraId="572CCF9D" w14:textId="0FCF18DA" w:rsidR="00463F5A" w:rsidRDefault="0016341D">
          <w:pPr>
            <w:pStyle w:val="TOC2"/>
            <w:rPr>
              <w:rFonts w:asciiTheme="minorHAnsi" w:eastAsiaTheme="minorEastAsia" w:hAnsiTheme="minorHAnsi" w:cstheme="minorBidi"/>
              <w:sz w:val="22"/>
              <w:szCs w:val="22"/>
              <w:lang w:eastAsia="en-AU"/>
            </w:rPr>
          </w:pPr>
          <w:hyperlink w:anchor="_Toc4142164" w:history="1">
            <w:r w:rsidR="00463F5A" w:rsidRPr="005217E0">
              <w:rPr>
                <w:rStyle w:val="Hyperlink"/>
                <w:rFonts w:cs="Arial"/>
                <w:lang w:eastAsia="en-AU"/>
              </w:rPr>
              <w:t>5.15 Multiple and complex needs initiative (MACNI)</w:t>
            </w:r>
            <w:r w:rsidR="00463F5A">
              <w:rPr>
                <w:webHidden/>
              </w:rPr>
              <w:tab/>
            </w:r>
            <w:r w:rsidR="00463F5A">
              <w:rPr>
                <w:webHidden/>
              </w:rPr>
              <w:fldChar w:fldCharType="begin"/>
            </w:r>
            <w:r w:rsidR="00463F5A">
              <w:rPr>
                <w:webHidden/>
              </w:rPr>
              <w:instrText xml:space="preserve"> PAGEREF _Toc4142164 \h </w:instrText>
            </w:r>
            <w:r w:rsidR="00463F5A">
              <w:rPr>
                <w:webHidden/>
              </w:rPr>
            </w:r>
            <w:r w:rsidR="00463F5A">
              <w:rPr>
                <w:webHidden/>
              </w:rPr>
              <w:fldChar w:fldCharType="separate"/>
            </w:r>
            <w:r w:rsidR="00463F5A">
              <w:rPr>
                <w:webHidden/>
              </w:rPr>
              <w:t>152</w:t>
            </w:r>
            <w:r w:rsidR="00463F5A">
              <w:rPr>
                <w:webHidden/>
              </w:rPr>
              <w:fldChar w:fldCharType="end"/>
            </w:r>
          </w:hyperlink>
        </w:p>
        <w:p w14:paraId="6D25A87A" w14:textId="50FBB39C" w:rsidR="00463F5A" w:rsidRDefault="0016341D">
          <w:pPr>
            <w:pStyle w:val="TOC2"/>
            <w:rPr>
              <w:rFonts w:asciiTheme="minorHAnsi" w:eastAsiaTheme="minorEastAsia" w:hAnsiTheme="minorHAnsi" w:cstheme="minorBidi"/>
              <w:sz w:val="22"/>
              <w:szCs w:val="22"/>
              <w:lang w:eastAsia="en-AU"/>
            </w:rPr>
          </w:pPr>
          <w:hyperlink w:anchor="_Toc4142165"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_Toc4142165 \h </w:instrText>
            </w:r>
            <w:r w:rsidR="00463F5A">
              <w:rPr>
                <w:webHidden/>
              </w:rPr>
            </w:r>
            <w:r w:rsidR="00463F5A">
              <w:rPr>
                <w:webHidden/>
              </w:rPr>
              <w:fldChar w:fldCharType="separate"/>
            </w:r>
            <w:r w:rsidR="00463F5A">
              <w:rPr>
                <w:webHidden/>
              </w:rPr>
              <w:t>152</w:t>
            </w:r>
            <w:r w:rsidR="00463F5A">
              <w:rPr>
                <w:webHidden/>
              </w:rPr>
              <w:fldChar w:fldCharType="end"/>
            </w:r>
          </w:hyperlink>
        </w:p>
        <w:p w14:paraId="58BD467B" w14:textId="0638CDAA" w:rsidR="00463F5A" w:rsidRDefault="0016341D">
          <w:pPr>
            <w:pStyle w:val="TOC2"/>
            <w:rPr>
              <w:rFonts w:asciiTheme="minorHAnsi" w:eastAsiaTheme="minorEastAsia" w:hAnsiTheme="minorHAnsi" w:cstheme="minorBidi"/>
              <w:sz w:val="22"/>
              <w:szCs w:val="22"/>
              <w:lang w:eastAsia="en-AU"/>
            </w:rPr>
          </w:pPr>
          <w:hyperlink w:anchor="_Toc4142166" w:history="1">
            <w:r w:rsidR="00463F5A" w:rsidRPr="005217E0">
              <w:rPr>
                <w:rStyle w:val="Hyperlink"/>
                <w:rFonts w:cs="Arial"/>
                <w:lang w:eastAsia="en-AU"/>
              </w:rPr>
              <w:t>5.16 With respect to age - 2009 (elder abuse prevention practice guidelines)</w:t>
            </w:r>
            <w:r w:rsidR="00463F5A">
              <w:rPr>
                <w:webHidden/>
              </w:rPr>
              <w:tab/>
            </w:r>
            <w:r w:rsidR="00463F5A">
              <w:rPr>
                <w:webHidden/>
              </w:rPr>
              <w:fldChar w:fldCharType="begin"/>
            </w:r>
            <w:r w:rsidR="00463F5A">
              <w:rPr>
                <w:webHidden/>
              </w:rPr>
              <w:instrText xml:space="preserve"> PAGEREF _Toc4142166 \h </w:instrText>
            </w:r>
            <w:r w:rsidR="00463F5A">
              <w:rPr>
                <w:webHidden/>
              </w:rPr>
            </w:r>
            <w:r w:rsidR="00463F5A">
              <w:rPr>
                <w:webHidden/>
              </w:rPr>
              <w:fldChar w:fldCharType="separate"/>
            </w:r>
            <w:r w:rsidR="00463F5A">
              <w:rPr>
                <w:webHidden/>
              </w:rPr>
              <w:t>152</w:t>
            </w:r>
            <w:r w:rsidR="00463F5A">
              <w:rPr>
                <w:webHidden/>
              </w:rPr>
              <w:fldChar w:fldCharType="end"/>
            </w:r>
          </w:hyperlink>
        </w:p>
        <w:p w14:paraId="7045C7C1" w14:textId="4E127AF2" w:rsidR="00463F5A" w:rsidRDefault="0016341D">
          <w:pPr>
            <w:pStyle w:val="TOC2"/>
            <w:rPr>
              <w:rFonts w:asciiTheme="minorHAnsi" w:eastAsiaTheme="minorEastAsia" w:hAnsiTheme="minorHAnsi" w:cstheme="minorBidi"/>
              <w:sz w:val="22"/>
              <w:szCs w:val="22"/>
              <w:lang w:eastAsia="en-AU"/>
            </w:rPr>
          </w:pPr>
          <w:hyperlink w:anchor="_Toc4142167" w:history="1">
            <w:r w:rsidR="00463F5A" w:rsidRPr="005217E0">
              <w:rPr>
                <w:rStyle w:val="Hyperlink"/>
                <w:rFonts w:cs="Arial"/>
                <w:lang w:eastAsia="en-AU"/>
              </w:rPr>
              <w:t>5.17 Vulnerable people in emergencies</w:t>
            </w:r>
            <w:r w:rsidR="00463F5A">
              <w:rPr>
                <w:webHidden/>
              </w:rPr>
              <w:tab/>
            </w:r>
            <w:r w:rsidR="00463F5A">
              <w:rPr>
                <w:webHidden/>
              </w:rPr>
              <w:fldChar w:fldCharType="begin"/>
            </w:r>
            <w:r w:rsidR="00463F5A">
              <w:rPr>
                <w:webHidden/>
              </w:rPr>
              <w:instrText xml:space="preserve"> PAGEREF _Toc4142167 \h </w:instrText>
            </w:r>
            <w:r w:rsidR="00463F5A">
              <w:rPr>
                <w:webHidden/>
              </w:rPr>
            </w:r>
            <w:r w:rsidR="00463F5A">
              <w:rPr>
                <w:webHidden/>
              </w:rPr>
              <w:fldChar w:fldCharType="separate"/>
            </w:r>
            <w:r w:rsidR="00463F5A">
              <w:rPr>
                <w:webHidden/>
              </w:rPr>
              <w:t>152</w:t>
            </w:r>
            <w:r w:rsidR="00463F5A">
              <w:rPr>
                <w:webHidden/>
              </w:rPr>
              <w:fldChar w:fldCharType="end"/>
            </w:r>
          </w:hyperlink>
        </w:p>
        <w:p w14:paraId="400D269B" w14:textId="3D5D8706" w:rsidR="00463F5A" w:rsidRDefault="0016341D">
          <w:pPr>
            <w:pStyle w:val="TOC2"/>
            <w:rPr>
              <w:rFonts w:asciiTheme="minorHAnsi" w:eastAsiaTheme="minorEastAsia" w:hAnsiTheme="minorHAnsi" w:cstheme="minorBidi"/>
              <w:sz w:val="22"/>
              <w:szCs w:val="22"/>
              <w:lang w:eastAsia="en-AU"/>
            </w:rPr>
          </w:pPr>
          <w:hyperlink w:anchor="_Toc4142168"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_Toc4142168 \h </w:instrText>
            </w:r>
            <w:r w:rsidR="00463F5A">
              <w:rPr>
                <w:webHidden/>
              </w:rPr>
            </w:r>
            <w:r w:rsidR="00463F5A">
              <w:rPr>
                <w:webHidden/>
              </w:rPr>
              <w:fldChar w:fldCharType="separate"/>
            </w:r>
            <w:r w:rsidR="00463F5A">
              <w:rPr>
                <w:webHidden/>
              </w:rPr>
              <w:t>152</w:t>
            </w:r>
            <w:r w:rsidR="00463F5A">
              <w:rPr>
                <w:webHidden/>
              </w:rPr>
              <w:fldChar w:fldCharType="end"/>
            </w:r>
          </w:hyperlink>
        </w:p>
        <w:p w14:paraId="538EECF0" w14:textId="17FDF3E7" w:rsidR="00463F5A" w:rsidRDefault="0016341D">
          <w:pPr>
            <w:pStyle w:val="TOC2"/>
            <w:rPr>
              <w:rFonts w:asciiTheme="minorHAnsi" w:eastAsiaTheme="minorEastAsia" w:hAnsiTheme="minorHAnsi" w:cstheme="minorBidi"/>
              <w:sz w:val="22"/>
              <w:szCs w:val="22"/>
              <w:lang w:eastAsia="en-AU"/>
            </w:rPr>
          </w:pPr>
          <w:hyperlink w:anchor="_Toc4142169" w:history="1">
            <w:r w:rsidR="00463F5A" w:rsidRPr="005217E0">
              <w:rPr>
                <w:rStyle w:val="Hyperlink"/>
                <w:rFonts w:cs="Arial"/>
                <w:lang w:eastAsia="en-AU"/>
              </w:rPr>
              <w:t>5.18 Emergency preparedness policy</w:t>
            </w:r>
            <w:r w:rsidR="00463F5A">
              <w:rPr>
                <w:webHidden/>
              </w:rPr>
              <w:tab/>
            </w:r>
            <w:r w:rsidR="00463F5A">
              <w:rPr>
                <w:webHidden/>
              </w:rPr>
              <w:fldChar w:fldCharType="begin"/>
            </w:r>
            <w:r w:rsidR="00463F5A">
              <w:rPr>
                <w:webHidden/>
              </w:rPr>
              <w:instrText xml:space="preserve"> PAGEREF _Toc4142169 \h </w:instrText>
            </w:r>
            <w:r w:rsidR="00463F5A">
              <w:rPr>
                <w:webHidden/>
              </w:rPr>
            </w:r>
            <w:r w:rsidR="00463F5A">
              <w:rPr>
                <w:webHidden/>
              </w:rPr>
              <w:fldChar w:fldCharType="separate"/>
            </w:r>
            <w:r w:rsidR="00463F5A">
              <w:rPr>
                <w:webHidden/>
              </w:rPr>
              <w:t>152</w:t>
            </w:r>
            <w:r w:rsidR="00463F5A">
              <w:rPr>
                <w:webHidden/>
              </w:rPr>
              <w:fldChar w:fldCharType="end"/>
            </w:r>
          </w:hyperlink>
        </w:p>
        <w:p w14:paraId="2D248ADB" w14:textId="61CF0B62" w:rsidR="00463F5A" w:rsidRDefault="0016341D">
          <w:pPr>
            <w:pStyle w:val="TOC2"/>
            <w:rPr>
              <w:rFonts w:asciiTheme="minorHAnsi" w:eastAsiaTheme="minorEastAsia" w:hAnsiTheme="minorHAnsi" w:cstheme="minorBidi"/>
              <w:sz w:val="22"/>
              <w:szCs w:val="22"/>
              <w:lang w:eastAsia="en-AU"/>
            </w:rPr>
          </w:pPr>
          <w:hyperlink w:anchor="_Toc4142170" w:history="1">
            <w:r w:rsidR="00463F5A" w:rsidRPr="005217E0">
              <w:rPr>
                <w:rStyle w:val="Hyperlink"/>
                <w:rFonts w:cs="Arial"/>
                <w:lang w:eastAsia="en-AU"/>
              </w:rPr>
              <w:t>5.19 Conducting research in early childhood settings and schools</w:t>
            </w:r>
            <w:r w:rsidR="00463F5A">
              <w:rPr>
                <w:webHidden/>
              </w:rPr>
              <w:tab/>
            </w:r>
            <w:r w:rsidR="00463F5A">
              <w:rPr>
                <w:webHidden/>
              </w:rPr>
              <w:fldChar w:fldCharType="begin"/>
            </w:r>
            <w:r w:rsidR="00463F5A">
              <w:rPr>
                <w:webHidden/>
              </w:rPr>
              <w:instrText xml:space="preserve"> PAGEREF _Toc4142170 \h </w:instrText>
            </w:r>
            <w:r w:rsidR="00463F5A">
              <w:rPr>
                <w:webHidden/>
              </w:rPr>
            </w:r>
            <w:r w:rsidR="00463F5A">
              <w:rPr>
                <w:webHidden/>
              </w:rPr>
              <w:fldChar w:fldCharType="separate"/>
            </w:r>
            <w:r w:rsidR="00463F5A">
              <w:rPr>
                <w:webHidden/>
              </w:rPr>
              <w:t>154</w:t>
            </w:r>
            <w:r w:rsidR="00463F5A">
              <w:rPr>
                <w:webHidden/>
              </w:rPr>
              <w:fldChar w:fldCharType="end"/>
            </w:r>
          </w:hyperlink>
        </w:p>
        <w:p w14:paraId="6DEFBAF6" w14:textId="35FFAA16" w:rsidR="00463F5A" w:rsidRDefault="0016341D">
          <w:pPr>
            <w:pStyle w:val="TOC3"/>
            <w:rPr>
              <w:rFonts w:asciiTheme="minorHAnsi" w:eastAsiaTheme="minorEastAsia" w:hAnsiTheme="minorHAnsi" w:cstheme="minorBidi"/>
              <w:noProof/>
              <w:sz w:val="22"/>
              <w:szCs w:val="22"/>
              <w:lang w:eastAsia="en-AU"/>
            </w:rPr>
          </w:pPr>
          <w:hyperlink w:anchor="_Toc4142171" w:history="1">
            <w:r w:rsidR="00463F5A" w:rsidRPr="005217E0">
              <w:rPr>
                <w:rStyle w:val="Hyperlink"/>
                <w:noProof/>
                <w:lang w:eastAsia="en-AU"/>
              </w:rPr>
              <w:t>For further information</w:t>
            </w:r>
            <w:r w:rsidR="00463F5A">
              <w:rPr>
                <w:noProof/>
                <w:webHidden/>
              </w:rPr>
              <w:tab/>
            </w:r>
            <w:r w:rsidR="00463F5A">
              <w:rPr>
                <w:noProof/>
                <w:webHidden/>
              </w:rPr>
              <w:fldChar w:fldCharType="begin"/>
            </w:r>
            <w:r w:rsidR="00463F5A">
              <w:rPr>
                <w:noProof/>
                <w:webHidden/>
              </w:rPr>
              <w:instrText xml:space="preserve"> PAGEREF _Toc4142171 \h </w:instrText>
            </w:r>
            <w:r w:rsidR="00463F5A">
              <w:rPr>
                <w:noProof/>
                <w:webHidden/>
              </w:rPr>
            </w:r>
            <w:r w:rsidR="00463F5A">
              <w:rPr>
                <w:noProof/>
                <w:webHidden/>
              </w:rPr>
              <w:fldChar w:fldCharType="separate"/>
            </w:r>
            <w:r w:rsidR="00463F5A">
              <w:rPr>
                <w:noProof/>
                <w:webHidden/>
              </w:rPr>
              <w:t>154</w:t>
            </w:r>
            <w:r w:rsidR="00463F5A">
              <w:rPr>
                <w:noProof/>
                <w:webHidden/>
              </w:rPr>
              <w:fldChar w:fldCharType="end"/>
            </w:r>
          </w:hyperlink>
        </w:p>
        <w:p w14:paraId="20E4738B" w14:textId="71BC04CA" w:rsidR="00463F5A" w:rsidRDefault="0016341D">
          <w:pPr>
            <w:pStyle w:val="TOC2"/>
            <w:rPr>
              <w:rFonts w:asciiTheme="minorHAnsi" w:eastAsiaTheme="minorEastAsia" w:hAnsiTheme="minorHAnsi" w:cstheme="minorBidi"/>
              <w:sz w:val="22"/>
              <w:szCs w:val="22"/>
              <w:lang w:eastAsia="en-AU"/>
            </w:rPr>
          </w:pPr>
          <w:hyperlink w:anchor="_Toc4142172" w:history="1">
            <w:r w:rsidR="00463F5A" w:rsidRPr="005217E0">
              <w:rPr>
                <w:rStyle w:val="Hyperlink"/>
                <w:rFonts w:cs="Arial"/>
                <w:lang w:eastAsia="en-AU"/>
              </w:rPr>
              <w:t>5.20 Asset Management Accountability Framework</w:t>
            </w:r>
            <w:r w:rsidR="00463F5A">
              <w:rPr>
                <w:webHidden/>
              </w:rPr>
              <w:tab/>
            </w:r>
            <w:r w:rsidR="00463F5A">
              <w:rPr>
                <w:webHidden/>
              </w:rPr>
              <w:fldChar w:fldCharType="begin"/>
            </w:r>
            <w:r w:rsidR="00463F5A">
              <w:rPr>
                <w:webHidden/>
              </w:rPr>
              <w:instrText xml:space="preserve"> PAGEREF _Toc4142172 \h </w:instrText>
            </w:r>
            <w:r w:rsidR="00463F5A">
              <w:rPr>
                <w:webHidden/>
              </w:rPr>
            </w:r>
            <w:r w:rsidR="00463F5A">
              <w:rPr>
                <w:webHidden/>
              </w:rPr>
              <w:fldChar w:fldCharType="separate"/>
            </w:r>
            <w:r w:rsidR="00463F5A">
              <w:rPr>
                <w:webHidden/>
              </w:rPr>
              <w:t>155</w:t>
            </w:r>
            <w:r w:rsidR="00463F5A">
              <w:rPr>
                <w:webHidden/>
              </w:rPr>
              <w:fldChar w:fldCharType="end"/>
            </w:r>
          </w:hyperlink>
        </w:p>
        <w:p w14:paraId="77315EDB" w14:textId="2F7FA0BF" w:rsidR="00463F5A" w:rsidRDefault="0016341D">
          <w:pPr>
            <w:pStyle w:val="TOC2"/>
            <w:rPr>
              <w:rFonts w:asciiTheme="minorHAnsi" w:eastAsiaTheme="minorEastAsia" w:hAnsiTheme="minorHAnsi" w:cstheme="minorBidi"/>
              <w:sz w:val="22"/>
              <w:szCs w:val="22"/>
              <w:lang w:eastAsia="en-AU"/>
            </w:rPr>
          </w:pPr>
          <w:hyperlink w:anchor="_Toc4142173"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_Toc4142173 \h </w:instrText>
            </w:r>
            <w:r w:rsidR="00463F5A">
              <w:rPr>
                <w:webHidden/>
              </w:rPr>
            </w:r>
            <w:r w:rsidR="00463F5A">
              <w:rPr>
                <w:webHidden/>
              </w:rPr>
              <w:fldChar w:fldCharType="separate"/>
            </w:r>
            <w:r w:rsidR="00463F5A">
              <w:rPr>
                <w:webHidden/>
              </w:rPr>
              <w:t>155</w:t>
            </w:r>
            <w:r w:rsidR="00463F5A">
              <w:rPr>
                <w:webHidden/>
              </w:rPr>
              <w:fldChar w:fldCharType="end"/>
            </w:r>
          </w:hyperlink>
        </w:p>
        <w:p w14:paraId="3C10DCB6" w14:textId="33ED2890" w:rsidR="00463F5A" w:rsidRDefault="0016341D">
          <w:pPr>
            <w:pStyle w:val="TOC2"/>
            <w:rPr>
              <w:rFonts w:asciiTheme="minorHAnsi" w:eastAsiaTheme="minorEastAsia" w:hAnsiTheme="minorHAnsi" w:cstheme="minorBidi"/>
              <w:sz w:val="22"/>
              <w:szCs w:val="22"/>
              <w:lang w:eastAsia="en-AU"/>
            </w:rPr>
          </w:pPr>
          <w:hyperlink w:anchor="_Toc4142174" w:history="1">
            <w:r w:rsidR="00463F5A" w:rsidRPr="005217E0">
              <w:rPr>
                <w:rStyle w:val="Hyperlink"/>
                <w:rFonts w:cs="Arial"/>
                <w:lang w:eastAsia="en-AU"/>
              </w:rPr>
              <w:t>5.21 Asset maintenance</w:t>
            </w:r>
            <w:r w:rsidR="00463F5A">
              <w:rPr>
                <w:webHidden/>
              </w:rPr>
              <w:tab/>
            </w:r>
            <w:r w:rsidR="00463F5A">
              <w:rPr>
                <w:webHidden/>
              </w:rPr>
              <w:fldChar w:fldCharType="begin"/>
            </w:r>
            <w:r w:rsidR="00463F5A">
              <w:rPr>
                <w:webHidden/>
              </w:rPr>
              <w:instrText xml:space="preserve"> PAGEREF _Toc4142174 \h </w:instrText>
            </w:r>
            <w:r w:rsidR="00463F5A">
              <w:rPr>
                <w:webHidden/>
              </w:rPr>
            </w:r>
            <w:r w:rsidR="00463F5A">
              <w:rPr>
                <w:webHidden/>
              </w:rPr>
              <w:fldChar w:fldCharType="separate"/>
            </w:r>
            <w:r w:rsidR="00463F5A">
              <w:rPr>
                <w:webHidden/>
              </w:rPr>
              <w:t>155</w:t>
            </w:r>
            <w:r w:rsidR="00463F5A">
              <w:rPr>
                <w:webHidden/>
              </w:rPr>
              <w:fldChar w:fldCharType="end"/>
            </w:r>
          </w:hyperlink>
        </w:p>
        <w:p w14:paraId="6DF01458" w14:textId="24E41670" w:rsidR="00463F5A" w:rsidRDefault="0016341D">
          <w:pPr>
            <w:pStyle w:val="TOC2"/>
            <w:rPr>
              <w:rFonts w:asciiTheme="minorHAnsi" w:eastAsiaTheme="minorEastAsia" w:hAnsiTheme="minorHAnsi" w:cstheme="minorBidi"/>
              <w:sz w:val="22"/>
              <w:szCs w:val="22"/>
              <w:lang w:eastAsia="en-AU"/>
            </w:rPr>
          </w:pPr>
          <w:hyperlink w:anchor="_Toc4142175"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_Toc4142175 \h </w:instrText>
            </w:r>
            <w:r w:rsidR="00463F5A">
              <w:rPr>
                <w:webHidden/>
              </w:rPr>
            </w:r>
            <w:r w:rsidR="00463F5A">
              <w:rPr>
                <w:webHidden/>
              </w:rPr>
              <w:fldChar w:fldCharType="separate"/>
            </w:r>
            <w:r w:rsidR="00463F5A">
              <w:rPr>
                <w:webHidden/>
              </w:rPr>
              <w:t>155</w:t>
            </w:r>
            <w:r w:rsidR="00463F5A">
              <w:rPr>
                <w:webHidden/>
              </w:rPr>
              <w:fldChar w:fldCharType="end"/>
            </w:r>
          </w:hyperlink>
        </w:p>
        <w:p w14:paraId="2E497931" w14:textId="18FC64A2" w:rsidR="00463F5A" w:rsidRDefault="0016341D">
          <w:pPr>
            <w:pStyle w:val="TOC2"/>
            <w:rPr>
              <w:rFonts w:asciiTheme="minorHAnsi" w:eastAsiaTheme="minorEastAsia" w:hAnsiTheme="minorHAnsi" w:cstheme="minorBidi"/>
              <w:sz w:val="22"/>
              <w:szCs w:val="22"/>
              <w:lang w:eastAsia="en-AU"/>
            </w:rPr>
          </w:pPr>
          <w:hyperlink w:anchor="_Toc4142176" w:history="1">
            <w:r w:rsidR="00463F5A" w:rsidRPr="005217E0">
              <w:rPr>
                <w:rStyle w:val="Hyperlink"/>
                <w:rFonts w:cs="Arial"/>
                <w:lang w:eastAsia="en-AU"/>
              </w:rPr>
              <w:t>5.22 Victorian Carers Recognition Act</w:t>
            </w:r>
            <w:r w:rsidR="00463F5A">
              <w:rPr>
                <w:webHidden/>
              </w:rPr>
              <w:tab/>
            </w:r>
            <w:r w:rsidR="00463F5A">
              <w:rPr>
                <w:webHidden/>
              </w:rPr>
              <w:fldChar w:fldCharType="begin"/>
            </w:r>
            <w:r w:rsidR="00463F5A">
              <w:rPr>
                <w:webHidden/>
              </w:rPr>
              <w:instrText xml:space="preserve"> PAGEREF _Toc4142176 \h </w:instrText>
            </w:r>
            <w:r w:rsidR="00463F5A">
              <w:rPr>
                <w:webHidden/>
              </w:rPr>
            </w:r>
            <w:r w:rsidR="00463F5A">
              <w:rPr>
                <w:webHidden/>
              </w:rPr>
              <w:fldChar w:fldCharType="separate"/>
            </w:r>
            <w:r w:rsidR="00463F5A">
              <w:rPr>
                <w:webHidden/>
              </w:rPr>
              <w:t>155</w:t>
            </w:r>
            <w:r w:rsidR="00463F5A">
              <w:rPr>
                <w:webHidden/>
              </w:rPr>
              <w:fldChar w:fldCharType="end"/>
            </w:r>
          </w:hyperlink>
        </w:p>
        <w:p w14:paraId="53BB2524" w14:textId="224AF4DA" w:rsidR="00463F5A" w:rsidRDefault="0016341D">
          <w:pPr>
            <w:pStyle w:val="TOC2"/>
            <w:rPr>
              <w:rFonts w:asciiTheme="minorHAnsi" w:eastAsiaTheme="minorEastAsia" w:hAnsiTheme="minorHAnsi" w:cstheme="minorBidi"/>
              <w:sz w:val="22"/>
              <w:szCs w:val="22"/>
              <w:lang w:eastAsia="en-AU"/>
            </w:rPr>
          </w:pPr>
          <w:hyperlink w:anchor="_Toc4142177"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_Toc4142177 \h </w:instrText>
            </w:r>
            <w:r w:rsidR="00463F5A">
              <w:rPr>
                <w:webHidden/>
              </w:rPr>
            </w:r>
            <w:r w:rsidR="00463F5A">
              <w:rPr>
                <w:webHidden/>
              </w:rPr>
              <w:fldChar w:fldCharType="separate"/>
            </w:r>
            <w:r w:rsidR="00463F5A">
              <w:rPr>
                <w:webHidden/>
              </w:rPr>
              <w:t>155</w:t>
            </w:r>
            <w:r w:rsidR="00463F5A">
              <w:rPr>
                <w:webHidden/>
              </w:rPr>
              <w:fldChar w:fldCharType="end"/>
            </w:r>
          </w:hyperlink>
        </w:p>
        <w:p w14:paraId="4D8CB5D6" w14:textId="1C8DDDFD" w:rsidR="00463F5A" w:rsidRDefault="0016341D">
          <w:pPr>
            <w:pStyle w:val="TOC2"/>
            <w:rPr>
              <w:rFonts w:asciiTheme="minorHAnsi" w:eastAsiaTheme="minorEastAsia" w:hAnsiTheme="minorHAnsi" w:cstheme="minorBidi"/>
              <w:sz w:val="22"/>
              <w:szCs w:val="22"/>
              <w:lang w:eastAsia="en-AU"/>
            </w:rPr>
          </w:pPr>
          <w:hyperlink w:anchor="_Toc4142178" w:history="1">
            <w:r w:rsidR="00463F5A" w:rsidRPr="005217E0">
              <w:rPr>
                <w:rStyle w:val="Hyperlink"/>
                <w:rFonts w:cs="Arial"/>
                <w:lang w:eastAsia="en-AU"/>
              </w:rPr>
              <w:t>5.23 Hoarding and squalor resources</w:t>
            </w:r>
            <w:r w:rsidR="00463F5A">
              <w:rPr>
                <w:webHidden/>
              </w:rPr>
              <w:tab/>
            </w:r>
            <w:r w:rsidR="00463F5A">
              <w:rPr>
                <w:webHidden/>
              </w:rPr>
              <w:fldChar w:fldCharType="begin"/>
            </w:r>
            <w:r w:rsidR="00463F5A">
              <w:rPr>
                <w:webHidden/>
              </w:rPr>
              <w:instrText xml:space="preserve"> PAGEREF _Toc4142178 \h </w:instrText>
            </w:r>
            <w:r w:rsidR="00463F5A">
              <w:rPr>
                <w:webHidden/>
              </w:rPr>
            </w:r>
            <w:r w:rsidR="00463F5A">
              <w:rPr>
                <w:webHidden/>
              </w:rPr>
              <w:fldChar w:fldCharType="separate"/>
            </w:r>
            <w:r w:rsidR="00463F5A">
              <w:rPr>
                <w:webHidden/>
              </w:rPr>
              <w:t>155</w:t>
            </w:r>
            <w:r w:rsidR="00463F5A">
              <w:rPr>
                <w:webHidden/>
              </w:rPr>
              <w:fldChar w:fldCharType="end"/>
            </w:r>
          </w:hyperlink>
        </w:p>
        <w:p w14:paraId="2A28B1D4" w14:textId="5E251B1A" w:rsidR="00463F5A" w:rsidRDefault="0016341D">
          <w:pPr>
            <w:pStyle w:val="TOC2"/>
            <w:rPr>
              <w:rFonts w:asciiTheme="minorHAnsi" w:eastAsiaTheme="minorEastAsia" w:hAnsiTheme="minorHAnsi" w:cstheme="minorBidi"/>
              <w:sz w:val="22"/>
              <w:szCs w:val="22"/>
              <w:lang w:eastAsia="en-AU"/>
            </w:rPr>
          </w:pPr>
          <w:hyperlink w:anchor="_Toc4142179"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_Toc4142179 \h </w:instrText>
            </w:r>
            <w:r w:rsidR="00463F5A">
              <w:rPr>
                <w:webHidden/>
              </w:rPr>
            </w:r>
            <w:r w:rsidR="00463F5A">
              <w:rPr>
                <w:webHidden/>
              </w:rPr>
              <w:fldChar w:fldCharType="separate"/>
            </w:r>
            <w:r w:rsidR="00463F5A">
              <w:rPr>
                <w:webHidden/>
              </w:rPr>
              <w:t>155</w:t>
            </w:r>
            <w:r w:rsidR="00463F5A">
              <w:rPr>
                <w:webHidden/>
              </w:rPr>
              <w:fldChar w:fldCharType="end"/>
            </w:r>
          </w:hyperlink>
        </w:p>
        <w:p w14:paraId="763AD8BF" w14:textId="636FA72E" w:rsidR="00463F5A" w:rsidRDefault="0016341D">
          <w:pPr>
            <w:pStyle w:val="TOC2"/>
            <w:rPr>
              <w:rFonts w:asciiTheme="minorHAnsi" w:eastAsiaTheme="minorEastAsia" w:hAnsiTheme="minorHAnsi" w:cstheme="minorBidi"/>
              <w:sz w:val="22"/>
              <w:szCs w:val="22"/>
              <w:lang w:eastAsia="en-AU"/>
            </w:rPr>
          </w:pPr>
          <w:hyperlink w:anchor="_Toc4142180" w:history="1">
            <w:r w:rsidR="00463F5A" w:rsidRPr="005217E0">
              <w:rPr>
                <w:rStyle w:val="Hyperlink"/>
                <w:rFonts w:cs="Arial"/>
                <w:lang w:eastAsia="en-AU"/>
              </w:rPr>
              <w:t>5.24 Child Safe Standards</w:t>
            </w:r>
            <w:r w:rsidR="00463F5A">
              <w:rPr>
                <w:webHidden/>
              </w:rPr>
              <w:tab/>
            </w:r>
            <w:r w:rsidR="00463F5A">
              <w:rPr>
                <w:webHidden/>
              </w:rPr>
              <w:fldChar w:fldCharType="begin"/>
            </w:r>
            <w:r w:rsidR="00463F5A">
              <w:rPr>
                <w:webHidden/>
              </w:rPr>
              <w:instrText xml:space="preserve"> PAGEREF _Toc4142180 \h </w:instrText>
            </w:r>
            <w:r w:rsidR="00463F5A">
              <w:rPr>
                <w:webHidden/>
              </w:rPr>
            </w:r>
            <w:r w:rsidR="00463F5A">
              <w:rPr>
                <w:webHidden/>
              </w:rPr>
              <w:fldChar w:fldCharType="separate"/>
            </w:r>
            <w:r w:rsidR="00463F5A">
              <w:rPr>
                <w:webHidden/>
              </w:rPr>
              <w:t>155</w:t>
            </w:r>
            <w:r w:rsidR="00463F5A">
              <w:rPr>
                <w:webHidden/>
              </w:rPr>
              <w:fldChar w:fldCharType="end"/>
            </w:r>
          </w:hyperlink>
        </w:p>
        <w:p w14:paraId="4A9A0335" w14:textId="4148D0A2" w:rsidR="00463F5A" w:rsidRDefault="0016341D">
          <w:pPr>
            <w:pStyle w:val="TOC2"/>
            <w:rPr>
              <w:rFonts w:asciiTheme="minorHAnsi" w:eastAsiaTheme="minorEastAsia" w:hAnsiTheme="minorHAnsi" w:cstheme="minorBidi"/>
              <w:sz w:val="22"/>
              <w:szCs w:val="22"/>
              <w:lang w:eastAsia="en-AU"/>
            </w:rPr>
          </w:pPr>
          <w:hyperlink w:anchor="_Toc4142181" w:history="1">
            <w:r w:rsidR="00463F5A" w:rsidRPr="005217E0">
              <w:rPr>
                <w:rStyle w:val="Hyperlink"/>
                <w:rFonts w:cs="Arial"/>
                <w:lang w:eastAsia="en-AU"/>
              </w:rPr>
              <w:t>5.25 Reportable Conduct Scheme</w:t>
            </w:r>
            <w:r w:rsidR="00463F5A">
              <w:rPr>
                <w:webHidden/>
              </w:rPr>
              <w:tab/>
            </w:r>
            <w:r w:rsidR="00463F5A">
              <w:rPr>
                <w:webHidden/>
              </w:rPr>
              <w:fldChar w:fldCharType="begin"/>
            </w:r>
            <w:r w:rsidR="00463F5A">
              <w:rPr>
                <w:webHidden/>
              </w:rPr>
              <w:instrText xml:space="preserve"> PAGEREF _Toc4142181 \h </w:instrText>
            </w:r>
            <w:r w:rsidR="00463F5A">
              <w:rPr>
                <w:webHidden/>
              </w:rPr>
            </w:r>
            <w:r w:rsidR="00463F5A">
              <w:rPr>
                <w:webHidden/>
              </w:rPr>
              <w:fldChar w:fldCharType="separate"/>
            </w:r>
            <w:r w:rsidR="00463F5A">
              <w:rPr>
                <w:webHidden/>
              </w:rPr>
              <w:t>156</w:t>
            </w:r>
            <w:r w:rsidR="00463F5A">
              <w:rPr>
                <w:webHidden/>
              </w:rPr>
              <w:fldChar w:fldCharType="end"/>
            </w:r>
          </w:hyperlink>
        </w:p>
        <w:p w14:paraId="1179F0C8" w14:textId="24F8BA7C" w:rsidR="00463F5A" w:rsidRDefault="0016341D">
          <w:pPr>
            <w:pStyle w:val="TOC2"/>
            <w:rPr>
              <w:rFonts w:asciiTheme="minorHAnsi" w:eastAsiaTheme="minorEastAsia" w:hAnsiTheme="minorHAnsi" w:cstheme="minorBidi"/>
              <w:sz w:val="22"/>
              <w:szCs w:val="22"/>
              <w:lang w:eastAsia="en-AU"/>
            </w:rPr>
          </w:pPr>
          <w:hyperlink w:anchor="_Toc4142182" w:history="1">
            <w:r w:rsidR="00463F5A" w:rsidRPr="005217E0">
              <w:rPr>
                <w:rStyle w:val="Hyperlink"/>
                <w:rFonts w:cs="Arial"/>
                <w:lang w:eastAsia="en-AU"/>
              </w:rPr>
              <w:t>5.26 Fraud and Corruption Control Framework</w:t>
            </w:r>
            <w:r w:rsidR="00463F5A">
              <w:rPr>
                <w:webHidden/>
              </w:rPr>
              <w:tab/>
            </w:r>
            <w:r w:rsidR="00463F5A">
              <w:rPr>
                <w:webHidden/>
              </w:rPr>
              <w:fldChar w:fldCharType="begin"/>
            </w:r>
            <w:r w:rsidR="00463F5A">
              <w:rPr>
                <w:webHidden/>
              </w:rPr>
              <w:instrText xml:space="preserve"> PAGEREF _Toc4142182 \h </w:instrText>
            </w:r>
            <w:r w:rsidR="00463F5A">
              <w:rPr>
                <w:webHidden/>
              </w:rPr>
            </w:r>
            <w:r w:rsidR="00463F5A">
              <w:rPr>
                <w:webHidden/>
              </w:rPr>
              <w:fldChar w:fldCharType="separate"/>
            </w:r>
            <w:r w:rsidR="00463F5A">
              <w:rPr>
                <w:webHidden/>
              </w:rPr>
              <w:t>158</w:t>
            </w:r>
            <w:r w:rsidR="00463F5A">
              <w:rPr>
                <w:webHidden/>
              </w:rPr>
              <w:fldChar w:fldCharType="end"/>
            </w:r>
          </w:hyperlink>
        </w:p>
        <w:p w14:paraId="0E16EB0C" w14:textId="719EF60A" w:rsidR="00463F5A" w:rsidRDefault="0016341D">
          <w:pPr>
            <w:pStyle w:val="TOC2"/>
            <w:rPr>
              <w:rFonts w:asciiTheme="minorHAnsi" w:eastAsiaTheme="minorEastAsia" w:hAnsiTheme="minorHAnsi" w:cstheme="minorBidi"/>
              <w:sz w:val="22"/>
              <w:szCs w:val="22"/>
              <w:lang w:eastAsia="en-AU"/>
            </w:rPr>
          </w:pPr>
          <w:hyperlink w:anchor="_Toc4142183"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_Toc4142183 \h </w:instrText>
            </w:r>
            <w:r w:rsidR="00463F5A">
              <w:rPr>
                <w:webHidden/>
              </w:rPr>
            </w:r>
            <w:r w:rsidR="00463F5A">
              <w:rPr>
                <w:webHidden/>
              </w:rPr>
              <w:fldChar w:fldCharType="separate"/>
            </w:r>
            <w:r w:rsidR="00463F5A">
              <w:rPr>
                <w:webHidden/>
              </w:rPr>
              <w:t>158</w:t>
            </w:r>
            <w:r w:rsidR="00463F5A">
              <w:rPr>
                <w:webHidden/>
              </w:rPr>
              <w:fldChar w:fldCharType="end"/>
            </w:r>
          </w:hyperlink>
        </w:p>
        <w:p w14:paraId="2043DC4A" w14:textId="18C8307E" w:rsidR="00463F5A" w:rsidRDefault="0016341D">
          <w:pPr>
            <w:pStyle w:val="TOC2"/>
            <w:rPr>
              <w:rFonts w:asciiTheme="minorHAnsi" w:eastAsiaTheme="minorEastAsia" w:hAnsiTheme="minorHAnsi" w:cstheme="minorBidi"/>
              <w:sz w:val="22"/>
              <w:szCs w:val="22"/>
              <w:lang w:eastAsia="en-AU"/>
            </w:rPr>
          </w:pPr>
          <w:hyperlink w:anchor="_Toc4142184" w:history="1">
            <w:r w:rsidR="00463F5A" w:rsidRPr="005217E0">
              <w:rPr>
                <w:rStyle w:val="Hyperlink"/>
                <w:rFonts w:cs="Arial"/>
                <w:lang w:eastAsia="en-AU"/>
              </w:rPr>
              <w:t>5.27 Gifts, Benefits and Hospitality Policy</w:t>
            </w:r>
            <w:r w:rsidR="00463F5A">
              <w:rPr>
                <w:webHidden/>
              </w:rPr>
              <w:tab/>
            </w:r>
            <w:r w:rsidR="00463F5A">
              <w:rPr>
                <w:webHidden/>
              </w:rPr>
              <w:fldChar w:fldCharType="begin"/>
            </w:r>
            <w:r w:rsidR="00463F5A">
              <w:rPr>
                <w:webHidden/>
              </w:rPr>
              <w:instrText xml:space="preserve"> PAGEREF _Toc4142184 \h </w:instrText>
            </w:r>
            <w:r w:rsidR="00463F5A">
              <w:rPr>
                <w:webHidden/>
              </w:rPr>
            </w:r>
            <w:r w:rsidR="00463F5A">
              <w:rPr>
                <w:webHidden/>
              </w:rPr>
              <w:fldChar w:fldCharType="separate"/>
            </w:r>
            <w:r w:rsidR="00463F5A">
              <w:rPr>
                <w:webHidden/>
              </w:rPr>
              <w:t>158</w:t>
            </w:r>
            <w:r w:rsidR="00463F5A">
              <w:rPr>
                <w:webHidden/>
              </w:rPr>
              <w:fldChar w:fldCharType="end"/>
            </w:r>
          </w:hyperlink>
        </w:p>
        <w:p w14:paraId="6666CDCF" w14:textId="0C35DE74" w:rsidR="00463F5A" w:rsidRDefault="0016341D">
          <w:pPr>
            <w:pStyle w:val="TOC2"/>
            <w:rPr>
              <w:rFonts w:asciiTheme="minorHAnsi" w:eastAsiaTheme="minorEastAsia" w:hAnsiTheme="minorHAnsi" w:cstheme="minorBidi"/>
              <w:sz w:val="22"/>
              <w:szCs w:val="22"/>
              <w:lang w:eastAsia="en-AU"/>
            </w:rPr>
          </w:pPr>
          <w:hyperlink w:anchor="_Toc4142185" w:history="1">
            <w:r w:rsidR="00463F5A" w:rsidRPr="005217E0">
              <w:rPr>
                <w:rStyle w:val="Hyperlink"/>
                <w:rFonts w:cs="Arial"/>
                <w:lang w:eastAsia="en-AU"/>
              </w:rPr>
              <w:t>Please contact your Performance and Planning Advisor for information about Department of Education and Training policies, procedures and initiatives in regards to this matter.</w:t>
            </w:r>
            <w:r w:rsidR="00463F5A">
              <w:rPr>
                <w:webHidden/>
              </w:rPr>
              <w:tab/>
            </w:r>
            <w:r w:rsidR="00463F5A">
              <w:rPr>
                <w:webHidden/>
              </w:rPr>
              <w:fldChar w:fldCharType="begin"/>
            </w:r>
            <w:r w:rsidR="00463F5A">
              <w:rPr>
                <w:webHidden/>
              </w:rPr>
              <w:instrText xml:space="preserve"> PAGEREF _Toc4142185 \h </w:instrText>
            </w:r>
            <w:r w:rsidR="00463F5A">
              <w:rPr>
                <w:webHidden/>
              </w:rPr>
            </w:r>
            <w:r w:rsidR="00463F5A">
              <w:rPr>
                <w:webHidden/>
              </w:rPr>
              <w:fldChar w:fldCharType="separate"/>
            </w:r>
            <w:r w:rsidR="00463F5A">
              <w:rPr>
                <w:webHidden/>
              </w:rPr>
              <w:t>158</w:t>
            </w:r>
            <w:r w:rsidR="00463F5A">
              <w:rPr>
                <w:webHidden/>
              </w:rPr>
              <w:fldChar w:fldCharType="end"/>
            </w:r>
          </w:hyperlink>
        </w:p>
        <w:p w14:paraId="10F2709E" w14:textId="460B221E" w:rsidR="00463F5A" w:rsidRDefault="0016341D">
          <w:pPr>
            <w:pStyle w:val="TOC1"/>
            <w:rPr>
              <w:rFonts w:asciiTheme="minorHAnsi" w:eastAsiaTheme="minorEastAsia" w:hAnsiTheme="minorHAnsi" w:cstheme="minorBidi"/>
              <w:b w:val="0"/>
              <w:sz w:val="22"/>
              <w:szCs w:val="22"/>
              <w:lang w:eastAsia="en-AU"/>
            </w:rPr>
          </w:pPr>
          <w:hyperlink w:anchor="_Toc4142186" w:history="1">
            <w:r w:rsidR="00463F5A" w:rsidRPr="005217E0">
              <w:rPr>
                <w:rStyle w:val="Hyperlink"/>
                <w:lang w:eastAsia="en-AU"/>
              </w:rPr>
              <w:t>Chapter 6. Service plan and funding information</w:t>
            </w:r>
            <w:r w:rsidR="00463F5A">
              <w:rPr>
                <w:webHidden/>
              </w:rPr>
              <w:tab/>
            </w:r>
            <w:r w:rsidR="00463F5A">
              <w:rPr>
                <w:webHidden/>
              </w:rPr>
              <w:fldChar w:fldCharType="begin"/>
            </w:r>
            <w:r w:rsidR="00463F5A">
              <w:rPr>
                <w:webHidden/>
              </w:rPr>
              <w:instrText xml:space="preserve"> PAGEREF _Toc4142186 \h </w:instrText>
            </w:r>
            <w:r w:rsidR="00463F5A">
              <w:rPr>
                <w:webHidden/>
              </w:rPr>
            </w:r>
            <w:r w:rsidR="00463F5A">
              <w:rPr>
                <w:webHidden/>
              </w:rPr>
              <w:fldChar w:fldCharType="separate"/>
            </w:r>
            <w:r w:rsidR="00463F5A">
              <w:rPr>
                <w:webHidden/>
              </w:rPr>
              <w:t>158</w:t>
            </w:r>
            <w:r w:rsidR="00463F5A">
              <w:rPr>
                <w:webHidden/>
              </w:rPr>
              <w:fldChar w:fldCharType="end"/>
            </w:r>
          </w:hyperlink>
        </w:p>
        <w:p w14:paraId="3FD71EE3" w14:textId="32BBCB5E" w:rsidR="00463F5A" w:rsidRDefault="0016341D">
          <w:pPr>
            <w:pStyle w:val="TOC2"/>
            <w:rPr>
              <w:rFonts w:asciiTheme="minorHAnsi" w:eastAsiaTheme="minorEastAsia" w:hAnsiTheme="minorHAnsi" w:cstheme="minorBidi"/>
              <w:sz w:val="22"/>
              <w:szCs w:val="22"/>
              <w:lang w:eastAsia="en-AU"/>
            </w:rPr>
          </w:pPr>
          <w:hyperlink w:anchor="_Toc4142187" w:history="1">
            <w:r w:rsidR="00463F5A" w:rsidRPr="005217E0">
              <w:rPr>
                <w:rStyle w:val="Hyperlink"/>
                <w:rFonts w:cs="Arial"/>
                <w:lang w:eastAsia="en-AU"/>
              </w:rPr>
              <w:t>6.1 Overview of schedules 2 and 3</w:t>
            </w:r>
            <w:r w:rsidR="00463F5A">
              <w:rPr>
                <w:webHidden/>
              </w:rPr>
              <w:tab/>
            </w:r>
            <w:r w:rsidR="00463F5A">
              <w:rPr>
                <w:webHidden/>
              </w:rPr>
              <w:fldChar w:fldCharType="begin"/>
            </w:r>
            <w:r w:rsidR="00463F5A">
              <w:rPr>
                <w:webHidden/>
              </w:rPr>
              <w:instrText xml:space="preserve"> PAGEREF _Toc4142187 \h </w:instrText>
            </w:r>
            <w:r w:rsidR="00463F5A">
              <w:rPr>
                <w:webHidden/>
              </w:rPr>
            </w:r>
            <w:r w:rsidR="00463F5A">
              <w:rPr>
                <w:webHidden/>
              </w:rPr>
              <w:fldChar w:fldCharType="separate"/>
            </w:r>
            <w:r w:rsidR="00463F5A">
              <w:rPr>
                <w:webHidden/>
              </w:rPr>
              <w:t>158</w:t>
            </w:r>
            <w:r w:rsidR="00463F5A">
              <w:rPr>
                <w:webHidden/>
              </w:rPr>
              <w:fldChar w:fldCharType="end"/>
            </w:r>
          </w:hyperlink>
        </w:p>
        <w:p w14:paraId="3AC8BADD" w14:textId="19EB19E8" w:rsidR="00463F5A" w:rsidRDefault="0016341D">
          <w:pPr>
            <w:pStyle w:val="TOC2"/>
            <w:rPr>
              <w:rFonts w:asciiTheme="minorHAnsi" w:eastAsiaTheme="minorEastAsia" w:hAnsiTheme="minorHAnsi" w:cstheme="minorBidi"/>
              <w:sz w:val="22"/>
              <w:szCs w:val="22"/>
              <w:lang w:eastAsia="en-AU"/>
            </w:rPr>
          </w:pPr>
          <w:hyperlink w:anchor="_Toc4142188" w:history="1">
            <w:r w:rsidR="00463F5A" w:rsidRPr="005217E0">
              <w:rPr>
                <w:rStyle w:val="Hyperlink"/>
                <w:rFonts w:cs="Arial"/>
                <w:lang w:eastAsia="en-AU"/>
              </w:rPr>
              <w:t>6.2 Funding summary and payment schedule</w:t>
            </w:r>
            <w:r w:rsidR="00463F5A">
              <w:rPr>
                <w:webHidden/>
              </w:rPr>
              <w:tab/>
            </w:r>
            <w:r w:rsidR="00463F5A">
              <w:rPr>
                <w:webHidden/>
              </w:rPr>
              <w:fldChar w:fldCharType="begin"/>
            </w:r>
            <w:r w:rsidR="00463F5A">
              <w:rPr>
                <w:webHidden/>
              </w:rPr>
              <w:instrText xml:space="preserve"> PAGEREF _Toc4142188 \h </w:instrText>
            </w:r>
            <w:r w:rsidR="00463F5A">
              <w:rPr>
                <w:webHidden/>
              </w:rPr>
            </w:r>
            <w:r w:rsidR="00463F5A">
              <w:rPr>
                <w:webHidden/>
              </w:rPr>
              <w:fldChar w:fldCharType="separate"/>
            </w:r>
            <w:r w:rsidR="00463F5A">
              <w:rPr>
                <w:webHidden/>
              </w:rPr>
              <w:t>158</w:t>
            </w:r>
            <w:r w:rsidR="00463F5A">
              <w:rPr>
                <w:webHidden/>
              </w:rPr>
              <w:fldChar w:fldCharType="end"/>
            </w:r>
          </w:hyperlink>
        </w:p>
        <w:p w14:paraId="41B5864E" w14:textId="4B7780DB" w:rsidR="00463F5A" w:rsidRDefault="0016341D">
          <w:pPr>
            <w:pStyle w:val="TOC3"/>
            <w:rPr>
              <w:rFonts w:asciiTheme="minorHAnsi" w:eastAsiaTheme="minorEastAsia" w:hAnsiTheme="minorHAnsi" w:cstheme="minorBidi"/>
              <w:noProof/>
              <w:sz w:val="22"/>
              <w:szCs w:val="22"/>
              <w:lang w:eastAsia="en-AU"/>
            </w:rPr>
          </w:pPr>
          <w:hyperlink w:anchor="_Toc4142189" w:history="1">
            <w:r w:rsidR="00463F5A" w:rsidRPr="005217E0">
              <w:rPr>
                <w:rStyle w:val="Hyperlink"/>
                <w:noProof/>
                <w:lang w:eastAsia="en-AU"/>
              </w:rPr>
              <w:t>6.2.1 Funding summary and funding types</w:t>
            </w:r>
            <w:r w:rsidR="00463F5A">
              <w:rPr>
                <w:noProof/>
                <w:webHidden/>
              </w:rPr>
              <w:tab/>
            </w:r>
            <w:r w:rsidR="00463F5A">
              <w:rPr>
                <w:noProof/>
                <w:webHidden/>
              </w:rPr>
              <w:fldChar w:fldCharType="begin"/>
            </w:r>
            <w:r w:rsidR="00463F5A">
              <w:rPr>
                <w:noProof/>
                <w:webHidden/>
              </w:rPr>
              <w:instrText xml:space="preserve"> PAGEREF _Toc4142189 \h </w:instrText>
            </w:r>
            <w:r w:rsidR="00463F5A">
              <w:rPr>
                <w:noProof/>
                <w:webHidden/>
              </w:rPr>
            </w:r>
            <w:r w:rsidR="00463F5A">
              <w:rPr>
                <w:noProof/>
                <w:webHidden/>
              </w:rPr>
              <w:fldChar w:fldCharType="separate"/>
            </w:r>
            <w:r w:rsidR="00463F5A">
              <w:rPr>
                <w:noProof/>
                <w:webHidden/>
              </w:rPr>
              <w:t>159</w:t>
            </w:r>
            <w:r w:rsidR="00463F5A">
              <w:rPr>
                <w:noProof/>
                <w:webHidden/>
              </w:rPr>
              <w:fldChar w:fldCharType="end"/>
            </w:r>
          </w:hyperlink>
        </w:p>
        <w:p w14:paraId="6BEE25E4" w14:textId="561FB6C4" w:rsidR="00463F5A" w:rsidRDefault="0016341D">
          <w:pPr>
            <w:pStyle w:val="TOC3"/>
            <w:rPr>
              <w:rFonts w:asciiTheme="minorHAnsi" w:eastAsiaTheme="minorEastAsia" w:hAnsiTheme="minorHAnsi" w:cstheme="minorBidi"/>
              <w:noProof/>
              <w:sz w:val="22"/>
              <w:szCs w:val="22"/>
              <w:lang w:eastAsia="en-AU"/>
            </w:rPr>
          </w:pPr>
          <w:hyperlink w:anchor="_Toc4142190" w:history="1">
            <w:r w:rsidR="00463F5A" w:rsidRPr="005217E0">
              <w:rPr>
                <w:rStyle w:val="Hyperlink"/>
                <w:noProof/>
                <w:lang w:eastAsia="en-AU"/>
              </w:rPr>
              <w:t>6.2.2 Payment schedule</w:t>
            </w:r>
            <w:r w:rsidR="00463F5A">
              <w:rPr>
                <w:noProof/>
                <w:webHidden/>
              </w:rPr>
              <w:tab/>
            </w:r>
            <w:r w:rsidR="00463F5A">
              <w:rPr>
                <w:noProof/>
                <w:webHidden/>
              </w:rPr>
              <w:fldChar w:fldCharType="begin"/>
            </w:r>
            <w:r w:rsidR="00463F5A">
              <w:rPr>
                <w:noProof/>
                <w:webHidden/>
              </w:rPr>
              <w:instrText xml:space="preserve"> PAGEREF _Toc4142190 \h </w:instrText>
            </w:r>
            <w:r w:rsidR="00463F5A">
              <w:rPr>
                <w:noProof/>
                <w:webHidden/>
              </w:rPr>
            </w:r>
            <w:r w:rsidR="00463F5A">
              <w:rPr>
                <w:noProof/>
                <w:webHidden/>
              </w:rPr>
              <w:fldChar w:fldCharType="separate"/>
            </w:r>
            <w:r w:rsidR="00463F5A">
              <w:rPr>
                <w:noProof/>
                <w:webHidden/>
              </w:rPr>
              <w:t>160</w:t>
            </w:r>
            <w:r w:rsidR="00463F5A">
              <w:rPr>
                <w:noProof/>
                <w:webHidden/>
              </w:rPr>
              <w:fldChar w:fldCharType="end"/>
            </w:r>
          </w:hyperlink>
        </w:p>
        <w:p w14:paraId="2A308794" w14:textId="65BE77A9" w:rsidR="00463F5A" w:rsidRDefault="0016341D">
          <w:pPr>
            <w:pStyle w:val="TOC2"/>
            <w:rPr>
              <w:rFonts w:asciiTheme="minorHAnsi" w:eastAsiaTheme="minorEastAsia" w:hAnsiTheme="minorHAnsi" w:cstheme="minorBidi"/>
              <w:sz w:val="22"/>
              <w:szCs w:val="22"/>
              <w:lang w:eastAsia="en-AU"/>
            </w:rPr>
          </w:pPr>
          <w:hyperlink w:anchor="_Toc4142191" w:history="1">
            <w:r w:rsidR="00463F5A" w:rsidRPr="005217E0">
              <w:rPr>
                <w:rStyle w:val="Hyperlink"/>
                <w:rFonts w:cs="Arial"/>
                <w:lang w:eastAsia="en-AU"/>
              </w:rPr>
              <w:t>6.3 Data collection requirements</w:t>
            </w:r>
            <w:r w:rsidR="00463F5A">
              <w:rPr>
                <w:webHidden/>
              </w:rPr>
              <w:tab/>
            </w:r>
            <w:r w:rsidR="00463F5A">
              <w:rPr>
                <w:webHidden/>
              </w:rPr>
              <w:fldChar w:fldCharType="begin"/>
            </w:r>
            <w:r w:rsidR="00463F5A">
              <w:rPr>
                <w:webHidden/>
              </w:rPr>
              <w:instrText xml:space="preserve"> PAGEREF _Toc4142191 \h </w:instrText>
            </w:r>
            <w:r w:rsidR="00463F5A">
              <w:rPr>
                <w:webHidden/>
              </w:rPr>
            </w:r>
            <w:r w:rsidR="00463F5A">
              <w:rPr>
                <w:webHidden/>
              </w:rPr>
              <w:fldChar w:fldCharType="separate"/>
            </w:r>
            <w:r w:rsidR="00463F5A">
              <w:rPr>
                <w:webHidden/>
              </w:rPr>
              <w:t>160</w:t>
            </w:r>
            <w:r w:rsidR="00463F5A">
              <w:rPr>
                <w:webHidden/>
              </w:rPr>
              <w:fldChar w:fldCharType="end"/>
            </w:r>
          </w:hyperlink>
        </w:p>
        <w:p w14:paraId="22CDF409" w14:textId="3F93BCC9" w:rsidR="00463F5A" w:rsidRDefault="0016341D">
          <w:pPr>
            <w:pStyle w:val="TOC2"/>
            <w:rPr>
              <w:rFonts w:asciiTheme="minorHAnsi" w:eastAsiaTheme="minorEastAsia" w:hAnsiTheme="minorHAnsi" w:cstheme="minorBidi"/>
              <w:sz w:val="22"/>
              <w:szCs w:val="22"/>
              <w:lang w:eastAsia="en-AU"/>
            </w:rPr>
          </w:pPr>
          <w:hyperlink w:anchor="_Toc4142192" w:history="1">
            <w:r w:rsidR="00463F5A" w:rsidRPr="005217E0">
              <w:rPr>
                <w:rStyle w:val="Hyperlink"/>
                <w:rFonts w:cs="Arial"/>
                <w:lang w:eastAsia="en-AU"/>
              </w:rPr>
              <w:t>6.4 Service plan information</w:t>
            </w:r>
            <w:r w:rsidR="00463F5A">
              <w:rPr>
                <w:webHidden/>
              </w:rPr>
              <w:tab/>
            </w:r>
            <w:r w:rsidR="00463F5A">
              <w:rPr>
                <w:webHidden/>
              </w:rPr>
              <w:fldChar w:fldCharType="begin"/>
            </w:r>
            <w:r w:rsidR="00463F5A">
              <w:rPr>
                <w:webHidden/>
              </w:rPr>
              <w:instrText xml:space="preserve"> PAGEREF _Toc4142192 \h </w:instrText>
            </w:r>
            <w:r w:rsidR="00463F5A">
              <w:rPr>
                <w:webHidden/>
              </w:rPr>
            </w:r>
            <w:r w:rsidR="00463F5A">
              <w:rPr>
                <w:webHidden/>
              </w:rPr>
              <w:fldChar w:fldCharType="separate"/>
            </w:r>
            <w:r w:rsidR="00463F5A">
              <w:rPr>
                <w:webHidden/>
              </w:rPr>
              <w:t>160</w:t>
            </w:r>
            <w:r w:rsidR="00463F5A">
              <w:rPr>
                <w:webHidden/>
              </w:rPr>
              <w:fldChar w:fldCharType="end"/>
            </w:r>
          </w:hyperlink>
        </w:p>
        <w:p w14:paraId="5217CABF" w14:textId="403A0612" w:rsidR="00463F5A" w:rsidRDefault="0016341D">
          <w:pPr>
            <w:pStyle w:val="TOC2"/>
            <w:rPr>
              <w:rFonts w:asciiTheme="minorHAnsi" w:eastAsiaTheme="minorEastAsia" w:hAnsiTheme="minorHAnsi" w:cstheme="minorBidi"/>
              <w:sz w:val="22"/>
              <w:szCs w:val="22"/>
              <w:lang w:eastAsia="en-AU"/>
            </w:rPr>
          </w:pPr>
          <w:hyperlink w:anchor="_Toc4142193" w:history="1">
            <w:r w:rsidR="00463F5A" w:rsidRPr="005217E0">
              <w:rPr>
                <w:rStyle w:val="Hyperlink"/>
                <w:rFonts w:cs="Arial"/>
                <w:lang w:eastAsia="en-AU"/>
              </w:rPr>
              <w:t>6.5 Schedule 3 additional agreement level information</w:t>
            </w:r>
            <w:r w:rsidR="00463F5A">
              <w:rPr>
                <w:webHidden/>
              </w:rPr>
              <w:tab/>
            </w:r>
            <w:r w:rsidR="00463F5A">
              <w:rPr>
                <w:webHidden/>
              </w:rPr>
              <w:fldChar w:fldCharType="begin"/>
            </w:r>
            <w:r w:rsidR="00463F5A">
              <w:rPr>
                <w:webHidden/>
              </w:rPr>
              <w:instrText xml:space="preserve"> PAGEREF _Toc4142193 \h </w:instrText>
            </w:r>
            <w:r w:rsidR="00463F5A">
              <w:rPr>
                <w:webHidden/>
              </w:rPr>
            </w:r>
            <w:r w:rsidR="00463F5A">
              <w:rPr>
                <w:webHidden/>
              </w:rPr>
              <w:fldChar w:fldCharType="separate"/>
            </w:r>
            <w:r w:rsidR="00463F5A">
              <w:rPr>
                <w:webHidden/>
              </w:rPr>
              <w:t>161</w:t>
            </w:r>
            <w:r w:rsidR="00463F5A">
              <w:rPr>
                <w:webHidden/>
              </w:rPr>
              <w:fldChar w:fldCharType="end"/>
            </w:r>
          </w:hyperlink>
        </w:p>
        <w:p w14:paraId="75C9D42E" w14:textId="0D956F2F" w:rsidR="00463F5A" w:rsidRDefault="0016341D">
          <w:pPr>
            <w:pStyle w:val="TOC1"/>
            <w:rPr>
              <w:rFonts w:asciiTheme="minorHAnsi" w:eastAsiaTheme="minorEastAsia" w:hAnsiTheme="minorHAnsi" w:cstheme="minorBidi"/>
              <w:b w:val="0"/>
              <w:sz w:val="22"/>
              <w:szCs w:val="22"/>
              <w:lang w:eastAsia="en-AU"/>
            </w:rPr>
          </w:pPr>
          <w:hyperlink w:anchor="_Toc4142194" w:history="1">
            <w:r w:rsidR="00463F5A" w:rsidRPr="005217E0">
              <w:rPr>
                <w:rStyle w:val="Hyperlink"/>
              </w:rPr>
              <w:t>Attachment</w:t>
            </w:r>
            <w:r w:rsidR="00463F5A" w:rsidRPr="005217E0">
              <w:rPr>
                <w:rStyle w:val="Hyperlink"/>
                <w:lang w:eastAsia="en-AU"/>
              </w:rPr>
              <w:t xml:space="preserve"> 1</w:t>
            </w:r>
            <w:r w:rsidR="00463F5A">
              <w:rPr>
                <w:webHidden/>
              </w:rPr>
              <w:tab/>
            </w:r>
            <w:r w:rsidR="00463F5A">
              <w:rPr>
                <w:webHidden/>
              </w:rPr>
              <w:fldChar w:fldCharType="begin"/>
            </w:r>
            <w:r w:rsidR="00463F5A">
              <w:rPr>
                <w:webHidden/>
              </w:rPr>
              <w:instrText xml:space="preserve"> PAGEREF _Toc4142194 \h </w:instrText>
            </w:r>
            <w:r w:rsidR="00463F5A">
              <w:rPr>
                <w:webHidden/>
              </w:rPr>
            </w:r>
            <w:r w:rsidR="00463F5A">
              <w:rPr>
                <w:webHidden/>
              </w:rPr>
              <w:fldChar w:fldCharType="separate"/>
            </w:r>
            <w:r w:rsidR="00463F5A">
              <w:rPr>
                <w:webHidden/>
              </w:rPr>
              <w:t>162</w:t>
            </w:r>
            <w:r w:rsidR="00463F5A">
              <w:rPr>
                <w:webHidden/>
              </w:rPr>
              <w:fldChar w:fldCharType="end"/>
            </w:r>
          </w:hyperlink>
        </w:p>
        <w:p w14:paraId="5ADDDDE6" w14:textId="7DD0F41E" w:rsidR="00463F5A" w:rsidRDefault="0016341D">
          <w:pPr>
            <w:pStyle w:val="TOC2"/>
            <w:rPr>
              <w:rFonts w:asciiTheme="minorHAnsi" w:eastAsiaTheme="minorEastAsia" w:hAnsiTheme="minorHAnsi" w:cstheme="minorBidi"/>
              <w:sz w:val="22"/>
              <w:szCs w:val="22"/>
              <w:lang w:eastAsia="en-AU"/>
            </w:rPr>
          </w:pPr>
          <w:hyperlink w:anchor="_Toc4142195" w:history="1">
            <w:r w:rsidR="00463F5A" w:rsidRPr="005217E0">
              <w:rPr>
                <w:rStyle w:val="Hyperlink"/>
                <w:lang w:eastAsia="en-AU"/>
              </w:rPr>
              <w:t>Organisation assets register - data requirements</w:t>
            </w:r>
            <w:r w:rsidR="00463F5A">
              <w:rPr>
                <w:webHidden/>
              </w:rPr>
              <w:tab/>
            </w:r>
            <w:r w:rsidR="00463F5A">
              <w:rPr>
                <w:webHidden/>
              </w:rPr>
              <w:fldChar w:fldCharType="begin"/>
            </w:r>
            <w:r w:rsidR="00463F5A">
              <w:rPr>
                <w:webHidden/>
              </w:rPr>
              <w:instrText xml:space="preserve"> PAGEREF _Toc4142195 \h </w:instrText>
            </w:r>
            <w:r w:rsidR="00463F5A">
              <w:rPr>
                <w:webHidden/>
              </w:rPr>
            </w:r>
            <w:r w:rsidR="00463F5A">
              <w:rPr>
                <w:webHidden/>
              </w:rPr>
              <w:fldChar w:fldCharType="separate"/>
            </w:r>
            <w:r w:rsidR="00463F5A">
              <w:rPr>
                <w:webHidden/>
              </w:rPr>
              <w:t>162</w:t>
            </w:r>
            <w:r w:rsidR="00463F5A">
              <w:rPr>
                <w:webHidden/>
              </w:rPr>
              <w:fldChar w:fldCharType="end"/>
            </w:r>
          </w:hyperlink>
        </w:p>
        <w:p w14:paraId="0C969DB2" w14:textId="0AC6A1C6" w:rsidR="00463F5A" w:rsidRDefault="0016341D">
          <w:pPr>
            <w:pStyle w:val="TOC2"/>
            <w:rPr>
              <w:rFonts w:asciiTheme="minorHAnsi" w:eastAsiaTheme="minorEastAsia" w:hAnsiTheme="minorHAnsi" w:cstheme="minorBidi"/>
              <w:sz w:val="22"/>
              <w:szCs w:val="22"/>
              <w:lang w:eastAsia="en-AU"/>
            </w:rPr>
          </w:pPr>
          <w:hyperlink w:anchor="_Toc4142196" w:history="1">
            <w:r w:rsidR="00463F5A" w:rsidRPr="005217E0">
              <w:rPr>
                <w:rStyle w:val="Hyperlink"/>
                <w:lang w:eastAsia="en-AU"/>
              </w:rPr>
              <w:t>Sample of an asset register</w:t>
            </w:r>
            <w:r w:rsidR="00463F5A">
              <w:rPr>
                <w:webHidden/>
              </w:rPr>
              <w:tab/>
            </w:r>
            <w:r w:rsidR="00463F5A">
              <w:rPr>
                <w:webHidden/>
              </w:rPr>
              <w:fldChar w:fldCharType="begin"/>
            </w:r>
            <w:r w:rsidR="00463F5A">
              <w:rPr>
                <w:webHidden/>
              </w:rPr>
              <w:instrText xml:space="preserve"> PAGEREF _Toc4142196 \h </w:instrText>
            </w:r>
            <w:r w:rsidR="00463F5A">
              <w:rPr>
                <w:webHidden/>
              </w:rPr>
            </w:r>
            <w:r w:rsidR="00463F5A">
              <w:rPr>
                <w:webHidden/>
              </w:rPr>
              <w:fldChar w:fldCharType="separate"/>
            </w:r>
            <w:r w:rsidR="00463F5A">
              <w:rPr>
                <w:webHidden/>
              </w:rPr>
              <w:t>163</w:t>
            </w:r>
            <w:r w:rsidR="00463F5A">
              <w:rPr>
                <w:webHidden/>
              </w:rPr>
              <w:fldChar w:fldCharType="end"/>
            </w:r>
          </w:hyperlink>
        </w:p>
        <w:p w14:paraId="092C60AD" w14:textId="641772B3" w:rsidR="00463F5A" w:rsidRDefault="0016341D">
          <w:pPr>
            <w:pStyle w:val="TOC2"/>
            <w:rPr>
              <w:rFonts w:asciiTheme="minorHAnsi" w:eastAsiaTheme="minorEastAsia" w:hAnsiTheme="minorHAnsi" w:cstheme="minorBidi"/>
              <w:sz w:val="22"/>
              <w:szCs w:val="22"/>
              <w:lang w:eastAsia="en-AU"/>
            </w:rPr>
          </w:pPr>
          <w:hyperlink w:anchor="_Toc4142197" w:history="1">
            <w:r w:rsidR="00463F5A" w:rsidRPr="005217E0">
              <w:rPr>
                <w:rStyle w:val="Hyperlink"/>
              </w:rPr>
              <w:t>Sample d</w:t>
            </w:r>
            <w:r w:rsidR="00463F5A" w:rsidRPr="005217E0">
              <w:rPr>
                <w:rStyle w:val="Hyperlink"/>
                <w:lang w:eastAsia="en-AU"/>
              </w:rPr>
              <w:t>epreciation of non-current physical assets</w:t>
            </w:r>
            <w:r w:rsidR="00463F5A">
              <w:rPr>
                <w:webHidden/>
              </w:rPr>
              <w:tab/>
            </w:r>
            <w:r w:rsidR="00463F5A">
              <w:rPr>
                <w:webHidden/>
              </w:rPr>
              <w:fldChar w:fldCharType="begin"/>
            </w:r>
            <w:r w:rsidR="00463F5A">
              <w:rPr>
                <w:webHidden/>
              </w:rPr>
              <w:instrText xml:space="preserve"> PAGEREF _Toc4142197 \h </w:instrText>
            </w:r>
            <w:r w:rsidR="00463F5A">
              <w:rPr>
                <w:webHidden/>
              </w:rPr>
            </w:r>
            <w:r w:rsidR="00463F5A">
              <w:rPr>
                <w:webHidden/>
              </w:rPr>
              <w:fldChar w:fldCharType="separate"/>
            </w:r>
            <w:r w:rsidR="00463F5A">
              <w:rPr>
                <w:webHidden/>
              </w:rPr>
              <w:t>164</w:t>
            </w:r>
            <w:r w:rsidR="00463F5A">
              <w:rPr>
                <w:webHidden/>
              </w:rPr>
              <w:fldChar w:fldCharType="end"/>
            </w:r>
          </w:hyperlink>
        </w:p>
        <w:p w14:paraId="06858A5E" w14:textId="03F77822" w:rsidR="00463F5A" w:rsidRDefault="0016341D">
          <w:pPr>
            <w:pStyle w:val="TOC2"/>
            <w:rPr>
              <w:rFonts w:asciiTheme="minorHAnsi" w:eastAsiaTheme="minorEastAsia" w:hAnsiTheme="minorHAnsi" w:cstheme="minorBidi"/>
              <w:sz w:val="22"/>
              <w:szCs w:val="22"/>
              <w:lang w:eastAsia="en-AU"/>
            </w:rPr>
          </w:pPr>
          <w:hyperlink w:anchor="_Toc4142198" w:history="1">
            <w:r w:rsidR="00463F5A" w:rsidRPr="005217E0">
              <w:rPr>
                <w:rStyle w:val="Hyperlink"/>
                <w:lang w:eastAsia="en-AU"/>
              </w:rPr>
              <w:t>Recommended annual depreciation rates</w:t>
            </w:r>
            <w:r w:rsidR="00463F5A">
              <w:rPr>
                <w:webHidden/>
              </w:rPr>
              <w:tab/>
            </w:r>
            <w:r w:rsidR="00463F5A">
              <w:rPr>
                <w:webHidden/>
              </w:rPr>
              <w:fldChar w:fldCharType="begin"/>
            </w:r>
            <w:r w:rsidR="00463F5A">
              <w:rPr>
                <w:webHidden/>
              </w:rPr>
              <w:instrText xml:space="preserve"> PAGEREF _Toc4142198 \h </w:instrText>
            </w:r>
            <w:r w:rsidR="00463F5A">
              <w:rPr>
                <w:webHidden/>
              </w:rPr>
            </w:r>
            <w:r w:rsidR="00463F5A">
              <w:rPr>
                <w:webHidden/>
              </w:rPr>
              <w:fldChar w:fldCharType="separate"/>
            </w:r>
            <w:r w:rsidR="00463F5A">
              <w:rPr>
                <w:webHidden/>
              </w:rPr>
              <w:t>164</w:t>
            </w:r>
            <w:r w:rsidR="00463F5A">
              <w:rPr>
                <w:webHidden/>
              </w:rPr>
              <w:fldChar w:fldCharType="end"/>
            </w:r>
          </w:hyperlink>
        </w:p>
        <w:p w14:paraId="71857C21" w14:textId="4AC26A81" w:rsidR="003D3866" w:rsidRDefault="003D3866">
          <w:r>
            <w:rPr>
              <w:b/>
              <w:bCs/>
              <w:noProof/>
            </w:rPr>
            <w:fldChar w:fldCharType="end"/>
          </w:r>
        </w:p>
      </w:sdtContent>
    </w:sdt>
    <w:p w14:paraId="2F6F1F19" w14:textId="77777777" w:rsidR="004E02A3" w:rsidRPr="000011E4" w:rsidRDefault="004E02A3" w:rsidP="0069731A">
      <w:pPr>
        <w:pStyle w:val="Heading2"/>
      </w:pPr>
      <w:bookmarkStart w:id="3" w:name="_Chapter_1._Introduction"/>
      <w:bookmarkStart w:id="4" w:name="_Toc487209045"/>
      <w:bookmarkStart w:id="5" w:name="_Toc4141972"/>
      <w:bookmarkEnd w:id="3"/>
      <w:r w:rsidRPr="00260310">
        <w:t>Revision</w:t>
      </w:r>
      <w:r w:rsidRPr="000011E4">
        <w:t xml:space="preserve"> history</w:t>
      </w:r>
      <w:bookmarkEnd w:id="4"/>
      <w:bookmarkEnd w:id="5"/>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1843"/>
        <w:gridCol w:w="3344"/>
      </w:tblGrid>
      <w:tr w:rsidR="004E02A3" w:rsidRPr="0069731A" w14:paraId="459CC1AA" w14:textId="77777777" w:rsidTr="0069731A">
        <w:trPr>
          <w:tblHeader/>
        </w:trPr>
        <w:tc>
          <w:tcPr>
            <w:tcW w:w="993" w:type="dxa"/>
            <w:shd w:val="clear" w:color="auto" w:fill="auto"/>
          </w:tcPr>
          <w:p w14:paraId="5508D208" w14:textId="77777777" w:rsidR="004E02A3" w:rsidRPr="0069731A" w:rsidRDefault="004E02A3" w:rsidP="001D4A46">
            <w:pPr>
              <w:pStyle w:val="DHHStablecolhead"/>
              <w:rPr>
                <w:sz w:val="16"/>
              </w:rPr>
            </w:pPr>
            <w:r w:rsidRPr="0069731A">
              <w:rPr>
                <w:sz w:val="16"/>
              </w:rPr>
              <w:t>Version</w:t>
            </w:r>
          </w:p>
        </w:tc>
        <w:tc>
          <w:tcPr>
            <w:tcW w:w="3118" w:type="dxa"/>
          </w:tcPr>
          <w:p w14:paraId="4E6E4F7A" w14:textId="77777777" w:rsidR="004E02A3" w:rsidRPr="0069731A" w:rsidRDefault="004E02A3" w:rsidP="001D4A46">
            <w:pPr>
              <w:pStyle w:val="DHHStablecolhead"/>
              <w:rPr>
                <w:sz w:val="16"/>
              </w:rPr>
            </w:pPr>
            <w:r w:rsidRPr="0069731A">
              <w:rPr>
                <w:sz w:val="16"/>
              </w:rPr>
              <w:t>Amended section</w:t>
            </w:r>
          </w:p>
        </w:tc>
        <w:tc>
          <w:tcPr>
            <w:tcW w:w="1843" w:type="dxa"/>
            <w:shd w:val="clear" w:color="auto" w:fill="auto"/>
          </w:tcPr>
          <w:p w14:paraId="78EBDB9A" w14:textId="77777777" w:rsidR="004E02A3" w:rsidRPr="0069731A" w:rsidRDefault="004E02A3" w:rsidP="001D4A46">
            <w:pPr>
              <w:pStyle w:val="DHHStablecolhead"/>
              <w:rPr>
                <w:sz w:val="16"/>
              </w:rPr>
            </w:pPr>
            <w:r w:rsidRPr="0069731A">
              <w:rPr>
                <w:sz w:val="16"/>
              </w:rPr>
              <w:t>Effective</w:t>
            </w:r>
          </w:p>
        </w:tc>
        <w:tc>
          <w:tcPr>
            <w:tcW w:w="3344" w:type="dxa"/>
          </w:tcPr>
          <w:p w14:paraId="0B548C73" w14:textId="77777777" w:rsidR="004E02A3" w:rsidRPr="0069731A" w:rsidRDefault="004E02A3" w:rsidP="001D4A46">
            <w:pPr>
              <w:pStyle w:val="DHHStablecolhead"/>
              <w:rPr>
                <w:sz w:val="16"/>
              </w:rPr>
            </w:pPr>
            <w:r w:rsidRPr="0069731A">
              <w:rPr>
                <w:sz w:val="16"/>
              </w:rPr>
              <w:t>Details</w:t>
            </w:r>
          </w:p>
        </w:tc>
      </w:tr>
      <w:tr w:rsidR="00463F5A" w:rsidRPr="0069731A" w14:paraId="0FD49D4B" w14:textId="77777777" w:rsidTr="0069731A">
        <w:tc>
          <w:tcPr>
            <w:tcW w:w="993" w:type="dxa"/>
            <w:shd w:val="clear" w:color="auto" w:fill="auto"/>
          </w:tcPr>
          <w:p w14:paraId="31D4C458" w14:textId="1EBC69F2" w:rsidR="00463F5A" w:rsidRDefault="00463F5A" w:rsidP="00463F5A">
            <w:pPr>
              <w:pStyle w:val="DHHStabletext"/>
              <w:rPr>
                <w:sz w:val="16"/>
              </w:rPr>
            </w:pPr>
            <w:r>
              <w:rPr>
                <w:sz w:val="16"/>
              </w:rPr>
              <w:t>2019 1.</w:t>
            </w:r>
            <w:r w:rsidR="004F7A56">
              <w:rPr>
                <w:sz w:val="16"/>
              </w:rPr>
              <w:t>1</w:t>
            </w:r>
          </w:p>
        </w:tc>
        <w:tc>
          <w:tcPr>
            <w:tcW w:w="3118" w:type="dxa"/>
          </w:tcPr>
          <w:p w14:paraId="4A7D399D" w14:textId="6F645E03" w:rsidR="00463F5A" w:rsidRPr="0069731A" w:rsidRDefault="004F7A56" w:rsidP="00463F5A">
            <w:pPr>
              <w:pStyle w:val="DHHStabletext"/>
              <w:rPr>
                <w:sz w:val="16"/>
              </w:rPr>
            </w:pPr>
            <w:r>
              <w:rPr>
                <w:sz w:val="16"/>
              </w:rPr>
              <w:t>3.4.2</w:t>
            </w:r>
          </w:p>
        </w:tc>
        <w:tc>
          <w:tcPr>
            <w:tcW w:w="1843" w:type="dxa"/>
            <w:shd w:val="clear" w:color="auto" w:fill="auto"/>
          </w:tcPr>
          <w:p w14:paraId="4118071D" w14:textId="4117124F" w:rsidR="00463F5A" w:rsidRDefault="00463F5A" w:rsidP="00463F5A">
            <w:pPr>
              <w:pStyle w:val="DHHStabletext"/>
              <w:rPr>
                <w:sz w:val="16"/>
              </w:rPr>
            </w:pPr>
            <w:r>
              <w:rPr>
                <w:sz w:val="16"/>
              </w:rPr>
              <w:t>22 March 2019</w:t>
            </w:r>
          </w:p>
        </w:tc>
        <w:tc>
          <w:tcPr>
            <w:tcW w:w="3344" w:type="dxa"/>
          </w:tcPr>
          <w:p w14:paraId="51D5BD86" w14:textId="3CFBC0FB" w:rsidR="00463F5A" w:rsidRDefault="00463F5A" w:rsidP="00463F5A">
            <w:pPr>
              <w:pStyle w:val="DHHStabletext"/>
              <w:rPr>
                <w:sz w:val="16"/>
              </w:rPr>
            </w:pPr>
            <w:r>
              <w:rPr>
                <w:sz w:val="16"/>
              </w:rPr>
              <w:t>Price indexation link</w:t>
            </w:r>
          </w:p>
        </w:tc>
      </w:tr>
      <w:tr w:rsidR="00463F5A" w:rsidRPr="0069731A" w14:paraId="2A26C38F" w14:textId="77777777" w:rsidTr="0069731A">
        <w:tc>
          <w:tcPr>
            <w:tcW w:w="993" w:type="dxa"/>
            <w:shd w:val="clear" w:color="auto" w:fill="auto"/>
          </w:tcPr>
          <w:p w14:paraId="62516B2E" w14:textId="77777777" w:rsidR="00463F5A" w:rsidRDefault="00463F5A" w:rsidP="00463F5A">
            <w:pPr>
              <w:pStyle w:val="DHHStabletext"/>
              <w:rPr>
                <w:sz w:val="16"/>
              </w:rPr>
            </w:pPr>
          </w:p>
        </w:tc>
        <w:tc>
          <w:tcPr>
            <w:tcW w:w="3118" w:type="dxa"/>
          </w:tcPr>
          <w:p w14:paraId="6889ADE2" w14:textId="77777777" w:rsidR="00463F5A" w:rsidRDefault="00463F5A" w:rsidP="00463F5A">
            <w:pPr>
              <w:pStyle w:val="DHHStabletext"/>
              <w:rPr>
                <w:sz w:val="16"/>
              </w:rPr>
            </w:pPr>
          </w:p>
        </w:tc>
        <w:tc>
          <w:tcPr>
            <w:tcW w:w="1843" w:type="dxa"/>
            <w:shd w:val="clear" w:color="auto" w:fill="auto"/>
          </w:tcPr>
          <w:p w14:paraId="04E09FB5" w14:textId="77777777" w:rsidR="00463F5A" w:rsidRDefault="00463F5A" w:rsidP="00463F5A">
            <w:pPr>
              <w:pStyle w:val="DHHStabletext"/>
              <w:rPr>
                <w:sz w:val="16"/>
              </w:rPr>
            </w:pPr>
          </w:p>
        </w:tc>
        <w:tc>
          <w:tcPr>
            <w:tcW w:w="3344" w:type="dxa"/>
          </w:tcPr>
          <w:p w14:paraId="385B85BF" w14:textId="77777777" w:rsidR="00463F5A" w:rsidRDefault="00463F5A" w:rsidP="00463F5A">
            <w:pPr>
              <w:pStyle w:val="DHHStabletext"/>
              <w:rPr>
                <w:sz w:val="16"/>
              </w:rPr>
            </w:pPr>
          </w:p>
        </w:tc>
      </w:tr>
    </w:tbl>
    <w:p w14:paraId="28F7F6B3" w14:textId="7B909DB4" w:rsidR="00236748" w:rsidRPr="00276391" w:rsidRDefault="00920939" w:rsidP="004E02A3">
      <w:pPr>
        <w:pStyle w:val="Heading1"/>
        <w:rPr>
          <w:rFonts w:cs="Arial"/>
        </w:rPr>
      </w:pPr>
      <w:bookmarkStart w:id="6" w:name="_Toc4141973"/>
      <w:r>
        <w:rPr>
          <w:rFonts w:cs="Arial"/>
          <w:noProof/>
          <w:lang w:eastAsia="en-AU"/>
        </w:rPr>
        <w:lastRenderedPageBreak/>
        <w:drawing>
          <wp:inline distT="0" distB="0" distL="0" distR="0" wp14:anchorId="32975E91" wp14:editId="5D0A9F5D">
            <wp:extent cx="9525" cy="9525"/>
            <wp:effectExtent l="0" t="0" r="0" b="0"/>
            <wp:docPr id="4" name="Picture 7" descr="Skip to cont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ip to conten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36748" w:rsidRPr="00276391">
        <w:rPr>
          <w:rFonts w:cs="Arial"/>
        </w:rPr>
        <w:t>Chapter</w:t>
      </w:r>
      <w:r w:rsidR="005D5532" w:rsidRPr="00276391">
        <w:rPr>
          <w:rFonts w:cs="Arial"/>
        </w:rPr>
        <w:t xml:space="preserve"> </w:t>
      </w:r>
      <w:r w:rsidR="00236748" w:rsidRPr="00276391">
        <w:rPr>
          <w:rFonts w:cs="Arial"/>
        </w:rPr>
        <w:t>1.</w:t>
      </w:r>
      <w:r w:rsidR="005D5532" w:rsidRPr="00276391">
        <w:rPr>
          <w:rFonts w:cs="Arial"/>
        </w:rPr>
        <w:t xml:space="preserve"> </w:t>
      </w:r>
      <w:r w:rsidR="00236748" w:rsidRPr="00276391">
        <w:rPr>
          <w:rFonts w:cs="Arial"/>
        </w:rPr>
        <w:t>Introduction</w:t>
      </w:r>
      <w:bookmarkEnd w:id="6"/>
      <w:bookmarkEnd w:id="2"/>
      <w:bookmarkEnd w:id="1"/>
      <w:bookmarkEnd w:id="0"/>
    </w:p>
    <w:p w14:paraId="4BBFFC7B" w14:textId="51AE193A" w:rsidR="00236748" w:rsidRPr="00E555AC" w:rsidRDefault="00236748" w:rsidP="00236748">
      <w:pPr>
        <w:pStyle w:val="DHHSbody"/>
        <w:spacing w:line="240" w:lineRule="auto"/>
        <w:rPr>
          <w:rFonts w:cs="Arial"/>
          <w:lang w:eastAsia="en-AU"/>
        </w:rPr>
      </w:pPr>
      <w:r w:rsidRPr="00E555AC">
        <w:rPr>
          <w:rFonts w:cs="Arial"/>
          <w:lang w:eastAsia="en-AU"/>
        </w:rPr>
        <w:t>The</w:t>
      </w:r>
      <w:r w:rsidR="005D5532" w:rsidRPr="00E555AC">
        <w:rPr>
          <w:rFonts w:cs="Arial"/>
          <w:lang w:eastAsia="en-AU"/>
        </w:rPr>
        <w:t xml:space="preserve"> </w:t>
      </w:r>
      <w:r w:rsidR="009B3052" w:rsidRPr="00E555AC">
        <w:rPr>
          <w:rFonts w:cs="Arial"/>
          <w:lang w:eastAsia="en-AU"/>
        </w:rPr>
        <w:t>Service agreement</w:t>
      </w:r>
      <w:r w:rsidR="00C32843" w:rsidRPr="00E555AC">
        <w:rPr>
          <w:rFonts w:cs="Arial"/>
          <w:lang w:eastAsia="en-AU"/>
        </w:rPr>
        <w:t xml:space="preserve"> information kit </w:t>
      </w:r>
      <w:r w:rsidR="007C6AB3" w:rsidRPr="00E555AC">
        <w:rPr>
          <w:rFonts w:cs="Arial"/>
          <w:lang w:eastAsia="en-AU"/>
        </w:rPr>
        <w:t>(</w:t>
      </w:r>
      <w:r w:rsidR="00C32843" w:rsidRPr="00E555AC">
        <w:rPr>
          <w:rFonts w:cs="Arial"/>
          <w:lang w:eastAsia="en-AU"/>
        </w:rPr>
        <w:t>the kit</w:t>
      </w:r>
      <w:r w:rsidR="007C6AB3" w:rsidRPr="00E555AC">
        <w:rPr>
          <w:rFonts w:cs="Arial"/>
          <w:lang w:eastAsia="en-AU"/>
        </w:rPr>
        <w:t xml:space="preserve">) </w:t>
      </w:r>
      <w:r w:rsidRPr="00E555AC">
        <w:rPr>
          <w:rFonts w:cs="Arial"/>
          <w:lang w:eastAsia="en-AU"/>
        </w:rPr>
        <w:t>provides</w:t>
      </w:r>
      <w:r w:rsidR="005D5532" w:rsidRPr="00E555AC">
        <w:rPr>
          <w:rFonts w:cs="Arial"/>
          <w:lang w:eastAsia="en-AU"/>
        </w:rPr>
        <w:t xml:space="preserve"> </w:t>
      </w:r>
      <w:r w:rsidRPr="00E555AC">
        <w:rPr>
          <w:rFonts w:cs="Arial"/>
          <w:lang w:eastAsia="en-AU"/>
        </w:rPr>
        <w:t>information</w:t>
      </w:r>
      <w:r w:rsidR="005D5532" w:rsidRPr="00E555AC">
        <w:rPr>
          <w:rFonts w:cs="Arial"/>
          <w:lang w:eastAsia="en-AU"/>
        </w:rPr>
        <w:t xml:space="preserve"> </w:t>
      </w:r>
      <w:r w:rsidRPr="00E555AC">
        <w:rPr>
          <w:rFonts w:cs="Arial"/>
          <w:lang w:eastAsia="en-AU"/>
        </w:rPr>
        <w:t>for</w:t>
      </w:r>
      <w:r w:rsidR="005D5532" w:rsidRPr="00E555AC">
        <w:rPr>
          <w:rFonts w:cs="Arial"/>
          <w:lang w:eastAsia="en-AU"/>
        </w:rPr>
        <w:t xml:space="preserve"> </w:t>
      </w:r>
      <w:r w:rsidRPr="00E555AC">
        <w:rPr>
          <w:rFonts w:cs="Arial"/>
          <w:lang w:eastAsia="en-AU"/>
        </w:rPr>
        <w:t>organisations</w:t>
      </w:r>
      <w:r w:rsidR="005D5532" w:rsidRPr="00E555AC">
        <w:rPr>
          <w:rFonts w:cs="Arial"/>
          <w:lang w:eastAsia="en-AU"/>
        </w:rPr>
        <w:t xml:space="preserve"> </w:t>
      </w:r>
      <w:r w:rsidRPr="00E555AC">
        <w:rPr>
          <w:rFonts w:cs="Arial"/>
          <w:lang w:eastAsia="en-AU"/>
        </w:rPr>
        <w:t>who</w:t>
      </w:r>
      <w:r w:rsidR="005D5532" w:rsidRPr="00E555AC">
        <w:rPr>
          <w:rFonts w:cs="Arial"/>
          <w:lang w:eastAsia="en-AU"/>
        </w:rPr>
        <w:t xml:space="preserve"> </w:t>
      </w:r>
      <w:r w:rsidRPr="00E555AC">
        <w:rPr>
          <w:rFonts w:cs="Arial"/>
          <w:lang w:eastAsia="en-AU"/>
        </w:rPr>
        <w:t>hold</w:t>
      </w:r>
      <w:r w:rsidR="005D5532" w:rsidRPr="00E555AC">
        <w:rPr>
          <w:rFonts w:cs="Arial"/>
          <w:lang w:eastAsia="en-AU"/>
        </w:rPr>
        <w:t xml:space="preserve"> </w:t>
      </w:r>
      <w:r w:rsidRPr="00E555AC">
        <w:rPr>
          <w:rFonts w:cs="Arial"/>
          <w:lang w:eastAsia="en-AU"/>
        </w:rPr>
        <w:t>a</w:t>
      </w:r>
      <w:r w:rsidR="005D5532" w:rsidRPr="00E555AC">
        <w:rPr>
          <w:rFonts w:cs="Arial"/>
          <w:lang w:eastAsia="en-AU"/>
        </w:rPr>
        <w:t xml:space="preserve"> </w:t>
      </w:r>
      <w:r w:rsidR="009B3052" w:rsidRPr="00E555AC">
        <w:rPr>
          <w:rFonts w:cs="Arial"/>
          <w:lang w:eastAsia="en-AU"/>
        </w:rPr>
        <w:t>Service agreement</w:t>
      </w:r>
      <w:r w:rsidR="005D5532" w:rsidRPr="00E555AC">
        <w:rPr>
          <w:rFonts w:cs="Arial"/>
          <w:lang w:eastAsia="en-AU"/>
        </w:rPr>
        <w:t xml:space="preserve"> </w:t>
      </w:r>
      <w:r w:rsidRPr="00E555AC">
        <w:rPr>
          <w:rFonts w:cs="Arial"/>
          <w:lang w:eastAsia="en-AU"/>
        </w:rPr>
        <w:t>with</w:t>
      </w:r>
      <w:r w:rsidR="005D5532" w:rsidRPr="00E555AC">
        <w:rPr>
          <w:rFonts w:cs="Arial"/>
          <w:lang w:eastAsia="en-AU"/>
        </w:rPr>
        <w:t xml:space="preserve"> </w:t>
      </w:r>
      <w:r w:rsidR="003F52B3" w:rsidRPr="00E555AC">
        <w:rPr>
          <w:rFonts w:cs="Arial"/>
          <w:lang w:eastAsia="en-AU"/>
        </w:rPr>
        <w:t>the Department of Health and Human Services (DHHS), the Department of Education and Training</w:t>
      </w:r>
      <w:r w:rsidR="00F14D08" w:rsidRPr="00E555AC">
        <w:rPr>
          <w:rFonts w:cs="Arial"/>
          <w:lang w:eastAsia="en-AU"/>
        </w:rPr>
        <w:t xml:space="preserve"> (DET), the Adult</w:t>
      </w:r>
      <w:r w:rsidR="003F52B3" w:rsidRPr="00E555AC">
        <w:rPr>
          <w:rFonts w:cs="Arial"/>
          <w:lang w:eastAsia="en-AU"/>
        </w:rPr>
        <w:t>, Community and Further Education Board (ACFE), and the Department of Justice and Regulation (DJR</w:t>
      </w:r>
      <w:r w:rsidR="00BC2787" w:rsidRPr="00E555AC">
        <w:rPr>
          <w:rFonts w:cs="Arial"/>
          <w:lang w:eastAsia="en-AU"/>
        </w:rPr>
        <w:t>)</w:t>
      </w:r>
      <w:r w:rsidR="007C6AB3" w:rsidRPr="00E555AC">
        <w:rPr>
          <w:rFonts w:cs="Arial"/>
          <w:lang w:eastAsia="en-AU"/>
        </w:rPr>
        <w:t>.</w:t>
      </w:r>
      <w:r w:rsidR="00C27FA8" w:rsidRPr="00E555AC">
        <w:rPr>
          <w:rFonts w:cs="Arial"/>
          <w:lang w:eastAsia="en-AU"/>
        </w:rPr>
        <w:t xml:space="preserve"> </w:t>
      </w:r>
      <w:r w:rsidR="006735C1" w:rsidRPr="00E555AC">
        <w:rPr>
          <w:rFonts w:cs="Arial"/>
          <w:color w:val="000000"/>
          <w:lang w:eastAsia="en-AU"/>
        </w:rPr>
        <w:t>When referring to department, all departments are implied unless otherwise stated.</w:t>
      </w:r>
    </w:p>
    <w:p w14:paraId="1F45D127" w14:textId="096154AF" w:rsidR="00236748" w:rsidRPr="00E555AC" w:rsidRDefault="00236748" w:rsidP="00236748">
      <w:pPr>
        <w:pStyle w:val="DHHSbody"/>
        <w:rPr>
          <w:rFonts w:cs="Arial"/>
        </w:rPr>
      </w:pPr>
      <w:r w:rsidRPr="00E555AC">
        <w:rPr>
          <w:rFonts w:cs="Arial"/>
          <w:lang w:eastAsia="en-AU"/>
        </w:rPr>
        <w:t>Organisations</w:t>
      </w:r>
      <w:r w:rsidR="005D5532" w:rsidRPr="00E555AC">
        <w:rPr>
          <w:rFonts w:cs="Arial"/>
          <w:lang w:eastAsia="en-AU"/>
        </w:rPr>
        <w:t xml:space="preserve"> </w:t>
      </w:r>
      <w:r w:rsidRPr="00E555AC">
        <w:rPr>
          <w:rFonts w:cs="Arial"/>
          <w:lang w:eastAsia="en-AU"/>
        </w:rPr>
        <w:t>can</w:t>
      </w:r>
      <w:r w:rsidR="005D5532" w:rsidRPr="00E555AC">
        <w:rPr>
          <w:rFonts w:cs="Arial"/>
          <w:lang w:eastAsia="en-AU"/>
        </w:rPr>
        <w:t xml:space="preserve"> </w:t>
      </w:r>
      <w:r w:rsidRPr="00E555AC">
        <w:rPr>
          <w:rFonts w:cs="Arial"/>
          <w:lang w:eastAsia="en-AU"/>
        </w:rPr>
        <w:t>provide</w:t>
      </w:r>
      <w:r w:rsidR="005D5532" w:rsidRPr="00E555AC">
        <w:rPr>
          <w:rFonts w:cs="Arial"/>
          <w:lang w:eastAsia="en-AU"/>
        </w:rPr>
        <w:t xml:space="preserve"> </w:t>
      </w:r>
      <w:r w:rsidRPr="00E555AC">
        <w:rPr>
          <w:rFonts w:cs="Arial"/>
          <w:lang w:eastAsia="en-AU"/>
        </w:rPr>
        <w:t>feedback</w:t>
      </w:r>
      <w:r w:rsidR="005D5532" w:rsidRPr="00E555AC">
        <w:rPr>
          <w:rFonts w:cs="Arial"/>
          <w:lang w:eastAsia="en-AU"/>
        </w:rPr>
        <w:t xml:space="preserve"> </w:t>
      </w:r>
      <w:r w:rsidRPr="00E555AC">
        <w:rPr>
          <w:rFonts w:cs="Arial"/>
          <w:lang w:eastAsia="en-AU"/>
        </w:rPr>
        <w:t>regarding</w:t>
      </w:r>
      <w:r w:rsidR="005D5532" w:rsidRPr="00E555AC">
        <w:rPr>
          <w:rFonts w:cs="Arial"/>
          <w:lang w:eastAsia="en-AU"/>
        </w:rPr>
        <w:t xml:space="preserve"> </w:t>
      </w:r>
      <w:r w:rsidR="00C32843" w:rsidRPr="00E555AC">
        <w:rPr>
          <w:rFonts w:cs="Arial"/>
          <w:lang w:eastAsia="en-AU"/>
        </w:rPr>
        <w:t>the kit</w:t>
      </w:r>
      <w:r w:rsidR="005D5532" w:rsidRPr="00E555AC">
        <w:rPr>
          <w:rFonts w:cs="Arial"/>
          <w:lang w:eastAsia="en-AU"/>
        </w:rPr>
        <w:t xml:space="preserve"> </w:t>
      </w:r>
      <w:r w:rsidRPr="00E555AC">
        <w:rPr>
          <w:rFonts w:cs="Arial"/>
          <w:lang w:eastAsia="en-AU"/>
        </w:rPr>
        <w:t>to</w:t>
      </w:r>
      <w:r w:rsidR="005D5532" w:rsidRPr="00E555AC">
        <w:rPr>
          <w:rFonts w:cs="Arial"/>
          <w:lang w:eastAsia="en-AU"/>
        </w:rPr>
        <w:t xml:space="preserve"> </w:t>
      </w:r>
      <w:hyperlink r:id="rId13" w:history="1">
        <w:r w:rsidR="009B3052" w:rsidRPr="00E555AC">
          <w:rPr>
            <w:rStyle w:val="Hyperlink"/>
            <w:rFonts w:cs="Arial"/>
            <w:lang w:eastAsia="en-AU"/>
          </w:rPr>
          <w:t>Service agreement</w:t>
        </w:r>
        <w:r w:rsidR="00CD1CD8" w:rsidRPr="00E555AC">
          <w:rPr>
            <w:rStyle w:val="Hyperlink"/>
            <w:rFonts w:cs="Arial"/>
            <w:lang w:eastAsia="en-AU"/>
          </w:rPr>
          <w:t xml:space="preserve"> policy</w:t>
        </w:r>
      </w:hyperlink>
      <w:r w:rsidR="00F77AD4" w:rsidRPr="00E555AC">
        <w:rPr>
          <w:rFonts w:cs="Arial"/>
          <w:lang w:eastAsia="en-AU"/>
        </w:rPr>
        <w:t xml:space="preserve"> &lt;</w:t>
      </w:r>
      <w:r w:rsidR="00AF475C" w:rsidRPr="00E555AC">
        <w:rPr>
          <w:rFonts w:cs="Arial"/>
          <w:lang w:eastAsia="en-AU"/>
        </w:rPr>
        <w:t>SAPolicy@dhhs.vic.gov.au</w:t>
      </w:r>
      <w:r w:rsidR="00F77AD4" w:rsidRPr="00E555AC">
        <w:rPr>
          <w:rFonts w:cs="Arial"/>
        </w:rPr>
        <w:t>&gt;</w:t>
      </w:r>
    </w:p>
    <w:p w14:paraId="5475902C" w14:textId="22EF9B7C" w:rsidR="00236748" w:rsidRPr="00276391" w:rsidRDefault="00236748" w:rsidP="00B9407B">
      <w:pPr>
        <w:pStyle w:val="Heading2"/>
        <w:rPr>
          <w:lang w:eastAsia="en-AU"/>
        </w:rPr>
      </w:pPr>
      <w:bookmarkStart w:id="7" w:name="_Toc478991666"/>
      <w:bookmarkStart w:id="8" w:name="_Toc478992292"/>
      <w:bookmarkStart w:id="9" w:name="_Toc478992869"/>
      <w:bookmarkStart w:id="10" w:name="_Toc4141974"/>
      <w:r w:rsidRPr="00276391">
        <w:rPr>
          <w:lang w:eastAsia="en-AU"/>
        </w:rPr>
        <w:t>1.1</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32843">
        <w:rPr>
          <w:lang w:eastAsia="en-AU"/>
        </w:rPr>
        <w:t xml:space="preserve"> information kit </w:t>
      </w:r>
      <w:r w:rsidRPr="00276391">
        <w:rPr>
          <w:lang w:eastAsia="en-AU"/>
        </w:rPr>
        <w:t>for</w:t>
      </w:r>
      <w:r w:rsidR="005D5532" w:rsidRPr="00276391">
        <w:rPr>
          <w:lang w:eastAsia="en-AU"/>
        </w:rPr>
        <w:t xml:space="preserve"> </w:t>
      </w:r>
      <w:r w:rsidR="00296DCA">
        <w:rPr>
          <w:lang w:eastAsia="en-AU"/>
        </w:rPr>
        <w:t>f</w:t>
      </w:r>
      <w:r w:rsidRPr="00276391">
        <w:rPr>
          <w:lang w:eastAsia="en-AU"/>
        </w:rPr>
        <w:t>unded</w:t>
      </w:r>
      <w:r w:rsidR="005D5532" w:rsidRPr="00276391">
        <w:rPr>
          <w:lang w:eastAsia="en-AU"/>
        </w:rPr>
        <w:t xml:space="preserve"> </w:t>
      </w:r>
      <w:r w:rsidR="00296DCA">
        <w:rPr>
          <w:lang w:eastAsia="en-AU"/>
        </w:rPr>
        <w:t>o</w:t>
      </w:r>
      <w:r w:rsidRPr="00276391">
        <w:rPr>
          <w:lang w:eastAsia="en-AU"/>
        </w:rPr>
        <w:t>rganisations</w:t>
      </w:r>
      <w:bookmarkEnd w:id="7"/>
      <w:bookmarkEnd w:id="8"/>
      <w:bookmarkEnd w:id="9"/>
      <w:bookmarkEnd w:id="10"/>
    </w:p>
    <w:p w14:paraId="3D28BB01" w14:textId="14DA290B" w:rsidR="00236748" w:rsidRPr="00276391" w:rsidRDefault="00C32843" w:rsidP="00236748">
      <w:pPr>
        <w:pStyle w:val="DHHSbody"/>
        <w:rPr>
          <w:rFonts w:cs="Arial"/>
          <w:lang w:eastAsia="en-AU"/>
        </w:rPr>
      </w:pPr>
      <w:r>
        <w:rPr>
          <w:rFonts w:cs="Arial"/>
          <w:lang w:eastAsia="en-AU"/>
        </w:rPr>
        <w:t>The kit</w:t>
      </w:r>
      <w:r w:rsidR="005D5532" w:rsidRPr="00276391">
        <w:rPr>
          <w:rFonts w:cs="Arial"/>
          <w:lang w:eastAsia="en-AU"/>
        </w:rPr>
        <w:t xml:space="preserve"> </w:t>
      </w:r>
      <w:r w:rsidR="00236748" w:rsidRPr="00276391">
        <w:rPr>
          <w:rFonts w:cs="Arial"/>
          <w:lang w:eastAsia="en-AU"/>
        </w:rPr>
        <w:t>is</w:t>
      </w:r>
      <w:r w:rsidR="005D5532" w:rsidRPr="00276391">
        <w:rPr>
          <w:rFonts w:cs="Arial"/>
          <w:lang w:eastAsia="en-AU"/>
        </w:rPr>
        <w:t xml:space="preserve"> </w:t>
      </w:r>
      <w:r w:rsidR="00236748" w:rsidRPr="00276391">
        <w:rPr>
          <w:rFonts w:cs="Arial"/>
          <w:lang w:eastAsia="en-AU"/>
        </w:rPr>
        <w:t>an</w:t>
      </w:r>
      <w:r w:rsidR="005D5532" w:rsidRPr="00276391">
        <w:rPr>
          <w:rFonts w:cs="Arial"/>
          <w:lang w:eastAsia="en-AU"/>
        </w:rPr>
        <w:t xml:space="preserve"> </w:t>
      </w:r>
      <w:r w:rsidR="00236748" w:rsidRPr="00276391">
        <w:rPr>
          <w:rFonts w:cs="Arial"/>
          <w:lang w:eastAsia="en-AU"/>
        </w:rPr>
        <w:t>applicable</w:t>
      </w:r>
      <w:r w:rsidR="005D5532" w:rsidRPr="00276391">
        <w:rPr>
          <w:rFonts w:cs="Arial"/>
          <w:lang w:eastAsia="en-AU"/>
        </w:rPr>
        <w:t xml:space="preserve"> </w:t>
      </w:r>
      <w:r w:rsidR="00236748" w:rsidRPr="00276391">
        <w:rPr>
          <w:rFonts w:cs="Arial"/>
          <w:lang w:eastAsia="en-AU"/>
        </w:rPr>
        <w:t>departmental</w:t>
      </w:r>
      <w:r w:rsidR="005D5532" w:rsidRPr="00276391">
        <w:rPr>
          <w:rFonts w:cs="Arial"/>
          <w:lang w:eastAsia="en-AU"/>
        </w:rPr>
        <w:t xml:space="preserve"> </w:t>
      </w:r>
      <w:r w:rsidR="00236748" w:rsidRPr="00276391">
        <w:rPr>
          <w:rFonts w:cs="Arial"/>
          <w:lang w:eastAsia="en-AU"/>
        </w:rPr>
        <w:t>policy</w:t>
      </w:r>
      <w:r w:rsidR="005D5532" w:rsidRPr="00276391">
        <w:rPr>
          <w:rFonts w:cs="Arial"/>
          <w:lang w:eastAsia="en-AU"/>
        </w:rPr>
        <w:t xml:space="preserve"> </w:t>
      </w:r>
      <w:r w:rsidR="00236748" w:rsidRPr="00276391">
        <w:rPr>
          <w:rFonts w:cs="Arial"/>
          <w:lang w:eastAsia="en-AU"/>
        </w:rPr>
        <w:t>as</w:t>
      </w:r>
      <w:r w:rsidR="005D5532" w:rsidRPr="00276391">
        <w:rPr>
          <w:rFonts w:cs="Arial"/>
          <w:lang w:eastAsia="en-AU"/>
        </w:rPr>
        <w:t xml:space="preserve"> </w:t>
      </w:r>
      <w:r w:rsidR="00236748" w:rsidRPr="00276391">
        <w:rPr>
          <w:rFonts w:cs="Arial"/>
          <w:lang w:eastAsia="en-AU"/>
        </w:rPr>
        <w:t>listed</w:t>
      </w:r>
      <w:r w:rsidR="005D5532" w:rsidRPr="00276391">
        <w:rPr>
          <w:rFonts w:cs="Arial"/>
          <w:lang w:eastAsia="en-AU"/>
        </w:rPr>
        <w:t xml:space="preserve"> </w:t>
      </w:r>
      <w:r w:rsidR="00236748" w:rsidRPr="00276391">
        <w:rPr>
          <w:rFonts w:cs="Arial"/>
          <w:lang w:eastAsia="en-AU"/>
        </w:rPr>
        <w:t>in</w:t>
      </w:r>
      <w:r w:rsidR="005D5532" w:rsidRPr="00276391">
        <w:rPr>
          <w:rFonts w:cs="Arial"/>
          <w:lang w:eastAsia="en-AU"/>
        </w:rPr>
        <w:t xml:space="preserve"> </w:t>
      </w:r>
      <w:r w:rsidR="00236748"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00236748" w:rsidRPr="00276391">
        <w:rPr>
          <w:rFonts w:cs="Arial"/>
          <w:lang w:eastAsia="en-AU"/>
        </w:rPr>
        <w:t>'Schedule</w:t>
      </w:r>
      <w:r w:rsidR="005D5532" w:rsidRPr="00276391">
        <w:rPr>
          <w:rFonts w:cs="Arial"/>
          <w:lang w:eastAsia="en-AU"/>
        </w:rPr>
        <w:t xml:space="preserve"> </w:t>
      </w:r>
      <w:r w:rsidR="00236748" w:rsidRPr="00276391">
        <w:rPr>
          <w:rFonts w:cs="Arial"/>
          <w:lang w:eastAsia="en-AU"/>
        </w:rPr>
        <w:t>1</w:t>
      </w:r>
      <w:r w:rsidR="005D5532" w:rsidRPr="00276391">
        <w:rPr>
          <w:rFonts w:cs="Arial"/>
          <w:lang w:eastAsia="en-AU"/>
        </w:rPr>
        <w:t xml:space="preserve"> </w:t>
      </w:r>
      <w:r w:rsidR="00236748" w:rsidRPr="00276391">
        <w:rPr>
          <w:rFonts w:cs="Arial"/>
          <w:lang w:eastAsia="en-AU"/>
        </w:rPr>
        <w:t>Applicable</w:t>
      </w:r>
      <w:r w:rsidR="005D5532" w:rsidRPr="00276391">
        <w:rPr>
          <w:rFonts w:cs="Arial"/>
          <w:lang w:eastAsia="en-AU"/>
        </w:rPr>
        <w:t xml:space="preserve"> </w:t>
      </w:r>
      <w:r w:rsidR="00236748" w:rsidRPr="00276391">
        <w:rPr>
          <w:rFonts w:cs="Arial"/>
          <w:lang w:eastAsia="en-AU"/>
        </w:rPr>
        <w:t>Departmental</w:t>
      </w:r>
      <w:r w:rsidR="005D5532" w:rsidRPr="00276391">
        <w:rPr>
          <w:rFonts w:cs="Arial"/>
          <w:lang w:eastAsia="en-AU"/>
        </w:rPr>
        <w:t xml:space="preserve"> </w:t>
      </w:r>
      <w:r w:rsidR="00236748" w:rsidRPr="00276391">
        <w:rPr>
          <w:rFonts w:cs="Arial"/>
          <w:lang w:eastAsia="en-AU"/>
        </w:rPr>
        <w:t>Policies'.</w:t>
      </w:r>
    </w:p>
    <w:p w14:paraId="5E9AF917" w14:textId="15E9C757" w:rsidR="00236748" w:rsidRPr="00276391" w:rsidRDefault="00C32843" w:rsidP="00236748">
      <w:pPr>
        <w:pStyle w:val="DHHSbody"/>
        <w:rPr>
          <w:rFonts w:cs="Arial"/>
          <w:lang w:eastAsia="en-AU"/>
        </w:rPr>
      </w:pPr>
      <w:r>
        <w:rPr>
          <w:rFonts w:cs="Arial"/>
          <w:lang w:eastAsia="en-AU"/>
        </w:rPr>
        <w:t>The kit</w:t>
      </w:r>
      <w:r w:rsidR="005D5532" w:rsidRPr="00276391">
        <w:rPr>
          <w:rFonts w:cs="Arial"/>
          <w:lang w:eastAsia="en-AU"/>
        </w:rPr>
        <w:t xml:space="preserve"> </w:t>
      </w:r>
      <w:r w:rsidR="00236748" w:rsidRPr="00276391">
        <w:rPr>
          <w:rFonts w:cs="Arial"/>
          <w:lang w:eastAsia="en-AU"/>
        </w:rPr>
        <w:t>is</w:t>
      </w:r>
      <w:r w:rsidR="005D5532" w:rsidRPr="00276391">
        <w:rPr>
          <w:rFonts w:cs="Arial"/>
          <w:lang w:eastAsia="en-AU"/>
        </w:rPr>
        <w:t xml:space="preserve"> </w:t>
      </w:r>
      <w:r w:rsidR="00236748" w:rsidRPr="00276391">
        <w:rPr>
          <w:rFonts w:cs="Arial"/>
          <w:lang w:eastAsia="en-AU"/>
        </w:rPr>
        <w:t>designed</w:t>
      </w:r>
      <w:r w:rsidR="005D5532" w:rsidRPr="00276391">
        <w:rPr>
          <w:rFonts w:cs="Arial"/>
          <w:lang w:eastAsia="en-AU"/>
        </w:rPr>
        <w:t xml:space="preserve"> </w:t>
      </w:r>
      <w:r w:rsidR="00236748" w:rsidRPr="00276391">
        <w:rPr>
          <w:rFonts w:cs="Arial"/>
          <w:lang w:eastAsia="en-AU"/>
        </w:rPr>
        <w:t>to</w:t>
      </w:r>
      <w:r w:rsidR="005D5532" w:rsidRPr="00276391">
        <w:rPr>
          <w:rFonts w:cs="Arial"/>
          <w:lang w:eastAsia="en-AU"/>
        </w:rPr>
        <w:t xml:space="preserve"> </w:t>
      </w:r>
      <w:r w:rsidR="00236748" w:rsidRPr="00276391">
        <w:rPr>
          <w:rFonts w:cs="Arial"/>
          <w:lang w:eastAsia="en-AU"/>
        </w:rPr>
        <w:t>provide</w:t>
      </w:r>
      <w:r w:rsidR="005D5532" w:rsidRPr="00276391">
        <w:rPr>
          <w:rFonts w:cs="Arial"/>
          <w:lang w:eastAsia="en-AU"/>
        </w:rPr>
        <w:t xml:space="preserve"> </w:t>
      </w:r>
      <w:r w:rsidR="00236748" w:rsidRPr="00276391">
        <w:rPr>
          <w:rFonts w:cs="Arial"/>
          <w:lang w:eastAsia="en-AU"/>
        </w:rPr>
        <w:t>organisations</w:t>
      </w:r>
      <w:r w:rsidR="005D5532" w:rsidRPr="00276391">
        <w:rPr>
          <w:rFonts w:cs="Arial"/>
          <w:lang w:eastAsia="en-AU"/>
        </w:rPr>
        <w:t xml:space="preserve"> </w:t>
      </w:r>
      <w:r w:rsidR="00236748" w:rsidRPr="00276391">
        <w:rPr>
          <w:rFonts w:cs="Arial"/>
          <w:lang w:eastAsia="en-AU"/>
        </w:rPr>
        <w:t>funded</w:t>
      </w:r>
      <w:r w:rsidR="005D5532" w:rsidRPr="00276391">
        <w:rPr>
          <w:rFonts w:cs="Arial"/>
          <w:lang w:eastAsia="en-AU"/>
        </w:rPr>
        <w:t xml:space="preserve"> </w:t>
      </w:r>
      <w:r w:rsidR="00236748" w:rsidRPr="00276391">
        <w:rPr>
          <w:rFonts w:cs="Arial"/>
          <w:lang w:eastAsia="en-AU"/>
        </w:rPr>
        <w:t>by</w:t>
      </w:r>
      <w:r w:rsidR="005D5532" w:rsidRPr="00276391">
        <w:rPr>
          <w:rFonts w:cs="Arial"/>
          <w:lang w:eastAsia="en-AU"/>
        </w:rPr>
        <w:t xml:space="preserve"> </w:t>
      </w:r>
      <w:r w:rsidR="00236748" w:rsidRPr="00276391">
        <w:rPr>
          <w:rFonts w:cs="Arial"/>
          <w:lang w:eastAsia="en-AU"/>
        </w:rPr>
        <w:t>the</w:t>
      </w:r>
      <w:r w:rsidR="005D5532" w:rsidRPr="00276391">
        <w:rPr>
          <w:rFonts w:cs="Arial"/>
          <w:lang w:eastAsia="en-AU"/>
        </w:rPr>
        <w:t xml:space="preserve"> </w:t>
      </w:r>
      <w:r w:rsidR="006735C1">
        <w:rPr>
          <w:rFonts w:cs="Arial"/>
          <w:lang w:eastAsia="en-AU"/>
        </w:rPr>
        <w:t>departments</w:t>
      </w:r>
      <w:r w:rsidR="003F52B3">
        <w:rPr>
          <w:rFonts w:cs="Arial"/>
          <w:lang w:eastAsia="en-AU"/>
        </w:rPr>
        <w:t xml:space="preserve"> </w:t>
      </w:r>
      <w:r w:rsidR="00236748" w:rsidRPr="00276391">
        <w:rPr>
          <w:rFonts w:cs="Arial"/>
          <w:lang w:eastAsia="en-AU"/>
        </w:rPr>
        <w:t>with</w:t>
      </w:r>
      <w:r w:rsidR="005D5532" w:rsidRPr="00276391">
        <w:rPr>
          <w:rFonts w:cs="Arial"/>
          <w:lang w:eastAsia="en-AU"/>
        </w:rPr>
        <w:t xml:space="preserve"> </w:t>
      </w:r>
      <w:r w:rsidR="00236748" w:rsidRPr="00276391">
        <w:rPr>
          <w:rFonts w:cs="Arial"/>
          <w:lang w:eastAsia="en-AU"/>
        </w:rPr>
        <w:t>information</w:t>
      </w:r>
      <w:r w:rsidR="005D5532" w:rsidRPr="00276391">
        <w:rPr>
          <w:rFonts w:cs="Arial"/>
          <w:lang w:eastAsia="en-AU"/>
        </w:rPr>
        <w:t xml:space="preserve"> </w:t>
      </w:r>
      <w:r w:rsidR="00236748" w:rsidRPr="00276391">
        <w:rPr>
          <w:rFonts w:cs="Arial"/>
          <w:lang w:eastAsia="en-AU"/>
        </w:rPr>
        <w:t>about</w:t>
      </w:r>
      <w:r w:rsidR="005D5532" w:rsidRPr="00276391">
        <w:rPr>
          <w:rFonts w:cs="Arial"/>
          <w:lang w:eastAsia="en-AU"/>
        </w:rPr>
        <w:t xml:space="preserve"> </w:t>
      </w:r>
      <w:r w:rsidR="00236748"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001D4A46">
        <w:rPr>
          <w:rFonts w:cs="Arial"/>
          <w:lang w:eastAsia="en-AU"/>
        </w:rPr>
        <w:t>clauses and the applicable departmental policies.</w:t>
      </w:r>
    </w:p>
    <w:p w14:paraId="7A52DE7D" w14:textId="0D17C679" w:rsidR="00236748" w:rsidRPr="00276391" w:rsidRDefault="00236748" w:rsidP="00236748">
      <w:pPr>
        <w:pStyle w:val="DHHSbody"/>
        <w:rPr>
          <w:rFonts w:cs="Arial"/>
          <w:lang w:eastAsia="en-AU"/>
        </w:rPr>
      </w:pP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form</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Common</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sets</w:t>
      </w:r>
      <w:r w:rsidR="005D5532" w:rsidRPr="00276391">
        <w:rPr>
          <w:rFonts w:cs="Arial"/>
          <w:lang w:eastAsia="en-AU"/>
        </w:rPr>
        <w:t xml:space="preserve"> </w:t>
      </w:r>
      <w:r w:rsidRPr="00276391">
        <w:rPr>
          <w:rFonts w:cs="Arial"/>
          <w:lang w:eastAsia="en-AU"/>
        </w:rPr>
        <w:t>out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key</w:t>
      </w:r>
      <w:r w:rsidR="005D5532" w:rsidRPr="00276391">
        <w:rPr>
          <w:rFonts w:cs="Arial"/>
          <w:lang w:eastAsia="en-AU"/>
        </w:rPr>
        <w:t xml:space="preserve"> </w:t>
      </w:r>
      <w:r w:rsidRPr="00276391">
        <w:rPr>
          <w:rFonts w:cs="Arial"/>
          <w:lang w:eastAsia="en-AU"/>
        </w:rPr>
        <w:t>obligations,</w:t>
      </w:r>
      <w:r w:rsidR="005D5532" w:rsidRPr="00276391">
        <w:rPr>
          <w:rFonts w:cs="Arial"/>
          <w:lang w:eastAsia="en-AU"/>
        </w:rPr>
        <w:t xml:space="preserve"> </w:t>
      </w:r>
      <w:r w:rsidRPr="00276391">
        <w:rPr>
          <w:rFonts w:cs="Arial"/>
          <w:lang w:eastAsia="en-AU"/>
        </w:rPr>
        <w:t>objectives,</w:t>
      </w:r>
      <w:r w:rsidR="005D5532" w:rsidRPr="00276391">
        <w:rPr>
          <w:rFonts w:cs="Arial"/>
          <w:lang w:eastAsia="en-AU"/>
        </w:rPr>
        <w:t xml:space="preserve"> </w:t>
      </w:r>
      <w:r w:rsidRPr="00276391">
        <w:rPr>
          <w:rFonts w:cs="Arial"/>
          <w:lang w:eastAsia="en-AU"/>
        </w:rPr>
        <w:t>rights,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responsibilities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delivering</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providing</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p>
    <w:p w14:paraId="582E5A45" w14:textId="79880A7B" w:rsidR="00236748" w:rsidRPr="00276391" w:rsidRDefault="00236748" w:rsidP="00236748">
      <w:pPr>
        <w:pStyle w:val="DHHSbody"/>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terms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conditions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developed</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sector</w:t>
      </w:r>
      <w:r w:rsidR="005D5532" w:rsidRPr="00276391">
        <w:rPr>
          <w:rFonts w:cs="Arial"/>
          <w:lang w:eastAsia="en-AU"/>
        </w:rPr>
        <w:t xml:space="preserve"> </w:t>
      </w:r>
      <w:r w:rsidRPr="00276391">
        <w:rPr>
          <w:rFonts w:cs="Arial"/>
          <w:lang w:eastAsia="en-AU"/>
        </w:rPr>
        <w:t>representatives</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00CD1CD8">
        <w:rPr>
          <w:rFonts w:cs="Arial"/>
          <w:lang w:eastAsia="en-AU"/>
        </w:rPr>
        <w:t>working group</w:t>
      </w:r>
      <w:r w:rsidRPr="00276391">
        <w:rPr>
          <w:rFonts w:cs="Arial"/>
          <w:lang w:eastAsia="en-AU"/>
        </w:rPr>
        <w: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sub-group</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Partnership</w:t>
      </w:r>
      <w:r w:rsidR="005D5532" w:rsidRPr="00276391">
        <w:rPr>
          <w:rFonts w:cs="Arial"/>
          <w:lang w:eastAsia="en-AU"/>
        </w:rPr>
        <w:t xml:space="preserve"> </w:t>
      </w:r>
      <w:r w:rsidRPr="00276391">
        <w:rPr>
          <w:rFonts w:cs="Arial"/>
          <w:lang w:eastAsia="en-AU"/>
        </w:rPr>
        <w:t>Implementation</w:t>
      </w:r>
      <w:r w:rsidR="005D5532" w:rsidRPr="00276391">
        <w:rPr>
          <w:rFonts w:cs="Arial"/>
          <w:lang w:eastAsia="en-AU"/>
        </w:rPr>
        <w:t xml:space="preserve"> </w:t>
      </w:r>
      <w:r w:rsidRPr="00276391">
        <w:rPr>
          <w:rFonts w:cs="Arial"/>
          <w:lang w:eastAsia="en-AU"/>
        </w:rPr>
        <w:t>Committee</w:t>
      </w:r>
      <w:r w:rsidR="005D5532" w:rsidRPr="00276391">
        <w:rPr>
          <w:rFonts w:cs="Arial"/>
          <w:lang w:eastAsia="en-AU"/>
        </w:rPr>
        <w:t xml:space="preserve"> </w:t>
      </w:r>
      <w:r w:rsidRPr="00276391">
        <w:rPr>
          <w:rFonts w:cs="Arial"/>
          <w:lang w:eastAsia="en-AU"/>
        </w:rPr>
        <w:t>(HSHPIC).</w:t>
      </w:r>
    </w:p>
    <w:p w14:paraId="08B0232F" w14:textId="77777777" w:rsidR="000E1684" w:rsidRPr="00276391" w:rsidRDefault="000E1684" w:rsidP="000E1684">
      <w:pPr>
        <w:pStyle w:val="Heading3"/>
      </w:pPr>
      <w:bookmarkStart w:id="11" w:name="_Toc478991667"/>
      <w:bookmarkStart w:id="12" w:name="_Toc478992293"/>
      <w:bookmarkStart w:id="13" w:name="_Toc4141975"/>
      <w:bookmarkStart w:id="14" w:name="_Toc478991668"/>
      <w:bookmarkStart w:id="15" w:name="_Toc478992294"/>
      <w:r w:rsidRPr="00276391">
        <w:t>Disclaimer</w:t>
      </w:r>
      <w:bookmarkEnd w:id="11"/>
      <w:bookmarkEnd w:id="12"/>
      <w:bookmarkEnd w:id="13"/>
    </w:p>
    <w:p w14:paraId="684281E9" w14:textId="3F13A9DF" w:rsidR="000E1684" w:rsidRPr="00843889" w:rsidRDefault="000E1684" w:rsidP="000E1684">
      <w:pPr>
        <w:pStyle w:val="DHHSbody"/>
      </w:pPr>
      <w:r>
        <w:t>T</w:t>
      </w:r>
      <w:r w:rsidRPr="003B44E8">
        <w:rPr>
          <w:rFonts w:cs="Arial"/>
          <w:color w:val="000000"/>
          <w:szCs w:val="19"/>
          <w:lang w:eastAsia="en-AU"/>
        </w:rPr>
        <w:t xml:space="preserve">he information in </w:t>
      </w:r>
      <w:r>
        <w:rPr>
          <w:rFonts w:cs="Arial"/>
          <w:color w:val="000000"/>
          <w:szCs w:val="19"/>
          <w:lang w:eastAsia="en-AU"/>
        </w:rPr>
        <w:t>the kit</w:t>
      </w:r>
      <w:r w:rsidRPr="003B44E8">
        <w:rPr>
          <w:rFonts w:cs="Arial"/>
          <w:color w:val="000000"/>
          <w:szCs w:val="19"/>
          <w:lang w:eastAsia="en-AU"/>
        </w:rPr>
        <w:t xml:space="preserve"> is for general guidance only. References to contractual or legislative obligations are descriptive only. An organisation’</w:t>
      </w:r>
      <w:r>
        <w:rPr>
          <w:rFonts w:cs="Arial"/>
          <w:color w:val="000000"/>
          <w:szCs w:val="19"/>
          <w:lang w:eastAsia="en-AU"/>
        </w:rPr>
        <w:t xml:space="preserve">s </w:t>
      </w:r>
      <w:r w:rsidR="009B3052">
        <w:rPr>
          <w:rFonts w:cs="Arial"/>
          <w:color w:val="000000"/>
          <w:szCs w:val="19"/>
          <w:lang w:eastAsia="en-AU"/>
        </w:rPr>
        <w:t>Service agreement</w:t>
      </w:r>
      <w:r w:rsidRPr="00843889">
        <w:rPr>
          <w:rFonts w:cs="Arial"/>
          <w:color w:val="000000"/>
          <w:szCs w:val="19"/>
          <w:lang w:eastAsia="en-AU"/>
        </w:rPr>
        <w:t xml:space="preserve"> with </w:t>
      </w:r>
      <w:r w:rsidR="00934DD6">
        <w:rPr>
          <w:rFonts w:cs="Arial"/>
          <w:lang w:eastAsia="en-AU"/>
        </w:rPr>
        <w:t>Department of Health and Human Services</w:t>
      </w:r>
      <w:r w:rsidRPr="00843889">
        <w:rPr>
          <w:rFonts w:cs="Arial"/>
          <w:color w:val="000000"/>
          <w:szCs w:val="19"/>
          <w:lang w:eastAsia="en-AU"/>
        </w:rPr>
        <w:t xml:space="preserve">, and applicable laws or legislation, take precedence over this document. </w:t>
      </w:r>
      <w:r>
        <w:rPr>
          <w:rFonts w:cs="Arial"/>
          <w:color w:val="000000"/>
          <w:szCs w:val="19"/>
          <w:lang w:eastAsia="en-AU"/>
        </w:rPr>
        <w:t>The kit</w:t>
      </w:r>
      <w:r w:rsidRPr="00843889">
        <w:rPr>
          <w:rFonts w:cs="Arial"/>
          <w:color w:val="000000"/>
          <w:szCs w:val="19"/>
          <w:lang w:eastAsia="en-AU"/>
        </w:rPr>
        <w:t xml:space="preserve"> does not constitute, and must not be relied on, as legal or professional advice. Organisations should always obtain specific legal or professional advice tailored to their individual circumstances as needed. No liability is accepted by the department for any loss, damage, cost or expense incurred as a result of reliance on </w:t>
      </w:r>
      <w:r>
        <w:rPr>
          <w:rFonts w:cs="Arial"/>
          <w:color w:val="000000"/>
          <w:szCs w:val="19"/>
          <w:lang w:eastAsia="en-AU"/>
        </w:rPr>
        <w:t>the kit</w:t>
      </w:r>
      <w:r w:rsidRPr="00843889">
        <w:rPr>
          <w:rFonts w:cs="Arial"/>
          <w:color w:val="000000"/>
          <w:szCs w:val="19"/>
          <w:lang w:eastAsia="en-AU"/>
        </w:rPr>
        <w:t>, or any do</w:t>
      </w:r>
      <w:r>
        <w:rPr>
          <w:rFonts w:cs="Arial"/>
          <w:color w:val="000000"/>
          <w:szCs w:val="19"/>
          <w:lang w:eastAsia="en-AU"/>
        </w:rPr>
        <w:t>cuments attached or linked to the kit</w:t>
      </w:r>
      <w:r w:rsidRPr="00843889">
        <w:rPr>
          <w:rFonts w:cs="Arial"/>
          <w:color w:val="000000"/>
          <w:szCs w:val="19"/>
          <w:lang w:eastAsia="en-AU"/>
        </w:rPr>
        <w:t>.</w:t>
      </w:r>
    </w:p>
    <w:p w14:paraId="717199AF" w14:textId="2E85640C" w:rsidR="00236748" w:rsidRPr="00276391" w:rsidRDefault="00236748" w:rsidP="00276391">
      <w:pPr>
        <w:pStyle w:val="Heading3"/>
        <w:rPr>
          <w:lang w:eastAsia="en-AU"/>
        </w:rPr>
      </w:pPr>
      <w:bookmarkStart w:id="16" w:name="_Toc4141976"/>
      <w:r w:rsidRPr="00276391">
        <w:rPr>
          <w:lang w:eastAsia="en-AU"/>
        </w:rPr>
        <w:t>Updates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32843">
        <w:rPr>
          <w:lang w:eastAsia="en-AU"/>
        </w:rPr>
        <w:t xml:space="preserve"> information kit </w:t>
      </w:r>
      <w:r w:rsidRPr="00276391">
        <w:rPr>
          <w:lang w:eastAsia="en-AU"/>
        </w:rPr>
        <w:t>for</w:t>
      </w:r>
      <w:r w:rsidR="005D5532" w:rsidRPr="00276391">
        <w:rPr>
          <w:lang w:eastAsia="en-AU"/>
        </w:rPr>
        <w:t xml:space="preserve"> </w:t>
      </w:r>
      <w:r w:rsidR="00296DCA">
        <w:rPr>
          <w:lang w:eastAsia="en-AU"/>
        </w:rPr>
        <w:t>f</w:t>
      </w:r>
      <w:r w:rsidRPr="00276391">
        <w:rPr>
          <w:lang w:eastAsia="en-AU"/>
        </w:rPr>
        <w:t>unded</w:t>
      </w:r>
      <w:r w:rsidR="005D5532" w:rsidRPr="00276391">
        <w:rPr>
          <w:lang w:eastAsia="en-AU"/>
        </w:rPr>
        <w:t xml:space="preserve"> </w:t>
      </w:r>
      <w:r w:rsidR="00296DCA">
        <w:rPr>
          <w:lang w:eastAsia="en-AU"/>
        </w:rPr>
        <w:t>o</w:t>
      </w:r>
      <w:r w:rsidRPr="00276391">
        <w:rPr>
          <w:lang w:eastAsia="en-AU"/>
        </w:rPr>
        <w:t>rganisations</w:t>
      </w:r>
      <w:bookmarkEnd w:id="14"/>
      <w:bookmarkEnd w:id="15"/>
      <w:bookmarkEnd w:id="16"/>
    </w:p>
    <w:p w14:paraId="2E21BE72" w14:textId="0ABD0711" w:rsidR="00236748" w:rsidRPr="00276391" w:rsidRDefault="00C32843" w:rsidP="00276391">
      <w:pPr>
        <w:pStyle w:val="DHHSbody"/>
        <w:rPr>
          <w:lang w:eastAsia="en-AU"/>
        </w:rPr>
      </w:pPr>
      <w:r>
        <w:rPr>
          <w:rFonts w:cs="Arial"/>
          <w:color w:val="000000"/>
          <w:szCs w:val="19"/>
          <w:lang w:eastAsia="en-AU"/>
        </w:rPr>
        <w:t>The kit</w:t>
      </w:r>
      <w:r w:rsidR="005D5532" w:rsidRPr="00B24C02">
        <w:rPr>
          <w:rFonts w:cs="Arial"/>
          <w:color w:val="000000"/>
          <w:szCs w:val="19"/>
          <w:lang w:eastAsia="en-AU"/>
        </w:rPr>
        <w:t xml:space="preserve"> </w:t>
      </w:r>
      <w:r w:rsidR="00F21513">
        <w:rPr>
          <w:rFonts w:cs="Arial"/>
          <w:color w:val="000000"/>
          <w:szCs w:val="19"/>
          <w:lang w:eastAsia="en-AU"/>
        </w:rPr>
        <w:t>is</w:t>
      </w:r>
      <w:r w:rsidR="005D5532" w:rsidRPr="00B24C02">
        <w:rPr>
          <w:rFonts w:cs="Arial"/>
          <w:color w:val="000000"/>
          <w:szCs w:val="19"/>
          <w:lang w:eastAsia="en-AU"/>
        </w:rPr>
        <w:t xml:space="preserve"> </w:t>
      </w:r>
      <w:r w:rsidR="00236748" w:rsidRPr="00B24C02">
        <w:rPr>
          <w:rFonts w:cs="Arial"/>
          <w:color w:val="000000"/>
          <w:szCs w:val="19"/>
          <w:lang w:eastAsia="en-AU"/>
        </w:rPr>
        <w:t>updated</w:t>
      </w:r>
      <w:r w:rsidR="005D5532" w:rsidRPr="00B24C02">
        <w:rPr>
          <w:rFonts w:cs="Arial"/>
          <w:color w:val="000000"/>
          <w:szCs w:val="19"/>
          <w:lang w:eastAsia="en-AU"/>
        </w:rPr>
        <w:t xml:space="preserve"> </w:t>
      </w:r>
      <w:r w:rsidR="00236748" w:rsidRPr="00B24C02">
        <w:rPr>
          <w:rFonts w:cs="Arial"/>
          <w:color w:val="000000"/>
          <w:szCs w:val="19"/>
          <w:lang w:eastAsia="en-AU"/>
        </w:rPr>
        <w:t>as</w:t>
      </w:r>
      <w:r w:rsidR="005D5532" w:rsidRPr="00B24C02">
        <w:rPr>
          <w:rFonts w:cs="Arial"/>
          <w:color w:val="000000"/>
          <w:szCs w:val="19"/>
          <w:lang w:eastAsia="en-AU"/>
        </w:rPr>
        <w:t xml:space="preserve"> </w:t>
      </w:r>
      <w:r w:rsidR="00236748" w:rsidRPr="00B24C02">
        <w:rPr>
          <w:rFonts w:cs="Arial"/>
          <w:color w:val="000000"/>
          <w:szCs w:val="19"/>
          <w:lang w:eastAsia="en-AU"/>
        </w:rPr>
        <w:t>required.</w:t>
      </w:r>
      <w:r w:rsidR="005D5532" w:rsidRPr="00B24C02">
        <w:rPr>
          <w:rFonts w:cs="Arial"/>
          <w:color w:val="000000"/>
          <w:szCs w:val="19"/>
          <w:lang w:eastAsia="en-AU"/>
        </w:rPr>
        <w:t xml:space="preserve"> </w:t>
      </w:r>
      <w:r w:rsidR="00236748" w:rsidRPr="00B24C02">
        <w:rPr>
          <w:rFonts w:cs="Arial"/>
          <w:color w:val="000000"/>
          <w:szCs w:val="19"/>
          <w:lang w:eastAsia="en-AU"/>
        </w:rPr>
        <w:t>It</w:t>
      </w:r>
      <w:r w:rsidR="005D5532" w:rsidRPr="00B24C02">
        <w:rPr>
          <w:rFonts w:cs="Arial"/>
          <w:color w:val="000000"/>
          <w:szCs w:val="19"/>
          <w:lang w:eastAsia="en-AU"/>
        </w:rPr>
        <w:t xml:space="preserve"> </w:t>
      </w:r>
      <w:r w:rsidR="00236748" w:rsidRPr="00B24C02">
        <w:rPr>
          <w:rFonts w:cs="Arial"/>
          <w:color w:val="000000"/>
          <w:szCs w:val="19"/>
          <w:lang w:eastAsia="en-AU"/>
        </w:rPr>
        <w:t>is</w:t>
      </w:r>
      <w:r w:rsidR="005D5532" w:rsidRPr="00B24C02">
        <w:rPr>
          <w:rFonts w:cs="Arial"/>
          <w:color w:val="000000"/>
          <w:szCs w:val="19"/>
          <w:lang w:eastAsia="en-AU"/>
        </w:rPr>
        <w:t xml:space="preserve"> </w:t>
      </w:r>
      <w:r w:rsidR="00236748" w:rsidRPr="00B24C02">
        <w:rPr>
          <w:rFonts w:cs="Arial"/>
          <w:color w:val="000000"/>
          <w:szCs w:val="19"/>
          <w:lang w:eastAsia="en-AU"/>
        </w:rPr>
        <w:t>recommended</w:t>
      </w:r>
      <w:r w:rsidR="005D5532" w:rsidRPr="00B24C02">
        <w:rPr>
          <w:rFonts w:cs="Arial"/>
          <w:color w:val="000000"/>
          <w:szCs w:val="19"/>
          <w:lang w:eastAsia="en-AU"/>
        </w:rPr>
        <w:t xml:space="preserve"> </w:t>
      </w:r>
      <w:r w:rsidR="00236748" w:rsidRPr="00B24C02">
        <w:rPr>
          <w:rFonts w:cs="Arial"/>
          <w:color w:val="000000"/>
          <w:szCs w:val="19"/>
          <w:lang w:eastAsia="en-AU"/>
        </w:rPr>
        <w:t>that</w:t>
      </w:r>
      <w:r w:rsidR="005D5532" w:rsidRPr="00B24C02">
        <w:rPr>
          <w:rFonts w:cs="Arial"/>
          <w:color w:val="000000"/>
          <w:szCs w:val="19"/>
          <w:lang w:eastAsia="en-AU"/>
        </w:rPr>
        <w:t xml:space="preserve"> </w:t>
      </w:r>
      <w:r w:rsidR="00236748" w:rsidRPr="00B24C02">
        <w:rPr>
          <w:rFonts w:cs="Arial"/>
          <w:color w:val="000000"/>
          <w:szCs w:val="19"/>
          <w:lang w:eastAsia="en-AU"/>
        </w:rPr>
        <w:t>organisations</w:t>
      </w:r>
      <w:r w:rsidR="005D5532" w:rsidRPr="00B24C02">
        <w:rPr>
          <w:rFonts w:cs="Arial"/>
          <w:color w:val="000000"/>
          <w:szCs w:val="19"/>
          <w:lang w:eastAsia="en-AU"/>
        </w:rPr>
        <w:t xml:space="preserve"> </w:t>
      </w:r>
      <w:r w:rsidR="00236748" w:rsidRPr="00B24C02">
        <w:rPr>
          <w:rFonts w:cs="Arial"/>
          <w:color w:val="000000"/>
          <w:szCs w:val="19"/>
          <w:lang w:eastAsia="en-AU"/>
        </w:rPr>
        <w:t>refer</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Pr>
          <w:rFonts w:cs="Arial"/>
          <w:color w:val="000000"/>
          <w:szCs w:val="19"/>
          <w:lang w:eastAsia="en-AU"/>
        </w:rPr>
        <w:t>the kit</w:t>
      </w:r>
      <w:r w:rsidR="005D5532" w:rsidRPr="00B24C02">
        <w:rPr>
          <w:rFonts w:cs="Arial"/>
          <w:color w:val="000000"/>
          <w:szCs w:val="19"/>
          <w:lang w:eastAsia="en-AU"/>
        </w:rPr>
        <w:t xml:space="preserve"> </w:t>
      </w:r>
      <w:r w:rsidR="00236748" w:rsidRPr="00B24C02">
        <w:rPr>
          <w:rFonts w:cs="Arial"/>
          <w:color w:val="000000"/>
          <w:szCs w:val="19"/>
          <w:lang w:eastAsia="en-AU"/>
        </w:rPr>
        <w:t>via</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internet,</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ensure</w:t>
      </w:r>
      <w:r w:rsidR="005D5532" w:rsidRPr="00B24C02">
        <w:rPr>
          <w:rFonts w:cs="Arial"/>
          <w:color w:val="000000"/>
          <w:szCs w:val="19"/>
          <w:lang w:eastAsia="en-AU"/>
        </w:rPr>
        <w:t xml:space="preserve"> </w:t>
      </w:r>
      <w:r w:rsidR="00236748" w:rsidRPr="00B24C02">
        <w:rPr>
          <w:rFonts w:cs="Arial"/>
          <w:color w:val="000000"/>
          <w:szCs w:val="19"/>
          <w:lang w:eastAsia="en-AU"/>
        </w:rPr>
        <w:t>they</w:t>
      </w:r>
      <w:r w:rsidR="005D5532" w:rsidRPr="00B24C02">
        <w:rPr>
          <w:rFonts w:cs="Arial"/>
          <w:color w:val="000000"/>
          <w:szCs w:val="19"/>
          <w:lang w:eastAsia="en-AU"/>
        </w:rPr>
        <w:t xml:space="preserve"> </w:t>
      </w:r>
      <w:r w:rsidR="00236748" w:rsidRPr="00B24C02">
        <w:rPr>
          <w:rFonts w:cs="Arial"/>
          <w:color w:val="000000"/>
          <w:szCs w:val="19"/>
          <w:lang w:eastAsia="en-AU"/>
        </w:rPr>
        <w:t>are</w:t>
      </w:r>
      <w:r w:rsidR="005D5532" w:rsidRPr="00B24C02">
        <w:rPr>
          <w:rFonts w:cs="Arial"/>
          <w:color w:val="000000"/>
          <w:szCs w:val="19"/>
          <w:lang w:eastAsia="en-AU"/>
        </w:rPr>
        <w:t xml:space="preserve"> </w:t>
      </w:r>
      <w:r w:rsidR="00236748" w:rsidRPr="00B24C02">
        <w:rPr>
          <w:rFonts w:cs="Arial"/>
          <w:color w:val="000000"/>
          <w:szCs w:val="19"/>
          <w:lang w:eastAsia="en-AU"/>
        </w:rPr>
        <w:t>accessing</w:t>
      </w:r>
      <w:r w:rsidR="005D5532" w:rsidRPr="00B24C02">
        <w:rPr>
          <w:rFonts w:cs="Arial"/>
          <w:color w:val="000000"/>
          <w:szCs w:val="19"/>
          <w:lang w:eastAsia="en-AU"/>
        </w:rPr>
        <w:t xml:space="preserve"> </w:t>
      </w:r>
      <w:r w:rsidR="00236748" w:rsidRPr="00B24C02">
        <w:rPr>
          <w:rFonts w:cs="Arial"/>
          <w:color w:val="000000"/>
          <w:szCs w:val="19"/>
          <w:lang w:eastAsia="en-AU"/>
        </w:rPr>
        <w:t>up</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date</w:t>
      </w:r>
      <w:r w:rsidR="005D5532" w:rsidRPr="00B24C02">
        <w:rPr>
          <w:rFonts w:cs="Arial"/>
          <w:color w:val="000000"/>
          <w:szCs w:val="19"/>
          <w:lang w:eastAsia="en-AU"/>
        </w:rPr>
        <w:t xml:space="preserve"> </w:t>
      </w:r>
      <w:r w:rsidR="00236748" w:rsidRPr="00B24C02">
        <w:rPr>
          <w:rFonts w:cs="Arial"/>
          <w:color w:val="000000"/>
          <w:szCs w:val="19"/>
          <w:lang w:eastAsia="en-AU"/>
        </w:rPr>
        <w:t>information.</w:t>
      </w:r>
    </w:p>
    <w:p w14:paraId="5F93D63B" w14:textId="77777777" w:rsidR="00236748" w:rsidRPr="00276391" w:rsidRDefault="00236748" w:rsidP="009B2351">
      <w:pPr>
        <w:pStyle w:val="Heading2"/>
        <w:rPr>
          <w:rFonts w:cs="Arial"/>
          <w:lang w:eastAsia="en-AU"/>
        </w:rPr>
      </w:pPr>
      <w:bookmarkStart w:id="17" w:name="_Toc478991669"/>
      <w:bookmarkStart w:id="18" w:name="_Toc478992295"/>
      <w:bookmarkStart w:id="19" w:name="_Toc478992870"/>
      <w:bookmarkStart w:id="20" w:name="_Toc4141977"/>
      <w:r w:rsidRPr="00276391">
        <w:rPr>
          <w:rFonts w:cs="Arial"/>
          <w:lang w:eastAsia="en-AU"/>
        </w:rPr>
        <w:t>1.2</w:t>
      </w:r>
      <w:r w:rsidR="005D5532" w:rsidRPr="00276391">
        <w:rPr>
          <w:rFonts w:cs="Arial"/>
          <w:lang w:eastAsia="en-AU"/>
        </w:rPr>
        <w:t xml:space="preserve"> </w:t>
      </w:r>
      <w:r w:rsidRPr="00276391">
        <w:rPr>
          <w:rFonts w:cs="Arial"/>
          <w:lang w:eastAsia="en-AU"/>
        </w:rPr>
        <w:t>Overview</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departments</w:t>
      </w:r>
      <w:bookmarkEnd w:id="17"/>
      <w:bookmarkEnd w:id="18"/>
      <w:bookmarkEnd w:id="19"/>
      <w:bookmarkEnd w:id="20"/>
    </w:p>
    <w:p w14:paraId="458E85D3" w14:textId="2F2C291F" w:rsidR="00236748" w:rsidRPr="00276391" w:rsidRDefault="00236748" w:rsidP="00276391">
      <w:pPr>
        <w:pStyle w:val="Heading3"/>
        <w:rPr>
          <w:lang w:eastAsia="en-AU"/>
        </w:rPr>
      </w:pPr>
      <w:bookmarkStart w:id="21" w:name="_Toc478991670"/>
      <w:bookmarkStart w:id="22" w:name="_Toc478992296"/>
      <w:bookmarkStart w:id="23" w:name="_Toc4141978"/>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21"/>
      <w:bookmarkEnd w:id="22"/>
      <w:bookmarkEnd w:id="23"/>
      <w:r w:rsidR="00296DCA">
        <w:rPr>
          <w:lang w:eastAsia="en-AU"/>
        </w:rPr>
        <w:t xml:space="preserve"> </w:t>
      </w:r>
    </w:p>
    <w:p w14:paraId="07B0DB2E" w14:textId="688614D6" w:rsidR="00236748" w:rsidRPr="00276391" w:rsidRDefault="00934DD6" w:rsidP="00276391">
      <w:pPr>
        <w:pStyle w:val="DHHSbody"/>
        <w:rPr>
          <w:rFonts w:cs="Arial"/>
          <w:lang w:eastAsia="en-AU"/>
        </w:rPr>
      </w:pPr>
      <w:r>
        <w:rPr>
          <w:rFonts w:cs="Arial"/>
          <w:lang w:eastAsia="en-AU"/>
        </w:rPr>
        <w:t>Department of Health and Human Services</w:t>
      </w:r>
      <w:r w:rsidR="005D5532" w:rsidRPr="00276391">
        <w:rPr>
          <w:rFonts w:cs="Arial"/>
          <w:lang w:eastAsia="en-AU"/>
        </w:rPr>
        <w:t xml:space="preserve"> </w:t>
      </w:r>
      <w:r w:rsidR="00236748" w:rsidRPr="00276391">
        <w:rPr>
          <w:rFonts w:cs="Arial"/>
          <w:lang w:eastAsia="en-AU"/>
        </w:rPr>
        <w:t>was</w:t>
      </w:r>
      <w:r w:rsidR="005D5532" w:rsidRPr="00276391">
        <w:rPr>
          <w:rFonts w:cs="Arial"/>
          <w:lang w:eastAsia="en-AU"/>
        </w:rPr>
        <w:t xml:space="preserve"> </w:t>
      </w:r>
      <w:r w:rsidR="00236748" w:rsidRPr="00276391">
        <w:rPr>
          <w:rFonts w:cs="Arial"/>
          <w:lang w:eastAsia="en-AU"/>
        </w:rPr>
        <w:t>established</w:t>
      </w:r>
      <w:r w:rsidR="005D5532" w:rsidRPr="00276391">
        <w:rPr>
          <w:rFonts w:cs="Arial"/>
          <w:lang w:eastAsia="en-AU"/>
        </w:rPr>
        <w:t xml:space="preserve"> </w:t>
      </w:r>
      <w:r w:rsidR="00236748" w:rsidRPr="00276391">
        <w:rPr>
          <w:rFonts w:cs="Arial"/>
          <w:lang w:eastAsia="en-AU"/>
        </w:rPr>
        <w:t>on</w:t>
      </w:r>
      <w:r w:rsidR="005D5532" w:rsidRPr="00276391">
        <w:rPr>
          <w:rFonts w:cs="Arial"/>
          <w:lang w:eastAsia="en-AU"/>
        </w:rPr>
        <w:t xml:space="preserve"> </w:t>
      </w:r>
      <w:r w:rsidR="00236748" w:rsidRPr="00276391">
        <w:rPr>
          <w:rFonts w:cs="Arial"/>
          <w:lang w:eastAsia="en-AU"/>
        </w:rPr>
        <w:t>1</w:t>
      </w:r>
      <w:r w:rsidR="005D5532" w:rsidRPr="00276391">
        <w:rPr>
          <w:rFonts w:cs="Arial"/>
          <w:lang w:eastAsia="en-AU"/>
        </w:rPr>
        <w:t xml:space="preserve"> </w:t>
      </w:r>
      <w:r w:rsidR="00236748" w:rsidRPr="00276391">
        <w:rPr>
          <w:rFonts w:cs="Arial"/>
          <w:lang w:eastAsia="en-AU"/>
        </w:rPr>
        <w:t>January</w:t>
      </w:r>
      <w:r w:rsidR="005D5532" w:rsidRPr="00276391">
        <w:rPr>
          <w:rFonts w:cs="Arial"/>
          <w:lang w:eastAsia="en-AU"/>
        </w:rPr>
        <w:t xml:space="preserve"> </w:t>
      </w:r>
      <w:r w:rsidR="00236748" w:rsidRPr="00276391">
        <w:rPr>
          <w:rFonts w:cs="Arial"/>
          <w:lang w:eastAsia="en-AU"/>
        </w:rPr>
        <w:t>2015</w:t>
      </w:r>
      <w:r w:rsidR="005D5532" w:rsidRPr="00276391">
        <w:rPr>
          <w:rFonts w:cs="Arial"/>
          <w:lang w:eastAsia="en-AU"/>
        </w:rPr>
        <w:t xml:space="preserve"> </w:t>
      </w:r>
      <w:r w:rsidR="00236748" w:rsidRPr="00276391">
        <w:rPr>
          <w:rFonts w:cs="Arial"/>
          <w:lang w:eastAsia="en-AU"/>
        </w:rPr>
        <w:t>and</w:t>
      </w:r>
      <w:r w:rsidR="005D5532" w:rsidRPr="00276391">
        <w:rPr>
          <w:rFonts w:cs="Arial"/>
          <w:lang w:eastAsia="en-AU"/>
        </w:rPr>
        <w:t xml:space="preserve"> </w:t>
      </w:r>
      <w:r w:rsidR="00236748" w:rsidRPr="00276391">
        <w:rPr>
          <w:rFonts w:cs="Arial"/>
          <w:lang w:eastAsia="en-AU"/>
        </w:rPr>
        <w:t>signals</w:t>
      </w:r>
      <w:r w:rsidR="005D5532" w:rsidRPr="00276391">
        <w:rPr>
          <w:rFonts w:cs="Arial"/>
          <w:lang w:eastAsia="en-AU"/>
        </w:rPr>
        <w:t xml:space="preserve"> </w:t>
      </w:r>
      <w:r w:rsidR="00236748" w:rsidRPr="00276391">
        <w:rPr>
          <w:rFonts w:cs="Arial"/>
          <w:lang w:eastAsia="en-AU"/>
        </w:rPr>
        <w:t>a</w:t>
      </w:r>
      <w:r w:rsidR="005D5532" w:rsidRPr="00276391">
        <w:rPr>
          <w:rFonts w:cs="Arial"/>
          <w:lang w:eastAsia="en-AU"/>
        </w:rPr>
        <w:t xml:space="preserve"> </w:t>
      </w:r>
      <w:r w:rsidR="00236748" w:rsidRPr="00276391">
        <w:rPr>
          <w:rFonts w:cs="Arial"/>
          <w:lang w:eastAsia="en-AU"/>
        </w:rPr>
        <w:t>new</w:t>
      </w:r>
      <w:r w:rsidR="005D5532" w:rsidRPr="00276391">
        <w:rPr>
          <w:rFonts w:cs="Arial"/>
          <w:lang w:eastAsia="en-AU"/>
        </w:rPr>
        <w:t xml:space="preserve"> </w:t>
      </w:r>
      <w:r w:rsidR="00236748" w:rsidRPr="00276391">
        <w:rPr>
          <w:rFonts w:cs="Arial"/>
          <w:lang w:eastAsia="en-AU"/>
        </w:rPr>
        <w:t>approach</w:t>
      </w:r>
      <w:r w:rsidR="005D5532" w:rsidRPr="00276391">
        <w:rPr>
          <w:rFonts w:cs="Arial"/>
          <w:lang w:eastAsia="en-AU"/>
        </w:rPr>
        <w:t xml:space="preserve"> </w:t>
      </w:r>
      <w:r w:rsidR="00236748" w:rsidRPr="00276391">
        <w:rPr>
          <w:rFonts w:cs="Arial"/>
          <w:lang w:eastAsia="en-AU"/>
        </w:rPr>
        <w:t>to</w:t>
      </w:r>
      <w:r w:rsidR="005D5532" w:rsidRPr="00276391">
        <w:rPr>
          <w:rFonts w:cs="Arial"/>
          <w:lang w:eastAsia="en-AU"/>
        </w:rPr>
        <w:t xml:space="preserve"> </w:t>
      </w:r>
      <w:r w:rsidR="00236748" w:rsidRPr="00276391">
        <w:rPr>
          <w:rFonts w:cs="Arial"/>
          <w:lang w:eastAsia="en-AU"/>
        </w:rPr>
        <w:t>developing</w:t>
      </w:r>
      <w:r w:rsidR="005D5532" w:rsidRPr="00276391">
        <w:rPr>
          <w:rFonts w:cs="Arial"/>
          <w:lang w:eastAsia="en-AU"/>
        </w:rPr>
        <w:t xml:space="preserve"> </w:t>
      </w:r>
      <w:r w:rsidR="00236748" w:rsidRPr="00276391">
        <w:rPr>
          <w:rFonts w:cs="Arial"/>
          <w:lang w:eastAsia="en-AU"/>
        </w:rPr>
        <w:t>social</w:t>
      </w:r>
      <w:r w:rsidR="005D5532" w:rsidRPr="00276391">
        <w:rPr>
          <w:rFonts w:cs="Arial"/>
          <w:lang w:eastAsia="en-AU"/>
        </w:rPr>
        <w:t xml:space="preserve"> </w:t>
      </w:r>
      <w:r w:rsidR="00236748" w:rsidRPr="00276391">
        <w:rPr>
          <w:rFonts w:cs="Arial"/>
          <w:lang w:eastAsia="en-AU"/>
        </w:rPr>
        <w:t>and</w:t>
      </w:r>
      <w:r w:rsidR="005D5532" w:rsidRPr="00276391">
        <w:rPr>
          <w:rFonts w:cs="Arial"/>
          <w:lang w:eastAsia="en-AU"/>
        </w:rPr>
        <w:t xml:space="preserve"> </w:t>
      </w:r>
      <w:r w:rsidR="00236748" w:rsidRPr="00276391">
        <w:rPr>
          <w:rFonts w:cs="Arial"/>
          <w:lang w:eastAsia="en-AU"/>
        </w:rPr>
        <w:t>economic</w:t>
      </w:r>
      <w:r w:rsidR="005D5532" w:rsidRPr="00276391">
        <w:rPr>
          <w:rFonts w:cs="Arial"/>
          <w:lang w:eastAsia="en-AU"/>
        </w:rPr>
        <w:t xml:space="preserve"> </w:t>
      </w:r>
      <w:r w:rsidR="00236748" w:rsidRPr="00276391">
        <w:rPr>
          <w:rFonts w:cs="Arial"/>
          <w:lang w:eastAsia="en-AU"/>
        </w:rPr>
        <w:t>policy</w:t>
      </w:r>
      <w:r w:rsidR="005D5532" w:rsidRPr="00276391">
        <w:rPr>
          <w:rFonts w:cs="Arial"/>
          <w:lang w:eastAsia="en-AU"/>
        </w:rPr>
        <w:t xml:space="preserve"> </w:t>
      </w:r>
      <w:r w:rsidR="00236748" w:rsidRPr="00276391">
        <w:rPr>
          <w:rFonts w:cs="Arial"/>
          <w:lang w:eastAsia="en-AU"/>
        </w:rPr>
        <w:t>and</w:t>
      </w:r>
      <w:r w:rsidR="005D5532" w:rsidRPr="00276391">
        <w:rPr>
          <w:rFonts w:cs="Arial"/>
          <w:lang w:eastAsia="en-AU"/>
        </w:rPr>
        <w:t xml:space="preserve"> </w:t>
      </w:r>
      <w:r w:rsidR="00236748" w:rsidRPr="00276391">
        <w:rPr>
          <w:rFonts w:cs="Arial"/>
          <w:lang w:eastAsia="en-AU"/>
        </w:rPr>
        <w:t>improving</w:t>
      </w:r>
      <w:r w:rsidR="005D5532" w:rsidRPr="00276391">
        <w:rPr>
          <w:rFonts w:cs="Arial"/>
          <w:lang w:eastAsia="en-AU"/>
        </w:rPr>
        <w:t xml:space="preserve"> </w:t>
      </w:r>
      <w:r w:rsidR="00236748" w:rsidRPr="00276391">
        <w:rPr>
          <w:rFonts w:cs="Arial"/>
          <w:lang w:eastAsia="en-AU"/>
        </w:rPr>
        <w:t>the</w:t>
      </w:r>
      <w:r w:rsidR="005D5532" w:rsidRPr="00276391">
        <w:rPr>
          <w:rFonts w:cs="Arial"/>
          <w:lang w:eastAsia="en-AU"/>
        </w:rPr>
        <w:t xml:space="preserve"> </w:t>
      </w:r>
      <w:r w:rsidR="00236748" w:rsidRPr="00276391">
        <w:rPr>
          <w:rFonts w:cs="Arial"/>
          <w:lang w:eastAsia="en-AU"/>
        </w:rPr>
        <w:t>wellbeing</w:t>
      </w:r>
      <w:r w:rsidR="005D5532" w:rsidRPr="00276391">
        <w:rPr>
          <w:rFonts w:cs="Arial"/>
          <w:lang w:eastAsia="en-AU"/>
        </w:rPr>
        <w:t xml:space="preserve"> </w:t>
      </w:r>
      <w:r w:rsidR="00236748" w:rsidRPr="00276391">
        <w:rPr>
          <w:rFonts w:cs="Arial"/>
          <w:lang w:eastAsia="en-AU"/>
        </w:rPr>
        <w:t>of</w:t>
      </w:r>
      <w:r w:rsidR="005D5532" w:rsidRPr="00276391">
        <w:rPr>
          <w:rFonts w:cs="Arial"/>
          <w:lang w:eastAsia="en-AU"/>
        </w:rPr>
        <w:t xml:space="preserve"> </w:t>
      </w:r>
      <w:r w:rsidR="00236748" w:rsidRPr="00276391">
        <w:rPr>
          <w:rFonts w:cs="Arial"/>
          <w:lang w:eastAsia="en-AU"/>
        </w:rPr>
        <w:t>Victorians.</w:t>
      </w:r>
    </w:p>
    <w:p w14:paraId="26D519ED" w14:textId="65D5C7C7" w:rsidR="00236748" w:rsidRPr="00276391" w:rsidRDefault="00934DD6" w:rsidP="00276391">
      <w:pPr>
        <w:pStyle w:val="DHHSbody"/>
        <w:rPr>
          <w:lang w:eastAsia="en-AU"/>
        </w:rPr>
      </w:pPr>
      <w:r>
        <w:rPr>
          <w:rFonts w:cs="Arial"/>
          <w:lang w:eastAsia="en-AU"/>
        </w:rPr>
        <w:t>The department</w:t>
      </w:r>
      <w:r w:rsidR="00236748" w:rsidRPr="00B24C02">
        <w:rPr>
          <w:rFonts w:cs="Arial"/>
          <w:color w:val="000000"/>
          <w:szCs w:val="19"/>
          <w:lang w:eastAsia="en-AU"/>
        </w:rPr>
        <w:t>,</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consultation</w:t>
      </w:r>
      <w:r w:rsidR="005D5532" w:rsidRPr="00B24C02">
        <w:rPr>
          <w:rFonts w:cs="Arial"/>
          <w:color w:val="000000"/>
          <w:szCs w:val="19"/>
          <w:lang w:eastAsia="en-AU"/>
        </w:rPr>
        <w:t xml:space="preserve"> </w:t>
      </w:r>
      <w:r w:rsidR="00236748" w:rsidRPr="00B24C02">
        <w:rPr>
          <w:rFonts w:cs="Arial"/>
          <w:color w:val="000000"/>
          <w:szCs w:val="19"/>
          <w:lang w:eastAsia="en-AU"/>
        </w:rPr>
        <w:t>with</w:t>
      </w:r>
      <w:r w:rsidR="005D5532" w:rsidRPr="00B24C02">
        <w:rPr>
          <w:rFonts w:cs="Arial"/>
          <w:color w:val="000000"/>
          <w:szCs w:val="19"/>
          <w:lang w:eastAsia="en-AU"/>
        </w:rPr>
        <w:t xml:space="preserve"> </w:t>
      </w:r>
      <w:r w:rsidR="00236748" w:rsidRPr="00B24C02">
        <w:rPr>
          <w:rFonts w:cs="Arial"/>
          <w:color w:val="000000"/>
          <w:szCs w:val="19"/>
          <w:lang w:eastAsia="en-AU"/>
        </w:rPr>
        <w:t>communities,</w:t>
      </w:r>
      <w:r w:rsidR="005D5532" w:rsidRPr="00B24C02">
        <w:rPr>
          <w:rFonts w:cs="Arial"/>
          <w:color w:val="000000"/>
          <w:szCs w:val="19"/>
          <w:lang w:eastAsia="en-AU"/>
        </w:rPr>
        <w:t xml:space="preserve"> </w:t>
      </w:r>
      <w:r w:rsidR="00236748" w:rsidRPr="00B24C02">
        <w:rPr>
          <w:rFonts w:cs="Arial"/>
          <w:color w:val="000000"/>
          <w:szCs w:val="19"/>
          <w:lang w:eastAsia="en-AU"/>
        </w:rPr>
        <w:t>clients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service</w:t>
      </w:r>
      <w:r w:rsidR="005D5532" w:rsidRPr="00B24C02">
        <w:rPr>
          <w:rFonts w:cs="Arial"/>
          <w:color w:val="000000"/>
          <w:szCs w:val="19"/>
          <w:lang w:eastAsia="en-AU"/>
        </w:rPr>
        <w:t xml:space="preserve"> </w:t>
      </w:r>
      <w:r w:rsidR="00236748" w:rsidRPr="00B24C02">
        <w:rPr>
          <w:rFonts w:cs="Arial"/>
          <w:color w:val="000000"/>
          <w:szCs w:val="19"/>
          <w:lang w:eastAsia="en-AU"/>
        </w:rPr>
        <w:t>partners</w:t>
      </w:r>
      <w:r w:rsidR="007A4D45">
        <w:rPr>
          <w:rFonts w:cs="Arial"/>
          <w:color w:val="000000"/>
          <w:szCs w:val="19"/>
          <w:lang w:eastAsia="en-AU"/>
        </w:rPr>
        <w:t xml:space="preserve"> </w:t>
      </w:r>
      <w:r w:rsidR="007A4D45" w:rsidRPr="00B24C02">
        <w:rPr>
          <w:rFonts w:cs="Arial"/>
          <w:color w:val="000000"/>
          <w:szCs w:val="19"/>
          <w:lang w:eastAsia="en-AU"/>
        </w:rPr>
        <w:t>develops and delivers policies, programs and services that support and enhance the wellbeing of all Victorians.</w:t>
      </w:r>
      <w:r w:rsidR="005D5532" w:rsidRPr="00B24C02">
        <w:rPr>
          <w:rFonts w:cs="Arial"/>
          <w:color w:val="000000"/>
          <w:szCs w:val="19"/>
          <w:lang w:eastAsia="en-AU"/>
        </w:rPr>
        <w:t xml:space="preserve"> </w:t>
      </w:r>
      <w:r>
        <w:rPr>
          <w:lang w:eastAsia="en-AU"/>
        </w:rPr>
        <w:t>The department</w:t>
      </w:r>
      <w:r w:rsidR="006250C7">
        <w:rPr>
          <w:lang w:eastAsia="en-AU"/>
        </w:rPr>
        <w:t xml:space="preserve"> </w:t>
      </w:r>
      <w:r w:rsidR="00236748" w:rsidRPr="00276391">
        <w:rPr>
          <w:lang w:eastAsia="en-AU"/>
        </w:rPr>
        <w:t>supports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portfolios</w:t>
      </w:r>
      <w:r w:rsidR="005D5532" w:rsidRPr="00276391">
        <w:rPr>
          <w:lang w:eastAsia="en-AU"/>
        </w:rPr>
        <w:t xml:space="preserve"> </w:t>
      </w:r>
      <w:r w:rsidR="00236748" w:rsidRPr="00276391">
        <w:rPr>
          <w:lang w:eastAsia="en-AU"/>
        </w:rPr>
        <w:t>of:</w:t>
      </w:r>
    </w:p>
    <w:p w14:paraId="58506500" w14:textId="77777777" w:rsidR="00236748" w:rsidRPr="00276391" w:rsidRDefault="00CB0378" w:rsidP="00276391">
      <w:pPr>
        <w:pStyle w:val="DHHSbullet1"/>
        <w:rPr>
          <w:rFonts w:cs="Arial"/>
          <w:lang w:eastAsia="en-AU"/>
        </w:rPr>
      </w:pPr>
      <w:r>
        <w:rPr>
          <w:rFonts w:cs="Arial"/>
          <w:lang w:eastAsia="en-AU"/>
        </w:rPr>
        <w:t>T</w:t>
      </w:r>
      <w:r w:rsidR="00236748" w:rsidRPr="00276391">
        <w:rPr>
          <w:rFonts w:cs="Arial"/>
          <w:lang w:eastAsia="en-AU"/>
        </w:rPr>
        <w:t>he</w:t>
      </w:r>
      <w:r w:rsidR="005D5532" w:rsidRPr="00276391">
        <w:rPr>
          <w:rFonts w:cs="Arial"/>
          <w:lang w:eastAsia="en-AU"/>
        </w:rPr>
        <w:t xml:space="preserve"> </w:t>
      </w:r>
      <w:r w:rsidR="00236748" w:rsidRPr="00276391">
        <w:rPr>
          <w:rFonts w:cs="Arial"/>
          <w:lang w:eastAsia="en-AU"/>
        </w:rPr>
        <w:t>Hon.</w:t>
      </w:r>
      <w:r w:rsidR="005D5532" w:rsidRPr="00276391">
        <w:rPr>
          <w:rFonts w:cs="Arial"/>
          <w:lang w:eastAsia="en-AU"/>
        </w:rPr>
        <w:t xml:space="preserve"> </w:t>
      </w:r>
      <w:r w:rsidR="00236748" w:rsidRPr="00276391">
        <w:rPr>
          <w:rFonts w:cs="Arial"/>
          <w:lang w:eastAsia="en-AU"/>
        </w:rPr>
        <w:t>Jill</w:t>
      </w:r>
      <w:r w:rsidR="005D5532" w:rsidRPr="00276391">
        <w:rPr>
          <w:rFonts w:cs="Arial"/>
          <w:lang w:eastAsia="en-AU"/>
        </w:rPr>
        <w:t xml:space="preserve"> </w:t>
      </w:r>
      <w:r w:rsidR="00236748" w:rsidRPr="00276391">
        <w:rPr>
          <w:rFonts w:cs="Arial"/>
          <w:lang w:eastAsia="en-AU"/>
        </w:rPr>
        <w:t>Hennessy,</w:t>
      </w:r>
      <w:r w:rsidR="005D5532" w:rsidRPr="00276391">
        <w:rPr>
          <w:rFonts w:cs="Arial"/>
          <w:lang w:eastAsia="en-AU"/>
        </w:rPr>
        <w:t xml:space="preserve"> </w:t>
      </w:r>
      <w:r w:rsidR="00236748" w:rsidRPr="00276391">
        <w:rPr>
          <w:rFonts w:cs="Arial"/>
          <w:lang w:eastAsia="en-AU"/>
        </w:rPr>
        <w:t>Minister</w:t>
      </w:r>
      <w:r w:rsidR="005D5532" w:rsidRPr="00276391">
        <w:rPr>
          <w:rFonts w:cs="Arial"/>
          <w:lang w:eastAsia="en-AU"/>
        </w:rPr>
        <w:t xml:space="preserve"> </w:t>
      </w:r>
      <w:r w:rsidR="00236748" w:rsidRPr="00276391">
        <w:rPr>
          <w:rFonts w:cs="Arial"/>
          <w:lang w:eastAsia="en-AU"/>
        </w:rPr>
        <w:t>for</w:t>
      </w:r>
      <w:r w:rsidR="005D5532" w:rsidRPr="00276391">
        <w:rPr>
          <w:rFonts w:cs="Arial"/>
          <w:lang w:eastAsia="en-AU"/>
        </w:rPr>
        <w:t xml:space="preserve"> </w:t>
      </w:r>
      <w:r w:rsidR="00236748" w:rsidRPr="00276391">
        <w:rPr>
          <w:rFonts w:cs="Arial"/>
          <w:lang w:eastAsia="en-AU"/>
        </w:rPr>
        <w:t>Health,</w:t>
      </w:r>
      <w:r w:rsidR="005D5532" w:rsidRPr="00276391">
        <w:rPr>
          <w:rFonts w:cs="Arial"/>
          <w:lang w:eastAsia="en-AU"/>
        </w:rPr>
        <w:t xml:space="preserve"> </w:t>
      </w:r>
      <w:r w:rsidR="00236748" w:rsidRPr="00276391">
        <w:rPr>
          <w:rFonts w:cs="Arial"/>
          <w:lang w:eastAsia="en-AU"/>
        </w:rPr>
        <w:t>and</w:t>
      </w:r>
      <w:r w:rsidR="005D5532" w:rsidRPr="00276391">
        <w:rPr>
          <w:rFonts w:cs="Arial"/>
          <w:lang w:eastAsia="en-AU"/>
        </w:rPr>
        <w:t xml:space="preserve"> </w:t>
      </w:r>
      <w:r w:rsidR="00236748" w:rsidRPr="00276391">
        <w:rPr>
          <w:rFonts w:cs="Arial"/>
          <w:lang w:eastAsia="en-AU"/>
        </w:rPr>
        <w:t>Minister</w:t>
      </w:r>
      <w:r w:rsidR="005D5532" w:rsidRPr="00276391">
        <w:rPr>
          <w:rFonts w:cs="Arial"/>
          <w:lang w:eastAsia="en-AU"/>
        </w:rPr>
        <w:t xml:space="preserve"> </w:t>
      </w:r>
      <w:r w:rsidR="00236748" w:rsidRPr="00276391">
        <w:rPr>
          <w:rFonts w:cs="Arial"/>
          <w:lang w:eastAsia="en-AU"/>
        </w:rPr>
        <w:t>for</w:t>
      </w:r>
      <w:r w:rsidR="005D5532" w:rsidRPr="00276391">
        <w:rPr>
          <w:rFonts w:cs="Arial"/>
          <w:lang w:eastAsia="en-AU"/>
        </w:rPr>
        <w:t xml:space="preserve"> </w:t>
      </w:r>
      <w:r w:rsidR="00236748" w:rsidRPr="00276391">
        <w:rPr>
          <w:rFonts w:cs="Arial"/>
          <w:lang w:eastAsia="en-AU"/>
        </w:rPr>
        <w:t>Ambulance</w:t>
      </w:r>
      <w:r w:rsidR="005D5532" w:rsidRPr="00276391">
        <w:rPr>
          <w:rFonts w:cs="Arial"/>
          <w:lang w:eastAsia="en-AU"/>
        </w:rPr>
        <w:t xml:space="preserve"> </w:t>
      </w:r>
      <w:r w:rsidR="00236748" w:rsidRPr="00276391">
        <w:rPr>
          <w:rFonts w:cs="Arial"/>
          <w:lang w:eastAsia="en-AU"/>
        </w:rPr>
        <w:t>Services</w:t>
      </w:r>
      <w:r w:rsidR="005D5532" w:rsidRPr="00276391">
        <w:rPr>
          <w:rFonts w:cs="Arial"/>
          <w:lang w:eastAsia="en-AU"/>
        </w:rPr>
        <w:t xml:space="preserve"> </w:t>
      </w:r>
    </w:p>
    <w:p w14:paraId="59399801" w14:textId="2D0B4538" w:rsidR="00296DCA" w:rsidRPr="00276391" w:rsidRDefault="00296DCA" w:rsidP="00296DCA">
      <w:pPr>
        <w:pStyle w:val="DHHSbullet1"/>
        <w:rPr>
          <w:rFonts w:cs="Arial"/>
          <w:lang w:eastAsia="en-AU"/>
        </w:rPr>
      </w:pPr>
      <w:r w:rsidRPr="00276391">
        <w:rPr>
          <w:rFonts w:cs="Arial"/>
          <w:lang w:eastAsia="en-AU"/>
        </w:rPr>
        <w:t xml:space="preserve">Martin Foley, Minister for Housing, Disability and Ageing, Minister for Mental Health </w:t>
      </w:r>
    </w:p>
    <w:p w14:paraId="1F3F8AEB" w14:textId="11894C83" w:rsidR="00236748" w:rsidRPr="00276391" w:rsidRDefault="00236748" w:rsidP="00276391">
      <w:pPr>
        <w:pStyle w:val="DHHSbullet1"/>
        <w:rPr>
          <w:rFonts w:cs="Arial"/>
          <w:lang w:eastAsia="en-AU"/>
        </w:rPr>
      </w:pPr>
      <w:r w:rsidRPr="00276391">
        <w:rPr>
          <w:rFonts w:cs="Arial"/>
          <w:lang w:eastAsia="en-AU"/>
        </w:rPr>
        <w:lastRenderedPageBreak/>
        <w:t>Jenny</w:t>
      </w:r>
      <w:r w:rsidR="005D5532" w:rsidRPr="00276391">
        <w:rPr>
          <w:rFonts w:cs="Arial"/>
          <w:lang w:eastAsia="en-AU"/>
        </w:rPr>
        <w:t xml:space="preserve"> </w:t>
      </w:r>
      <w:proofErr w:type="spellStart"/>
      <w:r w:rsidRPr="00276391">
        <w:rPr>
          <w:rFonts w:cs="Arial"/>
          <w:lang w:eastAsia="en-AU"/>
        </w:rPr>
        <w:t>Mikakos</w:t>
      </w:r>
      <w:proofErr w:type="spellEnd"/>
      <w:r w:rsidRPr="00276391">
        <w:rPr>
          <w:rFonts w:cs="Arial"/>
          <w:lang w:eastAsia="en-AU"/>
        </w:rPr>
        <w:t>,</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Families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Children,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Youth</w:t>
      </w:r>
      <w:r w:rsidR="005D5532" w:rsidRPr="00276391">
        <w:rPr>
          <w:rFonts w:cs="Arial"/>
          <w:lang w:eastAsia="en-AU"/>
        </w:rPr>
        <w:t xml:space="preserve"> </w:t>
      </w:r>
      <w:r w:rsidRPr="00276391">
        <w:rPr>
          <w:rFonts w:cs="Arial"/>
          <w:lang w:eastAsia="en-AU"/>
        </w:rPr>
        <w:t>Affairs</w:t>
      </w:r>
      <w:r w:rsidR="005D5532" w:rsidRPr="00276391">
        <w:rPr>
          <w:rFonts w:cs="Arial"/>
          <w:lang w:eastAsia="en-AU"/>
        </w:rPr>
        <w:t xml:space="preserve"> </w:t>
      </w:r>
    </w:p>
    <w:p w14:paraId="7FE8B492" w14:textId="5DF8938A" w:rsidR="00236748" w:rsidRPr="00276391" w:rsidRDefault="00CB0378" w:rsidP="00276391">
      <w:pPr>
        <w:pStyle w:val="DHHSbullet1"/>
        <w:rPr>
          <w:rFonts w:cs="Arial"/>
          <w:lang w:eastAsia="en-AU"/>
        </w:rPr>
      </w:pPr>
      <w:r>
        <w:rPr>
          <w:rFonts w:cs="Arial"/>
          <w:lang w:eastAsia="en-AU"/>
        </w:rPr>
        <w:t>T</w:t>
      </w:r>
      <w:r w:rsidR="00236748" w:rsidRPr="00276391">
        <w:rPr>
          <w:rFonts w:cs="Arial"/>
          <w:lang w:eastAsia="en-AU"/>
        </w:rPr>
        <w:t>he</w:t>
      </w:r>
      <w:r w:rsidR="005D5532" w:rsidRPr="00276391">
        <w:rPr>
          <w:rFonts w:cs="Arial"/>
          <w:lang w:eastAsia="en-AU"/>
        </w:rPr>
        <w:t xml:space="preserve"> </w:t>
      </w:r>
      <w:r w:rsidR="00236748" w:rsidRPr="00276391">
        <w:rPr>
          <w:rFonts w:cs="Arial"/>
          <w:lang w:eastAsia="en-AU"/>
        </w:rPr>
        <w:t>Hon.</w:t>
      </w:r>
      <w:r w:rsidR="005D5532" w:rsidRPr="00276391">
        <w:rPr>
          <w:rFonts w:cs="Arial"/>
          <w:lang w:eastAsia="en-AU"/>
        </w:rPr>
        <w:t xml:space="preserve"> </w:t>
      </w:r>
      <w:r w:rsidR="00236748" w:rsidRPr="00276391">
        <w:rPr>
          <w:rFonts w:cs="Arial"/>
          <w:lang w:eastAsia="en-AU"/>
        </w:rPr>
        <w:t>John</w:t>
      </w:r>
      <w:r w:rsidR="005D5532" w:rsidRPr="00276391">
        <w:rPr>
          <w:rFonts w:cs="Arial"/>
          <w:lang w:eastAsia="en-AU"/>
        </w:rPr>
        <w:t xml:space="preserve"> </w:t>
      </w:r>
      <w:proofErr w:type="spellStart"/>
      <w:r w:rsidR="00236748" w:rsidRPr="00276391">
        <w:rPr>
          <w:rFonts w:cs="Arial"/>
          <w:lang w:eastAsia="en-AU"/>
        </w:rPr>
        <w:t>Eren</w:t>
      </w:r>
      <w:proofErr w:type="spellEnd"/>
      <w:r w:rsidR="00236748" w:rsidRPr="00276391">
        <w:rPr>
          <w:rFonts w:cs="Arial"/>
          <w:lang w:eastAsia="en-AU"/>
        </w:rPr>
        <w:t>,</w:t>
      </w:r>
      <w:r w:rsidR="00AD7E5A">
        <w:rPr>
          <w:rFonts w:cs="Arial"/>
          <w:lang w:eastAsia="en-AU"/>
        </w:rPr>
        <w:t xml:space="preserve"> </w:t>
      </w:r>
      <w:r w:rsidR="00236748" w:rsidRPr="00276391">
        <w:rPr>
          <w:rFonts w:cs="Arial"/>
          <w:lang w:eastAsia="en-AU"/>
        </w:rPr>
        <w:t>Minister</w:t>
      </w:r>
      <w:r w:rsidR="005D5532" w:rsidRPr="00276391">
        <w:rPr>
          <w:rFonts w:cs="Arial"/>
          <w:lang w:eastAsia="en-AU"/>
        </w:rPr>
        <w:t xml:space="preserve"> </w:t>
      </w:r>
      <w:r w:rsidR="00236748" w:rsidRPr="00276391">
        <w:rPr>
          <w:rFonts w:cs="Arial"/>
          <w:lang w:eastAsia="en-AU"/>
        </w:rPr>
        <w:t>for</w:t>
      </w:r>
      <w:r w:rsidR="005D5532" w:rsidRPr="00276391">
        <w:rPr>
          <w:rFonts w:cs="Arial"/>
          <w:lang w:eastAsia="en-AU"/>
        </w:rPr>
        <w:t xml:space="preserve"> </w:t>
      </w:r>
      <w:r w:rsidR="00236748" w:rsidRPr="00276391">
        <w:rPr>
          <w:rFonts w:cs="Arial"/>
          <w:lang w:eastAsia="en-AU"/>
        </w:rPr>
        <w:t>Sport</w:t>
      </w:r>
      <w:r w:rsidR="007A4D45">
        <w:rPr>
          <w:rFonts w:cs="Arial"/>
          <w:lang w:eastAsia="en-AU"/>
        </w:rPr>
        <w:t>.</w:t>
      </w:r>
    </w:p>
    <w:p w14:paraId="7BFAEE64" w14:textId="77777777" w:rsidR="00236748" w:rsidRPr="00276391" w:rsidRDefault="00236748" w:rsidP="00276391">
      <w:pPr>
        <w:pStyle w:val="Heading3"/>
        <w:rPr>
          <w:lang w:eastAsia="en-AU"/>
        </w:rPr>
      </w:pPr>
      <w:bookmarkStart w:id="24" w:name="_Toc478991674"/>
      <w:bookmarkStart w:id="25" w:name="_Toc478992297"/>
      <w:bookmarkStart w:id="26" w:name="_Toc4141979"/>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bookmarkEnd w:id="24"/>
      <w:bookmarkEnd w:id="25"/>
      <w:bookmarkEnd w:id="26"/>
      <w:r w:rsidR="005D5532" w:rsidRPr="00276391">
        <w:rPr>
          <w:lang w:eastAsia="en-AU"/>
        </w:rPr>
        <w:t xml:space="preserve"> </w:t>
      </w:r>
    </w:p>
    <w:p w14:paraId="64985B13" w14:textId="7269B11E" w:rsidR="00236748" w:rsidRPr="00934DD6" w:rsidRDefault="00934DD6" w:rsidP="00276391">
      <w:pPr>
        <w:pStyle w:val="DHHSbody"/>
        <w:rPr>
          <w:rFonts w:cs="Arial"/>
          <w:color w:val="000000"/>
          <w:szCs w:val="19"/>
          <w:u w:val="double"/>
          <w:lang w:eastAsia="en-AU"/>
        </w:rPr>
      </w:pPr>
      <w:r>
        <w:rPr>
          <w:rFonts w:cs="Arial"/>
          <w:color w:val="000000"/>
          <w:szCs w:val="19"/>
          <w:lang w:eastAsia="en-AU"/>
        </w:rPr>
        <w:t xml:space="preserve">Department of Education and Training supports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provides</w:t>
      </w:r>
      <w:r w:rsidR="005D5532" w:rsidRPr="00B24C02">
        <w:rPr>
          <w:rFonts w:cs="Arial"/>
          <w:color w:val="000000"/>
          <w:szCs w:val="19"/>
          <w:lang w:eastAsia="en-AU"/>
        </w:rPr>
        <w:t xml:space="preserve"> </w:t>
      </w:r>
      <w:r w:rsidR="00236748" w:rsidRPr="00B24C02">
        <w:rPr>
          <w:rFonts w:cs="Arial"/>
          <w:color w:val="000000"/>
          <w:szCs w:val="19"/>
          <w:lang w:eastAsia="en-AU"/>
        </w:rPr>
        <w:t>a</w:t>
      </w:r>
      <w:r w:rsidR="005D5532" w:rsidRPr="00B24C02">
        <w:rPr>
          <w:rFonts w:cs="Arial"/>
          <w:color w:val="000000"/>
          <w:szCs w:val="19"/>
          <w:lang w:eastAsia="en-AU"/>
        </w:rPr>
        <w:t xml:space="preserve"> </w:t>
      </w:r>
      <w:r w:rsidR="00236748" w:rsidRPr="00B24C02">
        <w:rPr>
          <w:rFonts w:cs="Arial"/>
          <w:color w:val="000000"/>
          <w:szCs w:val="19"/>
          <w:lang w:eastAsia="en-AU"/>
        </w:rPr>
        <w:t>range</w:t>
      </w:r>
      <w:r w:rsidR="005D5532" w:rsidRPr="00B24C02">
        <w:rPr>
          <w:rFonts w:cs="Arial"/>
          <w:color w:val="000000"/>
          <w:szCs w:val="19"/>
          <w:lang w:eastAsia="en-AU"/>
        </w:rPr>
        <w:t xml:space="preserve"> </w:t>
      </w:r>
      <w:r w:rsidR="00236748" w:rsidRPr="00B24C02">
        <w:rPr>
          <w:rFonts w:cs="Arial"/>
          <w:color w:val="000000"/>
          <w:szCs w:val="19"/>
          <w:lang w:eastAsia="en-AU"/>
        </w:rPr>
        <w:t>of</w:t>
      </w:r>
      <w:r w:rsidR="005D5532" w:rsidRPr="00B24C02">
        <w:rPr>
          <w:rFonts w:cs="Arial"/>
          <w:color w:val="000000"/>
          <w:szCs w:val="19"/>
          <w:lang w:eastAsia="en-AU"/>
        </w:rPr>
        <w:t xml:space="preserve"> </w:t>
      </w:r>
      <w:r w:rsidR="00236748" w:rsidRPr="00B24C02">
        <w:rPr>
          <w:rFonts w:cs="Arial"/>
          <w:color w:val="000000"/>
          <w:szCs w:val="19"/>
          <w:lang w:eastAsia="en-AU"/>
        </w:rPr>
        <w:t>learning</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development</w:t>
      </w:r>
      <w:r w:rsidR="005D5532" w:rsidRPr="00B24C02">
        <w:rPr>
          <w:rFonts w:cs="Arial"/>
          <w:color w:val="000000"/>
          <w:szCs w:val="19"/>
          <w:lang w:eastAsia="en-AU"/>
        </w:rPr>
        <w:t xml:space="preserve"> </w:t>
      </w:r>
      <w:r w:rsidR="00236748" w:rsidRPr="00B24C02">
        <w:rPr>
          <w:rFonts w:cs="Arial"/>
          <w:color w:val="000000"/>
          <w:szCs w:val="19"/>
          <w:lang w:eastAsia="en-AU"/>
        </w:rPr>
        <w:t>opportunities</w:t>
      </w:r>
      <w:r w:rsidR="005D5532" w:rsidRPr="00B24C02">
        <w:rPr>
          <w:rFonts w:cs="Arial"/>
          <w:color w:val="000000"/>
          <w:szCs w:val="19"/>
          <w:lang w:eastAsia="en-AU"/>
        </w:rPr>
        <w:t xml:space="preserve"> </w:t>
      </w:r>
      <w:r w:rsidR="00236748" w:rsidRPr="00B24C02">
        <w:rPr>
          <w:rFonts w:cs="Arial"/>
          <w:color w:val="000000"/>
          <w:szCs w:val="19"/>
          <w:lang w:eastAsia="en-AU"/>
        </w:rPr>
        <w:t>for</w:t>
      </w:r>
      <w:r w:rsidR="005D5532" w:rsidRPr="00B24C02">
        <w:rPr>
          <w:rFonts w:cs="Arial"/>
          <w:color w:val="000000"/>
          <w:szCs w:val="19"/>
          <w:lang w:eastAsia="en-AU"/>
        </w:rPr>
        <w:t xml:space="preserve"> </w:t>
      </w:r>
      <w:r w:rsidR="00236748" w:rsidRPr="00B24C02">
        <w:rPr>
          <w:rFonts w:cs="Arial"/>
          <w:color w:val="000000"/>
          <w:szCs w:val="19"/>
          <w:lang w:eastAsia="en-AU"/>
        </w:rPr>
        <w:t>Victorian</w:t>
      </w:r>
      <w:r w:rsidR="005D5532" w:rsidRPr="00B24C02">
        <w:rPr>
          <w:rFonts w:cs="Arial"/>
          <w:color w:val="000000"/>
          <w:szCs w:val="19"/>
          <w:lang w:eastAsia="en-AU"/>
        </w:rPr>
        <w:t xml:space="preserve"> </w:t>
      </w:r>
      <w:r w:rsidR="00236748" w:rsidRPr="00B24C02">
        <w:rPr>
          <w:rFonts w:cs="Arial"/>
          <w:color w:val="000000"/>
          <w:szCs w:val="19"/>
          <w:lang w:eastAsia="en-AU"/>
        </w:rPr>
        <w:t>children,</w:t>
      </w:r>
      <w:r w:rsidR="005D5532" w:rsidRPr="00B24C02">
        <w:rPr>
          <w:rFonts w:cs="Arial"/>
          <w:color w:val="000000"/>
          <w:szCs w:val="19"/>
          <w:lang w:eastAsia="en-AU"/>
        </w:rPr>
        <w:t xml:space="preserve"> </w:t>
      </w:r>
      <w:r w:rsidR="00236748" w:rsidRPr="00B24C02">
        <w:rPr>
          <w:rFonts w:cs="Arial"/>
          <w:color w:val="000000"/>
          <w:szCs w:val="19"/>
          <w:lang w:eastAsia="en-AU"/>
        </w:rPr>
        <w:t>young</w:t>
      </w:r>
      <w:r w:rsidR="005D5532" w:rsidRPr="00B24C02">
        <w:rPr>
          <w:rFonts w:cs="Arial"/>
          <w:color w:val="000000"/>
          <w:szCs w:val="19"/>
          <w:lang w:eastAsia="en-AU"/>
        </w:rPr>
        <w:t xml:space="preserve"> </w:t>
      </w:r>
      <w:r w:rsidR="00236748" w:rsidRPr="00B24C02">
        <w:rPr>
          <w:rFonts w:cs="Arial"/>
          <w:color w:val="000000"/>
          <w:szCs w:val="19"/>
          <w:lang w:eastAsia="en-AU"/>
        </w:rPr>
        <w:t>people</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adults.</w:t>
      </w:r>
    </w:p>
    <w:p w14:paraId="43EAE5B5" w14:textId="3C2DA357" w:rsidR="00236748" w:rsidRPr="00276391" w:rsidRDefault="00934DD6" w:rsidP="00276391">
      <w:pPr>
        <w:pStyle w:val="DHHSbody"/>
        <w:rPr>
          <w:lang w:eastAsia="en-AU"/>
        </w:rPr>
      </w:pPr>
      <w:r>
        <w:rPr>
          <w:rFonts w:cs="Arial"/>
          <w:color w:val="000000"/>
          <w:szCs w:val="19"/>
          <w:lang w:eastAsia="en-AU"/>
        </w:rPr>
        <w:t>The department</w:t>
      </w:r>
      <w:r w:rsidR="00717AFA">
        <w:rPr>
          <w:rFonts w:cs="Arial"/>
          <w:color w:val="000000"/>
          <w:szCs w:val="19"/>
          <w:lang w:eastAsia="en-AU"/>
        </w:rPr>
        <w:t xml:space="preserve"> </w:t>
      </w:r>
      <w:r w:rsidR="00236748" w:rsidRPr="00276391">
        <w:rPr>
          <w:lang w:eastAsia="en-AU"/>
        </w:rPr>
        <w:t>supports</w:t>
      </w:r>
      <w:r w:rsidR="005D5532" w:rsidRPr="00276391">
        <w:rPr>
          <w:lang w:eastAsia="en-AU"/>
        </w:rPr>
        <w:t xml:space="preserve"> </w:t>
      </w:r>
      <w:r w:rsidR="00236748" w:rsidRPr="00276391">
        <w:rPr>
          <w:lang w:eastAsia="en-AU"/>
        </w:rPr>
        <w:t>Victorians</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reach</w:t>
      </w:r>
      <w:r w:rsidR="005D5532" w:rsidRPr="00276391">
        <w:rPr>
          <w:lang w:eastAsia="en-AU"/>
        </w:rPr>
        <w:t xml:space="preserve"> </w:t>
      </w:r>
      <w:r w:rsidR="00236748" w:rsidRPr="00276391">
        <w:rPr>
          <w:lang w:eastAsia="en-AU"/>
        </w:rPr>
        <w:t>their</w:t>
      </w:r>
      <w:r w:rsidR="005D5532" w:rsidRPr="00276391">
        <w:rPr>
          <w:lang w:eastAsia="en-AU"/>
        </w:rPr>
        <w:t xml:space="preserve"> </w:t>
      </w:r>
      <w:r w:rsidR="00236748" w:rsidRPr="00276391">
        <w:rPr>
          <w:lang w:eastAsia="en-AU"/>
        </w:rPr>
        <w:t>potential,</w:t>
      </w:r>
      <w:r w:rsidR="005D5532" w:rsidRPr="00276391">
        <w:rPr>
          <w:lang w:eastAsia="en-AU"/>
        </w:rPr>
        <w:t xml:space="preserve"> </w:t>
      </w:r>
      <w:r w:rsidR="00236748" w:rsidRPr="00276391">
        <w:rPr>
          <w:lang w:eastAsia="en-AU"/>
        </w:rPr>
        <w:t>regardless</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their</w:t>
      </w:r>
      <w:r w:rsidR="005D5532" w:rsidRPr="00276391">
        <w:rPr>
          <w:lang w:eastAsia="en-AU"/>
        </w:rPr>
        <w:t xml:space="preserve"> </w:t>
      </w:r>
      <w:r w:rsidR="00236748" w:rsidRPr="00276391">
        <w:rPr>
          <w:lang w:eastAsia="en-AU"/>
        </w:rPr>
        <w:t>background,</w:t>
      </w:r>
      <w:r w:rsidR="005D5532" w:rsidRPr="00276391">
        <w:rPr>
          <w:lang w:eastAsia="en-AU"/>
        </w:rPr>
        <w:t xml:space="preserve"> </w:t>
      </w:r>
      <w:r w:rsidR="00236748" w:rsidRPr="00276391">
        <w:rPr>
          <w:lang w:eastAsia="en-AU"/>
        </w:rPr>
        <w:t>postcode</w:t>
      </w:r>
      <w:r w:rsidR="005D5532" w:rsidRPr="00276391">
        <w:rPr>
          <w:lang w:eastAsia="en-AU"/>
        </w:rPr>
        <w:t xml:space="preserve"> </w:t>
      </w:r>
      <w:r w:rsidR="00236748" w:rsidRPr="00276391">
        <w:rPr>
          <w:lang w:eastAsia="en-AU"/>
        </w:rPr>
        <w:t>or</w:t>
      </w:r>
      <w:r w:rsidR="005D5532" w:rsidRPr="00276391">
        <w:rPr>
          <w:lang w:eastAsia="en-AU"/>
        </w:rPr>
        <w:t xml:space="preserve"> </w:t>
      </w:r>
      <w:r w:rsidR="00236748" w:rsidRPr="00276391">
        <w:rPr>
          <w:lang w:eastAsia="en-AU"/>
        </w:rPr>
        <w:t>circumstance,</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develop</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knowledge,</w:t>
      </w:r>
      <w:r w:rsidR="005D5532" w:rsidRPr="00276391">
        <w:rPr>
          <w:lang w:eastAsia="en-AU"/>
        </w:rPr>
        <w:t xml:space="preserve"> </w:t>
      </w:r>
      <w:r w:rsidR="00236748" w:rsidRPr="00276391">
        <w:rPr>
          <w:lang w:eastAsia="en-AU"/>
        </w:rPr>
        <w:t>skills</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attributes</w:t>
      </w:r>
      <w:r w:rsidR="005D5532" w:rsidRPr="00276391">
        <w:rPr>
          <w:lang w:eastAsia="en-AU"/>
        </w:rPr>
        <w:t xml:space="preserve"> </w:t>
      </w:r>
      <w:r w:rsidR="00236748" w:rsidRPr="00276391">
        <w:rPr>
          <w:lang w:eastAsia="en-AU"/>
        </w:rPr>
        <w:t>they</w:t>
      </w:r>
      <w:r w:rsidR="005D5532" w:rsidRPr="00276391">
        <w:rPr>
          <w:lang w:eastAsia="en-AU"/>
        </w:rPr>
        <w:t xml:space="preserve"> </w:t>
      </w:r>
      <w:r w:rsidR="00236748" w:rsidRPr="00276391">
        <w:rPr>
          <w:lang w:eastAsia="en-AU"/>
        </w:rPr>
        <w:t>need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participate</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thrive</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complex</w:t>
      </w:r>
      <w:r w:rsidR="005D5532" w:rsidRPr="00276391">
        <w:rPr>
          <w:lang w:eastAsia="en-AU"/>
        </w:rPr>
        <w:t xml:space="preserve"> </w:t>
      </w:r>
      <w:r w:rsidR="00236748" w:rsidRPr="00276391">
        <w:rPr>
          <w:lang w:eastAsia="en-AU"/>
        </w:rPr>
        <w:t>economy</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society.</w:t>
      </w:r>
    </w:p>
    <w:p w14:paraId="257B299F" w14:textId="77777777" w:rsidR="00236748" w:rsidRPr="00276391" w:rsidRDefault="00236748" w:rsidP="001A0795">
      <w:pPr>
        <w:pStyle w:val="Heading4"/>
        <w:rPr>
          <w:lang w:eastAsia="en-AU"/>
        </w:rPr>
      </w:pPr>
      <w:bookmarkStart w:id="27" w:name="_Toc478991676"/>
      <w:r w:rsidRPr="00276391">
        <w:rPr>
          <w:lang w:eastAsia="en-AU"/>
        </w:rPr>
        <w:t>Ministerial</w:t>
      </w:r>
      <w:r w:rsidR="005D5532" w:rsidRPr="00276391">
        <w:rPr>
          <w:lang w:eastAsia="en-AU"/>
        </w:rPr>
        <w:t xml:space="preserve"> </w:t>
      </w:r>
      <w:r w:rsidRPr="00276391">
        <w:rPr>
          <w:lang w:eastAsia="en-AU"/>
        </w:rPr>
        <w:t>portfolios</w:t>
      </w:r>
      <w:bookmarkEnd w:id="27"/>
    </w:p>
    <w:p w14:paraId="00F87C93" w14:textId="010DC991" w:rsidR="00236748" w:rsidRPr="00276391" w:rsidRDefault="00934DD6" w:rsidP="00276391">
      <w:pPr>
        <w:pStyle w:val="DHHSbody"/>
        <w:rPr>
          <w:lang w:eastAsia="en-AU"/>
        </w:rPr>
      </w:pPr>
      <w:r>
        <w:rPr>
          <w:rFonts w:cs="Arial"/>
          <w:color w:val="000000"/>
          <w:szCs w:val="19"/>
          <w:lang w:eastAsia="en-AU"/>
        </w:rPr>
        <w:t>The department</w:t>
      </w:r>
      <w:r w:rsidR="00717AFA">
        <w:rPr>
          <w:rFonts w:cs="Arial"/>
          <w:color w:val="000000"/>
          <w:szCs w:val="19"/>
          <w:lang w:eastAsia="en-AU"/>
        </w:rPr>
        <w:t xml:space="preserve"> </w:t>
      </w:r>
      <w:r w:rsidR="00236748" w:rsidRPr="00B24C02">
        <w:rPr>
          <w:rFonts w:cs="Arial"/>
          <w:color w:val="000000"/>
          <w:szCs w:val="19"/>
          <w:lang w:eastAsia="en-AU"/>
        </w:rPr>
        <w:t>supports</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portfolios</w:t>
      </w:r>
      <w:r w:rsidR="005D5532" w:rsidRPr="00B24C02">
        <w:rPr>
          <w:rFonts w:cs="Arial"/>
          <w:color w:val="000000"/>
          <w:szCs w:val="19"/>
          <w:lang w:eastAsia="en-AU"/>
        </w:rPr>
        <w:t xml:space="preserve"> </w:t>
      </w:r>
      <w:r w:rsidR="00236748" w:rsidRPr="00B24C02">
        <w:rPr>
          <w:rFonts w:cs="Arial"/>
          <w:color w:val="000000"/>
          <w:szCs w:val="19"/>
          <w:lang w:eastAsia="en-AU"/>
        </w:rPr>
        <w:t>of:</w:t>
      </w:r>
    </w:p>
    <w:p w14:paraId="57CFD5A3"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Hon.</w:t>
      </w:r>
      <w:r w:rsidR="005D5532" w:rsidRPr="00276391">
        <w:rPr>
          <w:rFonts w:cs="Arial"/>
          <w:lang w:eastAsia="en-AU"/>
        </w:rPr>
        <w:t xml:space="preserve"> </w:t>
      </w:r>
      <w:r w:rsidRPr="00276391">
        <w:rPr>
          <w:rFonts w:cs="Arial"/>
          <w:lang w:eastAsia="en-AU"/>
        </w:rPr>
        <w:t>James</w:t>
      </w:r>
      <w:r w:rsidR="005D5532" w:rsidRPr="00276391">
        <w:rPr>
          <w:rFonts w:cs="Arial"/>
          <w:lang w:eastAsia="en-AU"/>
        </w:rPr>
        <w:t xml:space="preserve"> </w:t>
      </w:r>
      <w:proofErr w:type="spellStart"/>
      <w:r w:rsidRPr="00276391">
        <w:rPr>
          <w:rFonts w:cs="Arial"/>
          <w:lang w:eastAsia="en-AU"/>
        </w:rPr>
        <w:t>Merlino</w:t>
      </w:r>
      <w:proofErr w:type="spellEnd"/>
      <w:r w:rsidRPr="00276391">
        <w:rPr>
          <w:rFonts w:cs="Arial"/>
          <w:lang w:eastAsia="en-AU"/>
        </w:rPr>
        <w:t>,</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Education</w:t>
      </w:r>
      <w:r w:rsidR="005D5532" w:rsidRPr="00276391">
        <w:rPr>
          <w:rFonts w:cs="Arial"/>
          <w:lang w:eastAsia="en-AU"/>
        </w:rPr>
        <w:t xml:space="preserve"> </w:t>
      </w:r>
    </w:p>
    <w:p w14:paraId="5B43BDEF" w14:textId="5947C0D3"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Hon.</w:t>
      </w:r>
      <w:r w:rsidR="005D5532" w:rsidRPr="00276391">
        <w:rPr>
          <w:rFonts w:cs="Arial"/>
          <w:lang w:eastAsia="en-AU"/>
        </w:rPr>
        <w:t xml:space="preserve"> </w:t>
      </w:r>
      <w:r w:rsidR="000A7861">
        <w:rPr>
          <w:rFonts w:cs="Arial"/>
          <w:lang w:eastAsia="en-AU"/>
        </w:rPr>
        <w:t>Gayle Tierney</w:t>
      </w:r>
      <w:r w:rsidRPr="00276391">
        <w:rPr>
          <w:rFonts w:cs="Arial"/>
          <w:lang w:eastAsia="en-AU"/>
        </w:rPr>
        <w:t>,</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Training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Skills</w:t>
      </w:r>
      <w:r w:rsidR="005D5532" w:rsidRPr="00276391">
        <w:rPr>
          <w:rFonts w:cs="Arial"/>
          <w:lang w:eastAsia="en-AU"/>
        </w:rPr>
        <w:t xml:space="preserve"> </w:t>
      </w:r>
      <w:r w:rsidRPr="00276391">
        <w:rPr>
          <w:rFonts w:cs="Arial"/>
          <w:lang w:eastAsia="en-AU"/>
        </w:rPr>
        <w:t>(international</w:t>
      </w:r>
      <w:r w:rsidR="005D5532" w:rsidRPr="00276391">
        <w:rPr>
          <w:rFonts w:cs="Arial"/>
          <w:lang w:eastAsia="en-AU"/>
        </w:rPr>
        <w:t xml:space="preserve"> </w:t>
      </w:r>
      <w:r w:rsidRPr="00276391">
        <w:rPr>
          <w:rFonts w:cs="Arial"/>
          <w:lang w:eastAsia="en-AU"/>
        </w:rPr>
        <w:t>Education)</w:t>
      </w:r>
      <w:r w:rsidR="005D5532" w:rsidRPr="00276391">
        <w:rPr>
          <w:rFonts w:cs="Arial"/>
          <w:lang w:eastAsia="en-AU"/>
        </w:rPr>
        <w:t xml:space="preserve"> </w:t>
      </w:r>
    </w:p>
    <w:p w14:paraId="50DA5875" w14:textId="0439DB21"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Hon.</w:t>
      </w:r>
      <w:r w:rsidR="005D5532" w:rsidRPr="00276391">
        <w:rPr>
          <w:rFonts w:cs="Arial"/>
          <w:lang w:eastAsia="en-AU"/>
        </w:rPr>
        <w:t xml:space="preserve"> </w:t>
      </w:r>
      <w:r w:rsidRPr="00276391">
        <w:rPr>
          <w:rFonts w:cs="Arial"/>
          <w:lang w:eastAsia="en-AU"/>
        </w:rPr>
        <w:t>Jenny</w:t>
      </w:r>
      <w:r w:rsidR="005D5532" w:rsidRPr="00276391">
        <w:rPr>
          <w:rFonts w:cs="Arial"/>
          <w:lang w:eastAsia="en-AU"/>
        </w:rPr>
        <w:t xml:space="preserve"> </w:t>
      </w:r>
      <w:proofErr w:type="spellStart"/>
      <w:r w:rsidRPr="00276391">
        <w:rPr>
          <w:rFonts w:cs="Arial"/>
          <w:lang w:eastAsia="en-AU"/>
        </w:rPr>
        <w:t>Mikakos</w:t>
      </w:r>
      <w:proofErr w:type="spellEnd"/>
      <w:r w:rsidRPr="00276391">
        <w:rPr>
          <w:rFonts w:cs="Arial"/>
          <w:lang w:eastAsia="en-AU"/>
        </w:rPr>
        <w:t>,</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Families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Children</w:t>
      </w:r>
      <w:r w:rsidR="000A7861">
        <w:rPr>
          <w:rFonts w:cs="Arial"/>
          <w:lang w:eastAsia="en-AU"/>
        </w:rPr>
        <w:t>, and Minister for Early Childhood Education.</w:t>
      </w:r>
    </w:p>
    <w:p w14:paraId="73273D1B" w14:textId="77777777" w:rsidR="00236748" w:rsidRPr="00276391" w:rsidRDefault="00236748" w:rsidP="001A0795">
      <w:pPr>
        <w:pStyle w:val="Heading4"/>
        <w:rPr>
          <w:lang w:eastAsia="en-AU"/>
        </w:rPr>
      </w:pPr>
      <w:bookmarkStart w:id="28" w:name="_Toc478991679"/>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28"/>
    </w:p>
    <w:p w14:paraId="436039F5" w14:textId="75F658C7"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00934DD6">
        <w:rPr>
          <w:rFonts w:cs="Arial"/>
          <w:color w:val="000000"/>
          <w:szCs w:val="19"/>
          <w:lang w:eastAsia="en-AU"/>
        </w:rPr>
        <w:t>Department of Education and Training</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14" w:tgtFrame="_blank" w:history="1">
        <w:r w:rsidRPr="00C94233">
          <w:rPr>
            <w:rStyle w:val="Hyperlink"/>
          </w:rPr>
          <w:t>Department</w:t>
        </w:r>
        <w:r w:rsidR="005D5532" w:rsidRPr="00C94233">
          <w:rPr>
            <w:rStyle w:val="Hyperlink"/>
          </w:rPr>
          <w:t xml:space="preserve"> </w:t>
        </w:r>
        <w:r w:rsidRPr="00C94233">
          <w:rPr>
            <w:rStyle w:val="Hyperlink"/>
          </w:rPr>
          <w:t>of</w:t>
        </w:r>
        <w:r w:rsidR="005D5532" w:rsidRPr="00C94233">
          <w:rPr>
            <w:rStyle w:val="Hyperlink"/>
          </w:rPr>
          <w:t xml:space="preserve"> </w:t>
        </w:r>
        <w:r w:rsidRPr="00C94233">
          <w:rPr>
            <w:rStyle w:val="Hyperlink"/>
          </w:rPr>
          <w:t>Education</w:t>
        </w:r>
        <w:r w:rsidR="005D5532" w:rsidRPr="00C94233">
          <w:rPr>
            <w:rStyle w:val="Hyperlink"/>
          </w:rPr>
          <w:t xml:space="preserve"> </w:t>
        </w:r>
        <w:r w:rsidRPr="00C94233">
          <w:rPr>
            <w:rStyle w:val="Hyperlink"/>
          </w:rPr>
          <w:t>and</w:t>
        </w:r>
        <w:r w:rsidR="005D5532" w:rsidRPr="00C94233">
          <w:rPr>
            <w:rStyle w:val="Hyperlink"/>
          </w:rPr>
          <w:t xml:space="preserve"> </w:t>
        </w:r>
        <w:r w:rsidRPr="00C94233">
          <w:rPr>
            <w:rStyle w:val="Hyperlink"/>
          </w:rPr>
          <w:t>Training</w:t>
        </w:r>
      </w:hyperlink>
      <w:r w:rsidR="00717AFA">
        <w:rPr>
          <w:rStyle w:val="Hyperlink"/>
        </w:rPr>
        <w:t xml:space="preserve"> website</w:t>
      </w:r>
      <w:r w:rsidR="005D5532" w:rsidRPr="00B24C02">
        <w:rPr>
          <w:rFonts w:cs="Arial"/>
          <w:color w:val="000000"/>
          <w:szCs w:val="19"/>
          <w:lang w:eastAsia="en-AU"/>
        </w:rPr>
        <w:t xml:space="preserve"> </w:t>
      </w:r>
      <w:r w:rsidR="001F3EA7">
        <w:rPr>
          <w:rFonts w:cs="Arial"/>
          <w:color w:val="000000"/>
          <w:szCs w:val="19"/>
          <w:lang w:eastAsia="en-AU"/>
        </w:rPr>
        <w:t>&lt;</w:t>
      </w:r>
      <w:r w:rsidR="001F3EA7" w:rsidRPr="001F3EA7">
        <w:rPr>
          <w:rFonts w:cs="Arial"/>
          <w:color w:val="000000"/>
          <w:szCs w:val="19"/>
          <w:lang w:eastAsia="en-AU"/>
        </w:rPr>
        <w:t>http://www.education.vic.gov.au/about/department/Pages/default.aspx</w:t>
      </w:r>
      <w:r w:rsidR="001F3EA7">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p>
    <w:p w14:paraId="5D9C3D4D" w14:textId="28BF948B" w:rsidR="00236748" w:rsidRPr="00276391" w:rsidRDefault="00236748" w:rsidP="00276391">
      <w:pPr>
        <w:pStyle w:val="Heading2"/>
      </w:pPr>
      <w:bookmarkStart w:id="29" w:name="_Toc478991680"/>
      <w:bookmarkStart w:id="30" w:name="_Toc478992298"/>
      <w:bookmarkStart w:id="31" w:name="_Toc478992871"/>
      <w:bookmarkStart w:id="32" w:name="_Toc4141980"/>
      <w:r w:rsidRPr="00276391">
        <w:t>1.3</w:t>
      </w:r>
      <w:r w:rsidR="009B2351" w:rsidRPr="00276391">
        <w:t xml:space="preserve"> </w:t>
      </w:r>
      <w:r w:rsidRPr="00276391">
        <w:t>Policy</w:t>
      </w:r>
      <w:r w:rsidR="009B2351" w:rsidRPr="00276391">
        <w:t xml:space="preserve"> </w:t>
      </w:r>
      <w:r w:rsidRPr="00276391">
        <w:t>and</w:t>
      </w:r>
      <w:r w:rsidR="009B2351" w:rsidRPr="00276391">
        <w:t xml:space="preserve"> </w:t>
      </w:r>
      <w:r w:rsidR="00BC27E9">
        <w:t>f</w:t>
      </w:r>
      <w:r w:rsidRPr="00276391">
        <w:t>unding</w:t>
      </w:r>
      <w:r w:rsidR="009B2351" w:rsidRPr="00276391">
        <w:t xml:space="preserve"> </w:t>
      </w:r>
      <w:r w:rsidRPr="00276391">
        <w:t>plans</w:t>
      </w:r>
      <w:r w:rsidR="009B2351" w:rsidRPr="00276391">
        <w:t xml:space="preserve"> </w:t>
      </w:r>
      <w:r w:rsidRPr="00276391">
        <w:t>and</w:t>
      </w:r>
      <w:r w:rsidR="009B2351" w:rsidRPr="00276391">
        <w:t xml:space="preserve"> </w:t>
      </w:r>
      <w:r w:rsidRPr="00276391">
        <w:t>guidelines</w:t>
      </w:r>
      <w:bookmarkEnd w:id="29"/>
      <w:bookmarkEnd w:id="30"/>
      <w:bookmarkEnd w:id="31"/>
      <w:bookmarkEnd w:id="32"/>
    </w:p>
    <w:p w14:paraId="4DE88FE2" w14:textId="77777777" w:rsidR="00236748" w:rsidRPr="00276391" w:rsidRDefault="00236748" w:rsidP="00276391">
      <w:pPr>
        <w:pStyle w:val="Heading3"/>
        <w:rPr>
          <w:lang w:eastAsia="en-AU"/>
        </w:rPr>
      </w:pPr>
      <w:bookmarkStart w:id="33" w:name="_Toc478991681"/>
      <w:bookmarkStart w:id="34" w:name="_Toc478992299"/>
      <w:bookmarkStart w:id="35" w:name="_Toc4141981"/>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33"/>
      <w:bookmarkEnd w:id="34"/>
      <w:bookmarkEnd w:id="35"/>
    </w:p>
    <w:p w14:paraId="6DE4B3EE" w14:textId="3683CBC4" w:rsidR="00236748" w:rsidRPr="00276391" w:rsidRDefault="00236748" w:rsidP="005D5532">
      <w:pPr>
        <w:pStyle w:val="DHHSbody"/>
        <w:rPr>
          <w:rFonts w:cs="Arial"/>
          <w:lang w:eastAsia="en-AU"/>
        </w:rPr>
      </w:pPr>
      <w:r w:rsidRPr="00276391">
        <w:rPr>
          <w:rFonts w:cs="Arial"/>
          <w:lang w:eastAsia="en-AU"/>
        </w:rPr>
        <w:t>The</w:t>
      </w:r>
      <w:r w:rsidR="005D5532" w:rsidRPr="00276391">
        <w:rPr>
          <w:rFonts w:cs="Arial"/>
          <w:lang w:eastAsia="en-AU"/>
        </w:rPr>
        <w:t xml:space="preserve"> </w:t>
      </w:r>
      <w:r w:rsidRPr="00934DD6">
        <w:rPr>
          <w:rFonts w:cs="Arial"/>
          <w:bCs/>
          <w:i/>
          <w:lang w:eastAsia="en-AU"/>
        </w:rPr>
        <w:t>Department</w:t>
      </w:r>
      <w:r w:rsidR="005D5532" w:rsidRPr="00934DD6">
        <w:rPr>
          <w:rFonts w:cs="Arial"/>
          <w:bCs/>
          <w:i/>
          <w:lang w:eastAsia="en-AU"/>
        </w:rPr>
        <w:t xml:space="preserve"> </w:t>
      </w:r>
      <w:r w:rsidRPr="00934DD6">
        <w:rPr>
          <w:rFonts w:cs="Arial"/>
          <w:bCs/>
          <w:i/>
          <w:lang w:eastAsia="en-AU"/>
        </w:rPr>
        <w:t>of</w:t>
      </w:r>
      <w:r w:rsidR="005D5532" w:rsidRPr="00934DD6">
        <w:rPr>
          <w:rFonts w:cs="Arial"/>
          <w:bCs/>
          <w:i/>
          <w:lang w:eastAsia="en-AU"/>
        </w:rPr>
        <w:t xml:space="preserve"> </w:t>
      </w:r>
      <w:r w:rsidRPr="00934DD6">
        <w:rPr>
          <w:rFonts w:cs="Arial"/>
          <w:bCs/>
          <w:i/>
          <w:lang w:eastAsia="en-AU"/>
        </w:rPr>
        <w:t>Health</w:t>
      </w:r>
      <w:r w:rsidR="005D5532" w:rsidRPr="00934DD6">
        <w:rPr>
          <w:rFonts w:cs="Arial"/>
          <w:bCs/>
          <w:i/>
          <w:lang w:eastAsia="en-AU"/>
        </w:rPr>
        <w:t xml:space="preserve"> </w:t>
      </w:r>
      <w:r w:rsidRPr="00934DD6">
        <w:rPr>
          <w:rFonts w:cs="Arial"/>
          <w:bCs/>
          <w:i/>
          <w:lang w:eastAsia="en-AU"/>
        </w:rPr>
        <w:t>and</w:t>
      </w:r>
      <w:r w:rsidR="005D5532" w:rsidRPr="00934DD6">
        <w:rPr>
          <w:rFonts w:cs="Arial"/>
          <w:bCs/>
          <w:i/>
          <w:lang w:eastAsia="en-AU"/>
        </w:rPr>
        <w:t xml:space="preserve"> </w:t>
      </w:r>
      <w:r w:rsidRPr="00934DD6">
        <w:rPr>
          <w:rFonts w:cs="Arial"/>
          <w:bCs/>
          <w:i/>
          <w:lang w:eastAsia="en-AU"/>
        </w:rPr>
        <w:t>Human</w:t>
      </w:r>
      <w:r w:rsidR="005D5532" w:rsidRPr="00934DD6">
        <w:rPr>
          <w:rFonts w:cs="Arial"/>
          <w:bCs/>
          <w:i/>
          <w:lang w:eastAsia="en-AU"/>
        </w:rPr>
        <w:t xml:space="preserve"> </w:t>
      </w:r>
      <w:r w:rsidRPr="00934DD6">
        <w:rPr>
          <w:rFonts w:cs="Arial"/>
          <w:bCs/>
          <w:i/>
          <w:lang w:eastAsia="en-AU"/>
        </w:rPr>
        <w:t>Services</w:t>
      </w:r>
      <w:r w:rsidR="005D5532" w:rsidRPr="00934DD6">
        <w:rPr>
          <w:rFonts w:cs="Arial"/>
          <w:bCs/>
          <w:i/>
          <w:lang w:eastAsia="en-AU"/>
        </w:rPr>
        <w:t xml:space="preserve"> </w:t>
      </w:r>
      <w:r w:rsidRPr="00934DD6">
        <w:rPr>
          <w:rFonts w:cs="Arial"/>
          <w:bCs/>
          <w:i/>
          <w:lang w:eastAsia="en-AU"/>
        </w:rPr>
        <w:t>Policy</w:t>
      </w:r>
      <w:r w:rsidR="005D5532" w:rsidRPr="00934DD6">
        <w:rPr>
          <w:rFonts w:cs="Arial"/>
          <w:bCs/>
          <w:i/>
          <w:lang w:eastAsia="en-AU"/>
        </w:rPr>
        <w:t xml:space="preserve"> </w:t>
      </w:r>
      <w:r w:rsidRPr="00934DD6">
        <w:rPr>
          <w:rFonts w:cs="Arial"/>
          <w:bCs/>
          <w:i/>
          <w:lang w:eastAsia="en-AU"/>
        </w:rPr>
        <w:t>and</w:t>
      </w:r>
      <w:r w:rsidR="005D5532" w:rsidRPr="00934DD6">
        <w:rPr>
          <w:rFonts w:cs="Arial"/>
          <w:bCs/>
          <w:i/>
          <w:lang w:eastAsia="en-AU"/>
        </w:rPr>
        <w:t xml:space="preserve"> </w:t>
      </w:r>
      <w:r w:rsidR="003531BD" w:rsidRPr="00934DD6">
        <w:rPr>
          <w:rFonts w:cs="Arial"/>
          <w:bCs/>
          <w:i/>
          <w:lang w:eastAsia="en-AU"/>
        </w:rPr>
        <w:t>f</w:t>
      </w:r>
      <w:r w:rsidRPr="00934DD6">
        <w:rPr>
          <w:rFonts w:cs="Arial"/>
          <w:bCs/>
          <w:i/>
          <w:lang w:eastAsia="en-AU"/>
        </w:rPr>
        <w:t>unding</w:t>
      </w:r>
      <w:r w:rsidR="005D5532" w:rsidRPr="00934DD6">
        <w:rPr>
          <w:rFonts w:cs="Arial"/>
          <w:bCs/>
          <w:i/>
          <w:lang w:eastAsia="en-AU"/>
        </w:rPr>
        <w:t xml:space="preserve"> </w:t>
      </w:r>
      <w:r w:rsidR="003531BD" w:rsidRPr="00934DD6">
        <w:rPr>
          <w:rFonts w:cs="Arial"/>
          <w:bCs/>
          <w:i/>
          <w:lang w:eastAsia="en-AU"/>
        </w:rPr>
        <w:t>g</w:t>
      </w:r>
      <w:r w:rsidRPr="00934DD6">
        <w:rPr>
          <w:rFonts w:cs="Arial"/>
          <w:bCs/>
          <w:i/>
          <w:lang w:eastAsia="en-AU"/>
        </w:rPr>
        <w:t>uidelines</w:t>
      </w:r>
      <w:r w:rsidR="005D5532" w:rsidRPr="00934DD6">
        <w:rPr>
          <w:rFonts w:cs="Arial"/>
          <w:bCs/>
          <w:i/>
          <w:lang w:eastAsia="en-AU"/>
        </w:rPr>
        <w:t xml:space="preserve"> </w:t>
      </w:r>
      <w:r w:rsidRPr="00934DD6">
        <w:rPr>
          <w:rFonts w:cs="Arial"/>
          <w:bCs/>
          <w:i/>
          <w:lang w:eastAsia="en-AU"/>
        </w:rPr>
        <w:t>201</w:t>
      </w:r>
      <w:r w:rsidR="00DA1181" w:rsidRPr="00934DD6">
        <w:rPr>
          <w:rFonts w:cs="Arial"/>
          <w:bCs/>
          <w:i/>
          <w:lang w:eastAsia="en-AU"/>
        </w:rPr>
        <w:t>7</w:t>
      </w:r>
      <w:r w:rsidR="003531BD" w:rsidRPr="00934DD6">
        <w:rPr>
          <w:rFonts w:cs="Arial"/>
          <w:bCs/>
          <w:i/>
          <w:lang w:eastAsia="en-AU"/>
        </w:rPr>
        <w:t>-18</w:t>
      </w:r>
      <w:r w:rsidR="005D5532" w:rsidRPr="00276391">
        <w:rPr>
          <w:rFonts w:cs="Arial"/>
          <w:lang w:eastAsia="en-AU"/>
        </w:rPr>
        <w:t xml:space="preserve"> </w:t>
      </w:r>
      <w:r w:rsidRPr="00276391">
        <w:rPr>
          <w:rFonts w:cs="Arial"/>
          <w:lang w:eastAsia="en-AU"/>
        </w:rPr>
        <w:t>(</w:t>
      </w:r>
      <w:r w:rsidR="003531BD">
        <w:rPr>
          <w:rFonts w:cs="Arial"/>
          <w:lang w:eastAsia="en-AU"/>
        </w:rPr>
        <w:t xml:space="preserve">the </w:t>
      </w:r>
      <w:r w:rsidRPr="00276391">
        <w:rPr>
          <w:rFonts w:cs="Arial"/>
          <w:lang w:eastAsia="en-AU"/>
        </w:rPr>
        <w:t>guidelines)</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00E01346" w:rsidRPr="00276391">
        <w:rPr>
          <w:rFonts w:cs="Arial"/>
          <w:lang w:eastAsia="en-AU"/>
        </w:rPr>
        <w:t>applicable departmental policy</w:t>
      </w:r>
      <w:r w:rsidRPr="00276391">
        <w:rPr>
          <w:rFonts w:cs="Arial"/>
          <w:lang w:eastAsia="en-AU"/>
        </w:rPr>
        <w: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Pr="00276391">
        <w:rPr>
          <w:rFonts w:cs="Arial"/>
          <w:lang w:eastAsia="en-AU"/>
        </w:rPr>
        <w:t>1</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p>
    <w:p w14:paraId="79D7A1B3" w14:textId="75D010DB" w:rsidR="00236748" w:rsidRPr="00276391" w:rsidRDefault="00236748" w:rsidP="005D5532">
      <w:pPr>
        <w:pStyle w:val="DHHSbody"/>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guidelines</w:t>
      </w:r>
      <w:r w:rsidR="005D5532" w:rsidRPr="00276391">
        <w:rPr>
          <w:rFonts w:cs="Arial"/>
          <w:lang w:eastAsia="en-AU"/>
        </w:rPr>
        <w:t xml:space="preserve"> </w:t>
      </w:r>
      <w:r w:rsidRPr="00276391">
        <w:rPr>
          <w:rFonts w:cs="Arial"/>
          <w:lang w:eastAsia="en-AU"/>
        </w:rPr>
        <w:t>replace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former</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Health’s</w:t>
      </w:r>
      <w:r w:rsidR="005D5532" w:rsidRPr="00276391">
        <w:rPr>
          <w:rFonts w:cs="Arial"/>
          <w:lang w:eastAsia="en-AU"/>
        </w:rPr>
        <w:t xml:space="preserve"> </w:t>
      </w:r>
      <w:r w:rsidRPr="00276391">
        <w:rPr>
          <w:rFonts w:cs="Arial"/>
          <w:lang w:eastAsia="en-AU"/>
        </w:rPr>
        <w:t>annual</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003531BD">
        <w:rPr>
          <w:rFonts w:cs="Arial"/>
          <w:lang w:eastAsia="en-AU"/>
        </w:rPr>
        <w:t>H</w:t>
      </w:r>
      <w:r w:rsidRPr="00276391">
        <w:rPr>
          <w:rFonts w:cs="Arial"/>
          <w:lang w:eastAsia="en-AU"/>
        </w:rPr>
        <w:t>ealth</w:t>
      </w:r>
      <w:r w:rsidR="005D5532" w:rsidRPr="00276391">
        <w:rPr>
          <w:rFonts w:cs="Arial"/>
          <w:lang w:eastAsia="en-AU"/>
        </w:rPr>
        <w:t xml:space="preserve"> </w:t>
      </w:r>
      <w:r w:rsidR="003531BD">
        <w:rPr>
          <w:rFonts w:cs="Arial"/>
          <w:lang w:eastAsia="en-AU"/>
        </w:rPr>
        <w:t>P</w:t>
      </w:r>
      <w:r w:rsidRPr="00276391">
        <w:rPr>
          <w:rFonts w:cs="Arial"/>
          <w:lang w:eastAsia="en-AU"/>
        </w:rPr>
        <w:t>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guidelines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former</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Policy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003531BD">
        <w:rPr>
          <w:rFonts w:cs="Arial"/>
          <w:lang w:eastAsia="en-AU"/>
        </w:rPr>
        <w:t>f</w:t>
      </w:r>
      <w:r w:rsidRPr="00276391">
        <w:rPr>
          <w:rFonts w:cs="Arial"/>
          <w:lang w:eastAsia="en-AU"/>
        </w:rPr>
        <w:t>unding</w:t>
      </w:r>
      <w:r w:rsidR="005D5532" w:rsidRPr="00276391">
        <w:rPr>
          <w:rFonts w:cs="Arial"/>
          <w:lang w:eastAsia="en-AU"/>
        </w:rPr>
        <w:t xml:space="preserve"> </w:t>
      </w:r>
      <w:r w:rsidR="003531BD">
        <w:rPr>
          <w:rFonts w:cs="Arial"/>
          <w:lang w:eastAsia="en-AU"/>
        </w:rPr>
        <w:t>p</w:t>
      </w:r>
      <w:r w:rsidRPr="00276391">
        <w:rPr>
          <w:rFonts w:cs="Arial"/>
          <w:lang w:eastAsia="en-AU"/>
        </w:rPr>
        <w:t>lan.</w:t>
      </w:r>
    </w:p>
    <w:p w14:paraId="60635420" w14:textId="77777777" w:rsidR="00236748" w:rsidRPr="00276391" w:rsidRDefault="00236748" w:rsidP="005D5532">
      <w:pPr>
        <w:pStyle w:val="DHHSbody"/>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guidelines</w:t>
      </w:r>
      <w:r w:rsidR="005D5532" w:rsidRPr="00276391">
        <w:rPr>
          <w:rFonts w:cs="Arial"/>
          <w:lang w:eastAsia="en-AU"/>
        </w:rPr>
        <w:t xml:space="preserve"> </w:t>
      </w:r>
      <w:r w:rsidRPr="00276391">
        <w:rPr>
          <w:rFonts w:cs="Arial"/>
          <w:lang w:eastAsia="en-AU"/>
        </w:rPr>
        <w:t>consist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three</w:t>
      </w:r>
      <w:r w:rsidR="005D5532" w:rsidRPr="00276391">
        <w:rPr>
          <w:rFonts w:cs="Arial"/>
          <w:lang w:eastAsia="en-AU"/>
        </w:rPr>
        <w:t xml:space="preserve"> </w:t>
      </w:r>
      <w:r w:rsidRPr="00276391">
        <w:rPr>
          <w:rFonts w:cs="Arial"/>
          <w:lang w:eastAsia="en-AU"/>
        </w:rPr>
        <w:t>volumes:</w:t>
      </w:r>
    </w:p>
    <w:p w14:paraId="5D9F3274" w14:textId="381B47B7" w:rsidR="00236748" w:rsidRPr="00276391" w:rsidRDefault="00236748" w:rsidP="00276391">
      <w:pPr>
        <w:pStyle w:val="DHHSbullet1"/>
        <w:rPr>
          <w:rFonts w:cs="Arial"/>
          <w:lang w:eastAsia="en-AU"/>
        </w:rPr>
      </w:pPr>
      <w:r w:rsidRPr="00276391">
        <w:rPr>
          <w:rFonts w:cs="Arial"/>
          <w:lang w:eastAsia="en-AU"/>
        </w:rPr>
        <w:t>Volume</w:t>
      </w:r>
      <w:r w:rsidR="005D5532" w:rsidRPr="00276391">
        <w:rPr>
          <w:rFonts w:cs="Arial"/>
          <w:lang w:eastAsia="en-AU"/>
        </w:rPr>
        <w:t xml:space="preserve"> </w:t>
      </w:r>
      <w:r w:rsidRPr="00276391">
        <w:rPr>
          <w:rFonts w:cs="Arial"/>
          <w:lang w:eastAsia="en-AU"/>
        </w:rPr>
        <w:t>1:</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Policy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003531BD">
        <w:rPr>
          <w:rFonts w:cs="Arial"/>
          <w:lang w:eastAsia="en-AU"/>
        </w:rPr>
        <w:t>f</w:t>
      </w:r>
      <w:r w:rsidRPr="00276391">
        <w:rPr>
          <w:rFonts w:cs="Arial"/>
          <w:lang w:eastAsia="en-AU"/>
        </w:rPr>
        <w:t>unding</w:t>
      </w:r>
      <w:r w:rsidR="005D5532" w:rsidRPr="00276391">
        <w:rPr>
          <w:rFonts w:cs="Arial"/>
          <w:lang w:eastAsia="en-AU"/>
        </w:rPr>
        <w:t xml:space="preserve"> </w:t>
      </w:r>
      <w:r w:rsidR="003531BD">
        <w:rPr>
          <w:rFonts w:cs="Arial"/>
          <w:lang w:eastAsia="en-AU"/>
        </w:rPr>
        <w:t>g</w:t>
      </w:r>
      <w:r w:rsidRPr="00276391">
        <w:rPr>
          <w:rFonts w:cs="Arial"/>
          <w:lang w:eastAsia="en-AU"/>
        </w:rPr>
        <w:t>uidelines</w:t>
      </w:r>
      <w:r w:rsidR="005D5532" w:rsidRPr="00276391">
        <w:rPr>
          <w:rFonts w:cs="Arial"/>
          <w:lang w:eastAsia="en-AU"/>
        </w:rPr>
        <w:t xml:space="preserve"> </w:t>
      </w:r>
      <w:r w:rsidR="003531BD">
        <w:rPr>
          <w:rFonts w:cs="Arial"/>
          <w:lang w:eastAsia="en-AU"/>
        </w:rPr>
        <w:t>d</w:t>
      </w:r>
      <w:r w:rsidRPr="00276391">
        <w:rPr>
          <w:rFonts w:cs="Arial"/>
          <w:lang w:eastAsia="en-AU"/>
        </w:rPr>
        <w:t>epartmental</w:t>
      </w:r>
      <w:r w:rsidR="005D5532" w:rsidRPr="00276391">
        <w:rPr>
          <w:rFonts w:cs="Arial"/>
          <w:lang w:eastAsia="en-AU"/>
        </w:rPr>
        <w:t xml:space="preserve"> </w:t>
      </w:r>
      <w:r w:rsidRPr="00276391">
        <w:rPr>
          <w:rFonts w:cs="Arial"/>
          <w:lang w:eastAsia="en-AU"/>
        </w:rPr>
        <w:t>overview</w:t>
      </w:r>
      <w:r w:rsidR="005D5532" w:rsidRPr="00276391">
        <w:rPr>
          <w:rFonts w:cs="Arial"/>
          <w:lang w:eastAsia="en-AU"/>
        </w:rPr>
        <w:t xml:space="preserve"> </w:t>
      </w:r>
    </w:p>
    <w:p w14:paraId="3F5F7C62" w14:textId="1D91E7D8" w:rsidR="00236748" w:rsidRPr="00276391" w:rsidRDefault="00236748" w:rsidP="00276391">
      <w:pPr>
        <w:pStyle w:val="DHHSbullet1"/>
        <w:rPr>
          <w:rFonts w:cs="Arial"/>
          <w:lang w:eastAsia="en-AU"/>
        </w:rPr>
      </w:pPr>
      <w:r w:rsidRPr="00276391">
        <w:rPr>
          <w:rFonts w:cs="Arial"/>
          <w:lang w:eastAsia="en-AU"/>
        </w:rPr>
        <w:t>Volume</w:t>
      </w:r>
      <w:r w:rsidR="005D5532" w:rsidRPr="00276391">
        <w:rPr>
          <w:rFonts w:cs="Arial"/>
          <w:lang w:eastAsia="en-AU"/>
        </w:rPr>
        <w:t xml:space="preserve"> </w:t>
      </w:r>
      <w:r w:rsidRPr="00276391">
        <w:rPr>
          <w:rFonts w:cs="Arial"/>
          <w:lang w:eastAsia="en-AU"/>
        </w:rPr>
        <w:t>2:</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Operations</w:t>
      </w:r>
      <w:r w:rsidR="005D5532" w:rsidRPr="00276391">
        <w:rPr>
          <w:rFonts w:cs="Arial"/>
          <w:lang w:eastAsia="en-AU"/>
        </w:rPr>
        <w:t xml:space="preserve"> </w:t>
      </w:r>
      <w:r w:rsidR="00DA1181">
        <w:rPr>
          <w:rFonts w:cs="Arial"/>
          <w:lang w:eastAsia="en-AU"/>
        </w:rPr>
        <w:t xml:space="preserve">2017-18 </w:t>
      </w:r>
      <w:r w:rsidRPr="00276391">
        <w:rPr>
          <w:rFonts w:cs="Arial"/>
          <w:lang w:eastAsia="en-AU"/>
        </w:rPr>
        <w:t>(former</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003531BD">
        <w:rPr>
          <w:rFonts w:cs="Arial"/>
          <w:lang w:eastAsia="en-AU"/>
        </w:rPr>
        <w:t>H</w:t>
      </w:r>
      <w:r w:rsidRPr="00276391">
        <w:rPr>
          <w:rFonts w:cs="Arial"/>
          <w:lang w:eastAsia="en-AU"/>
        </w:rPr>
        <w:t>ealth</w:t>
      </w:r>
      <w:r w:rsidR="005D5532" w:rsidRPr="00276391">
        <w:rPr>
          <w:rFonts w:cs="Arial"/>
          <w:lang w:eastAsia="en-AU"/>
        </w:rPr>
        <w:t xml:space="preserve"> </w:t>
      </w:r>
      <w:r w:rsidR="003531BD">
        <w:rPr>
          <w:rFonts w:cs="Arial"/>
          <w:lang w:eastAsia="en-AU"/>
        </w:rPr>
        <w:t>P</w:t>
      </w:r>
      <w:r w:rsidRPr="00276391">
        <w:rPr>
          <w:rFonts w:cs="Arial"/>
          <w:lang w:eastAsia="en-AU"/>
        </w:rPr>
        <w:t>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guidelines)</w:t>
      </w:r>
      <w:r w:rsidR="005D5532" w:rsidRPr="00276391">
        <w:rPr>
          <w:rFonts w:cs="Arial"/>
          <w:lang w:eastAsia="en-AU"/>
        </w:rPr>
        <w:t xml:space="preserve"> </w:t>
      </w:r>
    </w:p>
    <w:p w14:paraId="4D339930" w14:textId="4948DCD1" w:rsidR="00236748" w:rsidRPr="00276391" w:rsidRDefault="00236748" w:rsidP="00276391">
      <w:pPr>
        <w:pStyle w:val="DHHSbullet1"/>
        <w:rPr>
          <w:rFonts w:cs="Arial"/>
          <w:lang w:eastAsia="en-AU"/>
        </w:rPr>
      </w:pPr>
      <w:r w:rsidRPr="00276391">
        <w:rPr>
          <w:rFonts w:cs="Arial"/>
          <w:lang w:eastAsia="en-AU"/>
        </w:rPr>
        <w:t>Volume</w:t>
      </w:r>
      <w:r w:rsidR="005D5532" w:rsidRPr="00276391">
        <w:rPr>
          <w:rFonts w:cs="Arial"/>
          <w:lang w:eastAsia="en-AU"/>
        </w:rPr>
        <w:t xml:space="preserve"> </w:t>
      </w:r>
      <w:r w:rsidRPr="00276391">
        <w:rPr>
          <w:rFonts w:cs="Arial"/>
          <w:lang w:eastAsia="en-AU"/>
        </w:rPr>
        <w:t>3:</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Policy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003531BD">
        <w:rPr>
          <w:rFonts w:cs="Arial"/>
          <w:lang w:eastAsia="en-AU"/>
        </w:rPr>
        <w:t>f</w:t>
      </w:r>
      <w:r w:rsidRPr="00276391">
        <w:rPr>
          <w:rFonts w:cs="Arial"/>
          <w:lang w:eastAsia="en-AU"/>
        </w:rPr>
        <w:t>unding</w:t>
      </w:r>
      <w:r w:rsidR="005D5532" w:rsidRPr="00276391">
        <w:rPr>
          <w:rFonts w:cs="Arial"/>
          <w:lang w:eastAsia="en-AU"/>
        </w:rPr>
        <w:t xml:space="preserve"> </w:t>
      </w:r>
      <w:r w:rsidR="003531BD">
        <w:rPr>
          <w:rFonts w:cs="Arial"/>
          <w:lang w:eastAsia="en-AU"/>
        </w:rPr>
        <w:t>p</w:t>
      </w:r>
      <w:r w:rsidRPr="00276391">
        <w:rPr>
          <w:rFonts w:cs="Arial"/>
          <w:lang w:eastAsia="en-AU"/>
        </w:rPr>
        <w:t>lan</w:t>
      </w:r>
      <w:r w:rsidR="005D5532" w:rsidRPr="00276391">
        <w:rPr>
          <w:rFonts w:cs="Arial"/>
          <w:lang w:eastAsia="en-AU"/>
        </w:rPr>
        <w:t xml:space="preserve"> </w:t>
      </w:r>
      <w:r w:rsidRPr="00276391">
        <w:rPr>
          <w:rFonts w:cs="Arial"/>
          <w:lang w:eastAsia="en-AU"/>
        </w:rPr>
        <w:t>2015–19,</w:t>
      </w:r>
      <w:r w:rsidR="005D5532" w:rsidRPr="00276391">
        <w:rPr>
          <w:rFonts w:cs="Arial"/>
          <w:lang w:eastAsia="en-AU"/>
        </w:rPr>
        <w:t xml:space="preserve"> </w:t>
      </w:r>
      <w:r w:rsidRPr="00276391">
        <w:rPr>
          <w:rFonts w:cs="Arial"/>
          <w:lang w:eastAsia="en-AU"/>
        </w:rPr>
        <w:t>update</w:t>
      </w:r>
      <w:r w:rsidR="005D5532" w:rsidRPr="00276391">
        <w:rPr>
          <w:rFonts w:cs="Arial"/>
          <w:lang w:eastAsia="en-AU"/>
        </w:rPr>
        <w:t xml:space="preserve"> </w:t>
      </w:r>
      <w:r w:rsidR="00DA1181">
        <w:rPr>
          <w:rFonts w:cs="Arial"/>
          <w:lang w:eastAsia="en-AU"/>
        </w:rPr>
        <w:t>2017-18</w:t>
      </w:r>
      <w:r w:rsidR="00CD3CD6">
        <w:rPr>
          <w:rFonts w:cs="Arial"/>
          <w:lang w:eastAsia="en-AU"/>
        </w:rPr>
        <w:t>.</w:t>
      </w:r>
    </w:p>
    <w:p w14:paraId="5488218C" w14:textId="3A983789" w:rsidR="00236748" w:rsidRPr="00F77AD4" w:rsidRDefault="00236748" w:rsidP="00F77AD4">
      <w:pPr>
        <w:pStyle w:val="DHHSbody"/>
        <w:rPr>
          <w:lang w:eastAsia="en-AU"/>
        </w:rPr>
      </w:pPr>
      <w:r w:rsidRPr="00276391">
        <w:rPr>
          <w:lang w:eastAsia="en-AU"/>
        </w:rPr>
        <w:t>To</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00AA47B7">
        <w:rPr>
          <w:lang w:eastAsia="en-AU"/>
        </w:rPr>
        <w:t>f</w:t>
      </w:r>
      <w:r w:rsidRPr="00276391">
        <w:rPr>
          <w:lang w:eastAsia="en-AU"/>
        </w:rPr>
        <w:t>unding</w:t>
      </w:r>
      <w:r w:rsidR="005D5532" w:rsidRPr="00276391">
        <w:rPr>
          <w:lang w:eastAsia="en-AU"/>
        </w:rPr>
        <w:t xml:space="preserve"> </w:t>
      </w:r>
      <w:r w:rsidR="00AA47B7">
        <w:rPr>
          <w:lang w:eastAsia="en-AU"/>
        </w:rPr>
        <w:t>p</w:t>
      </w:r>
      <w:r w:rsidRPr="00276391">
        <w:rPr>
          <w:lang w:eastAsia="en-AU"/>
        </w:rPr>
        <w:t>lan</w:t>
      </w:r>
      <w:r w:rsidR="005D5532" w:rsidRPr="00276391">
        <w:rPr>
          <w:lang w:eastAsia="en-AU"/>
        </w:rPr>
        <w:t xml:space="preserve"> </w:t>
      </w:r>
      <w:r w:rsidRPr="00276391">
        <w:rPr>
          <w:lang w:eastAsia="en-AU"/>
        </w:rPr>
        <w:t>2015–19</w:t>
      </w:r>
      <w:r w:rsidR="005D5532" w:rsidRPr="00276391">
        <w:rPr>
          <w:lang w:eastAsia="en-AU"/>
        </w:rPr>
        <w:t xml:space="preserve"> </w:t>
      </w:r>
      <w:r w:rsidRPr="00276391">
        <w:rPr>
          <w:lang w:eastAsia="en-AU"/>
        </w:rPr>
        <w:t>Volume</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Volume</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overview)</w:t>
      </w:r>
      <w:r w:rsidR="005D5532" w:rsidRPr="00276391">
        <w:rPr>
          <w:lang w:eastAsia="en-AU"/>
        </w:rPr>
        <w:t xml:space="preserve"> </w:t>
      </w:r>
      <w:r w:rsidRPr="00276391">
        <w:rPr>
          <w:lang w:eastAsia="en-AU"/>
        </w:rPr>
        <w:t>refer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hyperlink r:id="rId15" w:history="1">
        <w:r w:rsidR="00AA47B7">
          <w:rPr>
            <w:rStyle w:val="Hyperlink"/>
            <w:lang w:eastAsia="en-AU"/>
          </w:rPr>
          <w:t>Human Services Policy and funding plan 2015–19 (Volume 3)</w:t>
        </w:r>
      </w:hyperlink>
      <w:r w:rsidR="005D5532" w:rsidRPr="00276391">
        <w:rPr>
          <w:lang w:eastAsia="en-AU"/>
        </w:rPr>
        <w:t xml:space="preserve"> </w:t>
      </w:r>
      <w:r w:rsidR="00F77AD4" w:rsidRPr="00F77AD4">
        <w:rPr>
          <w:rStyle w:val="Hyperlink"/>
          <w:color w:val="auto"/>
          <w:u w:val="none"/>
        </w:rPr>
        <w:t>&lt;</w:t>
      </w:r>
      <w:r w:rsidR="00B73DBE" w:rsidRPr="00B73DBE">
        <w:rPr>
          <w:rStyle w:val="Hyperlink"/>
          <w:color w:val="auto"/>
          <w:u w:val="none"/>
        </w:rPr>
        <w:t>https://dhhs.vic.gov.au/policy-and-funding-guidelines</w:t>
      </w:r>
      <w:r w:rsidR="00F77AD4" w:rsidRPr="00F77AD4">
        <w:rPr>
          <w:rStyle w:val="Hyperlink"/>
          <w:color w:val="auto"/>
          <w:u w:val="none"/>
        </w:rPr>
        <w:t>&gt;</w:t>
      </w:r>
      <w:r w:rsidR="0031612F" w:rsidRPr="00F77AD4">
        <w:t xml:space="preserve"> </w:t>
      </w:r>
      <w:r w:rsidRPr="00F77AD4">
        <w:t>(</w:t>
      </w:r>
      <w:r w:rsidR="001A0795" w:rsidRPr="00F77AD4">
        <w:t>external link, opens in a new window</w:t>
      </w:r>
      <w:r w:rsidRPr="00F77AD4">
        <w:t>).</w:t>
      </w:r>
    </w:p>
    <w:p w14:paraId="057BCA5C" w14:textId="77777777" w:rsidR="00236748" w:rsidRPr="00276391" w:rsidRDefault="00236748" w:rsidP="00276391">
      <w:pPr>
        <w:pStyle w:val="Heading3"/>
        <w:rPr>
          <w:lang w:eastAsia="en-AU"/>
        </w:rPr>
      </w:pPr>
      <w:bookmarkStart w:id="36" w:name="_Toc478991686"/>
      <w:bookmarkStart w:id="37" w:name="_Toc478992300"/>
      <w:bookmarkStart w:id="38" w:name="_Toc4141982"/>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bookmarkEnd w:id="36"/>
      <w:bookmarkEnd w:id="37"/>
      <w:bookmarkEnd w:id="38"/>
    </w:p>
    <w:p w14:paraId="790EDE5F" w14:textId="721088F0" w:rsidR="00236748" w:rsidRPr="00276391" w:rsidRDefault="0016341D" w:rsidP="00276391">
      <w:pPr>
        <w:pStyle w:val="DHHSbody"/>
        <w:rPr>
          <w:lang w:eastAsia="en-AU"/>
        </w:rPr>
      </w:pPr>
      <w:hyperlink r:id="rId16" w:tgtFrame="_blank" w:history="1">
        <w:r w:rsidR="00236748" w:rsidRPr="00AA47B7">
          <w:rPr>
            <w:rStyle w:val="Hyperlink"/>
            <w:rFonts w:cs="Arial"/>
            <w:szCs w:val="19"/>
            <w:lang w:eastAsia="en-AU"/>
          </w:rPr>
          <w:t>The</w:t>
        </w:r>
        <w:r w:rsidR="005D5532" w:rsidRPr="00AA47B7">
          <w:rPr>
            <w:rStyle w:val="Hyperlink"/>
            <w:rFonts w:cs="Arial"/>
            <w:szCs w:val="19"/>
            <w:lang w:eastAsia="en-AU"/>
          </w:rPr>
          <w:t xml:space="preserve"> </w:t>
        </w:r>
        <w:r w:rsidR="00DD49F0" w:rsidRPr="00AA47B7">
          <w:rPr>
            <w:rStyle w:val="Hyperlink"/>
            <w:rFonts w:cs="Arial"/>
            <w:szCs w:val="19"/>
            <w:lang w:eastAsia="en-AU"/>
          </w:rPr>
          <w:t xml:space="preserve">Department of Education and Training’s </w:t>
        </w:r>
        <w:r w:rsidR="00236748" w:rsidRPr="00AA47B7">
          <w:rPr>
            <w:rStyle w:val="Hyperlink"/>
          </w:rPr>
          <w:t>Early</w:t>
        </w:r>
        <w:r w:rsidR="005D5532" w:rsidRPr="00AA47B7">
          <w:rPr>
            <w:rStyle w:val="Hyperlink"/>
          </w:rPr>
          <w:t xml:space="preserve"> </w:t>
        </w:r>
        <w:r w:rsidR="00236748" w:rsidRPr="00AA47B7">
          <w:rPr>
            <w:rStyle w:val="Hyperlink"/>
          </w:rPr>
          <w:t>Childhood</w:t>
        </w:r>
        <w:r w:rsidR="005D5532" w:rsidRPr="00AA47B7">
          <w:rPr>
            <w:rStyle w:val="Hyperlink"/>
          </w:rPr>
          <w:t xml:space="preserve"> </w:t>
        </w:r>
        <w:r w:rsidR="00236748" w:rsidRPr="00AA47B7">
          <w:rPr>
            <w:rStyle w:val="Hyperlink"/>
          </w:rPr>
          <w:t>Programs</w:t>
        </w:r>
        <w:r w:rsidR="005D5532" w:rsidRPr="00AA47B7">
          <w:rPr>
            <w:rStyle w:val="Hyperlink"/>
          </w:rPr>
          <w:t xml:space="preserve"> </w:t>
        </w:r>
        <w:r w:rsidR="00236748" w:rsidRPr="00AA47B7">
          <w:rPr>
            <w:rStyle w:val="Hyperlink"/>
          </w:rPr>
          <w:t>and</w:t>
        </w:r>
        <w:r w:rsidR="005D5532" w:rsidRPr="00AA47B7">
          <w:rPr>
            <w:rStyle w:val="Hyperlink"/>
          </w:rPr>
          <w:t xml:space="preserve"> </w:t>
        </w:r>
        <w:r w:rsidR="00AA47B7" w:rsidRPr="00AA47B7">
          <w:rPr>
            <w:rStyle w:val="Hyperlink"/>
          </w:rPr>
          <w:t>s</w:t>
        </w:r>
        <w:r w:rsidR="00236748" w:rsidRPr="00AA47B7">
          <w:rPr>
            <w:rStyle w:val="Hyperlink"/>
          </w:rPr>
          <w:t>ervices</w:t>
        </w:r>
        <w:r w:rsidR="005D5532" w:rsidRPr="00AA47B7">
          <w:rPr>
            <w:rStyle w:val="Hyperlink"/>
          </w:rPr>
          <w:t xml:space="preserve"> </w:t>
        </w:r>
        <w:r w:rsidR="00AA47B7" w:rsidRPr="00AA47B7">
          <w:rPr>
            <w:rStyle w:val="Hyperlink"/>
          </w:rPr>
          <w:t>g</w:t>
        </w:r>
        <w:r w:rsidR="00236748" w:rsidRPr="00AA47B7">
          <w:rPr>
            <w:rStyle w:val="Hyperlink"/>
          </w:rPr>
          <w:t>uide</w:t>
        </w:r>
        <w:r w:rsidR="005D5532" w:rsidRPr="00AA47B7">
          <w:rPr>
            <w:rStyle w:val="Hyperlink"/>
          </w:rPr>
          <w:t xml:space="preserve"> </w:t>
        </w:r>
        <w:r w:rsidR="00236748" w:rsidRPr="00AA47B7">
          <w:rPr>
            <w:rStyle w:val="Hyperlink"/>
          </w:rPr>
          <w:t>2015</w:t>
        </w:r>
      </w:hyperlink>
      <w:r w:rsidR="00F77AD4">
        <w:rPr>
          <w:rStyle w:val="Hyperlink"/>
        </w:rPr>
        <w:t xml:space="preserve"> </w:t>
      </w:r>
      <w:r w:rsidR="00F77AD4" w:rsidRPr="00F77AD4">
        <w:t>&lt;http://www.education.vic.gov.au/childhood/providers/funding/Pages/devgroupprogguide.aspx&gt;</w:t>
      </w:r>
      <w:r w:rsidR="005D5532" w:rsidRPr="00F77AD4">
        <w:t xml:space="preserve"> </w:t>
      </w:r>
      <w:r w:rsidR="00236748" w:rsidRPr="00F77AD4">
        <w:t>(external</w:t>
      </w:r>
      <w:r w:rsidR="005D5532" w:rsidRPr="00B24C02">
        <w:rPr>
          <w:rFonts w:cs="Arial"/>
          <w:color w:val="000000"/>
          <w:szCs w:val="19"/>
          <w:lang w:eastAsia="en-AU"/>
        </w:rPr>
        <w:t xml:space="preserve"> </w:t>
      </w:r>
      <w:r w:rsidR="00236748" w:rsidRPr="00B24C02">
        <w:rPr>
          <w:rFonts w:cs="Arial"/>
          <w:color w:val="000000"/>
          <w:szCs w:val="19"/>
          <w:lang w:eastAsia="en-AU"/>
        </w:rPr>
        <w:t>link,</w:t>
      </w:r>
      <w:r w:rsidR="005D5532" w:rsidRPr="00B24C02">
        <w:rPr>
          <w:rFonts w:cs="Arial"/>
          <w:color w:val="000000"/>
          <w:szCs w:val="19"/>
          <w:lang w:eastAsia="en-AU"/>
        </w:rPr>
        <w:t xml:space="preserve"> </w:t>
      </w:r>
      <w:r w:rsidR="00236748" w:rsidRPr="00B24C02">
        <w:rPr>
          <w:rFonts w:cs="Arial"/>
          <w:color w:val="000000"/>
          <w:szCs w:val="19"/>
          <w:lang w:eastAsia="en-AU"/>
        </w:rPr>
        <w:t>opens</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a</w:t>
      </w:r>
      <w:r w:rsidR="005D5532" w:rsidRPr="00B24C02">
        <w:rPr>
          <w:rFonts w:cs="Arial"/>
          <w:color w:val="000000"/>
          <w:szCs w:val="19"/>
          <w:lang w:eastAsia="en-AU"/>
        </w:rPr>
        <w:t xml:space="preserve"> </w:t>
      </w:r>
      <w:r w:rsidR="00236748" w:rsidRPr="00B24C02">
        <w:rPr>
          <w:rFonts w:cs="Arial"/>
          <w:color w:val="000000"/>
          <w:szCs w:val="19"/>
          <w:lang w:eastAsia="en-AU"/>
        </w:rPr>
        <w:t>new</w:t>
      </w:r>
      <w:r w:rsidR="005D5532" w:rsidRPr="00B24C02">
        <w:rPr>
          <w:rFonts w:cs="Arial"/>
          <w:color w:val="000000"/>
          <w:szCs w:val="19"/>
          <w:lang w:eastAsia="en-AU"/>
        </w:rPr>
        <w:t xml:space="preserve"> </w:t>
      </w:r>
      <w:r w:rsidR="00236748" w:rsidRPr="00B24C02">
        <w:rPr>
          <w:rFonts w:cs="Arial"/>
          <w:color w:val="000000"/>
          <w:szCs w:val="19"/>
          <w:lang w:eastAsia="en-AU"/>
        </w:rPr>
        <w:t>window</w:t>
      </w:r>
      <w:r w:rsidR="00F373A1">
        <w:rPr>
          <w:rFonts w:cs="Arial"/>
          <w:color w:val="000000"/>
          <w:szCs w:val="19"/>
          <w:lang w:eastAsia="en-AU"/>
        </w:rPr>
        <w:t>) (</w:t>
      </w:r>
      <w:r w:rsidR="00AA47B7">
        <w:rPr>
          <w:rFonts w:cs="Arial"/>
          <w:color w:val="000000"/>
          <w:szCs w:val="19"/>
          <w:lang w:eastAsia="en-AU"/>
        </w:rPr>
        <w:t>the g</w:t>
      </w:r>
      <w:r w:rsidR="00236748" w:rsidRPr="00B24C02">
        <w:rPr>
          <w:rFonts w:cs="Arial"/>
          <w:color w:val="000000"/>
          <w:szCs w:val="19"/>
          <w:lang w:eastAsia="en-AU"/>
        </w:rPr>
        <w:t>uide)</w:t>
      </w:r>
      <w:r w:rsidR="005D5532" w:rsidRPr="00B24C02">
        <w:rPr>
          <w:rFonts w:cs="Arial"/>
          <w:color w:val="000000"/>
          <w:szCs w:val="19"/>
          <w:lang w:eastAsia="en-AU"/>
        </w:rPr>
        <w:t xml:space="preserve"> </w:t>
      </w:r>
      <w:r w:rsidR="00236748" w:rsidRPr="00B24C02">
        <w:rPr>
          <w:rFonts w:cs="Arial"/>
          <w:color w:val="000000"/>
          <w:szCs w:val="19"/>
          <w:lang w:eastAsia="en-AU"/>
        </w:rPr>
        <w:t>provides</w:t>
      </w:r>
      <w:r w:rsidR="005D5532" w:rsidRPr="00B24C02">
        <w:rPr>
          <w:rFonts w:cs="Arial"/>
          <w:color w:val="000000"/>
          <w:szCs w:val="19"/>
          <w:lang w:eastAsia="en-AU"/>
        </w:rPr>
        <w:t xml:space="preserve"> </w:t>
      </w:r>
      <w:r w:rsidR="00236748" w:rsidRPr="00B24C02">
        <w:rPr>
          <w:rFonts w:cs="Arial"/>
          <w:color w:val="000000"/>
          <w:szCs w:val="19"/>
          <w:lang w:eastAsia="en-AU"/>
        </w:rPr>
        <w:t>an</w:t>
      </w:r>
      <w:r w:rsidR="005D5532" w:rsidRPr="00B24C02">
        <w:rPr>
          <w:rFonts w:cs="Arial"/>
          <w:color w:val="000000"/>
          <w:szCs w:val="19"/>
          <w:lang w:eastAsia="en-AU"/>
        </w:rPr>
        <w:t xml:space="preserve"> </w:t>
      </w:r>
      <w:r w:rsidR="00236748" w:rsidRPr="00B24C02">
        <w:rPr>
          <w:rFonts w:cs="Arial"/>
          <w:color w:val="000000"/>
          <w:szCs w:val="19"/>
          <w:lang w:eastAsia="en-AU"/>
        </w:rPr>
        <w:t>overview</w:t>
      </w:r>
      <w:r w:rsidR="005D5532" w:rsidRPr="00B24C02">
        <w:rPr>
          <w:rFonts w:cs="Arial"/>
          <w:color w:val="000000"/>
          <w:szCs w:val="19"/>
          <w:lang w:eastAsia="en-AU"/>
        </w:rPr>
        <w:t xml:space="preserve"> </w:t>
      </w:r>
      <w:r w:rsidR="00236748" w:rsidRPr="00B24C02">
        <w:rPr>
          <w:rFonts w:cs="Arial"/>
          <w:color w:val="000000"/>
          <w:szCs w:val="19"/>
          <w:lang w:eastAsia="en-AU"/>
        </w:rPr>
        <w:t>of</w:t>
      </w:r>
      <w:r w:rsidR="005D5532" w:rsidRPr="00B24C02">
        <w:rPr>
          <w:rFonts w:cs="Arial"/>
          <w:color w:val="000000"/>
          <w:szCs w:val="19"/>
          <w:lang w:eastAsia="en-AU"/>
        </w:rPr>
        <w:t xml:space="preserve"> </w:t>
      </w:r>
      <w:r w:rsidR="00236748" w:rsidRPr="00B24C02">
        <w:rPr>
          <w:rFonts w:cs="Arial"/>
          <w:color w:val="000000"/>
          <w:szCs w:val="19"/>
          <w:lang w:eastAsia="en-AU"/>
        </w:rPr>
        <w:t>key</w:t>
      </w:r>
      <w:r w:rsidR="005D5532" w:rsidRPr="00B24C02">
        <w:rPr>
          <w:rFonts w:cs="Arial"/>
          <w:color w:val="000000"/>
          <w:szCs w:val="19"/>
          <w:lang w:eastAsia="en-AU"/>
        </w:rPr>
        <w:t xml:space="preserve"> </w:t>
      </w:r>
      <w:r w:rsidR="00236748" w:rsidRPr="00B24C02">
        <w:rPr>
          <w:rFonts w:cs="Arial"/>
          <w:color w:val="000000"/>
          <w:szCs w:val="19"/>
          <w:lang w:eastAsia="en-AU"/>
        </w:rPr>
        <w:t>programs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services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outlines</w:t>
      </w:r>
      <w:r w:rsidR="005D5532" w:rsidRPr="00B24C02">
        <w:rPr>
          <w:rFonts w:cs="Arial"/>
          <w:color w:val="000000"/>
          <w:szCs w:val="19"/>
          <w:lang w:eastAsia="en-AU"/>
        </w:rPr>
        <w:t xml:space="preserve"> </w:t>
      </w:r>
      <w:r w:rsidR="00236748" w:rsidRPr="00B24C02">
        <w:rPr>
          <w:rFonts w:cs="Arial"/>
          <w:color w:val="000000"/>
          <w:szCs w:val="19"/>
          <w:lang w:eastAsia="en-AU"/>
        </w:rPr>
        <w:t>service</w:t>
      </w:r>
      <w:r w:rsidR="005D5532" w:rsidRPr="00B24C02">
        <w:rPr>
          <w:rFonts w:cs="Arial"/>
          <w:color w:val="000000"/>
          <w:szCs w:val="19"/>
          <w:lang w:eastAsia="en-AU"/>
        </w:rPr>
        <w:t xml:space="preserve"> </w:t>
      </w:r>
      <w:r w:rsidR="00236748" w:rsidRPr="00B24C02">
        <w:rPr>
          <w:rFonts w:cs="Arial"/>
          <w:color w:val="000000"/>
          <w:szCs w:val="19"/>
          <w:lang w:eastAsia="en-AU"/>
        </w:rPr>
        <w:t>activities,</w:t>
      </w:r>
      <w:r w:rsidR="005D5532" w:rsidRPr="00B24C02">
        <w:rPr>
          <w:rFonts w:cs="Arial"/>
          <w:color w:val="000000"/>
          <w:szCs w:val="19"/>
          <w:lang w:eastAsia="en-AU"/>
        </w:rPr>
        <w:t xml:space="preserve"> </w:t>
      </w:r>
      <w:r w:rsidR="00236748" w:rsidRPr="00B24C02">
        <w:rPr>
          <w:rFonts w:cs="Arial"/>
          <w:color w:val="000000"/>
          <w:szCs w:val="19"/>
          <w:lang w:eastAsia="en-AU"/>
        </w:rPr>
        <w:t>performance</w:t>
      </w:r>
      <w:r w:rsidR="005D5532" w:rsidRPr="00B24C02">
        <w:rPr>
          <w:rFonts w:cs="Arial"/>
          <w:color w:val="000000"/>
          <w:szCs w:val="19"/>
          <w:lang w:eastAsia="en-AU"/>
        </w:rPr>
        <w:t xml:space="preserve"> </w:t>
      </w:r>
      <w:r w:rsidR="00236748" w:rsidRPr="00B24C02">
        <w:rPr>
          <w:rFonts w:cs="Arial"/>
          <w:color w:val="000000"/>
          <w:szCs w:val="19"/>
          <w:lang w:eastAsia="en-AU"/>
        </w:rPr>
        <w:t>measures,</w:t>
      </w:r>
      <w:r w:rsidR="005D5532" w:rsidRPr="00B24C02">
        <w:rPr>
          <w:rFonts w:cs="Arial"/>
          <w:color w:val="000000"/>
          <w:szCs w:val="19"/>
          <w:lang w:eastAsia="en-AU"/>
        </w:rPr>
        <w:t xml:space="preserve"> </w:t>
      </w:r>
      <w:r w:rsidR="00236748" w:rsidRPr="00B24C02">
        <w:rPr>
          <w:rFonts w:cs="Arial"/>
          <w:color w:val="000000"/>
          <w:szCs w:val="19"/>
          <w:lang w:eastAsia="en-AU"/>
        </w:rPr>
        <w:t>data</w:t>
      </w:r>
      <w:r w:rsidR="005D5532" w:rsidRPr="00B24C02">
        <w:rPr>
          <w:rFonts w:cs="Arial"/>
          <w:color w:val="000000"/>
          <w:szCs w:val="19"/>
          <w:lang w:eastAsia="en-AU"/>
        </w:rPr>
        <w:t xml:space="preserve"> </w:t>
      </w:r>
      <w:r w:rsidR="00236748" w:rsidRPr="00B24C02">
        <w:rPr>
          <w:rFonts w:cs="Arial"/>
          <w:color w:val="000000"/>
          <w:szCs w:val="19"/>
          <w:lang w:eastAsia="en-AU"/>
        </w:rPr>
        <w:t>collection</w:t>
      </w:r>
      <w:r w:rsidR="005D5532" w:rsidRPr="00B24C02">
        <w:rPr>
          <w:rFonts w:cs="Arial"/>
          <w:color w:val="000000"/>
          <w:szCs w:val="19"/>
          <w:lang w:eastAsia="en-AU"/>
        </w:rPr>
        <w:t xml:space="preserve"> </w:t>
      </w:r>
      <w:r w:rsidR="00236748" w:rsidRPr="00B24C02">
        <w:rPr>
          <w:rFonts w:cs="Arial"/>
          <w:color w:val="000000"/>
          <w:szCs w:val="19"/>
          <w:lang w:eastAsia="en-AU"/>
        </w:rPr>
        <w:t>requirements,</w:t>
      </w:r>
      <w:r w:rsidR="005D5532" w:rsidRPr="00B24C02">
        <w:rPr>
          <w:rFonts w:cs="Arial"/>
          <w:color w:val="000000"/>
          <w:szCs w:val="19"/>
          <w:lang w:eastAsia="en-AU"/>
        </w:rPr>
        <w:t xml:space="preserve"> </w:t>
      </w:r>
      <w:r w:rsidR="00236748" w:rsidRPr="00B24C02">
        <w:rPr>
          <w:rFonts w:cs="Arial"/>
          <w:color w:val="000000"/>
          <w:szCs w:val="19"/>
          <w:lang w:eastAsia="en-AU"/>
        </w:rPr>
        <w:t>service</w:t>
      </w:r>
      <w:r w:rsidR="005D5532" w:rsidRPr="00B24C02">
        <w:rPr>
          <w:rFonts w:cs="Arial"/>
          <w:color w:val="000000"/>
          <w:szCs w:val="19"/>
          <w:lang w:eastAsia="en-AU"/>
        </w:rPr>
        <w:t xml:space="preserve"> </w:t>
      </w:r>
      <w:r w:rsidR="00236748" w:rsidRPr="00B24C02">
        <w:rPr>
          <w:rFonts w:cs="Arial"/>
          <w:color w:val="000000"/>
          <w:szCs w:val="19"/>
          <w:lang w:eastAsia="en-AU"/>
        </w:rPr>
        <w:t>standards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guidelines.</w:t>
      </w:r>
      <w:r w:rsidR="005D5532" w:rsidRPr="00B24C02">
        <w:rPr>
          <w:rFonts w:cs="Arial"/>
          <w:color w:val="000000"/>
          <w:szCs w:val="19"/>
          <w:lang w:eastAsia="en-AU"/>
        </w:rPr>
        <w:t xml:space="preserve"> </w:t>
      </w:r>
      <w:r w:rsidR="00236748" w:rsidRPr="00B24C02">
        <w:rPr>
          <w:rFonts w:cs="Arial"/>
          <w:color w:val="000000"/>
          <w:szCs w:val="19"/>
          <w:lang w:eastAsia="en-AU"/>
        </w:rPr>
        <w:t>It</w:t>
      </w:r>
      <w:r w:rsidR="005D5532" w:rsidRPr="00B24C02">
        <w:rPr>
          <w:rFonts w:cs="Arial"/>
          <w:color w:val="000000"/>
          <w:szCs w:val="19"/>
          <w:lang w:eastAsia="en-AU"/>
        </w:rPr>
        <w:t xml:space="preserve"> </w:t>
      </w:r>
      <w:r w:rsidR="00236748" w:rsidRPr="00B24C02">
        <w:rPr>
          <w:rFonts w:cs="Arial"/>
          <w:color w:val="000000"/>
          <w:szCs w:val="19"/>
          <w:lang w:eastAsia="en-AU"/>
        </w:rPr>
        <w:t>is</w:t>
      </w:r>
      <w:r w:rsidR="005D5532" w:rsidRPr="00B24C02">
        <w:rPr>
          <w:rFonts w:cs="Arial"/>
          <w:color w:val="000000"/>
          <w:szCs w:val="19"/>
          <w:lang w:eastAsia="en-AU"/>
        </w:rPr>
        <w:t xml:space="preserve"> </w:t>
      </w:r>
      <w:r w:rsidR="00236748" w:rsidRPr="00B24C02">
        <w:rPr>
          <w:rFonts w:cs="Arial"/>
          <w:color w:val="000000"/>
          <w:szCs w:val="19"/>
          <w:lang w:eastAsia="en-AU"/>
        </w:rPr>
        <w:t>designed</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assist</w:t>
      </w:r>
      <w:r w:rsidR="005D5532" w:rsidRPr="00B24C02">
        <w:rPr>
          <w:rFonts w:cs="Arial"/>
          <w:color w:val="000000"/>
          <w:szCs w:val="19"/>
          <w:lang w:eastAsia="en-AU"/>
        </w:rPr>
        <w:t xml:space="preserve"> </w:t>
      </w:r>
      <w:r w:rsidR="00236748" w:rsidRPr="00B24C02">
        <w:rPr>
          <w:rFonts w:cs="Arial"/>
          <w:color w:val="000000"/>
          <w:szCs w:val="19"/>
          <w:lang w:eastAsia="en-AU"/>
        </w:rPr>
        <w:t>organisations</w:t>
      </w:r>
      <w:r w:rsidR="005D5532" w:rsidRPr="00B24C02">
        <w:rPr>
          <w:rFonts w:cs="Arial"/>
          <w:color w:val="000000"/>
          <w:szCs w:val="19"/>
          <w:lang w:eastAsia="en-AU"/>
        </w:rPr>
        <w:t xml:space="preserve"> </w:t>
      </w:r>
      <w:r w:rsidR="00236748" w:rsidRPr="00B24C02">
        <w:rPr>
          <w:rFonts w:cs="Arial"/>
          <w:color w:val="000000"/>
          <w:szCs w:val="19"/>
          <w:lang w:eastAsia="en-AU"/>
        </w:rPr>
        <w:t>funded</w:t>
      </w:r>
      <w:r w:rsidR="005D5532" w:rsidRPr="00B24C02">
        <w:rPr>
          <w:rFonts w:cs="Arial"/>
          <w:color w:val="000000"/>
          <w:szCs w:val="19"/>
          <w:lang w:eastAsia="en-AU"/>
        </w:rPr>
        <w:t xml:space="preserve"> </w:t>
      </w:r>
      <w:r w:rsidR="00236748" w:rsidRPr="00B24C02">
        <w:rPr>
          <w:rFonts w:cs="Arial"/>
          <w:color w:val="000000"/>
          <w:szCs w:val="19"/>
          <w:lang w:eastAsia="en-AU"/>
        </w:rPr>
        <w:t>by</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AA47B7">
        <w:rPr>
          <w:rFonts w:cs="Arial"/>
          <w:color w:val="000000"/>
          <w:szCs w:val="19"/>
          <w:lang w:eastAsia="en-AU"/>
        </w:rPr>
        <w:t>d</w:t>
      </w:r>
      <w:r w:rsidR="00236748" w:rsidRPr="00B24C02">
        <w:rPr>
          <w:rFonts w:cs="Arial"/>
          <w:color w:val="000000"/>
          <w:szCs w:val="19"/>
          <w:lang w:eastAsia="en-AU"/>
        </w:rPr>
        <w:t>epartment.</w:t>
      </w:r>
    </w:p>
    <w:p w14:paraId="4A75D022" w14:textId="5B76F8E1" w:rsidR="00236748" w:rsidRPr="00276391" w:rsidRDefault="00236748" w:rsidP="00276391">
      <w:pPr>
        <w:pStyle w:val="DHHSbody"/>
        <w:rPr>
          <w:lang w:eastAsia="en-AU"/>
        </w:rPr>
      </w:pPr>
      <w:r w:rsidRPr="00276391">
        <w:rPr>
          <w:lang w:eastAsia="en-AU"/>
        </w:rPr>
        <w:lastRenderedPageBreak/>
        <w:t>Th</w:t>
      </w:r>
      <w:r w:rsidR="00530834">
        <w:rPr>
          <w:lang w:eastAsia="en-AU"/>
        </w:rPr>
        <w:t>e</w:t>
      </w:r>
      <w:r w:rsidR="005D5532" w:rsidRPr="00276391">
        <w:rPr>
          <w:lang w:eastAsia="en-AU"/>
        </w:rPr>
        <w:t xml:space="preserve"> </w:t>
      </w:r>
      <w:r w:rsidR="00AA47B7">
        <w:rPr>
          <w:lang w:eastAsia="en-AU"/>
        </w:rPr>
        <w:t>g</w:t>
      </w:r>
      <w:r w:rsidRPr="00276391">
        <w:rPr>
          <w:lang w:eastAsia="en-AU"/>
        </w:rPr>
        <w:t>uide</w:t>
      </w:r>
      <w:r w:rsidR="005D5532" w:rsidRPr="00276391">
        <w:rPr>
          <w:lang w:eastAsia="en-AU"/>
        </w:rPr>
        <w:t xml:space="preserve"> </w:t>
      </w:r>
      <w:r w:rsidR="00530834">
        <w:rPr>
          <w:lang w:eastAsia="en-AU"/>
        </w:rPr>
        <w:t>is</w:t>
      </w:r>
      <w:r w:rsidR="005D5532" w:rsidRPr="00276391">
        <w:rPr>
          <w:lang w:eastAsia="en-AU"/>
        </w:rPr>
        <w:t xml:space="preserve"> </w:t>
      </w:r>
      <w:r w:rsidRPr="00276391">
        <w:rPr>
          <w:lang w:eastAsia="en-AU"/>
        </w:rPr>
        <w:t>reviewed</w:t>
      </w:r>
      <w:r w:rsidR="005D5532" w:rsidRPr="00276391">
        <w:rPr>
          <w:lang w:eastAsia="en-AU"/>
        </w:rPr>
        <w:t xml:space="preserve"> </w:t>
      </w:r>
      <w:r w:rsidRPr="00276391">
        <w:rPr>
          <w:lang w:eastAsia="en-AU"/>
        </w:rPr>
        <w:t>annually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updates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p>
    <w:p w14:paraId="24BE784D" w14:textId="5F87A07A" w:rsidR="00236748" w:rsidRPr="00276391" w:rsidRDefault="00236748" w:rsidP="009B2351">
      <w:pPr>
        <w:pStyle w:val="Heading2"/>
        <w:rPr>
          <w:rFonts w:cs="Arial"/>
          <w:lang w:eastAsia="en-AU"/>
        </w:rPr>
      </w:pPr>
      <w:bookmarkStart w:id="39" w:name="_1.4_Funded_agency"/>
      <w:bookmarkStart w:id="40" w:name="_Toc478991688"/>
      <w:bookmarkStart w:id="41" w:name="_Toc478992301"/>
      <w:bookmarkStart w:id="42" w:name="_Toc478992872"/>
      <w:bookmarkStart w:id="43" w:name="_Toc4141983"/>
      <w:bookmarkEnd w:id="39"/>
      <w:r w:rsidRPr="00276391">
        <w:rPr>
          <w:rFonts w:cs="Arial"/>
          <w:lang w:eastAsia="en-AU"/>
        </w:rPr>
        <w:t>1.4</w:t>
      </w:r>
      <w:r w:rsidR="009B2351" w:rsidRPr="00276391">
        <w:rPr>
          <w:rFonts w:cs="Arial"/>
          <w:lang w:eastAsia="en-AU"/>
        </w:rPr>
        <w:t xml:space="preserve"> </w:t>
      </w:r>
      <w:r w:rsidR="00296DCA">
        <w:rPr>
          <w:rFonts w:cs="Arial"/>
          <w:lang w:eastAsia="en-AU"/>
        </w:rPr>
        <w:t>Funded agency channel</w:t>
      </w:r>
      <w:bookmarkEnd w:id="40"/>
      <w:bookmarkEnd w:id="41"/>
      <w:bookmarkEnd w:id="42"/>
      <w:bookmarkEnd w:id="43"/>
    </w:p>
    <w:p w14:paraId="3A19F48B" w14:textId="40E5A8E3" w:rsidR="00236748" w:rsidRPr="00276391" w:rsidRDefault="00236748" w:rsidP="001F3EA7">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hyperlink r:id="rId17" w:tgtFrame="_blank" w:tooltip="Link to the Funded Agency Channel" w:history="1">
        <w:r w:rsidR="00296DCA">
          <w:rPr>
            <w:rStyle w:val="Hyperlink"/>
          </w:rPr>
          <w:t>Funded agency channel</w:t>
        </w:r>
        <w:r w:rsidR="005D5532" w:rsidRPr="00C94233">
          <w:rPr>
            <w:rStyle w:val="Hyperlink"/>
          </w:rPr>
          <w:t xml:space="preserve"> </w:t>
        </w:r>
        <w:r w:rsidRPr="00C94233">
          <w:rPr>
            <w:rStyle w:val="Hyperlink"/>
          </w:rPr>
          <w:t>(FAC)</w:t>
        </w:r>
      </w:hyperlink>
      <w:r w:rsidR="001F3EA7">
        <w:rPr>
          <w:rStyle w:val="Hyperlink"/>
        </w:rPr>
        <w:t xml:space="preserve"> </w:t>
      </w:r>
      <w:r w:rsidR="004761F4">
        <w:t>&lt;</w:t>
      </w:r>
      <w:r w:rsidR="004761F4" w:rsidRPr="004761F4">
        <w:t>https://fac.dhhs.vic.gov.au</w:t>
      </w:r>
      <w:r w:rsidR="001F3EA7">
        <w:t>&gt;</w:t>
      </w:r>
      <w:r w:rsidR="005D5532" w:rsidRPr="00B24C02">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website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supports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partnership</w:t>
      </w:r>
      <w:r w:rsidR="005D5532" w:rsidRPr="00B24C02">
        <w:rPr>
          <w:rFonts w:cs="Arial"/>
          <w:color w:val="000000"/>
          <w:szCs w:val="19"/>
          <w:lang w:eastAsia="en-AU"/>
        </w:rPr>
        <w:t xml:space="preserve"> </w:t>
      </w:r>
      <w:r w:rsidRPr="00B24C02">
        <w:rPr>
          <w:rFonts w:cs="Arial"/>
          <w:color w:val="000000"/>
          <w:szCs w:val="19"/>
          <w:lang w:eastAsia="en-AU"/>
        </w:rPr>
        <w:t>relationship</w:t>
      </w:r>
      <w:r w:rsidR="005D5532" w:rsidRPr="00B24C02">
        <w:rPr>
          <w:rFonts w:cs="Arial"/>
          <w:color w:val="000000"/>
          <w:szCs w:val="19"/>
          <w:lang w:eastAsia="en-AU"/>
        </w:rPr>
        <w:t xml:space="preserve"> </w:t>
      </w:r>
      <w:r w:rsidRPr="00B24C02">
        <w:rPr>
          <w:rFonts w:cs="Arial"/>
          <w:color w:val="000000"/>
          <w:szCs w:val="19"/>
          <w:lang w:eastAsia="en-AU"/>
        </w:rPr>
        <w:t>between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AB765B">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Education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Training</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approximately</w:t>
      </w:r>
      <w:r w:rsidR="005D5532" w:rsidRPr="00B24C02">
        <w:rPr>
          <w:rFonts w:cs="Arial"/>
          <w:color w:val="000000"/>
          <w:szCs w:val="19"/>
          <w:lang w:eastAsia="en-AU"/>
        </w:rPr>
        <w:t xml:space="preserve"> </w:t>
      </w:r>
      <w:r w:rsidRPr="00B24C02">
        <w:rPr>
          <w:rFonts w:cs="Arial"/>
          <w:color w:val="000000"/>
          <w:szCs w:val="19"/>
          <w:lang w:eastAsia="en-AU"/>
        </w:rPr>
        <w:t>3</w:t>
      </w:r>
      <w:r w:rsidR="00AB765B">
        <w:rPr>
          <w:rFonts w:cs="Arial"/>
          <w:color w:val="000000"/>
          <w:szCs w:val="19"/>
          <w:lang w:eastAsia="en-AU"/>
        </w:rPr>
        <w:t>,</w:t>
      </w:r>
      <w:r w:rsidRPr="00B24C02">
        <w:rPr>
          <w:rFonts w:cs="Arial"/>
          <w:color w:val="000000"/>
          <w:szCs w:val="19"/>
          <w:lang w:eastAsia="en-AU"/>
        </w:rPr>
        <w:t>000</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00AA47B7">
        <w:rPr>
          <w:rFonts w:cs="Arial"/>
          <w:color w:val="000000"/>
          <w:szCs w:val="19"/>
          <w:lang w:eastAsia="en-AU"/>
        </w:rPr>
        <w:t xml:space="preserve">which </w:t>
      </w:r>
      <w:r w:rsidR="00AB765B">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fund</w:t>
      </w:r>
      <w:r w:rsidR="00AB765B">
        <w:rPr>
          <w:rFonts w:cs="Arial"/>
          <w:color w:val="000000"/>
          <w:szCs w:val="19"/>
          <w:lang w:eastAsia="en-AU"/>
        </w:rPr>
        <w:t>.</w:t>
      </w:r>
    </w:p>
    <w:p w14:paraId="10C758C8" w14:textId="4A7FCED6" w:rsidR="00236748" w:rsidRPr="00276391" w:rsidRDefault="003A4FAD" w:rsidP="00276391">
      <w:pPr>
        <w:pStyle w:val="DHHSbody"/>
        <w:rPr>
          <w:lang w:eastAsia="en-AU"/>
        </w:rPr>
      </w:pPr>
      <w:r>
        <w:rPr>
          <w:lang w:eastAsia="en-AU"/>
        </w:rPr>
        <w:t xml:space="preserve">My Agency is the secure area of the </w:t>
      </w:r>
      <w:r w:rsidR="00236748" w:rsidRPr="00276391">
        <w:rPr>
          <w:lang w:eastAsia="en-AU"/>
        </w:rPr>
        <w:t>FAC</w:t>
      </w:r>
      <w:r>
        <w:rPr>
          <w:lang w:eastAsia="en-AU"/>
        </w:rPr>
        <w:t xml:space="preserve"> website and is only accessible to registered users. It</w:t>
      </w:r>
      <w:r w:rsidR="005D5532" w:rsidRPr="00276391">
        <w:rPr>
          <w:lang w:eastAsia="en-AU"/>
        </w:rPr>
        <w:t xml:space="preserve"> </w:t>
      </w:r>
      <w:r w:rsidR="00236748" w:rsidRPr="00276391">
        <w:rPr>
          <w:lang w:eastAsia="en-AU"/>
        </w:rPr>
        <w:t>provides</w:t>
      </w:r>
      <w:r w:rsidR="005D5532" w:rsidRPr="00276391">
        <w:rPr>
          <w:lang w:eastAsia="en-AU"/>
        </w:rPr>
        <w:t xml:space="preserve"> </w:t>
      </w:r>
      <w:r w:rsidR="00236748" w:rsidRPr="00276391">
        <w:rPr>
          <w:lang w:eastAsia="en-AU"/>
        </w:rPr>
        <w:t>quick</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easy</w:t>
      </w:r>
      <w:r w:rsidR="005D5532" w:rsidRPr="00276391">
        <w:rPr>
          <w:lang w:eastAsia="en-AU"/>
        </w:rPr>
        <w:t xml:space="preserve"> </w:t>
      </w:r>
      <w:r w:rsidR="00236748" w:rsidRPr="00276391">
        <w:rPr>
          <w:lang w:eastAsia="en-AU"/>
        </w:rPr>
        <w:t>access</w:t>
      </w:r>
      <w:r w:rsidR="005D5532" w:rsidRPr="00276391">
        <w:rPr>
          <w:lang w:eastAsia="en-AU"/>
        </w:rPr>
        <w:t xml:space="preserve"> </w:t>
      </w:r>
      <w:r w:rsidR="00236748" w:rsidRPr="00276391">
        <w:rPr>
          <w:lang w:eastAsia="en-AU"/>
        </w:rPr>
        <w:t>to</w:t>
      </w:r>
      <w:r w:rsidR="005D5532" w:rsidRPr="00276391">
        <w:rPr>
          <w:lang w:eastAsia="en-AU"/>
        </w:rPr>
        <w:t xml:space="preserve"> </w:t>
      </w:r>
      <w:r w:rsidR="009B3052">
        <w:rPr>
          <w:lang w:eastAsia="en-AU"/>
        </w:rPr>
        <w:t>Service agreement</w:t>
      </w:r>
      <w:r w:rsidR="00236748" w:rsidRPr="00276391">
        <w:rPr>
          <w:lang w:eastAsia="en-AU"/>
        </w:rPr>
        <w:t>s</w:t>
      </w:r>
      <w:r w:rsidR="00663727">
        <w:rPr>
          <w:lang w:eastAsia="en-AU"/>
        </w:rPr>
        <w:t xml:space="preserve">, </w:t>
      </w:r>
      <w:r w:rsidR="00236748" w:rsidRPr="00276391">
        <w:rPr>
          <w:lang w:eastAsia="en-AU"/>
        </w:rPr>
        <w:t>supporting</w:t>
      </w:r>
      <w:r w:rsidR="005D5532" w:rsidRPr="00276391">
        <w:rPr>
          <w:lang w:eastAsia="en-AU"/>
        </w:rPr>
        <w:t xml:space="preserve"> </w:t>
      </w:r>
      <w:r w:rsidR="00236748" w:rsidRPr="00276391">
        <w:rPr>
          <w:lang w:eastAsia="en-AU"/>
        </w:rPr>
        <w:t>information</w:t>
      </w:r>
      <w:r w:rsidR="00663727">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business</w:t>
      </w:r>
      <w:r w:rsidR="005D5532" w:rsidRPr="00276391">
        <w:rPr>
          <w:lang w:eastAsia="en-AU"/>
        </w:rPr>
        <w:t xml:space="preserve"> </w:t>
      </w:r>
      <w:r w:rsidR="00236748" w:rsidRPr="00276391">
        <w:rPr>
          <w:lang w:eastAsia="en-AU"/>
        </w:rPr>
        <w:t>processes</w:t>
      </w:r>
      <w:r w:rsidR="005D5532" w:rsidRPr="00276391">
        <w:rPr>
          <w:lang w:eastAsia="en-AU"/>
        </w:rPr>
        <w:t xml:space="preserve"> </w:t>
      </w:r>
      <w:r w:rsidR="00236748" w:rsidRPr="00276391">
        <w:rPr>
          <w:lang w:eastAsia="en-AU"/>
        </w:rPr>
        <w:t>that</w:t>
      </w:r>
      <w:r w:rsidR="005D5532" w:rsidRPr="00276391">
        <w:rPr>
          <w:lang w:eastAsia="en-AU"/>
        </w:rPr>
        <w:t xml:space="preserve"> </w:t>
      </w:r>
      <w:r w:rsidR="00236748" w:rsidRPr="00276391">
        <w:rPr>
          <w:lang w:eastAsia="en-AU"/>
        </w:rPr>
        <w:t>enable</w:t>
      </w:r>
      <w:r w:rsidR="005D5532" w:rsidRPr="00276391">
        <w:rPr>
          <w:lang w:eastAsia="en-AU"/>
        </w:rPr>
        <w:t xml:space="preserve"> </w:t>
      </w:r>
      <w:r w:rsidR="00236748" w:rsidRPr="00276391">
        <w:rPr>
          <w:lang w:eastAsia="en-AU"/>
        </w:rPr>
        <w:t>organisations</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departments</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deliver</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partnership</w:t>
      </w:r>
      <w:r w:rsidR="005D5532" w:rsidRPr="00276391">
        <w:rPr>
          <w:lang w:eastAsia="en-AU"/>
        </w:rPr>
        <w:t xml:space="preserve"> </w:t>
      </w:r>
      <w:r w:rsidR="00236748" w:rsidRPr="00276391">
        <w:rPr>
          <w:lang w:eastAsia="en-AU"/>
        </w:rPr>
        <w:t>initiatives.</w:t>
      </w:r>
    </w:p>
    <w:p w14:paraId="64F68FD8" w14:textId="77777777" w:rsidR="00236748" w:rsidRPr="00276391" w:rsidRDefault="00236748" w:rsidP="00276391">
      <w:pPr>
        <w:pStyle w:val="DHHSbody"/>
        <w:spacing w:before="240"/>
        <w:rPr>
          <w:lang w:eastAsia="en-AU"/>
        </w:rPr>
      </w:pPr>
      <w:r w:rsidRPr="00B24C02">
        <w:rPr>
          <w:rFonts w:cs="Arial"/>
          <w:color w:val="000000"/>
          <w:szCs w:val="19"/>
          <w:lang w:eastAsia="en-AU"/>
        </w:rPr>
        <w:t>FAC</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access</w:t>
      </w:r>
      <w:r w:rsidR="005D5532" w:rsidRPr="00B24C02">
        <w:rPr>
          <w:rFonts w:cs="Arial"/>
          <w:color w:val="000000"/>
          <w:szCs w:val="19"/>
          <w:lang w:eastAsia="en-AU"/>
        </w:rPr>
        <w:t xml:space="preserve"> </w:t>
      </w:r>
      <w:r w:rsidRPr="00B24C02">
        <w:rPr>
          <w:rFonts w:cs="Arial"/>
          <w:color w:val="000000"/>
          <w:szCs w:val="19"/>
          <w:lang w:eastAsia="en-AU"/>
        </w:rPr>
        <w:t>to:</w:t>
      </w:r>
    </w:p>
    <w:p w14:paraId="61F94F1F" w14:textId="30130AD2" w:rsidR="00236748" w:rsidRPr="00276391" w:rsidRDefault="00236748" w:rsidP="00276391">
      <w:pPr>
        <w:pStyle w:val="DHHSbullet1"/>
        <w:rPr>
          <w:rFonts w:cs="Arial"/>
          <w:lang w:eastAsia="en-AU"/>
        </w:rPr>
      </w:pPr>
      <w:r w:rsidRPr="00276391">
        <w:rPr>
          <w:rFonts w:cs="Arial"/>
          <w:lang w:eastAsia="en-AU"/>
        </w:rPr>
        <w:t>an</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payment</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Pr="00276391">
        <w:rPr>
          <w:rFonts w:cs="Arial"/>
          <w:lang w:eastAsia="en-AU"/>
        </w:rPr>
        <w:t>invoices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progress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variations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p>
    <w:p w14:paraId="345D498E" w14:textId="4FA6FEF0" w:rsidR="00236748" w:rsidRPr="00276391" w:rsidRDefault="00236748" w:rsidP="00276391">
      <w:pPr>
        <w:pStyle w:val="DHHSbullet1"/>
        <w:rPr>
          <w:rFonts w:cs="Arial"/>
          <w:lang w:eastAsia="en-AU"/>
        </w:rPr>
      </w:pPr>
      <w:r w:rsidRPr="00276391">
        <w:rPr>
          <w:rFonts w:cs="Arial"/>
          <w:lang w:eastAsia="en-AU"/>
        </w:rPr>
        <w:t>an</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current,</w:t>
      </w:r>
      <w:r w:rsidR="005D5532" w:rsidRPr="00276391">
        <w:rPr>
          <w:rFonts w:cs="Arial"/>
          <w:lang w:eastAsia="en-AU"/>
        </w:rPr>
        <w:t xml:space="preserve"> </w:t>
      </w:r>
      <w:r w:rsidRPr="00276391">
        <w:rPr>
          <w:rFonts w:cs="Arial"/>
          <w:lang w:eastAsia="en-AU"/>
        </w:rPr>
        <w:t>future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previous</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years</w:t>
      </w:r>
      <w:r w:rsidR="005D5532" w:rsidRPr="00276391">
        <w:rPr>
          <w:rFonts w:cs="Arial"/>
          <w:lang w:eastAsia="en-AU"/>
        </w:rPr>
        <w:t xml:space="preserve"> </w:t>
      </w:r>
    </w:p>
    <w:p w14:paraId="79DB98A3" w14:textId="77777777" w:rsidR="00236748" w:rsidRPr="00276391" w:rsidRDefault="00236748" w:rsidP="00276391">
      <w:pPr>
        <w:pStyle w:val="DHHSbullet1"/>
        <w:rPr>
          <w:rFonts w:cs="Arial"/>
          <w:lang w:eastAsia="en-AU"/>
        </w:rPr>
      </w:pPr>
      <w:r w:rsidRPr="00276391">
        <w:rPr>
          <w:rFonts w:cs="Arial"/>
          <w:lang w:eastAsia="en-AU"/>
        </w:rPr>
        <w:t>complet</w:t>
      </w:r>
      <w:r w:rsidR="00663727">
        <w:rPr>
          <w:rFonts w:cs="Arial"/>
          <w:lang w:eastAsia="en-AU"/>
        </w:rPr>
        <w:t>e</w:t>
      </w:r>
      <w:r w:rsidR="005D5532" w:rsidRPr="00276391">
        <w:rPr>
          <w:rFonts w:cs="Arial"/>
          <w:lang w:eastAsia="en-AU"/>
        </w:rPr>
        <w:t xml:space="preserve"> </w:t>
      </w:r>
      <w:r w:rsidRPr="00276391">
        <w:rPr>
          <w:rFonts w:cs="Arial"/>
          <w:lang w:eastAsia="en-AU"/>
        </w:rPr>
        <w:t>compliance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delivery</w:t>
      </w:r>
      <w:r w:rsidR="005D5532" w:rsidRPr="00276391">
        <w:rPr>
          <w:rFonts w:cs="Arial"/>
          <w:lang w:eastAsia="en-AU"/>
        </w:rPr>
        <w:t xml:space="preserve"> </w:t>
      </w:r>
      <w:r w:rsidRPr="00276391">
        <w:rPr>
          <w:rFonts w:cs="Arial"/>
          <w:lang w:eastAsia="en-AU"/>
        </w:rPr>
        <w:t>tracking</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online</w:t>
      </w:r>
      <w:r w:rsidR="005D5532" w:rsidRPr="00276391">
        <w:rPr>
          <w:rFonts w:cs="Arial"/>
          <w:lang w:eastAsia="en-AU"/>
        </w:rPr>
        <w:t xml:space="preserve"> </w:t>
      </w:r>
    </w:p>
    <w:p w14:paraId="787B8D10" w14:textId="77777777" w:rsidR="00236748" w:rsidRPr="00276391" w:rsidRDefault="00236748" w:rsidP="00276391">
      <w:pPr>
        <w:pStyle w:val="DHHSbullet1"/>
        <w:rPr>
          <w:rFonts w:cs="Arial"/>
          <w:lang w:eastAsia="en-AU"/>
        </w:rPr>
      </w:pPr>
      <w:r w:rsidRPr="00276391">
        <w:rPr>
          <w:rFonts w:cs="Arial"/>
          <w:lang w:eastAsia="en-AU"/>
        </w:rPr>
        <w:t>performance</w:t>
      </w:r>
      <w:r w:rsidR="005D5532" w:rsidRPr="00276391">
        <w:rPr>
          <w:rFonts w:cs="Arial"/>
          <w:lang w:eastAsia="en-AU"/>
        </w:rPr>
        <w:t xml:space="preserve"> </w:t>
      </w:r>
      <w:r w:rsidRPr="00276391">
        <w:rPr>
          <w:rFonts w:cs="Arial"/>
          <w:lang w:eastAsia="en-AU"/>
        </w:rPr>
        <w:t>reports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activities</w:t>
      </w:r>
      <w:r w:rsidR="005D5532" w:rsidRPr="00276391">
        <w:rPr>
          <w:rFonts w:cs="Arial"/>
          <w:lang w:eastAsia="en-AU"/>
        </w:rPr>
        <w:t xml:space="preserve"> </w:t>
      </w:r>
    </w:p>
    <w:p w14:paraId="36DF95B9" w14:textId="77777777" w:rsidR="00236748" w:rsidRPr="00276391" w:rsidRDefault="00236748" w:rsidP="00276391">
      <w:pPr>
        <w:pStyle w:val="DHHSbullet1"/>
        <w:rPr>
          <w:rFonts w:cs="Arial"/>
          <w:lang w:eastAsia="en-AU"/>
        </w:rPr>
      </w:pPr>
      <w:r w:rsidRPr="00276391">
        <w:rPr>
          <w:rFonts w:cs="Arial"/>
          <w:lang w:eastAsia="en-AU"/>
        </w:rPr>
        <w:t>department</w:t>
      </w:r>
      <w:r w:rsidR="005D5532" w:rsidRPr="00276391">
        <w:rPr>
          <w:rFonts w:cs="Arial"/>
          <w:lang w:eastAsia="en-AU"/>
        </w:rPr>
        <w:t xml:space="preserve"> </w:t>
      </w:r>
      <w:r w:rsidRPr="00276391">
        <w:rPr>
          <w:rFonts w:cs="Arial"/>
          <w:lang w:eastAsia="en-AU"/>
        </w:rPr>
        <w:t>policies,</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guidelines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relevant</w:t>
      </w:r>
      <w:r w:rsidR="005D5532" w:rsidRPr="00276391">
        <w:rPr>
          <w:rFonts w:cs="Arial"/>
          <w:lang w:eastAsia="en-AU"/>
        </w:rPr>
        <w:t xml:space="preserve"> </w:t>
      </w:r>
      <w:r w:rsidRPr="00276391">
        <w:rPr>
          <w:rFonts w:cs="Arial"/>
          <w:lang w:eastAsia="en-AU"/>
        </w:rPr>
        <w:t>legislation</w:t>
      </w:r>
      <w:r w:rsidR="005D5532" w:rsidRPr="00276391">
        <w:rPr>
          <w:rFonts w:cs="Arial"/>
          <w:lang w:eastAsia="en-AU"/>
        </w:rPr>
        <w:t xml:space="preserve"> </w:t>
      </w:r>
    </w:p>
    <w:p w14:paraId="3A7FBE3D" w14:textId="77777777" w:rsidR="00236748" w:rsidRPr="00276391" w:rsidRDefault="00236748" w:rsidP="00276391">
      <w:pPr>
        <w:pStyle w:val="DHHSbullet1"/>
        <w:rPr>
          <w:rFonts w:cs="Arial"/>
          <w:lang w:eastAsia="en-AU"/>
        </w:rPr>
      </w:pP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broader</w:t>
      </w:r>
      <w:r w:rsidR="005D5532" w:rsidRPr="00276391">
        <w:rPr>
          <w:rFonts w:cs="Arial"/>
          <w:lang w:eastAsia="en-AU"/>
        </w:rPr>
        <w:t xml:space="preserve"> </w:t>
      </w:r>
      <w:r w:rsidRPr="00276391">
        <w:rPr>
          <w:rFonts w:cs="Arial"/>
          <w:lang w:eastAsia="en-AU"/>
        </w:rPr>
        <w:t>news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interested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p>
    <w:p w14:paraId="51B1F071" w14:textId="77777777"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range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websites.</w:t>
      </w:r>
      <w:r w:rsidR="005D5532" w:rsidRPr="00276391">
        <w:rPr>
          <w:rFonts w:cs="Arial"/>
          <w:lang w:eastAsia="en-AU"/>
        </w:rPr>
        <w:t xml:space="preserve"> </w:t>
      </w:r>
    </w:p>
    <w:p w14:paraId="3262076D" w14:textId="77777777" w:rsidR="00236748" w:rsidRPr="00276391" w:rsidRDefault="00236748" w:rsidP="00276391">
      <w:pPr>
        <w:pStyle w:val="Heading3"/>
        <w:rPr>
          <w:lang w:eastAsia="en-AU"/>
        </w:rPr>
      </w:pPr>
      <w:bookmarkStart w:id="44" w:name="_Toc478991689"/>
      <w:bookmarkStart w:id="45" w:name="_Toc478992302"/>
      <w:bookmarkStart w:id="46" w:name="_Toc4141984"/>
      <w:r w:rsidRPr="00276391">
        <w:rPr>
          <w:lang w:eastAsia="en-AU"/>
        </w:rPr>
        <w:t>Registering</w:t>
      </w:r>
      <w:r w:rsidR="005D5532" w:rsidRPr="00276391">
        <w:rPr>
          <w:lang w:eastAsia="en-AU"/>
        </w:rPr>
        <w:t xml:space="preserve"> </w:t>
      </w:r>
      <w:bookmarkEnd w:id="44"/>
      <w:bookmarkEnd w:id="45"/>
      <w:r w:rsidR="00F52954">
        <w:rPr>
          <w:lang w:eastAsia="en-AU"/>
        </w:rPr>
        <w:t>for My Agency</w:t>
      </w:r>
      <w:bookmarkEnd w:id="46"/>
    </w:p>
    <w:p w14:paraId="75C3BB68" w14:textId="5246F760" w:rsidR="00236748" w:rsidRPr="00276391" w:rsidRDefault="00BC2787" w:rsidP="00276391">
      <w:pPr>
        <w:pStyle w:val="DHHSbody"/>
        <w:rPr>
          <w:lang w:eastAsia="en-AU"/>
        </w:rPr>
      </w:pPr>
      <w:r>
        <w:rPr>
          <w:rFonts w:cs="Arial"/>
          <w:color w:val="000000"/>
          <w:szCs w:val="19"/>
          <w:lang w:eastAsia="en-AU"/>
        </w:rPr>
        <w:t>D</w:t>
      </w:r>
      <w:r w:rsidR="00934DD6">
        <w:rPr>
          <w:rFonts w:cs="Arial"/>
          <w:color w:val="000000"/>
          <w:szCs w:val="19"/>
          <w:lang w:eastAsia="en-AU"/>
        </w:rPr>
        <w:t xml:space="preserve">epartment of Education and Training </w:t>
      </w:r>
      <w:r w:rsidR="00236748" w:rsidRPr="00B24C02">
        <w:rPr>
          <w:rFonts w:cs="Arial"/>
          <w:color w:val="000000"/>
          <w:szCs w:val="19"/>
          <w:lang w:eastAsia="en-AU"/>
        </w:rPr>
        <w:t>staff</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funded</w:t>
      </w:r>
      <w:r w:rsidR="005D5532" w:rsidRPr="00B24C02">
        <w:rPr>
          <w:rFonts w:cs="Arial"/>
          <w:color w:val="000000"/>
          <w:szCs w:val="19"/>
          <w:lang w:eastAsia="en-AU"/>
        </w:rPr>
        <w:t xml:space="preserve"> </w:t>
      </w:r>
      <w:r w:rsidR="00236748" w:rsidRPr="00B24C02">
        <w:rPr>
          <w:rFonts w:cs="Arial"/>
          <w:color w:val="000000"/>
          <w:szCs w:val="19"/>
          <w:lang w:eastAsia="en-AU"/>
        </w:rPr>
        <w:t>organisation</w:t>
      </w:r>
      <w:r w:rsidR="005D5532" w:rsidRPr="00B24C02">
        <w:rPr>
          <w:rFonts w:cs="Arial"/>
          <w:color w:val="000000"/>
          <w:szCs w:val="19"/>
          <w:lang w:eastAsia="en-AU"/>
        </w:rPr>
        <w:t xml:space="preserve"> </w:t>
      </w:r>
      <w:r w:rsidR="00236748" w:rsidRPr="00B24C02">
        <w:rPr>
          <w:rFonts w:cs="Arial"/>
          <w:color w:val="000000"/>
          <w:szCs w:val="19"/>
          <w:lang w:eastAsia="en-AU"/>
        </w:rPr>
        <w:t>staff</w:t>
      </w:r>
      <w:r w:rsidR="005D5532" w:rsidRPr="00B24C02">
        <w:rPr>
          <w:rFonts w:cs="Arial"/>
          <w:color w:val="000000"/>
          <w:szCs w:val="19"/>
          <w:lang w:eastAsia="en-AU"/>
        </w:rPr>
        <w:t xml:space="preserve"> </w:t>
      </w:r>
      <w:r w:rsidR="00236748" w:rsidRPr="00B24C02">
        <w:rPr>
          <w:rFonts w:cs="Arial"/>
          <w:color w:val="000000"/>
          <w:szCs w:val="19"/>
          <w:lang w:eastAsia="en-AU"/>
        </w:rPr>
        <w:t>must</w:t>
      </w:r>
      <w:r w:rsidR="005D5532" w:rsidRPr="00B24C02">
        <w:rPr>
          <w:rFonts w:cs="Arial"/>
          <w:color w:val="000000"/>
          <w:szCs w:val="19"/>
          <w:lang w:eastAsia="en-AU"/>
        </w:rPr>
        <w:t xml:space="preserve"> </w:t>
      </w:r>
      <w:r w:rsidR="00236748" w:rsidRPr="00B24C02">
        <w:rPr>
          <w:rFonts w:cs="Arial"/>
          <w:color w:val="000000"/>
          <w:szCs w:val="19"/>
          <w:lang w:eastAsia="en-AU"/>
        </w:rPr>
        <w:t>register</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access</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secure</w:t>
      </w:r>
      <w:r w:rsidR="005D5532" w:rsidRPr="00B24C02">
        <w:rPr>
          <w:rFonts w:cs="Arial"/>
          <w:color w:val="000000"/>
          <w:szCs w:val="19"/>
          <w:lang w:eastAsia="en-AU"/>
        </w:rPr>
        <w:t xml:space="preserve"> </w:t>
      </w:r>
      <w:r w:rsidR="00236748" w:rsidRPr="00B24C02">
        <w:rPr>
          <w:rFonts w:cs="Arial"/>
          <w:color w:val="000000"/>
          <w:szCs w:val="19"/>
          <w:lang w:eastAsia="en-AU"/>
        </w:rPr>
        <w:t>individual</w:t>
      </w:r>
      <w:r w:rsidR="005D5532" w:rsidRPr="00B24C02">
        <w:rPr>
          <w:rFonts w:cs="Arial"/>
          <w:color w:val="000000"/>
          <w:szCs w:val="19"/>
          <w:lang w:eastAsia="en-AU"/>
        </w:rPr>
        <w:t xml:space="preserve"> </w:t>
      </w:r>
      <w:r w:rsidR="00236748" w:rsidRPr="00B24C02">
        <w:rPr>
          <w:rFonts w:cs="Arial"/>
          <w:color w:val="000000"/>
          <w:szCs w:val="19"/>
          <w:lang w:eastAsia="en-AU"/>
        </w:rPr>
        <w:t>organisation</w:t>
      </w:r>
      <w:r w:rsidR="005D5532" w:rsidRPr="00B24C02">
        <w:rPr>
          <w:rFonts w:cs="Arial"/>
          <w:color w:val="000000"/>
          <w:szCs w:val="19"/>
          <w:lang w:eastAsia="en-AU"/>
        </w:rPr>
        <w:t xml:space="preserve"> </w:t>
      </w:r>
      <w:r w:rsidR="00236748" w:rsidRPr="00B24C02">
        <w:rPr>
          <w:rFonts w:cs="Arial"/>
          <w:color w:val="000000"/>
          <w:szCs w:val="19"/>
          <w:lang w:eastAsia="en-AU"/>
        </w:rPr>
        <w:t>information</w:t>
      </w:r>
      <w:r w:rsidR="005D5532" w:rsidRPr="00B24C02">
        <w:rPr>
          <w:rFonts w:cs="Arial"/>
          <w:color w:val="000000"/>
          <w:szCs w:val="19"/>
          <w:lang w:eastAsia="en-AU"/>
        </w:rPr>
        <w:t xml:space="preserve"> </w:t>
      </w:r>
      <w:r w:rsidR="00236748" w:rsidRPr="00B24C02">
        <w:rPr>
          <w:rFonts w:cs="Arial"/>
          <w:color w:val="000000"/>
          <w:szCs w:val="19"/>
          <w:lang w:eastAsia="en-AU"/>
        </w:rPr>
        <w:t>available</w:t>
      </w:r>
      <w:r w:rsidR="005D5532" w:rsidRPr="00B24C02">
        <w:rPr>
          <w:rFonts w:cs="Arial"/>
          <w:color w:val="000000"/>
          <w:szCs w:val="19"/>
          <w:lang w:eastAsia="en-AU"/>
        </w:rPr>
        <w:t xml:space="preserve"> </w:t>
      </w:r>
      <w:r w:rsidR="00236748" w:rsidRPr="00B24C02">
        <w:rPr>
          <w:rFonts w:cs="Arial"/>
          <w:color w:val="000000"/>
          <w:szCs w:val="19"/>
          <w:lang w:eastAsia="en-AU"/>
        </w:rPr>
        <w:t>via</w:t>
      </w:r>
      <w:r w:rsidR="00F52954">
        <w:rPr>
          <w:rFonts w:cs="Arial"/>
          <w:color w:val="000000"/>
          <w:szCs w:val="19"/>
          <w:lang w:eastAsia="en-AU"/>
        </w:rPr>
        <w:t xml:space="preserve"> My Agency</w:t>
      </w:r>
      <w:r w:rsidR="00236748" w:rsidRPr="00B24C02">
        <w:rPr>
          <w:rFonts w:cs="Arial"/>
          <w:color w:val="000000"/>
          <w:szCs w:val="19"/>
          <w:lang w:eastAsia="en-AU"/>
        </w:rPr>
        <w:t>.</w:t>
      </w:r>
    </w:p>
    <w:p w14:paraId="70F98AAD" w14:textId="617AE9EE" w:rsidR="00236748" w:rsidRPr="00276391" w:rsidRDefault="00236748" w:rsidP="00276391">
      <w:pPr>
        <w:pStyle w:val="DHHSbody"/>
        <w:rPr>
          <w:lang w:eastAsia="en-AU"/>
        </w:rPr>
      </w:pP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downloadable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sheets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assist</w:t>
      </w:r>
      <w:r w:rsidR="005D5532" w:rsidRPr="00276391">
        <w:rPr>
          <w:lang w:eastAsia="en-AU"/>
        </w:rPr>
        <w:t xml:space="preserve"> </w:t>
      </w:r>
      <w:r w:rsidR="00D45BB7">
        <w:rPr>
          <w:rFonts w:cs="Arial"/>
          <w:color w:val="000000"/>
          <w:szCs w:val="19"/>
          <w:lang w:eastAsia="en-AU"/>
        </w:rPr>
        <w:t xml:space="preserve">Department of Education and Training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users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for</w:t>
      </w:r>
      <w:r w:rsidR="005D5532" w:rsidRPr="00276391">
        <w:rPr>
          <w:lang w:eastAsia="en-AU"/>
        </w:rPr>
        <w:t xml:space="preserve"> </w:t>
      </w:r>
      <w:r w:rsidR="00F52954">
        <w:rPr>
          <w:lang w:eastAsia="en-AU"/>
        </w:rPr>
        <w:t>My Agency</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18" w:tgtFrame="_blank" w:tooltip="Link to Funded Agency Channel website" w:history="1">
        <w:r w:rsidR="001F3EA7" w:rsidRPr="001F3EA7">
          <w:rPr>
            <w:rStyle w:val="Hyperlink"/>
          </w:rPr>
          <w:t>FAC</w:t>
        </w:r>
        <w:r w:rsidR="005D5532" w:rsidRPr="001F3EA7">
          <w:rPr>
            <w:rStyle w:val="Hyperlink"/>
            <w:lang w:eastAsia="en-AU"/>
          </w:rPr>
          <w:t xml:space="preserve"> </w:t>
        </w:r>
        <w:r w:rsidRPr="001F3EA7">
          <w:rPr>
            <w:rStyle w:val="Hyperlink"/>
            <w:lang w:eastAsia="en-AU"/>
          </w:rPr>
          <w:t>website</w:t>
        </w:r>
      </w:hyperlink>
      <w:r w:rsidR="005D5532" w:rsidRPr="00276391">
        <w:rPr>
          <w:lang w:eastAsia="en-AU"/>
        </w:rPr>
        <w:t xml:space="preserve"> </w:t>
      </w:r>
      <w:r w:rsidR="001F3EA7">
        <w:rPr>
          <w:lang w:eastAsia="en-AU"/>
        </w:rPr>
        <w:t>&lt;</w:t>
      </w:r>
      <w:r w:rsidR="00B73DBE" w:rsidRPr="00B73DBE">
        <w:t>https://fac.dhhs.vic.gov.au/my-agency</w:t>
      </w:r>
      <w:r w:rsidR="001F3EA7">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3049FF77" w14:textId="436D422D" w:rsidR="00236748" w:rsidRPr="00276391" w:rsidRDefault="00F52954" w:rsidP="00276391">
      <w:pPr>
        <w:pStyle w:val="DHHSbody"/>
        <w:rPr>
          <w:lang w:eastAsia="en-AU"/>
        </w:rPr>
      </w:pPr>
      <w:r>
        <w:rPr>
          <w:lang w:eastAsia="en-AU"/>
        </w:rPr>
        <w:t>D</w:t>
      </w:r>
      <w:r w:rsidR="00934DD6">
        <w:rPr>
          <w:lang w:eastAsia="en-AU"/>
        </w:rPr>
        <w:t>epartm</w:t>
      </w:r>
      <w:r w:rsidR="00D45BB7">
        <w:rPr>
          <w:lang w:eastAsia="en-AU"/>
        </w:rPr>
        <w:t>e</w:t>
      </w:r>
      <w:r w:rsidR="00934DD6">
        <w:rPr>
          <w:lang w:eastAsia="en-AU"/>
        </w:rPr>
        <w:t xml:space="preserve">nt of Health and Human Services </w:t>
      </w:r>
      <w:r w:rsidR="00236748" w:rsidRPr="00276391">
        <w:rPr>
          <w:lang w:eastAsia="en-AU"/>
        </w:rPr>
        <w:t>staff</w:t>
      </w:r>
      <w:r w:rsidR="005D5532" w:rsidRPr="00276391">
        <w:rPr>
          <w:lang w:eastAsia="en-AU"/>
        </w:rPr>
        <w:t xml:space="preserve"> </w:t>
      </w:r>
      <w:r w:rsidR="00236748" w:rsidRPr="00276391">
        <w:rPr>
          <w:lang w:eastAsia="en-AU"/>
        </w:rPr>
        <w:t>are</w:t>
      </w:r>
      <w:r w:rsidR="005D5532" w:rsidRPr="00276391">
        <w:rPr>
          <w:lang w:eastAsia="en-AU"/>
        </w:rPr>
        <w:t xml:space="preserve"> </w:t>
      </w:r>
      <w:r w:rsidR="00236748" w:rsidRPr="00276391">
        <w:rPr>
          <w:lang w:eastAsia="en-AU"/>
        </w:rPr>
        <w:t>not</w:t>
      </w:r>
      <w:r w:rsidR="005D5532" w:rsidRPr="00276391">
        <w:rPr>
          <w:lang w:eastAsia="en-AU"/>
        </w:rPr>
        <w:t xml:space="preserve"> </w:t>
      </w:r>
      <w:r w:rsidR="00236748" w:rsidRPr="00276391">
        <w:rPr>
          <w:lang w:eastAsia="en-AU"/>
        </w:rPr>
        <w:t>required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register</w:t>
      </w:r>
      <w:r w:rsidR="005D5532" w:rsidRPr="00276391">
        <w:rPr>
          <w:lang w:eastAsia="en-AU"/>
        </w:rPr>
        <w:t xml:space="preserve"> </w:t>
      </w:r>
      <w:r w:rsidR="00236748" w:rsidRPr="00276391">
        <w:rPr>
          <w:lang w:eastAsia="en-AU"/>
        </w:rPr>
        <w:t>for</w:t>
      </w:r>
      <w:r w:rsidR="005D5532" w:rsidRPr="00276391">
        <w:rPr>
          <w:lang w:eastAsia="en-AU"/>
        </w:rPr>
        <w:t xml:space="preserve"> </w:t>
      </w:r>
      <w:r w:rsidR="00F64E40">
        <w:rPr>
          <w:lang w:eastAsia="en-AU"/>
        </w:rPr>
        <w:t xml:space="preserve">My Agency </w:t>
      </w:r>
      <w:r w:rsidR="00236748" w:rsidRPr="00276391">
        <w:rPr>
          <w:lang w:eastAsia="en-AU"/>
        </w:rPr>
        <w:t>as</w:t>
      </w:r>
      <w:r w:rsidR="005D5532" w:rsidRPr="00276391">
        <w:rPr>
          <w:lang w:eastAsia="en-AU"/>
        </w:rPr>
        <w:t xml:space="preserve"> </w:t>
      </w:r>
      <w:r w:rsidR="00236748" w:rsidRPr="00276391">
        <w:rPr>
          <w:lang w:eastAsia="en-AU"/>
        </w:rPr>
        <w:t>they</w:t>
      </w:r>
      <w:r w:rsidR="005D5532" w:rsidRPr="00276391">
        <w:rPr>
          <w:lang w:eastAsia="en-AU"/>
        </w:rPr>
        <w:t xml:space="preserve"> </w:t>
      </w:r>
      <w:r w:rsidR="00236748" w:rsidRPr="00276391">
        <w:rPr>
          <w:lang w:eastAsia="en-AU"/>
        </w:rPr>
        <w:t>are</w:t>
      </w:r>
      <w:r w:rsidR="005D5532" w:rsidRPr="00276391">
        <w:rPr>
          <w:lang w:eastAsia="en-AU"/>
        </w:rPr>
        <w:t xml:space="preserve"> </w:t>
      </w:r>
      <w:r w:rsidR="00236748" w:rsidRPr="00276391">
        <w:rPr>
          <w:lang w:eastAsia="en-AU"/>
        </w:rPr>
        <w:t>automatically</w:t>
      </w:r>
      <w:r w:rsidR="005D5532" w:rsidRPr="00276391">
        <w:rPr>
          <w:lang w:eastAsia="en-AU"/>
        </w:rPr>
        <w:t xml:space="preserve"> </w:t>
      </w:r>
      <w:r w:rsidR="00236748" w:rsidRPr="00276391">
        <w:rPr>
          <w:lang w:eastAsia="en-AU"/>
        </w:rPr>
        <w:t>granted</w:t>
      </w:r>
      <w:r w:rsidR="005D5532" w:rsidRPr="00276391">
        <w:rPr>
          <w:lang w:eastAsia="en-AU"/>
        </w:rPr>
        <w:t xml:space="preserve"> </w:t>
      </w:r>
      <w:r w:rsidR="00236748" w:rsidRPr="00276391">
        <w:rPr>
          <w:lang w:eastAsia="en-AU"/>
        </w:rPr>
        <w:t>access</w:t>
      </w:r>
      <w:r w:rsidR="005D5532" w:rsidRPr="00276391">
        <w:rPr>
          <w:lang w:eastAsia="en-AU"/>
        </w:rPr>
        <w:t xml:space="preserve"> </w:t>
      </w:r>
      <w:r w:rsidR="00236748" w:rsidRPr="00276391">
        <w:rPr>
          <w:lang w:eastAsia="en-AU"/>
        </w:rPr>
        <w:t>as</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part</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internal</w:t>
      </w:r>
      <w:r w:rsidR="005D5532" w:rsidRPr="00276391">
        <w:rPr>
          <w:lang w:eastAsia="en-AU"/>
        </w:rPr>
        <w:t xml:space="preserve"> </w:t>
      </w:r>
      <w:r w:rsidR="00236748" w:rsidRPr="00276391">
        <w:rPr>
          <w:lang w:eastAsia="en-AU"/>
        </w:rPr>
        <w:t>suite</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applications</w:t>
      </w:r>
      <w:r w:rsidR="005D5532" w:rsidRPr="00276391">
        <w:rPr>
          <w:lang w:eastAsia="en-AU"/>
        </w:rPr>
        <w:t xml:space="preserve"> </w:t>
      </w:r>
      <w:r w:rsidR="00F64E40">
        <w:rPr>
          <w:lang w:eastAsia="en-AU"/>
        </w:rPr>
        <w:t xml:space="preserve">issued </w:t>
      </w:r>
      <w:r w:rsidR="00236748" w:rsidRPr="00276391">
        <w:rPr>
          <w:lang w:eastAsia="en-AU"/>
        </w:rPr>
        <w:t>for</w:t>
      </w:r>
      <w:r w:rsidR="005D5532" w:rsidRPr="00276391">
        <w:rPr>
          <w:lang w:eastAsia="en-AU"/>
        </w:rPr>
        <w:t xml:space="preserve"> </w:t>
      </w:r>
      <w:r w:rsidR="00236748" w:rsidRPr="00276391">
        <w:rPr>
          <w:lang w:eastAsia="en-AU"/>
        </w:rPr>
        <w:t>use</w:t>
      </w:r>
      <w:r w:rsidR="005D5532" w:rsidRPr="00276391">
        <w:rPr>
          <w:lang w:eastAsia="en-AU"/>
        </w:rPr>
        <w:t xml:space="preserve"> </w:t>
      </w:r>
      <w:r w:rsidR="00236748" w:rsidRPr="00276391">
        <w:rPr>
          <w:lang w:eastAsia="en-AU"/>
        </w:rPr>
        <w:t>when</w:t>
      </w:r>
      <w:r w:rsidR="005D5532" w:rsidRPr="00276391">
        <w:rPr>
          <w:lang w:eastAsia="en-AU"/>
        </w:rPr>
        <w:t xml:space="preserve"> </w:t>
      </w:r>
      <w:r w:rsidR="00236748" w:rsidRPr="00276391">
        <w:rPr>
          <w:lang w:eastAsia="en-AU"/>
        </w:rPr>
        <w:t>working</w:t>
      </w:r>
      <w:r w:rsidR="005D5532" w:rsidRPr="00276391">
        <w:rPr>
          <w:lang w:eastAsia="en-AU"/>
        </w:rPr>
        <w:t xml:space="preserve"> </w:t>
      </w:r>
      <w:r w:rsidR="00236748" w:rsidRPr="00276391">
        <w:rPr>
          <w:lang w:eastAsia="en-AU"/>
        </w:rPr>
        <w:t>with</w:t>
      </w:r>
      <w:r w:rsidR="005D5532" w:rsidRPr="00276391">
        <w:rPr>
          <w:lang w:eastAsia="en-AU"/>
        </w:rPr>
        <w:t xml:space="preserve"> </w:t>
      </w:r>
      <w:r w:rsidR="00236748" w:rsidRPr="00276391">
        <w:rPr>
          <w:lang w:eastAsia="en-AU"/>
        </w:rPr>
        <w:t>funded</w:t>
      </w:r>
      <w:r w:rsidR="005D5532" w:rsidRPr="00276391">
        <w:rPr>
          <w:lang w:eastAsia="en-AU"/>
        </w:rPr>
        <w:t xml:space="preserve"> </w:t>
      </w:r>
      <w:r w:rsidR="00236748" w:rsidRPr="00276391">
        <w:rPr>
          <w:lang w:eastAsia="en-AU"/>
        </w:rPr>
        <w:t>organisations.</w:t>
      </w:r>
    </w:p>
    <w:p w14:paraId="21DA525F" w14:textId="77777777" w:rsidR="00236748" w:rsidRPr="00276391" w:rsidRDefault="00236748" w:rsidP="00276391">
      <w:pPr>
        <w:pStyle w:val="Heading3"/>
        <w:rPr>
          <w:lang w:eastAsia="en-AU"/>
        </w:rPr>
      </w:pPr>
      <w:bookmarkStart w:id="47" w:name="_Toc478991690"/>
      <w:bookmarkStart w:id="48" w:name="_Toc478992303"/>
      <w:bookmarkStart w:id="49" w:name="_Toc4141985"/>
      <w:r w:rsidRPr="00276391">
        <w:rPr>
          <w:lang w:eastAsia="en-AU"/>
        </w:rPr>
        <w:t>User</w:t>
      </w:r>
      <w:r w:rsidR="005D5532" w:rsidRPr="00276391">
        <w:rPr>
          <w:lang w:eastAsia="en-AU"/>
        </w:rPr>
        <w:t xml:space="preserve"> </w:t>
      </w:r>
      <w:r w:rsidRPr="00276391">
        <w:rPr>
          <w:lang w:eastAsia="en-AU"/>
        </w:rPr>
        <w:t>feedback</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queries</w:t>
      </w:r>
      <w:bookmarkEnd w:id="47"/>
      <w:bookmarkEnd w:id="48"/>
      <w:bookmarkEnd w:id="49"/>
    </w:p>
    <w:p w14:paraId="4F96CDB1" w14:textId="38B44108" w:rsidR="00236748" w:rsidRPr="00276391" w:rsidRDefault="00236748" w:rsidP="00276391">
      <w:pPr>
        <w:pStyle w:val="DHHSbody"/>
        <w:rPr>
          <w:lang w:eastAsia="en-AU"/>
        </w:rPr>
      </w:pPr>
      <w:r w:rsidRPr="00B24C02">
        <w:rPr>
          <w:rFonts w:cs="Arial"/>
          <w:color w:val="000000"/>
          <w:szCs w:val="19"/>
          <w:lang w:eastAsia="en-AU"/>
        </w:rPr>
        <w:t>Feedback,</w:t>
      </w:r>
      <w:r w:rsidR="005D5532" w:rsidRPr="00B24C02">
        <w:rPr>
          <w:rFonts w:cs="Arial"/>
          <w:color w:val="000000"/>
          <w:szCs w:val="19"/>
          <w:lang w:eastAsia="en-AU"/>
        </w:rPr>
        <w:t xml:space="preserve"> </w:t>
      </w:r>
      <w:r w:rsidRPr="00B24C02">
        <w:rPr>
          <w:rFonts w:cs="Arial"/>
          <w:color w:val="000000"/>
          <w:szCs w:val="19"/>
          <w:lang w:eastAsia="en-AU"/>
        </w:rPr>
        <w:t>suggestions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queries</w:t>
      </w:r>
      <w:r w:rsidR="005D5532" w:rsidRPr="00B24C02">
        <w:rPr>
          <w:rFonts w:cs="Arial"/>
          <w:color w:val="000000"/>
          <w:szCs w:val="19"/>
          <w:lang w:eastAsia="en-AU"/>
        </w:rPr>
        <w:t xml:space="preserve"> </w:t>
      </w:r>
      <w:r w:rsidR="00B42A38">
        <w:rPr>
          <w:rFonts w:cs="Arial"/>
          <w:color w:val="000000"/>
          <w:szCs w:val="19"/>
          <w:lang w:eastAsia="en-AU"/>
        </w:rPr>
        <w:t>about FAC or My Agency</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email</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hyperlink r:id="rId19" w:history="1">
        <w:r w:rsidR="00C94233" w:rsidRPr="00D92C6C">
          <w:rPr>
            <w:rStyle w:val="Hyperlink"/>
            <w:rFonts w:cs="Arial"/>
            <w:szCs w:val="19"/>
            <w:lang w:eastAsia="en-AU"/>
          </w:rPr>
          <w:t>sacomms@dhhs.vic.gov.au</w:t>
        </w:r>
      </w:hyperlink>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telephoning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FAC</w:t>
      </w:r>
      <w:r w:rsidR="005D5532" w:rsidRPr="00B24C02">
        <w:rPr>
          <w:rFonts w:cs="Arial"/>
          <w:color w:val="000000"/>
          <w:szCs w:val="19"/>
          <w:lang w:eastAsia="en-AU"/>
        </w:rPr>
        <w:t xml:space="preserve"> </w:t>
      </w:r>
      <w:r w:rsidRPr="00B24C02">
        <w:rPr>
          <w:rFonts w:cs="Arial"/>
          <w:color w:val="000000"/>
          <w:szCs w:val="19"/>
          <w:lang w:eastAsia="en-AU"/>
        </w:rPr>
        <w:t>Help</w:t>
      </w:r>
      <w:r w:rsidR="005D5532" w:rsidRPr="00B24C02">
        <w:rPr>
          <w:rFonts w:cs="Arial"/>
          <w:color w:val="000000"/>
          <w:szCs w:val="19"/>
          <w:lang w:eastAsia="en-AU"/>
        </w:rPr>
        <w:t xml:space="preserve"> </w:t>
      </w:r>
      <w:r w:rsidRPr="00B24C02">
        <w:rPr>
          <w:rFonts w:cs="Arial"/>
          <w:color w:val="000000"/>
          <w:szCs w:val="19"/>
          <w:lang w:eastAsia="en-AU"/>
        </w:rPr>
        <w:t>Desk</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1300</w:t>
      </w:r>
      <w:r w:rsidR="005D5532" w:rsidRPr="00B24C02">
        <w:rPr>
          <w:rFonts w:cs="Arial"/>
          <w:color w:val="000000"/>
          <w:szCs w:val="19"/>
          <w:lang w:eastAsia="en-AU"/>
        </w:rPr>
        <w:t xml:space="preserve"> </w:t>
      </w:r>
      <w:r w:rsidRPr="00B24C02">
        <w:rPr>
          <w:rFonts w:cs="Arial"/>
          <w:color w:val="000000"/>
          <w:szCs w:val="19"/>
          <w:lang w:eastAsia="en-AU"/>
        </w:rPr>
        <w:t>799</w:t>
      </w:r>
      <w:r w:rsidR="005D5532" w:rsidRPr="00B24C02">
        <w:rPr>
          <w:rFonts w:cs="Arial"/>
          <w:color w:val="000000"/>
          <w:szCs w:val="19"/>
          <w:lang w:eastAsia="en-AU"/>
        </w:rPr>
        <w:t xml:space="preserve"> </w:t>
      </w:r>
      <w:r w:rsidRPr="00B24C02">
        <w:rPr>
          <w:rFonts w:cs="Arial"/>
          <w:color w:val="000000"/>
          <w:szCs w:val="19"/>
          <w:lang w:eastAsia="en-AU"/>
        </w:rPr>
        <w:t>470</w:t>
      </w:r>
      <w:r w:rsidR="005D5532" w:rsidRPr="00B24C02">
        <w:rPr>
          <w:rFonts w:cs="Arial"/>
          <w:color w:val="000000"/>
          <w:szCs w:val="19"/>
          <w:lang w:eastAsia="en-AU"/>
        </w:rPr>
        <w:t xml:space="preserve"> </w:t>
      </w:r>
      <w:r w:rsidRPr="00B24C02">
        <w:rPr>
          <w:rFonts w:cs="Arial"/>
          <w:color w:val="000000"/>
          <w:szCs w:val="19"/>
          <w:lang w:eastAsia="en-AU"/>
        </w:rPr>
        <w:t>(toll</w:t>
      </w:r>
      <w:r w:rsidR="005D5532" w:rsidRPr="00B24C02">
        <w:rPr>
          <w:rFonts w:cs="Arial"/>
          <w:color w:val="000000"/>
          <w:szCs w:val="19"/>
          <w:lang w:eastAsia="en-AU"/>
        </w:rPr>
        <w:t xml:space="preserve"> </w:t>
      </w:r>
      <w:r w:rsidRPr="00B24C02">
        <w:rPr>
          <w:rFonts w:cs="Arial"/>
          <w:color w:val="000000"/>
          <w:szCs w:val="19"/>
          <w:lang w:eastAsia="en-AU"/>
        </w:rPr>
        <w:t>free):</w:t>
      </w:r>
      <w:r w:rsidR="005D5532" w:rsidRPr="00B24C02">
        <w:rPr>
          <w:rFonts w:cs="Arial"/>
          <w:color w:val="000000"/>
          <w:szCs w:val="19"/>
          <w:lang w:eastAsia="en-AU"/>
        </w:rPr>
        <w:t xml:space="preserve"> </w:t>
      </w:r>
      <w:r w:rsidRPr="00B24C02">
        <w:rPr>
          <w:rFonts w:cs="Arial"/>
          <w:color w:val="000000"/>
          <w:szCs w:val="19"/>
          <w:lang w:eastAsia="en-AU"/>
        </w:rPr>
        <w:t>Select</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option</w:t>
      </w:r>
      <w:r w:rsidR="005D5532" w:rsidRPr="00B24C02">
        <w:rPr>
          <w:rFonts w:cs="Arial"/>
          <w:color w:val="000000"/>
          <w:szCs w:val="19"/>
          <w:lang w:eastAsia="en-AU"/>
        </w:rPr>
        <w:t xml:space="preserve"> </w:t>
      </w:r>
      <w:r w:rsidR="00290A28">
        <w:rPr>
          <w:rFonts w:cs="Arial"/>
          <w:color w:val="000000"/>
          <w:szCs w:val="19"/>
          <w:lang w:eastAsia="en-AU"/>
        </w:rPr>
        <w:t>1</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then</w:t>
      </w:r>
      <w:r w:rsidR="005D5532" w:rsidRPr="00B24C02">
        <w:rPr>
          <w:rFonts w:cs="Arial"/>
          <w:color w:val="000000"/>
          <w:szCs w:val="19"/>
          <w:lang w:eastAsia="en-AU"/>
        </w:rPr>
        <w:t xml:space="preserve"> </w:t>
      </w:r>
      <w:r w:rsidRPr="00B24C02">
        <w:rPr>
          <w:rFonts w:cs="Arial"/>
          <w:color w:val="000000"/>
          <w:szCs w:val="19"/>
          <w:lang w:eastAsia="en-AU"/>
        </w:rPr>
        <w:t>select</w:t>
      </w:r>
      <w:r w:rsidR="005D5532" w:rsidRPr="00B24C02">
        <w:rPr>
          <w:rFonts w:cs="Arial"/>
          <w:color w:val="000000"/>
          <w:szCs w:val="19"/>
          <w:lang w:eastAsia="en-AU"/>
        </w:rPr>
        <w:t xml:space="preserve"> </w:t>
      </w:r>
      <w:r w:rsidRPr="00B24C02">
        <w:rPr>
          <w:rFonts w:cs="Arial"/>
          <w:color w:val="000000"/>
          <w:szCs w:val="19"/>
          <w:lang w:eastAsia="en-AU"/>
        </w:rPr>
        <w:t>option</w:t>
      </w:r>
      <w:r w:rsidR="005D5532" w:rsidRPr="00B24C02">
        <w:rPr>
          <w:rFonts w:cs="Arial"/>
          <w:color w:val="000000"/>
          <w:szCs w:val="19"/>
          <w:lang w:eastAsia="en-AU"/>
        </w:rPr>
        <w:t xml:space="preserve"> </w:t>
      </w:r>
      <w:r w:rsidRPr="00B24C02">
        <w:rPr>
          <w:rFonts w:cs="Arial"/>
          <w:color w:val="000000"/>
          <w:szCs w:val="19"/>
          <w:lang w:eastAsia="en-AU"/>
        </w:rPr>
        <w:t>5.</w:t>
      </w:r>
    </w:p>
    <w:p w14:paraId="675DEE91" w14:textId="77777777" w:rsidR="00236748" w:rsidRPr="00276391" w:rsidRDefault="00236748" w:rsidP="009B2351">
      <w:pPr>
        <w:pStyle w:val="Heading2"/>
        <w:rPr>
          <w:rFonts w:cs="Arial"/>
          <w:lang w:eastAsia="en-AU"/>
        </w:rPr>
      </w:pPr>
      <w:bookmarkStart w:id="50" w:name="_1.5_Partnering_with"/>
      <w:bookmarkStart w:id="51" w:name="_Toc478991691"/>
      <w:bookmarkStart w:id="52" w:name="_Toc478992304"/>
      <w:bookmarkStart w:id="53" w:name="_Toc478992873"/>
      <w:bookmarkStart w:id="54" w:name="_Toc4141986"/>
      <w:bookmarkEnd w:id="50"/>
      <w:r w:rsidRPr="00276391">
        <w:rPr>
          <w:rFonts w:cs="Arial"/>
          <w:lang w:eastAsia="en-AU"/>
        </w:rPr>
        <w:t>1.5</w:t>
      </w:r>
      <w:r w:rsidR="009B2351" w:rsidRPr="00276391">
        <w:rPr>
          <w:rFonts w:cs="Arial"/>
          <w:lang w:eastAsia="en-AU"/>
        </w:rPr>
        <w:t xml:space="preserve"> </w:t>
      </w:r>
      <w:r w:rsidRPr="00276391">
        <w:rPr>
          <w:rFonts w:cs="Arial"/>
          <w:lang w:eastAsia="en-AU"/>
        </w:rPr>
        <w:t>Partnering</w:t>
      </w:r>
      <w:r w:rsidR="009B2351" w:rsidRPr="00276391">
        <w:rPr>
          <w:rFonts w:cs="Arial"/>
          <w:lang w:eastAsia="en-AU"/>
        </w:rPr>
        <w:t xml:space="preserve"> </w:t>
      </w:r>
      <w:r w:rsidRPr="00276391">
        <w:rPr>
          <w:rFonts w:cs="Arial"/>
          <w:lang w:eastAsia="en-AU"/>
        </w:rPr>
        <w:t>with</w:t>
      </w:r>
      <w:r w:rsidR="009B2351" w:rsidRPr="00276391">
        <w:rPr>
          <w:rFonts w:cs="Arial"/>
          <w:lang w:eastAsia="en-AU"/>
        </w:rPr>
        <w:t xml:space="preserve"> </w:t>
      </w:r>
      <w:r w:rsidRPr="00276391">
        <w:rPr>
          <w:rFonts w:cs="Arial"/>
          <w:lang w:eastAsia="en-AU"/>
        </w:rPr>
        <w:t>the</w:t>
      </w:r>
      <w:r w:rsidR="009B2351" w:rsidRPr="00276391">
        <w:rPr>
          <w:rFonts w:cs="Arial"/>
          <w:lang w:eastAsia="en-AU"/>
        </w:rPr>
        <w:t xml:space="preserve"> </w:t>
      </w:r>
      <w:r w:rsidRPr="00276391">
        <w:rPr>
          <w:rFonts w:cs="Arial"/>
          <w:lang w:eastAsia="en-AU"/>
        </w:rPr>
        <w:t>community</w:t>
      </w:r>
      <w:r w:rsidR="009B2351" w:rsidRPr="00276391">
        <w:rPr>
          <w:rFonts w:cs="Arial"/>
          <w:lang w:eastAsia="en-AU"/>
        </w:rPr>
        <w:t xml:space="preserve"> </w:t>
      </w:r>
      <w:r w:rsidRPr="00276391">
        <w:rPr>
          <w:rFonts w:cs="Arial"/>
          <w:lang w:eastAsia="en-AU"/>
        </w:rPr>
        <w:t>sector</w:t>
      </w:r>
      <w:bookmarkEnd w:id="51"/>
      <w:bookmarkEnd w:id="52"/>
      <w:bookmarkEnd w:id="53"/>
      <w:bookmarkEnd w:id="54"/>
    </w:p>
    <w:p w14:paraId="199626C4"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share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vision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improve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outcomes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people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Victoria</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seek</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work</w:t>
      </w:r>
      <w:r w:rsidR="005D5532" w:rsidRPr="00B24C02">
        <w:rPr>
          <w:rFonts w:cs="Arial"/>
          <w:color w:val="000000"/>
          <w:szCs w:val="19"/>
          <w:lang w:eastAsia="en-AU"/>
        </w:rPr>
        <w:t xml:space="preserve"> </w:t>
      </w:r>
      <w:r w:rsidRPr="00B24C02">
        <w:rPr>
          <w:rFonts w:cs="Arial"/>
          <w:color w:val="000000"/>
          <w:szCs w:val="19"/>
          <w:lang w:eastAsia="en-AU"/>
        </w:rPr>
        <w:t>together</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reaching</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objective.</w:t>
      </w:r>
    </w:p>
    <w:p w14:paraId="3059EADF" w14:textId="5D02356C" w:rsidR="00236748" w:rsidRPr="00276391" w:rsidRDefault="00236748" w:rsidP="00276391">
      <w:pPr>
        <w:pStyle w:val="DHHSbody"/>
        <w:rPr>
          <w:lang w:eastAsia="en-AU"/>
        </w:rPr>
      </w:pPr>
      <w:r w:rsidRPr="00DB2698">
        <w:rPr>
          <w:lang w:eastAsia="en-AU"/>
        </w:rPr>
        <w:t>The</w:t>
      </w:r>
      <w:r w:rsidR="005D5532" w:rsidRPr="00DB2698">
        <w:rPr>
          <w:lang w:eastAsia="en-AU"/>
        </w:rPr>
        <w:t xml:space="preserve"> </w:t>
      </w:r>
      <w:r w:rsidRPr="00DB2698">
        <w:t>Memorandum</w:t>
      </w:r>
      <w:r w:rsidR="005D5532" w:rsidRPr="00DB2698">
        <w:t xml:space="preserve"> </w:t>
      </w:r>
      <w:r w:rsidRPr="00DB2698">
        <w:t>of</w:t>
      </w:r>
      <w:r w:rsidR="005D5532" w:rsidRPr="00DB2698">
        <w:t xml:space="preserve"> </w:t>
      </w:r>
      <w:r w:rsidR="006061FD" w:rsidRPr="00DB2698">
        <w:t>u</w:t>
      </w:r>
      <w:r w:rsidRPr="00DB2698">
        <w:t>nderstanding</w:t>
      </w:r>
      <w:r w:rsidR="005D5532" w:rsidRPr="00DB2698">
        <w:t xml:space="preserve"> </w:t>
      </w:r>
      <w:r w:rsidRPr="00DB2698">
        <w:t>between</w:t>
      </w:r>
      <w:r w:rsidR="005D5532" w:rsidRPr="00DB2698">
        <w:t xml:space="preserve"> </w:t>
      </w:r>
      <w:r w:rsidRPr="00DB2698">
        <w:t>non-government</w:t>
      </w:r>
      <w:r w:rsidR="005D5532" w:rsidRPr="00DB2698">
        <w:t xml:space="preserve"> </w:t>
      </w:r>
      <w:r w:rsidRPr="00DB2698">
        <w:t>health,</w:t>
      </w:r>
      <w:r w:rsidR="005D5532" w:rsidRPr="00DB2698">
        <w:t xml:space="preserve"> </w:t>
      </w:r>
      <w:r w:rsidRPr="00DB2698">
        <w:t>housing</w:t>
      </w:r>
      <w:r w:rsidR="005D5532" w:rsidRPr="00DB2698">
        <w:t xml:space="preserve"> </w:t>
      </w:r>
      <w:r w:rsidRPr="00DB2698">
        <w:t>and</w:t>
      </w:r>
      <w:r w:rsidR="005D5532" w:rsidRPr="00DB2698">
        <w:t xml:space="preserve"> </w:t>
      </w:r>
      <w:r w:rsidRPr="00DB2698">
        <w:t>community</w:t>
      </w:r>
      <w:r w:rsidR="005D5532" w:rsidRPr="00DB2698">
        <w:t xml:space="preserve"> </w:t>
      </w:r>
      <w:r w:rsidRPr="00DB2698">
        <w:t>services</w:t>
      </w:r>
      <w:r w:rsidR="005D5532" w:rsidRPr="00DB2698">
        <w:t xml:space="preserve"> </w:t>
      </w:r>
      <w:r w:rsidRPr="00DB2698">
        <w:t>sector</w:t>
      </w:r>
      <w:r w:rsidR="00B42A38" w:rsidRPr="00DB2698">
        <w:t xml:space="preserve"> and </w:t>
      </w:r>
      <w:r w:rsidRPr="00DB2698">
        <w:t>the</w:t>
      </w:r>
      <w:r w:rsidR="005D5532" w:rsidRPr="00DB2698">
        <w:t xml:space="preserve"> </w:t>
      </w:r>
      <w:r w:rsidRPr="00DB2698">
        <w:t>Department</w:t>
      </w:r>
      <w:r w:rsidR="005D5532" w:rsidRPr="00DB2698">
        <w:t xml:space="preserve"> </w:t>
      </w:r>
      <w:r w:rsidRPr="00DB2698">
        <w:t>of</w:t>
      </w:r>
      <w:r w:rsidR="005D5532" w:rsidRPr="00DB2698">
        <w:t xml:space="preserve"> </w:t>
      </w:r>
      <w:r w:rsidR="00B42A38" w:rsidRPr="00DB2698">
        <w:t xml:space="preserve">Health and </w:t>
      </w:r>
      <w:r w:rsidRPr="00DB2698">
        <w:t>Human</w:t>
      </w:r>
      <w:r w:rsidR="005D5532" w:rsidRPr="00DB2698">
        <w:t xml:space="preserve"> </w:t>
      </w:r>
      <w:r w:rsidRPr="00DB2698">
        <w:t>Services</w:t>
      </w:r>
      <w:r w:rsidR="005D5532" w:rsidRPr="00DB2698">
        <w:rPr>
          <w:i/>
          <w:iCs/>
          <w:lang w:eastAsia="en-AU"/>
        </w:rPr>
        <w:t xml:space="preserve"> </w:t>
      </w:r>
      <w:r w:rsidRPr="00DB2698">
        <w:rPr>
          <w:lang w:eastAsia="en-AU"/>
        </w:rPr>
        <w:t>(2012-2015)</w:t>
      </w:r>
      <w:r w:rsidR="005D5532" w:rsidRPr="00DB2698">
        <w:rPr>
          <w:lang w:eastAsia="en-AU"/>
        </w:rPr>
        <w:t xml:space="preserve"> </w:t>
      </w:r>
      <w:r w:rsidRPr="00DB2698">
        <w:rPr>
          <w:lang w:eastAsia="en-AU"/>
        </w:rPr>
        <w:t>outlines</w:t>
      </w:r>
      <w:r w:rsidR="005D5532" w:rsidRPr="00DB2698">
        <w:rPr>
          <w:lang w:eastAsia="en-AU"/>
        </w:rPr>
        <w:t xml:space="preserve"> </w:t>
      </w:r>
      <w:r w:rsidRPr="00276391">
        <w:rPr>
          <w:lang w:eastAsia="en-AU"/>
        </w:rPr>
        <w:t>the</w:t>
      </w:r>
      <w:r w:rsidR="005D5532" w:rsidRPr="00276391">
        <w:rPr>
          <w:lang w:eastAsia="en-AU"/>
        </w:rPr>
        <w:t xml:space="preserve"> </w:t>
      </w:r>
      <w:r w:rsidRPr="00276391">
        <w:rPr>
          <w:lang w:eastAsia="en-AU"/>
        </w:rPr>
        <w:t>shared</w:t>
      </w:r>
      <w:r w:rsidR="005D5532" w:rsidRPr="00276391">
        <w:rPr>
          <w:lang w:eastAsia="en-AU"/>
        </w:rPr>
        <w:t xml:space="preserve"> </w:t>
      </w:r>
      <w:r w:rsidRPr="00276391">
        <w:rPr>
          <w:lang w:eastAsia="en-AU"/>
        </w:rPr>
        <w:t>commitment</w:t>
      </w:r>
      <w:r w:rsidR="005D5532" w:rsidRPr="00276391">
        <w:rPr>
          <w:lang w:eastAsia="en-AU"/>
        </w:rPr>
        <w:t xml:space="preserve"> </w:t>
      </w:r>
      <w:r w:rsidRPr="00276391">
        <w:rPr>
          <w:lang w:eastAsia="en-AU"/>
        </w:rPr>
        <w:t>between</w:t>
      </w:r>
      <w:r w:rsidR="005D5532" w:rsidRPr="00276391">
        <w:rPr>
          <w:lang w:eastAsia="en-AU"/>
        </w:rPr>
        <w:t xml:space="preserve"> </w:t>
      </w:r>
      <w:r w:rsidR="00D45BB7">
        <w:rPr>
          <w:lang w:eastAsia="en-AU"/>
        </w:rPr>
        <w:t>the 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together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positive</w:t>
      </w:r>
      <w:r w:rsidR="005D5532" w:rsidRPr="00276391">
        <w:rPr>
          <w:lang w:eastAsia="en-AU"/>
        </w:rPr>
        <w:t xml:space="preserve"> </w:t>
      </w:r>
      <w:r w:rsidRPr="00276391">
        <w:rPr>
          <w:lang w:eastAsia="en-AU"/>
        </w:rPr>
        <w:t>difference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Victoria.</w:t>
      </w:r>
    </w:p>
    <w:p w14:paraId="0494334C" w14:textId="323404EE"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w:t>
      </w:r>
      <w:r w:rsidR="005D5532" w:rsidRPr="00276391">
        <w:rPr>
          <w:lang w:eastAsia="en-AU"/>
        </w:rPr>
        <w:t xml:space="preserve"> </w:t>
      </w:r>
      <w:hyperlink r:id="rId20" w:tooltip="DEECD Partnership Agreement with the Victorian Community Sector" w:history="1">
        <w:r w:rsidRPr="00C94233">
          <w:rPr>
            <w:rStyle w:val="Hyperlink"/>
          </w:rPr>
          <w:t>Partnership</w:t>
        </w:r>
        <w:r w:rsidR="005D5532" w:rsidRPr="00C94233">
          <w:rPr>
            <w:rStyle w:val="Hyperlink"/>
          </w:rPr>
          <w:t xml:space="preserve"> </w:t>
        </w:r>
        <w:r w:rsidR="006061FD">
          <w:rPr>
            <w:rStyle w:val="Hyperlink"/>
          </w:rPr>
          <w:t>a</w:t>
        </w:r>
        <w:r w:rsidRPr="00C94233">
          <w:rPr>
            <w:rStyle w:val="Hyperlink"/>
          </w:rPr>
          <w:t>greement</w:t>
        </w:r>
        <w:r w:rsidR="005D5532" w:rsidRPr="00C94233">
          <w:rPr>
            <w:rStyle w:val="Hyperlink"/>
          </w:rPr>
          <w:t xml:space="preserve"> </w:t>
        </w:r>
        <w:r w:rsidRPr="00C94233">
          <w:rPr>
            <w:rStyle w:val="Hyperlink"/>
          </w:rPr>
          <w:t>between</w:t>
        </w:r>
        <w:r w:rsidR="005D5532" w:rsidRPr="00C94233">
          <w:rPr>
            <w:rStyle w:val="Hyperlink"/>
          </w:rPr>
          <w:t xml:space="preserve"> </w:t>
        </w:r>
        <w:r w:rsidRPr="00C94233">
          <w:rPr>
            <w:rStyle w:val="Hyperlink"/>
          </w:rPr>
          <w:t>the</w:t>
        </w:r>
        <w:r w:rsidR="005D5532" w:rsidRPr="00C94233">
          <w:rPr>
            <w:rStyle w:val="Hyperlink"/>
          </w:rPr>
          <w:t xml:space="preserve"> </w:t>
        </w:r>
        <w:r w:rsidRPr="00C94233">
          <w:rPr>
            <w:rStyle w:val="Hyperlink"/>
          </w:rPr>
          <w:t>Department</w:t>
        </w:r>
        <w:r w:rsidR="005D5532" w:rsidRPr="00C94233">
          <w:rPr>
            <w:rStyle w:val="Hyperlink"/>
          </w:rPr>
          <w:t xml:space="preserve"> </w:t>
        </w:r>
        <w:r w:rsidRPr="00C94233">
          <w:rPr>
            <w:rStyle w:val="Hyperlink"/>
          </w:rPr>
          <w:t>of</w:t>
        </w:r>
        <w:r w:rsidR="005D5532" w:rsidRPr="00C94233">
          <w:rPr>
            <w:rStyle w:val="Hyperlink"/>
          </w:rPr>
          <w:t xml:space="preserve"> </w:t>
        </w:r>
        <w:r w:rsidRPr="00C94233">
          <w:rPr>
            <w:rStyle w:val="Hyperlink"/>
          </w:rPr>
          <w:t>Education</w:t>
        </w:r>
        <w:r w:rsidR="005D5532" w:rsidRPr="00C94233">
          <w:rPr>
            <w:rStyle w:val="Hyperlink"/>
          </w:rPr>
          <w:t xml:space="preserve"> </w:t>
        </w:r>
        <w:r w:rsidRPr="00C94233">
          <w:rPr>
            <w:rStyle w:val="Hyperlink"/>
          </w:rPr>
          <w:t>and</w:t>
        </w:r>
        <w:r w:rsidR="005D5532" w:rsidRPr="00C94233">
          <w:rPr>
            <w:rStyle w:val="Hyperlink"/>
          </w:rPr>
          <w:t xml:space="preserve"> </w:t>
        </w:r>
        <w:r w:rsidR="00C45A29" w:rsidRPr="00C94233">
          <w:rPr>
            <w:rStyle w:val="Hyperlink"/>
          </w:rPr>
          <w:t>Training</w:t>
        </w:r>
        <w:r w:rsidR="005D5532" w:rsidRPr="00C94233">
          <w:rPr>
            <w:rStyle w:val="Hyperlink"/>
          </w:rPr>
          <w:t xml:space="preserve"> </w:t>
        </w:r>
        <w:r w:rsidRPr="00C94233">
          <w:rPr>
            <w:rStyle w:val="Hyperlink"/>
          </w:rPr>
          <w:t>and</w:t>
        </w:r>
        <w:r w:rsidR="005D5532" w:rsidRPr="00C94233">
          <w:rPr>
            <w:rStyle w:val="Hyperlink"/>
          </w:rPr>
          <w:t xml:space="preserve"> </w:t>
        </w:r>
        <w:r w:rsidRPr="00C94233">
          <w:rPr>
            <w:rStyle w:val="Hyperlink"/>
          </w:rPr>
          <w:t>the</w:t>
        </w:r>
        <w:r w:rsidR="005D5532" w:rsidRPr="00C94233">
          <w:rPr>
            <w:rStyle w:val="Hyperlink"/>
          </w:rPr>
          <w:t xml:space="preserve"> </w:t>
        </w:r>
        <w:r w:rsidRPr="00C94233">
          <w:rPr>
            <w:rStyle w:val="Hyperlink"/>
          </w:rPr>
          <w:t>Victorian</w:t>
        </w:r>
        <w:r w:rsidR="005D5532" w:rsidRPr="00C94233">
          <w:rPr>
            <w:rStyle w:val="Hyperlink"/>
          </w:rPr>
          <w:t xml:space="preserve"> </w:t>
        </w:r>
        <w:r w:rsidR="006061FD">
          <w:rPr>
            <w:rStyle w:val="Hyperlink"/>
          </w:rPr>
          <w:t>c</w:t>
        </w:r>
        <w:r w:rsidRPr="00C94233">
          <w:rPr>
            <w:rStyle w:val="Hyperlink"/>
          </w:rPr>
          <w:t>ommunity</w:t>
        </w:r>
        <w:r w:rsidR="005D5532" w:rsidRPr="00C94233">
          <w:rPr>
            <w:rStyle w:val="Hyperlink"/>
          </w:rPr>
          <w:t xml:space="preserve"> </w:t>
        </w:r>
        <w:r w:rsidR="006061FD">
          <w:rPr>
            <w:rStyle w:val="Hyperlink"/>
          </w:rPr>
          <w:t>s</w:t>
        </w:r>
        <w:r w:rsidRPr="00C94233">
          <w:rPr>
            <w:rStyle w:val="Hyperlink"/>
          </w:rPr>
          <w:t>ector</w:t>
        </w:r>
        <w:r w:rsidR="005D5532" w:rsidRPr="00C94233">
          <w:rPr>
            <w:rStyle w:val="Hyperlink"/>
          </w:rPr>
          <w:t xml:space="preserve"> </w:t>
        </w:r>
        <w:r w:rsidRPr="00C94233">
          <w:rPr>
            <w:rStyle w:val="Hyperlink"/>
          </w:rPr>
          <w:t>(2014-2018)</w:t>
        </w:r>
      </w:hyperlink>
      <w:r w:rsidR="005D5532" w:rsidRPr="00276391">
        <w:rPr>
          <w:lang w:eastAsia="en-AU"/>
        </w:rPr>
        <w:t xml:space="preserve"> </w:t>
      </w:r>
      <w:r w:rsidR="00FC534A">
        <w:rPr>
          <w:lang w:eastAsia="en-AU"/>
        </w:rPr>
        <w:lastRenderedPageBreak/>
        <w:t>&lt;</w:t>
      </w:r>
      <w:r w:rsidR="00FC534A" w:rsidRPr="00FC534A">
        <w:rPr>
          <w:lang w:eastAsia="en-AU"/>
        </w:rPr>
        <w:t>http://www.education.vic.gov.au/Documents/about/programs/partnerships/partnershipagreement.pdf</w:t>
      </w:r>
      <w:r w:rsidR="00FC534A">
        <w:rPr>
          <w:lang w:eastAsia="en-AU"/>
        </w:rPr>
        <w:t>&gt;</w:t>
      </w:r>
      <w:r w:rsidR="00FC534A" w:rsidRPr="00FC534A">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290A28">
        <w:rPr>
          <w:lang w:eastAsia="en-AU"/>
        </w:rPr>
        <w:t xml:space="preserve">, </w:t>
      </w:r>
      <w:r w:rsidR="00EA74AB">
        <w:rPr>
          <w:lang w:eastAsia="en-AU"/>
        </w:rPr>
        <w:t>opens in a</w:t>
      </w:r>
      <w:r w:rsidR="00290A28">
        <w:rPr>
          <w:lang w:eastAsia="en-AU"/>
        </w:rPr>
        <w:t xml:space="preserve"> </w:t>
      </w:r>
      <w:r w:rsidR="00EA74AB">
        <w:rPr>
          <w:lang w:eastAsia="en-AU"/>
        </w:rPr>
        <w:t>new window</w:t>
      </w:r>
      <w:r w:rsidRPr="00276391">
        <w:rPr>
          <w:lang w:eastAsia="en-AU"/>
        </w:rPr>
        <w:t>).</w:t>
      </w:r>
    </w:p>
    <w:p w14:paraId="4BFED63B" w14:textId="77777777" w:rsidR="00236748" w:rsidRPr="00276391" w:rsidRDefault="00236748" w:rsidP="00276391">
      <w:pPr>
        <w:pStyle w:val="DHHSbody"/>
        <w:rPr>
          <w:lang w:eastAsia="en-AU"/>
        </w:rPr>
      </w:pP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documents</w:t>
      </w:r>
      <w:r w:rsidR="005D5532" w:rsidRPr="00B24C02">
        <w:rPr>
          <w:rFonts w:cs="Arial"/>
          <w:color w:val="000000"/>
          <w:szCs w:val="19"/>
          <w:lang w:eastAsia="en-AU"/>
        </w:rPr>
        <w:t xml:space="preserve"> </w:t>
      </w:r>
      <w:r w:rsidRPr="00B24C02">
        <w:rPr>
          <w:rFonts w:cs="Arial"/>
          <w:color w:val="000000"/>
          <w:szCs w:val="19"/>
          <w:lang w:eastAsia="en-AU"/>
        </w:rPr>
        <w:t>reiterate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importance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strength</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relationship</w:t>
      </w:r>
      <w:r w:rsidR="005D5532" w:rsidRPr="00B24C02">
        <w:rPr>
          <w:rFonts w:cs="Arial"/>
          <w:color w:val="000000"/>
          <w:szCs w:val="19"/>
          <w:lang w:eastAsia="en-AU"/>
        </w:rPr>
        <w:t xml:space="preserve"> </w:t>
      </w:r>
      <w:r w:rsidRPr="00B24C02">
        <w:rPr>
          <w:rFonts w:cs="Arial"/>
          <w:color w:val="000000"/>
          <w:szCs w:val="19"/>
          <w:lang w:eastAsia="en-AU"/>
        </w:rPr>
        <w:t>between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effective</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best</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outcomes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Victorians.</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acknowledge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sovereign</w:t>
      </w:r>
      <w:r w:rsidR="005D5532" w:rsidRPr="00B24C02">
        <w:rPr>
          <w:rFonts w:cs="Arial"/>
          <w:color w:val="000000"/>
          <w:szCs w:val="19"/>
          <w:lang w:eastAsia="en-AU"/>
        </w:rPr>
        <w:t xml:space="preserve"> </w:t>
      </w:r>
      <w:r w:rsidRPr="00B24C02">
        <w:rPr>
          <w:rFonts w:cs="Arial"/>
          <w:color w:val="000000"/>
          <w:szCs w:val="19"/>
          <w:lang w:eastAsia="en-AU"/>
        </w:rPr>
        <w:t>entities</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autonomous)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ultimately</w:t>
      </w:r>
      <w:r w:rsidR="005D5532" w:rsidRPr="00B24C02">
        <w:rPr>
          <w:rFonts w:cs="Arial"/>
          <w:color w:val="000000"/>
          <w:szCs w:val="19"/>
          <w:lang w:eastAsia="en-AU"/>
        </w:rPr>
        <w:t xml:space="preserve"> </w:t>
      </w:r>
      <w:r w:rsidRPr="00B24C02">
        <w:rPr>
          <w:rFonts w:cs="Arial"/>
          <w:color w:val="000000"/>
          <w:szCs w:val="19"/>
          <w:lang w:eastAsia="en-AU"/>
        </w:rPr>
        <w:t>responsible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own</w:t>
      </w:r>
      <w:r w:rsidR="005D5532" w:rsidRPr="00B24C02">
        <w:rPr>
          <w:rFonts w:cs="Arial"/>
          <w:color w:val="000000"/>
          <w:szCs w:val="19"/>
          <w:lang w:eastAsia="en-AU"/>
        </w:rPr>
        <w:t xml:space="preserve"> </w:t>
      </w:r>
      <w:r w:rsidRPr="00B24C02">
        <w:rPr>
          <w:rFonts w:cs="Arial"/>
          <w:color w:val="000000"/>
          <w:szCs w:val="19"/>
          <w:lang w:eastAsia="en-AU"/>
        </w:rPr>
        <w:t>performance.</w:t>
      </w:r>
    </w:p>
    <w:p w14:paraId="0A6D6430" w14:textId="77777777" w:rsidR="00236748" w:rsidRPr="00276391" w:rsidRDefault="00236748" w:rsidP="00276391">
      <w:pPr>
        <w:pStyle w:val="Heading3"/>
        <w:rPr>
          <w:lang w:eastAsia="en-AU"/>
        </w:rPr>
      </w:pPr>
      <w:bookmarkStart w:id="55" w:name="_Toc478991692"/>
      <w:bookmarkStart w:id="56" w:name="_Toc478992305"/>
      <w:bookmarkStart w:id="57" w:name="_Toc4141987"/>
      <w:r w:rsidRPr="00276391">
        <w:rPr>
          <w:lang w:eastAsia="en-AU"/>
        </w:rPr>
        <w:t>Partnering</w:t>
      </w:r>
      <w:r w:rsidR="005D5532" w:rsidRPr="00276391">
        <w:rPr>
          <w:lang w:eastAsia="en-AU"/>
        </w:rPr>
        <w:t xml:space="preserve"> </w:t>
      </w:r>
      <w:r w:rsidRPr="00276391">
        <w:rPr>
          <w:lang w:eastAsia="en-AU"/>
        </w:rPr>
        <w:t>resources</w:t>
      </w:r>
      <w:bookmarkEnd w:id="55"/>
      <w:bookmarkEnd w:id="56"/>
      <w:bookmarkEnd w:id="57"/>
    </w:p>
    <w:p w14:paraId="21A9353E" w14:textId="6714CE70" w:rsidR="00236748" w:rsidRPr="00276391" w:rsidRDefault="00236748" w:rsidP="00276391">
      <w:pPr>
        <w:pStyle w:val="DHHSbody"/>
        <w:rPr>
          <w:lang w:eastAsia="en-AU"/>
        </w:rPr>
      </w:pPr>
      <w:r w:rsidRPr="00B24C02">
        <w:rPr>
          <w:rFonts w:cs="Arial"/>
          <w:color w:val="000000"/>
          <w:szCs w:val="19"/>
          <w:lang w:eastAsia="en-AU"/>
        </w:rPr>
        <w:t>Partnering</w:t>
      </w:r>
      <w:r w:rsidR="005D5532" w:rsidRPr="00B24C02">
        <w:rPr>
          <w:rFonts w:cs="Arial"/>
          <w:color w:val="000000"/>
          <w:szCs w:val="19"/>
          <w:lang w:eastAsia="en-AU"/>
        </w:rPr>
        <w:t xml:space="preserve"> </w:t>
      </w:r>
      <w:r w:rsidR="00CD747C">
        <w:rPr>
          <w:rFonts w:cs="Arial"/>
          <w:color w:val="000000"/>
          <w:szCs w:val="19"/>
          <w:lang w:eastAsia="en-AU"/>
        </w:rPr>
        <w:t xml:space="preserve">information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found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21" w:history="1">
        <w:r w:rsidR="006061FD" w:rsidRPr="009C443A">
          <w:rPr>
            <w:rStyle w:val="Hyperlink"/>
          </w:rPr>
          <w:t>Victorian Council of Social service's website</w:t>
        </w:r>
      </w:hyperlink>
      <w:r w:rsidR="005D5532" w:rsidRPr="00B24C02">
        <w:rPr>
          <w:rFonts w:cs="Arial"/>
          <w:color w:val="000000"/>
          <w:szCs w:val="19"/>
          <w:lang w:eastAsia="en-AU"/>
        </w:rPr>
        <w:t xml:space="preserve"> </w:t>
      </w:r>
      <w:r w:rsidR="00FB7ADC">
        <w:rPr>
          <w:rFonts w:cs="Arial"/>
          <w:color w:val="000000"/>
          <w:szCs w:val="19"/>
          <w:lang w:eastAsia="en-AU"/>
        </w:rPr>
        <w:t>&lt;</w:t>
      </w:r>
      <w:r w:rsidR="00FB7ADC" w:rsidRPr="00FB7ADC">
        <w:rPr>
          <w:rFonts w:cs="Arial"/>
          <w:color w:val="000000"/>
          <w:szCs w:val="19"/>
          <w:lang w:eastAsia="en-AU"/>
        </w:rPr>
        <w:t>http://vcoss.org.au/strong-sector/partnerships-decd/</w:t>
      </w:r>
      <w:r w:rsidR="00FB7ADC">
        <w:rPr>
          <w:rFonts w:cs="Arial"/>
          <w:color w:val="000000"/>
          <w:szCs w:val="19"/>
          <w:lang w:eastAsia="en-AU"/>
        </w:rPr>
        <w:t>&gt;</w:t>
      </w:r>
      <w:r w:rsidR="00FB7ADC" w:rsidRPr="00FB7ADC">
        <w:rPr>
          <w:rFonts w:cs="Arial"/>
          <w:color w:val="000000"/>
          <w:szCs w:val="19"/>
          <w:lang w:eastAsia="en-AU"/>
        </w:rPr>
        <w:t xml:space="preserve"> </w:t>
      </w:r>
      <w:r w:rsidRPr="00B24C02">
        <w:rPr>
          <w:rFonts w:cs="Arial"/>
          <w:color w:val="000000"/>
          <w:szCs w:val="19"/>
          <w:lang w:eastAsia="en-AU"/>
        </w:rPr>
        <w:t>(</w:t>
      </w:r>
      <w:r w:rsidR="001A0795">
        <w:rPr>
          <w:rFonts w:cs="Arial"/>
          <w:color w:val="000000"/>
          <w:szCs w:val="19"/>
          <w:lang w:eastAsia="en-AU"/>
        </w:rPr>
        <w:t>external link, opens in a new window</w:t>
      </w:r>
      <w:r w:rsidRPr="00B24C02">
        <w:rPr>
          <w:rFonts w:cs="Arial"/>
          <w:color w:val="000000"/>
          <w:szCs w:val="19"/>
          <w:lang w:eastAsia="en-AU"/>
        </w:rPr>
        <w:t>).</w:t>
      </w:r>
    </w:p>
    <w:p w14:paraId="736C6104" w14:textId="287F9428" w:rsidR="00236748" w:rsidRPr="00276391" w:rsidRDefault="00236748" w:rsidP="009B2351">
      <w:pPr>
        <w:pStyle w:val="Heading2"/>
        <w:rPr>
          <w:rFonts w:cs="Arial"/>
          <w:lang w:eastAsia="en-AU"/>
        </w:rPr>
      </w:pPr>
      <w:bookmarkStart w:id="58" w:name="_Toc478991693"/>
      <w:bookmarkStart w:id="59" w:name="_Toc478992306"/>
      <w:bookmarkStart w:id="60" w:name="_Toc478992874"/>
      <w:bookmarkStart w:id="61" w:name="_Toc4141988"/>
      <w:r w:rsidRPr="00276391">
        <w:rPr>
          <w:rFonts w:cs="Arial"/>
          <w:lang w:eastAsia="en-AU"/>
        </w:rPr>
        <w:t>1.6</w:t>
      </w:r>
      <w:r w:rsidR="009B2351" w:rsidRPr="00276391">
        <w:rPr>
          <w:rFonts w:cs="Arial"/>
          <w:lang w:eastAsia="en-AU"/>
        </w:rPr>
        <w:t xml:space="preserve"> </w:t>
      </w:r>
      <w:r w:rsidRPr="00276391">
        <w:rPr>
          <w:rFonts w:cs="Arial"/>
          <w:lang w:eastAsia="en-AU"/>
        </w:rPr>
        <w:t>Human</w:t>
      </w:r>
      <w:r w:rsidR="009B2351" w:rsidRPr="00276391">
        <w:rPr>
          <w:rFonts w:cs="Arial"/>
          <w:lang w:eastAsia="en-AU"/>
        </w:rPr>
        <w:t xml:space="preserve"> </w:t>
      </w:r>
      <w:r w:rsidRPr="00276391">
        <w:rPr>
          <w:rFonts w:cs="Arial"/>
          <w:lang w:eastAsia="en-AU"/>
        </w:rPr>
        <w:t>Services</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Health</w:t>
      </w:r>
      <w:r w:rsidR="009B2351" w:rsidRPr="00276391">
        <w:rPr>
          <w:rFonts w:cs="Arial"/>
          <w:lang w:eastAsia="en-AU"/>
        </w:rPr>
        <w:t xml:space="preserve"> </w:t>
      </w:r>
      <w:r w:rsidR="006061FD">
        <w:rPr>
          <w:rFonts w:cs="Arial"/>
          <w:lang w:eastAsia="en-AU"/>
        </w:rPr>
        <w:t>p</w:t>
      </w:r>
      <w:r w:rsidRPr="00276391">
        <w:rPr>
          <w:rFonts w:cs="Arial"/>
          <w:lang w:eastAsia="en-AU"/>
        </w:rPr>
        <w:t>artnership</w:t>
      </w:r>
      <w:r w:rsidR="009B2351" w:rsidRPr="00276391">
        <w:rPr>
          <w:rFonts w:cs="Arial"/>
          <w:lang w:eastAsia="en-AU"/>
        </w:rPr>
        <w:t xml:space="preserve"> </w:t>
      </w:r>
      <w:r w:rsidR="006061FD">
        <w:rPr>
          <w:rFonts w:cs="Arial"/>
          <w:lang w:eastAsia="en-AU"/>
        </w:rPr>
        <w:t>i</w:t>
      </w:r>
      <w:r w:rsidRPr="00276391">
        <w:rPr>
          <w:rFonts w:cs="Arial"/>
          <w:lang w:eastAsia="en-AU"/>
        </w:rPr>
        <w:t>mplementation</w:t>
      </w:r>
      <w:r w:rsidR="009B2351" w:rsidRPr="00276391">
        <w:rPr>
          <w:rFonts w:cs="Arial"/>
          <w:lang w:eastAsia="en-AU"/>
        </w:rPr>
        <w:t xml:space="preserve"> </w:t>
      </w:r>
      <w:r w:rsidR="006061FD">
        <w:rPr>
          <w:rFonts w:cs="Arial"/>
          <w:lang w:eastAsia="en-AU"/>
        </w:rPr>
        <w:t>c</w:t>
      </w:r>
      <w:r w:rsidRPr="00276391">
        <w:rPr>
          <w:rFonts w:cs="Arial"/>
          <w:lang w:eastAsia="en-AU"/>
        </w:rPr>
        <w:t>ommittee</w:t>
      </w:r>
      <w:bookmarkEnd w:id="58"/>
      <w:bookmarkEnd w:id="59"/>
      <w:bookmarkEnd w:id="60"/>
      <w:bookmarkEnd w:id="61"/>
    </w:p>
    <w:p w14:paraId="1FD2B9F6" w14:textId="77777777" w:rsidR="00236748" w:rsidRPr="00276391" w:rsidRDefault="00236748" w:rsidP="00276391">
      <w:pPr>
        <w:pStyle w:val="Heading3"/>
        <w:rPr>
          <w:lang w:eastAsia="en-AU"/>
        </w:rPr>
      </w:pPr>
      <w:bookmarkStart w:id="62" w:name="_Toc478991694"/>
      <w:bookmarkStart w:id="63" w:name="_Toc478992307"/>
      <w:bookmarkStart w:id="64" w:name="_Toc4141989"/>
      <w:r w:rsidRPr="00276391">
        <w:rPr>
          <w:lang w:eastAsia="en-AU"/>
        </w:rPr>
        <w:t>1.6.1</w:t>
      </w:r>
      <w:r w:rsidR="005D5532" w:rsidRPr="00276391">
        <w:rPr>
          <w:lang w:eastAsia="en-AU"/>
        </w:rPr>
        <w:t xml:space="preserve"> </w:t>
      </w:r>
      <w:r w:rsidRPr="00276391">
        <w:rPr>
          <w:lang w:eastAsia="en-AU"/>
        </w:rPr>
        <w:t>Purpose</w:t>
      </w:r>
      <w:bookmarkEnd w:id="62"/>
      <w:bookmarkEnd w:id="63"/>
      <w:bookmarkEnd w:id="64"/>
    </w:p>
    <w:p w14:paraId="7234CE3B" w14:textId="62F4D40B"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committee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promote</w:t>
      </w:r>
      <w:r w:rsidR="005D5532" w:rsidRPr="00B24C02">
        <w:rPr>
          <w:rFonts w:cs="Arial"/>
          <w:color w:val="000000"/>
          <w:szCs w:val="19"/>
          <w:lang w:eastAsia="en-AU"/>
        </w:rPr>
        <w:t xml:space="preserve"> </w:t>
      </w:r>
      <w:r w:rsidRPr="00B24C02">
        <w:rPr>
          <w:rFonts w:cs="Arial"/>
          <w:color w:val="000000"/>
          <w:szCs w:val="19"/>
          <w:lang w:eastAsia="en-AU"/>
        </w:rPr>
        <w:t>consultation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engagement</w:t>
      </w:r>
      <w:r w:rsidR="005D5532" w:rsidRPr="00B24C02">
        <w:rPr>
          <w:rFonts w:cs="Arial"/>
          <w:color w:val="000000"/>
          <w:szCs w:val="19"/>
          <w:lang w:eastAsia="en-AU"/>
        </w:rPr>
        <w:t xml:space="preserve"> </w:t>
      </w:r>
      <w:r w:rsidRPr="00B24C02">
        <w:rPr>
          <w:rFonts w:cs="Arial"/>
          <w:color w:val="000000"/>
          <w:szCs w:val="19"/>
          <w:lang w:eastAsia="en-AU"/>
        </w:rPr>
        <w:t>between</w:t>
      </w:r>
      <w:r w:rsidR="005D5532" w:rsidRPr="00B24C02">
        <w:rPr>
          <w:rFonts w:cs="Arial"/>
          <w:color w:val="000000"/>
          <w:szCs w:val="19"/>
          <w:lang w:eastAsia="en-AU"/>
        </w:rPr>
        <w:t xml:space="preserve"> </w:t>
      </w:r>
      <w:r w:rsidR="00D45BB7">
        <w:rPr>
          <w:rFonts w:cs="Arial"/>
          <w:color w:val="000000"/>
          <w:szCs w:val="19"/>
          <w:lang w:eastAsia="en-AU"/>
        </w:rPr>
        <w:t>the 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sector.</w:t>
      </w:r>
    </w:p>
    <w:p w14:paraId="6ED8B2A7" w14:textId="77777777" w:rsidR="00236748" w:rsidRPr="00276391" w:rsidRDefault="00236748" w:rsidP="00276391">
      <w:pPr>
        <w:pStyle w:val="Heading3"/>
        <w:rPr>
          <w:lang w:eastAsia="en-AU"/>
        </w:rPr>
      </w:pPr>
      <w:bookmarkStart w:id="65" w:name="_Toc478991695"/>
      <w:bookmarkStart w:id="66" w:name="_Toc478992308"/>
      <w:bookmarkStart w:id="67" w:name="_Toc4141990"/>
      <w:r w:rsidRPr="00276391">
        <w:rPr>
          <w:lang w:eastAsia="en-AU"/>
        </w:rPr>
        <w:t>1.6.2</w:t>
      </w:r>
      <w:r w:rsidR="005D5532" w:rsidRPr="00276391">
        <w:rPr>
          <w:lang w:eastAsia="en-AU"/>
        </w:rPr>
        <w:t xml:space="preserve"> </w:t>
      </w:r>
      <w:r w:rsidRPr="00276391">
        <w:rPr>
          <w:lang w:eastAsia="en-AU"/>
        </w:rPr>
        <w:t>Background</w:t>
      </w:r>
      <w:bookmarkEnd w:id="65"/>
      <w:bookmarkEnd w:id="66"/>
      <w:bookmarkEnd w:id="67"/>
    </w:p>
    <w:p w14:paraId="6B36E756" w14:textId="158A751C" w:rsidR="00CD747C" w:rsidRDefault="00CD747C" w:rsidP="00276391">
      <w:pPr>
        <w:pStyle w:val="DHHSbody"/>
        <w:rPr>
          <w:rFonts w:cs="Arial"/>
          <w:color w:val="333333"/>
          <w:lang w:eastAsia="en-AU"/>
        </w:rPr>
      </w:pPr>
      <w:r w:rsidRPr="004D36A4">
        <w:rPr>
          <w:rFonts w:cs="Arial"/>
          <w:color w:val="333333"/>
          <w:lang w:eastAsia="en-AU"/>
        </w:rPr>
        <w:t xml:space="preserve">The </w:t>
      </w:r>
      <w:hyperlink r:id="rId22" w:history="1">
        <w:r w:rsidRPr="007E2520">
          <w:rPr>
            <w:rStyle w:val="Hyperlink"/>
            <w:rFonts w:cs="Arial"/>
            <w:lang w:eastAsia="en-AU"/>
          </w:rPr>
          <w:t>Human Services and Health Partnership Implementation Committee (HSHPIC</w:t>
        </w:r>
      </w:hyperlink>
      <w:r w:rsidRPr="004D36A4">
        <w:rPr>
          <w:rFonts w:cs="Arial"/>
          <w:color w:val="333333"/>
          <w:lang w:eastAsia="en-AU"/>
        </w:rPr>
        <w:t>)</w:t>
      </w:r>
      <w:r w:rsidR="007E2520">
        <w:rPr>
          <w:rFonts w:cs="Arial"/>
          <w:color w:val="333333"/>
          <w:lang w:eastAsia="en-AU"/>
        </w:rPr>
        <w:t xml:space="preserve"> &lt;</w:t>
      </w:r>
      <w:r w:rsidR="007E2520" w:rsidRPr="007E2520">
        <w:rPr>
          <w:rFonts w:cs="Arial"/>
          <w:color w:val="333333"/>
          <w:lang w:eastAsia="en-AU"/>
        </w:rPr>
        <w:t>https://providers.dhhs.vic.gov.au/human-services-and-health-partnership-implementation-committee</w:t>
      </w:r>
      <w:r w:rsidR="007E2520">
        <w:rPr>
          <w:rFonts w:cs="Arial"/>
          <w:color w:val="333333"/>
          <w:lang w:eastAsia="en-AU"/>
        </w:rPr>
        <w:t xml:space="preserve">&gt; (external link, opens in a new window) </w:t>
      </w:r>
      <w:r w:rsidRPr="004D36A4">
        <w:rPr>
          <w:rFonts w:cs="Arial"/>
          <w:color w:val="333333"/>
          <w:lang w:eastAsia="en-AU"/>
        </w:rPr>
        <w:t>was established in 2004 to guide and implement the commitments</w:t>
      </w:r>
      <w:r w:rsidR="00290A28">
        <w:rPr>
          <w:rFonts w:cs="Arial"/>
          <w:color w:val="333333"/>
          <w:lang w:eastAsia="en-AU"/>
        </w:rPr>
        <w:t xml:space="preserve"> of the Partnership a</w:t>
      </w:r>
      <w:r w:rsidRPr="004D36A4">
        <w:rPr>
          <w:rFonts w:cs="Arial"/>
          <w:color w:val="333333"/>
          <w:lang w:eastAsia="en-AU"/>
        </w:rPr>
        <w:t>greement. The purpose of the committee is to promote consultat</w:t>
      </w:r>
      <w:r w:rsidR="00D45BB7">
        <w:rPr>
          <w:rFonts w:cs="Arial"/>
          <w:color w:val="333333"/>
          <w:lang w:eastAsia="en-AU"/>
        </w:rPr>
        <w:t>ion and engagement between the d</w:t>
      </w:r>
      <w:r w:rsidRPr="004D36A4">
        <w:rPr>
          <w:rFonts w:cs="Arial"/>
          <w:color w:val="333333"/>
          <w:lang w:eastAsia="en-AU"/>
        </w:rPr>
        <w:t>epartment and funded community sector organisations. HSHPIC is co</w:t>
      </w:r>
      <w:r>
        <w:rPr>
          <w:rFonts w:cs="Arial"/>
          <w:color w:val="333333"/>
          <w:lang w:eastAsia="en-AU"/>
        </w:rPr>
        <w:t>-</w:t>
      </w:r>
      <w:r w:rsidRPr="004D36A4">
        <w:rPr>
          <w:rFonts w:cs="Arial"/>
          <w:color w:val="333333"/>
          <w:lang w:eastAsia="en-AU"/>
        </w:rPr>
        <w:t xml:space="preserve">chaired by </w:t>
      </w:r>
      <w:r w:rsidR="00D45BB7">
        <w:rPr>
          <w:rFonts w:cs="Arial"/>
          <w:color w:val="333333"/>
          <w:lang w:eastAsia="en-AU"/>
        </w:rPr>
        <w:t>the department</w:t>
      </w:r>
      <w:r w:rsidRPr="004D36A4">
        <w:rPr>
          <w:rFonts w:cs="Arial"/>
          <w:color w:val="333333"/>
          <w:lang w:eastAsia="en-AU"/>
        </w:rPr>
        <w:t xml:space="preserve"> and VCOSS. </w:t>
      </w:r>
    </w:p>
    <w:p w14:paraId="4BEE0DF1" w14:textId="29100A87" w:rsidR="00236748" w:rsidRPr="00276391" w:rsidRDefault="00236748" w:rsidP="00276391">
      <w:pPr>
        <w:pStyle w:val="DHHSbody"/>
        <w:rPr>
          <w:lang w:eastAsia="en-AU"/>
        </w:rPr>
      </w:pPr>
      <w:r w:rsidRPr="00276391">
        <w:rPr>
          <w:lang w:eastAsia="en-AU"/>
        </w:rPr>
        <w:t>HSHPIC</w:t>
      </w:r>
      <w:r w:rsidR="005D5532" w:rsidRPr="00276391">
        <w:rPr>
          <w:lang w:eastAsia="en-AU"/>
        </w:rPr>
        <w:t xml:space="preserve"> </w:t>
      </w:r>
      <w:r w:rsidRPr="00276391">
        <w:rPr>
          <w:lang w:eastAsia="en-AU"/>
        </w:rPr>
        <w:t>works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promote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collaboration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partnering</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positive</w:t>
      </w:r>
      <w:r w:rsidR="005D5532" w:rsidRPr="00276391">
        <w:rPr>
          <w:lang w:eastAsia="en-AU"/>
        </w:rPr>
        <w:t xml:space="preserve"> </w:t>
      </w:r>
      <w:r w:rsidRPr="00276391">
        <w:rPr>
          <w:lang w:eastAsia="en-AU"/>
        </w:rPr>
        <w:t>difference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our</w:t>
      </w:r>
      <w:r w:rsidR="005D5532" w:rsidRPr="00276391">
        <w:rPr>
          <w:lang w:eastAsia="en-AU"/>
        </w:rPr>
        <w:t xml:space="preserve"> </w:t>
      </w:r>
      <w:r w:rsidRPr="00276391">
        <w:rPr>
          <w:lang w:eastAsia="en-AU"/>
        </w:rPr>
        <w:t>shared</w:t>
      </w:r>
      <w:r w:rsidR="005D5532" w:rsidRPr="00276391">
        <w:rPr>
          <w:lang w:eastAsia="en-AU"/>
        </w:rPr>
        <w:t xml:space="preserve"> </w:t>
      </w:r>
      <w:r w:rsidRPr="00276391">
        <w:rPr>
          <w:lang w:eastAsia="en-AU"/>
        </w:rPr>
        <w:t>clients.</w:t>
      </w:r>
      <w:r w:rsidR="005D5532" w:rsidRPr="00276391">
        <w:rPr>
          <w:lang w:eastAsia="en-AU"/>
        </w:rPr>
        <w:t xml:space="preserve"> </w:t>
      </w:r>
    </w:p>
    <w:p w14:paraId="4CD979F6" w14:textId="39DC3964" w:rsidR="00CD747C" w:rsidRPr="002F7B56" w:rsidRDefault="00CD747C" w:rsidP="00CD747C">
      <w:pPr>
        <w:shd w:val="clear" w:color="auto" w:fill="FFFFFF"/>
        <w:spacing w:after="270" w:line="336" w:lineRule="atLeast"/>
        <w:textAlignment w:val="baseline"/>
        <w:rPr>
          <w:rFonts w:ascii="Arial" w:hAnsi="Arial" w:cs="Arial"/>
          <w:color w:val="000000" w:themeColor="text1"/>
          <w:lang w:eastAsia="en-AU"/>
        </w:rPr>
      </w:pPr>
      <w:r w:rsidRPr="002F7B56">
        <w:rPr>
          <w:rFonts w:ascii="Arial" w:hAnsi="Arial" w:cs="Arial"/>
          <w:color w:val="000000" w:themeColor="text1"/>
          <w:lang w:eastAsia="en-AU"/>
        </w:rPr>
        <w:t>The work of HSHPIC focuses on:</w:t>
      </w:r>
    </w:p>
    <w:p w14:paraId="4E28C096" w14:textId="3E1C1047" w:rsidR="00CD747C" w:rsidRPr="002F7B56" w:rsidRDefault="00CD747C" w:rsidP="00CD3CD6">
      <w:pPr>
        <w:numPr>
          <w:ilvl w:val="0"/>
          <w:numId w:val="15"/>
        </w:numPr>
        <w:ind w:left="450"/>
        <w:textAlignment w:val="baseline"/>
        <w:rPr>
          <w:rFonts w:ascii="Arial" w:hAnsi="Arial" w:cs="Arial"/>
          <w:color w:val="000000" w:themeColor="text1"/>
          <w:lang w:eastAsia="en-AU"/>
        </w:rPr>
      </w:pPr>
      <w:r w:rsidRPr="002F7B56">
        <w:rPr>
          <w:rFonts w:ascii="Arial" w:hAnsi="Arial" w:cs="Arial"/>
          <w:color w:val="000000" w:themeColor="text1"/>
          <w:lang w:eastAsia="en-AU"/>
        </w:rPr>
        <w:t xml:space="preserve">strengthening </w:t>
      </w:r>
      <w:r w:rsidR="00D45BB7">
        <w:rPr>
          <w:rFonts w:ascii="Arial" w:hAnsi="Arial" w:cs="Arial"/>
          <w:color w:val="000000" w:themeColor="text1"/>
          <w:lang w:eastAsia="en-AU"/>
        </w:rPr>
        <w:t>the department</w:t>
      </w:r>
      <w:r w:rsidRPr="002F7B56">
        <w:rPr>
          <w:rFonts w:ascii="Arial" w:hAnsi="Arial" w:cs="Arial"/>
          <w:color w:val="000000" w:themeColor="text1"/>
          <w:lang w:eastAsia="en-AU"/>
        </w:rPr>
        <w:t xml:space="preserve"> and community sector partnering to achieve effective and respectful relationships</w:t>
      </w:r>
    </w:p>
    <w:p w14:paraId="0C711BC1" w14:textId="77777777" w:rsidR="00CD747C" w:rsidRPr="002F7B56" w:rsidRDefault="00CD747C" w:rsidP="00CD3CD6">
      <w:pPr>
        <w:numPr>
          <w:ilvl w:val="0"/>
          <w:numId w:val="15"/>
        </w:numPr>
        <w:ind w:left="450"/>
        <w:textAlignment w:val="baseline"/>
        <w:rPr>
          <w:rFonts w:ascii="Arial" w:hAnsi="Arial" w:cs="Arial"/>
          <w:color w:val="000000" w:themeColor="text1"/>
          <w:lang w:eastAsia="en-AU"/>
        </w:rPr>
      </w:pPr>
      <w:proofErr w:type="spellStart"/>
      <w:r w:rsidRPr="002F7B56">
        <w:rPr>
          <w:rFonts w:ascii="Arial" w:hAnsi="Arial" w:cs="Arial"/>
          <w:color w:val="000000" w:themeColor="text1"/>
          <w:lang w:eastAsia="en-AU"/>
        </w:rPr>
        <w:t>auspicing</w:t>
      </w:r>
      <w:proofErr w:type="spellEnd"/>
      <w:r w:rsidRPr="002F7B56">
        <w:rPr>
          <w:rFonts w:ascii="Arial" w:hAnsi="Arial" w:cs="Arial"/>
          <w:color w:val="000000" w:themeColor="text1"/>
          <w:lang w:eastAsia="en-AU"/>
        </w:rPr>
        <w:t xml:space="preserve"> projects that improve business processes to reduce the regulatory burden on the community sector</w:t>
      </w:r>
    </w:p>
    <w:p w14:paraId="6A4265BF" w14:textId="77777777" w:rsidR="00CD747C" w:rsidRPr="002F7B56" w:rsidRDefault="00CD747C" w:rsidP="00CD3CD6">
      <w:pPr>
        <w:numPr>
          <w:ilvl w:val="0"/>
          <w:numId w:val="15"/>
        </w:numPr>
        <w:ind w:left="450"/>
        <w:textAlignment w:val="baseline"/>
        <w:rPr>
          <w:rFonts w:ascii="Arial" w:hAnsi="Arial" w:cs="Arial"/>
          <w:color w:val="000000" w:themeColor="text1"/>
          <w:lang w:eastAsia="en-AU"/>
        </w:rPr>
      </w:pPr>
      <w:r w:rsidRPr="002F7B56">
        <w:rPr>
          <w:rFonts w:ascii="Arial" w:hAnsi="Arial" w:cs="Arial"/>
          <w:color w:val="000000" w:themeColor="text1"/>
          <w:lang w:eastAsia="en-AU"/>
        </w:rPr>
        <w:t>addressing strategic challenges facing the human services industry through partnering dialogues and shared action.</w:t>
      </w:r>
    </w:p>
    <w:p w14:paraId="0176DA60" w14:textId="125063C0" w:rsidR="00236748" w:rsidRPr="00276391" w:rsidRDefault="00236748" w:rsidP="009B2351">
      <w:pPr>
        <w:pStyle w:val="Heading2"/>
        <w:rPr>
          <w:rFonts w:cs="Arial"/>
          <w:lang w:eastAsia="en-AU"/>
        </w:rPr>
      </w:pPr>
      <w:bookmarkStart w:id="68" w:name="_Toc478991698"/>
      <w:bookmarkStart w:id="69" w:name="_Toc478992311"/>
      <w:bookmarkStart w:id="70" w:name="_Toc478992875"/>
      <w:bookmarkStart w:id="71" w:name="_Toc4141991"/>
      <w:r w:rsidRPr="00276391">
        <w:rPr>
          <w:rFonts w:cs="Arial"/>
          <w:lang w:eastAsia="en-AU"/>
        </w:rPr>
        <w:t>1.7</w:t>
      </w:r>
      <w:r w:rsidR="009B2351" w:rsidRPr="00276391">
        <w:rPr>
          <w:rFonts w:cs="Arial"/>
          <w:lang w:eastAsia="en-AU"/>
        </w:rPr>
        <w:t xml:space="preserve"> </w:t>
      </w:r>
      <w:r w:rsidR="009B3052">
        <w:rPr>
          <w:rFonts w:cs="Arial"/>
          <w:lang w:eastAsia="en-AU"/>
        </w:rPr>
        <w:t>Service agreement</w:t>
      </w:r>
      <w:r w:rsidR="009B2351" w:rsidRPr="00276391">
        <w:rPr>
          <w:rFonts w:cs="Arial"/>
          <w:lang w:eastAsia="en-AU"/>
        </w:rPr>
        <w:t xml:space="preserve"> </w:t>
      </w:r>
      <w:r w:rsidR="006061FD">
        <w:rPr>
          <w:rFonts w:cs="Arial"/>
          <w:lang w:eastAsia="en-AU"/>
        </w:rPr>
        <w:t>w</w:t>
      </w:r>
      <w:r w:rsidR="00CD1CD8">
        <w:rPr>
          <w:rFonts w:cs="Arial"/>
          <w:lang w:eastAsia="en-AU"/>
        </w:rPr>
        <w:t>orking group</w:t>
      </w:r>
      <w:bookmarkEnd w:id="68"/>
      <w:bookmarkEnd w:id="69"/>
      <w:bookmarkEnd w:id="70"/>
      <w:r w:rsidR="009E36BE">
        <w:rPr>
          <w:rFonts w:cs="Arial"/>
          <w:lang w:eastAsia="en-AU"/>
        </w:rPr>
        <w:t xml:space="preserve"> Terms of </w:t>
      </w:r>
      <w:r w:rsidR="006061FD">
        <w:rPr>
          <w:rFonts w:cs="Arial"/>
          <w:lang w:eastAsia="en-AU"/>
        </w:rPr>
        <w:t>r</w:t>
      </w:r>
      <w:r w:rsidR="009E36BE">
        <w:rPr>
          <w:rFonts w:cs="Arial"/>
          <w:lang w:eastAsia="en-AU"/>
        </w:rPr>
        <w:t>eference</w:t>
      </w:r>
      <w:bookmarkEnd w:id="71"/>
    </w:p>
    <w:p w14:paraId="47A448BA" w14:textId="77777777" w:rsidR="00236748" w:rsidRPr="00276391" w:rsidRDefault="00236748" w:rsidP="00276391">
      <w:pPr>
        <w:pStyle w:val="Heading3"/>
        <w:rPr>
          <w:lang w:eastAsia="en-AU"/>
        </w:rPr>
      </w:pPr>
      <w:bookmarkStart w:id="72" w:name="_Toc478991699"/>
      <w:bookmarkStart w:id="73" w:name="_Toc478992312"/>
      <w:bookmarkStart w:id="74" w:name="_Toc4141992"/>
      <w:r w:rsidRPr="00276391">
        <w:rPr>
          <w:lang w:eastAsia="en-AU"/>
        </w:rPr>
        <w:t>Background</w:t>
      </w:r>
      <w:bookmarkEnd w:id="72"/>
      <w:bookmarkEnd w:id="73"/>
      <w:bookmarkEnd w:id="74"/>
    </w:p>
    <w:p w14:paraId="0486D5BA" w14:textId="5934071F"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DF40BF">
        <w:rPr>
          <w:rFonts w:cs="Arial"/>
          <w:color w:val="000000"/>
          <w:szCs w:val="19"/>
          <w:lang w:eastAsia="en-AU"/>
        </w:rPr>
        <w:t>w</w:t>
      </w:r>
      <w:r w:rsidR="00CD1CD8">
        <w:rPr>
          <w:rFonts w:cs="Arial"/>
          <w:color w:val="000000"/>
          <w:szCs w:val="19"/>
          <w:lang w:eastAsia="en-AU"/>
        </w:rPr>
        <w:t>orking group</w:t>
      </w:r>
      <w:r w:rsidR="005D5532" w:rsidRPr="00B24C02">
        <w:rPr>
          <w:rFonts w:cs="Arial"/>
          <w:color w:val="000000"/>
          <w:szCs w:val="19"/>
          <w:lang w:eastAsia="en-AU"/>
        </w:rPr>
        <w:t xml:space="preserve"> </w:t>
      </w:r>
      <w:r w:rsidRPr="00B24C02">
        <w:rPr>
          <w:rFonts w:cs="Arial"/>
          <w:color w:val="000000"/>
          <w:szCs w:val="19"/>
          <w:lang w:eastAsia="en-AU"/>
        </w:rPr>
        <w:t>(SAWG)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sub-group</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HSHPIC.</w:t>
      </w:r>
      <w:r w:rsidR="005D5532" w:rsidRPr="00B24C02">
        <w:rPr>
          <w:rFonts w:cs="Arial"/>
          <w:color w:val="000000"/>
          <w:szCs w:val="19"/>
          <w:lang w:eastAsia="en-AU"/>
        </w:rPr>
        <w:t xml:space="preserve"> </w:t>
      </w:r>
      <w:r w:rsidR="00290A28">
        <w:rPr>
          <w:rFonts w:cs="Arial"/>
          <w:color w:val="000000"/>
          <w:szCs w:val="19"/>
          <w:lang w:eastAsia="en-AU"/>
        </w:rPr>
        <w:t>SAWG</w:t>
      </w:r>
      <w:r w:rsidR="005D5532" w:rsidRPr="00B24C02">
        <w:rPr>
          <w:rFonts w:cs="Arial"/>
          <w:color w:val="000000"/>
          <w:szCs w:val="19"/>
          <w:lang w:eastAsia="en-AU"/>
        </w:rPr>
        <w:t xml:space="preserve"> </w:t>
      </w:r>
      <w:r w:rsidRPr="00B24C02">
        <w:rPr>
          <w:rFonts w:cs="Arial"/>
          <w:color w:val="000000"/>
          <w:szCs w:val="19"/>
          <w:lang w:eastAsia="en-AU"/>
        </w:rPr>
        <w:t>aims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effective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consistent</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across</w:t>
      </w:r>
      <w:r w:rsidR="005D5532" w:rsidRPr="00B24C02">
        <w:rPr>
          <w:rFonts w:cs="Arial"/>
          <w:color w:val="000000"/>
          <w:szCs w:val="19"/>
          <w:lang w:eastAsia="en-AU"/>
        </w:rPr>
        <w:t xml:space="preserve"> </w:t>
      </w:r>
      <w:r w:rsidR="00D45BB7">
        <w:rPr>
          <w:rFonts w:cs="Arial"/>
          <w:color w:val="000000"/>
          <w:szCs w:val="19"/>
          <w:lang w:eastAsia="en-AU"/>
        </w:rPr>
        <w:t xml:space="preserve">the Department of Health and Human Services and the Department of Education and Training. </w:t>
      </w:r>
    </w:p>
    <w:p w14:paraId="43C1EA75" w14:textId="7FBC5202" w:rsidR="00236748" w:rsidRPr="00276391" w:rsidRDefault="004739D0" w:rsidP="00276391">
      <w:pPr>
        <w:pStyle w:val="DHHSbody"/>
        <w:rPr>
          <w:lang w:eastAsia="en-AU"/>
        </w:rPr>
      </w:pPr>
      <w:r>
        <w:rPr>
          <w:lang w:eastAsia="en-AU"/>
        </w:rPr>
        <w:t xml:space="preserve">SAWG </w:t>
      </w:r>
      <w:r w:rsidR="00236748" w:rsidRPr="00276391">
        <w:rPr>
          <w:lang w:eastAsia="en-AU"/>
        </w:rPr>
        <w:t>was</w:t>
      </w:r>
      <w:r w:rsidR="005D5532" w:rsidRPr="00276391">
        <w:rPr>
          <w:lang w:eastAsia="en-AU"/>
        </w:rPr>
        <w:t xml:space="preserve"> </w:t>
      </w:r>
      <w:r w:rsidR="00236748" w:rsidRPr="00276391">
        <w:rPr>
          <w:lang w:eastAsia="en-AU"/>
        </w:rPr>
        <w:t>established</w:t>
      </w:r>
      <w:r w:rsidR="005D5532" w:rsidRPr="00276391">
        <w:rPr>
          <w:lang w:eastAsia="en-AU"/>
        </w:rPr>
        <w:t xml:space="preserve"> </w:t>
      </w:r>
      <w:r w:rsidR="00236748" w:rsidRPr="00276391">
        <w:rPr>
          <w:lang w:eastAsia="en-AU"/>
        </w:rPr>
        <w:t>as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key</w:t>
      </w:r>
      <w:r w:rsidR="005D5532" w:rsidRPr="00276391">
        <w:rPr>
          <w:lang w:eastAsia="en-AU"/>
        </w:rPr>
        <w:t xml:space="preserve"> </w:t>
      </w:r>
      <w:r w:rsidR="00236748" w:rsidRPr="00276391">
        <w:rPr>
          <w:lang w:eastAsia="en-AU"/>
        </w:rPr>
        <w:t>consultation</w:t>
      </w:r>
      <w:r w:rsidR="005D5532" w:rsidRPr="00276391">
        <w:rPr>
          <w:lang w:eastAsia="en-AU"/>
        </w:rPr>
        <w:t xml:space="preserve"> </w:t>
      </w:r>
      <w:r w:rsidR="00236748" w:rsidRPr="00276391">
        <w:rPr>
          <w:lang w:eastAsia="en-AU"/>
        </w:rPr>
        <w:t>body</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review</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w:t>
      </w:r>
      <w:r w:rsidR="005D5532" w:rsidRPr="00276391">
        <w:rPr>
          <w:lang w:eastAsia="en-AU"/>
        </w:rPr>
        <w:t xml:space="preserve"> </w:t>
      </w:r>
      <w:r w:rsidR="006061FD">
        <w:rPr>
          <w:lang w:eastAsia="en-AU"/>
        </w:rPr>
        <w:t>T</w:t>
      </w:r>
      <w:r w:rsidR="00236748" w:rsidRPr="00276391">
        <w:rPr>
          <w:lang w:eastAsia="en-AU"/>
        </w:rPr>
        <w:t>erms</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conditions</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w:t>
      </w:r>
      <w:r w:rsidR="005D5532" w:rsidRPr="00276391">
        <w:rPr>
          <w:lang w:eastAsia="en-AU"/>
        </w:rPr>
        <w:t xml:space="preserve"> </w:t>
      </w:r>
      <w:r w:rsidR="009B3052">
        <w:rPr>
          <w:lang w:eastAsia="en-AU"/>
        </w:rPr>
        <w:t>Service agreement</w:t>
      </w:r>
      <w:r w:rsidR="00236748" w:rsidRPr="00276391">
        <w:rPr>
          <w:lang w:eastAsia="en-AU"/>
        </w:rPr>
        <w:t>.</w:t>
      </w:r>
      <w:r w:rsidR="005D5532" w:rsidRPr="00276391">
        <w:rPr>
          <w:lang w:eastAsia="en-AU"/>
        </w:rPr>
        <w:t xml:space="preserve"> </w:t>
      </w:r>
      <w:r w:rsidR="00236748" w:rsidRPr="00276391">
        <w:rPr>
          <w:lang w:eastAsia="en-AU"/>
        </w:rPr>
        <w:t>The</w:t>
      </w:r>
      <w:r w:rsidR="005D5532" w:rsidRPr="00276391">
        <w:rPr>
          <w:lang w:eastAsia="en-AU"/>
        </w:rPr>
        <w:t xml:space="preserve"> </w:t>
      </w:r>
      <w:r w:rsidR="00CD1CD8">
        <w:rPr>
          <w:lang w:eastAsia="en-AU"/>
        </w:rPr>
        <w:t>working group</w:t>
      </w:r>
      <w:r w:rsidR="005D5532" w:rsidRPr="00276391">
        <w:rPr>
          <w:lang w:eastAsia="en-AU"/>
        </w:rPr>
        <w:t xml:space="preserve"> </w:t>
      </w:r>
      <w:r w:rsidR="00236748" w:rsidRPr="00276391">
        <w:rPr>
          <w:lang w:eastAsia="en-AU"/>
        </w:rPr>
        <w:t>seeks</w:t>
      </w:r>
      <w:r w:rsidR="005D5532" w:rsidRPr="00276391">
        <w:rPr>
          <w:lang w:eastAsia="en-AU"/>
        </w:rPr>
        <w:t xml:space="preserve"> </w:t>
      </w:r>
      <w:r w:rsidR="00236748" w:rsidRPr="00276391">
        <w:rPr>
          <w:lang w:eastAsia="en-AU"/>
        </w:rPr>
        <w:t>sector</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departmental</w:t>
      </w:r>
      <w:r w:rsidR="005D5532" w:rsidRPr="00276391">
        <w:rPr>
          <w:lang w:eastAsia="en-AU"/>
        </w:rPr>
        <w:t xml:space="preserve"> </w:t>
      </w:r>
      <w:r w:rsidR="00236748" w:rsidRPr="00276391">
        <w:rPr>
          <w:lang w:eastAsia="en-AU"/>
        </w:rPr>
        <w:t>feedback</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considers</w:t>
      </w:r>
      <w:r w:rsidR="005D5532" w:rsidRPr="00276391">
        <w:rPr>
          <w:lang w:eastAsia="en-AU"/>
        </w:rPr>
        <w:t xml:space="preserve"> </w:t>
      </w:r>
      <w:r w:rsidR="00236748" w:rsidRPr="00276391">
        <w:rPr>
          <w:lang w:eastAsia="en-AU"/>
        </w:rPr>
        <w:t>recommendations</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the</w:t>
      </w:r>
      <w:r w:rsidR="005D5532" w:rsidRPr="00276391">
        <w:rPr>
          <w:lang w:eastAsia="en-AU"/>
        </w:rPr>
        <w:t xml:space="preserve"> </w:t>
      </w:r>
      <w:r w:rsidR="009B3052">
        <w:rPr>
          <w:lang w:eastAsia="en-AU"/>
        </w:rPr>
        <w:t>Service agreement</w:t>
      </w:r>
      <w:r w:rsidR="00236748" w:rsidRPr="00276391">
        <w:rPr>
          <w:lang w:eastAsia="en-AU"/>
        </w:rPr>
        <w:t>.</w:t>
      </w:r>
    </w:p>
    <w:p w14:paraId="014C5297" w14:textId="77777777" w:rsidR="00236748" w:rsidRPr="00276391" w:rsidRDefault="00236748" w:rsidP="00276391">
      <w:pPr>
        <w:pStyle w:val="Heading3"/>
        <w:rPr>
          <w:lang w:eastAsia="en-AU"/>
        </w:rPr>
      </w:pPr>
      <w:bookmarkStart w:id="75" w:name="_Toc478991700"/>
      <w:bookmarkStart w:id="76" w:name="_Toc478992313"/>
      <w:bookmarkStart w:id="77" w:name="_Toc4141993"/>
      <w:r w:rsidRPr="00276391">
        <w:rPr>
          <w:lang w:eastAsia="en-AU"/>
        </w:rPr>
        <w:lastRenderedPageBreak/>
        <w:t>Role</w:t>
      </w:r>
      <w:bookmarkEnd w:id="75"/>
      <w:bookmarkEnd w:id="76"/>
      <w:bookmarkEnd w:id="77"/>
    </w:p>
    <w:p w14:paraId="6809144A" w14:textId="643007BB" w:rsidR="00236748" w:rsidRPr="00276391" w:rsidRDefault="00236748" w:rsidP="00276391">
      <w:pPr>
        <w:pStyle w:val="DHHSbody"/>
        <w:rPr>
          <w:lang w:eastAsia="en-AU"/>
        </w:rPr>
      </w:pPr>
      <w:r w:rsidRPr="00B24C02">
        <w:rPr>
          <w:rFonts w:cs="Arial"/>
          <w:color w:val="000000"/>
          <w:szCs w:val="19"/>
          <w:lang w:eastAsia="en-AU"/>
        </w:rPr>
        <w:t>SAWG</w:t>
      </w:r>
      <w:r w:rsidR="005D5532" w:rsidRPr="00B24C02">
        <w:rPr>
          <w:rFonts w:cs="Arial"/>
          <w:color w:val="000000"/>
          <w:szCs w:val="19"/>
          <w:lang w:eastAsia="en-AU"/>
        </w:rPr>
        <w:t xml:space="preserve"> </w:t>
      </w:r>
      <w:r w:rsidRPr="00B24C02">
        <w:rPr>
          <w:rFonts w:cs="Arial"/>
          <w:color w:val="000000"/>
          <w:szCs w:val="19"/>
          <w:lang w:eastAsia="en-AU"/>
        </w:rPr>
        <w:t>will:</w:t>
      </w:r>
    </w:p>
    <w:p w14:paraId="3F5C45E2" w14:textId="7BAB0FEE" w:rsidR="00236748" w:rsidRPr="00276391" w:rsidRDefault="00236748" w:rsidP="00276391">
      <w:pPr>
        <w:pStyle w:val="DHHSbullet1"/>
        <w:rPr>
          <w:rFonts w:cs="Arial"/>
          <w:lang w:eastAsia="en-AU"/>
        </w:rPr>
      </w:pPr>
      <w:r w:rsidRPr="00276391">
        <w:rPr>
          <w:rFonts w:cs="Arial"/>
          <w:lang w:eastAsia="en-AU"/>
        </w:rPr>
        <w:t>represent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sector</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4C6434">
        <w:rPr>
          <w:rFonts w:cs="Arial"/>
          <w:lang w:eastAsia="en-AU"/>
        </w:rPr>
        <w:t>’s</w:t>
      </w:r>
      <w:r w:rsidR="005D5532" w:rsidRPr="00276391">
        <w:rPr>
          <w:rFonts w:cs="Arial"/>
          <w:lang w:eastAsia="en-AU"/>
        </w:rPr>
        <w:t xml:space="preserve"> </w:t>
      </w:r>
      <w:r w:rsidRPr="00276391">
        <w:rPr>
          <w:rFonts w:cs="Arial"/>
          <w:lang w:eastAsia="en-AU"/>
        </w:rPr>
        <w:t>views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advocate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ensure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effective</w:t>
      </w:r>
      <w:r w:rsidR="005D5532" w:rsidRPr="00276391">
        <w:rPr>
          <w:rFonts w:cs="Arial"/>
          <w:lang w:eastAsia="en-AU"/>
        </w:rPr>
        <w:t xml:space="preserve"> </w:t>
      </w:r>
      <w:r w:rsidRPr="00276391">
        <w:rPr>
          <w:rFonts w:cs="Arial"/>
          <w:lang w:eastAsia="en-AU"/>
        </w:rPr>
        <w:t>operation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51F1BCBA" w14:textId="5CE16CE0" w:rsidR="00236748" w:rsidRPr="00276391" w:rsidRDefault="00236748" w:rsidP="00276391">
      <w:pPr>
        <w:pStyle w:val="DHHSbullet1"/>
        <w:rPr>
          <w:rFonts w:cs="Arial"/>
          <w:lang w:eastAsia="en-AU"/>
        </w:rPr>
      </w:pPr>
      <w:r w:rsidRPr="00276391">
        <w:rPr>
          <w:rFonts w:cs="Arial"/>
          <w:lang w:eastAsia="en-AU"/>
        </w:rPr>
        <w:t>ensure</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stakeholders</w:t>
      </w:r>
      <w:r w:rsidR="005D5532" w:rsidRPr="00276391">
        <w:rPr>
          <w:rFonts w:cs="Arial"/>
          <w:lang w:eastAsia="en-AU"/>
        </w:rPr>
        <w:t xml:space="preserve"> </w:t>
      </w:r>
      <w:r w:rsidRPr="00276391">
        <w:rPr>
          <w:rFonts w:cs="Arial"/>
          <w:lang w:eastAsia="en-AU"/>
        </w:rPr>
        <w:t>can</w:t>
      </w:r>
      <w:r w:rsidR="005D5532" w:rsidRPr="00276391">
        <w:rPr>
          <w:rFonts w:cs="Arial"/>
          <w:lang w:eastAsia="en-AU"/>
        </w:rPr>
        <w:t xml:space="preserve"> </w:t>
      </w:r>
      <w:r w:rsidRPr="00276391">
        <w:rPr>
          <w:rFonts w:cs="Arial"/>
          <w:lang w:eastAsia="en-AU"/>
        </w:rPr>
        <w:t>easily</w:t>
      </w:r>
      <w:r w:rsidR="005D5532" w:rsidRPr="00276391">
        <w:rPr>
          <w:rFonts w:cs="Arial"/>
          <w:lang w:eastAsia="en-AU"/>
        </w:rPr>
        <w:t xml:space="preserve"> </w:t>
      </w:r>
      <w:r w:rsidRPr="00276391">
        <w:rPr>
          <w:rFonts w:cs="Arial"/>
          <w:lang w:eastAsia="en-AU"/>
        </w:rPr>
        <w:t>understand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41E20C4E" w14:textId="4E7664AB" w:rsidR="00236748" w:rsidRPr="00276391" w:rsidRDefault="00236748" w:rsidP="00276391">
      <w:pPr>
        <w:pStyle w:val="DHHSbullet1"/>
        <w:rPr>
          <w:rFonts w:cs="Arial"/>
          <w:lang w:eastAsia="en-AU"/>
        </w:rPr>
      </w:pPr>
      <w:r w:rsidRPr="00276391">
        <w:rPr>
          <w:rFonts w:cs="Arial"/>
          <w:lang w:eastAsia="en-AU"/>
        </w:rPr>
        <w:t>be</w:t>
      </w:r>
      <w:r w:rsidR="005D5532" w:rsidRPr="00276391">
        <w:rPr>
          <w:rFonts w:cs="Arial"/>
          <w:lang w:eastAsia="en-AU"/>
        </w:rPr>
        <w:t xml:space="preserve"> </w:t>
      </w:r>
      <w:r w:rsidRPr="00276391">
        <w:rPr>
          <w:rFonts w:cs="Arial"/>
          <w:lang w:eastAsia="en-AU"/>
        </w:rPr>
        <w:t>used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consult</w:t>
      </w:r>
      <w:r w:rsidR="005D5532" w:rsidRPr="00276391">
        <w:rPr>
          <w:rFonts w:cs="Arial"/>
          <w:lang w:eastAsia="en-AU"/>
        </w:rPr>
        <w:t xml:space="preserve"> </w:t>
      </w:r>
      <w:r w:rsidRPr="00276391">
        <w:rPr>
          <w:rFonts w:cs="Arial"/>
          <w:lang w:eastAsia="en-AU"/>
        </w:rPr>
        <w:t>stakeholders</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policy</w:t>
      </w:r>
      <w:r w:rsidR="005D5532" w:rsidRPr="00276391">
        <w:rPr>
          <w:rFonts w:cs="Arial"/>
          <w:lang w:eastAsia="en-AU"/>
        </w:rPr>
        <w:t xml:space="preserve"> </w:t>
      </w:r>
      <w:r w:rsidRPr="00276391">
        <w:rPr>
          <w:rFonts w:cs="Arial"/>
          <w:lang w:eastAsia="en-AU"/>
        </w:rPr>
        <w:t>documents</w:t>
      </w:r>
      <w:r w:rsidR="005D5532" w:rsidRPr="00276391">
        <w:rPr>
          <w:rFonts w:cs="Arial"/>
          <w:lang w:eastAsia="en-AU"/>
        </w:rPr>
        <w:t xml:space="preserve"> </w:t>
      </w:r>
    </w:p>
    <w:p w14:paraId="17FED2EC" w14:textId="4B57BA25"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ongoing</w:t>
      </w:r>
      <w:r w:rsidR="005D5532" w:rsidRPr="00276391">
        <w:rPr>
          <w:rFonts w:cs="Arial"/>
          <w:lang w:eastAsia="en-AU"/>
        </w:rPr>
        <w:t xml:space="preserve"> </w:t>
      </w:r>
      <w:r w:rsidRPr="00276391">
        <w:rPr>
          <w:rFonts w:cs="Arial"/>
          <w:lang w:eastAsia="en-AU"/>
        </w:rPr>
        <w:t>advice</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approaches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improve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25EE5F42" w14:textId="77777777" w:rsidR="00236748" w:rsidRPr="00276391" w:rsidRDefault="00236748" w:rsidP="00276391">
      <w:pPr>
        <w:pStyle w:val="DHHSbullet1"/>
        <w:rPr>
          <w:rFonts w:cs="Arial"/>
          <w:lang w:eastAsia="en-AU"/>
        </w:rPr>
      </w:pPr>
      <w:r w:rsidRPr="00276391">
        <w:rPr>
          <w:rFonts w:cs="Arial"/>
          <w:lang w:eastAsia="en-AU"/>
        </w:rPr>
        <w:t>consider</w:t>
      </w:r>
      <w:r w:rsidR="005D5532" w:rsidRPr="00276391">
        <w:rPr>
          <w:rFonts w:cs="Arial"/>
          <w:lang w:eastAsia="en-AU"/>
        </w:rPr>
        <w:t xml:space="preserve"> </w:t>
      </w:r>
      <w:r w:rsidRPr="00276391">
        <w:rPr>
          <w:rFonts w:cs="Arial"/>
          <w:lang w:eastAsia="en-AU"/>
        </w:rPr>
        <w:t>matters</w:t>
      </w:r>
      <w:r w:rsidR="005D5532" w:rsidRPr="00276391">
        <w:rPr>
          <w:rFonts w:cs="Arial"/>
          <w:lang w:eastAsia="en-AU"/>
        </w:rPr>
        <w:t xml:space="preserve"> </w:t>
      </w:r>
      <w:r w:rsidRPr="00276391">
        <w:rPr>
          <w:rFonts w:cs="Arial"/>
          <w:lang w:eastAsia="en-AU"/>
        </w:rPr>
        <w:t>relating</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National</w:t>
      </w:r>
      <w:r w:rsidR="005D5532" w:rsidRPr="00276391">
        <w:rPr>
          <w:rFonts w:cs="Arial"/>
          <w:lang w:eastAsia="en-AU"/>
        </w:rPr>
        <w:t xml:space="preserve"> </w:t>
      </w:r>
      <w:r w:rsidRPr="00276391">
        <w:rPr>
          <w:rFonts w:cs="Arial"/>
          <w:lang w:eastAsia="en-AU"/>
        </w:rPr>
        <w:t>Disability</w:t>
      </w:r>
      <w:r w:rsidR="005D5532" w:rsidRPr="00276391">
        <w:rPr>
          <w:rFonts w:cs="Arial"/>
          <w:lang w:eastAsia="en-AU"/>
        </w:rPr>
        <w:t xml:space="preserve"> </w:t>
      </w:r>
      <w:r w:rsidRPr="00276391">
        <w:rPr>
          <w:rFonts w:cs="Arial"/>
          <w:lang w:eastAsia="en-AU"/>
        </w:rPr>
        <w:t>Insurance</w:t>
      </w:r>
      <w:r w:rsidR="005D5532" w:rsidRPr="00276391">
        <w:rPr>
          <w:rFonts w:cs="Arial"/>
          <w:lang w:eastAsia="en-AU"/>
        </w:rPr>
        <w:t xml:space="preserve"> </w:t>
      </w:r>
      <w:r w:rsidRPr="00276391">
        <w:rPr>
          <w:rFonts w:cs="Arial"/>
          <w:lang w:eastAsia="en-AU"/>
        </w:rPr>
        <w:t>Scheme</w:t>
      </w:r>
      <w:r w:rsidR="004739D0">
        <w:rPr>
          <w:rFonts w:cs="Arial"/>
          <w:lang w:eastAsia="en-AU"/>
        </w:rPr>
        <w:t>.</w:t>
      </w:r>
      <w:r w:rsidR="005D5532" w:rsidRPr="00276391">
        <w:rPr>
          <w:rFonts w:cs="Arial"/>
          <w:lang w:eastAsia="en-AU"/>
        </w:rPr>
        <w:t xml:space="preserve"> </w:t>
      </w:r>
    </w:p>
    <w:p w14:paraId="44C9314E" w14:textId="21A5769D" w:rsidR="00236748" w:rsidRPr="00276391" w:rsidRDefault="00236748" w:rsidP="00276391">
      <w:pPr>
        <w:pStyle w:val="DHHSbody"/>
        <w:rPr>
          <w:lang w:eastAsia="en-AU"/>
        </w:rPr>
      </w:pPr>
      <w:r w:rsidRPr="00B24C02">
        <w:rPr>
          <w:rFonts w:cs="Arial"/>
          <w:color w:val="000000"/>
          <w:szCs w:val="19"/>
          <w:lang w:eastAsia="en-AU"/>
        </w:rPr>
        <w:t>Members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encouraged,</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distribute</w:t>
      </w:r>
      <w:r w:rsidR="005D5532" w:rsidRPr="00B24C02">
        <w:rPr>
          <w:rFonts w:cs="Arial"/>
          <w:color w:val="000000"/>
          <w:szCs w:val="19"/>
          <w:lang w:eastAsia="en-AU"/>
        </w:rPr>
        <w:t xml:space="preserve"> </w:t>
      </w:r>
      <w:r w:rsidRPr="00B24C02">
        <w:rPr>
          <w:rFonts w:cs="Arial"/>
          <w:color w:val="000000"/>
          <w:szCs w:val="19"/>
          <w:lang w:eastAsia="en-AU"/>
        </w:rPr>
        <w:t>documents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consult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networks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work</w:t>
      </w:r>
      <w:r w:rsidR="005D5532" w:rsidRPr="00B24C02">
        <w:rPr>
          <w:rFonts w:cs="Arial"/>
          <w:color w:val="000000"/>
          <w:szCs w:val="19"/>
          <w:lang w:eastAsia="en-AU"/>
        </w:rPr>
        <w:t xml:space="preserve"> </w:t>
      </w:r>
      <w:r w:rsidRPr="00B24C02">
        <w:rPr>
          <w:rFonts w:cs="Arial"/>
          <w:color w:val="000000"/>
          <w:szCs w:val="19"/>
          <w:lang w:eastAsia="en-AU"/>
        </w:rPr>
        <w:t>undertaken</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SAWG.</w:t>
      </w:r>
    </w:p>
    <w:p w14:paraId="75755E5D" w14:textId="77777777" w:rsidR="00236748" w:rsidRDefault="00236748" w:rsidP="00276391">
      <w:pPr>
        <w:pStyle w:val="Heading3"/>
        <w:rPr>
          <w:lang w:eastAsia="en-AU"/>
        </w:rPr>
      </w:pPr>
      <w:bookmarkStart w:id="78" w:name="_Toc478991701"/>
      <w:bookmarkStart w:id="79" w:name="_Toc478992314"/>
      <w:bookmarkStart w:id="80" w:name="_Toc4141994"/>
      <w:r w:rsidRPr="00276391">
        <w:rPr>
          <w:lang w:eastAsia="en-AU"/>
        </w:rPr>
        <w:t>Membership</w:t>
      </w:r>
      <w:bookmarkEnd w:id="78"/>
      <w:bookmarkEnd w:id="79"/>
      <w:bookmarkEnd w:id="80"/>
    </w:p>
    <w:p w14:paraId="50E3B664" w14:textId="6B8EBB89" w:rsidR="00EF1F9B" w:rsidRPr="00EF1F9B" w:rsidRDefault="00EF1F9B" w:rsidP="002F7B56">
      <w:pPr>
        <w:pStyle w:val="DHHSbody"/>
        <w:rPr>
          <w:lang w:eastAsia="en-AU"/>
        </w:rPr>
      </w:pPr>
      <w:r>
        <w:rPr>
          <w:lang w:eastAsia="en-AU"/>
        </w:rPr>
        <w:t xml:space="preserve">The membership of SAWG includes peak bodies, organisations funded by </w:t>
      </w:r>
      <w:r w:rsidR="00D45BB7">
        <w:rPr>
          <w:rFonts w:cs="Arial"/>
          <w:color w:val="000000"/>
          <w:szCs w:val="19"/>
          <w:lang w:eastAsia="en-AU"/>
        </w:rPr>
        <w:t>Department of Health and Human Services and the Department of Education and Training</w:t>
      </w:r>
      <w:r w:rsidR="00D45BB7">
        <w:rPr>
          <w:lang w:eastAsia="en-AU"/>
        </w:rPr>
        <w:t xml:space="preserve"> </w:t>
      </w:r>
      <w:r>
        <w:rPr>
          <w:lang w:eastAsia="en-AU"/>
        </w:rPr>
        <w:t>and department</w:t>
      </w:r>
      <w:r w:rsidR="00D45BB7">
        <w:rPr>
          <w:lang w:eastAsia="en-AU"/>
        </w:rPr>
        <w:t>al</w:t>
      </w:r>
      <w:r>
        <w:rPr>
          <w:lang w:eastAsia="en-AU"/>
        </w:rPr>
        <w:t xml:space="preserve"> representatives.</w:t>
      </w:r>
    </w:p>
    <w:p w14:paraId="181B70BA" w14:textId="77777777" w:rsidR="00236748" w:rsidRPr="00276391" w:rsidRDefault="00236748" w:rsidP="00276391">
      <w:pPr>
        <w:pStyle w:val="Heading3"/>
        <w:rPr>
          <w:lang w:eastAsia="en-AU"/>
        </w:rPr>
      </w:pPr>
      <w:bookmarkStart w:id="81" w:name="_Toc478991702"/>
      <w:bookmarkStart w:id="82" w:name="_Toc478992315"/>
      <w:bookmarkStart w:id="83" w:name="_Toc4141995"/>
      <w:r w:rsidRPr="00276391">
        <w:rPr>
          <w:lang w:eastAsia="en-AU"/>
        </w:rPr>
        <w:t>Chair</w:t>
      </w:r>
      <w:bookmarkEnd w:id="81"/>
      <w:bookmarkEnd w:id="82"/>
      <w:bookmarkEnd w:id="83"/>
    </w:p>
    <w:p w14:paraId="6FC05567" w14:textId="0B9F14F5" w:rsidR="00236748" w:rsidRPr="00276391" w:rsidRDefault="00236748" w:rsidP="00276391">
      <w:pPr>
        <w:pStyle w:val="DHHSbody"/>
        <w:rPr>
          <w:lang w:eastAsia="en-AU"/>
        </w:rPr>
      </w:pPr>
      <w:r w:rsidRPr="00B24C02">
        <w:rPr>
          <w:rFonts w:cs="Arial"/>
          <w:color w:val="000000"/>
          <w:szCs w:val="19"/>
          <w:lang w:eastAsia="en-AU"/>
        </w:rPr>
        <w:t>SAWG</w:t>
      </w:r>
      <w:r w:rsidR="005D5532" w:rsidRPr="00B24C02">
        <w:rPr>
          <w:rFonts w:cs="Arial"/>
          <w:color w:val="000000"/>
          <w:szCs w:val="19"/>
          <w:lang w:eastAsia="en-AU"/>
        </w:rPr>
        <w:t xml:space="preserve"> </w:t>
      </w:r>
      <w:r w:rsidR="002158DF">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chaired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Director,</w:t>
      </w:r>
      <w:r w:rsidR="005D5532" w:rsidRPr="00B24C02">
        <w:rPr>
          <w:rFonts w:cs="Arial"/>
          <w:color w:val="000000"/>
          <w:szCs w:val="19"/>
          <w:lang w:eastAsia="en-AU"/>
        </w:rPr>
        <w:t xml:space="preserve"> </w:t>
      </w:r>
      <w:r w:rsidR="00290A28">
        <w:rPr>
          <w:rFonts w:cs="Arial"/>
          <w:color w:val="000000"/>
          <w:szCs w:val="19"/>
          <w:lang w:eastAsia="en-AU"/>
        </w:rPr>
        <w:t>Operational Performance and Quality Branch</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p>
    <w:p w14:paraId="40993559" w14:textId="44442B8F" w:rsidR="00236748" w:rsidRPr="00276391" w:rsidRDefault="00CD1CD8" w:rsidP="00276391">
      <w:pPr>
        <w:pStyle w:val="Heading3"/>
        <w:rPr>
          <w:lang w:eastAsia="en-AU"/>
        </w:rPr>
      </w:pPr>
      <w:bookmarkStart w:id="84" w:name="_Toc478991703"/>
      <w:bookmarkStart w:id="85" w:name="_Toc478992316"/>
      <w:bookmarkStart w:id="86" w:name="_Toc4141996"/>
      <w:r>
        <w:rPr>
          <w:lang w:eastAsia="en-AU"/>
        </w:rPr>
        <w:t>Working group</w:t>
      </w:r>
      <w:r w:rsidR="005D5532" w:rsidRPr="00276391">
        <w:rPr>
          <w:lang w:eastAsia="en-AU"/>
        </w:rPr>
        <w:t xml:space="preserve"> </w:t>
      </w:r>
      <w:r w:rsidR="00236748" w:rsidRPr="00276391">
        <w:rPr>
          <w:lang w:eastAsia="en-AU"/>
        </w:rPr>
        <w:t>meeting</w:t>
      </w:r>
      <w:r w:rsidR="005D5532" w:rsidRPr="00276391">
        <w:rPr>
          <w:lang w:eastAsia="en-AU"/>
        </w:rPr>
        <w:t xml:space="preserve"> </w:t>
      </w:r>
      <w:r w:rsidR="00236748" w:rsidRPr="00276391">
        <w:rPr>
          <w:lang w:eastAsia="en-AU"/>
        </w:rPr>
        <w:t>design</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frequency</w:t>
      </w:r>
      <w:bookmarkEnd w:id="84"/>
      <w:bookmarkEnd w:id="85"/>
      <w:bookmarkEnd w:id="86"/>
    </w:p>
    <w:p w14:paraId="50A06495" w14:textId="11E3AFB0" w:rsidR="00236748" w:rsidRPr="00276391" w:rsidRDefault="002158DF" w:rsidP="00276391">
      <w:pPr>
        <w:pStyle w:val="DHHSbody"/>
        <w:rPr>
          <w:lang w:eastAsia="en-AU"/>
        </w:rPr>
      </w:pPr>
      <w:r w:rsidRPr="00B24C02">
        <w:rPr>
          <w:rFonts w:cs="Arial"/>
          <w:color w:val="000000"/>
          <w:szCs w:val="19"/>
          <w:lang w:eastAsia="en-AU"/>
        </w:rPr>
        <w:t xml:space="preserve">SAWG </w:t>
      </w:r>
      <w:r>
        <w:rPr>
          <w:rFonts w:cs="Arial"/>
          <w:color w:val="000000"/>
          <w:szCs w:val="19"/>
          <w:lang w:eastAsia="en-AU"/>
        </w:rPr>
        <w:t>m</w:t>
      </w:r>
      <w:r w:rsidR="00236748" w:rsidRPr="00B24C02">
        <w:rPr>
          <w:rFonts w:cs="Arial"/>
          <w:color w:val="000000"/>
          <w:szCs w:val="19"/>
          <w:lang w:eastAsia="en-AU"/>
        </w:rPr>
        <w:t>eetings</w:t>
      </w:r>
      <w:r w:rsidR="005D5532" w:rsidRPr="00B24C02">
        <w:rPr>
          <w:rFonts w:cs="Arial"/>
          <w:color w:val="000000"/>
          <w:szCs w:val="19"/>
          <w:lang w:eastAsia="en-AU"/>
        </w:rPr>
        <w:t xml:space="preserve"> </w:t>
      </w:r>
      <w:r w:rsidR="00236748" w:rsidRPr="00B24C02">
        <w:rPr>
          <w:rFonts w:cs="Arial"/>
          <w:color w:val="000000"/>
          <w:szCs w:val="19"/>
          <w:lang w:eastAsia="en-AU"/>
        </w:rPr>
        <w:t>are</w:t>
      </w:r>
      <w:r w:rsidR="005D5532" w:rsidRPr="00B24C02">
        <w:rPr>
          <w:rFonts w:cs="Arial"/>
          <w:color w:val="000000"/>
          <w:szCs w:val="19"/>
          <w:lang w:eastAsia="en-AU"/>
        </w:rPr>
        <w:t xml:space="preserve"> </w:t>
      </w:r>
      <w:r w:rsidR="00236748" w:rsidRPr="00B24C02">
        <w:rPr>
          <w:rFonts w:cs="Arial"/>
          <w:color w:val="000000"/>
          <w:szCs w:val="19"/>
          <w:lang w:eastAsia="en-AU"/>
        </w:rPr>
        <w:t>held</w:t>
      </w:r>
      <w:r w:rsidR="005D5532" w:rsidRPr="00B24C02">
        <w:rPr>
          <w:rFonts w:cs="Arial"/>
          <w:color w:val="000000"/>
          <w:szCs w:val="19"/>
          <w:lang w:eastAsia="en-AU"/>
        </w:rPr>
        <w:t xml:space="preserve"> </w:t>
      </w:r>
      <w:r w:rsidR="00236748" w:rsidRPr="00B24C02">
        <w:rPr>
          <w:rFonts w:cs="Arial"/>
          <w:color w:val="000000"/>
          <w:szCs w:val="19"/>
          <w:lang w:eastAsia="en-AU"/>
        </w:rPr>
        <w:t>bi-monthly</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are</w:t>
      </w:r>
      <w:r w:rsidR="005D5532" w:rsidRPr="00B24C02">
        <w:rPr>
          <w:rFonts w:cs="Arial"/>
          <w:color w:val="000000"/>
          <w:szCs w:val="19"/>
          <w:lang w:eastAsia="en-AU"/>
        </w:rPr>
        <w:t xml:space="preserve"> </w:t>
      </w:r>
      <w:r w:rsidR="00236748" w:rsidRPr="00B24C02">
        <w:rPr>
          <w:rFonts w:cs="Arial"/>
          <w:color w:val="000000"/>
          <w:szCs w:val="19"/>
          <w:lang w:eastAsia="en-AU"/>
        </w:rPr>
        <w:t>guided</w:t>
      </w:r>
      <w:r w:rsidR="005D5532" w:rsidRPr="00B24C02">
        <w:rPr>
          <w:rFonts w:cs="Arial"/>
          <w:color w:val="000000"/>
          <w:szCs w:val="19"/>
          <w:lang w:eastAsia="en-AU"/>
        </w:rPr>
        <w:t xml:space="preserve"> </w:t>
      </w:r>
      <w:r w:rsidR="00236748" w:rsidRPr="00B24C02">
        <w:rPr>
          <w:rFonts w:cs="Arial"/>
          <w:color w:val="000000"/>
          <w:szCs w:val="19"/>
          <w:lang w:eastAsia="en-AU"/>
        </w:rPr>
        <w:t>by</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9E36BE">
        <w:rPr>
          <w:rFonts w:cs="Arial"/>
          <w:color w:val="000000"/>
          <w:szCs w:val="19"/>
          <w:lang w:eastAsia="en-AU"/>
        </w:rPr>
        <w:t xml:space="preserve">group’s </w:t>
      </w:r>
      <w:r w:rsidR="00236748" w:rsidRPr="00B24C02">
        <w:rPr>
          <w:rFonts w:cs="Arial"/>
          <w:color w:val="000000"/>
          <w:szCs w:val="19"/>
          <w:lang w:eastAsia="en-AU"/>
        </w:rPr>
        <w:t>work</w:t>
      </w:r>
      <w:r w:rsidR="005D5532" w:rsidRPr="00B24C02">
        <w:rPr>
          <w:rFonts w:cs="Arial"/>
          <w:color w:val="000000"/>
          <w:szCs w:val="19"/>
          <w:lang w:eastAsia="en-AU"/>
        </w:rPr>
        <w:t xml:space="preserve"> </w:t>
      </w:r>
      <w:r w:rsidR="00236748" w:rsidRPr="00B24C02">
        <w:rPr>
          <w:rFonts w:cs="Arial"/>
          <w:color w:val="000000"/>
          <w:szCs w:val="19"/>
          <w:lang w:eastAsia="en-AU"/>
        </w:rPr>
        <w:t>plan</w:t>
      </w:r>
      <w:r w:rsidR="009E36BE">
        <w:rPr>
          <w:rFonts w:cs="Arial"/>
          <w:color w:val="000000"/>
          <w:szCs w:val="19"/>
          <w:lang w:eastAsia="en-AU"/>
        </w:rPr>
        <w:t xml:space="preserve">. </w:t>
      </w:r>
      <w:r w:rsidR="009E36BE">
        <w:rPr>
          <w:lang w:eastAsia="en-AU"/>
        </w:rPr>
        <w:t>S</w:t>
      </w:r>
      <w:r w:rsidR="00236748" w:rsidRPr="00276391">
        <w:rPr>
          <w:lang w:eastAsia="en-AU"/>
        </w:rPr>
        <w:t>ub-groups</w:t>
      </w:r>
      <w:r w:rsidR="005D5532" w:rsidRPr="00276391">
        <w:rPr>
          <w:lang w:eastAsia="en-AU"/>
        </w:rPr>
        <w:t xml:space="preserve"> </w:t>
      </w:r>
      <w:r w:rsidR="00236748" w:rsidRPr="00276391">
        <w:rPr>
          <w:lang w:eastAsia="en-AU"/>
        </w:rPr>
        <w:t>may</w:t>
      </w:r>
      <w:r w:rsidR="005D5532" w:rsidRPr="00276391">
        <w:rPr>
          <w:lang w:eastAsia="en-AU"/>
        </w:rPr>
        <w:t xml:space="preserve"> </w:t>
      </w:r>
      <w:r w:rsidR="00236748" w:rsidRPr="00276391">
        <w:rPr>
          <w:lang w:eastAsia="en-AU"/>
        </w:rPr>
        <w:t>be</w:t>
      </w:r>
      <w:r w:rsidR="005D5532" w:rsidRPr="00276391">
        <w:rPr>
          <w:lang w:eastAsia="en-AU"/>
        </w:rPr>
        <w:t xml:space="preserve"> </w:t>
      </w:r>
      <w:r w:rsidR="00236748" w:rsidRPr="00276391">
        <w:rPr>
          <w:lang w:eastAsia="en-AU"/>
        </w:rPr>
        <w:t>formed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focus</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specific</w:t>
      </w:r>
      <w:r w:rsidR="005D5532" w:rsidRPr="00276391">
        <w:rPr>
          <w:lang w:eastAsia="en-AU"/>
        </w:rPr>
        <w:t xml:space="preserve"> </w:t>
      </w:r>
      <w:r w:rsidR="00236748" w:rsidRPr="00276391">
        <w:rPr>
          <w:lang w:eastAsia="en-AU"/>
        </w:rPr>
        <w:t>issues.</w:t>
      </w:r>
      <w:r w:rsidR="005D5532" w:rsidRPr="00276391">
        <w:rPr>
          <w:lang w:eastAsia="en-AU"/>
        </w:rPr>
        <w:t xml:space="preserve"> </w:t>
      </w:r>
      <w:r w:rsidR="00236748" w:rsidRPr="00276391">
        <w:rPr>
          <w:lang w:eastAsia="en-AU"/>
        </w:rPr>
        <w:t>These</w:t>
      </w:r>
      <w:r w:rsidR="005D5532" w:rsidRPr="00276391">
        <w:rPr>
          <w:lang w:eastAsia="en-AU"/>
        </w:rPr>
        <w:t xml:space="preserve"> </w:t>
      </w:r>
      <w:r w:rsidR="00236748" w:rsidRPr="00276391">
        <w:rPr>
          <w:lang w:eastAsia="en-AU"/>
        </w:rPr>
        <w:t>groups</w:t>
      </w:r>
      <w:r w:rsidR="005D5532" w:rsidRPr="00276391">
        <w:rPr>
          <w:lang w:eastAsia="en-AU"/>
        </w:rPr>
        <w:t xml:space="preserve"> </w:t>
      </w:r>
      <w:r w:rsidR="00236748" w:rsidRPr="00276391">
        <w:rPr>
          <w:lang w:eastAsia="en-AU"/>
        </w:rPr>
        <w:t>will</w:t>
      </w:r>
      <w:r w:rsidR="005D5532" w:rsidRPr="00276391">
        <w:rPr>
          <w:lang w:eastAsia="en-AU"/>
        </w:rPr>
        <w:t xml:space="preserve"> </w:t>
      </w:r>
      <w:r w:rsidR="00236748" w:rsidRPr="00276391">
        <w:rPr>
          <w:lang w:eastAsia="en-AU"/>
        </w:rPr>
        <w:t>report</w:t>
      </w:r>
      <w:r w:rsidR="005D5532" w:rsidRPr="00276391">
        <w:rPr>
          <w:lang w:eastAsia="en-AU"/>
        </w:rPr>
        <w:t xml:space="preserve"> </w:t>
      </w:r>
      <w:r w:rsidRPr="00276391">
        <w:rPr>
          <w:lang w:eastAsia="en-AU"/>
        </w:rPr>
        <w:t xml:space="preserve">their findings back </w:t>
      </w:r>
      <w:r w:rsidR="00236748" w:rsidRPr="00276391">
        <w:rPr>
          <w:lang w:eastAsia="en-AU"/>
        </w:rPr>
        <w:t>to</w:t>
      </w:r>
      <w:r w:rsidR="005D5532" w:rsidRPr="00276391">
        <w:rPr>
          <w:lang w:eastAsia="en-AU"/>
        </w:rPr>
        <w:t xml:space="preserve"> </w:t>
      </w:r>
      <w:r w:rsidR="00236748" w:rsidRPr="00276391">
        <w:rPr>
          <w:lang w:eastAsia="en-AU"/>
        </w:rPr>
        <w:t>SAWG.</w:t>
      </w:r>
    </w:p>
    <w:p w14:paraId="343F8C62" w14:textId="77777777" w:rsidR="00236748" w:rsidRPr="00276391" w:rsidRDefault="00236748" w:rsidP="00276391">
      <w:pPr>
        <w:pStyle w:val="Heading3"/>
        <w:rPr>
          <w:lang w:eastAsia="en-AU"/>
        </w:rPr>
      </w:pPr>
      <w:bookmarkStart w:id="87" w:name="_Toc478991704"/>
      <w:bookmarkStart w:id="88" w:name="_Toc478992317"/>
      <w:bookmarkStart w:id="89" w:name="_Toc4141997"/>
      <w:r w:rsidRPr="00276391">
        <w:rPr>
          <w:lang w:eastAsia="en-AU"/>
        </w:rPr>
        <w:t>Reporting</w:t>
      </w:r>
      <w:bookmarkEnd w:id="87"/>
      <w:bookmarkEnd w:id="88"/>
      <w:bookmarkEnd w:id="89"/>
    </w:p>
    <w:p w14:paraId="04F966CB" w14:textId="786315D6"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Chair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SAWG</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regular</w:t>
      </w:r>
      <w:r w:rsidR="005D5532" w:rsidRPr="00B24C02">
        <w:rPr>
          <w:rFonts w:cs="Arial"/>
          <w:color w:val="000000"/>
          <w:szCs w:val="19"/>
          <w:lang w:eastAsia="en-AU"/>
        </w:rPr>
        <w:t xml:space="preserve"> </w:t>
      </w:r>
      <w:r w:rsidRPr="00B24C02">
        <w:rPr>
          <w:rFonts w:cs="Arial"/>
          <w:color w:val="000000"/>
          <w:szCs w:val="19"/>
          <w:lang w:eastAsia="en-AU"/>
        </w:rPr>
        <w:t>reports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HSHPIC</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recommendations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SAWG.</w:t>
      </w:r>
    </w:p>
    <w:p w14:paraId="6EE92F64" w14:textId="7E74ACEC" w:rsidR="00236748" w:rsidRPr="00276391" w:rsidRDefault="00236748" w:rsidP="00276391">
      <w:pPr>
        <w:pStyle w:val="Heading3"/>
        <w:rPr>
          <w:lang w:eastAsia="en-AU"/>
        </w:rPr>
      </w:pPr>
      <w:bookmarkStart w:id="90" w:name="_Toc478991705"/>
      <w:bookmarkStart w:id="91" w:name="_Toc478992318"/>
      <w:bookmarkStart w:id="92" w:name="_Toc4141998"/>
      <w:r w:rsidRPr="00276391">
        <w:rPr>
          <w:lang w:eastAsia="en-AU"/>
        </w:rPr>
        <w:t>Term</w:t>
      </w:r>
      <w:r w:rsidR="005D5532" w:rsidRPr="00276391">
        <w:rPr>
          <w:lang w:eastAsia="en-AU"/>
        </w:rPr>
        <w:t xml:space="preserve"> </w:t>
      </w:r>
      <w:r w:rsidRPr="00276391">
        <w:rPr>
          <w:lang w:eastAsia="en-AU"/>
        </w:rPr>
        <w:t>of</w:t>
      </w:r>
      <w:r w:rsidR="005D5532" w:rsidRPr="00276391">
        <w:rPr>
          <w:lang w:eastAsia="en-AU"/>
        </w:rPr>
        <w:t xml:space="preserve"> </w:t>
      </w:r>
      <w:r w:rsidR="002158DF">
        <w:rPr>
          <w:lang w:eastAsia="en-AU"/>
        </w:rPr>
        <w:t>w</w:t>
      </w:r>
      <w:r w:rsidR="00CD1CD8">
        <w:rPr>
          <w:lang w:eastAsia="en-AU"/>
        </w:rPr>
        <w:t>orking group</w:t>
      </w:r>
      <w:bookmarkEnd w:id="90"/>
      <w:bookmarkEnd w:id="91"/>
      <w:bookmarkEnd w:id="92"/>
    </w:p>
    <w:p w14:paraId="02CC11A2" w14:textId="5E1F9504"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SAWG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duration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2015</w:t>
      </w:r>
      <w:r w:rsidR="004A65C1">
        <w:rPr>
          <w:rFonts w:cs="Arial"/>
          <w:lang w:eastAsia="en-AU"/>
        </w:rPr>
        <w:t>–</w:t>
      </w:r>
      <w:r w:rsidRPr="00B24C02">
        <w:rPr>
          <w:rFonts w:cs="Arial"/>
          <w:color w:val="000000"/>
          <w:szCs w:val="19"/>
          <w:lang w:eastAsia="en-AU"/>
        </w:rPr>
        <w:t>2019</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cycle.</w:t>
      </w:r>
    </w:p>
    <w:p w14:paraId="69CD2288" w14:textId="7A4DB528"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2158DF">
        <w:rPr>
          <w:lang w:eastAsia="en-AU"/>
        </w:rPr>
        <w:t>T</w:t>
      </w:r>
      <w:r w:rsidRPr="00276391">
        <w:rPr>
          <w:lang w:eastAsia="en-AU"/>
        </w:rPr>
        <w:t>erms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reference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membership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SAWG</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reviewed</w:t>
      </w:r>
      <w:r w:rsidR="005D5532" w:rsidRPr="00276391">
        <w:rPr>
          <w:lang w:eastAsia="en-AU"/>
        </w:rPr>
        <w:t xml:space="preserve"> </w:t>
      </w:r>
      <w:r w:rsidRPr="00276391">
        <w:rPr>
          <w:lang w:eastAsia="en-AU"/>
        </w:rPr>
        <w:t>annually</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9E36BE">
        <w:rPr>
          <w:lang w:eastAsia="en-AU"/>
        </w:rPr>
        <w: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required.</w:t>
      </w:r>
    </w:p>
    <w:p w14:paraId="7DB29B77" w14:textId="77777777" w:rsidR="00236748" w:rsidRPr="00276391" w:rsidRDefault="00236748" w:rsidP="00276391">
      <w:pPr>
        <w:pStyle w:val="Heading3"/>
        <w:rPr>
          <w:lang w:eastAsia="en-AU"/>
        </w:rPr>
      </w:pPr>
      <w:bookmarkStart w:id="93" w:name="_Toc478991706"/>
      <w:bookmarkStart w:id="94" w:name="_Toc478992319"/>
      <w:bookmarkStart w:id="95" w:name="_Toc4141999"/>
      <w:r w:rsidRPr="00276391">
        <w:rPr>
          <w:lang w:eastAsia="en-AU"/>
        </w:rPr>
        <w:t>Secretariat</w:t>
      </w:r>
      <w:bookmarkEnd w:id="93"/>
      <w:bookmarkEnd w:id="94"/>
      <w:bookmarkEnd w:id="95"/>
    </w:p>
    <w:p w14:paraId="48030FD4" w14:textId="0775D843" w:rsidR="00236748" w:rsidRPr="00276391" w:rsidRDefault="00934156" w:rsidP="00276391">
      <w:pPr>
        <w:pStyle w:val="DHHSbody"/>
        <w:rPr>
          <w:lang w:eastAsia="en-AU"/>
        </w:rPr>
      </w:pPr>
      <w:r>
        <w:rPr>
          <w:rFonts w:cs="Arial"/>
          <w:color w:val="000000"/>
          <w:szCs w:val="19"/>
          <w:lang w:eastAsia="en-AU"/>
        </w:rPr>
        <w:t xml:space="preserve">The </w:t>
      </w:r>
      <w:r w:rsidR="00EB4CBF">
        <w:rPr>
          <w:rFonts w:cs="Arial"/>
          <w:color w:val="000000"/>
          <w:szCs w:val="19"/>
          <w:lang w:eastAsia="en-AU"/>
        </w:rPr>
        <w:t xml:space="preserve">Operational Performance and Quality Branch </w:t>
      </w:r>
      <w:r w:rsidR="002158DF">
        <w:rPr>
          <w:rFonts w:cs="Arial"/>
          <w:color w:val="000000"/>
          <w:szCs w:val="19"/>
          <w:lang w:eastAsia="en-AU"/>
        </w:rPr>
        <w:t>at</w:t>
      </w:r>
      <w:r>
        <w:rPr>
          <w:rFonts w:cs="Arial"/>
          <w:color w:val="000000"/>
          <w:szCs w:val="19"/>
          <w:lang w:eastAsia="en-AU"/>
        </w:rPr>
        <w:t xml:space="preserve"> </w:t>
      </w:r>
      <w:r w:rsidR="00D45BB7">
        <w:rPr>
          <w:rFonts w:cs="Arial"/>
          <w:color w:val="000000"/>
          <w:szCs w:val="19"/>
          <w:lang w:eastAsia="en-AU"/>
        </w:rPr>
        <w:t>Department of Health and Human Services</w:t>
      </w:r>
      <w:r w:rsidR="005D5532" w:rsidRPr="00B24C02">
        <w:rPr>
          <w:rFonts w:cs="Arial"/>
          <w:color w:val="000000"/>
          <w:szCs w:val="19"/>
          <w:lang w:eastAsia="en-AU"/>
        </w:rPr>
        <w:t xml:space="preserve"> </w:t>
      </w:r>
      <w:r w:rsidR="00236748" w:rsidRPr="00B24C02">
        <w:rPr>
          <w:rFonts w:cs="Arial"/>
          <w:color w:val="000000"/>
          <w:szCs w:val="19"/>
          <w:lang w:eastAsia="en-AU"/>
        </w:rPr>
        <w:t>will</w:t>
      </w:r>
      <w:r w:rsidR="005D5532" w:rsidRPr="00B24C02">
        <w:rPr>
          <w:rFonts w:cs="Arial"/>
          <w:color w:val="000000"/>
          <w:szCs w:val="19"/>
          <w:lang w:eastAsia="en-AU"/>
        </w:rPr>
        <w:t xml:space="preserve"> </w:t>
      </w:r>
      <w:r w:rsidR="00236748" w:rsidRPr="00B24C02">
        <w:rPr>
          <w:rFonts w:cs="Arial"/>
          <w:color w:val="000000"/>
          <w:szCs w:val="19"/>
          <w:lang w:eastAsia="en-AU"/>
        </w:rPr>
        <w:t>provide</w:t>
      </w:r>
      <w:r w:rsidR="005D5532" w:rsidRPr="00B24C02">
        <w:rPr>
          <w:rFonts w:cs="Arial"/>
          <w:color w:val="000000"/>
          <w:szCs w:val="19"/>
          <w:lang w:eastAsia="en-AU"/>
        </w:rPr>
        <w:t xml:space="preserve"> </w:t>
      </w:r>
      <w:r w:rsidR="00236748" w:rsidRPr="00B24C02">
        <w:rPr>
          <w:rFonts w:cs="Arial"/>
          <w:color w:val="000000"/>
          <w:szCs w:val="19"/>
          <w:lang w:eastAsia="en-AU"/>
        </w:rPr>
        <w:t>secretariat</w:t>
      </w:r>
      <w:r w:rsidR="005D5532" w:rsidRPr="00B24C02">
        <w:rPr>
          <w:rFonts w:cs="Arial"/>
          <w:color w:val="000000"/>
          <w:szCs w:val="19"/>
          <w:lang w:eastAsia="en-AU"/>
        </w:rPr>
        <w:t xml:space="preserve"> </w:t>
      </w:r>
      <w:r w:rsidR="00236748" w:rsidRPr="00B24C02">
        <w:rPr>
          <w:rFonts w:cs="Arial"/>
          <w:color w:val="000000"/>
          <w:szCs w:val="19"/>
          <w:lang w:eastAsia="en-AU"/>
        </w:rPr>
        <w:t>services.</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agenda</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papers</w:t>
      </w:r>
      <w:r w:rsidR="005D5532" w:rsidRPr="00B24C02">
        <w:rPr>
          <w:rFonts w:cs="Arial"/>
          <w:color w:val="000000"/>
          <w:szCs w:val="19"/>
          <w:lang w:eastAsia="en-AU"/>
        </w:rPr>
        <w:t xml:space="preserve"> </w:t>
      </w:r>
      <w:r w:rsidR="00236748" w:rsidRPr="00B24C02">
        <w:rPr>
          <w:rFonts w:cs="Arial"/>
          <w:color w:val="000000"/>
          <w:szCs w:val="19"/>
          <w:lang w:eastAsia="en-AU"/>
        </w:rPr>
        <w:t>will</w:t>
      </w:r>
      <w:r w:rsidR="005D5532" w:rsidRPr="00B24C02">
        <w:rPr>
          <w:rFonts w:cs="Arial"/>
          <w:color w:val="000000"/>
          <w:szCs w:val="19"/>
          <w:lang w:eastAsia="en-AU"/>
        </w:rPr>
        <w:t xml:space="preserve"> </w:t>
      </w:r>
      <w:r w:rsidR="00236748" w:rsidRPr="00B24C02">
        <w:rPr>
          <w:rFonts w:cs="Arial"/>
          <w:color w:val="000000"/>
          <w:szCs w:val="19"/>
          <w:lang w:eastAsia="en-AU"/>
        </w:rPr>
        <w:t>be</w:t>
      </w:r>
      <w:r w:rsidR="005D5532" w:rsidRPr="00B24C02">
        <w:rPr>
          <w:rFonts w:cs="Arial"/>
          <w:color w:val="000000"/>
          <w:szCs w:val="19"/>
          <w:lang w:eastAsia="en-AU"/>
        </w:rPr>
        <w:t xml:space="preserve"> </w:t>
      </w:r>
      <w:r w:rsidR="00236748" w:rsidRPr="00B24C02">
        <w:rPr>
          <w:rFonts w:cs="Arial"/>
          <w:color w:val="000000"/>
          <w:szCs w:val="19"/>
          <w:lang w:eastAsia="en-AU"/>
        </w:rPr>
        <w:t>distributed</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a</w:t>
      </w:r>
      <w:r w:rsidR="005D5532" w:rsidRPr="00B24C02">
        <w:rPr>
          <w:rFonts w:cs="Arial"/>
          <w:color w:val="000000"/>
          <w:szCs w:val="19"/>
          <w:lang w:eastAsia="en-AU"/>
        </w:rPr>
        <w:t xml:space="preserve"> </w:t>
      </w:r>
      <w:r w:rsidR="00236748" w:rsidRPr="00B24C02">
        <w:rPr>
          <w:rFonts w:cs="Arial"/>
          <w:color w:val="000000"/>
          <w:szCs w:val="19"/>
          <w:lang w:eastAsia="en-AU"/>
        </w:rPr>
        <w:t>timely</w:t>
      </w:r>
      <w:r w:rsidR="005D5532" w:rsidRPr="00B24C02">
        <w:rPr>
          <w:rFonts w:cs="Arial"/>
          <w:color w:val="000000"/>
          <w:szCs w:val="19"/>
          <w:lang w:eastAsia="en-AU"/>
        </w:rPr>
        <w:t xml:space="preserve"> </w:t>
      </w:r>
      <w:r w:rsidR="00236748" w:rsidRPr="00B24C02">
        <w:rPr>
          <w:rFonts w:cs="Arial"/>
          <w:color w:val="000000"/>
          <w:szCs w:val="19"/>
          <w:lang w:eastAsia="en-AU"/>
        </w:rPr>
        <w:t>manner</w:t>
      </w:r>
      <w:r w:rsidR="005D5532" w:rsidRPr="00B24C02">
        <w:rPr>
          <w:rFonts w:cs="Arial"/>
          <w:color w:val="000000"/>
          <w:szCs w:val="19"/>
          <w:lang w:eastAsia="en-AU"/>
        </w:rPr>
        <w:t xml:space="preserve"> </w:t>
      </w:r>
      <w:r w:rsidR="00236748" w:rsidRPr="00B24C02">
        <w:rPr>
          <w:rFonts w:cs="Arial"/>
          <w:color w:val="000000"/>
          <w:szCs w:val="19"/>
          <w:lang w:eastAsia="en-AU"/>
        </w:rPr>
        <w:t>for</w:t>
      </w:r>
      <w:r w:rsidR="005D5532" w:rsidRPr="00B24C02">
        <w:rPr>
          <w:rFonts w:cs="Arial"/>
          <w:color w:val="000000"/>
          <w:szCs w:val="19"/>
          <w:lang w:eastAsia="en-AU"/>
        </w:rPr>
        <w:t xml:space="preserve"> </w:t>
      </w:r>
      <w:r w:rsidR="00236748" w:rsidRPr="00B24C02">
        <w:rPr>
          <w:rFonts w:cs="Arial"/>
          <w:color w:val="000000"/>
          <w:szCs w:val="19"/>
          <w:lang w:eastAsia="en-AU"/>
        </w:rPr>
        <w:t>these</w:t>
      </w:r>
      <w:r w:rsidR="005D5532" w:rsidRPr="00B24C02">
        <w:rPr>
          <w:rFonts w:cs="Arial"/>
          <w:color w:val="000000"/>
          <w:szCs w:val="19"/>
          <w:lang w:eastAsia="en-AU"/>
        </w:rPr>
        <w:t xml:space="preserve"> </w:t>
      </w:r>
      <w:r w:rsidR="00236748" w:rsidRPr="00B24C02">
        <w:rPr>
          <w:rFonts w:cs="Arial"/>
          <w:color w:val="000000"/>
          <w:szCs w:val="19"/>
          <w:lang w:eastAsia="en-AU"/>
        </w:rPr>
        <w:t>meetings.</w:t>
      </w:r>
    </w:p>
    <w:p w14:paraId="38830B90" w14:textId="77777777" w:rsidR="00236748" w:rsidRPr="00276391" w:rsidRDefault="00236748" w:rsidP="009B2351">
      <w:pPr>
        <w:pStyle w:val="Heading2"/>
        <w:rPr>
          <w:rFonts w:cs="Arial"/>
          <w:lang w:eastAsia="en-AU"/>
        </w:rPr>
      </w:pPr>
      <w:bookmarkStart w:id="96" w:name="_1.8_Whole_of"/>
      <w:bookmarkStart w:id="97" w:name="_Toc478991707"/>
      <w:bookmarkStart w:id="98" w:name="_Toc478992320"/>
      <w:bookmarkStart w:id="99" w:name="_Toc478992876"/>
      <w:bookmarkStart w:id="100" w:name="_Toc4142000"/>
      <w:bookmarkEnd w:id="96"/>
      <w:r w:rsidRPr="00276391">
        <w:rPr>
          <w:rFonts w:cs="Arial"/>
          <w:lang w:eastAsia="en-AU"/>
        </w:rPr>
        <w:t>1.8</w:t>
      </w:r>
      <w:r w:rsidR="009B2351" w:rsidRPr="00276391">
        <w:rPr>
          <w:rFonts w:cs="Arial"/>
          <w:lang w:eastAsia="en-AU"/>
        </w:rPr>
        <w:t xml:space="preserve"> </w:t>
      </w:r>
      <w:r w:rsidRPr="00276391">
        <w:rPr>
          <w:rFonts w:cs="Arial"/>
          <w:lang w:eastAsia="en-AU"/>
        </w:rPr>
        <w:t>Whole</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Victorian</w:t>
      </w:r>
      <w:r w:rsidR="009B2351" w:rsidRPr="00276391">
        <w:rPr>
          <w:rFonts w:cs="Arial"/>
          <w:lang w:eastAsia="en-AU"/>
        </w:rPr>
        <w:t xml:space="preserve"> </w:t>
      </w:r>
      <w:r w:rsidRPr="00276391">
        <w:rPr>
          <w:rFonts w:cs="Arial"/>
          <w:lang w:eastAsia="en-AU"/>
        </w:rPr>
        <w:t>Government</w:t>
      </w:r>
      <w:r w:rsidR="009B2351" w:rsidRPr="00276391">
        <w:rPr>
          <w:rFonts w:cs="Arial"/>
          <w:lang w:eastAsia="en-AU"/>
        </w:rPr>
        <w:t xml:space="preserve"> </w:t>
      </w:r>
      <w:r w:rsidRPr="00276391">
        <w:rPr>
          <w:rFonts w:cs="Arial"/>
          <w:lang w:eastAsia="en-AU"/>
        </w:rPr>
        <w:t>Common</w:t>
      </w:r>
      <w:r w:rsidR="009B2351" w:rsidRPr="00276391">
        <w:rPr>
          <w:rFonts w:cs="Arial"/>
          <w:lang w:eastAsia="en-AU"/>
        </w:rPr>
        <w:t xml:space="preserve"> </w:t>
      </w:r>
      <w:r w:rsidRPr="00276391">
        <w:rPr>
          <w:rFonts w:cs="Arial"/>
          <w:lang w:eastAsia="en-AU"/>
        </w:rPr>
        <w:t>Funding</w:t>
      </w:r>
      <w:r w:rsidR="009B2351" w:rsidRPr="00276391">
        <w:rPr>
          <w:rFonts w:cs="Arial"/>
          <w:lang w:eastAsia="en-AU"/>
        </w:rPr>
        <w:t xml:space="preserve"> </w:t>
      </w:r>
      <w:r w:rsidRPr="00276391">
        <w:rPr>
          <w:rFonts w:cs="Arial"/>
          <w:lang w:eastAsia="en-AU"/>
        </w:rPr>
        <w:t>Agreement</w:t>
      </w:r>
      <w:bookmarkEnd w:id="97"/>
      <w:bookmarkEnd w:id="98"/>
      <w:bookmarkEnd w:id="99"/>
      <w:bookmarkEnd w:id="100"/>
    </w:p>
    <w:p w14:paraId="165F5B19" w14:textId="0140EA4A" w:rsidR="00236748" w:rsidRPr="00276391" w:rsidRDefault="00236748" w:rsidP="00276391">
      <w:pPr>
        <w:pStyle w:val="DHHSbody"/>
        <w:rPr>
          <w:lang w:eastAsia="en-AU"/>
        </w:rPr>
      </w:pP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1</w:t>
      </w:r>
      <w:r w:rsidR="005D5532" w:rsidRPr="00B24C02">
        <w:rPr>
          <w:rFonts w:cs="Arial"/>
          <w:color w:val="000000"/>
          <w:szCs w:val="19"/>
          <w:lang w:eastAsia="en-AU"/>
        </w:rPr>
        <w:t xml:space="preserve"> </w:t>
      </w:r>
      <w:r w:rsidRPr="00B24C02">
        <w:rPr>
          <w:rFonts w:cs="Arial"/>
          <w:color w:val="000000"/>
          <w:szCs w:val="19"/>
          <w:lang w:eastAsia="en-AU"/>
        </w:rPr>
        <w:t>January</w:t>
      </w:r>
      <w:r w:rsidR="005D5532" w:rsidRPr="00B24C02">
        <w:rPr>
          <w:rFonts w:cs="Arial"/>
          <w:color w:val="000000"/>
          <w:szCs w:val="19"/>
          <w:lang w:eastAsia="en-AU"/>
        </w:rPr>
        <w:t xml:space="preserve"> </w:t>
      </w:r>
      <w:r w:rsidRPr="00B24C02">
        <w:rPr>
          <w:rFonts w:cs="Arial"/>
          <w:color w:val="000000"/>
          <w:szCs w:val="19"/>
          <w:lang w:eastAsia="en-AU"/>
        </w:rPr>
        <w:t>2013,</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Whole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hyperlink r:id="rId23" w:history="1">
        <w:r w:rsidRPr="00AC68B9">
          <w:rPr>
            <w:rStyle w:val="Hyperlink"/>
            <w:rFonts w:cs="Arial"/>
            <w:szCs w:val="19"/>
            <w:lang w:eastAsia="en-AU"/>
          </w:rPr>
          <w:t>Victorian</w:t>
        </w:r>
        <w:r w:rsidR="005D5532" w:rsidRPr="00AC68B9">
          <w:rPr>
            <w:rStyle w:val="Hyperlink"/>
            <w:rFonts w:cs="Arial"/>
            <w:szCs w:val="19"/>
            <w:lang w:eastAsia="en-AU"/>
          </w:rPr>
          <w:t xml:space="preserve"> </w:t>
        </w:r>
        <w:r w:rsidRPr="00AC68B9">
          <w:rPr>
            <w:rStyle w:val="Hyperlink"/>
            <w:rFonts w:cs="Arial"/>
            <w:szCs w:val="19"/>
            <w:lang w:eastAsia="en-AU"/>
          </w:rPr>
          <w:t>Government</w:t>
        </w:r>
        <w:r w:rsidR="005D5532" w:rsidRPr="00AC68B9">
          <w:rPr>
            <w:rStyle w:val="Hyperlink"/>
            <w:rFonts w:cs="Arial"/>
            <w:szCs w:val="19"/>
            <w:lang w:eastAsia="en-AU"/>
          </w:rPr>
          <w:t xml:space="preserve"> </w:t>
        </w:r>
        <w:r w:rsidRPr="00AC68B9">
          <w:rPr>
            <w:rStyle w:val="Hyperlink"/>
            <w:rFonts w:cs="Arial"/>
            <w:szCs w:val="19"/>
            <w:lang w:eastAsia="en-AU"/>
          </w:rPr>
          <w:t>Common</w:t>
        </w:r>
        <w:r w:rsidR="005D5532" w:rsidRPr="00AC68B9">
          <w:rPr>
            <w:rStyle w:val="Hyperlink"/>
            <w:rFonts w:cs="Arial"/>
            <w:szCs w:val="19"/>
            <w:lang w:eastAsia="en-AU"/>
          </w:rPr>
          <w:t xml:space="preserve"> </w:t>
        </w:r>
        <w:r w:rsidRPr="00AC68B9">
          <w:rPr>
            <w:rStyle w:val="Hyperlink"/>
            <w:rFonts w:cs="Arial"/>
            <w:szCs w:val="19"/>
            <w:lang w:eastAsia="en-AU"/>
          </w:rPr>
          <w:t>Funding</w:t>
        </w:r>
        <w:r w:rsidR="005D5532" w:rsidRPr="00AC68B9">
          <w:rPr>
            <w:rStyle w:val="Hyperlink"/>
            <w:rFonts w:cs="Arial"/>
            <w:szCs w:val="19"/>
            <w:lang w:eastAsia="en-AU"/>
          </w:rPr>
          <w:t xml:space="preserve"> </w:t>
        </w:r>
        <w:r w:rsidRPr="00AC68B9">
          <w:rPr>
            <w:rStyle w:val="Hyperlink"/>
            <w:rFonts w:cs="Arial"/>
            <w:szCs w:val="19"/>
            <w:lang w:eastAsia="en-AU"/>
          </w:rPr>
          <w:t>Agreement</w:t>
        </w:r>
        <w:r w:rsidR="005D5532" w:rsidRPr="00AC68B9">
          <w:rPr>
            <w:rStyle w:val="Hyperlink"/>
            <w:rFonts w:cs="Arial"/>
            <w:szCs w:val="19"/>
            <w:lang w:eastAsia="en-AU"/>
          </w:rPr>
          <w:t xml:space="preserve"> </w:t>
        </w:r>
        <w:r w:rsidRPr="00AC68B9">
          <w:rPr>
            <w:rStyle w:val="Hyperlink"/>
            <w:rFonts w:cs="Arial"/>
            <w:szCs w:val="19"/>
            <w:lang w:eastAsia="en-AU"/>
          </w:rPr>
          <w:t>(CFA)</w:t>
        </w:r>
      </w:hyperlink>
      <w:r w:rsidR="00AC68B9">
        <w:rPr>
          <w:rFonts w:cs="Arial"/>
          <w:color w:val="000000"/>
          <w:szCs w:val="19"/>
          <w:lang w:eastAsia="en-AU"/>
        </w:rPr>
        <w:t xml:space="preserve"> &lt;</w:t>
      </w:r>
      <w:r w:rsidR="00AC68B9" w:rsidRPr="00AC68B9">
        <w:rPr>
          <w:rFonts w:cs="Arial"/>
          <w:color w:val="000000"/>
          <w:szCs w:val="19"/>
          <w:lang w:eastAsia="en-AU"/>
        </w:rPr>
        <w:t>https://providers.dhhs.vic.gov.au/victorian-common-funding-agreement</w:t>
      </w:r>
      <w:r w:rsidR="00AC68B9">
        <w:rPr>
          <w:rFonts w:cs="Arial"/>
          <w:color w:val="000000"/>
          <w:szCs w:val="19"/>
          <w:lang w:eastAsia="en-AU"/>
        </w:rPr>
        <w:t xml:space="preserve">&gt; (external link, </w:t>
      </w:r>
      <w:r w:rsidR="00EA74AB">
        <w:rPr>
          <w:rFonts w:cs="Arial"/>
          <w:color w:val="000000"/>
          <w:szCs w:val="19"/>
          <w:lang w:eastAsia="en-AU"/>
        </w:rPr>
        <w:t xml:space="preserve">opens in </w:t>
      </w:r>
      <w:r w:rsidR="00C62565">
        <w:rPr>
          <w:rFonts w:cs="Arial"/>
          <w:color w:val="000000"/>
          <w:szCs w:val="19"/>
          <w:lang w:eastAsia="en-AU"/>
        </w:rPr>
        <w:t>a new window</w:t>
      </w:r>
      <w:r w:rsidR="00AC68B9">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became</w:t>
      </w:r>
      <w:r w:rsidR="005D5532" w:rsidRPr="00B24C02">
        <w:rPr>
          <w:rFonts w:cs="Arial"/>
          <w:color w:val="000000"/>
          <w:szCs w:val="19"/>
          <w:lang w:eastAsia="en-AU"/>
        </w:rPr>
        <w:t xml:space="preserve"> </w:t>
      </w:r>
      <w:r w:rsidRPr="00B24C02">
        <w:rPr>
          <w:rFonts w:cs="Arial"/>
          <w:color w:val="000000"/>
          <w:szCs w:val="19"/>
          <w:lang w:eastAsia="en-AU"/>
        </w:rPr>
        <w:t>available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acknowledgement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than</w:t>
      </w:r>
      <w:r w:rsidR="005D5532" w:rsidRPr="00B24C02">
        <w:rPr>
          <w:rFonts w:cs="Arial"/>
          <w:color w:val="000000"/>
          <w:szCs w:val="19"/>
          <w:lang w:eastAsia="en-AU"/>
        </w:rPr>
        <w:t xml:space="preserve"> </w:t>
      </w:r>
      <w:r w:rsidRPr="00B24C02">
        <w:rPr>
          <w:rFonts w:cs="Arial"/>
          <w:color w:val="000000"/>
          <w:szCs w:val="19"/>
          <w:lang w:eastAsia="en-AU"/>
        </w:rPr>
        <w:t>one</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CFA</w:t>
      </w:r>
      <w:r w:rsidR="005D5532" w:rsidRPr="00B24C02">
        <w:rPr>
          <w:rFonts w:cs="Arial"/>
          <w:color w:val="000000"/>
          <w:szCs w:val="19"/>
          <w:lang w:eastAsia="en-AU"/>
        </w:rPr>
        <w:t xml:space="preserve"> </w:t>
      </w:r>
      <w:r w:rsidRPr="00B24C02">
        <w:rPr>
          <w:rFonts w:cs="Arial"/>
          <w:color w:val="000000"/>
          <w:szCs w:val="19"/>
          <w:lang w:eastAsia="en-AU"/>
        </w:rPr>
        <w:t>aims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reduce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administrative</w:t>
      </w:r>
      <w:r w:rsidR="005D5532" w:rsidRPr="00B24C02">
        <w:rPr>
          <w:rFonts w:cs="Arial"/>
          <w:color w:val="000000"/>
          <w:szCs w:val="19"/>
          <w:lang w:eastAsia="en-AU"/>
        </w:rPr>
        <w:t xml:space="preserve"> </w:t>
      </w:r>
      <w:r w:rsidRPr="00B24C02">
        <w:rPr>
          <w:rFonts w:cs="Arial"/>
          <w:color w:val="000000"/>
          <w:szCs w:val="19"/>
          <w:lang w:eastAsia="en-AU"/>
        </w:rPr>
        <w:t>burden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standardising</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arrangements</w:t>
      </w:r>
      <w:r w:rsidR="005D5532" w:rsidRPr="00B24C02">
        <w:rPr>
          <w:rFonts w:cs="Arial"/>
          <w:color w:val="000000"/>
          <w:szCs w:val="19"/>
          <w:lang w:eastAsia="en-AU"/>
        </w:rPr>
        <w:t xml:space="preserve"> </w:t>
      </w:r>
      <w:r w:rsidRPr="00B24C02">
        <w:rPr>
          <w:rFonts w:cs="Arial"/>
          <w:color w:val="000000"/>
          <w:szCs w:val="19"/>
          <w:lang w:eastAsia="en-AU"/>
        </w:rPr>
        <w:t>across</w:t>
      </w:r>
      <w:r w:rsidR="005D5532" w:rsidRPr="00B24C02">
        <w:rPr>
          <w:rFonts w:cs="Arial"/>
          <w:color w:val="000000"/>
          <w:szCs w:val="19"/>
          <w:lang w:eastAsia="en-AU"/>
        </w:rPr>
        <w:t xml:space="preserve"> </w:t>
      </w:r>
      <w:r w:rsidRPr="00B24C02">
        <w:rPr>
          <w:rFonts w:cs="Arial"/>
          <w:color w:val="000000"/>
          <w:szCs w:val="19"/>
          <w:lang w:eastAsia="en-AU"/>
        </w:rPr>
        <w:t>government.</w:t>
      </w:r>
    </w:p>
    <w:p w14:paraId="63368201" w14:textId="53A2B2D8" w:rsidR="00236748" w:rsidRPr="00276391" w:rsidRDefault="00236748" w:rsidP="00276391">
      <w:pPr>
        <w:pStyle w:val="Heading3"/>
        <w:rPr>
          <w:lang w:eastAsia="en-AU"/>
        </w:rPr>
      </w:pPr>
      <w:bookmarkStart w:id="101" w:name="_Toc478991708"/>
      <w:bookmarkStart w:id="102" w:name="_Toc478992321"/>
      <w:bookmarkStart w:id="103" w:name="_Toc4142001"/>
      <w:r w:rsidRPr="00276391">
        <w:rPr>
          <w:lang w:eastAsia="en-AU"/>
        </w:rPr>
        <w:lastRenderedPageBreak/>
        <w:t>What</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align</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CFA?</w:t>
      </w:r>
      <w:bookmarkEnd w:id="101"/>
      <w:bookmarkEnd w:id="102"/>
      <w:bookmarkEnd w:id="103"/>
    </w:p>
    <w:p w14:paraId="3D265BD8" w14:textId="48FD6B5A" w:rsidR="00236748" w:rsidRPr="000B2E6F" w:rsidRDefault="00236748" w:rsidP="000B2E6F">
      <w:pPr>
        <w:pStyle w:val="DHHSbodyBold"/>
      </w:pPr>
      <w:r w:rsidRPr="000B2E6F">
        <w:t>Changes</w:t>
      </w:r>
      <w:r w:rsidR="005D5532" w:rsidRPr="000B2E6F">
        <w:t xml:space="preserve"> </w:t>
      </w:r>
      <w:r w:rsidRPr="000B2E6F">
        <w:t>to</w:t>
      </w:r>
      <w:r w:rsidR="005D5532" w:rsidRPr="000B2E6F">
        <w:t xml:space="preserve"> </w:t>
      </w:r>
      <w:r w:rsidR="009B3052">
        <w:t>Service agreement</w:t>
      </w:r>
      <w:r w:rsidR="005D5532" w:rsidRPr="000B2E6F">
        <w:t xml:space="preserve"> </w:t>
      </w:r>
      <w:r w:rsidRPr="000B2E6F">
        <w:t>terms</w:t>
      </w:r>
      <w:r w:rsidR="005D5532" w:rsidRPr="000B2E6F">
        <w:t xml:space="preserve"> </w:t>
      </w:r>
      <w:r w:rsidRPr="000B2E6F">
        <w:t>and</w:t>
      </w:r>
      <w:r w:rsidR="005D5532" w:rsidRPr="000B2E6F">
        <w:t xml:space="preserve"> </w:t>
      </w:r>
      <w:r w:rsidRPr="000B2E6F">
        <w:t>conditions</w:t>
      </w:r>
    </w:p>
    <w:p w14:paraId="039E5480" w14:textId="66635583" w:rsidR="00236748" w:rsidRPr="00B24C02" w:rsidRDefault="00236748" w:rsidP="00276391">
      <w:pPr>
        <w:pStyle w:val="DHHSbody"/>
        <w:rPr>
          <w:color w:val="000000"/>
          <w:szCs w:val="19"/>
          <w:lang w:eastAsia="en-AU"/>
        </w:rPr>
      </w:pPr>
      <w:r w:rsidRPr="00B24C02">
        <w:rPr>
          <w:color w:val="000000"/>
          <w:szCs w:val="19"/>
          <w:lang w:eastAsia="en-AU"/>
        </w:rPr>
        <w:t>As</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9B3052">
        <w:rPr>
          <w:color w:val="000000"/>
          <w:szCs w:val="19"/>
          <w:lang w:eastAsia="en-AU"/>
        </w:rPr>
        <w:t>Service agreement</w:t>
      </w:r>
      <w:r w:rsidR="005D5532" w:rsidRPr="00B24C02">
        <w:rPr>
          <w:color w:val="000000"/>
          <w:szCs w:val="19"/>
          <w:lang w:eastAsia="en-AU"/>
        </w:rPr>
        <w:t xml:space="preserve"> </w:t>
      </w:r>
      <w:r w:rsidRPr="00B24C02">
        <w:rPr>
          <w:color w:val="000000"/>
          <w:szCs w:val="19"/>
          <w:lang w:eastAsia="en-AU"/>
        </w:rPr>
        <w:t>used</w:t>
      </w:r>
      <w:r w:rsidR="005D5532" w:rsidRPr="00B24C02">
        <w:rPr>
          <w:color w:val="000000"/>
          <w:szCs w:val="19"/>
          <w:lang w:eastAsia="en-AU"/>
        </w:rPr>
        <w:t xml:space="preserve"> </w:t>
      </w:r>
      <w:r w:rsidRPr="00B24C02">
        <w:rPr>
          <w:color w:val="000000"/>
          <w:szCs w:val="19"/>
          <w:lang w:eastAsia="en-AU"/>
        </w:rPr>
        <w:t>by</w:t>
      </w:r>
      <w:r w:rsidR="005D5532" w:rsidRPr="00B24C02">
        <w:rPr>
          <w:color w:val="000000"/>
          <w:szCs w:val="19"/>
          <w:lang w:eastAsia="en-AU"/>
        </w:rPr>
        <w:t xml:space="preserve"> </w:t>
      </w:r>
      <w:r w:rsidR="00D45BB7">
        <w:rPr>
          <w:color w:val="000000"/>
          <w:szCs w:val="19"/>
          <w:lang w:eastAsia="en-AU"/>
        </w:rPr>
        <w:t>Department of Health and Human Services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4A65C1">
        <w:rPr>
          <w:color w:val="000000"/>
          <w:szCs w:val="19"/>
          <w:lang w:eastAsia="en-AU"/>
        </w:rPr>
        <w:t>E</w:t>
      </w:r>
      <w:r w:rsidRPr="00B24C02">
        <w:rPr>
          <w:color w:val="000000"/>
          <w:szCs w:val="19"/>
          <w:lang w:eastAsia="en-AU"/>
        </w:rPr>
        <w:t>arly</w:t>
      </w:r>
      <w:r w:rsidR="005D5532" w:rsidRPr="00B24C02">
        <w:rPr>
          <w:color w:val="000000"/>
          <w:szCs w:val="19"/>
          <w:lang w:eastAsia="en-AU"/>
        </w:rPr>
        <w:t xml:space="preserve"> </w:t>
      </w:r>
      <w:r w:rsidRPr="00B24C02">
        <w:rPr>
          <w:color w:val="000000"/>
          <w:szCs w:val="19"/>
          <w:lang w:eastAsia="en-AU"/>
        </w:rPr>
        <w:t>childhood</w:t>
      </w:r>
      <w:r w:rsidR="005D5532" w:rsidRPr="00B24C02">
        <w:rPr>
          <w:color w:val="000000"/>
          <w:szCs w:val="19"/>
          <w:lang w:eastAsia="en-AU"/>
        </w:rPr>
        <w:t xml:space="preserve"> </w:t>
      </w:r>
      <w:r w:rsidRPr="00B24C02">
        <w:rPr>
          <w:color w:val="000000"/>
          <w:szCs w:val="19"/>
          <w:lang w:eastAsia="en-AU"/>
        </w:rPr>
        <w:t>area</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00D45BB7">
        <w:rPr>
          <w:color w:val="000000"/>
          <w:szCs w:val="19"/>
          <w:lang w:eastAsia="en-AU"/>
        </w:rPr>
        <w:t>Department of Education and Training</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departments)</w:t>
      </w:r>
      <w:r w:rsidR="005D5532" w:rsidRPr="00B24C02">
        <w:rPr>
          <w:color w:val="000000"/>
          <w:szCs w:val="19"/>
          <w:lang w:eastAsia="en-AU"/>
        </w:rPr>
        <w:t xml:space="preserve"> </w:t>
      </w:r>
      <w:r w:rsidRPr="00B24C02">
        <w:rPr>
          <w:color w:val="000000"/>
          <w:szCs w:val="19"/>
          <w:lang w:eastAsia="en-AU"/>
        </w:rPr>
        <w:t>was</w:t>
      </w:r>
      <w:r w:rsidR="005D5532" w:rsidRPr="00B24C02">
        <w:rPr>
          <w:color w:val="000000"/>
          <w:szCs w:val="19"/>
          <w:lang w:eastAsia="en-AU"/>
        </w:rPr>
        <w:t xml:space="preserve"> </w:t>
      </w:r>
      <w:r w:rsidRPr="00B24C02">
        <w:rPr>
          <w:color w:val="000000"/>
          <w:szCs w:val="19"/>
          <w:lang w:eastAsia="en-AU"/>
        </w:rPr>
        <w:t>negotiated</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agreed</w:t>
      </w:r>
      <w:r w:rsidR="005D5532" w:rsidRPr="00B24C02">
        <w:rPr>
          <w:color w:val="000000"/>
          <w:szCs w:val="19"/>
          <w:lang w:eastAsia="en-AU"/>
        </w:rPr>
        <w:t xml:space="preserve"> </w:t>
      </w:r>
      <w:r w:rsidRPr="00B24C02">
        <w:rPr>
          <w:color w:val="000000"/>
          <w:szCs w:val="19"/>
          <w:lang w:eastAsia="en-AU"/>
        </w:rPr>
        <w:t>with</w:t>
      </w:r>
      <w:r w:rsidR="005D5532" w:rsidRPr="00B24C02">
        <w:rPr>
          <w:color w:val="000000"/>
          <w:szCs w:val="19"/>
          <w:lang w:eastAsia="en-AU"/>
        </w:rPr>
        <w:t xml:space="preserve"> </w:t>
      </w:r>
      <w:r w:rsidRPr="00B24C02">
        <w:rPr>
          <w:color w:val="000000"/>
          <w:szCs w:val="19"/>
          <w:lang w:eastAsia="en-AU"/>
        </w:rPr>
        <w:t>organisations</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2F63B8">
        <w:rPr>
          <w:color w:val="000000"/>
          <w:szCs w:val="19"/>
          <w:lang w:eastAsia="en-AU"/>
        </w:rPr>
        <w:t>2015</w:t>
      </w:r>
      <w:r w:rsidR="004A65C1">
        <w:rPr>
          <w:rFonts w:cs="Arial"/>
          <w:lang w:eastAsia="en-AU"/>
        </w:rPr>
        <w:t>–</w:t>
      </w:r>
      <w:r w:rsidR="002F63B8">
        <w:rPr>
          <w:color w:val="000000"/>
          <w:szCs w:val="19"/>
          <w:lang w:eastAsia="en-AU"/>
        </w:rPr>
        <w:t>2019</w:t>
      </w:r>
      <w:r w:rsidR="005D5532" w:rsidRPr="00B24C02">
        <w:rPr>
          <w:color w:val="000000"/>
          <w:szCs w:val="19"/>
          <w:lang w:eastAsia="en-AU"/>
        </w:rPr>
        <w:t xml:space="preserve"> </w:t>
      </w:r>
      <w:r w:rsidRPr="00B24C02">
        <w:rPr>
          <w:color w:val="000000"/>
          <w:szCs w:val="19"/>
          <w:lang w:eastAsia="en-AU"/>
        </w:rPr>
        <w:t>period,</w:t>
      </w:r>
      <w:r w:rsidR="005D5532" w:rsidRPr="00B24C02">
        <w:rPr>
          <w:color w:val="000000"/>
          <w:szCs w:val="19"/>
          <w:lang w:eastAsia="en-AU"/>
        </w:rPr>
        <w:t xml:space="preserve"> </w:t>
      </w:r>
      <w:r w:rsidRPr="00B24C02">
        <w:rPr>
          <w:color w:val="000000"/>
          <w:szCs w:val="19"/>
          <w:lang w:eastAsia="en-AU"/>
        </w:rPr>
        <w:t>considerable</w:t>
      </w:r>
      <w:r w:rsidR="005D5532" w:rsidRPr="00B24C02">
        <w:rPr>
          <w:color w:val="000000"/>
          <w:szCs w:val="19"/>
          <w:lang w:eastAsia="en-AU"/>
        </w:rPr>
        <w:t xml:space="preserve"> </w:t>
      </w:r>
      <w:r w:rsidRPr="00B24C02">
        <w:rPr>
          <w:color w:val="000000"/>
          <w:szCs w:val="19"/>
          <w:lang w:eastAsia="en-AU"/>
        </w:rPr>
        <w:t>work</w:t>
      </w:r>
      <w:r w:rsidR="005D5532" w:rsidRPr="00B24C02">
        <w:rPr>
          <w:color w:val="000000"/>
          <w:szCs w:val="19"/>
          <w:lang w:eastAsia="en-AU"/>
        </w:rPr>
        <w:t xml:space="preserve"> </w:t>
      </w:r>
      <w:r w:rsidRPr="00B24C02">
        <w:rPr>
          <w:color w:val="000000"/>
          <w:szCs w:val="19"/>
          <w:lang w:eastAsia="en-AU"/>
        </w:rPr>
        <w:t>has</w:t>
      </w:r>
      <w:r w:rsidR="005D5532" w:rsidRPr="00B24C02">
        <w:rPr>
          <w:color w:val="000000"/>
          <w:szCs w:val="19"/>
          <w:lang w:eastAsia="en-AU"/>
        </w:rPr>
        <w:t xml:space="preserve"> </w:t>
      </w:r>
      <w:r w:rsidRPr="00B24C02">
        <w:rPr>
          <w:color w:val="000000"/>
          <w:szCs w:val="19"/>
          <w:lang w:eastAsia="en-AU"/>
        </w:rPr>
        <w:t>been</w:t>
      </w:r>
      <w:r w:rsidR="005D5532" w:rsidRPr="00B24C02">
        <w:rPr>
          <w:color w:val="000000"/>
          <w:szCs w:val="19"/>
          <w:lang w:eastAsia="en-AU"/>
        </w:rPr>
        <w:t xml:space="preserve"> </w:t>
      </w:r>
      <w:r w:rsidRPr="00B24C02">
        <w:rPr>
          <w:color w:val="000000"/>
          <w:szCs w:val="19"/>
          <w:lang w:eastAsia="en-AU"/>
        </w:rPr>
        <w:t>undertaken</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minimise</w:t>
      </w:r>
      <w:r w:rsidR="005D5532" w:rsidRPr="00B24C02">
        <w:rPr>
          <w:color w:val="000000"/>
          <w:szCs w:val="19"/>
          <w:lang w:eastAsia="en-AU"/>
        </w:rPr>
        <w:t xml:space="preserve"> </w:t>
      </w:r>
      <w:r w:rsidRPr="00B24C02">
        <w:rPr>
          <w:color w:val="000000"/>
          <w:szCs w:val="19"/>
          <w:lang w:eastAsia="en-AU"/>
        </w:rPr>
        <w:t>change</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organisations.</w:t>
      </w:r>
    </w:p>
    <w:p w14:paraId="6C1C5C9B" w14:textId="49EE5B33" w:rsidR="00236748" w:rsidRPr="00B24C02" w:rsidRDefault="00236748" w:rsidP="00276391">
      <w:pPr>
        <w:pStyle w:val="DHHSbody"/>
        <w:rPr>
          <w:color w:val="000000"/>
          <w:szCs w:val="19"/>
          <w:lang w:eastAsia="en-AU"/>
        </w:rPr>
      </w:pP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CFA</w:t>
      </w:r>
      <w:r w:rsidR="005D5532" w:rsidRPr="00B24C02">
        <w:rPr>
          <w:color w:val="000000"/>
          <w:szCs w:val="19"/>
          <w:lang w:eastAsia="en-AU"/>
        </w:rPr>
        <w:t xml:space="preserve"> </w:t>
      </w:r>
      <w:r w:rsidRPr="00B24C02">
        <w:rPr>
          <w:color w:val="000000"/>
          <w:szCs w:val="19"/>
          <w:lang w:eastAsia="en-AU"/>
        </w:rPr>
        <w:t>terms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conditions</w:t>
      </w:r>
      <w:r w:rsidR="005D5532" w:rsidRPr="00B24C02">
        <w:rPr>
          <w:color w:val="000000"/>
          <w:szCs w:val="19"/>
          <w:lang w:eastAsia="en-AU"/>
        </w:rPr>
        <w:t xml:space="preserve"> </w:t>
      </w:r>
      <w:r w:rsidRPr="00B24C02">
        <w:rPr>
          <w:color w:val="000000"/>
          <w:szCs w:val="19"/>
          <w:lang w:eastAsia="en-AU"/>
        </w:rPr>
        <w:t>have</w:t>
      </w:r>
      <w:r w:rsidR="005D5532" w:rsidRPr="00B24C02">
        <w:rPr>
          <w:color w:val="000000"/>
          <w:szCs w:val="19"/>
          <w:lang w:eastAsia="en-AU"/>
        </w:rPr>
        <w:t xml:space="preserve"> </w:t>
      </w:r>
      <w:r w:rsidRPr="00B24C02">
        <w:rPr>
          <w:color w:val="000000"/>
          <w:szCs w:val="19"/>
          <w:lang w:eastAsia="en-AU"/>
        </w:rPr>
        <w:t>been</w:t>
      </w:r>
      <w:r w:rsidR="005D5532" w:rsidRPr="00B24C02">
        <w:rPr>
          <w:color w:val="000000"/>
          <w:szCs w:val="19"/>
          <w:lang w:eastAsia="en-AU"/>
        </w:rPr>
        <w:t xml:space="preserve"> </w:t>
      </w:r>
      <w:r w:rsidRPr="00B24C02">
        <w:rPr>
          <w:color w:val="000000"/>
          <w:szCs w:val="19"/>
          <w:lang w:eastAsia="en-AU"/>
        </w:rPr>
        <w:t>closely</w:t>
      </w:r>
      <w:r w:rsidR="005D5532" w:rsidRPr="00B24C02">
        <w:rPr>
          <w:color w:val="000000"/>
          <w:szCs w:val="19"/>
          <w:lang w:eastAsia="en-AU"/>
        </w:rPr>
        <w:t xml:space="preserve"> </w:t>
      </w:r>
      <w:r w:rsidRPr="00B24C02">
        <w:rPr>
          <w:color w:val="000000"/>
          <w:szCs w:val="19"/>
          <w:lang w:eastAsia="en-AU"/>
        </w:rPr>
        <w:t>modelled</w:t>
      </w:r>
      <w:r w:rsidR="005D5532" w:rsidRPr="00B24C02">
        <w:rPr>
          <w:color w:val="000000"/>
          <w:szCs w:val="19"/>
          <w:lang w:eastAsia="en-AU"/>
        </w:rPr>
        <w:t xml:space="preserve"> </w:t>
      </w:r>
      <w:r w:rsidRPr="00B24C02">
        <w:rPr>
          <w:color w:val="000000"/>
          <w:szCs w:val="19"/>
          <w:lang w:eastAsia="en-AU"/>
        </w:rPr>
        <w:t>on</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clauses</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9B3052">
        <w:rPr>
          <w:color w:val="000000"/>
          <w:szCs w:val="19"/>
          <w:lang w:eastAsia="en-AU"/>
        </w:rPr>
        <w:t>Service agreement</w:t>
      </w:r>
      <w:r w:rsidRPr="00B24C02">
        <w:rPr>
          <w:color w:val="000000"/>
          <w:szCs w:val="19"/>
          <w:lang w:eastAsia="en-AU"/>
        </w:rPr>
        <w:t>.</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CFA</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009B3052">
        <w:rPr>
          <w:color w:val="000000"/>
          <w:szCs w:val="19"/>
          <w:lang w:eastAsia="en-AU"/>
        </w:rPr>
        <w:t>Service agreement</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consistent</w:t>
      </w:r>
      <w:r w:rsidR="005D5532" w:rsidRPr="00B24C02">
        <w:rPr>
          <w:color w:val="000000"/>
          <w:szCs w:val="19"/>
          <w:lang w:eastAsia="en-AU"/>
        </w:rPr>
        <w:t xml:space="preserve"> </w:t>
      </w:r>
      <w:r w:rsidRPr="00B24C02">
        <w:rPr>
          <w:color w:val="000000"/>
          <w:szCs w:val="19"/>
          <w:lang w:eastAsia="en-AU"/>
        </w:rPr>
        <w:t>with</w:t>
      </w:r>
      <w:r w:rsidR="005D5532" w:rsidRPr="00B24C02">
        <w:rPr>
          <w:color w:val="000000"/>
          <w:szCs w:val="19"/>
          <w:lang w:eastAsia="en-AU"/>
        </w:rPr>
        <w:t xml:space="preserve"> </w:t>
      </w:r>
      <w:r w:rsidRPr="00B24C02">
        <w:rPr>
          <w:color w:val="000000"/>
          <w:szCs w:val="19"/>
          <w:lang w:eastAsia="en-AU"/>
        </w:rPr>
        <w:t>their</w:t>
      </w:r>
      <w:r w:rsidR="005D5532" w:rsidRPr="00B24C02">
        <w:rPr>
          <w:color w:val="000000"/>
          <w:szCs w:val="19"/>
          <w:lang w:eastAsia="en-AU"/>
        </w:rPr>
        <w:t xml:space="preserve"> </w:t>
      </w:r>
      <w:r w:rsidRPr="00B24C02">
        <w:rPr>
          <w:color w:val="000000"/>
          <w:szCs w:val="19"/>
          <w:lang w:eastAsia="en-AU"/>
        </w:rPr>
        <w:t>order</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grouping</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terms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conditions,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use</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plain</w:t>
      </w:r>
      <w:r w:rsidR="005D5532" w:rsidRPr="00B24C02">
        <w:rPr>
          <w:color w:val="000000"/>
          <w:szCs w:val="19"/>
          <w:lang w:eastAsia="en-AU"/>
        </w:rPr>
        <w:t xml:space="preserve"> </w:t>
      </w:r>
      <w:r w:rsidRPr="00B24C02">
        <w:rPr>
          <w:color w:val="000000"/>
          <w:szCs w:val="19"/>
          <w:lang w:eastAsia="en-AU"/>
        </w:rPr>
        <w:t>language.</w:t>
      </w:r>
    </w:p>
    <w:p w14:paraId="41D941B8" w14:textId="65CBE9DF" w:rsidR="00B506DF" w:rsidRDefault="00236748" w:rsidP="00276391">
      <w:pPr>
        <w:pStyle w:val="DHHSbody"/>
        <w:rPr>
          <w:color w:val="000000"/>
          <w:szCs w:val="19"/>
          <w:lang w:eastAsia="en-AU"/>
        </w:rPr>
      </w:pPr>
      <w:r w:rsidRPr="00B24C02">
        <w:rPr>
          <w:color w:val="000000"/>
          <w:szCs w:val="19"/>
          <w:lang w:eastAsia="en-AU"/>
        </w:rPr>
        <w:t>Minimal</w:t>
      </w:r>
      <w:r w:rsidR="005D5532" w:rsidRPr="00B24C02">
        <w:rPr>
          <w:color w:val="000000"/>
          <w:szCs w:val="19"/>
          <w:lang w:eastAsia="en-AU"/>
        </w:rPr>
        <w:t xml:space="preserve"> </w:t>
      </w:r>
      <w:r w:rsidRPr="00B24C02">
        <w:rPr>
          <w:color w:val="000000"/>
          <w:szCs w:val="19"/>
          <w:lang w:eastAsia="en-AU"/>
        </w:rPr>
        <w:t>changes</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required</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align</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9B3052">
        <w:rPr>
          <w:color w:val="000000"/>
          <w:szCs w:val="19"/>
          <w:lang w:eastAsia="en-AU"/>
        </w:rPr>
        <w:t>Service agreement</w:t>
      </w:r>
      <w:r w:rsidR="005D5532" w:rsidRPr="00B24C02">
        <w:rPr>
          <w:color w:val="000000"/>
          <w:szCs w:val="19"/>
          <w:lang w:eastAsia="en-AU"/>
        </w:rPr>
        <w:t xml:space="preserve"> </w:t>
      </w:r>
      <w:r w:rsidRPr="00B24C02">
        <w:rPr>
          <w:color w:val="000000"/>
          <w:szCs w:val="19"/>
          <w:lang w:eastAsia="en-AU"/>
        </w:rPr>
        <w:t>clauses</w:t>
      </w:r>
      <w:r w:rsidR="005D5532" w:rsidRPr="00B24C02">
        <w:rPr>
          <w:color w:val="000000"/>
          <w:szCs w:val="19"/>
          <w:lang w:eastAsia="en-AU"/>
        </w:rPr>
        <w:t xml:space="preserve"> </w:t>
      </w:r>
      <w:r w:rsidRPr="00B24C02">
        <w:rPr>
          <w:color w:val="000000"/>
          <w:szCs w:val="19"/>
          <w:lang w:eastAsia="en-AU"/>
        </w:rPr>
        <w:t>with</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CFA</w:t>
      </w:r>
      <w:r w:rsidR="005D5532" w:rsidRPr="00B24C02">
        <w:rPr>
          <w:color w:val="000000"/>
          <w:szCs w:val="19"/>
          <w:lang w:eastAsia="en-AU"/>
        </w:rPr>
        <w:t xml:space="preserve"> </w:t>
      </w:r>
      <w:r w:rsidRPr="00B24C02">
        <w:rPr>
          <w:color w:val="000000"/>
          <w:szCs w:val="19"/>
          <w:lang w:eastAsia="en-AU"/>
        </w:rPr>
        <w:t>terms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conditions.</w:t>
      </w:r>
      <w:r w:rsidR="005D5532" w:rsidRPr="00B24C02">
        <w:rPr>
          <w:color w:val="000000"/>
          <w:szCs w:val="19"/>
          <w:lang w:eastAsia="en-AU"/>
        </w:rPr>
        <w:t xml:space="preserve"> </w:t>
      </w:r>
    </w:p>
    <w:p w14:paraId="1719A9A9" w14:textId="63F52131" w:rsidR="00236748" w:rsidRPr="00B24C02" w:rsidRDefault="00236748" w:rsidP="00276391">
      <w:pPr>
        <w:pStyle w:val="DHHSbody"/>
        <w:rPr>
          <w:color w:val="000000"/>
          <w:szCs w:val="19"/>
          <w:lang w:eastAsia="en-AU"/>
        </w:rPr>
      </w:pP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most</w:t>
      </w:r>
      <w:r w:rsidR="005D5532" w:rsidRPr="00B24C02">
        <w:rPr>
          <w:color w:val="000000"/>
          <w:szCs w:val="19"/>
          <w:lang w:eastAsia="en-AU"/>
        </w:rPr>
        <w:t xml:space="preserve"> </w:t>
      </w:r>
      <w:r w:rsidRPr="00B24C02">
        <w:rPr>
          <w:color w:val="000000"/>
          <w:szCs w:val="19"/>
          <w:lang w:eastAsia="en-AU"/>
        </w:rPr>
        <w:t>notable</w:t>
      </w:r>
      <w:r w:rsidR="005D5532" w:rsidRPr="00B24C02">
        <w:rPr>
          <w:color w:val="000000"/>
          <w:szCs w:val="19"/>
          <w:lang w:eastAsia="en-AU"/>
        </w:rPr>
        <w:t xml:space="preserve"> </w:t>
      </w:r>
      <w:r w:rsidRPr="00B24C02">
        <w:rPr>
          <w:color w:val="000000"/>
          <w:szCs w:val="19"/>
          <w:lang w:eastAsia="en-AU"/>
        </w:rPr>
        <w:t>changes</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4:</w:t>
      </w:r>
    </w:p>
    <w:p w14:paraId="4E8E7BE8" w14:textId="4318E5B8" w:rsidR="00236748" w:rsidRPr="00276391" w:rsidRDefault="00236748" w:rsidP="00D45BB7">
      <w:pPr>
        <w:pStyle w:val="DHHSbullet1"/>
        <w:numPr>
          <w:ilvl w:val="0"/>
          <w:numId w:val="0"/>
        </w:numPr>
        <w:ind w:left="284" w:hanging="284"/>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clauses</w:t>
      </w:r>
      <w:r w:rsidR="005D5532" w:rsidRPr="00276391">
        <w:rPr>
          <w:rFonts w:cs="Arial"/>
          <w:lang w:eastAsia="en-AU"/>
        </w:rPr>
        <w:t xml:space="preserve"> </w:t>
      </w:r>
      <w:r w:rsidRPr="00276391">
        <w:rPr>
          <w:rFonts w:cs="Arial"/>
          <w:lang w:eastAsia="en-AU"/>
        </w:rPr>
        <w:t>4.15</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4.16</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been</w:t>
      </w:r>
      <w:r w:rsidR="005D5532" w:rsidRPr="00276391">
        <w:rPr>
          <w:rFonts w:cs="Arial"/>
          <w:lang w:eastAsia="en-AU"/>
        </w:rPr>
        <w:t xml:space="preserve"> </w:t>
      </w:r>
      <w:r w:rsidRPr="00276391">
        <w:rPr>
          <w:rFonts w:cs="Arial"/>
          <w:lang w:eastAsia="en-AU"/>
        </w:rPr>
        <w:t>added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clarify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obligations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4A65C1">
        <w:rPr>
          <w:rFonts w:cs="Arial"/>
          <w:lang w:eastAsia="en-AU"/>
        </w:rPr>
        <w:t>d</w:t>
      </w:r>
      <w:r w:rsidRPr="00276391">
        <w:rPr>
          <w:rFonts w:cs="Arial"/>
          <w:lang w:eastAsia="en-AU"/>
        </w:rPr>
        <w:t>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organisation</w:t>
      </w:r>
      <w:r w:rsidR="00EB4CBF">
        <w:rPr>
          <w:rFonts w:cs="Arial"/>
          <w:lang w:eastAsia="en-AU"/>
        </w:rPr>
        <w:t>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respect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issue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invoices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adjustment</w:t>
      </w:r>
      <w:r w:rsidR="005D5532" w:rsidRPr="00276391">
        <w:rPr>
          <w:rFonts w:cs="Arial"/>
          <w:lang w:eastAsia="en-AU"/>
        </w:rPr>
        <w:t xml:space="preserve"> </w:t>
      </w:r>
      <w:r w:rsidRPr="00276391">
        <w:rPr>
          <w:rFonts w:cs="Arial"/>
          <w:lang w:eastAsia="en-AU"/>
        </w:rPr>
        <w:t>notes,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consistent</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00CD3CD6">
        <w:rPr>
          <w:rFonts w:cs="Arial"/>
          <w:lang w:eastAsia="en-AU"/>
        </w:rPr>
        <w:t>legislation</w:t>
      </w:r>
    </w:p>
    <w:p w14:paraId="3F66B9C2" w14:textId="11CB87FA" w:rsidR="00B506DF" w:rsidRPr="00B506DF" w:rsidRDefault="00236748" w:rsidP="00D45BB7">
      <w:pPr>
        <w:pStyle w:val="DHHSbullet1"/>
        <w:numPr>
          <w:ilvl w:val="0"/>
          <w:numId w:val="0"/>
        </w:numPr>
        <w:ind w:left="284" w:hanging="284"/>
        <w:rPr>
          <w:rFonts w:cs="Arial"/>
          <w:lang w:eastAsia="en-AU"/>
        </w:rPr>
      </w:pPr>
      <w:r w:rsidRPr="00276391">
        <w:rPr>
          <w:rFonts w:cs="Arial"/>
          <w:lang w:eastAsia="en-AU"/>
        </w:rPr>
        <w:t>(b)</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Pr="00276391">
        <w:rPr>
          <w:rFonts w:cs="Arial"/>
          <w:lang w:eastAsia="en-AU"/>
        </w:rPr>
        <w:t>4.17</w:t>
      </w:r>
      <w:r w:rsidR="005D5532" w:rsidRPr="00276391">
        <w:rPr>
          <w:rFonts w:cs="Arial"/>
          <w:lang w:eastAsia="en-AU"/>
        </w:rPr>
        <w:t xml:space="preserve"> </w:t>
      </w:r>
      <w:r w:rsidRPr="00276391">
        <w:rPr>
          <w:rFonts w:cs="Arial"/>
          <w:lang w:eastAsia="en-AU"/>
        </w:rPr>
        <w:t>replaces</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Pr="00276391">
        <w:rPr>
          <w:rFonts w:cs="Arial"/>
          <w:lang w:eastAsia="en-AU"/>
        </w:rPr>
        <w:t>8.6.</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Pr="00276391">
        <w:rPr>
          <w:rFonts w:cs="Arial"/>
          <w:lang w:eastAsia="en-AU"/>
        </w:rPr>
        <w:t>4.17</w:t>
      </w:r>
      <w:r w:rsidR="005D5532" w:rsidRPr="00276391">
        <w:rPr>
          <w:rFonts w:cs="Arial"/>
          <w:lang w:eastAsia="en-AU"/>
        </w:rPr>
        <w:t xml:space="preserve"> </w:t>
      </w:r>
      <w:r w:rsidRPr="00276391">
        <w:rPr>
          <w:rFonts w:cs="Arial"/>
          <w:lang w:eastAsia="en-AU"/>
        </w:rPr>
        <w:t>requires</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acknowledge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specified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00E01346" w:rsidRPr="00276391">
        <w:rPr>
          <w:rFonts w:cs="Arial"/>
          <w:lang w:eastAsia="en-AU"/>
        </w:rPr>
        <w:t xml:space="preserve">applicable departmental policy </w:t>
      </w:r>
      <w:r w:rsidRPr="00276391">
        <w:rPr>
          <w:rFonts w:cs="Arial"/>
          <w:lang w:eastAsia="en-AU"/>
        </w:rPr>
        <w:t>and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This</w:t>
      </w:r>
      <w:r w:rsidR="005D5532" w:rsidRPr="00276391">
        <w:rPr>
          <w:rFonts w:cs="Arial"/>
          <w:lang w:eastAsia="en-AU"/>
        </w:rPr>
        <w:t xml:space="preserve"> </w:t>
      </w:r>
      <w:r w:rsidRPr="00276391">
        <w:rPr>
          <w:rFonts w:cs="Arial"/>
          <w:lang w:eastAsia="en-AU"/>
        </w:rPr>
        <w:t>means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publications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publicity</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well</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annual</w:t>
      </w:r>
      <w:r w:rsidR="005D5532" w:rsidRPr="00276391">
        <w:rPr>
          <w:rFonts w:cs="Arial"/>
          <w:lang w:eastAsia="en-AU"/>
        </w:rPr>
        <w:t xml:space="preserve"> </w:t>
      </w:r>
      <w:r w:rsidRPr="00276391">
        <w:rPr>
          <w:rFonts w:cs="Arial"/>
          <w:lang w:eastAsia="en-AU"/>
        </w:rPr>
        <w:t>report,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expected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acknowledge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these</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Further</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this</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00EB4CBF">
        <w:rPr>
          <w:rFonts w:cs="Arial"/>
          <w:lang w:eastAsia="en-AU"/>
        </w:rPr>
        <w:t>is</w:t>
      </w:r>
      <w:r w:rsidR="005D5532" w:rsidRPr="00276391">
        <w:rPr>
          <w:rFonts w:cs="Arial"/>
          <w:lang w:eastAsia="en-AU"/>
        </w:rPr>
        <w:t xml:space="preserve"> </w:t>
      </w:r>
      <w:r w:rsidRPr="00276391">
        <w:rPr>
          <w:rFonts w:cs="Arial"/>
          <w:lang w:eastAsia="en-AU"/>
        </w:rPr>
        <w:t>available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hyperlink w:anchor="_3.4.4_Acknowledgement_and" w:history="1">
        <w:r w:rsidR="00EB4CBF">
          <w:rPr>
            <w:rStyle w:val="Hyperlink"/>
            <w:rFonts w:cs="Arial"/>
            <w:lang w:eastAsia="en-AU"/>
          </w:rPr>
          <w:t>C</w:t>
        </w:r>
        <w:r w:rsidRPr="00EB4CBF">
          <w:rPr>
            <w:rStyle w:val="Hyperlink"/>
            <w:rFonts w:cs="Arial"/>
            <w:lang w:eastAsia="en-AU"/>
          </w:rPr>
          <w:t>hapter</w:t>
        </w:r>
        <w:r w:rsidR="005D5532" w:rsidRPr="00EB4CBF">
          <w:rPr>
            <w:rStyle w:val="Hyperlink"/>
            <w:rFonts w:cs="Arial"/>
            <w:lang w:eastAsia="en-AU"/>
          </w:rPr>
          <w:t xml:space="preserve"> </w:t>
        </w:r>
        <w:r w:rsidRPr="00EB4CBF">
          <w:rPr>
            <w:rStyle w:val="Hyperlink"/>
            <w:rFonts w:cs="Arial"/>
            <w:lang w:eastAsia="en-AU"/>
          </w:rPr>
          <w:t>3.4.4</w:t>
        </w:r>
      </w:hyperlink>
      <w:r w:rsidRPr="00276391">
        <w:rPr>
          <w:rFonts w:cs="Arial"/>
          <w:lang w:eastAsia="en-AU"/>
        </w:rPr>
        <w:t>.</w:t>
      </w:r>
    </w:p>
    <w:p w14:paraId="247B846F" w14:textId="1B469194" w:rsidR="00236748" w:rsidRPr="00276391" w:rsidRDefault="00236748" w:rsidP="00276391">
      <w:pPr>
        <w:pStyle w:val="Heading3"/>
        <w:rPr>
          <w:lang w:eastAsia="en-AU"/>
        </w:rPr>
      </w:pPr>
      <w:bookmarkStart w:id="104" w:name="_Toc478991709"/>
      <w:bookmarkStart w:id="105" w:name="_Toc478992322"/>
      <w:bookmarkStart w:id="106" w:name="_Toc4142002"/>
      <w:r w:rsidRPr="00276391">
        <w:rPr>
          <w:lang w:eastAsia="en-AU"/>
        </w:rPr>
        <w:t>What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differences</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Agreement?</w:t>
      </w:r>
      <w:bookmarkEnd w:id="104"/>
      <w:bookmarkEnd w:id="105"/>
      <w:bookmarkEnd w:id="106"/>
    </w:p>
    <w:p w14:paraId="31946214" w14:textId="7B4BDC21"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CFA</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core</w:t>
      </w:r>
      <w:r w:rsidR="005D5532" w:rsidRPr="00B24C02">
        <w:rPr>
          <w:rFonts w:cs="Arial"/>
          <w:color w:val="000000"/>
          <w:szCs w:val="19"/>
          <w:lang w:eastAsia="en-AU"/>
        </w:rPr>
        <w:t xml:space="preserve"> </w:t>
      </w:r>
      <w:r w:rsidR="004A65C1">
        <w:rPr>
          <w:rFonts w:cs="Arial"/>
          <w:color w:val="000000"/>
          <w:szCs w:val="19"/>
          <w:lang w:eastAsia="en-AU"/>
        </w:rPr>
        <w:t>T</w:t>
      </w:r>
      <w:r w:rsidRPr="00B24C02">
        <w:rPr>
          <w:rFonts w:cs="Arial"/>
          <w:color w:val="000000"/>
          <w:szCs w:val="19"/>
          <w:lang w:eastAsia="en-AU"/>
        </w:rPr>
        <w:t>erms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conditions</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00D45BB7">
        <w:rPr>
          <w:rFonts w:cs="Arial"/>
          <w:color w:val="000000"/>
          <w:szCs w:val="19"/>
          <w:lang w:eastAsia="en-AU"/>
        </w:rPr>
        <w:t>The departments</w:t>
      </w:r>
      <w:r w:rsidR="00B25634">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add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substitute</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clauses</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approved</w:t>
      </w:r>
      <w:r w:rsidR="005D5532" w:rsidRPr="00B24C02">
        <w:rPr>
          <w:rFonts w:cs="Arial"/>
          <w:color w:val="000000"/>
          <w:szCs w:val="19"/>
          <w:lang w:eastAsia="en-AU"/>
        </w:rPr>
        <w:t xml:space="preserve"> </w:t>
      </w:r>
      <w:r w:rsidRPr="00B24C02">
        <w:rPr>
          <w:rFonts w:cs="Arial"/>
          <w:color w:val="000000"/>
          <w:szCs w:val="19"/>
          <w:lang w:eastAsia="en-AU"/>
        </w:rPr>
        <w:t>list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requirements.</w:t>
      </w:r>
    </w:p>
    <w:p w14:paraId="2483653F" w14:textId="01BC424D"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substituted</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approved</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integrated</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CFA</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readability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minimise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existing</w:t>
      </w:r>
      <w:r w:rsidR="005D5532" w:rsidRPr="00276391">
        <w:rPr>
          <w:lang w:eastAsia="en-AU"/>
        </w:rPr>
        <w:t xml:space="preserve"> </w:t>
      </w:r>
      <w:r w:rsidRPr="00276391">
        <w:rPr>
          <w:lang w:eastAsia="en-AU"/>
        </w:rPr>
        <w:t>2012-2015</w:t>
      </w:r>
      <w:r w:rsidR="005D5532" w:rsidRPr="00276391">
        <w:rPr>
          <w:lang w:eastAsia="en-AU"/>
        </w:rPr>
        <w:t xml:space="preserve"> </w:t>
      </w:r>
      <w:r w:rsidR="009B3052">
        <w:rPr>
          <w:lang w:eastAsia="en-AU"/>
        </w:rPr>
        <w:t>Service agreement</w:t>
      </w:r>
      <w:r w:rsidRPr="00276391">
        <w:rPr>
          <w:lang w:eastAsia="en-AU"/>
        </w:rPr>
        <w:t>.</w:t>
      </w:r>
    </w:p>
    <w:p w14:paraId="5FCFDC67" w14:textId="217E9FBB" w:rsidR="00236748"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added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substituted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approved</w:t>
      </w:r>
      <w:r w:rsidR="005D5532" w:rsidRPr="00276391">
        <w:rPr>
          <w:lang w:eastAsia="en-AU"/>
        </w:rPr>
        <w:t xml:space="preserve"> </w:t>
      </w:r>
      <w:r w:rsidRPr="00276391">
        <w:rPr>
          <w:lang w:eastAsia="en-AU"/>
        </w:rPr>
        <w:t>CFA</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detailed</w:t>
      </w:r>
      <w:r w:rsidR="005D5532" w:rsidRPr="00276391">
        <w:rPr>
          <w:lang w:eastAsia="en-AU"/>
        </w:rPr>
        <w:t xml:space="preserve"> </w:t>
      </w:r>
      <w:r w:rsidR="004A65C1">
        <w:rPr>
          <w:lang w:eastAsia="en-AU"/>
        </w:rPr>
        <w:t xml:space="preserve">in the table </w:t>
      </w:r>
      <w:r w:rsidR="00471D37">
        <w:rPr>
          <w:lang w:eastAsia="en-AU"/>
        </w:rPr>
        <w:t>shown on page 20</w:t>
      </w:r>
      <w:r w:rsidRPr="00276391">
        <w:rPr>
          <w:lang w:eastAsia="en-AU"/>
        </w:rPr>
        <w: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explained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Chapter</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471D37">
        <w:rPr>
          <w:lang w:eastAsia="en-AU"/>
        </w:rPr>
        <w:t>k</w:t>
      </w:r>
      <w:r w:rsidRPr="00276391">
        <w:rPr>
          <w:lang w:eastAsia="en-AU"/>
        </w:rPr>
        <w:t>it.</w:t>
      </w:r>
    </w:p>
    <w:p w14:paraId="2D7A059E" w14:textId="727B3CA4" w:rsidR="00471D37" w:rsidRPr="00471D37" w:rsidRDefault="00471D37" w:rsidP="00471D37">
      <w:pPr>
        <w:pStyle w:val="Heading4"/>
        <w:rPr>
          <w:lang w:eastAsia="en-AU"/>
        </w:rPr>
      </w:pPr>
      <w:r>
        <w:rPr>
          <w:lang w:eastAsia="en-AU"/>
        </w:rPr>
        <w:t>Table 1 List of c</w:t>
      </w:r>
      <w:r w:rsidRPr="00276391">
        <w:rPr>
          <w:lang w:eastAsia="en-AU"/>
        </w:rPr>
        <w:t xml:space="preserve">lauses added to or substituted in the </w:t>
      </w:r>
      <w:r w:rsidR="009B3052">
        <w:rPr>
          <w:lang w:eastAsia="en-AU"/>
        </w:rPr>
        <w:t>Service agreement</w:t>
      </w:r>
      <w:r w:rsidRPr="00276391">
        <w:rPr>
          <w:lang w:eastAsia="en-AU"/>
        </w:rPr>
        <w:t xml:space="preserve"> from the approved CFA list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5"/>
        <w:gridCol w:w="3958"/>
        <w:gridCol w:w="3119"/>
      </w:tblGrid>
      <w:tr w:rsidR="00236748" w:rsidRPr="00276391" w14:paraId="7908FF75" w14:textId="77777777" w:rsidTr="00471D37">
        <w:trPr>
          <w:tblHeader/>
        </w:trPr>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vAlign w:val="center"/>
            <w:hideMark/>
          </w:tcPr>
          <w:p w14:paraId="4447564D" w14:textId="77777777" w:rsidR="00236748" w:rsidRPr="00276391" w:rsidRDefault="00236748" w:rsidP="007A5E9F">
            <w:pPr>
              <w:pStyle w:val="DHHStablecolhead"/>
              <w:rPr>
                <w:lang w:eastAsia="en-AU"/>
              </w:rPr>
            </w:pPr>
            <w:r w:rsidRPr="00B24C02">
              <w:rPr>
                <w:lang w:eastAsia="en-AU"/>
              </w:rPr>
              <w:t>Clauses</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vAlign w:val="center"/>
            <w:hideMark/>
          </w:tcPr>
          <w:p w14:paraId="7FC69D9D" w14:textId="2EB6E190" w:rsidR="00236748" w:rsidRPr="00276391" w:rsidRDefault="00236748" w:rsidP="007A5E9F">
            <w:pPr>
              <w:pStyle w:val="DHHStablecolhead"/>
              <w:rPr>
                <w:lang w:eastAsia="en-AU"/>
              </w:rPr>
            </w:pPr>
            <w:r w:rsidRPr="00B24C02">
              <w:rPr>
                <w:lang w:eastAsia="en-AU"/>
              </w:rPr>
              <w:t>Key</w:t>
            </w:r>
            <w:r w:rsidR="005D5532" w:rsidRPr="00B24C02">
              <w:rPr>
                <w:lang w:eastAsia="en-AU"/>
              </w:rPr>
              <w:t xml:space="preserve"> </w:t>
            </w:r>
            <w:r w:rsidRPr="00B24C02">
              <w:rPr>
                <w:lang w:eastAsia="en-AU"/>
              </w:rPr>
              <w:t>additional</w:t>
            </w:r>
            <w:r w:rsidR="005D5532" w:rsidRPr="00B24C02">
              <w:rPr>
                <w:lang w:eastAsia="en-AU"/>
              </w:rPr>
              <w:t xml:space="preserve"> </w:t>
            </w:r>
            <w:r w:rsidRPr="00B24C02">
              <w:rPr>
                <w:lang w:eastAsia="en-AU"/>
              </w:rPr>
              <w:t>clauses</w:t>
            </w:r>
            <w:r w:rsidR="005D5532" w:rsidRPr="00B24C02">
              <w:rPr>
                <w:lang w:eastAsia="en-AU"/>
              </w:rPr>
              <w:t xml:space="preserve"> </w:t>
            </w:r>
            <w:r w:rsidRPr="00B24C02">
              <w:rPr>
                <w:lang w:eastAsia="en-AU"/>
              </w:rPr>
              <w:t>in</w:t>
            </w:r>
            <w:r w:rsidR="005D5532" w:rsidRPr="00B24C02">
              <w:rPr>
                <w:lang w:eastAsia="en-AU"/>
              </w:rPr>
              <w:t xml:space="preserve"> </w:t>
            </w:r>
            <w:r w:rsidR="009B3052">
              <w:rPr>
                <w:lang w:eastAsia="en-AU"/>
              </w:rPr>
              <w:t>Service agreement</w:t>
            </w:r>
            <w:r w:rsidR="005D5532" w:rsidRPr="00B24C02">
              <w:rPr>
                <w:lang w:eastAsia="en-AU"/>
              </w:rPr>
              <w:t xml:space="preserve"> </w:t>
            </w:r>
            <w:r w:rsidRPr="00B24C02">
              <w:rPr>
                <w:lang w:eastAsia="en-AU"/>
              </w:rPr>
              <w:t>from</w:t>
            </w:r>
            <w:r w:rsidR="005D5532" w:rsidRPr="00B24C02">
              <w:rPr>
                <w:lang w:eastAsia="en-AU"/>
              </w:rPr>
              <w:t xml:space="preserve"> </w:t>
            </w:r>
            <w:r w:rsidRPr="00B24C02">
              <w:rPr>
                <w:lang w:eastAsia="en-AU"/>
              </w:rPr>
              <w:t>CFA</w:t>
            </w:r>
            <w:r w:rsidR="005D5532" w:rsidRPr="00B24C02">
              <w:rPr>
                <w:lang w:eastAsia="en-AU"/>
              </w:rPr>
              <w:t xml:space="preserve"> </w:t>
            </w:r>
            <w:r w:rsidRPr="00B24C02">
              <w:rPr>
                <w:lang w:eastAsia="en-AU"/>
              </w:rPr>
              <w:t>list</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vAlign w:val="center"/>
            <w:hideMark/>
          </w:tcPr>
          <w:p w14:paraId="0199817B" w14:textId="1F18BCD5" w:rsidR="00236748" w:rsidRPr="00276391" w:rsidRDefault="00236748" w:rsidP="007A5E9F">
            <w:pPr>
              <w:pStyle w:val="DHHStablecolhead"/>
              <w:rPr>
                <w:lang w:eastAsia="en-AU"/>
              </w:rPr>
            </w:pPr>
            <w:r w:rsidRPr="00B24C02">
              <w:rPr>
                <w:lang w:eastAsia="en-AU"/>
              </w:rPr>
              <w:t>Key</w:t>
            </w:r>
            <w:r w:rsidR="005D5532" w:rsidRPr="00B24C02">
              <w:rPr>
                <w:lang w:eastAsia="en-AU"/>
              </w:rPr>
              <w:t xml:space="preserve"> </w:t>
            </w:r>
            <w:r w:rsidRPr="00B24C02">
              <w:rPr>
                <w:lang w:eastAsia="en-AU"/>
              </w:rPr>
              <w:t>substituted</w:t>
            </w:r>
            <w:r w:rsidR="005D5532" w:rsidRPr="00B24C02">
              <w:rPr>
                <w:lang w:eastAsia="en-AU"/>
              </w:rPr>
              <w:t xml:space="preserve"> </w:t>
            </w:r>
            <w:r w:rsidRPr="00B24C02">
              <w:rPr>
                <w:lang w:eastAsia="en-AU"/>
              </w:rPr>
              <w:t>clauses</w:t>
            </w:r>
            <w:r w:rsidR="005D5532" w:rsidRPr="00B24C02">
              <w:rPr>
                <w:lang w:eastAsia="en-AU"/>
              </w:rPr>
              <w:t xml:space="preserve"> </w:t>
            </w:r>
            <w:r w:rsidRPr="00B24C02">
              <w:rPr>
                <w:lang w:eastAsia="en-AU"/>
              </w:rPr>
              <w:t>in</w:t>
            </w:r>
            <w:r w:rsidR="005D5532" w:rsidRPr="00B24C02">
              <w:rPr>
                <w:lang w:eastAsia="en-AU"/>
              </w:rPr>
              <w:t xml:space="preserve"> </w:t>
            </w:r>
            <w:r w:rsidR="009B3052">
              <w:rPr>
                <w:lang w:eastAsia="en-AU"/>
              </w:rPr>
              <w:t>Service agreement</w:t>
            </w:r>
            <w:r w:rsidR="005D5532" w:rsidRPr="00B24C02">
              <w:rPr>
                <w:lang w:eastAsia="en-AU"/>
              </w:rPr>
              <w:t xml:space="preserve"> </w:t>
            </w:r>
            <w:r w:rsidRPr="00B24C02">
              <w:rPr>
                <w:lang w:eastAsia="en-AU"/>
              </w:rPr>
              <w:t>from</w:t>
            </w:r>
            <w:r w:rsidR="005D5532" w:rsidRPr="00B24C02">
              <w:rPr>
                <w:lang w:eastAsia="en-AU"/>
              </w:rPr>
              <w:t xml:space="preserve"> </w:t>
            </w:r>
            <w:r w:rsidRPr="00B24C02">
              <w:rPr>
                <w:lang w:eastAsia="en-AU"/>
              </w:rPr>
              <w:t>CFA</w:t>
            </w:r>
            <w:r w:rsidR="005D5532" w:rsidRPr="00B24C02">
              <w:rPr>
                <w:lang w:eastAsia="en-AU"/>
              </w:rPr>
              <w:t xml:space="preserve"> </w:t>
            </w:r>
            <w:r w:rsidRPr="00B24C02">
              <w:rPr>
                <w:lang w:eastAsia="en-AU"/>
              </w:rPr>
              <w:t>list</w:t>
            </w:r>
          </w:p>
        </w:tc>
      </w:tr>
      <w:tr w:rsidR="00236748" w:rsidRPr="00276391" w14:paraId="6DADB620" w14:textId="77777777" w:rsidTr="00471D37">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693D190C" w14:textId="0C0B99DA" w:rsidR="00236748" w:rsidRPr="00276391" w:rsidRDefault="00236748" w:rsidP="00471D37">
            <w:pPr>
              <w:pStyle w:val="DHHSbody"/>
              <w:rPr>
                <w:lang w:eastAsia="en-AU"/>
              </w:rPr>
            </w:pPr>
            <w:r w:rsidRPr="00B24C02">
              <w:rPr>
                <w:rFonts w:cs="Arial"/>
                <w:color w:val="000000"/>
                <w:szCs w:val="19"/>
                <w:lang w:eastAsia="en-AU"/>
              </w:rPr>
              <w:t>Clauses</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D</w:t>
            </w:r>
            <w:r w:rsidR="00B25634">
              <w:rPr>
                <w:rFonts w:cs="Arial"/>
                <w:color w:val="000000"/>
                <w:szCs w:val="19"/>
                <w:lang w:eastAsia="en-AU"/>
              </w:rPr>
              <w:t>H</w:t>
            </w:r>
            <w:r w:rsidRPr="00B24C02">
              <w:rPr>
                <w:rFonts w:cs="Arial"/>
                <w:color w:val="000000"/>
                <w:szCs w:val="19"/>
                <w:lang w:eastAsia="en-AU"/>
              </w:rPr>
              <w:t>HS</w:t>
            </w:r>
            <w:r w:rsidR="00B25634">
              <w:rPr>
                <w:rFonts w:cs="Arial"/>
                <w:color w:val="000000"/>
                <w:szCs w:val="19"/>
                <w:lang w:eastAsia="en-AU"/>
              </w:rPr>
              <w:t xml:space="preserve"> and DET </w:t>
            </w:r>
            <w:r w:rsidR="009B3052">
              <w:rPr>
                <w:rFonts w:cs="Arial"/>
                <w:color w:val="000000"/>
                <w:szCs w:val="19"/>
                <w:lang w:eastAsia="en-AU"/>
              </w:rPr>
              <w:t>Service agreement</w:t>
            </w:r>
            <w:r w:rsidRPr="00B24C02">
              <w:rPr>
                <w:rFonts w:cs="Arial"/>
                <w:color w:val="000000"/>
                <w:szCs w:val="19"/>
                <w:lang w:eastAsia="en-AU"/>
              </w:rPr>
              <w:t>s</w:t>
            </w:r>
            <w:r w:rsidR="005D5532" w:rsidRPr="00276391">
              <w:rPr>
                <w:lang w:eastAsia="en-AU"/>
              </w:rPr>
              <w:t xml:space="preserve"> </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652CB686" w14:textId="77777777" w:rsidR="00471D37" w:rsidRDefault="00236748" w:rsidP="00471D37">
            <w:pPr>
              <w:pStyle w:val="DHHSbody"/>
              <w:rPr>
                <w:rFonts w:cs="Arial"/>
                <w:color w:val="000000"/>
                <w:szCs w:val="19"/>
                <w:lang w:eastAsia="en-AU"/>
              </w:rPr>
            </w:pP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Definitions</w:t>
            </w:r>
            <w:r w:rsidR="005D5532" w:rsidRPr="00B24C02">
              <w:rPr>
                <w:rFonts w:cs="Arial"/>
                <w:color w:val="000000"/>
                <w:szCs w:val="19"/>
                <w:lang w:eastAsia="en-AU"/>
              </w:rPr>
              <w:t xml:space="preserve"> </w:t>
            </w:r>
            <w:r w:rsidR="00471D37">
              <w:rPr>
                <w:rFonts w:cs="Arial"/>
                <w:color w:val="000000"/>
                <w:szCs w:val="19"/>
                <w:lang w:eastAsia="en-AU"/>
              </w:rPr>
              <w:t>including:</w:t>
            </w:r>
          </w:p>
          <w:p w14:paraId="5AE23181" w14:textId="65B97BB8" w:rsidR="00471D37" w:rsidRDefault="009B3052" w:rsidP="00471D37">
            <w:pPr>
              <w:pStyle w:val="DHHSbody"/>
              <w:numPr>
                <w:ilvl w:val="0"/>
                <w:numId w:val="12"/>
              </w:numPr>
              <w:rPr>
                <w:rFonts w:cs="Arial"/>
                <w:color w:val="000000"/>
                <w:szCs w:val="19"/>
                <w:lang w:eastAsia="en-AU"/>
              </w:rPr>
            </w:pPr>
            <w:r>
              <w:rPr>
                <w:rFonts w:cs="Arial"/>
                <w:color w:val="000000"/>
                <w:szCs w:val="19"/>
                <w:lang w:eastAsia="en-AU"/>
              </w:rPr>
              <w:t>Service agreement</w:t>
            </w:r>
            <w:r w:rsidR="00C32843">
              <w:rPr>
                <w:rFonts w:cs="Arial"/>
                <w:color w:val="000000"/>
                <w:szCs w:val="19"/>
                <w:lang w:eastAsia="en-AU"/>
              </w:rPr>
              <w:t xml:space="preserve"> information kit </w:t>
            </w:r>
            <w:r w:rsidR="00236748" w:rsidRPr="00B24C02">
              <w:rPr>
                <w:rFonts w:cs="Arial"/>
                <w:color w:val="000000"/>
                <w:szCs w:val="19"/>
                <w:lang w:eastAsia="en-AU"/>
              </w:rPr>
              <w:t>(additional</w:t>
            </w:r>
            <w:r w:rsidR="005D5532" w:rsidRPr="00B24C02">
              <w:rPr>
                <w:rFonts w:cs="Arial"/>
                <w:color w:val="000000"/>
                <w:szCs w:val="19"/>
                <w:lang w:eastAsia="en-AU"/>
              </w:rPr>
              <w:t xml:space="preserve"> </w:t>
            </w:r>
            <w:r w:rsidR="00471D37">
              <w:rPr>
                <w:rFonts w:cs="Arial"/>
                <w:color w:val="000000"/>
                <w:szCs w:val="19"/>
                <w:lang w:eastAsia="en-AU"/>
              </w:rPr>
              <w:t>definition)</w:t>
            </w:r>
          </w:p>
          <w:p w14:paraId="67F6DC2A" w14:textId="32920080" w:rsidR="00236748" w:rsidRPr="00276391" w:rsidRDefault="00236748" w:rsidP="00471D37">
            <w:pPr>
              <w:pStyle w:val="DHHSbody"/>
              <w:numPr>
                <w:ilvl w:val="0"/>
                <w:numId w:val="12"/>
              </w:numPr>
              <w:rPr>
                <w:lang w:eastAsia="en-AU"/>
              </w:rPr>
            </w:pP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definition)</w:t>
            </w:r>
          </w:p>
          <w:p w14:paraId="04692C4D" w14:textId="77777777" w:rsidR="004E5F78" w:rsidRDefault="00236748" w:rsidP="00471D37">
            <w:pPr>
              <w:pStyle w:val="DHHSbody"/>
              <w:rPr>
                <w:lang w:eastAsia="en-AU"/>
              </w:rPr>
            </w:pPr>
            <w:r w:rsidRPr="00276391">
              <w:rPr>
                <w:lang w:eastAsia="en-AU"/>
              </w:rPr>
              <w:t>Clauses</w:t>
            </w:r>
            <w:r w:rsidR="005D5532" w:rsidRPr="00276391">
              <w:rPr>
                <w:lang w:eastAsia="en-AU"/>
              </w:rPr>
              <w:t xml:space="preserve"> </w:t>
            </w:r>
            <w:r w:rsidRPr="00276391">
              <w:rPr>
                <w:lang w:eastAsia="en-AU"/>
              </w:rPr>
              <w:t>3.3,</w:t>
            </w:r>
            <w:r w:rsidR="005D5532" w:rsidRPr="00276391">
              <w:rPr>
                <w:lang w:eastAsia="en-AU"/>
              </w:rPr>
              <w:t xml:space="preserve"> </w:t>
            </w:r>
            <w:r w:rsidRPr="00276391">
              <w:rPr>
                <w:lang w:eastAsia="en-AU"/>
              </w:rPr>
              <w:t>3.4,</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3.5</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p>
          <w:p w14:paraId="51D52ECF" w14:textId="77777777" w:rsidR="00236748" w:rsidRPr="00276391" w:rsidRDefault="00236748" w:rsidP="00471D37">
            <w:pPr>
              <w:pStyle w:val="DHHSbody"/>
              <w:rPr>
                <w:lang w:eastAsia="en-AU"/>
              </w:rPr>
            </w:pPr>
            <w:r w:rsidRPr="00276391">
              <w:rPr>
                <w:lang w:eastAsia="en-AU"/>
              </w:rPr>
              <w:lastRenderedPageBreak/>
              <w:t>Clause</w:t>
            </w:r>
            <w:r w:rsidR="005D5532" w:rsidRPr="00276391">
              <w:rPr>
                <w:lang w:eastAsia="en-AU"/>
              </w:rPr>
              <w:t xml:space="preserve"> </w:t>
            </w:r>
            <w:r w:rsidRPr="00276391">
              <w:rPr>
                <w:lang w:eastAsia="en-AU"/>
              </w:rPr>
              <w:t>5.1(c)</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Pr="00276391">
              <w:rPr>
                <w:lang w:eastAsia="en-AU"/>
              </w:rPr>
              <w:br/>
              <w:t>Clause</w:t>
            </w:r>
            <w:r w:rsidR="005D5532" w:rsidRPr="00276391">
              <w:rPr>
                <w:lang w:eastAsia="en-AU"/>
              </w:rPr>
              <w:t xml:space="preserve"> </w:t>
            </w:r>
            <w:r w:rsidRPr="00276391">
              <w:rPr>
                <w:lang w:eastAsia="en-AU"/>
              </w:rPr>
              <w:t>6.6,</w:t>
            </w:r>
            <w:r w:rsidR="005D5532" w:rsidRPr="00276391">
              <w:rPr>
                <w:lang w:eastAsia="en-AU"/>
              </w:rPr>
              <w:t xml:space="preserve"> </w:t>
            </w:r>
            <w:r w:rsidRPr="00276391">
              <w:rPr>
                <w:lang w:eastAsia="en-AU"/>
              </w:rPr>
              <w:t>6.7,</w:t>
            </w:r>
            <w:r w:rsidR="005D5532" w:rsidRPr="00276391">
              <w:rPr>
                <w:lang w:eastAsia="en-AU"/>
              </w:rPr>
              <w:t xml:space="preserve"> </w:t>
            </w:r>
            <w:r w:rsidRPr="00276391">
              <w:rPr>
                <w:lang w:eastAsia="en-AU"/>
              </w:rPr>
              <w:t>6.8</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6.9</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keeping</w:t>
            </w:r>
            <w:r w:rsidRPr="00276391">
              <w:rPr>
                <w:lang w:eastAsia="en-AU"/>
              </w:rPr>
              <w:br/>
              <w:t>Clause</w:t>
            </w:r>
            <w:r w:rsidR="005D5532" w:rsidRPr="00276391">
              <w:rPr>
                <w:lang w:eastAsia="en-AU"/>
              </w:rPr>
              <w:t xml:space="preserve"> </w:t>
            </w:r>
            <w:r w:rsidRPr="00276391">
              <w:rPr>
                <w:lang w:eastAsia="en-AU"/>
              </w:rPr>
              <w:t>7.8</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7.9</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Assets</w:t>
            </w:r>
            <w:r w:rsidRPr="00276391">
              <w:rPr>
                <w:lang w:eastAsia="en-AU"/>
              </w:rPr>
              <w:br/>
              <w:t>Clause</w:t>
            </w:r>
            <w:r w:rsidR="005D5532" w:rsidRPr="00276391">
              <w:rPr>
                <w:lang w:eastAsia="en-AU"/>
              </w:rPr>
              <w:t xml:space="preserve"> </w:t>
            </w:r>
            <w:r w:rsidRPr="00276391">
              <w:rPr>
                <w:lang w:eastAsia="en-AU"/>
              </w:rPr>
              <w:t>8.5</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Reporting</w:t>
            </w:r>
            <w:r w:rsidRPr="00276391">
              <w:rPr>
                <w:lang w:eastAsia="en-AU"/>
              </w:rPr>
              <w:br/>
              <w:t>Clause</w:t>
            </w:r>
            <w:r w:rsidR="005D5532" w:rsidRPr="00276391">
              <w:rPr>
                <w:lang w:eastAsia="en-AU"/>
              </w:rPr>
              <w:t xml:space="preserve"> </w:t>
            </w:r>
            <w:r w:rsidRPr="00276391">
              <w:rPr>
                <w:lang w:eastAsia="en-AU"/>
              </w:rPr>
              <w:t>20.2(c)</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Management</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655A0E8F" w14:textId="77777777" w:rsidR="00471D37" w:rsidRDefault="00236748" w:rsidP="00471D37">
            <w:pPr>
              <w:pStyle w:val="DHHSbody"/>
              <w:rPr>
                <w:rFonts w:cs="Arial"/>
                <w:color w:val="000000"/>
                <w:szCs w:val="19"/>
                <w:lang w:eastAsia="en-AU"/>
              </w:rPr>
            </w:pPr>
            <w:r w:rsidRPr="00B24C02">
              <w:rPr>
                <w:rFonts w:cs="Arial"/>
                <w:color w:val="000000"/>
                <w:szCs w:val="19"/>
                <w:lang w:eastAsia="en-AU"/>
              </w:rPr>
              <w:lastRenderedPageBreak/>
              <w:t>Clause</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Definitions</w:t>
            </w:r>
            <w:r w:rsidR="005D5532" w:rsidRPr="00B24C02">
              <w:rPr>
                <w:rFonts w:cs="Arial"/>
                <w:color w:val="000000"/>
                <w:szCs w:val="19"/>
                <w:lang w:eastAsia="en-AU"/>
              </w:rPr>
              <w:t xml:space="preserve"> </w:t>
            </w:r>
            <w:r w:rsidR="00471D37">
              <w:rPr>
                <w:rFonts w:cs="Arial"/>
                <w:color w:val="000000"/>
                <w:szCs w:val="19"/>
                <w:lang w:eastAsia="en-AU"/>
              </w:rPr>
              <w:t>including:</w:t>
            </w:r>
          </w:p>
          <w:p w14:paraId="01318ED6" w14:textId="77777777" w:rsidR="00471D37" w:rsidRDefault="00236748" w:rsidP="00471D37">
            <w:pPr>
              <w:pStyle w:val="DHHSbody"/>
              <w:numPr>
                <w:ilvl w:val="0"/>
                <w:numId w:val="13"/>
              </w:numPr>
              <w:rPr>
                <w:rFonts w:cs="Arial"/>
                <w:color w:val="000000"/>
                <w:szCs w:val="19"/>
                <w:lang w:eastAsia="en-AU"/>
              </w:rPr>
            </w:pPr>
            <w:r w:rsidRPr="00B24C02">
              <w:rPr>
                <w:rFonts w:cs="Arial"/>
                <w:color w:val="000000"/>
                <w:szCs w:val="19"/>
                <w:lang w:eastAsia="en-AU"/>
              </w:rPr>
              <w:t>Insolvency</w:t>
            </w:r>
            <w:r w:rsidR="005D5532" w:rsidRPr="00B24C02">
              <w:rPr>
                <w:rFonts w:cs="Arial"/>
                <w:color w:val="000000"/>
                <w:szCs w:val="19"/>
                <w:lang w:eastAsia="en-AU"/>
              </w:rPr>
              <w:t xml:space="preserve"> </w:t>
            </w:r>
            <w:r w:rsidRPr="00B24C02">
              <w:rPr>
                <w:rFonts w:cs="Arial"/>
                <w:color w:val="000000"/>
                <w:szCs w:val="19"/>
                <w:lang w:eastAsia="en-AU"/>
              </w:rPr>
              <w:t>event</w:t>
            </w:r>
          </w:p>
          <w:p w14:paraId="7A7194CF" w14:textId="65415931" w:rsidR="00236748" w:rsidRPr="00276391" w:rsidRDefault="00236748" w:rsidP="00471D37">
            <w:pPr>
              <w:pStyle w:val="DHHSbody"/>
              <w:numPr>
                <w:ilvl w:val="0"/>
                <w:numId w:val="13"/>
              </w:numPr>
              <w:rPr>
                <w:lang w:eastAsia="en-AU"/>
              </w:rPr>
            </w:pPr>
            <w:r w:rsidRPr="00B24C02">
              <w:rPr>
                <w:rFonts w:cs="Arial"/>
                <w:color w:val="000000"/>
                <w:szCs w:val="19"/>
                <w:lang w:eastAsia="en-AU"/>
              </w:rPr>
              <w:t>Subcontracting</w:t>
            </w:r>
          </w:p>
          <w:p w14:paraId="7266D2B1" w14:textId="77777777" w:rsidR="00236748" w:rsidRPr="00276391" w:rsidRDefault="00236748" w:rsidP="00471D37">
            <w:pPr>
              <w:pStyle w:val="DHHSbody"/>
              <w:rPr>
                <w:lang w:eastAsia="en-AU"/>
              </w:rPr>
            </w:pPr>
            <w:r w:rsidRPr="00276391">
              <w:rPr>
                <w:lang w:eastAsia="en-AU"/>
              </w:rPr>
              <w:t>Clause</w:t>
            </w:r>
            <w:r w:rsidR="005D5532" w:rsidRPr="00276391">
              <w:rPr>
                <w:lang w:eastAsia="en-AU"/>
              </w:rPr>
              <w:t xml:space="preserve"> </w:t>
            </w:r>
            <w:r w:rsidRPr="00276391">
              <w:rPr>
                <w:lang w:eastAsia="en-AU"/>
              </w:rPr>
              <w:t>1.3</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Priority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Documents</w:t>
            </w:r>
            <w:r w:rsidRPr="00276391">
              <w:rPr>
                <w:lang w:eastAsia="en-AU"/>
              </w:rPr>
              <w:br/>
            </w:r>
            <w:r w:rsidRPr="00276391">
              <w:rPr>
                <w:lang w:eastAsia="en-AU"/>
              </w:rPr>
              <w:lastRenderedPageBreak/>
              <w:t>Clause</w:t>
            </w:r>
            <w:r w:rsidR="005D5532" w:rsidRPr="00276391">
              <w:rPr>
                <w:lang w:eastAsia="en-AU"/>
              </w:rPr>
              <w:t xml:space="preserve"> </w:t>
            </w:r>
            <w:r w:rsidRPr="00276391">
              <w:rPr>
                <w:lang w:eastAsia="en-AU"/>
              </w:rPr>
              <w:t>3.1(b)</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Pr="00276391">
              <w:rPr>
                <w:lang w:eastAsia="en-AU"/>
              </w:rPr>
              <w:br/>
              <w:t>Clauses</w:t>
            </w:r>
            <w:r w:rsidR="005D5532" w:rsidRPr="00276391">
              <w:rPr>
                <w:lang w:eastAsia="en-AU"/>
              </w:rPr>
              <w:t xml:space="preserve"> </w:t>
            </w:r>
            <w:r w:rsidRPr="00276391">
              <w:rPr>
                <w:lang w:eastAsia="en-AU"/>
              </w:rPr>
              <w:t>4.3</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4.9</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Funding</w:t>
            </w:r>
            <w:r w:rsidRPr="00276391">
              <w:rPr>
                <w:lang w:eastAsia="en-AU"/>
              </w:rPr>
              <w:br/>
              <w:t>Clause</w:t>
            </w:r>
            <w:r w:rsidR="005D5532" w:rsidRPr="00276391">
              <w:rPr>
                <w:lang w:eastAsia="en-AU"/>
              </w:rPr>
              <w:t xml:space="preserve"> </w:t>
            </w:r>
            <w:r w:rsidRPr="00276391">
              <w:rPr>
                <w:lang w:eastAsia="en-AU"/>
              </w:rPr>
              <w:t>6.2,</w:t>
            </w:r>
            <w:r w:rsidR="005D5532" w:rsidRPr="00276391">
              <w:rPr>
                <w:lang w:eastAsia="en-AU"/>
              </w:rPr>
              <w:t xml:space="preserve"> </w:t>
            </w:r>
            <w:r w:rsidRPr="00276391">
              <w:rPr>
                <w:lang w:eastAsia="en-AU"/>
              </w:rPr>
              <w:t>6.3,</w:t>
            </w:r>
            <w:r w:rsidR="005D5532" w:rsidRPr="00276391">
              <w:rPr>
                <w:lang w:eastAsia="en-AU"/>
              </w:rPr>
              <w:t xml:space="preserve"> </w:t>
            </w:r>
            <w:r w:rsidRPr="00276391">
              <w:rPr>
                <w:lang w:eastAsia="en-AU"/>
              </w:rPr>
              <w:t>6.4(a)</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keeping</w:t>
            </w:r>
            <w:r w:rsidRPr="00276391">
              <w:rPr>
                <w:lang w:eastAsia="en-AU"/>
              </w:rPr>
              <w:br/>
              <w:t>Clause</w:t>
            </w:r>
            <w:r w:rsidR="005D5532" w:rsidRPr="00276391">
              <w:rPr>
                <w:lang w:eastAsia="en-AU"/>
              </w:rPr>
              <w:t xml:space="preserve"> </w:t>
            </w:r>
            <w:r w:rsidRPr="00276391">
              <w:rPr>
                <w:lang w:eastAsia="en-AU"/>
              </w:rPr>
              <w:t>12</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Suspension</w:t>
            </w:r>
            <w:r w:rsidRPr="00276391">
              <w:rPr>
                <w:lang w:eastAsia="en-AU"/>
              </w:rPr>
              <w:br/>
              <w:t>Clause</w:t>
            </w:r>
            <w:r w:rsidR="005D5532" w:rsidRPr="00276391">
              <w:rPr>
                <w:lang w:eastAsia="en-AU"/>
              </w:rPr>
              <w:t xml:space="preserve"> </w:t>
            </w:r>
            <w:r w:rsidRPr="00276391">
              <w:rPr>
                <w:lang w:eastAsia="en-AU"/>
              </w:rPr>
              <w:t>13</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Cessation</w:t>
            </w:r>
            <w:r w:rsidRPr="00276391">
              <w:rPr>
                <w:lang w:eastAsia="en-AU"/>
              </w:rPr>
              <w:br/>
              <w:t>Clause</w:t>
            </w:r>
            <w:r w:rsidR="005D5532" w:rsidRPr="00276391">
              <w:rPr>
                <w:lang w:eastAsia="en-AU"/>
              </w:rPr>
              <w:t xml:space="preserve"> </w:t>
            </w:r>
            <w:r w:rsidRPr="00276391">
              <w:rPr>
                <w:lang w:eastAsia="en-AU"/>
              </w:rPr>
              <w:t>14.3(e)</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Termination</w:t>
            </w:r>
            <w:r w:rsidRPr="00276391">
              <w:rPr>
                <w:lang w:eastAsia="en-AU"/>
              </w:rPr>
              <w:br/>
              <w:t>Clause</w:t>
            </w:r>
            <w:r w:rsidR="005D5532" w:rsidRPr="00276391">
              <w:rPr>
                <w:lang w:eastAsia="en-AU"/>
              </w:rPr>
              <w:t xml:space="preserve"> </w:t>
            </w:r>
            <w:r w:rsidRPr="00276391">
              <w:rPr>
                <w:lang w:eastAsia="en-AU"/>
              </w:rPr>
              <w:t>15</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Transition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p>
        </w:tc>
      </w:tr>
      <w:tr w:rsidR="00236748" w:rsidRPr="00276391" w14:paraId="0263E0F0" w14:textId="77777777" w:rsidTr="00471D37">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3C30E422" w14:textId="0F7F3585" w:rsidR="00236748" w:rsidRPr="00276391" w:rsidRDefault="00236748" w:rsidP="00471D37">
            <w:pPr>
              <w:pStyle w:val="DHHSbody"/>
              <w:rPr>
                <w:lang w:eastAsia="en-AU"/>
              </w:rPr>
            </w:pPr>
            <w:r w:rsidRPr="00B24C02">
              <w:rPr>
                <w:rFonts w:cs="Arial"/>
                <w:color w:val="000000"/>
                <w:szCs w:val="19"/>
                <w:lang w:eastAsia="en-AU"/>
              </w:rPr>
              <w:lastRenderedPageBreak/>
              <w:t>Clauses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w:t>
            </w:r>
            <w:r w:rsidR="00880EE6">
              <w:rPr>
                <w:rFonts w:cs="Arial"/>
                <w:color w:val="000000"/>
                <w:szCs w:val="19"/>
                <w:lang w:eastAsia="en-AU"/>
              </w:rPr>
              <w:t>H</w:t>
            </w:r>
            <w:r w:rsidRPr="00B24C02">
              <w:rPr>
                <w:rFonts w:cs="Arial"/>
                <w:color w:val="000000"/>
                <w:szCs w:val="19"/>
                <w:lang w:eastAsia="en-AU"/>
              </w:rPr>
              <w:t>HS</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only</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3AACC598" w14:textId="77777777" w:rsidR="00236748" w:rsidRPr="00276391" w:rsidRDefault="00236748" w:rsidP="00471D37">
            <w:pPr>
              <w:pStyle w:val="DHHSbody"/>
              <w:rPr>
                <w:lang w:eastAsia="en-AU"/>
              </w:rPr>
            </w:pP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Definitions</w:t>
            </w:r>
            <w:r w:rsidR="005D5532" w:rsidRPr="00B24C02">
              <w:rPr>
                <w:rFonts w:cs="Arial"/>
                <w:color w:val="000000"/>
                <w:szCs w:val="19"/>
                <w:lang w:eastAsia="en-AU"/>
              </w:rPr>
              <w:t xml:space="preserve"> </w:t>
            </w:r>
            <w:r w:rsidRPr="00B24C02">
              <w:rPr>
                <w:rFonts w:cs="Arial"/>
                <w:color w:val="000000"/>
                <w:szCs w:val="19"/>
                <w:lang w:eastAsia="en-AU"/>
              </w:rPr>
              <w:t>including:</w:t>
            </w:r>
            <w:r w:rsidR="004E5F78"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Standards</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definition)</w:t>
            </w:r>
            <w:r w:rsidR="004E5F78"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Body</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definition)</w:t>
            </w:r>
          </w:p>
          <w:p w14:paraId="11251883" w14:textId="77777777" w:rsidR="00236748" w:rsidRPr="00276391" w:rsidRDefault="00236748" w:rsidP="00471D37">
            <w:pPr>
              <w:pStyle w:val="DHHSbody"/>
              <w:rPr>
                <w:lang w:eastAsia="en-AU"/>
              </w:rPr>
            </w:pPr>
            <w:r w:rsidRPr="00276391">
              <w:rPr>
                <w:lang w:eastAsia="en-AU"/>
              </w:rPr>
              <w:t>Clause</w:t>
            </w:r>
            <w:r w:rsidR="005D5532" w:rsidRPr="00276391">
              <w:rPr>
                <w:lang w:eastAsia="en-AU"/>
              </w:rPr>
              <w:t xml:space="preserve"> </w:t>
            </w:r>
            <w:r w:rsidRPr="00276391">
              <w:rPr>
                <w:lang w:eastAsia="en-AU"/>
              </w:rPr>
              <w:t>3.6</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3.11</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Standards</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572A0738" w14:textId="77777777" w:rsidR="00236748" w:rsidRPr="00276391" w:rsidRDefault="00236748" w:rsidP="00471D37">
            <w:pPr>
              <w:pStyle w:val="DHHSbody"/>
              <w:rPr>
                <w:lang w:eastAsia="en-AU"/>
              </w:rPr>
            </w:pP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14.4</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Termination</w:t>
            </w:r>
            <w:r w:rsidRPr="00B24C02">
              <w:rPr>
                <w:rFonts w:cs="Arial"/>
                <w:color w:val="000000"/>
                <w:szCs w:val="19"/>
                <w:lang w:eastAsia="en-AU"/>
              </w:rPr>
              <w:br/>
              <w:t>Clause</w:t>
            </w:r>
            <w:r w:rsidR="005D5532" w:rsidRPr="00B24C02">
              <w:rPr>
                <w:rFonts w:cs="Arial"/>
                <w:color w:val="000000"/>
                <w:szCs w:val="19"/>
                <w:lang w:eastAsia="en-AU"/>
              </w:rPr>
              <w:t xml:space="preserve"> </w:t>
            </w:r>
            <w:r w:rsidRPr="00B24C02">
              <w:rPr>
                <w:rFonts w:cs="Arial"/>
                <w:color w:val="000000"/>
                <w:szCs w:val="19"/>
                <w:lang w:eastAsia="en-AU"/>
              </w:rPr>
              <w:t>26.1</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Survival</w:t>
            </w:r>
          </w:p>
        </w:tc>
      </w:tr>
      <w:tr w:rsidR="00236748" w:rsidRPr="00276391" w14:paraId="6D7F8F5D" w14:textId="77777777" w:rsidTr="00471D37">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4CB918C0" w14:textId="70B0779A" w:rsidR="00236748" w:rsidRPr="00276391" w:rsidRDefault="00236748" w:rsidP="00471D37">
            <w:pPr>
              <w:pStyle w:val="DHHSbody"/>
              <w:rPr>
                <w:lang w:eastAsia="en-AU"/>
              </w:rPr>
            </w:pPr>
            <w:r w:rsidRPr="00B24C02">
              <w:rPr>
                <w:rFonts w:cs="Arial"/>
                <w:color w:val="000000"/>
                <w:szCs w:val="19"/>
                <w:lang w:eastAsia="en-AU"/>
              </w:rPr>
              <w:t>Clauses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00880EE6">
              <w:rPr>
                <w:rFonts w:cs="Arial"/>
                <w:color w:val="000000"/>
                <w:szCs w:val="19"/>
                <w:lang w:eastAsia="en-AU"/>
              </w:rPr>
              <w:t xml:space="preserve">DET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only</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6287CEF7" w14:textId="77777777" w:rsidR="00471D37" w:rsidRDefault="00236748" w:rsidP="00471D37">
            <w:pPr>
              <w:pStyle w:val="DHHSbody"/>
              <w:rPr>
                <w:rFonts w:cs="Arial"/>
                <w:color w:val="000000"/>
                <w:szCs w:val="19"/>
                <w:lang w:eastAsia="en-AU"/>
              </w:rPr>
            </w:pP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Definitions</w:t>
            </w:r>
            <w:r w:rsidR="005D5532" w:rsidRPr="00B24C02">
              <w:rPr>
                <w:rFonts w:cs="Arial"/>
                <w:color w:val="000000"/>
                <w:szCs w:val="19"/>
                <w:lang w:eastAsia="en-AU"/>
              </w:rPr>
              <w:t xml:space="preserve"> </w:t>
            </w:r>
            <w:r w:rsidR="00471D37">
              <w:rPr>
                <w:rFonts w:cs="Arial"/>
                <w:color w:val="000000"/>
                <w:szCs w:val="19"/>
                <w:lang w:eastAsia="en-AU"/>
              </w:rPr>
              <w:t>including:</w:t>
            </w:r>
          </w:p>
          <w:p w14:paraId="1354A81B" w14:textId="77777777" w:rsidR="00471D37" w:rsidRPr="00471D37" w:rsidRDefault="00236748" w:rsidP="00471D37">
            <w:pPr>
              <w:pStyle w:val="DHHSbody"/>
              <w:numPr>
                <w:ilvl w:val="0"/>
                <w:numId w:val="11"/>
              </w:numPr>
              <w:rPr>
                <w:lang w:eastAsia="en-AU"/>
              </w:rPr>
            </w:pPr>
            <w:r w:rsidRPr="00B24C02">
              <w:rPr>
                <w:rFonts w:cs="Arial"/>
                <w:color w:val="000000"/>
                <w:szCs w:val="19"/>
                <w:lang w:eastAsia="en-AU"/>
              </w:rPr>
              <w:t>Approved</w:t>
            </w:r>
            <w:r w:rsidR="005D5532" w:rsidRPr="00B24C02">
              <w:rPr>
                <w:rFonts w:cs="Arial"/>
                <w:color w:val="000000"/>
                <w:szCs w:val="19"/>
                <w:lang w:eastAsia="en-AU"/>
              </w:rPr>
              <w:t xml:space="preserve"> </w:t>
            </w:r>
            <w:r w:rsidRPr="00B24C02">
              <w:rPr>
                <w:rFonts w:cs="Arial"/>
                <w:color w:val="000000"/>
                <w:szCs w:val="19"/>
                <w:lang w:eastAsia="en-AU"/>
              </w:rPr>
              <w:t>Application</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de</w:t>
            </w:r>
            <w:r w:rsidR="00471D37">
              <w:rPr>
                <w:rFonts w:cs="Arial"/>
                <w:color w:val="000000"/>
                <w:szCs w:val="19"/>
                <w:lang w:eastAsia="en-AU"/>
              </w:rPr>
              <w:t>finition)</w:t>
            </w:r>
          </w:p>
          <w:p w14:paraId="2D37090C" w14:textId="77777777" w:rsidR="00471D37" w:rsidRPr="00471D37" w:rsidRDefault="00236748" w:rsidP="00471D37">
            <w:pPr>
              <w:pStyle w:val="DHHSbody"/>
              <w:numPr>
                <w:ilvl w:val="0"/>
                <w:numId w:val="11"/>
              </w:numPr>
              <w:rPr>
                <w:lang w:eastAsia="en-AU"/>
              </w:rPr>
            </w:pPr>
            <w:r w:rsidRPr="00B24C02">
              <w:rPr>
                <w:rFonts w:cs="Arial"/>
                <w:color w:val="000000"/>
                <w:szCs w:val="19"/>
                <w:lang w:eastAsia="en-AU"/>
              </w:rPr>
              <w:t>Certificate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Expenditure</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00471D37">
              <w:rPr>
                <w:rFonts w:cs="Arial"/>
                <w:color w:val="000000"/>
                <w:szCs w:val="19"/>
                <w:lang w:eastAsia="en-AU"/>
              </w:rPr>
              <w:t>definition)</w:t>
            </w:r>
          </w:p>
          <w:p w14:paraId="75514E57" w14:textId="77777777" w:rsidR="00471D37" w:rsidRPr="00471D37" w:rsidRDefault="00236748" w:rsidP="00471D37">
            <w:pPr>
              <w:pStyle w:val="DHHSbody"/>
              <w:numPr>
                <w:ilvl w:val="0"/>
                <w:numId w:val="11"/>
              </w:numPr>
              <w:rPr>
                <w:lang w:eastAsia="en-AU"/>
              </w:rPr>
            </w:pP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Childhood</w:t>
            </w:r>
            <w:r w:rsidR="005D5532" w:rsidRPr="00B24C02">
              <w:rPr>
                <w:rFonts w:cs="Arial"/>
                <w:color w:val="000000"/>
                <w:szCs w:val="19"/>
                <w:lang w:eastAsia="en-AU"/>
              </w:rPr>
              <w:t xml:space="preserve"> </w:t>
            </w:r>
            <w:r w:rsidRPr="00B24C02">
              <w:rPr>
                <w:rFonts w:cs="Arial"/>
                <w:color w:val="000000"/>
                <w:szCs w:val="19"/>
                <w:lang w:eastAsia="en-AU"/>
              </w:rPr>
              <w:t>Facilities</w:t>
            </w:r>
            <w:r w:rsidR="005D5532" w:rsidRPr="00B24C02">
              <w:rPr>
                <w:rFonts w:cs="Arial"/>
                <w:color w:val="000000"/>
                <w:szCs w:val="19"/>
                <w:lang w:eastAsia="en-AU"/>
              </w:rPr>
              <w:t xml:space="preserve"> </w:t>
            </w:r>
            <w:r w:rsidRPr="00B24C02">
              <w:rPr>
                <w:rFonts w:cs="Arial"/>
                <w:color w:val="000000"/>
                <w:szCs w:val="19"/>
                <w:lang w:eastAsia="en-AU"/>
              </w:rPr>
              <w:t>Grant</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00471D37">
              <w:rPr>
                <w:rFonts w:cs="Arial"/>
                <w:color w:val="000000"/>
                <w:szCs w:val="19"/>
                <w:lang w:eastAsia="en-AU"/>
              </w:rPr>
              <w:t>definition)</w:t>
            </w:r>
          </w:p>
          <w:p w14:paraId="73F7551E" w14:textId="4B3750BF" w:rsidR="00236748" w:rsidRPr="00276391" w:rsidRDefault="00236748" w:rsidP="00471D37">
            <w:pPr>
              <w:pStyle w:val="DHHSbody"/>
              <w:numPr>
                <w:ilvl w:val="0"/>
                <w:numId w:val="11"/>
              </w:numPr>
              <w:rPr>
                <w:lang w:eastAsia="en-AU"/>
              </w:rPr>
            </w:pPr>
            <w:r w:rsidRPr="00B24C02">
              <w:rPr>
                <w:rFonts w:cs="Arial"/>
                <w:color w:val="000000"/>
                <w:szCs w:val="19"/>
                <w:lang w:eastAsia="en-AU"/>
              </w:rPr>
              <w:t>Project</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definition)</w:t>
            </w:r>
          </w:p>
          <w:p w14:paraId="728948CC" w14:textId="77777777" w:rsidR="00236748" w:rsidRPr="00276391" w:rsidRDefault="00236748" w:rsidP="00471D37">
            <w:pPr>
              <w:pStyle w:val="DHHSbody"/>
              <w:rPr>
                <w:lang w:eastAsia="en-AU"/>
              </w:rPr>
            </w:pPr>
            <w:r w:rsidRPr="00276391">
              <w:rPr>
                <w:lang w:eastAsia="en-AU"/>
              </w:rPr>
              <w:t>Clause</w:t>
            </w:r>
            <w:r w:rsidR="005D5532" w:rsidRPr="00276391">
              <w:rPr>
                <w:lang w:eastAsia="en-AU"/>
              </w:rPr>
              <w:t xml:space="preserve"> </w:t>
            </w:r>
            <w:r w:rsidRPr="00276391">
              <w:rPr>
                <w:lang w:eastAsia="en-AU"/>
              </w:rPr>
              <w:t>27</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Grant</w:t>
            </w:r>
          </w:p>
        </w:tc>
        <w:tc>
          <w:tcPr>
            <w:tcW w:w="0" w:type="auto"/>
            <w:tcBorders>
              <w:top w:val="single" w:sz="6" w:space="0" w:color="006699"/>
              <w:left w:val="single" w:sz="6" w:space="0" w:color="006699"/>
              <w:bottom w:val="single" w:sz="6" w:space="0" w:color="006699"/>
              <w:right w:val="single" w:sz="6" w:space="0" w:color="006699"/>
            </w:tcBorders>
            <w:tcMar>
              <w:top w:w="24" w:type="dxa"/>
              <w:left w:w="120" w:type="dxa"/>
              <w:bottom w:w="24" w:type="dxa"/>
              <w:right w:w="120" w:type="dxa"/>
            </w:tcMar>
            <w:hideMark/>
          </w:tcPr>
          <w:p w14:paraId="17BA9F57" w14:textId="77777777" w:rsidR="00236748" w:rsidRPr="00B24C02" w:rsidRDefault="00236748" w:rsidP="00471D37">
            <w:pPr>
              <w:rPr>
                <w:rFonts w:ascii="Arial" w:hAnsi="Arial" w:cs="Arial"/>
                <w:color w:val="000000"/>
                <w:szCs w:val="19"/>
                <w:lang w:eastAsia="en-AU"/>
              </w:rPr>
            </w:pPr>
          </w:p>
        </w:tc>
      </w:tr>
    </w:tbl>
    <w:p w14:paraId="51ABDCEB" w14:textId="5B0A5385" w:rsidR="00236748" w:rsidRDefault="00236748" w:rsidP="00276391">
      <w:pPr>
        <w:pStyle w:val="DHHSbody"/>
        <w:rPr>
          <w:rFonts w:cs="Arial"/>
          <w:color w:val="000000"/>
          <w:szCs w:val="19"/>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refers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rather</w:t>
      </w:r>
      <w:r w:rsidR="005D5532" w:rsidRPr="00B24C02">
        <w:rPr>
          <w:rFonts w:cs="Arial"/>
          <w:color w:val="000000"/>
          <w:szCs w:val="19"/>
          <w:lang w:eastAsia="en-AU"/>
        </w:rPr>
        <w:t xml:space="preserve"> </w:t>
      </w:r>
      <w:r w:rsidRPr="00B24C02">
        <w:rPr>
          <w:rFonts w:cs="Arial"/>
          <w:color w:val="000000"/>
          <w:szCs w:val="19"/>
          <w:lang w:eastAsia="en-AU"/>
        </w:rPr>
        <w:t>than</w:t>
      </w:r>
      <w:r w:rsidR="005D5532" w:rsidRPr="00B24C02">
        <w:rPr>
          <w:rFonts w:cs="Arial"/>
          <w:color w:val="000000"/>
          <w:szCs w:val="19"/>
          <w:lang w:eastAsia="en-AU"/>
        </w:rPr>
        <w:t xml:space="preserve"> </w:t>
      </w:r>
      <w:r w:rsidRPr="00B24C02">
        <w:rPr>
          <w:rFonts w:cs="Arial"/>
          <w:color w:val="000000"/>
          <w:szCs w:val="19"/>
          <w:lang w:eastAsia="en-AU"/>
        </w:rPr>
        <w:t>‘Activity’</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CFA.</w:t>
      </w:r>
      <w:r w:rsidR="005D5532" w:rsidRPr="00B24C02">
        <w:rPr>
          <w:rFonts w:cs="Arial"/>
          <w:color w:val="000000"/>
          <w:szCs w:val="19"/>
          <w:lang w:eastAsia="en-AU"/>
        </w:rPr>
        <w:t xml:space="preserve"> </w:t>
      </w: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minor</w:t>
      </w:r>
      <w:r w:rsidR="005D5532" w:rsidRPr="00B24C02">
        <w:rPr>
          <w:rFonts w:cs="Arial"/>
          <w:color w:val="000000"/>
          <w:szCs w:val="19"/>
          <w:lang w:eastAsia="en-AU"/>
        </w:rPr>
        <w:t xml:space="preserve"> </w:t>
      </w:r>
      <w:r w:rsidRPr="00B24C02">
        <w:rPr>
          <w:rFonts w:cs="Arial"/>
          <w:color w:val="000000"/>
          <w:szCs w:val="19"/>
          <w:lang w:eastAsia="en-AU"/>
        </w:rPr>
        <w:t>differences,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references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schedules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agreement.</w:t>
      </w:r>
    </w:p>
    <w:p w14:paraId="606CB00C" w14:textId="61817AFB" w:rsidR="00B506DF" w:rsidRDefault="00B506DF" w:rsidP="00276391">
      <w:pPr>
        <w:pStyle w:val="DHHSbody"/>
        <w:rPr>
          <w:b/>
          <w:lang w:eastAsia="en-AU"/>
        </w:rPr>
      </w:pPr>
      <w:r>
        <w:rPr>
          <w:b/>
          <w:lang w:eastAsia="en-AU"/>
        </w:rPr>
        <w:t>For further information</w:t>
      </w:r>
    </w:p>
    <w:p w14:paraId="44AAA4CF" w14:textId="1C269BC9" w:rsidR="00B506DF" w:rsidRPr="00B506DF" w:rsidRDefault="00B506DF" w:rsidP="00276391">
      <w:pPr>
        <w:pStyle w:val="DHHSbody"/>
        <w:rPr>
          <w:lang w:eastAsia="en-AU"/>
        </w:rPr>
      </w:pPr>
      <w:r>
        <w:rPr>
          <w:lang w:eastAsia="en-AU"/>
        </w:rPr>
        <w:t xml:space="preserve">Email: </w:t>
      </w:r>
      <w:hyperlink r:id="rId24" w:history="1">
        <w:r w:rsidRPr="00B506DF">
          <w:rPr>
            <w:rStyle w:val="Hyperlink"/>
            <w:lang w:eastAsia="en-AU"/>
          </w:rPr>
          <w:t>SApolicy@dhhs.vic.gov.au</w:t>
        </w:r>
      </w:hyperlink>
    </w:p>
    <w:p w14:paraId="49470035" w14:textId="5C63B3D0" w:rsidR="00236748" w:rsidRPr="00276391" w:rsidRDefault="00236748" w:rsidP="00953AD6">
      <w:pPr>
        <w:pStyle w:val="Heading1"/>
        <w:rPr>
          <w:lang w:eastAsia="en-AU"/>
        </w:rPr>
      </w:pPr>
      <w:bookmarkStart w:id="107" w:name="_Chapter_2._Service"/>
      <w:bookmarkStart w:id="108" w:name="_Toc478991710"/>
      <w:bookmarkStart w:id="109" w:name="_Toc478992323"/>
      <w:bookmarkStart w:id="110" w:name="_Toc478992877"/>
      <w:bookmarkStart w:id="111" w:name="_Toc4142003"/>
      <w:bookmarkEnd w:id="107"/>
      <w:r w:rsidRPr="00276391">
        <w:rPr>
          <w:lang w:eastAsia="en-AU"/>
        </w:rPr>
        <w:t>Chapter</w:t>
      </w:r>
      <w:r w:rsidR="009B2351" w:rsidRPr="00276391">
        <w:rPr>
          <w:lang w:eastAsia="en-AU"/>
        </w:rPr>
        <w:t xml:space="preserve"> </w:t>
      </w:r>
      <w:r w:rsidRPr="00276391">
        <w:rPr>
          <w:lang w:eastAsia="en-AU"/>
        </w:rPr>
        <w:t>2.</w:t>
      </w:r>
      <w:r w:rsidR="009B2351" w:rsidRPr="00276391">
        <w:rPr>
          <w:lang w:eastAsia="en-AU"/>
        </w:rPr>
        <w:t xml:space="preserve"> </w:t>
      </w:r>
      <w:r w:rsidR="009B3052">
        <w:rPr>
          <w:lang w:eastAsia="en-AU"/>
        </w:rPr>
        <w:t>Service agreement</w:t>
      </w:r>
      <w:r w:rsidRPr="00276391">
        <w:rPr>
          <w:lang w:eastAsia="en-AU"/>
        </w:rPr>
        <w:t>s</w:t>
      </w:r>
      <w:bookmarkEnd w:id="108"/>
      <w:bookmarkEnd w:id="109"/>
      <w:bookmarkEnd w:id="110"/>
      <w:bookmarkEnd w:id="111"/>
    </w:p>
    <w:p w14:paraId="43DFCD1E" w14:textId="36746F83" w:rsidR="00236748" w:rsidRPr="00276391" w:rsidRDefault="00236748" w:rsidP="009B2351">
      <w:pPr>
        <w:pStyle w:val="Heading2"/>
        <w:rPr>
          <w:rFonts w:cs="Arial"/>
          <w:lang w:eastAsia="en-AU"/>
        </w:rPr>
      </w:pPr>
      <w:bookmarkStart w:id="112" w:name="_Toc478991711"/>
      <w:bookmarkStart w:id="113" w:name="_Toc478992324"/>
      <w:bookmarkStart w:id="114" w:name="_Toc478992878"/>
      <w:bookmarkStart w:id="115" w:name="_Toc4142004"/>
      <w:r w:rsidRPr="00276391">
        <w:rPr>
          <w:rFonts w:cs="Arial"/>
          <w:lang w:eastAsia="en-AU"/>
        </w:rPr>
        <w:t>2.1</w:t>
      </w:r>
      <w:r w:rsidR="009B2351" w:rsidRPr="00276391">
        <w:rPr>
          <w:rFonts w:cs="Arial"/>
          <w:lang w:eastAsia="en-AU"/>
        </w:rPr>
        <w:t xml:space="preserve"> </w:t>
      </w:r>
      <w:r w:rsidRPr="00276391">
        <w:rPr>
          <w:rFonts w:cs="Arial"/>
          <w:lang w:eastAsia="en-AU"/>
        </w:rPr>
        <w:t>Role</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009B3052">
        <w:rPr>
          <w:rFonts w:cs="Arial"/>
          <w:lang w:eastAsia="en-AU"/>
        </w:rPr>
        <w:t>Service agreement</w:t>
      </w:r>
      <w:r w:rsidRPr="00276391">
        <w:rPr>
          <w:rFonts w:cs="Arial"/>
          <w:lang w:eastAsia="en-AU"/>
        </w:rPr>
        <w:t>s</w:t>
      </w:r>
      <w:bookmarkEnd w:id="112"/>
      <w:bookmarkEnd w:id="113"/>
      <w:bookmarkEnd w:id="114"/>
      <w:bookmarkEnd w:id="115"/>
    </w:p>
    <w:p w14:paraId="7BCCC5E5" w14:textId="184C53DE" w:rsidR="00236748" w:rsidRPr="00276391" w:rsidRDefault="00236748" w:rsidP="00276391">
      <w:pPr>
        <w:pStyle w:val="DHHSbody"/>
        <w:rPr>
          <w:lang w:eastAsia="en-AU"/>
        </w:rPr>
      </w:pPr>
      <w:r w:rsidRPr="00B24C02">
        <w:rPr>
          <w:rFonts w:cs="Arial"/>
          <w:color w:val="000000"/>
          <w:szCs w:val="19"/>
          <w:lang w:eastAsia="en-AU"/>
        </w:rPr>
        <w:t>Approximately</w:t>
      </w:r>
      <w:r w:rsidR="005D5532" w:rsidRPr="00B24C02">
        <w:rPr>
          <w:rFonts w:cs="Arial"/>
          <w:color w:val="000000"/>
          <w:szCs w:val="19"/>
          <w:lang w:eastAsia="en-AU"/>
        </w:rPr>
        <w:t xml:space="preserve"> </w:t>
      </w:r>
      <w:r w:rsidRPr="00B24C02">
        <w:rPr>
          <w:rFonts w:cs="Arial"/>
          <w:color w:val="000000"/>
          <w:szCs w:val="19"/>
          <w:lang w:eastAsia="en-AU"/>
        </w:rPr>
        <w:t>$2.9</w:t>
      </w:r>
      <w:r w:rsidR="005D5532" w:rsidRPr="00B24C02">
        <w:rPr>
          <w:rFonts w:cs="Arial"/>
          <w:color w:val="000000"/>
          <w:szCs w:val="19"/>
          <w:lang w:eastAsia="en-AU"/>
        </w:rPr>
        <w:t xml:space="preserve"> </w:t>
      </w:r>
      <w:r w:rsidRPr="00B24C02">
        <w:rPr>
          <w:rFonts w:cs="Arial"/>
          <w:color w:val="000000"/>
          <w:szCs w:val="19"/>
          <w:lang w:eastAsia="en-AU"/>
        </w:rPr>
        <w:t>billion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D45BB7">
        <w:rPr>
          <w:rFonts w:cs="Arial"/>
          <w:color w:val="000000"/>
          <w:szCs w:val="19"/>
          <w:lang w:eastAsia="en-AU"/>
        </w:rPr>
        <w:t>Department of Health and Human Services</w:t>
      </w:r>
      <w:r w:rsidR="00471D37">
        <w:rPr>
          <w:rFonts w:cs="Arial"/>
          <w:color w:val="000000"/>
          <w:szCs w:val="19"/>
          <w:lang w:eastAsia="en-AU"/>
        </w:rPr>
        <w:t xml:space="preserve"> </w:t>
      </w:r>
      <w:r w:rsidRPr="00B24C02">
        <w:rPr>
          <w:rFonts w:cs="Arial"/>
          <w:color w:val="000000"/>
          <w:szCs w:val="19"/>
          <w:lang w:eastAsia="en-AU"/>
        </w:rPr>
        <w:t>budget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approximately</w:t>
      </w:r>
      <w:r w:rsidR="005D5532" w:rsidRPr="00B24C02">
        <w:rPr>
          <w:rFonts w:cs="Arial"/>
          <w:color w:val="000000"/>
          <w:szCs w:val="19"/>
          <w:lang w:eastAsia="en-AU"/>
        </w:rPr>
        <w:t xml:space="preserve"> </w:t>
      </w:r>
      <w:r w:rsidRPr="00B24C02">
        <w:rPr>
          <w:rFonts w:cs="Arial"/>
          <w:color w:val="000000"/>
          <w:szCs w:val="19"/>
          <w:lang w:eastAsia="en-AU"/>
        </w:rPr>
        <w:t>$300</w:t>
      </w:r>
      <w:r w:rsidR="005D5532" w:rsidRPr="00B24C02">
        <w:rPr>
          <w:rFonts w:cs="Arial"/>
          <w:color w:val="000000"/>
          <w:szCs w:val="19"/>
          <w:lang w:eastAsia="en-AU"/>
        </w:rPr>
        <w:t xml:space="preserve"> </w:t>
      </w:r>
      <w:r w:rsidRPr="00B24C02">
        <w:rPr>
          <w:rFonts w:cs="Arial"/>
          <w:color w:val="000000"/>
          <w:szCs w:val="19"/>
          <w:lang w:eastAsia="en-AU"/>
        </w:rPr>
        <w:t>million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D45BB7">
        <w:rPr>
          <w:rFonts w:cs="Arial"/>
          <w:color w:val="000000"/>
          <w:szCs w:val="19"/>
          <w:lang w:eastAsia="en-AU"/>
        </w:rPr>
        <w:t>Department of Education and Training</w:t>
      </w:r>
      <w:r w:rsidR="005D5532" w:rsidRPr="00B24C02">
        <w:rPr>
          <w:rFonts w:cs="Arial"/>
          <w:color w:val="000000"/>
          <w:szCs w:val="19"/>
          <w:lang w:eastAsia="en-AU"/>
        </w:rPr>
        <w:t xml:space="preserve"> </w:t>
      </w:r>
      <w:r w:rsidRPr="00B24C02">
        <w:rPr>
          <w:rFonts w:cs="Arial"/>
          <w:color w:val="000000"/>
          <w:szCs w:val="19"/>
          <w:lang w:eastAsia="en-AU"/>
        </w:rPr>
        <w:t>budget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fund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individuals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groups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Victoria</w:t>
      </w:r>
      <w:r w:rsidR="00880EE6">
        <w:rPr>
          <w:rFonts w:cs="Arial"/>
          <w:color w:val="000000"/>
          <w:szCs w:val="19"/>
          <w:lang w:eastAsia="en-AU"/>
        </w:rPr>
        <w:t>. This is facilitated via</w:t>
      </w:r>
      <w:r w:rsidR="005D5532" w:rsidRPr="00B24C02">
        <w:rPr>
          <w:rFonts w:cs="Arial"/>
          <w:color w:val="000000"/>
          <w:szCs w:val="19"/>
          <w:lang w:eastAsia="en-AU"/>
        </w:rPr>
        <w:t xml:space="preserve"> </w:t>
      </w:r>
      <w:r w:rsidRPr="00B24C02">
        <w:rPr>
          <w:rFonts w:cs="Arial"/>
          <w:color w:val="000000"/>
          <w:szCs w:val="19"/>
          <w:lang w:eastAsia="en-AU"/>
        </w:rPr>
        <w:t>approximately</w:t>
      </w:r>
      <w:r w:rsidR="005D5532" w:rsidRPr="00B24C02">
        <w:rPr>
          <w:rFonts w:cs="Arial"/>
          <w:color w:val="000000"/>
          <w:szCs w:val="19"/>
          <w:lang w:eastAsia="en-AU"/>
        </w:rPr>
        <w:t xml:space="preserve"> </w:t>
      </w:r>
      <w:r w:rsidRPr="00B24C02">
        <w:rPr>
          <w:rFonts w:cs="Arial"/>
          <w:color w:val="000000"/>
          <w:szCs w:val="19"/>
          <w:lang w:eastAsia="en-AU"/>
        </w:rPr>
        <w:t>3</w:t>
      </w:r>
      <w:r w:rsidR="00880EE6">
        <w:rPr>
          <w:rFonts w:cs="Arial"/>
          <w:color w:val="000000"/>
          <w:szCs w:val="19"/>
          <w:lang w:eastAsia="en-AU"/>
        </w:rPr>
        <w:t>,</w:t>
      </w:r>
      <w:r w:rsidRPr="00B24C02">
        <w:rPr>
          <w:rFonts w:cs="Arial"/>
          <w:color w:val="000000"/>
          <w:szCs w:val="19"/>
          <w:lang w:eastAsia="en-AU"/>
        </w:rPr>
        <w:t>000</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p>
    <w:p w14:paraId="79D0E5C3" w14:textId="0B40E6AE" w:rsidR="00236748" w:rsidRPr="00276391" w:rsidRDefault="00236748" w:rsidP="00276391">
      <w:pPr>
        <w:pStyle w:val="DHHSbody"/>
        <w:rPr>
          <w:lang w:eastAsia="en-AU"/>
        </w:rPr>
      </w:pPr>
      <w:r w:rsidRPr="00276391">
        <w:rPr>
          <w:lang w:eastAsia="en-AU"/>
        </w:rPr>
        <w:lastRenderedPageBreak/>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operate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000A5571">
        <w:rPr>
          <w:lang w:eastAsia="en-AU"/>
        </w:rPr>
        <w:t>4-</w:t>
      </w:r>
      <w:r w:rsidRPr="00276391">
        <w:rPr>
          <w:lang w:eastAsia="en-AU"/>
        </w:rPr>
        <w:t>year</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cycle</w:t>
      </w:r>
      <w:r w:rsidR="005D5532" w:rsidRPr="00276391">
        <w:rPr>
          <w:lang w:eastAsia="en-AU"/>
        </w:rPr>
        <w:t xml:space="preserve"> </w:t>
      </w:r>
      <w:r w:rsidRPr="00276391">
        <w:rPr>
          <w:lang w:eastAsia="en-AU"/>
        </w:rPr>
        <w:t>except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EB4CBF">
        <w:rPr>
          <w:bCs/>
          <w:i/>
          <w:lang w:eastAsia="en-AU"/>
        </w:rPr>
        <w:t>Disability</w:t>
      </w:r>
      <w:r w:rsidR="005D5532" w:rsidRPr="00EB4CBF">
        <w:rPr>
          <w:bCs/>
          <w:i/>
          <w:lang w:eastAsia="en-AU"/>
        </w:rPr>
        <w:t xml:space="preserve"> </w:t>
      </w:r>
      <w:r w:rsidRPr="00EB4CBF">
        <w:rPr>
          <w:bCs/>
          <w:i/>
          <w:lang w:eastAsia="en-AU"/>
        </w:rPr>
        <w:t>Act</w:t>
      </w:r>
      <w:r w:rsidR="005D5532" w:rsidRPr="00EB4CBF">
        <w:rPr>
          <w:bCs/>
          <w:i/>
          <w:lang w:eastAsia="en-AU"/>
        </w:rPr>
        <w:t xml:space="preserve"> </w:t>
      </w:r>
      <w:r w:rsidRPr="00EB4CBF">
        <w:rPr>
          <w:bCs/>
          <w:i/>
          <w:lang w:eastAsia="en-AU"/>
        </w:rPr>
        <w:t>2006</w:t>
      </w:r>
      <w:r w:rsidR="005D5532" w:rsidRPr="00EB4CBF">
        <w:rPr>
          <w:bCs/>
          <w:i/>
          <w:lang w:eastAsia="en-AU"/>
        </w:rPr>
        <w:t xml:space="preserve"> </w:t>
      </w:r>
      <w:r w:rsidRPr="00EB4CBF">
        <w:rPr>
          <w:bCs/>
          <w:i/>
          <w:lang w:eastAsia="en-AU"/>
        </w:rPr>
        <w:t>(Vic)</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limit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three</w:t>
      </w:r>
      <w:r w:rsidR="005D5532" w:rsidRPr="00276391">
        <w:rPr>
          <w:lang w:eastAsia="en-AU"/>
        </w:rPr>
        <w:t xml:space="preserve"> </w:t>
      </w:r>
      <w:r w:rsidRPr="00276391">
        <w:rPr>
          <w:lang w:eastAsia="en-AU"/>
        </w:rPr>
        <w:t>years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contracts.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current</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cycle</w:t>
      </w:r>
      <w:r w:rsidR="005D5532" w:rsidRPr="00276391">
        <w:rPr>
          <w:lang w:eastAsia="en-AU"/>
        </w:rPr>
        <w:t xml:space="preserve"> </w:t>
      </w:r>
      <w:r w:rsidRPr="00276391">
        <w:rPr>
          <w:lang w:eastAsia="en-AU"/>
        </w:rPr>
        <w:t>commenced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2015</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ends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30</w:t>
      </w:r>
      <w:r w:rsidR="005D5532" w:rsidRPr="00276391">
        <w:rPr>
          <w:lang w:eastAsia="en-AU"/>
        </w:rPr>
        <w:t xml:space="preserve"> </w:t>
      </w:r>
      <w:r w:rsidRPr="00276391">
        <w:rPr>
          <w:lang w:eastAsia="en-AU"/>
        </w:rPr>
        <w:t>June</w:t>
      </w:r>
      <w:r w:rsidR="005D5532" w:rsidRPr="00276391">
        <w:rPr>
          <w:lang w:eastAsia="en-AU"/>
        </w:rPr>
        <w:t xml:space="preserve"> </w:t>
      </w:r>
      <w:r w:rsidRPr="00276391">
        <w:rPr>
          <w:lang w:eastAsia="en-AU"/>
        </w:rPr>
        <w:t>2019.</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duration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in</w:t>
      </w:r>
      <w:r w:rsidR="005D5532" w:rsidRPr="00276391">
        <w:rPr>
          <w:lang w:eastAsia="en-AU"/>
        </w:rPr>
        <w:t xml:space="preserve"> </w:t>
      </w:r>
      <w:hyperlink w:anchor="_3.2_Term_of" w:tgtFrame="_blank" w:tooltip="3.2 Term of the Agreement" w:history="1">
        <w:r w:rsidR="00EB4CBF">
          <w:rPr>
            <w:rStyle w:val="Hyperlink"/>
          </w:rPr>
          <w:t>C</w:t>
        </w:r>
        <w:r w:rsidRPr="00C94233">
          <w:rPr>
            <w:rStyle w:val="Hyperlink"/>
          </w:rPr>
          <w:t>hapter</w:t>
        </w:r>
        <w:r w:rsidR="005D5532" w:rsidRPr="00C94233">
          <w:rPr>
            <w:rStyle w:val="Hyperlink"/>
          </w:rPr>
          <w:t xml:space="preserve"> </w:t>
        </w:r>
        <w:r w:rsidRPr="00C94233">
          <w:rPr>
            <w:rStyle w:val="Hyperlink"/>
          </w:rPr>
          <w:t>3.2</w:t>
        </w:r>
        <w:r w:rsidRPr="00986D1E">
          <w:rPr>
            <w:rStyle w:val="Hyperlink"/>
          </w:rPr>
          <w:t>.</w:t>
        </w:r>
      </w:hyperlink>
    </w:p>
    <w:p w14:paraId="5E0B688B" w14:textId="1C8A3A0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sets</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objectives,</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responsibilities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delivering</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providing</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p>
    <w:p w14:paraId="76B67C54" w14:textId="0355A0BA" w:rsidR="00236748" w:rsidRPr="005756CF" w:rsidRDefault="00236748" w:rsidP="00276391">
      <w:pPr>
        <w:pStyle w:val="DHHSbody"/>
        <w:rPr>
          <w:color w:val="3366FF"/>
          <w:u w:val="dotted"/>
        </w:rPr>
      </w:pPr>
      <w:r w:rsidRPr="00276391">
        <w:rPr>
          <w:lang w:eastAsia="en-AU"/>
        </w:rPr>
        <w:t>Since</w:t>
      </w:r>
      <w:r w:rsidR="005D5532" w:rsidRPr="00276391">
        <w:rPr>
          <w:lang w:eastAsia="en-AU"/>
        </w:rPr>
        <w:t xml:space="preserve"> </w:t>
      </w:r>
      <w:r w:rsidRPr="00276391">
        <w:rPr>
          <w:lang w:eastAsia="en-AU"/>
        </w:rPr>
        <w:t>18</w:t>
      </w:r>
      <w:r w:rsidR="005D5532" w:rsidRPr="00276391">
        <w:rPr>
          <w:lang w:eastAsia="en-AU"/>
        </w:rPr>
        <w:t xml:space="preserve"> </w:t>
      </w:r>
      <w:r w:rsidRPr="00276391">
        <w:rPr>
          <w:lang w:eastAsia="en-AU"/>
        </w:rPr>
        <w:t>March</w:t>
      </w:r>
      <w:r w:rsidR="005D5532" w:rsidRPr="00276391">
        <w:rPr>
          <w:lang w:eastAsia="en-AU"/>
        </w:rPr>
        <w:t xml:space="preserve"> </w:t>
      </w:r>
      <w:r w:rsidRPr="00276391">
        <w:rPr>
          <w:lang w:eastAsia="en-AU"/>
        </w:rPr>
        <w:t>2013,</w:t>
      </w:r>
      <w:r w:rsidR="005D5532" w:rsidRPr="00276391">
        <w:rPr>
          <w:lang w:eastAsia="en-AU"/>
        </w:rPr>
        <w:t xml:space="preserve"> </w:t>
      </w:r>
      <w:r w:rsidR="00D45BB7">
        <w:rPr>
          <w:lang w:eastAsia="en-AU"/>
        </w:rPr>
        <w:t>the departments’</w:t>
      </w:r>
      <w:r w:rsidR="007C781D">
        <w:rPr>
          <w:lang w:eastAsia="en-AU"/>
        </w:rPr>
        <w:t xml:space="preserve"> </w:t>
      </w:r>
      <w:r w:rsidR="009B3052">
        <w:rPr>
          <w:lang w:eastAsia="en-AU"/>
        </w:rPr>
        <w:t>Service agreement</w:t>
      </w:r>
      <w:r w:rsidR="004C6434">
        <w:rPr>
          <w:lang w:eastAsia="en-AU"/>
        </w:rPr>
        <w:t>s</w:t>
      </w:r>
      <w:r w:rsidR="005D5532" w:rsidRPr="00276391">
        <w:rPr>
          <w:lang w:eastAsia="en-AU"/>
        </w:rPr>
        <w:t xml:space="preserve"> </w:t>
      </w:r>
      <w:r w:rsidR="004C6434">
        <w:rPr>
          <w:lang w:eastAsia="en-AU"/>
        </w:rPr>
        <w:t>have</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aligned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alignment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in</w:t>
      </w:r>
      <w:r w:rsidR="005D5532" w:rsidRPr="00276391">
        <w:rPr>
          <w:lang w:eastAsia="en-AU"/>
        </w:rPr>
        <w:t xml:space="preserve"> </w:t>
      </w:r>
      <w:hyperlink w:anchor="_1.8_Whole_of" w:tooltip="Chapter 1.8 Whole-of-Victorian Government Common Funding Agreement" w:history="1">
        <w:r w:rsidR="00EB4CBF">
          <w:rPr>
            <w:rStyle w:val="Hyperlink"/>
          </w:rPr>
          <w:t>C</w:t>
        </w:r>
        <w:r w:rsidRPr="00C94233">
          <w:rPr>
            <w:rStyle w:val="Hyperlink"/>
          </w:rPr>
          <w:t>hapter</w:t>
        </w:r>
        <w:r w:rsidR="005D5532" w:rsidRPr="00C94233">
          <w:rPr>
            <w:rStyle w:val="Hyperlink"/>
          </w:rPr>
          <w:t xml:space="preserve"> </w:t>
        </w:r>
        <w:r w:rsidRPr="00C94233">
          <w:rPr>
            <w:rStyle w:val="Hyperlink"/>
          </w:rPr>
          <w:t>1.8.</w:t>
        </w:r>
      </w:hyperlink>
    </w:p>
    <w:p w14:paraId="51CC8891" w14:textId="7F9A09CB" w:rsidR="00236748" w:rsidRPr="00276391" w:rsidRDefault="00236748" w:rsidP="00276391">
      <w:pPr>
        <w:pStyle w:val="DHHSbody"/>
        <w:rPr>
          <w:lang w:eastAsia="en-AU"/>
        </w:rPr>
      </w:pPr>
      <w:r w:rsidRPr="00276391">
        <w:rPr>
          <w:lang w:eastAsia="en-AU"/>
        </w:rPr>
        <w:t>Similar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Statements</w:t>
      </w:r>
      <w:r w:rsidR="005D5532" w:rsidRPr="00276391">
        <w:rPr>
          <w:lang w:eastAsia="en-AU"/>
        </w:rPr>
        <w:t xml:space="preserve"> </w:t>
      </w:r>
      <w:r w:rsidRPr="00276391">
        <w:rPr>
          <w:lang w:eastAsia="en-AU"/>
        </w:rPr>
        <w:t>of</w:t>
      </w:r>
      <w:r w:rsidR="005D5532" w:rsidRPr="00276391">
        <w:rPr>
          <w:lang w:eastAsia="en-AU"/>
        </w:rPr>
        <w:t xml:space="preserve"> </w:t>
      </w:r>
      <w:r w:rsidR="007C781D">
        <w:rPr>
          <w:lang w:eastAsia="en-AU"/>
        </w:rPr>
        <w:t>p</w:t>
      </w:r>
      <w:r w:rsidRPr="00276391">
        <w:rPr>
          <w:lang w:eastAsia="en-AU"/>
        </w:rPr>
        <w:t>riorities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accountability</w:t>
      </w:r>
      <w:r w:rsidR="005D5532" w:rsidRPr="00276391">
        <w:rPr>
          <w:lang w:eastAsia="en-AU"/>
        </w:rPr>
        <w:t xml:space="preserve"> </w:t>
      </w:r>
      <w:r w:rsidRPr="00276391">
        <w:rPr>
          <w:lang w:eastAsia="en-AU"/>
        </w:rPr>
        <w:t>agreements</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Minister</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32843">
        <w:rPr>
          <w:lang w:eastAsia="en-AU"/>
        </w:rPr>
        <w:t xml:space="preserve"> information kit </w:t>
      </w:r>
      <w:r w:rsidRPr="00276391">
        <w:rPr>
          <w:lang w:eastAsia="en-AU"/>
        </w:rPr>
        <w:t>for</w:t>
      </w:r>
      <w:r w:rsidR="005D5532" w:rsidRPr="00276391">
        <w:rPr>
          <w:lang w:eastAsia="en-AU"/>
        </w:rPr>
        <w:t xml:space="preserve"> </w:t>
      </w:r>
      <w:r w:rsidR="007C781D">
        <w:rPr>
          <w:lang w:eastAsia="en-AU"/>
        </w:rPr>
        <w:t>f</w:t>
      </w:r>
      <w:r w:rsidRPr="00276391">
        <w:rPr>
          <w:lang w:eastAsia="en-AU"/>
        </w:rPr>
        <w:t>unded</w:t>
      </w:r>
      <w:r w:rsidR="005D5532" w:rsidRPr="00276391">
        <w:rPr>
          <w:lang w:eastAsia="en-AU"/>
        </w:rPr>
        <w:t xml:space="preserve"> </w:t>
      </w:r>
      <w:r w:rsidR="007C781D">
        <w:rPr>
          <w:lang w:eastAsia="en-AU"/>
        </w:rPr>
        <w:t>o</w:t>
      </w:r>
      <w:r w:rsidRPr="00276391">
        <w:rPr>
          <w:lang w:eastAsia="en-AU"/>
        </w:rPr>
        <w:t>rganisations</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the</w:t>
      </w:r>
      <w:r w:rsidR="005D5532" w:rsidRPr="00276391">
        <w:rPr>
          <w:lang w:eastAsia="en-AU"/>
        </w:rPr>
        <w:t xml:space="preserve"> </w:t>
      </w:r>
      <w:r w:rsidR="007C781D">
        <w:rPr>
          <w:lang w:eastAsia="en-AU"/>
        </w:rPr>
        <w:t>T</w:t>
      </w:r>
      <w:r w:rsidRPr="00276391">
        <w:rPr>
          <w:lang w:eastAsia="en-AU"/>
        </w:rPr>
        <w: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2F63B8">
        <w:rPr>
          <w:lang w:eastAsia="en-AU"/>
        </w:rPr>
        <w:t>’</w:t>
      </w:r>
      <w:r w:rsidR="005D5532" w:rsidRPr="00276391">
        <w:rPr>
          <w:lang w:eastAsia="en-AU"/>
        </w:rPr>
        <w:t xml:space="preserve"> </w:t>
      </w:r>
      <w:r w:rsidRPr="00276391">
        <w:rPr>
          <w:lang w:eastAsia="en-AU"/>
        </w:rPr>
        <w:t>Statements</w:t>
      </w:r>
      <w:r w:rsidR="005D5532" w:rsidRPr="00276391">
        <w:rPr>
          <w:lang w:eastAsia="en-AU"/>
        </w:rPr>
        <w:t xml:space="preserve"> </w:t>
      </w:r>
      <w:r w:rsidRPr="00276391">
        <w:rPr>
          <w:lang w:eastAsia="en-AU"/>
        </w:rPr>
        <w:t>of</w:t>
      </w:r>
      <w:r w:rsidR="005D5532" w:rsidRPr="00276391">
        <w:rPr>
          <w:lang w:eastAsia="en-AU"/>
        </w:rPr>
        <w:t xml:space="preserve"> </w:t>
      </w:r>
      <w:r w:rsidR="007C781D">
        <w:rPr>
          <w:lang w:eastAsia="en-AU"/>
        </w:rPr>
        <w:t>p</w:t>
      </w:r>
      <w:r w:rsidRPr="00276391">
        <w:rPr>
          <w:lang w:eastAsia="en-AU"/>
        </w:rPr>
        <w:t>riorities.</w:t>
      </w:r>
    </w:p>
    <w:p w14:paraId="2EA00BCD" w14:textId="23EC101D" w:rsidR="00236748" w:rsidRPr="00276391" w:rsidRDefault="00236748" w:rsidP="009B2351">
      <w:pPr>
        <w:pStyle w:val="Heading2"/>
        <w:rPr>
          <w:rFonts w:cs="Arial"/>
          <w:lang w:eastAsia="en-AU"/>
        </w:rPr>
      </w:pPr>
      <w:bookmarkStart w:id="116" w:name="_2.2_Service_Agreement"/>
      <w:bookmarkStart w:id="117" w:name="_Toc478991712"/>
      <w:bookmarkStart w:id="118" w:name="_Toc478992325"/>
      <w:bookmarkStart w:id="119" w:name="_Toc478992879"/>
      <w:bookmarkStart w:id="120" w:name="_Toc4142005"/>
      <w:bookmarkEnd w:id="116"/>
      <w:r w:rsidRPr="00276391">
        <w:rPr>
          <w:rFonts w:cs="Arial"/>
          <w:lang w:eastAsia="en-AU"/>
        </w:rPr>
        <w:t>2.2</w:t>
      </w:r>
      <w:r w:rsidR="009B2351" w:rsidRPr="00276391">
        <w:rPr>
          <w:rFonts w:cs="Arial"/>
          <w:lang w:eastAsia="en-AU"/>
        </w:rPr>
        <w:t xml:space="preserve"> </w:t>
      </w:r>
      <w:r w:rsidR="009B3052">
        <w:rPr>
          <w:rFonts w:cs="Arial"/>
          <w:lang w:eastAsia="en-AU"/>
        </w:rPr>
        <w:t>Service agreement</w:t>
      </w:r>
      <w:r w:rsidR="009B2351" w:rsidRPr="00276391">
        <w:rPr>
          <w:rFonts w:cs="Arial"/>
          <w:lang w:eastAsia="en-AU"/>
        </w:rPr>
        <w:t xml:space="preserve"> </w:t>
      </w:r>
      <w:r w:rsidRPr="00276391">
        <w:rPr>
          <w:rFonts w:cs="Arial"/>
          <w:lang w:eastAsia="en-AU"/>
        </w:rPr>
        <w:t>document</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structure</w:t>
      </w:r>
      <w:bookmarkEnd w:id="117"/>
      <w:bookmarkEnd w:id="118"/>
      <w:bookmarkEnd w:id="119"/>
      <w:bookmarkEnd w:id="120"/>
    </w:p>
    <w:p w14:paraId="4CF18B3E" w14:textId="1A7D9057"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00D45BB7">
        <w:rPr>
          <w:rFonts w:cs="Arial"/>
          <w:color w:val="000000"/>
          <w:szCs w:val="19"/>
          <w:lang w:eastAsia="en-AU"/>
        </w:rPr>
        <w:t>Department Health and Human Services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00D45BB7">
        <w:rPr>
          <w:rFonts w:cs="Arial"/>
          <w:color w:val="000000"/>
          <w:szCs w:val="19"/>
          <w:lang w:eastAsia="en-AU"/>
        </w:rPr>
        <w:t>Department Education and Training</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department.</w:t>
      </w:r>
    </w:p>
    <w:p w14:paraId="6977A635" w14:textId="1E7CF6E5"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receiving</w:t>
      </w:r>
      <w:r w:rsidR="005D5532" w:rsidRPr="00276391">
        <w:rPr>
          <w:lang w:eastAsia="en-AU"/>
        </w:rPr>
        <w:t xml:space="preserve"> </w:t>
      </w:r>
      <w:r w:rsidRPr="00276391">
        <w:rPr>
          <w:lang w:eastAsia="en-AU"/>
        </w:rPr>
        <w:t>both</w:t>
      </w:r>
      <w:r w:rsidR="005D5532" w:rsidRPr="00276391">
        <w:rPr>
          <w:lang w:eastAsia="en-AU"/>
        </w:rPr>
        <w:t xml:space="preserve"> </w:t>
      </w:r>
      <w:r w:rsidRPr="00276391">
        <w:rPr>
          <w:lang w:eastAsia="en-AU"/>
        </w:rPr>
        <w:t>disability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from</w:t>
      </w:r>
      <w:r w:rsidR="005D5532" w:rsidRPr="00276391">
        <w:rPr>
          <w:lang w:eastAsia="en-AU"/>
        </w:rPr>
        <w:t xml:space="preserve"> </w:t>
      </w:r>
      <w:r w:rsidR="00D45BB7">
        <w:rPr>
          <w:rFonts w:cs="Arial"/>
          <w:color w:val="000000"/>
          <w:szCs w:val="19"/>
          <w:lang w:eastAsia="en-AU"/>
        </w:rPr>
        <w:t>Department Health and Human Services</w:t>
      </w:r>
      <w:r w:rsidR="00D45BB7" w:rsidRPr="00B24C02">
        <w:rPr>
          <w:rFonts w:cs="Arial"/>
          <w:color w:val="000000"/>
          <w:szCs w:val="19"/>
          <w:lang w:eastAsia="en-AU"/>
        </w:rPr>
        <w:t xml:space="preserve"> </w:t>
      </w:r>
      <w:r w:rsidRPr="00276391">
        <w:rPr>
          <w:lang w:eastAsia="en-AU"/>
        </w:rPr>
        <w:t>will</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managed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separate</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because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proofErr w:type="gramStart"/>
      <w:r w:rsidRPr="00276391">
        <w:rPr>
          <w:lang w:eastAsia="en-AU"/>
        </w:rPr>
        <w:t>three</w:t>
      </w:r>
      <w:r w:rsidR="007C781D">
        <w:rPr>
          <w:lang w:eastAsia="en-AU"/>
        </w:rPr>
        <w:t xml:space="preserve"> </w:t>
      </w:r>
      <w:r w:rsidRPr="00276391">
        <w:rPr>
          <w:lang w:eastAsia="en-AU"/>
        </w:rPr>
        <w:t>year</w:t>
      </w:r>
      <w:proofErr w:type="gramEnd"/>
      <w:r w:rsidR="005D5532" w:rsidRPr="00276391">
        <w:rPr>
          <w:lang w:eastAsia="en-AU"/>
        </w:rPr>
        <w:t xml:space="preserve"> </w:t>
      </w:r>
      <w:r w:rsidRPr="00276391">
        <w:rPr>
          <w:lang w:eastAsia="en-AU"/>
        </w:rPr>
        <w:t>limitation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contract</w:t>
      </w:r>
      <w:r w:rsidR="005D5532" w:rsidRPr="00276391">
        <w:rPr>
          <w:lang w:eastAsia="en-AU"/>
        </w:rPr>
        <w:t xml:space="preserve"> </w:t>
      </w:r>
      <w:r w:rsidRPr="00276391">
        <w:rPr>
          <w:lang w:eastAsia="en-AU"/>
        </w:rPr>
        <w:t>periods.</w:t>
      </w:r>
    </w:p>
    <w:p w14:paraId="26643454" w14:textId="183842F7" w:rsidR="00F8611A" w:rsidRDefault="00236748" w:rsidP="00276391">
      <w:pPr>
        <w:pStyle w:val="DHHSbody"/>
        <w:rPr>
          <w:lang w:eastAsia="en-AU"/>
        </w:rPr>
      </w:pPr>
      <w:r w:rsidRPr="00276391">
        <w:rPr>
          <w:lang w:eastAsia="en-AU"/>
        </w:rPr>
        <w:t>Authorised</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7C781D">
        <w:rPr>
          <w:lang w:eastAsia="en-AU"/>
        </w:rPr>
        <w:t>m</w:t>
      </w:r>
      <w:r w:rsidRPr="00276391">
        <w:rPr>
          <w:lang w:eastAsia="en-AU"/>
        </w:rPr>
        <w:t>odule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25" w:tgtFrame="_blank" w:tooltip="link to the Funded Agency Channel website" w:history="1">
        <w:r w:rsidR="00296DCA">
          <w:rPr>
            <w:rStyle w:val="Hyperlink"/>
          </w:rPr>
          <w:t>Funded agency channel</w:t>
        </w:r>
      </w:hyperlink>
      <w:r w:rsidR="005D5532" w:rsidRPr="00276391">
        <w:rPr>
          <w:lang w:eastAsia="en-AU"/>
        </w:rPr>
        <w:t xml:space="preserve"> </w:t>
      </w:r>
      <w:r w:rsidR="008A7386">
        <w:rPr>
          <w:lang w:eastAsia="en-AU"/>
        </w:rPr>
        <w:t>&lt;</w:t>
      </w:r>
      <w:r w:rsidR="002446CB">
        <w:rPr>
          <w:lang w:eastAsia="en-AU"/>
        </w:rPr>
        <w:t>https://fac.dhhs.vic.gov.au</w:t>
      </w:r>
      <w:r w:rsidR="008A7386">
        <w:rPr>
          <w:lang w:eastAsia="en-AU"/>
        </w:rPr>
        <w:t>&gt;</w:t>
      </w:r>
      <w:r w:rsidR="004D45BB">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23FDF21D" w14:textId="34FCB18D" w:rsidR="00236748" w:rsidRPr="00276391" w:rsidRDefault="00EF1F9B" w:rsidP="00276391">
      <w:pPr>
        <w:pStyle w:val="DHHSbody"/>
      </w:pPr>
      <w:r>
        <w:t xml:space="preserve">Sample </w:t>
      </w:r>
      <w:r w:rsidR="009B3052">
        <w:t>Service agreement</w:t>
      </w:r>
      <w:r w:rsidR="00C456FF">
        <w:t xml:space="preserve">s are available </w:t>
      </w:r>
      <w:r>
        <w:t xml:space="preserve">from the </w:t>
      </w:r>
      <w:r w:rsidR="00D05F49">
        <w:t>Funded agency channel</w:t>
      </w:r>
      <w:r>
        <w:t>.</w:t>
      </w:r>
    </w:p>
    <w:p w14:paraId="603E1661" w14:textId="3A8C2EC3" w:rsidR="00236748" w:rsidRPr="00276391" w:rsidRDefault="009B3052" w:rsidP="00276391">
      <w:pPr>
        <w:pStyle w:val="Heading3"/>
        <w:rPr>
          <w:lang w:eastAsia="en-AU"/>
        </w:rPr>
      </w:pPr>
      <w:bookmarkStart w:id="121" w:name="_Toc478991714"/>
      <w:bookmarkStart w:id="122" w:name="_Toc478992327"/>
      <w:bookmarkStart w:id="123" w:name="_Toc4142006"/>
      <w:r>
        <w:rPr>
          <w:lang w:eastAsia="en-AU"/>
        </w:rPr>
        <w:t>Service agreement</w:t>
      </w:r>
      <w:r w:rsidR="005D5532" w:rsidRPr="00276391">
        <w:rPr>
          <w:lang w:eastAsia="en-AU"/>
        </w:rPr>
        <w:t xml:space="preserve"> </w:t>
      </w:r>
      <w:r w:rsidR="00236748" w:rsidRPr="00276391">
        <w:rPr>
          <w:lang w:eastAsia="en-AU"/>
        </w:rPr>
        <w:t>structure</w:t>
      </w:r>
      <w:bookmarkEnd w:id="121"/>
      <w:bookmarkEnd w:id="122"/>
      <w:bookmarkEnd w:id="123"/>
    </w:p>
    <w:p w14:paraId="48ED6AE5" w14:textId="7DBA688E"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document</w:t>
      </w:r>
      <w:r w:rsidR="005D5532" w:rsidRPr="00B24C02">
        <w:rPr>
          <w:rFonts w:cs="Arial"/>
          <w:color w:val="000000"/>
          <w:szCs w:val="19"/>
          <w:lang w:eastAsia="en-AU"/>
        </w:rPr>
        <w:t xml:space="preserve"> </w:t>
      </w:r>
      <w:r w:rsidRPr="00B24C02">
        <w:rPr>
          <w:rFonts w:cs="Arial"/>
          <w:color w:val="000000"/>
          <w:szCs w:val="19"/>
          <w:lang w:eastAsia="en-AU"/>
        </w:rPr>
        <w:t>consists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sections:</w:t>
      </w:r>
    </w:p>
    <w:p w14:paraId="572A9CFF" w14:textId="77777777" w:rsidR="00236748" w:rsidRPr="00276391" w:rsidRDefault="00236748" w:rsidP="001A0795">
      <w:pPr>
        <w:pStyle w:val="Heading4"/>
        <w:rPr>
          <w:lang w:eastAsia="en-AU"/>
        </w:rPr>
      </w:pPr>
      <w:bookmarkStart w:id="124" w:name="_Toc478991715"/>
      <w:r w:rsidRPr="00276391">
        <w:rPr>
          <w:lang w:eastAsia="en-AU"/>
        </w:rPr>
        <w:t>Signatories</w:t>
      </w:r>
      <w:bookmarkEnd w:id="124"/>
    </w:p>
    <w:p w14:paraId="18D5B942" w14:textId="7B2A0BAE"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signature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sign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multiple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w:t>
      </w:r>
      <w:r w:rsidR="007A5E9F" w:rsidRPr="00276391">
        <w:rPr>
          <w:lang w:eastAsia="en-AU"/>
        </w:rPr>
        <w:t>e.g.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non-incorporated</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require</w:t>
      </w:r>
      <w:r w:rsidR="005D5532" w:rsidRPr="00276391">
        <w:rPr>
          <w:lang w:eastAsia="en-AU"/>
        </w:rPr>
        <w:t xml:space="preserve"> </w:t>
      </w:r>
      <w:r w:rsidRPr="00276391">
        <w:rPr>
          <w:lang w:eastAsia="en-AU"/>
        </w:rPr>
        <w:t>signature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multiple</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sign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organisations.</w:t>
      </w:r>
    </w:p>
    <w:p w14:paraId="5A30CB8D" w14:textId="77777777" w:rsidR="00236748" w:rsidRPr="00276391" w:rsidRDefault="00236748" w:rsidP="001A0795">
      <w:pPr>
        <w:pStyle w:val="Heading4"/>
        <w:rPr>
          <w:lang w:eastAsia="en-AU"/>
        </w:rPr>
      </w:pPr>
      <w:bookmarkStart w:id="125" w:name="_Toc478991716"/>
      <w:r w:rsidRPr="00276391">
        <w:rPr>
          <w:lang w:eastAsia="en-AU"/>
        </w:rPr>
        <w:t>Background</w:t>
      </w:r>
      <w:bookmarkEnd w:id="125"/>
    </w:p>
    <w:p w14:paraId="1CFDD15E" w14:textId="1539599A"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brief</w:t>
      </w:r>
      <w:r w:rsidR="005D5532" w:rsidRPr="00276391">
        <w:rPr>
          <w:lang w:eastAsia="en-AU"/>
        </w:rPr>
        <w:t xml:space="preserve"> </w:t>
      </w:r>
      <w:r w:rsidRPr="00276391">
        <w:rPr>
          <w:lang w:eastAsia="en-AU"/>
        </w:rPr>
        <w:t>background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describes</w:t>
      </w:r>
      <w:r w:rsidR="005D5532" w:rsidRPr="00276391">
        <w:rPr>
          <w:lang w:eastAsia="en-AU"/>
        </w:rPr>
        <w:t xml:space="preserve"> </w:t>
      </w:r>
      <w:r w:rsidRPr="00276391">
        <w:rPr>
          <w:lang w:eastAsia="en-AU"/>
        </w:rPr>
        <w:t>reasons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entering</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5055C143" w14:textId="77777777" w:rsidR="00236748" w:rsidRPr="00276391"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partnering</w:t>
      </w:r>
      <w:r w:rsidR="005D5532" w:rsidRPr="00276391">
        <w:rPr>
          <w:lang w:eastAsia="en-AU"/>
        </w:rPr>
        <w:t xml:space="preserve"> </w:t>
      </w:r>
      <w:r w:rsidRPr="00276391">
        <w:rPr>
          <w:lang w:eastAsia="en-AU"/>
        </w:rPr>
        <w:t>approach</w:t>
      </w:r>
      <w:r w:rsidR="005D5532" w:rsidRPr="00276391">
        <w:rPr>
          <w:lang w:eastAsia="en-AU"/>
        </w:rPr>
        <w:t xml:space="preserve"> </w:t>
      </w:r>
      <w:r w:rsidRPr="00276391">
        <w:rPr>
          <w:lang w:eastAsia="en-AU"/>
        </w:rPr>
        <w:t>taken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working</w:t>
      </w:r>
      <w:r w:rsidR="005D5532" w:rsidRPr="00276391">
        <w:rPr>
          <w:lang w:eastAsia="en-AU"/>
        </w:rPr>
        <w:t xml:space="preserve"> </w:t>
      </w:r>
      <w:r w:rsidRPr="00276391">
        <w:rPr>
          <w:lang w:eastAsia="en-AU"/>
        </w:rPr>
        <w:t>together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good</w:t>
      </w:r>
      <w:r w:rsidR="005D5532" w:rsidRPr="00276391">
        <w:rPr>
          <w:lang w:eastAsia="en-AU"/>
        </w:rPr>
        <w:t xml:space="preserve"> </w:t>
      </w:r>
      <w:r w:rsidRPr="00276391">
        <w:rPr>
          <w:lang w:eastAsia="en-AU"/>
        </w:rPr>
        <w:t>faith</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achieve</w:t>
      </w:r>
      <w:r w:rsidR="005D5532" w:rsidRPr="00276391">
        <w:rPr>
          <w:lang w:eastAsia="en-AU"/>
        </w:rPr>
        <w:t xml:space="preserve"> </w:t>
      </w:r>
      <w:r w:rsidRPr="00276391">
        <w:rPr>
          <w:lang w:eastAsia="en-AU"/>
        </w:rPr>
        <w:t>objectives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applicable):</w:t>
      </w:r>
    </w:p>
    <w:p w14:paraId="04E41770" w14:textId="376DE636" w:rsidR="00236748" w:rsidRPr="00276391" w:rsidRDefault="00236748" w:rsidP="00276391">
      <w:pPr>
        <w:pStyle w:val="DHHSbullet1"/>
        <w:rPr>
          <w:rFonts w:cs="Arial"/>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working</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00D45BB7">
        <w:rPr>
          <w:rFonts w:cs="Arial"/>
          <w:color w:val="000000"/>
          <w:szCs w:val="19"/>
          <w:lang w:eastAsia="en-AU"/>
        </w:rPr>
        <w:t>Department Health and Human Services</w:t>
      </w:r>
      <w:r w:rsidRPr="00B24C02">
        <w:rPr>
          <w:rFonts w:cs="Arial"/>
          <w:color w:val="000000"/>
          <w:szCs w:val="19"/>
          <w:lang w:eastAsia="en-AU"/>
        </w:rPr>
        <w:t>,</w:t>
      </w:r>
      <w:r w:rsidR="005D5532" w:rsidRPr="00B24C02">
        <w:rPr>
          <w:rFonts w:cs="Arial"/>
          <w:color w:val="000000"/>
          <w:szCs w:val="19"/>
          <w:lang w:eastAsia="en-AU"/>
        </w:rPr>
        <w:t xml:space="preserve"> </w:t>
      </w:r>
      <w:r w:rsidRPr="00DB2698">
        <w:rPr>
          <w:rFonts w:cs="Arial"/>
          <w:szCs w:val="19"/>
          <w:lang w:eastAsia="en-AU"/>
        </w:rPr>
        <w:t>the</w:t>
      </w:r>
      <w:r w:rsidR="005D5532" w:rsidRPr="00DB2698">
        <w:rPr>
          <w:rFonts w:cs="Arial"/>
          <w:szCs w:val="19"/>
          <w:lang w:eastAsia="en-AU"/>
        </w:rPr>
        <w:t xml:space="preserve"> </w:t>
      </w:r>
      <w:r w:rsidRPr="00DB2698">
        <w:rPr>
          <w:rFonts w:cs="Arial"/>
          <w:szCs w:val="19"/>
          <w:lang w:eastAsia="en-AU"/>
        </w:rPr>
        <w:t>Partnership</w:t>
      </w:r>
      <w:r w:rsidR="005D5532" w:rsidRPr="00DB2698">
        <w:rPr>
          <w:rFonts w:cs="Arial"/>
          <w:szCs w:val="19"/>
          <w:lang w:eastAsia="en-AU"/>
        </w:rPr>
        <w:t xml:space="preserve"> </w:t>
      </w:r>
      <w:r w:rsidRPr="00DB2698">
        <w:rPr>
          <w:rFonts w:cs="Arial"/>
          <w:szCs w:val="19"/>
          <w:lang w:eastAsia="en-AU"/>
        </w:rPr>
        <w:t>in</w:t>
      </w:r>
      <w:r w:rsidR="005D5532" w:rsidRPr="00DB2698">
        <w:rPr>
          <w:rFonts w:cs="Arial"/>
          <w:szCs w:val="19"/>
          <w:lang w:eastAsia="en-AU"/>
        </w:rPr>
        <w:t xml:space="preserve"> </w:t>
      </w:r>
      <w:r w:rsidR="00FB135D" w:rsidRPr="00DB2698">
        <w:rPr>
          <w:rFonts w:cs="Arial"/>
          <w:szCs w:val="19"/>
          <w:lang w:eastAsia="en-AU"/>
        </w:rPr>
        <w:t>p</w:t>
      </w:r>
      <w:r w:rsidRPr="00DB2698">
        <w:rPr>
          <w:rFonts w:cs="Arial"/>
          <w:szCs w:val="19"/>
          <w:lang w:eastAsia="en-AU"/>
        </w:rPr>
        <w:t>ractice</w:t>
      </w:r>
      <w:r w:rsidR="005D5532" w:rsidRPr="00DB2698">
        <w:rPr>
          <w:rFonts w:cs="Arial"/>
          <w:szCs w:val="19"/>
          <w:lang w:eastAsia="en-AU"/>
        </w:rPr>
        <w:t xml:space="preserve"> </w:t>
      </w:r>
      <w:r w:rsidR="00FB135D" w:rsidRPr="00DB2698">
        <w:rPr>
          <w:rFonts w:cs="Arial"/>
          <w:szCs w:val="19"/>
          <w:lang w:eastAsia="en-AU"/>
        </w:rPr>
        <w:t>m</w:t>
      </w:r>
      <w:r w:rsidRPr="00DB2698">
        <w:rPr>
          <w:rFonts w:cs="Arial"/>
          <w:szCs w:val="19"/>
          <w:lang w:eastAsia="en-AU"/>
        </w:rPr>
        <w:t>emorandum</w:t>
      </w:r>
      <w:r w:rsidR="005D5532" w:rsidRPr="00DB2698">
        <w:rPr>
          <w:rFonts w:cs="Arial"/>
          <w:szCs w:val="19"/>
          <w:lang w:eastAsia="en-AU"/>
        </w:rPr>
        <w:t xml:space="preserve"> </w:t>
      </w:r>
      <w:r w:rsidRPr="00DB2698">
        <w:rPr>
          <w:rFonts w:cs="Arial"/>
          <w:szCs w:val="19"/>
          <w:lang w:eastAsia="en-AU"/>
        </w:rPr>
        <w:t>of</w:t>
      </w:r>
      <w:r w:rsidR="005D5532" w:rsidRPr="00DB2698">
        <w:rPr>
          <w:rFonts w:cs="Arial"/>
          <w:szCs w:val="19"/>
          <w:lang w:eastAsia="en-AU"/>
        </w:rPr>
        <w:t xml:space="preserve"> </w:t>
      </w:r>
      <w:r w:rsidR="00FB135D" w:rsidRPr="00DB2698">
        <w:rPr>
          <w:rFonts w:cs="Arial"/>
          <w:szCs w:val="19"/>
          <w:lang w:eastAsia="en-AU"/>
        </w:rPr>
        <w:t>u</w:t>
      </w:r>
      <w:r w:rsidRPr="00DB2698">
        <w:rPr>
          <w:rFonts w:cs="Arial"/>
          <w:szCs w:val="19"/>
          <w:lang w:eastAsia="en-AU"/>
        </w:rPr>
        <w:t>nderstanding</w:t>
      </w:r>
      <w:r w:rsidR="005D5532" w:rsidRPr="00DB2698">
        <w:rPr>
          <w:rFonts w:cs="Arial"/>
          <w:szCs w:val="19"/>
          <w:lang w:eastAsia="en-AU"/>
        </w:rPr>
        <w:t xml:space="preserve"> </w:t>
      </w:r>
      <w:r w:rsidRPr="00DB2698">
        <w:rPr>
          <w:rFonts w:cs="Arial"/>
          <w:szCs w:val="19"/>
          <w:lang w:eastAsia="en-AU"/>
        </w:rPr>
        <w:t>2012-15</w:t>
      </w:r>
      <w:r w:rsidR="005D5532" w:rsidRPr="00DB2698">
        <w:rPr>
          <w:rFonts w:cs="Arial"/>
          <w:szCs w:val="19"/>
          <w:lang w:eastAsia="en-AU"/>
        </w:rPr>
        <w:t xml:space="preserve"> </w:t>
      </w:r>
      <w:r w:rsidRPr="00DB2698">
        <w:rPr>
          <w:rFonts w:cs="Arial"/>
          <w:szCs w:val="19"/>
          <w:lang w:eastAsia="en-AU"/>
        </w:rPr>
        <w:t>between</w:t>
      </w:r>
      <w:r w:rsidR="005D5532" w:rsidRPr="00DB2698">
        <w:rPr>
          <w:rFonts w:cs="Arial"/>
          <w:szCs w:val="19"/>
          <w:lang w:eastAsia="en-AU"/>
        </w:rPr>
        <w:t xml:space="preserve"> </w:t>
      </w:r>
      <w:r w:rsidRPr="00DB2698">
        <w:rPr>
          <w:rFonts w:cs="Arial"/>
          <w:szCs w:val="19"/>
          <w:lang w:eastAsia="en-AU"/>
        </w:rPr>
        <w:t>the</w:t>
      </w:r>
      <w:r w:rsidR="005D5532" w:rsidRPr="00DB2698">
        <w:rPr>
          <w:rFonts w:cs="Arial"/>
          <w:szCs w:val="19"/>
          <w:lang w:eastAsia="en-AU"/>
        </w:rPr>
        <w:t xml:space="preserve"> </w:t>
      </w:r>
      <w:r w:rsidRPr="00DB2698">
        <w:rPr>
          <w:rFonts w:cs="Arial"/>
          <w:szCs w:val="19"/>
          <w:lang w:eastAsia="en-AU"/>
        </w:rPr>
        <w:t>non-government</w:t>
      </w:r>
      <w:r w:rsidR="005D5532" w:rsidRPr="00DB2698">
        <w:rPr>
          <w:rFonts w:cs="Arial"/>
          <w:szCs w:val="19"/>
          <w:lang w:eastAsia="en-AU"/>
        </w:rPr>
        <w:t xml:space="preserve"> </w:t>
      </w:r>
      <w:r w:rsidRPr="00DB2698">
        <w:rPr>
          <w:rFonts w:cs="Arial"/>
          <w:szCs w:val="19"/>
          <w:lang w:eastAsia="en-AU"/>
        </w:rPr>
        <w:t>health,</w:t>
      </w:r>
      <w:r w:rsidR="005D5532" w:rsidRPr="00DB2698">
        <w:rPr>
          <w:rFonts w:cs="Arial"/>
          <w:szCs w:val="19"/>
          <w:lang w:eastAsia="en-AU"/>
        </w:rPr>
        <w:t xml:space="preserve"> </w:t>
      </w:r>
      <w:r w:rsidRPr="00DB2698">
        <w:rPr>
          <w:rFonts w:cs="Arial"/>
          <w:szCs w:val="19"/>
          <w:lang w:eastAsia="en-AU"/>
        </w:rPr>
        <w:t>housing</w:t>
      </w:r>
      <w:r w:rsidR="005D5532" w:rsidRPr="00DB2698">
        <w:rPr>
          <w:rFonts w:cs="Arial"/>
          <w:szCs w:val="19"/>
          <w:lang w:eastAsia="en-AU"/>
        </w:rPr>
        <w:t xml:space="preserve"> </w:t>
      </w:r>
      <w:r w:rsidRPr="00DB2698">
        <w:rPr>
          <w:rFonts w:cs="Arial"/>
          <w:szCs w:val="19"/>
          <w:lang w:eastAsia="en-AU"/>
        </w:rPr>
        <w:t>and</w:t>
      </w:r>
      <w:r w:rsidR="005D5532" w:rsidRPr="00DB2698">
        <w:rPr>
          <w:rFonts w:cs="Arial"/>
          <w:szCs w:val="19"/>
          <w:lang w:eastAsia="en-AU"/>
        </w:rPr>
        <w:t xml:space="preserve"> </w:t>
      </w:r>
      <w:r w:rsidRPr="00DB2698">
        <w:rPr>
          <w:rFonts w:cs="Arial"/>
          <w:szCs w:val="19"/>
          <w:lang w:eastAsia="en-AU"/>
        </w:rPr>
        <w:t>community</w:t>
      </w:r>
      <w:r w:rsidR="005D5532" w:rsidRPr="00DB2698">
        <w:rPr>
          <w:rFonts w:cs="Arial"/>
          <w:szCs w:val="19"/>
          <w:lang w:eastAsia="en-AU"/>
        </w:rPr>
        <w:t xml:space="preserve"> </w:t>
      </w:r>
      <w:r w:rsidRPr="00DB2698">
        <w:rPr>
          <w:rFonts w:cs="Arial"/>
          <w:szCs w:val="19"/>
          <w:lang w:eastAsia="en-AU"/>
        </w:rPr>
        <w:t>services</w:t>
      </w:r>
      <w:r w:rsidR="005D5532" w:rsidRPr="00DB2698">
        <w:rPr>
          <w:rFonts w:cs="Arial"/>
          <w:szCs w:val="19"/>
          <w:lang w:eastAsia="en-AU"/>
        </w:rPr>
        <w:t xml:space="preserve"> </w:t>
      </w:r>
      <w:r w:rsidRPr="00DB2698">
        <w:rPr>
          <w:rFonts w:cs="Arial"/>
          <w:szCs w:val="19"/>
          <w:lang w:eastAsia="en-AU"/>
        </w:rPr>
        <w:t>sector,</w:t>
      </w:r>
      <w:r w:rsidR="005D5532" w:rsidRPr="00DB2698">
        <w:rPr>
          <w:rFonts w:cs="Arial"/>
          <w:szCs w:val="19"/>
          <w:lang w:eastAsia="en-AU"/>
        </w:rPr>
        <w:t xml:space="preserve"> </w:t>
      </w:r>
      <w:r w:rsidRPr="00DB2698">
        <w:rPr>
          <w:rFonts w:cs="Arial"/>
          <w:szCs w:val="19"/>
          <w:lang w:eastAsia="en-AU"/>
        </w:rPr>
        <w:t>the</w:t>
      </w:r>
      <w:r w:rsidR="005D5532" w:rsidRPr="00DB2698">
        <w:rPr>
          <w:rFonts w:cs="Arial"/>
          <w:szCs w:val="19"/>
          <w:lang w:eastAsia="en-AU"/>
        </w:rPr>
        <w:t xml:space="preserve"> </w:t>
      </w:r>
      <w:r w:rsidRPr="00DB2698">
        <w:rPr>
          <w:rFonts w:cs="Arial"/>
          <w:szCs w:val="19"/>
          <w:lang w:eastAsia="en-AU"/>
        </w:rPr>
        <w:t>Department</w:t>
      </w:r>
      <w:r w:rsidR="005D5532" w:rsidRPr="00DB2698">
        <w:rPr>
          <w:rFonts w:cs="Arial"/>
          <w:szCs w:val="19"/>
          <w:lang w:eastAsia="en-AU"/>
        </w:rPr>
        <w:t xml:space="preserve"> </w:t>
      </w:r>
      <w:r w:rsidRPr="00DB2698">
        <w:rPr>
          <w:rFonts w:cs="Arial"/>
          <w:szCs w:val="19"/>
          <w:lang w:eastAsia="en-AU"/>
        </w:rPr>
        <w:t>of</w:t>
      </w:r>
      <w:r w:rsidR="005D5532" w:rsidRPr="00DB2698">
        <w:rPr>
          <w:rFonts w:cs="Arial"/>
          <w:szCs w:val="19"/>
          <w:lang w:eastAsia="en-AU"/>
        </w:rPr>
        <w:t xml:space="preserve"> </w:t>
      </w:r>
      <w:r w:rsidRPr="00DB2698">
        <w:rPr>
          <w:rFonts w:cs="Arial"/>
          <w:szCs w:val="19"/>
          <w:lang w:eastAsia="en-AU"/>
        </w:rPr>
        <w:t>Human</w:t>
      </w:r>
      <w:r w:rsidR="005D5532" w:rsidRPr="00DB2698">
        <w:rPr>
          <w:rFonts w:cs="Arial"/>
          <w:szCs w:val="19"/>
          <w:lang w:eastAsia="en-AU"/>
        </w:rPr>
        <w:t xml:space="preserve"> </w:t>
      </w:r>
      <w:r w:rsidRPr="00DB2698">
        <w:rPr>
          <w:rFonts w:cs="Arial"/>
          <w:szCs w:val="19"/>
          <w:lang w:eastAsia="en-AU"/>
        </w:rPr>
        <w:t>Services</w:t>
      </w:r>
      <w:r w:rsidR="005D5532" w:rsidRPr="00DB2698">
        <w:rPr>
          <w:rFonts w:cs="Arial"/>
          <w:szCs w:val="19"/>
          <w:lang w:eastAsia="en-AU"/>
        </w:rPr>
        <w:t xml:space="preserve"> </w:t>
      </w:r>
      <w:r w:rsidRPr="00DB2698">
        <w:rPr>
          <w:rFonts w:cs="Arial"/>
          <w:szCs w:val="19"/>
          <w:lang w:eastAsia="en-AU"/>
        </w:rPr>
        <w:t>and</w:t>
      </w:r>
      <w:r w:rsidR="005D5532" w:rsidRPr="00DB2698">
        <w:rPr>
          <w:rFonts w:cs="Arial"/>
          <w:szCs w:val="19"/>
          <w:lang w:eastAsia="en-AU"/>
        </w:rPr>
        <w:t xml:space="preserve"> </w:t>
      </w:r>
      <w:r w:rsidRPr="00DB2698">
        <w:rPr>
          <w:rFonts w:cs="Arial"/>
          <w:szCs w:val="19"/>
          <w:lang w:eastAsia="en-AU"/>
        </w:rPr>
        <w:t>the</w:t>
      </w:r>
      <w:r w:rsidR="005D5532" w:rsidRPr="00DB2698">
        <w:rPr>
          <w:rFonts w:cs="Arial"/>
          <w:szCs w:val="19"/>
          <w:lang w:eastAsia="en-AU"/>
        </w:rPr>
        <w:t xml:space="preserve"> </w:t>
      </w:r>
      <w:r w:rsidRPr="00DB2698">
        <w:rPr>
          <w:rFonts w:cs="Arial"/>
          <w:szCs w:val="19"/>
          <w:lang w:eastAsia="en-AU"/>
        </w:rPr>
        <w:t>Department</w:t>
      </w:r>
      <w:r w:rsidR="005D5532" w:rsidRPr="00DB2698">
        <w:rPr>
          <w:rFonts w:cs="Arial"/>
          <w:szCs w:val="19"/>
          <w:lang w:eastAsia="en-AU"/>
        </w:rPr>
        <w:t xml:space="preserve"> </w:t>
      </w:r>
      <w:r w:rsidRPr="00DB2698">
        <w:rPr>
          <w:rFonts w:cs="Arial"/>
          <w:szCs w:val="19"/>
          <w:lang w:eastAsia="en-AU"/>
        </w:rPr>
        <w:t>of</w:t>
      </w:r>
      <w:r w:rsidR="005D5532" w:rsidRPr="00DB2698">
        <w:rPr>
          <w:rFonts w:cs="Arial"/>
          <w:szCs w:val="19"/>
          <w:lang w:eastAsia="en-AU"/>
        </w:rPr>
        <w:t xml:space="preserve"> </w:t>
      </w:r>
      <w:r w:rsidRPr="00DB2698">
        <w:rPr>
          <w:rFonts w:cs="Arial"/>
          <w:szCs w:val="19"/>
          <w:lang w:eastAsia="en-AU"/>
        </w:rPr>
        <w:t>Health.</w:t>
      </w:r>
      <w:r w:rsidR="005D5532" w:rsidRPr="00DB2698">
        <w:rPr>
          <w:rFonts w:cs="Arial"/>
          <w:szCs w:val="19"/>
          <w:lang w:eastAsia="en-AU"/>
        </w:rPr>
        <w:t xml:space="preserve"> </w:t>
      </w:r>
      <w:r w:rsidRPr="00DB2698">
        <w:rPr>
          <w:rFonts w:cs="Arial"/>
          <w:szCs w:val="19"/>
          <w:lang w:eastAsia="en-AU"/>
        </w:rPr>
        <w:t>Under</w:t>
      </w:r>
      <w:r w:rsidR="005D5532" w:rsidRPr="00DB2698">
        <w:rPr>
          <w:rFonts w:cs="Arial"/>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Memorandum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00FB135D">
        <w:rPr>
          <w:rFonts w:cs="Arial"/>
          <w:color w:val="000000"/>
          <w:szCs w:val="19"/>
          <w:lang w:eastAsia="en-AU"/>
        </w:rPr>
        <w:t>u</w:t>
      </w:r>
      <w:r w:rsidRPr="00B24C02">
        <w:rPr>
          <w:rFonts w:cs="Arial"/>
          <w:color w:val="000000"/>
          <w:szCs w:val="19"/>
          <w:lang w:eastAsia="en-AU"/>
        </w:rPr>
        <w:t>nderstanding,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sector</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represented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Council</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Social</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p>
    <w:p w14:paraId="3D63CCF9" w14:textId="48521EF6" w:rsidR="00236748" w:rsidRPr="00102247" w:rsidRDefault="00236748" w:rsidP="00102247">
      <w:pPr>
        <w:pStyle w:val="DHHSbullet1"/>
        <w:rPr>
          <w:rFonts w:cs="Arial"/>
          <w:lang w:eastAsia="en-AU"/>
        </w:rPr>
      </w:pPr>
      <w:r w:rsidRPr="00102247">
        <w:rPr>
          <w:rFonts w:cs="Arial"/>
          <w:lang w:eastAsia="en-AU"/>
        </w:rPr>
        <w:t>for</w:t>
      </w:r>
      <w:r w:rsidR="005D5532" w:rsidRPr="00102247">
        <w:rPr>
          <w:rFonts w:cs="Arial"/>
          <w:lang w:eastAsia="en-AU"/>
        </w:rPr>
        <w:t xml:space="preserve"> </w:t>
      </w:r>
      <w:r w:rsidRPr="00102247">
        <w:rPr>
          <w:rFonts w:cs="Arial"/>
          <w:lang w:eastAsia="en-AU"/>
        </w:rPr>
        <w:t>organisations</w:t>
      </w:r>
      <w:r w:rsidR="005D5532" w:rsidRPr="00102247">
        <w:rPr>
          <w:rFonts w:cs="Arial"/>
          <w:lang w:eastAsia="en-AU"/>
        </w:rPr>
        <w:t xml:space="preserve"> </w:t>
      </w:r>
      <w:r w:rsidRPr="00102247">
        <w:rPr>
          <w:rFonts w:cs="Arial"/>
          <w:lang w:eastAsia="en-AU"/>
        </w:rPr>
        <w:t>working</w:t>
      </w:r>
      <w:r w:rsidR="005D5532" w:rsidRPr="00102247">
        <w:rPr>
          <w:rFonts w:cs="Arial"/>
          <w:lang w:eastAsia="en-AU"/>
        </w:rPr>
        <w:t xml:space="preserve"> </w:t>
      </w:r>
      <w:r w:rsidRPr="00102247">
        <w:rPr>
          <w:rFonts w:cs="Arial"/>
          <w:lang w:eastAsia="en-AU"/>
        </w:rPr>
        <w:t>with</w:t>
      </w:r>
      <w:r w:rsidR="005D5532" w:rsidRPr="00102247">
        <w:rPr>
          <w:rFonts w:cs="Arial"/>
          <w:lang w:eastAsia="en-AU"/>
        </w:rPr>
        <w:t xml:space="preserve"> </w:t>
      </w:r>
      <w:r w:rsidR="00D45BB7">
        <w:rPr>
          <w:rFonts w:cs="Arial"/>
          <w:lang w:eastAsia="en-AU"/>
        </w:rPr>
        <w:t>Department Education and Training</w:t>
      </w:r>
      <w:r w:rsidRPr="00102247">
        <w:rPr>
          <w:rFonts w:cs="Arial"/>
          <w:lang w:eastAsia="en-AU"/>
        </w:rPr>
        <w:t>,</w:t>
      </w:r>
      <w:r w:rsidR="005D5532" w:rsidRPr="00102247">
        <w:rPr>
          <w:rFonts w:cs="Arial"/>
          <w:lang w:eastAsia="en-AU"/>
        </w:rPr>
        <w:t xml:space="preserve"> </w:t>
      </w:r>
      <w:r w:rsidRPr="00102247">
        <w:rPr>
          <w:rFonts w:cs="Arial"/>
          <w:lang w:eastAsia="en-AU"/>
        </w:rPr>
        <w:t>the</w:t>
      </w:r>
      <w:r w:rsidR="005D5532" w:rsidRPr="00102247">
        <w:rPr>
          <w:rFonts w:cs="Arial"/>
          <w:lang w:eastAsia="en-AU"/>
        </w:rPr>
        <w:t xml:space="preserve"> </w:t>
      </w:r>
      <w:hyperlink r:id="rId26" w:tgtFrame="_blank" w:history="1">
        <w:r w:rsidRPr="00936AA1">
          <w:rPr>
            <w:rStyle w:val="Hyperlink"/>
            <w:rFonts w:cs="Arial"/>
            <w:lang w:eastAsia="en-AU"/>
          </w:rPr>
          <w:t>Partnership</w:t>
        </w:r>
        <w:r w:rsidR="005D5532" w:rsidRPr="00936AA1">
          <w:rPr>
            <w:rStyle w:val="Hyperlink"/>
            <w:rFonts w:cs="Arial"/>
            <w:lang w:eastAsia="en-AU"/>
          </w:rPr>
          <w:t xml:space="preserve"> </w:t>
        </w:r>
        <w:r w:rsidR="00FB135D" w:rsidRPr="00936AA1">
          <w:rPr>
            <w:rStyle w:val="Hyperlink"/>
            <w:rFonts w:cs="Arial"/>
            <w:lang w:eastAsia="en-AU"/>
          </w:rPr>
          <w:t>a</w:t>
        </w:r>
        <w:r w:rsidRPr="00936AA1">
          <w:rPr>
            <w:rStyle w:val="Hyperlink"/>
            <w:rFonts w:cs="Arial"/>
            <w:lang w:eastAsia="en-AU"/>
          </w:rPr>
          <w:t>greement</w:t>
        </w:r>
        <w:r w:rsidR="005D5532" w:rsidRPr="00936AA1">
          <w:rPr>
            <w:rStyle w:val="Hyperlink"/>
            <w:rFonts w:cs="Arial"/>
            <w:lang w:eastAsia="en-AU"/>
          </w:rPr>
          <w:t xml:space="preserve"> </w:t>
        </w:r>
        <w:r w:rsidRPr="00936AA1">
          <w:rPr>
            <w:rStyle w:val="Hyperlink"/>
            <w:rFonts w:cs="Arial"/>
            <w:lang w:eastAsia="en-AU"/>
          </w:rPr>
          <w:t>between</w:t>
        </w:r>
        <w:r w:rsidR="005D5532" w:rsidRPr="00936AA1">
          <w:rPr>
            <w:rStyle w:val="Hyperlink"/>
            <w:rFonts w:cs="Arial"/>
            <w:lang w:eastAsia="en-AU"/>
          </w:rPr>
          <w:t xml:space="preserve"> </w:t>
        </w:r>
        <w:r w:rsidRPr="00936AA1">
          <w:rPr>
            <w:rStyle w:val="Hyperlink"/>
            <w:rFonts w:cs="Arial"/>
            <w:lang w:eastAsia="en-AU"/>
          </w:rPr>
          <w:t>the</w:t>
        </w:r>
        <w:r w:rsidR="005D5532" w:rsidRPr="00936AA1">
          <w:rPr>
            <w:rStyle w:val="Hyperlink"/>
            <w:rFonts w:cs="Arial"/>
            <w:lang w:eastAsia="en-AU"/>
          </w:rPr>
          <w:t xml:space="preserve"> </w:t>
        </w:r>
        <w:r w:rsidRPr="00936AA1">
          <w:rPr>
            <w:rStyle w:val="Hyperlink"/>
            <w:rFonts w:cs="Arial"/>
            <w:lang w:eastAsia="en-AU"/>
          </w:rPr>
          <w:t>Department</w:t>
        </w:r>
        <w:r w:rsidR="005D5532" w:rsidRPr="00936AA1">
          <w:rPr>
            <w:rStyle w:val="Hyperlink"/>
            <w:rFonts w:cs="Arial"/>
            <w:lang w:eastAsia="en-AU"/>
          </w:rPr>
          <w:t xml:space="preserve"> </w:t>
        </w:r>
        <w:r w:rsidRPr="00936AA1">
          <w:rPr>
            <w:rStyle w:val="Hyperlink"/>
            <w:rFonts w:cs="Arial"/>
            <w:lang w:eastAsia="en-AU"/>
          </w:rPr>
          <w:t>of</w:t>
        </w:r>
        <w:r w:rsidR="005D5532" w:rsidRPr="00936AA1">
          <w:rPr>
            <w:rStyle w:val="Hyperlink"/>
            <w:rFonts w:cs="Arial"/>
            <w:lang w:eastAsia="en-AU"/>
          </w:rPr>
          <w:t xml:space="preserve"> </w:t>
        </w:r>
        <w:r w:rsidRPr="00936AA1">
          <w:rPr>
            <w:rStyle w:val="Hyperlink"/>
            <w:rFonts w:cs="Arial"/>
            <w:lang w:eastAsia="en-AU"/>
          </w:rPr>
          <w:t>Education</w:t>
        </w:r>
        <w:r w:rsidR="005D5532" w:rsidRPr="00936AA1">
          <w:rPr>
            <w:rStyle w:val="Hyperlink"/>
            <w:rFonts w:cs="Arial"/>
            <w:lang w:eastAsia="en-AU"/>
          </w:rPr>
          <w:t xml:space="preserve"> </w:t>
        </w:r>
        <w:r w:rsidRPr="00936AA1">
          <w:rPr>
            <w:rStyle w:val="Hyperlink"/>
            <w:rFonts w:cs="Arial"/>
            <w:lang w:eastAsia="en-AU"/>
          </w:rPr>
          <w:t>and</w:t>
        </w:r>
        <w:r w:rsidR="005D5532" w:rsidRPr="00936AA1">
          <w:rPr>
            <w:rStyle w:val="Hyperlink"/>
            <w:rFonts w:cs="Arial"/>
            <w:lang w:eastAsia="en-AU"/>
          </w:rPr>
          <w:t xml:space="preserve"> </w:t>
        </w:r>
        <w:r w:rsidR="00C45A29" w:rsidRPr="00936AA1">
          <w:rPr>
            <w:rStyle w:val="Hyperlink"/>
            <w:rFonts w:cs="Arial"/>
            <w:lang w:eastAsia="en-AU"/>
          </w:rPr>
          <w:t>Training</w:t>
        </w:r>
        <w:r w:rsidR="005D5532" w:rsidRPr="00936AA1">
          <w:rPr>
            <w:rStyle w:val="Hyperlink"/>
            <w:rFonts w:cs="Arial"/>
            <w:lang w:eastAsia="en-AU"/>
          </w:rPr>
          <w:t xml:space="preserve"> </w:t>
        </w:r>
        <w:r w:rsidRPr="00936AA1">
          <w:rPr>
            <w:rStyle w:val="Hyperlink"/>
            <w:rFonts w:cs="Arial"/>
            <w:lang w:eastAsia="en-AU"/>
          </w:rPr>
          <w:t>and</w:t>
        </w:r>
        <w:r w:rsidR="005D5532" w:rsidRPr="00936AA1">
          <w:rPr>
            <w:rStyle w:val="Hyperlink"/>
            <w:rFonts w:cs="Arial"/>
            <w:lang w:eastAsia="en-AU"/>
          </w:rPr>
          <w:t xml:space="preserve"> </w:t>
        </w:r>
        <w:r w:rsidRPr="00936AA1">
          <w:rPr>
            <w:rStyle w:val="Hyperlink"/>
            <w:rFonts w:cs="Arial"/>
            <w:lang w:eastAsia="en-AU"/>
          </w:rPr>
          <w:t>the</w:t>
        </w:r>
        <w:r w:rsidR="005D5532" w:rsidRPr="00936AA1">
          <w:rPr>
            <w:rStyle w:val="Hyperlink"/>
            <w:rFonts w:cs="Arial"/>
            <w:lang w:eastAsia="en-AU"/>
          </w:rPr>
          <w:t xml:space="preserve"> </w:t>
        </w:r>
        <w:r w:rsidRPr="00936AA1">
          <w:rPr>
            <w:rStyle w:val="Hyperlink"/>
            <w:rFonts w:cs="Arial"/>
            <w:lang w:eastAsia="en-AU"/>
          </w:rPr>
          <w:t>Victorian</w:t>
        </w:r>
        <w:r w:rsidR="005D5532" w:rsidRPr="00936AA1">
          <w:rPr>
            <w:rStyle w:val="Hyperlink"/>
            <w:rFonts w:cs="Arial"/>
            <w:lang w:eastAsia="en-AU"/>
          </w:rPr>
          <w:t xml:space="preserve"> </w:t>
        </w:r>
        <w:r w:rsidRPr="00936AA1">
          <w:rPr>
            <w:rStyle w:val="Hyperlink"/>
            <w:rFonts w:cs="Arial"/>
            <w:lang w:eastAsia="en-AU"/>
          </w:rPr>
          <w:t>Community</w:t>
        </w:r>
        <w:r w:rsidR="005D5532" w:rsidRPr="00936AA1">
          <w:rPr>
            <w:rStyle w:val="Hyperlink"/>
            <w:rFonts w:cs="Arial"/>
            <w:lang w:eastAsia="en-AU"/>
          </w:rPr>
          <w:t xml:space="preserve"> </w:t>
        </w:r>
        <w:r w:rsidRPr="00936AA1">
          <w:rPr>
            <w:rStyle w:val="Hyperlink"/>
            <w:rFonts w:cs="Arial"/>
            <w:lang w:eastAsia="en-AU"/>
          </w:rPr>
          <w:t>Sector</w:t>
        </w:r>
        <w:r w:rsidR="005D5532" w:rsidRPr="00936AA1">
          <w:rPr>
            <w:rStyle w:val="Hyperlink"/>
            <w:rFonts w:cs="Arial"/>
            <w:lang w:eastAsia="en-AU"/>
          </w:rPr>
          <w:t xml:space="preserve"> </w:t>
        </w:r>
        <w:r w:rsidRPr="00936AA1">
          <w:rPr>
            <w:rStyle w:val="Hyperlink"/>
            <w:rFonts w:cs="Arial"/>
            <w:lang w:eastAsia="en-AU"/>
          </w:rPr>
          <w:t>2014-2018</w:t>
        </w:r>
      </w:hyperlink>
      <w:r w:rsidR="00102247">
        <w:rPr>
          <w:rFonts w:cs="Arial"/>
          <w:lang w:eastAsia="en-AU"/>
        </w:rPr>
        <w:t xml:space="preserve"> </w:t>
      </w:r>
      <w:r w:rsidR="00102247" w:rsidRPr="00102247">
        <w:rPr>
          <w:rFonts w:cs="Arial"/>
          <w:lang w:eastAsia="en-AU"/>
        </w:rPr>
        <w:lastRenderedPageBreak/>
        <w:t>&lt;http://www.education.vic.gov.au/Documents/about/programs/partn</w:t>
      </w:r>
      <w:r w:rsidR="00102247">
        <w:rPr>
          <w:rFonts w:cs="Arial"/>
          <w:lang w:eastAsia="en-AU"/>
        </w:rPr>
        <w:t>e</w:t>
      </w:r>
      <w:r w:rsidR="00EB4CBF">
        <w:rPr>
          <w:rFonts w:cs="Arial"/>
          <w:lang w:eastAsia="en-AU"/>
        </w:rPr>
        <w:t>rships/partnershipagreement.pdf</w:t>
      </w:r>
      <w:r w:rsidR="00102247">
        <w:rPr>
          <w:rFonts w:cs="Arial"/>
          <w:lang w:eastAsia="en-AU"/>
        </w:rPr>
        <w:t>&gt;</w:t>
      </w:r>
    </w:p>
    <w:p w14:paraId="38BB4985" w14:textId="77777777" w:rsidR="00236748" w:rsidRPr="00276391" w:rsidRDefault="00236748" w:rsidP="00276391">
      <w:pPr>
        <w:pStyle w:val="DHHSbullet1"/>
        <w:rPr>
          <w:rFonts w:cs="Arial"/>
          <w:lang w:eastAsia="en-AU"/>
        </w:rPr>
      </w:pPr>
      <w:r w:rsidRPr="00276391">
        <w:rPr>
          <w:rFonts w:cs="Arial"/>
          <w:lang w:eastAsia="en-AU"/>
        </w:rPr>
        <w:t>for</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Councils</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meaning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Act</w:t>
      </w:r>
      <w:r w:rsidR="005D5532" w:rsidRPr="00276391">
        <w:rPr>
          <w:rFonts w:cs="Arial"/>
          <w:lang w:eastAsia="en-AU"/>
        </w:rPr>
        <w:t xml:space="preserve"> </w:t>
      </w:r>
      <w:r w:rsidRPr="00276391">
        <w:rPr>
          <w:rFonts w:cs="Arial"/>
          <w:lang w:eastAsia="en-AU"/>
        </w:rPr>
        <w:t>1989</w:t>
      </w:r>
      <w:r w:rsidR="005D5532" w:rsidRPr="00276391">
        <w:rPr>
          <w:rFonts w:cs="Arial"/>
          <w:lang w:eastAsia="en-AU"/>
        </w:rPr>
        <w:t xml:space="preserve"> </w:t>
      </w:r>
      <w:r w:rsidRPr="00276391">
        <w:rPr>
          <w:rFonts w:cs="Arial"/>
          <w:lang w:eastAsia="en-AU"/>
        </w:rPr>
        <w:t>(Vic),</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State</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p>
    <w:p w14:paraId="04003DB9"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Background</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includes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Government's</w:t>
      </w:r>
      <w:r w:rsidR="005D5532" w:rsidRPr="00B24C02">
        <w:rPr>
          <w:rFonts w:cs="Arial"/>
          <w:color w:val="000000"/>
          <w:szCs w:val="19"/>
          <w:lang w:eastAsia="en-AU"/>
        </w:rPr>
        <w:t xml:space="preserve"> </w:t>
      </w:r>
      <w:r w:rsidRPr="00B24C02">
        <w:rPr>
          <w:rFonts w:cs="Arial"/>
          <w:color w:val="000000"/>
          <w:szCs w:val="19"/>
          <w:lang w:eastAsia="en-AU"/>
        </w:rPr>
        <w:t>commitment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transition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full</w:t>
      </w:r>
      <w:r w:rsidR="005D5532" w:rsidRPr="00B24C02">
        <w:rPr>
          <w:rFonts w:cs="Arial"/>
          <w:color w:val="000000"/>
          <w:szCs w:val="19"/>
          <w:lang w:eastAsia="en-AU"/>
        </w:rPr>
        <w:t xml:space="preserve"> </w:t>
      </w:r>
      <w:r w:rsidRPr="00B24C02">
        <w:rPr>
          <w:rFonts w:cs="Arial"/>
          <w:color w:val="000000"/>
          <w:szCs w:val="19"/>
          <w:lang w:eastAsia="en-AU"/>
        </w:rPr>
        <w:t>scheme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National</w:t>
      </w:r>
      <w:r w:rsidR="005D5532" w:rsidRPr="00B24C02">
        <w:rPr>
          <w:rFonts w:cs="Arial"/>
          <w:color w:val="000000"/>
          <w:szCs w:val="19"/>
          <w:lang w:eastAsia="en-AU"/>
        </w:rPr>
        <w:t xml:space="preserve"> </w:t>
      </w:r>
      <w:r w:rsidRPr="00B24C02">
        <w:rPr>
          <w:rFonts w:cs="Arial"/>
          <w:color w:val="000000"/>
          <w:szCs w:val="19"/>
          <w:lang w:eastAsia="en-AU"/>
        </w:rPr>
        <w:t>Disability</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Scheme</w:t>
      </w:r>
      <w:r w:rsidR="005D5532" w:rsidRPr="00B24C02">
        <w:rPr>
          <w:rFonts w:cs="Arial"/>
          <w:color w:val="000000"/>
          <w:szCs w:val="19"/>
          <w:lang w:eastAsia="en-AU"/>
        </w:rPr>
        <w:t xml:space="preserve"> </w:t>
      </w:r>
      <w:r w:rsidRPr="00B24C02">
        <w:rPr>
          <w:rFonts w:cs="Arial"/>
          <w:color w:val="000000"/>
          <w:szCs w:val="19"/>
          <w:lang w:eastAsia="en-AU"/>
        </w:rPr>
        <w:t>(NDIS).</w:t>
      </w:r>
    </w:p>
    <w:p w14:paraId="184CA3D9" w14:textId="77777777" w:rsidR="00236748" w:rsidRPr="00276391" w:rsidRDefault="00236748" w:rsidP="001A0795">
      <w:pPr>
        <w:pStyle w:val="Heading4"/>
        <w:rPr>
          <w:lang w:eastAsia="en-AU"/>
        </w:rPr>
      </w:pPr>
      <w:bookmarkStart w:id="126" w:name="_Toc478991717"/>
      <w:r w:rsidRPr="00276391">
        <w:rPr>
          <w:lang w:eastAsia="en-AU"/>
        </w:rPr>
        <w:t>Details</w:t>
      </w:r>
      <w:bookmarkEnd w:id="126"/>
    </w:p>
    <w:p w14:paraId="4F3673CE" w14:textId="2E456E33"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core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name,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name,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agreement's</w:t>
      </w:r>
      <w:r w:rsidR="005D5532" w:rsidRPr="00276391">
        <w:rPr>
          <w:lang w:eastAsia="en-AU"/>
        </w:rPr>
        <w:t xml:space="preserve"> </w:t>
      </w:r>
      <w:r w:rsidRPr="00276391">
        <w:rPr>
          <w:lang w:eastAsia="en-AU"/>
        </w:rPr>
        <w:t>start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dates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primary</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party.</w:t>
      </w:r>
    </w:p>
    <w:p w14:paraId="7705739C" w14:textId="77777777" w:rsidR="00236748" w:rsidRPr="00276391" w:rsidRDefault="00236748" w:rsidP="001A0795">
      <w:pPr>
        <w:pStyle w:val="Heading4"/>
        <w:rPr>
          <w:lang w:eastAsia="en-AU"/>
        </w:rPr>
      </w:pPr>
      <w:bookmarkStart w:id="127" w:name="_Toc478991718"/>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bookmarkEnd w:id="127"/>
    </w:p>
    <w:p w14:paraId="27311658" w14:textId="4EE2F82B"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00E84DFA">
        <w:rPr>
          <w:lang w:eastAsia="en-AU"/>
        </w:rPr>
        <w:t>T</w:t>
      </w:r>
      <w:r w:rsidRPr="00276391">
        <w:rPr>
          <w:lang w:eastAsia="en-AU"/>
        </w:rPr>
        <w: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detail</w:t>
      </w:r>
      <w:r w:rsidR="005D5532" w:rsidRPr="00276391">
        <w:rPr>
          <w:lang w:eastAsia="en-AU"/>
        </w:rPr>
        <w:t xml:space="preserve"> </w:t>
      </w:r>
      <w:r w:rsidRPr="00276391">
        <w:rPr>
          <w:lang w:eastAsia="en-AU"/>
        </w:rPr>
        <w:t>in</w:t>
      </w:r>
      <w:r w:rsidR="005D5532" w:rsidRPr="00276391">
        <w:rPr>
          <w:lang w:eastAsia="en-AU"/>
        </w:rPr>
        <w:t xml:space="preserve"> </w:t>
      </w:r>
      <w:hyperlink w:anchor="_Chapter_3._Terms" w:tgtFrame="_blank" w:tooltip="link to section 3. Terms and conditions" w:history="1">
        <w:r w:rsidR="00EB4CBF">
          <w:rPr>
            <w:rStyle w:val="Hyperlink"/>
          </w:rPr>
          <w:t>C</w:t>
        </w:r>
        <w:r w:rsidRPr="00986D1E">
          <w:rPr>
            <w:rStyle w:val="Hyperlink"/>
          </w:rPr>
          <w:t>hapter</w:t>
        </w:r>
        <w:r w:rsidR="005D5532" w:rsidRPr="00986D1E">
          <w:rPr>
            <w:rStyle w:val="Hyperlink"/>
          </w:rPr>
          <w:t xml:space="preserve"> </w:t>
        </w:r>
        <w:r w:rsidRPr="00986D1E">
          <w:rPr>
            <w:rStyle w:val="Hyperlink"/>
          </w:rPr>
          <w:t>3</w:t>
        </w:r>
      </w:hyperlink>
      <w:r w:rsidR="008A7386">
        <w:rPr>
          <w:rStyle w:val="Hyperlink"/>
        </w:rPr>
        <w:t xml:space="preserve"> </w:t>
      </w:r>
      <w:r w:rsidR="008A7386" w:rsidRPr="00B24C02">
        <w:rPr>
          <w:rFonts w:cs="Arial"/>
          <w:color w:val="000000"/>
          <w:szCs w:val="19"/>
          <w:lang w:eastAsia="en-AU"/>
        </w:rPr>
        <w:t>of this kit.</w:t>
      </w:r>
    </w:p>
    <w:p w14:paraId="2132EC63" w14:textId="77777777" w:rsidR="00236748" w:rsidRPr="00276391" w:rsidRDefault="00236748" w:rsidP="001A0795">
      <w:pPr>
        <w:pStyle w:val="Heading4"/>
        <w:rPr>
          <w:lang w:eastAsia="en-AU"/>
        </w:rPr>
      </w:pPr>
      <w:bookmarkStart w:id="128" w:name="_Toc478991719"/>
      <w:r w:rsidRPr="00276391">
        <w:rPr>
          <w:lang w:eastAsia="en-AU"/>
        </w:rPr>
        <w:t>Schedule</w:t>
      </w:r>
      <w:r w:rsidR="005D5532" w:rsidRPr="00276391">
        <w:rPr>
          <w:lang w:eastAsia="en-AU"/>
        </w:rPr>
        <w:t xml:space="preserve"> </w:t>
      </w:r>
      <w:r w:rsidRPr="00276391">
        <w:rPr>
          <w:lang w:eastAsia="en-AU"/>
        </w:rPr>
        <w:t>1</w:t>
      </w:r>
      <w:bookmarkEnd w:id="128"/>
    </w:p>
    <w:p w14:paraId="39A35134" w14:textId="77777777"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p>
    <w:p w14:paraId="496F1D6B" w14:textId="2356C8D3" w:rsidR="00236748" w:rsidRPr="00276391" w:rsidRDefault="00236748" w:rsidP="00276391">
      <w:pPr>
        <w:pStyle w:val="DHHSbody"/>
        <w:rPr>
          <w:lang w:eastAsia="en-AU"/>
        </w:rPr>
      </w:pPr>
      <w:r w:rsidRPr="00276391">
        <w:rPr>
          <w:lang w:eastAsia="en-AU"/>
        </w:rPr>
        <w:t>Schedule</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lists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contained</w:t>
      </w:r>
      <w:r w:rsidR="005D5532" w:rsidRPr="00276391">
        <w:rPr>
          <w:lang w:eastAsia="en-AU"/>
        </w:rPr>
        <w:t xml:space="preserve"> </w:t>
      </w:r>
      <w:r w:rsidRPr="00276391">
        <w:rPr>
          <w:lang w:eastAsia="en-AU"/>
        </w:rPr>
        <w:t>in</w:t>
      </w:r>
      <w:r w:rsidR="005D5532" w:rsidRPr="00276391">
        <w:rPr>
          <w:lang w:eastAsia="en-AU"/>
        </w:rPr>
        <w:t xml:space="preserve"> </w:t>
      </w:r>
      <w:hyperlink w:anchor="_Chapter_4._Department" w:history="1">
        <w:r w:rsidRPr="00B9407B">
          <w:rPr>
            <w:rStyle w:val="Hyperlink"/>
          </w:rPr>
          <w:t>Chapter</w:t>
        </w:r>
        <w:r w:rsidR="00B440A6" w:rsidRPr="00B9407B">
          <w:rPr>
            <w:rStyle w:val="Hyperlink"/>
            <w:lang w:eastAsia="en-AU"/>
          </w:rPr>
          <w:t xml:space="preserve"> 4</w:t>
        </w:r>
      </w:hyperlink>
      <w:r w:rsidR="00B9407B">
        <w:rPr>
          <w:lang w:eastAsia="en-AU"/>
        </w:rPr>
        <w:t xml:space="preserve"> (</w:t>
      </w:r>
      <w:r w:rsidR="00D45BB7">
        <w:rPr>
          <w:lang w:eastAsia="en-AU"/>
        </w:rPr>
        <w:t>Department Health and Human Services</w:t>
      </w:r>
      <w:r w:rsidR="00B9407B">
        <w:rPr>
          <w:lang w:eastAsia="en-AU"/>
        </w:rPr>
        <w:t>)</w:t>
      </w:r>
      <w:r w:rsidR="00B440A6">
        <w:rPr>
          <w:lang w:eastAsia="en-AU"/>
        </w:rPr>
        <w:t xml:space="preserve"> and</w:t>
      </w:r>
      <w:r w:rsidR="00B9407B">
        <w:rPr>
          <w:lang w:eastAsia="en-AU"/>
        </w:rPr>
        <w:t xml:space="preserve"> </w:t>
      </w:r>
      <w:hyperlink w:anchor="_Chapter_5._Department" w:history="1">
        <w:r w:rsidR="00B9407B" w:rsidRPr="00B9407B">
          <w:rPr>
            <w:rStyle w:val="Hyperlink"/>
            <w:lang w:eastAsia="en-AU"/>
          </w:rPr>
          <w:t xml:space="preserve">Chapter </w:t>
        </w:r>
        <w:r w:rsidR="00B440A6" w:rsidRPr="00B9407B">
          <w:rPr>
            <w:rStyle w:val="Hyperlink"/>
            <w:lang w:eastAsia="en-AU"/>
          </w:rPr>
          <w:t>5</w:t>
        </w:r>
      </w:hyperlink>
      <w:r w:rsidR="00B9407B">
        <w:rPr>
          <w:lang w:eastAsia="en-AU"/>
        </w:rPr>
        <w:t xml:space="preserve"> (</w:t>
      </w:r>
      <w:r w:rsidR="00D45BB7">
        <w:rPr>
          <w:lang w:eastAsia="en-AU"/>
        </w:rPr>
        <w:t>Department Education and Training</w:t>
      </w:r>
      <w:r w:rsidR="00B9407B">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32843">
        <w:rPr>
          <w:lang w:eastAsia="en-AU"/>
        </w:rPr>
        <w:t xml:space="preserve"> information kit</w:t>
      </w:r>
      <w:r w:rsidR="00D05F49">
        <w:rPr>
          <w:lang w:eastAsia="en-AU"/>
        </w:rPr>
        <w:t>.</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overarching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every</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in</w:t>
      </w:r>
      <w:r w:rsidR="005D5532" w:rsidRPr="00276391">
        <w:rPr>
          <w:lang w:eastAsia="en-AU"/>
        </w:rPr>
        <w:t xml:space="preserve"> </w:t>
      </w:r>
      <w:r w:rsidR="00B440A6" w:rsidRPr="00D72F5E">
        <w:rPr>
          <w:lang w:eastAsia="en-AU"/>
        </w:rPr>
        <w:t>Chapter</w:t>
      </w:r>
      <w:r w:rsidR="00B440A6">
        <w:rPr>
          <w:lang w:eastAsia="en-AU"/>
        </w:rPr>
        <w:t>s 4 and 5</w:t>
      </w:r>
      <w:r w:rsidR="00936AA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32843">
        <w:rPr>
          <w:lang w:eastAsia="en-AU"/>
        </w:rPr>
        <w:t xml:space="preserve"> information kit </w:t>
      </w:r>
      <w:r w:rsidRPr="00276391">
        <w:rPr>
          <w:lang w:eastAsia="en-AU"/>
        </w:rPr>
        <w:t>only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certain</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listed</w:t>
      </w:r>
      <w:r w:rsidR="005D5532" w:rsidRPr="00276391">
        <w:rPr>
          <w:lang w:eastAsia="en-AU"/>
        </w:rPr>
        <w:t xml:space="preserve"> </w:t>
      </w:r>
      <w:r w:rsidRPr="00276391">
        <w:rPr>
          <w:lang w:eastAsia="en-AU"/>
        </w:rPr>
        <w:t>in</w:t>
      </w:r>
      <w:r w:rsidR="005D5532" w:rsidRPr="00276391">
        <w:rPr>
          <w:lang w:eastAsia="en-AU"/>
        </w:rPr>
        <w:t xml:space="preserve"> </w:t>
      </w:r>
      <w:r w:rsidR="00B440A6" w:rsidRPr="00D72F5E">
        <w:rPr>
          <w:lang w:eastAsia="en-AU"/>
        </w:rPr>
        <w:t>Chapter</w:t>
      </w:r>
      <w:r w:rsidR="00B440A6">
        <w:rPr>
          <w:lang w:eastAsia="en-AU"/>
        </w:rPr>
        <w:t>s 4 and 5</w:t>
      </w:r>
      <w:r w:rsidR="00B53DF5">
        <w:rPr>
          <w:lang w:eastAsia="en-AU"/>
        </w:rPr>
        <w:t xml:space="preserve"> </w:t>
      </w:r>
      <w:r w:rsidRPr="00276391">
        <w:rPr>
          <w:lang w:eastAsia="en-AU"/>
        </w:rPr>
        <w:t>contains</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beginning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outlining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applies.</w:t>
      </w:r>
    </w:p>
    <w:p w14:paraId="46C8706E" w14:textId="620F85DC" w:rsidR="00236748" w:rsidRPr="00276391" w:rsidRDefault="00236748" w:rsidP="00276391">
      <w:pPr>
        <w:pStyle w:val="DHHSbody"/>
        <w:rPr>
          <w:lang w:eastAsia="en-AU"/>
        </w:rPr>
      </w:pPr>
      <w:r w:rsidRPr="00276391">
        <w:rPr>
          <w:lang w:eastAsia="en-AU"/>
        </w:rPr>
        <w:t>Schedule</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service/program</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being</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128E0EA5" w14:textId="77777777" w:rsidR="00236748" w:rsidRPr="00276391" w:rsidRDefault="00236748" w:rsidP="001A0795">
      <w:pPr>
        <w:pStyle w:val="Heading4"/>
        <w:rPr>
          <w:lang w:eastAsia="en-AU"/>
        </w:rPr>
      </w:pPr>
      <w:bookmarkStart w:id="129" w:name="_Toc478991720"/>
      <w:r w:rsidRPr="00276391">
        <w:rPr>
          <w:lang w:eastAsia="en-AU"/>
        </w:rPr>
        <w:t>Schedule</w:t>
      </w:r>
      <w:r w:rsidR="005D5532" w:rsidRPr="00276391">
        <w:rPr>
          <w:lang w:eastAsia="en-AU"/>
        </w:rPr>
        <w:t xml:space="preserve"> </w:t>
      </w:r>
      <w:r w:rsidRPr="00276391">
        <w:rPr>
          <w:lang w:eastAsia="en-AU"/>
        </w:rPr>
        <w:t>2</w:t>
      </w:r>
      <w:bookmarkEnd w:id="129"/>
    </w:p>
    <w:p w14:paraId="6ED48BE2" w14:textId="77777777" w:rsidR="00236748" w:rsidRPr="00276391" w:rsidRDefault="00236748" w:rsidP="00276391">
      <w:pPr>
        <w:pStyle w:val="DHHSbody"/>
        <w:rPr>
          <w:lang w:eastAsia="en-AU"/>
        </w:rPr>
      </w:pPr>
      <w:r w:rsidRPr="00276391">
        <w:rPr>
          <w:lang w:eastAsia="en-AU"/>
        </w:rPr>
        <w:t>Schedule</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includes:</w:t>
      </w:r>
    </w:p>
    <w:p w14:paraId="6B0742ED" w14:textId="7A8252FA"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summary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level</w:t>
      </w:r>
      <w:r w:rsidR="005D5532" w:rsidRPr="00276391">
        <w:rPr>
          <w:rFonts w:cs="Arial"/>
          <w:lang w:eastAsia="en-AU"/>
        </w:rPr>
        <w:t xml:space="preserve"> </w:t>
      </w:r>
      <w:r w:rsidRPr="00276391">
        <w:rPr>
          <w:rFonts w:cs="Arial"/>
          <w:lang w:eastAsia="en-AU"/>
        </w:rPr>
        <w:t>payment</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p>
    <w:p w14:paraId="109F789C" w14:textId="77777777" w:rsidR="00236748" w:rsidRPr="00276391" w:rsidRDefault="00236748" w:rsidP="00276391">
      <w:pPr>
        <w:pStyle w:val="DHHSbullet1"/>
        <w:rPr>
          <w:rFonts w:cs="Arial"/>
          <w:lang w:eastAsia="en-AU"/>
        </w:rPr>
      </w:pPr>
      <w:r w:rsidRPr="00276391">
        <w:rPr>
          <w:rFonts w:cs="Arial"/>
          <w:lang w:eastAsia="en-AU"/>
        </w:rPr>
        <w:t>data</w:t>
      </w:r>
      <w:r w:rsidR="005D5532" w:rsidRPr="00276391">
        <w:rPr>
          <w:rFonts w:cs="Arial"/>
          <w:lang w:eastAsia="en-AU"/>
        </w:rPr>
        <w:t xml:space="preserve"> </w:t>
      </w:r>
      <w:r w:rsidRPr="00276391">
        <w:rPr>
          <w:rFonts w:cs="Arial"/>
          <w:lang w:eastAsia="en-AU"/>
        </w:rPr>
        <w:t>collection</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performance</w:t>
      </w:r>
      <w:r w:rsidR="005D5532" w:rsidRPr="00276391">
        <w:rPr>
          <w:rFonts w:cs="Arial"/>
          <w:lang w:eastAsia="en-AU"/>
        </w:rPr>
        <w:t xml:space="preserve"> </w:t>
      </w:r>
      <w:r w:rsidRPr="00276391">
        <w:rPr>
          <w:rFonts w:cs="Arial"/>
          <w:lang w:eastAsia="en-AU"/>
        </w:rPr>
        <w:t>reporting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data</w:t>
      </w:r>
      <w:r w:rsidR="005D5532" w:rsidRPr="00276391">
        <w:rPr>
          <w:rFonts w:cs="Arial"/>
          <w:lang w:eastAsia="en-AU"/>
        </w:rPr>
        <w:t xml:space="preserve"> </w:t>
      </w:r>
      <w:r w:rsidRPr="00276391">
        <w:rPr>
          <w:rFonts w:cs="Arial"/>
          <w:lang w:eastAsia="en-AU"/>
        </w:rPr>
        <w:t>reporting)</w:t>
      </w:r>
      <w:r w:rsidR="005D5532" w:rsidRPr="00276391">
        <w:rPr>
          <w:rFonts w:cs="Arial"/>
          <w:lang w:eastAsia="en-AU"/>
        </w:rPr>
        <w:t xml:space="preserve"> </w:t>
      </w:r>
    </w:p>
    <w:p w14:paraId="50E2AB8C" w14:textId="77777777" w:rsidR="00236748" w:rsidRPr="00276391" w:rsidRDefault="00236748" w:rsidP="00276391">
      <w:pPr>
        <w:pStyle w:val="DHHSbullet1"/>
        <w:rPr>
          <w:rFonts w:cs="Arial"/>
          <w:lang w:eastAsia="en-AU"/>
        </w:rPr>
      </w:pPr>
      <w:r w:rsidRPr="00276391">
        <w:rPr>
          <w:rFonts w:cs="Arial"/>
          <w:lang w:eastAsia="en-AU"/>
        </w:rPr>
        <w:t>service</w:t>
      </w:r>
      <w:r w:rsidR="005D5532" w:rsidRPr="00276391">
        <w:rPr>
          <w:rFonts w:cs="Arial"/>
          <w:lang w:eastAsia="en-AU"/>
        </w:rPr>
        <w:t xml:space="preserve"> </w:t>
      </w:r>
      <w:r w:rsidRPr="00276391">
        <w:rPr>
          <w:rFonts w:cs="Arial"/>
          <w:lang w:eastAsia="en-AU"/>
        </w:rPr>
        <w:t>plan</w:t>
      </w:r>
      <w:r w:rsidR="005D5532" w:rsidRPr="00276391">
        <w:rPr>
          <w:rFonts w:cs="Arial"/>
          <w:lang w:eastAsia="en-AU"/>
        </w:rPr>
        <w:t xml:space="preserve"> </w:t>
      </w:r>
      <w:r w:rsidRPr="00276391">
        <w:rPr>
          <w:rFonts w:cs="Arial"/>
          <w:lang w:eastAsia="en-AU"/>
        </w:rPr>
        <w:t>details,</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p>
    <w:p w14:paraId="22DC0083" w14:textId="77777777" w:rsidR="00236748" w:rsidRPr="00276391" w:rsidRDefault="00236748" w:rsidP="00433FF4">
      <w:pPr>
        <w:pStyle w:val="DHHSbullet2lastline"/>
        <w:rPr>
          <w:lang w:eastAsia="en-AU"/>
        </w:rPr>
      </w:pP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p>
    <w:p w14:paraId="6D0C7595" w14:textId="77777777" w:rsidR="00236748" w:rsidRPr="00276391" w:rsidRDefault="00236748" w:rsidP="00433FF4">
      <w:pPr>
        <w:pStyle w:val="DHHSbullet2lastline"/>
        <w:rPr>
          <w:lang w:eastAsia="en-AU"/>
        </w:rPr>
      </w:pP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p>
    <w:p w14:paraId="1207C6B9" w14:textId="77777777" w:rsidR="00236748" w:rsidRPr="00276391" w:rsidRDefault="00236748" w:rsidP="00433FF4">
      <w:pPr>
        <w:pStyle w:val="DHHSbullet2lastline"/>
        <w:rPr>
          <w:lang w:eastAsia="en-AU"/>
        </w:rPr>
      </w:pPr>
      <w:r w:rsidRPr="00276391">
        <w:rPr>
          <w:lang w:eastAsia="en-AU"/>
        </w:rPr>
        <w:t>service</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measures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targets</w:t>
      </w:r>
      <w:r w:rsidR="005D5532" w:rsidRPr="00276391">
        <w:rPr>
          <w:lang w:eastAsia="en-AU"/>
        </w:rPr>
        <w:t xml:space="preserve"> </w:t>
      </w:r>
    </w:p>
    <w:p w14:paraId="4F5F68C5" w14:textId="77777777" w:rsidR="00236748" w:rsidRPr="00276391" w:rsidRDefault="00236748" w:rsidP="00433FF4">
      <w:pPr>
        <w:pStyle w:val="DHHSbullet2lastline"/>
        <w:rPr>
          <w:lang w:eastAsia="en-AU"/>
        </w:rPr>
      </w:pPr>
      <w:r w:rsidRPr="00276391">
        <w:rPr>
          <w:lang w:eastAsia="en-AU"/>
        </w:rPr>
        <w:t>delivery</w:t>
      </w:r>
      <w:r w:rsidR="005D5532" w:rsidRPr="00276391">
        <w:rPr>
          <w:lang w:eastAsia="en-AU"/>
        </w:rPr>
        <w:t xml:space="preserve"> </w:t>
      </w:r>
      <w:r w:rsidRPr="00276391">
        <w:rPr>
          <w:lang w:eastAsia="en-AU"/>
        </w:rPr>
        <w:t>catchments</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applicable</w:t>
      </w:r>
      <w:r w:rsidR="005D5532" w:rsidRPr="00276391">
        <w:rPr>
          <w:lang w:eastAsia="en-AU"/>
        </w:rPr>
        <w:t xml:space="preserve"> </w:t>
      </w:r>
    </w:p>
    <w:p w14:paraId="1A4324EF" w14:textId="77777777" w:rsidR="00236748" w:rsidRPr="00276391" w:rsidRDefault="00236748" w:rsidP="00433FF4">
      <w:pPr>
        <w:pStyle w:val="DHHSbullet2lastline"/>
        <w:rPr>
          <w:lang w:eastAsia="en-AU"/>
        </w:rPr>
      </w:pPr>
      <w:r w:rsidRPr="00276391">
        <w:rPr>
          <w:lang w:eastAsia="en-AU"/>
        </w:rPr>
        <w:t>any</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activity.</w:t>
      </w:r>
      <w:r w:rsidR="005D5532" w:rsidRPr="00276391">
        <w:rPr>
          <w:lang w:eastAsia="en-AU"/>
        </w:rPr>
        <w:t xml:space="preserve"> </w:t>
      </w:r>
    </w:p>
    <w:p w14:paraId="1CECB6B9" w14:textId="1837BCA9" w:rsidR="00236748" w:rsidRPr="00276391" w:rsidRDefault="00236748" w:rsidP="00433FF4">
      <w:pPr>
        <w:pStyle w:val="DHHSbody"/>
        <w:spacing w:before="240"/>
        <w:rPr>
          <w:lang w:eastAsia="en-AU"/>
        </w:rPr>
      </w:pPr>
      <w:r w:rsidRPr="00276391">
        <w:rPr>
          <w:lang w:eastAsia="en-AU"/>
        </w:rPr>
        <w:t>Detailed</w:t>
      </w:r>
      <w:r w:rsidR="005D5532" w:rsidRPr="00276391">
        <w:rPr>
          <w:lang w:eastAsia="en-AU"/>
        </w:rPr>
        <w:t xml:space="preserve"> </w:t>
      </w:r>
      <w:r w:rsidRPr="00276391">
        <w:rPr>
          <w:lang w:eastAsia="en-AU"/>
        </w:rPr>
        <w:t>activity</w:t>
      </w:r>
      <w:r w:rsidR="005D5532" w:rsidRPr="00276391">
        <w:rPr>
          <w:lang w:eastAsia="en-AU"/>
        </w:rPr>
        <w:t xml:space="preserve"> </w:t>
      </w:r>
      <w:r w:rsidRPr="00276391">
        <w:rPr>
          <w:lang w:eastAsia="en-AU"/>
        </w:rPr>
        <w:t>descriptions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being</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department's</w:t>
      </w:r>
      <w:r w:rsidR="005D5532" w:rsidRPr="00276391">
        <w:rPr>
          <w:lang w:eastAsia="en-AU"/>
        </w:rPr>
        <w:t xml:space="preserve"> </w:t>
      </w:r>
      <w:hyperlink r:id="rId27" w:history="1">
        <w:r w:rsidR="00705B9F" w:rsidRPr="005D7BAC">
          <w:rPr>
            <w:rStyle w:val="Hyperlink"/>
          </w:rPr>
          <w:t>Policy and funding guidelines</w:t>
        </w:r>
      </w:hyperlink>
      <w:r w:rsidR="00705B9F">
        <w:rPr>
          <w:rStyle w:val="Hyperlink"/>
        </w:rPr>
        <w:t xml:space="preserve"> </w:t>
      </w:r>
      <w:r w:rsidR="00705B9F" w:rsidRPr="00705B9F">
        <w:rPr>
          <w:lang w:eastAsia="en-AU"/>
        </w:rPr>
        <w:t>&lt;https://www.dhhs.vic.gov.au/policy-and-funding-guidelines&gt;</w:t>
      </w:r>
      <w:r w:rsidR="005D5532" w:rsidRPr="00276391">
        <w:rPr>
          <w:lang w:eastAsia="en-AU"/>
        </w:rPr>
        <w:t xml:space="preserve"> </w:t>
      </w:r>
      <w:r w:rsidRPr="00276391">
        <w:rPr>
          <w:lang w:eastAsia="en-AU"/>
        </w:rPr>
        <w:t>(</w:t>
      </w:r>
      <w:r w:rsidR="00B53DF5">
        <w:rPr>
          <w:lang w:eastAsia="en-AU"/>
        </w:rPr>
        <w:t xml:space="preserve">external link,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402A9F23" w14:textId="0E063F12"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future</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projected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amounts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most</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006F3EE4">
        <w:rPr>
          <w:lang w:eastAsia="en-AU"/>
        </w:rPr>
        <w:t xml:space="preserve">in </w:t>
      </w:r>
      <w:hyperlink r:id="rId28" w:history="1">
        <w:r w:rsidR="006F3EE4" w:rsidRPr="00AC68B9">
          <w:rPr>
            <w:rStyle w:val="Hyperlink"/>
            <w:lang w:eastAsia="en-AU"/>
          </w:rPr>
          <w:t>My Agency</w:t>
        </w:r>
      </w:hyperlink>
      <w:r w:rsidR="006F3EE4">
        <w:rPr>
          <w:lang w:eastAsia="en-AU"/>
        </w:rPr>
        <w:t xml:space="preserve"> </w:t>
      </w:r>
      <w:r w:rsidR="005A7795">
        <w:rPr>
          <w:lang w:eastAsia="en-AU"/>
        </w:rPr>
        <w:t>&lt;</w:t>
      </w:r>
      <w:r w:rsidR="00AC68B9" w:rsidRPr="00B73DBE">
        <w:t>https://fac.dhhs.vic.gov.au/my-agency</w:t>
      </w:r>
      <w:r w:rsidR="00AC68B9">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3E27E9F1" w14:textId="77777777" w:rsidR="00236748" w:rsidRPr="00276391" w:rsidRDefault="00236748" w:rsidP="001A0795">
      <w:pPr>
        <w:pStyle w:val="Heading4"/>
        <w:rPr>
          <w:lang w:eastAsia="en-AU"/>
        </w:rPr>
      </w:pPr>
      <w:bookmarkStart w:id="130" w:name="_Toc478991721"/>
      <w:r w:rsidRPr="00276391">
        <w:rPr>
          <w:lang w:eastAsia="en-AU"/>
        </w:rPr>
        <w:t>Schedule</w:t>
      </w:r>
      <w:r w:rsidR="005D5532" w:rsidRPr="00276391">
        <w:rPr>
          <w:lang w:eastAsia="en-AU"/>
        </w:rPr>
        <w:t xml:space="preserve"> </w:t>
      </w:r>
      <w:r w:rsidRPr="00276391">
        <w:rPr>
          <w:lang w:eastAsia="en-AU"/>
        </w:rPr>
        <w:t>3</w:t>
      </w:r>
      <w:bookmarkEnd w:id="130"/>
    </w:p>
    <w:p w14:paraId="1C468F6E" w14:textId="77777777"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optional</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enables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p>
    <w:p w14:paraId="59F9305F" w14:textId="77777777" w:rsidR="00236748" w:rsidRPr="00276391" w:rsidRDefault="00236748" w:rsidP="00276391">
      <w:pPr>
        <w:pStyle w:val="DHHSbullet1"/>
        <w:rPr>
          <w:rFonts w:cs="Arial"/>
          <w:lang w:eastAsia="en-AU"/>
        </w:rPr>
      </w:pPr>
      <w:r w:rsidRPr="00276391">
        <w:rPr>
          <w:rFonts w:cs="Arial"/>
          <w:lang w:eastAsia="en-AU"/>
        </w:rPr>
        <w:lastRenderedPageBreak/>
        <w:t>record</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special</w:t>
      </w:r>
      <w:r w:rsidR="005D5532" w:rsidRPr="00276391">
        <w:rPr>
          <w:rFonts w:cs="Arial"/>
          <w:lang w:eastAsia="en-AU"/>
        </w:rPr>
        <w:t xml:space="preserve"> </w:t>
      </w:r>
      <w:r w:rsidRPr="00276391">
        <w:rPr>
          <w:rFonts w:cs="Arial"/>
          <w:lang w:eastAsia="en-AU"/>
        </w:rPr>
        <w:t>conditions</w:t>
      </w:r>
      <w:r w:rsidR="005D5532" w:rsidRPr="00276391">
        <w:rPr>
          <w:rFonts w:cs="Arial"/>
          <w:lang w:eastAsia="en-AU"/>
        </w:rPr>
        <w:t xml:space="preserve"> </w:t>
      </w:r>
      <w:r w:rsidRPr="00276391">
        <w:rPr>
          <w:rFonts w:cs="Arial"/>
          <w:lang w:eastAsia="en-AU"/>
        </w:rPr>
        <w:t>agreed</w:t>
      </w:r>
      <w:r w:rsidR="005D5532" w:rsidRPr="00276391">
        <w:rPr>
          <w:rFonts w:cs="Arial"/>
          <w:lang w:eastAsia="en-AU"/>
        </w:rPr>
        <w:t xml:space="preserve"> </w:t>
      </w:r>
      <w:r w:rsidRPr="00276391">
        <w:rPr>
          <w:rFonts w:cs="Arial"/>
          <w:lang w:eastAsia="en-AU"/>
        </w:rPr>
        <w:t>between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p>
    <w:p w14:paraId="47C19C4E" w14:textId="5BF15091" w:rsidR="00236748" w:rsidRPr="00276391" w:rsidRDefault="00236748" w:rsidP="00276391">
      <w:pPr>
        <w:pStyle w:val="DHHSbullet1"/>
        <w:rPr>
          <w:rFonts w:cs="Arial"/>
          <w:lang w:eastAsia="en-AU"/>
        </w:rPr>
      </w:pPr>
      <w:r w:rsidRPr="00276391">
        <w:rPr>
          <w:rFonts w:cs="Arial"/>
          <w:lang w:eastAsia="en-AU"/>
        </w:rPr>
        <w:t>record</w:t>
      </w:r>
      <w:r w:rsidR="005D5532" w:rsidRPr="00276391">
        <w:rPr>
          <w:rFonts w:cs="Arial"/>
          <w:lang w:eastAsia="en-AU"/>
        </w:rPr>
        <w:t xml:space="preserve"> </w:t>
      </w:r>
      <w:r w:rsidRPr="00276391">
        <w:rPr>
          <w:rFonts w:cs="Arial"/>
          <w:lang w:eastAsia="en-AU"/>
        </w:rPr>
        <w:t>agreed</w:t>
      </w:r>
      <w:r w:rsidR="005D5532" w:rsidRPr="00276391">
        <w:rPr>
          <w:rFonts w:cs="Arial"/>
          <w:lang w:eastAsia="en-AU"/>
        </w:rPr>
        <w:t xml:space="preserve"> </w:t>
      </w:r>
      <w:r w:rsidRPr="00276391">
        <w:rPr>
          <w:rFonts w:cs="Arial"/>
          <w:lang w:eastAsia="en-AU"/>
        </w:rPr>
        <w:t>actions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take</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overall</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specific</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plans).</w:t>
      </w:r>
      <w:r w:rsidR="005D5532" w:rsidRPr="00276391">
        <w:rPr>
          <w:rFonts w:cs="Arial"/>
          <w:lang w:eastAsia="en-AU"/>
        </w:rPr>
        <w:t xml:space="preserve"> </w:t>
      </w:r>
    </w:p>
    <w:p w14:paraId="69963679" w14:textId="25A83A28" w:rsidR="00236748" w:rsidRPr="00276391" w:rsidRDefault="00236748" w:rsidP="009B2351">
      <w:pPr>
        <w:pStyle w:val="Heading2"/>
        <w:rPr>
          <w:rFonts w:cs="Arial"/>
          <w:lang w:eastAsia="en-AU"/>
        </w:rPr>
      </w:pPr>
      <w:bookmarkStart w:id="131" w:name="_Toc478991722"/>
      <w:bookmarkStart w:id="132" w:name="_Toc478992328"/>
      <w:bookmarkStart w:id="133" w:name="_Toc478992880"/>
      <w:bookmarkStart w:id="134" w:name="_Toc4142007"/>
      <w:r w:rsidRPr="00276391">
        <w:rPr>
          <w:rFonts w:cs="Arial"/>
          <w:lang w:eastAsia="en-AU"/>
        </w:rPr>
        <w:t>2.3</w:t>
      </w:r>
      <w:r w:rsidR="009B2351" w:rsidRPr="00276391">
        <w:rPr>
          <w:rFonts w:cs="Arial"/>
          <w:lang w:eastAsia="en-AU"/>
        </w:rPr>
        <w:t xml:space="preserve"> </w:t>
      </w:r>
      <w:r w:rsidRPr="00276391">
        <w:rPr>
          <w:rFonts w:cs="Arial"/>
          <w:lang w:eastAsia="en-AU"/>
        </w:rPr>
        <w:t>Entering</w:t>
      </w:r>
      <w:r w:rsidR="009B2351" w:rsidRPr="00276391">
        <w:rPr>
          <w:rFonts w:cs="Arial"/>
          <w:lang w:eastAsia="en-AU"/>
        </w:rPr>
        <w:t xml:space="preserve"> </w:t>
      </w:r>
      <w:r w:rsidRPr="00276391">
        <w:rPr>
          <w:rFonts w:cs="Arial"/>
          <w:lang w:eastAsia="en-AU"/>
        </w:rPr>
        <w:t>into</w:t>
      </w:r>
      <w:r w:rsidR="009B2351" w:rsidRPr="00276391">
        <w:rPr>
          <w:rFonts w:cs="Arial"/>
          <w:lang w:eastAsia="en-AU"/>
        </w:rPr>
        <w:t xml:space="preserve"> </w:t>
      </w:r>
      <w:r w:rsidRPr="00276391">
        <w:rPr>
          <w:rFonts w:cs="Arial"/>
          <w:lang w:eastAsia="en-AU"/>
        </w:rPr>
        <w:t>a</w:t>
      </w:r>
      <w:r w:rsidR="009B2351" w:rsidRPr="00276391">
        <w:rPr>
          <w:rFonts w:cs="Arial"/>
          <w:lang w:eastAsia="en-AU"/>
        </w:rPr>
        <w:t xml:space="preserve"> </w:t>
      </w:r>
      <w:r w:rsidRPr="00276391">
        <w:rPr>
          <w:rFonts w:cs="Arial"/>
          <w:lang w:eastAsia="en-AU"/>
        </w:rPr>
        <w:t>new</w:t>
      </w:r>
      <w:r w:rsidR="009B2351" w:rsidRPr="00276391">
        <w:rPr>
          <w:rFonts w:cs="Arial"/>
          <w:lang w:eastAsia="en-AU"/>
        </w:rPr>
        <w:t xml:space="preserve"> </w:t>
      </w:r>
      <w:r w:rsidR="009B3052">
        <w:rPr>
          <w:rFonts w:cs="Arial"/>
          <w:lang w:eastAsia="en-AU"/>
        </w:rPr>
        <w:t>Service agreement</w:t>
      </w:r>
      <w:bookmarkEnd w:id="131"/>
      <w:bookmarkEnd w:id="132"/>
      <w:bookmarkEnd w:id="133"/>
      <w:bookmarkEnd w:id="134"/>
    </w:p>
    <w:p w14:paraId="42B4AD81" w14:textId="428442E1"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usually</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one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point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time.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exceptions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p>
    <w:p w14:paraId="2870F6C5" w14:textId="01B537FA"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separate</w:t>
      </w:r>
      <w:r w:rsidR="005D5532" w:rsidRPr="00276391">
        <w:rPr>
          <w:rFonts w:cs="Arial"/>
          <w:lang w:eastAsia="en-AU"/>
        </w:rPr>
        <w:t xml:space="preserve"> </w:t>
      </w:r>
      <w:r w:rsidR="009B3052">
        <w:rPr>
          <w:rFonts w:cs="Arial"/>
          <w:lang w:eastAsia="en-AU"/>
        </w:rPr>
        <w:t>Service agreement</w:t>
      </w:r>
      <w:r w:rsidRPr="00276391">
        <w:rPr>
          <w:rFonts w:cs="Arial"/>
          <w:lang w:eastAsia="en-AU"/>
        </w:rPr>
        <w:t>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provision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disability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p>
    <w:p w14:paraId="10B7B34B" w14:textId="77777777" w:rsidR="00236748" w:rsidRPr="00276391" w:rsidRDefault="00236748" w:rsidP="00276391">
      <w:pPr>
        <w:pStyle w:val="DHHSbullet1"/>
        <w:rPr>
          <w:rFonts w:cs="Arial"/>
          <w:lang w:eastAsia="en-AU"/>
        </w:rPr>
      </w:pP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also</w:t>
      </w:r>
      <w:r w:rsidR="005D5532" w:rsidRPr="00276391">
        <w:rPr>
          <w:rFonts w:cs="Arial"/>
          <w:lang w:eastAsia="en-AU"/>
        </w:rPr>
        <w:t xml:space="preserve"> </w:t>
      </w:r>
      <w:r w:rsidRPr="00276391">
        <w:rPr>
          <w:rFonts w:cs="Arial"/>
          <w:lang w:eastAsia="en-AU"/>
        </w:rPr>
        <w:t>enters</w:t>
      </w:r>
      <w:r w:rsidR="005D5532" w:rsidRPr="00276391">
        <w:rPr>
          <w:rFonts w:cs="Arial"/>
          <w:lang w:eastAsia="en-AU"/>
        </w:rPr>
        <w:t xml:space="preserve"> </w:t>
      </w:r>
      <w:r w:rsidRPr="00276391">
        <w:rPr>
          <w:rFonts w:cs="Arial"/>
          <w:lang w:eastAsia="en-AU"/>
        </w:rPr>
        <w:t>into</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consortium</w:t>
      </w:r>
      <w:r w:rsidR="005D5532" w:rsidRPr="00276391">
        <w:rPr>
          <w:rFonts w:cs="Arial"/>
          <w:lang w:eastAsia="en-AU"/>
        </w:rPr>
        <w:t xml:space="preserve"> </w:t>
      </w:r>
    </w:p>
    <w:p w14:paraId="726601E9"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approved</w:t>
      </w:r>
      <w:r w:rsidR="005D5532" w:rsidRPr="00276391">
        <w:rPr>
          <w:rFonts w:cs="Arial"/>
          <w:lang w:eastAsia="en-AU"/>
        </w:rPr>
        <w:t xml:space="preserve"> </w:t>
      </w:r>
      <w:r w:rsidRPr="00276391">
        <w:rPr>
          <w:rFonts w:cs="Arial"/>
          <w:lang w:eastAsia="en-AU"/>
        </w:rPr>
        <w:t>multiple</w:t>
      </w:r>
      <w:r w:rsidR="005D5532" w:rsidRPr="00276391">
        <w:rPr>
          <w:rFonts w:cs="Arial"/>
          <w:lang w:eastAsia="en-AU"/>
        </w:rPr>
        <w:t xml:space="preserve"> </w:t>
      </w:r>
      <w:r w:rsidRPr="00276391">
        <w:rPr>
          <w:rFonts w:cs="Arial"/>
          <w:lang w:eastAsia="en-AU"/>
        </w:rPr>
        <w:t>agreements</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groups/divisions</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regions</w:t>
      </w:r>
      <w:r w:rsidR="005D5532" w:rsidRPr="00276391">
        <w:rPr>
          <w:rFonts w:cs="Arial"/>
          <w:lang w:eastAsia="en-AU"/>
        </w:rPr>
        <w:t xml:space="preserve"> </w:t>
      </w:r>
      <w:r w:rsidRPr="00276391">
        <w:rPr>
          <w:rFonts w:cs="Arial"/>
          <w:lang w:eastAsia="en-AU"/>
        </w:rPr>
        <w:t>because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state-wide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operates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multiple</w:t>
      </w:r>
      <w:r w:rsidR="005D5532" w:rsidRPr="00276391">
        <w:rPr>
          <w:rFonts w:cs="Arial"/>
          <w:lang w:eastAsia="en-AU"/>
        </w:rPr>
        <w:t xml:space="preserve"> </w:t>
      </w:r>
      <w:r w:rsidRPr="00276391">
        <w:rPr>
          <w:rFonts w:cs="Arial"/>
          <w:lang w:eastAsia="en-AU"/>
        </w:rPr>
        <w:t>areas</w:t>
      </w:r>
      <w:r w:rsidR="005D5532" w:rsidRPr="00276391">
        <w:rPr>
          <w:rFonts w:cs="Arial"/>
          <w:lang w:eastAsia="en-AU"/>
        </w:rPr>
        <w:t xml:space="preserve"> </w:t>
      </w:r>
      <w:r w:rsidRPr="00276391">
        <w:rPr>
          <w:rFonts w:cs="Arial"/>
          <w:lang w:eastAsia="en-AU"/>
        </w:rPr>
        <w:t>across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proofErr w:type="gramStart"/>
      <w:r w:rsidRPr="00276391">
        <w:rPr>
          <w:rFonts w:cs="Arial"/>
          <w:lang w:eastAsia="en-AU"/>
        </w:rPr>
        <w:t>state,</w:t>
      </w:r>
      <w:r w:rsidR="005D5532" w:rsidRPr="00276391">
        <w:rPr>
          <w:rFonts w:cs="Arial"/>
          <w:lang w:eastAsia="en-AU"/>
        </w:rPr>
        <w:t xml:space="preserve"> </w:t>
      </w:r>
      <w:r w:rsidRPr="00276391">
        <w:rPr>
          <w:rFonts w:cs="Arial"/>
          <w:lang w:eastAsia="en-AU"/>
        </w:rPr>
        <w:t>and</w:t>
      </w:r>
      <w:proofErr w:type="gramEnd"/>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presented</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convincing</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case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p>
    <w:p w14:paraId="4E64344A" w14:textId="163D3FA2" w:rsidR="00236748" w:rsidRPr="00276391" w:rsidRDefault="00236748" w:rsidP="00433FF4">
      <w:pPr>
        <w:pStyle w:val="DHHSbody"/>
        <w:spacing w:before="240"/>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documentation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listed</w:t>
      </w:r>
      <w:r w:rsidR="005D5532" w:rsidRPr="00B24C02">
        <w:rPr>
          <w:rFonts w:cs="Arial"/>
          <w:color w:val="000000"/>
          <w:szCs w:val="19"/>
          <w:lang w:eastAsia="en-AU"/>
        </w:rPr>
        <w:t xml:space="preserve"> </w:t>
      </w:r>
      <w:r w:rsidRPr="00B24C02">
        <w:rPr>
          <w:rFonts w:cs="Arial"/>
          <w:color w:val="000000"/>
          <w:szCs w:val="19"/>
          <w:lang w:eastAsia="en-AU"/>
        </w:rPr>
        <w:t>below.</w:t>
      </w:r>
      <w:r w:rsidR="005D5532" w:rsidRPr="00B24C02">
        <w:rPr>
          <w:rFonts w:cs="Arial"/>
          <w:color w:val="000000"/>
          <w:szCs w:val="19"/>
          <w:lang w:eastAsia="en-AU"/>
        </w:rPr>
        <w:t xml:space="preserve"> </w:t>
      </w:r>
    </w:p>
    <w:p w14:paraId="7536E368" w14:textId="77777777" w:rsidR="00236748" w:rsidRPr="00276391" w:rsidRDefault="00236748" w:rsidP="00276391">
      <w:pPr>
        <w:pStyle w:val="Heading3"/>
        <w:rPr>
          <w:lang w:eastAsia="en-AU"/>
        </w:rPr>
      </w:pPr>
      <w:bookmarkStart w:id="135" w:name="_Toc478991723"/>
      <w:bookmarkStart w:id="136" w:name="_Toc478992329"/>
      <w:bookmarkStart w:id="137" w:name="_Toc4142008"/>
      <w:r w:rsidRPr="00276391">
        <w:rPr>
          <w:lang w:eastAsia="en-AU"/>
        </w:rPr>
        <w:t>Organisational</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status</w:t>
      </w:r>
      <w:bookmarkEnd w:id="135"/>
      <w:bookmarkEnd w:id="136"/>
      <w:bookmarkEnd w:id="137"/>
    </w:p>
    <w:p w14:paraId="55BEF588" w14:textId="26EF66A4" w:rsidR="00236748" w:rsidRPr="00276391" w:rsidRDefault="00236748" w:rsidP="00276391">
      <w:pPr>
        <w:pStyle w:val="DHHSbody"/>
        <w:rPr>
          <w:lang w:eastAsia="en-AU"/>
        </w:rPr>
      </w:pPr>
      <w:r w:rsidRPr="00B24C02">
        <w:rPr>
          <w:rFonts w:cs="Arial"/>
          <w:color w:val="000000"/>
          <w:szCs w:val="19"/>
          <w:lang w:eastAsia="en-AU"/>
        </w:rPr>
        <w:t>Before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r w:rsidR="005D5532" w:rsidRPr="00B24C02">
        <w:rPr>
          <w:rFonts w:cs="Arial"/>
          <w:color w:val="000000"/>
          <w:szCs w:val="19"/>
          <w:lang w:eastAsia="en-AU"/>
        </w:rPr>
        <w:t xml:space="preserve"> </w:t>
      </w:r>
      <w:r w:rsidRPr="00B24C02">
        <w:rPr>
          <w:rFonts w:cs="Arial"/>
          <w:color w:val="000000"/>
          <w:szCs w:val="19"/>
          <w:lang w:eastAsia="en-AU"/>
        </w:rPr>
        <w:t>established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Parliament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proofErr w:type="gramStart"/>
      <w:r w:rsidRPr="00B24C02">
        <w:rPr>
          <w:rFonts w:cs="Arial"/>
          <w:color w:val="000000"/>
          <w:szCs w:val="19"/>
          <w:lang w:eastAsia="en-AU"/>
        </w:rPr>
        <w:t>other</w:t>
      </w:r>
      <w:proofErr w:type="gramEnd"/>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framework.</w:t>
      </w:r>
    </w:p>
    <w:p w14:paraId="19DE39DA"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maintain</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legal</w:t>
      </w:r>
      <w:r w:rsidR="005D5532" w:rsidRPr="00276391">
        <w:rPr>
          <w:lang w:eastAsia="en-AU"/>
        </w:rPr>
        <w:t xml:space="preserve"> </w:t>
      </w:r>
      <w:proofErr w:type="gramStart"/>
      <w:r w:rsidRPr="00276391">
        <w:rPr>
          <w:lang w:eastAsia="en-AU"/>
        </w:rPr>
        <w:t>status,</w:t>
      </w:r>
      <w:r w:rsidR="005D5532" w:rsidRPr="00276391">
        <w:rPr>
          <w:lang w:eastAsia="en-AU"/>
        </w:rPr>
        <w:t xml:space="preserve"> </w:t>
      </w:r>
      <w:r w:rsidRPr="00276391">
        <w:rPr>
          <w:lang w:eastAsia="en-AU"/>
        </w:rPr>
        <w:t>and</w:t>
      </w:r>
      <w:proofErr w:type="gramEnd"/>
      <w:r w:rsidR="005D5532" w:rsidRPr="00276391">
        <w:rPr>
          <w:lang w:eastAsia="en-AU"/>
        </w:rPr>
        <w:t xml:space="preserve"> </w:t>
      </w:r>
      <w:r w:rsidRPr="00276391">
        <w:rPr>
          <w:lang w:eastAsia="en-AU"/>
        </w:rPr>
        <w:t>advise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five</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status</w:t>
      </w:r>
      <w:r w:rsidR="005D5532" w:rsidRPr="00276391">
        <w:rPr>
          <w:lang w:eastAsia="en-AU"/>
        </w:rPr>
        <w:t xml:space="preserve"> </w:t>
      </w:r>
      <w:r w:rsidRPr="00276391">
        <w:rPr>
          <w:lang w:eastAsia="en-AU"/>
        </w:rPr>
        <w:t>change.</w:t>
      </w:r>
    </w:p>
    <w:p w14:paraId="0D5FD9AB" w14:textId="77777777" w:rsidR="000D4878" w:rsidRPr="00276391" w:rsidRDefault="000D4878" w:rsidP="000D4878">
      <w:pPr>
        <w:pStyle w:val="DHHSbody"/>
        <w:rPr>
          <w:lang w:eastAsia="en-AU"/>
        </w:rPr>
      </w:pPr>
      <w:r w:rsidRPr="00276391">
        <w:rPr>
          <w:lang w:eastAsia="en-AU"/>
        </w:rPr>
        <w:t>An organisation's legal status may be governed by one of the following Acts of Parliament:</w:t>
      </w:r>
    </w:p>
    <w:p w14:paraId="312E3ABB" w14:textId="0874E288" w:rsidR="000D4878" w:rsidRPr="000D4878" w:rsidRDefault="000D4878" w:rsidP="000D4878">
      <w:pPr>
        <w:pStyle w:val="DHHSbullet1"/>
        <w:numPr>
          <w:ilvl w:val="0"/>
          <w:numId w:val="14"/>
        </w:numPr>
        <w:rPr>
          <w:rFonts w:cs="Arial"/>
          <w:lang w:eastAsia="en-AU"/>
        </w:rPr>
      </w:pPr>
      <w:r w:rsidRPr="00CD3CD6">
        <w:rPr>
          <w:rFonts w:cs="Arial"/>
          <w:bCs/>
          <w:i/>
          <w:lang w:eastAsia="en-AU"/>
        </w:rPr>
        <w:t xml:space="preserve">Associations </w:t>
      </w:r>
      <w:r w:rsidRPr="00CD3CD6">
        <w:rPr>
          <w:rFonts w:cs="Arial"/>
          <w:i/>
          <w:lang w:eastAsia="en-AU"/>
        </w:rPr>
        <w:t>Incorporation Reform Act 2012 (Vic)</w:t>
      </w:r>
      <w:r w:rsidR="00CD3CD6">
        <w:rPr>
          <w:rFonts w:cs="Arial"/>
          <w:lang w:eastAsia="en-AU"/>
        </w:rPr>
        <w:t>:</w:t>
      </w:r>
      <w:r w:rsidRPr="000D4878">
        <w:rPr>
          <w:rFonts w:cs="Arial"/>
          <w:lang w:eastAsia="en-AU"/>
        </w:rPr>
        <w:t xml:space="preserve">This Act replaced the Associations Incorporation Act 1981 (Vic) from 26 November 2012. The Act enables not-for-profit organisations to incorporate with minimal cost. This type of incorporation is suited to organisations that are not for profit organisations. In Victoria, Consumer Affairs Victoria administers this Act. Similar legislation applies in other states. Further information about incorporation can be found at </w:t>
      </w:r>
      <w:hyperlink r:id="rId29" w:history="1">
        <w:r w:rsidRPr="000D4878">
          <w:rPr>
            <w:rStyle w:val="Hyperlink"/>
            <w:rFonts w:cs="Arial"/>
            <w:lang w:eastAsia="en-AU"/>
          </w:rPr>
          <w:t>Consumer Affairs Victoria</w:t>
        </w:r>
      </w:hyperlink>
      <w:r w:rsidRPr="000D4878">
        <w:rPr>
          <w:rFonts w:cs="Arial"/>
          <w:lang w:eastAsia="en-AU"/>
        </w:rPr>
        <w:t xml:space="preserve"> &lt;</w:t>
      </w:r>
      <w:hyperlink r:id="rId30" w:history="1">
        <w:r w:rsidRPr="000D4878">
          <w:rPr>
            <w:rFonts w:cs="Arial"/>
            <w:lang w:eastAsia="en-AU"/>
          </w:rPr>
          <w:t>http://www.consumer.vic.gov.au/clubs-and-not-for-profits/incorporated-associations</w:t>
        </w:r>
      </w:hyperlink>
      <w:r w:rsidRPr="000D4878">
        <w:rPr>
          <w:rFonts w:cs="Arial"/>
          <w:lang w:eastAsia="en-AU"/>
        </w:rPr>
        <w:t xml:space="preserve">&gt; (external link, open in a new window) or from </w:t>
      </w:r>
      <w:hyperlink r:id="rId31" w:history="1">
        <w:r w:rsidRPr="000D4878">
          <w:rPr>
            <w:rStyle w:val="Hyperlink"/>
            <w:rFonts w:cs="Arial"/>
            <w:lang w:eastAsia="en-AU"/>
          </w:rPr>
          <w:t>Justice Connect</w:t>
        </w:r>
      </w:hyperlink>
      <w:r w:rsidRPr="000D4878">
        <w:rPr>
          <w:rFonts w:cs="Arial"/>
          <w:lang w:eastAsia="en-AU"/>
        </w:rPr>
        <w:t xml:space="preserve"> &lt;https://www.nfplaw.org.au/incorporationdecision&gt;</w:t>
      </w:r>
      <w:r w:rsidR="006250C7">
        <w:rPr>
          <w:rFonts w:cs="Arial"/>
          <w:lang w:eastAsia="en-AU"/>
        </w:rPr>
        <w:t xml:space="preserve"> </w:t>
      </w:r>
      <w:r w:rsidRPr="000D4878">
        <w:rPr>
          <w:rFonts w:cs="Arial"/>
          <w:lang w:eastAsia="en-AU"/>
        </w:rPr>
        <w:t xml:space="preserve">(external link, open in a new window). </w:t>
      </w:r>
    </w:p>
    <w:p w14:paraId="558FE7F5" w14:textId="6E318A18" w:rsidR="000D4878" w:rsidRPr="000D4878" w:rsidRDefault="000D4878" w:rsidP="000D4878">
      <w:pPr>
        <w:pStyle w:val="DHHSbullet1"/>
        <w:numPr>
          <w:ilvl w:val="0"/>
          <w:numId w:val="14"/>
        </w:numPr>
        <w:rPr>
          <w:rFonts w:cs="Arial"/>
          <w:lang w:eastAsia="en-AU"/>
        </w:rPr>
      </w:pPr>
      <w:r w:rsidRPr="00CD3CD6">
        <w:rPr>
          <w:rFonts w:cs="Arial"/>
          <w:bCs/>
          <w:i/>
          <w:lang w:eastAsia="en-AU"/>
        </w:rPr>
        <w:t>Co-operatives Act 1996 (Vic)</w:t>
      </w:r>
      <w:r w:rsidR="00CD3CD6">
        <w:rPr>
          <w:rFonts w:cs="Arial"/>
          <w:bCs/>
          <w:lang w:eastAsia="en-AU"/>
        </w:rPr>
        <w:t>:</w:t>
      </w:r>
      <w:r w:rsidRPr="000D4878">
        <w:rPr>
          <w:rFonts w:cs="Arial"/>
          <w:lang w:eastAsia="en-AU"/>
        </w:rPr>
        <w:t xml:space="preserve"> A co-operative is a </w:t>
      </w:r>
      <w:r w:rsidRPr="000D4878">
        <w:rPr>
          <w:rFonts w:cs="Arial"/>
          <w:color w:val="373737"/>
          <w:shd w:val="clear" w:color="auto" w:fill="FFFFFF"/>
        </w:rPr>
        <w:t>democratic organisation, owned and controlled by its members for a common benefit.</w:t>
      </w:r>
      <w:r w:rsidR="006250C7">
        <w:rPr>
          <w:rFonts w:cs="Arial"/>
          <w:color w:val="373737"/>
          <w:shd w:val="clear" w:color="auto" w:fill="FFFFFF"/>
        </w:rPr>
        <w:t xml:space="preserve"> </w:t>
      </w:r>
      <w:r w:rsidR="006250C7">
        <w:rPr>
          <w:rFonts w:cs="Arial"/>
          <w:lang w:eastAsia="en-AU"/>
        </w:rPr>
        <w:t xml:space="preserve"> </w:t>
      </w:r>
      <w:r w:rsidRPr="000D4878">
        <w:rPr>
          <w:rFonts w:cs="Arial"/>
          <w:color w:val="373737"/>
          <w:shd w:val="clear" w:color="auto" w:fill="FFFFFF"/>
        </w:rPr>
        <w:t>Co-operatives are administered under the Co-operatives National Law, applied in Victoria by the </w:t>
      </w:r>
      <w:r w:rsidRPr="000D4878">
        <w:rPr>
          <w:rStyle w:val="Emphasis"/>
          <w:rFonts w:cs="Arial"/>
          <w:color w:val="373737"/>
          <w:shd w:val="clear" w:color="auto" w:fill="FFFFFF"/>
        </w:rPr>
        <w:t>Co-operatives National Law Application Act 2013</w:t>
      </w:r>
      <w:r w:rsidRPr="000D4878">
        <w:rPr>
          <w:rFonts w:cs="Arial"/>
          <w:color w:val="373737"/>
          <w:shd w:val="clear" w:color="auto" w:fill="FFFFFF"/>
        </w:rPr>
        <w:t>.</w:t>
      </w:r>
      <w:r w:rsidR="006250C7">
        <w:rPr>
          <w:rFonts w:cs="Arial"/>
          <w:color w:val="373737"/>
          <w:shd w:val="clear" w:color="auto" w:fill="FFFFFF"/>
        </w:rPr>
        <w:t xml:space="preserve"> </w:t>
      </w:r>
      <w:r w:rsidRPr="000D4878">
        <w:rPr>
          <w:rFonts w:cs="Arial"/>
          <w:color w:val="373737"/>
          <w:shd w:val="clear" w:color="auto" w:fill="FFFFFF"/>
        </w:rPr>
        <w:t xml:space="preserve"> This is managed</w:t>
      </w:r>
      <w:r w:rsidR="00B53DF5">
        <w:rPr>
          <w:rFonts w:cs="Arial"/>
          <w:color w:val="373737"/>
          <w:shd w:val="clear" w:color="auto" w:fill="FFFFFF"/>
        </w:rPr>
        <w:t xml:space="preserve"> by Consumer Affairs Victoria, </w:t>
      </w:r>
      <w:r w:rsidRPr="000D4878">
        <w:rPr>
          <w:rFonts w:cs="Arial"/>
          <w:color w:val="373737"/>
          <w:shd w:val="clear" w:color="auto" w:fill="FFFFFF"/>
        </w:rPr>
        <w:t xml:space="preserve">see </w:t>
      </w:r>
      <w:hyperlink r:id="rId32" w:history="1">
        <w:r w:rsidRPr="00B53DF5">
          <w:rPr>
            <w:rStyle w:val="Hyperlink"/>
            <w:rFonts w:cs="Arial"/>
            <w:shd w:val="clear" w:color="auto" w:fill="FFFFFF"/>
          </w:rPr>
          <w:t>https://www.consumer.vic.gov.au/licensing-and-registration/co-operatives</w:t>
        </w:r>
      </w:hyperlink>
      <w:r w:rsidR="00B53DF5">
        <w:rPr>
          <w:rFonts w:cs="Arial"/>
          <w:color w:val="373737"/>
          <w:shd w:val="clear" w:color="auto" w:fill="FFFFFF"/>
        </w:rPr>
        <w:t xml:space="preserve"> </w:t>
      </w:r>
      <w:hyperlink r:id="rId33" w:history="1">
        <w:r w:rsidR="00B53DF5" w:rsidRPr="003D3A0F">
          <w:rPr>
            <w:rStyle w:val="Hyperlink"/>
            <w:rFonts w:cs="Arial"/>
            <w:shd w:val="clear" w:color="auto" w:fill="FFFFFF"/>
          </w:rPr>
          <w:t>https://www.consumer.vic.gov.au/licensing-and-registration/co-operatives</w:t>
        </w:r>
      </w:hyperlink>
      <w:r w:rsidR="00B53DF5">
        <w:rPr>
          <w:rFonts w:cs="Arial"/>
          <w:color w:val="373737"/>
          <w:shd w:val="clear" w:color="auto" w:fill="FFFFFF"/>
        </w:rPr>
        <w:t xml:space="preserve"> (external link, opens in a new window)</w:t>
      </w:r>
      <w:r w:rsidR="00CD3CD6">
        <w:rPr>
          <w:rFonts w:cs="Arial"/>
          <w:color w:val="373737"/>
          <w:shd w:val="clear" w:color="auto" w:fill="FFFFFF"/>
        </w:rPr>
        <w:t>.</w:t>
      </w:r>
    </w:p>
    <w:p w14:paraId="0CC27B8C" w14:textId="23A16C1E" w:rsidR="000D4878" w:rsidRPr="000D4878" w:rsidRDefault="000D4878" w:rsidP="000D4878">
      <w:pPr>
        <w:pStyle w:val="DHHSbullet1"/>
        <w:numPr>
          <w:ilvl w:val="0"/>
          <w:numId w:val="14"/>
        </w:numPr>
        <w:rPr>
          <w:rFonts w:cs="Arial"/>
          <w:lang w:eastAsia="en-AU"/>
        </w:rPr>
      </w:pPr>
      <w:r w:rsidRPr="00CD3CD6">
        <w:rPr>
          <w:rFonts w:cs="Arial"/>
          <w:bCs/>
          <w:i/>
          <w:lang w:eastAsia="en-AU"/>
        </w:rPr>
        <w:t>Corporations Act 2001 (</w:t>
      </w:r>
      <w:proofErr w:type="spellStart"/>
      <w:r w:rsidRPr="00CD3CD6">
        <w:rPr>
          <w:rFonts w:cs="Arial"/>
          <w:bCs/>
          <w:i/>
          <w:lang w:eastAsia="en-AU"/>
        </w:rPr>
        <w:t>Cth</w:t>
      </w:r>
      <w:proofErr w:type="spellEnd"/>
      <w:r w:rsidRPr="00CD3CD6">
        <w:rPr>
          <w:rFonts w:cs="Arial"/>
          <w:bCs/>
          <w:i/>
          <w:lang w:eastAsia="en-AU"/>
        </w:rPr>
        <w:t>)</w:t>
      </w:r>
      <w:r w:rsidR="00CD3CD6">
        <w:rPr>
          <w:rFonts w:cs="Arial"/>
          <w:bCs/>
          <w:i/>
          <w:lang w:eastAsia="en-AU"/>
        </w:rPr>
        <w:t>:</w:t>
      </w:r>
      <w:r w:rsidRPr="000D4878">
        <w:rPr>
          <w:rFonts w:cs="Arial"/>
          <w:lang w:eastAsia="en-AU"/>
        </w:rPr>
        <w:t>This national Act enables public or private companies to incorporate.</w:t>
      </w:r>
      <w:r w:rsidR="006250C7">
        <w:rPr>
          <w:rFonts w:cs="Arial"/>
          <w:lang w:eastAsia="en-AU"/>
        </w:rPr>
        <w:t xml:space="preserve"> </w:t>
      </w:r>
      <w:r w:rsidRPr="000D4878">
        <w:rPr>
          <w:rFonts w:cs="Arial"/>
          <w:lang w:eastAsia="en-AU"/>
        </w:rPr>
        <w:t xml:space="preserve">They are normally created for profit. A charity or other not for profit organisation can also incorporate under this Act as a company limited by guarantee. A company limited by guarantee has no share capital, as no profit sharing is contemplated. The Act imposes certain filing and other obligations on these companies, including the lodgement of annual directors' reports and annual audited financial reports to the Australian Securities and Investments Commission. </w:t>
      </w:r>
    </w:p>
    <w:p w14:paraId="1C0A5FA9" w14:textId="77777777" w:rsidR="000D4878" w:rsidRPr="000D4878" w:rsidRDefault="000D4878" w:rsidP="000D4878">
      <w:pPr>
        <w:pStyle w:val="DHHSbullet1"/>
        <w:numPr>
          <w:ilvl w:val="0"/>
          <w:numId w:val="14"/>
        </w:numPr>
        <w:rPr>
          <w:rFonts w:cs="Arial"/>
          <w:lang w:eastAsia="en-AU"/>
        </w:rPr>
      </w:pPr>
      <w:r w:rsidRPr="00CD3CD6">
        <w:rPr>
          <w:rFonts w:cs="Arial"/>
          <w:bCs/>
          <w:i/>
          <w:lang w:eastAsia="en-AU"/>
        </w:rPr>
        <w:t>Health Services Act 1988</w:t>
      </w:r>
      <w:r w:rsidRPr="00CD3CD6">
        <w:rPr>
          <w:rFonts w:cs="Arial"/>
          <w:bCs/>
          <w:lang w:eastAsia="en-AU"/>
        </w:rPr>
        <w:t>:</w:t>
      </w:r>
      <w:r w:rsidRPr="000D4878">
        <w:rPr>
          <w:rFonts w:cs="Arial"/>
          <w:lang w:eastAsia="en-AU"/>
        </w:rPr>
        <w:t xml:space="preserve"> This Act relates to organisations that provide health services within Victoria. It outlines standards and requirements that must be met by organisations covered under this Act. Examples of organisations in this category are public hospitals, private or denominational hospitals, and community health centres. </w:t>
      </w:r>
    </w:p>
    <w:p w14:paraId="550499E7" w14:textId="77777777" w:rsidR="000D4878" w:rsidRPr="000D4878" w:rsidRDefault="000D4878" w:rsidP="000D4878">
      <w:pPr>
        <w:pStyle w:val="DHHSbullet1"/>
        <w:numPr>
          <w:ilvl w:val="0"/>
          <w:numId w:val="14"/>
        </w:numPr>
        <w:rPr>
          <w:rFonts w:cs="Arial"/>
          <w:lang w:eastAsia="en-AU"/>
        </w:rPr>
      </w:pPr>
      <w:r w:rsidRPr="00CD3CD6">
        <w:rPr>
          <w:rFonts w:cs="Arial"/>
          <w:bCs/>
          <w:i/>
          <w:lang w:eastAsia="en-AU"/>
        </w:rPr>
        <w:lastRenderedPageBreak/>
        <w:t>Individual Acts of Parliament</w:t>
      </w:r>
      <w:r w:rsidRPr="00CD3CD6">
        <w:rPr>
          <w:rFonts w:cs="Arial"/>
          <w:bCs/>
          <w:lang w:eastAsia="en-AU"/>
        </w:rPr>
        <w:t>:</w:t>
      </w:r>
      <w:r w:rsidRPr="000D4878">
        <w:rPr>
          <w:rFonts w:cs="Arial"/>
          <w:lang w:eastAsia="en-AU"/>
        </w:rPr>
        <w:t xml:space="preserve"> Organisations can be created by individual Acts of Parliament. These organisations are governed by their own legislation and in some cases are subject to other legislation such as the Public Administration Act 2004 (Vic) and the Financial Management Act 1994 (Vic). </w:t>
      </w:r>
    </w:p>
    <w:p w14:paraId="2C912602" w14:textId="7628F53B" w:rsidR="000D4878" w:rsidRPr="000D4878" w:rsidRDefault="000D4878" w:rsidP="000D4878">
      <w:pPr>
        <w:pStyle w:val="DHHSbullet1"/>
        <w:numPr>
          <w:ilvl w:val="0"/>
          <w:numId w:val="14"/>
        </w:numPr>
        <w:rPr>
          <w:rFonts w:cs="Arial"/>
          <w:lang w:eastAsia="en-AU"/>
        </w:rPr>
      </w:pPr>
      <w:r w:rsidRPr="00CD3CD6">
        <w:rPr>
          <w:rFonts w:cs="Arial"/>
          <w:bCs/>
          <w:i/>
          <w:lang w:eastAsia="en-AU"/>
        </w:rPr>
        <w:t>Local Government Act 1989 (Vic)</w:t>
      </w:r>
      <w:r w:rsidR="00CD3CD6">
        <w:rPr>
          <w:rFonts w:cs="Arial"/>
          <w:bCs/>
          <w:i/>
          <w:lang w:eastAsia="en-AU"/>
        </w:rPr>
        <w:t>:</w:t>
      </w:r>
      <w:r w:rsidRPr="000D4878">
        <w:rPr>
          <w:rFonts w:cs="Arial"/>
          <w:lang w:eastAsia="en-AU"/>
        </w:rPr>
        <w:t xml:space="preserve"> The department can enter into a </w:t>
      </w:r>
      <w:r w:rsidR="009B3052">
        <w:rPr>
          <w:rFonts w:cs="Arial"/>
          <w:lang w:eastAsia="en-AU"/>
        </w:rPr>
        <w:t>Service agreement</w:t>
      </w:r>
      <w:r w:rsidRPr="000D4878">
        <w:rPr>
          <w:rFonts w:cs="Arial"/>
          <w:lang w:eastAsia="en-AU"/>
        </w:rPr>
        <w:t xml:space="preserve"> with a council constituted under the Local Government Act. This includes city councils, rural city councils or shire councils. </w:t>
      </w:r>
    </w:p>
    <w:p w14:paraId="576BF491" w14:textId="77777777" w:rsidR="000D4878" w:rsidRPr="00276391" w:rsidRDefault="000D4878" w:rsidP="000D4878">
      <w:pPr>
        <w:pStyle w:val="DHHSbullet1"/>
        <w:numPr>
          <w:ilvl w:val="0"/>
          <w:numId w:val="14"/>
        </w:numPr>
        <w:rPr>
          <w:rFonts w:cs="Arial"/>
          <w:lang w:eastAsia="en-AU"/>
        </w:rPr>
      </w:pPr>
      <w:r w:rsidRPr="00CD3CD6">
        <w:rPr>
          <w:rFonts w:cs="Arial"/>
          <w:bCs/>
          <w:i/>
          <w:lang w:eastAsia="en-AU"/>
        </w:rPr>
        <w:t>Trustee Act 1958 (Vic)</w:t>
      </w:r>
      <w:r w:rsidRPr="00CD3CD6">
        <w:rPr>
          <w:rFonts w:cs="Arial"/>
          <w:bCs/>
          <w:lang w:eastAsia="en-AU"/>
        </w:rPr>
        <w:t>:</w:t>
      </w:r>
      <w:r w:rsidRPr="000D4878">
        <w:rPr>
          <w:rFonts w:cs="Arial"/>
          <w:lang w:eastAsia="en-AU"/>
        </w:rPr>
        <w:t xml:space="preserve"> This Act governs</w:t>
      </w:r>
      <w:r w:rsidRPr="00276391">
        <w:rPr>
          <w:rFonts w:cs="Arial"/>
          <w:lang w:eastAsia="en-AU"/>
        </w:rPr>
        <w:t xml:space="preserve"> the use and creation of trusts. A trust is a legal structure in which one or more legal persons (the trustee) may, for example, holds the legal title to property, shares or money on behalf of another person or persons. </w:t>
      </w:r>
    </w:p>
    <w:p w14:paraId="0FF75862" w14:textId="551C87FD" w:rsidR="00236748" w:rsidRPr="00276391" w:rsidRDefault="00236748" w:rsidP="00276391">
      <w:pPr>
        <w:pStyle w:val="DHHSbody"/>
        <w:rPr>
          <w:lang w:eastAsia="en-AU"/>
        </w:rPr>
      </w:pP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circumstances,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fund</w:t>
      </w:r>
      <w:r w:rsidR="005D5532" w:rsidRPr="00B24C02">
        <w:rPr>
          <w:rFonts w:cs="Arial"/>
          <w:color w:val="000000"/>
          <w:szCs w:val="19"/>
          <w:lang w:eastAsia="en-AU"/>
        </w:rPr>
        <w:t xml:space="preserve"> </w:t>
      </w:r>
      <w:r w:rsidRPr="00B24C02">
        <w:rPr>
          <w:rFonts w:cs="Arial"/>
          <w:color w:val="000000"/>
          <w:szCs w:val="19"/>
          <w:lang w:eastAsia="en-AU"/>
        </w:rPr>
        <w:t>individuals</w:t>
      </w:r>
      <w:r w:rsidR="005D5532" w:rsidRPr="00B24C02">
        <w:rPr>
          <w:rFonts w:cs="Arial"/>
          <w:color w:val="000000"/>
          <w:szCs w:val="19"/>
          <w:lang w:eastAsia="en-AU"/>
        </w:rPr>
        <w:t xml:space="preserve"> </w:t>
      </w:r>
      <w:r w:rsidRPr="00B24C02">
        <w:rPr>
          <w:rFonts w:cs="Arial"/>
          <w:color w:val="000000"/>
          <w:szCs w:val="19"/>
          <w:lang w:eastAsia="en-AU"/>
        </w:rPr>
        <w:t>(known</w:t>
      </w:r>
      <w:r w:rsidR="005D5532" w:rsidRPr="00B24C02">
        <w:rPr>
          <w:rFonts w:cs="Arial"/>
          <w:color w:val="000000"/>
          <w:szCs w:val="19"/>
          <w:lang w:eastAsia="en-AU"/>
        </w:rPr>
        <w:t xml:space="preserve"> </w:t>
      </w:r>
      <w:r w:rsidRPr="00B24C02">
        <w:rPr>
          <w:rFonts w:cs="Arial"/>
          <w:color w:val="000000"/>
          <w:szCs w:val="19"/>
          <w:lang w:eastAsia="en-AU"/>
        </w:rPr>
        <w:t>legally</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'natural</w:t>
      </w:r>
      <w:r w:rsidR="005D5532" w:rsidRPr="00B24C02">
        <w:rPr>
          <w:rFonts w:cs="Arial"/>
          <w:color w:val="000000"/>
          <w:szCs w:val="19"/>
          <w:lang w:eastAsia="en-AU"/>
        </w:rPr>
        <w:t xml:space="preserve"> </w:t>
      </w:r>
      <w:r w:rsidRPr="00B24C02">
        <w:rPr>
          <w:rFonts w:cs="Arial"/>
          <w:color w:val="000000"/>
          <w:szCs w:val="19"/>
          <w:lang w:eastAsia="en-AU"/>
        </w:rPr>
        <w:t>person').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essence,</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person</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least</w:t>
      </w:r>
      <w:r w:rsidR="005D5532" w:rsidRPr="00B24C02">
        <w:rPr>
          <w:rFonts w:cs="Arial"/>
          <w:color w:val="000000"/>
          <w:szCs w:val="19"/>
          <w:lang w:eastAsia="en-AU"/>
        </w:rPr>
        <w:t xml:space="preserve"> </w:t>
      </w:r>
      <w:r w:rsidRPr="00B24C02">
        <w:rPr>
          <w:rFonts w:cs="Arial"/>
          <w:color w:val="000000"/>
          <w:szCs w:val="19"/>
          <w:lang w:eastAsia="en-AU"/>
        </w:rPr>
        <w:t>18</w:t>
      </w:r>
      <w:r w:rsidR="005D5532" w:rsidRPr="00B24C02">
        <w:rPr>
          <w:rFonts w:cs="Arial"/>
          <w:color w:val="000000"/>
          <w:szCs w:val="19"/>
          <w:lang w:eastAsia="en-AU"/>
        </w:rPr>
        <w:t xml:space="preserve"> </w:t>
      </w:r>
      <w:r w:rsidRPr="00B24C02">
        <w:rPr>
          <w:rFonts w:cs="Arial"/>
          <w:color w:val="000000"/>
          <w:szCs w:val="19"/>
          <w:lang w:eastAsia="en-AU"/>
        </w:rPr>
        <w:t>years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age,</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mental</w:t>
      </w:r>
      <w:r w:rsidR="005D5532" w:rsidRPr="00B24C02">
        <w:rPr>
          <w:rFonts w:cs="Arial"/>
          <w:color w:val="000000"/>
          <w:szCs w:val="19"/>
          <w:lang w:eastAsia="en-AU"/>
        </w:rPr>
        <w:t xml:space="preserve"> </w:t>
      </w:r>
      <w:r w:rsidRPr="00B24C02">
        <w:rPr>
          <w:rFonts w:cs="Arial"/>
          <w:color w:val="000000"/>
          <w:szCs w:val="19"/>
          <w:lang w:eastAsia="en-AU"/>
        </w:rPr>
        <w:t>capacity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understand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court</w:t>
      </w:r>
      <w:r w:rsidR="005D5532" w:rsidRPr="00B24C02">
        <w:rPr>
          <w:rFonts w:cs="Arial"/>
          <w:color w:val="000000"/>
          <w:szCs w:val="19"/>
          <w:lang w:eastAsia="en-AU"/>
        </w:rPr>
        <w:t xml:space="preserve"> </w:t>
      </w:r>
      <w:r w:rsidRPr="00B24C02">
        <w:rPr>
          <w:rFonts w:cs="Arial"/>
          <w:color w:val="000000"/>
          <w:szCs w:val="19"/>
          <w:lang w:eastAsia="en-AU"/>
        </w:rPr>
        <w:t>order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bankrupt.</w:t>
      </w:r>
    </w:p>
    <w:p w14:paraId="703D0C01" w14:textId="206DD3E0" w:rsidR="000D4878" w:rsidRPr="00276391" w:rsidRDefault="000D4878" w:rsidP="000D4878">
      <w:pPr>
        <w:pStyle w:val="DHHSbody"/>
        <w:rPr>
          <w:lang w:eastAsia="en-AU"/>
        </w:rPr>
      </w:pPr>
      <w:r w:rsidRPr="00276391">
        <w:rPr>
          <w:lang w:eastAsia="en-AU"/>
        </w:rPr>
        <w:t>Copies of documentation demonstrating an organisation’s legal registration can be required by the department, typically this would be in the form of an incorporation certificate or company registration certificate.</w:t>
      </w:r>
      <w:r w:rsidR="006250C7">
        <w:rPr>
          <w:lang w:eastAsia="en-AU"/>
        </w:rPr>
        <w:t xml:space="preserve"> </w:t>
      </w:r>
      <w:r>
        <w:rPr>
          <w:lang w:eastAsia="en-AU"/>
        </w:rPr>
        <w:t>For natural person arrangements, we require copy of driver’s licence or passport details, and confirmation of the service address.</w:t>
      </w:r>
      <w:r w:rsidR="006250C7">
        <w:rPr>
          <w:lang w:eastAsia="en-AU"/>
        </w:rPr>
        <w:t xml:space="preserve"> </w:t>
      </w:r>
    </w:p>
    <w:p w14:paraId="51C7011A" w14:textId="33A8185B"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asked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form</w:t>
      </w:r>
      <w:r w:rsidR="005D5532" w:rsidRPr="00276391">
        <w:rPr>
          <w:lang w:eastAsia="en-AU"/>
        </w:rPr>
        <w:t xml:space="preserve"> </w:t>
      </w:r>
      <w:r w:rsidRPr="00276391">
        <w:rPr>
          <w:lang w:eastAsia="en-AU"/>
        </w:rPr>
        <w:t>listing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taxation</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Australian</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Number</w:t>
      </w:r>
      <w:r w:rsidR="005D5532" w:rsidRPr="00276391">
        <w:rPr>
          <w:lang w:eastAsia="en-AU"/>
        </w:rPr>
        <w:t xml:space="preserve"> </w:t>
      </w:r>
      <w:r w:rsidRPr="00276391">
        <w:rPr>
          <w:lang w:eastAsia="en-AU"/>
        </w:rPr>
        <w:t>(ABN).</w:t>
      </w:r>
    </w:p>
    <w:p w14:paraId="1B387DDC" w14:textId="77777777" w:rsidR="000D4878" w:rsidRPr="00276391" w:rsidRDefault="000D4878" w:rsidP="000D4878">
      <w:pPr>
        <w:pStyle w:val="Heading3"/>
        <w:rPr>
          <w:lang w:eastAsia="en-AU"/>
        </w:rPr>
      </w:pPr>
      <w:bookmarkStart w:id="138" w:name="_Toc478991724"/>
      <w:bookmarkStart w:id="139" w:name="_Toc478992330"/>
      <w:bookmarkStart w:id="140" w:name="_Toc496704869"/>
      <w:bookmarkStart w:id="141" w:name="_Toc4142009"/>
      <w:bookmarkStart w:id="142" w:name="_Toc478991726"/>
      <w:bookmarkStart w:id="143" w:name="_Toc478992332"/>
      <w:r w:rsidRPr="00276391">
        <w:rPr>
          <w:lang w:eastAsia="en-AU"/>
        </w:rPr>
        <w:t>Details for the electronic transfer of payments</w:t>
      </w:r>
      <w:bookmarkEnd w:id="138"/>
      <w:bookmarkEnd w:id="139"/>
      <w:bookmarkEnd w:id="140"/>
      <w:bookmarkEnd w:id="141"/>
    </w:p>
    <w:p w14:paraId="614121F5" w14:textId="230A7D00" w:rsidR="000D4878" w:rsidRPr="00276391" w:rsidRDefault="000D4878" w:rsidP="000D4878">
      <w:pPr>
        <w:pStyle w:val="DHHSbody"/>
        <w:rPr>
          <w:lang w:eastAsia="en-AU"/>
        </w:rPr>
      </w:pPr>
      <w:r w:rsidRPr="000D4878">
        <w:rPr>
          <w:rFonts w:cs="Arial"/>
          <w:color w:val="000000"/>
          <w:szCs w:val="19"/>
          <w:lang w:eastAsia="en-AU"/>
        </w:rPr>
        <w:t xml:space="preserve">Payments to the organisation will only be made to a registered financial institution. When entering a new </w:t>
      </w:r>
      <w:r w:rsidR="009B3052">
        <w:rPr>
          <w:rFonts w:cs="Arial"/>
          <w:color w:val="000000"/>
          <w:szCs w:val="19"/>
          <w:lang w:eastAsia="en-AU"/>
        </w:rPr>
        <w:t>Service agreement</w:t>
      </w:r>
      <w:r w:rsidRPr="000D4878">
        <w:rPr>
          <w:rFonts w:cs="Arial"/>
          <w:color w:val="000000"/>
          <w:szCs w:val="19"/>
          <w:lang w:eastAsia="en-AU"/>
        </w:rPr>
        <w:t xml:space="preserve">, organisations are required to fill in the form </w:t>
      </w:r>
      <w:r w:rsidRPr="000D4878">
        <w:rPr>
          <w:rFonts w:cs="Arial"/>
          <w:i/>
          <w:iCs/>
          <w:color w:val="000000"/>
          <w:szCs w:val="19"/>
          <w:lang w:eastAsia="en-AU"/>
        </w:rPr>
        <w:t>Details for the Electronic Transfer of Payments</w:t>
      </w:r>
      <w:r w:rsidRPr="000D4878">
        <w:rPr>
          <w:rFonts w:cs="Arial"/>
          <w:color w:val="000000"/>
          <w:szCs w:val="19"/>
          <w:lang w:eastAsia="en-AU"/>
        </w:rPr>
        <w:t xml:space="preserve"> and to attach a cancelled deposit slip for the account or have the financial institution validate (stamp) the completed attachment.</w:t>
      </w:r>
    </w:p>
    <w:p w14:paraId="1AC0A752" w14:textId="77777777" w:rsidR="000D4878" w:rsidRPr="00276391" w:rsidRDefault="000D4878" w:rsidP="000D4878">
      <w:pPr>
        <w:pStyle w:val="Heading3"/>
        <w:rPr>
          <w:lang w:eastAsia="en-AU"/>
        </w:rPr>
      </w:pPr>
      <w:bookmarkStart w:id="144" w:name="_Toc478991725"/>
      <w:bookmarkStart w:id="145" w:name="_Toc478992331"/>
      <w:bookmarkStart w:id="146" w:name="_Toc496704870"/>
      <w:bookmarkStart w:id="147" w:name="_Toc4142010"/>
      <w:r w:rsidRPr="00276391">
        <w:rPr>
          <w:lang w:eastAsia="en-AU"/>
        </w:rPr>
        <w:t>eBusiness agreement</w:t>
      </w:r>
      <w:bookmarkEnd w:id="144"/>
      <w:bookmarkEnd w:id="145"/>
      <w:bookmarkEnd w:id="146"/>
      <w:bookmarkEnd w:id="147"/>
    </w:p>
    <w:p w14:paraId="6BDFBD2B" w14:textId="57D00F1A" w:rsidR="000D4878" w:rsidRPr="00276391" w:rsidRDefault="000D4878" w:rsidP="000D4878">
      <w:pPr>
        <w:pStyle w:val="DHHSbody"/>
        <w:rPr>
          <w:lang w:eastAsia="en-AU"/>
        </w:rPr>
      </w:pPr>
      <w:r w:rsidRPr="00B24C02">
        <w:rPr>
          <w:rFonts w:cs="Arial"/>
          <w:color w:val="000000"/>
          <w:szCs w:val="19"/>
          <w:lang w:eastAsia="en-AU"/>
        </w:rPr>
        <w:t xml:space="preserve">Organisations must be registered with </w:t>
      </w:r>
      <w:r>
        <w:rPr>
          <w:rFonts w:cs="Arial"/>
          <w:color w:val="000000"/>
          <w:szCs w:val="19"/>
          <w:lang w:eastAsia="en-AU"/>
        </w:rPr>
        <w:t xml:space="preserve">the Victorian Government </w:t>
      </w:r>
      <w:r w:rsidRPr="00B24C02">
        <w:rPr>
          <w:rFonts w:cs="Arial"/>
          <w:color w:val="000000"/>
          <w:szCs w:val="19"/>
          <w:lang w:eastAsia="en-AU"/>
        </w:rPr>
        <w:t xml:space="preserve">eBusiness </w:t>
      </w:r>
      <w:r>
        <w:rPr>
          <w:rFonts w:cs="Arial"/>
          <w:color w:val="000000"/>
          <w:szCs w:val="19"/>
          <w:lang w:eastAsia="en-AU"/>
        </w:rPr>
        <w:t xml:space="preserve">system </w:t>
      </w:r>
      <w:r w:rsidRPr="00B24C02">
        <w:rPr>
          <w:rFonts w:cs="Arial"/>
          <w:color w:val="000000"/>
          <w:szCs w:val="19"/>
          <w:lang w:eastAsia="en-AU"/>
        </w:rPr>
        <w:t xml:space="preserve">to be able to authorise staff to register and access their organisation’s funding and payment details, data collection requirements and service standards and guidelines through the </w:t>
      </w:r>
      <w:r w:rsidR="009B3052">
        <w:rPr>
          <w:rFonts w:cs="Arial"/>
          <w:color w:val="000000"/>
          <w:szCs w:val="19"/>
          <w:lang w:eastAsia="en-AU"/>
        </w:rPr>
        <w:t>Service agreement</w:t>
      </w:r>
      <w:r w:rsidRPr="00B24C02">
        <w:rPr>
          <w:rFonts w:cs="Arial"/>
          <w:color w:val="000000"/>
          <w:szCs w:val="19"/>
          <w:lang w:eastAsia="en-AU"/>
        </w:rPr>
        <w:t xml:space="preserve"> Module </w:t>
      </w:r>
      <w:r>
        <w:rPr>
          <w:rFonts w:cs="Arial"/>
          <w:color w:val="000000"/>
          <w:szCs w:val="19"/>
          <w:lang w:eastAsia="en-AU"/>
        </w:rPr>
        <w:t>(SAM) under</w:t>
      </w:r>
      <w:r w:rsidRPr="00B24C02">
        <w:rPr>
          <w:rFonts w:cs="Arial"/>
          <w:color w:val="000000"/>
          <w:szCs w:val="19"/>
          <w:lang w:eastAsia="en-AU"/>
        </w:rPr>
        <w:t xml:space="preserve"> </w:t>
      </w:r>
      <w:r>
        <w:rPr>
          <w:rFonts w:cs="Arial"/>
          <w:color w:val="000000"/>
          <w:szCs w:val="19"/>
          <w:lang w:eastAsia="en-AU"/>
        </w:rPr>
        <w:t xml:space="preserve">the secure </w:t>
      </w:r>
      <w:r w:rsidRPr="00B24C02">
        <w:rPr>
          <w:rFonts w:cs="Arial"/>
          <w:color w:val="000000"/>
          <w:szCs w:val="19"/>
          <w:lang w:eastAsia="en-AU"/>
        </w:rPr>
        <w:t>My Agency</w:t>
      </w:r>
      <w:r>
        <w:rPr>
          <w:rFonts w:cs="Arial"/>
          <w:color w:val="000000"/>
          <w:szCs w:val="19"/>
          <w:lang w:eastAsia="en-AU"/>
        </w:rPr>
        <w:t xml:space="preserve"> area within Funded agency channel</w:t>
      </w:r>
      <w:r w:rsidRPr="00B24C02">
        <w:rPr>
          <w:rFonts w:cs="Arial"/>
          <w:color w:val="000000"/>
          <w:szCs w:val="19"/>
          <w:lang w:eastAsia="en-AU"/>
        </w:rPr>
        <w:t>.</w:t>
      </w:r>
    </w:p>
    <w:p w14:paraId="0169064C" w14:textId="536BC0F7" w:rsidR="000D4878" w:rsidRPr="00276391" w:rsidRDefault="000D4878" w:rsidP="000D4878">
      <w:pPr>
        <w:pStyle w:val="DHHSbody"/>
        <w:rPr>
          <w:lang w:eastAsia="en-AU"/>
        </w:rPr>
      </w:pPr>
      <w:r w:rsidRPr="00276391">
        <w:rPr>
          <w:lang w:eastAsia="en-AU"/>
        </w:rPr>
        <w:t xml:space="preserve">Where organisations are not registered with eBusiness, the details in the </w:t>
      </w:r>
      <w:r w:rsidRPr="00276391">
        <w:rPr>
          <w:i/>
          <w:iCs/>
          <w:lang w:eastAsia="en-AU"/>
        </w:rPr>
        <w:t>eBusiness Access Agreement for Organisations</w:t>
      </w:r>
      <w:r w:rsidRPr="00276391">
        <w:rPr>
          <w:lang w:eastAsia="en-AU"/>
        </w:rPr>
        <w:t xml:space="preserve"> need to be filled out and the agreement signed</w:t>
      </w:r>
      <w:r>
        <w:rPr>
          <w:lang w:eastAsia="en-AU"/>
        </w:rPr>
        <w:t>.</w:t>
      </w:r>
      <w:r w:rsidR="006250C7">
        <w:rPr>
          <w:lang w:eastAsia="en-AU"/>
        </w:rPr>
        <w:t xml:space="preserve"> </w:t>
      </w:r>
      <w:r>
        <w:rPr>
          <w:lang w:eastAsia="en-AU"/>
        </w:rPr>
        <w:t>The agreement has provision to nominate an Organisational Authority</w:t>
      </w:r>
      <w:r w:rsidRPr="00276391">
        <w:rPr>
          <w:lang w:eastAsia="en-AU"/>
        </w:rPr>
        <w:t>. Once eBusiness approves the application</w:t>
      </w:r>
      <w:r>
        <w:rPr>
          <w:lang w:eastAsia="en-AU"/>
        </w:rPr>
        <w:t xml:space="preserve"> for access</w:t>
      </w:r>
      <w:r w:rsidRPr="00276391">
        <w:rPr>
          <w:lang w:eastAsia="en-AU"/>
        </w:rPr>
        <w:t>, it will provide the organisation’s nominated person with an individual username and password along with guidelines and instructions on how to register themselves as a user on eBusiness.</w:t>
      </w:r>
    </w:p>
    <w:p w14:paraId="7603BDBC" w14:textId="77777777" w:rsidR="00236748" w:rsidRPr="00276391" w:rsidRDefault="00236748" w:rsidP="00276391">
      <w:pPr>
        <w:pStyle w:val="Heading3"/>
        <w:rPr>
          <w:lang w:eastAsia="en-AU"/>
        </w:rPr>
      </w:pPr>
      <w:bookmarkStart w:id="148" w:name="_Toc4142011"/>
      <w:r w:rsidRPr="00276391">
        <w:rPr>
          <w:lang w:eastAsia="en-AU"/>
        </w:rPr>
        <w:t>Copies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statements/annual</w:t>
      </w:r>
      <w:r w:rsidR="005D5532" w:rsidRPr="00276391">
        <w:rPr>
          <w:lang w:eastAsia="en-AU"/>
        </w:rPr>
        <w:t xml:space="preserve"> </w:t>
      </w:r>
      <w:r w:rsidRPr="00276391">
        <w:rPr>
          <w:lang w:eastAsia="en-AU"/>
        </w:rPr>
        <w:t>reports</w:t>
      </w:r>
      <w:bookmarkEnd w:id="142"/>
      <w:bookmarkEnd w:id="143"/>
      <w:bookmarkEnd w:id="148"/>
    </w:p>
    <w:p w14:paraId="0892D7D3" w14:textId="24222C64"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do</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current</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would</w:t>
      </w:r>
      <w:r w:rsidR="005D5532" w:rsidRPr="00B24C02">
        <w:rPr>
          <w:rFonts w:cs="Arial"/>
          <w:color w:val="000000"/>
          <w:szCs w:val="19"/>
          <w:lang w:eastAsia="en-AU"/>
        </w:rPr>
        <w:t xml:space="preserve"> </w:t>
      </w:r>
      <w:r w:rsidRPr="00B24C02">
        <w:rPr>
          <w:rFonts w:cs="Arial"/>
          <w:color w:val="000000"/>
          <w:szCs w:val="19"/>
          <w:lang w:eastAsia="en-AU"/>
        </w:rPr>
        <w:t>normally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asked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statements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annual</w:t>
      </w:r>
      <w:r w:rsidR="005D5532" w:rsidRPr="00B24C02">
        <w:rPr>
          <w:rFonts w:cs="Arial"/>
          <w:color w:val="000000"/>
          <w:szCs w:val="19"/>
          <w:lang w:eastAsia="en-AU"/>
        </w:rPr>
        <w:t xml:space="preserve"> </w:t>
      </w:r>
      <w:r w:rsidRPr="00B24C02">
        <w:rPr>
          <w:rFonts w:cs="Arial"/>
          <w:color w:val="000000"/>
          <w:szCs w:val="19"/>
          <w:lang w:eastAsia="en-AU"/>
        </w:rPr>
        <w:t>reports.</w:t>
      </w:r>
      <w:r w:rsidR="005D5532" w:rsidRPr="00B24C02">
        <w:rPr>
          <w:rFonts w:cs="Arial"/>
          <w:color w:val="000000"/>
          <w:szCs w:val="19"/>
          <w:lang w:eastAsia="en-AU"/>
        </w:rPr>
        <w:t xml:space="preserve"> </w:t>
      </w:r>
      <w:r w:rsidRPr="00B24C02">
        <w:rPr>
          <w:rFonts w:cs="Arial"/>
          <w:color w:val="000000"/>
          <w:szCs w:val="19"/>
          <w:lang w:eastAsia="en-AU"/>
        </w:rPr>
        <w:t>Finance</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analyse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position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sustainability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prior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authorising</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046E7D51" w14:textId="77777777" w:rsidR="00236748" w:rsidRPr="00276391" w:rsidRDefault="00236748" w:rsidP="00276391">
      <w:pPr>
        <w:pStyle w:val="Heading3"/>
        <w:rPr>
          <w:lang w:eastAsia="en-AU"/>
        </w:rPr>
      </w:pPr>
      <w:bookmarkStart w:id="149" w:name="_Toc478991727"/>
      <w:bookmarkStart w:id="150" w:name="_Toc478992333"/>
      <w:bookmarkStart w:id="151" w:name="_Toc4142012"/>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bookmarkEnd w:id="149"/>
      <w:bookmarkEnd w:id="150"/>
      <w:bookmarkEnd w:id="151"/>
    </w:p>
    <w:p w14:paraId="1DCA40BA" w14:textId="408D0C65" w:rsidR="00236748" w:rsidRPr="00276391" w:rsidRDefault="00236748" w:rsidP="00276391">
      <w:pPr>
        <w:pStyle w:val="DHHSbody"/>
        <w:rPr>
          <w:lang w:eastAsia="en-AU"/>
        </w:rPr>
      </w:pP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confirm</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actual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actual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likely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arise</w:t>
      </w:r>
      <w:r w:rsidR="005D5532" w:rsidRPr="00B24C02">
        <w:rPr>
          <w:rFonts w:cs="Arial"/>
          <w:color w:val="000000"/>
          <w:szCs w:val="19"/>
          <w:lang w:eastAsia="en-AU"/>
        </w:rPr>
        <w:t xml:space="preserve"> </w:t>
      </w:r>
      <w:r w:rsidRPr="00B24C02">
        <w:rPr>
          <w:rFonts w:cs="Arial"/>
          <w:color w:val="000000"/>
          <w:szCs w:val="19"/>
          <w:lang w:eastAsia="en-AU"/>
        </w:rPr>
        <w:t>during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described</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hyperlink w:anchor="_3.5_Conflict_of" w:tooltip="Conflict of interest" w:history="1">
        <w:r w:rsidRPr="00B9407B">
          <w:rPr>
            <w:rStyle w:val="Hyperlink"/>
          </w:rPr>
          <w:t>Chapter</w:t>
        </w:r>
        <w:r w:rsidR="005D5532" w:rsidRPr="00B9407B">
          <w:rPr>
            <w:rStyle w:val="Hyperlink"/>
          </w:rPr>
          <w:t xml:space="preserve"> </w:t>
        </w:r>
        <w:r w:rsidRPr="00B9407B">
          <w:rPr>
            <w:rStyle w:val="Hyperlink"/>
          </w:rPr>
          <w:t>3</w:t>
        </w:r>
        <w:r w:rsidR="00B9407B" w:rsidRPr="00B9407B">
          <w:rPr>
            <w:rStyle w:val="Hyperlink"/>
          </w:rPr>
          <w:t>.5</w:t>
        </w:r>
      </w:hyperlink>
      <w:r w:rsidRPr="00B24C02">
        <w:rPr>
          <w:rFonts w:cs="Arial"/>
          <w:color w:val="000000"/>
          <w:szCs w:val="19"/>
          <w:lang w:eastAsia="en-AU"/>
        </w:rPr>
        <w:t>.</w:t>
      </w:r>
    </w:p>
    <w:p w14:paraId="7321F12A" w14:textId="629E506F" w:rsidR="00236748" w:rsidRPr="00276391" w:rsidRDefault="00236748" w:rsidP="009B2351">
      <w:pPr>
        <w:pStyle w:val="Heading2"/>
        <w:rPr>
          <w:rFonts w:cs="Arial"/>
          <w:lang w:eastAsia="en-AU"/>
        </w:rPr>
      </w:pPr>
      <w:bookmarkStart w:id="152" w:name="_Toc478991728"/>
      <w:bookmarkStart w:id="153" w:name="_Toc478992334"/>
      <w:bookmarkStart w:id="154" w:name="_Toc478992881"/>
      <w:bookmarkStart w:id="155" w:name="_Toc4142013"/>
      <w:r w:rsidRPr="00276391">
        <w:rPr>
          <w:rFonts w:cs="Arial"/>
          <w:lang w:eastAsia="en-AU"/>
        </w:rPr>
        <w:lastRenderedPageBreak/>
        <w:t>2.4</w:t>
      </w:r>
      <w:r w:rsidR="009B2351" w:rsidRPr="00276391">
        <w:rPr>
          <w:rFonts w:cs="Arial"/>
          <w:lang w:eastAsia="en-AU"/>
        </w:rPr>
        <w:t xml:space="preserve"> </w:t>
      </w:r>
      <w:r w:rsidR="009B3052">
        <w:rPr>
          <w:rFonts w:cs="Arial"/>
          <w:lang w:eastAsia="en-AU"/>
        </w:rPr>
        <w:t>Service agreement</w:t>
      </w:r>
      <w:r w:rsidRPr="00276391">
        <w:rPr>
          <w:rFonts w:cs="Arial"/>
          <w:lang w:eastAsia="en-AU"/>
        </w:rPr>
        <w:t>s</w:t>
      </w:r>
      <w:r w:rsidR="009B2351" w:rsidRPr="00276391">
        <w:rPr>
          <w:rFonts w:cs="Arial"/>
          <w:lang w:eastAsia="en-AU"/>
        </w:rPr>
        <w:t xml:space="preserve"> </w:t>
      </w:r>
      <w:r w:rsidRPr="00276391">
        <w:rPr>
          <w:rFonts w:cs="Arial"/>
          <w:lang w:eastAsia="en-AU"/>
        </w:rPr>
        <w:t>with</w:t>
      </w:r>
      <w:r w:rsidR="009B2351" w:rsidRPr="00276391">
        <w:rPr>
          <w:rFonts w:cs="Arial"/>
          <w:lang w:eastAsia="en-AU"/>
        </w:rPr>
        <w:t xml:space="preserve"> </w:t>
      </w:r>
      <w:r w:rsidRPr="00276391">
        <w:rPr>
          <w:rFonts w:cs="Arial"/>
          <w:lang w:eastAsia="en-AU"/>
        </w:rPr>
        <w:t>more</w:t>
      </w:r>
      <w:r w:rsidR="009B2351" w:rsidRPr="00276391">
        <w:rPr>
          <w:rFonts w:cs="Arial"/>
          <w:lang w:eastAsia="en-AU"/>
        </w:rPr>
        <w:t xml:space="preserve"> </w:t>
      </w:r>
      <w:r w:rsidRPr="00276391">
        <w:rPr>
          <w:rFonts w:cs="Arial"/>
          <w:lang w:eastAsia="en-AU"/>
        </w:rPr>
        <w:t>than</w:t>
      </w:r>
      <w:r w:rsidR="009B2351" w:rsidRPr="00276391">
        <w:rPr>
          <w:rFonts w:cs="Arial"/>
          <w:lang w:eastAsia="en-AU"/>
        </w:rPr>
        <w:t xml:space="preserve"> </w:t>
      </w:r>
      <w:r w:rsidRPr="00276391">
        <w:rPr>
          <w:rFonts w:cs="Arial"/>
          <w:lang w:eastAsia="en-AU"/>
        </w:rPr>
        <w:t>one</w:t>
      </w:r>
      <w:r w:rsidR="009B2351" w:rsidRPr="00276391">
        <w:rPr>
          <w:rFonts w:cs="Arial"/>
          <w:lang w:eastAsia="en-AU"/>
        </w:rPr>
        <w:t xml:space="preserve"> </w:t>
      </w:r>
      <w:r w:rsidRPr="00276391">
        <w:rPr>
          <w:rFonts w:cs="Arial"/>
          <w:lang w:eastAsia="en-AU"/>
        </w:rPr>
        <w:t>organisation</w:t>
      </w:r>
      <w:bookmarkEnd w:id="152"/>
      <w:bookmarkEnd w:id="153"/>
      <w:bookmarkEnd w:id="154"/>
      <w:bookmarkEnd w:id="155"/>
    </w:p>
    <w:p w14:paraId="782DD10A" w14:textId="597EC006"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non-incorporated</w:t>
      </w:r>
      <w:r w:rsidR="005D5532" w:rsidRPr="00B24C02">
        <w:rPr>
          <w:rFonts w:cs="Arial"/>
          <w:color w:val="000000"/>
          <w:szCs w:val="19"/>
          <w:lang w:eastAsia="en-AU"/>
        </w:rPr>
        <w:t xml:space="preserve"> </w:t>
      </w:r>
      <w:r w:rsidRPr="00B24C02">
        <w:rPr>
          <w:rFonts w:cs="Arial"/>
          <w:color w:val="000000"/>
          <w:szCs w:val="19"/>
          <w:lang w:eastAsia="en-AU"/>
        </w:rPr>
        <w:t>alliances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consortia.</w:t>
      </w:r>
    </w:p>
    <w:p w14:paraId="10B96558"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encourages</w:t>
      </w:r>
      <w:r w:rsidR="005D5532" w:rsidRPr="00276391">
        <w:rPr>
          <w:lang w:eastAsia="en-AU"/>
        </w:rPr>
        <w:t xml:space="preserve"> </w:t>
      </w:r>
      <w:r w:rsidRPr="00276391">
        <w:rPr>
          <w:lang w:eastAsia="en-AU"/>
        </w:rPr>
        <w:t>alliances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cooperation</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particularly</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arrangements</w:t>
      </w:r>
      <w:r w:rsidR="005D5532" w:rsidRPr="00276391">
        <w:rPr>
          <w:lang w:eastAsia="en-AU"/>
        </w:rPr>
        <w:t xml:space="preserve"> </w:t>
      </w:r>
      <w:r w:rsidRPr="00276391">
        <w:rPr>
          <w:lang w:eastAsia="en-AU"/>
        </w:rPr>
        <w:t>maximise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effectiveness,</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benefits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community.</w:t>
      </w:r>
    </w:p>
    <w:p w14:paraId="3371AC6C" w14:textId="77777777" w:rsidR="00236748" w:rsidRPr="00276391" w:rsidRDefault="00236748" w:rsidP="00276391">
      <w:pPr>
        <w:pStyle w:val="DHHSbody"/>
        <w:rPr>
          <w:lang w:eastAsia="en-AU"/>
        </w:rPr>
      </w:pPr>
      <w:r w:rsidRPr="00276391">
        <w:rPr>
          <w:lang w:eastAsia="en-AU"/>
        </w:rPr>
        <w:t>Primary</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Partnerships</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good</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successes</w:t>
      </w:r>
      <w:r w:rsidR="005D5532" w:rsidRPr="00276391">
        <w:rPr>
          <w:lang w:eastAsia="en-AU"/>
        </w:rPr>
        <w:t xml:space="preserve"> </w:t>
      </w:r>
      <w:r w:rsidRPr="00276391">
        <w:rPr>
          <w:lang w:eastAsia="en-AU"/>
        </w:rPr>
        <w:t>achieved</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working</w:t>
      </w:r>
      <w:r w:rsidR="005D5532" w:rsidRPr="00276391">
        <w:rPr>
          <w:lang w:eastAsia="en-AU"/>
        </w:rPr>
        <w:t xml:space="preserve"> </w:t>
      </w:r>
      <w:r w:rsidRPr="00276391">
        <w:rPr>
          <w:lang w:eastAsia="en-AU"/>
        </w:rPr>
        <w:t>together.</w:t>
      </w:r>
      <w:r w:rsidR="005D5532" w:rsidRPr="00276391">
        <w:rPr>
          <w:lang w:eastAsia="en-AU"/>
        </w:rPr>
        <w:t xml:space="preserve"> </w:t>
      </w:r>
      <w:r w:rsidRPr="00276391">
        <w:rPr>
          <w:lang w:eastAsia="en-AU"/>
        </w:rPr>
        <w:t>Primary</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Partnerships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core</w:t>
      </w:r>
      <w:r w:rsidR="005D5532" w:rsidRPr="00276391">
        <w:rPr>
          <w:lang w:eastAsia="en-AU"/>
        </w:rPr>
        <w:t xml:space="preserve"> </w:t>
      </w:r>
      <w:r w:rsidRPr="00276391">
        <w:rPr>
          <w:lang w:eastAsia="en-AU"/>
        </w:rPr>
        <w:t>component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primary</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broader</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platform</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integrated</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promotion.</w:t>
      </w:r>
      <w:r w:rsidR="005D5532" w:rsidRPr="00276391">
        <w:rPr>
          <w:lang w:eastAsia="en-AU"/>
        </w:rPr>
        <w:t xml:space="preserve"> </w:t>
      </w:r>
      <w:r w:rsidRPr="00276391">
        <w:rPr>
          <w:lang w:eastAsia="en-AU"/>
        </w:rPr>
        <w:t>PCPs</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enabled</w:t>
      </w:r>
      <w:r w:rsidR="005D5532" w:rsidRPr="00276391">
        <w:rPr>
          <w:lang w:eastAsia="en-AU"/>
        </w:rPr>
        <w:t xml:space="preserve"> </w:t>
      </w:r>
      <w:r w:rsidRPr="00276391">
        <w:rPr>
          <w:lang w:eastAsia="en-AU"/>
        </w:rPr>
        <w:t>coordination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pathways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many</w:t>
      </w:r>
      <w:r w:rsidR="005D5532" w:rsidRPr="00276391">
        <w:rPr>
          <w:lang w:eastAsia="en-AU"/>
        </w:rPr>
        <w:t xml:space="preserve"> </w:t>
      </w:r>
      <w:r w:rsidRPr="00276391">
        <w:rPr>
          <w:lang w:eastAsia="en-AU"/>
        </w:rPr>
        <w:t>population</w:t>
      </w:r>
      <w:r w:rsidR="005D5532" w:rsidRPr="00276391">
        <w:rPr>
          <w:lang w:eastAsia="en-AU"/>
        </w:rPr>
        <w:t xml:space="preserve"> </w:t>
      </w:r>
      <w:r w:rsidRPr="00276391">
        <w:rPr>
          <w:lang w:eastAsia="en-AU"/>
        </w:rPr>
        <w:t>groups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poor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refugee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Indigenous</w:t>
      </w:r>
      <w:r w:rsidR="005D5532" w:rsidRPr="00276391">
        <w:rPr>
          <w:lang w:eastAsia="en-AU"/>
        </w:rPr>
        <w:t xml:space="preserve"> </w:t>
      </w:r>
      <w:r w:rsidRPr="00276391">
        <w:rPr>
          <w:lang w:eastAsia="en-AU"/>
        </w:rPr>
        <w:t>groups,</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facing</w:t>
      </w:r>
      <w:r w:rsidR="005D5532" w:rsidRPr="00276391">
        <w:rPr>
          <w:lang w:eastAsia="en-AU"/>
        </w:rPr>
        <w:t xml:space="preserve"> </w:t>
      </w:r>
      <w:r w:rsidRPr="00276391">
        <w:rPr>
          <w:lang w:eastAsia="en-AU"/>
        </w:rPr>
        <w:t>difficulty</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severe</w:t>
      </w:r>
      <w:r w:rsidR="005D5532" w:rsidRPr="00276391">
        <w:rPr>
          <w:lang w:eastAsia="en-AU"/>
        </w:rPr>
        <w:t xml:space="preserve"> </w:t>
      </w:r>
      <w:r w:rsidRPr="00276391">
        <w:rPr>
          <w:lang w:eastAsia="en-AU"/>
        </w:rPr>
        <w:t>drought,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chronic</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complex</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prevent</w:t>
      </w:r>
      <w:r w:rsidR="005D5532" w:rsidRPr="00276391">
        <w:rPr>
          <w:lang w:eastAsia="en-AU"/>
        </w:rPr>
        <w:t xml:space="preserve"> </w:t>
      </w:r>
      <w:r w:rsidRPr="00276391">
        <w:rPr>
          <w:lang w:eastAsia="en-AU"/>
        </w:rPr>
        <w:t>unnecessary</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hospital</w:t>
      </w:r>
      <w:r w:rsidR="005D5532" w:rsidRPr="00276391">
        <w:rPr>
          <w:lang w:eastAsia="en-AU"/>
        </w:rPr>
        <w:t xml:space="preserve"> </w:t>
      </w:r>
      <w:r w:rsidRPr="00276391">
        <w:rPr>
          <w:lang w:eastAsia="en-AU"/>
        </w:rPr>
        <w:t>services.</w:t>
      </w:r>
    </w:p>
    <w:p w14:paraId="2AF081B4" w14:textId="77777777" w:rsidR="00236748" w:rsidRPr="00276391" w:rsidRDefault="00236748" w:rsidP="00276391">
      <w:pPr>
        <w:pStyle w:val="Heading3"/>
        <w:rPr>
          <w:lang w:eastAsia="en-AU"/>
        </w:rPr>
      </w:pPr>
      <w:bookmarkStart w:id="156" w:name="_Toc478991729"/>
      <w:bookmarkStart w:id="157" w:name="_Toc478992335"/>
      <w:bookmarkStart w:id="158" w:name="_Toc4142014"/>
      <w:r w:rsidRPr="00276391">
        <w:rPr>
          <w:lang w:eastAsia="en-AU"/>
        </w:rPr>
        <w:t>Non-incorporated</w:t>
      </w:r>
      <w:r w:rsidR="005D5532" w:rsidRPr="00276391">
        <w:rPr>
          <w:lang w:eastAsia="en-AU"/>
        </w:rPr>
        <w:t xml:space="preserve"> </w:t>
      </w:r>
      <w:r w:rsidRPr="00276391">
        <w:rPr>
          <w:lang w:eastAsia="en-AU"/>
        </w:rPr>
        <w:t>alliance/consortium</w:t>
      </w:r>
      <w:bookmarkEnd w:id="156"/>
      <w:bookmarkEnd w:id="157"/>
      <w:bookmarkEnd w:id="158"/>
    </w:p>
    <w:p w14:paraId="67ACA164"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non-incorporated</w:t>
      </w:r>
      <w:r w:rsidR="005D5532" w:rsidRPr="00B24C02">
        <w:rPr>
          <w:rFonts w:cs="Arial"/>
          <w:color w:val="000000"/>
          <w:szCs w:val="19"/>
          <w:lang w:eastAsia="en-AU"/>
        </w:rPr>
        <w:t xml:space="preserve"> </w:t>
      </w:r>
      <w:r w:rsidRPr="00B24C02">
        <w:rPr>
          <w:rFonts w:cs="Arial"/>
          <w:color w:val="000000"/>
          <w:szCs w:val="19"/>
          <w:lang w:eastAsia="en-AU"/>
        </w:rPr>
        <w:t>alliance/consortium</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up</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group</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entities,</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working</w:t>
      </w:r>
      <w:r w:rsidR="005D5532" w:rsidRPr="00B24C02">
        <w:rPr>
          <w:rFonts w:cs="Arial"/>
          <w:color w:val="000000"/>
          <w:szCs w:val="19"/>
          <w:lang w:eastAsia="en-AU"/>
        </w:rPr>
        <w:t xml:space="preserve"> </w:t>
      </w:r>
      <w:r w:rsidRPr="00B24C02">
        <w:rPr>
          <w:rFonts w:cs="Arial"/>
          <w:color w:val="000000"/>
          <w:szCs w:val="19"/>
          <w:lang w:eastAsia="en-AU"/>
        </w:rPr>
        <w:t>together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achieve</w:t>
      </w:r>
      <w:r w:rsidR="005D5532" w:rsidRPr="00B24C02">
        <w:rPr>
          <w:rFonts w:cs="Arial"/>
          <w:color w:val="000000"/>
          <w:szCs w:val="19"/>
          <w:lang w:eastAsia="en-AU"/>
        </w:rPr>
        <w:t xml:space="preserve"> </w:t>
      </w:r>
      <w:r w:rsidRPr="00B24C02">
        <w:rPr>
          <w:rFonts w:cs="Arial"/>
          <w:color w:val="000000"/>
          <w:szCs w:val="19"/>
          <w:lang w:eastAsia="en-AU"/>
        </w:rPr>
        <w:t>common</w:t>
      </w:r>
      <w:r w:rsidR="005D5532" w:rsidRPr="00B24C02">
        <w:rPr>
          <w:rFonts w:cs="Arial"/>
          <w:color w:val="000000"/>
          <w:szCs w:val="19"/>
          <w:lang w:eastAsia="en-AU"/>
        </w:rPr>
        <w:t xml:space="preserve"> </w:t>
      </w:r>
      <w:r w:rsidRPr="00B24C02">
        <w:rPr>
          <w:rFonts w:cs="Arial"/>
          <w:color w:val="000000"/>
          <w:szCs w:val="19"/>
          <w:lang w:eastAsia="en-AU"/>
        </w:rPr>
        <w:t>goals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member</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law.</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non-incorporated</w:t>
      </w:r>
      <w:r w:rsidR="005D5532" w:rsidRPr="00B24C02">
        <w:rPr>
          <w:rFonts w:cs="Arial"/>
          <w:color w:val="000000"/>
          <w:szCs w:val="19"/>
          <w:lang w:eastAsia="en-AU"/>
        </w:rPr>
        <w:t xml:space="preserve"> </w:t>
      </w:r>
      <w:r w:rsidRPr="00B24C02">
        <w:rPr>
          <w:rFonts w:cs="Arial"/>
          <w:color w:val="000000"/>
          <w:szCs w:val="19"/>
          <w:lang w:eastAsia="en-AU"/>
        </w:rPr>
        <w:t>alliance/consortium,</w:t>
      </w:r>
      <w:r w:rsidR="005D5532" w:rsidRPr="00B24C02">
        <w:rPr>
          <w:rFonts w:cs="Arial"/>
          <w:color w:val="000000"/>
          <w:szCs w:val="19"/>
          <w:lang w:eastAsia="en-AU"/>
        </w:rPr>
        <w:t xml:space="preserve"> </w:t>
      </w:r>
      <w:r w:rsidRPr="00B24C02">
        <w:rPr>
          <w:rFonts w:cs="Arial"/>
          <w:color w:val="000000"/>
          <w:szCs w:val="19"/>
          <w:lang w:eastAsia="en-AU"/>
        </w:rPr>
        <w:t>however,</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own</w:t>
      </w:r>
      <w:r w:rsidR="005D5532" w:rsidRPr="00B24C02">
        <w:rPr>
          <w:rFonts w:cs="Arial"/>
          <w:color w:val="000000"/>
          <w:szCs w:val="19"/>
          <w:lang w:eastAsia="en-AU"/>
        </w:rPr>
        <w:t xml:space="preserve"> </w:t>
      </w:r>
      <w:r w:rsidRPr="00B24C02">
        <w:rPr>
          <w:rFonts w:cs="Arial"/>
          <w:color w:val="000000"/>
          <w:szCs w:val="19"/>
          <w:lang w:eastAsia="en-AU"/>
        </w:rPr>
        <w:t>right.</w:t>
      </w:r>
    </w:p>
    <w:p w14:paraId="64B872B6" w14:textId="6F9B8EB8" w:rsidR="00236748" w:rsidRPr="00276391" w:rsidRDefault="00236748" w:rsidP="00276391">
      <w:pPr>
        <w:pStyle w:val="DHHSbody"/>
        <w:rPr>
          <w:lang w:eastAsia="en-AU"/>
        </w:rPr>
      </w:pPr>
      <w:r w:rsidRPr="00276391">
        <w:rPr>
          <w:lang w:eastAsia="en-AU"/>
        </w:rPr>
        <w:t>All</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listed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parties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agrees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individually</w:t>
      </w:r>
      <w:r w:rsidR="005D5532" w:rsidRPr="00276391">
        <w:rPr>
          <w:lang w:eastAsia="en-AU"/>
        </w:rPr>
        <w:t xml:space="preserve"> </w:t>
      </w:r>
      <w:r w:rsidRPr="00276391">
        <w:rPr>
          <w:lang w:eastAsia="en-AU"/>
        </w:rPr>
        <w:t>bound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them.</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arrangements</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determined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members.</w:t>
      </w:r>
    </w:p>
    <w:p w14:paraId="131593DA" w14:textId="05779042" w:rsidR="00236748" w:rsidRPr="00276391" w:rsidRDefault="00236748" w:rsidP="00276391">
      <w:pPr>
        <w:pStyle w:val="DHHSbody"/>
        <w:rPr>
          <w:lang w:eastAsia="en-AU"/>
        </w:rPr>
      </w:pPr>
      <w:r w:rsidRPr="00276391">
        <w:rPr>
          <w:lang w:eastAsia="en-AU"/>
        </w:rPr>
        <w:t>Secure</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view</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BA0A21">
        <w:rPr>
          <w:lang w:eastAsia="en-AU"/>
        </w:rPr>
        <w:t xml:space="preserve"> </w:t>
      </w:r>
      <w:r w:rsidRPr="00BA0A21">
        <w:rPr>
          <w:lang w:eastAsia="en-AU"/>
        </w:rPr>
        <w:t>Module</w:t>
      </w:r>
      <w:r w:rsidR="005D5532" w:rsidRPr="00276391">
        <w:rPr>
          <w:lang w:eastAsia="en-AU"/>
        </w:rPr>
        <w:t xml:space="preserve"> </w:t>
      </w:r>
      <w:r w:rsidR="00BA0A21">
        <w:rPr>
          <w:lang w:eastAsia="en-AU"/>
        </w:rPr>
        <w:t xml:space="preserve">in </w:t>
      </w:r>
      <w:hyperlink r:id="rId34" w:history="1">
        <w:r w:rsidR="00BA0A21" w:rsidRPr="00CD4680">
          <w:rPr>
            <w:rStyle w:val="Hyperlink"/>
            <w:lang w:eastAsia="en-AU"/>
          </w:rPr>
          <w:t>My Agency</w:t>
        </w:r>
      </w:hyperlink>
      <w:r w:rsidR="00BA0A21">
        <w:rPr>
          <w:lang w:eastAsia="en-AU"/>
        </w:rPr>
        <w:t xml:space="preserve"> &lt;</w:t>
      </w:r>
      <w:r w:rsidR="00CD4680" w:rsidRPr="00B73DBE">
        <w:t>https://fac.dhhs.vic.gov.au/my-agency</w:t>
      </w:r>
      <w:r w:rsidR="00BA0A21">
        <w:rPr>
          <w:lang w:eastAsia="en-AU"/>
        </w:rPr>
        <w:t>&gt;</w:t>
      </w:r>
      <w:r w:rsidR="00BA0A21"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appropriate.</w:t>
      </w:r>
    </w:p>
    <w:p w14:paraId="3DD5BC9B" w14:textId="77777777" w:rsidR="00236748" w:rsidRPr="00276391" w:rsidRDefault="00236748" w:rsidP="00276391">
      <w:pPr>
        <w:pStyle w:val="DHHSbody"/>
        <w:rPr>
          <w:lang w:eastAsia="en-AU"/>
        </w:rPr>
      </w:pP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w:t>
      </w:r>
      <w:r w:rsidR="005D5532" w:rsidRPr="00276391">
        <w:rPr>
          <w:lang w:eastAsia="en-AU"/>
        </w:rPr>
        <w:t xml:space="preserve"> </w:t>
      </w:r>
      <w:r w:rsidRPr="00276391">
        <w:rPr>
          <w:lang w:eastAsia="en-AU"/>
        </w:rPr>
        <w:t>limit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number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non-incorporated</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however,</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nominated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correspondence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arrangements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distribution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4BB158CE" w14:textId="4E5A2E63"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alliance/consortium</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listed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signatories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overall</w:t>
      </w:r>
      <w:r w:rsidR="005D5532" w:rsidRPr="00276391">
        <w:rPr>
          <w:lang w:eastAsia="en-AU"/>
        </w:rPr>
        <w:t xml:space="preserve"> </w:t>
      </w:r>
      <w:r w:rsidRPr="00276391">
        <w:rPr>
          <w:lang w:eastAsia="en-AU"/>
        </w:rPr>
        <w:t>membership.</w:t>
      </w:r>
    </w:p>
    <w:p w14:paraId="6DA8B026" w14:textId="7CF52A9D" w:rsidR="00236748" w:rsidRPr="00276391" w:rsidRDefault="00236748" w:rsidP="00276391">
      <w:pPr>
        <w:pStyle w:val="DHHSbody"/>
        <w:rPr>
          <w:lang w:eastAsia="en-AU"/>
        </w:rPr>
      </w:pPr>
      <w:r w:rsidRPr="00276391">
        <w:rPr>
          <w:lang w:eastAsia="en-AU"/>
        </w:rPr>
        <w:t>Members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non-incorporated</w:t>
      </w:r>
      <w:r w:rsidR="005D5532" w:rsidRPr="00276391">
        <w:rPr>
          <w:lang w:eastAsia="en-AU"/>
        </w:rPr>
        <w:t xml:space="preserve"> </w:t>
      </w:r>
      <w:r w:rsidRPr="00276391">
        <w:rPr>
          <w:lang w:eastAsia="en-AU"/>
        </w:rPr>
        <w:t>consortia</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eligible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coverage</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Managed</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Authority</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programs</w:t>
      </w:r>
      <w:r w:rsidR="005D5532" w:rsidRPr="00276391">
        <w:rPr>
          <w:lang w:eastAsia="en-AU"/>
        </w:rPr>
        <w:t xml:space="preserve"> </w:t>
      </w:r>
      <w:r w:rsidRPr="00276391">
        <w:rPr>
          <w:lang w:eastAsia="en-AU"/>
        </w:rPr>
        <w:t>while</w:t>
      </w:r>
      <w:r w:rsidR="005D5532" w:rsidRPr="00276391">
        <w:rPr>
          <w:lang w:eastAsia="en-AU"/>
        </w:rPr>
        <w:t xml:space="preserve"> </w:t>
      </w:r>
      <w:r w:rsidRPr="00276391">
        <w:rPr>
          <w:lang w:eastAsia="en-AU"/>
        </w:rPr>
        <w:t>undertaking</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The</w:t>
      </w:r>
      <w:r w:rsidR="005D5532" w:rsidRPr="00276391">
        <w:rPr>
          <w:lang w:eastAsia="en-AU"/>
        </w:rPr>
        <w:t xml:space="preserve"> </w:t>
      </w:r>
      <w:hyperlink r:id="rId35" w:tgtFrame="_blank" w:tooltip="Link to the Victorian Managed Insurance Authority website" w:history="1">
        <w:r w:rsidRPr="00C94233">
          <w:rPr>
            <w:rStyle w:val="Hyperlink"/>
          </w:rPr>
          <w:t>Victorian</w:t>
        </w:r>
        <w:r w:rsidR="005D5532" w:rsidRPr="00C94233">
          <w:rPr>
            <w:rStyle w:val="Hyperlink"/>
          </w:rPr>
          <w:t xml:space="preserve"> </w:t>
        </w:r>
        <w:r w:rsidRPr="00C94233">
          <w:rPr>
            <w:rStyle w:val="Hyperlink"/>
          </w:rPr>
          <w:t>Managed</w:t>
        </w:r>
        <w:r w:rsidR="005D5532" w:rsidRPr="00C94233">
          <w:rPr>
            <w:rStyle w:val="Hyperlink"/>
          </w:rPr>
          <w:t xml:space="preserve"> </w:t>
        </w:r>
        <w:r w:rsidRPr="00C94233">
          <w:rPr>
            <w:rStyle w:val="Hyperlink"/>
          </w:rPr>
          <w:t>Insurance</w:t>
        </w:r>
        <w:r w:rsidR="005D5532" w:rsidRPr="00C94233">
          <w:rPr>
            <w:rStyle w:val="Hyperlink"/>
          </w:rPr>
          <w:t xml:space="preserve"> </w:t>
        </w:r>
        <w:r w:rsidRPr="00C94233">
          <w:rPr>
            <w:rStyle w:val="Hyperlink"/>
          </w:rPr>
          <w:t>Authority</w:t>
        </w:r>
      </w:hyperlink>
      <w:r w:rsidR="005D5532" w:rsidRPr="00276391">
        <w:rPr>
          <w:lang w:eastAsia="en-AU"/>
        </w:rPr>
        <w:t xml:space="preserve"> </w:t>
      </w:r>
      <w:r w:rsidR="00DD0CC3">
        <w:rPr>
          <w:lang w:eastAsia="en-AU"/>
        </w:rPr>
        <w:t>&lt;</w:t>
      </w:r>
      <w:r w:rsidR="00DD0CC3" w:rsidRPr="00DD0CC3">
        <w:rPr>
          <w:lang w:eastAsia="en-AU"/>
        </w:rPr>
        <w:t>http://www.vmia.vic.gov.au/</w:t>
      </w:r>
      <w:r w:rsidR="00DD0CC3">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contacted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confirm</w:t>
      </w:r>
      <w:r w:rsidR="005D5532" w:rsidRPr="00276391">
        <w:rPr>
          <w:lang w:eastAsia="en-AU"/>
        </w:rPr>
        <w:t xml:space="preserve"> </w:t>
      </w:r>
      <w:r w:rsidRPr="00276391">
        <w:rPr>
          <w:lang w:eastAsia="en-AU"/>
        </w:rPr>
        <w:t>eligibility.</w:t>
      </w:r>
      <w:r w:rsidR="005D5532" w:rsidRPr="00276391">
        <w:rPr>
          <w:lang w:eastAsia="en-AU"/>
        </w:rPr>
        <w:t xml:space="preserve"> </w:t>
      </w:r>
    </w:p>
    <w:p w14:paraId="7B7A8F6C" w14:textId="77777777" w:rsidR="00236748" w:rsidRPr="00276391" w:rsidRDefault="00236748" w:rsidP="00276391">
      <w:pPr>
        <w:pStyle w:val="Heading3"/>
        <w:rPr>
          <w:lang w:eastAsia="en-AU"/>
        </w:rPr>
      </w:pPr>
      <w:bookmarkStart w:id="159" w:name="_Toc478991730"/>
      <w:bookmarkStart w:id="160" w:name="_Toc478992336"/>
      <w:bookmarkStart w:id="161" w:name="_Toc4142015"/>
      <w:r w:rsidRPr="00276391">
        <w:rPr>
          <w:lang w:eastAsia="en-AU"/>
        </w:rPr>
        <w:t>Incorporated</w:t>
      </w:r>
      <w:r w:rsidR="005D5532" w:rsidRPr="00276391">
        <w:rPr>
          <w:lang w:eastAsia="en-AU"/>
        </w:rPr>
        <w:t xml:space="preserve"> </w:t>
      </w:r>
      <w:r w:rsidRPr="00276391">
        <w:rPr>
          <w:lang w:eastAsia="en-AU"/>
        </w:rPr>
        <w:t>consortium</w:t>
      </w:r>
      <w:bookmarkEnd w:id="159"/>
      <w:bookmarkEnd w:id="160"/>
      <w:bookmarkEnd w:id="161"/>
      <w:r w:rsidR="005D5532" w:rsidRPr="00276391">
        <w:rPr>
          <w:lang w:eastAsia="en-AU"/>
        </w:rPr>
        <w:t xml:space="preserve"> </w:t>
      </w:r>
    </w:p>
    <w:p w14:paraId="27DD188C" w14:textId="77777777"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incorporated</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arrangement</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members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alliance</w:t>
      </w:r>
      <w:r w:rsidR="005D5532" w:rsidRPr="00B24C02">
        <w:rPr>
          <w:rFonts w:cs="Arial"/>
          <w:color w:val="000000"/>
          <w:szCs w:val="19"/>
          <w:lang w:eastAsia="en-AU"/>
        </w:rPr>
        <w:t xml:space="preserve"> </w:t>
      </w:r>
      <w:r w:rsidRPr="00B24C02">
        <w:rPr>
          <w:rFonts w:cs="Arial"/>
          <w:color w:val="000000"/>
          <w:szCs w:val="19"/>
          <w:lang w:eastAsia="en-AU"/>
        </w:rPr>
        <w:t>incorporate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form</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p>
    <w:p w14:paraId="68038581" w14:textId="77777777" w:rsidR="00236748" w:rsidRPr="00276391" w:rsidRDefault="00236748" w:rsidP="00276391">
      <w:pPr>
        <w:pStyle w:val="DHHSbody"/>
        <w:rPr>
          <w:lang w:eastAsia="en-AU"/>
        </w:rPr>
      </w:pPr>
      <w:r w:rsidRPr="00276391">
        <w:rPr>
          <w:lang w:eastAsia="en-AU"/>
        </w:rPr>
        <w:t>Under</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enters</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direct</w:t>
      </w:r>
      <w:r w:rsidR="005D5532" w:rsidRPr="00276391">
        <w:rPr>
          <w:lang w:eastAsia="en-AU"/>
        </w:rPr>
        <w:t xml:space="preserve"> </w:t>
      </w:r>
      <w:r w:rsidRPr="00276391">
        <w:rPr>
          <w:lang w:eastAsia="en-AU"/>
        </w:rPr>
        <w:t>relationship</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entity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member.</w:t>
      </w:r>
    </w:p>
    <w:p w14:paraId="6A258D1D" w14:textId="77777777" w:rsidR="00236748" w:rsidRPr="00276391" w:rsidRDefault="00236748" w:rsidP="00276391">
      <w:pPr>
        <w:pStyle w:val="Heading3"/>
        <w:rPr>
          <w:lang w:eastAsia="en-AU"/>
        </w:rPr>
      </w:pPr>
      <w:bookmarkStart w:id="162" w:name="_Toc478991731"/>
      <w:bookmarkStart w:id="163" w:name="_Toc478992337"/>
      <w:bookmarkStart w:id="164" w:name="_Toc4142016"/>
      <w:r w:rsidRPr="00276391">
        <w:rPr>
          <w:lang w:eastAsia="en-AU"/>
        </w:rPr>
        <w:t>Subcontracting</w:t>
      </w:r>
      <w:bookmarkEnd w:id="162"/>
      <w:bookmarkEnd w:id="163"/>
      <w:bookmarkEnd w:id="164"/>
    </w:p>
    <w:p w14:paraId="3DA376EA" w14:textId="2C33AF9D" w:rsidR="00236748" w:rsidRPr="00276391" w:rsidRDefault="00236748" w:rsidP="00276391">
      <w:pPr>
        <w:pStyle w:val="DHHSbody"/>
        <w:rPr>
          <w:lang w:eastAsia="en-AU"/>
        </w:rPr>
      </w:pPr>
      <w:r w:rsidRPr="00B24C02">
        <w:rPr>
          <w:rFonts w:cs="Arial"/>
          <w:color w:val="000000"/>
          <w:szCs w:val="19"/>
          <w:lang w:eastAsia="en-AU"/>
        </w:rPr>
        <w:t>Subcontracting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arranges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another</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provider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Subcontracting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allowed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consent</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subcontracting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hyperlink w:anchor="_3.10_Assignment_and" w:history="1">
        <w:r w:rsidR="00B53DF5">
          <w:rPr>
            <w:rStyle w:val="Hyperlink"/>
          </w:rPr>
          <w:t>C</w:t>
        </w:r>
        <w:r w:rsidRPr="00C94233">
          <w:rPr>
            <w:rStyle w:val="Hyperlink"/>
          </w:rPr>
          <w:t>hapter</w:t>
        </w:r>
        <w:r w:rsidR="005D5532" w:rsidRPr="00C94233">
          <w:rPr>
            <w:rStyle w:val="Hyperlink"/>
          </w:rPr>
          <w:t xml:space="preserve"> </w:t>
        </w:r>
        <w:r w:rsidRPr="00C94233">
          <w:rPr>
            <w:rStyle w:val="Hyperlink"/>
          </w:rPr>
          <w:t>3.10</w:t>
        </w:r>
      </w:hyperlink>
      <w:r w:rsidRPr="00B24C02">
        <w:rPr>
          <w:rFonts w:cs="Arial"/>
          <w:color w:val="000000"/>
          <w:szCs w:val="19"/>
          <w:lang w:eastAsia="en-AU"/>
        </w:rPr>
        <w:t>.</w:t>
      </w:r>
    </w:p>
    <w:p w14:paraId="4315BFA1" w14:textId="431B1F8E" w:rsidR="00236748" w:rsidRPr="00276391" w:rsidRDefault="00236748" w:rsidP="00276391">
      <w:pPr>
        <w:pStyle w:val="DHHSbody"/>
        <w:rPr>
          <w:lang w:eastAsia="en-AU"/>
        </w:rPr>
      </w:pPr>
      <w:r w:rsidRPr="00276391">
        <w:rPr>
          <w:lang w:eastAsia="en-AU"/>
        </w:rPr>
        <w:lastRenderedPageBreak/>
        <w:t>Under</w:t>
      </w:r>
      <w:r w:rsidR="005D5532" w:rsidRPr="00276391">
        <w:rPr>
          <w:lang w:eastAsia="en-AU"/>
        </w:rPr>
        <w:t xml:space="preserve"> </w:t>
      </w:r>
      <w:r w:rsidRPr="00276391">
        <w:rPr>
          <w:lang w:eastAsia="en-AU"/>
        </w:rPr>
        <w:t>subcontracting</w:t>
      </w:r>
      <w:r w:rsidR="005D5532" w:rsidRPr="00276391">
        <w:rPr>
          <w:lang w:eastAsia="en-AU"/>
        </w:rPr>
        <w:t xml:space="preserve"> </w:t>
      </w:r>
      <w:r w:rsidRPr="00276391">
        <w:rPr>
          <w:lang w:eastAsia="en-AU"/>
        </w:rPr>
        <w:t>arrangements,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directly</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accountable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subcontracted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directly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p>
    <w:p w14:paraId="34656E69" w14:textId="77777777" w:rsidR="00236748" w:rsidRPr="00276391" w:rsidRDefault="00236748" w:rsidP="009B2351">
      <w:pPr>
        <w:pStyle w:val="Heading2"/>
        <w:rPr>
          <w:rFonts w:cs="Arial"/>
          <w:lang w:eastAsia="en-AU"/>
        </w:rPr>
      </w:pPr>
      <w:bookmarkStart w:id="165" w:name="_Toc478991732"/>
      <w:bookmarkStart w:id="166" w:name="_Toc478992338"/>
      <w:bookmarkStart w:id="167" w:name="_Toc478992882"/>
      <w:bookmarkStart w:id="168" w:name="_Toc4142017"/>
      <w:r w:rsidRPr="00276391">
        <w:rPr>
          <w:rFonts w:cs="Arial"/>
          <w:lang w:eastAsia="en-AU"/>
        </w:rPr>
        <w:t>2.5</w:t>
      </w:r>
      <w:r w:rsidR="009B2351" w:rsidRPr="00276391">
        <w:rPr>
          <w:rFonts w:cs="Arial"/>
          <w:lang w:eastAsia="en-AU"/>
        </w:rPr>
        <w:t xml:space="preserve"> </w:t>
      </w:r>
      <w:r w:rsidRPr="00276391">
        <w:rPr>
          <w:rFonts w:cs="Arial"/>
          <w:lang w:eastAsia="en-AU"/>
        </w:rPr>
        <w:t>Parties</w:t>
      </w:r>
      <w:r w:rsidR="009B2351" w:rsidRPr="00276391">
        <w:rPr>
          <w:rFonts w:cs="Arial"/>
          <w:lang w:eastAsia="en-AU"/>
        </w:rPr>
        <w:t xml:space="preserve"> </w:t>
      </w:r>
      <w:r w:rsidRPr="00276391">
        <w:rPr>
          <w:rFonts w:cs="Arial"/>
          <w:lang w:eastAsia="en-AU"/>
        </w:rPr>
        <w:t>to</w:t>
      </w:r>
      <w:r w:rsidR="009B2351" w:rsidRPr="00276391">
        <w:rPr>
          <w:rFonts w:cs="Arial"/>
          <w:lang w:eastAsia="en-AU"/>
        </w:rPr>
        <w:t xml:space="preserve"> </w:t>
      </w:r>
      <w:r w:rsidRPr="00276391">
        <w:rPr>
          <w:rFonts w:cs="Arial"/>
          <w:lang w:eastAsia="en-AU"/>
        </w:rPr>
        <w:t>agreement</w:t>
      </w:r>
      <w:bookmarkEnd w:id="165"/>
      <w:bookmarkEnd w:id="166"/>
      <w:bookmarkEnd w:id="167"/>
      <w:bookmarkEnd w:id="168"/>
    </w:p>
    <w:p w14:paraId="324993B4" w14:textId="5D5E295D" w:rsidR="00236748" w:rsidRPr="00276391" w:rsidRDefault="00236748" w:rsidP="00276391">
      <w:pPr>
        <w:pStyle w:val="DHHSbody"/>
        <w:rPr>
          <w:lang w:eastAsia="en-AU"/>
        </w:rPr>
      </w:pPr>
      <w:r w:rsidRPr="00B24C02">
        <w:rPr>
          <w:rFonts w:cs="Arial"/>
          <w:color w:val="000000"/>
          <w:szCs w:val="19"/>
          <w:lang w:eastAsia="en-AU"/>
        </w:rPr>
        <w:t>Every</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least</w:t>
      </w:r>
      <w:r w:rsidR="005D5532" w:rsidRPr="00B24C02">
        <w:rPr>
          <w:rFonts w:cs="Arial"/>
          <w:color w:val="000000"/>
          <w:szCs w:val="19"/>
          <w:lang w:eastAsia="en-AU"/>
        </w:rPr>
        <w:t xml:space="preserve"> </w:t>
      </w:r>
      <w:r w:rsidRPr="00B24C02">
        <w:rPr>
          <w:rFonts w:cs="Arial"/>
          <w:color w:val="000000"/>
          <w:szCs w:val="19"/>
          <w:lang w:eastAsia="en-AU"/>
        </w:rPr>
        <w:t>two</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delivering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providing</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Non-incorporated</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agreements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multiple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up</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member</w:t>
      </w:r>
      <w:r w:rsidR="005D5532" w:rsidRPr="00B24C02">
        <w:rPr>
          <w:rFonts w:cs="Arial"/>
          <w:color w:val="000000"/>
          <w:szCs w:val="19"/>
          <w:lang w:eastAsia="en-AU"/>
        </w:rPr>
        <w:t xml:space="preserve"> </w:t>
      </w:r>
      <w:r w:rsidRPr="00B24C02">
        <w:rPr>
          <w:rFonts w:cs="Arial"/>
          <w:color w:val="000000"/>
          <w:szCs w:val="19"/>
          <w:lang w:eastAsia="en-AU"/>
        </w:rPr>
        <w:t>organisations.</w:t>
      </w:r>
    </w:p>
    <w:p w14:paraId="4BB426E6" w14:textId="0E5387F0"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name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title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officers</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enter</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important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remain</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date.</w:t>
      </w:r>
    </w:p>
    <w:p w14:paraId="59451C78" w14:textId="77777777" w:rsidR="00236748" w:rsidRPr="00276391" w:rsidRDefault="00236748" w:rsidP="00276391">
      <w:pPr>
        <w:pStyle w:val="Heading3"/>
        <w:rPr>
          <w:lang w:eastAsia="en-AU"/>
        </w:rPr>
      </w:pPr>
      <w:bookmarkStart w:id="169" w:name="_Toc478991733"/>
      <w:bookmarkStart w:id="170" w:name="_Toc478992339"/>
      <w:bookmarkStart w:id="171" w:name="_Toc4142018"/>
      <w:r w:rsidRPr="00276391">
        <w:rPr>
          <w:lang w:eastAsia="en-AU"/>
        </w:rPr>
        <w:t>Organisation</w:t>
      </w:r>
      <w:bookmarkEnd w:id="169"/>
      <w:bookmarkEnd w:id="170"/>
      <w:bookmarkEnd w:id="171"/>
    </w:p>
    <w:p w14:paraId="4B621C68" w14:textId="60CF702F"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authorised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(contract)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behalf</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listed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incorporation</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often</w:t>
      </w:r>
      <w:r w:rsidR="005D5532" w:rsidRPr="00B24C02">
        <w:rPr>
          <w:rFonts w:cs="Arial"/>
          <w:color w:val="000000"/>
          <w:szCs w:val="19"/>
          <w:lang w:eastAsia="en-AU"/>
        </w:rPr>
        <w:t xml:space="preserve"> </w:t>
      </w:r>
      <w:r w:rsidRPr="00B24C02">
        <w:rPr>
          <w:rFonts w:cs="Arial"/>
          <w:color w:val="000000"/>
          <w:szCs w:val="19"/>
          <w:lang w:eastAsia="en-AU"/>
        </w:rPr>
        <w:t>dictate</w:t>
      </w:r>
      <w:r w:rsidR="005D5532" w:rsidRPr="00B24C02">
        <w:rPr>
          <w:rFonts w:cs="Arial"/>
          <w:color w:val="000000"/>
          <w:szCs w:val="19"/>
          <w:lang w:eastAsia="en-AU"/>
        </w:rPr>
        <w:t xml:space="preserve"> </w:t>
      </w:r>
      <w:r w:rsidRPr="00B24C02">
        <w:rPr>
          <w:rFonts w:cs="Arial"/>
          <w:color w:val="000000"/>
          <w:szCs w:val="19"/>
          <w:lang w:eastAsia="en-AU"/>
        </w:rPr>
        <w:t>who</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authority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sign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behalf</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p>
    <w:p w14:paraId="0DE8A271" w14:textId="77777777" w:rsidR="00236748" w:rsidRPr="00276391" w:rsidRDefault="00236748" w:rsidP="00276391">
      <w:pPr>
        <w:pStyle w:val="Heading3"/>
        <w:rPr>
          <w:lang w:eastAsia="en-AU"/>
        </w:rPr>
      </w:pPr>
      <w:bookmarkStart w:id="172" w:name="_Toc478991734"/>
      <w:bookmarkStart w:id="173" w:name="_Toc478992340"/>
      <w:bookmarkStart w:id="174" w:name="_Toc4142019"/>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172"/>
      <w:bookmarkEnd w:id="173"/>
      <w:bookmarkEnd w:id="174"/>
    </w:p>
    <w:p w14:paraId="30AC88AB" w14:textId="21FB16B4"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Victoria</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represented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(ABN</w:t>
      </w:r>
      <w:r w:rsidR="005D5532" w:rsidRPr="00B24C02">
        <w:rPr>
          <w:rFonts w:cs="Arial"/>
          <w:color w:val="000000"/>
          <w:szCs w:val="19"/>
          <w:lang w:eastAsia="en-AU"/>
        </w:rPr>
        <w:t xml:space="preserve"> </w:t>
      </w:r>
      <w:r w:rsidRPr="00B24C02">
        <w:rPr>
          <w:rFonts w:cs="Arial"/>
          <w:color w:val="000000"/>
          <w:szCs w:val="19"/>
          <w:lang w:eastAsia="en-AU"/>
        </w:rPr>
        <w:t>74</w:t>
      </w:r>
      <w:r w:rsidR="005D5532" w:rsidRPr="00B24C02">
        <w:rPr>
          <w:rFonts w:cs="Arial"/>
          <w:color w:val="000000"/>
          <w:szCs w:val="19"/>
          <w:lang w:eastAsia="en-AU"/>
        </w:rPr>
        <w:t xml:space="preserve"> </w:t>
      </w:r>
      <w:r w:rsidRPr="00B24C02">
        <w:rPr>
          <w:rFonts w:cs="Arial"/>
          <w:color w:val="000000"/>
          <w:szCs w:val="19"/>
          <w:lang w:eastAsia="en-AU"/>
        </w:rPr>
        <w:t>410</w:t>
      </w:r>
      <w:r w:rsidR="005D5532" w:rsidRPr="00B24C02">
        <w:rPr>
          <w:rFonts w:cs="Arial"/>
          <w:color w:val="000000"/>
          <w:szCs w:val="19"/>
          <w:lang w:eastAsia="en-AU"/>
        </w:rPr>
        <w:t xml:space="preserve"> </w:t>
      </w:r>
      <w:r w:rsidRPr="00B24C02">
        <w:rPr>
          <w:rFonts w:cs="Arial"/>
          <w:color w:val="000000"/>
          <w:szCs w:val="19"/>
          <w:lang w:eastAsia="en-AU"/>
        </w:rPr>
        <w:t>330</w:t>
      </w:r>
      <w:r w:rsidR="005D5532" w:rsidRPr="00B24C02">
        <w:rPr>
          <w:rFonts w:cs="Arial"/>
          <w:color w:val="000000"/>
          <w:szCs w:val="19"/>
          <w:lang w:eastAsia="en-AU"/>
        </w:rPr>
        <w:t xml:space="preserve"> </w:t>
      </w:r>
      <w:r w:rsidRPr="00B24C02">
        <w:rPr>
          <w:rFonts w:cs="Arial"/>
          <w:color w:val="000000"/>
          <w:szCs w:val="19"/>
          <w:lang w:eastAsia="en-AU"/>
        </w:rPr>
        <w:t>756).</w:t>
      </w:r>
    </w:p>
    <w:p w14:paraId="6603C3C3" w14:textId="54482F65"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housing</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homelessness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Director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Housing.</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responsibility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Secretary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p>
    <w:p w14:paraId="397A0028" w14:textId="27639FEE"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roles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enter</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Ministers,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Secretary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Director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Housing:</w:t>
      </w:r>
    </w:p>
    <w:p w14:paraId="1864E316" w14:textId="77777777" w:rsidR="00236748" w:rsidRPr="00276391" w:rsidRDefault="00236748" w:rsidP="00276391">
      <w:pPr>
        <w:pStyle w:val="DHHSbullet1"/>
        <w:rPr>
          <w:rFonts w:cs="Arial"/>
          <w:lang w:eastAsia="en-AU"/>
        </w:rPr>
      </w:pPr>
      <w:r w:rsidRPr="00276391">
        <w:rPr>
          <w:rFonts w:cs="Arial"/>
          <w:lang w:eastAsia="en-AU"/>
        </w:rPr>
        <w:t>Deputy</w:t>
      </w:r>
      <w:r w:rsidR="005D5532" w:rsidRPr="00276391">
        <w:rPr>
          <w:rFonts w:cs="Arial"/>
          <w:lang w:eastAsia="en-AU"/>
        </w:rPr>
        <w:t xml:space="preserve"> </w:t>
      </w:r>
      <w:r w:rsidRPr="00276391">
        <w:rPr>
          <w:rFonts w:cs="Arial"/>
          <w:lang w:eastAsia="en-AU"/>
        </w:rPr>
        <w:t>Secretaries</w:t>
      </w:r>
      <w:r w:rsidR="005D5532" w:rsidRPr="00276391">
        <w:rPr>
          <w:rFonts w:cs="Arial"/>
          <w:lang w:eastAsia="en-AU"/>
        </w:rPr>
        <w:t xml:space="preserve"> </w:t>
      </w:r>
    </w:p>
    <w:p w14:paraId="716893B0" w14:textId="77777777" w:rsidR="00236748" w:rsidRPr="00276391" w:rsidRDefault="00236748" w:rsidP="00276391">
      <w:pPr>
        <w:pStyle w:val="DHHSbullet1"/>
        <w:rPr>
          <w:rFonts w:cs="Arial"/>
          <w:lang w:eastAsia="en-AU"/>
        </w:rPr>
      </w:pPr>
      <w:r w:rsidRPr="00276391">
        <w:rPr>
          <w:rFonts w:cs="Arial"/>
          <w:lang w:eastAsia="en-AU"/>
        </w:rPr>
        <w:t>Area</w:t>
      </w:r>
      <w:r w:rsidR="005D5532" w:rsidRPr="00276391">
        <w:rPr>
          <w:rFonts w:cs="Arial"/>
          <w:lang w:eastAsia="en-AU"/>
        </w:rPr>
        <w:t xml:space="preserve"> </w:t>
      </w:r>
      <w:r w:rsidRPr="00276391">
        <w:rPr>
          <w:rFonts w:cs="Arial"/>
          <w:lang w:eastAsia="en-AU"/>
        </w:rPr>
        <w:t>Directors</w:t>
      </w:r>
      <w:r w:rsidR="005D5532" w:rsidRPr="00276391">
        <w:rPr>
          <w:rFonts w:cs="Arial"/>
          <w:lang w:eastAsia="en-AU"/>
        </w:rPr>
        <w:t xml:space="preserve"> </w:t>
      </w:r>
    </w:p>
    <w:p w14:paraId="53F6B8D4" w14:textId="77777777" w:rsidR="00236748" w:rsidRPr="00276391" w:rsidRDefault="00236748" w:rsidP="00276391">
      <w:pPr>
        <w:pStyle w:val="DHHSbullet1"/>
        <w:rPr>
          <w:rFonts w:cs="Arial"/>
          <w:lang w:eastAsia="en-AU"/>
        </w:rPr>
      </w:pPr>
      <w:r w:rsidRPr="00276391">
        <w:rPr>
          <w:rFonts w:cs="Arial"/>
          <w:lang w:eastAsia="en-AU"/>
        </w:rPr>
        <w:t>Executive</w:t>
      </w:r>
      <w:r w:rsidR="005D5532" w:rsidRPr="00276391">
        <w:rPr>
          <w:rFonts w:cs="Arial"/>
          <w:lang w:eastAsia="en-AU"/>
        </w:rPr>
        <w:t xml:space="preserve"> </w:t>
      </w:r>
      <w:r w:rsidRPr="00276391">
        <w:rPr>
          <w:rFonts w:cs="Arial"/>
          <w:lang w:eastAsia="en-AU"/>
        </w:rPr>
        <w:t>Directors</w:t>
      </w:r>
      <w:r w:rsidR="005D5532" w:rsidRPr="00276391">
        <w:rPr>
          <w:rFonts w:cs="Arial"/>
          <w:lang w:eastAsia="en-AU"/>
        </w:rPr>
        <w:t xml:space="preserve"> </w:t>
      </w:r>
    </w:p>
    <w:p w14:paraId="3B1D7A74" w14:textId="77777777" w:rsidR="00236748" w:rsidRPr="00276391" w:rsidRDefault="00236748" w:rsidP="00276391">
      <w:pPr>
        <w:pStyle w:val="DHHSbullet1"/>
        <w:rPr>
          <w:rFonts w:cs="Arial"/>
          <w:lang w:eastAsia="en-AU"/>
        </w:rPr>
      </w:pPr>
      <w:r w:rsidRPr="00276391">
        <w:rPr>
          <w:rFonts w:cs="Arial"/>
          <w:lang w:eastAsia="en-AU"/>
        </w:rPr>
        <w:t>Directors.</w:t>
      </w:r>
      <w:r w:rsidR="005D5532" w:rsidRPr="00276391">
        <w:rPr>
          <w:rFonts w:cs="Arial"/>
          <w:lang w:eastAsia="en-AU"/>
        </w:rPr>
        <w:t xml:space="preserve"> </w:t>
      </w:r>
    </w:p>
    <w:p w14:paraId="74EF7B05" w14:textId="77777777" w:rsidR="00236748" w:rsidRPr="00276391" w:rsidRDefault="00236748" w:rsidP="00276391">
      <w:pPr>
        <w:pStyle w:val="Heading3"/>
        <w:rPr>
          <w:lang w:eastAsia="en-AU"/>
        </w:rPr>
      </w:pPr>
      <w:bookmarkStart w:id="175" w:name="_Toc478991735"/>
      <w:bookmarkStart w:id="176" w:name="_Toc478992341"/>
      <w:bookmarkStart w:id="177" w:name="_Toc4142020"/>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bookmarkEnd w:id="175"/>
      <w:bookmarkEnd w:id="176"/>
      <w:bookmarkEnd w:id="177"/>
    </w:p>
    <w:p w14:paraId="224F6894" w14:textId="49ADF2DC"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Secretary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Education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Training</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authorised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positions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Authorisation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dependent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value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value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variation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5B6BAFAF" w14:textId="77777777" w:rsidR="00236748" w:rsidRPr="00276391" w:rsidRDefault="00236748" w:rsidP="00276391">
      <w:pPr>
        <w:pStyle w:val="DHHSbullet1"/>
        <w:rPr>
          <w:rFonts w:cs="Arial"/>
          <w:lang w:eastAsia="en-AU"/>
        </w:rPr>
      </w:pPr>
      <w:r w:rsidRPr="00276391">
        <w:rPr>
          <w:rFonts w:cs="Arial"/>
          <w:lang w:eastAsia="en-AU"/>
        </w:rPr>
        <w:t>Deputy</w:t>
      </w:r>
      <w:r w:rsidR="005D5532" w:rsidRPr="00276391">
        <w:rPr>
          <w:rFonts w:cs="Arial"/>
          <w:lang w:eastAsia="en-AU"/>
        </w:rPr>
        <w:t xml:space="preserve"> </w:t>
      </w:r>
      <w:r w:rsidRPr="00276391">
        <w:rPr>
          <w:rFonts w:cs="Arial"/>
          <w:lang w:eastAsia="en-AU"/>
        </w:rPr>
        <w:t>Secretary</w:t>
      </w:r>
      <w:r w:rsidR="005D5532" w:rsidRPr="00276391">
        <w:rPr>
          <w:rFonts w:cs="Arial"/>
          <w:lang w:eastAsia="en-AU"/>
        </w:rPr>
        <w:t xml:space="preserve"> </w:t>
      </w:r>
    </w:p>
    <w:p w14:paraId="4D3FB613" w14:textId="77777777" w:rsidR="00236748" w:rsidRPr="00276391" w:rsidRDefault="00236748" w:rsidP="00276391">
      <w:pPr>
        <w:pStyle w:val="DHHSbullet1"/>
        <w:rPr>
          <w:rFonts w:cs="Arial"/>
          <w:lang w:eastAsia="en-AU"/>
        </w:rPr>
      </w:pPr>
      <w:r w:rsidRPr="00276391">
        <w:rPr>
          <w:rFonts w:cs="Arial"/>
          <w:lang w:eastAsia="en-AU"/>
        </w:rPr>
        <w:t>Assistant</w:t>
      </w:r>
      <w:r w:rsidR="005D5532" w:rsidRPr="00276391">
        <w:rPr>
          <w:rFonts w:cs="Arial"/>
          <w:lang w:eastAsia="en-AU"/>
        </w:rPr>
        <w:t xml:space="preserve"> </w:t>
      </w:r>
      <w:r w:rsidRPr="00276391">
        <w:rPr>
          <w:rFonts w:cs="Arial"/>
          <w:lang w:eastAsia="en-AU"/>
        </w:rPr>
        <w:t>Regional</w:t>
      </w:r>
      <w:r w:rsidR="005D5532" w:rsidRPr="00276391">
        <w:rPr>
          <w:rFonts w:cs="Arial"/>
          <w:lang w:eastAsia="en-AU"/>
        </w:rPr>
        <w:t xml:space="preserve"> </w:t>
      </w:r>
      <w:r w:rsidRPr="00276391">
        <w:rPr>
          <w:rFonts w:cs="Arial"/>
          <w:lang w:eastAsia="en-AU"/>
        </w:rPr>
        <w:t>Directors</w:t>
      </w:r>
      <w:r w:rsidR="005D5532" w:rsidRPr="00276391">
        <w:rPr>
          <w:rFonts w:cs="Arial"/>
          <w:lang w:eastAsia="en-AU"/>
        </w:rPr>
        <w:t xml:space="preserve"> </w:t>
      </w:r>
    </w:p>
    <w:p w14:paraId="2038C727" w14:textId="77777777" w:rsidR="00236748" w:rsidRPr="00276391" w:rsidRDefault="00236748" w:rsidP="00276391">
      <w:pPr>
        <w:pStyle w:val="DHHSbullet1"/>
        <w:rPr>
          <w:rFonts w:cs="Arial"/>
          <w:lang w:eastAsia="en-AU"/>
        </w:rPr>
      </w:pPr>
      <w:r w:rsidRPr="00276391">
        <w:rPr>
          <w:rFonts w:cs="Arial"/>
          <w:lang w:eastAsia="en-AU"/>
        </w:rPr>
        <w:t>Regional</w:t>
      </w:r>
      <w:r w:rsidR="005D5532" w:rsidRPr="00276391">
        <w:rPr>
          <w:rFonts w:cs="Arial"/>
          <w:lang w:eastAsia="en-AU"/>
        </w:rPr>
        <w:t xml:space="preserve"> </w:t>
      </w:r>
      <w:r w:rsidRPr="00276391">
        <w:rPr>
          <w:rFonts w:cs="Arial"/>
          <w:lang w:eastAsia="en-AU"/>
        </w:rPr>
        <w:t>Directors</w:t>
      </w:r>
      <w:r w:rsidR="005D5532" w:rsidRPr="00276391">
        <w:rPr>
          <w:rFonts w:cs="Arial"/>
          <w:lang w:eastAsia="en-AU"/>
        </w:rPr>
        <w:t xml:space="preserve"> </w:t>
      </w:r>
    </w:p>
    <w:p w14:paraId="3D3CEB40" w14:textId="77777777" w:rsidR="00236748" w:rsidRPr="00276391" w:rsidRDefault="00236748" w:rsidP="00276391">
      <w:pPr>
        <w:pStyle w:val="DHHSbullet1"/>
        <w:rPr>
          <w:rFonts w:cs="Arial"/>
          <w:lang w:eastAsia="en-AU"/>
        </w:rPr>
      </w:pPr>
      <w:r w:rsidRPr="00276391">
        <w:rPr>
          <w:rFonts w:cs="Arial"/>
          <w:lang w:eastAsia="en-AU"/>
        </w:rPr>
        <w:t>Assistant</w:t>
      </w:r>
      <w:r w:rsidR="005D5532" w:rsidRPr="00276391">
        <w:rPr>
          <w:rFonts w:cs="Arial"/>
          <w:lang w:eastAsia="en-AU"/>
        </w:rPr>
        <w:t xml:space="preserve"> </w:t>
      </w:r>
      <w:r w:rsidRPr="00276391">
        <w:rPr>
          <w:rFonts w:cs="Arial"/>
          <w:lang w:eastAsia="en-AU"/>
        </w:rPr>
        <w:t>General</w:t>
      </w:r>
      <w:r w:rsidR="005D5532" w:rsidRPr="00276391">
        <w:rPr>
          <w:rFonts w:cs="Arial"/>
          <w:lang w:eastAsia="en-AU"/>
        </w:rPr>
        <w:t xml:space="preserve"> </w:t>
      </w:r>
      <w:r w:rsidRPr="00276391">
        <w:rPr>
          <w:rFonts w:cs="Arial"/>
          <w:lang w:eastAsia="en-AU"/>
        </w:rPr>
        <w:t>Managers</w:t>
      </w:r>
      <w:r w:rsidR="005D5532" w:rsidRPr="00276391">
        <w:rPr>
          <w:rFonts w:cs="Arial"/>
          <w:lang w:eastAsia="en-AU"/>
        </w:rPr>
        <w:t xml:space="preserve"> </w:t>
      </w:r>
    </w:p>
    <w:p w14:paraId="6519C60C" w14:textId="77777777" w:rsidR="00236748" w:rsidRPr="00276391" w:rsidRDefault="00236748" w:rsidP="00276391">
      <w:pPr>
        <w:pStyle w:val="DHHSbullet1"/>
        <w:rPr>
          <w:rFonts w:cs="Arial"/>
          <w:lang w:eastAsia="en-AU"/>
        </w:rPr>
      </w:pPr>
      <w:r w:rsidRPr="00276391">
        <w:rPr>
          <w:rFonts w:cs="Arial"/>
          <w:lang w:eastAsia="en-AU"/>
        </w:rPr>
        <w:t>General</w:t>
      </w:r>
      <w:r w:rsidR="005D5532" w:rsidRPr="00276391">
        <w:rPr>
          <w:rFonts w:cs="Arial"/>
          <w:lang w:eastAsia="en-AU"/>
        </w:rPr>
        <w:t xml:space="preserve"> </w:t>
      </w:r>
      <w:r w:rsidRPr="00276391">
        <w:rPr>
          <w:rFonts w:cs="Arial"/>
          <w:lang w:eastAsia="en-AU"/>
        </w:rPr>
        <w:t>Managers</w:t>
      </w:r>
      <w:r w:rsidR="005D5532" w:rsidRPr="00276391">
        <w:rPr>
          <w:rFonts w:cs="Arial"/>
          <w:lang w:eastAsia="en-AU"/>
        </w:rPr>
        <w:t xml:space="preserve"> </w:t>
      </w:r>
    </w:p>
    <w:p w14:paraId="28CFA55C" w14:textId="77777777" w:rsidR="00236748" w:rsidRPr="00276391" w:rsidRDefault="00236748" w:rsidP="00276391">
      <w:pPr>
        <w:pStyle w:val="DHHSbullet1"/>
        <w:rPr>
          <w:rFonts w:cs="Arial"/>
          <w:lang w:eastAsia="en-AU"/>
        </w:rPr>
      </w:pPr>
      <w:r w:rsidRPr="00276391">
        <w:rPr>
          <w:rFonts w:cs="Arial"/>
          <w:lang w:eastAsia="en-AU"/>
        </w:rPr>
        <w:t>Executive</w:t>
      </w:r>
      <w:r w:rsidR="005D5532" w:rsidRPr="00276391">
        <w:rPr>
          <w:rFonts w:cs="Arial"/>
          <w:lang w:eastAsia="en-AU"/>
        </w:rPr>
        <w:t xml:space="preserve"> </w:t>
      </w:r>
      <w:r w:rsidRPr="00276391">
        <w:rPr>
          <w:rFonts w:cs="Arial"/>
          <w:lang w:eastAsia="en-AU"/>
        </w:rPr>
        <w:t>Director</w:t>
      </w:r>
      <w:r w:rsidR="005D5532" w:rsidRPr="00276391">
        <w:rPr>
          <w:rFonts w:cs="Arial"/>
          <w:lang w:eastAsia="en-AU"/>
        </w:rPr>
        <w:t xml:space="preserve"> </w:t>
      </w:r>
    </w:p>
    <w:p w14:paraId="41077C95" w14:textId="1A686125" w:rsidR="00236748" w:rsidRPr="00276391" w:rsidRDefault="00236748" w:rsidP="009B2351">
      <w:pPr>
        <w:pStyle w:val="Heading2"/>
        <w:rPr>
          <w:rFonts w:cs="Arial"/>
          <w:lang w:eastAsia="en-AU"/>
        </w:rPr>
      </w:pPr>
      <w:bookmarkStart w:id="178" w:name="_Toc478991736"/>
      <w:bookmarkStart w:id="179" w:name="_Toc478992342"/>
      <w:bookmarkStart w:id="180" w:name="_Toc478992883"/>
      <w:bookmarkStart w:id="181" w:name="_Toc4142021"/>
      <w:r w:rsidRPr="00276391">
        <w:rPr>
          <w:rFonts w:cs="Arial"/>
          <w:lang w:eastAsia="en-AU"/>
        </w:rPr>
        <w:t>2.6</w:t>
      </w:r>
      <w:r w:rsidR="009B2351" w:rsidRPr="00276391">
        <w:rPr>
          <w:rFonts w:cs="Arial"/>
          <w:lang w:eastAsia="en-AU"/>
        </w:rPr>
        <w:t xml:space="preserve"> </w:t>
      </w:r>
      <w:r w:rsidRPr="00276391">
        <w:rPr>
          <w:rFonts w:cs="Arial"/>
          <w:lang w:eastAsia="en-AU"/>
        </w:rPr>
        <w:t>Signing</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009B3052">
        <w:rPr>
          <w:rFonts w:cs="Arial"/>
          <w:lang w:eastAsia="en-AU"/>
        </w:rPr>
        <w:t>Service agreement</w:t>
      </w:r>
      <w:r w:rsidRPr="00276391">
        <w:rPr>
          <w:rFonts w:cs="Arial"/>
          <w:lang w:eastAsia="en-AU"/>
        </w:rPr>
        <w:t>s</w:t>
      </w:r>
      <w:bookmarkEnd w:id="178"/>
      <w:bookmarkEnd w:id="179"/>
      <w:bookmarkEnd w:id="180"/>
      <w:bookmarkEnd w:id="181"/>
    </w:p>
    <w:p w14:paraId="574348E1" w14:textId="180CCE2C"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existing</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relationship</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00D45BB7">
        <w:rPr>
          <w:rFonts w:cs="Arial"/>
          <w:color w:val="000000"/>
          <w:szCs w:val="19"/>
          <w:lang w:eastAsia="en-AU"/>
        </w:rPr>
        <w:t>Department Health and Human Services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00D45BB7">
        <w:rPr>
          <w:rFonts w:cs="Arial"/>
          <w:color w:val="000000"/>
          <w:szCs w:val="19"/>
          <w:lang w:eastAsia="en-AU"/>
        </w:rPr>
        <w:t>Department Education and Training</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physically</w:t>
      </w:r>
      <w:r w:rsidR="005D5532" w:rsidRPr="00B24C02">
        <w:rPr>
          <w:rFonts w:cs="Arial"/>
          <w:color w:val="000000"/>
          <w:szCs w:val="19"/>
          <w:lang w:eastAsia="en-AU"/>
        </w:rPr>
        <w:t xml:space="preserve"> </w:t>
      </w:r>
      <w:r w:rsidRPr="00B24C02">
        <w:rPr>
          <w:rFonts w:cs="Arial"/>
          <w:color w:val="000000"/>
          <w:szCs w:val="19"/>
          <w:lang w:eastAsia="en-AU"/>
        </w:rPr>
        <w:t>sign</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4B4FB708" w14:textId="2A10AAD8" w:rsidR="00236748" w:rsidRPr="00276391" w:rsidRDefault="00236748" w:rsidP="00276391">
      <w:pPr>
        <w:pStyle w:val="DHHSbody"/>
        <w:rPr>
          <w:lang w:eastAsia="en-AU"/>
        </w:rPr>
      </w:pPr>
      <w:r w:rsidRPr="00276391">
        <w:rPr>
          <w:lang w:eastAsia="en-AU"/>
        </w:rPr>
        <w:lastRenderedPageBreak/>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sign</w:t>
      </w:r>
      <w:r w:rsidR="005D5532" w:rsidRPr="00276391">
        <w:rPr>
          <w:lang w:eastAsia="en-AU"/>
        </w:rPr>
        <w:t xml:space="preserve"> </w:t>
      </w:r>
      <w:r w:rsidRPr="00276391">
        <w:rPr>
          <w:lang w:eastAsia="en-AU"/>
        </w:rPr>
        <w:t>subsequent</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deliverables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matters</w:t>
      </w:r>
      <w:r w:rsidR="005D5532" w:rsidRPr="00276391">
        <w:rPr>
          <w:lang w:eastAsia="en-AU"/>
        </w:rPr>
        <w:t xml:space="preserve"> </w:t>
      </w:r>
      <w:r w:rsidRPr="00276391">
        <w:rPr>
          <w:lang w:eastAsia="en-AU"/>
        </w:rPr>
        <w:t>contained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notified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enable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4C2D78D6" w14:textId="07C6F13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existing</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relationship</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break</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w:t>
      </w:r>
      <w:r w:rsidR="009B3052">
        <w:rPr>
          <w:lang w:eastAsia="en-AU"/>
        </w:rPr>
        <w:t>Service agreement</w:t>
      </w:r>
      <w:r w:rsidR="005D5532" w:rsidRPr="00276391">
        <w:rPr>
          <w:lang w:eastAsia="en-AU"/>
        </w:rPr>
        <w:t xml:space="preserve"> </w:t>
      </w:r>
      <w:r w:rsidRPr="00276391">
        <w:rPr>
          <w:lang w:eastAsia="en-AU"/>
        </w:rPr>
        <w:t>periods),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established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signed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parties.</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00D57604">
        <w:rPr>
          <w:lang w:eastAsia="en-AU"/>
        </w:rPr>
        <w:t xml:space="preserve">in </w:t>
      </w:r>
      <w:hyperlink r:id="rId36" w:history="1">
        <w:r w:rsidR="00D57604" w:rsidRPr="00CD4680">
          <w:rPr>
            <w:rStyle w:val="Hyperlink"/>
            <w:lang w:eastAsia="en-AU"/>
          </w:rPr>
          <w:t>My Agency</w:t>
        </w:r>
      </w:hyperlink>
      <w:r w:rsidR="00D57604">
        <w:rPr>
          <w:lang w:eastAsia="en-AU"/>
        </w:rPr>
        <w:t xml:space="preserve"> &lt;</w:t>
      </w:r>
      <w:r w:rsidR="00CD4680" w:rsidRPr="00B73DBE">
        <w:t>https://fac.dhhs.vic.gov.au/my-agency</w:t>
      </w:r>
      <w:r w:rsidR="00CD4680">
        <w:t>&gt;</w:t>
      </w:r>
      <w:r w:rsidR="00CD4680"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allows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this</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online.</w:t>
      </w:r>
    </w:p>
    <w:p w14:paraId="078175CC" w14:textId="6AF60EE8"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prefers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hold/sign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paper</w:t>
      </w:r>
      <w:r w:rsidR="005D5532" w:rsidRPr="00276391">
        <w:rPr>
          <w:lang w:eastAsia="en-AU"/>
        </w:rPr>
        <w:t xml:space="preserve"> </w:t>
      </w:r>
      <w:r w:rsidRPr="00276391">
        <w:rPr>
          <w:lang w:eastAsia="en-AU"/>
        </w:rPr>
        <w:t>copy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download</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Portable</w:t>
      </w:r>
      <w:r w:rsidR="005D5532" w:rsidRPr="00276391">
        <w:rPr>
          <w:lang w:eastAsia="en-AU"/>
        </w:rPr>
        <w:t xml:space="preserve"> </w:t>
      </w:r>
      <w:r w:rsidRPr="00276391">
        <w:rPr>
          <w:lang w:eastAsia="en-AU"/>
        </w:rPr>
        <w:t>Document</w:t>
      </w:r>
      <w:r w:rsidR="005D5532" w:rsidRPr="00276391">
        <w:rPr>
          <w:lang w:eastAsia="en-AU"/>
        </w:rPr>
        <w:t xml:space="preserve"> </w:t>
      </w:r>
      <w:r w:rsidRPr="00276391">
        <w:rPr>
          <w:lang w:eastAsia="en-AU"/>
        </w:rPr>
        <w:t>Format</w:t>
      </w:r>
      <w:r w:rsidR="005D5532" w:rsidRPr="00276391">
        <w:rPr>
          <w:lang w:eastAsia="en-AU"/>
        </w:rPr>
        <w:t xml:space="preserve"> </w:t>
      </w:r>
      <w:r w:rsidRPr="00276391">
        <w:rPr>
          <w:lang w:eastAsia="en-AU"/>
        </w:rPr>
        <w:t>(PDF)</w:t>
      </w:r>
      <w:r w:rsidR="005D5532" w:rsidRPr="00276391">
        <w:rPr>
          <w:lang w:eastAsia="en-AU"/>
        </w:rPr>
        <w:t xml:space="preserve"> </w:t>
      </w:r>
      <w:r w:rsidRPr="00276391">
        <w:rPr>
          <w:lang w:eastAsia="en-AU"/>
        </w:rPr>
        <w:t>version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contract</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00D57604">
        <w:rPr>
          <w:lang w:eastAsia="en-AU"/>
        </w:rPr>
        <w:t xml:space="preserve">in </w:t>
      </w:r>
      <w:hyperlink r:id="rId37" w:history="1">
        <w:r w:rsidR="00D57604" w:rsidRPr="00CD4680">
          <w:rPr>
            <w:rStyle w:val="Hyperlink"/>
            <w:lang w:eastAsia="en-AU"/>
          </w:rPr>
          <w:t>My Agency</w:t>
        </w:r>
        <w:r w:rsidR="00CD4680" w:rsidRPr="00CD4680">
          <w:rPr>
            <w:rStyle w:val="Hyperlink"/>
            <w:lang w:eastAsia="en-AU"/>
          </w:rPr>
          <w:t xml:space="preserve"> </w:t>
        </w:r>
      </w:hyperlink>
      <w:r w:rsidR="00CD4680">
        <w:t>&lt;</w:t>
      </w:r>
      <w:r w:rsidR="00CD4680" w:rsidRPr="00B73DBE">
        <w:t>https://fac.dhhs.vic.gov.au/my-agency</w:t>
      </w:r>
      <w:r w:rsidR="00CD4680">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0C90D49A" w14:textId="25443963" w:rsidR="00236748" w:rsidRPr="00276391" w:rsidRDefault="00236748" w:rsidP="009B2351">
      <w:pPr>
        <w:pStyle w:val="Heading2"/>
        <w:rPr>
          <w:rFonts w:cs="Arial"/>
          <w:lang w:eastAsia="en-AU"/>
        </w:rPr>
      </w:pPr>
      <w:bookmarkStart w:id="182" w:name="_Toc478991737"/>
      <w:bookmarkStart w:id="183" w:name="_Toc478992343"/>
      <w:bookmarkStart w:id="184" w:name="_Toc478992884"/>
      <w:bookmarkStart w:id="185" w:name="_Toc4142022"/>
      <w:r w:rsidRPr="00276391">
        <w:rPr>
          <w:rFonts w:cs="Arial"/>
          <w:lang w:eastAsia="en-AU"/>
        </w:rPr>
        <w:t>2.7</w:t>
      </w:r>
      <w:r w:rsidR="009B2351" w:rsidRPr="00276391">
        <w:rPr>
          <w:rFonts w:cs="Arial"/>
          <w:lang w:eastAsia="en-AU"/>
        </w:rPr>
        <w:t xml:space="preserve"> </w:t>
      </w:r>
      <w:r w:rsidRPr="00276391">
        <w:rPr>
          <w:rFonts w:cs="Arial"/>
          <w:lang w:eastAsia="en-AU"/>
        </w:rPr>
        <w:t>Management</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009B3052">
        <w:rPr>
          <w:rFonts w:cs="Arial"/>
          <w:lang w:eastAsia="en-AU"/>
        </w:rPr>
        <w:t>Service agreement</w:t>
      </w:r>
      <w:r w:rsidRPr="00276391">
        <w:rPr>
          <w:rFonts w:cs="Arial"/>
          <w:lang w:eastAsia="en-AU"/>
        </w:rPr>
        <w:t>s</w:t>
      </w:r>
      <w:bookmarkEnd w:id="182"/>
      <w:bookmarkEnd w:id="183"/>
      <w:bookmarkEnd w:id="184"/>
      <w:bookmarkEnd w:id="185"/>
    </w:p>
    <w:p w14:paraId="2B38C1FB" w14:textId="0DD294F4" w:rsidR="00236748" w:rsidRPr="00276391" w:rsidRDefault="00236748" w:rsidP="00276391">
      <w:pPr>
        <w:pStyle w:val="DHHSbody"/>
        <w:rPr>
          <w:lang w:eastAsia="en-AU"/>
        </w:rPr>
      </w:pP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acknowledge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partnering</w:t>
      </w:r>
      <w:r w:rsidR="005D5532" w:rsidRPr="00B24C02">
        <w:rPr>
          <w:rFonts w:cs="Arial"/>
          <w:color w:val="000000"/>
          <w:szCs w:val="19"/>
          <w:lang w:eastAsia="en-AU"/>
        </w:rPr>
        <w:t xml:space="preserve"> </w:t>
      </w:r>
      <w:r w:rsidRPr="00B24C02">
        <w:rPr>
          <w:rFonts w:cs="Arial"/>
          <w:color w:val="000000"/>
          <w:szCs w:val="19"/>
          <w:lang w:eastAsia="en-AU"/>
        </w:rPr>
        <w:t>approach</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working</w:t>
      </w:r>
      <w:r w:rsidR="005D5532" w:rsidRPr="00B24C02">
        <w:rPr>
          <w:rFonts w:cs="Arial"/>
          <w:color w:val="000000"/>
          <w:szCs w:val="19"/>
          <w:lang w:eastAsia="en-AU"/>
        </w:rPr>
        <w:t xml:space="preserve"> </w:t>
      </w:r>
      <w:r w:rsidRPr="00B24C02">
        <w:rPr>
          <w:rFonts w:cs="Arial"/>
          <w:color w:val="000000"/>
          <w:szCs w:val="19"/>
          <w:lang w:eastAsia="en-AU"/>
        </w:rPr>
        <w:t>together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commit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acting</w:t>
      </w:r>
      <w:r w:rsidR="005D5532" w:rsidRPr="00B24C02">
        <w:rPr>
          <w:rFonts w:cs="Arial"/>
          <w:color w:val="000000"/>
          <w:szCs w:val="19"/>
          <w:lang w:eastAsia="en-AU"/>
        </w:rPr>
        <w:t xml:space="preserve"> </w:t>
      </w:r>
      <w:r w:rsidRPr="00B24C02">
        <w:rPr>
          <w:rFonts w:cs="Arial"/>
          <w:color w:val="000000"/>
          <w:szCs w:val="19"/>
          <w:lang w:eastAsia="en-AU"/>
        </w:rPr>
        <w:t>reasonably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good</w:t>
      </w:r>
      <w:r w:rsidR="005D5532" w:rsidRPr="00B24C02">
        <w:rPr>
          <w:rFonts w:cs="Arial"/>
          <w:color w:val="000000"/>
          <w:szCs w:val="19"/>
          <w:lang w:eastAsia="en-AU"/>
        </w:rPr>
        <w:t xml:space="preserve"> </w:t>
      </w:r>
      <w:r w:rsidRPr="00B24C02">
        <w:rPr>
          <w:rFonts w:cs="Arial"/>
          <w:color w:val="000000"/>
          <w:szCs w:val="19"/>
          <w:lang w:eastAsia="en-AU"/>
        </w:rPr>
        <w:t>faith</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achieve</w:t>
      </w:r>
      <w:r w:rsidR="005D5532" w:rsidRPr="00B24C02">
        <w:rPr>
          <w:rFonts w:cs="Arial"/>
          <w:color w:val="000000"/>
          <w:szCs w:val="19"/>
          <w:lang w:eastAsia="en-AU"/>
        </w:rPr>
        <w:t xml:space="preserve"> </w:t>
      </w:r>
      <w:r w:rsidRPr="00B24C02">
        <w:rPr>
          <w:rFonts w:cs="Arial"/>
          <w:color w:val="000000"/>
          <w:szCs w:val="19"/>
          <w:lang w:eastAsia="en-AU"/>
        </w:rPr>
        <w:t>objectives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3B769034" w14:textId="0B192805" w:rsidR="00236748" w:rsidRPr="00276391" w:rsidRDefault="00236748" w:rsidP="00276391">
      <w:pPr>
        <w:pStyle w:val="DHHSbody"/>
        <w:rPr>
          <w:lang w:eastAsia="en-AU"/>
        </w:rPr>
      </w:pPr>
      <w:r w:rsidRPr="00276391">
        <w:rPr>
          <w:lang w:eastAsia="en-AU"/>
        </w:rPr>
        <w:t>When</w:t>
      </w:r>
      <w:r w:rsidR="005D5532" w:rsidRPr="00276391">
        <w:rPr>
          <w:lang w:eastAsia="en-AU"/>
        </w:rPr>
        <w:t xml:space="preserve"> </w:t>
      </w:r>
      <w:r w:rsidRPr="00276391">
        <w:rPr>
          <w:lang w:eastAsia="en-AU"/>
        </w:rPr>
        <w:t>negotiating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managing</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partnership</w:t>
      </w:r>
      <w:r w:rsidR="005D5532" w:rsidRPr="00276391">
        <w:rPr>
          <w:lang w:eastAsia="en-AU"/>
        </w:rPr>
        <w:t xml:space="preserve"> </w:t>
      </w:r>
      <w:r w:rsidRPr="00276391">
        <w:rPr>
          <w:lang w:eastAsia="en-AU"/>
        </w:rPr>
        <w:t>principles,</w:t>
      </w:r>
      <w:r w:rsidR="005D5532" w:rsidRPr="00276391">
        <w:rPr>
          <w:lang w:eastAsia="en-AU"/>
        </w:rPr>
        <w:t xml:space="preserve"> </w:t>
      </w:r>
      <w:r w:rsidRPr="00276391">
        <w:rPr>
          <w:lang w:eastAsia="en-AU"/>
        </w:rPr>
        <w:t>reflected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b/>
          <w:bCs/>
          <w:lang w:eastAsia="en-AU"/>
        </w:rPr>
        <w:t>Partnership</w:t>
      </w:r>
      <w:r w:rsidR="005D5532" w:rsidRPr="00276391">
        <w:rPr>
          <w:b/>
          <w:bCs/>
          <w:lang w:eastAsia="en-AU"/>
        </w:rPr>
        <w:t xml:space="preserve"> </w:t>
      </w:r>
      <w:r w:rsidRPr="00276391">
        <w:rPr>
          <w:b/>
          <w:bCs/>
          <w:lang w:eastAsia="en-AU"/>
        </w:rPr>
        <w:t>Agreement</w:t>
      </w:r>
      <w:r w:rsidR="005D5532" w:rsidRPr="00276391">
        <w:rPr>
          <w:b/>
          <w:bCs/>
          <w:lang w:eastAsia="en-AU"/>
        </w:rPr>
        <w:t xml:space="preserve"> </w:t>
      </w:r>
      <w:r w:rsidRPr="00276391">
        <w:rPr>
          <w:b/>
          <w:bCs/>
          <w:lang w:eastAsia="en-AU"/>
        </w:rPr>
        <w:t>or</w:t>
      </w:r>
      <w:r w:rsidR="005D5532" w:rsidRPr="00276391">
        <w:rPr>
          <w:b/>
          <w:bCs/>
          <w:lang w:eastAsia="en-AU"/>
        </w:rPr>
        <w:t xml:space="preserve"> </w:t>
      </w:r>
      <w:r w:rsidRPr="00276391">
        <w:rPr>
          <w:b/>
          <w:bCs/>
          <w:lang w:eastAsia="en-AU"/>
        </w:rPr>
        <w:t>Partnership</w:t>
      </w:r>
      <w:r w:rsidR="005D5532" w:rsidRPr="00276391">
        <w:rPr>
          <w:b/>
          <w:bCs/>
          <w:lang w:eastAsia="en-AU"/>
        </w:rPr>
        <w:t xml:space="preserve"> </w:t>
      </w:r>
      <w:r w:rsidRPr="00276391">
        <w:rPr>
          <w:b/>
          <w:bCs/>
          <w:lang w:eastAsia="en-AU"/>
        </w:rPr>
        <w:t>in</w:t>
      </w:r>
      <w:r w:rsidR="005D5532" w:rsidRPr="00276391">
        <w:rPr>
          <w:b/>
          <w:bCs/>
          <w:lang w:eastAsia="en-AU"/>
        </w:rPr>
        <w:t xml:space="preserve"> </w:t>
      </w:r>
      <w:r w:rsidRPr="00276391">
        <w:rPr>
          <w:b/>
          <w:bCs/>
          <w:lang w:eastAsia="en-AU"/>
        </w:rPr>
        <w:t>Practice</w:t>
      </w:r>
      <w:r w:rsidR="005D5532" w:rsidRPr="00276391">
        <w:rPr>
          <w:b/>
          <w:bCs/>
          <w:lang w:eastAsia="en-AU"/>
        </w:rPr>
        <w:t xml:space="preserve"> </w:t>
      </w:r>
      <w:r w:rsidRPr="00276391">
        <w:rPr>
          <w:b/>
          <w:bCs/>
          <w:lang w:eastAsia="en-AU"/>
        </w:rPr>
        <w:t>Memorandum</w:t>
      </w:r>
      <w:r w:rsidR="005D5532" w:rsidRPr="00276391">
        <w:rPr>
          <w:b/>
          <w:bCs/>
          <w:lang w:eastAsia="en-AU"/>
        </w:rPr>
        <w:t xml:space="preserve"> </w:t>
      </w:r>
      <w:r w:rsidRPr="00276391">
        <w:rPr>
          <w:b/>
          <w:bCs/>
          <w:lang w:eastAsia="en-AU"/>
        </w:rPr>
        <w:t>of</w:t>
      </w:r>
      <w:r w:rsidR="005D5532" w:rsidRPr="00276391">
        <w:rPr>
          <w:b/>
          <w:bCs/>
          <w:lang w:eastAsia="en-AU"/>
        </w:rPr>
        <w:t xml:space="preserve"> </w:t>
      </w:r>
      <w:r w:rsidRPr="00276391">
        <w:rPr>
          <w:b/>
          <w:bCs/>
          <w:lang w:eastAsia="en-AU"/>
        </w:rPr>
        <w:t>Understanding</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within</w:t>
      </w:r>
      <w:r w:rsidR="005D5532" w:rsidRPr="00276391">
        <w:rPr>
          <w:lang w:eastAsia="en-AU"/>
        </w:rPr>
        <w:t xml:space="preserve"> </w:t>
      </w:r>
      <w:hyperlink w:anchor="_Chapter_1._Introduction" w:tooltip="link to section 1. Introduction" w:history="1">
        <w:r w:rsidR="00B9407B">
          <w:rPr>
            <w:rStyle w:val="Hyperlink"/>
          </w:rPr>
          <w:t>C</w:t>
        </w:r>
        <w:r w:rsidRPr="00C94233">
          <w:rPr>
            <w:rStyle w:val="Hyperlink"/>
          </w:rPr>
          <w:t>hapter</w:t>
        </w:r>
        <w:r w:rsidR="005D5532" w:rsidRPr="00C94233">
          <w:rPr>
            <w:rStyle w:val="Hyperlink"/>
          </w:rPr>
          <w:t xml:space="preserve"> </w:t>
        </w:r>
        <w:r w:rsidRPr="00C94233">
          <w:rPr>
            <w:rStyle w:val="Hyperlink"/>
          </w:rPr>
          <w:t>1</w:t>
        </w:r>
      </w:hyperlink>
      <w:r w:rsidRPr="00276391">
        <w:rPr>
          <w:lang w:eastAsia="en-AU"/>
        </w:rPr>
        <w:t>.</w:t>
      </w:r>
    </w:p>
    <w:p w14:paraId="4E86E272" w14:textId="10B3EE25" w:rsidR="00236748" w:rsidRPr="00276391" w:rsidRDefault="00236748" w:rsidP="00276391">
      <w:pPr>
        <w:pStyle w:val="Heading3"/>
        <w:rPr>
          <w:lang w:eastAsia="en-AU"/>
        </w:rPr>
      </w:pPr>
      <w:bookmarkStart w:id="186" w:name="_Toc478991738"/>
      <w:bookmarkStart w:id="187" w:name="_Toc478992344"/>
      <w:bookmarkStart w:id="188" w:name="_Toc4142023"/>
      <w:r w:rsidRPr="00276391">
        <w:rPr>
          <w:lang w:eastAsia="en-AU"/>
        </w:rPr>
        <w:t>Role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departmental</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contacts</w:t>
      </w:r>
      <w:bookmarkEnd w:id="186"/>
      <w:bookmarkEnd w:id="187"/>
      <w:bookmarkEnd w:id="188"/>
    </w:p>
    <w:p w14:paraId="25750E68" w14:textId="00259007" w:rsidR="00BB453A" w:rsidRDefault="00236748" w:rsidP="00276391">
      <w:pPr>
        <w:pStyle w:val="DHHSbody"/>
        <w:rPr>
          <w:rFonts w:cs="Arial"/>
          <w:color w:val="000000"/>
          <w:szCs w:val="19"/>
          <w:lang w:eastAsia="en-AU"/>
        </w:rPr>
      </w:pP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assigned</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who</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responsible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overseeing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variation</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BB453A">
        <w:rPr>
          <w:rFonts w:cs="Arial"/>
          <w:color w:val="000000"/>
          <w:szCs w:val="19"/>
          <w:lang w:eastAsia="en-AU"/>
        </w:rPr>
        <w:t xml:space="preserve"> </w:t>
      </w:r>
    </w:p>
    <w:p w14:paraId="27AA1B2A" w14:textId="6A0E3346" w:rsidR="00236748" w:rsidRPr="00276391" w:rsidRDefault="00BB453A" w:rsidP="00276391">
      <w:pPr>
        <w:pStyle w:val="DHHSbody"/>
        <w:rPr>
          <w:lang w:eastAsia="en-AU"/>
        </w:rPr>
      </w:pPr>
      <w:r>
        <w:rPr>
          <w:rFonts w:cs="Arial"/>
          <w:color w:val="000000"/>
          <w:szCs w:val="19"/>
          <w:lang w:eastAsia="en-AU"/>
        </w:rPr>
        <w:t xml:space="preserve">If the organisation is funded for various service types, the department assigned service plan contacts </w:t>
      </w:r>
      <w:r w:rsidR="005079DE">
        <w:rPr>
          <w:rFonts w:cs="Arial"/>
          <w:color w:val="000000"/>
          <w:szCs w:val="19"/>
          <w:lang w:eastAsia="en-AU"/>
        </w:rPr>
        <w:t>will</w:t>
      </w:r>
      <w:r>
        <w:rPr>
          <w:rFonts w:cs="Arial"/>
          <w:color w:val="000000"/>
          <w:szCs w:val="19"/>
          <w:lang w:eastAsia="en-AU"/>
        </w:rPr>
        <w:t xml:space="preserve"> also engage with the organisation.</w:t>
      </w:r>
    </w:p>
    <w:p w14:paraId="43E0D560" w14:textId="4329582E" w:rsidR="00236748" w:rsidRPr="00276391" w:rsidRDefault="00236748" w:rsidP="00276391">
      <w:pPr>
        <w:pStyle w:val="DHHSbody"/>
        <w:rPr>
          <w:lang w:eastAsia="en-AU"/>
        </w:rPr>
      </w:pPr>
      <w:r w:rsidRPr="00276391">
        <w:rPr>
          <w:lang w:eastAsia="en-AU"/>
        </w:rPr>
        <w:t>These</w:t>
      </w:r>
      <w:r w:rsidR="005D5532" w:rsidRPr="00276391">
        <w:rPr>
          <w:lang w:eastAsia="en-AU"/>
        </w:rPr>
        <w:t xml:space="preserve"> </w:t>
      </w:r>
      <w:r w:rsidRPr="00276391">
        <w:rPr>
          <w:lang w:eastAsia="en-AU"/>
        </w:rPr>
        <w:t>departmental</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contacts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adherence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play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important</w:t>
      </w:r>
      <w:r w:rsidR="005D5532" w:rsidRPr="00276391">
        <w:rPr>
          <w:lang w:eastAsia="en-AU"/>
        </w:rPr>
        <w:t xml:space="preserve"> </w:t>
      </w:r>
      <w:r w:rsidRPr="00276391">
        <w:rPr>
          <w:lang w:eastAsia="en-AU"/>
        </w:rPr>
        <w:t>role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building</w:t>
      </w:r>
      <w:r w:rsidR="005D5532" w:rsidRPr="00276391">
        <w:rPr>
          <w:lang w:eastAsia="en-AU"/>
        </w:rPr>
        <w:t xml:space="preserve"> </w:t>
      </w:r>
      <w:r w:rsidRPr="00276391">
        <w:rPr>
          <w:lang w:eastAsia="en-AU"/>
        </w:rPr>
        <w:t>collaborative</w:t>
      </w:r>
      <w:r w:rsidR="005D5532" w:rsidRPr="00276391">
        <w:rPr>
          <w:lang w:eastAsia="en-AU"/>
        </w:rPr>
        <w:t xml:space="preserve"> </w:t>
      </w:r>
      <w:r w:rsidRPr="00276391">
        <w:rPr>
          <w:lang w:eastAsia="en-AU"/>
        </w:rPr>
        <w:t>relationships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advising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planning.</w:t>
      </w:r>
    </w:p>
    <w:p w14:paraId="2366A9C8" w14:textId="46CDE977" w:rsidR="00236748" w:rsidRPr="00276391" w:rsidRDefault="00236748" w:rsidP="00276391">
      <w:pPr>
        <w:pStyle w:val="Heading3"/>
        <w:rPr>
          <w:lang w:eastAsia="en-AU"/>
        </w:rPr>
      </w:pPr>
      <w:bookmarkStart w:id="189" w:name="_Toc478991739"/>
      <w:bookmarkStart w:id="190" w:name="_Toc478992345"/>
      <w:bookmarkStart w:id="191" w:name="_Toc4142024"/>
      <w:r w:rsidRPr="00276391">
        <w:rPr>
          <w:lang w:eastAsia="en-AU"/>
        </w:rPr>
        <w:t>Calendar</w:t>
      </w:r>
      <w:r w:rsidR="005D5532" w:rsidRPr="00276391">
        <w:rPr>
          <w:lang w:eastAsia="en-AU"/>
        </w:rPr>
        <w:t xml:space="preserve"> </w:t>
      </w:r>
      <w:r w:rsidRPr="00276391">
        <w:rPr>
          <w:lang w:eastAsia="en-AU"/>
        </w:rPr>
        <w:t>of</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events</w:t>
      </w:r>
      <w:bookmarkEnd w:id="189"/>
      <w:bookmarkEnd w:id="190"/>
      <w:bookmarkEnd w:id="191"/>
    </w:p>
    <w:p w14:paraId="348C1255" w14:textId="792A6DD3"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calendar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events</w:t>
      </w:r>
      <w:r w:rsidR="005D5532" w:rsidRPr="00B24C02">
        <w:rPr>
          <w:rFonts w:cs="Arial"/>
          <w:color w:val="000000"/>
          <w:szCs w:val="19"/>
          <w:lang w:eastAsia="en-AU"/>
        </w:rPr>
        <w:t xml:space="preserve"> </w:t>
      </w:r>
      <w:r w:rsidRPr="00B24C02">
        <w:rPr>
          <w:rFonts w:cs="Arial"/>
          <w:color w:val="000000"/>
          <w:szCs w:val="19"/>
          <w:lang w:eastAsia="en-AU"/>
        </w:rPr>
        <w:t>sets</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key</w:t>
      </w:r>
      <w:r w:rsidR="005D5532" w:rsidRPr="00B24C02">
        <w:rPr>
          <w:rFonts w:cs="Arial"/>
          <w:color w:val="000000"/>
          <w:szCs w:val="19"/>
          <w:lang w:eastAsia="en-AU"/>
        </w:rPr>
        <w:t xml:space="preserve"> </w:t>
      </w:r>
      <w:r w:rsidRPr="00B24C02">
        <w:rPr>
          <w:rFonts w:cs="Arial"/>
          <w:color w:val="000000"/>
          <w:szCs w:val="19"/>
          <w:lang w:eastAsia="en-AU"/>
        </w:rPr>
        <w:t>dates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actions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includes:</w:t>
      </w:r>
    </w:p>
    <w:p w14:paraId="7CA814F3" w14:textId="620CD964" w:rsidR="00236748" w:rsidRPr="00276391" w:rsidRDefault="00236748" w:rsidP="00276391">
      <w:pPr>
        <w:pStyle w:val="DHHSbullet1"/>
        <w:rPr>
          <w:rFonts w:cs="Arial"/>
          <w:lang w:eastAsia="en-AU"/>
        </w:rPr>
      </w:pPr>
      <w:r w:rsidRPr="00276391">
        <w:rPr>
          <w:rFonts w:cs="Arial"/>
          <w:lang w:eastAsia="en-AU"/>
        </w:rPr>
        <w:t>when</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variations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processed</w:t>
      </w:r>
      <w:r w:rsidR="005D5532" w:rsidRPr="00276391">
        <w:rPr>
          <w:rFonts w:cs="Arial"/>
          <w:lang w:eastAsia="en-AU"/>
        </w:rPr>
        <w:t xml:space="preserve"> </w:t>
      </w:r>
    </w:p>
    <w:p w14:paraId="5738B8D2" w14:textId="77777777" w:rsidR="00236748" w:rsidRPr="00276391" w:rsidRDefault="00236748" w:rsidP="00276391">
      <w:pPr>
        <w:pStyle w:val="DHHSbullet1"/>
        <w:rPr>
          <w:rFonts w:cs="Arial"/>
          <w:lang w:eastAsia="en-AU"/>
        </w:rPr>
      </w:pPr>
      <w:r w:rsidRPr="00276391">
        <w:rPr>
          <w:rFonts w:cs="Arial"/>
          <w:lang w:eastAsia="en-AU"/>
        </w:rPr>
        <w:t>when</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reporting</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due</w:t>
      </w:r>
      <w:r w:rsidR="005D5532" w:rsidRPr="00276391">
        <w:rPr>
          <w:rFonts w:cs="Arial"/>
          <w:lang w:eastAsia="en-AU"/>
        </w:rPr>
        <w:t xml:space="preserve"> </w:t>
      </w:r>
    </w:p>
    <w:p w14:paraId="36172496" w14:textId="77777777" w:rsidR="00236748" w:rsidRPr="00276391" w:rsidRDefault="00236748" w:rsidP="00276391">
      <w:pPr>
        <w:pStyle w:val="DHHSbullet1"/>
        <w:rPr>
          <w:rFonts w:cs="Arial"/>
          <w:lang w:eastAsia="en-AU"/>
        </w:rPr>
      </w:pPr>
      <w:r w:rsidRPr="00276391">
        <w:rPr>
          <w:rFonts w:cs="Arial"/>
          <w:lang w:eastAsia="en-AU"/>
        </w:rPr>
        <w:t>information</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release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budget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publication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policy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plans/guidelines</w:t>
      </w:r>
      <w:r w:rsidR="005D5532" w:rsidRPr="00276391">
        <w:rPr>
          <w:rFonts w:cs="Arial"/>
          <w:lang w:eastAsia="en-AU"/>
        </w:rPr>
        <w:t xml:space="preserve"> </w:t>
      </w:r>
    </w:p>
    <w:p w14:paraId="30E34F3B" w14:textId="77777777" w:rsidR="00236748" w:rsidRPr="00276391" w:rsidRDefault="00236748" w:rsidP="00276391">
      <w:pPr>
        <w:pStyle w:val="DHHSbullet1"/>
        <w:rPr>
          <w:rFonts w:cs="Arial"/>
          <w:lang w:eastAsia="en-AU"/>
        </w:rPr>
      </w:pPr>
      <w:r w:rsidRPr="00276391">
        <w:rPr>
          <w:rFonts w:cs="Arial"/>
          <w:lang w:eastAsia="en-AU"/>
        </w:rPr>
        <w:t>annual</w:t>
      </w:r>
      <w:r w:rsidR="005D5532" w:rsidRPr="00276391">
        <w:rPr>
          <w:rFonts w:cs="Arial"/>
          <w:lang w:eastAsia="en-AU"/>
        </w:rPr>
        <w:t xml:space="preserve"> </w:t>
      </w:r>
      <w:r w:rsidRPr="00276391">
        <w:rPr>
          <w:rFonts w:cs="Arial"/>
          <w:lang w:eastAsia="en-AU"/>
        </w:rPr>
        <w:t>price</w:t>
      </w:r>
      <w:r w:rsidR="005D5532" w:rsidRPr="00276391">
        <w:rPr>
          <w:rFonts w:cs="Arial"/>
          <w:lang w:eastAsia="en-AU"/>
        </w:rPr>
        <w:t xml:space="preserve"> </w:t>
      </w:r>
      <w:r w:rsidRPr="00276391">
        <w:rPr>
          <w:rFonts w:cs="Arial"/>
          <w:lang w:eastAsia="en-AU"/>
        </w:rPr>
        <w:t>indexation</w:t>
      </w:r>
      <w:r w:rsidR="005D5532" w:rsidRPr="00276391">
        <w:rPr>
          <w:rFonts w:cs="Arial"/>
          <w:lang w:eastAsia="en-AU"/>
        </w:rPr>
        <w:t xml:space="preserve"> </w:t>
      </w:r>
      <w:r w:rsidRPr="00276391">
        <w:rPr>
          <w:rFonts w:cs="Arial"/>
          <w:lang w:eastAsia="en-AU"/>
        </w:rPr>
        <w:t>processing.</w:t>
      </w:r>
      <w:r w:rsidR="005D5532" w:rsidRPr="00276391">
        <w:rPr>
          <w:rFonts w:cs="Arial"/>
          <w:lang w:eastAsia="en-AU"/>
        </w:rPr>
        <w:t xml:space="preserve"> </w:t>
      </w:r>
    </w:p>
    <w:p w14:paraId="1B6361E1" w14:textId="15FD94D8" w:rsidR="00236748" w:rsidRDefault="00236748" w:rsidP="00276391">
      <w:pPr>
        <w:pStyle w:val="DHHSbody"/>
        <w:rPr>
          <w:rFonts w:cs="Arial"/>
          <w:color w:val="000000"/>
          <w:szCs w:val="19"/>
          <w:lang w:eastAsia="en-AU"/>
        </w:rPr>
      </w:pP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standard</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cycle,</w:t>
      </w:r>
      <w:r w:rsidR="005D5532" w:rsidRPr="00B24C02">
        <w:rPr>
          <w:rFonts w:cs="Arial"/>
          <w:color w:val="000000"/>
          <w:szCs w:val="19"/>
          <w:lang w:eastAsia="en-AU"/>
        </w:rPr>
        <w:t xml:space="preserve"> </w:t>
      </w:r>
      <w:r w:rsidRPr="00B24C02">
        <w:rPr>
          <w:rFonts w:cs="Arial"/>
          <w:color w:val="000000"/>
          <w:szCs w:val="19"/>
          <w:lang w:eastAsia="en-AU"/>
        </w:rPr>
        <w:t>variations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processed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monthly</w:t>
      </w:r>
      <w:r w:rsidR="005D5532" w:rsidRPr="00B24C02">
        <w:rPr>
          <w:rFonts w:cs="Arial"/>
          <w:color w:val="000000"/>
          <w:szCs w:val="19"/>
          <w:lang w:eastAsia="en-AU"/>
        </w:rPr>
        <w:t xml:space="preserve"> </w:t>
      </w:r>
      <w:r w:rsidRPr="00B24C02">
        <w:rPr>
          <w:rFonts w:cs="Arial"/>
          <w:color w:val="000000"/>
          <w:szCs w:val="19"/>
          <w:lang w:eastAsia="en-AU"/>
        </w:rPr>
        <w:t>basis,</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receive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revised</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timely</w:t>
      </w:r>
      <w:r w:rsidR="005D5532" w:rsidRPr="00B24C02">
        <w:rPr>
          <w:rFonts w:cs="Arial"/>
          <w:color w:val="000000"/>
          <w:szCs w:val="19"/>
          <w:lang w:eastAsia="en-AU"/>
        </w:rPr>
        <w:t xml:space="preserve"> </w:t>
      </w:r>
      <w:r w:rsidRPr="00B24C02">
        <w:rPr>
          <w:rFonts w:cs="Arial"/>
          <w:color w:val="000000"/>
          <w:szCs w:val="19"/>
          <w:lang w:eastAsia="en-AU"/>
        </w:rPr>
        <w:t>manner.</w:t>
      </w:r>
    </w:p>
    <w:p w14:paraId="0DE614F1" w14:textId="77777777" w:rsidR="006435BF" w:rsidRPr="00276391" w:rsidRDefault="006435BF" w:rsidP="00276391">
      <w:pPr>
        <w:pStyle w:val="DHHSbody"/>
        <w:rPr>
          <w:lang w:eastAsia="en-AU"/>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93"/>
        <w:gridCol w:w="7589"/>
      </w:tblGrid>
      <w:tr w:rsidR="00236748" w:rsidRPr="00276391" w14:paraId="61766A09"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4EAEA73D" w14:textId="77777777" w:rsidR="00236748" w:rsidRPr="00276391" w:rsidRDefault="00236748" w:rsidP="00276391">
            <w:pPr>
              <w:pStyle w:val="DHHSbody"/>
              <w:rPr>
                <w:lang w:eastAsia="en-AU"/>
              </w:rPr>
            </w:pPr>
            <w:r w:rsidRPr="00B24C02">
              <w:rPr>
                <w:rFonts w:cs="Arial"/>
                <w:color w:val="000000"/>
                <w:szCs w:val="19"/>
                <w:lang w:eastAsia="en-AU"/>
              </w:rPr>
              <w:t>Late</w:t>
            </w:r>
            <w:r w:rsidR="005D5532" w:rsidRPr="00B24C02">
              <w:rPr>
                <w:rFonts w:cs="Arial"/>
                <w:color w:val="000000"/>
                <w:szCs w:val="19"/>
                <w:lang w:eastAsia="en-AU"/>
              </w:rPr>
              <w:t xml:space="preserve"> </w:t>
            </w:r>
            <w:r w:rsidRPr="00B24C02">
              <w:rPr>
                <w:rFonts w:cs="Arial"/>
                <w:color w:val="000000"/>
                <w:szCs w:val="19"/>
                <w:lang w:eastAsia="en-AU"/>
              </w:rPr>
              <w:t>June</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D52B956" w14:textId="14DD4F46" w:rsidR="00236748" w:rsidRPr="00276391" w:rsidRDefault="00236748" w:rsidP="00417439">
            <w:pPr>
              <w:pStyle w:val="DHHSbodyBold"/>
              <w:rPr>
                <w:lang w:eastAsia="en-AU"/>
              </w:rPr>
            </w:pPr>
            <w:bookmarkStart w:id="192" w:name="_Toc478991740"/>
            <w:bookmarkStart w:id="193" w:name="_Toc478992346"/>
            <w:r w:rsidRPr="00276391">
              <w:rPr>
                <w:lang w:eastAsia="en-AU"/>
              </w:rPr>
              <w:t>Annual</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transition</w:t>
            </w:r>
            <w:bookmarkEnd w:id="192"/>
            <w:bookmarkEnd w:id="193"/>
          </w:p>
          <w:p w14:paraId="099CDA7C" w14:textId="3A3AB224" w:rsidR="00236748" w:rsidRPr="00276391" w:rsidRDefault="00236748" w:rsidP="000D4878">
            <w:pPr>
              <w:pStyle w:val="DHHSbody"/>
              <w:rPr>
                <w:lang w:eastAsia="en-AU"/>
              </w:rPr>
            </w:pPr>
            <w:r w:rsidRPr="00B24C02">
              <w:rPr>
                <w:rFonts w:cs="Arial"/>
                <w:color w:val="000000"/>
                <w:szCs w:val="19"/>
                <w:lang w:eastAsia="en-AU"/>
              </w:rPr>
              <w:lastRenderedPageBreak/>
              <w:t>Current</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cannot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changed</w:t>
            </w:r>
            <w:r w:rsidR="005D5532" w:rsidRPr="00B24C02">
              <w:rPr>
                <w:rFonts w:cs="Arial"/>
                <w:color w:val="000000"/>
                <w:szCs w:val="19"/>
                <w:lang w:eastAsia="en-AU"/>
              </w:rPr>
              <w:t xml:space="preserve"> </w:t>
            </w:r>
            <w:r w:rsidRPr="00B24C02">
              <w:rPr>
                <w:rFonts w:cs="Arial"/>
                <w:color w:val="000000"/>
                <w:szCs w:val="19"/>
                <w:lang w:eastAsia="en-AU"/>
              </w:rPr>
              <w:t>after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first</w:t>
            </w:r>
            <w:r w:rsidR="005D5532" w:rsidRPr="00B24C02">
              <w:rPr>
                <w:rFonts w:cs="Arial"/>
                <w:color w:val="000000"/>
                <w:szCs w:val="19"/>
                <w:lang w:eastAsia="en-AU"/>
              </w:rPr>
              <w:t xml:space="preserve"> </w:t>
            </w:r>
            <w:r w:rsidRPr="00B24C02">
              <w:rPr>
                <w:rFonts w:cs="Arial"/>
                <w:color w:val="000000"/>
                <w:szCs w:val="19"/>
                <w:lang w:eastAsia="en-AU"/>
              </w:rPr>
              <w:t>week</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June.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future</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viewed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hyperlink r:id="rId38" w:history="1">
              <w:r w:rsidR="00CD4680" w:rsidRPr="00CD4680">
                <w:rPr>
                  <w:rStyle w:val="Hyperlink"/>
                  <w:rFonts w:cs="Arial"/>
                  <w:szCs w:val="19"/>
                  <w:lang w:eastAsia="en-AU"/>
                </w:rPr>
                <w:t>Funded agency channel</w:t>
              </w:r>
            </w:hyperlink>
            <w:r w:rsidR="00E2793F" w:rsidRPr="00B24C02">
              <w:rPr>
                <w:rFonts w:cs="Arial"/>
                <w:color w:val="000000"/>
                <w:szCs w:val="19"/>
                <w:lang w:eastAsia="en-AU"/>
              </w:rPr>
              <w:t xml:space="preserve"> </w:t>
            </w:r>
            <w:r w:rsidR="00CD4680">
              <w:t>&lt;</w:t>
            </w:r>
            <w:r w:rsidR="00CD4680" w:rsidRPr="00B73DBE">
              <w:t>https://fac.dhhs.vic.gov.au/my-agency</w:t>
            </w:r>
            <w:r w:rsidR="00CD4680">
              <w:rPr>
                <w:lang w:eastAsia="en-AU"/>
              </w:rPr>
              <w:t xml:space="preserve">&gt; </w:t>
            </w:r>
            <w:r w:rsidR="005079DE" w:rsidRPr="00276391">
              <w:rPr>
                <w:lang w:eastAsia="en-AU"/>
              </w:rPr>
              <w:t>(external link, opens in a new window)</w:t>
            </w:r>
            <w:r w:rsidR="005079DE">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005079DE">
              <w:rPr>
                <w:rFonts w:cs="Arial"/>
                <w:color w:val="000000"/>
                <w:szCs w:val="19"/>
                <w:lang w:eastAsia="en-AU"/>
              </w:rPr>
              <w:t>applicable</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end</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proofErr w:type="gramStart"/>
            <w:r w:rsidR="000D4878">
              <w:rPr>
                <w:rFonts w:cs="Arial"/>
                <w:color w:val="000000"/>
                <w:szCs w:val="19"/>
                <w:lang w:eastAsia="en-AU"/>
              </w:rPr>
              <w:t>four</w:t>
            </w:r>
            <w:r w:rsidR="005D5532" w:rsidRPr="00B24C02">
              <w:rPr>
                <w:rFonts w:cs="Arial"/>
                <w:color w:val="000000"/>
                <w:szCs w:val="19"/>
                <w:lang w:eastAsia="en-AU"/>
              </w:rPr>
              <w:t xml:space="preserve"> </w:t>
            </w:r>
            <w:r w:rsidRPr="00B24C02">
              <w:rPr>
                <w:rFonts w:cs="Arial"/>
                <w:color w:val="000000"/>
                <w:szCs w:val="19"/>
                <w:lang w:eastAsia="en-AU"/>
              </w:rPr>
              <w:t>year</w:t>
            </w:r>
            <w:proofErr w:type="gramEnd"/>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cycle,</w:t>
            </w:r>
            <w:r w:rsidR="005D5532" w:rsidRPr="00B24C02">
              <w:rPr>
                <w:rFonts w:cs="Arial"/>
                <w:color w:val="000000"/>
                <w:szCs w:val="19"/>
                <w:lang w:eastAsia="en-AU"/>
              </w:rPr>
              <w:t xml:space="preserve"> </w:t>
            </w:r>
            <w:r w:rsidRPr="00B24C02">
              <w:rPr>
                <w:rFonts w:cs="Arial"/>
                <w:color w:val="000000"/>
                <w:szCs w:val="19"/>
                <w:lang w:eastAsia="en-AU"/>
              </w:rPr>
              <w:t>Agreements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approved</w:t>
            </w:r>
            <w:r w:rsidR="005D5532" w:rsidRPr="00B24C02">
              <w:rPr>
                <w:rFonts w:cs="Arial"/>
                <w:color w:val="000000"/>
                <w:szCs w:val="19"/>
                <w:lang w:eastAsia="en-AU"/>
              </w:rPr>
              <w:t xml:space="preserve"> </w:t>
            </w:r>
            <w:r w:rsidRPr="00B24C02">
              <w:rPr>
                <w:rFonts w:cs="Arial"/>
                <w:color w:val="000000"/>
                <w:szCs w:val="19"/>
                <w:lang w:eastAsia="en-AU"/>
              </w:rPr>
              <w:t>future</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rolled</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next</w:t>
            </w:r>
            <w:r w:rsidR="005D5532" w:rsidRPr="00B24C02">
              <w:rPr>
                <w:rFonts w:cs="Arial"/>
                <w:color w:val="000000"/>
                <w:szCs w:val="19"/>
                <w:lang w:eastAsia="en-AU"/>
              </w:rPr>
              <w:t xml:space="preserve"> </w:t>
            </w:r>
            <w:r w:rsidRPr="00B24C02">
              <w:rPr>
                <w:rFonts w:cs="Arial"/>
                <w:color w:val="000000"/>
                <w:szCs w:val="19"/>
                <w:lang w:eastAsia="en-AU"/>
              </w:rPr>
              <w:t>four</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cycle.</w:t>
            </w:r>
          </w:p>
        </w:tc>
      </w:tr>
      <w:tr w:rsidR="00236748" w:rsidRPr="00276391" w14:paraId="4EE12AEB"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6CED4CE" w14:textId="77777777" w:rsidR="00236748" w:rsidRPr="00276391" w:rsidRDefault="00236748" w:rsidP="00276391">
            <w:pPr>
              <w:pStyle w:val="DHHSbody"/>
              <w:rPr>
                <w:lang w:eastAsia="en-AU"/>
              </w:rPr>
            </w:pPr>
            <w:r w:rsidRPr="00B24C02">
              <w:rPr>
                <w:rFonts w:cs="Arial"/>
                <w:color w:val="000000"/>
                <w:szCs w:val="19"/>
                <w:lang w:eastAsia="en-AU"/>
              </w:rPr>
              <w:lastRenderedPageBreak/>
              <w:t>1</w:t>
            </w:r>
            <w:r w:rsidR="005D5532" w:rsidRPr="00B24C02">
              <w:rPr>
                <w:rFonts w:cs="Arial"/>
                <w:color w:val="000000"/>
                <w:szCs w:val="19"/>
                <w:lang w:eastAsia="en-AU"/>
              </w:rPr>
              <w:t xml:space="preserve"> </w:t>
            </w:r>
            <w:r w:rsidRPr="00B24C02">
              <w:rPr>
                <w:rFonts w:cs="Arial"/>
                <w:color w:val="000000"/>
                <w:szCs w:val="19"/>
                <w:lang w:eastAsia="en-AU"/>
              </w:rPr>
              <w:t>July</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7C6AE24" w14:textId="77777777" w:rsidR="00236748" w:rsidRPr="00276391" w:rsidRDefault="00236748" w:rsidP="00417439">
            <w:pPr>
              <w:pStyle w:val="DHHSbodyBold"/>
              <w:rPr>
                <w:lang w:eastAsia="en-AU"/>
              </w:rPr>
            </w:pPr>
            <w:bookmarkStart w:id="194" w:name="_Toc478991741"/>
            <w:bookmarkStart w:id="195" w:name="_Toc478992347"/>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guidelines</w:t>
            </w:r>
            <w:bookmarkEnd w:id="194"/>
            <w:bookmarkEnd w:id="195"/>
          </w:p>
          <w:p w14:paraId="3C13639C" w14:textId="77777777" w:rsidR="00236748" w:rsidRPr="00276391" w:rsidRDefault="00236748" w:rsidP="00276391">
            <w:pPr>
              <w:pStyle w:val="DHHSbody"/>
              <w:rPr>
                <w:lang w:eastAsia="en-AU"/>
              </w:rPr>
            </w:pP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plans/guidelines</w:t>
            </w:r>
            <w:r w:rsidR="005D5532" w:rsidRPr="00B24C02">
              <w:rPr>
                <w:rFonts w:cs="Arial"/>
                <w:color w:val="000000"/>
                <w:szCs w:val="19"/>
                <w:lang w:eastAsia="en-AU"/>
              </w:rPr>
              <w:t xml:space="preserve"> </w:t>
            </w:r>
            <w:r w:rsidRPr="00B24C02">
              <w:rPr>
                <w:rFonts w:cs="Arial"/>
                <w:color w:val="000000"/>
                <w:szCs w:val="19"/>
                <w:lang w:eastAsia="en-AU"/>
              </w:rPr>
              <w:t>published</w:t>
            </w:r>
            <w:r w:rsidR="005D5532" w:rsidRPr="00B24C02">
              <w:rPr>
                <w:rFonts w:cs="Arial"/>
                <w:color w:val="000000"/>
                <w:szCs w:val="19"/>
                <w:lang w:eastAsia="en-AU"/>
              </w:rPr>
              <w:t xml:space="preserve"> </w:t>
            </w:r>
            <w:r w:rsidRPr="00B24C02">
              <w:rPr>
                <w:rFonts w:cs="Arial"/>
                <w:color w:val="000000"/>
                <w:szCs w:val="19"/>
                <w:lang w:eastAsia="en-AU"/>
              </w:rPr>
              <w:t>online.</w:t>
            </w:r>
          </w:p>
        </w:tc>
      </w:tr>
      <w:tr w:rsidR="00236748" w:rsidRPr="00276391" w14:paraId="13AF672E"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2F384BA5" w14:textId="77777777" w:rsidR="00236748" w:rsidRPr="00276391" w:rsidRDefault="00236748" w:rsidP="00276391">
            <w:pPr>
              <w:pStyle w:val="DHHSbody"/>
              <w:rPr>
                <w:lang w:eastAsia="en-AU"/>
              </w:rPr>
            </w:pPr>
            <w:r w:rsidRPr="00B24C02">
              <w:rPr>
                <w:rFonts w:cs="Arial"/>
                <w:color w:val="000000"/>
                <w:szCs w:val="19"/>
                <w:lang w:eastAsia="en-AU"/>
              </w:rPr>
              <w:t>July</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DBABD5A" w14:textId="77777777" w:rsidR="00236748" w:rsidRPr="00276391" w:rsidRDefault="00236748" w:rsidP="00417439">
            <w:pPr>
              <w:pStyle w:val="DHHSbodyBold"/>
              <w:rPr>
                <w:lang w:eastAsia="en-AU"/>
              </w:rPr>
            </w:pPr>
            <w:bookmarkStart w:id="196" w:name="_Toc478991742"/>
            <w:bookmarkStart w:id="197" w:name="_Toc478992348"/>
            <w:r w:rsidRPr="00276391">
              <w:rPr>
                <w:lang w:eastAsia="en-AU"/>
              </w:rPr>
              <w:t>Annual</w:t>
            </w:r>
            <w:r w:rsidR="005D5532" w:rsidRPr="00276391">
              <w:rPr>
                <w:lang w:eastAsia="en-AU"/>
              </w:rPr>
              <w:t xml:space="preserve"> </w:t>
            </w:r>
            <w:r w:rsidRPr="00276391">
              <w:rPr>
                <w:lang w:eastAsia="en-AU"/>
              </w:rPr>
              <w:t>Price</w:t>
            </w:r>
            <w:r w:rsidR="005D5532" w:rsidRPr="00276391">
              <w:rPr>
                <w:lang w:eastAsia="en-AU"/>
              </w:rPr>
              <w:t xml:space="preserve"> </w:t>
            </w:r>
            <w:r w:rsidRPr="00276391">
              <w:rPr>
                <w:lang w:eastAsia="en-AU"/>
              </w:rPr>
              <w:t>Indexation</w:t>
            </w:r>
            <w:bookmarkEnd w:id="196"/>
            <w:bookmarkEnd w:id="197"/>
          </w:p>
          <w:p w14:paraId="1FFEF951" w14:textId="77777777" w:rsidR="00236748" w:rsidRPr="00276391" w:rsidRDefault="00236748" w:rsidP="00276391">
            <w:pPr>
              <w:pStyle w:val="DHHSbody"/>
              <w:rPr>
                <w:lang w:eastAsia="en-AU"/>
              </w:rPr>
            </w:pPr>
            <w:r w:rsidRPr="00B24C02">
              <w:rPr>
                <w:rFonts w:cs="Arial"/>
                <w:color w:val="000000"/>
                <w:szCs w:val="19"/>
                <w:lang w:eastAsia="en-AU"/>
              </w:rPr>
              <w:t>Annual</w:t>
            </w:r>
            <w:r w:rsidR="005D5532" w:rsidRPr="00B24C02">
              <w:rPr>
                <w:rFonts w:cs="Arial"/>
                <w:color w:val="000000"/>
                <w:szCs w:val="19"/>
                <w:lang w:eastAsia="en-AU"/>
              </w:rPr>
              <w:t xml:space="preserve"> </w:t>
            </w:r>
            <w:r w:rsidRPr="00B24C02">
              <w:rPr>
                <w:rFonts w:cs="Arial"/>
                <w:color w:val="000000"/>
                <w:szCs w:val="19"/>
                <w:lang w:eastAsia="en-AU"/>
              </w:rPr>
              <w:t>Price</w:t>
            </w:r>
            <w:r w:rsidR="005D5532" w:rsidRPr="00B24C02">
              <w:rPr>
                <w:rFonts w:cs="Arial"/>
                <w:color w:val="000000"/>
                <w:szCs w:val="19"/>
                <w:lang w:eastAsia="en-AU"/>
              </w:rPr>
              <w:t xml:space="preserve"> </w:t>
            </w:r>
            <w:r w:rsidRPr="00B24C02">
              <w:rPr>
                <w:rFonts w:cs="Arial"/>
                <w:color w:val="000000"/>
                <w:szCs w:val="19"/>
                <w:lang w:eastAsia="en-AU"/>
              </w:rPr>
              <w:t>Indexation</w:t>
            </w:r>
            <w:r w:rsidR="005D5532" w:rsidRPr="00B24C02">
              <w:rPr>
                <w:rFonts w:cs="Arial"/>
                <w:color w:val="000000"/>
                <w:szCs w:val="19"/>
                <w:lang w:eastAsia="en-AU"/>
              </w:rPr>
              <w:t xml:space="preserve"> </w:t>
            </w:r>
            <w:r w:rsidRPr="00B24C02">
              <w:rPr>
                <w:rFonts w:cs="Arial"/>
                <w:color w:val="000000"/>
                <w:szCs w:val="19"/>
                <w:lang w:eastAsia="en-AU"/>
              </w:rPr>
              <w:t>applied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eligible</w:t>
            </w:r>
            <w:r w:rsidR="005D5532" w:rsidRPr="00B24C02">
              <w:rPr>
                <w:rFonts w:cs="Arial"/>
                <w:color w:val="000000"/>
                <w:szCs w:val="19"/>
                <w:lang w:eastAsia="en-AU"/>
              </w:rPr>
              <w:t xml:space="preserve"> </w:t>
            </w:r>
            <w:r w:rsidRPr="00B24C02">
              <w:rPr>
                <w:rFonts w:cs="Arial"/>
                <w:color w:val="000000"/>
                <w:szCs w:val="19"/>
                <w:lang w:eastAsia="en-AU"/>
              </w:rPr>
              <w:t>activities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future</w:t>
            </w:r>
            <w:r w:rsidR="005D5532" w:rsidRPr="00B24C02">
              <w:rPr>
                <w:rFonts w:cs="Arial"/>
                <w:color w:val="000000"/>
                <w:szCs w:val="19"/>
                <w:lang w:eastAsia="en-AU"/>
              </w:rPr>
              <w:t xml:space="preserve"> </w:t>
            </w:r>
            <w:r w:rsidRPr="00B24C02">
              <w:rPr>
                <w:rFonts w:cs="Arial"/>
                <w:color w:val="000000"/>
                <w:szCs w:val="19"/>
                <w:lang w:eastAsia="en-AU"/>
              </w:rPr>
              <w:t>years.</w:t>
            </w:r>
            <w:r w:rsidR="005D5532" w:rsidRPr="00B24C02">
              <w:rPr>
                <w:rFonts w:cs="Arial"/>
                <w:color w:val="000000"/>
                <w:szCs w:val="19"/>
                <w:lang w:eastAsia="en-AU"/>
              </w:rPr>
              <w:t xml:space="preserve"> </w:t>
            </w:r>
            <w:r w:rsidRPr="00B24C02">
              <w:rPr>
                <w:rFonts w:cs="Arial"/>
                <w:color w:val="000000"/>
                <w:szCs w:val="19"/>
                <w:lang w:eastAsia="en-AU"/>
              </w:rPr>
              <w:t>Increases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backdated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1</w:t>
            </w:r>
            <w:r w:rsidR="005D5532" w:rsidRPr="00B24C02">
              <w:rPr>
                <w:rFonts w:cs="Arial"/>
                <w:color w:val="000000"/>
                <w:szCs w:val="19"/>
                <w:lang w:eastAsia="en-AU"/>
              </w:rPr>
              <w:t xml:space="preserve"> </w:t>
            </w:r>
            <w:r w:rsidRPr="00B24C02">
              <w:rPr>
                <w:rFonts w:cs="Arial"/>
                <w:color w:val="000000"/>
                <w:szCs w:val="19"/>
                <w:lang w:eastAsia="en-AU"/>
              </w:rPr>
              <w:t>July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paid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before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next</w:t>
            </w:r>
            <w:r w:rsidR="005D5532" w:rsidRPr="00B24C02">
              <w:rPr>
                <w:rFonts w:cs="Arial"/>
                <w:color w:val="000000"/>
                <w:szCs w:val="19"/>
                <w:lang w:eastAsia="en-AU"/>
              </w:rPr>
              <w:t xml:space="preserve"> </w:t>
            </w:r>
            <w:r w:rsidRPr="00B24C02">
              <w:rPr>
                <w:rFonts w:cs="Arial"/>
                <w:color w:val="000000"/>
                <w:szCs w:val="19"/>
                <w:lang w:eastAsia="en-AU"/>
              </w:rPr>
              <w:t>scheduled</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action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increased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p>
        </w:tc>
      </w:tr>
      <w:tr w:rsidR="00236748" w:rsidRPr="00276391" w14:paraId="3F0D719A"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4B15FF84" w14:textId="77777777" w:rsidR="00236748" w:rsidRPr="00276391" w:rsidRDefault="00236748" w:rsidP="00276391">
            <w:pPr>
              <w:pStyle w:val="DHHSbody"/>
              <w:rPr>
                <w:lang w:eastAsia="en-AU"/>
              </w:rPr>
            </w:pPr>
            <w:r w:rsidRPr="00276391">
              <w:rPr>
                <w:lang w:eastAsia="en-AU"/>
              </w:rPr>
              <w:t>First</w:t>
            </w:r>
            <w:r w:rsidR="005D5532" w:rsidRPr="00276391">
              <w:rPr>
                <w:lang w:eastAsia="en-AU"/>
              </w:rPr>
              <w:t xml:space="preserve"> </w:t>
            </w:r>
            <w:r w:rsidRPr="00276391">
              <w:rPr>
                <w:lang w:eastAsia="en-AU"/>
              </w:rPr>
              <w:t>Tuesday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month</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25F84073" w14:textId="77777777" w:rsidR="00236748" w:rsidRPr="00276391" w:rsidRDefault="00236748" w:rsidP="00417439">
            <w:pPr>
              <w:pStyle w:val="DHHSbodyBold"/>
              <w:rPr>
                <w:lang w:eastAsia="en-AU"/>
              </w:rPr>
            </w:pPr>
            <w:bookmarkStart w:id="198" w:name="_Toc478991743"/>
            <w:r w:rsidRPr="00276391">
              <w:rPr>
                <w:lang w:eastAsia="en-AU"/>
              </w:rPr>
              <w:t>Monthly</w:t>
            </w:r>
            <w:r w:rsidR="005D5532" w:rsidRPr="00276391">
              <w:rPr>
                <w:lang w:eastAsia="en-AU"/>
              </w:rPr>
              <w:t xml:space="preserve"> </w:t>
            </w:r>
            <w:r w:rsidRPr="00276391">
              <w:rPr>
                <w:lang w:eastAsia="en-AU"/>
              </w:rPr>
              <w:t>Payments</w:t>
            </w:r>
            <w:bookmarkEnd w:id="198"/>
          </w:p>
          <w:p w14:paraId="3FCD38EB" w14:textId="77777777" w:rsidR="00236748" w:rsidRPr="00276391" w:rsidRDefault="00236748" w:rsidP="00276391">
            <w:pPr>
              <w:pStyle w:val="DHHSbody"/>
              <w:rPr>
                <w:lang w:eastAsia="en-AU"/>
              </w:rPr>
            </w:pPr>
            <w:r w:rsidRPr="00B24C02">
              <w:rPr>
                <w:rFonts w:cs="Arial"/>
                <w:color w:val="000000"/>
                <w:szCs w:val="19"/>
                <w:lang w:eastAsia="en-AU"/>
              </w:rPr>
              <w:t>Regular</w:t>
            </w:r>
            <w:r w:rsidR="005D5532" w:rsidRPr="00B24C02">
              <w:rPr>
                <w:rFonts w:cs="Arial"/>
                <w:color w:val="000000"/>
                <w:szCs w:val="19"/>
                <w:lang w:eastAsia="en-AU"/>
              </w:rPr>
              <w:t xml:space="preserve"> </w:t>
            </w:r>
            <w:r w:rsidRPr="00B24C02">
              <w:rPr>
                <w:rFonts w:cs="Arial"/>
                <w:color w:val="000000"/>
                <w:szCs w:val="19"/>
                <w:lang w:eastAsia="en-AU"/>
              </w:rPr>
              <w:t>monthly</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made.</w:t>
            </w:r>
          </w:p>
        </w:tc>
      </w:tr>
      <w:tr w:rsidR="00236748" w:rsidRPr="00276391" w14:paraId="3C87905E"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01CBFFCF" w14:textId="77777777" w:rsidR="00236748" w:rsidRPr="00276391" w:rsidRDefault="00236748" w:rsidP="00276391">
            <w:pPr>
              <w:pStyle w:val="DHHSbody"/>
              <w:rPr>
                <w:lang w:eastAsia="en-AU"/>
              </w:rPr>
            </w:pPr>
            <w:r w:rsidRPr="00B24C02">
              <w:rPr>
                <w:rFonts w:cs="Arial"/>
                <w:color w:val="000000"/>
                <w:szCs w:val="19"/>
                <w:lang w:eastAsia="en-AU"/>
              </w:rPr>
              <w:t>Second</w:t>
            </w:r>
            <w:r w:rsidR="005D5532" w:rsidRPr="00B24C02">
              <w:rPr>
                <w:rFonts w:cs="Arial"/>
                <w:color w:val="000000"/>
                <w:szCs w:val="19"/>
                <w:lang w:eastAsia="en-AU"/>
              </w:rPr>
              <w:t xml:space="preserve"> </w:t>
            </w:r>
            <w:r w:rsidRPr="00B24C02">
              <w:rPr>
                <w:rFonts w:cs="Arial"/>
                <w:color w:val="000000"/>
                <w:szCs w:val="19"/>
                <w:lang w:eastAsia="en-AU"/>
              </w:rPr>
              <w:t>Tuesday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month</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0A215A08" w14:textId="77777777" w:rsidR="00236748" w:rsidRPr="00276391" w:rsidRDefault="00236748" w:rsidP="00276391">
            <w:pPr>
              <w:pStyle w:val="DHHSbody"/>
              <w:rPr>
                <w:lang w:eastAsia="en-AU"/>
              </w:rPr>
            </w:pP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paid</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proofErr w:type="gramStart"/>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related</w:t>
            </w:r>
            <w:proofErr w:type="gramEnd"/>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second</w:t>
            </w:r>
            <w:r w:rsidR="005D5532" w:rsidRPr="00B24C02">
              <w:rPr>
                <w:rFonts w:cs="Arial"/>
                <w:color w:val="000000"/>
                <w:szCs w:val="19"/>
                <w:lang w:eastAsia="en-AU"/>
              </w:rPr>
              <w:t xml:space="preserve"> </w:t>
            </w:r>
            <w:r w:rsidRPr="00B24C02">
              <w:rPr>
                <w:rFonts w:cs="Arial"/>
                <w:color w:val="000000"/>
                <w:szCs w:val="19"/>
                <w:lang w:eastAsia="en-AU"/>
              </w:rPr>
              <w:t>Tuesday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month.</w:t>
            </w:r>
          </w:p>
        </w:tc>
      </w:tr>
      <w:tr w:rsidR="00236748" w:rsidRPr="00276391" w14:paraId="3C1D5CBD"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37BA3E1B" w14:textId="77777777" w:rsidR="00236748" w:rsidRPr="00276391" w:rsidRDefault="00236748" w:rsidP="00276391">
            <w:pPr>
              <w:pStyle w:val="DHHSbody"/>
              <w:rPr>
                <w:lang w:eastAsia="en-AU"/>
              </w:rPr>
            </w:pPr>
            <w:r w:rsidRPr="00B24C02">
              <w:rPr>
                <w:rFonts w:cs="Arial"/>
                <w:b/>
                <w:bCs/>
                <w:color w:val="000000"/>
                <w:szCs w:val="19"/>
                <w:lang w:eastAsia="en-AU"/>
              </w:rPr>
              <w:t>1</w:t>
            </w:r>
            <w:r w:rsidRPr="00B24C02">
              <w:rPr>
                <w:rFonts w:cs="Arial"/>
                <w:color w:val="000000"/>
                <w:szCs w:val="19"/>
                <w:vertAlign w:val="superscript"/>
                <w:lang w:eastAsia="en-AU"/>
              </w:rPr>
              <w:t>st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month</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7EED65CD" w14:textId="77777777" w:rsidR="00236748" w:rsidRPr="00276391" w:rsidRDefault="00236748" w:rsidP="00417439">
            <w:pPr>
              <w:pStyle w:val="DHHSbodyBold"/>
              <w:rPr>
                <w:lang w:eastAsia="en-AU"/>
              </w:rPr>
            </w:pPr>
            <w:bookmarkStart w:id="199" w:name="_Toc478991744"/>
            <w:r w:rsidRPr="00276391">
              <w:rPr>
                <w:lang w:eastAsia="en-AU"/>
              </w:rPr>
              <w:t>Monthly</w:t>
            </w:r>
            <w:r w:rsidR="005D5532" w:rsidRPr="00276391">
              <w:rPr>
                <w:lang w:eastAsia="en-AU"/>
              </w:rPr>
              <w:t xml:space="preserve"> </w:t>
            </w:r>
            <w:r w:rsidRPr="00276391">
              <w:rPr>
                <w:lang w:eastAsia="en-AU"/>
              </w:rPr>
              <w:t>Variations</w:t>
            </w:r>
            <w:bookmarkEnd w:id="199"/>
          </w:p>
          <w:p w14:paraId="74675B10" w14:textId="3BECB64A" w:rsidR="00236748" w:rsidRPr="00276391" w:rsidRDefault="00236748" w:rsidP="00276391">
            <w:pPr>
              <w:pStyle w:val="DHHSbody"/>
              <w:rPr>
                <w:lang w:eastAsia="en-AU"/>
              </w:rPr>
            </w:pPr>
            <w:r w:rsidRPr="00B24C02">
              <w:rPr>
                <w:rFonts w:cs="Arial"/>
                <w:color w:val="000000"/>
                <w:szCs w:val="19"/>
                <w:lang w:eastAsia="en-AU"/>
              </w:rPr>
              <w:t>Variations</w:t>
            </w:r>
            <w:r w:rsidR="005D5532" w:rsidRPr="00B24C02">
              <w:rPr>
                <w:rFonts w:cs="Arial"/>
                <w:color w:val="000000"/>
                <w:szCs w:val="19"/>
                <w:lang w:eastAsia="en-AU"/>
              </w:rPr>
              <w:t xml:space="preserve"> </w:t>
            </w:r>
            <w:r w:rsidRPr="00B24C02">
              <w:rPr>
                <w:rFonts w:cs="Arial"/>
                <w:color w:val="000000"/>
                <w:szCs w:val="19"/>
                <w:lang w:eastAsia="en-AU"/>
              </w:rPr>
              <w:t>Open:</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negotiated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entered</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8B3F5C">
              <w:rPr>
                <w:rFonts w:cs="Arial"/>
                <w:color w:val="000000"/>
                <w:szCs w:val="19"/>
                <w:lang w:eastAsia="en-AU"/>
              </w:rPr>
              <w:t>m</w:t>
            </w:r>
            <w:r w:rsidRPr="00B24C02">
              <w:rPr>
                <w:rFonts w:cs="Arial"/>
                <w:color w:val="000000"/>
                <w:szCs w:val="19"/>
                <w:lang w:eastAsia="en-AU"/>
              </w:rPr>
              <w:t>anagement</w:t>
            </w:r>
            <w:r w:rsidR="005D5532" w:rsidRPr="00B24C02">
              <w:rPr>
                <w:rFonts w:cs="Arial"/>
                <w:color w:val="000000"/>
                <w:szCs w:val="19"/>
                <w:lang w:eastAsia="en-AU"/>
              </w:rPr>
              <w:t xml:space="preserve"> </w:t>
            </w:r>
            <w:r w:rsidR="008B3F5C">
              <w:rPr>
                <w:rFonts w:cs="Arial"/>
                <w:color w:val="000000"/>
                <w:szCs w:val="19"/>
                <w:lang w:eastAsia="en-AU"/>
              </w:rPr>
              <w:t>s</w:t>
            </w:r>
            <w:r w:rsidRPr="00B24C02">
              <w:rPr>
                <w:rFonts w:cs="Arial"/>
                <w:color w:val="000000"/>
                <w:szCs w:val="19"/>
                <w:lang w:eastAsia="en-AU"/>
              </w:rPr>
              <w:t>ystem.</w:t>
            </w:r>
            <w:r w:rsidRPr="00B24C02">
              <w:rPr>
                <w:rFonts w:cs="Arial"/>
                <w:color w:val="000000"/>
                <w:szCs w:val="19"/>
                <w:lang w:eastAsia="en-AU"/>
              </w:rPr>
              <w:br/>
              <w:t>Organisations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view</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check</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finance</w:t>
            </w:r>
            <w:r w:rsidR="005D5532" w:rsidRPr="00B24C02">
              <w:rPr>
                <w:rFonts w:cs="Arial"/>
                <w:color w:val="000000"/>
                <w:szCs w:val="19"/>
                <w:lang w:eastAsia="en-AU"/>
              </w:rPr>
              <w:t xml:space="preserve"> </w:t>
            </w:r>
            <w:r w:rsidRPr="00B24C02">
              <w:rPr>
                <w:rFonts w:cs="Arial"/>
                <w:color w:val="000000"/>
                <w:szCs w:val="19"/>
                <w:lang w:eastAsia="en-AU"/>
              </w:rPr>
              <w:t>approval</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completed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Variations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normally</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July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June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shorter</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available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December</w:t>
            </w:r>
            <w:r w:rsidR="005D5532" w:rsidRPr="00B24C02">
              <w:rPr>
                <w:rFonts w:cs="Arial"/>
                <w:color w:val="000000"/>
                <w:szCs w:val="19"/>
                <w:lang w:eastAsia="en-AU"/>
              </w:rPr>
              <w:t xml:space="preserve"> </w:t>
            </w:r>
            <w:r w:rsidRPr="00B24C02">
              <w:rPr>
                <w:rFonts w:cs="Arial"/>
                <w:color w:val="000000"/>
                <w:szCs w:val="19"/>
                <w:lang w:eastAsia="en-AU"/>
              </w:rPr>
              <w:t>due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pay</w:t>
            </w:r>
            <w:r w:rsidR="005D5532" w:rsidRPr="00B24C02">
              <w:rPr>
                <w:rFonts w:cs="Arial"/>
                <w:color w:val="000000"/>
                <w:szCs w:val="19"/>
                <w:lang w:eastAsia="en-AU"/>
              </w:rPr>
              <w:t xml:space="preserve"> </w:t>
            </w:r>
            <w:r w:rsidRPr="00B24C02">
              <w:rPr>
                <w:rFonts w:cs="Arial"/>
                <w:color w:val="000000"/>
                <w:szCs w:val="19"/>
                <w:lang w:eastAsia="en-AU"/>
              </w:rPr>
              <w:t>equity</w:t>
            </w:r>
            <w:r w:rsidR="005D5532" w:rsidRPr="00B24C02">
              <w:rPr>
                <w:rFonts w:cs="Arial"/>
                <w:color w:val="000000"/>
                <w:szCs w:val="19"/>
                <w:lang w:eastAsia="en-AU"/>
              </w:rPr>
              <w:t xml:space="preserve"> </w:t>
            </w:r>
            <w:r w:rsidRPr="00B24C02">
              <w:rPr>
                <w:rFonts w:cs="Arial"/>
                <w:color w:val="000000"/>
                <w:szCs w:val="19"/>
                <w:lang w:eastAsia="en-AU"/>
              </w:rPr>
              <w:t>indexation</w:t>
            </w:r>
            <w:r w:rsidR="005D5532" w:rsidRPr="00B24C02">
              <w:rPr>
                <w:rFonts w:cs="Arial"/>
                <w:color w:val="000000"/>
                <w:szCs w:val="19"/>
                <w:lang w:eastAsia="en-AU"/>
              </w:rPr>
              <w:t xml:space="preserve"> </w:t>
            </w:r>
            <w:r w:rsidRPr="00B24C02">
              <w:rPr>
                <w:rFonts w:cs="Arial"/>
                <w:color w:val="000000"/>
                <w:szCs w:val="19"/>
                <w:lang w:eastAsia="en-AU"/>
              </w:rPr>
              <w:t>processing.</w:t>
            </w:r>
          </w:p>
        </w:tc>
      </w:tr>
      <w:tr w:rsidR="00236748" w:rsidRPr="00276391" w14:paraId="30B12F9D"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4D7B961A" w14:textId="77777777" w:rsidR="00236748" w:rsidRPr="00276391" w:rsidRDefault="00236748" w:rsidP="00276391">
            <w:pPr>
              <w:pStyle w:val="DHHSbody"/>
              <w:rPr>
                <w:lang w:eastAsia="en-AU"/>
              </w:rPr>
            </w:pPr>
            <w:r w:rsidRPr="00B24C02">
              <w:rPr>
                <w:rFonts w:cs="Arial"/>
                <w:b/>
                <w:bCs/>
                <w:color w:val="000000"/>
                <w:szCs w:val="19"/>
                <w:lang w:eastAsia="en-AU"/>
              </w:rPr>
              <w:t>18</w:t>
            </w:r>
            <w:r w:rsidRPr="00B24C02">
              <w:rPr>
                <w:rFonts w:cs="Arial"/>
                <w:color w:val="000000"/>
                <w:szCs w:val="19"/>
                <w:vertAlign w:val="superscript"/>
                <w:lang w:eastAsia="en-AU"/>
              </w:rPr>
              <w:t>th</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month</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93A3C50" w14:textId="79B5F87A" w:rsidR="00236748" w:rsidRPr="00276391" w:rsidRDefault="00236748" w:rsidP="00276391">
            <w:pPr>
              <w:pStyle w:val="DHHSbody"/>
              <w:rPr>
                <w:lang w:eastAsia="en-AU"/>
              </w:rPr>
            </w:pPr>
            <w:r w:rsidRPr="00B24C02">
              <w:rPr>
                <w:rFonts w:cs="Arial"/>
                <w:color w:val="000000"/>
                <w:szCs w:val="19"/>
                <w:lang w:eastAsia="en-AU"/>
              </w:rPr>
              <w:t>Variations</w:t>
            </w:r>
            <w:r w:rsidR="005D5532" w:rsidRPr="00B24C02">
              <w:rPr>
                <w:rFonts w:cs="Arial"/>
                <w:color w:val="000000"/>
                <w:szCs w:val="19"/>
                <w:lang w:eastAsia="en-AU"/>
              </w:rPr>
              <w:t xml:space="preserve"> </w:t>
            </w:r>
            <w:r w:rsidRPr="00B24C02">
              <w:rPr>
                <w:rFonts w:cs="Arial"/>
                <w:color w:val="000000"/>
                <w:szCs w:val="19"/>
                <w:lang w:eastAsia="en-AU"/>
              </w:rPr>
              <w:t>Published: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view</w:t>
            </w:r>
            <w:r w:rsidR="005D5532" w:rsidRPr="00B24C02">
              <w:rPr>
                <w:rFonts w:cs="Arial"/>
                <w:color w:val="000000"/>
                <w:szCs w:val="19"/>
                <w:lang w:eastAsia="en-AU"/>
              </w:rPr>
              <w:t xml:space="preserve"> </w:t>
            </w:r>
            <w:r w:rsidRPr="00B24C02">
              <w:rPr>
                <w:rFonts w:cs="Arial"/>
                <w:color w:val="000000"/>
                <w:szCs w:val="19"/>
                <w:lang w:eastAsia="en-AU"/>
              </w:rPr>
              <w:t>proposed</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296DCA">
              <w:rPr>
                <w:rFonts w:cs="Arial"/>
                <w:color w:val="000000"/>
                <w:szCs w:val="19"/>
                <w:lang w:eastAsia="en-AU"/>
              </w:rPr>
              <w:t>Funded agency channel</w:t>
            </w:r>
            <w:r w:rsidR="005D5532" w:rsidRPr="00B24C02">
              <w:rPr>
                <w:rFonts w:cs="Arial"/>
                <w:color w:val="000000"/>
                <w:szCs w:val="19"/>
                <w:lang w:eastAsia="en-AU"/>
              </w:rPr>
              <w:t xml:space="preserve"> </w:t>
            </w:r>
            <w:r w:rsidRPr="00B24C02">
              <w:rPr>
                <w:rFonts w:cs="Arial"/>
                <w:color w:val="000000"/>
                <w:szCs w:val="19"/>
                <w:lang w:eastAsia="en-AU"/>
              </w:rPr>
              <w:t>website.</w:t>
            </w:r>
            <w:r w:rsidR="005D5532" w:rsidRPr="00B24C02">
              <w:rPr>
                <w:rFonts w:cs="Arial"/>
                <w:color w:val="000000"/>
                <w:szCs w:val="19"/>
                <w:lang w:eastAsia="en-AU"/>
              </w:rPr>
              <w:t xml:space="preserve"> </w:t>
            </w:r>
            <w:r w:rsidRPr="00B24C02">
              <w:rPr>
                <w:rFonts w:cs="Arial"/>
                <w:color w:val="000000"/>
                <w:szCs w:val="19"/>
                <w:lang w:eastAsia="en-AU"/>
              </w:rPr>
              <w:t>Email</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sent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signatories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undertake</w:t>
            </w:r>
            <w:r w:rsidR="005D5532" w:rsidRPr="00B24C02">
              <w:rPr>
                <w:rFonts w:cs="Arial"/>
                <w:color w:val="000000"/>
                <w:szCs w:val="19"/>
                <w:lang w:eastAsia="en-AU"/>
              </w:rPr>
              <w:t xml:space="preserve"> </w:t>
            </w:r>
            <w:r w:rsidRPr="00B24C02">
              <w:rPr>
                <w:rFonts w:cs="Arial"/>
                <w:color w:val="000000"/>
                <w:szCs w:val="19"/>
                <w:lang w:eastAsia="en-AU"/>
              </w:rPr>
              <w:t>final</w:t>
            </w:r>
            <w:r w:rsidR="005D5532" w:rsidRPr="00B24C02">
              <w:rPr>
                <w:rFonts w:cs="Arial"/>
                <w:color w:val="000000"/>
                <w:szCs w:val="19"/>
                <w:lang w:eastAsia="en-AU"/>
              </w:rPr>
              <w:t xml:space="preserve"> </w:t>
            </w:r>
            <w:r w:rsidRPr="00B24C02">
              <w:rPr>
                <w:rFonts w:cs="Arial"/>
                <w:color w:val="000000"/>
                <w:szCs w:val="19"/>
                <w:lang w:eastAsia="en-AU"/>
              </w:rPr>
              <w:t>check</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changes.</w:t>
            </w:r>
          </w:p>
          <w:p w14:paraId="6A288CDF" w14:textId="77777777" w:rsidR="00236748" w:rsidRPr="00276391" w:rsidRDefault="00236748" w:rsidP="00276391">
            <w:pPr>
              <w:pStyle w:val="DHHSbody"/>
              <w:rPr>
                <w:lang w:eastAsia="en-AU"/>
              </w:rPr>
            </w:pPr>
            <w:r w:rsidRPr="00276391">
              <w:rPr>
                <w:u w:val="single"/>
                <w:lang w:eastAsia="en-AU"/>
              </w:rPr>
              <w:t>Note:</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18th</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falls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weekend,</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published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next</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w:t>
            </w:r>
          </w:p>
        </w:tc>
      </w:tr>
      <w:tr w:rsidR="00236748" w:rsidRPr="00276391" w14:paraId="00B4E7CF"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187C6365" w14:textId="77777777" w:rsidR="00236748" w:rsidRPr="00276391" w:rsidRDefault="00236748" w:rsidP="00276391">
            <w:pPr>
              <w:pStyle w:val="DHHSbody"/>
              <w:rPr>
                <w:lang w:eastAsia="en-AU"/>
              </w:rPr>
            </w:pPr>
            <w:r w:rsidRPr="00B24C02">
              <w:rPr>
                <w:rFonts w:cs="Arial"/>
                <w:b/>
                <w:bCs/>
                <w:color w:val="000000"/>
                <w:szCs w:val="19"/>
                <w:lang w:eastAsia="en-AU"/>
              </w:rPr>
              <w:t>23</w:t>
            </w:r>
            <w:r w:rsidRPr="00B24C02">
              <w:rPr>
                <w:rFonts w:cs="Arial"/>
                <w:color w:val="000000"/>
                <w:szCs w:val="19"/>
                <w:vertAlign w:val="superscript"/>
                <w:lang w:eastAsia="en-AU"/>
              </w:rPr>
              <w:t>rd</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month</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76FDC67F" w14:textId="77777777" w:rsidR="00236748" w:rsidRPr="00276391" w:rsidRDefault="00236748" w:rsidP="00276391">
            <w:pPr>
              <w:pStyle w:val="DHHSbody"/>
              <w:rPr>
                <w:lang w:eastAsia="en-AU"/>
              </w:rPr>
            </w:pPr>
            <w:r w:rsidRPr="00B24C02">
              <w:rPr>
                <w:rFonts w:cs="Arial"/>
                <w:color w:val="000000"/>
                <w:szCs w:val="19"/>
                <w:lang w:eastAsia="en-AU"/>
              </w:rPr>
              <w:t>Variation</w:t>
            </w:r>
            <w:r w:rsidR="005D5532" w:rsidRPr="00B24C02">
              <w:rPr>
                <w:rFonts w:cs="Arial"/>
                <w:color w:val="000000"/>
                <w:szCs w:val="19"/>
                <w:lang w:eastAsia="en-AU"/>
              </w:rPr>
              <w:t xml:space="preserve"> </w:t>
            </w:r>
            <w:r w:rsidRPr="00B24C02">
              <w:rPr>
                <w:rFonts w:cs="Arial"/>
                <w:color w:val="000000"/>
                <w:szCs w:val="19"/>
                <w:lang w:eastAsia="en-AU"/>
              </w:rPr>
              <w:t>becomes</w:t>
            </w:r>
            <w:r w:rsidR="005D5532" w:rsidRPr="00B24C02">
              <w:rPr>
                <w:rFonts w:cs="Arial"/>
                <w:color w:val="000000"/>
                <w:szCs w:val="19"/>
                <w:lang w:eastAsia="en-AU"/>
              </w:rPr>
              <w:t xml:space="preserve"> </w:t>
            </w:r>
            <w:r w:rsidRPr="00B24C02">
              <w:rPr>
                <w:rFonts w:cs="Arial"/>
                <w:color w:val="000000"/>
                <w:szCs w:val="19"/>
                <w:lang w:eastAsia="en-AU"/>
              </w:rPr>
              <w:t>effective</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long</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signatory</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approved.</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increases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backdated,</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arrears</w:t>
            </w:r>
            <w:r w:rsidR="005D5532" w:rsidRPr="00B24C02">
              <w:rPr>
                <w:rFonts w:cs="Arial"/>
                <w:color w:val="000000"/>
                <w:szCs w:val="19"/>
                <w:lang w:eastAsia="en-AU"/>
              </w:rPr>
              <w:t xml:space="preserve"> </w:t>
            </w:r>
            <w:r w:rsidRPr="00B24C02">
              <w:rPr>
                <w:rFonts w:cs="Arial"/>
                <w:color w:val="000000"/>
                <w:szCs w:val="19"/>
                <w:lang w:eastAsia="en-AU"/>
              </w:rPr>
              <w:t>payments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processed.</w:t>
            </w:r>
          </w:p>
        </w:tc>
      </w:tr>
      <w:tr w:rsidR="00236748" w:rsidRPr="00276391" w14:paraId="20AF538F"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372D9271" w14:textId="77777777" w:rsidR="00236748" w:rsidRPr="00276391" w:rsidRDefault="00236748" w:rsidP="00276391">
            <w:pPr>
              <w:pStyle w:val="DHHSbody"/>
              <w:rPr>
                <w:lang w:eastAsia="en-AU"/>
              </w:rPr>
            </w:pP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May</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6A57D343" w14:textId="77777777" w:rsidR="00236748" w:rsidRPr="00276391" w:rsidRDefault="00236748" w:rsidP="00417439">
            <w:pPr>
              <w:pStyle w:val="DHHSbodyBold"/>
              <w:rPr>
                <w:lang w:eastAsia="en-AU"/>
              </w:rPr>
            </w:pPr>
            <w:bookmarkStart w:id="200" w:name="_Toc478991745"/>
            <w:r w:rsidRPr="00276391">
              <w:rPr>
                <w:lang w:eastAsia="en-AU"/>
              </w:rPr>
              <w:t>State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federal</w:t>
            </w:r>
            <w:r w:rsidR="005D5532" w:rsidRPr="00276391">
              <w:rPr>
                <w:lang w:eastAsia="en-AU"/>
              </w:rPr>
              <w:t xml:space="preserve"> </w:t>
            </w:r>
            <w:r w:rsidRPr="00276391">
              <w:rPr>
                <w:lang w:eastAsia="en-AU"/>
              </w:rPr>
              <w:t>Budget</w:t>
            </w:r>
            <w:bookmarkEnd w:id="200"/>
          </w:p>
          <w:p w14:paraId="4650B151" w14:textId="77777777" w:rsidR="00236748" w:rsidRPr="00276391" w:rsidRDefault="00236748" w:rsidP="00276391">
            <w:pPr>
              <w:pStyle w:val="DHHSbody"/>
              <w:rPr>
                <w:lang w:eastAsia="en-AU"/>
              </w:rPr>
            </w:pPr>
            <w:r w:rsidRPr="00B24C02">
              <w:rPr>
                <w:rFonts w:cs="Arial"/>
                <w:color w:val="000000"/>
                <w:szCs w:val="19"/>
                <w:lang w:eastAsia="en-AU"/>
              </w:rPr>
              <w:t>Release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federal</w:t>
            </w:r>
            <w:r w:rsidR="005D5532" w:rsidRPr="00B24C02">
              <w:rPr>
                <w:rFonts w:cs="Arial"/>
                <w:color w:val="000000"/>
                <w:szCs w:val="19"/>
                <w:lang w:eastAsia="en-AU"/>
              </w:rPr>
              <w:t xml:space="preserve"> </w:t>
            </w:r>
            <w:r w:rsidRPr="00B24C02">
              <w:rPr>
                <w:rFonts w:cs="Arial"/>
                <w:color w:val="000000"/>
                <w:szCs w:val="19"/>
                <w:lang w:eastAsia="en-AU"/>
              </w:rPr>
              <w:t>budget</w:t>
            </w:r>
          </w:p>
        </w:tc>
      </w:tr>
      <w:tr w:rsidR="00236748" w:rsidRPr="00276391" w14:paraId="2BA74A8B"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01255458" w14:textId="77777777" w:rsidR="00236748" w:rsidRPr="00276391" w:rsidRDefault="00236748" w:rsidP="00276391">
            <w:pPr>
              <w:pStyle w:val="DHHSbody"/>
              <w:rPr>
                <w:lang w:eastAsia="en-AU"/>
              </w:rPr>
            </w:pPr>
            <w:r w:rsidRPr="00B24C02">
              <w:rPr>
                <w:rFonts w:cs="Arial"/>
                <w:color w:val="000000"/>
                <w:szCs w:val="19"/>
                <w:lang w:eastAsia="en-AU"/>
              </w:rPr>
              <w:t>30</w:t>
            </w:r>
            <w:r w:rsidR="005D5532" w:rsidRPr="00B24C02">
              <w:rPr>
                <w:rFonts w:cs="Arial"/>
                <w:color w:val="000000"/>
                <w:szCs w:val="19"/>
                <w:lang w:eastAsia="en-AU"/>
              </w:rPr>
              <w:t xml:space="preserve"> </w:t>
            </w:r>
            <w:r w:rsidRPr="00B24C02">
              <w:rPr>
                <w:rFonts w:cs="Arial"/>
                <w:color w:val="000000"/>
                <w:szCs w:val="19"/>
                <w:lang w:eastAsia="en-AU"/>
              </w:rPr>
              <w:t>September</w:t>
            </w:r>
          </w:p>
          <w:p w14:paraId="10215AB6" w14:textId="77777777" w:rsidR="00236748" w:rsidRPr="00276391" w:rsidRDefault="00236748" w:rsidP="00276391">
            <w:pPr>
              <w:pStyle w:val="DHHSbody"/>
              <w:rPr>
                <w:lang w:eastAsia="en-AU"/>
              </w:rPr>
            </w:pPr>
            <w:r w:rsidRPr="00276391">
              <w:rPr>
                <w:lang w:eastAsia="en-AU"/>
              </w:rPr>
              <w:t>(or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agreed)</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6AA1A812" w14:textId="77777777" w:rsidR="00236748" w:rsidRPr="00276391" w:rsidRDefault="00236748" w:rsidP="00417439">
            <w:pPr>
              <w:pStyle w:val="DHHSbodyBold"/>
              <w:rPr>
                <w:lang w:eastAsia="en-AU"/>
              </w:rPr>
            </w:pPr>
            <w:bookmarkStart w:id="201" w:name="_Toc478991746"/>
            <w:r w:rsidRPr="00276391">
              <w:rPr>
                <w:lang w:eastAsia="en-AU"/>
              </w:rPr>
              <w:t>Fire</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certification</w:t>
            </w:r>
            <w:bookmarkEnd w:id="201"/>
          </w:p>
          <w:p w14:paraId="56B9A978"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proofErr w:type="gramStart"/>
            <w:r w:rsidRPr="00B24C02">
              <w:rPr>
                <w:rFonts w:cs="Arial"/>
                <w:color w:val="000000"/>
                <w:szCs w:val="19"/>
                <w:lang w:eastAsia="en-AU"/>
              </w:rPr>
              <w:t>bed</w:t>
            </w:r>
            <w:r w:rsidR="005D5532" w:rsidRPr="00B24C02">
              <w:rPr>
                <w:rFonts w:cs="Arial"/>
                <w:color w:val="000000"/>
                <w:szCs w:val="19"/>
                <w:lang w:eastAsia="en-AU"/>
              </w:rPr>
              <w:t xml:space="preserve"> </w:t>
            </w:r>
            <w:r w:rsidRPr="00B24C02">
              <w:rPr>
                <w:rFonts w:cs="Arial"/>
                <w:color w:val="000000"/>
                <w:szCs w:val="19"/>
                <w:lang w:eastAsia="en-AU"/>
              </w:rPr>
              <w:t>based</w:t>
            </w:r>
            <w:proofErr w:type="gramEnd"/>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complete</w:t>
            </w:r>
            <w:r w:rsidR="005D5532" w:rsidRPr="00B24C02">
              <w:rPr>
                <w:rFonts w:cs="Arial"/>
                <w:color w:val="000000"/>
                <w:szCs w:val="19"/>
                <w:lang w:eastAsia="en-AU"/>
              </w:rPr>
              <w:t xml:space="preserve"> </w:t>
            </w:r>
            <w:r w:rsidRPr="00B24C02">
              <w:rPr>
                <w:rFonts w:cs="Arial"/>
                <w:color w:val="000000"/>
                <w:szCs w:val="19"/>
                <w:lang w:eastAsia="en-AU"/>
              </w:rPr>
              <w:t>Fire</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Certification</w:t>
            </w:r>
            <w:r w:rsidR="005D5532" w:rsidRPr="00B24C02">
              <w:rPr>
                <w:rFonts w:cs="Arial"/>
                <w:color w:val="000000"/>
                <w:szCs w:val="19"/>
                <w:lang w:eastAsia="en-AU"/>
              </w:rPr>
              <w:t xml:space="preserve"> </w:t>
            </w:r>
            <w:r w:rsidRPr="00B24C02">
              <w:rPr>
                <w:rFonts w:cs="Arial"/>
                <w:color w:val="000000"/>
                <w:szCs w:val="19"/>
                <w:lang w:eastAsia="en-AU"/>
              </w:rPr>
              <w:t>annually</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30</w:t>
            </w:r>
            <w:r w:rsidR="005D5532" w:rsidRPr="00B24C02">
              <w:rPr>
                <w:rFonts w:cs="Arial"/>
                <w:color w:val="000000"/>
                <w:szCs w:val="19"/>
                <w:lang w:eastAsia="en-AU"/>
              </w:rPr>
              <w:t xml:space="preserve"> </w:t>
            </w:r>
            <w:r w:rsidRPr="00B24C02">
              <w:rPr>
                <w:rFonts w:cs="Arial"/>
                <w:color w:val="000000"/>
                <w:szCs w:val="19"/>
                <w:lang w:eastAsia="en-AU"/>
              </w:rPr>
              <w:t>September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time</w:t>
            </w:r>
            <w:r w:rsidR="005D5532" w:rsidRPr="00B24C02">
              <w:rPr>
                <w:rFonts w:cs="Arial"/>
                <w:color w:val="000000"/>
                <w:szCs w:val="19"/>
                <w:lang w:eastAsia="en-AU"/>
              </w:rPr>
              <w:t xml:space="preserve"> </w:t>
            </w:r>
            <w:r w:rsidRPr="00B24C02">
              <w:rPr>
                <w:rFonts w:cs="Arial"/>
                <w:color w:val="000000"/>
                <w:szCs w:val="19"/>
                <w:lang w:eastAsia="en-AU"/>
              </w:rPr>
              <w:t>agreed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p>
        </w:tc>
      </w:tr>
      <w:tr w:rsidR="00236748" w:rsidRPr="00276391" w14:paraId="12A943DB" w14:textId="77777777" w:rsidTr="00C84841">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6CF08FDA" w14:textId="77777777" w:rsidR="00236748" w:rsidRPr="00276391" w:rsidRDefault="00236748" w:rsidP="00276391">
            <w:pPr>
              <w:pStyle w:val="DHHSbody"/>
              <w:rPr>
                <w:lang w:eastAsia="en-AU"/>
              </w:rPr>
            </w:pP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(dependant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cycle)</w:t>
            </w:r>
          </w:p>
        </w:tc>
        <w:tc>
          <w:tcPr>
            <w:tcW w:w="0" w:type="auto"/>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35C4EC84" w14:textId="4F32319A" w:rsidR="000D4878" w:rsidRPr="00276391" w:rsidRDefault="000D4878" w:rsidP="000D4878">
            <w:pPr>
              <w:pStyle w:val="DHHSbody"/>
              <w:rPr>
                <w:lang w:eastAsia="en-AU"/>
              </w:rPr>
            </w:pPr>
            <w:r w:rsidRPr="00B24C02">
              <w:rPr>
                <w:rFonts w:cs="Arial"/>
                <w:b/>
                <w:bCs/>
                <w:color w:val="000000"/>
                <w:szCs w:val="19"/>
                <w:lang w:eastAsia="en-AU"/>
              </w:rPr>
              <w:t xml:space="preserve">Annual </w:t>
            </w:r>
            <w:r w:rsidR="009B3052">
              <w:rPr>
                <w:rFonts w:cs="Arial"/>
                <w:b/>
                <w:bCs/>
                <w:color w:val="000000"/>
                <w:szCs w:val="19"/>
                <w:lang w:eastAsia="en-AU"/>
              </w:rPr>
              <w:t>Service agreement</w:t>
            </w:r>
            <w:r w:rsidRPr="00B24C02">
              <w:rPr>
                <w:rFonts w:cs="Arial"/>
                <w:b/>
                <w:bCs/>
                <w:color w:val="000000"/>
                <w:szCs w:val="19"/>
                <w:lang w:eastAsia="en-AU"/>
              </w:rPr>
              <w:t xml:space="preserve"> </w:t>
            </w:r>
            <w:r>
              <w:rPr>
                <w:rFonts w:cs="Arial"/>
                <w:b/>
                <w:bCs/>
                <w:color w:val="000000"/>
                <w:szCs w:val="19"/>
                <w:lang w:eastAsia="en-AU"/>
              </w:rPr>
              <w:t>c</w:t>
            </w:r>
            <w:r w:rsidRPr="00B24C02">
              <w:rPr>
                <w:rFonts w:cs="Arial"/>
                <w:b/>
                <w:bCs/>
                <w:color w:val="000000"/>
                <w:szCs w:val="19"/>
                <w:lang w:eastAsia="en-AU"/>
              </w:rPr>
              <w:t xml:space="preserve">ompliance </w:t>
            </w:r>
            <w:r>
              <w:rPr>
                <w:rFonts w:cs="Arial"/>
                <w:b/>
                <w:bCs/>
                <w:color w:val="000000"/>
                <w:szCs w:val="19"/>
                <w:lang w:eastAsia="en-AU"/>
              </w:rPr>
              <w:t>c</w:t>
            </w:r>
            <w:r w:rsidRPr="00B24C02">
              <w:rPr>
                <w:rFonts w:cs="Arial"/>
                <w:b/>
                <w:bCs/>
                <w:color w:val="000000"/>
                <w:szCs w:val="19"/>
                <w:lang w:eastAsia="en-AU"/>
              </w:rPr>
              <w:t>ertification</w:t>
            </w:r>
          </w:p>
          <w:p w14:paraId="5EB24B95" w14:textId="1823C0E2" w:rsidR="000D4878" w:rsidRDefault="000D4878" w:rsidP="000D4878">
            <w:pPr>
              <w:pStyle w:val="DHHSbody"/>
              <w:rPr>
                <w:lang w:eastAsia="en-AU"/>
              </w:rPr>
            </w:pPr>
            <w:r>
              <w:rPr>
                <w:lang w:eastAsia="en-AU"/>
              </w:rPr>
              <w:t>T</w:t>
            </w:r>
            <w:r w:rsidRPr="00276391">
              <w:rPr>
                <w:lang w:eastAsia="en-AU"/>
              </w:rPr>
              <w:t xml:space="preserve">he </w:t>
            </w:r>
            <w:r w:rsidR="009B3052">
              <w:rPr>
                <w:lang w:eastAsia="en-AU"/>
              </w:rPr>
              <w:t>Service agreement</w:t>
            </w:r>
            <w:r w:rsidRPr="00276391">
              <w:rPr>
                <w:lang w:eastAsia="en-AU"/>
              </w:rPr>
              <w:t xml:space="preserve"> </w:t>
            </w:r>
            <w:r>
              <w:rPr>
                <w:lang w:eastAsia="en-AU"/>
              </w:rPr>
              <w:t>c</w:t>
            </w:r>
            <w:r w:rsidRPr="00276391">
              <w:rPr>
                <w:lang w:eastAsia="en-AU"/>
              </w:rPr>
              <w:t xml:space="preserve">ompliance </w:t>
            </w:r>
            <w:r>
              <w:rPr>
                <w:lang w:eastAsia="en-AU"/>
              </w:rPr>
              <w:t>c</w:t>
            </w:r>
            <w:r w:rsidRPr="00276391">
              <w:rPr>
                <w:lang w:eastAsia="en-AU"/>
              </w:rPr>
              <w:t xml:space="preserve">ertification (SACC) </w:t>
            </w:r>
            <w:r>
              <w:rPr>
                <w:lang w:eastAsia="en-AU"/>
              </w:rPr>
              <w:t>contains:</w:t>
            </w:r>
          </w:p>
          <w:p w14:paraId="790A85D7" w14:textId="77777777" w:rsidR="000D4878" w:rsidRDefault="000D4878" w:rsidP="000D4878">
            <w:pPr>
              <w:pStyle w:val="DHHSbody"/>
              <w:numPr>
                <w:ilvl w:val="0"/>
                <w:numId w:val="28"/>
              </w:numPr>
              <w:rPr>
                <w:lang w:eastAsia="en-AU"/>
              </w:rPr>
            </w:pPr>
            <w:r w:rsidRPr="00276391">
              <w:rPr>
                <w:lang w:eastAsia="en-AU"/>
              </w:rPr>
              <w:lastRenderedPageBreak/>
              <w:t>Financial Accountability Reporting</w:t>
            </w:r>
          </w:p>
          <w:p w14:paraId="23BD8CD5" w14:textId="77777777" w:rsidR="000D4878" w:rsidRDefault="000D4878" w:rsidP="000D4878">
            <w:pPr>
              <w:pStyle w:val="DHHSbody"/>
              <w:numPr>
                <w:ilvl w:val="0"/>
                <w:numId w:val="28"/>
              </w:numPr>
              <w:rPr>
                <w:lang w:eastAsia="en-AU"/>
              </w:rPr>
            </w:pPr>
            <w:r w:rsidRPr="00276391">
              <w:rPr>
                <w:lang w:eastAsia="en-AU"/>
              </w:rPr>
              <w:t>Risk Management Attestation</w:t>
            </w:r>
          </w:p>
          <w:p w14:paraId="39D0874B" w14:textId="77777777" w:rsidR="000D4878" w:rsidRDefault="000D4878" w:rsidP="000D4878">
            <w:pPr>
              <w:pStyle w:val="DHHSbody"/>
              <w:numPr>
                <w:ilvl w:val="0"/>
                <w:numId w:val="28"/>
              </w:numPr>
              <w:rPr>
                <w:lang w:eastAsia="en-AU"/>
              </w:rPr>
            </w:pPr>
            <w:r w:rsidRPr="00276391">
              <w:rPr>
                <w:lang w:eastAsia="en-AU"/>
              </w:rPr>
              <w:t xml:space="preserve">Safety </w:t>
            </w:r>
            <w:r>
              <w:rPr>
                <w:lang w:eastAsia="en-AU"/>
              </w:rPr>
              <w:t>s</w:t>
            </w:r>
            <w:r w:rsidRPr="00276391">
              <w:rPr>
                <w:lang w:eastAsia="en-AU"/>
              </w:rPr>
              <w:t xml:space="preserve">creening </w:t>
            </w:r>
            <w:r>
              <w:rPr>
                <w:lang w:eastAsia="en-AU"/>
              </w:rPr>
              <w:t>c</w:t>
            </w:r>
            <w:r w:rsidRPr="00276391">
              <w:rPr>
                <w:lang w:eastAsia="en-AU"/>
              </w:rPr>
              <w:t xml:space="preserve">ertification and </w:t>
            </w:r>
          </w:p>
          <w:p w14:paraId="0FE31FC4" w14:textId="77777777" w:rsidR="000D4878" w:rsidRPr="00276391" w:rsidRDefault="000D4878" w:rsidP="000D4878">
            <w:pPr>
              <w:pStyle w:val="DHHSbody"/>
              <w:numPr>
                <w:ilvl w:val="0"/>
                <w:numId w:val="28"/>
              </w:numPr>
              <w:rPr>
                <w:lang w:eastAsia="en-AU"/>
              </w:rPr>
            </w:pPr>
            <w:r w:rsidRPr="00276391">
              <w:rPr>
                <w:lang w:eastAsia="en-AU"/>
              </w:rPr>
              <w:t xml:space="preserve">Privacy and </w:t>
            </w:r>
            <w:r>
              <w:rPr>
                <w:lang w:eastAsia="en-AU"/>
              </w:rPr>
              <w:t>data</w:t>
            </w:r>
            <w:r w:rsidRPr="00276391">
              <w:rPr>
                <w:lang w:eastAsia="en-AU"/>
              </w:rPr>
              <w:t xml:space="preserve"> </w:t>
            </w:r>
            <w:r>
              <w:rPr>
                <w:lang w:eastAsia="en-AU"/>
              </w:rPr>
              <w:t>p</w:t>
            </w:r>
            <w:r w:rsidRPr="00276391">
              <w:rPr>
                <w:lang w:eastAsia="en-AU"/>
              </w:rPr>
              <w:t xml:space="preserve">rotection </w:t>
            </w:r>
            <w:r>
              <w:rPr>
                <w:lang w:eastAsia="en-AU"/>
              </w:rPr>
              <w:t>c</w:t>
            </w:r>
            <w:r w:rsidRPr="00276391">
              <w:rPr>
                <w:lang w:eastAsia="en-AU"/>
              </w:rPr>
              <w:t>ertification.</w:t>
            </w:r>
          </w:p>
          <w:p w14:paraId="17465BAD" w14:textId="77777777" w:rsidR="000D4878" w:rsidRPr="00276391" w:rsidRDefault="000D4878" w:rsidP="000D4878">
            <w:pPr>
              <w:pStyle w:val="DHHSbody"/>
              <w:rPr>
                <w:lang w:eastAsia="en-AU"/>
              </w:rPr>
            </w:pPr>
            <w:r w:rsidRPr="00276391">
              <w:rPr>
                <w:lang w:eastAsia="en-AU"/>
              </w:rPr>
              <w:t>The due date for the SACC is three months after the end of an organisation’s reporting period, or seven days after an organisation’s AGM.</w:t>
            </w:r>
          </w:p>
          <w:p w14:paraId="33C4742A" w14:textId="5C615D60" w:rsidR="00236748" w:rsidRPr="00276391" w:rsidRDefault="000D4878" w:rsidP="000D4878">
            <w:pPr>
              <w:pStyle w:val="DHHSbody"/>
              <w:rPr>
                <w:lang w:eastAsia="en-AU"/>
              </w:rPr>
            </w:pPr>
            <w:r w:rsidRPr="00276391">
              <w:rPr>
                <w:lang w:eastAsia="en-AU"/>
              </w:rPr>
              <w:t xml:space="preserve">Organisations can update their AGM date via the </w:t>
            </w:r>
            <w:r w:rsidR="009B3052">
              <w:rPr>
                <w:lang w:eastAsia="en-AU"/>
              </w:rPr>
              <w:t>Service agreement</w:t>
            </w:r>
            <w:r w:rsidR="008B3F5C">
              <w:rPr>
                <w:lang w:eastAsia="en-AU"/>
              </w:rPr>
              <w:t xml:space="preserve"> m</w:t>
            </w:r>
            <w:r w:rsidRPr="00276391">
              <w:rPr>
                <w:lang w:eastAsia="en-AU"/>
              </w:rPr>
              <w:t xml:space="preserve">odule on the </w:t>
            </w:r>
            <w:r>
              <w:rPr>
                <w:lang w:eastAsia="en-AU"/>
              </w:rPr>
              <w:t>Funded agency channel</w:t>
            </w:r>
            <w:r w:rsidRPr="00276391">
              <w:rPr>
                <w:lang w:eastAsia="en-AU"/>
              </w:rPr>
              <w:t xml:space="preserve"> and the due date for their SACC will be automatically updated.</w:t>
            </w:r>
          </w:p>
        </w:tc>
      </w:tr>
    </w:tbl>
    <w:p w14:paraId="029CDED0" w14:textId="762B25C6" w:rsidR="00236748" w:rsidRPr="00276391" w:rsidRDefault="00236748" w:rsidP="00276391">
      <w:pPr>
        <w:pStyle w:val="Heading3"/>
        <w:rPr>
          <w:lang w:eastAsia="en-AU"/>
        </w:rPr>
      </w:pPr>
      <w:bookmarkStart w:id="202" w:name="_Toc478991749"/>
      <w:bookmarkStart w:id="203" w:name="_Toc478992349"/>
      <w:bookmarkStart w:id="204" w:name="_Toc4142025"/>
      <w:r w:rsidRPr="00276391">
        <w:rPr>
          <w:lang w:eastAsia="en-AU"/>
        </w:rPr>
        <w:lastRenderedPageBreak/>
        <w:t>Negotiating</w:t>
      </w:r>
      <w:r w:rsidR="005D5532" w:rsidRPr="00276391">
        <w:rPr>
          <w:lang w:eastAsia="en-AU"/>
        </w:rPr>
        <w:t xml:space="preserve"> </w:t>
      </w:r>
      <w:r w:rsidR="009B3052">
        <w:rPr>
          <w:lang w:eastAsia="en-AU"/>
        </w:rPr>
        <w:t>Service agreement</w:t>
      </w:r>
      <w:r w:rsidRPr="00276391">
        <w:rPr>
          <w:lang w:eastAsia="en-AU"/>
        </w:rPr>
        <w:t>s</w:t>
      </w:r>
      <w:bookmarkEnd w:id="202"/>
      <w:bookmarkEnd w:id="203"/>
      <w:bookmarkEnd w:id="204"/>
    </w:p>
    <w:p w14:paraId="571C7228" w14:textId="0DAF870E"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reasonably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good</w:t>
      </w:r>
      <w:r w:rsidR="005D5532" w:rsidRPr="00B24C02">
        <w:rPr>
          <w:rFonts w:cs="Arial"/>
          <w:color w:val="000000"/>
          <w:szCs w:val="19"/>
          <w:lang w:eastAsia="en-AU"/>
        </w:rPr>
        <w:t xml:space="preserve"> </w:t>
      </w:r>
      <w:r w:rsidRPr="00B24C02">
        <w:rPr>
          <w:rFonts w:cs="Arial"/>
          <w:color w:val="000000"/>
          <w:szCs w:val="19"/>
          <w:lang w:eastAsia="en-AU"/>
        </w:rPr>
        <w:t>faith</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negotiating</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includes:</w:t>
      </w:r>
    </w:p>
    <w:p w14:paraId="795442E5" w14:textId="2F1B8E70" w:rsidR="00236748" w:rsidRPr="00276391" w:rsidRDefault="00236748" w:rsidP="00276391">
      <w:pPr>
        <w:pStyle w:val="DHHSbullet1"/>
        <w:rPr>
          <w:rFonts w:cs="Arial"/>
          <w:lang w:eastAsia="en-AU"/>
        </w:rPr>
      </w:pPr>
      <w:r w:rsidRPr="00276391">
        <w:rPr>
          <w:rFonts w:cs="Arial"/>
          <w:lang w:eastAsia="en-AU"/>
        </w:rPr>
        <w:t>ensuring</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both</w:t>
      </w:r>
      <w:r w:rsidR="005D5532" w:rsidRPr="00276391">
        <w:rPr>
          <w:rFonts w:cs="Arial"/>
          <w:lang w:eastAsia="en-AU"/>
        </w:rPr>
        <w:t xml:space="preserve"> </w:t>
      </w:r>
      <w:r w:rsidRPr="00276391">
        <w:rPr>
          <w:rFonts w:cs="Arial"/>
          <w:lang w:eastAsia="en-AU"/>
        </w:rPr>
        <w:t>parties</w:t>
      </w:r>
      <w:r w:rsidR="005D5532" w:rsidRPr="00276391">
        <w:rPr>
          <w:rFonts w:cs="Arial"/>
          <w:lang w:eastAsia="en-AU"/>
        </w:rPr>
        <w:t xml:space="preserve"> </w:t>
      </w:r>
      <w:r w:rsidRPr="00276391">
        <w:rPr>
          <w:rFonts w:cs="Arial"/>
          <w:lang w:eastAsia="en-AU"/>
        </w:rPr>
        <w:t>discuss</w:t>
      </w:r>
      <w:r w:rsidR="005D5532" w:rsidRPr="00276391">
        <w:rPr>
          <w:rFonts w:cs="Arial"/>
          <w:lang w:eastAsia="en-AU"/>
        </w:rPr>
        <w:t xml:space="preserve"> </w:t>
      </w:r>
      <w:r w:rsidRPr="00276391">
        <w:rPr>
          <w:rFonts w:cs="Arial"/>
          <w:lang w:eastAsia="en-AU"/>
        </w:rPr>
        <w:t>proposed</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delivered,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planning</w:t>
      </w:r>
      <w:r w:rsidR="005D5532" w:rsidRPr="00276391">
        <w:rPr>
          <w:rFonts w:cs="Arial"/>
          <w:lang w:eastAsia="en-AU"/>
        </w:rPr>
        <w:t xml:space="preserve"> </w:t>
      </w:r>
    </w:p>
    <w:p w14:paraId="30973E48" w14:textId="77777777" w:rsidR="00236748" w:rsidRPr="00276391" w:rsidRDefault="00236748" w:rsidP="006B3011">
      <w:pPr>
        <w:pStyle w:val="DHHSbullet1"/>
        <w:rPr>
          <w:lang w:eastAsia="en-AU"/>
        </w:rPr>
      </w:pPr>
      <w:r w:rsidRPr="006B3011">
        <w:rPr>
          <w:rFonts w:cs="Arial"/>
          <w:color w:val="000000"/>
          <w:szCs w:val="19"/>
          <w:lang w:eastAsia="en-AU"/>
        </w:rPr>
        <w:t>working</w:t>
      </w:r>
      <w:r w:rsidR="005D5532" w:rsidRPr="006B3011">
        <w:rPr>
          <w:rFonts w:cs="Arial"/>
          <w:color w:val="000000"/>
          <w:szCs w:val="19"/>
          <w:lang w:eastAsia="en-AU"/>
        </w:rPr>
        <w:t xml:space="preserve"> </w:t>
      </w:r>
      <w:r w:rsidRPr="006B3011">
        <w:rPr>
          <w:rFonts w:cs="Arial"/>
          <w:color w:val="000000"/>
          <w:szCs w:val="19"/>
          <w:lang w:eastAsia="en-AU"/>
        </w:rPr>
        <w:t>collaboratively</w:t>
      </w:r>
      <w:r w:rsidR="005D5532" w:rsidRPr="006B3011">
        <w:rPr>
          <w:rFonts w:cs="Arial"/>
          <w:color w:val="000000"/>
          <w:szCs w:val="19"/>
          <w:lang w:eastAsia="en-AU"/>
        </w:rPr>
        <w:t xml:space="preserve"> </w:t>
      </w:r>
      <w:r w:rsidRPr="006B3011">
        <w:rPr>
          <w:rFonts w:cs="Arial"/>
          <w:color w:val="000000"/>
          <w:szCs w:val="19"/>
          <w:lang w:eastAsia="en-AU"/>
        </w:rPr>
        <w:t>to</w:t>
      </w:r>
      <w:r w:rsidR="005D5532" w:rsidRPr="006B3011">
        <w:rPr>
          <w:rFonts w:cs="Arial"/>
          <w:color w:val="000000"/>
          <w:szCs w:val="19"/>
          <w:lang w:eastAsia="en-AU"/>
        </w:rPr>
        <w:t xml:space="preserve"> </w:t>
      </w:r>
      <w:r w:rsidRPr="006B3011">
        <w:rPr>
          <w:rFonts w:cs="Arial"/>
          <w:color w:val="000000"/>
          <w:szCs w:val="19"/>
          <w:lang w:eastAsia="en-AU"/>
        </w:rPr>
        <w:t>ensure</w:t>
      </w:r>
      <w:r w:rsidR="005D5532" w:rsidRPr="006B3011">
        <w:rPr>
          <w:rFonts w:cs="Arial"/>
          <w:color w:val="000000"/>
          <w:szCs w:val="19"/>
          <w:lang w:eastAsia="en-AU"/>
        </w:rPr>
        <w:t xml:space="preserve"> </w:t>
      </w:r>
      <w:r w:rsidRPr="006B3011">
        <w:rPr>
          <w:rFonts w:cs="Arial"/>
          <w:color w:val="000000"/>
          <w:szCs w:val="19"/>
          <w:lang w:eastAsia="en-AU"/>
        </w:rPr>
        <w:t>service</w:t>
      </w:r>
      <w:r w:rsidR="005D5532" w:rsidRPr="006B3011">
        <w:rPr>
          <w:rFonts w:cs="Arial"/>
          <w:color w:val="000000"/>
          <w:szCs w:val="19"/>
          <w:lang w:eastAsia="en-AU"/>
        </w:rPr>
        <w:t xml:space="preserve"> </w:t>
      </w:r>
      <w:r w:rsidRPr="006B3011">
        <w:rPr>
          <w:rFonts w:cs="Arial"/>
          <w:color w:val="000000"/>
          <w:szCs w:val="19"/>
          <w:lang w:eastAsia="en-AU"/>
        </w:rPr>
        <w:t>delivery</w:t>
      </w:r>
      <w:r w:rsidR="005D5532" w:rsidRPr="006B3011">
        <w:rPr>
          <w:rFonts w:cs="Arial"/>
          <w:color w:val="000000"/>
          <w:szCs w:val="19"/>
          <w:lang w:eastAsia="en-AU"/>
        </w:rPr>
        <w:t xml:space="preserve"> </w:t>
      </w:r>
      <w:r w:rsidRPr="006B3011">
        <w:rPr>
          <w:rFonts w:cs="Arial"/>
          <w:color w:val="000000"/>
          <w:szCs w:val="19"/>
          <w:lang w:eastAsia="en-AU"/>
        </w:rPr>
        <w:t>issues</w:t>
      </w:r>
      <w:r w:rsidR="005D5532" w:rsidRPr="006B3011">
        <w:rPr>
          <w:rFonts w:cs="Arial"/>
          <w:color w:val="000000"/>
          <w:szCs w:val="19"/>
          <w:lang w:eastAsia="en-AU"/>
        </w:rPr>
        <w:t xml:space="preserve"> </w:t>
      </w:r>
      <w:r w:rsidRPr="006B3011">
        <w:rPr>
          <w:rFonts w:cs="Arial"/>
          <w:color w:val="000000"/>
          <w:szCs w:val="19"/>
          <w:lang w:eastAsia="en-AU"/>
        </w:rPr>
        <w:t>are</w:t>
      </w:r>
      <w:r w:rsidR="005D5532" w:rsidRPr="006B3011">
        <w:rPr>
          <w:rFonts w:cs="Arial"/>
          <w:color w:val="000000"/>
          <w:szCs w:val="19"/>
          <w:lang w:eastAsia="en-AU"/>
        </w:rPr>
        <w:t xml:space="preserve"> </w:t>
      </w:r>
      <w:r w:rsidRPr="006B3011">
        <w:rPr>
          <w:rFonts w:cs="Arial"/>
          <w:color w:val="000000"/>
          <w:szCs w:val="19"/>
          <w:lang w:eastAsia="en-AU"/>
        </w:rPr>
        <w:t>adequately</w:t>
      </w:r>
      <w:r w:rsidR="005D5532" w:rsidRPr="006B3011">
        <w:rPr>
          <w:rFonts w:cs="Arial"/>
          <w:color w:val="000000"/>
          <w:szCs w:val="19"/>
          <w:lang w:eastAsia="en-AU"/>
        </w:rPr>
        <w:t xml:space="preserve"> </w:t>
      </w:r>
      <w:r w:rsidRPr="006B3011">
        <w:rPr>
          <w:rFonts w:cs="Arial"/>
          <w:color w:val="000000"/>
          <w:szCs w:val="19"/>
          <w:lang w:eastAsia="en-AU"/>
        </w:rPr>
        <w:t>addressed,</w:t>
      </w:r>
      <w:r w:rsidR="005D5532" w:rsidRPr="006B3011">
        <w:rPr>
          <w:rFonts w:cs="Arial"/>
          <w:color w:val="000000"/>
          <w:szCs w:val="19"/>
          <w:lang w:eastAsia="en-AU"/>
        </w:rPr>
        <w:t xml:space="preserve"> </w:t>
      </w:r>
      <w:r w:rsidRPr="006B3011">
        <w:rPr>
          <w:rFonts w:cs="Arial"/>
          <w:color w:val="000000"/>
          <w:szCs w:val="19"/>
          <w:lang w:eastAsia="en-AU"/>
        </w:rPr>
        <w:t>including</w:t>
      </w:r>
      <w:r w:rsidR="005D5532" w:rsidRPr="006B3011">
        <w:rPr>
          <w:rFonts w:cs="Arial"/>
          <w:color w:val="000000"/>
          <w:szCs w:val="19"/>
          <w:lang w:eastAsia="en-AU"/>
        </w:rPr>
        <w:t xml:space="preserve"> </w:t>
      </w:r>
      <w:r w:rsidRPr="006B3011">
        <w:rPr>
          <w:rFonts w:cs="Arial"/>
          <w:color w:val="000000"/>
          <w:szCs w:val="19"/>
          <w:lang w:eastAsia="en-AU"/>
        </w:rPr>
        <w:t>looking</w:t>
      </w:r>
      <w:r w:rsidR="005D5532" w:rsidRPr="006B3011">
        <w:rPr>
          <w:rFonts w:cs="Arial"/>
          <w:color w:val="000000"/>
          <w:szCs w:val="19"/>
          <w:lang w:eastAsia="en-AU"/>
        </w:rPr>
        <w:t xml:space="preserve"> </w:t>
      </w:r>
      <w:r w:rsidRPr="006B3011">
        <w:rPr>
          <w:rFonts w:cs="Arial"/>
          <w:color w:val="000000"/>
          <w:szCs w:val="19"/>
          <w:lang w:eastAsia="en-AU"/>
        </w:rPr>
        <w:t>at</w:t>
      </w:r>
      <w:r w:rsidR="005D5532" w:rsidRPr="006B3011">
        <w:rPr>
          <w:rFonts w:cs="Arial"/>
          <w:color w:val="000000"/>
          <w:szCs w:val="19"/>
          <w:lang w:eastAsia="en-AU"/>
        </w:rPr>
        <w:t xml:space="preserve"> </w:t>
      </w:r>
      <w:r w:rsidRPr="006B3011">
        <w:rPr>
          <w:rFonts w:cs="Arial"/>
          <w:color w:val="000000"/>
          <w:szCs w:val="19"/>
          <w:lang w:eastAsia="en-AU"/>
        </w:rPr>
        <w:t>the</w:t>
      </w:r>
      <w:r w:rsidR="005D5532" w:rsidRPr="006B3011">
        <w:rPr>
          <w:rFonts w:cs="Arial"/>
          <w:color w:val="000000"/>
          <w:szCs w:val="19"/>
          <w:lang w:eastAsia="en-AU"/>
        </w:rPr>
        <w:t xml:space="preserve"> </w:t>
      </w:r>
      <w:r w:rsidRPr="006B3011">
        <w:rPr>
          <w:rFonts w:cs="Arial"/>
          <w:color w:val="000000"/>
          <w:szCs w:val="19"/>
          <w:lang w:eastAsia="en-AU"/>
        </w:rPr>
        <w:t>service</w:t>
      </w:r>
      <w:r w:rsidR="005D5532" w:rsidRPr="006B3011">
        <w:rPr>
          <w:rFonts w:cs="Arial"/>
          <w:color w:val="000000"/>
          <w:szCs w:val="19"/>
          <w:lang w:eastAsia="en-AU"/>
        </w:rPr>
        <w:t xml:space="preserve"> </w:t>
      </w:r>
      <w:r w:rsidRPr="006B3011">
        <w:rPr>
          <w:rFonts w:cs="Arial"/>
          <w:color w:val="000000"/>
          <w:szCs w:val="19"/>
          <w:lang w:eastAsia="en-AU"/>
        </w:rPr>
        <w:t>mix</w:t>
      </w:r>
      <w:r w:rsidR="005D5532" w:rsidRPr="006B3011">
        <w:rPr>
          <w:rFonts w:cs="Arial"/>
          <w:color w:val="000000"/>
          <w:szCs w:val="19"/>
          <w:lang w:eastAsia="en-AU"/>
        </w:rPr>
        <w:t xml:space="preserve"> </w:t>
      </w:r>
      <w:r w:rsidRPr="006B3011">
        <w:rPr>
          <w:rFonts w:cs="Arial"/>
          <w:color w:val="000000"/>
          <w:szCs w:val="19"/>
          <w:lang w:eastAsia="en-AU"/>
        </w:rPr>
        <w:t>where</w:t>
      </w:r>
      <w:r w:rsidR="005D5532" w:rsidRPr="006B3011">
        <w:rPr>
          <w:rFonts w:cs="Arial"/>
          <w:color w:val="000000"/>
          <w:szCs w:val="19"/>
          <w:lang w:eastAsia="en-AU"/>
        </w:rPr>
        <w:t xml:space="preserve"> </w:t>
      </w:r>
      <w:r w:rsidRPr="006B3011">
        <w:rPr>
          <w:rFonts w:cs="Arial"/>
          <w:color w:val="000000"/>
          <w:szCs w:val="19"/>
          <w:lang w:eastAsia="en-AU"/>
        </w:rPr>
        <w:t>necessary</w:t>
      </w:r>
      <w:r w:rsidR="005D5532" w:rsidRPr="006B3011">
        <w:rPr>
          <w:rFonts w:cs="Arial"/>
          <w:color w:val="000000"/>
          <w:szCs w:val="19"/>
          <w:lang w:eastAsia="en-AU"/>
        </w:rPr>
        <w:t xml:space="preserve"> </w:t>
      </w:r>
    </w:p>
    <w:p w14:paraId="353D29FF" w14:textId="77777777" w:rsidR="00236748" w:rsidRPr="00276391" w:rsidRDefault="00236748" w:rsidP="006B3011">
      <w:pPr>
        <w:pStyle w:val="DHHSbullet1"/>
        <w:rPr>
          <w:lang w:eastAsia="en-AU"/>
        </w:rPr>
      </w:pPr>
      <w:r w:rsidRPr="00276391">
        <w:rPr>
          <w:lang w:eastAsia="en-AU"/>
        </w:rPr>
        <w:t>being</w:t>
      </w:r>
      <w:r w:rsidR="005D5532" w:rsidRPr="00276391">
        <w:rPr>
          <w:lang w:eastAsia="en-AU"/>
        </w:rPr>
        <w:t xml:space="preserve"> </w:t>
      </w:r>
      <w:r w:rsidRPr="00276391">
        <w:rPr>
          <w:lang w:eastAsia="en-AU"/>
        </w:rPr>
        <w:t>transparent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open</w:t>
      </w:r>
      <w:r w:rsidR="005D5532" w:rsidRPr="00276391">
        <w:rPr>
          <w:lang w:eastAsia="en-AU"/>
        </w:rPr>
        <w:t xml:space="preserve"> </w:t>
      </w:r>
      <w:r w:rsidRPr="00276391">
        <w:rPr>
          <w:lang w:eastAsia="en-AU"/>
        </w:rPr>
        <w:t>regarding</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developments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p>
    <w:p w14:paraId="0680ED50" w14:textId="1C955C54" w:rsidR="00236748" w:rsidRPr="00276391" w:rsidRDefault="00236748" w:rsidP="006B3011">
      <w:pPr>
        <w:pStyle w:val="DHHSbullet1"/>
        <w:rPr>
          <w:lang w:eastAsia="en-AU"/>
        </w:rPr>
      </w:pPr>
      <w:r w:rsidRPr="00276391">
        <w:rPr>
          <w:lang w:eastAsia="en-AU"/>
        </w:rPr>
        <w:t>acting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resolve</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dispute</w:t>
      </w:r>
      <w:r w:rsidR="005D5532" w:rsidRPr="00276391">
        <w:rPr>
          <w:lang w:eastAsia="en-AU"/>
        </w:rPr>
        <w:t xml:space="preserve"> </w:t>
      </w:r>
      <w:r w:rsidRPr="00276391">
        <w:rPr>
          <w:lang w:eastAsia="en-AU"/>
        </w:rPr>
        <w:t>arising</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good</w:t>
      </w:r>
      <w:r w:rsidR="005D5532" w:rsidRPr="00276391">
        <w:rPr>
          <w:lang w:eastAsia="en-AU"/>
        </w:rPr>
        <w:t xml:space="preserve"> </w:t>
      </w:r>
      <w:r w:rsidRPr="00276391">
        <w:rPr>
          <w:lang w:eastAsia="en-AU"/>
        </w:rPr>
        <w:t>faith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timely</w:t>
      </w:r>
      <w:r w:rsidR="005D5532" w:rsidRPr="00276391">
        <w:rPr>
          <w:lang w:eastAsia="en-AU"/>
        </w:rPr>
        <w:t xml:space="preserve"> </w:t>
      </w:r>
      <w:r w:rsidRPr="00276391">
        <w:rPr>
          <w:lang w:eastAsia="en-AU"/>
        </w:rPr>
        <w:t>manner.</w:t>
      </w:r>
      <w:r w:rsidR="005D5532" w:rsidRPr="00276391">
        <w:rPr>
          <w:lang w:eastAsia="en-AU"/>
        </w:rPr>
        <w:t xml:space="preserve"> </w:t>
      </w:r>
    </w:p>
    <w:p w14:paraId="1B1CC917" w14:textId="77777777" w:rsidR="00236748" w:rsidRPr="00276391" w:rsidRDefault="00236748" w:rsidP="00276391">
      <w:pPr>
        <w:pStyle w:val="Heading3"/>
        <w:rPr>
          <w:lang w:eastAsia="en-AU"/>
        </w:rPr>
      </w:pPr>
      <w:bookmarkStart w:id="205" w:name="_Toc478991750"/>
      <w:bookmarkStart w:id="206" w:name="_Toc478992350"/>
      <w:bookmarkStart w:id="207" w:name="_Toc4142026"/>
      <w:r w:rsidRPr="00276391">
        <w:rPr>
          <w:lang w:eastAsia="en-AU"/>
        </w:rPr>
        <w:t>Changes</w:t>
      </w:r>
      <w:r w:rsidR="005D5532" w:rsidRPr="00276391">
        <w:rPr>
          <w:lang w:eastAsia="en-AU"/>
        </w:rPr>
        <w:t xml:space="preserve"> </w:t>
      </w:r>
      <w:r w:rsidRPr="00276391">
        <w:rPr>
          <w:lang w:eastAsia="en-AU"/>
        </w:rPr>
        <w:t>to</w:t>
      </w:r>
      <w:r w:rsidR="005D5532" w:rsidRPr="00276391">
        <w:rPr>
          <w:lang w:eastAsia="en-AU"/>
        </w:rPr>
        <w:t xml:space="preserve"> </w:t>
      </w:r>
      <w:r w:rsidR="00E01346" w:rsidRPr="00276391">
        <w:rPr>
          <w:lang w:eastAsia="en-AU"/>
        </w:rPr>
        <w:t>applicable departmental policies</w:t>
      </w:r>
      <w:bookmarkEnd w:id="205"/>
      <w:bookmarkEnd w:id="206"/>
      <w:bookmarkEnd w:id="207"/>
    </w:p>
    <w:p w14:paraId="3A5B4595" w14:textId="1B6CA443" w:rsidR="00236748" w:rsidRPr="00276391" w:rsidRDefault="00236748" w:rsidP="00276391">
      <w:pPr>
        <w:pStyle w:val="DHHSbody"/>
        <w:rPr>
          <w:lang w:eastAsia="en-AU"/>
        </w:rPr>
      </w:pP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1</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list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contained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hyperlink w:anchor="_Chapter_4._Departmental" w:history="1">
        <w:r w:rsidRPr="008B3F5C">
          <w:rPr>
            <w:rStyle w:val="Hyperlink"/>
            <w:rFonts w:cs="Arial"/>
            <w:szCs w:val="19"/>
            <w:lang w:eastAsia="en-AU"/>
          </w:rPr>
          <w:t>Chapter</w:t>
        </w:r>
        <w:r w:rsidR="005D5532" w:rsidRPr="008B3F5C">
          <w:rPr>
            <w:rStyle w:val="Hyperlink"/>
            <w:rFonts w:cs="Arial"/>
            <w:szCs w:val="19"/>
            <w:lang w:eastAsia="en-AU"/>
          </w:rPr>
          <w:t xml:space="preserve"> </w:t>
        </w:r>
        <w:r w:rsidRPr="008B3F5C">
          <w:rPr>
            <w:rStyle w:val="Hyperlink"/>
            <w:rFonts w:cs="Arial"/>
            <w:szCs w:val="19"/>
            <w:lang w:eastAsia="en-AU"/>
          </w:rPr>
          <w:t>4</w:t>
        </w:r>
      </w:hyperlink>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C32843">
        <w:rPr>
          <w:rFonts w:cs="Arial"/>
          <w:color w:val="000000"/>
          <w:szCs w:val="19"/>
          <w:lang w:eastAsia="en-AU"/>
        </w:rPr>
        <w:t>kit</w:t>
      </w:r>
      <w:r w:rsidR="00D05F49">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held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00F8611A">
        <w:rPr>
          <w:rFonts w:cs="Arial"/>
          <w:color w:val="000000"/>
          <w:szCs w:val="19"/>
          <w:lang w:eastAsia="en-AU"/>
        </w:rPr>
        <w:t xml:space="preserve">the </w:t>
      </w:r>
      <w:r w:rsidR="00D45BB7">
        <w:rPr>
          <w:rFonts w:cs="Arial"/>
          <w:color w:val="000000"/>
          <w:szCs w:val="19"/>
          <w:lang w:eastAsia="en-AU"/>
        </w:rPr>
        <w:t>department’s</w:t>
      </w:r>
      <w:r w:rsidR="00F8611A">
        <w:rPr>
          <w:rFonts w:cs="Arial"/>
          <w:color w:val="000000"/>
          <w:szCs w:val="19"/>
          <w:lang w:eastAsia="en-AU"/>
        </w:rPr>
        <w:t xml:space="preserve"> </w:t>
      </w:r>
      <w:r w:rsidRPr="00B24C02">
        <w:rPr>
          <w:rFonts w:cs="Arial"/>
          <w:color w:val="000000"/>
          <w:szCs w:val="19"/>
          <w:lang w:eastAsia="en-AU"/>
        </w:rPr>
        <w:t>website</w:t>
      </w:r>
      <w:r w:rsidR="008B3F5C">
        <w:rPr>
          <w:rFonts w:cs="Arial"/>
          <w:color w:val="000000"/>
          <w:szCs w:val="19"/>
          <w:lang w:eastAsia="en-AU"/>
        </w:rPr>
        <w:t xml:space="preserve"> and the Funded agency c</w:t>
      </w:r>
      <w:r w:rsidR="00F8611A">
        <w:rPr>
          <w:rFonts w:cs="Arial"/>
          <w:color w:val="000000"/>
          <w:szCs w:val="19"/>
          <w:lang w:eastAsia="en-AU"/>
        </w:rPr>
        <w:t>hannel</w:t>
      </w:r>
      <w:r w:rsidRPr="00B24C02">
        <w:rPr>
          <w:rFonts w:cs="Arial"/>
          <w:color w:val="000000"/>
          <w:szCs w:val="19"/>
          <w:lang w:eastAsia="en-AU"/>
        </w:rPr>
        <w:t>.</w:t>
      </w:r>
    </w:p>
    <w:p w14:paraId="5C251A14" w14:textId="429DD0B8" w:rsidR="00236748" w:rsidRPr="00276391" w:rsidRDefault="00236748" w:rsidP="00276391">
      <w:pPr>
        <w:pStyle w:val="DHHSbody"/>
        <w:rPr>
          <w:lang w:eastAsia="en-AU"/>
        </w:rPr>
      </w:pPr>
      <w:r w:rsidRPr="00276391">
        <w:rPr>
          <w:lang w:eastAsia="en-AU"/>
        </w:rPr>
        <w:t>Whenever</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updated,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email</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00296DCA">
        <w:rPr>
          <w:lang w:eastAsia="en-AU"/>
        </w:rPr>
        <w:t>Funded agency channel</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summary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suggested</w:t>
      </w:r>
      <w:r w:rsidR="005D5532" w:rsidRPr="00276391">
        <w:rPr>
          <w:lang w:eastAsia="en-AU"/>
        </w:rPr>
        <w:t xml:space="preserve"> </w:t>
      </w:r>
      <w:r w:rsidRPr="00276391">
        <w:rPr>
          <w:lang w:eastAsia="en-AU"/>
        </w:rPr>
        <w:t>audience.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direct</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changed</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similar</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applied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policies.</w:t>
      </w:r>
    </w:p>
    <w:p w14:paraId="16665227" w14:textId="77777777" w:rsidR="00236748" w:rsidRPr="00276391" w:rsidRDefault="00236748" w:rsidP="00276391">
      <w:pPr>
        <w:pStyle w:val="Heading3"/>
        <w:rPr>
          <w:lang w:eastAsia="en-AU"/>
        </w:rPr>
      </w:pPr>
      <w:bookmarkStart w:id="208" w:name="_Toc478991751"/>
      <w:bookmarkStart w:id="209" w:name="_Toc478992351"/>
      <w:bookmarkStart w:id="210" w:name="_Toc4142027"/>
      <w:r w:rsidRPr="00276391">
        <w:rPr>
          <w:lang w:eastAsia="en-AU"/>
        </w:rPr>
        <w:t>Meetings</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bookmarkEnd w:id="208"/>
      <w:bookmarkEnd w:id="209"/>
      <w:bookmarkEnd w:id="210"/>
    </w:p>
    <w:p w14:paraId="6E6A5052" w14:textId="44D6048C"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effectively</w:t>
      </w:r>
      <w:r w:rsidR="005D5532" w:rsidRPr="00B24C02">
        <w:rPr>
          <w:rFonts w:cs="Arial"/>
          <w:color w:val="000000"/>
          <w:szCs w:val="19"/>
          <w:lang w:eastAsia="en-AU"/>
        </w:rPr>
        <w:t xml:space="preserve"> </w:t>
      </w:r>
      <w:r w:rsidRPr="00B24C02">
        <w:rPr>
          <w:rFonts w:cs="Arial"/>
          <w:color w:val="000000"/>
          <w:szCs w:val="19"/>
          <w:lang w:eastAsia="en-AU"/>
        </w:rPr>
        <w:t>manage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representatives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need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maintain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strong</w:t>
      </w:r>
      <w:r w:rsidR="005D5532" w:rsidRPr="00B24C02">
        <w:rPr>
          <w:rFonts w:cs="Arial"/>
          <w:color w:val="000000"/>
          <w:szCs w:val="19"/>
          <w:lang w:eastAsia="en-AU"/>
        </w:rPr>
        <w:t xml:space="preserve"> </w:t>
      </w:r>
      <w:r w:rsidRPr="00B24C02">
        <w:rPr>
          <w:rFonts w:cs="Arial"/>
          <w:color w:val="000000"/>
          <w:szCs w:val="19"/>
          <w:lang w:eastAsia="en-AU"/>
        </w:rPr>
        <w:t>working</w:t>
      </w:r>
      <w:r w:rsidR="005D5532" w:rsidRPr="00B24C02">
        <w:rPr>
          <w:rFonts w:cs="Arial"/>
          <w:color w:val="000000"/>
          <w:szCs w:val="19"/>
          <w:lang w:eastAsia="en-AU"/>
        </w:rPr>
        <w:t xml:space="preserve"> </w:t>
      </w:r>
      <w:r w:rsidRPr="00B24C02">
        <w:rPr>
          <w:rFonts w:cs="Arial"/>
          <w:color w:val="000000"/>
          <w:szCs w:val="19"/>
          <w:lang w:eastAsia="en-AU"/>
        </w:rPr>
        <w:t>relationship</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enables</w:t>
      </w:r>
      <w:r w:rsidR="005D5532" w:rsidRPr="00B24C02">
        <w:rPr>
          <w:rFonts w:cs="Arial"/>
          <w:color w:val="000000"/>
          <w:szCs w:val="19"/>
          <w:lang w:eastAsia="en-AU"/>
        </w:rPr>
        <w:t xml:space="preserve"> </w:t>
      </w:r>
      <w:r w:rsidRPr="00B24C02">
        <w:rPr>
          <w:rFonts w:cs="Arial"/>
          <w:color w:val="000000"/>
          <w:szCs w:val="19"/>
          <w:lang w:eastAsia="en-AU"/>
        </w:rPr>
        <w:t>open</w:t>
      </w:r>
      <w:r w:rsidR="005D5532" w:rsidRPr="00B24C02">
        <w:rPr>
          <w:rFonts w:cs="Arial"/>
          <w:color w:val="000000"/>
          <w:szCs w:val="19"/>
          <w:lang w:eastAsia="en-AU"/>
        </w:rPr>
        <w:t xml:space="preserve"> </w:t>
      </w:r>
      <w:r w:rsidRPr="00B24C02">
        <w:rPr>
          <w:rFonts w:cs="Arial"/>
          <w:color w:val="000000"/>
          <w:szCs w:val="19"/>
          <w:lang w:eastAsia="en-AU"/>
        </w:rPr>
        <w:t>communication.</w:t>
      </w:r>
    </w:p>
    <w:p w14:paraId="7F9855CB" w14:textId="77777777" w:rsidR="00236748" w:rsidRPr="00276391" w:rsidRDefault="00236748" w:rsidP="00417439">
      <w:pPr>
        <w:pStyle w:val="DHHSbodyBold"/>
        <w:rPr>
          <w:lang w:eastAsia="en-AU"/>
        </w:rPr>
      </w:pPr>
      <w:r w:rsidRPr="00276391">
        <w:rPr>
          <w:lang w:eastAsia="en-AU"/>
        </w:rPr>
        <w:t>Annual</w:t>
      </w:r>
      <w:r w:rsidR="005D5532" w:rsidRPr="00276391">
        <w:rPr>
          <w:lang w:eastAsia="en-AU"/>
        </w:rPr>
        <w:t xml:space="preserve"> </w:t>
      </w:r>
      <w:r w:rsidRPr="00276391">
        <w:rPr>
          <w:lang w:eastAsia="en-AU"/>
        </w:rPr>
        <w:t>whole-of-agreement</w:t>
      </w:r>
      <w:r w:rsidR="005D5532" w:rsidRPr="00276391">
        <w:rPr>
          <w:lang w:eastAsia="en-AU"/>
        </w:rPr>
        <w:t xml:space="preserve"> </w:t>
      </w:r>
      <w:r w:rsidRPr="00276391">
        <w:rPr>
          <w:lang w:eastAsia="en-AU"/>
        </w:rPr>
        <w:t>meetings</w:t>
      </w:r>
    </w:p>
    <w:p w14:paraId="12203E44" w14:textId="0309A22C" w:rsidR="00236748" w:rsidRPr="00276391" w:rsidRDefault="00236748" w:rsidP="00276391">
      <w:pPr>
        <w:pStyle w:val="DHHSbody"/>
        <w:rPr>
          <w:lang w:eastAsia="en-AU"/>
        </w:rPr>
      </w:pP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recommended</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once</w:t>
      </w:r>
      <w:r w:rsidR="005D5532" w:rsidRPr="00276391">
        <w:rPr>
          <w:lang w:eastAsia="en-AU"/>
        </w:rPr>
        <w:t xml:space="preserve"> </w:t>
      </w:r>
      <w:r w:rsidRPr="00276391">
        <w:rPr>
          <w:lang w:eastAsia="en-AU"/>
        </w:rPr>
        <w:t>annually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discuss</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meetings</w:t>
      </w:r>
      <w:r w:rsidR="005D5532" w:rsidRPr="00276391">
        <w:rPr>
          <w:lang w:eastAsia="en-AU"/>
        </w:rPr>
        <w:t xml:space="preserve"> </w:t>
      </w:r>
      <w:r w:rsidRPr="00276391">
        <w:rPr>
          <w:lang w:eastAsia="en-AU"/>
        </w:rPr>
        <w:t>should:</w:t>
      </w:r>
    </w:p>
    <w:p w14:paraId="4D883F08" w14:textId="2A647D71" w:rsidR="00F8611A"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opportunities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discussion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feedback</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whole-of-agreement</w:t>
      </w:r>
      <w:r w:rsidR="005D5532" w:rsidRPr="00276391">
        <w:rPr>
          <w:rFonts w:cs="Arial"/>
          <w:lang w:eastAsia="en-AU"/>
        </w:rPr>
        <w:t xml:space="preserve"> </w:t>
      </w:r>
      <w:r w:rsidRPr="00276391">
        <w:rPr>
          <w:rFonts w:cs="Arial"/>
          <w:lang w:eastAsia="en-AU"/>
        </w:rPr>
        <w:t>perspective</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delivery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performance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meeting</w:t>
      </w:r>
      <w:r w:rsidR="005D5532" w:rsidRPr="00276391">
        <w:rPr>
          <w:rFonts w:cs="Arial"/>
          <w:lang w:eastAsia="en-AU"/>
        </w:rPr>
        <w:t xml:space="preserve"> </w:t>
      </w:r>
      <w:r w:rsidRPr="00276391">
        <w:rPr>
          <w:rFonts w:cs="Arial"/>
          <w:lang w:eastAsia="en-AU"/>
        </w:rPr>
        <w:t>client</w:t>
      </w:r>
      <w:r w:rsidR="005D5532" w:rsidRPr="00276391">
        <w:rPr>
          <w:rFonts w:cs="Arial"/>
          <w:lang w:eastAsia="en-AU"/>
        </w:rPr>
        <w:t xml:space="preserve"> </w:t>
      </w:r>
      <w:r w:rsidRPr="00276391">
        <w:rPr>
          <w:rFonts w:cs="Arial"/>
          <w:lang w:eastAsia="en-AU"/>
        </w:rPr>
        <w:t>needs</w:t>
      </w:r>
      <w:r w:rsidR="005D5532" w:rsidRPr="00276391">
        <w:rPr>
          <w:rFonts w:cs="Arial"/>
          <w:lang w:eastAsia="en-AU"/>
        </w:rPr>
        <w:t xml:space="preserve"> </w:t>
      </w:r>
    </w:p>
    <w:p w14:paraId="7536E269" w14:textId="39BD5067" w:rsidR="00F8611A" w:rsidRDefault="00F8611A" w:rsidP="00276391">
      <w:pPr>
        <w:pStyle w:val="DHHSbullet1"/>
        <w:rPr>
          <w:rFonts w:cs="Arial"/>
          <w:lang w:eastAsia="en-AU"/>
        </w:rPr>
      </w:pPr>
      <w:r>
        <w:rPr>
          <w:rFonts w:cs="Arial"/>
          <w:lang w:eastAsia="en-AU"/>
        </w:rPr>
        <w:t>include the provision of information by the organisation to meet the department’s monitoring requirements</w:t>
      </w:r>
    </w:p>
    <w:p w14:paraId="7A01715E" w14:textId="5598DCF1" w:rsidR="00236748" w:rsidRPr="00276391" w:rsidRDefault="00236748" w:rsidP="00276391">
      <w:pPr>
        <w:pStyle w:val="DHHSbullet1"/>
        <w:rPr>
          <w:rFonts w:cs="Arial"/>
          <w:lang w:eastAsia="en-AU"/>
        </w:rPr>
      </w:pPr>
      <w:r w:rsidRPr="00276391">
        <w:rPr>
          <w:rFonts w:cs="Arial"/>
          <w:lang w:eastAsia="en-AU"/>
        </w:rPr>
        <w:t>discussion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Desktop</w:t>
      </w:r>
      <w:r w:rsidR="005D5532" w:rsidRPr="00276391">
        <w:rPr>
          <w:rFonts w:cs="Arial"/>
          <w:lang w:eastAsia="en-AU"/>
        </w:rPr>
        <w:t xml:space="preserve"> </w:t>
      </w:r>
      <w:r w:rsidRPr="00276391">
        <w:rPr>
          <w:rFonts w:cs="Arial"/>
          <w:lang w:eastAsia="en-AU"/>
        </w:rPr>
        <w:t>Review</w:t>
      </w:r>
      <w:r w:rsidR="005D5532" w:rsidRPr="00276391">
        <w:rPr>
          <w:rFonts w:cs="Arial"/>
          <w:lang w:eastAsia="en-AU"/>
        </w:rPr>
        <w:t xml:space="preserve"> </w:t>
      </w:r>
      <w:r w:rsidRPr="00276391">
        <w:rPr>
          <w:rFonts w:cs="Arial"/>
          <w:lang w:eastAsia="en-AU"/>
        </w:rPr>
        <w:t>outcomes</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p>
    <w:p w14:paraId="24672BF8" w14:textId="77777777"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opportunity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immediate</w:t>
      </w:r>
      <w:r w:rsidR="005D5532" w:rsidRPr="00276391">
        <w:rPr>
          <w:rFonts w:cs="Arial"/>
          <w:lang w:eastAsia="en-AU"/>
        </w:rPr>
        <w:t xml:space="preserve"> </w:t>
      </w:r>
      <w:r w:rsidRPr="00276391">
        <w:rPr>
          <w:rFonts w:cs="Arial"/>
          <w:lang w:eastAsia="en-AU"/>
        </w:rPr>
        <w:t>response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timely</w:t>
      </w:r>
      <w:r w:rsidR="005D5532" w:rsidRPr="00276391">
        <w:rPr>
          <w:rFonts w:cs="Arial"/>
          <w:lang w:eastAsia="en-AU"/>
        </w:rPr>
        <w:t xml:space="preserve"> </w:t>
      </w:r>
      <w:r w:rsidRPr="00276391">
        <w:rPr>
          <w:rFonts w:cs="Arial"/>
          <w:lang w:eastAsia="en-AU"/>
        </w:rPr>
        <w:t>follow</w:t>
      </w:r>
      <w:r w:rsidR="005D5532" w:rsidRPr="00276391">
        <w:rPr>
          <w:rFonts w:cs="Arial"/>
          <w:lang w:eastAsia="en-AU"/>
        </w:rPr>
        <w:t xml:space="preserve"> </w:t>
      </w:r>
      <w:r w:rsidRPr="00276391">
        <w:rPr>
          <w:rFonts w:cs="Arial"/>
          <w:lang w:eastAsia="en-AU"/>
        </w:rPr>
        <w:t>up</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issues</w:t>
      </w:r>
      <w:r w:rsidR="005D5532" w:rsidRPr="00276391">
        <w:rPr>
          <w:rFonts w:cs="Arial"/>
          <w:lang w:eastAsia="en-AU"/>
        </w:rPr>
        <w:t xml:space="preserve"> </w:t>
      </w:r>
      <w:r w:rsidRPr="00276391">
        <w:rPr>
          <w:rFonts w:cs="Arial"/>
          <w:lang w:eastAsia="en-AU"/>
        </w:rPr>
        <w:t>identified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discussions</w:t>
      </w:r>
      <w:r w:rsidR="005D5532" w:rsidRPr="00276391">
        <w:rPr>
          <w:rFonts w:cs="Arial"/>
          <w:lang w:eastAsia="en-AU"/>
        </w:rPr>
        <w:t xml:space="preserve"> </w:t>
      </w:r>
    </w:p>
    <w:p w14:paraId="250E96A6" w14:textId="77777777" w:rsidR="00236748" w:rsidRPr="00276391" w:rsidRDefault="00236748" w:rsidP="00276391">
      <w:pPr>
        <w:pStyle w:val="DHHSbullet1"/>
        <w:rPr>
          <w:rFonts w:cs="Arial"/>
          <w:lang w:eastAsia="en-AU"/>
        </w:rPr>
      </w:pPr>
      <w:r w:rsidRPr="00276391">
        <w:rPr>
          <w:rFonts w:cs="Arial"/>
          <w:lang w:eastAsia="en-AU"/>
        </w:rPr>
        <w:lastRenderedPageBreak/>
        <w:t>allow</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strategic</w:t>
      </w:r>
      <w:r w:rsidR="005D5532" w:rsidRPr="00276391">
        <w:rPr>
          <w:rFonts w:cs="Arial"/>
          <w:lang w:eastAsia="en-AU"/>
        </w:rPr>
        <w:t xml:space="preserve"> </w:t>
      </w:r>
      <w:r w:rsidRPr="00276391">
        <w:rPr>
          <w:rFonts w:cs="Arial"/>
          <w:lang w:eastAsia="en-AU"/>
        </w:rPr>
        <w:t>discussions</w:t>
      </w:r>
      <w:r w:rsidR="005D5532" w:rsidRPr="00276391">
        <w:rPr>
          <w:rFonts w:cs="Arial"/>
          <w:lang w:eastAsia="en-AU"/>
        </w:rPr>
        <w:t xml:space="preserve"> </w:t>
      </w:r>
      <w:r w:rsidRPr="00276391">
        <w:rPr>
          <w:rFonts w:cs="Arial"/>
          <w:lang w:eastAsia="en-AU"/>
        </w:rPr>
        <w:t>relating</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emerging</w:t>
      </w:r>
      <w:r w:rsidR="005D5532" w:rsidRPr="00276391">
        <w:rPr>
          <w:rFonts w:cs="Arial"/>
          <w:lang w:eastAsia="en-AU"/>
        </w:rPr>
        <w:t xml:space="preserve"> </w:t>
      </w:r>
      <w:r w:rsidRPr="00276391">
        <w:rPr>
          <w:rFonts w:cs="Arial"/>
          <w:lang w:eastAsia="en-AU"/>
        </w:rPr>
        <w:t>trends,</w:t>
      </w:r>
      <w:r w:rsidR="005D5532" w:rsidRPr="00276391">
        <w:rPr>
          <w:rFonts w:cs="Arial"/>
          <w:lang w:eastAsia="en-AU"/>
        </w:rPr>
        <w:t xml:space="preserve"> </w:t>
      </w:r>
      <w:r w:rsidRPr="00276391">
        <w:rPr>
          <w:rFonts w:cs="Arial"/>
          <w:lang w:eastAsia="en-AU"/>
        </w:rPr>
        <w:t>organisational</w:t>
      </w:r>
      <w:r w:rsidR="005D5532" w:rsidRPr="00276391">
        <w:rPr>
          <w:rFonts w:cs="Arial"/>
          <w:lang w:eastAsia="en-AU"/>
        </w:rPr>
        <w:t xml:space="preserve"> </w:t>
      </w:r>
      <w:r w:rsidRPr="00276391">
        <w:rPr>
          <w:rFonts w:cs="Arial"/>
          <w:lang w:eastAsia="en-AU"/>
        </w:rPr>
        <w:t>priorities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developments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planning</w:t>
      </w:r>
      <w:r w:rsidR="005D5532" w:rsidRPr="00276391">
        <w:rPr>
          <w:rFonts w:cs="Arial"/>
          <w:lang w:eastAsia="en-AU"/>
        </w:rPr>
        <w:t xml:space="preserve"> </w:t>
      </w:r>
    </w:p>
    <w:p w14:paraId="3BB611B5" w14:textId="19D4CC8D" w:rsidR="00236748" w:rsidRPr="00276391" w:rsidRDefault="00236748" w:rsidP="00276391">
      <w:pPr>
        <w:pStyle w:val="DHHSbullet1"/>
        <w:rPr>
          <w:rFonts w:cs="Arial"/>
          <w:lang w:eastAsia="en-AU"/>
        </w:rPr>
      </w:pPr>
      <w:r w:rsidRPr="00276391">
        <w:rPr>
          <w:rFonts w:cs="Arial"/>
          <w:lang w:eastAsia="en-AU"/>
        </w:rPr>
        <w:t>increase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department's</w:t>
      </w:r>
      <w:r w:rsidR="005D5532" w:rsidRPr="00276391">
        <w:rPr>
          <w:rFonts w:cs="Arial"/>
          <w:lang w:eastAsia="en-AU"/>
        </w:rPr>
        <w:t xml:space="preserve"> </w:t>
      </w:r>
      <w:r w:rsidRPr="00276391">
        <w:rPr>
          <w:rFonts w:cs="Arial"/>
          <w:lang w:eastAsia="en-AU"/>
        </w:rPr>
        <w:t>understanding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current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anticipated</w:t>
      </w:r>
      <w:r w:rsidR="005D5532" w:rsidRPr="00276391">
        <w:rPr>
          <w:rFonts w:cs="Arial"/>
          <w:lang w:eastAsia="en-AU"/>
        </w:rPr>
        <w:t xml:space="preserve"> </w:t>
      </w:r>
      <w:r w:rsidRPr="00276391">
        <w:rPr>
          <w:rFonts w:cs="Arial"/>
          <w:lang w:eastAsia="en-AU"/>
        </w:rPr>
        <w:t>challenges</w:t>
      </w:r>
      <w:r w:rsidR="005D5532" w:rsidRPr="00276391">
        <w:rPr>
          <w:rFonts w:cs="Arial"/>
          <w:lang w:eastAsia="en-AU"/>
        </w:rPr>
        <w:t xml:space="preserve"> </w:t>
      </w:r>
      <w:r w:rsidRPr="00276391">
        <w:rPr>
          <w:rFonts w:cs="Arial"/>
          <w:lang w:eastAsia="en-AU"/>
        </w:rPr>
        <w:t>faced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meet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over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coming</w:t>
      </w:r>
      <w:r w:rsidR="005D5532" w:rsidRPr="00276391">
        <w:rPr>
          <w:rFonts w:cs="Arial"/>
          <w:lang w:eastAsia="en-AU"/>
        </w:rPr>
        <w:t xml:space="preserve"> </w:t>
      </w:r>
      <w:r w:rsidRPr="00276391">
        <w:rPr>
          <w:rFonts w:cs="Arial"/>
          <w:lang w:eastAsia="en-AU"/>
        </w:rPr>
        <w:t>year</w:t>
      </w:r>
      <w:r w:rsidR="005D5532" w:rsidRPr="00276391">
        <w:rPr>
          <w:rFonts w:cs="Arial"/>
          <w:lang w:eastAsia="en-AU"/>
        </w:rPr>
        <w:t xml:space="preserve"> </w:t>
      </w:r>
    </w:p>
    <w:p w14:paraId="52D21775" w14:textId="77777777" w:rsidR="00236748" w:rsidRPr="00276391" w:rsidRDefault="00236748" w:rsidP="00276391">
      <w:pPr>
        <w:pStyle w:val="DHHSbullet1"/>
        <w:rPr>
          <w:rFonts w:cs="Arial"/>
          <w:lang w:eastAsia="en-AU"/>
        </w:rPr>
      </w:pPr>
      <w:r w:rsidRPr="00276391">
        <w:rPr>
          <w:rFonts w:cs="Arial"/>
          <w:lang w:eastAsia="en-AU"/>
        </w:rPr>
        <w:t>increase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department's</w:t>
      </w:r>
      <w:r w:rsidR="005D5532" w:rsidRPr="00276391">
        <w:rPr>
          <w:rFonts w:cs="Arial"/>
          <w:lang w:eastAsia="en-AU"/>
        </w:rPr>
        <w:t xml:space="preserve"> </w:t>
      </w:r>
      <w:r w:rsidRPr="00276391">
        <w:rPr>
          <w:rFonts w:cs="Arial"/>
          <w:lang w:eastAsia="en-AU"/>
        </w:rPr>
        <w:t>understanding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successes</w:t>
      </w:r>
      <w:r w:rsidR="005D5532" w:rsidRPr="00276391">
        <w:rPr>
          <w:rFonts w:cs="Arial"/>
          <w:lang w:eastAsia="en-AU"/>
        </w:rPr>
        <w:t xml:space="preserve"> </w:t>
      </w:r>
      <w:r w:rsidRPr="00276391">
        <w:rPr>
          <w:rFonts w:cs="Arial"/>
          <w:lang w:eastAsia="en-AU"/>
        </w:rPr>
        <w:t>achieved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p>
    <w:p w14:paraId="60DAC103" w14:textId="77777777" w:rsidR="00236748" w:rsidRPr="00276391" w:rsidRDefault="00236748" w:rsidP="00276391">
      <w:pPr>
        <w:pStyle w:val="DHHSbullet1"/>
        <w:rPr>
          <w:rFonts w:cs="Arial"/>
          <w:lang w:eastAsia="en-AU"/>
        </w:rPr>
      </w:pPr>
      <w:r w:rsidRPr="00276391">
        <w:rPr>
          <w:rFonts w:cs="Arial"/>
          <w:lang w:eastAsia="en-AU"/>
        </w:rPr>
        <w:t>improve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knowledge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priorities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current</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initiatives</w:t>
      </w:r>
      <w:r w:rsidR="005D5532" w:rsidRPr="00276391">
        <w:rPr>
          <w:rFonts w:cs="Arial"/>
          <w:lang w:eastAsia="en-AU"/>
        </w:rPr>
        <w:t xml:space="preserve"> </w:t>
      </w:r>
    </w:p>
    <w:p w14:paraId="432B844E" w14:textId="77777777" w:rsidR="00236748" w:rsidRPr="00276391" w:rsidRDefault="00236748" w:rsidP="00276391">
      <w:pPr>
        <w:pStyle w:val="DHHSbullet1"/>
        <w:rPr>
          <w:rFonts w:cs="Arial"/>
          <w:lang w:eastAsia="en-AU"/>
        </w:rPr>
      </w:pPr>
      <w:r w:rsidRPr="00276391">
        <w:rPr>
          <w:rFonts w:cs="Arial"/>
          <w:lang w:eastAsia="en-AU"/>
        </w:rPr>
        <w:t>include</w:t>
      </w:r>
      <w:r w:rsidR="005D5532" w:rsidRPr="00276391">
        <w:rPr>
          <w:rFonts w:cs="Arial"/>
          <w:lang w:eastAsia="en-AU"/>
        </w:rPr>
        <w:t xml:space="preserve"> </w:t>
      </w:r>
      <w:r w:rsidRPr="00276391">
        <w:rPr>
          <w:rFonts w:cs="Arial"/>
          <w:lang w:eastAsia="en-AU"/>
        </w:rPr>
        <w:t>discussions</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relevant</w:t>
      </w:r>
      <w:r w:rsidR="005D5532" w:rsidRPr="00276391">
        <w:rPr>
          <w:rFonts w:cs="Arial"/>
          <w:lang w:eastAsia="en-AU"/>
        </w:rPr>
        <w:t xml:space="preserve"> </w:t>
      </w:r>
      <w:r w:rsidRPr="00276391">
        <w:rPr>
          <w:rFonts w:cs="Arial"/>
          <w:lang w:eastAsia="en-AU"/>
        </w:rPr>
        <w:t>topics</w:t>
      </w:r>
      <w:r w:rsidR="005D5532" w:rsidRPr="00276391">
        <w:rPr>
          <w:rFonts w:cs="Arial"/>
          <w:lang w:eastAsia="en-AU"/>
        </w:rPr>
        <w:t xml:space="preserve"> </w:t>
      </w:r>
      <w:r w:rsidRPr="00276391">
        <w:rPr>
          <w:rFonts w:cs="Arial"/>
          <w:lang w:eastAsia="en-AU"/>
        </w:rPr>
        <w:t>determined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p>
    <w:p w14:paraId="777F739B" w14:textId="282BA460" w:rsidR="00236748" w:rsidRPr="002C5150" w:rsidRDefault="00236748" w:rsidP="002C5150">
      <w:pPr>
        <w:pStyle w:val="DHHSbullet1"/>
        <w:rPr>
          <w:rFonts w:cs="Arial"/>
          <w:lang w:eastAsia="en-AU"/>
        </w:rPr>
      </w:pPr>
      <w:r w:rsidRPr="002C5150">
        <w:rPr>
          <w:rFonts w:cs="Arial"/>
          <w:lang w:eastAsia="en-AU"/>
        </w:rPr>
        <w:t>be</w:t>
      </w:r>
      <w:r w:rsidR="005D5532" w:rsidRPr="002C5150">
        <w:rPr>
          <w:rFonts w:cs="Arial"/>
          <w:lang w:eastAsia="en-AU"/>
        </w:rPr>
        <w:t xml:space="preserve"> </w:t>
      </w:r>
      <w:r w:rsidRPr="002C5150">
        <w:rPr>
          <w:rFonts w:cs="Arial"/>
          <w:lang w:eastAsia="en-AU"/>
        </w:rPr>
        <w:t>conducted</w:t>
      </w:r>
      <w:r w:rsidR="005D5532" w:rsidRPr="002C5150">
        <w:rPr>
          <w:rFonts w:cs="Arial"/>
          <w:lang w:eastAsia="en-AU"/>
        </w:rPr>
        <w:t xml:space="preserve"> </w:t>
      </w:r>
      <w:r w:rsidRPr="002C5150">
        <w:rPr>
          <w:rFonts w:cs="Arial"/>
          <w:lang w:eastAsia="en-AU"/>
        </w:rPr>
        <w:t>in</w:t>
      </w:r>
      <w:r w:rsidR="005D5532" w:rsidRPr="002C5150">
        <w:rPr>
          <w:rFonts w:cs="Arial"/>
          <w:lang w:eastAsia="en-AU"/>
        </w:rPr>
        <w:t xml:space="preserve"> </w:t>
      </w:r>
      <w:r w:rsidRPr="002C5150">
        <w:rPr>
          <w:rFonts w:cs="Arial"/>
          <w:lang w:eastAsia="en-AU"/>
        </w:rPr>
        <w:t>accordance</w:t>
      </w:r>
      <w:r w:rsidR="005D5532" w:rsidRPr="002C5150">
        <w:rPr>
          <w:rFonts w:cs="Arial"/>
          <w:lang w:eastAsia="en-AU"/>
        </w:rPr>
        <w:t xml:space="preserve"> </w:t>
      </w:r>
      <w:r w:rsidRPr="002C5150">
        <w:rPr>
          <w:rFonts w:cs="Arial"/>
          <w:lang w:eastAsia="en-AU"/>
        </w:rPr>
        <w:t>with</w:t>
      </w:r>
      <w:r w:rsidR="005D5532" w:rsidRPr="002C5150">
        <w:rPr>
          <w:rFonts w:cs="Arial"/>
          <w:lang w:eastAsia="en-AU"/>
        </w:rPr>
        <w:t xml:space="preserve"> </w:t>
      </w:r>
      <w:r w:rsidRPr="002C5150">
        <w:rPr>
          <w:rFonts w:cs="Arial"/>
          <w:lang w:eastAsia="en-AU"/>
        </w:rPr>
        <w:t>partnering</w:t>
      </w:r>
      <w:r w:rsidR="005D5532" w:rsidRPr="002C5150">
        <w:rPr>
          <w:rFonts w:cs="Arial"/>
          <w:lang w:eastAsia="en-AU"/>
        </w:rPr>
        <w:t xml:space="preserve"> </w:t>
      </w:r>
      <w:r w:rsidRPr="002C5150">
        <w:rPr>
          <w:rFonts w:cs="Arial"/>
          <w:lang w:eastAsia="en-AU"/>
        </w:rPr>
        <w:t>principles</w:t>
      </w:r>
      <w:r w:rsidR="005D5532" w:rsidRPr="002C5150">
        <w:rPr>
          <w:rFonts w:cs="Arial"/>
          <w:lang w:eastAsia="en-AU"/>
        </w:rPr>
        <w:t xml:space="preserve"> </w:t>
      </w:r>
      <w:r w:rsidRPr="002C5150">
        <w:rPr>
          <w:rFonts w:cs="Arial"/>
          <w:lang w:eastAsia="en-AU"/>
        </w:rPr>
        <w:t>set</w:t>
      </w:r>
      <w:r w:rsidR="005D5532" w:rsidRPr="002C5150">
        <w:rPr>
          <w:rFonts w:cs="Arial"/>
          <w:lang w:eastAsia="en-AU"/>
        </w:rPr>
        <w:t xml:space="preserve"> </w:t>
      </w:r>
      <w:r w:rsidRPr="002C5150">
        <w:rPr>
          <w:rFonts w:cs="Arial"/>
          <w:lang w:eastAsia="en-AU"/>
        </w:rPr>
        <w:t>out</w:t>
      </w:r>
      <w:r w:rsidR="005D5532" w:rsidRPr="002C5150">
        <w:rPr>
          <w:rFonts w:cs="Arial"/>
          <w:lang w:eastAsia="en-AU"/>
        </w:rPr>
        <w:t xml:space="preserve"> </w:t>
      </w:r>
      <w:r w:rsidRPr="002C5150">
        <w:rPr>
          <w:rFonts w:cs="Arial"/>
          <w:lang w:eastAsia="en-AU"/>
        </w:rPr>
        <w:t>through</w:t>
      </w:r>
      <w:r w:rsidR="005D5532" w:rsidRPr="002C5150">
        <w:rPr>
          <w:rFonts w:cs="Arial"/>
          <w:lang w:eastAsia="en-AU"/>
        </w:rPr>
        <w:t xml:space="preserve"> </w:t>
      </w:r>
      <w:r w:rsidRPr="002C5150">
        <w:rPr>
          <w:rFonts w:cs="Arial"/>
          <w:lang w:eastAsia="en-AU"/>
        </w:rPr>
        <w:t>the</w:t>
      </w:r>
      <w:r w:rsidR="005D5532" w:rsidRPr="002C5150">
        <w:rPr>
          <w:rFonts w:cs="Arial"/>
          <w:lang w:eastAsia="en-AU"/>
        </w:rPr>
        <w:t xml:space="preserve"> </w:t>
      </w:r>
      <w:r w:rsidRPr="002C5150">
        <w:rPr>
          <w:rFonts w:cs="Arial"/>
          <w:lang w:eastAsia="en-AU"/>
        </w:rPr>
        <w:t>department</w:t>
      </w:r>
      <w:r w:rsidR="005D5532" w:rsidRPr="002C5150">
        <w:rPr>
          <w:rFonts w:cs="Arial"/>
          <w:lang w:eastAsia="en-AU"/>
        </w:rPr>
        <w:t xml:space="preserve"> </w:t>
      </w:r>
      <w:r w:rsidRPr="002C5150">
        <w:rPr>
          <w:rFonts w:cs="Arial"/>
          <w:lang w:eastAsia="en-AU"/>
        </w:rPr>
        <w:t>and</w:t>
      </w:r>
      <w:r w:rsidR="005D5532" w:rsidRPr="002C5150">
        <w:rPr>
          <w:rFonts w:cs="Arial"/>
          <w:lang w:eastAsia="en-AU"/>
        </w:rPr>
        <w:t xml:space="preserve"> </w:t>
      </w:r>
      <w:r w:rsidRPr="002C5150">
        <w:rPr>
          <w:rFonts w:cs="Arial"/>
          <w:lang w:eastAsia="en-AU"/>
        </w:rPr>
        <w:t>the</w:t>
      </w:r>
      <w:r w:rsidR="005D5532" w:rsidRPr="002C5150">
        <w:rPr>
          <w:rFonts w:cs="Arial"/>
          <w:lang w:eastAsia="en-AU"/>
        </w:rPr>
        <w:t xml:space="preserve"> </w:t>
      </w:r>
      <w:r w:rsidRPr="002C5150">
        <w:rPr>
          <w:rFonts w:cs="Arial"/>
          <w:lang w:eastAsia="en-AU"/>
        </w:rPr>
        <w:t>organisation's</w:t>
      </w:r>
      <w:r w:rsidR="005D5532" w:rsidRPr="002C5150">
        <w:rPr>
          <w:rFonts w:cs="Arial"/>
          <w:lang w:eastAsia="en-AU"/>
        </w:rPr>
        <w:t xml:space="preserve"> </w:t>
      </w:r>
      <w:r w:rsidRPr="002C5150">
        <w:rPr>
          <w:rFonts w:cs="Arial"/>
          <w:lang w:eastAsia="en-AU"/>
        </w:rPr>
        <w:t>relevant</w:t>
      </w:r>
      <w:r w:rsidR="008B3F5C">
        <w:rPr>
          <w:rFonts w:cs="Arial"/>
          <w:lang w:eastAsia="en-AU"/>
        </w:rPr>
        <w:t xml:space="preserve"> partnership with the community sector </w:t>
      </w:r>
      <w:hyperlink w:anchor="_1.5_Partnering_with" w:history="1">
        <w:r w:rsidR="008B3F5C" w:rsidRPr="008B3F5C">
          <w:rPr>
            <w:rStyle w:val="Hyperlink"/>
            <w:rFonts w:cs="Arial"/>
            <w:lang w:eastAsia="en-AU"/>
          </w:rPr>
          <w:t>Chapter 1.5</w:t>
        </w:r>
      </w:hyperlink>
      <w:r w:rsidR="005D5532" w:rsidRPr="002C5150">
        <w:rPr>
          <w:rFonts w:cs="Arial"/>
          <w:lang w:eastAsia="en-AU"/>
        </w:rPr>
        <w:t xml:space="preserve"> </w:t>
      </w:r>
    </w:p>
    <w:p w14:paraId="6F830840" w14:textId="77777777" w:rsidR="00236748" w:rsidRPr="00276391" w:rsidRDefault="00236748" w:rsidP="00276391">
      <w:pPr>
        <w:pStyle w:val="DHHSbullet1"/>
        <w:rPr>
          <w:rFonts w:cs="Arial"/>
          <w:lang w:eastAsia="en-AU"/>
        </w:rPr>
      </w:pPr>
      <w:r w:rsidRPr="00276391">
        <w:rPr>
          <w:rFonts w:cs="Arial"/>
          <w:lang w:eastAsia="en-AU"/>
        </w:rPr>
        <w:t>cover</w:t>
      </w:r>
      <w:r w:rsidR="005D5532" w:rsidRPr="00276391">
        <w:rPr>
          <w:rFonts w:cs="Arial"/>
          <w:lang w:eastAsia="en-AU"/>
        </w:rPr>
        <w:t xml:space="preserve"> </w:t>
      </w:r>
      <w:r w:rsidRPr="00276391">
        <w:rPr>
          <w:rFonts w:cs="Arial"/>
          <w:lang w:eastAsia="en-AU"/>
        </w:rPr>
        <w:t>content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already</w:t>
      </w:r>
      <w:r w:rsidR="005D5532" w:rsidRPr="00276391">
        <w:rPr>
          <w:rFonts w:cs="Arial"/>
          <w:lang w:eastAsia="en-AU"/>
        </w:rPr>
        <w:t xml:space="preserve"> </w:t>
      </w:r>
      <w:r w:rsidRPr="00276391">
        <w:rPr>
          <w:rFonts w:cs="Arial"/>
          <w:lang w:eastAsia="en-AU"/>
        </w:rPr>
        <w:t>discussed</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mechanisms.</w:t>
      </w:r>
      <w:r w:rsidR="005D5532" w:rsidRPr="00276391">
        <w:rPr>
          <w:rFonts w:cs="Arial"/>
          <w:lang w:eastAsia="en-AU"/>
        </w:rPr>
        <w:t xml:space="preserve"> </w:t>
      </w:r>
    </w:p>
    <w:p w14:paraId="10E084B3" w14:textId="132F4DFA" w:rsidR="00236748" w:rsidRPr="00276391" w:rsidRDefault="00236748" w:rsidP="00276391">
      <w:pPr>
        <w:pStyle w:val="DHHSbody"/>
        <w:rPr>
          <w:lang w:eastAsia="en-AU"/>
        </w:rPr>
      </w:pPr>
      <w:r w:rsidRPr="00B24C02">
        <w:rPr>
          <w:rFonts w:cs="Arial"/>
          <w:color w:val="000000"/>
          <w:szCs w:val="19"/>
          <w:lang w:eastAsia="en-AU"/>
        </w:rPr>
        <w:t>In</w:t>
      </w:r>
      <w:r w:rsidR="005D5532" w:rsidRPr="00B24C02">
        <w:rPr>
          <w:rFonts w:cs="Arial"/>
          <w:color w:val="000000"/>
          <w:szCs w:val="19"/>
          <w:lang w:eastAsia="en-AU"/>
        </w:rPr>
        <w:t xml:space="preserve"> </w:t>
      </w:r>
      <w:proofErr w:type="gramStart"/>
      <w:r w:rsidRPr="00B24C02">
        <w:rPr>
          <w:rFonts w:cs="Arial"/>
          <w:color w:val="000000"/>
          <w:szCs w:val="19"/>
          <w:lang w:eastAsia="en-AU"/>
        </w:rPr>
        <w:t>general</w:t>
      </w:r>
      <w:proofErr w:type="gramEnd"/>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lead</w:t>
      </w:r>
      <w:r w:rsidR="005D5532" w:rsidRPr="00B24C02">
        <w:rPr>
          <w:rFonts w:cs="Arial"/>
          <w:color w:val="000000"/>
          <w:szCs w:val="19"/>
          <w:lang w:eastAsia="en-AU"/>
        </w:rPr>
        <w:t xml:space="preserve"> </w:t>
      </w:r>
      <w:r w:rsidRPr="00B24C02">
        <w:rPr>
          <w:rFonts w:cs="Arial"/>
          <w:color w:val="000000"/>
          <w:szCs w:val="19"/>
          <w:lang w:eastAsia="en-AU"/>
        </w:rPr>
        <w:t>division/group/region</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responsible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organising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meeting</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ensuring</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collected</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areas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meeting.</w:t>
      </w:r>
    </w:p>
    <w:p w14:paraId="104F8DD6"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appoint</w:t>
      </w:r>
      <w:r w:rsidR="005D5532" w:rsidRPr="00276391">
        <w:rPr>
          <w:lang w:eastAsia="en-AU"/>
        </w:rPr>
        <w:t xml:space="preserve"> </w:t>
      </w:r>
      <w:r w:rsidRPr="00276391">
        <w:rPr>
          <w:lang w:eastAsia="en-AU"/>
        </w:rPr>
        <w:t>representatives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best</w:t>
      </w:r>
      <w:r w:rsidR="005D5532" w:rsidRPr="00276391">
        <w:rPr>
          <w:lang w:eastAsia="en-AU"/>
        </w:rPr>
        <w:t xml:space="preserve"> </w:t>
      </w:r>
      <w:r w:rsidRPr="00276391">
        <w:rPr>
          <w:lang w:eastAsia="en-AU"/>
        </w:rPr>
        <w:t>able</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objectives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meeting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decisions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required.</w:t>
      </w:r>
    </w:p>
    <w:p w14:paraId="5701172B" w14:textId="77777777" w:rsidR="00236748" w:rsidRPr="00276391" w:rsidRDefault="00236748" w:rsidP="00276391">
      <w:pPr>
        <w:pStyle w:val="Heading3"/>
        <w:rPr>
          <w:lang w:eastAsia="en-AU"/>
        </w:rPr>
      </w:pPr>
      <w:bookmarkStart w:id="211" w:name="_Toc478991752"/>
      <w:bookmarkStart w:id="212" w:name="_Toc478992352"/>
      <w:bookmarkStart w:id="213" w:name="_Toc4142028"/>
      <w:r w:rsidRPr="00276391">
        <w:rPr>
          <w:lang w:eastAsia="en-AU"/>
        </w:rPr>
        <w:t>Other</w:t>
      </w:r>
      <w:r w:rsidR="005D5532" w:rsidRPr="00276391">
        <w:rPr>
          <w:lang w:eastAsia="en-AU"/>
        </w:rPr>
        <w:t xml:space="preserve"> </w:t>
      </w:r>
      <w:r w:rsidRPr="00276391">
        <w:rPr>
          <w:lang w:eastAsia="en-AU"/>
        </w:rPr>
        <w:t>communication</w:t>
      </w:r>
      <w:bookmarkEnd w:id="211"/>
      <w:bookmarkEnd w:id="212"/>
      <w:bookmarkEnd w:id="213"/>
    </w:p>
    <w:p w14:paraId="5FE2B0F3" w14:textId="74D8D5DA"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throughout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communicate</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regarding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Requests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possible,</w:t>
      </w:r>
      <w:r w:rsidR="005D5532" w:rsidRPr="00B24C02">
        <w:rPr>
          <w:rFonts w:cs="Arial"/>
          <w:color w:val="000000"/>
          <w:szCs w:val="19"/>
          <w:lang w:eastAsia="en-AU"/>
        </w:rPr>
        <w:t xml:space="preserve"> </w:t>
      </w:r>
      <w:r w:rsidRPr="00B24C02">
        <w:rPr>
          <w:rFonts w:cs="Arial"/>
          <w:color w:val="000000"/>
          <w:szCs w:val="19"/>
          <w:lang w:eastAsia="en-AU"/>
        </w:rPr>
        <w:t>responded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timely</w:t>
      </w:r>
      <w:r w:rsidR="005D5532" w:rsidRPr="00B24C02">
        <w:rPr>
          <w:rFonts w:cs="Arial"/>
          <w:color w:val="000000"/>
          <w:szCs w:val="19"/>
          <w:lang w:eastAsia="en-AU"/>
        </w:rPr>
        <w:t xml:space="preserve"> </w:t>
      </w:r>
      <w:r w:rsidRPr="00B24C02">
        <w:rPr>
          <w:rFonts w:cs="Arial"/>
          <w:color w:val="000000"/>
          <w:szCs w:val="19"/>
          <w:lang w:eastAsia="en-AU"/>
        </w:rPr>
        <w:t>manner.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agree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regularly</w:t>
      </w:r>
      <w:r w:rsidR="005D5532" w:rsidRPr="00B24C02">
        <w:rPr>
          <w:rFonts w:cs="Arial"/>
          <w:color w:val="000000"/>
          <w:szCs w:val="19"/>
          <w:lang w:eastAsia="en-AU"/>
        </w:rPr>
        <w:t xml:space="preserve"> </w:t>
      </w:r>
      <w:r w:rsidRPr="00B24C02">
        <w:rPr>
          <w:rFonts w:cs="Arial"/>
          <w:color w:val="000000"/>
          <w:szCs w:val="19"/>
          <w:lang w:eastAsia="en-AU"/>
        </w:rPr>
        <w:t>throughout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regarding</w:t>
      </w:r>
      <w:r w:rsidR="005D5532" w:rsidRPr="00B24C02">
        <w:rPr>
          <w:rFonts w:cs="Arial"/>
          <w:color w:val="000000"/>
          <w:szCs w:val="19"/>
          <w:lang w:eastAsia="en-AU"/>
        </w:rPr>
        <w:t xml:space="preserve"> </w:t>
      </w:r>
      <w:r w:rsidRPr="00B24C02">
        <w:rPr>
          <w:rFonts w:cs="Arial"/>
          <w:color w:val="000000"/>
          <w:szCs w:val="19"/>
          <w:lang w:eastAsia="en-AU"/>
        </w:rPr>
        <w:t>particular</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plans</w:t>
      </w:r>
      <w:r w:rsidR="005D5532" w:rsidRPr="00B24C02">
        <w:rPr>
          <w:rFonts w:cs="Arial"/>
          <w:color w:val="000000"/>
          <w:szCs w:val="19"/>
          <w:lang w:eastAsia="en-AU"/>
        </w:rPr>
        <w:t xml:space="preserve"> </w:t>
      </w:r>
      <w:r w:rsidRPr="00B24C02">
        <w:rPr>
          <w:rFonts w:cs="Arial"/>
          <w:color w:val="000000"/>
          <w:szCs w:val="19"/>
          <w:lang w:eastAsia="en-AU"/>
        </w:rPr>
        <w:t>due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nature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being</w:t>
      </w:r>
      <w:r w:rsidR="005D5532" w:rsidRPr="00B24C02">
        <w:rPr>
          <w:rFonts w:cs="Arial"/>
          <w:color w:val="000000"/>
          <w:szCs w:val="19"/>
          <w:lang w:eastAsia="en-AU"/>
        </w:rPr>
        <w:t xml:space="preserve"> </w:t>
      </w:r>
      <w:r w:rsidRPr="00B24C02">
        <w:rPr>
          <w:rFonts w:cs="Arial"/>
          <w:color w:val="000000"/>
          <w:szCs w:val="19"/>
          <w:lang w:eastAsia="en-AU"/>
        </w:rPr>
        <w:t>delivered.</w:t>
      </w:r>
    </w:p>
    <w:p w14:paraId="16AB3C70" w14:textId="7EFD492A" w:rsidR="00236748" w:rsidRPr="00276391" w:rsidRDefault="00236748" w:rsidP="00276391">
      <w:pPr>
        <w:pStyle w:val="Heading3"/>
        <w:rPr>
          <w:lang w:eastAsia="en-AU"/>
        </w:rPr>
      </w:pPr>
      <w:bookmarkStart w:id="214" w:name="_Toc478991753"/>
      <w:bookmarkStart w:id="215" w:name="_Toc478992353"/>
      <w:bookmarkStart w:id="216" w:name="_Toc4142029"/>
      <w:r w:rsidRPr="00276391">
        <w:rPr>
          <w:lang w:eastAsia="en-AU"/>
        </w:rPr>
        <w:t>Monitoring</w:t>
      </w:r>
      <w:r w:rsidR="005D5532" w:rsidRPr="00276391">
        <w:rPr>
          <w:lang w:eastAsia="en-AU"/>
        </w:rPr>
        <w:t xml:space="preserve"> </w:t>
      </w:r>
      <w:r w:rsidRPr="00276391">
        <w:rPr>
          <w:lang w:eastAsia="en-AU"/>
        </w:rPr>
        <w:t>of</w:t>
      </w:r>
      <w:r w:rsidR="005D5532" w:rsidRPr="00276391">
        <w:rPr>
          <w:lang w:eastAsia="en-AU"/>
        </w:rPr>
        <w:t xml:space="preserve"> </w:t>
      </w:r>
      <w:r w:rsidR="009B3052">
        <w:rPr>
          <w:lang w:eastAsia="en-AU"/>
        </w:rPr>
        <w:t>Service agreement</w:t>
      </w:r>
      <w:r w:rsidRPr="00276391">
        <w:rPr>
          <w:lang w:eastAsia="en-AU"/>
        </w:rPr>
        <w:t>s</w:t>
      </w:r>
      <w:bookmarkEnd w:id="214"/>
      <w:bookmarkEnd w:id="215"/>
      <w:bookmarkEnd w:id="216"/>
    </w:p>
    <w:p w14:paraId="423A4637" w14:textId="13F6D732" w:rsidR="00236748" w:rsidRPr="00276391" w:rsidRDefault="00236748" w:rsidP="00276391">
      <w:pPr>
        <w:pStyle w:val="DHHSbody"/>
        <w:rPr>
          <w:lang w:eastAsia="en-AU"/>
        </w:rPr>
      </w:pP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00FA4D69">
        <w:rPr>
          <w:rFonts w:cs="Arial"/>
          <w:color w:val="000000"/>
          <w:szCs w:val="19"/>
          <w:lang w:eastAsia="en-AU"/>
        </w:rPr>
        <w:t xml:space="preserve"> </w:t>
      </w:r>
      <w:r w:rsidRPr="00B24C02">
        <w:rPr>
          <w:rFonts w:cs="Arial"/>
          <w:color w:val="000000"/>
          <w:szCs w:val="19"/>
          <w:lang w:eastAsia="en-AU"/>
        </w:rPr>
        <w:t>monitor</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Framework</w:t>
      </w:r>
      <w:r w:rsidRPr="00B24C02">
        <w:rPr>
          <w:rFonts w:cs="Arial"/>
          <w:i/>
          <w:iCs/>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principles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monitor</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sustainability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quality.</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assists</w:t>
      </w:r>
      <w:r w:rsidR="005D5532" w:rsidRPr="00B24C02">
        <w:rPr>
          <w:rFonts w:cs="Arial"/>
          <w:color w:val="000000"/>
          <w:szCs w:val="19"/>
          <w:lang w:eastAsia="en-AU"/>
        </w:rPr>
        <w:t xml:space="preserve"> </w:t>
      </w:r>
      <w:r w:rsidR="00DF1D39">
        <w:rPr>
          <w:rFonts w:cs="Arial"/>
          <w:color w:val="000000"/>
          <w:szCs w:val="19"/>
          <w:lang w:eastAsia="en-AU"/>
        </w:rPr>
        <w:t>the departments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identification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risks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ongoing</w:t>
      </w:r>
      <w:r w:rsidR="005D5532" w:rsidRPr="00B24C02">
        <w:rPr>
          <w:rFonts w:cs="Arial"/>
          <w:color w:val="000000"/>
          <w:szCs w:val="19"/>
          <w:lang w:eastAsia="en-AU"/>
        </w:rPr>
        <w:t xml:space="preserve"> </w:t>
      </w:r>
      <w:r w:rsidRPr="00B24C02">
        <w:rPr>
          <w:rFonts w:cs="Arial"/>
          <w:color w:val="000000"/>
          <w:szCs w:val="19"/>
          <w:lang w:eastAsia="en-AU"/>
        </w:rPr>
        <w:t>provision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quality</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avoid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consequences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failure.</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found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hyperlink w:anchor="_4.10_Funded_Organisation" w:tooltip="link to section 4.10 Monitoring framework" w:history="1">
        <w:r w:rsidR="008B3F5C">
          <w:rPr>
            <w:rStyle w:val="Hyperlink"/>
          </w:rPr>
          <w:t>C</w:t>
        </w:r>
        <w:r w:rsidRPr="00C94233">
          <w:rPr>
            <w:rStyle w:val="Hyperlink"/>
          </w:rPr>
          <w:t>hapter</w:t>
        </w:r>
        <w:r w:rsidR="005D5532" w:rsidRPr="00C94233">
          <w:rPr>
            <w:rStyle w:val="Hyperlink"/>
          </w:rPr>
          <w:t xml:space="preserve"> </w:t>
        </w:r>
        <w:r w:rsidRPr="00C94233">
          <w:rPr>
            <w:rStyle w:val="Hyperlink"/>
          </w:rPr>
          <w:t>4.10</w:t>
        </w:r>
      </w:hyperlink>
      <w:r w:rsidRPr="00B24C02">
        <w:rPr>
          <w:rFonts w:cs="Arial"/>
          <w:color w:val="000000"/>
          <w:szCs w:val="19"/>
          <w:lang w:eastAsia="en-AU"/>
        </w:rPr>
        <w:t>.</w:t>
      </w:r>
    </w:p>
    <w:p w14:paraId="50A4884B" w14:textId="77777777" w:rsidR="00236748" w:rsidRPr="00276391" w:rsidRDefault="00236748" w:rsidP="009B2351">
      <w:pPr>
        <w:pStyle w:val="Heading1"/>
        <w:rPr>
          <w:rFonts w:cs="Arial"/>
          <w:lang w:eastAsia="en-AU"/>
        </w:rPr>
      </w:pPr>
      <w:bookmarkStart w:id="217" w:name="_Chapter_3._Terms"/>
      <w:bookmarkStart w:id="218" w:name="_Toc478991754"/>
      <w:bookmarkStart w:id="219" w:name="_Toc478992354"/>
      <w:bookmarkStart w:id="220" w:name="_Toc478992885"/>
      <w:bookmarkStart w:id="221" w:name="_Toc4142030"/>
      <w:bookmarkEnd w:id="217"/>
      <w:r w:rsidRPr="00276391">
        <w:rPr>
          <w:rFonts w:cs="Arial"/>
          <w:lang w:eastAsia="en-AU"/>
        </w:rPr>
        <w:t>Chapter</w:t>
      </w:r>
      <w:r w:rsidR="009B2351" w:rsidRPr="00276391">
        <w:rPr>
          <w:rFonts w:cs="Arial"/>
          <w:lang w:eastAsia="en-AU"/>
        </w:rPr>
        <w:t xml:space="preserve"> </w:t>
      </w:r>
      <w:r w:rsidRPr="00276391">
        <w:rPr>
          <w:rFonts w:cs="Arial"/>
          <w:lang w:eastAsia="en-AU"/>
        </w:rPr>
        <w:t>3.</w:t>
      </w:r>
      <w:r w:rsidR="009B2351" w:rsidRPr="00276391">
        <w:rPr>
          <w:rFonts w:cs="Arial"/>
          <w:lang w:eastAsia="en-AU"/>
        </w:rPr>
        <w:t xml:space="preserve"> </w:t>
      </w:r>
      <w:r w:rsidRPr="00276391">
        <w:rPr>
          <w:rFonts w:cs="Arial"/>
          <w:lang w:eastAsia="en-AU"/>
        </w:rPr>
        <w:t>Terms</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conditions</w:t>
      </w:r>
      <w:bookmarkEnd w:id="218"/>
      <w:bookmarkEnd w:id="219"/>
      <w:bookmarkEnd w:id="220"/>
      <w:bookmarkEnd w:id="221"/>
    </w:p>
    <w:p w14:paraId="530D76B1" w14:textId="77777777" w:rsidR="00236748" w:rsidRPr="00276391" w:rsidRDefault="00236748" w:rsidP="00276391">
      <w:pPr>
        <w:pStyle w:val="Heading3"/>
      </w:pPr>
      <w:bookmarkStart w:id="222" w:name="_Toc478991755"/>
      <w:bookmarkStart w:id="223" w:name="_Toc478992355"/>
      <w:bookmarkStart w:id="224" w:name="_Toc4142031"/>
      <w:r w:rsidRPr="00276391">
        <w:t>Terms</w:t>
      </w:r>
      <w:r w:rsidR="009B2351" w:rsidRPr="00276391">
        <w:t xml:space="preserve"> </w:t>
      </w:r>
      <w:r w:rsidRPr="00276391">
        <w:t>and</w:t>
      </w:r>
      <w:r w:rsidR="009B2351" w:rsidRPr="00276391">
        <w:t xml:space="preserve"> </w:t>
      </w:r>
      <w:r w:rsidRPr="00276391">
        <w:t>conditions</w:t>
      </w:r>
      <w:r w:rsidR="009B2351" w:rsidRPr="00276391">
        <w:t xml:space="preserve"> </w:t>
      </w:r>
      <w:r w:rsidRPr="00276391">
        <w:t>disclaimer</w:t>
      </w:r>
      <w:bookmarkEnd w:id="222"/>
      <w:bookmarkEnd w:id="223"/>
      <w:bookmarkEnd w:id="224"/>
    </w:p>
    <w:p w14:paraId="468F4F26" w14:textId="39E05B5D" w:rsidR="00236748" w:rsidRPr="00276391" w:rsidRDefault="00236748" w:rsidP="00276391">
      <w:pPr>
        <w:pStyle w:val="DHHSbody"/>
        <w:rPr>
          <w:lang w:eastAsia="en-AU"/>
        </w:rPr>
      </w:pP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008B3F5C">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chapter</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general</w:t>
      </w:r>
      <w:r w:rsidR="005D5532" w:rsidRPr="00B24C02">
        <w:rPr>
          <w:rFonts w:cs="Arial"/>
          <w:color w:val="000000"/>
          <w:szCs w:val="19"/>
          <w:lang w:eastAsia="en-AU"/>
        </w:rPr>
        <w:t xml:space="preserve"> </w:t>
      </w:r>
      <w:r w:rsidRPr="00B24C02">
        <w:rPr>
          <w:rFonts w:cs="Arial"/>
          <w:color w:val="000000"/>
          <w:szCs w:val="19"/>
          <w:lang w:eastAsia="en-AU"/>
        </w:rPr>
        <w:t>guidance</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references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contractual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descriptive</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legislation</w:t>
      </w:r>
      <w:r w:rsidR="005D5532" w:rsidRPr="00B24C02">
        <w:rPr>
          <w:rFonts w:cs="Arial"/>
          <w:color w:val="000000"/>
          <w:szCs w:val="19"/>
          <w:lang w:eastAsia="en-AU"/>
        </w:rPr>
        <w:t xml:space="preserve"> </w:t>
      </w:r>
      <w:r w:rsidRPr="00B24C02">
        <w:rPr>
          <w:rFonts w:cs="Arial"/>
          <w:color w:val="000000"/>
          <w:szCs w:val="19"/>
          <w:lang w:eastAsia="en-AU"/>
        </w:rPr>
        <w:t>take</w:t>
      </w:r>
      <w:r w:rsidR="005D5532" w:rsidRPr="00B24C02">
        <w:rPr>
          <w:rFonts w:cs="Arial"/>
          <w:color w:val="000000"/>
          <w:szCs w:val="19"/>
          <w:lang w:eastAsia="en-AU"/>
        </w:rPr>
        <w:t xml:space="preserve"> </w:t>
      </w:r>
      <w:r w:rsidRPr="00B24C02">
        <w:rPr>
          <w:rFonts w:cs="Arial"/>
          <w:color w:val="000000"/>
          <w:szCs w:val="19"/>
          <w:lang w:eastAsia="en-AU"/>
        </w:rPr>
        <w:t>precedence</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00C32843">
        <w:rPr>
          <w:rFonts w:cs="Arial"/>
          <w:color w:val="000000"/>
          <w:szCs w:val="19"/>
          <w:lang w:eastAsia="en-AU"/>
        </w:rPr>
        <w:t>the kit</w:t>
      </w:r>
      <w:r w:rsidRPr="00B24C02">
        <w:rPr>
          <w:rFonts w:cs="Arial"/>
          <w:color w:val="000000"/>
          <w:szCs w:val="19"/>
          <w:lang w:eastAsia="en-AU"/>
        </w:rPr>
        <w:t>.</w:t>
      </w:r>
      <w:r w:rsidR="005D5532" w:rsidRPr="00B24C02">
        <w:rPr>
          <w:rFonts w:cs="Arial"/>
          <w:color w:val="000000"/>
          <w:szCs w:val="19"/>
          <w:lang w:eastAsia="en-AU"/>
        </w:rPr>
        <w:t xml:space="preserve"> </w:t>
      </w:r>
      <w:r w:rsidR="00C32843">
        <w:rPr>
          <w:rFonts w:cs="Arial"/>
          <w:color w:val="000000"/>
          <w:szCs w:val="19"/>
          <w:lang w:eastAsia="en-AU"/>
        </w:rPr>
        <w:t>The kit</w:t>
      </w:r>
      <w:r w:rsidR="005D5532" w:rsidRPr="00B24C02">
        <w:rPr>
          <w:rFonts w:cs="Arial"/>
          <w:color w:val="000000"/>
          <w:szCs w:val="19"/>
          <w:lang w:eastAsia="en-AU"/>
        </w:rPr>
        <w:t xml:space="preserve"> </w:t>
      </w:r>
      <w:r w:rsidRPr="00B24C02">
        <w:rPr>
          <w:rFonts w:cs="Arial"/>
          <w:color w:val="000000"/>
          <w:szCs w:val="19"/>
          <w:lang w:eastAsia="en-AU"/>
        </w:rPr>
        <w:t>does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constitute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relied</w:t>
      </w:r>
      <w:r w:rsidR="005D5532" w:rsidRPr="00B24C02">
        <w:rPr>
          <w:rFonts w:cs="Arial"/>
          <w:color w:val="000000"/>
          <w:szCs w:val="19"/>
          <w:lang w:eastAsia="en-AU"/>
        </w:rPr>
        <w:t xml:space="preserve"> </w:t>
      </w:r>
      <w:r w:rsidRPr="00B24C02">
        <w:rPr>
          <w:rFonts w:cs="Arial"/>
          <w:color w:val="000000"/>
          <w:szCs w:val="19"/>
          <w:lang w:eastAsia="en-AU"/>
        </w:rPr>
        <w:t>upon</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professional</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always</w:t>
      </w:r>
      <w:r w:rsidR="005D5532" w:rsidRPr="00B24C02">
        <w:rPr>
          <w:rFonts w:cs="Arial"/>
          <w:color w:val="000000"/>
          <w:szCs w:val="19"/>
          <w:lang w:eastAsia="en-AU"/>
        </w:rPr>
        <w:t xml:space="preserve"> </w:t>
      </w:r>
      <w:r w:rsidRPr="00B24C02">
        <w:rPr>
          <w:rFonts w:cs="Arial"/>
          <w:color w:val="000000"/>
          <w:szCs w:val="19"/>
          <w:lang w:eastAsia="en-AU"/>
        </w:rPr>
        <w:t>obtain</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tailored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circumstances.</w:t>
      </w:r>
    </w:p>
    <w:p w14:paraId="02DC3F66" w14:textId="0B0C80DA" w:rsidR="00236748" w:rsidRPr="00276391" w:rsidRDefault="00236748" w:rsidP="009B2351">
      <w:pPr>
        <w:pStyle w:val="Heading2"/>
        <w:rPr>
          <w:rFonts w:cs="Arial"/>
        </w:rPr>
      </w:pPr>
      <w:bookmarkStart w:id="225" w:name="_Toc478991756"/>
      <w:bookmarkStart w:id="226" w:name="_Toc478992356"/>
      <w:bookmarkStart w:id="227" w:name="_Toc478992886"/>
      <w:bookmarkStart w:id="228" w:name="_Toc4142032"/>
      <w:r w:rsidRPr="00276391">
        <w:rPr>
          <w:rFonts w:cs="Arial"/>
        </w:rPr>
        <w:t>3.0</w:t>
      </w:r>
      <w:r w:rsidR="009B2351" w:rsidRPr="00276391">
        <w:rPr>
          <w:rFonts w:cs="Arial"/>
        </w:rPr>
        <w:t xml:space="preserve"> </w:t>
      </w:r>
      <w:r w:rsidRPr="00276391">
        <w:rPr>
          <w:rFonts w:cs="Arial"/>
        </w:rPr>
        <w:t>Overview</w:t>
      </w:r>
      <w:r w:rsidR="009B2351" w:rsidRPr="00276391">
        <w:rPr>
          <w:rFonts w:cs="Arial"/>
        </w:rPr>
        <w:t xml:space="preserve"> </w:t>
      </w:r>
      <w:r w:rsidRPr="00276391">
        <w:rPr>
          <w:rFonts w:cs="Arial"/>
        </w:rPr>
        <w:t>of</w:t>
      </w:r>
      <w:r w:rsidR="009B2351" w:rsidRPr="00276391">
        <w:rPr>
          <w:rFonts w:cs="Arial"/>
        </w:rPr>
        <w:t xml:space="preserve"> </w:t>
      </w:r>
      <w:r w:rsidR="009B3052">
        <w:rPr>
          <w:rFonts w:cs="Arial"/>
        </w:rPr>
        <w:t>Service agreement</w:t>
      </w:r>
      <w:r w:rsidR="009B2351" w:rsidRPr="00276391">
        <w:rPr>
          <w:rFonts w:cs="Arial"/>
        </w:rPr>
        <w:t xml:space="preserve"> </w:t>
      </w:r>
      <w:r w:rsidRPr="00276391">
        <w:rPr>
          <w:rFonts w:cs="Arial"/>
        </w:rPr>
        <w:t>terms</w:t>
      </w:r>
      <w:r w:rsidR="009B2351" w:rsidRPr="00276391">
        <w:rPr>
          <w:rFonts w:cs="Arial"/>
        </w:rPr>
        <w:t xml:space="preserve"> </w:t>
      </w:r>
      <w:r w:rsidRPr="00276391">
        <w:rPr>
          <w:rFonts w:cs="Arial"/>
        </w:rPr>
        <w:t>and</w:t>
      </w:r>
      <w:r w:rsidR="009B2351" w:rsidRPr="00276391">
        <w:rPr>
          <w:rFonts w:cs="Arial"/>
        </w:rPr>
        <w:t xml:space="preserve"> </w:t>
      </w:r>
      <w:r w:rsidRPr="00276391">
        <w:rPr>
          <w:rFonts w:cs="Arial"/>
        </w:rPr>
        <w:t>conditions</w:t>
      </w:r>
      <w:bookmarkEnd w:id="225"/>
      <w:bookmarkEnd w:id="226"/>
      <w:bookmarkEnd w:id="227"/>
      <w:bookmarkEnd w:id="228"/>
    </w:p>
    <w:p w14:paraId="5678D052" w14:textId="1CA16CC6"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contractual</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responsibilities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p>
    <w:p w14:paraId="73DCB055" w14:textId="00AD5428" w:rsidR="00236748" w:rsidRPr="00276391" w:rsidRDefault="00236748" w:rsidP="00276391">
      <w:pPr>
        <w:pStyle w:val="DHHSbody"/>
        <w:rPr>
          <w:lang w:eastAsia="en-AU"/>
        </w:rPr>
      </w:pPr>
      <w:r w:rsidRPr="00276391">
        <w:rPr>
          <w:lang w:eastAsia="en-AU"/>
        </w:rPr>
        <w:t>Most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contained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both</w:t>
      </w:r>
      <w:r w:rsidR="005D5532" w:rsidRPr="00276391">
        <w:rPr>
          <w:lang w:eastAsia="en-AU"/>
        </w:rPr>
        <w:t xml:space="preserve"> </w:t>
      </w:r>
      <w:r w:rsidR="00DF1D39">
        <w:rPr>
          <w:lang w:eastAsia="en-AU"/>
        </w:rPr>
        <w:t>Department Health and Human Services and Department Education and Training</w:t>
      </w:r>
      <w:r w:rsidRPr="00276391">
        <w:rPr>
          <w:lang w:eastAsia="en-AU"/>
        </w:rPr>
        <w: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across</w:t>
      </w:r>
      <w:r w:rsidR="005D5532" w:rsidRPr="00276391">
        <w:rPr>
          <w:lang w:eastAsia="en-AU"/>
        </w:rPr>
        <w:t xml:space="preserve"> </w:t>
      </w:r>
      <w:r w:rsidRPr="00276391">
        <w:rPr>
          <w:lang w:eastAsia="en-AU"/>
        </w:rPr>
        <w:t>all</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identified</w:t>
      </w:r>
      <w:r w:rsidR="005D5532" w:rsidRPr="00276391">
        <w:rPr>
          <w:lang w:eastAsia="en-AU"/>
        </w:rPr>
        <w:t xml:space="preserve"> </w:t>
      </w:r>
      <w:r w:rsidRPr="00276391">
        <w:rPr>
          <w:lang w:eastAsia="en-AU"/>
        </w:rPr>
        <w:t>below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summarised</w:t>
      </w:r>
      <w:r w:rsidR="005D5532" w:rsidRPr="00276391">
        <w:rPr>
          <w:lang w:eastAsia="en-AU"/>
        </w:rPr>
        <w:t xml:space="preserve"> </w:t>
      </w:r>
      <w:r w:rsidRPr="00276391">
        <w:rPr>
          <w:lang w:eastAsia="en-AU"/>
        </w:rPr>
        <w:t>later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chapter.</w:t>
      </w:r>
    </w:p>
    <w:p w14:paraId="746595DA" w14:textId="454CC99F" w:rsidR="00236748" w:rsidRPr="00276391" w:rsidRDefault="00236748" w:rsidP="00276391">
      <w:pPr>
        <w:pStyle w:val="DHHSbody"/>
        <w:rPr>
          <w:lang w:eastAsia="en-AU"/>
        </w:rPr>
      </w:pPr>
      <w:r w:rsidRPr="00276391">
        <w:rPr>
          <w:lang w:eastAsia="en-AU"/>
        </w:rPr>
        <w:lastRenderedPageBreak/>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to</w:t>
      </w:r>
      <w:r w:rsidR="005D5532" w:rsidRPr="00276391">
        <w:rPr>
          <w:lang w:eastAsia="en-AU"/>
        </w:rPr>
        <w:t xml:space="preserve"> </w:t>
      </w:r>
      <w:r w:rsidR="00DF1D39" w:rsidRPr="00276391">
        <w:rPr>
          <w:lang w:eastAsia="en-AU"/>
        </w:rPr>
        <w:t xml:space="preserve">both </w:t>
      </w:r>
      <w:r w:rsidR="00DF1D39">
        <w:rPr>
          <w:lang w:eastAsia="en-AU"/>
        </w:rPr>
        <w:t>Department Health and Human Services</w:t>
      </w:r>
      <w:r w:rsidRPr="00276391">
        <w:rPr>
          <w:lang w:eastAsia="en-AU"/>
        </w:rPr>
        <w:t>:</w:t>
      </w:r>
    </w:p>
    <w:p w14:paraId="66842C77"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00CD3CD6">
        <w:rPr>
          <w:lang w:eastAsia="en-AU"/>
        </w:rPr>
        <w:t>Body</w:t>
      </w:r>
    </w:p>
    <w:p w14:paraId="23A2BEA4"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3.1A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Pr="00276391">
        <w:rPr>
          <w:lang w:eastAsia="en-AU"/>
        </w:rPr>
        <w:br/>
        <w:t>(where</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3.1A</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C62565">
        <w:rPr>
          <w:bCs/>
          <w:i/>
          <w:lang w:eastAsia="en-AU"/>
        </w:rPr>
        <w:t>Children,</w:t>
      </w:r>
      <w:r w:rsidR="005D5532" w:rsidRPr="00C62565">
        <w:rPr>
          <w:bCs/>
          <w:i/>
          <w:lang w:eastAsia="en-AU"/>
        </w:rPr>
        <w:t xml:space="preserve"> </w:t>
      </w:r>
      <w:r w:rsidRPr="00C62565">
        <w:rPr>
          <w:bCs/>
          <w:i/>
          <w:lang w:eastAsia="en-AU"/>
        </w:rPr>
        <w:t>youth</w:t>
      </w:r>
      <w:r w:rsidR="005D5532" w:rsidRPr="00C62565">
        <w:rPr>
          <w:bCs/>
          <w:i/>
          <w:lang w:eastAsia="en-AU"/>
        </w:rPr>
        <w:t xml:space="preserve"> </w:t>
      </w:r>
      <w:r w:rsidRPr="00C62565">
        <w:rPr>
          <w:bCs/>
          <w:i/>
          <w:lang w:eastAsia="en-AU"/>
        </w:rPr>
        <w:t>and</w:t>
      </w:r>
      <w:r w:rsidR="005D5532" w:rsidRPr="00C62565">
        <w:rPr>
          <w:bCs/>
          <w:i/>
          <w:lang w:eastAsia="en-AU"/>
        </w:rPr>
        <w:t xml:space="preserve"> </w:t>
      </w:r>
      <w:r w:rsidRPr="00C62565">
        <w:rPr>
          <w:bCs/>
          <w:i/>
          <w:lang w:eastAsia="en-AU"/>
        </w:rPr>
        <w:t>Families</w:t>
      </w:r>
      <w:r w:rsidR="005D5532" w:rsidRPr="00C62565">
        <w:rPr>
          <w:bCs/>
          <w:i/>
          <w:lang w:eastAsia="en-AU"/>
        </w:rPr>
        <w:t xml:space="preserve"> </w:t>
      </w:r>
      <w:r w:rsidRPr="00C62565">
        <w:rPr>
          <w:bCs/>
          <w:i/>
          <w:lang w:eastAsia="en-AU"/>
        </w:rPr>
        <w:t>Act</w:t>
      </w:r>
      <w:r w:rsidR="005D5532" w:rsidRPr="00C62565">
        <w:rPr>
          <w:bCs/>
          <w:i/>
          <w:lang w:eastAsia="en-AU"/>
        </w:rPr>
        <w:t xml:space="preserve"> </w:t>
      </w:r>
      <w:r w:rsidRPr="00C62565">
        <w:rPr>
          <w:bCs/>
          <w:i/>
          <w:lang w:eastAsia="en-AU"/>
        </w:rPr>
        <w:t>2005</w:t>
      </w:r>
      <w:r w:rsidR="005D5532" w:rsidRPr="00C62565">
        <w:rPr>
          <w:i/>
          <w:lang w:eastAsia="en-AU"/>
        </w:rPr>
        <w:t xml:space="preserve"> </w:t>
      </w:r>
      <w:r w:rsidRPr="00C62565">
        <w:rPr>
          <w:i/>
          <w:lang w:eastAsia="en-AU"/>
        </w:rPr>
        <w:t>(Vic)</w:t>
      </w:r>
      <w:r w:rsidR="005D5532" w:rsidRPr="00C62565">
        <w:rPr>
          <w:i/>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C62565">
        <w:rPr>
          <w:bCs/>
          <w:i/>
          <w:lang w:eastAsia="en-AU"/>
        </w:rPr>
        <w:t>Disability</w:t>
      </w:r>
      <w:r w:rsidR="005D5532" w:rsidRPr="00C62565">
        <w:rPr>
          <w:bCs/>
          <w:i/>
          <w:lang w:eastAsia="en-AU"/>
        </w:rPr>
        <w:t xml:space="preserve"> </w:t>
      </w:r>
      <w:r w:rsidRPr="00C62565">
        <w:rPr>
          <w:bCs/>
          <w:i/>
          <w:lang w:eastAsia="en-AU"/>
        </w:rPr>
        <w:t>Act</w:t>
      </w:r>
      <w:r w:rsidR="005D5532" w:rsidRPr="00C62565">
        <w:rPr>
          <w:bCs/>
          <w:i/>
          <w:lang w:eastAsia="en-AU"/>
        </w:rPr>
        <w:t xml:space="preserve"> </w:t>
      </w:r>
      <w:r w:rsidRPr="00C62565">
        <w:rPr>
          <w:bCs/>
          <w:i/>
          <w:lang w:eastAsia="en-AU"/>
        </w:rPr>
        <w:t>2006</w:t>
      </w:r>
      <w:r w:rsidR="005D5532" w:rsidRPr="00C62565">
        <w:rPr>
          <w:i/>
          <w:lang w:eastAsia="en-AU"/>
        </w:rPr>
        <w:t xml:space="preserve"> </w:t>
      </w:r>
      <w:r w:rsidRPr="00C62565">
        <w:rPr>
          <w:i/>
          <w:lang w:eastAsia="en-AU"/>
        </w:rPr>
        <w:t>(Vic)</w:t>
      </w:r>
      <w:r w:rsidR="00CD3CD6">
        <w:rPr>
          <w:lang w:eastAsia="en-AU"/>
        </w:rPr>
        <w:t>)</w:t>
      </w:r>
    </w:p>
    <w:p w14:paraId="7EA882D8"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3.6</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00CD3CD6">
        <w:rPr>
          <w:lang w:eastAsia="en-AU"/>
        </w:rPr>
        <w:t>Standards</w:t>
      </w:r>
    </w:p>
    <w:p w14:paraId="7832B877" w14:textId="21B08D95" w:rsidR="00236748" w:rsidRPr="00276391"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14.4</w:t>
      </w:r>
      <w:r w:rsidR="005D5532" w:rsidRPr="00276391">
        <w:rPr>
          <w:lang w:eastAsia="en-AU"/>
        </w:rPr>
        <w:t xml:space="preserve"> </w:t>
      </w:r>
      <w:r w:rsidRPr="00276391">
        <w:rPr>
          <w:lang w:eastAsia="en-AU"/>
        </w:rPr>
        <w:t>Termination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14.4</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essential</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3.6</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Standards])</w:t>
      </w:r>
      <w:r w:rsidR="00C62565">
        <w:rPr>
          <w:lang w:eastAsia="en-AU"/>
        </w:rPr>
        <w:t>.</w:t>
      </w:r>
    </w:p>
    <w:p w14:paraId="4CDB9934" w14:textId="0B91823C" w:rsidR="00236748" w:rsidRPr="00276391" w:rsidRDefault="00236748" w:rsidP="00CD3CD6">
      <w:pPr>
        <w:pStyle w:val="DHHSbody"/>
        <w:numPr>
          <w:ilvl w:val="0"/>
          <w:numId w:val="30"/>
        </w:numPr>
        <w:spacing w:after="0" w:line="240" w:lineRule="auto"/>
        <w:rPr>
          <w:lang w:eastAsia="en-AU"/>
        </w:rPr>
      </w:pP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to</w:t>
      </w:r>
      <w:r w:rsidR="005D5532" w:rsidRPr="00276391">
        <w:rPr>
          <w:lang w:eastAsia="en-AU"/>
        </w:rPr>
        <w:t xml:space="preserve"> </w:t>
      </w:r>
      <w:r w:rsidR="00DF1D39">
        <w:rPr>
          <w:lang w:eastAsia="en-AU"/>
        </w:rPr>
        <w:t>Department Education and Training</w:t>
      </w:r>
      <w:r w:rsidRPr="00276391">
        <w:rPr>
          <w:lang w:eastAsia="en-AU"/>
        </w:rPr>
        <w:t>:</w:t>
      </w:r>
    </w:p>
    <w:p w14:paraId="61D2A2D7"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Approved</w:t>
      </w:r>
      <w:r w:rsidR="005D5532" w:rsidRPr="00276391">
        <w:rPr>
          <w:lang w:eastAsia="en-AU"/>
        </w:rPr>
        <w:t xml:space="preserve"> </w:t>
      </w:r>
      <w:r w:rsidR="00CD3CD6">
        <w:rPr>
          <w:lang w:eastAsia="en-AU"/>
        </w:rPr>
        <w:t>Application</w:t>
      </w:r>
    </w:p>
    <w:p w14:paraId="148E8F0E"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of</w:t>
      </w:r>
      <w:r w:rsidR="005D5532" w:rsidRPr="00276391">
        <w:rPr>
          <w:lang w:eastAsia="en-AU"/>
        </w:rPr>
        <w:t xml:space="preserve"> </w:t>
      </w:r>
      <w:r w:rsidR="00CD3CD6">
        <w:rPr>
          <w:lang w:eastAsia="en-AU"/>
        </w:rPr>
        <w:t>Expenditure</w:t>
      </w:r>
    </w:p>
    <w:p w14:paraId="19CA8E77"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00CD3CD6">
        <w:rPr>
          <w:lang w:eastAsia="en-AU"/>
        </w:rPr>
        <w:t>Grant</w:t>
      </w:r>
    </w:p>
    <w:p w14:paraId="1348DA60"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00CD3CD6">
        <w:rPr>
          <w:lang w:eastAsia="en-AU"/>
        </w:rPr>
        <w:t>Project</w:t>
      </w:r>
    </w:p>
    <w:p w14:paraId="61D28C07" w14:textId="77777777" w:rsidR="00CD3CD6"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3.1A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br/>
        <w:t>(where</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3.1A</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C62565">
        <w:rPr>
          <w:bCs/>
          <w:i/>
          <w:lang w:eastAsia="en-AU"/>
        </w:rPr>
        <w:t>Educational</w:t>
      </w:r>
      <w:r w:rsidR="005D5532" w:rsidRPr="00C62565">
        <w:rPr>
          <w:bCs/>
          <w:i/>
          <w:lang w:eastAsia="en-AU"/>
        </w:rPr>
        <w:t xml:space="preserve"> </w:t>
      </w:r>
      <w:r w:rsidRPr="00C62565">
        <w:rPr>
          <w:bCs/>
          <w:i/>
          <w:lang w:eastAsia="en-AU"/>
        </w:rPr>
        <w:t>and</w:t>
      </w:r>
      <w:r w:rsidR="005D5532" w:rsidRPr="00C62565">
        <w:rPr>
          <w:bCs/>
          <w:i/>
          <w:lang w:eastAsia="en-AU"/>
        </w:rPr>
        <w:t xml:space="preserve"> </w:t>
      </w:r>
      <w:r w:rsidRPr="00C62565">
        <w:rPr>
          <w:bCs/>
          <w:i/>
          <w:lang w:eastAsia="en-AU"/>
        </w:rPr>
        <w:t>Care</w:t>
      </w:r>
      <w:r w:rsidR="005D5532" w:rsidRPr="00C62565">
        <w:rPr>
          <w:bCs/>
          <w:i/>
          <w:lang w:eastAsia="en-AU"/>
        </w:rPr>
        <w:t xml:space="preserve"> </w:t>
      </w:r>
      <w:r w:rsidRPr="00C62565">
        <w:rPr>
          <w:bCs/>
          <w:i/>
          <w:lang w:eastAsia="en-AU"/>
        </w:rPr>
        <w:t>Services</w:t>
      </w:r>
      <w:r w:rsidR="005D5532" w:rsidRPr="00C62565">
        <w:rPr>
          <w:bCs/>
          <w:i/>
          <w:lang w:eastAsia="en-AU"/>
        </w:rPr>
        <w:t xml:space="preserve"> </w:t>
      </w:r>
      <w:r w:rsidRPr="00C62565">
        <w:rPr>
          <w:bCs/>
          <w:i/>
          <w:lang w:eastAsia="en-AU"/>
        </w:rPr>
        <w:t>National</w:t>
      </w:r>
      <w:r w:rsidR="005D5532" w:rsidRPr="00C62565">
        <w:rPr>
          <w:bCs/>
          <w:i/>
          <w:lang w:eastAsia="en-AU"/>
        </w:rPr>
        <w:t xml:space="preserve"> </w:t>
      </w:r>
      <w:r w:rsidRPr="00C62565">
        <w:rPr>
          <w:bCs/>
          <w:i/>
          <w:lang w:eastAsia="en-AU"/>
        </w:rPr>
        <w:t>Law</w:t>
      </w:r>
      <w:r w:rsidR="005D5532" w:rsidRPr="00C62565">
        <w:rPr>
          <w:bCs/>
          <w:i/>
          <w:lang w:eastAsia="en-AU"/>
        </w:rPr>
        <w:t xml:space="preserve"> </w:t>
      </w:r>
      <w:r w:rsidRPr="00C62565">
        <w:rPr>
          <w:bCs/>
          <w:i/>
          <w:lang w:eastAsia="en-AU"/>
        </w:rPr>
        <w:t>Act</w:t>
      </w:r>
      <w:r w:rsidR="005D5532" w:rsidRPr="00C62565">
        <w:rPr>
          <w:bCs/>
          <w:i/>
          <w:lang w:eastAsia="en-AU"/>
        </w:rPr>
        <w:t xml:space="preserve"> </w:t>
      </w:r>
      <w:r w:rsidRPr="00C62565">
        <w:rPr>
          <w:bCs/>
          <w:i/>
          <w:lang w:eastAsia="en-AU"/>
        </w:rPr>
        <w:t>2010</w:t>
      </w:r>
      <w:r w:rsidR="005D5532" w:rsidRPr="00C62565">
        <w:rPr>
          <w:i/>
          <w:lang w:eastAsia="en-AU"/>
        </w:rPr>
        <w:t xml:space="preserve"> </w:t>
      </w:r>
      <w:r w:rsidRPr="00C62565">
        <w:rPr>
          <w:i/>
          <w:lang w:eastAsia="en-AU"/>
        </w:rPr>
        <w:t>(Vic)</w:t>
      </w:r>
      <w:r w:rsidR="00CD3CD6">
        <w:rPr>
          <w:lang w:eastAsia="en-AU"/>
        </w:rPr>
        <w:t>)</w:t>
      </w:r>
    </w:p>
    <w:p w14:paraId="1F912FFE" w14:textId="6552E333" w:rsidR="00236748" w:rsidRPr="00276391" w:rsidRDefault="00236748" w:rsidP="00CD3CD6">
      <w:pPr>
        <w:pStyle w:val="DHHSbody"/>
        <w:numPr>
          <w:ilvl w:val="0"/>
          <w:numId w:val="30"/>
        </w:numPr>
        <w:spacing w:after="0" w:line="240" w:lineRule="auto"/>
        <w:rPr>
          <w:lang w:eastAsia="en-AU"/>
        </w:rPr>
      </w:pPr>
      <w:r w:rsidRPr="00276391">
        <w:rPr>
          <w:lang w:eastAsia="en-AU"/>
        </w:rPr>
        <w:t>Clause</w:t>
      </w:r>
      <w:r w:rsidR="005D5532" w:rsidRPr="00276391">
        <w:rPr>
          <w:lang w:eastAsia="en-AU"/>
        </w:rPr>
        <w:t xml:space="preserve"> </w:t>
      </w:r>
      <w:r w:rsidRPr="00276391">
        <w:rPr>
          <w:lang w:eastAsia="en-AU"/>
        </w:rPr>
        <w:t>27</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Grant</w:t>
      </w:r>
      <w:r w:rsidR="00C62565">
        <w:rPr>
          <w:lang w:eastAsia="en-AU"/>
        </w:rPr>
        <w:t>.</w:t>
      </w:r>
    </w:p>
    <w:p w14:paraId="1FEADD6C" w14:textId="0A7DDE01" w:rsidR="00236748" w:rsidRPr="00276391" w:rsidRDefault="00236748" w:rsidP="009D4D32">
      <w:pPr>
        <w:pStyle w:val="Heading3"/>
        <w:rPr>
          <w:lang w:eastAsia="en-AU"/>
        </w:rPr>
      </w:pPr>
      <w:bookmarkStart w:id="229" w:name="_Toc478991757"/>
      <w:bookmarkStart w:id="230" w:name="_Toc478992357"/>
      <w:bookmarkStart w:id="231" w:name="_Toc4142033"/>
      <w:r w:rsidRPr="00276391">
        <w:rPr>
          <w:lang w:eastAsia="en-AU"/>
        </w:rPr>
        <w:t>3.0.1</w:t>
      </w:r>
      <w:r w:rsidR="009B2351" w:rsidRPr="00276391">
        <w:rPr>
          <w:lang w:eastAsia="en-AU"/>
        </w:rPr>
        <w:t xml:space="preserve"> </w:t>
      </w:r>
      <w:r w:rsidRPr="00276391">
        <w:rPr>
          <w:lang w:eastAsia="en-AU"/>
        </w:rPr>
        <w:t>Terms</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conditions</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the</w:t>
      </w:r>
      <w:r w:rsidR="009B2351" w:rsidRPr="00276391">
        <w:rPr>
          <w:lang w:eastAsia="en-AU"/>
        </w:rPr>
        <w:t xml:space="preserve"> </w:t>
      </w:r>
      <w:r w:rsidR="009B3052">
        <w:rPr>
          <w:lang w:eastAsia="en-AU"/>
        </w:rPr>
        <w:t>Service agreement</w:t>
      </w:r>
      <w:bookmarkEnd w:id="229"/>
      <w:bookmarkEnd w:id="230"/>
      <w:bookmarkEnd w:id="231"/>
    </w:p>
    <w:p w14:paraId="103D29EA" w14:textId="3B656DFD"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current</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updated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effect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December</w:t>
      </w:r>
      <w:r w:rsidR="005D5532" w:rsidRPr="00276391">
        <w:rPr>
          <w:lang w:eastAsia="en-AU"/>
        </w:rPr>
        <w:t xml:space="preserve"> </w:t>
      </w:r>
      <w:r w:rsidRPr="00276391">
        <w:rPr>
          <w:lang w:eastAsia="en-AU"/>
        </w:rPr>
        <w:t>2015.</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governs</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previous</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rolled</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years</w:t>
      </w:r>
      <w:r w:rsidR="005D5532" w:rsidRPr="00276391">
        <w:rPr>
          <w:lang w:eastAsia="en-AU"/>
        </w:rPr>
        <w:t xml:space="preserve"> </w:t>
      </w:r>
      <w:r w:rsidRPr="00276391">
        <w:rPr>
          <w:lang w:eastAsia="en-AU"/>
        </w:rPr>
        <w:t>2012-2015.</w:t>
      </w:r>
    </w:p>
    <w:p w14:paraId="157DB9E5" w14:textId="45B20AFD" w:rsidR="00236748"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reviewed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C62565">
        <w:rPr>
          <w:lang w:eastAsia="en-AU"/>
        </w:rPr>
        <w: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representatives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C62565">
        <w:rPr>
          <w:lang w:eastAsia="en-AU"/>
        </w:rPr>
        <w:t>SAWG</w:t>
      </w:r>
      <w:r w:rsidRPr="00276391">
        <w:rPr>
          <w:lang w:eastAsia="en-AU"/>
        </w:rPr>
        <w: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sub-group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C62565">
        <w:rPr>
          <w:lang w:eastAsia="en-AU"/>
        </w:rPr>
        <w:t>HSHPIC</w:t>
      </w:r>
      <w:r w:rsidRPr="00276391">
        <w:rPr>
          <w:lang w:eastAsia="en-AU"/>
        </w:rPr>
        <w:t>.</w:t>
      </w:r>
    </w:p>
    <w:p w14:paraId="26E1681A" w14:textId="1FADCD5E" w:rsidR="00236748" w:rsidRPr="001E0840" w:rsidRDefault="00F8611A" w:rsidP="00C94233">
      <w:pPr>
        <w:pStyle w:val="DHHSbody"/>
        <w:tabs>
          <w:tab w:val="right" w:pos="9298"/>
        </w:tabs>
        <w:rPr>
          <w:color w:val="000000"/>
          <w:lang w:eastAsia="en-AU"/>
        </w:rPr>
      </w:pPr>
      <w:r>
        <w:t xml:space="preserve">Sample </w:t>
      </w:r>
      <w:r w:rsidR="009B3052">
        <w:t>Service agreement</w:t>
      </w:r>
      <w:r>
        <w:t>s are avai</w:t>
      </w:r>
      <w:r w:rsidR="00C62565">
        <w:t>lable from the Funded agency c</w:t>
      </w:r>
      <w:r>
        <w:t>hannel.</w:t>
      </w:r>
      <w:r w:rsidR="00C94233" w:rsidRPr="001E0840">
        <w:rPr>
          <w:color w:val="000000"/>
          <w:lang w:eastAsia="en-AU"/>
        </w:rPr>
        <w:tab/>
      </w:r>
    </w:p>
    <w:p w14:paraId="30636904" w14:textId="0E7489EC" w:rsidR="00236748" w:rsidRPr="00276391" w:rsidRDefault="00236748" w:rsidP="009B2351">
      <w:pPr>
        <w:pStyle w:val="Heading2"/>
        <w:rPr>
          <w:rFonts w:cs="Arial"/>
          <w:lang w:eastAsia="en-AU"/>
        </w:rPr>
      </w:pPr>
      <w:bookmarkStart w:id="232" w:name="_Toc478991758"/>
      <w:bookmarkStart w:id="233" w:name="_Toc478992358"/>
      <w:bookmarkStart w:id="234" w:name="_Toc478992887"/>
      <w:bookmarkStart w:id="235" w:name="_Toc4142034"/>
      <w:r w:rsidRPr="00276391">
        <w:rPr>
          <w:rFonts w:cs="Arial"/>
          <w:lang w:eastAsia="en-AU"/>
        </w:rPr>
        <w:t>3.1</w:t>
      </w:r>
      <w:r w:rsidR="009B2351" w:rsidRPr="00276391">
        <w:rPr>
          <w:rFonts w:cs="Arial"/>
          <w:lang w:eastAsia="en-AU"/>
        </w:rPr>
        <w:t xml:space="preserve"> </w:t>
      </w:r>
      <w:r w:rsidRPr="00276391">
        <w:rPr>
          <w:rFonts w:cs="Arial"/>
          <w:lang w:eastAsia="en-AU"/>
        </w:rPr>
        <w:t>Definitions</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interpretation</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the</w:t>
      </w:r>
      <w:r w:rsidR="009B2351" w:rsidRPr="00276391">
        <w:rPr>
          <w:rFonts w:cs="Arial"/>
          <w:lang w:eastAsia="en-AU"/>
        </w:rPr>
        <w:t xml:space="preserve"> </w:t>
      </w:r>
      <w:r w:rsidR="009B3052">
        <w:rPr>
          <w:rFonts w:cs="Arial"/>
          <w:lang w:eastAsia="en-AU"/>
        </w:rPr>
        <w:t>Service agreement</w:t>
      </w:r>
      <w:bookmarkEnd w:id="232"/>
      <w:bookmarkEnd w:id="233"/>
      <w:bookmarkEnd w:id="234"/>
      <w:bookmarkEnd w:id="235"/>
    </w:p>
    <w:p w14:paraId="70C08170" w14:textId="2CA65DEB" w:rsidR="00236748" w:rsidRPr="00276391" w:rsidRDefault="00236748" w:rsidP="00276391">
      <w:pPr>
        <w:pStyle w:val="DHHSbody"/>
        <w:rPr>
          <w:lang w:eastAsia="en-AU"/>
        </w:rPr>
      </w:pPr>
      <w:r w:rsidRPr="00276391">
        <w:rPr>
          <w:lang w:eastAsia="en-AU"/>
        </w:rPr>
        <w:t>While</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discussed</w:t>
      </w:r>
      <w:r w:rsidR="005D5532" w:rsidRPr="00276391">
        <w:rPr>
          <w:lang w:eastAsia="en-AU"/>
        </w:rPr>
        <w:t xml:space="preserve"> </w:t>
      </w:r>
      <w:r w:rsidRPr="00276391">
        <w:rPr>
          <w:lang w:eastAsia="en-AU"/>
        </w:rPr>
        <w:t>separately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Kit,</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designed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read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entirety.</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read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context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whole.</w:t>
      </w:r>
    </w:p>
    <w:p w14:paraId="24328E5D" w14:textId="11E49589"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subheadings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easier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read.</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headings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assist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interpretation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428C562F" w14:textId="4188584C"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refer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definitions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reading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definitions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included</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throughout</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start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capital</w:t>
      </w:r>
      <w:r w:rsidR="005D5532" w:rsidRPr="00276391">
        <w:rPr>
          <w:lang w:eastAsia="en-AU"/>
        </w:rPr>
        <w:t xml:space="preserve"> </w:t>
      </w:r>
      <w:r w:rsidRPr="00276391">
        <w:rPr>
          <w:lang w:eastAsia="en-AU"/>
        </w:rPr>
        <w:t>letter.</w:t>
      </w:r>
    </w:p>
    <w:p w14:paraId="1CD31F18" w14:textId="4F80FFA6"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inconsistency</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inconsistency</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resolved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order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priority:</w:t>
      </w:r>
    </w:p>
    <w:p w14:paraId="6A5CA346" w14:textId="59466D5E" w:rsidR="00236748" w:rsidRPr="00276391" w:rsidRDefault="00236748" w:rsidP="00CD3CD6">
      <w:pPr>
        <w:pStyle w:val="DHHSbullet1"/>
        <w:numPr>
          <w:ilvl w:val="0"/>
          <w:numId w:val="0"/>
        </w:numPr>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terms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00CD3CD6">
        <w:rPr>
          <w:rFonts w:cs="Arial"/>
          <w:lang w:eastAsia="en-AU"/>
        </w:rPr>
        <w:t>conditions</w:t>
      </w:r>
      <w:r w:rsidRPr="00276391">
        <w:rPr>
          <w:rFonts w:cs="Arial"/>
          <w:lang w:eastAsia="en-AU"/>
        </w:rPr>
        <w:br/>
        <w:t>(b)</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details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CD3CD6">
        <w:rPr>
          <w:rFonts w:cs="Arial"/>
          <w:lang w:eastAsia="en-AU"/>
        </w:rPr>
        <w:t>agreement</w:t>
      </w:r>
      <w:r w:rsidRPr="00276391">
        <w:rPr>
          <w:rFonts w:cs="Arial"/>
          <w:lang w:eastAsia="en-AU"/>
        </w:rPr>
        <w:br/>
        <w:t>(c)</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00CD3CD6">
        <w:rPr>
          <w:rFonts w:cs="Arial"/>
          <w:lang w:eastAsia="en-AU"/>
        </w:rPr>
        <w:t>1</w:t>
      </w:r>
      <w:r w:rsidRPr="00276391">
        <w:rPr>
          <w:rFonts w:cs="Arial"/>
          <w:lang w:eastAsia="en-AU"/>
        </w:rPr>
        <w:br/>
        <w:t>(d)</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00CD3CD6">
        <w:rPr>
          <w:rFonts w:cs="Arial"/>
          <w:lang w:eastAsia="en-AU"/>
        </w:rPr>
        <w:t>2</w:t>
      </w:r>
      <w:r w:rsidRPr="00276391">
        <w:rPr>
          <w:rFonts w:cs="Arial"/>
          <w:lang w:eastAsia="en-AU"/>
        </w:rPr>
        <w:br/>
        <w:t>(e)</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00CD3CD6">
        <w:rPr>
          <w:rFonts w:cs="Arial"/>
          <w:lang w:eastAsia="en-AU"/>
        </w:rPr>
        <w:t>3</w:t>
      </w:r>
    </w:p>
    <w:p w14:paraId="7EF0A02C" w14:textId="10C12316" w:rsidR="00236748" w:rsidRPr="00276391" w:rsidRDefault="00236748" w:rsidP="00276391">
      <w:pPr>
        <w:pStyle w:val="DHHSbody"/>
        <w:rPr>
          <w:lang w:eastAsia="en-AU"/>
        </w:rPr>
      </w:pP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hyperlink w:anchor="_2.2_Service_Agreement" w:tooltip="link to section 2.2 Service agreement document and structure" w:history="1">
        <w:r w:rsidR="00C62565">
          <w:rPr>
            <w:rStyle w:val="Hyperlink"/>
          </w:rPr>
          <w:t>C</w:t>
        </w:r>
        <w:r w:rsidRPr="00C94233">
          <w:rPr>
            <w:rStyle w:val="Hyperlink"/>
          </w:rPr>
          <w:t>hapter</w:t>
        </w:r>
        <w:r w:rsidR="005D5532" w:rsidRPr="00C94233">
          <w:rPr>
            <w:rStyle w:val="Hyperlink"/>
          </w:rPr>
          <w:t xml:space="preserve"> </w:t>
        </w:r>
        <w:r w:rsidRPr="00C94233">
          <w:rPr>
            <w:rStyle w:val="Hyperlink"/>
          </w:rPr>
          <w:t>2.2</w:t>
        </w:r>
      </w:hyperlink>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detail</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structure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703DBFD4" w14:textId="0C3E3612"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State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courts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jurisdiction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resolve</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disputes.</w:t>
      </w:r>
      <w:r w:rsidR="005D5532" w:rsidRPr="00276391">
        <w:rPr>
          <w:lang w:eastAsia="en-AU"/>
        </w:rPr>
        <w:t xml:space="preserve"> </w:t>
      </w:r>
    </w:p>
    <w:p w14:paraId="0BF50DFF" w14:textId="4ED42F5E" w:rsidR="00236748" w:rsidRPr="00276391" w:rsidRDefault="00236748" w:rsidP="009B2351">
      <w:pPr>
        <w:pStyle w:val="Heading2"/>
        <w:rPr>
          <w:rFonts w:cs="Arial"/>
          <w:lang w:eastAsia="en-AU"/>
        </w:rPr>
      </w:pPr>
      <w:bookmarkStart w:id="236" w:name="_3.2_Term_of"/>
      <w:bookmarkStart w:id="237" w:name="_Toc478991759"/>
      <w:bookmarkStart w:id="238" w:name="_Toc478992359"/>
      <w:bookmarkStart w:id="239" w:name="_Toc478992888"/>
      <w:bookmarkStart w:id="240" w:name="_Toc4142035"/>
      <w:bookmarkEnd w:id="236"/>
      <w:r w:rsidRPr="00276391">
        <w:rPr>
          <w:rFonts w:cs="Arial"/>
          <w:lang w:eastAsia="en-AU"/>
        </w:rPr>
        <w:t>3.2</w:t>
      </w:r>
      <w:r w:rsidR="009B2351" w:rsidRPr="00276391">
        <w:rPr>
          <w:rFonts w:cs="Arial"/>
          <w:lang w:eastAsia="en-AU"/>
        </w:rPr>
        <w:t xml:space="preserve"> </w:t>
      </w:r>
      <w:r w:rsidRPr="00276391">
        <w:rPr>
          <w:rFonts w:cs="Arial"/>
          <w:lang w:eastAsia="en-AU"/>
        </w:rPr>
        <w:t>Term</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00CD1CD8">
        <w:rPr>
          <w:rFonts w:cs="Arial"/>
          <w:lang w:eastAsia="en-AU"/>
        </w:rPr>
        <w:t>agreement</w:t>
      </w:r>
      <w:bookmarkEnd w:id="237"/>
      <w:bookmarkEnd w:id="238"/>
      <w:bookmarkEnd w:id="239"/>
      <w:bookmarkEnd w:id="240"/>
    </w:p>
    <w:p w14:paraId="5326AB5B" w14:textId="0DE47A9A" w:rsidR="00236748" w:rsidRPr="00276391" w:rsidRDefault="00236748" w:rsidP="00276391">
      <w:pPr>
        <w:pStyle w:val="DHHSbody"/>
        <w:rPr>
          <w:lang w:eastAsia="en-AU"/>
        </w:rPr>
      </w:pPr>
      <w:r w:rsidRPr="00276391">
        <w:rPr>
          <w:lang w:eastAsia="en-AU"/>
        </w:rPr>
        <w:t>Clause</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sets</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length</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0D8892FC" w14:textId="014D7CF4" w:rsidR="00236748" w:rsidRPr="00276391" w:rsidRDefault="00236748" w:rsidP="00276391">
      <w:pPr>
        <w:pStyle w:val="DHHSbody"/>
        <w:rPr>
          <w:lang w:eastAsia="en-AU"/>
        </w:rPr>
      </w:pPr>
      <w:r w:rsidRPr="00276391">
        <w:rPr>
          <w:lang w:eastAsia="en-AU"/>
        </w:rPr>
        <w:lastRenderedPageBreak/>
        <w:t>Generally,</w:t>
      </w:r>
      <w:r w:rsidR="005D5532" w:rsidRPr="00276391">
        <w:rPr>
          <w:lang w:eastAsia="en-AU"/>
        </w:rPr>
        <w:t xml:space="preserve"> </w:t>
      </w:r>
      <w:r w:rsidRPr="00276391">
        <w:rPr>
          <w:lang w:eastAsia="en-AU"/>
        </w:rPr>
        <w:t>the</w:t>
      </w:r>
      <w:r w:rsidR="005D5532" w:rsidRPr="00276391">
        <w:rPr>
          <w:lang w:eastAsia="en-AU"/>
        </w:rPr>
        <w:t xml:space="preserve"> </w:t>
      </w:r>
      <w:r w:rsidR="00DF1D39">
        <w:rPr>
          <w:lang w:eastAsia="en-AU"/>
        </w:rPr>
        <w:t>departments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2015</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30</w:t>
      </w:r>
      <w:r w:rsidR="005D5532" w:rsidRPr="00276391">
        <w:rPr>
          <w:lang w:eastAsia="en-AU"/>
        </w:rPr>
        <w:t xml:space="preserve"> </w:t>
      </w:r>
      <w:r w:rsidRPr="00276391">
        <w:rPr>
          <w:lang w:eastAsia="en-AU"/>
        </w:rPr>
        <w:t>June</w:t>
      </w:r>
      <w:r w:rsidR="005D5532" w:rsidRPr="00276391">
        <w:rPr>
          <w:lang w:eastAsia="en-AU"/>
        </w:rPr>
        <w:t xml:space="preserve"> </w:t>
      </w:r>
      <w:r w:rsidRPr="00276391">
        <w:rPr>
          <w:lang w:eastAsia="en-AU"/>
        </w:rPr>
        <w:t>2019.</w:t>
      </w:r>
    </w:p>
    <w:p w14:paraId="4B7B879E" w14:textId="462EC26F"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offered</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w:t>
      </w:r>
      <w:r w:rsidR="005D5532" w:rsidRPr="00276391">
        <w:rPr>
          <w:lang w:eastAsia="en-AU"/>
        </w:rPr>
        <w:t xml:space="preserve"> </w:t>
      </w:r>
      <w:proofErr w:type="gramStart"/>
      <w:r w:rsidRPr="00276391">
        <w:rPr>
          <w:lang w:eastAsia="en-AU"/>
        </w:rPr>
        <w:t>four</w:t>
      </w:r>
      <w:r w:rsidR="005D5532" w:rsidRPr="00276391">
        <w:rPr>
          <w:lang w:eastAsia="en-AU"/>
        </w:rPr>
        <w:t xml:space="preserve"> </w:t>
      </w:r>
      <w:r w:rsidRPr="00276391">
        <w:rPr>
          <w:lang w:eastAsia="en-AU"/>
        </w:rPr>
        <w:t>year</w:t>
      </w:r>
      <w:proofErr w:type="gramEnd"/>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except</w:t>
      </w:r>
      <w:r w:rsidR="005D5532" w:rsidRPr="00276391">
        <w:rPr>
          <w:lang w:eastAsia="en-AU"/>
        </w:rPr>
        <w:t xml:space="preserve"> </w:t>
      </w:r>
      <w:r w:rsidRPr="00276391">
        <w:rPr>
          <w:lang w:eastAsia="en-AU"/>
        </w:rPr>
        <w:t>where:</w:t>
      </w:r>
    </w:p>
    <w:p w14:paraId="5D0E8978" w14:textId="45E152F0"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time</w:t>
      </w:r>
      <w:r w:rsidR="005D5532" w:rsidRPr="00276391">
        <w:rPr>
          <w:rFonts w:cs="Arial"/>
          <w:lang w:eastAsia="en-AU"/>
        </w:rPr>
        <w:t xml:space="preserve"> </w:t>
      </w:r>
      <w:r w:rsidRPr="00276391">
        <w:rPr>
          <w:rFonts w:cs="Arial"/>
          <w:lang w:eastAsia="en-AU"/>
        </w:rPr>
        <w:t>limited,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cease</w:t>
      </w:r>
      <w:r w:rsidR="005D5532" w:rsidRPr="00276391">
        <w:rPr>
          <w:rFonts w:cs="Arial"/>
          <w:lang w:eastAsia="en-AU"/>
        </w:rPr>
        <w:t xml:space="preserve"> </w:t>
      </w:r>
      <w:r w:rsidRPr="00276391">
        <w:rPr>
          <w:rFonts w:cs="Arial"/>
          <w:lang w:eastAsia="en-AU"/>
        </w:rPr>
        <w:t>before</w:t>
      </w:r>
      <w:r w:rsidR="005D5532" w:rsidRPr="00276391">
        <w:rPr>
          <w:rFonts w:cs="Arial"/>
          <w:lang w:eastAsia="en-AU"/>
        </w:rPr>
        <w:t xml:space="preserve"> </w:t>
      </w:r>
      <w:r w:rsidRPr="00276391">
        <w:rPr>
          <w:rFonts w:cs="Arial"/>
          <w:lang w:eastAsia="en-AU"/>
        </w:rPr>
        <w:t>30</w:t>
      </w:r>
      <w:r w:rsidR="005D5532" w:rsidRPr="00276391">
        <w:rPr>
          <w:rFonts w:cs="Arial"/>
          <w:lang w:eastAsia="en-AU"/>
        </w:rPr>
        <w:t xml:space="preserve"> </w:t>
      </w:r>
      <w:r w:rsidRPr="00276391">
        <w:rPr>
          <w:rFonts w:cs="Arial"/>
          <w:lang w:eastAsia="en-AU"/>
        </w:rPr>
        <w:t>June</w:t>
      </w:r>
      <w:r w:rsidR="005D5532" w:rsidRPr="00276391">
        <w:rPr>
          <w:rFonts w:cs="Arial"/>
          <w:lang w:eastAsia="en-AU"/>
        </w:rPr>
        <w:t xml:space="preserve"> </w:t>
      </w:r>
      <w:r w:rsidR="00CD3CD6">
        <w:rPr>
          <w:rFonts w:cs="Arial"/>
          <w:lang w:eastAsia="en-AU"/>
        </w:rPr>
        <w:t>2019</w:t>
      </w:r>
    </w:p>
    <w:p w14:paraId="11BCAEF7" w14:textId="7CB5647D"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starts</w:t>
      </w:r>
      <w:r w:rsidR="005D5532" w:rsidRPr="00276391">
        <w:rPr>
          <w:rFonts w:cs="Arial"/>
          <w:lang w:eastAsia="en-AU"/>
        </w:rPr>
        <w:t xml:space="preserve"> </w:t>
      </w:r>
      <w:r w:rsidRPr="00276391">
        <w:rPr>
          <w:rFonts w:cs="Arial"/>
          <w:lang w:eastAsia="en-AU"/>
        </w:rPr>
        <w:t>after</w:t>
      </w:r>
      <w:r w:rsidR="005D5532" w:rsidRPr="00276391">
        <w:rPr>
          <w:rFonts w:cs="Arial"/>
          <w:lang w:eastAsia="en-AU"/>
        </w:rPr>
        <w:t xml:space="preserve"> </w:t>
      </w:r>
      <w:r w:rsidRPr="00276391">
        <w:rPr>
          <w:rFonts w:cs="Arial"/>
          <w:lang w:eastAsia="en-AU"/>
        </w:rPr>
        <w:t>1</w:t>
      </w:r>
      <w:r w:rsidR="005D5532" w:rsidRPr="00276391">
        <w:rPr>
          <w:rFonts w:cs="Arial"/>
          <w:lang w:eastAsia="en-AU"/>
        </w:rPr>
        <w:t xml:space="preserve"> </w:t>
      </w:r>
      <w:r w:rsidRPr="00276391">
        <w:rPr>
          <w:rFonts w:cs="Arial"/>
          <w:lang w:eastAsia="en-AU"/>
        </w:rPr>
        <w:t>July</w:t>
      </w:r>
      <w:r w:rsidR="005D5532" w:rsidRPr="00276391">
        <w:rPr>
          <w:rFonts w:cs="Arial"/>
          <w:lang w:eastAsia="en-AU"/>
        </w:rPr>
        <w:t xml:space="preserve"> </w:t>
      </w:r>
      <w:r w:rsidR="00CD3CD6">
        <w:rPr>
          <w:rFonts w:cs="Arial"/>
          <w:lang w:eastAsia="en-AU"/>
        </w:rPr>
        <w:t>2015</w:t>
      </w:r>
    </w:p>
    <w:p w14:paraId="0E910290" w14:textId="1574214D"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includes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provision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goods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people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disability</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otherwise</w:t>
      </w:r>
      <w:r w:rsidR="005D5532" w:rsidRPr="00276391">
        <w:rPr>
          <w:rFonts w:cs="Arial"/>
          <w:lang w:eastAsia="en-AU"/>
        </w:rPr>
        <w:t xml:space="preserve"> </w:t>
      </w:r>
      <w:r w:rsidRPr="00276391">
        <w:rPr>
          <w:rFonts w:cs="Arial"/>
          <w:lang w:eastAsia="en-AU"/>
        </w:rPr>
        <w:t>relates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administration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C62565">
        <w:rPr>
          <w:rFonts w:cs="Arial"/>
          <w:bCs/>
          <w:i/>
          <w:lang w:eastAsia="en-AU"/>
        </w:rPr>
        <w:t>Disability</w:t>
      </w:r>
      <w:r w:rsidR="005D5532" w:rsidRPr="00C62565">
        <w:rPr>
          <w:rFonts w:cs="Arial"/>
          <w:bCs/>
          <w:i/>
          <w:lang w:eastAsia="en-AU"/>
        </w:rPr>
        <w:t xml:space="preserve"> </w:t>
      </w:r>
      <w:r w:rsidRPr="00C62565">
        <w:rPr>
          <w:rFonts w:cs="Arial"/>
          <w:bCs/>
          <w:i/>
          <w:lang w:eastAsia="en-AU"/>
        </w:rPr>
        <w:t>Act</w:t>
      </w:r>
      <w:r w:rsidR="005D5532" w:rsidRPr="00C62565">
        <w:rPr>
          <w:rFonts w:cs="Arial"/>
          <w:bCs/>
          <w:i/>
          <w:lang w:eastAsia="en-AU"/>
        </w:rPr>
        <w:t xml:space="preserve"> </w:t>
      </w:r>
      <w:r w:rsidRPr="00C62565">
        <w:rPr>
          <w:rFonts w:cs="Arial"/>
          <w:bCs/>
          <w:i/>
          <w:lang w:eastAsia="en-AU"/>
        </w:rPr>
        <w:t>2006</w:t>
      </w:r>
      <w:r w:rsidR="005D5532" w:rsidRPr="00C62565">
        <w:rPr>
          <w:rFonts w:cs="Arial"/>
          <w:i/>
          <w:lang w:eastAsia="en-AU"/>
        </w:rPr>
        <w:t xml:space="preserve"> </w:t>
      </w:r>
      <w:r w:rsidRPr="00C62565">
        <w:rPr>
          <w:rFonts w:cs="Arial"/>
          <w:i/>
          <w:lang w:eastAsia="en-AU"/>
        </w:rPr>
        <w:t>(Vic).</w:t>
      </w:r>
      <w:r w:rsidR="005D5532" w:rsidRPr="00276391">
        <w:rPr>
          <w:rFonts w:cs="Arial"/>
          <w:lang w:eastAsia="en-AU"/>
        </w:rPr>
        <w:t xml:space="preserve"> </w:t>
      </w:r>
      <w:r w:rsidRPr="00276391">
        <w:rPr>
          <w:rFonts w:cs="Arial"/>
          <w:lang w:eastAsia="en-AU"/>
        </w:rPr>
        <w:t>This</w:t>
      </w:r>
      <w:r w:rsidR="005D5532" w:rsidRPr="00276391">
        <w:rPr>
          <w:rFonts w:cs="Arial"/>
          <w:lang w:eastAsia="en-AU"/>
        </w:rPr>
        <w:t xml:space="preserve"> </w:t>
      </w:r>
      <w:r w:rsidRPr="00276391">
        <w:rPr>
          <w:rFonts w:cs="Arial"/>
          <w:lang w:eastAsia="en-AU"/>
        </w:rPr>
        <w:t>Act</w:t>
      </w:r>
      <w:r w:rsidR="005D5532" w:rsidRPr="00276391">
        <w:rPr>
          <w:rFonts w:cs="Arial"/>
          <w:lang w:eastAsia="en-AU"/>
        </w:rPr>
        <w:t xml:space="preserve"> </w:t>
      </w:r>
      <w:r w:rsidRPr="00276391">
        <w:rPr>
          <w:rFonts w:cs="Arial"/>
          <w:lang w:eastAsia="en-AU"/>
        </w:rPr>
        <w:t>limits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length</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agreements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period</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exceeding</w:t>
      </w:r>
      <w:r w:rsidR="005D5532" w:rsidRPr="00276391">
        <w:rPr>
          <w:rFonts w:cs="Arial"/>
          <w:lang w:eastAsia="en-AU"/>
        </w:rPr>
        <w:t xml:space="preserve"> </w:t>
      </w:r>
      <w:r w:rsidRPr="00276391">
        <w:rPr>
          <w:rFonts w:cs="Arial"/>
          <w:lang w:eastAsia="en-AU"/>
        </w:rPr>
        <w:t>three</w:t>
      </w:r>
      <w:r w:rsidR="005D5532" w:rsidRPr="00276391">
        <w:rPr>
          <w:rFonts w:cs="Arial"/>
          <w:lang w:eastAsia="en-AU"/>
        </w:rPr>
        <w:t xml:space="preserve"> </w:t>
      </w:r>
      <w:r w:rsidR="00CD3CD6">
        <w:rPr>
          <w:rFonts w:cs="Arial"/>
          <w:lang w:eastAsia="en-AU"/>
        </w:rPr>
        <w:t>years</w:t>
      </w:r>
    </w:p>
    <w:p w14:paraId="6C1C1711" w14:textId="2C0BCBF2" w:rsidR="00236748" w:rsidRPr="00276391" w:rsidRDefault="00236748" w:rsidP="00276391">
      <w:pPr>
        <w:pStyle w:val="DHHSbullet1"/>
        <w:rPr>
          <w:rFonts w:cs="Arial"/>
          <w:lang w:eastAsia="en-AU"/>
        </w:rPr>
      </w:pPr>
      <w:r w:rsidRPr="00276391">
        <w:rPr>
          <w:rFonts w:cs="Arial"/>
          <w:lang w:eastAsia="en-AU"/>
        </w:rPr>
        <w:t>other</w:t>
      </w:r>
      <w:r w:rsidR="005D5532" w:rsidRPr="00276391">
        <w:rPr>
          <w:rFonts w:cs="Arial"/>
          <w:lang w:eastAsia="en-AU"/>
        </w:rPr>
        <w:t xml:space="preserve"> </w:t>
      </w:r>
      <w:r w:rsidRPr="00276391">
        <w:rPr>
          <w:rFonts w:cs="Arial"/>
          <w:lang w:eastAsia="en-AU"/>
        </w:rPr>
        <w:t>circumstances</w:t>
      </w:r>
      <w:r w:rsidR="005D5532" w:rsidRPr="00276391">
        <w:rPr>
          <w:rFonts w:cs="Arial"/>
          <w:lang w:eastAsia="en-AU"/>
        </w:rPr>
        <w:t xml:space="preserve"> </w:t>
      </w:r>
      <w:r w:rsidRPr="00276391">
        <w:rPr>
          <w:rFonts w:cs="Arial"/>
          <w:lang w:eastAsia="en-AU"/>
        </w:rPr>
        <w:t>exist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warrant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shorter</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period.</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this</w:t>
      </w:r>
      <w:r w:rsidR="005D5532" w:rsidRPr="00276391">
        <w:rPr>
          <w:rFonts w:cs="Arial"/>
          <w:lang w:eastAsia="en-AU"/>
        </w:rPr>
        <w:t xml:space="preserve"> </w:t>
      </w:r>
      <w:r w:rsidRPr="00276391">
        <w:rPr>
          <w:rFonts w:cs="Arial"/>
          <w:lang w:eastAsia="en-AU"/>
        </w:rPr>
        <w:t>applies,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advised</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reason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shorter</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period.</w:t>
      </w:r>
      <w:r w:rsidR="005D5532" w:rsidRPr="00276391">
        <w:rPr>
          <w:rFonts w:cs="Arial"/>
          <w:lang w:eastAsia="en-AU"/>
        </w:rPr>
        <w:t xml:space="preserve"> </w:t>
      </w:r>
    </w:p>
    <w:p w14:paraId="0CADCF54" w14:textId="76F3B3EE"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C62565">
        <w:rPr>
          <w:rFonts w:cs="Arial"/>
          <w:color w:val="000000"/>
          <w:szCs w:val="19"/>
          <w:lang w:eastAsia="en-AU"/>
        </w:rPr>
        <w:t>m</w:t>
      </w:r>
      <w:r w:rsidRPr="00B24C02">
        <w:rPr>
          <w:rFonts w:cs="Arial"/>
          <w:color w:val="000000"/>
          <w:szCs w:val="19"/>
          <w:lang w:eastAsia="en-AU"/>
        </w:rPr>
        <w:t>odule</w:t>
      </w:r>
      <w:r w:rsidR="005D5532" w:rsidRPr="00B24C02">
        <w:rPr>
          <w:rFonts w:cs="Arial"/>
          <w:color w:val="000000"/>
          <w:szCs w:val="19"/>
          <w:lang w:eastAsia="en-AU"/>
        </w:rPr>
        <w:t xml:space="preserve"> </w:t>
      </w:r>
      <w:r w:rsidR="008E27A4">
        <w:rPr>
          <w:rFonts w:cs="Arial"/>
          <w:color w:val="000000"/>
          <w:szCs w:val="19"/>
          <w:lang w:eastAsia="en-AU"/>
        </w:rPr>
        <w:t>in</w:t>
      </w:r>
      <w:r w:rsidR="005D5532" w:rsidRPr="00B24C02">
        <w:rPr>
          <w:rFonts w:cs="Arial"/>
          <w:color w:val="000000"/>
          <w:szCs w:val="19"/>
          <w:lang w:eastAsia="en-AU"/>
        </w:rPr>
        <w:t xml:space="preserve"> </w:t>
      </w:r>
      <w:hyperlink r:id="rId39" w:history="1">
        <w:r w:rsidR="008E27A4" w:rsidRPr="00E877A2">
          <w:rPr>
            <w:rStyle w:val="Hyperlink"/>
            <w:rFonts w:cs="Arial"/>
            <w:szCs w:val="19"/>
            <w:lang w:eastAsia="en-AU"/>
          </w:rPr>
          <w:t>My Agency</w:t>
        </w:r>
        <w:r w:rsidR="00B75D7F" w:rsidRPr="00E877A2">
          <w:rPr>
            <w:rStyle w:val="Hyperlink"/>
            <w:lang w:eastAsia="en-AU"/>
          </w:rPr>
          <w:t xml:space="preserve"> </w:t>
        </w:r>
      </w:hyperlink>
      <w:r w:rsidR="00E877A2" w:rsidRPr="00E877A2">
        <w:t xml:space="preserve"> </w:t>
      </w:r>
      <w:r w:rsidR="00E877A2">
        <w:t>&lt;</w:t>
      </w:r>
      <w:r w:rsidR="00E877A2" w:rsidRPr="00B73DBE">
        <w:t>https://fac.dhhs.vic.gov.au/my-agency</w:t>
      </w:r>
      <w:r w:rsidR="00B75D7F">
        <w:rPr>
          <w:lang w:eastAsia="en-AU"/>
        </w:rPr>
        <w:t>&gt;</w:t>
      </w:r>
      <w:r w:rsidR="005D5532" w:rsidRPr="00B24C02">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four</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outlook</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proposed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regardless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02F78F94" w14:textId="7C1312A1" w:rsidR="00236748" w:rsidRPr="00276391" w:rsidRDefault="00236748" w:rsidP="00276391">
      <w:pPr>
        <w:pStyle w:val="DHHSbody"/>
        <w:rPr>
          <w:lang w:eastAsia="en-AU"/>
        </w:rPr>
      </w:pP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w:t>
      </w:r>
      <w:r w:rsidR="005D5532" w:rsidRPr="00276391">
        <w:rPr>
          <w:lang w:eastAsia="en-AU"/>
        </w:rPr>
        <w:t xml:space="preserve"> </w:t>
      </w:r>
      <w:r w:rsidRPr="00276391">
        <w:rPr>
          <w:lang w:eastAsia="en-AU"/>
        </w:rPr>
        <w:t>obligation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renew</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w:t>
      </w:r>
    </w:p>
    <w:p w14:paraId="6E4BCDDF" w14:textId="7FD994AA"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page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lists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start</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terminated,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reflect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termination.</w:t>
      </w:r>
    </w:p>
    <w:p w14:paraId="6D25CB30" w14:textId="77777777" w:rsidR="00236748" w:rsidRPr="00276391" w:rsidRDefault="00236748" w:rsidP="009B2351">
      <w:pPr>
        <w:pStyle w:val="Heading2"/>
        <w:rPr>
          <w:rFonts w:cs="Arial"/>
          <w:lang w:eastAsia="en-AU"/>
        </w:rPr>
      </w:pPr>
      <w:bookmarkStart w:id="241" w:name="_Toc478991760"/>
      <w:bookmarkStart w:id="242" w:name="_Toc478992360"/>
      <w:bookmarkStart w:id="243" w:name="_Toc478992889"/>
      <w:bookmarkStart w:id="244" w:name="_Toc4142036"/>
      <w:r w:rsidRPr="00276391">
        <w:rPr>
          <w:rFonts w:cs="Arial"/>
          <w:lang w:eastAsia="en-AU"/>
        </w:rPr>
        <w:t>3.3</w:t>
      </w:r>
      <w:r w:rsidR="009B2351" w:rsidRPr="00276391">
        <w:rPr>
          <w:rFonts w:cs="Arial"/>
          <w:lang w:eastAsia="en-AU"/>
        </w:rPr>
        <w:t xml:space="preserve"> </w:t>
      </w:r>
      <w:r w:rsidRPr="00276391">
        <w:rPr>
          <w:rFonts w:cs="Arial"/>
          <w:lang w:eastAsia="en-AU"/>
        </w:rPr>
        <w:t>Service</w:t>
      </w:r>
      <w:r w:rsidR="009B2351" w:rsidRPr="00276391">
        <w:rPr>
          <w:rFonts w:cs="Arial"/>
          <w:lang w:eastAsia="en-AU"/>
        </w:rPr>
        <w:t xml:space="preserve"> </w:t>
      </w:r>
      <w:r w:rsidRPr="00276391">
        <w:rPr>
          <w:rFonts w:cs="Arial"/>
          <w:lang w:eastAsia="en-AU"/>
        </w:rPr>
        <w:t>delivery</w:t>
      </w:r>
      <w:bookmarkEnd w:id="241"/>
      <w:bookmarkEnd w:id="242"/>
      <w:bookmarkEnd w:id="243"/>
      <w:bookmarkEnd w:id="244"/>
    </w:p>
    <w:p w14:paraId="5DF0E5D9" w14:textId="77777777" w:rsidR="00236748" w:rsidRPr="00276391" w:rsidRDefault="00236748" w:rsidP="00276391">
      <w:pPr>
        <w:pStyle w:val="DHHSbody"/>
        <w:rPr>
          <w:lang w:eastAsia="en-AU"/>
        </w:rPr>
      </w:pPr>
      <w:r w:rsidRPr="00276391">
        <w:rPr>
          <w:lang w:eastAsia="en-AU"/>
        </w:rPr>
        <w:t>Clause</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describes</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p>
    <w:p w14:paraId="7DAEA7F2" w14:textId="77777777" w:rsidR="00236748" w:rsidRPr="00276391" w:rsidRDefault="00236748" w:rsidP="009D4D32">
      <w:pPr>
        <w:pStyle w:val="Heading3"/>
        <w:rPr>
          <w:lang w:eastAsia="en-AU"/>
        </w:rPr>
      </w:pPr>
      <w:bookmarkStart w:id="245" w:name="_Toc478991761"/>
      <w:bookmarkStart w:id="246" w:name="_Toc478992361"/>
      <w:bookmarkStart w:id="247" w:name="_Toc4142037"/>
      <w:r w:rsidRPr="00276391">
        <w:rPr>
          <w:lang w:eastAsia="en-AU"/>
        </w:rPr>
        <w:t>3.3.1</w:t>
      </w:r>
      <w:r w:rsidR="009B2351" w:rsidRPr="00276391">
        <w:rPr>
          <w:lang w:eastAsia="en-AU"/>
        </w:rPr>
        <w:t xml:space="preserve"> </w:t>
      </w:r>
      <w:r w:rsidRPr="00276391">
        <w:rPr>
          <w:lang w:eastAsia="en-AU"/>
        </w:rPr>
        <w:t>Quality</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service</w:t>
      </w:r>
      <w:r w:rsidR="009B2351" w:rsidRPr="00276391">
        <w:rPr>
          <w:lang w:eastAsia="en-AU"/>
        </w:rPr>
        <w:t xml:space="preserve"> </w:t>
      </w:r>
      <w:r w:rsidRPr="00276391">
        <w:rPr>
          <w:lang w:eastAsia="en-AU"/>
        </w:rPr>
        <w:t>delivery</w:t>
      </w:r>
      <w:bookmarkEnd w:id="245"/>
      <w:bookmarkEnd w:id="246"/>
      <w:bookmarkEnd w:id="247"/>
      <w:r w:rsidR="009B2351" w:rsidRPr="00276391">
        <w:rPr>
          <w:lang w:eastAsia="en-AU"/>
        </w:rPr>
        <w:t xml:space="preserve"> </w:t>
      </w:r>
    </w:p>
    <w:p w14:paraId="306DE142" w14:textId="1C8BAB84"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limited</w:t>
      </w:r>
      <w:r w:rsidR="005D5532" w:rsidRPr="00276391">
        <w:rPr>
          <w:lang w:eastAsia="en-AU"/>
        </w:rPr>
        <w:t xml:space="preserve"> </w:t>
      </w:r>
      <w:r w:rsidRPr="00276391">
        <w:rPr>
          <w:lang w:eastAsia="en-AU"/>
        </w:rPr>
        <w:t>to:</w:t>
      </w:r>
    </w:p>
    <w:p w14:paraId="02675BA6" w14:textId="77777777" w:rsidR="00236748" w:rsidRPr="00276391" w:rsidRDefault="00236748" w:rsidP="00276391">
      <w:pPr>
        <w:pStyle w:val="DHHSbullet1"/>
        <w:rPr>
          <w:rFonts w:cs="Arial"/>
          <w:lang w:eastAsia="en-AU"/>
        </w:rPr>
      </w:pPr>
      <w:r w:rsidRPr="00276391">
        <w:rPr>
          <w:rFonts w:cs="Arial"/>
          <w:lang w:eastAsia="en-AU"/>
        </w:rPr>
        <w:t>delivering</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timely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efficient</w:t>
      </w:r>
      <w:r w:rsidR="005D5532" w:rsidRPr="00276391">
        <w:rPr>
          <w:rFonts w:cs="Arial"/>
          <w:lang w:eastAsia="en-AU"/>
        </w:rPr>
        <w:t xml:space="preserve"> </w:t>
      </w:r>
      <w:r w:rsidRPr="00276391">
        <w:rPr>
          <w:rFonts w:cs="Arial"/>
          <w:lang w:eastAsia="en-AU"/>
        </w:rPr>
        <w:t>manner</w:t>
      </w:r>
      <w:r w:rsidR="005D5532" w:rsidRPr="00276391">
        <w:rPr>
          <w:rFonts w:cs="Arial"/>
          <w:lang w:eastAsia="en-AU"/>
        </w:rPr>
        <w:t xml:space="preserve"> </w:t>
      </w:r>
      <w:r w:rsidRPr="00276391">
        <w:rPr>
          <w:rFonts w:cs="Arial"/>
          <w:lang w:eastAsia="en-AU"/>
        </w:rPr>
        <w:t>using</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care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foresight</w:t>
      </w:r>
      <w:r w:rsidR="005D5532" w:rsidRPr="00276391">
        <w:rPr>
          <w:rFonts w:cs="Arial"/>
          <w:lang w:eastAsia="en-AU"/>
        </w:rPr>
        <w:t xml:space="preserve"> </w:t>
      </w:r>
      <w:r w:rsidRPr="00276391">
        <w:rPr>
          <w:rFonts w:cs="Arial"/>
          <w:lang w:eastAsia="en-AU"/>
        </w:rPr>
        <w:t>expected</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experienced</w:t>
      </w:r>
      <w:r w:rsidR="005D5532" w:rsidRPr="00276391">
        <w:rPr>
          <w:rFonts w:cs="Arial"/>
          <w:lang w:eastAsia="en-AU"/>
        </w:rPr>
        <w:t xml:space="preserve"> </w:t>
      </w:r>
      <w:r w:rsidRPr="00276391">
        <w:rPr>
          <w:rFonts w:cs="Arial"/>
          <w:lang w:eastAsia="en-AU"/>
        </w:rPr>
        <w:t>provider</w:t>
      </w:r>
      <w:r w:rsidR="005D5532" w:rsidRPr="00276391">
        <w:rPr>
          <w:rFonts w:cs="Arial"/>
          <w:lang w:eastAsia="en-AU"/>
        </w:rPr>
        <w:t xml:space="preserve"> </w:t>
      </w:r>
    </w:p>
    <w:p w14:paraId="5233AB65" w14:textId="77777777" w:rsidR="00236748" w:rsidRPr="00276391" w:rsidRDefault="00236748" w:rsidP="00276391">
      <w:pPr>
        <w:pStyle w:val="DHHSbullet1"/>
        <w:rPr>
          <w:rFonts w:cs="Arial"/>
          <w:lang w:eastAsia="en-AU"/>
        </w:rPr>
      </w:pPr>
      <w:r w:rsidRPr="00276391">
        <w:rPr>
          <w:rFonts w:cs="Arial"/>
          <w:lang w:eastAsia="en-AU"/>
        </w:rPr>
        <w:t>acting</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highest</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professional</w:t>
      </w:r>
      <w:r w:rsidR="005D5532" w:rsidRPr="00276391">
        <w:rPr>
          <w:rFonts w:cs="Arial"/>
          <w:lang w:eastAsia="en-AU"/>
        </w:rPr>
        <w:t xml:space="preserve"> </w:t>
      </w:r>
      <w:r w:rsidRPr="00276391">
        <w:rPr>
          <w:rFonts w:cs="Arial"/>
          <w:lang w:eastAsia="en-AU"/>
        </w:rPr>
        <w:t>ethics,</w:t>
      </w:r>
      <w:r w:rsidR="005D5532" w:rsidRPr="00276391">
        <w:rPr>
          <w:rFonts w:cs="Arial"/>
          <w:lang w:eastAsia="en-AU"/>
        </w:rPr>
        <w:t xml:space="preserve"> </w:t>
      </w:r>
      <w:r w:rsidRPr="00276391">
        <w:rPr>
          <w:rFonts w:cs="Arial"/>
          <w:lang w:eastAsia="en-AU"/>
        </w:rPr>
        <w:t>principles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p>
    <w:p w14:paraId="23433576" w14:textId="77777777" w:rsidR="00236748" w:rsidRPr="00276391" w:rsidRDefault="00236748" w:rsidP="00276391">
      <w:pPr>
        <w:pStyle w:val="DHHSbullet1"/>
        <w:rPr>
          <w:rFonts w:cs="Arial"/>
          <w:lang w:eastAsia="en-AU"/>
        </w:rPr>
      </w:pPr>
      <w:r w:rsidRPr="00276391">
        <w:rPr>
          <w:rFonts w:cs="Arial"/>
          <w:lang w:eastAsia="en-AU"/>
        </w:rPr>
        <w:t>demonstrating</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commitment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ethical</w:t>
      </w:r>
      <w:r w:rsidR="005D5532" w:rsidRPr="00276391">
        <w:rPr>
          <w:rFonts w:cs="Arial"/>
          <w:lang w:eastAsia="en-AU"/>
        </w:rPr>
        <w:t xml:space="preserve"> </w:t>
      </w:r>
      <w:r w:rsidRPr="00276391">
        <w:rPr>
          <w:rFonts w:cs="Arial"/>
          <w:lang w:eastAsia="en-AU"/>
        </w:rPr>
        <w:t>practices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proofErr w:type="gramStart"/>
      <w:r w:rsidRPr="00276391">
        <w:rPr>
          <w:rFonts w:cs="Arial"/>
          <w:lang w:eastAsia="en-AU"/>
        </w:rPr>
        <w:t>behaviours,</w:t>
      </w:r>
      <w:r w:rsidR="005D5532" w:rsidRPr="00276391">
        <w:rPr>
          <w:rFonts w:cs="Arial"/>
          <w:lang w:eastAsia="en-AU"/>
        </w:rPr>
        <w:t xml:space="preserve"> </w:t>
      </w:r>
      <w:r w:rsidRPr="00276391">
        <w:rPr>
          <w:rFonts w:cs="Arial"/>
          <w:lang w:eastAsia="en-AU"/>
        </w:rPr>
        <w:t>and</w:t>
      </w:r>
      <w:proofErr w:type="gramEnd"/>
      <w:r w:rsidR="005D5532" w:rsidRPr="00276391">
        <w:rPr>
          <w:rFonts w:cs="Arial"/>
          <w:lang w:eastAsia="en-AU"/>
        </w:rPr>
        <w:t xml:space="preserve"> </w:t>
      </w:r>
      <w:r w:rsidRPr="00276391">
        <w:rPr>
          <w:rFonts w:cs="Arial"/>
          <w:lang w:eastAsia="en-AU"/>
        </w:rPr>
        <w:t>implementing</w:t>
      </w:r>
      <w:r w:rsidR="005D5532" w:rsidRPr="00276391">
        <w:rPr>
          <w:rFonts w:cs="Arial"/>
          <w:lang w:eastAsia="en-AU"/>
        </w:rPr>
        <w:t xml:space="preserve"> </w:t>
      </w:r>
      <w:r w:rsidRPr="00276391">
        <w:rPr>
          <w:rFonts w:cs="Arial"/>
          <w:lang w:eastAsia="en-AU"/>
        </w:rPr>
        <w:t>these</w:t>
      </w:r>
      <w:r w:rsidR="005D5532" w:rsidRPr="00276391">
        <w:rPr>
          <w:rFonts w:cs="Arial"/>
          <w:lang w:eastAsia="en-AU"/>
        </w:rPr>
        <w:t xml:space="preserve"> </w:t>
      </w:r>
      <w:r w:rsidRPr="00276391">
        <w:rPr>
          <w:rFonts w:cs="Arial"/>
          <w:lang w:eastAsia="en-AU"/>
        </w:rPr>
        <w:t>practices</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appropriate</w:t>
      </w:r>
      <w:r w:rsidR="005D5532" w:rsidRPr="00276391">
        <w:rPr>
          <w:rFonts w:cs="Arial"/>
          <w:lang w:eastAsia="en-AU"/>
        </w:rPr>
        <w:t xml:space="preserve"> </w:t>
      </w:r>
      <w:r w:rsidRPr="00276391">
        <w:rPr>
          <w:rFonts w:cs="Arial"/>
          <w:lang w:eastAsia="en-AU"/>
        </w:rPr>
        <w:t>training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monitoring.</w:t>
      </w:r>
      <w:r w:rsidR="005D5532" w:rsidRPr="00276391">
        <w:rPr>
          <w:rFonts w:cs="Arial"/>
          <w:lang w:eastAsia="en-AU"/>
        </w:rPr>
        <w:t xml:space="preserve"> </w:t>
      </w:r>
    </w:p>
    <w:p w14:paraId="6466AC55" w14:textId="77777777" w:rsidR="00236748" w:rsidRPr="00276391" w:rsidRDefault="00236748" w:rsidP="00276391">
      <w:pPr>
        <w:pStyle w:val="DHHSbody"/>
        <w:rPr>
          <w:lang w:eastAsia="en-AU"/>
        </w:rPr>
      </w:pP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2</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3</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set</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delivered,</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data</w:t>
      </w:r>
      <w:r w:rsidR="005D5532" w:rsidRPr="00B24C02">
        <w:rPr>
          <w:rFonts w:cs="Arial"/>
          <w:color w:val="000000"/>
          <w:szCs w:val="19"/>
          <w:lang w:eastAsia="en-AU"/>
        </w:rPr>
        <w:t xml:space="preserve"> </w:t>
      </w:r>
      <w:r w:rsidRPr="00B24C02">
        <w:rPr>
          <w:rFonts w:cs="Arial"/>
          <w:color w:val="000000"/>
          <w:szCs w:val="19"/>
          <w:lang w:eastAsia="en-AU"/>
        </w:rPr>
        <w:t>collection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targets.</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set</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guidelines:</w:t>
      </w:r>
    </w:p>
    <w:p w14:paraId="51EE291F" w14:textId="3317DF8B" w:rsidR="00236748" w:rsidRPr="005E495E" w:rsidRDefault="0016341D" w:rsidP="00905B91">
      <w:pPr>
        <w:pStyle w:val="DHHSbullet1"/>
        <w:numPr>
          <w:ilvl w:val="0"/>
          <w:numId w:val="0"/>
        </w:numPr>
        <w:rPr>
          <w:rFonts w:cs="Arial"/>
          <w:color w:val="000000"/>
          <w:szCs w:val="19"/>
          <w:lang w:eastAsia="en-AU"/>
        </w:rPr>
      </w:pPr>
      <w:hyperlink r:id="rId40" w:tgtFrame="_blank" w:tooltip="Link to 1.3 Policy and funding plans and guidelines of the kit" w:history="1">
        <w:r w:rsidR="00236748" w:rsidRPr="00C94233">
          <w:rPr>
            <w:rStyle w:val="Hyperlink"/>
          </w:rPr>
          <w:t>Department</w:t>
        </w:r>
        <w:r w:rsidR="005D5532" w:rsidRPr="00C94233">
          <w:rPr>
            <w:rStyle w:val="Hyperlink"/>
          </w:rPr>
          <w:t xml:space="preserve"> </w:t>
        </w:r>
        <w:r w:rsidR="00236748" w:rsidRPr="00C94233">
          <w:rPr>
            <w:rStyle w:val="Hyperlink"/>
          </w:rPr>
          <w:t>of</w:t>
        </w:r>
        <w:r w:rsidR="005D5532" w:rsidRPr="00C94233">
          <w:rPr>
            <w:rStyle w:val="Hyperlink"/>
          </w:rPr>
          <w:t xml:space="preserve"> </w:t>
        </w:r>
        <w:r w:rsidR="00236748" w:rsidRPr="00C94233">
          <w:rPr>
            <w:rStyle w:val="Hyperlink"/>
          </w:rPr>
          <w:t>Health</w:t>
        </w:r>
        <w:r w:rsidR="005D5532" w:rsidRPr="00C94233">
          <w:rPr>
            <w:rStyle w:val="Hyperlink"/>
          </w:rPr>
          <w:t xml:space="preserve"> </w:t>
        </w:r>
        <w:r w:rsidR="00236748" w:rsidRPr="00C94233">
          <w:rPr>
            <w:rStyle w:val="Hyperlink"/>
          </w:rPr>
          <w:t>and</w:t>
        </w:r>
        <w:r w:rsidR="005D5532" w:rsidRPr="00C94233">
          <w:rPr>
            <w:rStyle w:val="Hyperlink"/>
          </w:rPr>
          <w:t xml:space="preserve"> </w:t>
        </w:r>
        <w:r w:rsidR="00236748" w:rsidRPr="00C94233">
          <w:rPr>
            <w:rStyle w:val="Hyperlink"/>
          </w:rPr>
          <w:t>Human</w:t>
        </w:r>
        <w:r w:rsidR="005D5532" w:rsidRPr="00C94233">
          <w:rPr>
            <w:rStyle w:val="Hyperlink"/>
          </w:rPr>
          <w:t xml:space="preserve"> </w:t>
        </w:r>
        <w:r w:rsidR="00236748" w:rsidRPr="00C94233">
          <w:rPr>
            <w:rStyle w:val="Hyperlink"/>
          </w:rPr>
          <w:t>Services</w:t>
        </w:r>
        <w:r w:rsidR="005D5532" w:rsidRPr="00C94233">
          <w:rPr>
            <w:rStyle w:val="Hyperlink"/>
          </w:rPr>
          <w:t xml:space="preserve"> </w:t>
        </w:r>
        <w:r w:rsidR="00236748" w:rsidRPr="00C94233">
          <w:rPr>
            <w:rStyle w:val="Hyperlink"/>
          </w:rPr>
          <w:t>Policy</w:t>
        </w:r>
        <w:r w:rsidR="005D5532" w:rsidRPr="00C94233">
          <w:rPr>
            <w:rStyle w:val="Hyperlink"/>
          </w:rPr>
          <w:t xml:space="preserve"> </w:t>
        </w:r>
        <w:r w:rsidR="00236748" w:rsidRPr="00C94233">
          <w:rPr>
            <w:rStyle w:val="Hyperlink"/>
          </w:rPr>
          <w:t>and</w:t>
        </w:r>
        <w:r w:rsidR="005D5532" w:rsidRPr="00C94233">
          <w:rPr>
            <w:rStyle w:val="Hyperlink"/>
          </w:rPr>
          <w:t xml:space="preserve"> </w:t>
        </w:r>
        <w:r w:rsidR="00236748" w:rsidRPr="00C94233">
          <w:rPr>
            <w:rStyle w:val="Hyperlink"/>
          </w:rPr>
          <w:t>Funding</w:t>
        </w:r>
        <w:r w:rsidR="005D5532" w:rsidRPr="00C94233">
          <w:rPr>
            <w:rStyle w:val="Hyperlink"/>
          </w:rPr>
          <w:t xml:space="preserve"> </w:t>
        </w:r>
        <w:r w:rsidR="00236748" w:rsidRPr="00C94233">
          <w:rPr>
            <w:rStyle w:val="Hyperlink"/>
          </w:rPr>
          <w:t>Guidelines</w:t>
        </w:r>
      </w:hyperlink>
      <w:r w:rsidR="005E495E">
        <w:rPr>
          <w:rStyle w:val="Hyperlink"/>
        </w:rPr>
        <w:t xml:space="preserve"> </w:t>
      </w:r>
      <w:r w:rsidR="005E495E" w:rsidRPr="005E495E">
        <w:rPr>
          <w:rFonts w:cs="Arial"/>
          <w:color w:val="000000"/>
          <w:szCs w:val="19"/>
          <w:lang w:eastAsia="en-AU"/>
        </w:rPr>
        <w:t>&lt;https://www.dhhs.vic.gov.au/policy-and-funding-guidelines&gt;</w:t>
      </w:r>
      <w:r w:rsidR="005E5545">
        <w:rPr>
          <w:rFonts w:cs="Arial"/>
          <w:color w:val="000000"/>
          <w:szCs w:val="19"/>
          <w:lang w:eastAsia="en-AU"/>
        </w:rPr>
        <w:t xml:space="preserve"> </w:t>
      </w:r>
      <w:r w:rsidR="00236748" w:rsidRPr="005E495E">
        <w:rPr>
          <w:rFonts w:cs="Arial"/>
          <w:color w:val="000000"/>
          <w:szCs w:val="19"/>
          <w:lang w:eastAsia="en-AU"/>
        </w:rPr>
        <w:t>(</w:t>
      </w:r>
      <w:r w:rsidR="005E5545">
        <w:rPr>
          <w:rFonts w:cs="Arial"/>
          <w:color w:val="000000"/>
          <w:szCs w:val="19"/>
          <w:lang w:eastAsia="en-AU"/>
        </w:rPr>
        <w:t xml:space="preserve">external link, </w:t>
      </w:r>
      <w:r w:rsidR="00236748" w:rsidRPr="005E495E">
        <w:rPr>
          <w:rFonts w:cs="Arial"/>
          <w:color w:val="000000"/>
          <w:szCs w:val="19"/>
          <w:lang w:eastAsia="en-AU"/>
        </w:rPr>
        <w:t>opens</w:t>
      </w:r>
      <w:r w:rsidR="005D5532" w:rsidRPr="005E495E">
        <w:rPr>
          <w:rFonts w:cs="Arial"/>
          <w:color w:val="000000"/>
          <w:szCs w:val="19"/>
          <w:lang w:eastAsia="en-AU"/>
        </w:rPr>
        <w:t xml:space="preserve"> </w:t>
      </w:r>
      <w:r w:rsidR="00236748" w:rsidRPr="005E495E">
        <w:rPr>
          <w:rFonts w:cs="Arial"/>
          <w:color w:val="000000"/>
          <w:szCs w:val="19"/>
          <w:lang w:eastAsia="en-AU"/>
        </w:rPr>
        <w:t>in</w:t>
      </w:r>
      <w:r w:rsidR="005D5532" w:rsidRPr="005E495E">
        <w:rPr>
          <w:rFonts w:cs="Arial"/>
          <w:color w:val="000000"/>
          <w:szCs w:val="19"/>
          <w:lang w:eastAsia="en-AU"/>
        </w:rPr>
        <w:t xml:space="preserve"> </w:t>
      </w:r>
      <w:r w:rsidR="00236748" w:rsidRPr="005E495E">
        <w:rPr>
          <w:rFonts w:cs="Arial"/>
          <w:color w:val="000000"/>
          <w:szCs w:val="19"/>
          <w:lang w:eastAsia="en-AU"/>
        </w:rPr>
        <w:t>a</w:t>
      </w:r>
      <w:r w:rsidR="005D5532" w:rsidRPr="005E495E">
        <w:rPr>
          <w:rFonts w:cs="Arial"/>
          <w:color w:val="000000"/>
          <w:szCs w:val="19"/>
          <w:lang w:eastAsia="en-AU"/>
        </w:rPr>
        <w:t xml:space="preserve"> </w:t>
      </w:r>
      <w:r w:rsidR="00236748" w:rsidRPr="005E495E">
        <w:rPr>
          <w:rFonts w:cs="Arial"/>
          <w:color w:val="000000"/>
          <w:szCs w:val="19"/>
          <w:lang w:eastAsia="en-AU"/>
        </w:rPr>
        <w:t>new</w:t>
      </w:r>
      <w:r w:rsidR="005D5532" w:rsidRPr="005E495E">
        <w:rPr>
          <w:rFonts w:cs="Arial"/>
          <w:color w:val="000000"/>
          <w:szCs w:val="19"/>
          <w:lang w:eastAsia="en-AU"/>
        </w:rPr>
        <w:t xml:space="preserve"> </w:t>
      </w:r>
      <w:r w:rsidR="00236748" w:rsidRPr="005E495E">
        <w:rPr>
          <w:rFonts w:cs="Arial"/>
          <w:color w:val="000000"/>
          <w:szCs w:val="19"/>
          <w:lang w:eastAsia="en-AU"/>
        </w:rPr>
        <w:t>window);</w:t>
      </w:r>
      <w:r w:rsidR="005D5532" w:rsidRPr="005E495E">
        <w:rPr>
          <w:rFonts w:cs="Arial"/>
          <w:color w:val="000000"/>
          <w:szCs w:val="19"/>
          <w:lang w:eastAsia="en-AU"/>
        </w:rPr>
        <w:t xml:space="preserve"> </w:t>
      </w:r>
    </w:p>
    <w:p w14:paraId="38AC67D9" w14:textId="77777777" w:rsidR="00236748" w:rsidRPr="000A3280" w:rsidRDefault="0016341D" w:rsidP="00905B91">
      <w:pPr>
        <w:pStyle w:val="DHHSbullet1"/>
        <w:numPr>
          <w:ilvl w:val="0"/>
          <w:numId w:val="0"/>
        </w:numPr>
        <w:rPr>
          <w:rFonts w:cs="Arial"/>
          <w:lang w:eastAsia="en-AU"/>
        </w:rPr>
      </w:pPr>
      <w:hyperlink r:id="rId41" w:tgtFrame="_blank" w:history="1">
        <w:r w:rsidR="00236748" w:rsidRPr="00C94233">
          <w:rPr>
            <w:rStyle w:val="Hyperlink"/>
          </w:rPr>
          <w:t>Department</w:t>
        </w:r>
        <w:r w:rsidR="005D5532" w:rsidRPr="00C94233">
          <w:rPr>
            <w:rStyle w:val="Hyperlink"/>
          </w:rPr>
          <w:t xml:space="preserve"> </w:t>
        </w:r>
        <w:r w:rsidR="00236748" w:rsidRPr="00C94233">
          <w:rPr>
            <w:rStyle w:val="Hyperlink"/>
          </w:rPr>
          <w:t>of</w:t>
        </w:r>
        <w:r w:rsidR="005D5532" w:rsidRPr="00C94233">
          <w:rPr>
            <w:rStyle w:val="Hyperlink"/>
          </w:rPr>
          <w:t xml:space="preserve"> </w:t>
        </w:r>
        <w:r w:rsidR="00236748" w:rsidRPr="00C94233">
          <w:rPr>
            <w:rStyle w:val="Hyperlink"/>
          </w:rPr>
          <w:t>Education</w:t>
        </w:r>
        <w:r w:rsidR="005D5532" w:rsidRPr="00C94233">
          <w:rPr>
            <w:rStyle w:val="Hyperlink"/>
          </w:rPr>
          <w:t xml:space="preserve"> </w:t>
        </w:r>
        <w:r w:rsidR="00236748" w:rsidRPr="00C94233">
          <w:rPr>
            <w:rStyle w:val="Hyperlink"/>
          </w:rPr>
          <w:t>and</w:t>
        </w:r>
        <w:r w:rsidR="005D5532" w:rsidRPr="00C94233">
          <w:rPr>
            <w:rStyle w:val="Hyperlink"/>
          </w:rPr>
          <w:t xml:space="preserve"> </w:t>
        </w:r>
        <w:r w:rsidR="00236748" w:rsidRPr="00C94233">
          <w:rPr>
            <w:rStyle w:val="Hyperlink"/>
          </w:rPr>
          <w:t>Training</w:t>
        </w:r>
        <w:r w:rsidR="005D5532" w:rsidRPr="00C94233">
          <w:rPr>
            <w:rStyle w:val="Hyperlink"/>
          </w:rPr>
          <w:t xml:space="preserve"> </w:t>
        </w:r>
        <w:r w:rsidR="00236748" w:rsidRPr="00C94233">
          <w:rPr>
            <w:rStyle w:val="Hyperlink"/>
          </w:rPr>
          <w:t>Early</w:t>
        </w:r>
        <w:r w:rsidR="005D5532" w:rsidRPr="00C94233">
          <w:rPr>
            <w:rStyle w:val="Hyperlink"/>
          </w:rPr>
          <w:t xml:space="preserve"> </w:t>
        </w:r>
        <w:r w:rsidR="00236748" w:rsidRPr="00C94233">
          <w:rPr>
            <w:rStyle w:val="Hyperlink"/>
          </w:rPr>
          <w:t>Childhood</w:t>
        </w:r>
        <w:r w:rsidR="005D5532" w:rsidRPr="00C94233">
          <w:rPr>
            <w:rStyle w:val="Hyperlink"/>
          </w:rPr>
          <w:t xml:space="preserve"> </w:t>
        </w:r>
        <w:r w:rsidR="00236748" w:rsidRPr="00C94233">
          <w:rPr>
            <w:rStyle w:val="Hyperlink"/>
          </w:rPr>
          <w:t>Program</w:t>
        </w:r>
        <w:r w:rsidR="005D5532" w:rsidRPr="00C94233">
          <w:rPr>
            <w:rStyle w:val="Hyperlink"/>
          </w:rPr>
          <w:t xml:space="preserve"> </w:t>
        </w:r>
        <w:r w:rsidR="00236748" w:rsidRPr="00C94233">
          <w:rPr>
            <w:rStyle w:val="Hyperlink"/>
          </w:rPr>
          <w:t>and</w:t>
        </w:r>
        <w:r w:rsidR="005D5532" w:rsidRPr="00C94233">
          <w:rPr>
            <w:rStyle w:val="Hyperlink"/>
          </w:rPr>
          <w:t xml:space="preserve"> </w:t>
        </w:r>
        <w:r w:rsidR="00236748" w:rsidRPr="00C94233">
          <w:rPr>
            <w:rStyle w:val="Hyperlink"/>
          </w:rPr>
          <w:t>Services</w:t>
        </w:r>
        <w:r w:rsidR="005D5532" w:rsidRPr="00C94233">
          <w:rPr>
            <w:rStyle w:val="Hyperlink"/>
          </w:rPr>
          <w:t xml:space="preserve"> </w:t>
        </w:r>
        <w:r w:rsidR="00236748" w:rsidRPr="00C94233">
          <w:rPr>
            <w:rStyle w:val="Hyperlink"/>
          </w:rPr>
          <w:t>Guide</w:t>
        </w:r>
      </w:hyperlink>
      <w:r w:rsidR="005D5532" w:rsidRPr="000A3280">
        <w:rPr>
          <w:rFonts w:cs="Arial"/>
          <w:lang w:eastAsia="en-AU"/>
        </w:rPr>
        <w:t xml:space="preserve"> </w:t>
      </w:r>
      <w:r w:rsidR="000A3280" w:rsidRPr="000A3280">
        <w:rPr>
          <w:rFonts w:cs="Arial"/>
          <w:lang w:eastAsia="en-AU"/>
        </w:rPr>
        <w:t>&lt;http://www.education.vic.gov.au/childhood/providers/funding/Pages/devgroupprogguide.aspx</w:t>
      </w:r>
      <w:r w:rsidR="000A3280">
        <w:rPr>
          <w:rFonts w:cs="Arial"/>
          <w:lang w:eastAsia="en-AU"/>
        </w:rPr>
        <w:t xml:space="preserve">&gt; </w:t>
      </w:r>
      <w:r w:rsidR="00236748" w:rsidRPr="000A3280">
        <w:rPr>
          <w:rFonts w:cs="Arial"/>
          <w:lang w:eastAsia="en-AU"/>
        </w:rPr>
        <w:t>(external</w:t>
      </w:r>
      <w:r w:rsidR="005D5532" w:rsidRPr="000A3280">
        <w:rPr>
          <w:rFonts w:cs="Arial"/>
          <w:lang w:eastAsia="en-AU"/>
        </w:rPr>
        <w:t xml:space="preserve"> </w:t>
      </w:r>
      <w:r w:rsidR="00236748" w:rsidRPr="000A3280">
        <w:rPr>
          <w:rFonts w:cs="Arial"/>
          <w:lang w:eastAsia="en-AU"/>
        </w:rPr>
        <w:t>link,</w:t>
      </w:r>
      <w:r w:rsidR="005D5532" w:rsidRPr="000A3280">
        <w:rPr>
          <w:rFonts w:cs="Arial"/>
          <w:lang w:eastAsia="en-AU"/>
        </w:rPr>
        <w:t xml:space="preserve"> </w:t>
      </w:r>
      <w:r w:rsidR="00236748" w:rsidRPr="000A3280">
        <w:rPr>
          <w:rFonts w:cs="Arial"/>
          <w:lang w:eastAsia="en-AU"/>
        </w:rPr>
        <w:t>opens</w:t>
      </w:r>
      <w:r w:rsidR="005D5532" w:rsidRPr="000A3280">
        <w:rPr>
          <w:rFonts w:cs="Arial"/>
          <w:lang w:eastAsia="en-AU"/>
        </w:rPr>
        <w:t xml:space="preserve"> </w:t>
      </w:r>
      <w:r w:rsidR="00236748" w:rsidRPr="000A3280">
        <w:rPr>
          <w:rFonts w:cs="Arial"/>
          <w:lang w:eastAsia="en-AU"/>
        </w:rPr>
        <w:t>in</w:t>
      </w:r>
      <w:r w:rsidR="005D5532" w:rsidRPr="000A3280">
        <w:rPr>
          <w:rFonts w:cs="Arial"/>
          <w:lang w:eastAsia="en-AU"/>
        </w:rPr>
        <w:t xml:space="preserve"> </w:t>
      </w:r>
      <w:r w:rsidR="00236748" w:rsidRPr="000A3280">
        <w:rPr>
          <w:rFonts w:cs="Arial"/>
          <w:lang w:eastAsia="en-AU"/>
        </w:rPr>
        <w:t>a</w:t>
      </w:r>
      <w:r w:rsidR="005D5532" w:rsidRPr="000A3280">
        <w:rPr>
          <w:rFonts w:cs="Arial"/>
          <w:lang w:eastAsia="en-AU"/>
        </w:rPr>
        <w:t xml:space="preserve"> </w:t>
      </w:r>
      <w:r w:rsidR="00236748" w:rsidRPr="000A3280">
        <w:rPr>
          <w:rFonts w:cs="Arial"/>
          <w:lang w:eastAsia="en-AU"/>
        </w:rPr>
        <w:t>new</w:t>
      </w:r>
      <w:r w:rsidR="005D5532" w:rsidRPr="000A3280">
        <w:rPr>
          <w:rFonts w:cs="Arial"/>
          <w:lang w:eastAsia="en-AU"/>
        </w:rPr>
        <w:t xml:space="preserve"> </w:t>
      </w:r>
      <w:r w:rsidR="00236748" w:rsidRPr="000A3280">
        <w:rPr>
          <w:rFonts w:cs="Arial"/>
          <w:lang w:eastAsia="en-AU"/>
        </w:rPr>
        <w:t>window).</w:t>
      </w:r>
      <w:r w:rsidR="005D5532" w:rsidRPr="000A3280">
        <w:rPr>
          <w:rFonts w:cs="Arial"/>
          <w:lang w:eastAsia="en-AU"/>
        </w:rPr>
        <w:t xml:space="preserve"> </w:t>
      </w:r>
    </w:p>
    <w:p w14:paraId="0CB7852C" w14:textId="77777777" w:rsidR="00905B91" w:rsidRDefault="00905B91" w:rsidP="00905B91">
      <w:pPr>
        <w:pStyle w:val="DHHSbullet1"/>
        <w:numPr>
          <w:ilvl w:val="0"/>
          <w:numId w:val="0"/>
        </w:numPr>
        <w:ind w:left="284" w:hanging="284"/>
        <w:rPr>
          <w:rFonts w:cs="Arial"/>
          <w:lang w:eastAsia="en-AU"/>
        </w:rPr>
      </w:pPr>
    </w:p>
    <w:p w14:paraId="4918C4A7" w14:textId="77777777" w:rsidR="00236748" w:rsidRPr="00276391" w:rsidRDefault="00236748" w:rsidP="00905B91">
      <w:pPr>
        <w:pStyle w:val="DHHSbullet1"/>
        <w:numPr>
          <w:ilvl w:val="0"/>
          <w:numId w:val="0"/>
        </w:numPr>
        <w:ind w:left="284" w:hanging="284"/>
        <w:rPr>
          <w:rFonts w:cs="Arial"/>
          <w:lang w:eastAsia="en-AU"/>
        </w:rPr>
      </w:pPr>
      <w:r w:rsidRPr="00276391">
        <w:rPr>
          <w:rFonts w:cs="Arial"/>
          <w:lang w:eastAsia="en-AU"/>
        </w:rPr>
        <w:t>When</w:t>
      </w:r>
      <w:r w:rsidR="005D5532" w:rsidRPr="00276391">
        <w:rPr>
          <w:rFonts w:cs="Arial"/>
          <w:lang w:eastAsia="en-AU"/>
        </w:rPr>
        <w:t xml:space="preserve"> </w:t>
      </w:r>
      <w:r w:rsidRPr="00276391">
        <w:rPr>
          <w:rFonts w:cs="Arial"/>
          <w:lang w:eastAsia="en-AU"/>
        </w:rPr>
        <w:t>delivering</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comply</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(among</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things):</w:t>
      </w:r>
    </w:p>
    <w:p w14:paraId="563D05D2" w14:textId="4239E048" w:rsidR="00236748" w:rsidRPr="00276391" w:rsidRDefault="00236748" w:rsidP="00276391">
      <w:pPr>
        <w:pStyle w:val="DHHSbullet1"/>
        <w:rPr>
          <w:rFonts w:cs="Arial"/>
          <w:lang w:eastAsia="en-AU"/>
        </w:rPr>
      </w:pPr>
      <w:r w:rsidRPr="00276391">
        <w:rPr>
          <w:rFonts w:cs="Arial"/>
          <w:lang w:eastAsia="en-AU"/>
        </w:rPr>
        <w:t>all</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gazetted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Acts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r w:rsidRPr="00276391">
        <w:rPr>
          <w:rFonts w:cs="Arial"/>
          <w:lang w:eastAsia="en-AU"/>
        </w:rPr>
        <w:t>endorsed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CD3CD6">
        <w:rPr>
          <w:rFonts w:cs="Arial"/>
          <w:lang w:eastAsia="en-AU"/>
        </w:rPr>
        <w:t>department</w:t>
      </w:r>
      <w:r w:rsidR="005D5532" w:rsidRPr="00276391">
        <w:rPr>
          <w:rFonts w:cs="Arial"/>
          <w:lang w:eastAsia="en-AU"/>
        </w:rPr>
        <w:t xml:space="preserve"> </w:t>
      </w:r>
    </w:p>
    <w:p w14:paraId="7E152A3E" w14:textId="415E07D1" w:rsidR="00236748" w:rsidRPr="00276391" w:rsidRDefault="00236748" w:rsidP="00276391">
      <w:pPr>
        <w:pStyle w:val="DHHSbullet1"/>
        <w:rPr>
          <w:rFonts w:cs="Arial"/>
          <w:lang w:eastAsia="en-AU"/>
        </w:rPr>
      </w:pPr>
      <w:r w:rsidRPr="00276391">
        <w:rPr>
          <w:rFonts w:cs="Arial"/>
          <w:lang w:eastAsia="en-AU"/>
        </w:rPr>
        <w:t>all</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departmental</w:t>
      </w:r>
      <w:r w:rsidR="005D5532" w:rsidRPr="00276391">
        <w:rPr>
          <w:rFonts w:cs="Arial"/>
          <w:lang w:eastAsia="en-AU"/>
        </w:rPr>
        <w:t xml:space="preserve"> </w:t>
      </w:r>
      <w:r w:rsidRPr="00276391">
        <w:rPr>
          <w:rFonts w:cs="Arial"/>
          <w:lang w:eastAsia="en-AU"/>
        </w:rPr>
        <w:t>policies,</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specific</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listed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Pr="00276391">
        <w:rPr>
          <w:rFonts w:cs="Arial"/>
          <w:lang w:eastAsia="en-AU"/>
        </w:rPr>
        <w:t>1);</w:t>
      </w:r>
    </w:p>
    <w:p w14:paraId="0D028E61" w14:textId="4F5EB8B6" w:rsidR="00236748" w:rsidRPr="00276391" w:rsidRDefault="00236748" w:rsidP="00276391">
      <w:pPr>
        <w:pStyle w:val="DHHSbullet1"/>
        <w:rPr>
          <w:rFonts w:cs="Arial"/>
          <w:lang w:eastAsia="en-AU"/>
        </w:rPr>
      </w:pPr>
      <w:r w:rsidRPr="00276391">
        <w:rPr>
          <w:rFonts w:cs="Arial"/>
          <w:lang w:eastAsia="en-AU"/>
        </w:rPr>
        <w:t>performance</w:t>
      </w:r>
      <w:r w:rsidR="005D5532" w:rsidRPr="00276391">
        <w:rPr>
          <w:rFonts w:cs="Arial"/>
          <w:lang w:eastAsia="en-AU"/>
        </w:rPr>
        <w:t xml:space="preserve"> </w:t>
      </w:r>
      <w:r w:rsidRPr="00276391">
        <w:rPr>
          <w:rFonts w:cs="Arial"/>
          <w:lang w:eastAsia="en-AU"/>
        </w:rPr>
        <w:t>targets</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listed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Schedule</w:t>
      </w:r>
      <w:r w:rsidR="005D5532" w:rsidRPr="00276391">
        <w:rPr>
          <w:rFonts w:cs="Arial"/>
          <w:lang w:eastAsia="en-AU"/>
        </w:rPr>
        <w:t xml:space="preserve"> </w:t>
      </w:r>
      <w:r w:rsidRPr="00276391">
        <w:rPr>
          <w:rFonts w:cs="Arial"/>
          <w:lang w:eastAsia="en-AU"/>
        </w:rPr>
        <w:t>2</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3);</w:t>
      </w:r>
    </w:p>
    <w:p w14:paraId="361CCA79" w14:textId="77777777" w:rsidR="00236748" w:rsidRPr="00276391" w:rsidRDefault="00236748" w:rsidP="00276391">
      <w:pPr>
        <w:pStyle w:val="DHHSbullet1"/>
        <w:rPr>
          <w:rFonts w:cs="Arial"/>
          <w:lang w:eastAsia="en-AU"/>
        </w:rPr>
      </w:pPr>
      <w:r w:rsidRPr="00276391">
        <w:rPr>
          <w:rFonts w:cs="Arial"/>
          <w:lang w:eastAsia="en-AU"/>
        </w:rPr>
        <w:t>laws</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fire</w:t>
      </w:r>
      <w:r w:rsidR="005D5532" w:rsidRPr="00276391">
        <w:rPr>
          <w:rFonts w:cs="Arial"/>
          <w:lang w:eastAsia="en-AU"/>
        </w:rPr>
        <w:t xml:space="preserve"> </w:t>
      </w:r>
      <w:r w:rsidRPr="00276391">
        <w:rPr>
          <w:rFonts w:cs="Arial"/>
          <w:lang w:eastAsia="en-AU"/>
        </w:rPr>
        <w:t>protection,</w:t>
      </w:r>
      <w:r w:rsidR="005D5532" w:rsidRPr="00276391">
        <w:rPr>
          <w:rFonts w:cs="Arial"/>
          <w:lang w:eastAsia="en-AU"/>
        </w:rPr>
        <w:t xml:space="preserve"> </w:t>
      </w:r>
      <w:r w:rsidRPr="00276391">
        <w:rPr>
          <w:rFonts w:cs="Arial"/>
          <w:lang w:eastAsia="en-AU"/>
        </w:rPr>
        <w:t>industrial</w:t>
      </w:r>
      <w:r w:rsidR="005D5532" w:rsidRPr="00276391">
        <w:rPr>
          <w:rFonts w:cs="Arial"/>
          <w:lang w:eastAsia="en-AU"/>
        </w:rPr>
        <w:t xml:space="preserve"> </w:t>
      </w:r>
      <w:r w:rsidRPr="00276391">
        <w:rPr>
          <w:rFonts w:cs="Arial"/>
          <w:lang w:eastAsia="en-AU"/>
        </w:rPr>
        <w:t>relations,</w:t>
      </w:r>
      <w:r w:rsidR="005D5532" w:rsidRPr="00276391">
        <w:rPr>
          <w:rFonts w:cs="Arial"/>
          <w:lang w:eastAsia="en-AU"/>
        </w:rPr>
        <w:t xml:space="preserve"> </w:t>
      </w:r>
      <w:r w:rsidRPr="00276391">
        <w:rPr>
          <w:rFonts w:cs="Arial"/>
          <w:lang w:eastAsia="en-AU"/>
        </w:rPr>
        <w:t>employment,</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general</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taxation.</w:t>
      </w:r>
      <w:r w:rsidR="005D5532" w:rsidRPr="00276391">
        <w:rPr>
          <w:rFonts w:cs="Arial"/>
          <w:lang w:eastAsia="en-AU"/>
        </w:rPr>
        <w:t xml:space="preserve"> </w:t>
      </w:r>
    </w:p>
    <w:p w14:paraId="09905662" w14:textId="77777777" w:rsidR="00236748" w:rsidRPr="00276391" w:rsidRDefault="00236748" w:rsidP="009D4D32">
      <w:pPr>
        <w:pStyle w:val="Heading4"/>
        <w:rPr>
          <w:lang w:eastAsia="en-AU"/>
        </w:rPr>
      </w:pPr>
      <w:bookmarkStart w:id="248" w:name="_Toc478991762"/>
      <w:r w:rsidRPr="00276391">
        <w:rPr>
          <w:lang w:eastAsia="en-AU"/>
        </w:rPr>
        <w:lastRenderedPageBreak/>
        <w:t>Access</w:t>
      </w:r>
      <w:r w:rsidR="005D5532" w:rsidRPr="00276391">
        <w:rPr>
          <w:lang w:eastAsia="en-AU"/>
        </w:rPr>
        <w:t xml:space="preserve"> </w:t>
      </w:r>
      <w:r w:rsidRPr="00276391">
        <w:rPr>
          <w:lang w:eastAsia="en-AU"/>
        </w:rPr>
        <w:t>to</w:t>
      </w:r>
      <w:r w:rsidR="005D5532" w:rsidRPr="00276391">
        <w:rPr>
          <w:lang w:eastAsia="en-AU"/>
        </w:rPr>
        <w:t xml:space="preserve"> </w:t>
      </w:r>
      <w:r w:rsidR="00E01346" w:rsidRPr="00276391">
        <w:rPr>
          <w:lang w:eastAsia="en-AU"/>
        </w:rPr>
        <w:t>applicable departmental policies</w:t>
      </w:r>
      <w:bookmarkEnd w:id="248"/>
    </w:p>
    <w:p w14:paraId="014E9997" w14:textId="3D11DFF8"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access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standards</w:t>
      </w:r>
      <w:r w:rsidR="00F8611A">
        <w:rPr>
          <w:rFonts w:cs="Arial"/>
          <w:color w:val="000000"/>
          <w:szCs w:val="19"/>
          <w:lang w:eastAsia="en-AU"/>
        </w:rPr>
        <w:t xml:space="preserve"> on the </w:t>
      </w:r>
      <w:hyperlink r:id="rId42" w:history="1">
        <w:r w:rsidR="00D05F49" w:rsidRPr="003D3A0F">
          <w:rPr>
            <w:rStyle w:val="Hyperlink"/>
            <w:rFonts w:cs="Arial"/>
            <w:szCs w:val="19"/>
            <w:lang w:eastAsia="en-AU"/>
          </w:rPr>
          <w:t>Funded agency channel</w:t>
        </w:r>
      </w:hyperlink>
      <w:r w:rsidR="00E877A2">
        <w:rPr>
          <w:rFonts w:cs="Arial"/>
          <w:color w:val="000000"/>
          <w:szCs w:val="19"/>
          <w:lang w:eastAsia="en-AU"/>
        </w:rPr>
        <w:t xml:space="preserve"> &lt;</w:t>
      </w:r>
      <w:r w:rsidR="00E877A2" w:rsidRPr="00B73DBE">
        <w:t>https://fac.dhhs.vic.gov.au/my-agency</w:t>
      </w:r>
      <w:r w:rsidR="00E877A2">
        <w:t>&gt;</w:t>
      </w:r>
      <w:r w:rsidR="00F8611A">
        <w:rPr>
          <w:rFonts w:cs="Arial"/>
          <w:color w:val="000000"/>
          <w:szCs w:val="19"/>
          <w:lang w:eastAsia="en-AU"/>
        </w:rPr>
        <w:t xml:space="preserve"> </w:t>
      </w:r>
      <w:r w:rsidR="00E877A2">
        <w:rPr>
          <w:rFonts w:cs="Arial"/>
          <w:color w:val="000000"/>
          <w:szCs w:val="19"/>
          <w:lang w:eastAsia="en-AU"/>
        </w:rPr>
        <w:t>(</w:t>
      </w:r>
      <w:r w:rsidR="00FF3164">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00E877A2">
        <w:rPr>
          <w:rFonts w:cs="Arial"/>
          <w:color w:val="000000"/>
          <w:szCs w:val="19"/>
          <w:lang w:eastAsia="en-AU"/>
        </w:rPr>
        <w:t xml:space="preserve">) </w:t>
      </w:r>
      <w:r w:rsidR="00F8611A">
        <w:rPr>
          <w:rFonts w:cs="Arial"/>
          <w:color w:val="000000"/>
          <w:szCs w:val="19"/>
          <w:lang w:eastAsia="en-AU"/>
        </w:rPr>
        <w:t xml:space="preserve">and the </w:t>
      </w:r>
      <w:hyperlink r:id="rId43" w:history="1">
        <w:r w:rsidR="00F8611A" w:rsidRPr="00E877A2">
          <w:rPr>
            <w:rStyle w:val="Hyperlink"/>
            <w:rFonts w:cs="Arial"/>
            <w:szCs w:val="19"/>
            <w:lang w:eastAsia="en-AU"/>
          </w:rPr>
          <w:t>DHHS</w:t>
        </w:r>
        <w:r w:rsidR="00E877A2" w:rsidRPr="00E877A2">
          <w:rPr>
            <w:rStyle w:val="Hyperlink"/>
            <w:rFonts w:cs="Arial"/>
            <w:szCs w:val="19"/>
            <w:lang w:eastAsia="en-AU"/>
          </w:rPr>
          <w:t xml:space="preserve"> providers</w:t>
        </w:r>
        <w:r w:rsidR="00F8611A" w:rsidRPr="00E877A2">
          <w:rPr>
            <w:rStyle w:val="Hyperlink"/>
            <w:rFonts w:cs="Arial"/>
            <w:szCs w:val="19"/>
            <w:lang w:eastAsia="en-AU"/>
          </w:rPr>
          <w:t xml:space="preserve"> website</w:t>
        </w:r>
      </w:hyperlink>
      <w:r w:rsidR="00E877A2">
        <w:rPr>
          <w:rFonts w:cs="Arial"/>
          <w:color w:val="000000"/>
          <w:szCs w:val="19"/>
          <w:lang w:eastAsia="en-AU"/>
        </w:rPr>
        <w:t xml:space="preserve"> &lt;</w:t>
      </w:r>
      <w:r w:rsidR="00E877A2" w:rsidRPr="00E877A2">
        <w:rPr>
          <w:rFonts w:cs="Arial"/>
          <w:color w:val="000000"/>
          <w:szCs w:val="19"/>
          <w:lang w:eastAsia="en-AU"/>
        </w:rPr>
        <w:t>https://providers.dhhs.vic.gov.au/</w:t>
      </w:r>
      <w:r w:rsidR="00E877A2">
        <w:rPr>
          <w:rFonts w:cs="Arial"/>
          <w:color w:val="000000"/>
          <w:szCs w:val="19"/>
          <w:lang w:eastAsia="en-AU"/>
        </w:rPr>
        <w:t>&gt; (</w:t>
      </w:r>
      <w:r w:rsidR="00FF3164">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00E877A2">
        <w:rPr>
          <w:rFonts w:cs="Arial"/>
          <w:color w:val="000000"/>
          <w:szCs w:val="19"/>
          <w:lang w:eastAsia="en-AU"/>
        </w:rPr>
        <w:t>)</w:t>
      </w:r>
      <w:r w:rsidRPr="00B24C02">
        <w:rPr>
          <w:rFonts w:cs="Arial"/>
          <w:color w:val="000000"/>
          <w:szCs w:val="19"/>
          <w:lang w:eastAsia="en-AU"/>
        </w:rPr>
        <w:t>.</w:t>
      </w:r>
      <w:r w:rsidR="005D5532" w:rsidRPr="00B24C02">
        <w:rPr>
          <w:rFonts w:cs="Arial"/>
          <w:color w:val="000000"/>
          <w:szCs w:val="19"/>
          <w:lang w:eastAsia="en-AU"/>
        </w:rPr>
        <w:t xml:space="preserve"> </w:t>
      </w:r>
    </w:p>
    <w:p w14:paraId="3F66DADF" w14:textId="77777777" w:rsidR="00236748" w:rsidRPr="00276391" w:rsidRDefault="00236748" w:rsidP="009D4D32">
      <w:pPr>
        <w:pStyle w:val="Heading4"/>
        <w:rPr>
          <w:lang w:eastAsia="en-AU"/>
        </w:rPr>
      </w:pPr>
      <w:bookmarkStart w:id="249" w:name="_Toc478991763"/>
      <w:r w:rsidRPr="00276391">
        <w:rPr>
          <w:lang w:eastAsia="en-AU"/>
        </w:rPr>
        <w:t>Accreditation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requirements</w:t>
      </w:r>
      <w:bookmarkEnd w:id="249"/>
    </w:p>
    <w:p w14:paraId="64D3F46C" w14:textId="77777777" w:rsidR="00F8611A" w:rsidRDefault="00236748" w:rsidP="00276391">
      <w:pPr>
        <w:pStyle w:val="DHHSbody"/>
        <w:rPr>
          <w:rFonts w:cs="Arial"/>
          <w:color w:val="000000"/>
          <w:szCs w:val="19"/>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need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gain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maintain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accreditation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registration</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those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Registration</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legislation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p>
    <w:p w14:paraId="67E76C82" w14:textId="71C5696D"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00DF1D39">
        <w:rPr>
          <w:rFonts w:cs="Arial"/>
          <w:color w:val="000000"/>
          <w:szCs w:val="19"/>
          <w:lang w:eastAsia="en-AU"/>
        </w:rPr>
        <w:t>Department Health and Human Services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'registration'</w:t>
      </w:r>
      <w:r w:rsidR="005D5532" w:rsidRPr="00B24C02">
        <w:rPr>
          <w:rFonts w:cs="Arial"/>
          <w:color w:val="000000"/>
          <w:szCs w:val="19"/>
          <w:lang w:eastAsia="en-AU"/>
        </w:rPr>
        <w:t xml:space="preserve"> </w:t>
      </w:r>
      <w:r w:rsidRPr="00B24C02">
        <w:rPr>
          <w:rFonts w:cs="Arial"/>
          <w:color w:val="000000"/>
          <w:szCs w:val="19"/>
          <w:lang w:eastAsia="en-AU"/>
        </w:rPr>
        <w:t>includes</w:t>
      </w:r>
      <w:r w:rsidR="005D5532" w:rsidRPr="00B24C02">
        <w:rPr>
          <w:rFonts w:cs="Arial"/>
          <w:color w:val="000000"/>
          <w:szCs w:val="19"/>
          <w:lang w:eastAsia="en-AU"/>
        </w:rPr>
        <w:t xml:space="preserve"> </w:t>
      </w:r>
      <w:r w:rsidRPr="00B24C02">
        <w:rPr>
          <w:rFonts w:cs="Arial"/>
          <w:color w:val="000000"/>
          <w:szCs w:val="19"/>
          <w:lang w:eastAsia="en-AU"/>
        </w:rPr>
        <w:t>registration</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5E5545">
        <w:rPr>
          <w:rFonts w:cs="Arial"/>
          <w:bCs/>
          <w:i/>
          <w:color w:val="000000"/>
          <w:szCs w:val="19"/>
          <w:lang w:eastAsia="en-AU"/>
        </w:rPr>
        <w:t>Children,</w:t>
      </w:r>
      <w:r w:rsidR="005D5532" w:rsidRPr="005E5545">
        <w:rPr>
          <w:rFonts w:cs="Arial"/>
          <w:bCs/>
          <w:i/>
          <w:color w:val="000000"/>
          <w:szCs w:val="19"/>
          <w:lang w:eastAsia="en-AU"/>
        </w:rPr>
        <w:t xml:space="preserve"> </w:t>
      </w:r>
      <w:r w:rsidRPr="005E5545">
        <w:rPr>
          <w:rFonts w:cs="Arial"/>
          <w:bCs/>
          <w:i/>
          <w:color w:val="000000"/>
          <w:szCs w:val="19"/>
          <w:lang w:eastAsia="en-AU"/>
        </w:rPr>
        <w:t>Youth</w:t>
      </w:r>
      <w:r w:rsidR="005D5532" w:rsidRPr="005E5545">
        <w:rPr>
          <w:rFonts w:cs="Arial"/>
          <w:bCs/>
          <w:i/>
          <w:color w:val="000000"/>
          <w:szCs w:val="19"/>
          <w:lang w:eastAsia="en-AU"/>
        </w:rPr>
        <w:t xml:space="preserve"> </w:t>
      </w:r>
      <w:r w:rsidRPr="005E5545">
        <w:rPr>
          <w:rFonts w:cs="Arial"/>
          <w:bCs/>
          <w:i/>
          <w:color w:val="000000"/>
          <w:szCs w:val="19"/>
          <w:lang w:eastAsia="en-AU"/>
        </w:rPr>
        <w:t>and</w:t>
      </w:r>
      <w:r w:rsidR="005D5532" w:rsidRPr="005E5545">
        <w:rPr>
          <w:rFonts w:cs="Arial"/>
          <w:bCs/>
          <w:i/>
          <w:color w:val="000000"/>
          <w:szCs w:val="19"/>
          <w:lang w:eastAsia="en-AU"/>
        </w:rPr>
        <w:t xml:space="preserve"> </w:t>
      </w:r>
      <w:r w:rsidRPr="005E5545">
        <w:rPr>
          <w:rFonts w:cs="Arial"/>
          <w:bCs/>
          <w:i/>
          <w:color w:val="000000"/>
          <w:szCs w:val="19"/>
          <w:lang w:eastAsia="en-AU"/>
        </w:rPr>
        <w:t>Families</w:t>
      </w:r>
      <w:r w:rsidR="005D5532" w:rsidRPr="005E5545">
        <w:rPr>
          <w:rFonts w:cs="Arial"/>
          <w:bCs/>
          <w:i/>
          <w:color w:val="000000"/>
          <w:szCs w:val="19"/>
          <w:lang w:eastAsia="en-AU"/>
        </w:rPr>
        <w:t xml:space="preserve"> </w:t>
      </w:r>
      <w:r w:rsidRPr="005E5545">
        <w:rPr>
          <w:rFonts w:cs="Arial"/>
          <w:bCs/>
          <w:i/>
          <w:color w:val="000000"/>
          <w:szCs w:val="19"/>
          <w:lang w:eastAsia="en-AU"/>
        </w:rPr>
        <w:t>Act</w:t>
      </w:r>
      <w:r w:rsidR="005D5532" w:rsidRPr="005E5545">
        <w:rPr>
          <w:rFonts w:cs="Arial"/>
          <w:bCs/>
          <w:i/>
          <w:color w:val="000000"/>
          <w:szCs w:val="19"/>
          <w:lang w:eastAsia="en-AU"/>
        </w:rPr>
        <w:t xml:space="preserve"> </w:t>
      </w:r>
      <w:r w:rsidRPr="005E5545">
        <w:rPr>
          <w:rFonts w:cs="Arial"/>
          <w:bCs/>
          <w:i/>
          <w:color w:val="000000"/>
          <w:szCs w:val="19"/>
          <w:lang w:eastAsia="en-AU"/>
        </w:rPr>
        <w:t>2005</w:t>
      </w:r>
      <w:r w:rsidR="005D5532" w:rsidRPr="005E5545">
        <w:rPr>
          <w:rFonts w:cs="Arial"/>
          <w:bCs/>
          <w:i/>
          <w:color w:val="000000"/>
          <w:szCs w:val="19"/>
          <w:lang w:eastAsia="en-AU"/>
        </w:rPr>
        <w:t xml:space="preserve"> </w:t>
      </w:r>
      <w:r w:rsidRPr="005E5545">
        <w:rPr>
          <w:rFonts w:cs="Arial"/>
          <w:bCs/>
          <w:i/>
          <w:color w:val="000000"/>
          <w:szCs w:val="19"/>
          <w:lang w:eastAsia="en-AU"/>
        </w:rPr>
        <w:t>(Vic)</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5E5545">
        <w:rPr>
          <w:rFonts w:cs="Arial"/>
          <w:bCs/>
          <w:i/>
          <w:color w:val="000000"/>
          <w:szCs w:val="19"/>
          <w:lang w:eastAsia="en-AU"/>
        </w:rPr>
        <w:t>Disability</w:t>
      </w:r>
      <w:r w:rsidR="005D5532" w:rsidRPr="005E5545">
        <w:rPr>
          <w:rFonts w:cs="Arial"/>
          <w:bCs/>
          <w:i/>
          <w:color w:val="000000"/>
          <w:szCs w:val="19"/>
          <w:lang w:eastAsia="en-AU"/>
        </w:rPr>
        <w:t xml:space="preserve"> </w:t>
      </w:r>
      <w:r w:rsidRPr="005E5545">
        <w:rPr>
          <w:rFonts w:cs="Arial"/>
          <w:bCs/>
          <w:i/>
          <w:color w:val="000000"/>
          <w:szCs w:val="19"/>
          <w:lang w:eastAsia="en-AU"/>
        </w:rPr>
        <w:t>Act</w:t>
      </w:r>
      <w:r w:rsidR="005D5532" w:rsidRPr="005E5545">
        <w:rPr>
          <w:rFonts w:cs="Arial"/>
          <w:bCs/>
          <w:i/>
          <w:color w:val="000000"/>
          <w:szCs w:val="19"/>
          <w:lang w:eastAsia="en-AU"/>
        </w:rPr>
        <w:t xml:space="preserve"> </w:t>
      </w:r>
      <w:r w:rsidRPr="005E5545">
        <w:rPr>
          <w:rFonts w:cs="Arial"/>
          <w:bCs/>
          <w:i/>
          <w:color w:val="000000"/>
          <w:szCs w:val="19"/>
          <w:lang w:eastAsia="en-AU"/>
        </w:rPr>
        <w:t>2006</w:t>
      </w:r>
      <w:r w:rsidR="005D5532" w:rsidRPr="005E5545">
        <w:rPr>
          <w:rFonts w:cs="Arial"/>
          <w:bCs/>
          <w:i/>
          <w:color w:val="000000"/>
          <w:szCs w:val="19"/>
          <w:lang w:eastAsia="en-AU"/>
        </w:rPr>
        <w:t xml:space="preserve"> </w:t>
      </w:r>
      <w:r w:rsidRPr="005E5545">
        <w:rPr>
          <w:rFonts w:cs="Arial"/>
          <w:bCs/>
          <w:i/>
          <w:color w:val="000000"/>
          <w:szCs w:val="19"/>
          <w:lang w:eastAsia="en-AU"/>
        </w:rPr>
        <w:t>(Vic)</w:t>
      </w:r>
      <w:r w:rsidRPr="005E5545">
        <w:rPr>
          <w:rFonts w:cs="Arial"/>
          <w:i/>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005E5545">
        <w:rPr>
          <w:rFonts w:cs="Arial"/>
          <w:color w:val="000000"/>
          <w:szCs w:val="19"/>
          <w:lang w:eastAsia="en-AU"/>
        </w:rPr>
        <w:t>DET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'registration'</w:t>
      </w:r>
      <w:r w:rsidR="005D5532" w:rsidRPr="00B24C02">
        <w:rPr>
          <w:rFonts w:cs="Arial"/>
          <w:color w:val="000000"/>
          <w:szCs w:val="19"/>
          <w:lang w:eastAsia="en-AU"/>
        </w:rPr>
        <w:t xml:space="preserve"> </w:t>
      </w:r>
      <w:r w:rsidRPr="00B24C02">
        <w:rPr>
          <w:rFonts w:cs="Arial"/>
          <w:color w:val="000000"/>
          <w:szCs w:val="19"/>
          <w:lang w:eastAsia="en-AU"/>
        </w:rPr>
        <w:t>includes</w:t>
      </w:r>
      <w:r w:rsidR="005D5532" w:rsidRPr="00B24C02">
        <w:rPr>
          <w:rFonts w:cs="Arial"/>
          <w:color w:val="000000"/>
          <w:szCs w:val="19"/>
          <w:lang w:eastAsia="en-AU"/>
        </w:rPr>
        <w:t xml:space="preserve"> </w:t>
      </w:r>
      <w:r w:rsidRPr="00B24C02">
        <w:rPr>
          <w:rFonts w:cs="Arial"/>
          <w:color w:val="000000"/>
          <w:szCs w:val="19"/>
          <w:lang w:eastAsia="en-AU"/>
        </w:rPr>
        <w:t>approval</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5E5545">
        <w:rPr>
          <w:rFonts w:cs="Arial"/>
          <w:bCs/>
          <w:i/>
          <w:color w:val="000000"/>
          <w:szCs w:val="19"/>
          <w:lang w:eastAsia="en-AU"/>
        </w:rPr>
        <w:t>Educational</w:t>
      </w:r>
      <w:r w:rsidR="005D5532" w:rsidRPr="005E5545">
        <w:rPr>
          <w:rFonts w:cs="Arial"/>
          <w:bCs/>
          <w:i/>
          <w:color w:val="000000"/>
          <w:szCs w:val="19"/>
          <w:lang w:eastAsia="en-AU"/>
        </w:rPr>
        <w:t xml:space="preserve"> </w:t>
      </w:r>
      <w:r w:rsidRPr="005E5545">
        <w:rPr>
          <w:rFonts w:cs="Arial"/>
          <w:bCs/>
          <w:i/>
          <w:color w:val="000000"/>
          <w:szCs w:val="19"/>
          <w:lang w:eastAsia="en-AU"/>
        </w:rPr>
        <w:t>and</w:t>
      </w:r>
      <w:r w:rsidR="005D5532" w:rsidRPr="005E5545">
        <w:rPr>
          <w:rFonts w:cs="Arial"/>
          <w:bCs/>
          <w:i/>
          <w:color w:val="000000"/>
          <w:szCs w:val="19"/>
          <w:lang w:eastAsia="en-AU"/>
        </w:rPr>
        <w:t xml:space="preserve"> </w:t>
      </w:r>
      <w:r w:rsidRPr="005E5545">
        <w:rPr>
          <w:rFonts w:cs="Arial"/>
          <w:bCs/>
          <w:i/>
          <w:color w:val="000000"/>
          <w:szCs w:val="19"/>
          <w:lang w:eastAsia="en-AU"/>
        </w:rPr>
        <w:t>Care</w:t>
      </w:r>
      <w:r w:rsidR="005D5532" w:rsidRPr="005E5545">
        <w:rPr>
          <w:rFonts w:cs="Arial"/>
          <w:bCs/>
          <w:i/>
          <w:color w:val="000000"/>
          <w:szCs w:val="19"/>
          <w:lang w:eastAsia="en-AU"/>
        </w:rPr>
        <w:t xml:space="preserve"> </w:t>
      </w:r>
      <w:r w:rsidRPr="005E5545">
        <w:rPr>
          <w:rFonts w:cs="Arial"/>
          <w:bCs/>
          <w:i/>
          <w:color w:val="000000"/>
          <w:szCs w:val="19"/>
          <w:lang w:eastAsia="en-AU"/>
        </w:rPr>
        <w:t>Services</w:t>
      </w:r>
      <w:r w:rsidR="005D5532" w:rsidRPr="005E5545">
        <w:rPr>
          <w:rFonts w:cs="Arial"/>
          <w:bCs/>
          <w:i/>
          <w:color w:val="000000"/>
          <w:szCs w:val="19"/>
          <w:lang w:eastAsia="en-AU"/>
        </w:rPr>
        <w:t xml:space="preserve"> </w:t>
      </w:r>
      <w:r w:rsidRPr="005E5545">
        <w:rPr>
          <w:rFonts w:cs="Arial"/>
          <w:bCs/>
          <w:i/>
          <w:color w:val="000000"/>
          <w:szCs w:val="19"/>
          <w:lang w:eastAsia="en-AU"/>
        </w:rPr>
        <w:t>National</w:t>
      </w:r>
      <w:r w:rsidR="005D5532" w:rsidRPr="005E5545">
        <w:rPr>
          <w:rFonts w:cs="Arial"/>
          <w:bCs/>
          <w:i/>
          <w:color w:val="000000"/>
          <w:szCs w:val="19"/>
          <w:lang w:eastAsia="en-AU"/>
        </w:rPr>
        <w:t xml:space="preserve"> </w:t>
      </w:r>
      <w:r w:rsidRPr="005E5545">
        <w:rPr>
          <w:rFonts w:cs="Arial"/>
          <w:bCs/>
          <w:i/>
          <w:color w:val="000000"/>
          <w:szCs w:val="19"/>
          <w:lang w:eastAsia="en-AU"/>
        </w:rPr>
        <w:t>Law</w:t>
      </w:r>
      <w:r w:rsidR="005D5532" w:rsidRPr="005E5545">
        <w:rPr>
          <w:rFonts w:cs="Arial"/>
          <w:bCs/>
          <w:i/>
          <w:color w:val="000000"/>
          <w:szCs w:val="19"/>
          <w:lang w:eastAsia="en-AU"/>
        </w:rPr>
        <w:t xml:space="preserve"> </w:t>
      </w:r>
      <w:r w:rsidRPr="005E5545">
        <w:rPr>
          <w:rFonts w:cs="Arial"/>
          <w:bCs/>
          <w:i/>
          <w:color w:val="000000"/>
          <w:szCs w:val="19"/>
          <w:lang w:eastAsia="en-AU"/>
        </w:rPr>
        <w:t>Act</w:t>
      </w:r>
      <w:r w:rsidR="005D5532" w:rsidRPr="005E5545">
        <w:rPr>
          <w:rFonts w:cs="Arial"/>
          <w:bCs/>
          <w:i/>
          <w:color w:val="000000"/>
          <w:szCs w:val="19"/>
          <w:lang w:eastAsia="en-AU"/>
        </w:rPr>
        <w:t xml:space="preserve"> </w:t>
      </w:r>
      <w:r w:rsidRPr="005E5545">
        <w:rPr>
          <w:rFonts w:cs="Arial"/>
          <w:bCs/>
          <w:i/>
          <w:color w:val="000000"/>
          <w:szCs w:val="19"/>
          <w:lang w:eastAsia="en-AU"/>
        </w:rPr>
        <w:t>2010</w:t>
      </w:r>
      <w:r w:rsidR="005D5532" w:rsidRPr="005E5545">
        <w:rPr>
          <w:rFonts w:cs="Arial"/>
          <w:bCs/>
          <w:i/>
          <w:color w:val="000000"/>
          <w:szCs w:val="19"/>
          <w:lang w:eastAsia="en-AU"/>
        </w:rPr>
        <w:t xml:space="preserve"> </w:t>
      </w:r>
      <w:r w:rsidRPr="005E5545">
        <w:rPr>
          <w:rFonts w:cs="Arial"/>
          <w:bCs/>
          <w:i/>
          <w:color w:val="000000"/>
          <w:szCs w:val="19"/>
          <w:lang w:eastAsia="en-AU"/>
        </w:rPr>
        <w:t>(Vic)</w:t>
      </w:r>
      <w:r w:rsidRPr="00B24C02">
        <w:rPr>
          <w:rFonts w:cs="Arial"/>
          <w:color w:val="000000"/>
          <w:szCs w:val="19"/>
          <w:lang w:eastAsia="en-AU"/>
        </w:rPr>
        <w:t>.</w:t>
      </w:r>
    </w:p>
    <w:p w14:paraId="343AB82E" w14:textId="77777777" w:rsidR="00236748" w:rsidRPr="00276391" w:rsidRDefault="00236748" w:rsidP="009D4D32">
      <w:pPr>
        <w:pStyle w:val="Heading4"/>
        <w:rPr>
          <w:lang w:eastAsia="en-AU"/>
        </w:rPr>
      </w:pPr>
      <w:bookmarkStart w:id="250" w:name="_Toc478991764"/>
      <w:r w:rsidRPr="00276391">
        <w:rPr>
          <w:lang w:eastAsia="en-AU"/>
        </w:rPr>
        <w:t>Notification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information</w:t>
      </w:r>
      <w:bookmarkEnd w:id="250"/>
    </w:p>
    <w:p w14:paraId="4BB88757" w14:textId="65B50CE1"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inform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matters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reasonably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include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incident</w:t>
      </w:r>
      <w:r w:rsidR="005D5532" w:rsidRPr="00B24C02">
        <w:rPr>
          <w:rFonts w:cs="Arial"/>
          <w:color w:val="000000"/>
          <w:szCs w:val="19"/>
          <w:lang w:eastAsia="en-AU"/>
        </w:rPr>
        <w:t xml:space="preserve"> </w:t>
      </w:r>
      <w:r w:rsidRPr="00B24C02">
        <w:rPr>
          <w:rFonts w:cs="Arial"/>
          <w:color w:val="000000"/>
          <w:szCs w:val="19"/>
          <w:lang w:eastAsia="en-AU"/>
        </w:rPr>
        <w:t>involving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person</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issue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impacts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sustainability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ability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obligation</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Certain</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deal</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certain</w:t>
      </w:r>
      <w:r w:rsidR="005D5532" w:rsidRPr="00B24C02">
        <w:rPr>
          <w:rFonts w:cs="Arial"/>
          <w:color w:val="000000"/>
          <w:szCs w:val="19"/>
          <w:lang w:eastAsia="en-AU"/>
        </w:rPr>
        <w:t xml:space="preserve"> </w:t>
      </w:r>
      <w:r w:rsidRPr="00B24C02">
        <w:rPr>
          <w:rFonts w:cs="Arial"/>
          <w:color w:val="000000"/>
          <w:szCs w:val="19"/>
          <w:lang w:eastAsia="en-AU"/>
        </w:rPr>
        <w:t>matters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certain</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p>
    <w:p w14:paraId="012CEB27" w14:textId="77777777" w:rsidR="00236748" w:rsidRPr="00276391" w:rsidRDefault="00236748" w:rsidP="009D4D32">
      <w:pPr>
        <w:pStyle w:val="Heading3"/>
        <w:rPr>
          <w:lang w:eastAsia="en-AU"/>
        </w:rPr>
      </w:pPr>
      <w:bookmarkStart w:id="251" w:name="_Toc478991765"/>
      <w:bookmarkStart w:id="252" w:name="_Toc478992362"/>
      <w:bookmarkStart w:id="253" w:name="_Toc4142038"/>
      <w:r w:rsidRPr="00276391">
        <w:rPr>
          <w:lang w:eastAsia="en-AU"/>
        </w:rPr>
        <w:t>3.3.2</w:t>
      </w:r>
      <w:r w:rsidR="009B2351" w:rsidRPr="00276391">
        <w:rPr>
          <w:lang w:eastAsia="en-AU"/>
        </w:rPr>
        <w:t xml:space="preserve"> </w:t>
      </w:r>
      <w:r w:rsidRPr="00276391">
        <w:rPr>
          <w:lang w:eastAsia="en-AU"/>
        </w:rPr>
        <w:t>Continuity</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services</w:t>
      </w:r>
      <w:bookmarkEnd w:id="251"/>
      <w:bookmarkEnd w:id="252"/>
      <w:bookmarkEnd w:id="253"/>
    </w:p>
    <w:p w14:paraId="3345E2C7"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ensuring</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p>
    <w:p w14:paraId="1B19BB32"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Schedules</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suspend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cease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notified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procedure</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3.4</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3.5.</w:t>
      </w:r>
    </w:p>
    <w:p w14:paraId="452F3668"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intends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suspend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cease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reason,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three</w:t>
      </w:r>
      <w:r w:rsidR="005D5532" w:rsidRPr="00276391">
        <w:rPr>
          <w:lang w:eastAsia="en-AU"/>
        </w:rPr>
        <w:t xml:space="preserve"> </w:t>
      </w:r>
      <w:r w:rsidR="00C45A29" w:rsidRPr="00276391">
        <w:rPr>
          <w:lang w:eastAsia="en-AU"/>
        </w:rPr>
        <w:t>months’ notice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enables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recipients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supported</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another</w:t>
      </w:r>
      <w:r w:rsidR="005D5532" w:rsidRPr="00276391">
        <w:rPr>
          <w:lang w:eastAsia="en-AU"/>
        </w:rPr>
        <w:t xml:space="preserve"> </w:t>
      </w:r>
      <w:r w:rsidRPr="00276391">
        <w:rPr>
          <w:lang w:eastAsia="en-AU"/>
        </w:rPr>
        <w:t>organisation.</w:t>
      </w:r>
    </w:p>
    <w:p w14:paraId="3F470FAE" w14:textId="4ED26E66"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immediately</w:t>
      </w:r>
      <w:r w:rsidR="005D5532" w:rsidRPr="00276391">
        <w:rPr>
          <w:lang w:eastAsia="en-AU"/>
        </w:rPr>
        <w:t xml:space="preserve"> </w:t>
      </w:r>
      <w:r w:rsidRPr="00276391">
        <w:rPr>
          <w:lang w:eastAsia="en-AU"/>
        </w:rPr>
        <w:t>suspend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cease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possible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three</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notice</w:t>
      </w:r>
      <w:r w:rsidR="005E5545">
        <w:rPr>
          <w:lang w:eastAsia="en-AU"/>
        </w:rPr>
        <w:t>,</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immediately</w:t>
      </w:r>
      <w:r w:rsidR="005D5532" w:rsidRPr="00276391">
        <w:rPr>
          <w:lang w:eastAsia="en-AU"/>
        </w:rPr>
        <w:t xml:space="preserve"> </w:t>
      </w:r>
      <w:r w:rsidRPr="00276391">
        <w:rPr>
          <w:lang w:eastAsia="en-AU"/>
        </w:rPr>
        <w:t>notify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occur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outbreak</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serious</w:t>
      </w:r>
      <w:r w:rsidR="005D5532" w:rsidRPr="00276391">
        <w:rPr>
          <w:lang w:eastAsia="en-AU"/>
        </w:rPr>
        <w:t xml:space="preserve"> </w:t>
      </w:r>
      <w:r w:rsidRPr="00276391">
        <w:rPr>
          <w:lang w:eastAsia="en-AU"/>
        </w:rPr>
        <w:t>illness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facility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means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unable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operate.</w:t>
      </w:r>
      <w:r w:rsidR="00D05F49">
        <w:rPr>
          <w:lang w:eastAsia="en-AU"/>
        </w:rPr>
        <w:t xml:space="preserve"> </w:t>
      </w:r>
    </w:p>
    <w:p w14:paraId="24316AEB"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suspended,</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duration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suspension.</w:t>
      </w:r>
    </w:p>
    <w:p w14:paraId="16DF71A5"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suspended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ceased,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suspended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ceased.</w:t>
      </w:r>
    </w:p>
    <w:p w14:paraId="15178A3B" w14:textId="77777777" w:rsidR="00236748" w:rsidRPr="00276391" w:rsidRDefault="00236748" w:rsidP="009D4D32">
      <w:pPr>
        <w:pStyle w:val="Heading3"/>
        <w:rPr>
          <w:lang w:eastAsia="en-AU"/>
        </w:rPr>
      </w:pPr>
      <w:bookmarkStart w:id="254" w:name="_3.3.3_Compliance_with"/>
      <w:bookmarkStart w:id="255" w:name="_Toc478991766"/>
      <w:bookmarkStart w:id="256" w:name="_Toc478992363"/>
      <w:bookmarkStart w:id="257" w:name="_Toc4142039"/>
      <w:bookmarkEnd w:id="254"/>
      <w:r w:rsidRPr="00276391">
        <w:rPr>
          <w:lang w:eastAsia="en-AU"/>
        </w:rPr>
        <w:t>3.3.3</w:t>
      </w:r>
      <w:r w:rsidR="009B2351" w:rsidRPr="00276391">
        <w:rPr>
          <w:lang w:eastAsia="en-AU"/>
        </w:rPr>
        <w:t xml:space="preserve"> </w:t>
      </w:r>
      <w:r w:rsidRPr="00276391">
        <w:rPr>
          <w:lang w:eastAsia="en-AU"/>
        </w:rPr>
        <w:t>Compliance</w:t>
      </w:r>
      <w:r w:rsidR="009B2351" w:rsidRPr="00276391">
        <w:rPr>
          <w:lang w:eastAsia="en-AU"/>
        </w:rPr>
        <w:t xml:space="preserve"> </w:t>
      </w:r>
      <w:r w:rsidRPr="00276391">
        <w:rPr>
          <w:lang w:eastAsia="en-AU"/>
        </w:rPr>
        <w:t>with</w:t>
      </w:r>
      <w:r w:rsidR="009B2351" w:rsidRPr="00276391">
        <w:rPr>
          <w:lang w:eastAsia="en-AU"/>
        </w:rPr>
        <w:t xml:space="preserve"> </w:t>
      </w:r>
      <w:r w:rsidRPr="00276391">
        <w:rPr>
          <w:lang w:eastAsia="en-AU"/>
        </w:rPr>
        <w:t>Human</w:t>
      </w:r>
      <w:r w:rsidR="009B2351" w:rsidRPr="00276391">
        <w:rPr>
          <w:lang w:eastAsia="en-AU"/>
        </w:rPr>
        <w:t xml:space="preserve"> </w:t>
      </w:r>
      <w:r w:rsidRPr="00276391">
        <w:rPr>
          <w:lang w:eastAsia="en-AU"/>
        </w:rPr>
        <w:t>Services</w:t>
      </w:r>
      <w:r w:rsidR="009B2351" w:rsidRPr="00276391">
        <w:rPr>
          <w:lang w:eastAsia="en-AU"/>
        </w:rPr>
        <w:t xml:space="preserve"> </w:t>
      </w:r>
      <w:r w:rsidRPr="00276391">
        <w:rPr>
          <w:lang w:eastAsia="en-AU"/>
        </w:rPr>
        <w:t>Standards</w:t>
      </w:r>
      <w:r w:rsidR="009B2351" w:rsidRPr="00276391">
        <w:rPr>
          <w:lang w:eastAsia="en-AU"/>
        </w:rPr>
        <w:t xml:space="preserve"> </w:t>
      </w:r>
      <w:r w:rsidRPr="00276391">
        <w:rPr>
          <w:lang w:eastAsia="en-AU"/>
        </w:rPr>
        <w:t>(Standards)</w:t>
      </w:r>
      <w:bookmarkEnd w:id="255"/>
      <w:bookmarkEnd w:id="256"/>
      <w:bookmarkEnd w:id="257"/>
    </w:p>
    <w:p w14:paraId="0B82F0D2" w14:textId="512E52D5"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00DF1D39">
        <w:rPr>
          <w:lang w:eastAsia="en-AU"/>
        </w:rPr>
        <w:t>Department Health and Human Services</w:t>
      </w:r>
      <w:r w:rsidR="005D5532" w:rsidRPr="00276391">
        <w:rPr>
          <w:lang w:eastAsia="en-AU"/>
        </w:rPr>
        <w:t xml:space="preserve"> </w:t>
      </w:r>
      <w:r w:rsidR="005E5545">
        <w:rPr>
          <w:lang w:eastAsia="en-AU"/>
        </w:rPr>
        <w:t xml:space="preserve">(the department) </w:t>
      </w:r>
      <w:r w:rsidRPr="00276391">
        <w:rPr>
          <w:lang w:eastAsia="en-AU"/>
        </w:rPr>
        <w:t>for</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5E5545">
        <w:rPr>
          <w:bCs/>
          <w:lang w:eastAsia="en-AU"/>
        </w:rPr>
        <w:t>Human</w:t>
      </w:r>
      <w:r w:rsidR="005D5532" w:rsidRPr="005E5545">
        <w:rPr>
          <w:bCs/>
          <w:lang w:eastAsia="en-AU"/>
        </w:rPr>
        <w:t xml:space="preserve"> </w:t>
      </w:r>
      <w:r w:rsidRPr="005E5545">
        <w:rPr>
          <w:bCs/>
          <w:lang w:eastAsia="en-AU"/>
        </w:rPr>
        <w:t>Services</w:t>
      </w:r>
      <w:r w:rsidR="005D5532" w:rsidRPr="005E5545">
        <w:rPr>
          <w:bCs/>
          <w:lang w:eastAsia="en-AU"/>
        </w:rPr>
        <w:t xml:space="preserve"> </w:t>
      </w:r>
      <w:r w:rsidRPr="005E5545">
        <w:rPr>
          <w:bCs/>
          <w:lang w:eastAsia="en-AU"/>
        </w:rPr>
        <w:t>Standards</w:t>
      </w:r>
      <w:r w:rsidR="005D5532" w:rsidRPr="005E5545">
        <w:rPr>
          <w:lang w:eastAsia="en-AU"/>
        </w:rPr>
        <w:t xml:space="preserve"> </w:t>
      </w:r>
      <w:r w:rsidRPr="00276391">
        <w:rPr>
          <w:lang w:eastAsia="en-AU"/>
        </w:rPr>
        <w:t>(Standards)</w:t>
      </w:r>
      <w:r w:rsidR="005D5532" w:rsidRPr="00276391">
        <w:rPr>
          <w:lang w:eastAsia="en-AU"/>
        </w:rPr>
        <w:t xml:space="preserve"> </w:t>
      </w:r>
      <w:r w:rsidRPr="00276391">
        <w:rPr>
          <w:lang w:eastAsia="en-AU"/>
        </w:rPr>
        <w:t>(gazetted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exempt</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The</w:t>
      </w:r>
      <w:r w:rsidR="005D5532" w:rsidRPr="00276391">
        <w:rPr>
          <w:lang w:eastAsia="en-AU"/>
        </w:rPr>
        <w:t xml:space="preserve"> </w:t>
      </w:r>
      <w:hyperlink r:id="rId44" w:history="1">
        <w:r w:rsidRPr="00E877A2">
          <w:rPr>
            <w:rStyle w:val="Hyperlink"/>
            <w:bCs/>
            <w:lang w:eastAsia="en-AU"/>
          </w:rPr>
          <w:t>Human</w:t>
        </w:r>
        <w:r w:rsidR="005D5532" w:rsidRPr="00E877A2">
          <w:rPr>
            <w:rStyle w:val="Hyperlink"/>
            <w:bCs/>
            <w:lang w:eastAsia="en-AU"/>
          </w:rPr>
          <w:t xml:space="preserve"> </w:t>
        </w:r>
        <w:r w:rsidRPr="00E877A2">
          <w:rPr>
            <w:rStyle w:val="Hyperlink"/>
            <w:bCs/>
            <w:lang w:eastAsia="en-AU"/>
          </w:rPr>
          <w:t>Services</w:t>
        </w:r>
        <w:r w:rsidR="005D5532" w:rsidRPr="00E877A2">
          <w:rPr>
            <w:rStyle w:val="Hyperlink"/>
            <w:bCs/>
            <w:lang w:eastAsia="en-AU"/>
          </w:rPr>
          <w:t xml:space="preserve"> </w:t>
        </w:r>
        <w:r w:rsidRPr="00E877A2">
          <w:rPr>
            <w:rStyle w:val="Hyperlink"/>
            <w:bCs/>
            <w:lang w:eastAsia="en-AU"/>
          </w:rPr>
          <w:t>Standards</w:t>
        </w:r>
        <w:r w:rsidR="005D5532" w:rsidRPr="00E877A2">
          <w:rPr>
            <w:rStyle w:val="Hyperlink"/>
            <w:bCs/>
            <w:lang w:eastAsia="en-AU"/>
          </w:rPr>
          <w:t xml:space="preserve"> </w:t>
        </w:r>
        <w:r w:rsidRPr="00E877A2">
          <w:rPr>
            <w:rStyle w:val="Hyperlink"/>
            <w:bCs/>
            <w:lang w:eastAsia="en-AU"/>
          </w:rPr>
          <w:t>Policy</w:t>
        </w:r>
      </w:hyperlink>
      <w:r w:rsidR="00E877A2">
        <w:rPr>
          <w:b/>
          <w:bCs/>
          <w:lang w:eastAsia="en-AU"/>
        </w:rPr>
        <w:t xml:space="preserve"> </w:t>
      </w:r>
      <w:r w:rsidR="00E877A2">
        <w:rPr>
          <w:lang w:eastAsia="en-AU"/>
        </w:rPr>
        <w:t>&lt;</w:t>
      </w:r>
      <w:r w:rsidR="00E877A2" w:rsidRPr="00E877A2">
        <w:rPr>
          <w:lang w:eastAsia="en-AU"/>
        </w:rPr>
        <w:t>https://providers.dhhs.vic.gov.au/human-services-standards</w:t>
      </w:r>
      <w:r w:rsidR="00E877A2">
        <w:rPr>
          <w:lang w:eastAsia="en-AU"/>
        </w:rPr>
        <w:t>&gt; (</w:t>
      </w:r>
      <w:r w:rsidR="00FF3164">
        <w:rPr>
          <w:lang w:eastAsia="en-AU"/>
        </w:rPr>
        <w:t xml:space="preserve">external link, </w:t>
      </w:r>
      <w:r w:rsidR="00EA74AB">
        <w:rPr>
          <w:lang w:eastAsia="en-AU"/>
        </w:rPr>
        <w:t>opens in a</w:t>
      </w:r>
      <w:r w:rsidR="00FF3164">
        <w:rPr>
          <w:lang w:eastAsia="en-AU"/>
        </w:rPr>
        <w:t xml:space="preserve"> </w:t>
      </w:r>
      <w:r w:rsidR="00EA74AB">
        <w:rPr>
          <w:lang w:eastAsia="en-AU"/>
        </w:rPr>
        <w:t>new window</w:t>
      </w:r>
      <w:r w:rsidR="00E877A2">
        <w:rPr>
          <w:lang w:eastAsia="en-AU"/>
        </w:rPr>
        <w:t xml:space="preserve">) </w:t>
      </w:r>
      <w:r w:rsidRPr="00276391">
        <w:rPr>
          <w:lang w:eastAsia="en-AU"/>
        </w:rPr>
        <w:t>lists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E877A2">
        <w:rPr>
          <w:lang w:eastAsia="en-AU"/>
        </w:rPr>
        <w:t>Standards.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consist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four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lastRenderedPageBreak/>
        <w:t>delivery</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department-endorsed</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body.</w:t>
      </w:r>
    </w:p>
    <w:p w14:paraId="395D5279"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receipt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in-scope</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full</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every</w:t>
      </w:r>
      <w:r w:rsidR="005D5532" w:rsidRPr="00276391">
        <w:rPr>
          <w:lang w:eastAsia="en-AU"/>
        </w:rPr>
        <w:t xml:space="preserve"> </w:t>
      </w:r>
      <w:r w:rsidRPr="00276391">
        <w:rPr>
          <w:lang w:eastAsia="en-AU"/>
        </w:rPr>
        <w:t>three-year</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maintain</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participation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mid-cycle</w:t>
      </w:r>
      <w:r w:rsidR="005D5532" w:rsidRPr="00276391">
        <w:rPr>
          <w:lang w:eastAsia="en-AU"/>
        </w:rPr>
        <w:t xml:space="preserve"> </w:t>
      </w:r>
      <w:r w:rsidRPr="00276391">
        <w:rPr>
          <w:lang w:eastAsia="en-AU"/>
        </w:rPr>
        <w:t>audits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every</w:t>
      </w:r>
      <w:r w:rsidR="005D5532" w:rsidRPr="00276391">
        <w:rPr>
          <w:lang w:eastAsia="en-AU"/>
        </w:rPr>
        <w:t xml:space="preserve"> </w:t>
      </w:r>
      <w:r w:rsidRPr="00276391">
        <w:rPr>
          <w:lang w:eastAsia="en-AU"/>
        </w:rPr>
        <w:t>eighteen</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per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endorsed</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body),</w:t>
      </w:r>
      <w:r w:rsidR="005D5532" w:rsidRPr="00276391">
        <w:rPr>
          <w:lang w:eastAsia="en-AU"/>
        </w:rPr>
        <w:t xml:space="preserve"> </w:t>
      </w:r>
      <w:r w:rsidRPr="00276391">
        <w:rPr>
          <w:lang w:eastAsia="en-AU"/>
        </w:rPr>
        <w:t>except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decision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exempt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p>
    <w:p w14:paraId="4C31CFE9" w14:textId="1960CD63" w:rsidR="00236748" w:rsidRPr="00276391" w:rsidRDefault="00236748" w:rsidP="00276391">
      <w:pPr>
        <w:pStyle w:val="DHHSbody"/>
        <w:rPr>
          <w:lang w:eastAsia="en-AU"/>
        </w:rPr>
      </w:pPr>
      <w:r w:rsidRPr="00276391">
        <w:rPr>
          <w:lang w:eastAsia="en-AU"/>
        </w:rPr>
        <w:t>Guidance</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demonstrate</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hyperlink r:id="rId45" w:tgtFrame="_blank" w:tooltip="Link to the Human Services Standards Evidence Guide" w:history="1">
        <w:r w:rsidRPr="00C94233">
          <w:rPr>
            <w:rStyle w:val="Hyperlink"/>
          </w:rPr>
          <w:t>Human</w:t>
        </w:r>
        <w:r w:rsidR="005D5532" w:rsidRPr="00C94233">
          <w:rPr>
            <w:rStyle w:val="Hyperlink"/>
          </w:rPr>
          <w:t xml:space="preserve"> </w:t>
        </w:r>
        <w:r w:rsidRPr="00C94233">
          <w:rPr>
            <w:rStyle w:val="Hyperlink"/>
          </w:rPr>
          <w:t>Services</w:t>
        </w:r>
        <w:r w:rsidR="005D5532" w:rsidRPr="00C94233">
          <w:rPr>
            <w:rStyle w:val="Hyperlink"/>
          </w:rPr>
          <w:t xml:space="preserve"> </w:t>
        </w:r>
        <w:r w:rsidRPr="00C94233">
          <w:rPr>
            <w:rStyle w:val="Hyperlink"/>
          </w:rPr>
          <w:t>Standards</w:t>
        </w:r>
        <w:r w:rsidR="005D5532" w:rsidRPr="00C94233">
          <w:rPr>
            <w:rStyle w:val="Hyperlink"/>
          </w:rPr>
          <w:t xml:space="preserve"> </w:t>
        </w:r>
        <w:r w:rsidRPr="00C94233">
          <w:rPr>
            <w:rStyle w:val="Hyperlink"/>
          </w:rPr>
          <w:t>evidence</w:t>
        </w:r>
        <w:r w:rsidR="005D5532" w:rsidRPr="00C94233">
          <w:rPr>
            <w:rStyle w:val="Hyperlink"/>
          </w:rPr>
          <w:t xml:space="preserve"> </w:t>
        </w:r>
        <w:r w:rsidRPr="00C94233">
          <w:rPr>
            <w:rStyle w:val="Hyperlink"/>
          </w:rPr>
          <w:t>guide</w:t>
        </w:r>
      </w:hyperlink>
      <w:r w:rsidR="005D5532" w:rsidRPr="00276391">
        <w:rPr>
          <w:lang w:eastAsia="en-AU"/>
        </w:rPr>
        <w:t xml:space="preserve"> </w:t>
      </w:r>
      <w:r w:rsidR="00E877A2">
        <w:rPr>
          <w:lang w:eastAsia="en-AU"/>
        </w:rPr>
        <w:t>&lt;</w:t>
      </w:r>
      <w:r w:rsidR="00E877A2" w:rsidRPr="00E877A2">
        <w:rPr>
          <w:lang w:eastAsia="en-AU"/>
        </w:rPr>
        <w:t>https://providers.dhhs.vic.gov.au/human-services-standards-evidence-guide-word</w:t>
      </w:r>
      <w:r w:rsidR="00E877A2">
        <w:rPr>
          <w:lang w:eastAsia="en-AU"/>
        </w:rPr>
        <w:t xml:space="preserve">&gt; </w:t>
      </w:r>
      <w:r w:rsidR="00D35798">
        <w:rPr>
          <w:lang w:eastAsia="en-AU"/>
        </w:rPr>
        <w:t>(</w:t>
      </w:r>
      <w:r w:rsidR="00FF3164">
        <w:rPr>
          <w:lang w:eastAsia="en-AU"/>
        </w:rPr>
        <w:t>external link</w:t>
      </w:r>
      <w:r w:rsidR="005E5545">
        <w:rPr>
          <w:lang w:eastAsia="en-AU"/>
        </w:rPr>
        <w:t>,</w:t>
      </w:r>
      <w:r w:rsidR="00FF3164">
        <w:rPr>
          <w:lang w:eastAsia="en-AU"/>
        </w:rPr>
        <w:t xml:space="preserve"> </w:t>
      </w:r>
      <w:r w:rsidR="00EA74AB">
        <w:rPr>
          <w:lang w:eastAsia="en-AU"/>
        </w:rPr>
        <w:t xml:space="preserve">opens in </w:t>
      </w:r>
      <w:r w:rsidR="00C62565">
        <w:rPr>
          <w:lang w:eastAsia="en-AU"/>
        </w:rPr>
        <w:t>a new window</w:t>
      </w:r>
      <w:r w:rsidR="00D35798">
        <w:rPr>
          <w:lang w:eastAsia="en-AU"/>
        </w:rPr>
        <w:t>)</w:t>
      </w:r>
    </w:p>
    <w:p w14:paraId="2E020353" w14:textId="002DC25E"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endorsed</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number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reviews</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F23F15">
        <w:rPr>
          <w:lang w:eastAsia="en-AU"/>
        </w:rPr>
        <w:t xml:space="preserve"> which is available from the </w:t>
      </w:r>
      <w:hyperlink r:id="rId46" w:history="1">
        <w:r w:rsidR="00F23F15" w:rsidRPr="00F23F15">
          <w:rPr>
            <w:rStyle w:val="Hyperlink"/>
            <w:lang w:eastAsia="en-AU"/>
          </w:rPr>
          <w:t>Human Services Standards website</w:t>
        </w:r>
      </w:hyperlink>
      <w:r w:rsidR="00F23F15">
        <w:rPr>
          <w:lang w:eastAsia="en-AU"/>
        </w:rPr>
        <w:t xml:space="preserve"> &lt;</w:t>
      </w:r>
      <w:r w:rsidR="00F23F15" w:rsidRPr="00F23F15">
        <w:rPr>
          <w:lang w:eastAsia="en-AU"/>
        </w:rPr>
        <w:t>https://providers.dhhs.vic.gov.au/human-services-standards</w:t>
      </w:r>
      <w:r w:rsidR="00F23F15">
        <w:rPr>
          <w:lang w:eastAsia="en-AU"/>
        </w:rPr>
        <w:t>&gt;</w:t>
      </w:r>
      <w:r w:rsidR="006250C7">
        <w:rPr>
          <w:lang w:eastAsia="en-AU"/>
        </w:rPr>
        <w:t xml:space="preserve"> </w:t>
      </w:r>
      <w:r w:rsidR="00F23F15">
        <w:t xml:space="preserve">(external link, </w:t>
      </w:r>
      <w:r w:rsidR="00EA74AB">
        <w:t xml:space="preserve">opens in </w:t>
      </w:r>
      <w:r w:rsidR="00C62565">
        <w:t>a new window</w:t>
      </w:r>
      <w:r w:rsidR="00F23F15">
        <w:t>)</w:t>
      </w:r>
    </w:p>
    <w:p w14:paraId="6C0D9275" w14:textId="30D8FBF8" w:rsidR="006B2164" w:rsidRPr="00276391" w:rsidRDefault="006B2164" w:rsidP="006B2164">
      <w:pPr>
        <w:pStyle w:val="DHHSbody"/>
        <w:rPr>
          <w:lang w:eastAsia="en-AU"/>
        </w:rPr>
      </w:pPr>
      <w:r w:rsidRPr="00276391">
        <w:rPr>
          <w:lang w:eastAsia="en-AU"/>
        </w:rPr>
        <w:t xml:space="preserve">Organisations that provide direct client services, but have otherwise been exempted by the department from independent reviews, may be required to undertake a self-assessment in accordance with the </w:t>
      </w:r>
      <w:hyperlink r:id="rId47" w:history="1">
        <w:r w:rsidRPr="00443292">
          <w:rPr>
            <w:rStyle w:val="Hyperlink"/>
            <w:bCs/>
            <w:lang w:eastAsia="en-AU"/>
          </w:rPr>
          <w:t>Human Services Standards self-assessment report and quality improvement plan</w:t>
        </w:r>
      </w:hyperlink>
      <w:r w:rsidRPr="00276391">
        <w:rPr>
          <w:lang w:eastAsia="en-AU"/>
        </w:rPr>
        <w:t>.</w:t>
      </w:r>
      <w:r w:rsidR="00443292">
        <w:rPr>
          <w:lang w:eastAsia="en-AU"/>
        </w:rPr>
        <w:t xml:space="preserve"> </w:t>
      </w:r>
      <w:r>
        <w:rPr>
          <w:lang w:eastAsia="en-AU"/>
        </w:rPr>
        <w:t>&lt;</w:t>
      </w:r>
      <w:r w:rsidRPr="00C75CDC">
        <w:rPr>
          <w:lang w:eastAsia="en-AU"/>
        </w:rPr>
        <w:t>https://providers.dhhs.vic.gov.au/human-services-standards</w:t>
      </w:r>
      <w:r>
        <w:rPr>
          <w:lang w:eastAsia="en-AU"/>
        </w:rPr>
        <w:t xml:space="preserve">&gt; </w:t>
      </w:r>
      <w:r w:rsidRPr="00276391">
        <w:rPr>
          <w:lang w:eastAsia="en-AU"/>
        </w:rPr>
        <w:t>(</w:t>
      </w:r>
      <w:r w:rsidR="006B3011">
        <w:rPr>
          <w:lang w:eastAsia="en-AU"/>
        </w:rPr>
        <w:t xml:space="preserve">external link, </w:t>
      </w:r>
      <w:r w:rsidRPr="00276391">
        <w:rPr>
          <w:lang w:eastAsia="en-AU"/>
        </w:rPr>
        <w:t>opens in a new window).</w:t>
      </w:r>
    </w:p>
    <w:p w14:paraId="0A0FC3F6" w14:textId="77777777" w:rsidR="00236748" w:rsidRPr="00276391" w:rsidRDefault="00236748" w:rsidP="00D60E56">
      <w:pPr>
        <w:pStyle w:val="DHHSbullet1"/>
        <w:numPr>
          <w:ilvl w:val="0"/>
          <w:numId w:val="0"/>
        </w:numPr>
        <w:ind w:left="284" w:hanging="284"/>
        <w:rPr>
          <w:rFonts w:cs="Arial"/>
          <w:lang w:eastAsia="en-AU"/>
        </w:rPr>
      </w:pPr>
      <w:r w:rsidRPr="00276391">
        <w:rPr>
          <w:rFonts w:cs="Arial"/>
          <w:lang w:eastAsia="en-AU"/>
        </w:rPr>
        <w:t>Where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does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meet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must:</w:t>
      </w:r>
    </w:p>
    <w:p w14:paraId="19DD7110" w14:textId="77777777" w:rsidR="00236748" w:rsidRPr="00276391" w:rsidRDefault="00236748" w:rsidP="00276391">
      <w:pPr>
        <w:pStyle w:val="DHHSbullet1"/>
        <w:rPr>
          <w:rFonts w:cs="Arial"/>
          <w:lang w:eastAsia="en-AU"/>
        </w:rPr>
      </w:pPr>
      <w:r w:rsidRPr="00276391">
        <w:rPr>
          <w:rFonts w:cs="Arial"/>
          <w:lang w:eastAsia="en-AU"/>
        </w:rPr>
        <w:t>immediately</w:t>
      </w:r>
      <w:r w:rsidR="005D5532" w:rsidRPr="00276391">
        <w:rPr>
          <w:rFonts w:cs="Arial"/>
          <w:lang w:eastAsia="en-AU"/>
        </w:rPr>
        <w:t xml:space="preserve"> </w:t>
      </w:r>
      <w:r w:rsidRPr="00276391">
        <w:rPr>
          <w:rFonts w:cs="Arial"/>
          <w:lang w:eastAsia="en-AU"/>
        </w:rPr>
        <w:t>resolve</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non-compliance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places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client</w:t>
      </w:r>
      <w:r w:rsidR="005D5532" w:rsidRPr="00276391">
        <w:rPr>
          <w:rFonts w:cs="Arial"/>
          <w:lang w:eastAsia="en-AU"/>
        </w:rPr>
        <w:t xml:space="preserve"> </w:t>
      </w:r>
      <w:r w:rsidRPr="00276391">
        <w:rPr>
          <w:rFonts w:cs="Arial"/>
          <w:lang w:eastAsia="en-AU"/>
        </w:rPr>
        <w:t>at</w:t>
      </w:r>
      <w:r w:rsidR="005D5532" w:rsidRPr="00276391">
        <w:rPr>
          <w:rFonts w:cs="Arial"/>
          <w:lang w:eastAsia="en-AU"/>
        </w:rPr>
        <w:t xml:space="preserve"> </w:t>
      </w:r>
      <w:r w:rsidRPr="00276391">
        <w:rPr>
          <w:rFonts w:cs="Arial"/>
          <w:lang w:eastAsia="en-AU"/>
        </w:rPr>
        <w:t>significant</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5F472B3B" w14:textId="77777777" w:rsidR="00236748" w:rsidRPr="00276391" w:rsidRDefault="00236748" w:rsidP="00276391">
      <w:pPr>
        <w:pStyle w:val="DHHSbullet1"/>
        <w:rPr>
          <w:rFonts w:cs="Arial"/>
          <w:lang w:eastAsia="en-AU"/>
        </w:rPr>
      </w:pPr>
      <w:r w:rsidRPr="00276391">
        <w:rPr>
          <w:rFonts w:cs="Arial"/>
          <w:lang w:eastAsia="en-AU"/>
        </w:rPr>
        <w:t>resolve</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non-compliances</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six</w:t>
      </w:r>
      <w:r w:rsidR="005D5532" w:rsidRPr="00276391">
        <w:rPr>
          <w:rFonts w:cs="Arial"/>
          <w:lang w:eastAsia="en-AU"/>
        </w:rPr>
        <w:t xml:space="preserve"> </w:t>
      </w:r>
      <w:r w:rsidRPr="00276391">
        <w:rPr>
          <w:rFonts w:cs="Arial"/>
          <w:lang w:eastAsia="en-AU"/>
        </w:rPr>
        <w:t>months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review.</w:t>
      </w:r>
      <w:r w:rsidR="005D5532" w:rsidRPr="00276391">
        <w:rPr>
          <w:rFonts w:cs="Arial"/>
          <w:lang w:eastAsia="en-AU"/>
        </w:rPr>
        <w:t xml:space="preserve"> </w:t>
      </w:r>
    </w:p>
    <w:p w14:paraId="48526E05" w14:textId="5FF49D26" w:rsidR="00236748" w:rsidRPr="00276391" w:rsidRDefault="00236748" w:rsidP="00276391">
      <w:pPr>
        <w:pStyle w:val="DHHSbody"/>
        <w:rPr>
          <w:lang w:eastAsia="en-AU"/>
        </w:rPr>
      </w:pP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agrees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body</w:t>
      </w:r>
      <w:r w:rsidR="005D5532" w:rsidRPr="00B24C02">
        <w:rPr>
          <w:rFonts w:cs="Arial"/>
          <w:color w:val="000000"/>
          <w:szCs w:val="19"/>
          <w:lang w:eastAsia="en-AU"/>
        </w:rPr>
        <w:t xml:space="preserve"> </w:t>
      </w:r>
      <w:r w:rsidRPr="00B24C02">
        <w:rPr>
          <w:rFonts w:cs="Arial"/>
          <w:color w:val="000000"/>
          <w:szCs w:val="19"/>
          <w:lang w:eastAsia="en-AU"/>
        </w:rPr>
        <w:t>notifying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engaged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agrees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body</w:t>
      </w:r>
      <w:r w:rsidR="005D5532" w:rsidRPr="00B24C02">
        <w:rPr>
          <w:rFonts w:cs="Arial"/>
          <w:color w:val="000000"/>
          <w:szCs w:val="19"/>
          <w:lang w:eastAsia="en-AU"/>
        </w:rPr>
        <w:t xml:space="preserve"> </w:t>
      </w:r>
      <w:r w:rsidRPr="00B24C02">
        <w:rPr>
          <w:rFonts w:cs="Arial"/>
          <w:color w:val="000000"/>
          <w:szCs w:val="19"/>
          <w:lang w:eastAsia="en-AU"/>
        </w:rPr>
        <w:t>providing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copy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reports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p>
    <w:p w14:paraId="1D538BC3"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requests</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body</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inform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justifiable</w:t>
      </w:r>
      <w:r w:rsidR="005D5532" w:rsidRPr="00276391">
        <w:rPr>
          <w:lang w:eastAsia="en-AU"/>
        </w:rPr>
        <w:t xml:space="preserve"> </w:t>
      </w:r>
      <w:r w:rsidRPr="00276391">
        <w:rPr>
          <w:lang w:eastAsia="en-AU"/>
        </w:rPr>
        <w:t>reason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doing</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notifying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compromise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collection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evidence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investigation.</w:t>
      </w:r>
    </w:p>
    <w:p w14:paraId="2925786E"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copy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body's</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reports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publish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p>
    <w:p w14:paraId="5578A19E" w14:textId="0F471D48" w:rsidR="006B2164" w:rsidRPr="00276391" w:rsidRDefault="006B2164" w:rsidP="006B2164">
      <w:pPr>
        <w:pStyle w:val="DHHSbody"/>
        <w:rPr>
          <w:lang w:eastAsia="en-AU"/>
        </w:rPr>
      </w:pPr>
      <w:r w:rsidRPr="00276391">
        <w:rPr>
          <w:lang w:eastAsia="en-AU"/>
        </w:rPr>
        <w:t xml:space="preserve">Under clause 10 of the </w:t>
      </w:r>
      <w:r w:rsidR="009B3052">
        <w:rPr>
          <w:lang w:eastAsia="en-AU"/>
        </w:rPr>
        <w:t>Service agreement</w:t>
      </w:r>
      <w:r w:rsidRPr="00276391">
        <w:rPr>
          <w:lang w:eastAsia="en-AU"/>
        </w:rPr>
        <w:t xml:space="preserve">, the department may agree to allow the organisation to subcontract the services. The department's operational divisions will notify the department's Standards and Regulation </w:t>
      </w:r>
      <w:r>
        <w:rPr>
          <w:lang w:eastAsia="en-AU"/>
        </w:rPr>
        <w:t>team</w:t>
      </w:r>
      <w:r w:rsidRPr="00276391">
        <w:rPr>
          <w:lang w:eastAsia="en-AU"/>
        </w:rPr>
        <w:t xml:space="preserve"> of any agreed subcontracting arrangements.</w:t>
      </w:r>
      <w:r>
        <w:rPr>
          <w:lang w:eastAsia="en-AU"/>
        </w:rPr>
        <w:t xml:space="preserve"> The organisation must also advise Standards and Regulation by emailing </w:t>
      </w:r>
      <w:hyperlink r:id="rId48" w:history="1">
        <w:r w:rsidRPr="00C94233">
          <w:rPr>
            <w:rStyle w:val="Hyperlink"/>
          </w:rPr>
          <w:t>hsstandards@dhhs.vic.gov.au</w:t>
        </w:r>
      </w:hyperlink>
      <w:r>
        <w:rPr>
          <w:lang w:eastAsia="en-AU"/>
        </w:rPr>
        <w:t>.</w:t>
      </w:r>
    </w:p>
    <w:p w14:paraId="4D01FF56" w14:textId="34FD0C7C"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obtained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prior</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engage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contract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(among</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things)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allowing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body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subcontractor's</w:t>
      </w:r>
      <w:r w:rsidR="005D5532" w:rsidRPr="00276391">
        <w:rPr>
          <w:lang w:eastAsia="en-AU"/>
        </w:rPr>
        <w:t xml:space="preserve"> </w:t>
      </w:r>
      <w:r w:rsidRPr="00276391">
        <w:rPr>
          <w:lang w:eastAsia="en-AU"/>
        </w:rPr>
        <w:t>premises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conduct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audit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same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9</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60AD6FAA" w14:textId="77777777" w:rsidR="00236748" w:rsidRPr="00276391" w:rsidRDefault="00236748" w:rsidP="009D4D32">
      <w:pPr>
        <w:pStyle w:val="Heading4"/>
        <w:rPr>
          <w:lang w:eastAsia="en-AU"/>
        </w:rPr>
      </w:pPr>
      <w:bookmarkStart w:id="258" w:name="_Toc478991767"/>
      <w:r w:rsidRPr="00276391">
        <w:rPr>
          <w:lang w:eastAsia="en-AU"/>
        </w:rPr>
        <w:t>Relationship</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Youth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Families</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2005</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Disability</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2006</w:t>
      </w:r>
      <w:bookmarkEnd w:id="258"/>
    </w:p>
    <w:p w14:paraId="5EF52FE0" w14:textId="77777777" w:rsidR="006B2164" w:rsidRPr="00276391" w:rsidRDefault="006B2164" w:rsidP="006B2164">
      <w:pPr>
        <w:pStyle w:val="DHHSbody"/>
        <w:rPr>
          <w:lang w:eastAsia="en-AU"/>
        </w:rPr>
      </w:pPr>
      <w:r w:rsidRPr="00443292">
        <w:rPr>
          <w:rFonts w:cs="Arial"/>
          <w:color w:val="000000"/>
          <w:szCs w:val="19"/>
          <w:lang w:eastAsia="en-AU"/>
        </w:rPr>
        <w:t xml:space="preserve">The </w:t>
      </w:r>
      <w:r w:rsidRPr="00D60E56">
        <w:rPr>
          <w:rFonts w:cs="Arial"/>
          <w:bCs/>
          <w:i/>
          <w:color w:val="000000"/>
          <w:szCs w:val="19"/>
          <w:lang w:eastAsia="en-AU"/>
        </w:rPr>
        <w:t>Children, Youth and Families Act 2005</w:t>
      </w:r>
      <w:r w:rsidRPr="00443292">
        <w:rPr>
          <w:rFonts w:cs="Arial"/>
          <w:color w:val="000000"/>
          <w:szCs w:val="19"/>
          <w:lang w:eastAsia="en-AU"/>
        </w:rPr>
        <w:t xml:space="preserve"> and the </w:t>
      </w:r>
      <w:r w:rsidRPr="00D60E56">
        <w:rPr>
          <w:rFonts w:cs="Arial"/>
          <w:bCs/>
          <w:i/>
          <w:color w:val="000000"/>
          <w:szCs w:val="19"/>
          <w:lang w:eastAsia="en-AU"/>
        </w:rPr>
        <w:t>Disability Act 2006</w:t>
      </w:r>
      <w:r>
        <w:rPr>
          <w:rFonts w:cs="Arial"/>
          <w:b/>
          <w:bCs/>
          <w:color w:val="000000"/>
          <w:szCs w:val="19"/>
          <w:lang w:eastAsia="en-AU"/>
        </w:rPr>
        <w:t xml:space="preserve"> </w:t>
      </w:r>
      <w:r w:rsidRPr="00B24C02">
        <w:rPr>
          <w:rFonts w:cs="Arial"/>
          <w:color w:val="000000"/>
          <w:szCs w:val="19"/>
          <w:lang w:eastAsia="en-AU"/>
        </w:rPr>
        <w:t>set out the requirements for the registration of community services that deliver community-based child and family services and/or out-of-home care services</w:t>
      </w:r>
      <w:r>
        <w:rPr>
          <w:rFonts w:cs="Arial"/>
          <w:color w:val="000000"/>
          <w:szCs w:val="19"/>
          <w:lang w:eastAsia="en-AU"/>
        </w:rPr>
        <w:t xml:space="preserve"> and </w:t>
      </w:r>
      <w:r w:rsidRPr="00B24C02">
        <w:rPr>
          <w:rFonts w:cs="Arial"/>
          <w:color w:val="000000"/>
          <w:szCs w:val="19"/>
          <w:lang w:eastAsia="en-AU"/>
        </w:rPr>
        <w:t>disability service providers.</w:t>
      </w:r>
    </w:p>
    <w:p w14:paraId="6FC5879E" w14:textId="78C53556" w:rsidR="00236748" w:rsidRPr="00276391" w:rsidRDefault="00236748" w:rsidP="00276391">
      <w:pPr>
        <w:pStyle w:val="DHHSbody"/>
        <w:rPr>
          <w:lang w:eastAsia="en-AU"/>
        </w:rPr>
      </w:pPr>
      <w:r w:rsidRPr="00276391">
        <w:rPr>
          <w:lang w:eastAsia="en-AU"/>
        </w:rPr>
        <w:lastRenderedPageBreak/>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gazetted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353EC2" w:rsidRPr="00D60E56">
        <w:rPr>
          <w:rFonts w:cs="Arial"/>
          <w:bCs/>
          <w:i/>
          <w:color w:val="000000"/>
          <w:szCs w:val="19"/>
          <w:lang w:eastAsia="en-AU"/>
        </w:rPr>
        <w:t>Children, Youth and Families Act 2005</w:t>
      </w:r>
      <w:r w:rsidR="00353EC2" w:rsidRPr="00443292">
        <w:rPr>
          <w:rFonts w:cs="Arial"/>
          <w:color w:val="000000"/>
          <w:szCs w:val="19"/>
          <w:lang w:eastAsia="en-AU"/>
        </w:rPr>
        <w:t xml:space="preserve"> and the </w:t>
      </w:r>
      <w:r w:rsidR="00353EC2" w:rsidRPr="00D60E56">
        <w:rPr>
          <w:rFonts w:cs="Arial"/>
          <w:bCs/>
          <w:i/>
          <w:color w:val="000000"/>
          <w:szCs w:val="19"/>
          <w:lang w:eastAsia="en-AU"/>
        </w:rPr>
        <w:t xml:space="preserve">Disability Act </w:t>
      </w:r>
      <w:r w:rsidRPr="00276391">
        <w:rPr>
          <w:lang w:eastAsia="en-AU"/>
        </w:rPr>
        <w:t>and</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met</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registered</w:t>
      </w:r>
      <w:r w:rsidR="005D5532" w:rsidRPr="00276391">
        <w:rPr>
          <w:lang w:eastAsia="en-AU"/>
        </w:rPr>
        <w:t xml:space="preserve"> </w:t>
      </w:r>
      <w:r w:rsidRPr="00276391">
        <w:rPr>
          <w:lang w:eastAsia="en-AU"/>
        </w:rPr>
        <w:t>organisations.</w:t>
      </w:r>
    </w:p>
    <w:p w14:paraId="07F0AE44"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demonstrate</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capacity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self-assessment</w:t>
      </w:r>
      <w:r w:rsidR="005D5532" w:rsidRPr="00276391">
        <w:rPr>
          <w:lang w:eastAsia="en-AU"/>
        </w:rPr>
        <w:t xml:space="preserve"> </w:t>
      </w:r>
      <w:r w:rsidRPr="00276391">
        <w:rPr>
          <w:lang w:eastAsia="en-AU"/>
        </w:rPr>
        <w:t>report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improvement</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12</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renew</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demonstrate</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gazetted</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evidenced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exempt</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p>
    <w:p w14:paraId="375A0F8A" w14:textId="34B5C09D"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affect</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353EC2" w:rsidRPr="00D60E56">
        <w:rPr>
          <w:rFonts w:cs="Arial"/>
          <w:bCs/>
          <w:i/>
          <w:color w:val="000000"/>
          <w:szCs w:val="19"/>
          <w:lang w:eastAsia="en-AU"/>
        </w:rPr>
        <w:t>Children, Youth and Families Act 2005</w:t>
      </w:r>
      <w:r w:rsidR="00353EC2" w:rsidRPr="00443292">
        <w:rPr>
          <w:rFonts w:cs="Arial"/>
          <w:color w:val="000000"/>
          <w:szCs w:val="19"/>
          <w:lang w:eastAsia="en-AU"/>
        </w:rPr>
        <w:t xml:space="preserve"> and the </w:t>
      </w:r>
      <w:r w:rsidR="00353EC2" w:rsidRPr="00D60E56">
        <w:rPr>
          <w:rFonts w:cs="Arial"/>
          <w:bCs/>
          <w:i/>
          <w:color w:val="000000"/>
          <w:szCs w:val="19"/>
          <w:lang w:eastAsia="en-AU"/>
        </w:rPr>
        <w:t>Disability Act</w:t>
      </w:r>
      <w:r w:rsidR="00353EC2">
        <w:rPr>
          <w:rFonts w:cs="Arial"/>
          <w:bCs/>
          <w:i/>
          <w:color w:val="000000"/>
          <w:szCs w:val="19"/>
          <w:lang w:eastAsia="en-AU"/>
        </w:rPr>
        <w:t>.</w:t>
      </w:r>
    </w:p>
    <w:p w14:paraId="1512FAC0" w14:textId="2053FFD2"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Acts,</w:t>
      </w:r>
      <w:r w:rsidR="005D5532" w:rsidRPr="00276391">
        <w:rPr>
          <w:lang w:eastAsia="en-AU"/>
        </w:rPr>
        <w:t xml:space="preserve"> </w:t>
      </w:r>
      <w:r w:rsidRPr="00276391">
        <w:rPr>
          <w:lang w:eastAsia="en-AU"/>
        </w:rPr>
        <w:t>refer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353EC2">
        <w:rPr>
          <w:lang w:eastAsia="en-AU"/>
        </w:rPr>
        <w:t>‘</w:t>
      </w:r>
      <w:r w:rsidRPr="00353EC2">
        <w:rPr>
          <w:bCs/>
          <w:lang w:eastAsia="en-AU"/>
        </w:rPr>
        <w:t>Policies,</w:t>
      </w:r>
      <w:r w:rsidR="005D5532" w:rsidRPr="00353EC2">
        <w:rPr>
          <w:bCs/>
          <w:lang w:eastAsia="en-AU"/>
        </w:rPr>
        <w:t xml:space="preserve"> </w:t>
      </w:r>
      <w:r w:rsidRPr="00353EC2">
        <w:rPr>
          <w:bCs/>
          <w:lang w:eastAsia="en-AU"/>
        </w:rPr>
        <w:t>procedures</w:t>
      </w:r>
      <w:r w:rsidR="005D5532" w:rsidRPr="00353EC2">
        <w:rPr>
          <w:bCs/>
          <w:lang w:eastAsia="en-AU"/>
        </w:rPr>
        <w:t xml:space="preserve"> </w:t>
      </w:r>
      <w:r w:rsidRPr="00353EC2">
        <w:rPr>
          <w:bCs/>
          <w:lang w:eastAsia="en-AU"/>
        </w:rPr>
        <w:t>and</w:t>
      </w:r>
      <w:r w:rsidR="005D5532" w:rsidRPr="00353EC2">
        <w:rPr>
          <w:bCs/>
          <w:lang w:eastAsia="en-AU"/>
        </w:rPr>
        <w:t xml:space="preserve"> </w:t>
      </w:r>
      <w:r w:rsidRPr="00353EC2">
        <w:rPr>
          <w:bCs/>
          <w:lang w:eastAsia="en-AU"/>
        </w:rPr>
        <w:t>forms</w:t>
      </w:r>
      <w:r w:rsidR="005D5532" w:rsidRPr="00353EC2">
        <w:rPr>
          <w:bCs/>
          <w:lang w:eastAsia="en-AU"/>
        </w:rPr>
        <w:t xml:space="preserve"> </w:t>
      </w:r>
      <w:r w:rsidRPr="00353EC2">
        <w:rPr>
          <w:bCs/>
          <w:lang w:eastAsia="en-AU"/>
        </w:rPr>
        <w:t>for</w:t>
      </w:r>
      <w:r w:rsidR="005D5532" w:rsidRPr="00353EC2">
        <w:rPr>
          <w:bCs/>
          <w:lang w:eastAsia="en-AU"/>
        </w:rPr>
        <w:t xml:space="preserve"> </w:t>
      </w:r>
      <w:r w:rsidRPr="00353EC2">
        <w:rPr>
          <w:bCs/>
          <w:lang w:eastAsia="en-AU"/>
        </w:rPr>
        <w:t>the</w:t>
      </w:r>
      <w:r w:rsidR="005D5532" w:rsidRPr="00353EC2">
        <w:rPr>
          <w:bCs/>
          <w:lang w:eastAsia="en-AU"/>
        </w:rPr>
        <w:t xml:space="preserve"> </w:t>
      </w:r>
      <w:r w:rsidRPr="00353EC2">
        <w:rPr>
          <w:bCs/>
          <w:lang w:eastAsia="en-AU"/>
        </w:rPr>
        <w:t>registration</w:t>
      </w:r>
      <w:r w:rsidR="005D5532" w:rsidRPr="00353EC2">
        <w:rPr>
          <w:bCs/>
          <w:lang w:eastAsia="en-AU"/>
        </w:rPr>
        <w:t xml:space="preserve"> </w:t>
      </w:r>
      <w:r w:rsidRPr="00353EC2">
        <w:rPr>
          <w:bCs/>
          <w:lang w:eastAsia="en-AU"/>
        </w:rPr>
        <w:t>of</w:t>
      </w:r>
      <w:r w:rsidR="005D5532" w:rsidRPr="00353EC2">
        <w:rPr>
          <w:bCs/>
          <w:lang w:eastAsia="en-AU"/>
        </w:rPr>
        <w:t xml:space="preserve"> </w:t>
      </w:r>
      <w:r w:rsidRPr="00353EC2">
        <w:rPr>
          <w:bCs/>
          <w:lang w:eastAsia="en-AU"/>
        </w:rPr>
        <w:t>disability</w:t>
      </w:r>
      <w:r w:rsidR="005D5532" w:rsidRPr="00353EC2">
        <w:rPr>
          <w:bCs/>
          <w:lang w:eastAsia="en-AU"/>
        </w:rPr>
        <w:t xml:space="preserve"> </w:t>
      </w:r>
      <w:r w:rsidRPr="00353EC2">
        <w:rPr>
          <w:bCs/>
          <w:lang w:eastAsia="en-AU"/>
        </w:rPr>
        <w:t>service</w:t>
      </w:r>
      <w:r w:rsidR="005D5532" w:rsidRPr="00353EC2">
        <w:rPr>
          <w:bCs/>
          <w:lang w:eastAsia="en-AU"/>
        </w:rPr>
        <w:t xml:space="preserve"> </w:t>
      </w:r>
      <w:r w:rsidRPr="00353EC2">
        <w:rPr>
          <w:bCs/>
          <w:lang w:eastAsia="en-AU"/>
        </w:rPr>
        <w:t>providers</w:t>
      </w:r>
      <w:r w:rsidR="005D5532" w:rsidRPr="00353EC2">
        <w:rPr>
          <w:bCs/>
          <w:lang w:eastAsia="en-AU"/>
        </w:rPr>
        <w:t xml:space="preserve"> </w:t>
      </w:r>
      <w:r w:rsidRPr="00353EC2">
        <w:rPr>
          <w:bCs/>
          <w:lang w:eastAsia="en-AU"/>
        </w:rPr>
        <w:t>and</w:t>
      </w:r>
      <w:r w:rsidR="005D5532" w:rsidRPr="00353EC2">
        <w:rPr>
          <w:bCs/>
          <w:lang w:eastAsia="en-AU"/>
        </w:rPr>
        <w:t xml:space="preserve"> </w:t>
      </w:r>
      <w:r w:rsidRPr="00353EC2">
        <w:rPr>
          <w:bCs/>
          <w:lang w:eastAsia="en-AU"/>
        </w:rPr>
        <w:t>community</w:t>
      </w:r>
      <w:r w:rsidR="005D5532" w:rsidRPr="00353EC2">
        <w:rPr>
          <w:bCs/>
          <w:lang w:eastAsia="en-AU"/>
        </w:rPr>
        <w:t xml:space="preserve"> </w:t>
      </w:r>
      <w:r w:rsidRPr="00353EC2">
        <w:rPr>
          <w:bCs/>
          <w:lang w:eastAsia="en-AU"/>
        </w:rPr>
        <w:t>services</w:t>
      </w:r>
      <w:r w:rsidR="00353EC2">
        <w:rPr>
          <w:bCs/>
          <w:lang w:eastAsia="en-AU"/>
        </w:rPr>
        <w:t>’</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on</w:t>
      </w:r>
      <w:r w:rsidR="005D5532" w:rsidRPr="00276391">
        <w:rPr>
          <w:lang w:eastAsia="en-AU"/>
        </w:rPr>
        <w:t xml:space="preserve"> </w:t>
      </w:r>
      <w:hyperlink r:id="rId49" w:tgtFrame="_blank" w:tooltip="Link to the Human Services Standards" w:history="1">
        <w:r w:rsidRPr="00C94233">
          <w:rPr>
            <w:rStyle w:val="Hyperlink"/>
          </w:rPr>
          <w:t>Human</w:t>
        </w:r>
        <w:r w:rsidR="005D5532" w:rsidRPr="00C94233">
          <w:rPr>
            <w:rStyle w:val="Hyperlink"/>
          </w:rPr>
          <w:t xml:space="preserve"> </w:t>
        </w:r>
        <w:r w:rsidRPr="00C94233">
          <w:rPr>
            <w:rStyle w:val="Hyperlink"/>
          </w:rPr>
          <w:t>Services</w:t>
        </w:r>
        <w:r w:rsidR="005D5532" w:rsidRPr="00C94233">
          <w:rPr>
            <w:rStyle w:val="Hyperlink"/>
          </w:rPr>
          <w:t xml:space="preserve"> </w:t>
        </w:r>
        <w:r w:rsidRPr="00C94233">
          <w:rPr>
            <w:rStyle w:val="Hyperlink"/>
          </w:rPr>
          <w:t>Standards</w:t>
        </w:r>
      </w:hyperlink>
      <w:r w:rsidR="005D5532" w:rsidRPr="00276391">
        <w:rPr>
          <w:lang w:eastAsia="en-AU"/>
        </w:rPr>
        <w:t xml:space="preserve"> </w:t>
      </w:r>
      <w:r w:rsidR="00EF2C5E">
        <w:rPr>
          <w:lang w:eastAsia="en-AU"/>
        </w:rPr>
        <w:t>&lt;</w:t>
      </w:r>
      <w:r w:rsidR="00C75CDC" w:rsidRPr="00C75CDC">
        <w:rPr>
          <w:lang w:eastAsia="en-AU"/>
        </w:rPr>
        <w:t>https://providers.dhhs.vic.gov.au/human-services-standards</w:t>
      </w:r>
      <w:r w:rsidR="00EF2C5E">
        <w:rPr>
          <w:lang w:eastAsia="en-AU"/>
        </w:rPr>
        <w:t>&gt;</w:t>
      </w:r>
      <w:r w:rsidR="00EF2C5E" w:rsidRPr="00EF2C5E">
        <w:rPr>
          <w:lang w:eastAsia="en-AU"/>
        </w:rPr>
        <w:t xml:space="preserve"> </w:t>
      </w:r>
      <w:r w:rsidRPr="00276391">
        <w:rPr>
          <w:lang w:eastAsia="en-AU"/>
        </w:rPr>
        <w:t>(</w:t>
      </w:r>
      <w:r w:rsidR="00FF3164">
        <w:rPr>
          <w:lang w:eastAsia="en-AU"/>
        </w:rPr>
        <w:t xml:space="preserve">external link,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142A5485" w14:textId="77777777" w:rsidR="00236748" w:rsidRPr="00276391" w:rsidRDefault="00236748" w:rsidP="00C94233">
      <w:pPr>
        <w:pStyle w:val="DHHSbodyBold"/>
        <w:tabs>
          <w:tab w:val="left" w:pos="3990"/>
        </w:tabs>
        <w:rPr>
          <w:lang w:eastAsia="en-AU"/>
        </w:rPr>
      </w:pPr>
      <w:bookmarkStart w:id="259" w:name="_Toc478991768"/>
      <w:r w:rsidRPr="00276391">
        <w:rPr>
          <w:lang w:eastAsia="en-AU"/>
        </w:rPr>
        <w:t>Further</w:t>
      </w:r>
      <w:r w:rsidR="005D5532" w:rsidRPr="00276391">
        <w:rPr>
          <w:lang w:eastAsia="en-AU"/>
        </w:rPr>
        <w:t xml:space="preserve"> </w:t>
      </w:r>
      <w:r w:rsidRPr="00276391">
        <w:rPr>
          <w:lang w:eastAsia="en-AU"/>
        </w:rPr>
        <w:t>information</w:t>
      </w:r>
      <w:bookmarkEnd w:id="259"/>
      <w:r w:rsidR="00C94233">
        <w:rPr>
          <w:lang w:eastAsia="en-AU"/>
        </w:rPr>
        <w:tab/>
      </w:r>
    </w:p>
    <w:p w14:paraId="36F931B5" w14:textId="6D13802B"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Standards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50" w:history="1">
        <w:r w:rsidRPr="00F23F15">
          <w:rPr>
            <w:rStyle w:val="Hyperlink"/>
          </w:rPr>
          <w:t>Department</w:t>
        </w:r>
        <w:r w:rsidR="005D5532" w:rsidRPr="00F23F15">
          <w:rPr>
            <w:rStyle w:val="Hyperlink"/>
          </w:rPr>
          <w:t xml:space="preserve"> </w:t>
        </w:r>
        <w:r w:rsidRPr="00F23F15">
          <w:rPr>
            <w:rStyle w:val="Hyperlink"/>
          </w:rPr>
          <w:t>of</w:t>
        </w:r>
        <w:r w:rsidR="005D5532" w:rsidRPr="00F23F15">
          <w:rPr>
            <w:rStyle w:val="Hyperlink"/>
          </w:rPr>
          <w:t xml:space="preserve"> </w:t>
        </w:r>
        <w:r w:rsidRPr="00F23F15">
          <w:rPr>
            <w:rStyle w:val="Hyperlink"/>
          </w:rPr>
          <w:t>Health</w:t>
        </w:r>
        <w:r w:rsidR="005D5532" w:rsidRPr="00F23F15">
          <w:rPr>
            <w:rStyle w:val="Hyperlink"/>
          </w:rPr>
          <w:t xml:space="preserve"> </w:t>
        </w:r>
        <w:r w:rsidRPr="00F23F15">
          <w:rPr>
            <w:rStyle w:val="Hyperlink"/>
          </w:rPr>
          <w:t>and</w:t>
        </w:r>
        <w:r w:rsidR="005D5532" w:rsidRPr="00F23F15">
          <w:rPr>
            <w:rStyle w:val="Hyperlink"/>
          </w:rPr>
          <w:t xml:space="preserve"> </w:t>
        </w:r>
        <w:r w:rsidRPr="00F23F15">
          <w:rPr>
            <w:rStyle w:val="Hyperlink"/>
          </w:rPr>
          <w:t>Human</w:t>
        </w:r>
        <w:r w:rsidR="005D5532" w:rsidRPr="00F23F15">
          <w:rPr>
            <w:rStyle w:val="Hyperlink"/>
          </w:rPr>
          <w:t xml:space="preserve"> </w:t>
        </w:r>
        <w:r w:rsidRPr="00F23F15">
          <w:rPr>
            <w:rStyle w:val="Hyperlink"/>
          </w:rPr>
          <w:t>Services</w:t>
        </w:r>
        <w:r w:rsidR="005D5532" w:rsidRPr="00F23F15">
          <w:rPr>
            <w:rStyle w:val="Hyperlink"/>
          </w:rPr>
          <w:t xml:space="preserve"> </w:t>
        </w:r>
        <w:r w:rsidRPr="00F23F15">
          <w:rPr>
            <w:rStyle w:val="Hyperlink"/>
          </w:rPr>
          <w:t>Policy</w:t>
        </w:r>
        <w:r w:rsidR="005D5532" w:rsidRPr="00F23F15">
          <w:rPr>
            <w:rStyle w:val="Hyperlink"/>
          </w:rPr>
          <w:t xml:space="preserve"> </w:t>
        </w:r>
        <w:r w:rsidRPr="00F23F15">
          <w:rPr>
            <w:rStyle w:val="Hyperlink"/>
          </w:rPr>
          <w:t>and</w:t>
        </w:r>
        <w:r w:rsidR="005D5532" w:rsidRPr="00F23F15">
          <w:rPr>
            <w:rStyle w:val="Hyperlink"/>
          </w:rPr>
          <w:t xml:space="preserve"> </w:t>
        </w:r>
        <w:r w:rsidR="000F4B7A" w:rsidRPr="00F23F15">
          <w:rPr>
            <w:rStyle w:val="Hyperlink"/>
          </w:rPr>
          <w:t>f</w:t>
        </w:r>
        <w:r w:rsidRPr="00F23F15">
          <w:rPr>
            <w:rStyle w:val="Hyperlink"/>
          </w:rPr>
          <w:t>unding</w:t>
        </w:r>
        <w:r w:rsidR="005D5532" w:rsidRPr="00F23F15">
          <w:rPr>
            <w:rStyle w:val="Hyperlink"/>
          </w:rPr>
          <w:t xml:space="preserve"> </w:t>
        </w:r>
        <w:r w:rsidR="000F4B7A" w:rsidRPr="00F23F15">
          <w:rPr>
            <w:rStyle w:val="Hyperlink"/>
          </w:rPr>
          <w:t>g</w:t>
        </w:r>
        <w:r w:rsidRPr="00F23F15">
          <w:rPr>
            <w:rStyle w:val="Hyperlink"/>
          </w:rPr>
          <w:t>uidelines</w:t>
        </w:r>
      </w:hyperlink>
      <w:r w:rsidR="005D5532" w:rsidRPr="00B24C02">
        <w:rPr>
          <w:rFonts w:cs="Arial"/>
          <w:color w:val="000000"/>
          <w:szCs w:val="19"/>
          <w:lang w:eastAsia="en-AU"/>
        </w:rPr>
        <w:t xml:space="preserve"> </w:t>
      </w:r>
      <w:r w:rsidR="005E495E">
        <w:rPr>
          <w:rFonts w:cs="Arial"/>
          <w:color w:val="000000"/>
          <w:szCs w:val="19"/>
          <w:lang w:eastAsia="en-AU"/>
        </w:rPr>
        <w:t>&lt;</w:t>
      </w:r>
      <w:r w:rsidR="005E495E" w:rsidRPr="005E495E">
        <w:rPr>
          <w:rFonts w:cs="Arial"/>
          <w:color w:val="000000"/>
          <w:szCs w:val="19"/>
          <w:lang w:eastAsia="en-AU"/>
        </w:rPr>
        <w:t>https://www.dhhs.vic.gov.au/policy-and-funding-guidelines</w:t>
      </w:r>
      <w:r w:rsidR="005E495E">
        <w:rPr>
          <w:rFonts w:cs="Arial"/>
          <w:color w:val="000000"/>
          <w:szCs w:val="19"/>
          <w:lang w:eastAsia="en-AU"/>
        </w:rPr>
        <w:t xml:space="preserve">&gt;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51" w:tgtFrame="_blank" w:tooltip="Link to the Human Services Standards" w:history="1">
        <w:r w:rsidRPr="00C94233">
          <w:rPr>
            <w:rStyle w:val="Hyperlink"/>
          </w:rPr>
          <w:t>Human</w:t>
        </w:r>
        <w:r w:rsidR="005D5532" w:rsidRPr="00C94233">
          <w:rPr>
            <w:rStyle w:val="Hyperlink"/>
          </w:rPr>
          <w:t xml:space="preserve"> </w:t>
        </w:r>
        <w:r w:rsidRPr="00C94233">
          <w:rPr>
            <w:rStyle w:val="Hyperlink"/>
          </w:rPr>
          <w:t>Services</w:t>
        </w:r>
        <w:r w:rsidR="005D5532" w:rsidRPr="00C94233">
          <w:rPr>
            <w:rStyle w:val="Hyperlink"/>
          </w:rPr>
          <w:t xml:space="preserve"> </w:t>
        </w:r>
        <w:r w:rsidRPr="00C94233">
          <w:rPr>
            <w:rStyle w:val="Hyperlink"/>
          </w:rPr>
          <w:t>Standards</w:t>
        </w:r>
      </w:hyperlink>
      <w:r w:rsidR="005D5532" w:rsidRPr="00B24C02">
        <w:rPr>
          <w:rFonts w:cs="Arial"/>
          <w:color w:val="000000"/>
          <w:szCs w:val="19"/>
          <w:lang w:eastAsia="en-AU"/>
        </w:rPr>
        <w:t xml:space="preserve"> </w:t>
      </w:r>
      <w:r w:rsidRPr="00B24C02">
        <w:rPr>
          <w:rFonts w:cs="Arial"/>
          <w:color w:val="000000"/>
          <w:szCs w:val="19"/>
          <w:lang w:eastAsia="en-AU"/>
        </w:rPr>
        <w:t>web</w:t>
      </w:r>
      <w:r w:rsidR="005D5532" w:rsidRPr="00B24C02">
        <w:rPr>
          <w:rFonts w:cs="Arial"/>
          <w:color w:val="000000"/>
          <w:szCs w:val="19"/>
          <w:lang w:eastAsia="en-AU"/>
        </w:rPr>
        <w:t xml:space="preserve"> </w:t>
      </w:r>
      <w:r w:rsidRPr="00B24C02">
        <w:rPr>
          <w:rFonts w:cs="Arial"/>
          <w:color w:val="000000"/>
          <w:szCs w:val="19"/>
          <w:lang w:eastAsia="en-AU"/>
        </w:rPr>
        <w:t>page</w:t>
      </w:r>
      <w:r w:rsidR="00EF2C5E">
        <w:rPr>
          <w:rFonts w:cs="Arial"/>
          <w:color w:val="000000"/>
          <w:szCs w:val="19"/>
          <w:lang w:eastAsia="en-AU"/>
        </w:rPr>
        <w:t xml:space="preserve"> &lt;</w:t>
      </w:r>
      <w:r w:rsidR="00C75CDC" w:rsidRPr="00C75CDC">
        <w:rPr>
          <w:rFonts w:cs="Arial"/>
          <w:color w:val="000000"/>
          <w:szCs w:val="19"/>
          <w:lang w:eastAsia="en-AU"/>
        </w:rPr>
        <w:t>https://providers.dhhs.vic.gov.au/human-services-standards</w:t>
      </w:r>
      <w:r w:rsidR="00EF2C5E">
        <w:rPr>
          <w:rFonts w:cs="Arial"/>
          <w:color w:val="000000"/>
          <w:szCs w:val="19"/>
          <w:lang w:eastAsia="en-AU"/>
        </w:rPr>
        <w:t>&gt;</w:t>
      </w:r>
      <w:r w:rsidR="0091711D">
        <w:rPr>
          <w:rFonts w:cs="Arial"/>
          <w:color w:val="000000"/>
          <w:szCs w:val="19"/>
          <w:lang w:eastAsia="en-AU"/>
        </w:rPr>
        <w:t xml:space="preserve"> </w:t>
      </w:r>
      <w:r w:rsidRPr="00B24C02">
        <w:rPr>
          <w:rFonts w:cs="Arial"/>
          <w:color w:val="000000"/>
          <w:szCs w:val="19"/>
          <w:lang w:eastAsia="en-AU"/>
        </w:rPr>
        <w:t>(</w:t>
      </w:r>
      <w:r w:rsidR="00FF3164">
        <w:rPr>
          <w:rFonts w:cs="Arial"/>
          <w:color w:val="000000"/>
          <w:szCs w:val="19"/>
          <w:lang w:eastAsia="en-AU"/>
        </w:rPr>
        <w:t xml:space="preserve">external link,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p>
    <w:p w14:paraId="10F4B9DC" w14:textId="5189D223" w:rsidR="00236748" w:rsidRPr="00276391" w:rsidRDefault="00236748" w:rsidP="00276391">
      <w:pPr>
        <w:pStyle w:val="DHHSbody"/>
        <w:rPr>
          <w:lang w:eastAsia="en-AU"/>
        </w:rPr>
      </w:pPr>
      <w:r w:rsidRPr="00276391">
        <w:rPr>
          <w:lang w:eastAsia="en-AU"/>
        </w:rPr>
        <w:t>Any</w:t>
      </w:r>
      <w:r w:rsidR="005D5532" w:rsidRPr="00276391">
        <w:rPr>
          <w:lang w:eastAsia="en-AU"/>
        </w:rPr>
        <w:t xml:space="preserve"> </w:t>
      </w:r>
      <w:r w:rsidRPr="00276391">
        <w:rPr>
          <w:lang w:eastAsia="en-AU"/>
        </w:rPr>
        <w:t>questions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emailed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Regulation</w:t>
      </w:r>
      <w:r w:rsidR="005D5532" w:rsidRPr="00276391">
        <w:rPr>
          <w:lang w:eastAsia="en-AU"/>
        </w:rPr>
        <w:t xml:space="preserve"> </w:t>
      </w:r>
      <w:r w:rsidRPr="00276391">
        <w:rPr>
          <w:lang w:eastAsia="en-AU"/>
        </w:rPr>
        <w:t>Unit:</w:t>
      </w:r>
      <w:r w:rsidR="005D5532" w:rsidRPr="00276391">
        <w:rPr>
          <w:lang w:eastAsia="en-AU"/>
        </w:rPr>
        <w:t xml:space="preserve"> </w:t>
      </w:r>
      <w:hyperlink r:id="rId52" w:history="1">
        <w:r w:rsidRPr="00C94233">
          <w:rPr>
            <w:rStyle w:val="Hyperlink"/>
          </w:rPr>
          <w:t>hsstandards@dhhs.vic.gov.au</w:t>
        </w:r>
      </w:hyperlink>
      <w:r w:rsidRPr="0091711D">
        <w:rPr>
          <w:rFonts w:cs="Arial"/>
          <w:color w:val="000000"/>
          <w:szCs w:val="19"/>
          <w:lang w:eastAsia="en-AU"/>
        </w:rPr>
        <w:t>.</w:t>
      </w:r>
    </w:p>
    <w:p w14:paraId="178ADCE1" w14:textId="77777777" w:rsidR="00236748" w:rsidRPr="00D1481E" w:rsidRDefault="00236748" w:rsidP="00D1481E">
      <w:pPr>
        <w:pStyle w:val="Heading2"/>
        <w:rPr>
          <w:rFonts w:cs="Arial"/>
          <w:lang w:eastAsia="en-AU"/>
        </w:rPr>
      </w:pPr>
      <w:bookmarkStart w:id="260" w:name="_Toc478991769"/>
      <w:bookmarkStart w:id="261" w:name="_Toc478992364"/>
      <w:bookmarkStart w:id="262" w:name="_Toc478992890"/>
      <w:bookmarkStart w:id="263" w:name="_Toc4142040"/>
      <w:r w:rsidRPr="00276391">
        <w:rPr>
          <w:rFonts w:cs="Arial"/>
          <w:lang w:eastAsia="en-AU"/>
        </w:rPr>
        <w:t>3.4</w:t>
      </w:r>
      <w:r w:rsidR="009B2351" w:rsidRPr="00276391">
        <w:rPr>
          <w:rFonts w:cs="Arial"/>
          <w:lang w:eastAsia="en-AU"/>
        </w:rPr>
        <w:t xml:space="preserve"> </w:t>
      </w:r>
      <w:r w:rsidRPr="00276391">
        <w:rPr>
          <w:rFonts w:cs="Arial"/>
          <w:lang w:eastAsia="en-AU"/>
        </w:rPr>
        <w:t>Funding</w:t>
      </w:r>
      <w:bookmarkEnd w:id="260"/>
      <w:bookmarkEnd w:id="261"/>
      <w:bookmarkEnd w:id="262"/>
      <w:bookmarkEnd w:id="263"/>
    </w:p>
    <w:p w14:paraId="454860CE" w14:textId="77777777" w:rsidR="00236748" w:rsidRPr="00276391" w:rsidRDefault="00236748" w:rsidP="009D4D32">
      <w:pPr>
        <w:pStyle w:val="Heading3"/>
        <w:rPr>
          <w:lang w:eastAsia="en-AU"/>
        </w:rPr>
      </w:pPr>
      <w:bookmarkStart w:id="264" w:name="_Toc478991770"/>
      <w:bookmarkStart w:id="265" w:name="_Toc478992365"/>
      <w:bookmarkStart w:id="266" w:name="_Toc4142041"/>
      <w:r w:rsidRPr="00276391">
        <w:rPr>
          <w:lang w:eastAsia="en-AU"/>
        </w:rPr>
        <w:t>3.4.1</w:t>
      </w:r>
      <w:r w:rsidR="009B2351" w:rsidRPr="00276391">
        <w:rPr>
          <w:lang w:eastAsia="en-AU"/>
        </w:rPr>
        <w:t xml:space="preserve"> </w:t>
      </w:r>
      <w:r w:rsidRPr="00276391">
        <w:rPr>
          <w:lang w:eastAsia="en-AU"/>
        </w:rPr>
        <w:t>Payment</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use</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funding</w:t>
      </w:r>
      <w:bookmarkEnd w:id="264"/>
      <w:bookmarkEnd w:id="265"/>
      <w:bookmarkEnd w:id="266"/>
    </w:p>
    <w:p w14:paraId="04B69A1A" w14:textId="77777777" w:rsidR="00236748" w:rsidRPr="00276391" w:rsidRDefault="00D1481E" w:rsidP="00276391">
      <w:pPr>
        <w:pStyle w:val="DHHSbody"/>
        <w:rPr>
          <w:lang w:eastAsia="en-AU"/>
        </w:rPr>
      </w:pPr>
      <w:r>
        <w:rPr>
          <w:lang w:eastAsia="en-AU"/>
        </w:rPr>
        <w:t>T</w:t>
      </w:r>
      <w:r w:rsidR="00236748" w:rsidRPr="00276391">
        <w:rPr>
          <w:lang w:eastAsia="en-AU"/>
        </w:rPr>
        <w:t>he</w:t>
      </w:r>
      <w:r w:rsidR="005D5532" w:rsidRPr="00276391">
        <w:rPr>
          <w:lang w:eastAsia="en-AU"/>
        </w:rPr>
        <w:t xml:space="preserve"> </w:t>
      </w:r>
      <w:r w:rsidR="00236748" w:rsidRPr="00276391">
        <w:rPr>
          <w:lang w:eastAsia="en-AU"/>
        </w:rPr>
        <w:t>department</w:t>
      </w:r>
      <w:r w:rsidR="005D5532" w:rsidRPr="00276391">
        <w:rPr>
          <w:lang w:eastAsia="en-AU"/>
        </w:rPr>
        <w:t xml:space="preserve"> </w:t>
      </w:r>
      <w:r w:rsidR="00236748" w:rsidRPr="00276391">
        <w:rPr>
          <w:lang w:eastAsia="en-AU"/>
        </w:rPr>
        <w:t>will</w:t>
      </w:r>
      <w:r w:rsidR="005D5532" w:rsidRPr="00276391">
        <w:rPr>
          <w:lang w:eastAsia="en-AU"/>
        </w:rPr>
        <w:t xml:space="preserve"> </w:t>
      </w:r>
      <w:r w:rsidR="00236748" w:rsidRPr="00276391">
        <w:rPr>
          <w:lang w:eastAsia="en-AU"/>
        </w:rPr>
        <w:t>fund</w:t>
      </w:r>
      <w:r w:rsidR="005D5532" w:rsidRPr="00276391">
        <w:rPr>
          <w:lang w:eastAsia="en-AU"/>
        </w:rPr>
        <w:t xml:space="preserve"> </w:t>
      </w:r>
      <w:r w:rsidR="00236748" w:rsidRPr="00276391">
        <w:rPr>
          <w:lang w:eastAsia="en-AU"/>
        </w:rPr>
        <w:t>an</w:t>
      </w:r>
      <w:r w:rsidR="005D5532" w:rsidRPr="00276391">
        <w:rPr>
          <w:lang w:eastAsia="en-AU"/>
        </w:rPr>
        <w:t xml:space="preserve"> </w:t>
      </w:r>
      <w:r w:rsidR="00236748" w:rsidRPr="00276391">
        <w:rPr>
          <w:lang w:eastAsia="en-AU"/>
        </w:rPr>
        <w:t>organisation</w:t>
      </w:r>
      <w:r w:rsidR="005D5532" w:rsidRPr="00276391">
        <w:rPr>
          <w:lang w:eastAsia="en-AU"/>
        </w:rPr>
        <w:t xml:space="preserve"> </w:t>
      </w:r>
      <w:r w:rsidR="00236748" w:rsidRPr="00276391">
        <w:rPr>
          <w:lang w:eastAsia="en-AU"/>
        </w:rPr>
        <w:t>if</w:t>
      </w:r>
      <w:r w:rsidR="005D5532" w:rsidRPr="00276391">
        <w:rPr>
          <w:lang w:eastAsia="en-AU"/>
        </w:rPr>
        <w:t xml:space="preserve"> </w:t>
      </w:r>
      <w:r w:rsidR="00236748" w:rsidRPr="00276391">
        <w:rPr>
          <w:lang w:eastAsia="en-AU"/>
        </w:rPr>
        <w:t>it</w:t>
      </w:r>
      <w:r w:rsidR="005D5532" w:rsidRPr="00276391">
        <w:rPr>
          <w:lang w:eastAsia="en-AU"/>
        </w:rPr>
        <w:t xml:space="preserve"> </w:t>
      </w:r>
      <w:r w:rsidR="00236748" w:rsidRPr="00276391">
        <w:rPr>
          <w:lang w:eastAsia="en-AU"/>
        </w:rPr>
        <w:t>meets</w:t>
      </w:r>
      <w:r w:rsidR="005D5532" w:rsidRPr="00276391">
        <w:rPr>
          <w:lang w:eastAsia="en-AU"/>
        </w:rPr>
        <w:t xml:space="preserve"> </w:t>
      </w:r>
      <w:r w:rsidR="00236748" w:rsidRPr="00276391">
        <w:rPr>
          <w:lang w:eastAsia="en-AU"/>
        </w:rPr>
        <w:t>its</w:t>
      </w:r>
      <w:r w:rsidR="005D5532" w:rsidRPr="00276391">
        <w:rPr>
          <w:lang w:eastAsia="en-AU"/>
        </w:rPr>
        <w:t xml:space="preserve"> </w:t>
      </w:r>
      <w:r w:rsidR="00236748" w:rsidRPr="00276391">
        <w:rPr>
          <w:lang w:eastAsia="en-AU"/>
        </w:rPr>
        <w:t>obligations</w:t>
      </w:r>
      <w:r w:rsidR="005D5532" w:rsidRPr="00276391">
        <w:rPr>
          <w:lang w:eastAsia="en-AU"/>
        </w:rPr>
        <w:t xml:space="preserve"> </w:t>
      </w:r>
      <w:r w:rsidR="00236748" w:rsidRPr="00276391">
        <w:rPr>
          <w:lang w:eastAsia="en-AU"/>
        </w:rPr>
        <w:t>under</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agreement</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delivers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services</w:t>
      </w:r>
      <w:r w:rsidR="005D5532" w:rsidRPr="00276391">
        <w:rPr>
          <w:lang w:eastAsia="en-AU"/>
        </w:rPr>
        <w:t xml:space="preserve"> </w:t>
      </w:r>
      <w:r w:rsidR="00236748" w:rsidRPr="00276391">
        <w:rPr>
          <w:lang w:eastAsia="en-AU"/>
        </w:rPr>
        <w:t>as</w:t>
      </w:r>
      <w:r w:rsidR="005D5532" w:rsidRPr="00276391">
        <w:rPr>
          <w:lang w:eastAsia="en-AU"/>
        </w:rPr>
        <w:t xml:space="preserve"> </w:t>
      </w:r>
      <w:r w:rsidR="00236748" w:rsidRPr="00276391">
        <w:rPr>
          <w:lang w:eastAsia="en-AU"/>
        </w:rPr>
        <w:t>described</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Schedules</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agreement.</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funding</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be</w:t>
      </w:r>
      <w:r w:rsidR="005D5532" w:rsidRPr="00276391">
        <w:rPr>
          <w:lang w:eastAsia="en-AU"/>
        </w:rPr>
        <w:t xml:space="preserve"> </w:t>
      </w:r>
      <w:r w:rsidR="00236748" w:rsidRPr="00276391">
        <w:rPr>
          <w:lang w:eastAsia="en-AU"/>
        </w:rPr>
        <w:t>paid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an</w:t>
      </w:r>
      <w:r w:rsidR="005D5532" w:rsidRPr="00276391">
        <w:rPr>
          <w:lang w:eastAsia="en-AU"/>
        </w:rPr>
        <w:t xml:space="preserve"> </w:t>
      </w:r>
      <w:r w:rsidR="00236748" w:rsidRPr="00276391">
        <w:rPr>
          <w:lang w:eastAsia="en-AU"/>
        </w:rPr>
        <w:t>organisation</w:t>
      </w:r>
      <w:r w:rsidR="005D5532" w:rsidRPr="00276391">
        <w:rPr>
          <w:lang w:eastAsia="en-AU"/>
        </w:rPr>
        <w:t xml:space="preserve"> </w:t>
      </w:r>
      <w:r w:rsidR="00236748" w:rsidRPr="00276391">
        <w:rPr>
          <w:lang w:eastAsia="en-AU"/>
        </w:rPr>
        <w:t>is</w:t>
      </w:r>
      <w:r w:rsidR="005D5532" w:rsidRPr="00276391">
        <w:rPr>
          <w:lang w:eastAsia="en-AU"/>
        </w:rPr>
        <w:t xml:space="preserve"> </w:t>
      </w:r>
      <w:r w:rsidR="00236748" w:rsidRPr="00276391">
        <w:rPr>
          <w:lang w:eastAsia="en-AU"/>
        </w:rPr>
        <w:t>set</w:t>
      </w:r>
      <w:r w:rsidR="005D5532" w:rsidRPr="00276391">
        <w:rPr>
          <w:lang w:eastAsia="en-AU"/>
        </w:rPr>
        <w:t xml:space="preserve"> </w:t>
      </w:r>
      <w:r w:rsidR="00236748" w:rsidRPr="00276391">
        <w:rPr>
          <w:lang w:eastAsia="en-AU"/>
        </w:rPr>
        <w:t>out</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schedule</w:t>
      </w:r>
      <w:r w:rsidR="005D5532" w:rsidRPr="00276391">
        <w:rPr>
          <w:lang w:eastAsia="en-AU"/>
        </w:rPr>
        <w:t xml:space="preserve"> </w:t>
      </w:r>
      <w:r w:rsidR="00236748" w:rsidRPr="00276391">
        <w:rPr>
          <w:lang w:eastAsia="en-AU"/>
        </w:rPr>
        <w:t>2.</w:t>
      </w:r>
    </w:p>
    <w:p w14:paraId="6C42940F" w14:textId="134B35D9"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353EC2">
        <w:rPr>
          <w:lang w:eastAsia="en-AU"/>
        </w:rPr>
        <w:t>o</w:t>
      </w:r>
      <w:r w:rsidRPr="00276391">
        <w:rPr>
          <w:lang w:eastAsia="en-AU"/>
        </w:rPr>
        <w:t>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specified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direct</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costs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overheads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considers</w:t>
      </w:r>
      <w:r w:rsidR="005D5532" w:rsidRPr="00276391">
        <w:rPr>
          <w:lang w:eastAsia="en-AU"/>
        </w:rPr>
        <w:t xml:space="preserve"> </w:t>
      </w:r>
      <w:r w:rsidRPr="00276391">
        <w:rPr>
          <w:lang w:eastAsia="en-AU"/>
        </w:rPr>
        <w:t>inherent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p>
    <w:p w14:paraId="513701A1"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correctly</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properly</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subcontractors.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maintain</w:t>
      </w:r>
      <w:r w:rsidR="005D5532" w:rsidRPr="00276391">
        <w:rPr>
          <w:lang w:eastAsia="en-AU"/>
        </w:rPr>
        <w:t xml:space="preserve"> </w:t>
      </w:r>
      <w:r w:rsidRPr="00276391">
        <w:rPr>
          <w:lang w:eastAsia="en-AU"/>
        </w:rPr>
        <w:t>proper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careful</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incurring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liabilities.</w:t>
      </w:r>
    </w:p>
    <w:p w14:paraId="464652D5" w14:textId="68CCD451"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donations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State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Commonwealth</w:t>
      </w:r>
      <w:r w:rsidR="005D5532" w:rsidRPr="00276391">
        <w:rPr>
          <w:lang w:eastAsia="en-AU"/>
        </w:rPr>
        <w:t xml:space="preserve"> </w:t>
      </w:r>
      <w:r w:rsidRPr="00276391">
        <w:rPr>
          <w:lang w:eastAsia="en-AU"/>
        </w:rPr>
        <w:t>Parliament</w:t>
      </w:r>
      <w:r w:rsidR="005D5532" w:rsidRPr="00276391">
        <w:rPr>
          <w:lang w:eastAsia="en-AU"/>
        </w:rPr>
        <w:t xml:space="preserve"> </w:t>
      </w:r>
      <w:r w:rsidRPr="00276391">
        <w:rPr>
          <w:lang w:eastAsia="en-AU"/>
        </w:rPr>
        <w:t>or</w:t>
      </w:r>
      <w:r w:rsidR="005D5532" w:rsidRPr="00276391">
        <w:rPr>
          <w:lang w:eastAsia="en-AU"/>
        </w:rPr>
        <w:t xml:space="preserve"> </w:t>
      </w:r>
      <w:r w:rsidR="00353EC2">
        <w:rPr>
          <w:lang w:eastAsia="en-AU"/>
        </w:rPr>
        <w:t>p</w:t>
      </w:r>
      <w:r w:rsidRPr="00276391">
        <w:rPr>
          <w:lang w:eastAsia="en-AU"/>
        </w:rPr>
        <w:t>olitical</w:t>
      </w:r>
      <w:r w:rsidR="005D5532" w:rsidRPr="00276391">
        <w:rPr>
          <w:lang w:eastAsia="en-AU"/>
        </w:rPr>
        <w:t xml:space="preserve"> </w:t>
      </w:r>
      <w:r w:rsidRPr="00276391">
        <w:rPr>
          <w:lang w:eastAsia="en-AU"/>
        </w:rPr>
        <w:t>parties.</w:t>
      </w:r>
    </w:p>
    <w:p w14:paraId="12E48AF3" w14:textId="20C8F495" w:rsidR="00236748" w:rsidRPr="00276391" w:rsidRDefault="00236748" w:rsidP="00276391">
      <w:pPr>
        <w:pStyle w:val="DHHSbody"/>
        <w:rPr>
          <w:lang w:eastAsia="en-AU"/>
        </w:rPr>
      </w:pPr>
      <w:r w:rsidRPr="00276391">
        <w:rPr>
          <w:lang w:eastAsia="en-AU"/>
        </w:rPr>
        <w:t>Without</w:t>
      </w:r>
      <w:r w:rsidR="005D5532" w:rsidRPr="00276391">
        <w:rPr>
          <w:lang w:eastAsia="en-AU"/>
        </w:rPr>
        <w:t xml:space="preserve"> </w:t>
      </w:r>
      <w:r w:rsidRPr="00276391">
        <w:rPr>
          <w:lang w:eastAsia="en-AU"/>
        </w:rPr>
        <w:t>the</w:t>
      </w:r>
      <w:r w:rsidR="005D5532" w:rsidRPr="00276391">
        <w:rPr>
          <w:lang w:eastAsia="en-AU"/>
        </w:rPr>
        <w:t xml:space="preserve"> </w:t>
      </w:r>
      <w:r w:rsidR="004C6434">
        <w:rPr>
          <w:lang w:eastAsia="en-AU"/>
        </w:rPr>
        <w:t>d</w:t>
      </w:r>
      <w:r w:rsidRPr="00276391">
        <w:rPr>
          <w:lang w:eastAsia="en-AU"/>
        </w:rPr>
        <w:t>epartment's</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security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loan,</w:t>
      </w:r>
      <w:r w:rsidR="005D5532" w:rsidRPr="00276391">
        <w:rPr>
          <w:lang w:eastAsia="en-AU"/>
        </w:rPr>
        <w:t xml:space="preserve"> </w:t>
      </w:r>
      <w:r w:rsidRPr="00276391">
        <w:rPr>
          <w:lang w:eastAsia="en-AU"/>
        </w:rPr>
        <w:t>credit,</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interest:</w:t>
      </w:r>
    </w:p>
    <w:p w14:paraId="64B35063" w14:textId="09866B41" w:rsidR="00236748" w:rsidRPr="00276391" w:rsidRDefault="00236748" w:rsidP="00276391">
      <w:pPr>
        <w:pStyle w:val="DHHSbullet1"/>
        <w:rPr>
          <w:rFonts w:cs="Arial"/>
          <w:lang w:eastAsia="en-AU"/>
        </w:rPr>
      </w:pPr>
      <w:r w:rsidRPr="00276391">
        <w:rPr>
          <w:rFonts w:cs="Arial"/>
          <w:lang w:eastAsia="en-AU"/>
        </w:rPr>
        <w:t>funding</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4E1FC413" w14:textId="5515E20D"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right,</w:t>
      </w:r>
      <w:r w:rsidR="005D5532" w:rsidRPr="00276391">
        <w:rPr>
          <w:rFonts w:cs="Arial"/>
          <w:lang w:eastAsia="en-AU"/>
        </w:rPr>
        <w:t xml:space="preserve"> </w:t>
      </w:r>
      <w:r w:rsidRPr="00276391">
        <w:rPr>
          <w:rFonts w:cs="Arial"/>
          <w:lang w:eastAsia="en-AU"/>
        </w:rPr>
        <w:t>title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interest</w:t>
      </w:r>
      <w:r w:rsidR="005D5532" w:rsidRPr="00276391">
        <w:rPr>
          <w:rFonts w:cs="Arial"/>
          <w:lang w:eastAsia="en-AU"/>
        </w:rPr>
        <w:t xml:space="preserve"> </w:t>
      </w:r>
      <w:r w:rsidRPr="00276391">
        <w:rPr>
          <w:rFonts w:cs="Arial"/>
          <w:lang w:eastAsia="en-AU"/>
        </w:rPr>
        <w:t>created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p>
    <w:p w14:paraId="33B1EC23" w14:textId="3626503C" w:rsidR="00236748" w:rsidRPr="00276391" w:rsidRDefault="00236748" w:rsidP="00276391">
      <w:pPr>
        <w:pStyle w:val="DHHSbullet1"/>
        <w:rPr>
          <w:rFonts w:cs="Arial"/>
          <w:lang w:eastAsia="en-AU"/>
        </w:rPr>
      </w:pPr>
      <w:r w:rsidRPr="00276391">
        <w:rPr>
          <w:rFonts w:cs="Arial"/>
          <w:lang w:eastAsia="en-AU"/>
        </w:rPr>
        <w:t>any</w:t>
      </w:r>
      <w:r w:rsidR="005D5532" w:rsidRPr="00276391">
        <w:rPr>
          <w:rFonts w:cs="Arial"/>
          <w:lang w:eastAsia="en-AU"/>
        </w:rPr>
        <w:t xml:space="preserve"> </w:t>
      </w:r>
      <w:r w:rsidRPr="00276391">
        <w:rPr>
          <w:rFonts w:cs="Arial"/>
          <w:lang w:eastAsia="en-AU"/>
        </w:rPr>
        <w:t>asset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life</w:t>
      </w:r>
      <w:r w:rsidR="005D5532" w:rsidRPr="00276391">
        <w:rPr>
          <w:rFonts w:cs="Arial"/>
          <w:lang w:eastAsia="en-AU"/>
        </w:rPr>
        <w:t xml:space="preserve"> </w:t>
      </w:r>
      <w:r w:rsidRPr="00276391">
        <w:rPr>
          <w:rFonts w:cs="Arial"/>
          <w:lang w:eastAsia="en-AU"/>
        </w:rPr>
        <w:t>greater</w:t>
      </w:r>
      <w:r w:rsidR="005D5532" w:rsidRPr="00276391">
        <w:rPr>
          <w:rFonts w:cs="Arial"/>
          <w:lang w:eastAsia="en-AU"/>
        </w:rPr>
        <w:t xml:space="preserve"> </w:t>
      </w:r>
      <w:r w:rsidRPr="00276391">
        <w:rPr>
          <w:rFonts w:cs="Arial"/>
          <w:lang w:eastAsia="en-AU"/>
        </w:rPr>
        <w:t>than</w:t>
      </w:r>
      <w:r w:rsidR="005D5532" w:rsidRPr="00276391">
        <w:rPr>
          <w:rFonts w:cs="Arial"/>
          <w:lang w:eastAsia="en-AU"/>
        </w:rPr>
        <w:t xml:space="preserve"> </w:t>
      </w:r>
      <w:r w:rsidRPr="00276391">
        <w:rPr>
          <w:rFonts w:cs="Arial"/>
          <w:lang w:eastAsia="en-AU"/>
        </w:rPr>
        <w:t>one</w:t>
      </w:r>
      <w:r w:rsidR="005D5532" w:rsidRPr="00276391">
        <w:rPr>
          <w:rFonts w:cs="Arial"/>
          <w:lang w:eastAsia="en-AU"/>
        </w:rPr>
        <w:t xml:space="preserve"> </w:t>
      </w:r>
      <w:r w:rsidRPr="00276391">
        <w:rPr>
          <w:rFonts w:cs="Arial"/>
          <w:lang w:eastAsia="en-AU"/>
        </w:rPr>
        <w:t>year</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purchased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created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full</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part)</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4BBCCF62" w14:textId="2C68524B" w:rsidR="00236748" w:rsidRPr="00276391" w:rsidRDefault="00236748" w:rsidP="00276391">
      <w:pPr>
        <w:pStyle w:val="DHHSbullet1"/>
        <w:rPr>
          <w:rFonts w:cs="Arial"/>
          <w:lang w:eastAsia="en-AU"/>
        </w:rPr>
      </w:pPr>
      <w:r w:rsidRPr="00276391">
        <w:rPr>
          <w:rFonts w:cs="Arial"/>
          <w:lang w:eastAsia="en-AU"/>
        </w:rPr>
        <w:t>intellectual</w:t>
      </w:r>
      <w:r w:rsidR="005D5532" w:rsidRPr="00276391">
        <w:rPr>
          <w:rFonts w:cs="Arial"/>
          <w:lang w:eastAsia="en-AU"/>
        </w:rPr>
        <w:t xml:space="preserve"> </w:t>
      </w:r>
      <w:r w:rsidRPr="00276391">
        <w:rPr>
          <w:rFonts w:cs="Arial"/>
          <w:lang w:eastAsia="en-AU"/>
        </w:rPr>
        <w:t>property</w:t>
      </w:r>
      <w:r w:rsidR="005D5532" w:rsidRPr="00276391">
        <w:rPr>
          <w:rFonts w:cs="Arial"/>
          <w:lang w:eastAsia="en-AU"/>
        </w:rPr>
        <w:t xml:space="preserve"> </w:t>
      </w:r>
      <w:r w:rsidRPr="00276391">
        <w:rPr>
          <w:rFonts w:cs="Arial"/>
          <w:lang w:eastAsia="en-AU"/>
        </w:rPr>
        <w:t>(purchased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created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p>
    <w:p w14:paraId="256CC62F" w14:textId="16849C7A"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created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otherwise</w:t>
      </w:r>
      <w:r w:rsidR="005D5532" w:rsidRPr="00B24C02">
        <w:rPr>
          <w:rFonts w:cs="Arial"/>
          <w:color w:val="000000"/>
          <w:szCs w:val="19"/>
          <w:lang w:eastAsia="en-AU"/>
        </w:rPr>
        <w:t xml:space="preserve"> </w:t>
      </w:r>
      <w:r w:rsidRPr="00B24C02">
        <w:rPr>
          <w:rFonts w:cs="Arial"/>
          <w:color w:val="000000"/>
          <w:szCs w:val="19"/>
          <w:lang w:eastAsia="en-AU"/>
        </w:rPr>
        <w:t>brought</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existence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capital</w:t>
      </w:r>
      <w:r w:rsidR="005D5532" w:rsidRPr="00B24C02">
        <w:rPr>
          <w:rFonts w:cs="Arial"/>
          <w:color w:val="000000"/>
          <w:szCs w:val="19"/>
          <w:lang w:eastAsia="en-AU"/>
        </w:rPr>
        <w:t xml:space="preserve"> </w:t>
      </w:r>
      <w:r w:rsidRPr="00B24C02">
        <w:rPr>
          <w:rFonts w:cs="Arial"/>
          <w:color w:val="000000"/>
          <w:szCs w:val="19"/>
          <w:lang w:eastAsia="en-AU"/>
        </w:rPr>
        <w:t>facility</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via</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capital</w:t>
      </w:r>
      <w:r w:rsidR="005D5532" w:rsidRPr="00B24C02">
        <w:rPr>
          <w:rFonts w:cs="Arial"/>
          <w:color w:val="000000"/>
          <w:szCs w:val="19"/>
          <w:lang w:eastAsia="en-AU"/>
        </w:rPr>
        <w:t xml:space="preserve"> </w:t>
      </w:r>
      <w:r w:rsidRPr="00B24C02">
        <w:rPr>
          <w:rFonts w:cs="Arial"/>
          <w:color w:val="000000"/>
          <w:szCs w:val="19"/>
          <w:lang w:eastAsia="en-AU"/>
        </w:rPr>
        <w:t>facility</w:t>
      </w:r>
      <w:r w:rsidR="005D5532" w:rsidRPr="00B24C02">
        <w:rPr>
          <w:rFonts w:cs="Arial"/>
          <w:color w:val="000000"/>
          <w:szCs w:val="19"/>
          <w:lang w:eastAsia="en-AU"/>
        </w:rPr>
        <w:t xml:space="preserve"> </w:t>
      </w:r>
      <w:r w:rsidRPr="00B24C02">
        <w:rPr>
          <w:rFonts w:cs="Arial"/>
          <w:color w:val="000000"/>
          <w:szCs w:val="19"/>
          <w:lang w:eastAsia="en-AU"/>
        </w:rPr>
        <w:lastRenderedPageBreak/>
        <w:t>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determine</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security</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loan,</w:t>
      </w:r>
      <w:r w:rsidR="005D5532" w:rsidRPr="00B24C02">
        <w:rPr>
          <w:rFonts w:cs="Arial"/>
          <w:color w:val="000000"/>
          <w:szCs w:val="19"/>
          <w:lang w:eastAsia="en-AU"/>
        </w:rPr>
        <w:t xml:space="preserve"> </w:t>
      </w:r>
      <w:r w:rsidRPr="00B24C02">
        <w:rPr>
          <w:rFonts w:cs="Arial"/>
          <w:color w:val="000000"/>
          <w:szCs w:val="19"/>
          <w:lang w:eastAsia="en-AU"/>
        </w:rPr>
        <w:t>credit</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interest.</w:t>
      </w:r>
    </w:p>
    <w:p w14:paraId="58FBBBE9" w14:textId="77777777" w:rsidR="00236748" w:rsidRPr="00276391" w:rsidRDefault="00236748" w:rsidP="009D4D32">
      <w:pPr>
        <w:pStyle w:val="Heading4"/>
        <w:rPr>
          <w:lang w:eastAsia="en-AU"/>
        </w:rPr>
      </w:pPr>
      <w:bookmarkStart w:id="267" w:name="_Toc478991771"/>
      <w:r w:rsidRPr="00276391">
        <w:rPr>
          <w:lang w:eastAsia="en-AU"/>
        </w:rPr>
        <w:t>Unspent</w:t>
      </w:r>
      <w:r w:rsidR="005D5532" w:rsidRPr="00276391">
        <w:rPr>
          <w:lang w:eastAsia="en-AU"/>
        </w:rPr>
        <w:t xml:space="preserve"> </w:t>
      </w:r>
      <w:r w:rsidRPr="00276391">
        <w:rPr>
          <w:lang w:eastAsia="en-AU"/>
        </w:rPr>
        <w:t>funding</w:t>
      </w:r>
      <w:bookmarkEnd w:id="267"/>
    </w:p>
    <w:p w14:paraId="4C64B462" w14:textId="77777777" w:rsidR="00236748" w:rsidRPr="00276391" w:rsidRDefault="00236748" w:rsidP="00276391">
      <w:pPr>
        <w:pStyle w:val="DHHSbody"/>
        <w:rPr>
          <w:lang w:eastAsia="en-AU"/>
        </w:rPr>
      </w:pP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times</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does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spend</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satisfied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delivered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described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left</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retained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ongoing</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provision</w:t>
      </w:r>
      <w:r w:rsidR="005D5532" w:rsidRPr="00B24C02">
        <w:rPr>
          <w:rFonts w:cs="Arial"/>
          <w:color w:val="000000"/>
          <w:szCs w:val="19"/>
          <w:lang w:eastAsia="en-AU"/>
        </w:rPr>
        <w:t xml:space="preserve"> </w:t>
      </w:r>
      <w:r w:rsidRPr="00B24C02">
        <w:rPr>
          <w:rFonts w:cs="Arial"/>
          <w:color w:val="000000"/>
          <w:szCs w:val="19"/>
          <w:lang w:eastAsia="en-AU"/>
        </w:rPr>
        <w:t>unless</w:t>
      </w:r>
      <w:r w:rsidR="005D5532" w:rsidRPr="00B24C02">
        <w:rPr>
          <w:rFonts w:cs="Arial"/>
          <w:color w:val="000000"/>
          <w:szCs w:val="19"/>
          <w:lang w:eastAsia="en-AU"/>
        </w:rPr>
        <w:t xml:space="preserve"> </w:t>
      </w:r>
      <w:r w:rsidRPr="00B24C02">
        <w:rPr>
          <w:rFonts w:cs="Arial"/>
          <w:color w:val="000000"/>
          <w:szCs w:val="19"/>
          <w:lang w:eastAsia="en-AU"/>
        </w:rPr>
        <w:t>otherwise</w:t>
      </w:r>
      <w:r w:rsidR="005D5532" w:rsidRPr="00B24C02">
        <w:rPr>
          <w:rFonts w:cs="Arial"/>
          <w:color w:val="000000"/>
          <w:szCs w:val="19"/>
          <w:lang w:eastAsia="en-AU"/>
        </w:rPr>
        <w:t xml:space="preserve"> </w:t>
      </w:r>
      <w:r w:rsidRPr="00B24C02">
        <w:rPr>
          <w:rFonts w:cs="Arial"/>
          <w:color w:val="000000"/>
          <w:szCs w:val="19"/>
          <w:lang w:eastAsia="en-AU"/>
        </w:rPr>
        <w:t>advised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p>
    <w:p w14:paraId="4E68EC2B" w14:textId="77777777" w:rsidR="00236748" w:rsidRPr="00276391" w:rsidRDefault="00236748" w:rsidP="00276391">
      <w:pPr>
        <w:pStyle w:val="DHHSbody"/>
        <w:rPr>
          <w:lang w:eastAsia="en-AU"/>
        </w:rPr>
      </w:pPr>
      <w:r w:rsidRPr="00276391">
        <w:rPr>
          <w:lang w:eastAsia="en-AU"/>
        </w:rPr>
        <w:t>There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estimate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volume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volume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known,</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adjusted</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down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reflect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volume.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unspent</w:t>
      </w:r>
      <w:r w:rsidR="005D5532" w:rsidRPr="00276391">
        <w:rPr>
          <w:lang w:eastAsia="en-AU"/>
        </w:rPr>
        <w:t xml:space="preserve"> </w:t>
      </w:r>
      <w:r w:rsidRPr="00276391">
        <w:rPr>
          <w:lang w:eastAsia="en-AU"/>
        </w:rPr>
        <w:t>funds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retained.</w:t>
      </w:r>
    </w:p>
    <w:p w14:paraId="2A38FBEC" w14:textId="0ACD6E32" w:rsidR="00236748" w:rsidRPr="00276391" w:rsidRDefault="00236748" w:rsidP="009D4D32">
      <w:pPr>
        <w:pStyle w:val="Heading4"/>
        <w:rPr>
          <w:lang w:eastAsia="en-AU"/>
        </w:rPr>
      </w:pPr>
      <w:bookmarkStart w:id="268" w:name="_Toc478991772"/>
      <w:r w:rsidRPr="00276391">
        <w:rPr>
          <w:lang w:eastAsia="en-AU"/>
        </w:rPr>
        <w:t>Funding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bookmarkEnd w:id="268"/>
    </w:p>
    <w:p w14:paraId="67255F74" w14:textId="27C9D5AF" w:rsidR="00236748" w:rsidRPr="00276391" w:rsidRDefault="00236748" w:rsidP="00276391">
      <w:pPr>
        <w:pStyle w:val="DHHSbody"/>
        <w:rPr>
          <w:lang w:eastAsia="en-AU"/>
        </w:rPr>
      </w:pP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meets</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fund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reasonable</w:t>
      </w:r>
      <w:r w:rsidR="005D5532" w:rsidRPr="00B24C02">
        <w:rPr>
          <w:rFonts w:cs="Arial"/>
          <w:color w:val="000000"/>
          <w:szCs w:val="19"/>
          <w:lang w:eastAsia="en-AU"/>
        </w:rPr>
        <w:t xml:space="preserve"> </w:t>
      </w:r>
      <w:r w:rsidRPr="00B24C02">
        <w:rPr>
          <w:rFonts w:cs="Arial"/>
          <w:color w:val="000000"/>
          <w:szCs w:val="19"/>
          <w:lang w:eastAsia="en-AU"/>
        </w:rPr>
        <w:t>opinion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p>
    <w:p w14:paraId="1FCBD35D" w14:textId="778381EB" w:rsidR="00236748" w:rsidRPr="00276391"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or</w:t>
      </w:r>
      <w:r w:rsidRPr="00276391">
        <w:rPr>
          <w:lang w:eastAsia="en-AU"/>
        </w:rPr>
        <w:br/>
        <w:t>(b)</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satisfaction;</w:t>
      </w:r>
      <w:r w:rsidR="005D5532" w:rsidRPr="00276391">
        <w:rPr>
          <w:lang w:eastAsia="en-AU"/>
        </w:rPr>
        <w:t xml:space="preserve"> </w:t>
      </w:r>
      <w:r w:rsidRPr="00276391">
        <w:rPr>
          <w:lang w:eastAsia="en-AU"/>
        </w:rPr>
        <w:t>or</w:t>
      </w:r>
      <w:r w:rsidRPr="00276391">
        <w:rPr>
          <w:lang w:eastAsia="en-AU"/>
        </w:rPr>
        <w:br/>
        <w:t>(c)</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spent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committed</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CD3CD6">
        <w:rPr>
          <w:lang w:eastAsia="en-AU"/>
        </w:rPr>
        <w:t>,</w:t>
      </w:r>
    </w:p>
    <w:p w14:paraId="697851AD"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can:</w:t>
      </w:r>
    </w:p>
    <w:p w14:paraId="47E25135" w14:textId="77777777" w:rsidR="00236748" w:rsidRPr="00276391" w:rsidRDefault="00236748" w:rsidP="00276391">
      <w:pPr>
        <w:pStyle w:val="DHHSbullet1"/>
        <w:rPr>
          <w:rFonts w:cs="Arial"/>
          <w:lang w:eastAsia="en-AU"/>
        </w:rPr>
      </w:pPr>
      <w:r w:rsidRPr="00276391">
        <w:rPr>
          <w:rFonts w:cs="Arial"/>
          <w:lang w:eastAsia="en-AU"/>
        </w:rPr>
        <w:t>write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require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repay</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part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thirty</w:t>
      </w:r>
      <w:r w:rsidR="005D5532" w:rsidRPr="00276391">
        <w:rPr>
          <w:rFonts w:cs="Arial"/>
          <w:lang w:eastAsia="en-AU"/>
        </w:rPr>
        <w:t xml:space="preserve"> </w:t>
      </w:r>
      <w:r w:rsidRPr="00276391">
        <w:rPr>
          <w:rFonts w:cs="Arial"/>
          <w:lang w:eastAsia="en-AU"/>
        </w:rPr>
        <w:t>days,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time</w:t>
      </w:r>
      <w:r w:rsidR="005D5532" w:rsidRPr="00276391">
        <w:rPr>
          <w:rFonts w:cs="Arial"/>
          <w:lang w:eastAsia="en-AU"/>
        </w:rPr>
        <w:t xml:space="preserve"> </w:t>
      </w:r>
      <w:r w:rsidRPr="00276391">
        <w:rPr>
          <w:rFonts w:cs="Arial"/>
          <w:lang w:eastAsia="en-AU"/>
        </w:rPr>
        <w:t>period</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agreed;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505245A7" w14:textId="77777777" w:rsidR="00236748" w:rsidRPr="00276391" w:rsidRDefault="00236748" w:rsidP="00276391">
      <w:pPr>
        <w:pStyle w:val="DHHSbullet1"/>
        <w:rPr>
          <w:rFonts w:cs="Arial"/>
          <w:lang w:eastAsia="en-AU"/>
        </w:rPr>
      </w:pPr>
      <w:r w:rsidRPr="00276391">
        <w:rPr>
          <w:rFonts w:cs="Arial"/>
          <w:lang w:eastAsia="en-AU"/>
        </w:rPr>
        <w:t>renegotiate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delivery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proofErr w:type="gramStart"/>
      <w:r w:rsidRPr="00276391">
        <w:rPr>
          <w:rFonts w:cs="Arial"/>
          <w:lang w:eastAsia="en-AU"/>
        </w:rPr>
        <w:t>example</w:t>
      </w:r>
      <w:proofErr w:type="gramEnd"/>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agree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deliver</w:t>
      </w:r>
      <w:r w:rsidR="005D5532" w:rsidRPr="00276391">
        <w:rPr>
          <w:rFonts w:cs="Arial"/>
          <w:lang w:eastAsia="en-AU"/>
        </w:rPr>
        <w:t xml:space="preserve"> </w:t>
      </w:r>
      <w:r w:rsidRPr="00276391">
        <w:rPr>
          <w:rFonts w:cs="Arial"/>
          <w:lang w:eastAsia="en-AU"/>
        </w:rPr>
        <w:t>additional</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next</w:t>
      </w:r>
      <w:r w:rsidR="005D5532" w:rsidRPr="00276391">
        <w:rPr>
          <w:rFonts w:cs="Arial"/>
          <w:lang w:eastAsia="en-AU"/>
        </w:rPr>
        <w:t xml:space="preserve"> </w:t>
      </w:r>
      <w:r w:rsidRPr="00276391">
        <w:rPr>
          <w:rFonts w:cs="Arial"/>
          <w:lang w:eastAsia="en-AU"/>
        </w:rPr>
        <w:t>quarter</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make</w:t>
      </w:r>
      <w:r w:rsidR="005D5532" w:rsidRPr="00276391">
        <w:rPr>
          <w:rFonts w:cs="Arial"/>
          <w:lang w:eastAsia="en-AU"/>
        </w:rPr>
        <w:t xml:space="preserve"> </w:t>
      </w:r>
      <w:r w:rsidRPr="00276391">
        <w:rPr>
          <w:rFonts w:cs="Arial"/>
          <w:lang w:eastAsia="en-AU"/>
        </w:rPr>
        <w:t>up</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delivered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previous</w:t>
      </w:r>
      <w:r w:rsidR="005D5532" w:rsidRPr="00276391">
        <w:rPr>
          <w:rFonts w:cs="Arial"/>
          <w:lang w:eastAsia="en-AU"/>
        </w:rPr>
        <w:t xml:space="preserve"> </w:t>
      </w:r>
      <w:r w:rsidRPr="00276391">
        <w:rPr>
          <w:rFonts w:cs="Arial"/>
          <w:lang w:eastAsia="en-AU"/>
        </w:rPr>
        <w:t>quarter.</w:t>
      </w:r>
      <w:r w:rsidR="005D5532" w:rsidRPr="00276391">
        <w:rPr>
          <w:rFonts w:cs="Arial"/>
          <w:lang w:eastAsia="en-AU"/>
        </w:rPr>
        <w:t xml:space="preserve"> </w:t>
      </w:r>
    </w:p>
    <w:p w14:paraId="7F470AFB" w14:textId="5FA014FA"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determining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course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action,</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reasonably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notify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non-compliance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before</w:t>
      </w:r>
      <w:r w:rsidR="005D5532" w:rsidRPr="00B24C02">
        <w:rPr>
          <w:rFonts w:cs="Arial"/>
          <w:color w:val="000000"/>
          <w:szCs w:val="19"/>
          <w:lang w:eastAsia="en-AU"/>
        </w:rPr>
        <w:t xml:space="preserve"> </w:t>
      </w:r>
      <w:proofErr w:type="gramStart"/>
      <w:r w:rsidRPr="00B24C02">
        <w:rPr>
          <w:rFonts w:cs="Arial"/>
          <w:color w:val="000000"/>
          <w:szCs w:val="19"/>
          <w:lang w:eastAsia="en-AU"/>
        </w:rPr>
        <w:t>taking</w:t>
      </w:r>
      <w:r w:rsidR="005D5532" w:rsidRPr="00B24C02">
        <w:rPr>
          <w:rFonts w:cs="Arial"/>
          <w:color w:val="000000"/>
          <w:szCs w:val="19"/>
          <w:lang w:eastAsia="en-AU"/>
        </w:rPr>
        <w:t xml:space="preserve"> </w:t>
      </w:r>
      <w:r w:rsidRPr="00B24C02">
        <w:rPr>
          <w:rFonts w:cs="Arial"/>
          <w:color w:val="000000"/>
          <w:szCs w:val="19"/>
          <w:lang w:eastAsia="en-AU"/>
        </w:rPr>
        <w:t>action</w:t>
      </w:r>
      <w:proofErr w:type="gramEnd"/>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entitled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trigger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process</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satisfied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decision.</w:t>
      </w:r>
    </w:p>
    <w:p w14:paraId="637D2DED" w14:textId="77777777" w:rsidR="00236748" w:rsidRPr="00276391" w:rsidRDefault="00236748" w:rsidP="009D4D32">
      <w:pPr>
        <w:pStyle w:val="Heading3"/>
        <w:rPr>
          <w:lang w:eastAsia="en-AU"/>
        </w:rPr>
      </w:pPr>
      <w:bookmarkStart w:id="269" w:name="_Toc478991773"/>
      <w:bookmarkStart w:id="270" w:name="_Toc478992366"/>
      <w:bookmarkStart w:id="271" w:name="_Toc4142042"/>
      <w:r w:rsidRPr="00276391">
        <w:rPr>
          <w:lang w:eastAsia="en-AU"/>
        </w:rPr>
        <w:t>3.4.2</w:t>
      </w:r>
      <w:r w:rsidR="009B2351" w:rsidRPr="00276391">
        <w:rPr>
          <w:lang w:eastAsia="en-AU"/>
        </w:rPr>
        <w:t xml:space="preserve"> </w:t>
      </w:r>
      <w:r w:rsidRPr="00276391">
        <w:rPr>
          <w:lang w:eastAsia="en-AU"/>
        </w:rPr>
        <w:t>Price</w:t>
      </w:r>
      <w:r w:rsidR="009B2351" w:rsidRPr="00276391">
        <w:rPr>
          <w:lang w:eastAsia="en-AU"/>
        </w:rPr>
        <w:t xml:space="preserve"> </w:t>
      </w:r>
      <w:r w:rsidRPr="00276391">
        <w:rPr>
          <w:lang w:eastAsia="en-AU"/>
        </w:rPr>
        <w:t>indexation</w:t>
      </w:r>
      <w:bookmarkEnd w:id="269"/>
      <w:bookmarkEnd w:id="270"/>
      <w:bookmarkEnd w:id="271"/>
    </w:p>
    <w:p w14:paraId="3CDA8D12" w14:textId="3CADE337" w:rsidR="00ED6B3C" w:rsidRPr="004152EB" w:rsidRDefault="00ED6B3C" w:rsidP="00ED6B3C">
      <w:pPr>
        <w:pStyle w:val="DHHSbody"/>
      </w:pPr>
      <w:r w:rsidRPr="004152EB">
        <w:t xml:space="preserve">The department will increase the funding payable each year of the Service agreement by the rate of indexation approved by the Victorian Government. For financial years 2015-2019 the Victorian Government has approved the </w:t>
      </w:r>
      <w:r w:rsidR="00D723E6">
        <w:t xml:space="preserve">2018-19 </w:t>
      </w:r>
      <w:r w:rsidRPr="004152EB">
        <w:t xml:space="preserve">price indexation for funded organisations as detailed </w:t>
      </w:r>
      <w:r w:rsidR="00D723E6">
        <w:t>o</w:t>
      </w:r>
      <w:r w:rsidRPr="004152EB">
        <w:t xml:space="preserve">n the </w:t>
      </w:r>
      <w:hyperlink r:id="rId53" w:history="1">
        <w:r w:rsidR="00D723E6">
          <w:rPr>
            <w:rStyle w:val="Hyperlink"/>
          </w:rPr>
          <w:t>Service Agreement Information kit</w:t>
        </w:r>
      </w:hyperlink>
      <w:r w:rsidR="00D723E6">
        <w:t xml:space="preserve"> page of FAC</w:t>
      </w:r>
      <w:r w:rsidRPr="004152EB">
        <w:t xml:space="preserve"> </w:t>
      </w:r>
      <w:r w:rsidR="00D723E6">
        <w:t>&lt;</w:t>
      </w:r>
      <w:r w:rsidR="00D723E6" w:rsidRPr="00D723E6">
        <w:t>https://fac.dhhs.vic.gov.au/service-agreement-information-kit</w:t>
      </w:r>
      <w:r w:rsidRPr="004152EB">
        <w:t>&gt; (external link, opens in a new window).</w:t>
      </w:r>
    </w:p>
    <w:p w14:paraId="46C3C7D2" w14:textId="77777777" w:rsidR="00236748" w:rsidRPr="00276391" w:rsidRDefault="00236748" w:rsidP="00276391">
      <w:pPr>
        <w:pStyle w:val="DHHSbody"/>
        <w:rPr>
          <w:lang w:eastAsia="en-AU"/>
        </w:rPr>
      </w:pPr>
      <w:r w:rsidRPr="00276391">
        <w:rPr>
          <w:lang w:eastAsia="en-AU"/>
        </w:rPr>
        <w:t>Price</w:t>
      </w:r>
      <w:r w:rsidR="005D5532" w:rsidRPr="00276391">
        <w:rPr>
          <w:lang w:eastAsia="en-AU"/>
        </w:rPr>
        <w:t xml:space="preserve"> </w:t>
      </w:r>
      <w:r w:rsidRPr="00276391">
        <w:rPr>
          <w:lang w:eastAsia="en-AU"/>
        </w:rPr>
        <w:t>indexation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challenging</w:t>
      </w:r>
      <w:r w:rsidR="005D5532" w:rsidRPr="00276391">
        <w:rPr>
          <w:lang w:eastAsia="en-AU"/>
        </w:rPr>
        <w:t xml:space="preserve"> </w:t>
      </w:r>
      <w:r w:rsidRPr="00276391">
        <w:rPr>
          <w:lang w:eastAsia="en-AU"/>
        </w:rPr>
        <w:t>fiscal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economic</w:t>
      </w:r>
      <w:r w:rsidR="005D5532" w:rsidRPr="00276391">
        <w:rPr>
          <w:lang w:eastAsia="en-AU"/>
        </w:rPr>
        <w:t xml:space="preserve"> </w:t>
      </w:r>
      <w:r w:rsidRPr="00276391">
        <w:rPr>
          <w:lang w:eastAsia="en-AU"/>
        </w:rPr>
        <w:t>environment.</w:t>
      </w:r>
      <w:r w:rsidR="005D5532" w:rsidRPr="00276391">
        <w:rPr>
          <w:lang w:eastAsia="en-AU"/>
        </w:rPr>
        <w:t xml:space="preserve"> </w:t>
      </w:r>
      <w:r w:rsidRPr="00276391">
        <w:rPr>
          <w:lang w:eastAsia="en-AU"/>
        </w:rPr>
        <w:t>Despite</w:t>
      </w:r>
      <w:r w:rsidR="005D5532" w:rsidRPr="00276391">
        <w:rPr>
          <w:lang w:eastAsia="en-AU"/>
        </w:rPr>
        <w:t xml:space="preserve"> </w:t>
      </w:r>
      <w:r w:rsidRPr="00276391">
        <w:rPr>
          <w:lang w:eastAsia="en-AU"/>
        </w:rPr>
        <w:t>significant</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constraints,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committed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increasing</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help</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cost</w:t>
      </w:r>
      <w:r w:rsidR="005D5532" w:rsidRPr="00276391">
        <w:rPr>
          <w:lang w:eastAsia="en-AU"/>
        </w:rPr>
        <w:t xml:space="preserve"> </w:t>
      </w:r>
      <w:r w:rsidRPr="00276391">
        <w:rPr>
          <w:lang w:eastAsia="en-AU"/>
        </w:rPr>
        <w:t>pressures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protect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most</w:t>
      </w:r>
      <w:r w:rsidR="005D5532" w:rsidRPr="00276391">
        <w:rPr>
          <w:lang w:eastAsia="en-AU"/>
        </w:rPr>
        <w:t xml:space="preserve"> </w:t>
      </w:r>
      <w:r w:rsidRPr="00276391">
        <w:rPr>
          <w:lang w:eastAsia="en-AU"/>
        </w:rPr>
        <w:t>vulnerable</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our</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important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both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manage</w:t>
      </w:r>
      <w:r w:rsidR="005D5532" w:rsidRPr="00276391">
        <w:rPr>
          <w:lang w:eastAsia="en-AU"/>
        </w:rPr>
        <w:t xml:space="preserve"> </w:t>
      </w:r>
      <w:r w:rsidRPr="00276391">
        <w:rPr>
          <w:lang w:eastAsia="en-AU"/>
        </w:rPr>
        <w:t>costs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best</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funds.</w:t>
      </w:r>
    </w:p>
    <w:p w14:paraId="5FD5A512" w14:textId="6ABB793F" w:rsidR="00236748" w:rsidRPr="00276391" w:rsidRDefault="00236748" w:rsidP="00276391">
      <w:pPr>
        <w:pStyle w:val="DHHSbody"/>
        <w:rPr>
          <w:lang w:eastAsia="en-AU"/>
        </w:rPr>
      </w:pPr>
      <w:r w:rsidRPr="00276391">
        <w:rPr>
          <w:lang w:eastAsia="en-AU"/>
        </w:rPr>
        <w:t>Annual</w:t>
      </w:r>
      <w:r w:rsidR="005D5532" w:rsidRPr="00276391">
        <w:rPr>
          <w:lang w:eastAsia="en-AU"/>
        </w:rPr>
        <w:t xml:space="preserve"> </w:t>
      </w:r>
      <w:r w:rsidRPr="00276391">
        <w:rPr>
          <w:lang w:eastAsia="en-AU"/>
        </w:rPr>
        <w:t>price</w:t>
      </w:r>
      <w:r w:rsidR="005D5532" w:rsidRPr="00276391">
        <w:rPr>
          <w:lang w:eastAsia="en-AU"/>
        </w:rPr>
        <w:t xml:space="preserve"> </w:t>
      </w:r>
      <w:r w:rsidRPr="00276391">
        <w:rPr>
          <w:lang w:eastAsia="en-AU"/>
        </w:rPr>
        <w:t>indexation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processed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notified</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processing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completed.</w:t>
      </w:r>
      <w:r w:rsidR="005D5532" w:rsidRPr="00276391">
        <w:rPr>
          <w:lang w:eastAsia="en-AU"/>
        </w:rPr>
        <w:t xml:space="preserve"> </w:t>
      </w:r>
      <w:r w:rsidRPr="00276391">
        <w:rPr>
          <w:lang w:eastAsia="en-AU"/>
        </w:rPr>
        <w:t>Increased</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backdated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next</w:t>
      </w:r>
      <w:r w:rsidR="005D5532" w:rsidRPr="00276391">
        <w:rPr>
          <w:lang w:eastAsia="en-AU"/>
        </w:rPr>
        <w:t xml:space="preserve"> </w:t>
      </w:r>
      <w:r w:rsidRPr="00276391">
        <w:rPr>
          <w:lang w:eastAsia="en-AU"/>
        </w:rPr>
        <w:t>scheduled</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eligible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SACS</w:t>
      </w:r>
      <w:r w:rsidR="005D5532" w:rsidRPr="00276391">
        <w:rPr>
          <w:lang w:eastAsia="en-AU"/>
        </w:rPr>
        <w:t xml:space="preserve"> </w:t>
      </w:r>
      <w:r w:rsidRPr="00276391">
        <w:rPr>
          <w:lang w:eastAsia="en-AU"/>
        </w:rPr>
        <w:t>pay</w:t>
      </w:r>
      <w:r w:rsidR="005D5532" w:rsidRPr="00276391">
        <w:rPr>
          <w:lang w:eastAsia="en-AU"/>
        </w:rPr>
        <w:t xml:space="preserve"> </w:t>
      </w:r>
      <w:r w:rsidRPr="00276391">
        <w:rPr>
          <w:lang w:eastAsia="en-AU"/>
        </w:rPr>
        <w:t>equity</w:t>
      </w:r>
      <w:r w:rsidR="005D5532" w:rsidRPr="00276391">
        <w:rPr>
          <w:lang w:eastAsia="en-AU"/>
        </w:rPr>
        <w:t xml:space="preserve"> </w:t>
      </w:r>
      <w:r w:rsidRPr="00276391">
        <w:rPr>
          <w:lang w:eastAsia="en-AU"/>
        </w:rPr>
        <w:t>(equal</w:t>
      </w:r>
      <w:r w:rsidR="005D5532" w:rsidRPr="00276391">
        <w:rPr>
          <w:lang w:eastAsia="en-AU"/>
        </w:rPr>
        <w:t xml:space="preserve"> </w:t>
      </w:r>
      <w:r w:rsidRPr="00276391">
        <w:rPr>
          <w:lang w:eastAsia="en-AU"/>
        </w:rPr>
        <w:t>remuneration</w:t>
      </w:r>
      <w:r w:rsidR="005D5532" w:rsidRPr="00276391">
        <w:rPr>
          <w:lang w:eastAsia="en-AU"/>
        </w:rPr>
        <w:t xml:space="preserve"> </w:t>
      </w:r>
      <w:r w:rsidRPr="00276391">
        <w:rPr>
          <w:lang w:eastAsia="en-AU"/>
        </w:rPr>
        <w:t>order)</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indexed</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December</w:t>
      </w:r>
      <w:r w:rsidR="005D5532" w:rsidRPr="00276391">
        <w:rPr>
          <w:lang w:eastAsia="en-AU"/>
        </w:rPr>
        <w:t xml:space="preserve"> </w:t>
      </w:r>
      <w:r w:rsidRPr="00276391">
        <w:rPr>
          <w:lang w:eastAsia="en-AU"/>
        </w:rPr>
        <w:t>(applies</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2012-2020).</w:t>
      </w:r>
    </w:p>
    <w:p w14:paraId="222A7EF4" w14:textId="77777777" w:rsidR="00236748" w:rsidRPr="00276391" w:rsidRDefault="00236748" w:rsidP="009D4D32">
      <w:pPr>
        <w:pStyle w:val="Heading4"/>
        <w:rPr>
          <w:lang w:eastAsia="en-AU"/>
        </w:rPr>
      </w:pPr>
      <w:bookmarkStart w:id="272" w:name="_Toc478991774"/>
      <w:r w:rsidRPr="00276391">
        <w:rPr>
          <w:lang w:eastAsia="en-AU"/>
        </w:rPr>
        <w:lastRenderedPageBreak/>
        <w:t>Price</w:t>
      </w:r>
      <w:r w:rsidR="005D5532" w:rsidRPr="00276391">
        <w:rPr>
          <w:lang w:eastAsia="en-AU"/>
        </w:rPr>
        <w:t xml:space="preserve"> </w:t>
      </w:r>
      <w:r w:rsidRPr="00276391">
        <w:rPr>
          <w:lang w:eastAsia="en-AU"/>
        </w:rPr>
        <w:t>index</w:t>
      </w:r>
      <w:r w:rsidR="005D5532" w:rsidRPr="00276391">
        <w:rPr>
          <w:lang w:eastAsia="en-AU"/>
        </w:rPr>
        <w:t xml:space="preserve"> </w:t>
      </w:r>
      <w:r w:rsidRPr="00276391">
        <w:rPr>
          <w:lang w:eastAsia="en-AU"/>
        </w:rPr>
        <w:t>exceptional</w:t>
      </w:r>
      <w:r w:rsidR="005D5532" w:rsidRPr="00276391">
        <w:rPr>
          <w:lang w:eastAsia="en-AU"/>
        </w:rPr>
        <w:t xml:space="preserve"> </w:t>
      </w:r>
      <w:r w:rsidRPr="00276391">
        <w:rPr>
          <w:lang w:eastAsia="en-AU"/>
        </w:rPr>
        <w:t>event</w:t>
      </w:r>
      <w:r w:rsidR="005D5532" w:rsidRPr="00276391">
        <w:rPr>
          <w:lang w:eastAsia="en-AU"/>
        </w:rPr>
        <w:t xml:space="preserve"> </w:t>
      </w:r>
      <w:r w:rsidRPr="00276391">
        <w:rPr>
          <w:lang w:eastAsia="en-AU"/>
        </w:rPr>
        <w:t>arrangements</w:t>
      </w:r>
      <w:bookmarkEnd w:id="272"/>
    </w:p>
    <w:p w14:paraId="53552132"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price</w:t>
      </w:r>
      <w:r w:rsidR="005D5532" w:rsidRPr="00B24C02">
        <w:rPr>
          <w:rFonts w:cs="Arial"/>
          <w:color w:val="000000"/>
          <w:szCs w:val="19"/>
          <w:lang w:eastAsia="en-AU"/>
        </w:rPr>
        <w:t xml:space="preserve"> </w:t>
      </w:r>
      <w:r w:rsidRPr="00B24C02">
        <w:rPr>
          <w:rFonts w:cs="Arial"/>
          <w:color w:val="000000"/>
          <w:szCs w:val="19"/>
          <w:lang w:eastAsia="en-AU"/>
        </w:rPr>
        <w:t>index</w:t>
      </w:r>
      <w:r w:rsidR="005D5532" w:rsidRPr="00B24C02">
        <w:rPr>
          <w:rFonts w:cs="Arial"/>
          <w:color w:val="000000"/>
          <w:szCs w:val="19"/>
          <w:lang w:eastAsia="en-AU"/>
        </w:rPr>
        <w:t xml:space="preserve"> </w:t>
      </w:r>
      <w:r w:rsidRPr="00B24C02">
        <w:rPr>
          <w:rFonts w:cs="Arial"/>
          <w:color w:val="000000"/>
          <w:szCs w:val="19"/>
          <w:lang w:eastAsia="en-AU"/>
        </w:rPr>
        <w:t>exceptional</w:t>
      </w:r>
      <w:r w:rsidR="005D5532" w:rsidRPr="00B24C02">
        <w:rPr>
          <w:rFonts w:cs="Arial"/>
          <w:color w:val="000000"/>
          <w:szCs w:val="19"/>
          <w:lang w:eastAsia="en-AU"/>
        </w:rPr>
        <w:t xml:space="preserve"> </w:t>
      </w:r>
      <w:r w:rsidRPr="00B24C02">
        <w:rPr>
          <w:rFonts w:cs="Arial"/>
          <w:color w:val="000000"/>
          <w:szCs w:val="19"/>
          <w:lang w:eastAsia="en-AU"/>
        </w:rPr>
        <w:t>event</w:t>
      </w:r>
      <w:r w:rsidR="005D5532" w:rsidRPr="00B24C02">
        <w:rPr>
          <w:rFonts w:cs="Arial"/>
          <w:color w:val="000000"/>
          <w:szCs w:val="19"/>
          <w:lang w:eastAsia="en-AU"/>
        </w:rPr>
        <w:t xml:space="preserve"> </w:t>
      </w:r>
      <w:r w:rsidRPr="00B24C02">
        <w:rPr>
          <w:rFonts w:cs="Arial"/>
          <w:color w:val="000000"/>
          <w:szCs w:val="19"/>
          <w:lang w:eastAsia="en-AU"/>
        </w:rPr>
        <w:t>arrangement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Education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Training</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formal</w:t>
      </w:r>
      <w:r w:rsidR="005D5532" w:rsidRPr="00B24C02">
        <w:rPr>
          <w:rFonts w:cs="Arial"/>
          <w:color w:val="000000"/>
          <w:szCs w:val="19"/>
          <w:lang w:eastAsia="en-AU"/>
        </w:rPr>
        <w:t xml:space="preserve"> </w:t>
      </w:r>
      <w:r w:rsidRPr="00B24C02">
        <w:rPr>
          <w:rFonts w:cs="Arial"/>
          <w:color w:val="000000"/>
          <w:szCs w:val="19"/>
          <w:lang w:eastAsia="en-AU"/>
        </w:rPr>
        <w:t>mechanism</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peak</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seek</w:t>
      </w:r>
      <w:r w:rsidR="005D5532" w:rsidRPr="00B24C02">
        <w:rPr>
          <w:rFonts w:cs="Arial"/>
          <w:color w:val="000000"/>
          <w:szCs w:val="19"/>
          <w:lang w:eastAsia="en-AU"/>
        </w:rPr>
        <w:t xml:space="preserve"> </w:t>
      </w:r>
      <w:r w:rsidRPr="00B24C02">
        <w:rPr>
          <w:rFonts w:cs="Arial"/>
          <w:color w:val="000000"/>
          <w:szCs w:val="19"/>
          <w:lang w:eastAsia="en-AU"/>
        </w:rPr>
        <w:t>price</w:t>
      </w:r>
      <w:r w:rsidR="005D5532" w:rsidRPr="00B24C02">
        <w:rPr>
          <w:rFonts w:cs="Arial"/>
          <w:color w:val="000000"/>
          <w:szCs w:val="19"/>
          <w:lang w:eastAsia="en-AU"/>
        </w:rPr>
        <w:t xml:space="preserve"> </w:t>
      </w:r>
      <w:r w:rsidRPr="00B24C02">
        <w:rPr>
          <w:rFonts w:cs="Arial"/>
          <w:color w:val="000000"/>
          <w:szCs w:val="19"/>
          <w:lang w:eastAsia="en-AU"/>
        </w:rPr>
        <w:t>adjustments</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industrial</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regulatory</w:t>
      </w:r>
      <w:r w:rsidR="005D5532" w:rsidRPr="00B24C02">
        <w:rPr>
          <w:rFonts w:cs="Arial"/>
          <w:color w:val="000000"/>
          <w:szCs w:val="19"/>
          <w:lang w:eastAsia="en-AU"/>
        </w:rPr>
        <w:t xml:space="preserve"> </w:t>
      </w:r>
      <w:r w:rsidRPr="00B24C02">
        <w:rPr>
          <w:rFonts w:cs="Arial"/>
          <w:color w:val="000000"/>
          <w:szCs w:val="19"/>
          <w:lang w:eastAsia="en-AU"/>
        </w:rPr>
        <w:t>decisions</w:t>
      </w:r>
      <w:r w:rsidR="005D5532" w:rsidRPr="00B24C02">
        <w:rPr>
          <w:rFonts w:cs="Arial"/>
          <w:color w:val="000000"/>
          <w:szCs w:val="19"/>
          <w:lang w:eastAsia="en-AU"/>
        </w:rPr>
        <w:t xml:space="preserve"> </w:t>
      </w:r>
      <w:r w:rsidRPr="00B24C02">
        <w:rPr>
          <w:rFonts w:cs="Arial"/>
          <w:color w:val="000000"/>
          <w:szCs w:val="19"/>
          <w:lang w:eastAsia="en-AU"/>
        </w:rPr>
        <w:t>occur</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result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cost</w:t>
      </w:r>
      <w:r w:rsidR="005D5532" w:rsidRPr="00B24C02">
        <w:rPr>
          <w:rFonts w:cs="Arial"/>
          <w:color w:val="000000"/>
          <w:szCs w:val="19"/>
          <w:lang w:eastAsia="en-AU"/>
        </w:rPr>
        <w:t xml:space="preserve"> </w:t>
      </w:r>
      <w:r w:rsidRPr="00B24C02">
        <w:rPr>
          <w:rFonts w:cs="Arial"/>
          <w:color w:val="000000"/>
          <w:szCs w:val="19"/>
          <w:lang w:eastAsia="en-AU"/>
        </w:rPr>
        <w:t>increases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above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price</w:t>
      </w:r>
      <w:r w:rsidR="005D5532" w:rsidRPr="00B24C02">
        <w:rPr>
          <w:rFonts w:cs="Arial"/>
          <w:color w:val="000000"/>
          <w:szCs w:val="19"/>
          <w:lang w:eastAsia="en-AU"/>
        </w:rPr>
        <w:t xml:space="preserve"> </w:t>
      </w:r>
      <w:r w:rsidRPr="00B24C02">
        <w:rPr>
          <w:rFonts w:cs="Arial"/>
          <w:color w:val="000000"/>
          <w:szCs w:val="19"/>
          <w:lang w:eastAsia="en-AU"/>
        </w:rPr>
        <w:t>index.</w:t>
      </w:r>
    </w:p>
    <w:p w14:paraId="03E74ABE" w14:textId="4310EC32"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outlined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hyperlink r:id="rId54" w:history="1">
        <w:r w:rsidRPr="00593EC1">
          <w:rPr>
            <w:rStyle w:val="Hyperlink"/>
          </w:rPr>
          <w:t>Price</w:t>
        </w:r>
        <w:r w:rsidR="005D5532" w:rsidRPr="00593EC1">
          <w:rPr>
            <w:rStyle w:val="Hyperlink"/>
          </w:rPr>
          <w:t xml:space="preserve"> </w:t>
        </w:r>
        <w:r w:rsidRPr="00593EC1">
          <w:rPr>
            <w:rStyle w:val="Hyperlink"/>
          </w:rPr>
          <w:t>index</w:t>
        </w:r>
        <w:r w:rsidR="005D5532" w:rsidRPr="00593EC1">
          <w:rPr>
            <w:rStyle w:val="Hyperlink"/>
          </w:rPr>
          <w:t xml:space="preserve"> </w:t>
        </w:r>
        <w:r w:rsidRPr="00593EC1">
          <w:rPr>
            <w:rStyle w:val="Hyperlink"/>
          </w:rPr>
          <w:t>exceptional</w:t>
        </w:r>
        <w:r w:rsidR="005D5532" w:rsidRPr="00593EC1">
          <w:rPr>
            <w:rStyle w:val="Hyperlink"/>
          </w:rPr>
          <w:t xml:space="preserve"> </w:t>
        </w:r>
        <w:r w:rsidRPr="00593EC1">
          <w:rPr>
            <w:rStyle w:val="Hyperlink"/>
          </w:rPr>
          <w:t>event</w:t>
        </w:r>
        <w:r w:rsidR="005D5532" w:rsidRPr="00593EC1">
          <w:rPr>
            <w:rStyle w:val="Hyperlink"/>
          </w:rPr>
          <w:t xml:space="preserve"> </w:t>
        </w:r>
        <w:r w:rsidR="00593EC1" w:rsidRPr="00593EC1">
          <w:rPr>
            <w:rStyle w:val="Hyperlink"/>
          </w:rPr>
          <w:t>arrangements</w:t>
        </w:r>
      </w:hyperlink>
      <w:r w:rsidR="00593EC1">
        <w:t xml:space="preserve"> </w:t>
      </w:r>
      <w:r w:rsidR="00492240">
        <w:rPr>
          <w:lang w:eastAsia="en-AU"/>
        </w:rPr>
        <w:t>&lt;</w:t>
      </w:r>
      <w:r w:rsidR="00593EC1" w:rsidRPr="00593EC1">
        <w:rPr>
          <w:lang w:eastAsia="en-AU"/>
        </w:rPr>
        <w:t>https://fac.dhhs.vic.gov.au/price-index-exceptional-event-arrangements</w:t>
      </w:r>
      <w:r w:rsidR="00593EC1">
        <w:rPr>
          <w:lang w:eastAsia="en-AU"/>
        </w:rPr>
        <w:t xml:space="preserve">&gt; </w:t>
      </w:r>
      <w:r w:rsidRPr="00276391">
        <w:rPr>
          <w:lang w:eastAsia="en-AU"/>
        </w:rPr>
        <w:t>(</w:t>
      </w:r>
      <w:r w:rsidR="00593EC1">
        <w:rPr>
          <w:lang w:eastAsia="en-AU"/>
        </w:rPr>
        <w:t>external link, opens in a new window</w:t>
      </w:r>
      <w:r w:rsidRPr="00276391">
        <w:rPr>
          <w:lang w:eastAsia="en-AU"/>
        </w:rPr>
        <w:t>).</w:t>
      </w:r>
    </w:p>
    <w:p w14:paraId="5B2B0AC0" w14:textId="77777777" w:rsidR="00236748" w:rsidRPr="00276391" w:rsidRDefault="00236748" w:rsidP="009D4D32">
      <w:pPr>
        <w:pStyle w:val="Heading4"/>
        <w:rPr>
          <w:lang w:eastAsia="en-AU"/>
        </w:rPr>
      </w:pPr>
      <w:bookmarkStart w:id="273" w:name="_Toc478991775"/>
      <w:r w:rsidRPr="00276391">
        <w:rPr>
          <w:lang w:eastAsia="en-AU"/>
        </w:rPr>
        <w:t>Funding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substitute</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holidays</w:t>
      </w:r>
      <w:bookmarkEnd w:id="273"/>
    </w:p>
    <w:p w14:paraId="1D485CA4" w14:textId="77777777" w:rsidR="00236748" w:rsidRPr="00276391" w:rsidRDefault="00236748" w:rsidP="00276391">
      <w:pPr>
        <w:pStyle w:val="DHHSbody"/>
        <w:rPr>
          <w:lang w:eastAsia="en-AU"/>
        </w:rPr>
      </w:pP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Christmas</w:t>
      </w:r>
      <w:r w:rsidR="005D5532" w:rsidRPr="00B24C02">
        <w:rPr>
          <w:rFonts w:cs="Arial"/>
          <w:color w:val="000000"/>
          <w:szCs w:val="19"/>
          <w:lang w:eastAsia="en-AU"/>
        </w:rPr>
        <w:t xml:space="preserve"> </w:t>
      </w:r>
      <w:r w:rsidRPr="00B24C02">
        <w:rPr>
          <w:rFonts w:cs="Arial"/>
          <w:color w:val="000000"/>
          <w:szCs w:val="19"/>
          <w:lang w:eastAsia="en-AU"/>
        </w:rPr>
        <w:t>Day,</w:t>
      </w:r>
      <w:r w:rsidR="005D5532" w:rsidRPr="00B24C02">
        <w:rPr>
          <w:rFonts w:cs="Arial"/>
          <w:color w:val="000000"/>
          <w:szCs w:val="19"/>
          <w:lang w:eastAsia="en-AU"/>
        </w:rPr>
        <w:t xml:space="preserve"> </w:t>
      </w:r>
      <w:r w:rsidRPr="00B24C02">
        <w:rPr>
          <w:rFonts w:cs="Arial"/>
          <w:color w:val="000000"/>
          <w:szCs w:val="19"/>
          <w:lang w:eastAsia="en-AU"/>
        </w:rPr>
        <w:t>Boxing</w:t>
      </w:r>
      <w:r w:rsidR="005D5532" w:rsidRPr="00B24C02">
        <w:rPr>
          <w:rFonts w:cs="Arial"/>
          <w:color w:val="000000"/>
          <w:szCs w:val="19"/>
          <w:lang w:eastAsia="en-AU"/>
        </w:rPr>
        <w:t xml:space="preserve"> </w:t>
      </w:r>
      <w:r w:rsidRPr="00B24C02">
        <w:rPr>
          <w:rFonts w:cs="Arial"/>
          <w:color w:val="000000"/>
          <w:szCs w:val="19"/>
          <w:lang w:eastAsia="en-AU"/>
        </w:rPr>
        <w:t>Day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Year's</w:t>
      </w:r>
      <w:r w:rsidR="005D5532" w:rsidRPr="00B24C02">
        <w:rPr>
          <w:rFonts w:cs="Arial"/>
          <w:color w:val="000000"/>
          <w:szCs w:val="19"/>
          <w:lang w:eastAsia="en-AU"/>
        </w:rPr>
        <w:t xml:space="preserve"> </w:t>
      </w:r>
      <w:r w:rsidRPr="00B24C02">
        <w:rPr>
          <w:rFonts w:cs="Arial"/>
          <w:color w:val="000000"/>
          <w:szCs w:val="19"/>
          <w:lang w:eastAsia="en-AU"/>
        </w:rPr>
        <w:t>Day</w:t>
      </w:r>
      <w:r w:rsidR="005D5532" w:rsidRPr="00B24C02">
        <w:rPr>
          <w:rFonts w:cs="Arial"/>
          <w:color w:val="000000"/>
          <w:szCs w:val="19"/>
          <w:lang w:eastAsia="en-AU"/>
        </w:rPr>
        <w:t xml:space="preserve"> </w:t>
      </w:r>
      <w:r w:rsidRPr="00B24C02">
        <w:rPr>
          <w:rFonts w:cs="Arial"/>
          <w:color w:val="000000"/>
          <w:szCs w:val="19"/>
          <w:lang w:eastAsia="en-AU"/>
        </w:rPr>
        <w:t>fall</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Saturday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Sunday,</w:t>
      </w:r>
      <w:r w:rsidR="005D5532" w:rsidRPr="00B24C02">
        <w:rPr>
          <w:rFonts w:cs="Arial"/>
          <w:color w:val="000000"/>
          <w:szCs w:val="19"/>
          <w:lang w:eastAsia="en-AU"/>
        </w:rPr>
        <w:t xml:space="preserve"> </w:t>
      </w:r>
      <w:r w:rsidRPr="00B24C02">
        <w:rPr>
          <w:rFonts w:cs="Arial"/>
          <w:color w:val="000000"/>
          <w:szCs w:val="19"/>
          <w:lang w:eastAsia="en-AU"/>
        </w:rPr>
        <w:t>'substitute'</w:t>
      </w:r>
      <w:r w:rsidR="005D5532" w:rsidRPr="00B24C02">
        <w:rPr>
          <w:rFonts w:cs="Arial"/>
          <w:color w:val="000000"/>
          <w:szCs w:val="19"/>
          <w:lang w:eastAsia="en-AU"/>
        </w:rPr>
        <w:t xml:space="preserve"> </w:t>
      </w:r>
      <w:r w:rsidRPr="00B24C02">
        <w:rPr>
          <w:rFonts w:cs="Arial"/>
          <w:color w:val="000000"/>
          <w:szCs w:val="19"/>
          <w:lang w:eastAsia="en-AU"/>
        </w:rPr>
        <w:t>holidays</w:t>
      </w:r>
      <w:r w:rsidR="005D5532" w:rsidRPr="00B24C02">
        <w:rPr>
          <w:rFonts w:cs="Arial"/>
          <w:color w:val="000000"/>
          <w:szCs w:val="19"/>
          <w:lang w:eastAsia="en-AU"/>
        </w:rPr>
        <w:t xml:space="preserve"> </w:t>
      </w:r>
      <w:r w:rsidRPr="00B24C02">
        <w:rPr>
          <w:rFonts w:cs="Arial"/>
          <w:color w:val="000000"/>
          <w:szCs w:val="19"/>
          <w:lang w:eastAsia="en-AU"/>
        </w:rPr>
        <w:t>occur</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Monday</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Tuesday.</w:t>
      </w:r>
      <w:r w:rsidR="005D5532" w:rsidRPr="00B24C02">
        <w:rPr>
          <w:rFonts w:cs="Arial"/>
          <w:color w:val="000000"/>
          <w:szCs w:val="19"/>
          <w:lang w:eastAsia="en-AU"/>
        </w:rPr>
        <w:t xml:space="preserve"> </w:t>
      </w:r>
      <w:r w:rsidRPr="00B24C02">
        <w:rPr>
          <w:rFonts w:cs="Arial"/>
          <w:color w:val="000000"/>
          <w:szCs w:val="19"/>
          <w:lang w:eastAsia="en-AU"/>
        </w:rPr>
        <w:t>'Substitute'</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represent</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holidays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various</w:t>
      </w:r>
      <w:r w:rsidR="005D5532" w:rsidRPr="00B24C02">
        <w:rPr>
          <w:rFonts w:cs="Arial"/>
          <w:color w:val="000000"/>
          <w:szCs w:val="19"/>
          <w:lang w:eastAsia="en-AU"/>
        </w:rPr>
        <w:t xml:space="preserve"> </w:t>
      </w:r>
      <w:r w:rsidRPr="00B24C02">
        <w:rPr>
          <w:rFonts w:cs="Arial"/>
          <w:color w:val="000000"/>
          <w:szCs w:val="19"/>
          <w:lang w:eastAsia="en-AU"/>
        </w:rPr>
        <w:t>enterprise</w:t>
      </w:r>
      <w:r w:rsidR="005D5532" w:rsidRPr="00B24C02">
        <w:rPr>
          <w:rFonts w:cs="Arial"/>
          <w:color w:val="000000"/>
          <w:szCs w:val="19"/>
          <w:lang w:eastAsia="en-AU"/>
        </w:rPr>
        <w:t xml:space="preserve"> </w:t>
      </w:r>
      <w:r w:rsidRPr="00B24C02">
        <w:rPr>
          <w:rFonts w:cs="Arial"/>
          <w:color w:val="000000"/>
          <w:szCs w:val="19"/>
          <w:lang w:eastAsia="en-AU"/>
        </w:rPr>
        <w:t>agreements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rosters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include</w:t>
      </w:r>
      <w:r w:rsidR="005D5532" w:rsidRPr="00B24C02">
        <w:rPr>
          <w:rFonts w:cs="Arial"/>
          <w:color w:val="000000"/>
          <w:szCs w:val="19"/>
          <w:lang w:eastAsia="en-AU"/>
        </w:rPr>
        <w:t xml:space="preserve"> </w:t>
      </w:r>
      <w:r w:rsidRPr="00B24C02">
        <w:rPr>
          <w:rFonts w:cs="Arial"/>
          <w:color w:val="000000"/>
          <w:szCs w:val="19"/>
          <w:lang w:eastAsia="en-AU"/>
        </w:rPr>
        <w:t>Saturdays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Sundays.</w:t>
      </w:r>
      <w:r w:rsidR="005D5532" w:rsidRPr="00B24C02">
        <w:rPr>
          <w:rFonts w:cs="Arial"/>
          <w:color w:val="000000"/>
          <w:szCs w:val="19"/>
          <w:lang w:eastAsia="en-AU"/>
        </w:rPr>
        <w:t xml:space="preserve"> </w:t>
      </w:r>
      <w:r w:rsidRPr="00B24C02">
        <w:rPr>
          <w:rFonts w:cs="Arial"/>
          <w:color w:val="000000"/>
          <w:szCs w:val="19"/>
          <w:lang w:eastAsia="en-AU"/>
        </w:rPr>
        <w:t>Appointment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particular</w:t>
      </w:r>
      <w:r w:rsidR="005D5532" w:rsidRPr="00B24C02">
        <w:rPr>
          <w:rFonts w:cs="Arial"/>
          <w:color w:val="000000"/>
          <w:szCs w:val="19"/>
          <w:lang w:eastAsia="en-AU"/>
        </w:rPr>
        <w:t xml:space="preserve"> </w:t>
      </w:r>
      <w:r w:rsidRPr="00B24C02">
        <w:rPr>
          <w:rFonts w:cs="Arial"/>
          <w:color w:val="000000"/>
          <w:szCs w:val="19"/>
          <w:lang w:eastAsia="en-AU"/>
        </w:rPr>
        <w:t>substitute</w:t>
      </w:r>
      <w:r w:rsidR="005D5532" w:rsidRPr="00B24C02">
        <w:rPr>
          <w:rFonts w:cs="Arial"/>
          <w:color w:val="000000"/>
          <w:szCs w:val="19"/>
          <w:lang w:eastAsia="en-AU"/>
        </w:rPr>
        <w:t xml:space="preserve"> </w:t>
      </w:r>
      <w:r w:rsidRPr="00B24C02">
        <w:rPr>
          <w:rFonts w:cs="Arial"/>
          <w:color w:val="000000"/>
          <w:szCs w:val="19"/>
          <w:lang w:eastAsia="en-AU"/>
        </w:rPr>
        <w:t>holidays</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common</w:t>
      </w:r>
      <w:r w:rsidR="005D5532" w:rsidRPr="00B24C02">
        <w:rPr>
          <w:rFonts w:cs="Arial"/>
          <w:color w:val="000000"/>
          <w:szCs w:val="19"/>
          <w:lang w:eastAsia="en-AU"/>
        </w:rPr>
        <w:t xml:space="preserve"> </w:t>
      </w:r>
      <w:r w:rsidRPr="00B24C02">
        <w:rPr>
          <w:rFonts w:cs="Arial"/>
          <w:color w:val="000000"/>
          <w:szCs w:val="19"/>
          <w:lang w:eastAsia="en-AU"/>
        </w:rPr>
        <w:t>practice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several</w:t>
      </w:r>
      <w:r w:rsidR="005D5532" w:rsidRPr="00B24C02">
        <w:rPr>
          <w:rFonts w:cs="Arial"/>
          <w:color w:val="000000"/>
          <w:szCs w:val="19"/>
          <w:lang w:eastAsia="en-AU"/>
        </w:rPr>
        <w:t xml:space="preserve"> </w:t>
      </w:r>
      <w:r w:rsidRPr="00B24C02">
        <w:rPr>
          <w:rFonts w:cs="Arial"/>
          <w:color w:val="000000"/>
          <w:szCs w:val="19"/>
          <w:lang w:eastAsia="en-AU"/>
        </w:rPr>
        <w:t>decades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was</w:t>
      </w:r>
      <w:r w:rsidR="005D5532" w:rsidRPr="00B24C02">
        <w:rPr>
          <w:rFonts w:cs="Arial"/>
          <w:color w:val="000000"/>
          <w:szCs w:val="19"/>
          <w:lang w:eastAsia="en-AU"/>
        </w:rPr>
        <w:t xml:space="preserve"> </w:t>
      </w:r>
      <w:r w:rsidRPr="00B24C02">
        <w:rPr>
          <w:rFonts w:cs="Arial"/>
          <w:color w:val="000000"/>
          <w:szCs w:val="19"/>
          <w:lang w:eastAsia="en-AU"/>
        </w:rPr>
        <w:t>legally</w:t>
      </w:r>
      <w:r w:rsidR="005D5532" w:rsidRPr="00B24C02">
        <w:rPr>
          <w:rFonts w:cs="Arial"/>
          <w:color w:val="000000"/>
          <w:szCs w:val="19"/>
          <w:lang w:eastAsia="en-AU"/>
        </w:rPr>
        <w:t xml:space="preserve"> </w:t>
      </w:r>
      <w:r w:rsidRPr="00B24C02">
        <w:rPr>
          <w:rFonts w:cs="Arial"/>
          <w:color w:val="000000"/>
          <w:szCs w:val="19"/>
          <w:lang w:eastAsia="en-AU"/>
        </w:rPr>
        <w:t>enshrined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permanent</w:t>
      </w:r>
      <w:r w:rsidR="005D5532" w:rsidRPr="00B24C02">
        <w:rPr>
          <w:rFonts w:cs="Arial"/>
          <w:color w:val="000000"/>
          <w:szCs w:val="19"/>
          <w:lang w:eastAsia="en-AU"/>
        </w:rPr>
        <w:t xml:space="preserve"> </w:t>
      </w:r>
      <w:r w:rsidRPr="00B24C02">
        <w:rPr>
          <w:rFonts w:cs="Arial"/>
          <w:color w:val="000000"/>
          <w:szCs w:val="19"/>
          <w:lang w:eastAsia="en-AU"/>
        </w:rPr>
        <w:t>arrangement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0C1D88">
        <w:rPr>
          <w:rFonts w:cs="Arial"/>
          <w:i/>
          <w:color w:val="000000"/>
          <w:szCs w:val="19"/>
          <w:lang w:eastAsia="en-AU"/>
        </w:rPr>
        <w:t>Public</w:t>
      </w:r>
      <w:r w:rsidR="005D5532" w:rsidRPr="000C1D88">
        <w:rPr>
          <w:rFonts w:cs="Arial"/>
          <w:i/>
          <w:color w:val="000000"/>
          <w:szCs w:val="19"/>
          <w:lang w:eastAsia="en-AU"/>
        </w:rPr>
        <w:t xml:space="preserve"> </w:t>
      </w:r>
      <w:r w:rsidRPr="000C1D88">
        <w:rPr>
          <w:rFonts w:cs="Arial"/>
          <w:i/>
          <w:color w:val="000000"/>
          <w:szCs w:val="19"/>
          <w:lang w:eastAsia="en-AU"/>
        </w:rPr>
        <w:t>Holidays</w:t>
      </w:r>
      <w:r w:rsidR="005D5532" w:rsidRPr="000C1D88">
        <w:rPr>
          <w:rFonts w:cs="Arial"/>
          <w:i/>
          <w:color w:val="000000"/>
          <w:szCs w:val="19"/>
          <w:lang w:eastAsia="en-AU"/>
        </w:rPr>
        <w:t xml:space="preserve"> </w:t>
      </w:r>
      <w:r w:rsidRPr="000C1D88">
        <w:rPr>
          <w:rFonts w:cs="Arial"/>
          <w:i/>
          <w:color w:val="000000"/>
          <w:szCs w:val="19"/>
          <w:lang w:eastAsia="en-AU"/>
        </w:rPr>
        <w:t>Act</w:t>
      </w:r>
      <w:r w:rsidR="005D5532" w:rsidRPr="000C1D88">
        <w:rPr>
          <w:rFonts w:cs="Arial"/>
          <w:i/>
          <w:color w:val="000000"/>
          <w:szCs w:val="19"/>
          <w:lang w:eastAsia="en-AU"/>
        </w:rPr>
        <w:t xml:space="preserve"> </w:t>
      </w:r>
      <w:r w:rsidRPr="000C1D88">
        <w:rPr>
          <w:rFonts w:cs="Arial"/>
          <w:i/>
          <w:color w:val="000000"/>
          <w:szCs w:val="19"/>
          <w:lang w:eastAsia="en-AU"/>
        </w:rPr>
        <w:t>1993</w:t>
      </w:r>
      <w:r w:rsidRPr="00B24C02">
        <w:rPr>
          <w:rFonts w:cs="Arial"/>
          <w:color w:val="000000"/>
          <w:szCs w:val="19"/>
          <w:lang w:eastAsia="en-AU"/>
        </w:rPr>
        <w:t>.</w:t>
      </w:r>
    </w:p>
    <w:p w14:paraId="7C16C0D6" w14:textId="6ECAAAFC" w:rsidR="00236748" w:rsidRPr="00276391" w:rsidRDefault="00DF1D39" w:rsidP="00276391">
      <w:pPr>
        <w:pStyle w:val="DHHSbody"/>
        <w:rPr>
          <w:lang w:eastAsia="en-AU"/>
        </w:rPr>
      </w:pPr>
      <w:r>
        <w:rPr>
          <w:lang w:eastAsia="en-AU"/>
        </w:rPr>
        <w:t>Department Health and Human Services’</w:t>
      </w:r>
      <w:r w:rsidR="005D5532" w:rsidRPr="00276391">
        <w:rPr>
          <w:lang w:eastAsia="en-AU"/>
        </w:rPr>
        <w:t xml:space="preserve"> </w:t>
      </w:r>
      <w:r w:rsidR="00236748" w:rsidRPr="00276391">
        <w:rPr>
          <w:lang w:eastAsia="en-AU"/>
        </w:rPr>
        <w:t>funding</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organisations</w:t>
      </w:r>
      <w:r w:rsidR="005D5532" w:rsidRPr="00276391">
        <w:rPr>
          <w:lang w:eastAsia="en-AU"/>
        </w:rPr>
        <w:t xml:space="preserve"> </w:t>
      </w:r>
      <w:r w:rsidR="00236748" w:rsidRPr="00276391">
        <w:rPr>
          <w:lang w:eastAsia="en-AU"/>
        </w:rPr>
        <w:t>incorporates,</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an</w:t>
      </w:r>
      <w:r w:rsidR="005D5532" w:rsidRPr="00276391">
        <w:rPr>
          <w:lang w:eastAsia="en-AU"/>
        </w:rPr>
        <w:t xml:space="preserve"> </w:t>
      </w:r>
      <w:r w:rsidR="00236748" w:rsidRPr="00276391">
        <w:rPr>
          <w:lang w:eastAsia="en-AU"/>
        </w:rPr>
        <w:t>annualised</w:t>
      </w:r>
      <w:r w:rsidR="005D5532" w:rsidRPr="00276391">
        <w:rPr>
          <w:lang w:eastAsia="en-AU"/>
        </w:rPr>
        <w:t xml:space="preserve"> </w:t>
      </w:r>
      <w:r w:rsidR="00236748" w:rsidRPr="00276391">
        <w:rPr>
          <w:lang w:eastAsia="en-AU"/>
        </w:rPr>
        <w:t>basis,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capacity</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deal</w:t>
      </w:r>
      <w:r w:rsidR="005D5532" w:rsidRPr="00276391">
        <w:rPr>
          <w:lang w:eastAsia="en-AU"/>
        </w:rPr>
        <w:t xml:space="preserve"> </w:t>
      </w:r>
      <w:r w:rsidR="00236748" w:rsidRPr="00276391">
        <w:rPr>
          <w:lang w:eastAsia="en-AU"/>
        </w:rPr>
        <w:t>with</w:t>
      </w:r>
      <w:r w:rsidR="005D5532" w:rsidRPr="00276391">
        <w:rPr>
          <w:lang w:eastAsia="en-AU"/>
        </w:rPr>
        <w:t xml:space="preserve"> </w:t>
      </w:r>
      <w:r w:rsidR="00236748" w:rsidRPr="00276391">
        <w:rPr>
          <w:lang w:eastAsia="en-AU"/>
        </w:rPr>
        <w:t>'substitute'</w:t>
      </w:r>
      <w:r w:rsidR="005D5532" w:rsidRPr="00276391">
        <w:rPr>
          <w:lang w:eastAsia="en-AU"/>
        </w:rPr>
        <w:t xml:space="preserve"> </w:t>
      </w:r>
      <w:r w:rsidR="00236748" w:rsidRPr="00276391">
        <w:rPr>
          <w:lang w:eastAsia="en-AU"/>
        </w:rPr>
        <w:t>public</w:t>
      </w:r>
      <w:r w:rsidR="005D5532" w:rsidRPr="00276391">
        <w:rPr>
          <w:lang w:eastAsia="en-AU"/>
        </w:rPr>
        <w:t xml:space="preserve"> </w:t>
      </w:r>
      <w:r w:rsidR="00236748" w:rsidRPr="00276391">
        <w:rPr>
          <w:lang w:eastAsia="en-AU"/>
        </w:rPr>
        <w:t>holidays</w:t>
      </w:r>
      <w:r w:rsidR="005D5532" w:rsidRPr="00276391">
        <w:rPr>
          <w:lang w:eastAsia="en-AU"/>
        </w:rPr>
        <w:t xml:space="preserve"> </w:t>
      </w:r>
      <w:r w:rsidR="00236748" w:rsidRPr="00276391">
        <w:rPr>
          <w:lang w:eastAsia="en-AU"/>
        </w:rPr>
        <w:t>days</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two</w:t>
      </w:r>
      <w:r w:rsidR="005D5532" w:rsidRPr="00276391">
        <w:rPr>
          <w:lang w:eastAsia="en-AU"/>
        </w:rPr>
        <w:t xml:space="preserve"> </w:t>
      </w:r>
      <w:r w:rsidR="00236748" w:rsidRPr="00276391">
        <w:rPr>
          <w:lang w:eastAsia="en-AU"/>
        </w:rPr>
        <w:t>Christmas</w:t>
      </w:r>
      <w:r w:rsidR="005D5532" w:rsidRPr="00276391">
        <w:rPr>
          <w:lang w:eastAsia="en-AU"/>
        </w:rPr>
        <w:t xml:space="preserve"> </w:t>
      </w:r>
      <w:r w:rsidR="00236748" w:rsidRPr="00276391">
        <w:rPr>
          <w:lang w:eastAsia="en-AU"/>
        </w:rPr>
        <w:t>holidays</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New</w:t>
      </w:r>
      <w:r w:rsidR="005D5532" w:rsidRPr="00276391">
        <w:rPr>
          <w:lang w:eastAsia="en-AU"/>
        </w:rPr>
        <w:t xml:space="preserve"> </w:t>
      </w:r>
      <w:r w:rsidR="00236748" w:rsidRPr="00276391">
        <w:rPr>
          <w:lang w:eastAsia="en-AU"/>
        </w:rPr>
        <w:t>Year’s</w:t>
      </w:r>
      <w:r w:rsidR="005D5532" w:rsidRPr="00276391">
        <w:rPr>
          <w:lang w:eastAsia="en-AU"/>
        </w:rPr>
        <w:t xml:space="preserve"> </w:t>
      </w:r>
      <w:r w:rsidR="00236748" w:rsidRPr="00276391">
        <w:rPr>
          <w:lang w:eastAsia="en-AU"/>
        </w:rPr>
        <w:t>Day.</w:t>
      </w:r>
      <w:r w:rsidR="005D5532" w:rsidRPr="00276391">
        <w:rPr>
          <w:lang w:eastAsia="en-AU"/>
        </w:rPr>
        <w:t xml:space="preserve"> </w:t>
      </w:r>
      <w:r w:rsidR="00236748" w:rsidRPr="00276391">
        <w:rPr>
          <w:lang w:eastAsia="en-AU"/>
        </w:rPr>
        <w:t>There</w:t>
      </w:r>
      <w:r w:rsidR="005D5532" w:rsidRPr="00276391">
        <w:rPr>
          <w:lang w:eastAsia="en-AU"/>
        </w:rPr>
        <w:t xml:space="preserve"> </w:t>
      </w:r>
      <w:r w:rsidR="00236748" w:rsidRPr="00276391">
        <w:rPr>
          <w:lang w:eastAsia="en-AU"/>
        </w:rPr>
        <w:t>is</w:t>
      </w:r>
      <w:r w:rsidR="005D5532" w:rsidRPr="00276391">
        <w:rPr>
          <w:lang w:eastAsia="en-AU"/>
        </w:rPr>
        <w:t xml:space="preserve"> </w:t>
      </w:r>
      <w:r w:rsidR="00236748" w:rsidRPr="00276391">
        <w:rPr>
          <w:lang w:eastAsia="en-AU"/>
        </w:rPr>
        <w:t>no</w:t>
      </w:r>
      <w:r w:rsidR="005D5532" w:rsidRPr="00276391">
        <w:rPr>
          <w:lang w:eastAsia="en-AU"/>
        </w:rPr>
        <w:t xml:space="preserve"> </w:t>
      </w:r>
      <w:r w:rsidR="00236748" w:rsidRPr="00276391">
        <w:rPr>
          <w:lang w:eastAsia="en-AU"/>
        </w:rPr>
        <w:t>requirement</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supplement</w:t>
      </w:r>
      <w:r w:rsidR="005D5532" w:rsidRPr="00276391">
        <w:rPr>
          <w:lang w:eastAsia="en-AU"/>
        </w:rPr>
        <w:t xml:space="preserve"> </w:t>
      </w:r>
      <w:r w:rsidR="00236748" w:rsidRPr="00276391">
        <w:rPr>
          <w:lang w:eastAsia="en-AU"/>
        </w:rPr>
        <w:t>this</w:t>
      </w:r>
      <w:r w:rsidR="005D5532" w:rsidRPr="00276391">
        <w:rPr>
          <w:lang w:eastAsia="en-AU"/>
        </w:rPr>
        <w:t xml:space="preserve"> </w:t>
      </w:r>
      <w:r w:rsidR="00236748" w:rsidRPr="00276391">
        <w:rPr>
          <w:lang w:eastAsia="en-AU"/>
        </w:rPr>
        <w:t>funding</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years</w:t>
      </w:r>
      <w:r w:rsidR="005D5532" w:rsidRPr="00276391">
        <w:rPr>
          <w:lang w:eastAsia="en-AU"/>
        </w:rPr>
        <w:t xml:space="preserve"> </w:t>
      </w:r>
      <w:r w:rsidR="00236748" w:rsidRPr="00276391">
        <w:rPr>
          <w:lang w:eastAsia="en-AU"/>
        </w:rPr>
        <w:t>when</w:t>
      </w:r>
      <w:r w:rsidR="005D5532" w:rsidRPr="00276391">
        <w:rPr>
          <w:lang w:eastAsia="en-AU"/>
        </w:rPr>
        <w:t xml:space="preserve"> </w:t>
      </w:r>
      <w:r w:rsidR="00236748" w:rsidRPr="00276391">
        <w:rPr>
          <w:lang w:eastAsia="en-AU"/>
        </w:rPr>
        <w:t>such</w:t>
      </w:r>
      <w:r w:rsidR="005D5532" w:rsidRPr="00276391">
        <w:rPr>
          <w:lang w:eastAsia="en-AU"/>
        </w:rPr>
        <w:t xml:space="preserve"> </w:t>
      </w:r>
      <w:r w:rsidR="00236748" w:rsidRPr="00276391">
        <w:rPr>
          <w:lang w:eastAsia="en-AU"/>
        </w:rPr>
        <w:t>substitute</w:t>
      </w:r>
      <w:r w:rsidR="005D5532" w:rsidRPr="00276391">
        <w:rPr>
          <w:lang w:eastAsia="en-AU"/>
        </w:rPr>
        <w:t xml:space="preserve"> </w:t>
      </w:r>
      <w:r w:rsidR="00236748" w:rsidRPr="00276391">
        <w:rPr>
          <w:lang w:eastAsia="en-AU"/>
        </w:rPr>
        <w:t>days</w:t>
      </w:r>
      <w:r w:rsidR="005D5532" w:rsidRPr="00276391">
        <w:rPr>
          <w:lang w:eastAsia="en-AU"/>
        </w:rPr>
        <w:t xml:space="preserve"> </w:t>
      </w:r>
      <w:r w:rsidR="00236748" w:rsidRPr="00276391">
        <w:rPr>
          <w:lang w:eastAsia="en-AU"/>
        </w:rPr>
        <w:t>occur.</w:t>
      </w:r>
    </w:p>
    <w:p w14:paraId="0FF0D9F7" w14:textId="77777777"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2009,</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declared</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substitute</w:t>
      </w:r>
      <w:r w:rsidR="005D5532" w:rsidRPr="00276391">
        <w:rPr>
          <w:lang w:eastAsia="en-AU"/>
        </w:rPr>
        <w:t xml:space="preserve"> </w:t>
      </w:r>
      <w:r w:rsidRPr="00276391">
        <w:rPr>
          <w:lang w:eastAsia="en-AU"/>
        </w:rPr>
        <w:t>holiday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ANZAC</w:t>
      </w:r>
      <w:r w:rsidR="005D5532" w:rsidRPr="00276391">
        <w:rPr>
          <w:lang w:eastAsia="en-AU"/>
        </w:rPr>
        <w:t xml:space="preserve"> </w:t>
      </w:r>
      <w:r w:rsidRPr="00276391">
        <w:rPr>
          <w:lang w:eastAsia="en-AU"/>
        </w:rPr>
        <w:t>Day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fell</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Saturday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Supplementary</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instance</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until</w:t>
      </w:r>
      <w:r w:rsidR="005D5532" w:rsidRPr="00276391">
        <w:rPr>
          <w:lang w:eastAsia="en-AU"/>
        </w:rPr>
        <w:t xml:space="preserve"> </w:t>
      </w:r>
      <w:r w:rsidRPr="00276391">
        <w:rPr>
          <w:lang w:eastAsia="en-AU"/>
        </w:rPr>
        <w:t>then</w:t>
      </w:r>
      <w:r w:rsidR="005D5532" w:rsidRPr="00276391">
        <w:rPr>
          <w:lang w:eastAsia="en-AU"/>
        </w:rPr>
        <w:t xml:space="preserve"> </w:t>
      </w:r>
      <w:r w:rsidRPr="00276391">
        <w:rPr>
          <w:lang w:eastAsia="en-AU"/>
        </w:rPr>
        <w:t>substitute</w:t>
      </w:r>
      <w:r w:rsidR="005D5532" w:rsidRPr="00276391">
        <w:rPr>
          <w:lang w:eastAsia="en-AU"/>
        </w:rPr>
        <w:t xml:space="preserve"> </w:t>
      </w:r>
      <w:r w:rsidRPr="00276391">
        <w:rPr>
          <w:lang w:eastAsia="en-AU"/>
        </w:rPr>
        <w:t>holidays</w:t>
      </w:r>
      <w:r w:rsidR="005D5532" w:rsidRPr="00276391">
        <w:rPr>
          <w:lang w:eastAsia="en-AU"/>
        </w:rPr>
        <w:t xml:space="preserve"> </w:t>
      </w:r>
      <w:r w:rsidRPr="00276391">
        <w:rPr>
          <w:lang w:eastAsia="en-AU"/>
        </w:rPr>
        <w:t>had</w:t>
      </w:r>
      <w:r w:rsidR="005D5532" w:rsidRPr="00276391">
        <w:rPr>
          <w:lang w:eastAsia="en-AU"/>
        </w:rPr>
        <w:t xml:space="preserve"> </w:t>
      </w:r>
      <w:r w:rsidRPr="00276391">
        <w:rPr>
          <w:lang w:eastAsia="en-AU"/>
        </w:rPr>
        <w:t>never</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declared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ANZAC</w:t>
      </w:r>
      <w:r w:rsidR="005D5532" w:rsidRPr="00276391">
        <w:rPr>
          <w:lang w:eastAsia="en-AU"/>
        </w:rPr>
        <w:t xml:space="preserve"> </w:t>
      </w:r>
      <w:r w:rsidRPr="00276391">
        <w:rPr>
          <w:lang w:eastAsia="en-AU"/>
        </w:rPr>
        <w:t>Day.</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declaration</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repeated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2015</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ANZAC</w:t>
      </w:r>
      <w:r w:rsidR="005D5532" w:rsidRPr="00276391">
        <w:rPr>
          <w:lang w:eastAsia="en-AU"/>
        </w:rPr>
        <w:t xml:space="preserve"> </w:t>
      </w:r>
      <w:r w:rsidRPr="00276391">
        <w:rPr>
          <w:lang w:eastAsia="en-AU"/>
        </w:rPr>
        <w:t>Day</w:t>
      </w:r>
      <w:r w:rsidR="005D5532" w:rsidRPr="00276391">
        <w:rPr>
          <w:lang w:eastAsia="en-AU"/>
        </w:rPr>
        <w:t xml:space="preserve"> </w:t>
      </w:r>
      <w:r w:rsidRPr="00276391">
        <w:rPr>
          <w:lang w:eastAsia="en-AU"/>
        </w:rPr>
        <w:t>again</w:t>
      </w:r>
      <w:r w:rsidR="005D5532" w:rsidRPr="00276391">
        <w:rPr>
          <w:lang w:eastAsia="en-AU"/>
        </w:rPr>
        <w:t xml:space="preserve"> </w:t>
      </w:r>
      <w:r w:rsidRPr="00276391">
        <w:rPr>
          <w:lang w:eastAsia="en-AU"/>
        </w:rPr>
        <w:t>fell</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Saturday.</w:t>
      </w:r>
    </w:p>
    <w:p w14:paraId="25E694E6" w14:textId="38AAE16A" w:rsidR="00236748" w:rsidRPr="00276391" w:rsidRDefault="00236748" w:rsidP="00276391">
      <w:pPr>
        <w:pStyle w:val="DHHSbody"/>
        <w:rPr>
          <w:lang w:eastAsia="en-AU"/>
        </w:rPr>
      </w:pPr>
      <w:r w:rsidRPr="00276391">
        <w:rPr>
          <w:lang w:eastAsia="en-AU"/>
        </w:rPr>
        <w:t>Note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0C1D88">
        <w:rPr>
          <w:i/>
          <w:lang w:eastAsia="en-AU"/>
        </w:rPr>
        <w:t>Public</w:t>
      </w:r>
      <w:r w:rsidR="005D5532" w:rsidRPr="000C1D88">
        <w:rPr>
          <w:i/>
          <w:lang w:eastAsia="en-AU"/>
        </w:rPr>
        <w:t xml:space="preserve"> </w:t>
      </w:r>
      <w:r w:rsidRPr="000C1D88">
        <w:rPr>
          <w:i/>
          <w:lang w:eastAsia="en-AU"/>
        </w:rPr>
        <w:t>Holidays</w:t>
      </w:r>
      <w:r w:rsidR="005D5532" w:rsidRPr="000C1D88">
        <w:rPr>
          <w:i/>
          <w:lang w:eastAsia="en-AU"/>
        </w:rPr>
        <w:t xml:space="preserve"> </w:t>
      </w:r>
      <w:r w:rsidRPr="000C1D88">
        <w:rPr>
          <w:i/>
          <w:lang w:eastAsia="en-AU"/>
        </w:rPr>
        <w:t>Act</w:t>
      </w:r>
      <w:r w:rsidR="000C1D88" w:rsidRPr="000C1D88">
        <w:rPr>
          <w:i/>
          <w:lang w:eastAsia="en-AU"/>
        </w:rPr>
        <w:t xml:space="preserve"> 1993</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'shift'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Australia</w:t>
      </w:r>
      <w:r w:rsidR="005D5532" w:rsidRPr="00276391">
        <w:rPr>
          <w:lang w:eastAsia="en-AU"/>
        </w:rPr>
        <w:t xml:space="preserve"> </w:t>
      </w:r>
      <w:r w:rsidRPr="00276391">
        <w:rPr>
          <w:lang w:eastAsia="en-AU"/>
        </w:rPr>
        <w:t>Day</w:t>
      </w:r>
      <w:r w:rsidR="005D5532" w:rsidRPr="00276391">
        <w:rPr>
          <w:lang w:eastAsia="en-AU"/>
        </w:rPr>
        <w:t xml:space="preserve"> </w:t>
      </w:r>
      <w:r w:rsidRPr="00276391">
        <w:rPr>
          <w:lang w:eastAsia="en-AU"/>
        </w:rPr>
        <w:t>holiday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Monday</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26</w:t>
      </w:r>
      <w:r w:rsidR="005D5532" w:rsidRPr="00276391">
        <w:rPr>
          <w:lang w:eastAsia="en-AU"/>
        </w:rPr>
        <w:t xml:space="preserve"> </w:t>
      </w:r>
      <w:r w:rsidRPr="00276391">
        <w:rPr>
          <w:lang w:eastAsia="en-AU"/>
        </w:rPr>
        <w:t>January</w:t>
      </w:r>
      <w:r w:rsidR="005D5532" w:rsidRPr="00276391">
        <w:rPr>
          <w:lang w:eastAsia="en-AU"/>
        </w:rPr>
        <w:t xml:space="preserve"> </w:t>
      </w:r>
      <w:r w:rsidRPr="00276391">
        <w:rPr>
          <w:lang w:eastAsia="en-AU"/>
        </w:rPr>
        <w:t>falls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Saturday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Sunday.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w:t>
      </w:r>
      <w:r w:rsidR="005D5532" w:rsidRPr="00276391">
        <w:rPr>
          <w:lang w:eastAsia="en-AU"/>
        </w:rPr>
        <w:t xml:space="preserve"> </w:t>
      </w:r>
      <w:r w:rsidRPr="00276391">
        <w:rPr>
          <w:lang w:eastAsia="en-AU"/>
        </w:rPr>
        <w:t>substitute</w:t>
      </w:r>
      <w:r w:rsidR="005D5532" w:rsidRPr="00276391">
        <w:rPr>
          <w:lang w:eastAsia="en-AU"/>
        </w:rPr>
        <w:t xml:space="preserve"> </w:t>
      </w:r>
      <w:r w:rsidRPr="00276391">
        <w:rPr>
          <w:lang w:eastAsia="en-AU"/>
        </w:rPr>
        <w:t>holiday.</w:t>
      </w:r>
    </w:p>
    <w:p w14:paraId="19EB0FED" w14:textId="77777777" w:rsidR="00236748" w:rsidRPr="00276391" w:rsidRDefault="00236748" w:rsidP="009D4D32">
      <w:pPr>
        <w:pStyle w:val="Heading3"/>
        <w:rPr>
          <w:lang w:eastAsia="en-AU"/>
        </w:rPr>
      </w:pPr>
      <w:bookmarkStart w:id="274" w:name="_Toc478991776"/>
      <w:bookmarkStart w:id="275" w:name="_Toc478992367"/>
      <w:bookmarkStart w:id="276" w:name="_Toc4142043"/>
      <w:r w:rsidRPr="00276391">
        <w:rPr>
          <w:lang w:eastAsia="en-AU"/>
        </w:rPr>
        <w:t>3.4.3</w:t>
      </w:r>
      <w:r w:rsidR="009B2351" w:rsidRPr="00276391">
        <w:rPr>
          <w:lang w:eastAsia="en-AU"/>
        </w:rPr>
        <w:t xml:space="preserve"> </w:t>
      </w:r>
      <w:r w:rsidRPr="00276391">
        <w:rPr>
          <w:lang w:eastAsia="en-AU"/>
        </w:rPr>
        <w:t>Goods</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services</w:t>
      </w:r>
      <w:r w:rsidR="009B2351" w:rsidRPr="00276391">
        <w:rPr>
          <w:lang w:eastAsia="en-AU"/>
        </w:rPr>
        <w:t xml:space="preserve"> </w:t>
      </w:r>
      <w:r w:rsidRPr="00276391">
        <w:rPr>
          <w:lang w:eastAsia="en-AU"/>
        </w:rPr>
        <w:t>tax</w:t>
      </w:r>
      <w:bookmarkEnd w:id="274"/>
      <w:bookmarkEnd w:id="275"/>
      <w:bookmarkEnd w:id="276"/>
    </w:p>
    <w:p w14:paraId="69CEBECD" w14:textId="77777777" w:rsidR="00236748" w:rsidRPr="00276391" w:rsidRDefault="00236748" w:rsidP="009D4D32">
      <w:pPr>
        <w:pStyle w:val="Heading4"/>
        <w:rPr>
          <w:lang w:eastAsia="en-AU"/>
        </w:rPr>
      </w:pPr>
      <w:bookmarkStart w:id="277" w:name="_Toc478991777"/>
      <w:r w:rsidRPr="00276391">
        <w:rPr>
          <w:lang w:eastAsia="en-AU"/>
        </w:rPr>
        <w:t>Processing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GST</w:t>
      </w:r>
      <w:bookmarkEnd w:id="277"/>
    </w:p>
    <w:p w14:paraId="3B7AB828" w14:textId="77777777" w:rsidR="00236748" w:rsidRPr="000C1D88" w:rsidRDefault="00236748" w:rsidP="00417439">
      <w:pPr>
        <w:pStyle w:val="DHHSbodyBold"/>
        <w:rPr>
          <w:b w:val="0"/>
          <w:lang w:eastAsia="en-AU"/>
        </w:rPr>
      </w:pPr>
      <w:bookmarkStart w:id="278" w:name="_Toc478991778"/>
      <w:r w:rsidRPr="000C1D88">
        <w:rPr>
          <w:b w:val="0"/>
          <w:lang w:eastAsia="en-AU"/>
        </w:rPr>
        <w:t>Goods</w:t>
      </w:r>
      <w:r w:rsidR="005D5532" w:rsidRPr="000C1D88">
        <w:rPr>
          <w:b w:val="0"/>
          <w:lang w:eastAsia="en-AU"/>
        </w:rPr>
        <w:t xml:space="preserve"> </w:t>
      </w:r>
      <w:r w:rsidRPr="000C1D88">
        <w:rPr>
          <w:b w:val="0"/>
          <w:lang w:eastAsia="en-AU"/>
        </w:rPr>
        <w:t>and</w:t>
      </w:r>
      <w:r w:rsidR="005D5532" w:rsidRPr="000C1D88">
        <w:rPr>
          <w:b w:val="0"/>
          <w:lang w:eastAsia="en-AU"/>
        </w:rPr>
        <w:t xml:space="preserve"> </w:t>
      </w:r>
      <w:r w:rsidRPr="000C1D88">
        <w:rPr>
          <w:b w:val="0"/>
          <w:lang w:eastAsia="en-AU"/>
        </w:rPr>
        <w:t>Services</w:t>
      </w:r>
      <w:r w:rsidR="005D5532" w:rsidRPr="000C1D88">
        <w:rPr>
          <w:b w:val="0"/>
          <w:lang w:eastAsia="en-AU"/>
        </w:rPr>
        <w:t xml:space="preserve"> </w:t>
      </w:r>
      <w:r w:rsidRPr="000C1D88">
        <w:rPr>
          <w:b w:val="0"/>
          <w:lang w:eastAsia="en-AU"/>
        </w:rPr>
        <w:t>Tax</w:t>
      </w:r>
      <w:r w:rsidR="005D5532" w:rsidRPr="000C1D88">
        <w:rPr>
          <w:b w:val="0"/>
          <w:lang w:eastAsia="en-AU"/>
        </w:rPr>
        <w:t xml:space="preserve"> </w:t>
      </w:r>
      <w:r w:rsidRPr="000C1D88">
        <w:rPr>
          <w:b w:val="0"/>
          <w:lang w:eastAsia="en-AU"/>
        </w:rPr>
        <w:t>(GST)</w:t>
      </w:r>
      <w:r w:rsidR="005D5532" w:rsidRPr="000C1D88">
        <w:rPr>
          <w:b w:val="0"/>
          <w:lang w:eastAsia="en-AU"/>
        </w:rPr>
        <w:t xml:space="preserve"> </w:t>
      </w:r>
      <w:r w:rsidRPr="000C1D88">
        <w:rPr>
          <w:b w:val="0"/>
          <w:lang w:eastAsia="en-AU"/>
        </w:rPr>
        <w:t>is</w:t>
      </w:r>
      <w:r w:rsidR="005D5532" w:rsidRPr="000C1D88">
        <w:rPr>
          <w:b w:val="0"/>
          <w:lang w:eastAsia="en-AU"/>
        </w:rPr>
        <w:t xml:space="preserve"> </w:t>
      </w:r>
      <w:r w:rsidRPr="000C1D88">
        <w:rPr>
          <w:b w:val="0"/>
          <w:lang w:eastAsia="en-AU"/>
        </w:rPr>
        <w:t>payable</w:t>
      </w:r>
      <w:r w:rsidR="005D5532" w:rsidRPr="000C1D88">
        <w:rPr>
          <w:b w:val="0"/>
          <w:lang w:eastAsia="en-AU"/>
        </w:rPr>
        <w:t xml:space="preserve"> </w:t>
      </w:r>
      <w:r w:rsidRPr="000C1D88">
        <w:rPr>
          <w:b w:val="0"/>
          <w:lang w:eastAsia="en-AU"/>
        </w:rPr>
        <w:t>where</w:t>
      </w:r>
      <w:r w:rsidR="005D5532" w:rsidRPr="000C1D88">
        <w:rPr>
          <w:b w:val="0"/>
          <w:lang w:eastAsia="en-AU"/>
        </w:rPr>
        <w:t xml:space="preserve"> </w:t>
      </w:r>
      <w:r w:rsidRPr="000C1D88">
        <w:rPr>
          <w:b w:val="0"/>
          <w:lang w:eastAsia="en-AU"/>
        </w:rPr>
        <w:t>all</w:t>
      </w:r>
      <w:r w:rsidR="005D5532" w:rsidRPr="000C1D88">
        <w:rPr>
          <w:b w:val="0"/>
          <w:lang w:eastAsia="en-AU"/>
        </w:rPr>
        <w:t xml:space="preserve"> </w:t>
      </w:r>
      <w:r w:rsidRPr="000C1D88">
        <w:rPr>
          <w:b w:val="0"/>
          <w:lang w:eastAsia="en-AU"/>
        </w:rPr>
        <w:t>three</w:t>
      </w:r>
      <w:r w:rsidR="005D5532" w:rsidRPr="000C1D88">
        <w:rPr>
          <w:b w:val="0"/>
          <w:lang w:eastAsia="en-AU"/>
        </w:rPr>
        <w:t xml:space="preserve"> </w:t>
      </w:r>
      <w:r w:rsidRPr="000C1D88">
        <w:rPr>
          <w:b w:val="0"/>
          <w:lang w:eastAsia="en-AU"/>
        </w:rPr>
        <w:t>of</w:t>
      </w:r>
      <w:r w:rsidR="005D5532" w:rsidRPr="000C1D88">
        <w:rPr>
          <w:b w:val="0"/>
          <w:lang w:eastAsia="en-AU"/>
        </w:rPr>
        <w:t xml:space="preserve"> </w:t>
      </w:r>
      <w:r w:rsidRPr="000C1D88">
        <w:rPr>
          <w:b w:val="0"/>
          <w:lang w:eastAsia="en-AU"/>
        </w:rPr>
        <w:t>the</w:t>
      </w:r>
      <w:r w:rsidR="005D5532" w:rsidRPr="000C1D88">
        <w:rPr>
          <w:b w:val="0"/>
          <w:lang w:eastAsia="en-AU"/>
        </w:rPr>
        <w:t xml:space="preserve"> </w:t>
      </w:r>
      <w:r w:rsidRPr="000C1D88">
        <w:rPr>
          <w:b w:val="0"/>
          <w:lang w:eastAsia="en-AU"/>
        </w:rPr>
        <w:t>below</w:t>
      </w:r>
      <w:r w:rsidR="005D5532" w:rsidRPr="000C1D88">
        <w:rPr>
          <w:b w:val="0"/>
          <w:lang w:eastAsia="en-AU"/>
        </w:rPr>
        <w:t xml:space="preserve"> </w:t>
      </w:r>
      <w:r w:rsidRPr="000C1D88">
        <w:rPr>
          <w:b w:val="0"/>
          <w:lang w:eastAsia="en-AU"/>
        </w:rPr>
        <w:t>conditions</w:t>
      </w:r>
      <w:r w:rsidR="005D5532" w:rsidRPr="000C1D88">
        <w:rPr>
          <w:b w:val="0"/>
          <w:lang w:eastAsia="en-AU"/>
        </w:rPr>
        <w:t xml:space="preserve"> </w:t>
      </w:r>
      <w:r w:rsidRPr="000C1D88">
        <w:rPr>
          <w:b w:val="0"/>
          <w:lang w:eastAsia="en-AU"/>
        </w:rPr>
        <w:t>are</w:t>
      </w:r>
      <w:r w:rsidR="005D5532" w:rsidRPr="000C1D88">
        <w:rPr>
          <w:b w:val="0"/>
          <w:lang w:eastAsia="en-AU"/>
        </w:rPr>
        <w:t xml:space="preserve"> </w:t>
      </w:r>
      <w:r w:rsidRPr="000C1D88">
        <w:rPr>
          <w:b w:val="0"/>
          <w:lang w:eastAsia="en-AU"/>
        </w:rPr>
        <w:t>met:</w:t>
      </w:r>
      <w:bookmarkEnd w:id="278"/>
    </w:p>
    <w:p w14:paraId="6DF7AFC5" w14:textId="06A05F0F" w:rsidR="00236748" w:rsidRPr="00276391" w:rsidRDefault="00236748" w:rsidP="00276391">
      <w:pPr>
        <w:pStyle w:val="DHHSbullet1"/>
        <w:rPr>
          <w:rFonts w:cs="Arial"/>
          <w:lang w:eastAsia="en-AU"/>
        </w:rPr>
      </w:pPr>
      <w:r w:rsidRPr="00276391">
        <w:rPr>
          <w:rFonts w:cs="Arial"/>
          <w:lang w:eastAsia="en-AU"/>
        </w:rPr>
        <w:t>An</w:t>
      </w:r>
      <w:r w:rsidR="005D5532" w:rsidRPr="00276391">
        <w:rPr>
          <w:rFonts w:cs="Arial"/>
          <w:lang w:eastAsia="en-AU"/>
        </w:rPr>
        <w:t xml:space="preserve"> </w:t>
      </w:r>
      <w:r w:rsidR="00CD3CD6">
        <w:rPr>
          <w:rFonts w:cs="Arial"/>
          <w:lang w:eastAsia="en-AU"/>
        </w:rPr>
        <w:t xml:space="preserve">organisation </w:t>
      </w:r>
      <w:r w:rsidRPr="00276391">
        <w:rPr>
          <w:rFonts w:cs="Arial"/>
          <w:lang w:eastAsia="en-AU"/>
        </w:rPr>
        <w:t>has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active</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r w:rsidRPr="00276391">
        <w:rPr>
          <w:rFonts w:cs="Arial"/>
          <w:lang w:eastAsia="en-AU"/>
        </w:rPr>
        <w:t>(ABN)</w:t>
      </w:r>
      <w:r w:rsidR="00CD3CD6">
        <w:rPr>
          <w:rFonts w:cs="Arial"/>
          <w:lang w:eastAsia="en-AU"/>
        </w:rPr>
        <w:t>.</w:t>
      </w:r>
    </w:p>
    <w:p w14:paraId="521EFF38" w14:textId="40BE51F9" w:rsidR="00236748" w:rsidRPr="00276391" w:rsidRDefault="00236748" w:rsidP="009D4D32">
      <w:pPr>
        <w:pStyle w:val="DHHSbullet1"/>
        <w:rPr>
          <w:lang w:eastAsia="en-AU"/>
        </w:rPr>
      </w:pPr>
      <w:r w:rsidRPr="00B24C02">
        <w:rPr>
          <w:lang w:eastAsia="en-AU"/>
        </w:rPr>
        <w:t>An</w:t>
      </w:r>
      <w:r w:rsidR="005D5532" w:rsidRPr="00B24C02">
        <w:rPr>
          <w:lang w:eastAsia="en-AU"/>
        </w:rPr>
        <w:t xml:space="preserve"> </w:t>
      </w:r>
      <w:r w:rsidRPr="00B24C02">
        <w:rPr>
          <w:lang w:eastAsia="en-AU"/>
        </w:rPr>
        <w:t>Australian</w:t>
      </w:r>
      <w:r w:rsidR="005D5532" w:rsidRPr="00B24C02">
        <w:rPr>
          <w:lang w:eastAsia="en-AU"/>
        </w:rPr>
        <w:t xml:space="preserve"> </w:t>
      </w:r>
      <w:r w:rsidRPr="00B24C02">
        <w:rPr>
          <w:lang w:eastAsia="en-AU"/>
        </w:rPr>
        <w:t>Business</w:t>
      </w:r>
      <w:r w:rsidR="005D5532" w:rsidRPr="00B24C02">
        <w:rPr>
          <w:lang w:eastAsia="en-AU"/>
        </w:rPr>
        <w:t xml:space="preserve"> </w:t>
      </w:r>
      <w:r w:rsidRPr="00B24C02">
        <w:rPr>
          <w:lang w:eastAsia="en-AU"/>
        </w:rPr>
        <w:t>Number</w:t>
      </w:r>
      <w:r w:rsidR="005D5532" w:rsidRPr="00B24C02">
        <w:rPr>
          <w:lang w:eastAsia="en-AU"/>
        </w:rPr>
        <w:t xml:space="preserve"> </w:t>
      </w:r>
      <w:r w:rsidRPr="00B24C02">
        <w:rPr>
          <w:lang w:eastAsia="en-AU"/>
        </w:rPr>
        <w:t>(ABN)</w:t>
      </w:r>
      <w:r w:rsidR="005D5532" w:rsidRPr="00B24C02">
        <w:rPr>
          <w:lang w:eastAsia="en-AU"/>
        </w:rPr>
        <w:t xml:space="preserve"> </w:t>
      </w:r>
      <w:r w:rsidRPr="00B24C02">
        <w:rPr>
          <w:lang w:eastAsia="en-AU"/>
        </w:rPr>
        <w:t>uniquely</w:t>
      </w:r>
      <w:r w:rsidR="005D5532" w:rsidRPr="00B24C02">
        <w:rPr>
          <w:lang w:eastAsia="en-AU"/>
        </w:rPr>
        <w:t xml:space="preserve"> </w:t>
      </w:r>
      <w:r w:rsidRPr="00B24C02">
        <w:rPr>
          <w:lang w:eastAsia="en-AU"/>
        </w:rPr>
        <w:t>identifies</w:t>
      </w:r>
      <w:r w:rsidR="005D5532" w:rsidRPr="00B24C02">
        <w:rPr>
          <w:lang w:eastAsia="en-AU"/>
        </w:rPr>
        <w:t xml:space="preserve"> </w:t>
      </w:r>
      <w:r w:rsidRPr="00B24C02">
        <w:rPr>
          <w:lang w:eastAsia="en-AU"/>
        </w:rPr>
        <w:t>every</w:t>
      </w:r>
      <w:r w:rsidR="005D5532" w:rsidRPr="00B24C02">
        <w:rPr>
          <w:lang w:eastAsia="en-AU"/>
        </w:rPr>
        <w:t xml:space="preserve"> </w:t>
      </w:r>
      <w:r w:rsidRPr="00B24C02">
        <w:rPr>
          <w:lang w:eastAsia="en-AU"/>
        </w:rPr>
        <w:t>Australian</w:t>
      </w:r>
      <w:r w:rsidR="005D5532" w:rsidRPr="00B24C02">
        <w:rPr>
          <w:lang w:eastAsia="en-AU"/>
        </w:rPr>
        <w:t xml:space="preserve"> </w:t>
      </w:r>
      <w:r w:rsidRPr="00B24C02">
        <w:rPr>
          <w:lang w:eastAsia="en-AU"/>
        </w:rPr>
        <w:t>trading</w:t>
      </w:r>
      <w:r w:rsidR="005D5532" w:rsidRPr="00B24C02">
        <w:rPr>
          <w:lang w:eastAsia="en-AU"/>
        </w:rPr>
        <w:t xml:space="preserve"> </w:t>
      </w:r>
      <w:r w:rsidRPr="00B24C02">
        <w:rPr>
          <w:lang w:eastAsia="en-AU"/>
        </w:rPr>
        <w:t>entity</w:t>
      </w:r>
      <w:r w:rsidR="005D5532" w:rsidRPr="00B24C02">
        <w:rPr>
          <w:lang w:eastAsia="en-AU"/>
        </w:rPr>
        <w:t xml:space="preserve"> </w:t>
      </w:r>
      <w:r w:rsidRPr="00B24C02">
        <w:rPr>
          <w:lang w:eastAsia="en-AU"/>
        </w:rPr>
        <w:t>that</w:t>
      </w:r>
      <w:r w:rsidR="005D5532" w:rsidRPr="00B24C02">
        <w:rPr>
          <w:lang w:eastAsia="en-AU"/>
        </w:rPr>
        <w:t xml:space="preserve"> </w:t>
      </w:r>
      <w:r w:rsidRPr="00B24C02">
        <w:rPr>
          <w:lang w:eastAsia="en-AU"/>
        </w:rPr>
        <w:t>has</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relationship</w:t>
      </w:r>
      <w:r w:rsidR="005D5532" w:rsidRPr="00B24C02">
        <w:rPr>
          <w:lang w:eastAsia="en-AU"/>
        </w:rPr>
        <w:t xml:space="preserve"> </w:t>
      </w:r>
      <w:r w:rsidRPr="00B24C02">
        <w:rPr>
          <w:lang w:eastAsia="en-AU"/>
        </w:rPr>
        <w:t>with</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Australian</w:t>
      </w:r>
      <w:r w:rsidR="005D5532" w:rsidRPr="00B24C02">
        <w:rPr>
          <w:lang w:eastAsia="en-AU"/>
        </w:rPr>
        <w:t xml:space="preserve"> </w:t>
      </w:r>
      <w:r w:rsidRPr="00B24C02">
        <w:rPr>
          <w:lang w:eastAsia="en-AU"/>
        </w:rPr>
        <w:t>Taxation</w:t>
      </w:r>
      <w:r w:rsidR="005D5532" w:rsidRPr="00B24C02">
        <w:rPr>
          <w:lang w:eastAsia="en-AU"/>
        </w:rPr>
        <w:t xml:space="preserve"> </w:t>
      </w:r>
      <w:r w:rsidRPr="00B24C02">
        <w:rPr>
          <w:lang w:eastAsia="en-AU"/>
        </w:rPr>
        <w:t>Office</w:t>
      </w:r>
      <w:r w:rsidR="005D5532" w:rsidRPr="00B24C02">
        <w:rPr>
          <w:lang w:eastAsia="en-AU"/>
        </w:rPr>
        <w:t xml:space="preserve"> </w:t>
      </w:r>
      <w:r w:rsidRPr="00B24C02">
        <w:rPr>
          <w:lang w:eastAsia="en-AU"/>
        </w:rPr>
        <w:t>(ATO),</w:t>
      </w:r>
      <w:r w:rsidR="005D5532" w:rsidRPr="00B24C02">
        <w:rPr>
          <w:lang w:eastAsia="en-AU"/>
        </w:rPr>
        <w:t xml:space="preserve"> </w:t>
      </w:r>
      <w:r w:rsidRPr="00B24C02">
        <w:rPr>
          <w:lang w:eastAsia="en-AU"/>
        </w:rPr>
        <w:t>whether</w:t>
      </w:r>
      <w:r w:rsidR="005D5532" w:rsidRPr="00B24C02">
        <w:rPr>
          <w:lang w:eastAsia="en-AU"/>
        </w:rPr>
        <w:t xml:space="preserve"> </w:t>
      </w:r>
      <w:r w:rsidRPr="00B24C02">
        <w:rPr>
          <w:lang w:eastAsia="en-AU"/>
        </w:rPr>
        <w:t>business,</w:t>
      </w:r>
      <w:r w:rsidR="005D5532" w:rsidRPr="00B24C02">
        <w:rPr>
          <w:lang w:eastAsia="en-AU"/>
        </w:rPr>
        <w:t xml:space="preserve"> </w:t>
      </w:r>
      <w:r w:rsidRPr="00B24C02">
        <w:rPr>
          <w:lang w:eastAsia="en-AU"/>
        </w:rPr>
        <w:t>government</w:t>
      </w:r>
      <w:r w:rsidR="005D5532" w:rsidRPr="00B24C02">
        <w:rPr>
          <w:lang w:eastAsia="en-AU"/>
        </w:rPr>
        <w:t xml:space="preserve"> </w:t>
      </w:r>
      <w:r w:rsidRPr="00B24C02">
        <w:rPr>
          <w:lang w:eastAsia="en-AU"/>
        </w:rPr>
        <w:t>or</w:t>
      </w:r>
      <w:r w:rsidR="005D5532" w:rsidRPr="00B24C02">
        <w:rPr>
          <w:lang w:eastAsia="en-AU"/>
        </w:rPr>
        <w:t xml:space="preserve"> </w:t>
      </w:r>
      <w:r w:rsidRPr="00B24C02">
        <w:rPr>
          <w:lang w:eastAsia="en-AU"/>
        </w:rPr>
        <w:t>not-for-profit.</w:t>
      </w:r>
      <w:r w:rsidR="005D5532" w:rsidRPr="00B24C02">
        <w:rPr>
          <w:lang w:eastAsia="en-AU"/>
        </w:rPr>
        <w:t xml:space="preserve"> </w:t>
      </w:r>
      <w:r w:rsidRPr="00B24C02">
        <w:rPr>
          <w:lang w:eastAsia="en-AU"/>
        </w:rPr>
        <w:t>Organisations</w:t>
      </w:r>
      <w:r w:rsidR="005D5532" w:rsidRPr="00B24C02">
        <w:rPr>
          <w:lang w:eastAsia="en-AU"/>
        </w:rPr>
        <w:t xml:space="preserve"> </w:t>
      </w:r>
      <w:r w:rsidRPr="00B24C02">
        <w:rPr>
          <w:lang w:eastAsia="en-AU"/>
        </w:rPr>
        <w:t>need</w:t>
      </w:r>
      <w:r w:rsidR="005D5532" w:rsidRPr="00B24C02">
        <w:rPr>
          <w:lang w:eastAsia="en-AU"/>
        </w:rPr>
        <w:t xml:space="preserve"> </w:t>
      </w:r>
      <w:r w:rsidRPr="00B24C02">
        <w:rPr>
          <w:lang w:eastAsia="en-AU"/>
        </w:rPr>
        <w:t>an</w:t>
      </w:r>
      <w:r w:rsidR="005D5532" w:rsidRPr="00B24C02">
        <w:rPr>
          <w:lang w:eastAsia="en-AU"/>
        </w:rPr>
        <w:t xml:space="preserve"> </w:t>
      </w:r>
      <w:r w:rsidRPr="00B24C02">
        <w:rPr>
          <w:lang w:eastAsia="en-AU"/>
        </w:rPr>
        <w:t>ABN</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register</w:t>
      </w:r>
      <w:r w:rsidR="005D5532" w:rsidRPr="00B24C02">
        <w:rPr>
          <w:lang w:eastAsia="en-AU"/>
        </w:rPr>
        <w:t xml:space="preserve"> </w:t>
      </w:r>
      <w:r w:rsidRPr="00B24C02">
        <w:rPr>
          <w:lang w:eastAsia="en-AU"/>
        </w:rPr>
        <w:t>for</w:t>
      </w:r>
      <w:r w:rsidR="005D5532" w:rsidRPr="00B24C02">
        <w:rPr>
          <w:lang w:eastAsia="en-AU"/>
        </w:rPr>
        <w:t xml:space="preserve"> </w:t>
      </w:r>
      <w:r w:rsidRPr="00B24C02">
        <w:rPr>
          <w:lang w:eastAsia="en-AU"/>
        </w:rPr>
        <w:t>GST.</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department</w:t>
      </w:r>
      <w:r w:rsidR="005D5532" w:rsidRPr="00B24C02">
        <w:rPr>
          <w:lang w:eastAsia="en-AU"/>
        </w:rPr>
        <w:t xml:space="preserve"> </w:t>
      </w:r>
      <w:r w:rsidRPr="00B24C02">
        <w:rPr>
          <w:lang w:eastAsia="en-AU"/>
        </w:rPr>
        <w:t>retains</w:t>
      </w:r>
      <w:r w:rsidR="005D5532" w:rsidRPr="00B24C02">
        <w:rPr>
          <w:lang w:eastAsia="en-AU"/>
        </w:rPr>
        <w:t xml:space="preserve"> </w:t>
      </w:r>
      <w:r w:rsidRPr="00B24C02">
        <w:rPr>
          <w:lang w:eastAsia="en-AU"/>
        </w:rPr>
        <w:t>records</w:t>
      </w:r>
      <w:r w:rsidR="005D5532" w:rsidRPr="00B24C02">
        <w:rPr>
          <w:lang w:eastAsia="en-AU"/>
        </w:rPr>
        <w:t xml:space="preserve"> </w:t>
      </w:r>
      <w:r w:rsidRPr="00B24C02">
        <w:rPr>
          <w:lang w:eastAsia="en-AU"/>
        </w:rPr>
        <w:t>relating</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ABN</w:t>
      </w:r>
      <w:r w:rsidR="005D5532" w:rsidRPr="00B24C02">
        <w:rPr>
          <w:lang w:eastAsia="en-AU"/>
        </w:rPr>
        <w:t xml:space="preserve"> </w:t>
      </w:r>
      <w:r w:rsidRPr="00B24C02">
        <w:rPr>
          <w:lang w:eastAsia="en-AU"/>
        </w:rPr>
        <w:t>for</w:t>
      </w:r>
      <w:r w:rsidR="005D5532" w:rsidRPr="00B24C02">
        <w:rPr>
          <w:lang w:eastAsia="en-AU"/>
        </w:rPr>
        <w:t xml:space="preserve"> </w:t>
      </w:r>
      <w:r w:rsidRPr="00B24C02">
        <w:rPr>
          <w:lang w:eastAsia="en-AU"/>
        </w:rPr>
        <w:t>each</w:t>
      </w:r>
      <w:r w:rsidR="005D5532" w:rsidRPr="00B24C02">
        <w:rPr>
          <w:lang w:eastAsia="en-AU"/>
        </w:rPr>
        <w:t xml:space="preserve"> </w:t>
      </w:r>
      <w:r w:rsidRPr="00B24C02">
        <w:rPr>
          <w:lang w:eastAsia="en-AU"/>
        </w:rPr>
        <w:t>organisation.</w:t>
      </w:r>
      <w:r w:rsidR="005D5532" w:rsidRPr="00B24C02">
        <w:rPr>
          <w:lang w:eastAsia="en-AU"/>
        </w:rPr>
        <w:t xml:space="preserve"> </w:t>
      </w:r>
      <w:r w:rsidRPr="00B24C02">
        <w:rPr>
          <w:lang w:eastAsia="en-AU"/>
        </w:rPr>
        <w:t>An</w:t>
      </w:r>
      <w:r w:rsidR="005D5532" w:rsidRPr="00B24C02">
        <w:rPr>
          <w:lang w:eastAsia="en-AU"/>
        </w:rPr>
        <w:t xml:space="preserve"> </w:t>
      </w:r>
      <w:r w:rsidRPr="00B24C02">
        <w:rPr>
          <w:lang w:eastAsia="en-AU"/>
        </w:rPr>
        <w:t>organisation</w:t>
      </w:r>
      <w:r w:rsidR="005D5532" w:rsidRPr="00B24C02">
        <w:rPr>
          <w:lang w:eastAsia="en-AU"/>
        </w:rPr>
        <w:t xml:space="preserve"> </w:t>
      </w:r>
      <w:r w:rsidRPr="00B24C02">
        <w:rPr>
          <w:lang w:eastAsia="en-AU"/>
        </w:rPr>
        <w:t>when</w:t>
      </w:r>
      <w:r w:rsidR="005D5532" w:rsidRPr="00B24C02">
        <w:rPr>
          <w:lang w:eastAsia="en-AU"/>
        </w:rPr>
        <w:t xml:space="preserve"> </w:t>
      </w:r>
      <w:r w:rsidRPr="00B24C02">
        <w:rPr>
          <w:lang w:eastAsia="en-AU"/>
        </w:rPr>
        <w:t>entering</w:t>
      </w:r>
      <w:r w:rsidR="005D5532" w:rsidRPr="00B24C02">
        <w:rPr>
          <w:lang w:eastAsia="en-AU"/>
        </w:rPr>
        <w:t xml:space="preserve"> </w:t>
      </w:r>
      <w:r w:rsidRPr="00B24C02">
        <w:rPr>
          <w:lang w:eastAsia="en-AU"/>
        </w:rPr>
        <w:t>into</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new</w:t>
      </w:r>
      <w:r w:rsidR="005D5532" w:rsidRPr="00B24C02">
        <w:rPr>
          <w:lang w:eastAsia="en-AU"/>
        </w:rPr>
        <w:t xml:space="preserve"> </w:t>
      </w:r>
      <w:r w:rsidRPr="00B24C02">
        <w:rPr>
          <w:lang w:eastAsia="en-AU"/>
        </w:rPr>
        <w:t>agreement</w:t>
      </w:r>
      <w:r w:rsidR="005D5532" w:rsidRPr="00B24C02">
        <w:rPr>
          <w:lang w:eastAsia="en-AU"/>
        </w:rPr>
        <w:t xml:space="preserve"> </w:t>
      </w:r>
      <w:r w:rsidRPr="00B24C02">
        <w:rPr>
          <w:lang w:eastAsia="en-AU"/>
        </w:rPr>
        <w:t>with</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department</w:t>
      </w:r>
      <w:r w:rsidR="005D5532" w:rsidRPr="00B24C02">
        <w:rPr>
          <w:lang w:eastAsia="en-AU"/>
        </w:rPr>
        <w:t xml:space="preserve"> </w:t>
      </w:r>
      <w:r w:rsidRPr="00B24C02">
        <w:rPr>
          <w:lang w:eastAsia="en-AU"/>
        </w:rPr>
        <w:t>needs</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provide</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ABN</w:t>
      </w:r>
      <w:r w:rsidR="005D5532" w:rsidRPr="00B24C02">
        <w:rPr>
          <w:lang w:eastAsia="en-AU"/>
        </w:rPr>
        <w:t xml:space="preserve"> </w:t>
      </w:r>
      <w:r w:rsidRPr="00B24C02">
        <w:rPr>
          <w:lang w:eastAsia="en-AU"/>
        </w:rPr>
        <w:t>that</w:t>
      </w:r>
      <w:r w:rsidR="005D5532" w:rsidRPr="00B24C02">
        <w:rPr>
          <w:lang w:eastAsia="en-AU"/>
        </w:rPr>
        <w:t xml:space="preserve"> </w:t>
      </w:r>
      <w:r w:rsidRPr="00B24C02">
        <w:rPr>
          <w:lang w:eastAsia="en-AU"/>
        </w:rPr>
        <w:t>relates</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business</w:t>
      </w:r>
      <w:r w:rsidR="005D5532" w:rsidRPr="00B24C02">
        <w:rPr>
          <w:lang w:eastAsia="en-AU"/>
        </w:rPr>
        <w:t xml:space="preserve"> </w:t>
      </w:r>
      <w:r w:rsidRPr="00B24C02">
        <w:rPr>
          <w:lang w:eastAsia="en-AU"/>
        </w:rPr>
        <w:t>entity</w:t>
      </w:r>
      <w:r w:rsidR="005D5532" w:rsidRPr="00B24C02">
        <w:rPr>
          <w:lang w:eastAsia="en-AU"/>
        </w:rPr>
        <w:t xml:space="preserve"> </w:t>
      </w:r>
      <w:r w:rsidRPr="00B24C02">
        <w:rPr>
          <w:lang w:eastAsia="en-AU"/>
        </w:rPr>
        <w:t>that</w:t>
      </w:r>
      <w:r w:rsidR="005D5532" w:rsidRPr="00B24C02">
        <w:rPr>
          <w:lang w:eastAsia="en-AU"/>
        </w:rPr>
        <w:t xml:space="preserve"> </w:t>
      </w:r>
      <w:r w:rsidRPr="00B24C02">
        <w:rPr>
          <w:lang w:eastAsia="en-AU"/>
        </w:rPr>
        <w:t>the</w:t>
      </w:r>
      <w:r w:rsidR="005D5532" w:rsidRPr="00B24C02">
        <w:rPr>
          <w:lang w:eastAsia="en-AU"/>
        </w:rPr>
        <w:t xml:space="preserve"> </w:t>
      </w:r>
      <w:r w:rsidR="009B3052">
        <w:rPr>
          <w:lang w:eastAsia="en-AU"/>
        </w:rPr>
        <w:t>Service agreement</w:t>
      </w:r>
      <w:r w:rsidR="005D5532" w:rsidRPr="00B24C02">
        <w:rPr>
          <w:lang w:eastAsia="en-AU"/>
        </w:rPr>
        <w:t xml:space="preserve"> </w:t>
      </w:r>
      <w:r w:rsidRPr="00B24C02">
        <w:rPr>
          <w:lang w:eastAsia="en-AU"/>
        </w:rPr>
        <w:t>will</w:t>
      </w:r>
      <w:r w:rsidR="005D5532" w:rsidRPr="00B24C02">
        <w:rPr>
          <w:lang w:eastAsia="en-AU"/>
        </w:rPr>
        <w:t xml:space="preserve"> </w:t>
      </w:r>
      <w:r w:rsidRPr="00B24C02">
        <w:rPr>
          <w:lang w:eastAsia="en-AU"/>
        </w:rPr>
        <w:t>be</w:t>
      </w:r>
      <w:r w:rsidR="005D5532" w:rsidRPr="00B24C02">
        <w:rPr>
          <w:lang w:eastAsia="en-AU"/>
        </w:rPr>
        <w:t xml:space="preserve"> </w:t>
      </w:r>
      <w:r w:rsidRPr="00B24C02">
        <w:rPr>
          <w:lang w:eastAsia="en-AU"/>
        </w:rPr>
        <w:t>with.</w:t>
      </w:r>
    </w:p>
    <w:p w14:paraId="0A31DB7E" w14:textId="77777777" w:rsidR="00236748" w:rsidRPr="00276391" w:rsidRDefault="00236748" w:rsidP="009D4D32">
      <w:pPr>
        <w:pStyle w:val="DHHSbullet1"/>
        <w:rPr>
          <w:lang w:eastAsia="en-AU"/>
        </w:rPr>
      </w:pP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lead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return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ABN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addition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ABN</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ATO</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separate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form</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groups/partnerships.</w:t>
      </w:r>
    </w:p>
    <w:p w14:paraId="35BE2393" w14:textId="26B8D7EA" w:rsidR="00236748" w:rsidRPr="00276391" w:rsidRDefault="00236748" w:rsidP="00276391">
      <w:pPr>
        <w:pStyle w:val="DHHSbody"/>
        <w:rPr>
          <w:lang w:eastAsia="en-AU"/>
        </w:rPr>
      </w:pP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ABN</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55" w:tgtFrame="_blank" w:tooltip="Link to Australian Taxation Office website" w:history="1">
        <w:r w:rsidRPr="00C94233">
          <w:rPr>
            <w:rStyle w:val="Hyperlink"/>
          </w:rPr>
          <w:t>ATO</w:t>
        </w:r>
        <w:r w:rsidR="005D5532" w:rsidRPr="00C94233">
          <w:rPr>
            <w:rStyle w:val="Hyperlink"/>
          </w:rPr>
          <w:t xml:space="preserve"> </w:t>
        </w:r>
        <w:r w:rsidRPr="00C94233">
          <w:rPr>
            <w:rStyle w:val="Hyperlink"/>
          </w:rPr>
          <w:t>website</w:t>
        </w:r>
      </w:hyperlink>
      <w:r w:rsidR="005D5532" w:rsidRPr="00276391">
        <w:rPr>
          <w:lang w:eastAsia="en-AU"/>
        </w:rPr>
        <w:t xml:space="preserve"> </w:t>
      </w:r>
      <w:r w:rsidR="00C62B9B">
        <w:rPr>
          <w:lang w:eastAsia="en-AU"/>
        </w:rPr>
        <w:t>&lt;</w:t>
      </w:r>
      <w:r w:rsidR="00C62B9B" w:rsidRPr="00C62B9B">
        <w:rPr>
          <w:lang w:eastAsia="en-AU"/>
        </w:rPr>
        <w:t>https://www.ato.gov.au</w:t>
      </w:r>
      <w:r w:rsidR="00C62B9B">
        <w:rPr>
          <w:lang w:eastAsia="en-AU"/>
        </w:rPr>
        <w:t>&gt;</w:t>
      </w:r>
      <w:r w:rsidR="00C62B9B" w:rsidRPr="00C62B9B">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00EA74AB">
        <w:rPr>
          <w:lang w:eastAsia="en-AU"/>
        </w:rPr>
        <w:t xml:space="preserve">opens in </w:t>
      </w:r>
      <w:r w:rsidR="00C62565">
        <w:rPr>
          <w:lang w:eastAsia="en-AU"/>
        </w:rPr>
        <w:t>a new window</w:t>
      </w:r>
      <w:r w:rsidRPr="00276391">
        <w:rPr>
          <w:lang w:eastAsia="en-AU"/>
        </w:rPr>
        <w:t>,).</w:t>
      </w:r>
    </w:p>
    <w:p w14:paraId="5A679E16" w14:textId="1284DEA7" w:rsidR="00236748" w:rsidRPr="00276391" w:rsidRDefault="00236748" w:rsidP="00276391">
      <w:pPr>
        <w:pStyle w:val="DHHSbullet1"/>
        <w:rPr>
          <w:rFonts w:cs="Arial"/>
          <w:lang w:eastAsia="en-AU"/>
        </w:rPr>
      </w:pP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00CD3CD6">
        <w:rPr>
          <w:rFonts w:cs="Arial"/>
          <w:lang w:eastAsia="en-AU"/>
        </w:rPr>
        <w:t>GST.</w:t>
      </w:r>
    </w:p>
    <w:p w14:paraId="54288A1B" w14:textId="5BA96FFB" w:rsidR="00236748" w:rsidRPr="00191689" w:rsidRDefault="00236748" w:rsidP="00191689">
      <w:pPr>
        <w:pStyle w:val="DHHSbullet1"/>
        <w:rPr>
          <w:rFonts w:cs="Arial"/>
          <w:lang w:eastAsia="en-AU"/>
        </w:rPr>
      </w:pPr>
      <w:r w:rsidRPr="00191689">
        <w:rPr>
          <w:rFonts w:cs="Arial"/>
          <w:lang w:eastAsia="en-AU"/>
        </w:rPr>
        <w:t>The</w:t>
      </w:r>
      <w:r w:rsidR="005D5532" w:rsidRPr="00191689">
        <w:rPr>
          <w:rFonts w:cs="Arial"/>
          <w:lang w:eastAsia="en-AU"/>
        </w:rPr>
        <w:t xml:space="preserve"> </w:t>
      </w:r>
      <w:r w:rsidRPr="00191689">
        <w:rPr>
          <w:rFonts w:cs="Arial"/>
          <w:lang w:eastAsia="en-AU"/>
        </w:rPr>
        <w:t>ATO</w:t>
      </w:r>
      <w:r w:rsidR="005D5532" w:rsidRPr="00191689">
        <w:rPr>
          <w:rFonts w:cs="Arial"/>
          <w:lang w:eastAsia="en-AU"/>
        </w:rPr>
        <w:t xml:space="preserve"> </w:t>
      </w:r>
      <w:r w:rsidRPr="00191689">
        <w:rPr>
          <w:rFonts w:cs="Arial"/>
          <w:lang w:eastAsia="en-AU"/>
        </w:rPr>
        <w:t>requires</w:t>
      </w:r>
      <w:r w:rsidR="005D5532" w:rsidRPr="00191689">
        <w:rPr>
          <w:rFonts w:cs="Arial"/>
          <w:lang w:eastAsia="en-AU"/>
        </w:rPr>
        <w:t xml:space="preserve"> </w:t>
      </w:r>
      <w:r w:rsidRPr="00191689">
        <w:rPr>
          <w:rFonts w:cs="Arial"/>
          <w:lang w:eastAsia="en-AU"/>
        </w:rPr>
        <w:t>that</w:t>
      </w:r>
      <w:r w:rsidR="005D5532" w:rsidRPr="00191689">
        <w:rPr>
          <w:rFonts w:cs="Arial"/>
          <w:lang w:eastAsia="en-AU"/>
        </w:rPr>
        <w:t xml:space="preserve"> </w:t>
      </w:r>
      <w:r w:rsidRPr="00191689">
        <w:rPr>
          <w:rFonts w:cs="Arial"/>
          <w:lang w:eastAsia="en-AU"/>
        </w:rPr>
        <w:t>all</w:t>
      </w:r>
      <w:r w:rsidR="005D5532" w:rsidRPr="00191689">
        <w:rPr>
          <w:rFonts w:cs="Arial"/>
          <w:lang w:eastAsia="en-AU"/>
        </w:rPr>
        <w:t xml:space="preserve"> </w:t>
      </w:r>
      <w:r w:rsidRPr="00191689">
        <w:rPr>
          <w:rFonts w:cs="Arial"/>
          <w:lang w:eastAsia="en-AU"/>
        </w:rPr>
        <w:t>entities</w:t>
      </w:r>
      <w:r w:rsidR="005D5532" w:rsidRPr="00191689">
        <w:rPr>
          <w:rFonts w:cs="Arial"/>
          <w:lang w:eastAsia="en-AU"/>
        </w:rPr>
        <w:t xml:space="preserve"> </w:t>
      </w:r>
      <w:r w:rsidRPr="00191689">
        <w:rPr>
          <w:rFonts w:cs="Arial"/>
          <w:lang w:eastAsia="en-AU"/>
        </w:rPr>
        <w:t>carrying</w:t>
      </w:r>
      <w:r w:rsidR="005D5532" w:rsidRPr="00191689">
        <w:rPr>
          <w:rFonts w:cs="Arial"/>
          <w:lang w:eastAsia="en-AU"/>
        </w:rPr>
        <w:t xml:space="preserve"> </w:t>
      </w:r>
      <w:r w:rsidRPr="00191689">
        <w:rPr>
          <w:rFonts w:cs="Arial"/>
          <w:lang w:eastAsia="en-AU"/>
        </w:rPr>
        <w:t>out</w:t>
      </w:r>
      <w:r w:rsidR="005D5532" w:rsidRPr="00191689">
        <w:rPr>
          <w:rFonts w:cs="Arial"/>
          <w:lang w:eastAsia="en-AU"/>
        </w:rPr>
        <w:t xml:space="preserve"> </w:t>
      </w:r>
      <w:r w:rsidRPr="00191689">
        <w:rPr>
          <w:rFonts w:cs="Arial"/>
          <w:lang w:eastAsia="en-AU"/>
        </w:rPr>
        <w:t>an</w:t>
      </w:r>
      <w:r w:rsidR="005D5532" w:rsidRPr="00191689">
        <w:rPr>
          <w:rFonts w:cs="Arial"/>
          <w:lang w:eastAsia="en-AU"/>
        </w:rPr>
        <w:t xml:space="preserve"> </w:t>
      </w:r>
      <w:r w:rsidRPr="00191689">
        <w:rPr>
          <w:rFonts w:cs="Arial"/>
          <w:lang w:eastAsia="en-AU"/>
        </w:rPr>
        <w:t>enterprise</w:t>
      </w:r>
      <w:r w:rsidR="005D5532" w:rsidRPr="00191689">
        <w:rPr>
          <w:rFonts w:cs="Arial"/>
          <w:lang w:eastAsia="en-AU"/>
        </w:rPr>
        <w:t xml:space="preserve"> </w:t>
      </w:r>
      <w:r w:rsidRPr="00191689">
        <w:rPr>
          <w:rFonts w:cs="Arial"/>
          <w:lang w:eastAsia="en-AU"/>
        </w:rPr>
        <w:t>must</w:t>
      </w:r>
      <w:r w:rsidR="005D5532" w:rsidRPr="00191689">
        <w:rPr>
          <w:rFonts w:cs="Arial"/>
          <w:lang w:eastAsia="en-AU"/>
        </w:rPr>
        <w:t xml:space="preserve"> </w:t>
      </w:r>
      <w:r w:rsidRPr="00191689">
        <w:rPr>
          <w:rFonts w:cs="Arial"/>
          <w:lang w:eastAsia="en-AU"/>
        </w:rPr>
        <w:t>register</w:t>
      </w:r>
      <w:r w:rsidR="005D5532" w:rsidRPr="00191689">
        <w:rPr>
          <w:rFonts w:cs="Arial"/>
          <w:lang w:eastAsia="en-AU"/>
        </w:rPr>
        <w:t xml:space="preserve"> </w:t>
      </w:r>
      <w:r w:rsidRPr="00191689">
        <w:rPr>
          <w:rFonts w:cs="Arial"/>
          <w:lang w:eastAsia="en-AU"/>
        </w:rPr>
        <w:t>for</w:t>
      </w:r>
      <w:r w:rsidR="005D5532" w:rsidRPr="00191689">
        <w:rPr>
          <w:rFonts w:cs="Arial"/>
          <w:lang w:eastAsia="en-AU"/>
        </w:rPr>
        <w:t xml:space="preserve"> </w:t>
      </w:r>
      <w:r w:rsidRPr="00191689">
        <w:rPr>
          <w:rFonts w:cs="Arial"/>
          <w:lang w:eastAsia="en-AU"/>
        </w:rPr>
        <w:t>GST</w:t>
      </w:r>
      <w:r w:rsidR="005D5532" w:rsidRPr="00191689">
        <w:rPr>
          <w:rFonts w:cs="Arial"/>
          <w:lang w:eastAsia="en-AU"/>
        </w:rPr>
        <w:t xml:space="preserve"> </w:t>
      </w:r>
      <w:r w:rsidRPr="00191689">
        <w:rPr>
          <w:rFonts w:cs="Arial"/>
          <w:lang w:eastAsia="en-AU"/>
        </w:rPr>
        <w:t>if</w:t>
      </w:r>
      <w:r w:rsidR="005D5532" w:rsidRPr="00191689">
        <w:rPr>
          <w:rFonts w:cs="Arial"/>
          <w:lang w:eastAsia="en-AU"/>
        </w:rPr>
        <w:t xml:space="preserve"> </w:t>
      </w:r>
      <w:r w:rsidRPr="00191689">
        <w:rPr>
          <w:rFonts w:cs="Arial"/>
          <w:lang w:eastAsia="en-AU"/>
        </w:rPr>
        <w:t>their</w:t>
      </w:r>
      <w:r w:rsidR="005D5532" w:rsidRPr="00191689">
        <w:rPr>
          <w:rFonts w:cs="Arial"/>
          <w:lang w:eastAsia="en-AU"/>
        </w:rPr>
        <w:t xml:space="preserve"> </w:t>
      </w:r>
      <w:r w:rsidRPr="00191689">
        <w:rPr>
          <w:rFonts w:cs="Arial"/>
          <w:lang w:eastAsia="en-AU"/>
        </w:rPr>
        <w:t>annual</w:t>
      </w:r>
      <w:r w:rsidR="005D5532" w:rsidRPr="00191689">
        <w:rPr>
          <w:rFonts w:cs="Arial"/>
          <w:lang w:eastAsia="en-AU"/>
        </w:rPr>
        <w:t xml:space="preserve"> </w:t>
      </w:r>
      <w:r w:rsidRPr="00191689">
        <w:rPr>
          <w:rFonts w:cs="Arial"/>
          <w:lang w:eastAsia="en-AU"/>
        </w:rPr>
        <w:t>turnover</w:t>
      </w:r>
      <w:r w:rsidR="005D5532" w:rsidRPr="00191689">
        <w:rPr>
          <w:rFonts w:cs="Arial"/>
          <w:lang w:eastAsia="en-AU"/>
        </w:rPr>
        <w:t xml:space="preserve"> </w:t>
      </w:r>
      <w:r w:rsidRPr="00191689">
        <w:rPr>
          <w:rFonts w:cs="Arial"/>
          <w:lang w:eastAsia="en-AU"/>
        </w:rPr>
        <w:t>is</w:t>
      </w:r>
      <w:r w:rsidR="005D5532" w:rsidRPr="00191689">
        <w:rPr>
          <w:rFonts w:cs="Arial"/>
          <w:lang w:eastAsia="en-AU"/>
        </w:rPr>
        <w:t xml:space="preserve"> </w:t>
      </w:r>
      <w:r w:rsidRPr="00191689">
        <w:rPr>
          <w:rFonts w:cs="Arial"/>
          <w:lang w:eastAsia="en-AU"/>
        </w:rPr>
        <w:t>at</w:t>
      </w:r>
      <w:r w:rsidR="005D5532" w:rsidRPr="00191689">
        <w:rPr>
          <w:rFonts w:cs="Arial"/>
          <w:lang w:eastAsia="en-AU"/>
        </w:rPr>
        <w:t xml:space="preserve"> </w:t>
      </w:r>
      <w:r w:rsidRPr="00191689">
        <w:rPr>
          <w:rFonts w:cs="Arial"/>
          <w:lang w:eastAsia="en-AU"/>
        </w:rPr>
        <w:t>or</w:t>
      </w:r>
      <w:r w:rsidR="005D5532" w:rsidRPr="00191689">
        <w:rPr>
          <w:rFonts w:cs="Arial"/>
          <w:lang w:eastAsia="en-AU"/>
        </w:rPr>
        <w:t xml:space="preserve"> </w:t>
      </w:r>
      <w:r w:rsidRPr="00191689">
        <w:rPr>
          <w:rFonts w:cs="Arial"/>
          <w:lang w:eastAsia="en-AU"/>
        </w:rPr>
        <w:t>above</w:t>
      </w:r>
      <w:r w:rsidR="005D5532" w:rsidRPr="00191689">
        <w:rPr>
          <w:rFonts w:cs="Arial"/>
          <w:lang w:eastAsia="en-AU"/>
        </w:rPr>
        <w:t xml:space="preserve"> </w:t>
      </w:r>
      <w:r w:rsidRPr="00191689">
        <w:rPr>
          <w:rFonts w:cs="Arial"/>
          <w:lang w:eastAsia="en-AU"/>
        </w:rPr>
        <w:t>the</w:t>
      </w:r>
      <w:r w:rsidR="005D5532" w:rsidRPr="00191689">
        <w:rPr>
          <w:rFonts w:cs="Arial"/>
          <w:lang w:eastAsia="en-AU"/>
        </w:rPr>
        <w:t xml:space="preserve"> </w:t>
      </w:r>
      <w:r w:rsidRPr="00191689">
        <w:rPr>
          <w:rFonts w:cs="Arial"/>
          <w:lang w:eastAsia="en-AU"/>
        </w:rPr>
        <w:t>ATO</w:t>
      </w:r>
      <w:r w:rsidR="005D5532" w:rsidRPr="00191689">
        <w:rPr>
          <w:rFonts w:cs="Arial"/>
          <w:lang w:eastAsia="en-AU"/>
        </w:rPr>
        <w:t xml:space="preserve"> </w:t>
      </w:r>
      <w:r w:rsidRPr="00191689">
        <w:rPr>
          <w:rFonts w:cs="Arial"/>
          <w:lang w:eastAsia="en-AU"/>
        </w:rPr>
        <w:t>threshold</w:t>
      </w:r>
      <w:r w:rsidR="005D5532" w:rsidRPr="00191689">
        <w:rPr>
          <w:rFonts w:cs="Arial"/>
          <w:lang w:eastAsia="en-AU"/>
        </w:rPr>
        <w:t xml:space="preserve"> </w:t>
      </w:r>
      <w:r w:rsidRPr="00191689">
        <w:rPr>
          <w:rFonts w:cs="Arial"/>
          <w:lang w:eastAsia="en-AU"/>
        </w:rPr>
        <w:t>of</w:t>
      </w:r>
      <w:r w:rsidR="005D5532" w:rsidRPr="00191689">
        <w:rPr>
          <w:rFonts w:cs="Arial"/>
          <w:lang w:eastAsia="en-AU"/>
        </w:rPr>
        <w:t xml:space="preserve"> </w:t>
      </w:r>
      <w:r w:rsidRPr="00191689">
        <w:rPr>
          <w:rFonts w:cs="Arial"/>
          <w:lang w:eastAsia="en-AU"/>
        </w:rPr>
        <w:t>$75,000</w:t>
      </w:r>
      <w:r w:rsidR="005D5532" w:rsidRPr="00191689">
        <w:rPr>
          <w:rFonts w:cs="Arial"/>
          <w:lang w:eastAsia="en-AU"/>
        </w:rPr>
        <w:t xml:space="preserve"> </w:t>
      </w:r>
      <w:r w:rsidRPr="00191689">
        <w:rPr>
          <w:rFonts w:cs="Arial"/>
          <w:lang w:eastAsia="en-AU"/>
        </w:rPr>
        <w:t>(for</w:t>
      </w:r>
      <w:r w:rsidR="005D5532" w:rsidRPr="00191689">
        <w:rPr>
          <w:rFonts w:cs="Arial"/>
          <w:lang w:eastAsia="en-AU"/>
        </w:rPr>
        <w:t xml:space="preserve"> </w:t>
      </w:r>
      <w:r w:rsidRPr="00191689">
        <w:rPr>
          <w:rFonts w:cs="Arial"/>
          <w:lang w:eastAsia="en-AU"/>
        </w:rPr>
        <w:t>commercial</w:t>
      </w:r>
      <w:r w:rsidR="005D5532" w:rsidRPr="00191689">
        <w:rPr>
          <w:rFonts w:cs="Arial"/>
          <w:lang w:eastAsia="en-AU"/>
        </w:rPr>
        <w:t xml:space="preserve"> </w:t>
      </w:r>
      <w:r w:rsidRPr="00191689">
        <w:rPr>
          <w:rFonts w:cs="Arial"/>
          <w:lang w:eastAsia="en-AU"/>
        </w:rPr>
        <w:t>organisations)</w:t>
      </w:r>
      <w:r w:rsidR="005D5532" w:rsidRPr="00191689">
        <w:rPr>
          <w:rFonts w:cs="Arial"/>
          <w:lang w:eastAsia="en-AU"/>
        </w:rPr>
        <w:t xml:space="preserve"> </w:t>
      </w:r>
      <w:r w:rsidRPr="00191689">
        <w:rPr>
          <w:rFonts w:cs="Arial"/>
          <w:lang w:eastAsia="en-AU"/>
        </w:rPr>
        <w:t>or</w:t>
      </w:r>
      <w:r w:rsidR="005D5532" w:rsidRPr="00191689">
        <w:rPr>
          <w:rFonts w:cs="Arial"/>
          <w:lang w:eastAsia="en-AU"/>
        </w:rPr>
        <w:t xml:space="preserve"> </w:t>
      </w:r>
      <w:r w:rsidRPr="00191689">
        <w:rPr>
          <w:rFonts w:cs="Arial"/>
          <w:lang w:eastAsia="en-AU"/>
        </w:rPr>
        <w:t>$150,000</w:t>
      </w:r>
      <w:r w:rsidR="005D5532" w:rsidRPr="00191689">
        <w:rPr>
          <w:rFonts w:cs="Arial"/>
          <w:lang w:eastAsia="en-AU"/>
        </w:rPr>
        <w:t xml:space="preserve"> </w:t>
      </w:r>
      <w:r w:rsidRPr="00191689">
        <w:rPr>
          <w:rFonts w:cs="Arial"/>
          <w:lang w:eastAsia="en-AU"/>
        </w:rPr>
        <w:t>(for</w:t>
      </w:r>
      <w:r w:rsidR="005D5532" w:rsidRPr="00191689">
        <w:rPr>
          <w:rFonts w:cs="Arial"/>
          <w:lang w:eastAsia="en-AU"/>
        </w:rPr>
        <w:t xml:space="preserve"> </w:t>
      </w:r>
      <w:r w:rsidRPr="00191689">
        <w:rPr>
          <w:rFonts w:cs="Arial"/>
          <w:lang w:eastAsia="en-AU"/>
        </w:rPr>
        <w:t>non-profit</w:t>
      </w:r>
      <w:r w:rsidR="005D5532" w:rsidRPr="00191689">
        <w:rPr>
          <w:rFonts w:cs="Arial"/>
          <w:lang w:eastAsia="en-AU"/>
        </w:rPr>
        <w:t xml:space="preserve"> </w:t>
      </w:r>
      <w:r w:rsidRPr="00191689">
        <w:rPr>
          <w:rFonts w:cs="Arial"/>
          <w:lang w:eastAsia="en-AU"/>
        </w:rPr>
        <w:t>organisations).</w:t>
      </w:r>
      <w:r w:rsidR="005D5532" w:rsidRPr="00191689">
        <w:rPr>
          <w:rFonts w:cs="Arial"/>
          <w:lang w:eastAsia="en-AU"/>
        </w:rPr>
        <w:t xml:space="preserve"> </w:t>
      </w:r>
      <w:r w:rsidRPr="00191689">
        <w:rPr>
          <w:rFonts w:cs="Arial"/>
          <w:lang w:eastAsia="en-AU"/>
        </w:rPr>
        <w:t>This</w:t>
      </w:r>
      <w:r w:rsidR="005D5532" w:rsidRPr="00191689">
        <w:rPr>
          <w:rFonts w:cs="Arial"/>
          <w:lang w:eastAsia="en-AU"/>
        </w:rPr>
        <w:t xml:space="preserve"> </w:t>
      </w:r>
      <w:r w:rsidRPr="00191689">
        <w:rPr>
          <w:rFonts w:cs="Arial"/>
          <w:lang w:eastAsia="en-AU"/>
        </w:rPr>
        <w:t>includes</w:t>
      </w:r>
      <w:r w:rsidR="005D5532" w:rsidRPr="00191689">
        <w:rPr>
          <w:rFonts w:cs="Arial"/>
          <w:lang w:eastAsia="en-AU"/>
        </w:rPr>
        <w:t xml:space="preserve"> </w:t>
      </w:r>
      <w:r w:rsidRPr="00191689">
        <w:rPr>
          <w:rFonts w:cs="Arial"/>
          <w:lang w:eastAsia="en-AU"/>
        </w:rPr>
        <w:t>income</w:t>
      </w:r>
      <w:r w:rsidR="005D5532" w:rsidRPr="00191689">
        <w:rPr>
          <w:rFonts w:cs="Arial"/>
          <w:lang w:eastAsia="en-AU"/>
        </w:rPr>
        <w:t xml:space="preserve"> </w:t>
      </w:r>
      <w:r w:rsidRPr="00191689">
        <w:rPr>
          <w:rFonts w:cs="Arial"/>
          <w:lang w:eastAsia="en-AU"/>
        </w:rPr>
        <w:t>from</w:t>
      </w:r>
      <w:r w:rsidR="005D5532" w:rsidRPr="00191689">
        <w:rPr>
          <w:rFonts w:cs="Arial"/>
          <w:lang w:eastAsia="en-AU"/>
        </w:rPr>
        <w:t xml:space="preserve"> </w:t>
      </w:r>
      <w:r w:rsidRPr="00191689">
        <w:rPr>
          <w:rFonts w:cs="Arial"/>
          <w:lang w:eastAsia="en-AU"/>
        </w:rPr>
        <w:t>all</w:t>
      </w:r>
      <w:r w:rsidR="005D5532" w:rsidRPr="00191689">
        <w:rPr>
          <w:rFonts w:cs="Arial"/>
          <w:lang w:eastAsia="en-AU"/>
        </w:rPr>
        <w:t xml:space="preserve"> </w:t>
      </w:r>
      <w:r w:rsidRPr="00191689">
        <w:rPr>
          <w:rFonts w:cs="Arial"/>
          <w:lang w:eastAsia="en-AU"/>
        </w:rPr>
        <w:t>sources,</w:t>
      </w:r>
      <w:r w:rsidR="005D5532" w:rsidRPr="00191689">
        <w:rPr>
          <w:rFonts w:cs="Arial"/>
          <w:lang w:eastAsia="en-AU"/>
        </w:rPr>
        <w:t xml:space="preserve"> </w:t>
      </w:r>
      <w:r w:rsidRPr="00191689">
        <w:rPr>
          <w:rFonts w:cs="Arial"/>
          <w:lang w:eastAsia="en-AU"/>
        </w:rPr>
        <w:t>not</w:t>
      </w:r>
      <w:r w:rsidR="005D5532" w:rsidRPr="00191689">
        <w:rPr>
          <w:rFonts w:cs="Arial"/>
          <w:lang w:eastAsia="en-AU"/>
        </w:rPr>
        <w:t xml:space="preserve"> </w:t>
      </w:r>
      <w:r w:rsidRPr="00191689">
        <w:rPr>
          <w:rFonts w:cs="Arial"/>
          <w:lang w:eastAsia="en-AU"/>
        </w:rPr>
        <w:t>just</w:t>
      </w:r>
      <w:r w:rsidR="005D5532" w:rsidRPr="00191689">
        <w:rPr>
          <w:rFonts w:cs="Arial"/>
          <w:lang w:eastAsia="en-AU"/>
        </w:rPr>
        <w:t xml:space="preserve"> </w:t>
      </w:r>
      <w:r w:rsidRPr="00191689">
        <w:rPr>
          <w:rFonts w:cs="Arial"/>
          <w:lang w:eastAsia="en-AU"/>
        </w:rPr>
        <w:t>funding</w:t>
      </w:r>
      <w:r w:rsidR="005D5532" w:rsidRPr="00191689">
        <w:rPr>
          <w:rFonts w:cs="Arial"/>
          <w:lang w:eastAsia="en-AU"/>
        </w:rPr>
        <w:t xml:space="preserve"> </w:t>
      </w:r>
      <w:r w:rsidRPr="00191689">
        <w:rPr>
          <w:rFonts w:cs="Arial"/>
          <w:lang w:eastAsia="en-AU"/>
        </w:rPr>
        <w:t>from</w:t>
      </w:r>
      <w:r w:rsidR="005D5532" w:rsidRPr="00191689">
        <w:rPr>
          <w:rFonts w:cs="Arial"/>
          <w:lang w:eastAsia="en-AU"/>
        </w:rPr>
        <w:t xml:space="preserve"> </w:t>
      </w:r>
      <w:r w:rsidRPr="00191689">
        <w:rPr>
          <w:rFonts w:cs="Arial"/>
          <w:lang w:eastAsia="en-AU"/>
        </w:rPr>
        <w:t>the</w:t>
      </w:r>
      <w:r w:rsidR="005D5532" w:rsidRPr="00191689">
        <w:rPr>
          <w:rFonts w:cs="Arial"/>
          <w:lang w:eastAsia="en-AU"/>
        </w:rPr>
        <w:t xml:space="preserve"> </w:t>
      </w:r>
      <w:r w:rsidRPr="00191689">
        <w:rPr>
          <w:rFonts w:cs="Arial"/>
          <w:lang w:eastAsia="en-AU"/>
        </w:rPr>
        <w:t>department.</w:t>
      </w:r>
      <w:r w:rsidR="005D5532" w:rsidRPr="00191689">
        <w:rPr>
          <w:rFonts w:cs="Arial"/>
          <w:lang w:eastAsia="en-AU"/>
        </w:rPr>
        <w:t xml:space="preserve"> </w:t>
      </w:r>
      <w:r w:rsidRPr="00191689">
        <w:rPr>
          <w:rFonts w:cs="Arial"/>
          <w:lang w:eastAsia="en-AU"/>
        </w:rPr>
        <w:t>The</w:t>
      </w:r>
      <w:r w:rsidR="005D5532" w:rsidRPr="00191689">
        <w:rPr>
          <w:rFonts w:cs="Arial"/>
          <w:lang w:eastAsia="en-AU"/>
        </w:rPr>
        <w:t xml:space="preserve"> </w:t>
      </w:r>
      <w:hyperlink r:id="rId56" w:tgtFrame="_blank" w:tooltip="Link to Australian Taxation Office website" w:history="1">
        <w:r w:rsidRPr="00C94233">
          <w:rPr>
            <w:rStyle w:val="Hyperlink"/>
          </w:rPr>
          <w:t>ATO</w:t>
        </w:r>
        <w:r w:rsidR="005D5532" w:rsidRPr="00C94233">
          <w:rPr>
            <w:rStyle w:val="Hyperlink"/>
          </w:rPr>
          <w:t xml:space="preserve"> </w:t>
        </w:r>
        <w:r w:rsidRPr="00C94233">
          <w:rPr>
            <w:rStyle w:val="Hyperlink"/>
          </w:rPr>
          <w:t>website</w:t>
        </w:r>
      </w:hyperlink>
      <w:r w:rsidR="005D5532" w:rsidRPr="00191689">
        <w:rPr>
          <w:rFonts w:cs="Arial"/>
          <w:lang w:eastAsia="en-AU"/>
        </w:rPr>
        <w:t xml:space="preserve"> </w:t>
      </w:r>
      <w:r w:rsidR="00DE45A3" w:rsidRPr="00191689">
        <w:rPr>
          <w:rFonts w:cs="Arial"/>
          <w:lang w:eastAsia="en-AU"/>
        </w:rPr>
        <w:t>&lt;</w:t>
      </w:r>
      <w:r w:rsidR="00191689" w:rsidRPr="00191689">
        <w:rPr>
          <w:rFonts w:cs="Arial"/>
          <w:lang w:eastAsia="en-AU"/>
        </w:rPr>
        <w:t>https://www.ato.gov.au/non-profit/your-organisation/gst/gst-registration/</w:t>
      </w:r>
      <w:r w:rsidR="00DE45A3" w:rsidRPr="00191689">
        <w:rPr>
          <w:rFonts w:cs="Arial"/>
          <w:lang w:eastAsia="en-AU"/>
        </w:rPr>
        <w:t xml:space="preserve">&gt; </w:t>
      </w:r>
      <w:r w:rsidRPr="00191689">
        <w:rPr>
          <w:rFonts w:cs="Arial"/>
          <w:lang w:eastAsia="en-AU"/>
        </w:rPr>
        <w:t>(external</w:t>
      </w:r>
      <w:r w:rsidR="005D5532" w:rsidRPr="00191689">
        <w:rPr>
          <w:rFonts w:cs="Arial"/>
          <w:lang w:eastAsia="en-AU"/>
        </w:rPr>
        <w:t xml:space="preserve"> </w:t>
      </w:r>
      <w:r w:rsidRPr="00191689">
        <w:rPr>
          <w:rFonts w:cs="Arial"/>
          <w:lang w:eastAsia="en-AU"/>
        </w:rPr>
        <w:t>link,</w:t>
      </w:r>
      <w:r w:rsidR="005D5532" w:rsidRPr="00191689">
        <w:rPr>
          <w:rFonts w:cs="Arial"/>
          <w:lang w:eastAsia="en-AU"/>
        </w:rPr>
        <w:t xml:space="preserve"> </w:t>
      </w:r>
      <w:r w:rsidR="00EA74AB">
        <w:rPr>
          <w:rFonts w:cs="Arial"/>
          <w:lang w:eastAsia="en-AU"/>
        </w:rPr>
        <w:t xml:space="preserve">opens in </w:t>
      </w:r>
      <w:r w:rsidR="00C62565">
        <w:rPr>
          <w:rFonts w:cs="Arial"/>
          <w:lang w:eastAsia="en-AU"/>
        </w:rPr>
        <w:t>a new window</w:t>
      </w:r>
      <w:r w:rsidRPr="00191689">
        <w:rPr>
          <w:rFonts w:cs="Arial"/>
          <w:lang w:eastAsia="en-AU"/>
        </w:rPr>
        <w:t>)</w:t>
      </w:r>
      <w:r w:rsidR="005D5532" w:rsidRPr="00191689">
        <w:rPr>
          <w:rFonts w:cs="Arial"/>
          <w:lang w:eastAsia="en-AU"/>
        </w:rPr>
        <w:t xml:space="preserve"> </w:t>
      </w:r>
      <w:r w:rsidRPr="00191689">
        <w:rPr>
          <w:rFonts w:cs="Arial"/>
          <w:lang w:eastAsia="en-AU"/>
        </w:rPr>
        <w:t>provides</w:t>
      </w:r>
      <w:r w:rsidR="005D5532" w:rsidRPr="00191689">
        <w:rPr>
          <w:rFonts w:cs="Arial"/>
          <w:lang w:eastAsia="en-AU"/>
        </w:rPr>
        <w:t xml:space="preserve"> </w:t>
      </w:r>
      <w:r w:rsidRPr="00191689">
        <w:rPr>
          <w:rFonts w:cs="Arial"/>
          <w:lang w:eastAsia="en-AU"/>
        </w:rPr>
        <w:t>further</w:t>
      </w:r>
      <w:r w:rsidR="005D5532" w:rsidRPr="00191689">
        <w:rPr>
          <w:rFonts w:cs="Arial"/>
          <w:lang w:eastAsia="en-AU"/>
        </w:rPr>
        <w:t xml:space="preserve"> </w:t>
      </w:r>
      <w:r w:rsidRPr="00191689">
        <w:rPr>
          <w:rFonts w:cs="Arial"/>
          <w:lang w:eastAsia="en-AU"/>
        </w:rPr>
        <w:t>information</w:t>
      </w:r>
      <w:r w:rsidR="005D5532" w:rsidRPr="00191689">
        <w:rPr>
          <w:rFonts w:cs="Arial"/>
          <w:lang w:eastAsia="en-AU"/>
        </w:rPr>
        <w:t xml:space="preserve"> </w:t>
      </w:r>
      <w:r w:rsidRPr="00191689">
        <w:rPr>
          <w:rFonts w:cs="Arial"/>
          <w:lang w:eastAsia="en-AU"/>
        </w:rPr>
        <w:t>on</w:t>
      </w:r>
      <w:r w:rsidR="005D5532" w:rsidRPr="00191689">
        <w:rPr>
          <w:rFonts w:cs="Arial"/>
          <w:lang w:eastAsia="en-AU"/>
        </w:rPr>
        <w:t xml:space="preserve"> </w:t>
      </w:r>
      <w:r w:rsidRPr="00191689">
        <w:rPr>
          <w:rFonts w:cs="Arial"/>
          <w:lang w:eastAsia="en-AU"/>
        </w:rPr>
        <w:t>registering</w:t>
      </w:r>
      <w:r w:rsidR="005D5532" w:rsidRPr="00191689">
        <w:rPr>
          <w:rFonts w:cs="Arial"/>
          <w:lang w:eastAsia="en-AU"/>
        </w:rPr>
        <w:t xml:space="preserve"> </w:t>
      </w:r>
      <w:r w:rsidRPr="00191689">
        <w:rPr>
          <w:rFonts w:cs="Arial"/>
          <w:lang w:eastAsia="en-AU"/>
        </w:rPr>
        <w:t>for</w:t>
      </w:r>
      <w:r w:rsidR="005D5532" w:rsidRPr="00191689">
        <w:rPr>
          <w:rFonts w:cs="Arial"/>
          <w:lang w:eastAsia="en-AU"/>
        </w:rPr>
        <w:t xml:space="preserve"> </w:t>
      </w:r>
      <w:r w:rsidRPr="00191689">
        <w:rPr>
          <w:rFonts w:cs="Arial"/>
          <w:lang w:eastAsia="en-AU"/>
        </w:rPr>
        <w:t>GST.</w:t>
      </w:r>
    </w:p>
    <w:p w14:paraId="5DA18AE2" w14:textId="77777777" w:rsidR="000D4878" w:rsidRDefault="000D4878" w:rsidP="000D4878">
      <w:pPr>
        <w:pStyle w:val="DHHSbullet1"/>
        <w:numPr>
          <w:ilvl w:val="0"/>
          <w:numId w:val="0"/>
        </w:numPr>
        <w:rPr>
          <w:b/>
          <w:lang w:eastAsia="en-AU"/>
        </w:rPr>
      </w:pPr>
      <w:bookmarkStart w:id="279" w:name="_Toc478991779"/>
    </w:p>
    <w:p w14:paraId="783E021D" w14:textId="56F29112" w:rsidR="000D4878" w:rsidRDefault="000D4878" w:rsidP="000D4878">
      <w:pPr>
        <w:pStyle w:val="DHHSbullet1"/>
        <w:numPr>
          <w:ilvl w:val="0"/>
          <w:numId w:val="0"/>
        </w:numPr>
        <w:rPr>
          <w:b/>
          <w:lang w:eastAsia="en-AU"/>
        </w:rPr>
      </w:pPr>
      <w:r w:rsidRPr="000D4878">
        <w:rPr>
          <w:b/>
          <w:lang w:eastAsia="en-AU"/>
        </w:rPr>
        <w:t>The services</w:t>
      </w:r>
      <w:r>
        <w:rPr>
          <w:b/>
          <w:lang w:eastAsia="en-AU"/>
        </w:rPr>
        <w:t xml:space="preserve"> supplied are a taxable supply</w:t>
      </w:r>
    </w:p>
    <w:p w14:paraId="28FEEDB9" w14:textId="77777777" w:rsidR="000D4878" w:rsidRPr="000D4878" w:rsidRDefault="000D4878" w:rsidP="000D4878">
      <w:pPr>
        <w:pStyle w:val="DHHSbullet1"/>
        <w:numPr>
          <w:ilvl w:val="0"/>
          <w:numId w:val="0"/>
        </w:numPr>
        <w:rPr>
          <w:b/>
          <w:lang w:eastAsia="en-AU"/>
        </w:rPr>
      </w:pPr>
    </w:p>
    <w:p w14:paraId="7DE40120" w14:textId="767D864C" w:rsidR="000D4878" w:rsidRPr="00276391" w:rsidRDefault="000D4878" w:rsidP="00CD3CD6">
      <w:pPr>
        <w:pStyle w:val="DHHSbullet1"/>
        <w:numPr>
          <w:ilvl w:val="0"/>
          <w:numId w:val="0"/>
        </w:numPr>
        <w:ind w:left="284" w:hanging="284"/>
        <w:rPr>
          <w:lang w:eastAsia="en-AU"/>
        </w:rPr>
      </w:pPr>
      <w:r w:rsidRPr="00276391">
        <w:rPr>
          <w:lang w:eastAsia="en-AU"/>
        </w:rPr>
        <w:t xml:space="preserve">Refer to the ATO website for a definition of </w:t>
      </w:r>
      <w:hyperlink r:id="rId57" w:tgtFrame="_blank" w:history="1">
        <w:r w:rsidRPr="00C94233">
          <w:rPr>
            <w:rStyle w:val="Hyperlink"/>
          </w:rPr>
          <w:t>taxable supply</w:t>
        </w:r>
      </w:hyperlink>
      <w:r w:rsidRPr="00276391">
        <w:rPr>
          <w:lang w:eastAsia="en-AU"/>
        </w:rPr>
        <w:t xml:space="preserve"> </w:t>
      </w:r>
      <w:r>
        <w:rPr>
          <w:lang w:eastAsia="en-AU"/>
        </w:rPr>
        <w:t>&lt;</w:t>
      </w:r>
      <w:r w:rsidRPr="0033140E">
        <w:rPr>
          <w:lang w:eastAsia="en-AU"/>
        </w:rPr>
        <w:t>https://www.ato.gov.au/definitions/</w:t>
      </w:r>
      <w:r>
        <w:rPr>
          <w:lang w:eastAsia="en-AU"/>
        </w:rPr>
        <w:t>&gt;</w:t>
      </w:r>
      <w:r w:rsidR="002F7A65">
        <w:rPr>
          <w:lang w:eastAsia="en-AU"/>
        </w:rPr>
        <w:t xml:space="preserve"> </w:t>
      </w:r>
      <w:r w:rsidRPr="00276391">
        <w:rPr>
          <w:lang w:eastAsia="en-AU"/>
        </w:rPr>
        <w:t>(external link, opens in new window).</w:t>
      </w:r>
    </w:p>
    <w:p w14:paraId="18EA2A19" w14:textId="77777777" w:rsidR="00236748" w:rsidRPr="00206884" w:rsidRDefault="00236748" w:rsidP="00206884">
      <w:pPr>
        <w:pStyle w:val="DHHSbody"/>
        <w:rPr>
          <w:b/>
          <w:lang w:eastAsia="en-AU"/>
        </w:rPr>
      </w:pPr>
      <w:r w:rsidRPr="00206884">
        <w:rPr>
          <w:b/>
          <w:lang w:eastAsia="en-AU"/>
        </w:rPr>
        <w:t>GST</w:t>
      </w:r>
      <w:r w:rsidR="005D5532" w:rsidRPr="00206884">
        <w:rPr>
          <w:b/>
          <w:lang w:eastAsia="en-AU"/>
        </w:rPr>
        <w:t xml:space="preserve"> </w:t>
      </w:r>
      <w:r w:rsidRPr="00206884">
        <w:rPr>
          <w:b/>
          <w:lang w:eastAsia="en-AU"/>
        </w:rPr>
        <w:t>is</w:t>
      </w:r>
      <w:r w:rsidR="005D5532" w:rsidRPr="00206884">
        <w:rPr>
          <w:b/>
          <w:lang w:eastAsia="en-AU"/>
        </w:rPr>
        <w:t xml:space="preserve"> </w:t>
      </w:r>
      <w:r w:rsidRPr="00206884">
        <w:rPr>
          <w:b/>
          <w:lang w:eastAsia="en-AU"/>
        </w:rPr>
        <w:t>not</w:t>
      </w:r>
      <w:r w:rsidR="005D5532" w:rsidRPr="00206884">
        <w:rPr>
          <w:b/>
          <w:lang w:eastAsia="en-AU"/>
        </w:rPr>
        <w:t xml:space="preserve"> </w:t>
      </w:r>
      <w:r w:rsidRPr="00206884">
        <w:rPr>
          <w:b/>
          <w:lang w:eastAsia="en-AU"/>
        </w:rPr>
        <w:t>payable</w:t>
      </w:r>
      <w:r w:rsidR="005D5532" w:rsidRPr="00206884">
        <w:rPr>
          <w:b/>
          <w:lang w:eastAsia="en-AU"/>
        </w:rPr>
        <w:t xml:space="preserve"> </w:t>
      </w:r>
      <w:r w:rsidRPr="00206884">
        <w:rPr>
          <w:b/>
          <w:lang w:eastAsia="en-AU"/>
        </w:rPr>
        <w:t>where:</w:t>
      </w:r>
      <w:bookmarkEnd w:id="279"/>
    </w:p>
    <w:p w14:paraId="6A5DD12E" w14:textId="77777777" w:rsidR="00236748" w:rsidRPr="00276391" w:rsidRDefault="00236748" w:rsidP="00276391">
      <w:pPr>
        <w:pStyle w:val="DHHSbody"/>
        <w:rPr>
          <w:lang w:eastAsia="en-AU"/>
        </w:rPr>
      </w:pP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payable</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p>
    <w:p w14:paraId="2C2EB238" w14:textId="77777777" w:rsidR="00236748" w:rsidRPr="00276391" w:rsidRDefault="00236748" w:rsidP="00276391">
      <w:pPr>
        <w:pStyle w:val="DHHSbullet1"/>
        <w:rPr>
          <w:rFonts w:cs="Arial"/>
          <w:lang w:eastAsia="en-AU"/>
        </w:rPr>
      </w:pPr>
      <w:r w:rsidRPr="00276391">
        <w:rPr>
          <w:rFonts w:cs="Arial"/>
          <w:lang w:eastAsia="en-AU"/>
        </w:rPr>
        <w:t>has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but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p>
    <w:p w14:paraId="1677E663" w14:textId="308DD21D" w:rsidR="00236748" w:rsidRPr="00276391" w:rsidRDefault="00236748" w:rsidP="00276391">
      <w:pPr>
        <w:pStyle w:val="DHHSbullet1"/>
        <w:rPr>
          <w:rFonts w:cs="Arial"/>
          <w:lang w:eastAsia="en-AU"/>
        </w:rPr>
      </w:pPr>
      <w:r w:rsidRPr="00276391">
        <w:rPr>
          <w:rFonts w:cs="Arial"/>
          <w:lang w:eastAsia="en-AU"/>
        </w:rPr>
        <w:t>has</w:t>
      </w:r>
      <w:r w:rsidR="005D5532" w:rsidRPr="00276391">
        <w:rPr>
          <w:rFonts w:cs="Arial"/>
          <w:lang w:eastAsia="en-AU"/>
        </w:rPr>
        <w:t xml:space="preserve"> </w:t>
      </w:r>
      <w:r w:rsidRPr="00276391">
        <w:rPr>
          <w:rFonts w:cs="Arial"/>
          <w:lang w:eastAsia="en-AU"/>
        </w:rPr>
        <w:t>no</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does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active</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withholding</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46.5</w:t>
      </w:r>
      <w:r w:rsidR="005D5532" w:rsidRPr="00276391">
        <w:rPr>
          <w:rFonts w:cs="Arial"/>
          <w:lang w:eastAsia="en-AU"/>
        </w:rPr>
        <w:t xml:space="preserve"> </w:t>
      </w:r>
      <w:r w:rsidRPr="00276391">
        <w:rPr>
          <w:rFonts w:cs="Arial"/>
          <w:lang w:eastAsia="en-AU"/>
        </w:rPr>
        <w:t>per</w:t>
      </w:r>
      <w:r w:rsidR="005D5532" w:rsidRPr="00276391">
        <w:rPr>
          <w:rFonts w:cs="Arial"/>
          <w:lang w:eastAsia="en-AU"/>
        </w:rPr>
        <w:t xml:space="preserve"> </w:t>
      </w:r>
      <w:r w:rsidRPr="00276391">
        <w:rPr>
          <w:rFonts w:cs="Arial"/>
          <w:lang w:eastAsia="en-AU"/>
        </w:rPr>
        <w:t>cent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applied</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subject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exceptions</w:t>
      </w:r>
      <w:r w:rsidR="005D5532" w:rsidRPr="00276391">
        <w:rPr>
          <w:rFonts w:cs="Arial"/>
          <w:lang w:eastAsia="en-AU"/>
        </w:rPr>
        <w:t xml:space="preserve"> </w:t>
      </w:r>
      <w:r w:rsidRPr="00276391">
        <w:rPr>
          <w:rFonts w:cs="Arial"/>
          <w:lang w:eastAsia="en-AU"/>
        </w:rPr>
        <w:t>listed</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statement</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supplier</w:t>
      </w:r>
      <w:r w:rsidR="005D5532" w:rsidRPr="00276391">
        <w:rPr>
          <w:rFonts w:cs="Arial"/>
          <w:lang w:eastAsia="en-AU"/>
        </w:rPr>
        <w:t xml:space="preserve"> </w:t>
      </w:r>
      <w:r w:rsidRPr="00276391">
        <w:rPr>
          <w:rFonts w:cs="Arial"/>
          <w:lang w:eastAsia="en-AU"/>
        </w:rPr>
        <w:t>-</w:t>
      </w:r>
      <w:r w:rsidR="005D5532" w:rsidRPr="00276391">
        <w:rPr>
          <w:rFonts w:cs="Arial"/>
          <w:lang w:eastAsia="en-AU"/>
        </w:rPr>
        <w:t xml:space="preserve"> </w:t>
      </w:r>
      <w:r w:rsidRPr="00276391">
        <w:rPr>
          <w:rFonts w:cs="Arial"/>
          <w:lang w:eastAsia="en-AU"/>
        </w:rPr>
        <w:t>see</w:t>
      </w:r>
      <w:r w:rsidR="005D5532" w:rsidRPr="00276391">
        <w:rPr>
          <w:rFonts w:cs="Arial"/>
          <w:lang w:eastAsia="en-AU"/>
        </w:rPr>
        <w:t xml:space="preserve"> </w:t>
      </w:r>
      <w:hyperlink r:id="rId58" w:tgtFrame="_blank" w:tooltip="Link to Australian Taxation Office website" w:history="1">
        <w:r w:rsidRPr="00C94233">
          <w:rPr>
            <w:rStyle w:val="Hyperlink"/>
          </w:rPr>
          <w:t>ATO</w:t>
        </w:r>
        <w:r w:rsidR="005D5532" w:rsidRPr="00C94233">
          <w:rPr>
            <w:rStyle w:val="Hyperlink"/>
          </w:rPr>
          <w:t xml:space="preserve"> </w:t>
        </w:r>
        <w:r w:rsidRPr="00C94233">
          <w:rPr>
            <w:rStyle w:val="Hyperlink"/>
          </w:rPr>
          <w:t>website</w:t>
        </w:r>
      </w:hyperlink>
      <w:r w:rsidR="005D5532" w:rsidRPr="00276391">
        <w:rPr>
          <w:rFonts w:cs="Arial"/>
          <w:lang w:eastAsia="en-AU"/>
        </w:rPr>
        <w:t xml:space="preserve"> </w:t>
      </w:r>
      <w:r w:rsidR="00BF1CB3">
        <w:rPr>
          <w:lang w:eastAsia="en-AU"/>
        </w:rPr>
        <w:t>&lt;</w:t>
      </w:r>
      <w:r w:rsidR="00BF1CB3" w:rsidRPr="00C62B9B">
        <w:rPr>
          <w:lang w:eastAsia="en-AU"/>
        </w:rPr>
        <w:t>https://www.ato.gov.au</w:t>
      </w:r>
      <w:r w:rsidR="00BF1CB3">
        <w:rPr>
          <w:lang w:eastAsia="en-AU"/>
        </w:rPr>
        <w:t>&gt;</w:t>
      </w:r>
      <w:r w:rsidR="00BF1CB3" w:rsidRPr="00276391">
        <w:rPr>
          <w:rFonts w:cs="Arial"/>
          <w:lang w:eastAsia="en-AU"/>
        </w:rPr>
        <w:t xml:space="preserve"> </w:t>
      </w:r>
      <w:r w:rsidRPr="00276391">
        <w:rPr>
          <w:rFonts w:cs="Arial"/>
          <w:lang w:eastAsia="en-AU"/>
        </w:rPr>
        <w:t>(external</w:t>
      </w:r>
      <w:r w:rsidR="005D5532" w:rsidRPr="00276391">
        <w:rPr>
          <w:rFonts w:cs="Arial"/>
          <w:lang w:eastAsia="en-AU"/>
        </w:rPr>
        <w:t xml:space="preserve"> </w:t>
      </w:r>
      <w:r w:rsidRPr="00276391">
        <w:rPr>
          <w:rFonts w:cs="Arial"/>
          <w:lang w:eastAsia="en-AU"/>
        </w:rPr>
        <w:t>link,</w:t>
      </w:r>
      <w:r w:rsidR="005D5532" w:rsidRPr="00276391">
        <w:rPr>
          <w:rFonts w:cs="Arial"/>
          <w:lang w:eastAsia="en-AU"/>
        </w:rPr>
        <w:t xml:space="preserve"> </w:t>
      </w:r>
      <w:r w:rsidR="00EA74AB">
        <w:rPr>
          <w:rFonts w:cs="Arial"/>
          <w:lang w:eastAsia="en-AU"/>
        </w:rPr>
        <w:t xml:space="preserve">opens in </w:t>
      </w:r>
      <w:r w:rsidR="00C62565">
        <w:rPr>
          <w:rFonts w:cs="Arial"/>
          <w:lang w:eastAsia="en-AU"/>
        </w:rPr>
        <w:t>a new window</w:t>
      </w:r>
      <w:r w:rsidR="000C1D88">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withholding</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apply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without</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low-value,</w:t>
      </w:r>
      <w:r w:rsidR="005D5532" w:rsidRPr="00276391">
        <w:rPr>
          <w:rFonts w:cs="Arial"/>
          <w:lang w:eastAsia="en-AU"/>
        </w:rPr>
        <w:t xml:space="preserve"> </w:t>
      </w:r>
      <w:r w:rsidRPr="00276391">
        <w:rPr>
          <w:rFonts w:cs="Arial"/>
          <w:lang w:eastAsia="en-AU"/>
        </w:rPr>
        <w:t>one-off</w:t>
      </w:r>
      <w:r w:rsidR="005D5532" w:rsidRPr="00276391">
        <w:rPr>
          <w:rFonts w:cs="Arial"/>
          <w:lang w:eastAsia="en-AU"/>
        </w:rPr>
        <w:t xml:space="preserve"> </w:t>
      </w:r>
      <w:r w:rsidRPr="00276391">
        <w:rPr>
          <w:rFonts w:cs="Arial"/>
          <w:lang w:eastAsia="en-AU"/>
        </w:rPr>
        <w:t>grant</w:t>
      </w:r>
      <w:r w:rsidR="005D5532" w:rsidRPr="00276391">
        <w:rPr>
          <w:rFonts w:cs="Arial"/>
          <w:lang w:eastAsia="en-AU"/>
        </w:rPr>
        <w:t xml:space="preserve"> </w:t>
      </w:r>
      <w:r w:rsidRPr="00276391">
        <w:rPr>
          <w:rFonts w:cs="Arial"/>
          <w:lang w:eastAsia="en-AU"/>
        </w:rPr>
        <w:t>approved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self-help</w:t>
      </w:r>
      <w:r w:rsidR="005D5532" w:rsidRPr="00276391">
        <w:rPr>
          <w:rFonts w:cs="Arial"/>
          <w:lang w:eastAsia="en-AU"/>
        </w:rPr>
        <w:t xml:space="preserve"> </w:t>
      </w:r>
      <w:r w:rsidRPr="00276391">
        <w:rPr>
          <w:rFonts w:cs="Arial"/>
          <w:lang w:eastAsia="en-AU"/>
        </w:rPr>
        <w:t>group.</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should</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noted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does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normally</w:t>
      </w:r>
      <w:r w:rsidR="005D5532" w:rsidRPr="00276391">
        <w:rPr>
          <w:rFonts w:cs="Arial"/>
          <w:lang w:eastAsia="en-AU"/>
        </w:rPr>
        <w:t xml:space="preserve"> </w:t>
      </w:r>
      <w:r w:rsidRPr="00276391">
        <w:rPr>
          <w:rFonts w:cs="Arial"/>
          <w:lang w:eastAsia="en-AU"/>
        </w:rPr>
        <w:t>fund</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do</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p>
    <w:p w14:paraId="10CE27DA" w14:textId="4BC27388"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entity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schools,</w:t>
      </w:r>
      <w:r w:rsidR="005D5532" w:rsidRPr="00276391">
        <w:rPr>
          <w:rFonts w:cs="Arial"/>
          <w:lang w:eastAsia="en-AU"/>
        </w:rPr>
        <w:t xml:space="preserve"> </w:t>
      </w:r>
      <w:r w:rsidRPr="00276391">
        <w:rPr>
          <w:rFonts w:cs="Arial"/>
          <w:lang w:eastAsia="en-AU"/>
        </w:rPr>
        <w:t>public</w:t>
      </w:r>
      <w:r w:rsidR="005D5532" w:rsidRPr="00276391">
        <w:rPr>
          <w:rFonts w:cs="Arial"/>
          <w:lang w:eastAsia="en-AU"/>
        </w:rPr>
        <w:t xml:space="preserve"> </w:t>
      </w:r>
      <w:r w:rsidRPr="00276391">
        <w:rPr>
          <w:rFonts w:cs="Arial"/>
          <w:lang w:eastAsia="en-AU"/>
        </w:rPr>
        <w:t>hospitals)</w:t>
      </w:r>
      <w:r w:rsidR="000C1D88">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non-commerciality</w:t>
      </w:r>
      <w:r w:rsidR="005D5532" w:rsidRPr="00276391">
        <w:rPr>
          <w:rFonts w:cs="Arial"/>
          <w:lang w:eastAsia="en-AU"/>
        </w:rPr>
        <w:t xml:space="preserve"> </w:t>
      </w:r>
      <w:r w:rsidRPr="00276391">
        <w:rPr>
          <w:rFonts w:cs="Arial"/>
          <w:lang w:eastAsia="en-AU"/>
        </w:rPr>
        <w:t>test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met</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entity</w:t>
      </w:r>
      <w:r w:rsidR="005D5532" w:rsidRPr="00276391">
        <w:rPr>
          <w:rFonts w:cs="Arial"/>
          <w:lang w:eastAsia="en-AU"/>
        </w:rPr>
        <w:t xml:space="preserve"> </w:t>
      </w:r>
      <w:r w:rsidRPr="00276391">
        <w:rPr>
          <w:rFonts w:cs="Arial"/>
          <w:lang w:eastAsia="en-AU"/>
        </w:rPr>
        <w:t>receiving</w:t>
      </w:r>
      <w:r w:rsidR="005D5532" w:rsidRPr="00276391">
        <w:rPr>
          <w:rFonts w:cs="Arial"/>
          <w:lang w:eastAsia="en-AU"/>
        </w:rPr>
        <w:t xml:space="preserve"> </w:t>
      </w:r>
      <w:r w:rsidRPr="00276391">
        <w:rPr>
          <w:rFonts w:cs="Arial"/>
          <w:lang w:eastAsia="en-AU"/>
        </w:rPr>
        <w:t>funds</w:t>
      </w:r>
      <w:r w:rsidR="005D5532" w:rsidRPr="00276391">
        <w:rPr>
          <w:rFonts w:cs="Arial"/>
          <w:lang w:eastAsia="en-AU"/>
        </w:rPr>
        <w:t xml:space="preserve"> </w:t>
      </w:r>
    </w:p>
    <w:p w14:paraId="4FDB9F66"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supplied</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taxable</w:t>
      </w:r>
      <w:r w:rsidR="005D5532" w:rsidRPr="00276391">
        <w:rPr>
          <w:rFonts w:cs="Arial"/>
          <w:lang w:eastAsia="en-AU"/>
        </w:rPr>
        <w:t xml:space="preserve"> </w:t>
      </w:r>
      <w:r w:rsidRPr="00276391">
        <w:rPr>
          <w:rFonts w:cs="Arial"/>
          <w:lang w:eastAsia="en-AU"/>
        </w:rPr>
        <w:t>supplies</w:t>
      </w:r>
      <w:r w:rsidR="005D5532" w:rsidRPr="00276391">
        <w:rPr>
          <w:rFonts w:cs="Arial"/>
          <w:lang w:eastAsia="en-AU"/>
        </w:rPr>
        <w:t xml:space="preserve"> </w:t>
      </w:r>
      <w:r w:rsidRPr="00276391">
        <w:rPr>
          <w:rFonts w:cs="Arial"/>
          <w:lang w:eastAsia="en-AU"/>
        </w:rPr>
        <w:t>(applies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Disability</w:t>
      </w:r>
      <w:r w:rsidR="005D5532" w:rsidRPr="00276391">
        <w:rPr>
          <w:rFonts w:cs="Arial"/>
          <w:lang w:eastAsia="en-AU"/>
        </w:rPr>
        <w:t xml:space="preserve"> </w:t>
      </w:r>
      <w:r w:rsidRPr="00276391">
        <w:rPr>
          <w:rFonts w:cs="Arial"/>
          <w:lang w:eastAsia="en-AU"/>
        </w:rPr>
        <w:t>individual</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managed</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intermediary</w:t>
      </w:r>
      <w:r w:rsidR="005D5532" w:rsidRPr="00276391">
        <w:rPr>
          <w:rFonts w:cs="Arial"/>
          <w:lang w:eastAsia="en-AU"/>
        </w:rPr>
        <w:t xml:space="preserve"> </w:t>
      </w:r>
      <w:r w:rsidRPr="00276391">
        <w:rPr>
          <w:rFonts w:cs="Arial"/>
          <w:lang w:eastAsia="en-AU"/>
        </w:rPr>
        <w:t>arrangement).</w:t>
      </w:r>
      <w:r w:rsidR="005D5532" w:rsidRPr="00276391">
        <w:rPr>
          <w:rFonts w:cs="Arial"/>
          <w:lang w:eastAsia="en-AU"/>
        </w:rPr>
        <w:t xml:space="preserve"> </w:t>
      </w:r>
    </w:p>
    <w:p w14:paraId="377EF7A7" w14:textId="77777777" w:rsidR="00236748" w:rsidRPr="00276391" w:rsidRDefault="00236748" w:rsidP="00276391">
      <w:pPr>
        <w:pStyle w:val="DHHSbullet1"/>
        <w:rPr>
          <w:rFonts w:cs="Arial"/>
          <w:lang w:eastAsia="en-AU"/>
        </w:rPr>
      </w:pPr>
      <w:proofErr w:type="gramStart"/>
      <w:r w:rsidRPr="00276391">
        <w:rPr>
          <w:rFonts w:cs="Arial"/>
          <w:lang w:eastAsia="en-AU"/>
        </w:rPr>
        <w:t>gifts'</w:t>
      </w:r>
      <w:proofErr w:type="gramEnd"/>
      <w:r w:rsidR="005D5532" w:rsidRPr="00276391">
        <w:rPr>
          <w:rFonts w:cs="Arial"/>
          <w:lang w:eastAsia="en-AU"/>
        </w:rPr>
        <w:t xml:space="preserve"> </w:t>
      </w:r>
      <w:r w:rsidRPr="00276391">
        <w:rPr>
          <w:rFonts w:cs="Arial"/>
          <w:lang w:eastAsia="en-AU"/>
        </w:rPr>
        <w:t>made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subject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gift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defined</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transfer</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funds</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there</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no</w:t>
      </w:r>
      <w:r w:rsidR="005D5532" w:rsidRPr="00276391">
        <w:rPr>
          <w:rFonts w:cs="Arial"/>
          <w:lang w:eastAsia="en-AU"/>
        </w:rPr>
        <w:t xml:space="preserve"> </w:t>
      </w:r>
      <w:r w:rsidRPr="00276391">
        <w:rPr>
          <w:rFonts w:cs="Arial"/>
          <w:lang w:eastAsia="en-AU"/>
        </w:rPr>
        <w:t>contractual</w:t>
      </w:r>
      <w:r w:rsidR="005D5532" w:rsidRPr="00276391">
        <w:rPr>
          <w:rFonts w:cs="Arial"/>
          <w:lang w:eastAsia="en-AU"/>
        </w:rPr>
        <w:t xml:space="preserve"> </w:t>
      </w:r>
      <w:r w:rsidRPr="00276391">
        <w:rPr>
          <w:rFonts w:cs="Arial"/>
          <w:lang w:eastAsia="en-AU"/>
        </w:rPr>
        <w:t>obligation</w:t>
      </w:r>
      <w:r w:rsidR="005D5532" w:rsidRPr="00276391">
        <w:rPr>
          <w:rFonts w:cs="Arial"/>
          <w:lang w:eastAsia="en-AU"/>
        </w:rPr>
        <w:t xml:space="preserve"> </w:t>
      </w:r>
      <w:r w:rsidRPr="00276391">
        <w:rPr>
          <w:rFonts w:cs="Arial"/>
          <w:lang w:eastAsia="en-AU"/>
        </w:rPr>
        <w:t>attached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funds.</w:t>
      </w:r>
      <w:r w:rsidR="005D5532" w:rsidRPr="00276391">
        <w:rPr>
          <w:rFonts w:cs="Arial"/>
          <w:lang w:eastAsia="en-AU"/>
        </w:rPr>
        <w:t xml:space="preserve"> </w:t>
      </w:r>
    </w:p>
    <w:p w14:paraId="1CEF9537" w14:textId="77777777" w:rsidR="00236748" w:rsidRPr="00276391" w:rsidRDefault="00236748" w:rsidP="00417439">
      <w:pPr>
        <w:pStyle w:val="DHHSbodyBold"/>
        <w:rPr>
          <w:lang w:eastAsia="en-AU"/>
        </w:rPr>
      </w:pPr>
      <w:bookmarkStart w:id="280" w:name="_Toc478991780"/>
      <w:r w:rsidRPr="00276391">
        <w:rPr>
          <w:lang w:eastAsia="en-AU"/>
        </w:rPr>
        <w:t>GST</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payable</w:t>
      </w:r>
      <w:bookmarkEnd w:id="280"/>
    </w:p>
    <w:p w14:paraId="2E3C26C3"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process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follows:</w:t>
      </w:r>
    </w:p>
    <w:p w14:paraId="54A7E121"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pay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agreed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plus</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either</w:t>
      </w:r>
      <w:r w:rsidR="005D5532" w:rsidRPr="00276391">
        <w:rPr>
          <w:rFonts w:cs="Arial"/>
          <w:lang w:eastAsia="en-AU"/>
        </w:rPr>
        <w:t xml:space="preserve"> </w:t>
      </w:r>
      <w:r w:rsidRPr="00276391">
        <w:rPr>
          <w:rFonts w:cs="Arial"/>
          <w:lang w:eastAsia="en-AU"/>
        </w:rPr>
        <w:t>upon</w:t>
      </w:r>
      <w:r w:rsidR="005D5532" w:rsidRPr="00276391">
        <w:rPr>
          <w:rFonts w:cs="Arial"/>
          <w:lang w:eastAsia="en-AU"/>
        </w:rPr>
        <w:t xml:space="preserve"> </w:t>
      </w:r>
      <w:r w:rsidRPr="00276391">
        <w:rPr>
          <w:rFonts w:cs="Arial"/>
          <w:lang w:eastAsia="en-AU"/>
        </w:rPr>
        <w:t>receiving</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invoice</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issuing</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Recipient</w:t>
      </w:r>
      <w:r w:rsidR="005D5532" w:rsidRPr="00276391">
        <w:rPr>
          <w:rFonts w:cs="Arial"/>
          <w:lang w:eastAsia="en-AU"/>
        </w:rPr>
        <w:t xml:space="preserve"> </w:t>
      </w:r>
      <w:r w:rsidRPr="00276391">
        <w:rPr>
          <w:rFonts w:cs="Arial"/>
          <w:lang w:eastAsia="en-AU"/>
        </w:rPr>
        <w:t>Created</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Invoice</w:t>
      </w:r>
      <w:r w:rsidR="005D5532" w:rsidRPr="00276391">
        <w:rPr>
          <w:rFonts w:cs="Arial"/>
          <w:lang w:eastAsia="en-AU"/>
        </w:rPr>
        <w:t xml:space="preserve"> </w:t>
      </w:r>
      <w:r w:rsidRPr="00276391">
        <w:rPr>
          <w:rFonts w:cs="Arial"/>
          <w:lang w:eastAsia="en-AU"/>
        </w:rPr>
        <w:t>(RCTI),</w:t>
      </w:r>
      <w:r w:rsidR="005D5532" w:rsidRPr="00276391">
        <w:rPr>
          <w:rFonts w:cs="Arial"/>
          <w:lang w:eastAsia="en-AU"/>
        </w:rPr>
        <w:t xml:space="preserve"> </w:t>
      </w:r>
      <w:r w:rsidRPr="00276391">
        <w:rPr>
          <w:rFonts w:cs="Arial"/>
          <w:lang w:eastAsia="en-AU"/>
        </w:rPr>
        <w:t>whichever</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(see</w:t>
      </w:r>
      <w:r w:rsidR="005D5532" w:rsidRPr="00276391">
        <w:rPr>
          <w:rFonts w:cs="Arial"/>
          <w:lang w:eastAsia="en-AU"/>
        </w:rPr>
        <w:t xml:space="preserve"> </w:t>
      </w:r>
      <w:r w:rsidRPr="00276391">
        <w:rPr>
          <w:rFonts w:cs="Arial"/>
          <w:lang w:eastAsia="en-AU"/>
        </w:rPr>
        <w:t>below).</w:t>
      </w:r>
      <w:r w:rsidR="005D5532" w:rsidRPr="00276391">
        <w:rPr>
          <w:rFonts w:cs="Arial"/>
          <w:lang w:eastAsia="en-AU"/>
        </w:rPr>
        <w:t xml:space="preserve"> </w:t>
      </w:r>
    </w:p>
    <w:p w14:paraId="4774841B"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remit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ATO.</w:t>
      </w:r>
      <w:r w:rsidR="005D5532" w:rsidRPr="00276391">
        <w:rPr>
          <w:rFonts w:cs="Arial"/>
          <w:lang w:eastAsia="en-AU"/>
        </w:rPr>
        <w:t xml:space="preserve"> </w:t>
      </w:r>
    </w:p>
    <w:p w14:paraId="5BFCE6D5"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claim</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ATO.</w:t>
      </w:r>
      <w:r w:rsidR="005D5532" w:rsidRPr="00276391">
        <w:rPr>
          <w:rFonts w:cs="Arial"/>
          <w:lang w:eastAsia="en-AU"/>
        </w:rPr>
        <w:t xml:space="preserve"> </w:t>
      </w:r>
    </w:p>
    <w:p w14:paraId="10307038" w14:textId="61DB32B2" w:rsidR="00236748" w:rsidRPr="00276391" w:rsidRDefault="00303243" w:rsidP="00276391">
      <w:pPr>
        <w:pStyle w:val="DHHSbody"/>
        <w:rPr>
          <w:lang w:eastAsia="en-AU"/>
        </w:rPr>
      </w:pPr>
      <w:r w:rsidRPr="00303243">
        <w:rPr>
          <w:noProof/>
          <w:lang w:eastAsia="en-AU"/>
        </w:rPr>
        <mc:AlternateContent>
          <mc:Choice Requires="wps">
            <w:drawing>
              <wp:anchor distT="0" distB="0" distL="114300" distR="114300" simplePos="0" relativeHeight="251660288" behindDoc="0" locked="0" layoutInCell="1" allowOverlap="1" wp14:anchorId="3134C436" wp14:editId="31DEBFC2">
                <wp:simplePos x="0" y="0"/>
                <wp:positionH relativeFrom="column">
                  <wp:posOffset>660101</wp:posOffset>
                </wp:positionH>
                <wp:positionV relativeFrom="paragraph">
                  <wp:posOffset>775559</wp:posOffset>
                </wp:positionV>
                <wp:extent cx="708212" cy="1403985"/>
                <wp:effectExtent l="0" t="0" r="158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2" cy="1403985"/>
                        </a:xfrm>
                        <a:prstGeom prst="rect">
                          <a:avLst/>
                        </a:prstGeom>
                        <a:solidFill>
                          <a:srgbClr val="FFFFFF"/>
                        </a:solidFill>
                        <a:ln w="9525">
                          <a:solidFill>
                            <a:schemeClr val="bg1"/>
                          </a:solidFill>
                          <a:miter lim="800000"/>
                          <a:headEnd/>
                          <a:tailEnd/>
                        </a:ln>
                      </wps:spPr>
                      <wps:txbx>
                        <w:txbxContent>
                          <w:p w14:paraId="37E2F351" w14:textId="2C551DC4" w:rsidR="005E47A5" w:rsidRPr="00303243" w:rsidRDefault="005E47A5">
                            <w:pPr>
                              <w:rPr>
                                <w:rFonts w:ascii="Arial" w:hAnsi="Arial" w:cs="Arial"/>
                                <w:b/>
                                <w:color w:val="4F81BD" w:themeColor="accent1"/>
                                <w:sz w:val="22"/>
                                <w:szCs w:val="22"/>
                              </w:rPr>
                            </w:pPr>
                            <w:r w:rsidRPr="00303243">
                              <w:rPr>
                                <w:rFonts w:ascii="Arial" w:hAnsi="Arial" w:cs="Arial"/>
                                <w:b/>
                                <w:color w:val="4F81BD" w:themeColor="accent1"/>
                                <w:sz w:val="22"/>
                                <w:szCs w:val="22"/>
                              </w:rPr>
                              <w:t>+ 10% GST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4C436" id="Text Box 2" o:spid="_x0000_s1027" type="#_x0000_t202" style="position:absolute;margin-left:52pt;margin-top:61.05pt;width:55.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" strokecolor="white [3212]">
                <v:textbox style="mso-fit-shape-to-text:t">
                  <w:txbxContent>
                    <w:p w14:paraId="37E2F351" w14:textId="2C551DC4" w:rsidR="005E47A5" w:rsidRPr="00303243" w:rsidRDefault="005E47A5">
                      <w:pPr>
                        <w:rPr>
                          <w:rFonts w:ascii="Arial" w:hAnsi="Arial" w:cs="Arial"/>
                          <w:b/>
                          <w:color w:val="4F81BD" w:themeColor="accent1"/>
                          <w:sz w:val="22"/>
                          <w:szCs w:val="22"/>
                        </w:rPr>
                      </w:pPr>
                      <w:r w:rsidRPr="00303243">
                        <w:rPr>
                          <w:rFonts w:ascii="Arial" w:hAnsi="Arial" w:cs="Arial"/>
                          <w:b/>
                          <w:color w:val="4F81BD" w:themeColor="accent1"/>
                          <w:sz w:val="22"/>
                          <w:szCs w:val="22"/>
                        </w:rPr>
                        <w:t>+ 10% GST</w:t>
                      </w:r>
                    </w:p>
                  </w:txbxContent>
                </v:textbox>
              </v:shape>
            </w:pict>
          </mc:Fallback>
        </mc:AlternateContent>
      </w:r>
      <w:r w:rsidR="000C1D88">
        <w:rPr>
          <w:rFonts w:cs="Arial"/>
          <w:noProof/>
          <w:color w:val="000000"/>
          <w:szCs w:val="19"/>
          <w:lang w:eastAsia="en-AU"/>
        </w:rPr>
        <w:drawing>
          <wp:inline distT="0" distB="0" distL="0" distR="0" wp14:anchorId="4017B1A0" wp14:editId="53911B5D">
            <wp:extent cx="5486400"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2D4DCAF8" w14:textId="77777777" w:rsidR="00236748" w:rsidRPr="00276391" w:rsidRDefault="00236748" w:rsidP="00417439">
      <w:pPr>
        <w:pStyle w:val="DHHSbodyBold"/>
        <w:rPr>
          <w:lang w:eastAsia="en-AU"/>
        </w:rPr>
      </w:pPr>
      <w:bookmarkStart w:id="281" w:name="_Toc478991781"/>
      <w:r w:rsidRPr="00276391">
        <w:rPr>
          <w:lang w:eastAsia="en-AU"/>
        </w:rPr>
        <w:t>Recipient</w:t>
      </w:r>
      <w:r w:rsidR="005D5532" w:rsidRPr="00417439">
        <w:t xml:space="preserve"> </w:t>
      </w:r>
      <w:r w:rsidRPr="00276391">
        <w:rPr>
          <w:lang w:eastAsia="en-AU"/>
        </w:rPr>
        <w:t>Created</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Invoices</w:t>
      </w:r>
      <w:bookmarkEnd w:id="281"/>
    </w:p>
    <w:p w14:paraId="1C704F88" w14:textId="77777777" w:rsidR="00236748" w:rsidRPr="00276391" w:rsidRDefault="00236748" w:rsidP="00276391">
      <w:pPr>
        <w:pStyle w:val="DHHSbody"/>
        <w:rPr>
          <w:lang w:eastAsia="en-AU"/>
        </w:rPr>
      </w:pPr>
      <w:r w:rsidRPr="00B24C02">
        <w:rPr>
          <w:rFonts w:cs="Arial"/>
          <w:color w:val="000000"/>
          <w:szCs w:val="19"/>
          <w:lang w:eastAsia="en-AU"/>
        </w:rPr>
        <w:lastRenderedPageBreak/>
        <w:t>GST</w:t>
      </w:r>
      <w:r w:rsidR="005D5532" w:rsidRPr="00B24C02">
        <w:rPr>
          <w:rFonts w:cs="Arial"/>
          <w:color w:val="000000"/>
          <w:szCs w:val="19"/>
          <w:lang w:eastAsia="en-AU"/>
        </w:rPr>
        <w:t xml:space="preserve"> </w:t>
      </w:r>
      <w:r w:rsidRPr="00B24C02">
        <w:rPr>
          <w:rFonts w:cs="Arial"/>
          <w:color w:val="000000"/>
          <w:szCs w:val="19"/>
          <w:lang w:eastAsia="en-AU"/>
        </w:rPr>
        <w:t>legislation</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taxable</w:t>
      </w:r>
      <w:r w:rsidR="005D5532" w:rsidRPr="00B24C02">
        <w:rPr>
          <w:rFonts w:cs="Arial"/>
          <w:color w:val="000000"/>
          <w:szCs w:val="19"/>
          <w:lang w:eastAsia="en-AU"/>
        </w:rPr>
        <w:t xml:space="preserve"> </w:t>
      </w:r>
      <w:r w:rsidRPr="00B24C02">
        <w:rPr>
          <w:rFonts w:cs="Arial"/>
          <w:color w:val="000000"/>
          <w:szCs w:val="19"/>
          <w:lang w:eastAsia="en-AU"/>
        </w:rPr>
        <w:t>'supply'</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tax</w:t>
      </w:r>
      <w:r w:rsidR="005D5532" w:rsidRPr="00B24C02">
        <w:rPr>
          <w:rFonts w:cs="Arial"/>
          <w:color w:val="000000"/>
          <w:szCs w:val="19"/>
          <w:lang w:eastAsia="en-AU"/>
        </w:rPr>
        <w:t xml:space="preserve"> </w:t>
      </w:r>
      <w:r w:rsidRPr="00B24C02">
        <w:rPr>
          <w:rFonts w:cs="Arial"/>
          <w:color w:val="000000"/>
          <w:szCs w:val="19"/>
          <w:lang w:eastAsia="en-AU"/>
        </w:rPr>
        <w:t>invoice</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issued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certain</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ATO.</w:t>
      </w:r>
    </w:p>
    <w:p w14:paraId="1BA7DA2B"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payable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Recipient</w:t>
      </w:r>
      <w:r w:rsidR="005D5532" w:rsidRPr="00276391">
        <w:rPr>
          <w:lang w:eastAsia="en-AU"/>
        </w:rPr>
        <w:t xml:space="preserve"> </w:t>
      </w:r>
      <w:r w:rsidRPr="00276391">
        <w:rPr>
          <w:lang w:eastAsia="en-AU"/>
        </w:rPr>
        <w:t>Created</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Invoice</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invoice</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payer</w:t>
      </w:r>
      <w:r w:rsidR="005D5532" w:rsidRPr="00276391">
        <w:rPr>
          <w:lang w:eastAsia="en-AU"/>
        </w:rPr>
        <w:t xml:space="preserve"> </w:t>
      </w:r>
      <w:r w:rsidRPr="00276391">
        <w:rPr>
          <w:lang w:eastAsia="en-AU"/>
        </w:rPr>
        <w:t>(funder)</w:t>
      </w:r>
      <w:r w:rsidR="005D5532" w:rsidRPr="00276391">
        <w:rPr>
          <w:lang w:eastAsia="en-AU"/>
        </w:rPr>
        <w:t xml:space="preserve"> </w:t>
      </w:r>
      <w:r w:rsidRPr="00276391">
        <w:rPr>
          <w:lang w:eastAsia="en-AU"/>
        </w:rPr>
        <w:t>rather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supplier</w:t>
      </w:r>
      <w:r w:rsidR="005D5532" w:rsidRPr="00276391">
        <w:rPr>
          <w:lang w:eastAsia="en-AU"/>
        </w:rPr>
        <w:t xml:space="preserve"> </w:t>
      </w:r>
      <w:r w:rsidRPr="00276391">
        <w:rPr>
          <w:lang w:eastAsia="en-AU"/>
        </w:rPr>
        <w:t>(payee)</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funder</w:t>
      </w:r>
      <w:r w:rsidR="005D5532" w:rsidRPr="00276391">
        <w:rPr>
          <w:lang w:eastAsia="en-AU"/>
        </w:rPr>
        <w:t xml:space="preserve"> </w:t>
      </w:r>
      <w:r w:rsidRPr="00276391">
        <w:rPr>
          <w:lang w:eastAsia="en-AU"/>
        </w:rPr>
        <w:t>knows</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much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supplier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invoice.</w:t>
      </w:r>
    </w:p>
    <w:p w14:paraId="11695B39" w14:textId="77777777"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enables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advance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p>
    <w:p w14:paraId="11DD44A5" w14:textId="77777777" w:rsidR="00236748" w:rsidRPr="003F52B3" w:rsidRDefault="00236748" w:rsidP="00417439">
      <w:pPr>
        <w:pStyle w:val="DHHSbodyBold"/>
        <w:rPr>
          <w:lang w:eastAsia="en-AU"/>
        </w:rPr>
      </w:pPr>
      <w:bookmarkStart w:id="282" w:name="_Toc478991782"/>
      <w:r w:rsidRPr="003F52B3">
        <w:rPr>
          <w:lang w:eastAsia="en-AU"/>
        </w:rPr>
        <w:t>Recipient</w:t>
      </w:r>
      <w:r w:rsidR="005D5532" w:rsidRPr="003F52B3">
        <w:rPr>
          <w:lang w:eastAsia="en-AU"/>
        </w:rPr>
        <w:t xml:space="preserve"> </w:t>
      </w:r>
      <w:r w:rsidRPr="003F52B3">
        <w:rPr>
          <w:lang w:eastAsia="en-AU"/>
        </w:rPr>
        <w:t>Created</w:t>
      </w:r>
      <w:r w:rsidR="005D5532" w:rsidRPr="003F52B3">
        <w:rPr>
          <w:lang w:eastAsia="en-AU"/>
        </w:rPr>
        <w:t xml:space="preserve"> </w:t>
      </w:r>
      <w:r w:rsidRPr="003F52B3">
        <w:rPr>
          <w:lang w:eastAsia="en-AU"/>
        </w:rPr>
        <w:t>Tax</w:t>
      </w:r>
      <w:r w:rsidR="005D5532" w:rsidRPr="003F52B3">
        <w:rPr>
          <w:lang w:eastAsia="en-AU"/>
        </w:rPr>
        <w:t xml:space="preserve"> </w:t>
      </w:r>
      <w:r w:rsidRPr="003F52B3">
        <w:rPr>
          <w:lang w:eastAsia="en-AU"/>
        </w:rPr>
        <w:t>Invoice</w:t>
      </w:r>
      <w:r w:rsidR="005D5532" w:rsidRPr="003F52B3">
        <w:rPr>
          <w:lang w:eastAsia="en-AU"/>
        </w:rPr>
        <w:t xml:space="preserve"> </w:t>
      </w:r>
      <w:r w:rsidRPr="003F52B3">
        <w:rPr>
          <w:lang w:eastAsia="en-AU"/>
        </w:rPr>
        <w:t>Agreement</w:t>
      </w:r>
      <w:bookmarkEnd w:id="282"/>
    </w:p>
    <w:p w14:paraId="709F247D" w14:textId="77777777" w:rsidR="00236748" w:rsidRPr="00276391" w:rsidRDefault="00236748" w:rsidP="00276391">
      <w:pPr>
        <w:pStyle w:val="DHHSbody"/>
        <w:rPr>
          <w:lang w:eastAsia="en-AU"/>
        </w:rPr>
      </w:pP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legislation</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agreed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p>
    <w:p w14:paraId="2447B23E" w14:textId="046FDCB0" w:rsidR="00236748" w:rsidRPr="00FE7C25" w:rsidRDefault="00236748" w:rsidP="00276391">
      <w:pPr>
        <w:pStyle w:val="DHHSbody"/>
        <w:rPr>
          <w:i/>
          <w:lang w:eastAsia="en-AU"/>
        </w:rPr>
      </w:pP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current</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agreeing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payable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29-70</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FE7C25">
        <w:rPr>
          <w:bCs/>
          <w:i/>
          <w:lang w:eastAsia="en-AU"/>
        </w:rPr>
        <w:t>A</w:t>
      </w:r>
      <w:r w:rsidR="005D5532" w:rsidRPr="00FE7C25">
        <w:rPr>
          <w:bCs/>
          <w:i/>
          <w:lang w:eastAsia="en-AU"/>
        </w:rPr>
        <w:t xml:space="preserve"> </w:t>
      </w:r>
      <w:r w:rsidRPr="00FE7C25">
        <w:rPr>
          <w:bCs/>
          <w:i/>
          <w:lang w:eastAsia="en-AU"/>
        </w:rPr>
        <w:t>New</w:t>
      </w:r>
      <w:r w:rsidR="005D5532" w:rsidRPr="00FE7C25">
        <w:rPr>
          <w:bCs/>
          <w:i/>
          <w:lang w:eastAsia="en-AU"/>
        </w:rPr>
        <w:t xml:space="preserve"> </w:t>
      </w:r>
      <w:r w:rsidRPr="00FE7C25">
        <w:rPr>
          <w:bCs/>
          <w:i/>
          <w:lang w:eastAsia="en-AU"/>
        </w:rPr>
        <w:t>Taxation</w:t>
      </w:r>
      <w:r w:rsidR="005D5532" w:rsidRPr="00FE7C25">
        <w:rPr>
          <w:bCs/>
          <w:i/>
          <w:lang w:eastAsia="en-AU"/>
        </w:rPr>
        <w:t xml:space="preserve"> </w:t>
      </w:r>
      <w:r w:rsidRPr="00FE7C25">
        <w:rPr>
          <w:bCs/>
          <w:i/>
          <w:lang w:eastAsia="en-AU"/>
        </w:rPr>
        <w:t>System</w:t>
      </w:r>
      <w:r w:rsidR="005D5532" w:rsidRPr="00FE7C25">
        <w:rPr>
          <w:bCs/>
          <w:i/>
          <w:lang w:eastAsia="en-AU"/>
        </w:rPr>
        <w:t xml:space="preserve"> </w:t>
      </w:r>
      <w:r w:rsidRPr="00FE7C25">
        <w:rPr>
          <w:bCs/>
          <w:i/>
          <w:lang w:eastAsia="en-AU"/>
        </w:rPr>
        <w:t>(Goods</w:t>
      </w:r>
      <w:r w:rsidR="005D5532" w:rsidRPr="00FE7C25">
        <w:rPr>
          <w:bCs/>
          <w:i/>
          <w:lang w:eastAsia="en-AU"/>
        </w:rPr>
        <w:t xml:space="preserve"> </w:t>
      </w:r>
      <w:r w:rsidRPr="00FE7C25">
        <w:rPr>
          <w:bCs/>
          <w:i/>
          <w:lang w:eastAsia="en-AU"/>
        </w:rPr>
        <w:t>and</w:t>
      </w:r>
      <w:r w:rsidR="005D5532" w:rsidRPr="00FE7C25">
        <w:rPr>
          <w:bCs/>
          <w:i/>
          <w:lang w:eastAsia="en-AU"/>
        </w:rPr>
        <w:t xml:space="preserve"> </w:t>
      </w:r>
      <w:r w:rsidRPr="00FE7C25">
        <w:rPr>
          <w:bCs/>
          <w:i/>
          <w:lang w:eastAsia="en-AU"/>
        </w:rPr>
        <w:t>Services</w:t>
      </w:r>
      <w:r w:rsidR="005D5532" w:rsidRPr="00FE7C25">
        <w:rPr>
          <w:bCs/>
          <w:i/>
          <w:lang w:eastAsia="en-AU"/>
        </w:rPr>
        <w:t xml:space="preserve"> </w:t>
      </w:r>
      <w:r w:rsidRPr="00FE7C25">
        <w:rPr>
          <w:bCs/>
          <w:i/>
          <w:lang w:eastAsia="en-AU"/>
        </w:rPr>
        <w:t>Tax)</w:t>
      </w:r>
      <w:r w:rsidR="005D5532" w:rsidRPr="00FE7C25">
        <w:rPr>
          <w:bCs/>
          <w:i/>
          <w:lang w:eastAsia="en-AU"/>
        </w:rPr>
        <w:t xml:space="preserve"> </w:t>
      </w:r>
      <w:r w:rsidRPr="00FE7C25">
        <w:rPr>
          <w:bCs/>
          <w:i/>
          <w:lang w:eastAsia="en-AU"/>
        </w:rPr>
        <w:t>1999</w:t>
      </w:r>
      <w:r w:rsidR="005D5532" w:rsidRPr="00FE7C25">
        <w:rPr>
          <w:bCs/>
          <w:i/>
          <w:lang w:eastAsia="en-AU"/>
        </w:rPr>
        <w:t xml:space="preserve"> </w:t>
      </w:r>
      <w:r w:rsidRPr="00FE7C25">
        <w:rPr>
          <w:bCs/>
          <w:i/>
          <w:lang w:eastAsia="en-AU"/>
        </w:rPr>
        <w:t>(</w:t>
      </w:r>
      <w:proofErr w:type="spellStart"/>
      <w:r w:rsidRPr="00FE7C25">
        <w:rPr>
          <w:bCs/>
          <w:i/>
          <w:lang w:eastAsia="en-AU"/>
        </w:rPr>
        <w:t>Cth</w:t>
      </w:r>
      <w:proofErr w:type="spellEnd"/>
      <w:r w:rsidRPr="00FE7C25">
        <w:rPr>
          <w:bCs/>
          <w:i/>
          <w:lang w:eastAsia="en-AU"/>
        </w:rPr>
        <w:t>)</w:t>
      </w:r>
      <w:r w:rsidRPr="00FE7C25">
        <w:rPr>
          <w:i/>
          <w:iCs/>
          <w:lang w:eastAsia="en-AU"/>
        </w:rPr>
        <w:t>.</w:t>
      </w:r>
    </w:p>
    <w:p w14:paraId="6D8DBE7A"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agree</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that:</w:t>
      </w:r>
    </w:p>
    <w:p w14:paraId="71D132DF"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agrees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notify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ceases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ceases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satisfy</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Ruling</w:t>
      </w:r>
      <w:r w:rsidR="005D5532" w:rsidRPr="00276391">
        <w:rPr>
          <w:rFonts w:cs="Arial"/>
          <w:lang w:eastAsia="en-AU"/>
        </w:rPr>
        <w:t xml:space="preserve"> </w:t>
      </w:r>
      <w:r w:rsidRPr="00276391">
        <w:rPr>
          <w:rFonts w:cs="Arial"/>
          <w:lang w:eastAsia="en-AU"/>
        </w:rPr>
        <w:t>GSTR</w:t>
      </w:r>
      <w:r w:rsidR="005D5532" w:rsidRPr="00276391">
        <w:rPr>
          <w:rFonts w:cs="Arial"/>
          <w:lang w:eastAsia="en-AU"/>
        </w:rPr>
        <w:t xml:space="preserve"> </w:t>
      </w:r>
      <w:r w:rsidRPr="00276391">
        <w:rPr>
          <w:rFonts w:cs="Arial"/>
          <w:lang w:eastAsia="en-AU"/>
        </w:rPr>
        <w:t>2000/10</w:t>
      </w:r>
      <w:r w:rsidR="005D5532" w:rsidRPr="00276391">
        <w:rPr>
          <w:rFonts w:cs="Arial"/>
          <w:lang w:eastAsia="en-AU"/>
        </w:rPr>
        <w:t xml:space="preserve"> </w:t>
      </w:r>
    </w:p>
    <w:p w14:paraId="01998C3A"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comply</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obligations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taxation</w:t>
      </w:r>
      <w:r w:rsidR="005D5532" w:rsidRPr="00276391">
        <w:rPr>
          <w:rFonts w:cs="Arial"/>
          <w:lang w:eastAsia="en-AU"/>
        </w:rPr>
        <w:t xml:space="preserve"> </w:t>
      </w:r>
      <w:r w:rsidRPr="00276391">
        <w:rPr>
          <w:rFonts w:cs="Arial"/>
          <w:lang w:eastAsia="en-AU"/>
        </w:rPr>
        <w:t>laws</w:t>
      </w:r>
      <w:r w:rsidR="005D5532" w:rsidRPr="00276391">
        <w:rPr>
          <w:rFonts w:cs="Arial"/>
          <w:lang w:eastAsia="en-AU"/>
        </w:rPr>
        <w:t xml:space="preserve"> </w:t>
      </w:r>
    </w:p>
    <w:p w14:paraId="7AA5403E"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can</w:t>
      </w:r>
      <w:r w:rsidR="005D5532" w:rsidRPr="00276391">
        <w:rPr>
          <w:rFonts w:cs="Arial"/>
          <w:lang w:eastAsia="en-AU"/>
        </w:rPr>
        <w:t xml:space="preserve"> </w:t>
      </w:r>
      <w:r w:rsidRPr="00276391">
        <w:rPr>
          <w:rFonts w:cs="Arial"/>
          <w:lang w:eastAsia="en-AU"/>
        </w:rPr>
        <w:t>issue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RCTI</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respect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taxable</w:t>
      </w:r>
      <w:r w:rsidR="005D5532" w:rsidRPr="00276391">
        <w:rPr>
          <w:rFonts w:cs="Arial"/>
          <w:lang w:eastAsia="en-AU"/>
        </w:rPr>
        <w:t xml:space="preserve"> </w:t>
      </w:r>
      <w:r w:rsidRPr="00276391">
        <w:rPr>
          <w:rFonts w:cs="Arial"/>
          <w:lang w:eastAsia="en-AU"/>
        </w:rPr>
        <w:t>supply</w:t>
      </w:r>
      <w:r w:rsidR="005D5532" w:rsidRPr="00276391">
        <w:rPr>
          <w:rFonts w:cs="Arial"/>
          <w:lang w:eastAsia="en-AU"/>
        </w:rPr>
        <w:t xml:space="preserve"> </w:t>
      </w:r>
      <w:r w:rsidRPr="00276391">
        <w:rPr>
          <w:rFonts w:cs="Arial"/>
          <w:lang w:eastAsia="en-AU"/>
        </w:rPr>
        <w:t>made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goods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provide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copy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each</w:t>
      </w:r>
      <w:r w:rsidR="005D5532" w:rsidRPr="00276391">
        <w:rPr>
          <w:rFonts w:cs="Arial"/>
          <w:lang w:eastAsia="en-AU"/>
        </w:rPr>
        <w:t xml:space="preserve"> </w:t>
      </w:r>
      <w:r w:rsidRPr="00276391">
        <w:rPr>
          <w:rFonts w:cs="Arial"/>
          <w:lang w:eastAsia="en-AU"/>
        </w:rPr>
        <w:t>RCTI</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retain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original</w:t>
      </w:r>
      <w:r w:rsidR="005D5532" w:rsidRPr="00276391">
        <w:rPr>
          <w:rFonts w:cs="Arial"/>
          <w:lang w:eastAsia="en-AU"/>
        </w:rPr>
        <w:t xml:space="preserve"> </w:t>
      </w:r>
    </w:p>
    <w:p w14:paraId="309E8D0D" w14:textId="77777777" w:rsidR="00236748" w:rsidRPr="00276391" w:rsidRDefault="00236748" w:rsidP="00276391">
      <w:pPr>
        <w:pStyle w:val="DHHSbullet1"/>
        <w:rPr>
          <w:rFonts w:cs="Arial"/>
          <w:lang w:eastAsia="en-AU"/>
        </w:rPr>
      </w:pPr>
      <w:r w:rsidRPr="00276391">
        <w:rPr>
          <w:rFonts w:cs="Arial"/>
          <w:lang w:eastAsia="en-AU"/>
        </w:rPr>
        <w:t>where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adjustment</w:t>
      </w:r>
      <w:r w:rsidR="005D5532" w:rsidRPr="00276391">
        <w:rPr>
          <w:rFonts w:cs="Arial"/>
          <w:lang w:eastAsia="en-AU"/>
        </w:rPr>
        <w:t xml:space="preserve"> </w:t>
      </w:r>
      <w:r w:rsidRPr="00276391">
        <w:rPr>
          <w:rFonts w:cs="Arial"/>
          <w:lang w:eastAsia="en-AU"/>
        </w:rPr>
        <w:t>needs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done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relation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issue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copy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each</w:t>
      </w:r>
      <w:r w:rsidR="005D5532" w:rsidRPr="00276391">
        <w:rPr>
          <w:rFonts w:cs="Arial"/>
          <w:lang w:eastAsia="en-AU"/>
        </w:rPr>
        <w:t xml:space="preserve"> </w:t>
      </w:r>
      <w:r w:rsidRPr="00276391">
        <w:rPr>
          <w:rFonts w:cs="Arial"/>
          <w:lang w:eastAsia="en-AU"/>
        </w:rPr>
        <w:t>adjustment</w:t>
      </w:r>
      <w:r w:rsidR="005D5532" w:rsidRPr="00276391">
        <w:rPr>
          <w:rFonts w:cs="Arial"/>
          <w:lang w:eastAsia="en-AU"/>
        </w:rPr>
        <w:t xml:space="preserve"> </w:t>
      </w:r>
      <w:r w:rsidRPr="00276391">
        <w:rPr>
          <w:rFonts w:cs="Arial"/>
          <w:lang w:eastAsia="en-AU"/>
        </w:rPr>
        <w:t>note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retain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original</w:t>
      </w:r>
      <w:r w:rsidR="005D5532" w:rsidRPr="00276391">
        <w:rPr>
          <w:rFonts w:cs="Arial"/>
          <w:lang w:eastAsia="en-AU"/>
        </w:rPr>
        <w:t xml:space="preserve"> </w:t>
      </w:r>
    </w:p>
    <w:p w14:paraId="4D95FAC6"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issue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document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would</w:t>
      </w:r>
      <w:r w:rsidR="005D5532" w:rsidRPr="00276391">
        <w:rPr>
          <w:rFonts w:cs="Arial"/>
          <w:lang w:eastAsia="en-AU"/>
        </w:rPr>
        <w:t xml:space="preserve"> </w:t>
      </w:r>
      <w:r w:rsidRPr="00276391">
        <w:rPr>
          <w:rFonts w:cs="Arial"/>
          <w:lang w:eastAsia="en-AU"/>
        </w:rPr>
        <w:t>otherwise</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RCTI,</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after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date</w:t>
      </w:r>
      <w:r w:rsidR="005D5532" w:rsidRPr="00276391">
        <w:rPr>
          <w:rFonts w:cs="Arial"/>
          <w:lang w:eastAsia="en-AU"/>
        </w:rPr>
        <w:t xml:space="preserve"> </w:t>
      </w:r>
      <w:r w:rsidRPr="00276391">
        <w:rPr>
          <w:rFonts w:cs="Arial"/>
          <w:lang w:eastAsia="en-AU"/>
        </w:rPr>
        <w:t>when</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ceased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satisfy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requirements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Ruling</w:t>
      </w:r>
      <w:r w:rsidR="005D5532" w:rsidRPr="00276391">
        <w:rPr>
          <w:rFonts w:cs="Arial"/>
          <w:lang w:eastAsia="en-AU"/>
        </w:rPr>
        <w:t xml:space="preserve"> </w:t>
      </w:r>
      <w:r w:rsidRPr="00276391">
        <w:rPr>
          <w:rFonts w:cs="Arial"/>
          <w:lang w:eastAsia="en-AU"/>
        </w:rPr>
        <w:t>GSTR</w:t>
      </w:r>
      <w:r w:rsidR="005D5532" w:rsidRPr="00276391">
        <w:rPr>
          <w:rFonts w:cs="Arial"/>
          <w:lang w:eastAsia="en-AU"/>
        </w:rPr>
        <w:t xml:space="preserve"> </w:t>
      </w:r>
      <w:r w:rsidRPr="00276391">
        <w:rPr>
          <w:rFonts w:cs="Arial"/>
          <w:lang w:eastAsia="en-AU"/>
        </w:rPr>
        <w:t>2000/10</w:t>
      </w:r>
      <w:r w:rsidR="005D5532" w:rsidRPr="00276391">
        <w:rPr>
          <w:rFonts w:cs="Arial"/>
          <w:lang w:eastAsia="en-AU"/>
        </w:rPr>
        <w:t xml:space="preserve"> </w:t>
      </w:r>
    </w:p>
    <w:p w14:paraId="0DC2499C"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issue</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invoices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respect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taxable</w:t>
      </w:r>
      <w:r w:rsidR="005D5532" w:rsidRPr="00276391">
        <w:rPr>
          <w:rFonts w:cs="Arial"/>
          <w:lang w:eastAsia="en-AU"/>
        </w:rPr>
        <w:t xml:space="preserve"> </w:t>
      </w:r>
      <w:r w:rsidRPr="00276391">
        <w:rPr>
          <w:rFonts w:cs="Arial"/>
          <w:lang w:eastAsia="en-AU"/>
        </w:rPr>
        <w:t>supplies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goods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p>
    <w:p w14:paraId="718EAAAE"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acknowledges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active</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agrees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notify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seven</w:t>
      </w:r>
      <w:r w:rsidR="005D5532" w:rsidRPr="00276391">
        <w:rPr>
          <w:rFonts w:cs="Arial"/>
          <w:lang w:eastAsia="en-AU"/>
        </w:rPr>
        <w:t xml:space="preserve"> </w:t>
      </w:r>
      <w:r w:rsidRPr="00276391">
        <w:rPr>
          <w:rFonts w:cs="Arial"/>
          <w:lang w:eastAsia="en-AU"/>
        </w:rPr>
        <w:t>days</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ceases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p>
    <w:p w14:paraId="0936BA38"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RCTI</w:t>
      </w:r>
      <w:r w:rsidR="005D5532" w:rsidRPr="00B24C02">
        <w:rPr>
          <w:rFonts w:cs="Arial"/>
          <w:color w:val="000000"/>
          <w:szCs w:val="19"/>
          <w:lang w:eastAsia="en-AU"/>
        </w:rPr>
        <w:t xml:space="preserve"> </w:t>
      </w:r>
      <w:r w:rsidRPr="00B24C02">
        <w:rPr>
          <w:rFonts w:cs="Arial"/>
          <w:color w:val="000000"/>
          <w:szCs w:val="19"/>
          <w:lang w:eastAsia="en-AU"/>
        </w:rPr>
        <w:t>arrangement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unable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implemented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ceases,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processed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issue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tax</w:t>
      </w:r>
      <w:r w:rsidR="005D5532" w:rsidRPr="00B24C02">
        <w:rPr>
          <w:rFonts w:cs="Arial"/>
          <w:color w:val="000000"/>
          <w:szCs w:val="19"/>
          <w:lang w:eastAsia="en-AU"/>
        </w:rPr>
        <w:t xml:space="preserve"> </w:t>
      </w:r>
      <w:r w:rsidRPr="00B24C02">
        <w:rPr>
          <w:rFonts w:cs="Arial"/>
          <w:color w:val="000000"/>
          <w:szCs w:val="19"/>
          <w:lang w:eastAsia="en-AU"/>
        </w:rPr>
        <w:t>invoice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respect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taxable</w:t>
      </w:r>
      <w:r w:rsidR="005D5532" w:rsidRPr="00B24C02">
        <w:rPr>
          <w:rFonts w:cs="Arial"/>
          <w:color w:val="000000"/>
          <w:szCs w:val="19"/>
          <w:lang w:eastAsia="en-AU"/>
        </w:rPr>
        <w:t xml:space="preserve"> </w:t>
      </w:r>
      <w:r w:rsidRPr="00B24C02">
        <w:rPr>
          <w:rFonts w:cs="Arial"/>
          <w:color w:val="000000"/>
          <w:szCs w:val="19"/>
          <w:lang w:eastAsia="en-AU"/>
        </w:rPr>
        <w:t>supply</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p>
    <w:p w14:paraId="1392A421" w14:textId="77777777" w:rsidR="00236748" w:rsidRPr="00276391" w:rsidRDefault="00236748" w:rsidP="00276391">
      <w:pPr>
        <w:pStyle w:val="DHHSbody"/>
        <w:rPr>
          <w:lang w:eastAsia="en-AU"/>
        </w:rPr>
      </w:pPr>
      <w:r w:rsidRPr="00276391">
        <w:rPr>
          <w:lang w:eastAsia="en-AU"/>
        </w:rPr>
        <w:t>Any</w:t>
      </w:r>
      <w:r w:rsidR="005D5532" w:rsidRPr="00276391">
        <w:rPr>
          <w:lang w:eastAsia="en-AU"/>
        </w:rPr>
        <w:t xml:space="preserve"> </w:t>
      </w:r>
      <w:r w:rsidRPr="00276391">
        <w:rPr>
          <w:lang w:eastAsia="en-AU"/>
        </w:rPr>
        <w:t>repayment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subject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invoice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accompanied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adjustment</w:t>
      </w:r>
      <w:r w:rsidR="005D5532" w:rsidRPr="00276391">
        <w:rPr>
          <w:lang w:eastAsia="en-AU"/>
        </w:rPr>
        <w:t xml:space="preserve"> </w:t>
      </w:r>
      <w:r w:rsidRPr="00276391">
        <w:rPr>
          <w:lang w:eastAsia="en-AU"/>
        </w:rPr>
        <w:t>note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p>
    <w:p w14:paraId="7BAF38C9"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previously</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RCTI</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Recipient</w:t>
      </w:r>
      <w:r w:rsidR="005D5532" w:rsidRPr="00276391">
        <w:rPr>
          <w:lang w:eastAsia="en-AU"/>
        </w:rPr>
        <w:t xml:space="preserve"> </w:t>
      </w:r>
      <w:r w:rsidRPr="00276391">
        <w:rPr>
          <w:lang w:eastAsia="en-AU"/>
        </w:rPr>
        <w:t>Created</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adjustment</w:t>
      </w:r>
      <w:r w:rsidR="005D5532" w:rsidRPr="00276391">
        <w:rPr>
          <w:lang w:eastAsia="en-AU"/>
        </w:rPr>
        <w:t xml:space="preserve"> </w:t>
      </w:r>
      <w:r w:rsidRPr="00276391">
        <w:rPr>
          <w:lang w:eastAsia="en-AU"/>
        </w:rPr>
        <w:t>note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respect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repayment</w:t>
      </w:r>
    </w:p>
    <w:p w14:paraId="0C227D12" w14:textId="77777777" w:rsidR="00236748" w:rsidRPr="00276391" w:rsidRDefault="00236748" w:rsidP="00417439">
      <w:pPr>
        <w:pStyle w:val="DHHSbodyBold"/>
        <w:rPr>
          <w:lang w:eastAsia="en-AU"/>
        </w:rPr>
      </w:pPr>
      <w:bookmarkStart w:id="283" w:name="_Toc478991783"/>
      <w:r w:rsidRPr="00276391">
        <w:rPr>
          <w:lang w:eastAsia="en-AU"/>
        </w:rPr>
        <w:t>Change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status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bookmarkEnd w:id="283"/>
    </w:p>
    <w:p w14:paraId="2224CD5E"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status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during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notify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seven</w:t>
      </w:r>
      <w:r w:rsidR="005D5532" w:rsidRPr="00B24C02">
        <w:rPr>
          <w:rFonts w:cs="Arial"/>
          <w:color w:val="000000"/>
          <w:szCs w:val="19"/>
          <w:lang w:eastAsia="en-AU"/>
        </w:rPr>
        <w:t xml:space="preserve"> </w:t>
      </w:r>
      <w:r w:rsidRPr="00B24C02">
        <w:rPr>
          <w:rFonts w:cs="Arial"/>
          <w:color w:val="000000"/>
          <w:szCs w:val="19"/>
          <w:lang w:eastAsia="en-AU"/>
        </w:rPr>
        <w:t>(7)</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change.</w:t>
      </w:r>
    </w:p>
    <w:p w14:paraId="78E760F8" w14:textId="77777777" w:rsidR="00236748" w:rsidRPr="00276391"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context</w:t>
      </w:r>
      <w:r w:rsidR="005D5532" w:rsidRPr="00276391">
        <w:rPr>
          <w:lang w:eastAsia="en-AU"/>
        </w:rPr>
        <w:t xml:space="preserve"> </w:t>
      </w:r>
      <w:r w:rsidRPr="00276391">
        <w:rPr>
          <w:lang w:eastAsia="en-AU"/>
        </w:rPr>
        <w:t>would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becoming</w:t>
      </w:r>
      <w:r w:rsidR="005D5532" w:rsidRPr="00276391">
        <w:rPr>
          <w:lang w:eastAsia="en-AU"/>
        </w:rPr>
        <w:t xml:space="preserve"> </w:t>
      </w:r>
      <w:r w:rsidRPr="00276391">
        <w:rPr>
          <w:lang w:eastAsia="en-AU"/>
        </w:rPr>
        <w:t>registered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deregistered</w:t>
      </w:r>
      <w:r w:rsidR="005D5532" w:rsidRPr="00276391">
        <w:rPr>
          <w:lang w:eastAsia="en-AU"/>
        </w:rPr>
        <w:t xml:space="preserve"> </w:t>
      </w:r>
      <w:r w:rsidRPr="00276391">
        <w:rPr>
          <w:lang w:eastAsia="en-AU"/>
        </w:rPr>
        <w:t>for</w:t>
      </w:r>
      <w:r w:rsidR="005D5532" w:rsidRPr="00276391">
        <w:rPr>
          <w:lang w:eastAsia="en-AU"/>
        </w:rPr>
        <w:t xml:space="preserve"> </w:t>
      </w:r>
      <w:proofErr w:type="gramStart"/>
      <w:r w:rsidRPr="00276391">
        <w:rPr>
          <w:lang w:eastAsia="en-AU"/>
        </w:rPr>
        <w:t>GST,</w:t>
      </w:r>
      <w:r w:rsidR="005D5532" w:rsidRPr="00276391">
        <w:rPr>
          <w:lang w:eastAsia="en-AU"/>
        </w:rPr>
        <w:t xml:space="preserve"> </w:t>
      </w:r>
      <w:r w:rsidRPr="00276391">
        <w:rPr>
          <w:lang w:eastAsia="en-AU"/>
        </w:rPr>
        <w:t>or</w:t>
      </w:r>
      <w:proofErr w:type="gramEnd"/>
      <w:r w:rsidR="005D5532" w:rsidRPr="00276391">
        <w:rPr>
          <w:lang w:eastAsia="en-AU"/>
        </w:rPr>
        <w:t xml:space="preserve"> </w:t>
      </w:r>
      <w:r w:rsidRPr="00276391">
        <w:rPr>
          <w:lang w:eastAsia="en-AU"/>
        </w:rPr>
        <w:t>ceasing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active</w:t>
      </w:r>
      <w:r w:rsidR="005D5532" w:rsidRPr="00276391">
        <w:rPr>
          <w:lang w:eastAsia="en-AU"/>
        </w:rPr>
        <w:t xml:space="preserve"> </w:t>
      </w:r>
      <w:r w:rsidRPr="00276391">
        <w:rPr>
          <w:lang w:eastAsia="en-AU"/>
        </w:rPr>
        <w:t>ABN.</w:t>
      </w:r>
    </w:p>
    <w:p w14:paraId="5F7FF16B" w14:textId="78FBE737" w:rsidR="00236748" w:rsidRPr="00276391" w:rsidRDefault="00236748" w:rsidP="00417439">
      <w:pPr>
        <w:pStyle w:val="DHHSbodyBold"/>
        <w:rPr>
          <w:lang w:eastAsia="en-AU"/>
        </w:rPr>
      </w:pPr>
      <w:bookmarkStart w:id="284" w:name="_Toc478991784"/>
      <w:r w:rsidRPr="00276391">
        <w:rPr>
          <w:lang w:eastAsia="en-AU"/>
        </w:rPr>
        <w:t>Presentation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bookmarkEnd w:id="284"/>
    </w:p>
    <w:p w14:paraId="4A5D824B" w14:textId="65592F9A"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set</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document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exclusive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payable,</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added</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rate</w:t>
      </w:r>
      <w:r w:rsidR="005D5532" w:rsidRPr="00B24C02">
        <w:rPr>
          <w:rFonts w:cs="Arial"/>
          <w:color w:val="000000"/>
          <w:szCs w:val="19"/>
          <w:lang w:eastAsia="en-AU"/>
        </w:rPr>
        <w:t xml:space="preserve"> </w:t>
      </w:r>
      <w:r w:rsidRPr="00B24C02">
        <w:rPr>
          <w:rFonts w:cs="Arial"/>
          <w:color w:val="000000"/>
          <w:szCs w:val="19"/>
          <w:lang w:eastAsia="en-AU"/>
        </w:rPr>
        <w:t>(currently</w:t>
      </w:r>
      <w:r w:rsidR="005D5532" w:rsidRPr="00B24C02">
        <w:rPr>
          <w:rFonts w:cs="Arial"/>
          <w:color w:val="000000"/>
          <w:szCs w:val="19"/>
          <w:lang w:eastAsia="en-AU"/>
        </w:rPr>
        <w:t xml:space="preserve"> </w:t>
      </w:r>
      <w:r w:rsidRPr="00B24C02">
        <w:rPr>
          <w:rFonts w:cs="Arial"/>
          <w:color w:val="000000"/>
          <w:szCs w:val="19"/>
          <w:lang w:eastAsia="en-AU"/>
        </w:rPr>
        <w:t>10</w:t>
      </w:r>
      <w:r w:rsidR="005D5532" w:rsidRPr="00B24C02">
        <w:rPr>
          <w:rFonts w:cs="Arial"/>
          <w:color w:val="000000"/>
          <w:szCs w:val="19"/>
          <w:lang w:eastAsia="en-AU"/>
        </w:rPr>
        <w:t xml:space="preserve"> </w:t>
      </w:r>
      <w:r w:rsidRPr="00B24C02">
        <w:rPr>
          <w:rFonts w:cs="Arial"/>
          <w:color w:val="000000"/>
          <w:szCs w:val="19"/>
          <w:lang w:eastAsia="en-AU"/>
        </w:rPr>
        <w:t>per</w:t>
      </w:r>
      <w:r w:rsidR="005D5532" w:rsidRPr="00B24C02">
        <w:rPr>
          <w:rFonts w:cs="Arial"/>
          <w:color w:val="000000"/>
          <w:szCs w:val="19"/>
          <w:lang w:eastAsia="en-AU"/>
        </w:rPr>
        <w:t xml:space="preserve"> </w:t>
      </w:r>
      <w:r w:rsidRPr="00B24C02">
        <w:rPr>
          <w:rFonts w:cs="Arial"/>
          <w:color w:val="000000"/>
          <w:szCs w:val="19"/>
          <w:lang w:eastAsia="en-AU"/>
        </w:rPr>
        <w:t>cent)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scheduled</w:t>
      </w:r>
      <w:r w:rsidR="005D5532" w:rsidRPr="00B24C02">
        <w:rPr>
          <w:rFonts w:cs="Arial"/>
          <w:color w:val="000000"/>
          <w:szCs w:val="19"/>
          <w:lang w:eastAsia="en-AU"/>
        </w:rPr>
        <w:t xml:space="preserve"> </w:t>
      </w:r>
      <w:r w:rsidRPr="00B24C02">
        <w:rPr>
          <w:rFonts w:cs="Arial"/>
          <w:color w:val="000000"/>
          <w:szCs w:val="19"/>
          <w:lang w:eastAsia="en-AU"/>
        </w:rPr>
        <w:t>payments</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time</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actually</w:t>
      </w:r>
      <w:r w:rsidR="005D5532" w:rsidRPr="00B24C02">
        <w:rPr>
          <w:rFonts w:cs="Arial"/>
          <w:color w:val="000000"/>
          <w:szCs w:val="19"/>
          <w:lang w:eastAsia="en-AU"/>
        </w:rPr>
        <w:t xml:space="preserve"> </w:t>
      </w:r>
      <w:r w:rsidRPr="00B24C02">
        <w:rPr>
          <w:rFonts w:cs="Arial"/>
          <w:color w:val="000000"/>
          <w:szCs w:val="19"/>
          <w:lang w:eastAsia="en-AU"/>
        </w:rPr>
        <w:t>made.</w:t>
      </w:r>
    </w:p>
    <w:p w14:paraId="005C4AB8" w14:textId="77777777" w:rsidR="00236748" w:rsidRPr="00276391" w:rsidRDefault="00236748" w:rsidP="00276391">
      <w:pPr>
        <w:pStyle w:val="DHHSbody"/>
        <w:rPr>
          <w:lang w:eastAsia="en-AU"/>
        </w:rPr>
      </w:pPr>
      <w:r w:rsidRPr="00276391">
        <w:rPr>
          <w:lang w:eastAsia="en-AU"/>
        </w:rPr>
        <w:lastRenderedPageBreak/>
        <w:t>This</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transparent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separate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component.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enables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immediately</w:t>
      </w:r>
      <w:r w:rsidR="005D5532" w:rsidRPr="00276391">
        <w:rPr>
          <w:lang w:eastAsia="en-AU"/>
        </w:rPr>
        <w:t xml:space="preserve"> </w:t>
      </w:r>
      <w:r w:rsidRPr="00276391">
        <w:rPr>
          <w:lang w:eastAsia="en-AU"/>
        </w:rPr>
        <w:t>identify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component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remitted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ATO.</w:t>
      </w:r>
    </w:p>
    <w:p w14:paraId="6FAB35A7" w14:textId="77777777" w:rsidR="00236748" w:rsidRPr="00276391" w:rsidRDefault="00236748" w:rsidP="00417439">
      <w:pPr>
        <w:pStyle w:val="DHHSbodyBold"/>
        <w:rPr>
          <w:lang w:eastAsia="en-AU"/>
        </w:rPr>
      </w:pPr>
      <w:bookmarkStart w:id="285" w:name="_Toc478991785"/>
      <w:r w:rsidRPr="00276391">
        <w:rPr>
          <w:lang w:eastAsia="en-AU"/>
        </w:rPr>
        <w:t>Furth</w:t>
      </w:r>
      <w:r w:rsidRPr="009D4D32">
        <w:t>e</w:t>
      </w:r>
      <w:r w:rsidRPr="00276391">
        <w:rPr>
          <w:lang w:eastAsia="en-AU"/>
        </w:rPr>
        <w:t>r</w:t>
      </w:r>
      <w:r w:rsidR="005D5532" w:rsidRPr="00276391">
        <w:rPr>
          <w:lang w:eastAsia="en-AU"/>
        </w:rPr>
        <w:t xml:space="preserve"> </w:t>
      </w:r>
      <w:r w:rsidRPr="00276391">
        <w:rPr>
          <w:lang w:eastAsia="en-AU"/>
        </w:rPr>
        <w:t>information</w:t>
      </w:r>
      <w:bookmarkEnd w:id="285"/>
    </w:p>
    <w:p w14:paraId="16364C72"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i/>
          <w:iCs/>
          <w:color w:val="000000"/>
          <w:szCs w:val="19"/>
          <w:lang w:eastAsia="en-AU"/>
        </w:rPr>
        <w:t>A</w:t>
      </w:r>
      <w:r w:rsidR="005D5532" w:rsidRPr="00B24C02">
        <w:rPr>
          <w:rFonts w:cs="Arial"/>
          <w:i/>
          <w:iCs/>
          <w:color w:val="000000"/>
          <w:szCs w:val="19"/>
          <w:lang w:eastAsia="en-AU"/>
        </w:rPr>
        <w:t xml:space="preserve"> </w:t>
      </w:r>
      <w:r w:rsidRPr="00B24C02">
        <w:rPr>
          <w:rFonts w:cs="Arial"/>
          <w:i/>
          <w:iCs/>
          <w:color w:val="000000"/>
          <w:szCs w:val="19"/>
          <w:lang w:eastAsia="en-AU"/>
        </w:rPr>
        <w:t>New</w:t>
      </w:r>
      <w:r w:rsidR="005D5532" w:rsidRPr="00B24C02">
        <w:rPr>
          <w:rFonts w:cs="Arial"/>
          <w:i/>
          <w:iCs/>
          <w:color w:val="000000"/>
          <w:szCs w:val="19"/>
          <w:lang w:eastAsia="en-AU"/>
        </w:rPr>
        <w:t xml:space="preserve"> </w:t>
      </w:r>
      <w:r w:rsidRPr="00B24C02">
        <w:rPr>
          <w:rFonts w:cs="Arial"/>
          <w:i/>
          <w:iCs/>
          <w:color w:val="000000"/>
          <w:szCs w:val="19"/>
          <w:lang w:eastAsia="en-AU"/>
        </w:rPr>
        <w:t>Taxation</w:t>
      </w:r>
      <w:r w:rsidR="005D5532" w:rsidRPr="00B24C02">
        <w:rPr>
          <w:rFonts w:cs="Arial"/>
          <w:i/>
          <w:iCs/>
          <w:color w:val="000000"/>
          <w:szCs w:val="19"/>
          <w:lang w:eastAsia="en-AU"/>
        </w:rPr>
        <w:t xml:space="preserve"> </w:t>
      </w:r>
      <w:r w:rsidRPr="00B24C02">
        <w:rPr>
          <w:rFonts w:cs="Arial"/>
          <w:i/>
          <w:iCs/>
          <w:color w:val="000000"/>
          <w:szCs w:val="19"/>
          <w:lang w:eastAsia="en-AU"/>
        </w:rPr>
        <w:t>System</w:t>
      </w:r>
      <w:r w:rsidR="005D5532" w:rsidRPr="00B24C02">
        <w:rPr>
          <w:rFonts w:cs="Arial"/>
          <w:i/>
          <w:iCs/>
          <w:color w:val="000000"/>
          <w:szCs w:val="19"/>
          <w:lang w:eastAsia="en-AU"/>
        </w:rPr>
        <w:t xml:space="preserve"> </w:t>
      </w:r>
      <w:r w:rsidRPr="00B24C02">
        <w:rPr>
          <w:rFonts w:cs="Arial"/>
          <w:i/>
          <w:iCs/>
          <w:color w:val="000000"/>
          <w:szCs w:val="19"/>
          <w:lang w:eastAsia="en-AU"/>
        </w:rPr>
        <w:t>(Goods</w:t>
      </w:r>
      <w:r w:rsidR="005D5532" w:rsidRPr="00B24C02">
        <w:rPr>
          <w:rFonts w:cs="Arial"/>
          <w:i/>
          <w:iCs/>
          <w:color w:val="000000"/>
          <w:szCs w:val="19"/>
          <w:lang w:eastAsia="en-AU"/>
        </w:rPr>
        <w:t xml:space="preserve"> </w:t>
      </w:r>
      <w:r w:rsidRPr="00B24C02">
        <w:rPr>
          <w:rFonts w:cs="Arial"/>
          <w:i/>
          <w:iCs/>
          <w:color w:val="000000"/>
          <w:szCs w:val="19"/>
          <w:lang w:eastAsia="en-AU"/>
        </w:rPr>
        <w:t>and</w:t>
      </w:r>
      <w:r w:rsidR="005D5532" w:rsidRPr="00B24C02">
        <w:rPr>
          <w:rFonts w:cs="Arial"/>
          <w:i/>
          <w:iCs/>
          <w:color w:val="000000"/>
          <w:szCs w:val="19"/>
          <w:lang w:eastAsia="en-AU"/>
        </w:rPr>
        <w:t xml:space="preserve"> </w:t>
      </w:r>
      <w:r w:rsidRPr="00B24C02">
        <w:rPr>
          <w:rFonts w:cs="Arial"/>
          <w:i/>
          <w:iCs/>
          <w:color w:val="000000"/>
          <w:szCs w:val="19"/>
          <w:lang w:eastAsia="en-AU"/>
        </w:rPr>
        <w:t>Services</w:t>
      </w:r>
      <w:r w:rsidR="005D5532" w:rsidRPr="00B24C02">
        <w:rPr>
          <w:rFonts w:cs="Arial"/>
          <w:i/>
          <w:iCs/>
          <w:color w:val="000000"/>
          <w:szCs w:val="19"/>
          <w:lang w:eastAsia="en-AU"/>
        </w:rPr>
        <w:t xml:space="preserve"> </w:t>
      </w:r>
      <w:r w:rsidRPr="00B24C02">
        <w:rPr>
          <w:rFonts w:cs="Arial"/>
          <w:i/>
          <w:iCs/>
          <w:color w:val="000000"/>
          <w:szCs w:val="19"/>
          <w:lang w:eastAsia="en-AU"/>
        </w:rPr>
        <w:t>Tax)</w:t>
      </w:r>
      <w:r w:rsidR="005D5532" w:rsidRPr="00B24C02">
        <w:rPr>
          <w:rFonts w:cs="Arial"/>
          <w:i/>
          <w:iCs/>
          <w:color w:val="000000"/>
          <w:szCs w:val="19"/>
          <w:lang w:eastAsia="en-AU"/>
        </w:rPr>
        <w:t xml:space="preserve"> </w:t>
      </w:r>
      <w:r w:rsidRPr="00B24C02">
        <w:rPr>
          <w:rFonts w:cs="Arial"/>
          <w:i/>
          <w:iCs/>
          <w:color w:val="000000"/>
          <w:szCs w:val="19"/>
          <w:lang w:eastAsia="en-AU"/>
        </w:rPr>
        <w:t>1999</w:t>
      </w:r>
      <w:r w:rsidR="005D5532" w:rsidRPr="00B24C02">
        <w:rPr>
          <w:rFonts w:cs="Arial"/>
          <w:i/>
          <w:iCs/>
          <w:color w:val="000000"/>
          <w:szCs w:val="19"/>
          <w:lang w:eastAsia="en-AU"/>
        </w:rPr>
        <w:t xml:space="preserve"> </w:t>
      </w:r>
      <w:r w:rsidRPr="00B24C02">
        <w:rPr>
          <w:rFonts w:cs="Arial"/>
          <w:i/>
          <w:iCs/>
          <w:color w:val="000000"/>
          <w:szCs w:val="19"/>
          <w:lang w:eastAsia="en-AU"/>
        </w:rPr>
        <w:t>(</w:t>
      </w:r>
      <w:proofErr w:type="spellStart"/>
      <w:r w:rsidRPr="00B24C02">
        <w:rPr>
          <w:rFonts w:cs="Arial"/>
          <w:i/>
          <w:iCs/>
          <w:color w:val="000000"/>
          <w:szCs w:val="19"/>
          <w:lang w:eastAsia="en-AU"/>
        </w:rPr>
        <w:t>Cth</w:t>
      </w:r>
      <w:proofErr w:type="spellEnd"/>
      <w:r w:rsidRPr="00B24C02">
        <w:rPr>
          <w:rFonts w:cs="Arial"/>
          <w:i/>
          <w:iCs/>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related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64" w:tgtFrame="_blank" w:tooltip="link to the Australian Taxation Office website" w:history="1">
        <w:r w:rsidRPr="00C94233">
          <w:rPr>
            <w:rStyle w:val="Hyperlink"/>
          </w:rPr>
          <w:t>Australian</w:t>
        </w:r>
        <w:r w:rsidR="005D5532" w:rsidRPr="00C94233">
          <w:rPr>
            <w:rStyle w:val="Hyperlink"/>
          </w:rPr>
          <w:t xml:space="preserve"> </w:t>
        </w:r>
        <w:r w:rsidRPr="00C94233">
          <w:rPr>
            <w:rStyle w:val="Hyperlink"/>
          </w:rPr>
          <w:t>Taxation</w:t>
        </w:r>
        <w:r w:rsidR="005D5532" w:rsidRPr="00C94233">
          <w:rPr>
            <w:rStyle w:val="Hyperlink"/>
          </w:rPr>
          <w:t xml:space="preserve"> </w:t>
        </w:r>
        <w:r w:rsidRPr="00C94233">
          <w:rPr>
            <w:rStyle w:val="Hyperlink"/>
          </w:rPr>
          <w:t>Office</w:t>
        </w:r>
      </w:hyperlink>
      <w:r w:rsidR="005D5532" w:rsidRPr="00B24C02">
        <w:rPr>
          <w:rFonts w:cs="Arial"/>
          <w:color w:val="000000"/>
          <w:szCs w:val="19"/>
          <w:lang w:eastAsia="en-AU"/>
        </w:rPr>
        <w:t xml:space="preserve"> </w:t>
      </w:r>
      <w:r w:rsidR="00B9231B">
        <w:rPr>
          <w:rFonts w:cs="Arial"/>
          <w:color w:val="000000"/>
          <w:szCs w:val="19"/>
          <w:lang w:eastAsia="en-AU"/>
        </w:rPr>
        <w:t>&lt;</w:t>
      </w:r>
      <w:r w:rsidR="00B9231B" w:rsidRPr="00B9231B">
        <w:rPr>
          <w:rFonts w:cs="Arial"/>
          <w:color w:val="000000"/>
          <w:szCs w:val="19"/>
          <w:lang w:eastAsia="en-AU"/>
        </w:rPr>
        <w:t>http://www.ato.gov.au/</w:t>
      </w:r>
      <w:r w:rsidR="00B9231B">
        <w:rPr>
          <w:rFonts w:cs="Arial"/>
          <w:color w:val="000000"/>
          <w:szCs w:val="19"/>
          <w:lang w:eastAsia="en-AU"/>
        </w:rPr>
        <w:t>&gt;</w:t>
      </w:r>
      <w:r w:rsidR="00B9231B" w:rsidRPr="00B9231B">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website</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GST</w:t>
      </w:r>
      <w:r w:rsidR="005D5532" w:rsidRPr="00B24C02">
        <w:rPr>
          <w:rFonts w:cs="Arial"/>
          <w:color w:val="000000"/>
          <w:szCs w:val="19"/>
          <w:lang w:eastAsia="en-AU"/>
        </w:rPr>
        <w:t xml:space="preserve"> </w:t>
      </w:r>
      <w:r w:rsidRPr="00B24C02">
        <w:rPr>
          <w:rFonts w:cs="Arial"/>
          <w:color w:val="000000"/>
          <w:szCs w:val="19"/>
          <w:lang w:eastAsia="en-AU"/>
        </w:rPr>
        <w:t>system.</w:t>
      </w:r>
    </w:p>
    <w:p w14:paraId="3C1F6E2E"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questions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relation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taxation</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seek</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advice.</w:t>
      </w:r>
    </w:p>
    <w:p w14:paraId="1CD2C077" w14:textId="77777777" w:rsidR="00236748" w:rsidRPr="00276391" w:rsidRDefault="00236748" w:rsidP="009D4D32">
      <w:pPr>
        <w:pStyle w:val="Heading3"/>
        <w:rPr>
          <w:lang w:eastAsia="en-AU"/>
        </w:rPr>
      </w:pPr>
      <w:bookmarkStart w:id="286" w:name="_3.4.4_Acknowledgement_and"/>
      <w:bookmarkStart w:id="287" w:name="_Toc478991786"/>
      <w:bookmarkStart w:id="288" w:name="_Toc478992368"/>
      <w:bookmarkStart w:id="289" w:name="_Toc4142044"/>
      <w:bookmarkEnd w:id="286"/>
      <w:r w:rsidRPr="00276391">
        <w:rPr>
          <w:lang w:eastAsia="en-AU"/>
        </w:rPr>
        <w:t>3.4.4</w:t>
      </w:r>
      <w:r w:rsidR="009B2351" w:rsidRPr="00276391">
        <w:rPr>
          <w:lang w:eastAsia="en-AU"/>
        </w:rPr>
        <w:t xml:space="preserve"> </w:t>
      </w:r>
      <w:r w:rsidRPr="00276391">
        <w:rPr>
          <w:lang w:eastAsia="en-AU"/>
        </w:rPr>
        <w:t>Acknowledgement</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Publicity</w:t>
      </w:r>
      <w:r w:rsidR="009B2351" w:rsidRPr="00276391">
        <w:rPr>
          <w:lang w:eastAsia="en-AU"/>
        </w:rPr>
        <w:t xml:space="preserve"> </w:t>
      </w:r>
      <w:r w:rsidRPr="00276391">
        <w:rPr>
          <w:lang w:eastAsia="en-AU"/>
        </w:rPr>
        <w:t>Guidelines</w:t>
      </w:r>
      <w:bookmarkEnd w:id="287"/>
      <w:bookmarkEnd w:id="288"/>
      <w:bookmarkEnd w:id="289"/>
      <w:r w:rsidR="009B2351" w:rsidRPr="00276391">
        <w:rPr>
          <w:lang w:eastAsia="en-AU"/>
        </w:rPr>
        <w:t xml:space="preserve"> </w:t>
      </w:r>
    </w:p>
    <w:p w14:paraId="5DFD3B56" w14:textId="6C380DD8" w:rsidR="00577C16" w:rsidRPr="00577C16" w:rsidRDefault="00577C16" w:rsidP="00577C16">
      <w:pPr>
        <w:spacing w:after="240"/>
        <w:rPr>
          <w:rFonts w:ascii="Arial" w:eastAsia="Times" w:hAnsi="Arial" w:cs="Arial"/>
          <w:color w:val="000000"/>
          <w:szCs w:val="19"/>
          <w:lang w:eastAsia="en-AU"/>
        </w:rPr>
      </w:pPr>
      <w:r w:rsidRPr="00577C16">
        <w:rPr>
          <w:rFonts w:ascii="Arial" w:eastAsia="Times" w:hAnsi="Arial" w:cs="Arial"/>
          <w:color w:val="000000"/>
          <w:szCs w:val="19"/>
          <w:lang w:eastAsia="en-AU"/>
        </w:rPr>
        <w:t xml:space="preserve">Organisations </w:t>
      </w:r>
      <w:r w:rsidR="00FE7C25">
        <w:rPr>
          <w:rFonts w:ascii="Arial" w:eastAsia="Times" w:hAnsi="Arial" w:cs="Arial"/>
          <w:color w:val="000000"/>
          <w:szCs w:val="19"/>
          <w:lang w:eastAsia="en-AU"/>
        </w:rPr>
        <w:t xml:space="preserve">are required </w:t>
      </w:r>
      <w:r w:rsidRPr="00577C16">
        <w:rPr>
          <w:rFonts w:ascii="Arial" w:eastAsia="Times" w:hAnsi="Arial" w:cs="Arial"/>
          <w:color w:val="000000"/>
          <w:szCs w:val="19"/>
          <w:lang w:eastAsia="en-AU"/>
        </w:rPr>
        <w:t xml:space="preserve">to acknowledge the funding support provided by the Victorian Government for the services funded. </w:t>
      </w:r>
    </w:p>
    <w:p w14:paraId="56DA3991" w14:textId="77777777" w:rsidR="00577C16" w:rsidRPr="00577C16" w:rsidRDefault="00577C16" w:rsidP="00577C16">
      <w:pPr>
        <w:spacing w:before="100" w:beforeAutospacing="1" w:after="100" w:afterAutospacing="1"/>
        <w:rPr>
          <w:rFonts w:ascii="Arial" w:eastAsia="Times" w:hAnsi="Arial" w:cs="Arial"/>
          <w:color w:val="000000"/>
          <w:szCs w:val="19"/>
          <w:lang w:eastAsia="en-AU"/>
        </w:rPr>
      </w:pPr>
      <w:r w:rsidRPr="00577C16">
        <w:rPr>
          <w:rFonts w:ascii="Arial" w:eastAsia="Times" w:hAnsi="Arial" w:cs="Arial"/>
          <w:color w:val="000000"/>
          <w:szCs w:val="19"/>
          <w:lang w:eastAsia="en-AU"/>
        </w:rPr>
        <w:t>A Victorian Government funding acknowledgement must be made in:</w:t>
      </w:r>
    </w:p>
    <w:p w14:paraId="0CDF5C07" w14:textId="315DDA11" w:rsidR="00577C16" w:rsidRPr="00577C16" w:rsidRDefault="00577C16" w:rsidP="00577C16">
      <w:pPr>
        <w:numPr>
          <w:ilvl w:val="0"/>
          <w:numId w:val="29"/>
        </w:numPr>
        <w:spacing w:before="100" w:beforeAutospacing="1" w:after="100" w:afterAutospacing="1"/>
        <w:rPr>
          <w:rFonts w:ascii="Arial" w:eastAsia="Times" w:hAnsi="Arial" w:cs="Arial"/>
          <w:color w:val="000000"/>
          <w:szCs w:val="19"/>
          <w:lang w:eastAsia="en-AU"/>
        </w:rPr>
      </w:pPr>
      <w:r w:rsidRPr="00577C16">
        <w:rPr>
          <w:rFonts w:ascii="Arial" w:eastAsia="Times" w:hAnsi="Arial" w:cs="Arial"/>
          <w:color w:val="000000"/>
          <w:szCs w:val="19"/>
          <w:lang w:eastAsia="en-AU"/>
        </w:rPr>
        <w:t>publications and public</w:t>
      </w:r>
      <w:r w:rsidR="00D05F49">
        <w:rPr>
          <w:rFonts w:ascii="Arial" w:eastAsia="Times" w:hAnsi="Arial" w:cs="Arial"/>
          <w:color w:val="000000"/>
          <w:szCs w:val="19"/>
          <w:lang w:eastAsia="en-AU"/>
        </w:rPr>
        <w:t>ity related to services funded,</w:t>
      </w:r>
      <w:r w:rsidRPr="00577C16">
        <w:rPr>
          <w:rFonts w:ascii="Arial" w:eastAsia="Times" w:hAnsi="Arial" w:cs="Arial"/>
          <w:color w:val="000000"/>
          <w:szCs w:val="19"/>
          <w:lang w:eastAsia="en-AU"/>
        </w:rPr>
        <w:t xml:space="preserve"> for example, websites, press releases, brochures, posters and speeches/launches</w:t>
      </w:r>
    </w:p>
    <w:p w14:paraId="0FD4966C" w14:textId="46930BF8" w:rsidR="00577C16" w:rsidRPr="00577C16" w:rsidRDefault="00577C16" w:rsidP="00276391">
      <w:pPr>
        <w:numPr>
          <w:ilvl w:val="0"/>
          <w:numId w:val="29"/>
        </w:numPr>
        <w:spacing w:before="100" w:beforeAutospacing="1" w:after="100" w:afterAutospacing="1"/>
        <w:rPr>
          <w:rFonts w:ascii="Arial" w:eastAsia="Times" w:hAnsi="Arial" w:cs="Arial"/>
          <w:color w:val="000000"/>
          <w:szCs w:val="19"/>
          <w:lang w:eastAsia="en-AU"/>
        </w:rPr>
      </w:pPr>
      <w:r w:rsidRPr="00577C16">
        <w:rPr>
          <w:rFonts w:ascii="Arial" w:eastAsia="Times" w:hAnsi="Arial" w:cs="Arial"/>
          <w:color w:val="000000"/>
          <w:szCs w:val="19"/>
          <w:lang w:eastAsia="en-AU"/>
        </w:rPr>
        <w:t>an organisation’s annual report.</w:t>
      </w:r>
    </w:p>
    <w:p w14:paraId="16187FBB" w14:textId="31D402B4" w:rsidR="00577C16" w:rsidRPr="00577C16" w:rsidRDefault="00577C16" w:rsidP="00276391">
      <w:pPr>
        <w:pStyle w:val="DHHSbody"/>
        <w:rPr>
          <w:rFonts w:cs="Arial"/>
          <w:color w:val="000000"/>
          <w:lang w:eastAsia="en-AU"/>
        </w:rPr>
      </w:pPr>
      <w:r w:rsidRPr="00577C16">
        <w:rPr>
          <w:lang w:val="en"/>
        </w:rPr>
        <w:t xml:space="preserve">The available logos should be used in conjunction with these </w:t>
      </w:r>
      <w:hyperlink r:id="rId65" w:history="1">
        <w:r w:rsidRPr="00054CCB">
          <w:rPr>
            <w:rStyle w:val="Hyperlink"/>
            <w:lang w:val="en"/>
          </w:rPr>
          <w:t>Acknowledgement and Publicity Guidelines</w:t>
        </w:r>
      </w:hyperlink>
      <w:r w:rsidR="00054CCB">
        <w:rPr>
          <w:lang w:val="en"/>
        </w:rPr>
        <w:t xml:space="preserve"> &lt;</w:t>
      </w:r>
      <w:r w:rsidR="00054CCB" w:rsidRPr="00054CCB">
        <w:rPr>
          <w:lang w:val="en"/>
        </w:rPr>
        <w:t>https://fac.dhhs.vic.gov.au/acknowledgement-and-publicity-guidelines-victorian-government-funding-support</w:t>
      </w:r>
      <w:r w:rsidR="00054CCB">
        <w:rPr>
          <w:lang w:val="en"/>
        </w:rPr>
        <w:t>&gt; (external link, opens in a new window)</w:t>
      </w:r>
      <w:r w:rsidRPr="00054CCB">
        <w:rPr>
          <w:lang w:val="en"/>
        </w:rPr>
        <w:t>.</w:t>
      </w:r>
      <w:r>
        <w:rPr>
          <w:rFonts w:cs="Arial"/>
          <w:color w:val="000000"/>
          <w:lang w:eastAsia="en-AU"/>
        </w:rPr>
        <w:t xml:space="preserve"> The logos can be downloaded from My Agency/Resources/other resources/Victorian Government insignia – logo for acknowledging of funding support.</w:t>
      </w:r>
    </w:p>
    <w:p w14:paraId="4B887AB5" w14:textId="7EA71426" w:rsidR="00236748" w:rsidRPr="00276391" w:rsidRDefault="00764C5A" w:rsidP="00276391">
      <w:pPr>
        <w:pStyle w:val="DHHSbody"/>
        <w:rPr>
          <w:lang w:eastAsia="en-AU"/>
        </w:rPr>
      </w:pPr>
      <w:r>
        <w:rPr>
          <w:rFonts w:cs="Arial"/>
          <w:color w:val="000000"/>
          <w:szCs w:val="19"/>
          <w:lang w:eastAsia="en-AU"/>
        </w:rPr>
        <w:t>For information about the Acknowledgement and publicity guidelines please contact your departmental contact.</w:t>
      </w:r>
    </w:p>
    <w:p w14:paraId="4DD84141" w14:textId="77777777" w:rsidR="00236748" w:rsidRPr="00276391" w:rsidRDefault="00236748" w:rsidP="009B2351">
      <w:pPr>
        <w:pStyle w:val="Heading2"/>
        <w:rPr>
          <w:rFonts w:cs="Arial"/>
          <w:lang w:eastAsia="en-AU"/>
        </w:rPr>
      </w:pPr>
      <w:bookmarkStart w:id="290" w:name="_3.5_Conflict_of"/>
      <w:bookmarkStart w:id="291" w:name="_Toc478991787"/>
      <w:bookmarkStart w:id="292" w:name="_Toc478992369"/>
      <w:bookmarkStart w:id="293" w:name="_Toc478992891"/>
      <w:bookmarkStart w:id="294" w:name="_Toc4142045"/>
      <w:bookmarkEnd w:id="290"/>
      <w:r w:rsidRPr="00276391">
        <w:rPr>
          <w:rFonts w:cs="Arial"/>
          <w:lang w:eastAsia="en-AU"/>
        </w:rPr>
        <w:t>3.5</w:t>
      </w:r>
      <w:r w:rsidR="009B2351" w:rsidRPr="00276391">
        <w:rPr>
          <w:rFonts w:cs="Arial"/>
          <w:lang w:eastAsia="en-AU"/>
        </w:rPr>
        <w:t xml:space="preserve"> </w:t>
      </w:r>
      <w:r w:rsidRPr="00276391">
        <w:rPr>
          <w:rFonts w:cs="Arial"/>
          <w:lang w:eastAsia="en-AU"/>
        </w:rPr>
        <w:t>Conflict</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interest</w:t>
      </w:r>
      <w:bookmarkEnd w:id="291"/>
      <w:bookmarkEnd w:id="292"/>
      <w:bookmarkEnd w:id="293"/>
      <w:bookmarkEnd w:id="294"/>
    </w:p>
    <w:p w14:paraId="7C4C3533" w14:textId="49442380" w:rsidR="00236748" w:rsidRPr="00276391" w:rsidRDefault="00236748" w:rsidP="00276391">
      <w:pPr>
        <w:pStyle w:val="Heading3"/>
        <w:rPr>
          <w:lang w:eastAsia="en-AU"/>
        </w:rPr>
      </w:pPr>
      <w:bookmarkStart w:id="295" w:name="_Toc478991788"/>
      <w:bookmarkStart w:id="296" w:name="_Toc478992370"/>
      <w:bookmarkStart w:id="297" w:name="_Toc4142046"/>
      <w:r w:rsidRPr="00276391">
        <w:rPr>
          <w:lang w:eastAsia="en-AU"/>
        </w:rPr>
        <w:t>What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bookmarkEnd w:id="295"/>
      <w:bookmarkEnd w:id="296"/>
      <w:bookmarkEnd w:id="297"/>
    </w:p>
    <w:p w14:paraId="12A1D686" w14:textId="28713C36" w:rsidR="00236748" w:rsidRPr="00276391" w:rsidRDefault="00236748" w:rsidP="00276391">
      <w:pPr>
        <w:pStyle w:val="DHHSbody"/>
        <w:rPr>
          <w:lang w:eastAsia="en-AU"/>
        </w:rPr>
      </w:pP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means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situation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situation,</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board</w:t>
      </w:r>
      <w:r w:rsidR="005D5532" w:rsidRPr="00B24C02">
        <w:rPr>
          <w:rFonts w:cs="Arial"/>
          <w:color w:val="000000"/>
          <w:szCs w:val="19"/>
          <w:lang w:eastAsia="en-AU"/>
        </w:rPr>
        <w:t xml:space="preserve"> </w:t>
      </w:r>
      <w:r w:rsidRPr="00B24C02">
        <w:rPr>
          <w:rFonts w:cs="Arial"/>
          <w:color w:val="000000"/>
          <w:szCs w:val="19"/>
          <w:lang w:eastAsia="en-AU"/>
        </w:rPr>
        <w:t>member,</w:t>
      </w:r>
      <w:r w:rsidR="005D5532" w:rsidRPr="00B24C02">
        <w:rPr>
          <w:rFonts w:cs="Arial"/>
          <w:color w:val="000000"/>
          <w:szCs w:val="19"/>
          <w:lang w:eastAsia="en-AU"/>
        </w:rPr>
        <w:t xml:space="preserve"> </w:t>
      </w:r>
      <w:r w:rsidRPr="00B24C02">
        <w:rPr>
          <w:rFonts w:cs="Arial"/>
          <w:color w:val="000000"/>
          <w:szCs w:val="19"/>
          <w:lang w:eastAsia="en-AU"/>
        </w:rPr>
        <w:t>employee,</w:t>
      </w:r>
      <w:r w:rsidR="005D5532" w:rsidRPr="00B24C02">
        <w:rPr>
          <w:rFonts w:cs="Arial"/>
          <w:color w:val="000000"/>
          <w:szCs w:val="19"/>
          <w:lang w:eastAsia="en-AU"/>
        </w:rPr>
        <w:t xml:space="preserve"> </w:t>
      </w:r>
      <w:r w:rsidRPr="00B24C02">
        <w:rPr>
          <w:rFonts w:cs="Arial"/>
          <w:color w:val="000000"/>
          <w:szCs w:val="19"/>
          <w:lang w:eastAsia="en-AU"/>
        </w:rPr>
        <w:t>member,</w:t>
      </w:r>
      <w:r w:rsidR="005D5532" w:rsidRPr="00B24C02">
        <w:rPr>
          <w:rFonts w:cs="Arial"/>
          <w:color w:val="000000"/>
          <w:szCs w:val="19"/>
          <w:lang w:eastAsia="en-AU"/>
        </w:rPr>
        <w:t xml:space="preserve"> </w:t>
      </w:r>
      <w:r w:rsidRPr="00B24C02">
        <w:rPr>
          <w:rFonts w:cs="Arial"/>
          <w:color w:val="000000"/>
          <w:szCs w:val="19"/>
          <w:lang w:eastAsia="en-AU"/>
        </w:rPr>
        <w:t>volunteer,</w:t>
      </w:r>
      <w:r w:rsidR="005D5532" w:rsidRPr="00B24C02">
        <w:rPr>
          <w:rFonts w:cs="Arial"/>
          <w:color w:val="000000"/>
          <w:szCs w:val="19"/>
          <w:lang w:eastAsia="en-AU"/>
        </w:rPr>
        <w:t xml:space="preserve"> </w:t>
      </w:r>
      <w:r w:rsidRPr="00B24C02">
        <w:rPr>
          <w:rFonts w:cs="Arial"/>
          <w:color w:val="000000"/>
          <w:szCs w:val="19"/>
          <w:lang w:eastAsia="en-AU"/>
        </w:rPr>
        <w:t>subcontractor,</w:t>
      </w:r>
      <w:r w:rsidR="005D5532" w:rsidRPr="00B24C02">
        <w:rPr>
          <w:rFonts w:cs="Arial"/>
          <w:color w:val="000000"/>
          <w:szCs w:val="19"/>
          <w:lang w:eastAsia="en-AU"/>
        </w:rPr>
        <w:t xml:space="preserve"> </w:t>
      </w:r>
      <w:r w:rsidRPr="00B24C02">
        <w:rPr>
          <w:rFonts w:cs="Arial"/>
          <w:color w:val="000000"/>
          <w:szCs w:val="19"/>
          <w:lang w:eastAsia="en-AU"/>
        </w:rPr>
        <w:t>representative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agent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has:</w:t>
      </w:r>
    </w:p>
    <w:p w14:paraId="65AF82DB" w14:textId="6D71C46A" w:rsidR="00236748" w:rsidRPr="00276391" w:rsidRDefault="00236748" w:rsidP="00276391">
      <w:pPr>
        <w:pStyle w:val="DHHSbullet1"/>
        <w:rPr>
          <w:rFonts w:cs="Arial"/>
          <w:lang w:eastAsia="en-AU"/>
        </w:rPr>
      </w:pPr>
      <w:r w:rsidRPr="00276391">
        <w:rPr>
          <w:rFonts w:cs="Arial"/>
          <w:lang w:eastAsia="en-AU"/>
        </w:rPr>
        <w:t>duties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arising</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result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holding</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position,</w:t>
      </w:r>
      <w:r w:rsidR="005D5532" w:rsidRPr="00276391">
        <w:rPr>
          <w:rFonts w:cs="Arial"/>
          <w:lang w:eastAsia="en-AU"/>
        </w:rPr>
        <w:t xml:space="preserve"> </w:t>
      </w:r>
      <w:r w:rsidRPr="00276391">
        <w:rPr>
          <w:rFonts w:cs="Arial"/>
          <w:lang w:eastAsia="en-AU"/>
        </w:rPr>
        <w:t>possessing</w:t>
      </w:r>
      <w:r w:rsidR="005D5532" w:rsidRPr="00276391">
        <w:rPr>
          <w:rFonts w:cs="Arial"/>
          <w:lang w:eastAsia="en-AU"/>
        </w:rPr>
        <w:t xml:space="preserve"> </w:t>
      </w:r>
      <w:r w:rsidRPr="00276391">
        <w:rPr>
          <w:rFonts w:cs="Arial"/>
          <w:lang w:eastAsia="en-AU"/>
        </w:rPr>
        <w:t>property,</w:t>
      </w:r>
      <w:r w:rsidR="005D5532" w:rsidRPr="00276391">
        <w:rPr>
          <w:rFonts w:cs="Arial"/>
          <w:lang w:eastAsia="en-AU"/>
        </w:rPr>
        <w:t xml:space="preserve"> </w:t>
      </w:r>
      <w:r w:rsidRPr="00276391">
        <w:rPr>
          <w:rFonts w:cs="Arial"/>
          <w:lang w:eastAsia="en-AU"/>
        </w:rPr>
        <w:t>engaging</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occupation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contractual</w:t>
      </w:r>
      <w:r w:rsidR="005D5532" w:rsidRPr="00276391">
        <w:rPr>
          <w:rFonts w:cs="Arial"/>
          <w:lang w:eastAsia="en-AU"/>
        </w:rPr>
        <w:t xml:space="preserve"> </w:t>
      </w:r>
      <w:r w:rsidR="00CD3CD6">
        <w:rPr>
          <w:rFonts w:cs="Arial"/>
          <w:lang w:eastAsia="en-AU"/>
        </w:rPr>
        <w:t>obligations</w:t>
      </w:r>
    </w:p>
    <w:p w14:paraId="193C03E5" w14:textId="4011D72F" w:rsidR="00236748" w:rsidRPr="00276391" w:rsidRDefault="00236748" w:rsidP="00276391">
      <w:pPr>
        <w:pStyle w:val="DHHSbullet1"/>
        <w:rPr>
          <w:rFonts w:cs="Arial"/>
          <w:lang w:eastAsia="en-AU"/>
        </w:rPr>
      </w:pPr>
      <w:r w:rsidRPr="00276391">
        <w:rPr>
          <w:rFonts w:cs="Arial"/>
          <w:lang w:eastAsia="en-AU"/>
        </w:rPr>
        <w:t>those</w:t>
      </w:r>
      <w:r w:rsidR="005D5532" w:rsidRPr="00276391">
        <w:rPr>
          <w:rFonts w:cs="Arial"/>
          <w:lang w:eastAsia="en-AU"/>
        </w:rPr>
        <w:t xml:space="preserve"> </w:t>
      </w:r>
      <w:r w:rsidRPr="00276391">
        <w:rPr>
          <w:rFonts w:cs="Arial"/>
          <w:lang w:eastAsia="en-AU"/>
        </w:rPr>
        <w:t>duties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conflict</w:t>
      </w:r>
      <w:r w:rsidR="005D5532" w:rsidRPr="00276391">
        <w:rPr>
          <w:rFonts w:cs="Arial"/>
          <w:lang w:eastAsia="en-AU"/>
        </w:rPr>
        <w:t xml:space="preserve"> </w:t>
      </w:r>
      <w:r w:rsidRPr="00276391">
        <w:rPr>
          <w:rFonts w:cs="Arial"/>
          <w:lang w:eastAsia="en-AU"/>
        </w:rPr>
        <w:t>with</w:t>
      </w:r>
      <w:r w:rsidR="00FE7C25">
        <w:rPr>
          <w:rFonts w:cs="Arial"/>
          <w:lang w:eastAsia="en-AU"/>
        </w:rPr>
        <w: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might</w:t>
      </w:r>
      <w:r w:rsidR="005D5532" w:rsidRPr="00276391">
        <w:rPr>
          <w:rFonts w:cs="Arial"/>
          <w:lang w:eastAsia="en-AU"/>
        </w:rPr>
        <w:t xml:space="preserve"> </w:t>
      </w:r>
      <w:r w:rsidRPr="00276391">
        <w:rPr>
          <w:rFonts w:cs="Arial"/>
          <w:lang w:eastAsia="en-AU"/>
        </w:rPr>
        <w:t>appear</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conflict</w:t>
      </w:r>
      <w:r w:rsidR="005D5532" w:rsidRPr="00276391">
        <w:rPr>
          <w:rFonts w:cs="Arial"/>
          <w:lang w:eastAsia="en-AU"/>
        </w:rPr>
        <w:t xml:space="preserve"> </w:t>
      </w:r>
      <w:r w:rsidRPr="00276391">
        <w:rPr>
          <w:rFonts w:cs="Arial"/>
          <w:lang w:eastAsia="en-AU"/>
        </w:rPr>
        <w:t>with</w:t>
      </w:r>
      <w:r w:rsidR="00FE7C25">
        <w:rPr>
          <w:rFonts w:cs="Arial"/>
          <w:lang w:eastAsia="en-AU"/>
        </w:rPr>
        <w:t>,</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Pr="00276391">
        <w:rPr>
          <w:rFonts w:cs="Arial"/>
          <w:lang w:eastAsia="en-AU"/>
        </w:rPr>
        <w:t>duties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p>
    <w:p w14:paraId="2E6E3718" w14:textId="77777777" w:rsidR="00236748" w:rsidRPr="00276391" w:rsidRDefault="00236748" w:rsidP="00276391">
      <w:pPr>
        <w:pStyle w:val="Heading3"/>
        <w:rPr>
          <w:lang w:eastAsia="en-AU"/>
        </w:rPr>
      </w:pPr>
      <w:bookmarkStart w:id="298" w:name="_Toc478991789"/>
      <w:bookmarkStart w:id="299" w:name="_Toc478992371"/>
      <w:bookmarkStart w:id="300" w:name="_Toc4142047"/>
      <w:r w:rsidRPr="00276391">
        <w:rPr>
          <w:lang w:eastAsia="en-AU"/>
        </w:rPr>
        <w:t>What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examples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conflicts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bookmarkEnd w:id="298"/>
      <w:bookmarkEnd w:id="299"/>
      <w:bookmarkEnd w:id="300"/>
    </w:p>
    <w:p w14:paraId="55445175" w14:textId="77777777" w:rsidR="00236748" w:rsidRPr="00276391" w:rsidRDefault="00236748" w:rsidP="00276391">
      <w:pPr>
        <w:pStyle w:val="DHHSbody"/>
        <w:rPr>
          <w:lang w:eastAsia="en-AU"/>
        </w:rPr>
      </w:pPr>
      <w:r w:rsidRPr="00B24C02">
        <w:rPr>
          <w:rFonts w:cs="Arial"/>
          <w:color w:val="000000"/>
          <w:szCs w:val="19"/>
          <w:lang w:eastAsia="en-AU"/>
        </w:rPr>
        <w:t>Examples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actual</w:t>
      </w:r>
      <w:r w:rsidR="005D5532" w:rsidRPr="00B24C02">
        <w:rPr>
          <w:rFonts w:cs="Arial"/>
          <w:color w:val="000000"/>
          <w:szCs w:val="19"/>
          <w:lang w:eastAsia="en-AU"/>
        </w:rPr>
        <w:t xml:space="preserve"> </w:t>
      </w:r>
      <w:r w:rsidRPr="00B24C02">
        <w:rPr>
          <w:rFonts w:cs="Arial"/>
          <w:color w:val="000000"/>
          <w:szCs w:val="19"/>
          <w:lang w:eastAsia="en-AU"/>
        </w:rPr>
        <w:t>conflicts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include:</w:t>
      </w:r>
    </w:p>
    <w:p w14:paraId="38F5E91E" w14:textId="77777777"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committee</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own</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given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no</w:t>
      </w:r>
      <w:r w:rsidR="005D5532" w:rsidRPr="00276391">
        <w:rPr>
          <w:rFonts w:cs="Arial"/>
          <w:lang w:eastAsia="en-AU"/>
        </w:rPr>
        <w:t xml:space="preserve"> </w:t>
      </w:r>
      <w:r w:rsidRPr="00276391">
        <w:rPr>
          <w:rFonts w:cs="Arial"/>
          <w:lang w:eastAsia="en-AU"/>
        </w:rPr>
        <w:t>competitive</w:t>
      </w:r>
      <w:r w:rsidR="005D5532" w:rsidRPr="00276391">
        <w:rPr>
          <w:rFonts w:cs="Arial"/>
          <w:lang w:eastAsia="en-AU"/>
        </w:rPr>
        <w:t xml:space="preserve"> </w:t>
      </w:r>
      <w:r w:rsidRPr="00276391">
        <w:rPr>
          <w:rFonts w:cs="Arial"/>
          <w:lang w:eastAsia="en-AU"/>
        </w:rPr>
        <w:t>selection</w:t>
      </w:r>
      <w:r w:rsidR="005D5532" w:rsidRPr="00276391">
        <w:rPr>
          <w:rFonts w:cs="Arial"/>
          <w:lang w:eastAsia="en-AU"/>
        </w:rPr>
        <w:t xml:space="preserve"> </w:t>
      </w:r>
      <w:r w:rsidRPr="00276391">
        <w:rPr>
          <w:rFonts w:cs="Arial"/>
          <w:lang w:eastAsia="en-AU"/>
        </w:rPr>
        <w:t>process</w:t>
      </w:r>
      <w:r w:rsidR="005D5532" w:rsidRPr="00276391">
        <w:rPr>
          <w:rFonts w:cs="Arial"/>
          <w:lang w:eastAsia="en-AU"/>
        </w:rPr>
        <w:t xml:space="preserve"> </w:t>
      </w:r>
      <w:r w:rsidRPr="00276391">
        <w:rPr>
          <w:rFonts w:cs="Arial"/>
          <w:lang w:eastAsia="en-AU"/>
        </w:rPr>
        <w:t>was</w:t>
      </w:r>
      <w:r w:rsidR="005D5532" w:rsidRPr="00276391">
        <w:rPr>
          <w:rFonts w:cs="Arial"/>
          <w:lang w:eastAsia="en-AU"/>
        </w:rPr>
        <w:t xml:space="preserve"> </w:t>
      </w:r>
      <w:r w:rsidRPr="00276391">
        <w:rPr>
          <w:rFonts w:cs="Arial"/>
          <w:lang w:eastAsia="en-AU"/>
        </w:rPr>
        <w:t>undertaken</w:t>
      </w:r>
      <w:r w:rsidR="005D5532" w:rsidRPr="00276391">
        <w:rPr>
          <w:rFonts w:cs="Arial"/>
          <w:lang w:eastAsia="en-AU"/>
        </w:rPr>
        <w:t xml:space="preserve"> </w:t>
      </w:r>
    </w:p>
    <w:p w14:paraId="4CFD0827" w14:textId="77777777"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committee’s</w:t>
      </w:r>
      <w:r w:rsidR="005D5532" w:rsidRPr="00276391">
        <w:rPr>
          <w:rFonts w:cs="Arial"/>
          <w:lang w:eastAsia="en-AU"/>
        </w:rPr>
        <w:t xml:space="preserve"> </w:t>
      </w:r>
      <w:r w:rsidRPr="00276391">
        <w:rPr>
          <w:rFonts w:cs="Arial"/>
          <w:lang w:eastAsia="en-AU"/>
        </w:rPr>
        <w:t>family</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been</w:t>
      </w:r>
      <w:r w:rsidR="005D5532" w:rsidRPr="00276391">
        <w:rPr>
          <w:rFonts w:cs="Arial"/>
          <w:lang w:eastAsia="en-AU"/>
        </w:rPr>
        <w:t xml:space="preserve"> </w:t>
      </w:r>
      <w:r w:rsidRPr="00276391">
        <w:rPr>
          <w:rFonts w:cs="Arial"/>
          <w:lang w:eastAsia="en-AU"/>
        </w:rPr>
        <w:t>prioritised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receive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above</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clients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prioritisation</w:t>
      </w:r>
      <w:r w:rsidR="005D5532" w:rsidRPr="00276391">
        <w:rPr>
          <w:rFonts w:cs="Arial"/>
          <w:lang w:eastAsia="en-AU"/>
        </w:rPr>
        <w:t xml:space="preserve"> </w:t>
      </w:r>
      <w:r w:rsidRPr="00276391">
        <w:rPr>
          <w:rFonts w:cs="Arial"/>
          <w:lang w:eastAsia="en-AU"/>
        </w:rPr>
        <w:t>decision</w:t>
      </w:r>
      <w:r w:rsidR="005D5532" w:rsidRPr="00276391">
        <w:rPr>
          <w:rFonts w:cs="Arial"/>
          <w:lang w:eastAsia="en-AU"/>
        </w:rPr>
        <w:t xml:space="preserve"> </w:t>
      </w:r>
      <w:r w:rsidRPr="00276391">
        <w:rPr>
          <w:rFonts w:cs="Arial"/>
          <w:lang w:eastAsia="en-AU"/>
        </w:rPr>
        <w:t>was</w:t>
      </w:r>
      <w:r w:rsidR="005D5532" w:rsidRPr="00276391">
        <w:rPr>
          <w:rFonts w:cs="Arial"/>
          <w:lang w:eastAsia="en-AU"/>
        </w:rPr>
        <w:t xml:space="preserve"> </w:t>
      </w:r>
      <w:r w:rsidRPr="00276391">
        <w:rPr>
          <w:rFonts w:cs="Arial"/>
          <w:lang w:eastAsia="en-AU"/>
        </w:rPr>
        <w:t>made</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p>
    <w:p w14:paraId="222E9B5C"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chief</w:t>
      </w:r>
      <w:r w:rsidR="005D5532" w:rsidRPr="00276391">
        <w:rPr>
          <w:rFonts w:cs="Arial"/>
          <w:lang w:eastAsia="en-AU"/>
        </w:rPr>
        <w:t xml:space="preserve"> </w:t>
      </w:r>
      <w:r w:rsidRPr="00276391">
        <w:rPr>
          <w:rFonts w:cs="Arial"/>
          <w:lang w:eastAsia="en-AU"/>
        </w:rPr>
        <w:t>executive</w:t>
      </w:r>
      <w:r w:rsidR="005D5532" w:rsidRPr="00276391">
        <w:rPr>
          <w:rFonts w:cs="Arial"/>
          <w:lang w:eastAsia="en-AU"/>
        </w:rPr>
        <w:t xml:space="preserve"> </w:t>
      </w:r>
      <w:r w:rsidRPr="00276391">
        <w:rPr>
          <w:rFonts w:cs="Arial"/>
          <w:lang w:eastAsia="en-AU"/>
        </w:rPr>
        <w:t>officer’s</w:t>
      </w:r>
      <w:r w:rsidR="005D5532" w:rsidRPr="00276391">
        <w:rPr>
          <w:rFonts w:cs="Arial"/>
          <w:lang w:eastAsia="en-AU"/>
        </w:rPr>
        <w:t xml:space="preserve"> </w:t>
      </w:r>
      <w:r w:rsidRPr="00276391">
        <w:rPr>
          <w:rFonts w:cs="Arial"/>
          <w:lang w:eastAsia="en-AU"/>
        </w:rPr>
        <w:t>(CEO)</w:t>
      </w:r>
      <w:r w:rsidR="005D5532" w:rsidRPr="00276391">
        <w:rPr>
          <w:rFonts w:cs="Arial"/>
          <w:lang w:eastAsia="en-AU"/>
        </w:rPr>
        <w:t xml:space="preserve"> </w:t>
      </w:r>
      <w:r w:rsidRPr="00276391">
        <w:rPr>
          <w:rFonts w:cs="Arial"/>
          <w:lang w:eastAsia="en-AU"/>
        </w:rPr>
        <w:t>friend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family</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employed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deliver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request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CEO</w:t>
      </w:r>
      <w:r w:rsidR="005D5532" w:rsidRPr="00276391">
        <w:rPr>
          <w:rFonts w:cs="Arial"/>
          <w:lang w:eastAsia="en-AU"/>
        </w:rPr>
        <w:t xml:space="preserve"> </w:t>
      </w:r>
      <w:r w:rsidRPr="00276391">
        <w:rPr>
          <w:rFonts w:cs="Arial"/>
          <w:lang w:eastAsia="en-AU"/>
        </w:rPr>
        <w:t>without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job</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appropriately</w:t>
      </w:r>
      <w:r w:rsidR="005D5532" w:rsidRPr="00276391">
        <w:rPr>
          <w:rFonts w:cs="Arial"/>
          <w:lang w:eastAsia="en-AU"/>
        </w:rPr>
        <w:t xml:space="preserve"> </w:t>
      </w:r>
      <w:r w:rsidRPr="00276391">
        <w:rPr>
          <w:rFonts w:cs="Arial"/>
          <w:lang w:eastAsia="en-AU"/>
        </w:rPr>
        <w:t>advertised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formal</w:t>
      </w:r>
      <w:r w:rsidR="005D5532" w:rsidRPr="00276391">
        <w:rPr>
          <w:rFonts w:cs="Arial"/>
          <w:lang w:eastAsia="en-AU"/>
        </w:rPr>
        <w:t xml:space="preserve"> </w:t>
      </w:r>
      <w:r w:rsidRPr="00276391">
        <w:rPr>
          <w:rFonts w:cs="Arial"/>
          <w:lang w:eastAsia="en-AU"/>
        </w:rPr>
        <w:t>selection</w:t>
      </w:r>
      <w:r w:rsidR="005D5532" w:rsidRPr="00276391">
        <w:rPr>
          <w:rFonts w:cs="Arial"/>
          <w:lang w:eastAsia="en-AU"/>
        </w:rPr>
        <w:t xml:space="preserve"> </w:t>
      </w:r>
      <w:r w:rsidRPr="00276391">
        <w:rPr>
          <w:rFonts w:cs="Arial"/>
          <w:lang w:eastAsia="en-AU"/>
        </w:rPr>
        <w:t>process</w:t>
      </w:r>
      <w:r w:rsidR="005D5532" w:rsidRPr="00276391">
        <w:rPr>
          <w:rFonts w:cs="Arial"/>
          <w:lang w:eastAsia="en-AU"/>
        </w:rPr>
        <w:t xml:space="preserve"> </w:t>
      </w:r>
      <w:r w:rsidRPr="00276391">
        <w:rPr>
          <w:rFonts w:cs="Arial"/>
          <w:lang w:eastAsia="en-AU"/>
        </w:rPr>
        <w:t>undertaken.</w:t>
      </w:r>
      <w:r w:rsidR="005D5532" w:rsidRPr="00276391">
        <w:rPr>
          <w:rFonts w:cs="Arial"/>
          <w:lang w:eastAsia="en-AU"/>
        </w:rPr>
        <w:t xml:space="preserve"> </w:t>
      </w:r>
    </w:p>
    <w:p w14:paraId="710ACE11" w14:textId="77777777" w:rsidR="00236748" w:rsidRPr="00276391" w:rsidRDefault="00236748" w:rsidP="00276391">
      <w:pPr>
        <w:pStyle w:val="DHHSbody"/>
        <w:rPr>
          <w:lang w:eastAsia="en-AU"/>
        </w:rPr>
      </w:pPr>
      <w:r w:rsidRPr="00B24C02">
        <w:rPr>
          <w:rFonts w:cs="Arial"/>
          <w:color w:val="000000"/>
          <w:szCs w:val="19"/>
          <w:lang w:eastAsia="en-AU"/>
        </w:rPr>
        <w:lastRenderedPageBreak/>
        <w:t>Examples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situations</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include:</w:t>
      </w:r>
    </w:p>
    <w:p w14:paraId="4690647A"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CEO</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selection</w:t>
      </w:r>
      <w:r w:rsidR="005D5532" w:rsidRPr="00276391">
        <w:rPr>
          <w:rFonts w:cs="Arial"/>
          <w:lang w:eastAsia="en-AU"/>
        </w:rPr>
        <w:t xml:space="preserve"> </w:t>
      </w:r>
      <w:r w:rsidRPr="00276391">
        <w:rPr>
          <w:rFonts w:cs="Arial"/>
          <w:lang w:eastAsia="en-AU"/>
        </w:rPr>
        <w:t>panel</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job</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relative</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applied</w:t>
      </w:r>
      <w:r w:rsidR="005D5532" w:rsidRPr="00276391">
        <w:rPr>
          <w:rFonts w:cs="Arial"/>
          <w:lang w:eastAsia="en-AU"/>
        </w:rPr>
        <w:t xml:space="preserve"> </w:t>
      </w:r>
    </w:p>
    <w:p w14:paraId="2C6B715E" w14:textId="7BC12B0C"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committee</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child</w:t>
      </w:r>
      <w:r w:rsidR="005D5532" w:rsidRPr="00276391">
        <w:rPr>
          <w:rFonts w:cs="Arial"/>
          <w:lang w:eastAsia="en-AU"/>
        </w:rPr>
        <w:t xml:space="preserve"> </w:t>
      </w:r>
      <w:r w:rsidRPr="00276391">
        <w:rPr>
          <w:rFonts w:cs="Arial"/>
          <w:lang w:eastAsia="en-AU"/>
        </w:rPr>
        <w:t>receiving</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discussions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occurring</w:t>
      </w:r>
      <w:r w:rsidR="005D5532" w:rsidRPr="00276391">
        <w:rPr>
          <w:rFonts w:cs="Arial"/>
          <w:lang w:eastAsia="en-AU"/>
        </w:rPr>
        <w:t xml:space="preserve"> </w:t>
      </w:r>
      <w:r w:rsidRPr="00276391">
        <w:rPr>
          <w:rFonts w:cs="Arial"/>
          <w:lang w:eastAsia="en-AU"/>
        </w:rPr>
        <w:t>about</w:t>
      </w:r>
      <w:r w:rsidR="005D5532" w:rsidRPr="00276391">
        <w:rPr>
          <w:rFonts w:cs="Arial"/>
          <w:lang w:eastAsia="en-AU"/>
        </w:rPr>
        <w:t xml:space="preserve"> </w:t>
      </w:r>
      <w:r w:rsidRPr="00276391">
        <w:rPr>
          <w:rFonts w:cs="Arial"/>
          <w:lang w:eastAsia="en-AU"/>
        </w:rPr>
        <w:t>prioritisation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impact</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delivered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child</w:t>
      </w:r>
      <w:r w:rsidR="005D5532" w:rsidRPr="00276391">
        <w:rPr>
          <w:rFonts w:cs="Arial"/>
          <w:lang w:eastAsia="en-AU"/>
        </w:rPr>
        <w:t xml:space="preserve"> </w:t>
      </w:r>
    </w:p>
    <w:p w14:paraId="30E8DCD8" w14:textId="77777777" w:rsidR="00236748" w:rsidRPr="00276391" w:rsidRDefault="00236748" w:rsidP="00276391">
      <w:pPr>
        <w:pStyle w:val="DHHSbullet1"/>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committee</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own</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applied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provide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program.</w:t>
      </w:r>
      <w:r w:rsidR="005D5532" w:rsidRPr="00276391">
        <w:rPr>
          <w:rFonts w:cs="Arial"/>
          <w:lang w:eastAsia="en-AU"/>
        </w:rPr>
        <w:t xml:space="preserve"> </w:t>
      </w:r>
    </w:p>
    <w:p w14:paraId="706D1F0F" w14:textId="77777777" w:rsidR="00236748" w:rsidRPr="00276391" w:rsidRDefault="00236748" w:rsidP="00276391">
      <w:pPr>
        <w:pStyle w:val="Heading3"/>
        <w:rPr>
          <w:lang w:eastAsia="en-AU"/>
        </w:rPr>
      </w:pPr>
      <w:bookmarkStart w:id="301" w:name="_Toc478991790"/>
      <w:bookmarkStart w:id="302" w:name="_Toc478992372"/>
      <w:bookmarkStart w:id="303" w:name="_Toc4142048"/>
      <w:r w:rsidRPr="00276391">
        <w:rPr>
          <w:lang w:eastAsia="en-AU"/>
        </w:rPr>
        <w:t>Management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bookmarkEnd w:id="301"/>
      <w:bookmarkEnd w:id="302"/>
      <w:bookmarkEnd w:id="303"/>
      <w:r w:rsidR="005D5532" w:rsidRPr="00276391">
        <w:rPr>
          <w:lang w:eastAsia="en-AU"/>
        </w:rPr>
        <w:t xml:space="preserve"> </w:t>
      </w:r>
    </w:p>
    <w:p w14:paraId="254D856D" w14:textId="77777777" w:rsidR="00236748" w:rsidRPr="00276391" w:rsidRDefault="00236748" w:rsidP="00276391">
      <w:pPr>
        <w:pStyle w:val="DHHSbody"/>
        <w:rPr>
          <w:lang w:eastAsia="en-AU"/>
        </w:rPr>
      </w:pP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important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place</w:t>
      </w:r>
      <w:r w:rsidR="005D5532" w:rsidRPr="00B24C02">
        <w:rPr>
          <w:rFonts w:cs="Arial"/>
          <w:color w:val="000000"/>
          <w:szCs w:val="19"/>
          <w:lang w:eastAsia="en-AU"/>
        </w:rPr>
        <w:t xml:space="preserve"> </w:t>
      </w:r>
      <w:r w:rsidRPr="00B24C02">
        <w:rPr>
          <w:rFonts w:cs="Arial"/>
          <w:color w:val="000000"/>
          <w:szCs w:val="19"/>
          <w:lang w:eastAsia="en-AU"/>
        </w:rPr>
        <w:t>procedures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identify,</w:t>
      </w:r>
      <w:r w:rsidR="005D5532" w:rsidRPr="00B24C02">
        <w:rPr>
          <w:rFonts w:cs="Arial"/>
          <w:color w:val="000000"/>
          <w:szCs w:val="19"/>
          <w:lang w:eastAsia="en-AU"/>
        </w:rPr>
        <w:t xml:space="preserve"> </w:t>
      </w:r>
      <w:r w:rsidRPr="00B24C02">
        <w:rPr>
          <w:rFonts w:cs="Arial"/>
          <w:color w:val="000000"/>
          <w:szCs w:val="19"/>
          <w:lang w:eastAsia="en-AU"/>
        </w:rPr>
        <w:t>disclose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manage</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to:</w:t>
      </w:r>
    </w:p>
    <w:p w14:paraId="2A046D8E" w14:textId="77777777" w:rsidR="00236748" w:rsidRPr="00276391" w:rsidRDefault="00236748" w:rsidP="00276391">
      <w:pPr>
        <w:pStyle w:val="DHHSbullet1"/>
        <w:rPr>
          <w:rFonts w:cs="Arial"/>
          <w:lang w:eastAsia="en-AU"/>
        </w:rPr>
      </w:pPr>
      <w:r w:rsidRPr="00276391">
        <w:rPr>
          <w:rFonts w:cs="Arial"/>
          <w:lang w:eastAsia="en-AU"/>
        </w:rPr>
        <w:t>demonstrate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community</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performing</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role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fair,</w:t>
      </w:r>
      <w:r w:rsidR="005D5532" w:rsidRPr="00276391">
        <w:rPr>
          <w:rFonts w:cs="Arial"/>
          <w:lang w:eastAsia="en-AU"/>
        </w:rPr>
        <w:t xml:space="preserve"> </w:t>
      </w:r>
      <w:r w:rsidRPr="00276391">
        <w:rPr>
          <w:rFonts w:cs="Arial"/>
          <w:lang w:eastAsia="en-AU"/>
        </w:rPr>
        <w:t>unbiased</w:t>
      </w:r>
      <w:r w:rsidR="005D5532" w:rsidRPr="00276391">
        <w:rPr>
          <w:rFonts w:cs="Arial"/>
          <w:lang w:eastAsia="en-AU"/>
        </w:rPr>
        <w:t xml:space="preserve"> </w:t>
      </w:r>
      <w:r w:rsidRPr="00276391">
        <w:rPr>
          <w:rFonts w:cs="Arial"/>
          <w:lang w:eastAsia="en-AU"/>
        </w:rPr>
        <w:t>manner</w:t>
      </w:r>
      <w:r w:rsidR="005D5532" w:rsidRPr="00276391">
        <w:rPr>
          <w:rFonts w:cs="Arial"/>
          <w:lang w:eastAsia="en-AU"/>
        </w:rPr>
        <w:t xml:space="preserve"> </w:t>
      </w:r>
    </w:p>
    <w:p w14:paraId="06EBBAF4" w14:textId="77777777" w:rsidR="00236748" w:rsidRPr="00276391" w:rsidRDefault="00236748" w:rsidP="00276391">
      <w:pPr>
        <w:pStyle w:val="DHHSbullet1"/>
        <w:rPr>
          <w:rFonts w:cs="Arial"/>
          <w:lang w:eastAsia="en-AU"/>
        </w:rPr>
      </w:pPr>
      <w:r w:rsidRPr="00276391">
        <w:rPr>
          <w:rFonts w:cs="Arial"/>
          <w:lang w:eastAsia="en-AU"/>
        </w:rPr>
        <w:t>reduce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opportunities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unethical</w:t>
      </w:r>
      <w:r w:rsidR="005D5532" w:rsidRPr="00276391">
        <w:rPr>
          <w:rFonts w:cs="Arial"/>
          <w:lang w:eastAsia="en-AU"/>
        </w:rPr>
        <w:t xml:space="preserve"> </w:t>
      </w:r>
      <w:r w:rsidRPr="00276391">
        <w:rPr>
          <w:rFonts w:cs="Arial"/>
          <w:lang w:eastAsia="en-AU"/>
        </w:rPr>
        <w:t>behaviour</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legal</w:t>
      </w:r>
      <w:r w:rsidR="005D5532" w:rsidRPr="00276391">
        <w:rPr>
          <w:rFonts w:cs="Arial"/>
          <w:lang w:eastAsia="en-AU"/>
        </w:rPr>
        <w:t xml:space="preserve"> </w:t>
      </w:r>
      <w:r w:rsidRPr="00276391">
        <w:rPr>
          <w:rFonts w:cs="Arial"/>
          <w:lang w:eastAsia="en-AU"/>
        </w:rPr>
        <w:t>consequences</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damage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reputation.</w:t>
      </w:r>
      <w:r w:rsidR="005D5532" w:rsidRPr="00276391">
        <w:rPr>
          <w:rFonts w:cs="Arial"/>
          <w:lang w:eastAsia="en-AU"/>
        </w:rPr>
        <w:t xml:space="preserve"> </w:t>
      </w:r>
    </w:p>
    <w:p w14:paraId="1C6FD85E" w14:textId="5D0845BD" w:rsidR="00236748" w:rsidRPr="00276391" w:rsidRDefault="00236748" w:rsidP="00276391">
      <w:pPr>
        <w:pStyle w:val="DHHSbody"/>
        <w:rPr>
          <w:lang w:eastAsia="en-AU"/>
        </w:rPr>
      </w:pPr>
      <w:r w:rsidRPr="00B24C02">
        <w:rPr>
          <w:rFonts w:cs="Arial"/>
          <w:color w:val="000000"/>
          <w:szCs w:val="19"/>
          <w:lang w:eastAsia="en-AU"/>
        </w:rPr>
        <w:t>Failure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respond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actual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conflict</w:t>
      </w:r>
      <w:r w:rsidR="00FE7C25">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00FE7C25">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damage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reputation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confidence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ramifications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p>
    <w:p w14:paraId="09CC4AB2" w14:textId="535CA23E" w:rsidR="00236748" w:rsidRPr="00276391" w:rsidRDefault="00236748" w:rsidP="00276391">
      <w:pPr>
        <w:pStyle w:val="DHHSbody"/>
        <w:rPr>
          <w:lang w:eastAsia="en-AU"/>
        </w:rPr>
      </w:pPr>
      <w:r w:rsidRPr="00276391">
        <w:rPr>
          <w:lang w:eastAsia="en-AU"/>
        </w:rPr>
        <w:t>Under</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5.1(c)</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ensures</w:t>
      </w:r>
      <w:r w:rsidR="005D5532" w:rsidRPr="00276391">
        <w:rPr>
          <w:lang w:eastAsia="en-AU"/>
        </w:rPr>
        <w:t xml:space="preserve"> </w:t>
      </w:r>
      <w:r w:rsidRPr="00276391">
        <w:rPr>
          <w:lang w:eastAsia="en-AU"/>
        </w:rPr>
        <w:t>timely</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4C6434">
        <w:rPr>
          <w:lang w:eastAsia="en-AU"/>
        </w:rPr>
        <w:t>o</w:t>
      </w:r>
      <w:r w:rsidRPr="00276391">
        <w:rPr>
          <w:lang w:eastAsia="en-AU"/>
        </w:rPr>
        <w:t>rganisation's</w:t>
      </w:r>
      <w:r w:rsidR="005D5532" w:rsidRPr="00276391">
        <w:rPr>
          <w:lang w:eastAsia="en-AU"/>
        </w:rPr>
        <w:t xml:space="preserve"> </w:t>
      </w:r>
      <w:r w:rsidRPr="00276391">
        <w:rPr>
          <w:lang w:eastAsia="en-AU"/>
        </w:rPr>
        <w:t>board,</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agents,</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subcontractors.</w:t>
      </w:r>
    </w:p>
    <w:p w14:paraId="7D5A3925" w14:textId="77777777" w:rsidR="00236748" w:rsidRPr="00276391" w:rsidRDefault="00236748" w:rsidP="00276391">
      <w:pPr>
        <w:pStyle w:val="DHHSbody"/>
        <w:rPr>
          <w:lang w:eastAsia="en-AU"/>
        </w:rPr>
      </w:pPr>
      <w:r w:rsidRPr="00276391">
        <w:rPr>
          <w:lang w:eastAsia="en-AU"/>
        </w:rPr>
        <w:t>Most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already</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The</w:t>
      </w:r>
      <w:r w:rsidR="005D5532" w:rsidRPr="00276391">
        <w:rPr>
          <w:lang w:eastAsia="en-AU"/>
        </w:rPr>
        <w:t xml:space="preserve"> </w:t>
      </w:r>
      <w:r w:rsidRPr="00FE7C25">
        <w:rPr>
          <w:bCs/>
          <w:i/>
          <w:lang w:eastAsia="en-AU"/>
        </w:rPr>
        <w:t>Associations</w:t>
      </w:r>
      <w:r w:rsidR="005D5532" w:rsidRPr="00FE7C25">
        <w:rPr>
          <w:bCs/>
          <w:i/>
          <w:lang w:eastAsia="en-AU"/>
        </w:rPr>
        <w:t xml:space="preserve"> </w:t>
      </w:r>
      <w:r w:rsidRPr="00FE7C25">
        <w:rPr>
          <w:bCs/>
          <w:i/>
          <w:lang w:eastAsia="en-AU"/>
        </w:rPr>
        <w:t>Incorporation</w:t>
      </w:r>
      <w:r w:rsidR="005D5532" w:rsidRPr="00FE7C25">
        <w:rPr>
          <w:bCs/>
          <w:i/>
          <w:lang w:eastAsia="en-AU"/>
        </w:rPr>
        <w:t xml:space="preserve"> </w:t>
      </w:r>
      <w:r w:rsidRPr="00FE7C25">
        <w:rPr>
          <w:bCs/>
          <w:i/>
          <w:lang w:eastAsia="en-AU"/>
        </w:rPr>
        <w:t>Reform</w:t>
      </w:r>
      <w:r w:rsidR="005D5532" w:rsidRPr="00FE7C25">
        <w:rPr>
          <w:bCs/>
          <w:i/>
          <w:lang w:eastAsia="en-AU"/>
        </w:rPr>
        <w:t xml:space="preserve"> </w:t>
      </w:r>
      <w:r w:rsidRPr="00FE7C25">
        <w:rPr>
          <w:bCs/>
          <w:i/>
          <w:lang w:eastAsia="en-AU"/>
        </w:rPr>
        <w:t>Act</w:t>
      </w:r>
      <w:r w:rsidR="005D5532" w:rsidRPr="00FE7C25">
        <w:rPr>
          <w:bCs/>
          <w:i/>
          <w:lang w:eastAsia="en-AU"/>
        </w:rPr>
        <w:t xml:space="preserve"> </w:t>
      </w:r>
      <w:r w:rsidRPr="00FE7C25">
        <w:rPr>
          <w:bCs/>
          <w:i/>
          <w:lang w:eastAsia="en-AU"/>
        </w:rPr>
        <w:t>2013</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FE7C25">
        <w:rPr>
          <w:bCs/>
          <w:i/>
          <w:lang w:eastAsia="en-AU"/>
        </w:rPr>
        <w:t>Corporations</w:t>
      </w:r>
      <w:r w:rsidR="005D5532" w:rsidRPr="00FE7C25">
        <w:rPr>
          <w:bCs/>
          <w:i/>
          <w:lang w:eastAsia="en-AU"/>
        </w:rPr>
        <w:t xml:space="preserve"> </w:t>
      </w:r>
      <w:r w:rsidRPr="00FE7C25">
        <w:rPr>
          <w:bCs/>
          <w:i/>
          <w:lang w:eastAsia="en-AU"/>
        </w:rPr>
        <w:t>Act</w:t>
      </w:r>
      <w:r w:rsidR="005D5532" w:rsidRPr="00FE7C25">
        <w:rPr>
          <w:bCs/>
          <w:i/>
          <w:lang w:eastAsia="en-AU"/>
        </w:rPr>
        <w:t xml:space="preserve"> </w:t>
      </w:r>
      <w:r w:rsidRPr="00FE7C25">
        <w:rPr>
          <w:bCs/>
          <w:i/>
          <w:lang w:eastAsia="en-AU"/>
        </w:rPr>
        <w:t>2001</w:t>
      </w:r>
      <w:r w:rsidR="005D5532" w:rsidRPr="00276391">
        <w:rPr>
          <w:lang w:eastAsia="en-AU"/>
        </w:rPr>
        <w:t xml:space="preserve"> </w:t>
      </w:r>
      <w:r w:rsidRPr="00276391">
        <w:rPr>
          <w:lang w:eastAsia="en-AU"/>
        </w:rPr>
        <w:t>sets</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conflicts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p>
    <w:p w14:paraId="094F4046" w14:textId="77777777"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establishing</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board</w:t>
      </w:r>
      <w:r w:rsidR="005D5532" w:rsidRPr="00276391">
        <w:rPr>
          <w:lang w:eastAsia="en-AU"/>
        </w:rPr>
        <w:t xml:space="preserve"> </w:t>
      </w:r>
      <w:r w:rsidRPr="00276391">
        <w:rPr>
          <w:lang w:eastAsia="en-AU"/>
        </w:rPr>
        <w:t>operates.</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considerations</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having</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p>
    <w:p w14:paraId="40616C69" w14:textId="77777777" w:rsidR="00236748" w:rsidRPr="00276391" w:rsidRDefault="00236748" w:rsidP="00276391">
      <w:pPr>
        <w:pStyle w:val="DHHSbullet1"/>
        <w:rPr>
          <w:rFonts w:cs="Arial"/>
          <w:lang w:eastAsia="en-AU"/>
        </w:rPr>
      </w:pPr>
      <w:r w:rsidRPr="00276391">
        <w:rPr>
          <w:rFonts w:cs="Arial"/>
          <w:lang w:eastAsia="en-AU"/>
        </w:rPr>
        <w:t>Processes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employees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representatives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recognise</w:t>
      </w:r>
      <w:r w:rsidR="005D5532" w:rsidRPr="00276391">
        <w:rPr>
          <w:rFonts w:cs="Arial"/>
          <w:lang w:eastAsia="en-AU"/>
        </w:rPr>
        <w:t xml:space="preserve"> </w:t>
      </w:r>
      <w:r w:rsidRPr="00276391">
        <w:rPr>
          <w:rFonts w:cs="Arial"/>
          <w:lang w:eastAsia="en-AU"/>
        </w:rPr>
        <w:t>conflicts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interest.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identify</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potential</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actual</w:t>
      </w:r>
      <w:r w:rsidR="005D5532" w:rsidRPr="00276391">
        <w:rPr>
          <w:rFonts w:cs="Arial"/>
          <w:lang w:eastAsia="en-AU"/>
        </w:rPr>
        <w:t xml:space="preserve"> </w:t>
      </w:r>
      <w:r w:rsidRPr="00276391">
        <w:rPr>
          <w:rFonts w:cs="Arial"/>
          <w:lang w:eastAsia="en-AU"/>
        </w:rPr>
        <w:t>conflict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interest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following</w:t>
      </w:r>
      <w:r w:rsidR="005D5532" w:rsidRPr="00276391">
        <w:rPr>
          <w:rFonts w:cs="Arial"/>
          <w:lang w:eastAsia="en-AU"/>
        </w:rPr>
        <w:t xml:space="preserve"> </w:t>
      </w:r>
      <w:r w:rsidRPr="00276391">
        <w:rPr>
          <w:rFonts w:cs="Arial"/>
          <w:lang w:eastAsia="en-AU"/>
        </w:rPr>
        <w:t>questions</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asked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representatives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when</w:t>
      </w:r>
      <w:r w:rsidR="005D5532" w:rsidRPr="00276391">
        <w:rPr>
          <w:rFonts w:cs="Arial"/>
          <w:lang w:eastAsia="en-AU"/>
        </w:rPr>
        <w:t xml:space="preserve"> </w:t>
      </w:r>
      <w:r w:rsidRPr="00276391">
        <w:rPr>
          <w:rFonts w:cs="Arial"/>
          <w:lang w:eastAsia="en-AU"/>
        </w:rPr>
        <w:t>making</w:t>
      </w:r>
      <w:r w:rsidR="005D5532" w:rsidRPr="00276391">
        <w:rPr>
          <w:rFonts w:cs="Arial"/>
          <w:lang w:eastAsia="en-AU"/>
        </w:rPr>
        <w:t xml:space="preserve"> </w:t>
      </w:r>
      <w:r w:rsidRPr="00276391">
        <w:rPr>
          <w:rFonts w:cs="Arial"/>
          <w:lang w:eastAsia="en-AU"/>
        </w:rPr>
        <w:t>decisions:</w:t>
      </w:r>
    </w:p>
    <w:p w14:paraId="7488CDB6" w14:textId="77777777" w:rsidR="00236748" w:rsidRPr="00276391" w:rsidRDefault="00236748" w:rsidP="00417439">
      <w:pPr>
        <w:pStyle w:val="DHHSbullet2"/>
        <w:rPr>
          <w:lang w:eastAsia="en-AU"/>
        </w:rPr>
      </w:pPr>
      <w:r w:rsidRPr="00B24C02">
        <w:rPr>
          <w:lang w:eastAsia="en-AU"/>
        </w:rPr>
        <w:t>Do</w:t>
      </w:r>
      <w:r w:rsidR="005D5532" w:rsidRPr="00B24C02">
        <w:rPr>
          <w:lang w:eastAsia="en-AU"/>
        </w:rPr>
        <w:t xml:space="preserve"> </w:t>
      </w:r>
      <w:r w:rsidRPr="00B24C02">
        <w:rPr>
          <w:lang w:eastAsia="en-AU"/>
        </w:rPr>
        <w:t>I</w:t>
      </w:r>
      <w:r w:rsidR="005D5532" w:rsidRPr="00B24C02">
        <w:rPr>
          <w:lang w:eastAsia="en-AU"/>
        </w:rPr>
        <w:t xml:space="preserve"> </w:t>
      </w:r>
      <w:r w:rsidRPr="00B24C02">
        <w:rPr>
          <w:lang w:eastAsia="en-AU"/>
        </w:rPr>
        <w:t>have</w:t>
      </w:r>
      <w:r w:rsidR="005D5532" w:rsidRPr="00B24C02">
        <w:rPr>
          <w:lang w:eastAsia="en-AU"/>
        </w:rPr>
        <w:t xml:space="preserve"> </w:t>
      </w:r>
      <w:r w:rsidRPr="00B24C02">
        <w:rPr>
          <w:lang w:eastAsia="en-AU"/>
        </w:rPr>
        <w:t>any</w:t>
      </w:r>
      <w:r w:rsidR="005D5532" w:rsidRPr="00B24C02">
        <w:rPr>
          <w:lang w:eastAsia="en-AU"/>
        </w:rPr>
        <w:t xml:space="preserve"> </w:t>
      </w:r>
      <w:r w:rsidRPr="00B24C02">
        <w:rPr>
          <w:lang w:eastAsia="en-AU"/>
        </w:rPr>
        <w:t>personal</w:t>
      </w:r>
      <w:r w:rsidR="005D5532" w:rsidRPr="00B24C02">
        <w:rPr>
          <w:lang w:eastAsia="en-AU"/>
        </w:rPr>
        <w:t xml:space="preserve"> </w:t>
      </w:r>
      <w:r w:rsidRPr="00B24C02">
        <w:rPr>
          <w:lang w:eastAsia="en-AU"/>
        </w:rPr>
        <w:t>or</w:t>
      </w:r>
      <w:r w:rsidR="005D5532" w:rsidRPr="00B24C02">
        <w:rPr>
          <w:lang w:eastAsia="en-AU"/>
        </w:rPr>
        <w:t xml:space="preserve"> </w:t>
      </w:r>
      <w:r w:rsidRPr="00B24C02">
        <w:rPr>
          <w:lang w:eastAsia="en-AU"/>
        </w:rPr>
        <w:t>private</w:t>
      </w:r>
      <w:r w:rsidR="005D5532" w:rsidRPr="00B24C02">
        <w:rPr>
          <w:lang w:eastAsia="en-AU"/>
        </w:rPr>
        <w:t xml:space="preserve"> </w:t>
      </w:r>
      <w:r w:rsidRPr="00B24C02">
        <w:rPr>
          <w:lang w:eastAsia="en-AU"/>
        </w:rPr>
        <w:t>interests</w:t>
      </w:r>
      <w:r w:rsidR="005D5532" w:rsidRPr="00B24C02">
        <w:rPr>
          <w:lang w:eastAsia="en-AU"/>
        </w:rPr>
        <w:t xml:space="preserve"> </w:t>
      </w:r>
      <w:r w:rsidRPr="00B24C02">
        <w:rPr>
          <w:lang w:eastAsia="en-AU"/>
        </w:rPr>
        <w:t>in</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matter</w:t>
      </w:r>
      <w:r w:rsidR="005D5532" w:rsidRPr="00B24C02">
        <w:rPr>
          <w:lang w:eastAsia="en-AU"/>
        </w:rPr>
        <w:t xml:space="preserve"> </w:t>
      </w:r>
      <w:r w:rsidRPr="00B24C02">
        <w:rPr>
          <w:lang w:eastAsia="en-AU"/>
        </w:rPr>
        <w:t>that</w:t>
      </w:r>
      <w:r w:rsidR="005D5532" w:rsidRPr="00B24C02">
        <w:rPr>
          <w:lang w:eastAsia="en-AU"/>
        </w:rPr>
        <w:t xml:space="preserve"> </w:t>
      </w:r>
      <w:r w:rsidRPr="00B24C02">
        <w:rPr>
          <w:lang w:eastAsia="en-AU"/>
        </w:rPr>
        <w:t>may</w:t>
      </w:r>
      <w:r w:rsidR="005D5532" w:rsidRPr="00B24C02">
        <w:rPr>
          <w:lang w:eastAsia="en-AU"/>
        </w:rPr>
        <w:t xml:space="preserve"> </w:t>
      </w:r>
      <w:r w:rsidRPr="00B24C02">
        <w:rPr>
          <w:lang w:eastAsia="en-AU"/>
        </w:rPr>
        <w:t>conflict</w:t>
      </w:r>
      <w:r w:rsidR="005D5532" w:rsidRPr="00B24C02">
        <w:rPr>
          <w:lang w:eastAsia="en-AU"/>
        </w:rPr>
        <w:t xml:space="preserve"> </w:t>
      </w:r>
      <w:r w:rsidRPr="00B24C02">
        <w:rPr>
          <w:lang w:eastAsia="en-AU"/>
        </w:rPr>
        <w:t>or</w:t>
      </w:r>
      <w:r w:rsidR="005D5532" w:rsidRPr="00B24C02">
        <w:rPr>
          <w:lang w:eastAsia="en-AU"/>
        </w:rPr>
        <w:t xml:space="preserve"> </w:t>
      </w:r>
      <w:r w:rsidRPr="00B24C02">
        <w:rPr>
          <w:lang w:eastAsia="en-AU"/>
        </w:rPr>
        <w:t>be</w:t>
      </w:r>
      <w:r w:rsidR="005D5532" w:rsidRPr="00B24C02">
        <w:rPr>
          <w:lang w:eastAsia="en-AU"/>
        </w:rPr>
        <w:t xml:space="preserve"> </w:t>
      </w:r>
      <w:r w:rsidRPr="00B24C02">
        <w:rPr>
          <w:lang w:eastAsia="en-AU"/>
        </w:rPr>
        <w:t>perceived</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conflict</w:t>
      </w:r>
      <w:r w:rsidR="005D5532" w:rsidRPr="00B24C02">
        <w:rPr>
          <w:lang w:eastAsia="en-AU"/>
        </w:rPr>
        <w:t xml:space="preserve"> </w:t>
      </w:r>
      <w:r w:rsidRPr="00B24C02">
        <w:rPr>
          <w:lang w:eastAsia="en-AU"/>
        </w:rPr>
        <w:t>with</w:t>
      </w:r>
      <w:r w:rsidR="005D5532" w:rsidRPr="00B24C02">
        <w:rPr>
          <w:lang w:eastAsia="en-AU"/>
        </w:rPr>
        <w:t xml:space="preserve"> </w:t>
      </w:r>
      <w:r w:rsidRPr="00B24C02">
        <w:rPr>
          <w:lang w:eastAsia="en-AU"/>
        </w:rPr>
        <w:t>my</w:t>
      </w:r>
      <w:r w:rsidR="005D5532" w:rsidRPr="00B24C02">
        <w:rPr>
          <w:lang w:eastAsia="en-AU"/>
        </w:rPr>
        <w:t xml:space="preserve"> </w:t>
      </w:r>
      <w:r w:rsidRPr="00B24C02">
        <w:rPr>
          <w:lang w:eastAsia="en-AU"/>
        </w:rPr>
        <w:t>duties</w:t>
      </w:r>
      <w:r w:rsidR="005D5532" w:rsidRPr="00B24C02">
        <w:rPr>
          <w:lang w:eastAsia="en-AU"/>
        </w:rPr>
        <w:t xml:space="preserve"> </w:t>
      </w:r>
      <w:r w:rsidRPr="00B24C02">
        <w:rPr>
          <w:lang w:eastAsia="en-AU"/>
        </w:rPr>
        <w:t>in</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organisation?</w:t>
      </w:r>
      <w:r w:rsidR="005D5532" w:rsidRPr="00B24C02">
        <w:rPr>
          <w:lang w:eastAsia="en-AU"/>
        </w:rPr>
        <w:t xml:space="preserve"> </w:t>
      </w:r>
    </w:p>
    <w:p w14:paraId="3F48A997" w14:textId="77777777" w:rsidR="00236748" w:rsidRPr="00276391" w:rsidRDefault="00236748" w:rsidP="00417439">
      <w:pPr>
        <w:pStyle w:val="DHHSbullet2"/>
        <w:rPr>
          <w:lang w:eastAsia="en-AU"/>
        </w:rPr>
      </w:pPr>
      <w:r w:rsidRPr="00276391">
        <w:rPr>
          <w:lang w:eastAsia="en-AU"/>
        </w:rPr>
        <w:t>Could</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benefit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me,</w:t>
      </w:r>
      <w:r w:rsidR="005D5532" w:rsidRPr="00276391">
        <w:rPr>
          <w:lang w:eastAsia="en-AU"/>
        </w:rPr>
        <w:t xml:space="preserve"> </w:t>
      </w:r>
      <w:r w:rsidRPr="00276391">
        <w:rPr>
          <w:lang w:eastAsia="en-AU"/>
        </w:rPr>
        <w:t>my</w:t>
      </w:r>
      <w:r w:rsidR="005D5532" w:rsidRPr="00276391">
        <w:rPr>
          <w:lang w:eastAsia="en-AU"/>
        </w:rPr>
        <w:t xml:space="preserve"> </w:t>
      </w:r>
      <w:r w:rsidRPr="00276391">
        <w:rPr>
          <w:lang w:eastAsia="en-AU"/>
        </w:rPr>
        <w:t>family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friends</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future</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I</w:t>
      </w:r>
      <w:r w:rsidR="005D5532" w:rsidRPr="00276391">
        <w:rPr>
          <w:lang w:eastAsia="en-AU"/>
        </w:rPr>
        <w:t xml:space="preserve"> </w:t>
      </w:r>
      <w:r w:rsidRPr="00276391">
        <w:rPr>
          <w:lang w:eastAsia="en-AU"/>
        </w:rPr>
        <w:t>involve</w:t>
      </w:r>
      <w:r w:rsidR="005D5532" w:rsidRPr="00276391">
        <w:rPr>
          <w:lang w:eastAsia="en-AU"/>
        </w:rPr>
        <w:t xml:space="preserve"> </w:t>
      </w:r>
      <w:r w:rsidRPr="00276391">
        <w:rPr>
          <w:lang w:eastAsia="en-AU"/>
        </w:rPr>
        <w:t>myself</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matter?</w:t>
      </w:r>
      <w:r w:rsidR="005D5532" w:rsidRPr="00276391">
        <w:rPr>
          <w:lang w:eastAsia="en-AU"/>
        </w:rPr>
        <w:t xml:space="preserve"> </w:t>
      </w:r>
    </w:p>
    <w:p w14:paraId="619EE40A" w14:textId="77777777" w:rsidR="00236748" w:rsidRPr="00276391" w:rsidRDefault="00236748" w:rsidP="00417439">
      <w:pPr>
        <w:pStyle w:val="DHHSbullet2"/>
        <w:rPr>
          <w:lang w:eastAsia="en-AU"/>
        </w:rPr>
      </w:pPr>
      <w:r w:rsidRPr="00276391">
        <w:rPr>
          <w:lang w:eastAsia="en-AU"/>
        </w:rPr>
        <w:t>How</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my</w:t>
      </w:r>
      <w:r w:rsidR="005D5532" w:rsidRPr="00276391">
        <w:rPr>
          <w:lang w:eastAsia="en-AU"/>
        </w:rPr>
        <w:t xml:space="preserve"> </w:t>
      </w:r>
      <w:r w:rsidRPr="00276391">
        <w:rPr>
          <w:lang w:eastAsia="en-AU"/>
        </w:rPr>
        <w:t>involvement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viewed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others?</w:t>
      </w:r>
      <w:r w:rsidR="005D5532" w:rsidRPr="00276391">
        <w:rPr>
          <w:lang w:eastAsia="en-AU"/>
        </w:rPr>
        <w:t xml:space="preserve"> </w:t>
      </w:r>
    </w:p>
    <w:p w14:paraId="279F39D6" w14:textId="77777777" w:rsidR="00236748" w:rsidRPr="00276391" w:rsidRDefault="00236748" w:rsidP="00417439">
      <w:pPr>
        <w:pStyle w:val="DHHSbullet2"/>
        <w:rPr>
          <w:lang w:eastAsia="en-AU"/>
        </w:rPr>
      </w:pPr>
      <w:r w:rsidRPr="00276391">
        <w:rPr>
          <w:lang w:eastAsia="en-AU"/>
        </w:rPr>
        <w:t>Does</w:t>
      </w:r>
      <w:r w:rsidR="005D5532" w:rsidRPr="00276391">
        <w:rPr>
          <w:lang w:eastAsia="en-AU"/>
        </w:rPr>
        <w:t xml:space="preserve"> </w:t>
      </w:r>
      <w:r w:rsidRPr="00276391">
        <w:rPr>
          <w:lang w:eastAsia="en-AU"/>
        </w:rPr>
        <w:t>my</w:t>
      </w:r>
      <w:r w:rsidR="005D5532" w:rsidRPr="00276391">
        <w:rPr>
          <w:lang w:eastAsia="en-AU"/>
        </w:rPr>
        <w:t xml:space="preserve"> </w:t>
      </w:r>
      <w:r w:rsidRPr="00276391">
        <w:rPr>
          <w:lang w:eastAsia="en-AU"/>
        </w:rPr>
        <w:t>involvement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decision</w:t>
      </w:r>
      <w:r w:rsidR="005D5532" w:rsidRPr="00276391">
        <w:rPr>
          <w:lang w:eastAsia="en-AU"/>
        </w:rPr>
        <w:t xml:space="preserve"> </w:t>
      </w:r>
      <w:r w:rsidRPr="00276391">
        <w:rPr>
          <w:lang w:eastAsia="en-AU"/>
        </w:rPr>
        <w:t>being</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appear</w:t>
      </w:r>
      <w:r w:rsidR="005D5532" w:rsidRPr="00276391">
        <w:rPr>
          <w:lang w:eastAsia="en-AU"/>
        </w:rPr>
        <w:t xml:space="preserve"> </w:t>
      </w:r>
      <w:r w:rsidRPr="00276391">
        <w:rPr>
          <w:lang w:eastAsia="en-AU"/>
        </w:rPr>
        <w:t>fair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reasonable?</w:t>
      </w:r>
    </w:p>
    <w:p w14:paraId="227A974B" w14:textId="77777777" w:rsidR="00236748" w:rsidRPr="00276391" w:rsidRDefault="00236748" w:rsidP="00276391">
      <w:pPr>
        <w:pStyle w:val="DHHSbullet1"/>
        <w:rPr>
          <w:rFonts w:cs="Arial"/>
          <w:lang w:eastAsia="en-AU"/>
        </w:rPr>
      </w:pPr>
      <w:r w:rsidRPr="00276391">
        <w:rPr>
          <w:rFonts w:cs="Arial"/>
          <w:lang w:eastAsia="en-AU"/>
        </w:rPr>
        <w:t>Procedures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enable</w:t>
      </w:r>
      <w:r w:rsidR="005D5532" w:rsidRPr="00276391">
        <w:rPr>
          <w:rFonts w:cs="Arial"/>
          <w:lang w:eastAsia="en-AU"/>
        </w:rPr>
        <w:t xml:space="preserve"> </w:t>
      </w:r>
      <w:r w:rsidRPr="00276391">
        <w:rPr>
          <w:rFonts w:cs="Arial"/>
          <w:lang w:eastAsia="en-AU"/>
        </w:rPr>
        <w:t>timely</w:t>
      </w:r>
      <w:r w:rsidR="005D5532" w:rsidRPr="00276391">
        <w:rPr>
          <w:rFonts w:cs="Arial"/>
          <w:lang w:eastAsia="en-AU"/>
        </w:rPr>
        <w:t xml:space="preserve"> </w:t>
      </w:r>
      <w:r w:rsidRPr="00276391">
        <w:rPr>
          <w:rFonts w:cs="Arial"/>
          <w:lang w:eastAsia="en-AU"/>
        </w:rPr>
        <w:t>disclosure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conflicts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process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registering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recording</w:t>
      </w:r>
      <w:r w:rsidR="005D5532" w:rsidRPr="00276391">
        <w:rPr>
          <w:rFonts w:cs="Arial"/>
          <w:lang w:eastAsia="en-AU"/>
        </w:rPr>
        <w:t xml:space="preserve"> </w:t>
      </w:r>
      <w:r w:rsidRPr="00276391">
        <w:rPr>
          <w:rFonts w:cs="Arial"/>
          <w:lang w:eastAsia="en-AU"/>
        </w:rPr>
        <w:t>conflict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could</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put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place,</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r w:rsidRPr="00276391">
        <w:rPr>
          <w:rFonts w:cs="Arial"/>
          <w:lang w:eastAsia="en-AU"/>
        </w:rPr>
        <w:t>introducing</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annual</w:t>
      </w:r>
      <w:r w:rsidR="005D5532" w:rsidRPr="00276391">
        <w:rPr>
          <w:rFonts w:cs="Arial"/>
          <w:lang w:eastAsia="en-AU"/>
        </w:rPr>
        <w:t xml:space="preserve"> </w:t>
      </w:r>
      <w:r w:rsidRPr="00276391">
        <w:rPr>
          <w:rFonts w:cs="Arial"/>
          <w:lang w:eastAsia="en-AU"/>
        </w:rPr>
        <w:t>basis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process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declare</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private</w:t>
      </w:r>
      <w:r w:rsidR="005D5532" w:rsidRPr="00276391">
        <w:rPr>
          <w:rFonts w:cs="Arial"/>
          <w:lang w:eastAsia="en-AU"/>
        </w:rPr>
        <w:t xml:space="preserve"> </w:t>
      </w:r>
      <w:r w:rsidRPr="00276391">
        <w:rPr>
          <w:rFonts w:cs="Arial"/>
          <w:lang w:eastAsia="en-AU"/>
        </w:rPr>
        <w:t>interests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implications.</w:t>
      </w:r>
      <w:r w:rsidR="005D5532" w:rsidRPr="00276391">
        <w:rPr>
          <w:rFonts w:cs="Arial"/>
          <w:lang w:eastAsia="en-AU"/>
        </w:rPr>
        <w:t xml:space="preserve"> </w:t>
      </w:r>
    </w:p>
    <w:p w14:paraId="540AD5D6" w14:textId="77777777" w:rsidR="00236748" w:rsidRPr="00276391" w:rsidRDefault="00236748" w:rsidP="00276391">
      <w:pPr>
        <w:pStyle w:val="DHHSbullet1"/>
        <w:rPr>
          <w:rFonts w:cs="Arial"/>
          <w:lang w:eastAsia="en-AU"/>
        </w:rPr>
      </w:pPr>
      <w:r w:rsidRPr="00276391">
        <w:rPr>
          <w:rFonts w:cs="Arial"/>
          <w:lang w:eastAsia="en-AU"/>
        </w:rPr>
        <w:t>Rules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require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representative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restrict</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Pr="00276391">
        <w:rPr>
          <w:rFonts w:cs="Arial"/>
          <w:lang w:eastAsia="en-AU"/>
        </w:rPr>
        <w:t>involvement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matters</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conflict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interest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likely</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arise,</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r w:rsidRPr="00276391">
        <w:rPr>
          <w:rFonts w:cs="Arial"/>
          <w:lang w:eastAsia="en-AU"/>
        </w:rPr>
        <w:t>removing</w:t>
      </w:r>
      <w:r w:rsidR="005D5532" w:rsidRPr="00276391">
        <w:rPr>
          <w:rFonts w:cs="Arial"/>
          <w:lang w:eastAsia="en-AU"/>
        </w:rPr>
        <w:t xml:space="preserve"> </w:t>
      </w:r>
      <w:r w:rsidRPr="00276391">
        <w:rPr>
          <w:rFonts w:cs="Arial"/>
          <w:lang w:eastAsia="en-AU"/>
        </w:rPr>
        <w:t>themselves</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decisions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votes</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matters.</w:t>
      </w:r>
      <w:r w:rsidR="005D5532" w:rsidRPr="00276391">
        <w:rPr>
          <w:rFonts w:cs="Arial"/>
          <w:lang w:eastAsia="en-AU"/>
        </w:rPr>
        <w:t xml:space="preserve"> </w:t>
      </w:r>
    </w:p>
    <w:p w14:paraId="3EBA586C" w14:textId="77777777" w:rsidR="00236748" w:rsidRPr="00276391" w:rsidRDefault="00236748" w:rsidP="00276391">
      <w:pPr>
        <w:pStyle w:val="DHHSbullet1"/>
        <w:rPr>
          <w:rFonts w:cs="Arial"/>
          <w:lang w:eastAsia="en-AU"/>
        </w:rPr>
      </w:pPr>
      <w:r w:rsidRPr="00276391">
        <w:rPr>
          <w:rFonts w:cs="Arial"/>
          <w:lang w:eastAsia="en-AU"/>
        </w:rPr>
        <w:t>Procurement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employment</w:t>
      </w:r>
      <w:r w:rsidR="005D5532" w:rsidRPr="00276391">
        <w:rPr>
          <w:rFonts w:cs="Arial"/>
          <w:lang w:eastAsia="en-AU"/>
        </w:rPr>
        <w:t xml:space="preserve"> </w:t>
      </w:r>
      <w:r w:rsidRPr="00276391">
        <w:rPr>
          <w:rFonts w:cs="Arial"/>
          <w:lang w:eastAsia="en-AU"/>
        </w:rPr>
        <w:t>processes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appropriate,</w:t>
      </w:r>
      <w:r w:rsidR="005D5532" w:rsidRPr="00276391">
        <w:rPr>
          <w:rFonts w:cs="Arial"/>
          <w:lang w:eastAsia="en-AU"/>
        </w:rPr>
        <w:t xml:space="preserve"> </w:t>
      </w:r>
      <w:r w:rsidRPr="00276391">
        <w:rPr>
          <w:rFonts w:cs="Arial"/>
          <w:lang w:eastAsia="en-AU"/>
        </w:rPr>
        <w:t>transparent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fair.</w:t>
      </w:r>
      <w:r w:rsidR="005D5532" w:rsidRPr="00276391">
        <w:rPr>
          <w:rFonts w:cs="Arial"/>
          <w:lang w:eastAsia="en-AU"/>
        </w:rPr>
        <w:t xml:space="preserve"> </w:t>
      </w:r>
    </w:p>
    <w:p w14:paraId="0DDEED5F"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would</w:t>
      </w:r>
      <w:r w:rsidR="005D5532" w:rsidRPr="00B24C02">
        <w:rPr>
          <w:rFonts w:cs="Arial"/>
          <w:color w:val="000000"/>
          <w:szCs w:val="19"/>
          <w:lang w:eastAsia="en-AU"/>
        </w:rPr>
        <w:t xml:space="preserve"> </w:t>
      </w:r>
      <w:r w:rsidRPr="00B24C02">
        <w:rPr>
          <w:rFonts w:cs="Arial"/>
          <w:color w:val="000000"/>
          <w:szCs w:val="19"/>
          <w:lang w:eastAsia="en-AU"/>
        </w:rPr>
        <w:t>like</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disclosure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number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resources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available</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p>
    <w:p w14:paraId="3C450996" w14:textId="19D14C4C" w:rsidR="00236748" w:rsidRPr="007A55C2" w:rsidRDefault="0016341D" w:rsidP="007A55C2">
      <w:pPr>
        <w:pStyle w:val="DHHSbullet1"/>
        <w:rPr>
          <w:rFonts w:cs="Arial"/>
          <w:lang w:eastAsia="en-AU"/>
        </w:rPr>
      </w:pPr>
      <w:hyperlink r:id="rId66" w:history="1">
        <w:r w:rsidR="00236748" w:rsidRPr="007A55C2">
          <w:rPr>
            <w:rStyle w:val="Hyperlink"/>
          </w:rPr>
          <w:t>Our</w:t>
        </w:r>
        <w:r w:rsidR="005D5532" w:rsidRPr="007A55C2">
          <w:rPr>
            <w:rStyle w:val="Hyperlink"/>
          </w:rPr>
          <w:t xml:space="preserve"> </w:t>
        </w:r>
        <w:r w:rsidR="00236748" w:rsidRPr="007A55C2">
          <w:rPr>
            <w:rStyle w:val="Hyperlink"/>
          </w:rPr>
          <w:t>Community</w:t>
        </w:r>
        <w:r w:rsidR="005D5532" w:rsidRPr="007A55C2">
          <w:rPr>
            <w:rStyle w:val="Hyperlink"/>
          </w:rPr>
          <w:t xml:space="preserve"> </w:t>
        </w:r>
        <w:r w:rsidR="00236748" w:rsidRPr="007A55C2">
          <w:rPr>
            <w:rStyle w:val="Hyperlink"/>
          </w:rPr>
          <w:t>website</w:t>
        </w:r>
      </w:hyperlink>
      <w:r w:rsidR="006250C7">
        <w:rPr>
          <w:rFonts w:cs="Arial"/>
          <w:color w:val="000000"/>
          <w:szCs w:val="19"/>
          <w:lang w:eastAsia="en-AU"/>
        </w:rPr>
        <w:t xml:space="preserve"> </w:t>
      </w:r>
      <w:r w:rsidR="007A55C2" w:rsidRPr="007A55C2">
        <w:rPr>
          <w:rFonts w:cs="Arial"/>
          <w:color w:val="000000"/>
          <w:szCs w:val="19"/>
          <w:lang w:eastAsia="en-AU"/>
        </w:rPr>
        <w:t>https://www.communitydirectors.com.au/icda/</w:t>
      </w:r>
      <w:r w:rsidR="00F2187D" w:rsidRPr="007A55C2">
        <w:rPr>
          <w:rFonts w:cs="Arial"/>
          <w:color w:val="000000"/>
          <w:szCs w:val="19"/>
          <w:lang w:eastAsia="en-AU"/>
        </w:rPr>
        <w:t xml:space="preserve">&gt; </w:t>
      </w:r>
      <w:r w:rsidR="00236748" w:rsidRPr="007A55C2">
        <w:rPr>
          <w:rFonts w:cs="Arial"/>
          <w:color w:val="000000"/>
          <w:szCs w:val="19"/>
          <w:lang w:eastAsia="en-AU"/>
        </w:rPr>
        <w:t>(external</w:t>
      </w:r>
      <w:r w:rsidR="005D5532" w:rsidRPr="007A55C2">
        <w:rPr>
          <w:rFonts w:cs="Arial"/>
          <w:color w:val="000000"/>
          <w:szCs w:val="19"/>
          <w:lang w:eastAsia="en-AU"/>
        </w:rPr>
        <w:t xml:space="preserve"> </w:t>
      </w:r>
      <w:r w:rsidR="00236748" w:rsidRPr="007A55C2">
        <w:rPr>
          <w:rFonts w:cs="Arial"/>
          <w:color w:val="000000"/>
          <w:szCs w:val="19"/>
          <w:lang w:eastAsia="en-AU"/>
        </w:rPr>
        <w:t>link,</w:t>
      </w:r>
      <w:r w:rsidR="005D5532" w:rsidRPr="007A55C2">
        <w:rPr>
          <w:rFonts w:cs="Arial"/>
          <w:color w:val="000000"/>
          <w:szCs w:val="19"/>
          <w:lang w:eastAsia="en-AU"/>
        </w:rPr>
        <w:t xml:space="preserve"> </w:t>
      </w:r>
      <w:r w:rsidR="00EA74AB">
        <w:rPr>
          <w:rFonts w:cs="Arial"/>
          <w:color w:val="000000"/>
          <w:szCs w:val="19"/>
          <w:lang w:eastAsia="en-AU"/>
        </w:rPr>
        <w:t xml:space="preserve">opens in </w:t>
      </w:r>
      <w:r w:rsidR="00C62565">
        <w:rPr>
          <w:rFonts w:cs="Arial"/>
          <w:color w:val="000000"/>
          <w:szCs w:val="19"/>
          <w:lang w:eastAsia="en-AU"/>
        </w:rPr>
        <w:t>a new window</w:t>
      </w:r>
      <w:r w:rsidR="00236748" w:rsidRPr="007A55C2">
        <w:rPr>
          <w:rFonts w:cs="Arial"/>
          <w:color w:val="000000"/>
          <w:szCs w:val="19"/>
          <w:lang w:eastAsia="en-AU"/>
        </w:rPr>
        <w:t>)</w:t>
      </w:r>
      <w:r w:rsidR="005D5532" w:rsidRPr="007A55C2">
        <w:rPr>
          <w:rFonts w:cs="Arial"/>
          <w:color w:val="000000"/>
          <w:szCs w:val="19"/>
          <w:lang w:eastAsia="en-AU"/>
        </w:rPr>
        <w:t xml:space="preserve"> </w:t>
      </w:r>
    </w:p>
    <w:p w14:paraId="37A1B3A5" w14:textId="68D680DE" w:rsidR="00236748" w:rsidRPr="005812F9" w:rsidRDefault="00236748" w:rsidP="005812F9">
      <w:pPr>
        <w:pStyle w:val="DHHSbullet1"/>
        <w:rPr>
          <w:rFonts w:cs="Arial"/>
          <w:lang w:eastAsia="en-AU"/>
        </w:rPr>
      </w:pPr>
      <w:r w:rsidRPr="005812F9">
        <w:rPr>
          <w:rFonts w:cs="Arial"/>
          <w:lang w:eastAsia="en-AU"/>
        </w:rPr>
        <w:t>Not-for-profit</w:t>
      </w:r>
      <w:r w:rsidR="005D5532" w:rsidRPr="005812F9">
        <w:rPr>
          <w:rFonts w:cs="Arial"/>
          <w:lang w:eastAsia="en-AU"/>
        </w:rPr>
        <w:t xml:space="preserve"> </w:t>
      </w:r>
      <w:r w:rsidRPr="005812F9">
        <w:rPr>
          <w:rFonts w:cs="Arial"/>
          <w:lang w:eastAsia="en-AU"/>
        </w:rPr>
        <w:t>Law</w:t>
      </w:r>
      <w:r w:rsidR="005D5532" w:rsidRPr="005812F9">
        <w:rPr>
          <w:rFonts w:cs="Arial"/>
          <w:lang w:eastAsia="en-AU"/>
        </w:rPr>
        <w:t xml:space="preserve"> </w:t>
      </w:r>
      <w:hyperlink r:id="rId67" w:tgtFrame="_blank" w:history="1">
        <w:r w:rsidRPr="00C94233">
          <w:rPr>
            <w:rStyle w:val="Hyperlink"/>
          </w:rPr>
          <w:t>Guide</w:t>
        </w:r>
        <w:r w:rsidR="005D5532" w:rsidRPr="00C94233">
          <w:rPr>
            <w:rStyle w:val="Hyperlink"/>
          </w:rPr>
          <w:t xml:space="preserve"> </w:t>
        </w:r>
        <w:r w:rsidRPr="00C94233">
          <w:rPr>
            <w:rStyle w:val="Hyperlink"/>
          </w:rPr>
          <w:t>to</w:t>
        </w:r>
        <w:r w:rsidR="005D5532" w:rsidRPr="00C94233">
          <w:rPr>
            <w:rStyle w:val="Hyperlink"/>
          </w:rPr>
          <w:t xml:space="preserve"> </w:t>
        </w:r>
        <w:r w:rsidRPr="00C94233">
          <w:rPr>
            <w:rStyle w:val="Hyperlink"/>
          </w:rPr>
          <w:t>legal</w:t>
        </w:r>
        <w:r w:rsidR="005D5532" w:rsidRPr="00C94233">
          <w:rPr>
            <w:rStyle w:val="Hyperlink"/>
          </w:rPr>
          <w:t xml:space="preserve"> </w:t>
        </w:r>
        <w:r w:rsidRPr="00C94233">
          <w:rPr>
            <w:rStyle w:val="Hyperlink"/>
          </w:rPr>
          <w:t>duties</w:t>
        </w:r>
        <w:r w:rsidR="005D5532" w:rsidRPr="00C94233">
          <w:rPr>
            <w:rStyle w:val="Hyperlink"/>
          </w:rPr>
          <w:t xml:space="preserve"> </w:t>
        </w:r>
        <w:r w:rsidRPr="00C94233">
          <w:rPr>
            <w:rStyle w:val="Hyperlink"/>
          </w:rPr>
          <w:t>of</w:t>
        </w:r>
        <w:r w:rsidR="005D5532" w:rsidRPr="00C94233">
          <w:rPr>
            <w:rStyle w:val="Hyperlink"/>
          </w:rPr>
          <w:t xml:space="preserve"> </w:t>
        </w:r>
        <w:r w:rsidRPr="00C94233">
          <w:rPr>
            <w:rStyle w:val="Hyperlink"/>
          </w:rPr>
          <w:t>Committee</w:t>
        </w:r>
        <w:r w:rsidR="005D5532" w:rsidRPr="00C94233">
          <w:rPr>
            <w:rStyle w:val="Hyperlink"/>
          </w:rPr>
          <w:t xml:space="preserve"> </w:t>
        </w:r>
        <w:r w:rsidRPr="00C94233">
          <w:rPr>
            <w:rStyle w:val="Hyperlink"/>
          </w:rPr>
          <w:t>or</w:t>
        </w:r>
        <w:r w:rsidR="005D5532" w:rsidRPr="00C94233">
          <w:rPr>
            <w:rStyle w:val="Hyperlink"/>
          </w:rPr>
          <w:t xml:space="preserve"> </w:t>
        </w:r>
        <w:r w:rsidRPr="00C94233">
          <w:rPr>
            <w:rStyle w:val="Hyperlink"/>
          </w:rPr>
          <w:t>Board</w:t>
        </w:r>
        <w:r w:rsidR="005D5532" w:rsidRPr="00C94233">
          <w:rPr>
            <w:rStyle w:val="Hyperlink"/>
          </w:rPr>
          <w:t xml:space="preserve"> </w:t>
        </w:r>
        <w:r w:rsidRPr="00C94233">
          <w:rPr>
            <w:rStyle w:val="Hyperlink"/>
          </w:rPr>
          <w:t>members</w:t>
        </w:r>
        <w:r w:rsidR="005D5532" w:rsidRPr="00C94233">
          <w:rPr>
            <w:rStyle w:val="Hyperlink"/>
          </w:rPr>
          <w:t xml:space="preserve"> </w:t>
        </w:r>
        <w:r w:rsidRPr="00C94233">
          <w:rPr>
            <w:rStyle w:val="Hyperlink"/>
          </w:rPr>
          <w:t>for</w:t>
        </w:r>
        <w:r w:rsidR="005D5532" w:rsidRPr="00C94233">
          <w:rPr>
            <w:rStyle w:val="Hyperlink"/>
          </w:rPr>
          <w:t xml:space="preserve"> </w:t>
        </w:r>
        <w:r w:rsidRPr="00C94233">
          <w:rPr>
            <w:rStyle w:val="Hyperlink"/>
          </w:rPr>
          <w:t>not-for-profit</w:t>
        </w:r>
        <w:r w:rsidR="005D5532" w:rsidRPr="00C94233">
          <w:rPr>
            <w:rStyle w:val="Hyperlink"/>
          </w:rPr>
          <w:t xml:space="preserve"> </w:t>
        </w:r>
        <w:r w:rsidRPr="00C94233">
          <w:rPr>
            <w:rStyle w:val="Hyperlink"/>
          </w:rPr>
          <w:t>community</w:t>
        </w:r>
        <w:r w:rsidR="005D5532" w:rsidRPr="00C94233">
          <w:rPr>
            <w:rStyle w:val="Hyperlink"/>
          </w:rPr>
          <w:t xml:space="preserve"> </w:t>
        </w:r>
        <w:r w:rsidRPr="00C94233">
          <w:rPr>
            <w:rStyle w:val="Hyperlink"/>
          </w:rPr>
          <w:t>organisations</w:t>
        </w:r>
      </w:hyperlink>
      <w:r w:rsidR="005812F9">
        <w:rPr>
          <w:rStyle w:val="Hyperlink"/>
        </w:rPr>
        <w:t xml:space="preserve"> </w:t>
      </w:r>
      <w:r w:rsidR="005812F9" w:rsidRPr="005812F9">
        <w:rPr>
          <w:rFonts w:cs="Arial"/>
          <w:color w:val="000000"/>
          <w:szCs w:val="19"/>
          <w:lang w:eastAsia="en-AU"/>
        </w:rPr>
        <w:t>&lt;http://www.nfplaw.org.au/governance&gt;</w:t>
      </w:r>
      <w:r w:rsidR="005D5532" w:rsidRPr="005812F9">
        <w:rPr>
          <w:rFonts w:cs="Arial"/>
          <w:lang w:eastAsia="en-AU"/>
        </w:rPr>
        <w:t xml:space="preserve"> </w:t>
      </w:r>
      <w:r w:rsidR="00FE7C25" w:rsidRPr="007A55C2">
        <w:rPr>
          <w:rFonts w:cs="Arial"/>
          <w:lang w:eastAsia="en-AU"/>
        </w:rPr>
        <w:t xml:space="preserve">(external link, </w:t>
      </w:r>
      <w:r w:rsidR="00FE7C25">
        <w:rPr>
          <w:rFonts w:cs="Arial"/>
          <w:lang w:eastAsia="en-AU"/>
        </w:rPr>
        <w:t>opens in a new window</w:t>
      </w:r>
      <w:r w:rsidR="00FE7C25" w:rsidRPr="007A55C2">
        <w:rPr>
          <w:rFonts w:cs="Arial"/>
          <w:lang w:eastAsia="en-AU"/>
        </w:rPr>
        <w:t>)</w:t>
      </w:r>
      <w:r w:rsidR="00FE7C25">
        <w:rPr>
          <w:rFonts w:cs="Arial"/>
          <w:lang w:eastAsia="en-AU"/>
        </w:rPr>
        <w:t>.</w:t>
      </w:r>
    </w:p>
    <w:p w14:paraId="5175922A" w14:textId="77777777" w:rsidR="00236748" w:rsidRPr="00276391" w:rsidRDefault="00236748" w:rsidP="00276391">
      <w:pPr>
        <w:pStyle w:val="DHHSbody"/>
        <w:rPr>
          <w:lang w:eastAsia="en-AU"/>
        </w:rPr>
      </w:pPr>
      <w:r w:rsidRPr="00B24C02">
        <w:rPr>
          <w:rFonts w:cs="Arial"/>
          <w:color w:val="000000"/>
          <w:szCs w:val="19"/>
          <w:lang w:eastAsia="en-AU"/>
        </w:rPr>
        <w:lastRenderedPageBreak/>
        <w:t>Organisations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peak</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resources.</w:t>
      </w:r>
    </w:p>
    <w:p w14:paraId="26752B34" w14:textId="1BE19BA8" w:rsidR="00236748" w:rsidRPr="00276391" w:rsidRDefault="00236748" w:rsidP="00276391">
      <w:pPr>
        <w:pStyle w:val="Heading3"/>
        <w:rPr>
          <w:lang w:eastAsia="en-AU"/>
        </w:rPr>
      </w:pPr>
      <w:bookmarkStart w:id="304" w:name="_Toc478991791"/>
      <w:bookmarkStart w:id="305" w:name="_Toc478992373"/>
      <w:bookmarkStart w:id="306" w:name="_Toc4142049"/>
      <w:r w:rsidRPr="00276391">
        <w:rPr>
          <w:lang w:eastAsia="en-AU"/>
        </w:rPr>
        <w:t>What</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occur</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bookmarkEnd w:id="304"/>
      <w:bookmarkEnd w:id="305"/>
      <w:bookmarkEnd w:id="306"/>
    </w:p>
    <w:p w14:paraId="78072A7A" w14:textId="765257F5" w:rsidR="00236748" w:rsidRPr="00276391" w:rsidRDefault="00236748" w:rsidP="00276391">
      <w:pPr>
        <w:pStyle w:val="DHHSbody"/>
        <w:rPr>
          <w:lang w:eastAsia="en-AU"/>
        </w:rPr>
      </w:pP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agree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best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knowledge</w:t>
      </w:r>
      <w:r w:rsidR="005D5532" w:rsidRPr="00B24C02">
        <w:rPr>
          <w:rFonts w:cs="Arial"/>
          <w:color w:val="000000"/>
          <w:szCs w:val="19"/>
          <w:lang w:eastAsia="en-AU"/>
        </w:rPr>
        <w:t xml:space="preserve"> </w:t>
      </w: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actual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conflicts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likely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arise</w:t>
      </w:r>
      <w:r w:rsidR="005D5532" w:rsidRPr="00B24C02">
        <w:rPr>
          <w:rFonts w:cs="Arial"/>
          <w:color w:val="000000"/>
          <w:szCs w:val="19"/>
          <w:lang w:eastAsia="en-AU"/>
        </w:rPr>
        <w:t xml:space="preserve"> </w:t>
      </w:r>
      <w:r w:rsidRPr="00B24C02">
        <w:rPr>
          <w:rFonts w:cs="Arial"/>
          <w:color w:val="000000"/>
          <w:szCs w:val="19"/>
          <w:lang w:eastAsia="en-AU"/>
        </w:rPr>
        <w:t>during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existing</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place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manage</w:t>
      </w:r>
      <w:r w:rsidR="005D5532" w:rsidRPr="00B24C02">
        <w:rPr>
          <w:rFonts w:cs="Arial"/>
          <w:color w:val="000000"/>
          <w:szCs w:val="19"/>
          <w:lang w:eastAsia="en-AU"/>
        </w:rPr>
        <w:t xml:space="preserve"> </w:t>
      </w:r>
      <w:r w:rsidRPr="00B24C02">
        <w:rPr>
          <w:rFonts w:cs="Arial"/>
          <w:color w:val="000000"/>
          <w:szCs w:val="19"/>
          <w:lang w:eastAsia="en-AU"/>
        </w:rPr>
        <w:t>conflict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interest,</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requirement</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relatively</w:t>
      </w:r>
      <w:r w:rsidR="005D5532" w:rsidRPr="00B24C02">
        <w:rPr>
          <w:rFonts w:cs="Arial"/>
          <w:color w:val="000000"/>
          <w:szCs w:val="19"/>
          <w:lang w:eastAsia="en-AU"/>
        </w:rPr>
        <w:t xml:space="preserve"> </w:t>
      </w:r>
      <w:r w:rsidRPr="00B24C02">
        <w:rPr>
          <w:rFonts w:cs="Arial"/>
          <w:color w:val="000000"/>
          <w:szCs w:val="19"/>
          <w:lang w:eastAsia="en-AU"/>
        </w:rPr>
        <w:t>easy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meet.</w:t>
      </w:r>
    </w:p>
    <w:p w14:paraId="45F57A30" w14:textId="75582235" w:rsidR="00236748" w:rsidRPr="00276391" w:rsidRDefault="00236748" w:rsidP="00276391">
      <w:pPr>
        <w:pStyle w:val="DHHSbody"/>
        <w:rPr>
          <w:lang w:eastAsia="en-AU"/>
        </w:rPr>
      </w:pPr>
      <w:r w:rsidRPr="00276391">
        <w:rPr>
          <w:lang w:eastAsia="en-AU"/>
        </w:rPr>
        <w:t>During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becomes</w:t>
      </w:r>
      <w:r w:rsidR="005D5532" w:rsidRPr="00276391">
        <w:rPr>
          <w:lang w:eastAsia="en-AU"/>
        </w:rPr>
        <w:t xml:space="preserve"> </w:t>
      </w:r>
      <w:r w:rsidRPr="00276391">
        <w:rPr>
          <w:lang w:eastAsia="en-AU"/>
        </w:rPr>
        <w:t>aware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matters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give</w:t>
      </w:r>
      <w:r w:rsidR="005D5532" w:rsidRPr="00276391">
        <w:rPr>
          <w:lang w:eastAsia="en-AU"/>
        </w:rPr>
        <w:t xml:space="preserve"> </w:t>
      </w:r>
      <w:r w:rsidRPr="00276391">
        <w:rPr>
          <w:lang w:eastAsia="en-AU"/>
        </w:rPr>
        <w:t>rise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actual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being</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inform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note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strategies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manage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p>
    <w:p w14:paraId="755D649E"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acknowledges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likely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established</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manage</w:t>
      </w:r>
      <w:r w:rsidR="005D5532" w:rsidRPr="00276391">
        <w:rPr>
          <w:lang w:eastAsia="en-AU"/>
        </w:rPr>
        <w:t xml:space="preserve"> </w:t>
      </w:r>
      <w:r w:rsidRPr="00276391">
        <w:rPr>
          <w:lang w:eastAsia="en-AU"/>
        </w:rPr>
        <w:t>conflict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interest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often</w:t>
      </w:r>
      <w:r w:rsidR="005D5532" w:rsidRPr="00276391">
        <w:rPr>
          <w:lang w:eastAsia="en-AU"/>
        </w:rPr>
        <w:t xml:space="preserve"> </w:t>
      </w:r>
      <w:r w:rsidRPr="00276391">
        <w:rPr>
          <w:lang w:eastAsia="en-AU"/>
        </w:rPr>
        <w:t>subject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existing</w:t>
      </w:r>
      <w:r w:rsidR="005D5532" w:rsidRPr="00276391">
        <w:rPr>
          <w:lang w:eastAsia="en-AU"/>
        </w:rPr>
        <w:t xml:space="preserve"> </w:t>
      </w:r>
      <w:r w:rsidRPr="00276391">
        <w:rPr>
          <w:lang w:eastAsia="en-AU"/>
        </w:rPr>
        <w:t>governance-related</w:t>
      </w:r>
      <w:r w:rsidR="005D5532" w:rsidRPr="00276391">
        <w:rPr>
          <w:lang w:eastAsia="en-AU"/>
        </w:rPr>
        <w:t xml:space="preserve"> </w:t>
      </w:r>
      <w:r w:rsidRPr="00276391">
        <w:rPr>
          <w:lang w:eastAsia="en-AU"/>
        </w:rPr>
        <w:t>regulation.</w:t>
      </w:r>
      <w:r w:rsidR="005D5532" w:rsidRPr="00276391">
        <w:rPr>
          <w:lang w:eastAsia="en-AU"/>
        </w:rPr>
        <w:t xml:space="preserve"> </w:t>
      </w:r>
      <w:r w:rsidRPr="00276391">
        <w:rPr>
          <w:lang w:eastAsia="en-AU"/>
        </w:rPr>
        <w:t>Consequently,</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unlikely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require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steps.</w:t>
      </w:r>
    </w:p>
    <w:p w14:paraId="1AE9F1CB" w14:textId="5969AFCA" w:rsidR="00236748" w:rsidRPr="00276391" w:rsidRDefault="00EC4011" w:rsidP="00276391">
      <w:pPr>
        <w:pStyle w:val="DHHSbody"/>
        <w:rPr>
          <w:lang w:eastAsia="en-AU"/>
        </w:rPr>
      </w:pPr>
      <w:r>
        <w:rPr>
          <w:lang w:eastAsia="en-AU"/>
        </w:rPr>
        <w:t>The</w:t>
      </w:r>
      <w:r w:rsidR="005D5532" w:rsidRPr="00276391">
        <w:rPr>
          <w:lang w:eastAsia="en-AU"/>
        </w:rPr>
        <w:t xml:space="preserve"> </w:t>
      </w:r>
      <w:r w:rsidR="00236748" w:rsidRPr="00276391">
        <w:rPr>
          <w:lang w:eastAsia="en-AU"/>
        </w:rPr>
        <w:t>department</w:t>
      </w:r>
      <w:r w:rsidR="005D5532" w:rsidRPr="00276391">
        <w:rPr>
          <w:lang w:eastAsia="en-AU"/>
        </w:rPr>
        <w:t xml:space="preserve"> </w:t>
      </w:r>
      <w:r w:rsidR="00236748" w:rsidRPr="00276391">
        <w:rPr>
          <w:lang w:eastAsia="en-AU"/>
        </w:rPr>
        <w:t>may</w:t>
      </w:r>
      <w:r w:rsidR="005D5532" w:rsidRPr="00276391">
        <w:rPr>
          <w:lang w:eastAsia="en-AU"/>
        </w:rPr>
        <w:t xml:space="preserve"> </w:t>
      </w:r>
      <w:r w:rsidR="00236748" w:rsidRPr="00276391">
        <w:rPr>
          <w:lang w:eastAsia="en-AU"/>
        </w:rPr>
        <w:t>require</w:t>
      </w:r>
      <w:r w:rsidR="005D5532" w:rsidRPr="00276391">
        <w:rPr>
          <w:lang w:eastAsia="en-AU"/>
        </w:rPr>
        <w:t xml:space="preserve"> </w:t>
      </w:r>
      <w:r w:rsidR="00236748" w:rsidRPr="00276391">
        <w:rPr>
          <w:lang w:eastAsia="en-AU"/>
        </w:rPr>
        <w:t>an</w:t>
      </w:r>
      <w:r w:rsidR="005D5532" w:rsidRPr="00276391">
        <w:rPr>
          <w:lang w:eastAsia="en-AU"/>
        </w:rPr>
        <w:t xml:space="preserve"> </w:t>
      </w:r>
      <w:r w:rsidR="00236748" w:rsidRPr="00276391">
        <w:rPr>
          <w:lang w:eastAsia="en-AU"/>
        </w:rPr>
        <w:t>organisation</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take</w:t>
      </w:r>
      <w:r w:rsidR="005D5532" w:rsidRPr="00276391">
        <w:rPr>
          <w:lang w:eastAsia="en-AU"/>
        </w:rPr>
        <w:t xml:space="preserve"> </w:t>
      </w:r>
      <w:r w:rsidR="00236748" w:rsidRPr="00276391">
        <w:rPr>
          <w:lang w:eastAsia="en-AU"/>
        </w:rPr>
        <w:t>particular</w:t>
      </w:r>
      <w:r w:rsidR="005D5532" w:rsidRPr="00276391">
        <w:rPr>
          <w:lang w:eastAsia="en-AU"/>
        </w:rPr>
        <w:t xml:space="preserve"> </w:t>
      </w:r>
      <w:r w:rsidR="00236748" w:rsidRPr="00276391">
        <w:rPr>
          <w:lang w:eastAsia="en-AU"/>
        </w:rPr>
        <w:t>steps</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manage</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conflict</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interes</w:t>
      </w:r>
      <w:r>
        <w:rPr>
          <w:lang w:eastAsia="en-AU"/>
        </w:rPr>
        <w:t>t</w:t>
      </w:r>
      <w:r w:rsidR="00236748" w:rsidRPr="00276391">
        <w:rPr>
          <w:lang w:eastAsia="en-AU"/>
        </w:rPr>
        <w:t>.</w:t>
      </w:r>
      <w:r w:rsidR="005D5532" w:rsidRPr="00276391">
        <w:rPr>
          <w:lang w:eastAsia="en-AU"/>
        </w:rPr>
        <w:t xml:space="preserve"> </w:t>
      </w:r>
      <w:r w:rsidR="00236748" w:rsidRPr="00276391">
        <w:rPr>
          <w:lang w:eastAsia="en-AU"/>
        </w:rPr>
        <w:t>Where</w:t>
      </w:r>
      <w:r w:rsidR="005D5532" w:rsidRPr="00276391">
        <w:rPr>
          <w:lang w:eastAsia="en-AU"/>
        </w:rPr>
        <w:t xml:space="preserve"> </w:t>
      </w:r>
      <w:r w:rsidR="00236748" w:rsidRPr="00276391">
        <w:rPr>
          <w:lang w:eastAsia="en-AU"/>
        </w:rPr>
        <w:t>this</w:t>
      </w:r>
      <w:r w:rsidR="005D5532" w:rsidRPr="00276391">
        <w:rPr>
          <w:lang w:eastAsia="en-AU"/>
        </w:rPr>
        <w:t xml:space="preserve"> </w:t>
      </w:r>
      <w:r w:rsidR="00236748" w:rsidRPr="00276391">
        <w:rPr>
          <w:lang w:eastAsia="en-AU"/>
        </w:rPr>
        <w:t>is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case,</w:t>
      </w:r>
      <w:r w:rsidR="005D5532" w:rsidRPr="00276391">
        <w:rPr>
          <w:lang w:eastAsia="en-AU"/>
        </w:rPr>
        <w:t xml:space="preserve"> </w:t>
      </w:r>
      <w:r w:rsidR="00236748" w:rsidRPr="00276391">
        <w:rPr>
          <w:lang w:eastAsia="en-AU"/>
        </w:rPr>
        <w:t>these</w:t>
      </w:r>
      <w:r w:rsidR="005D5532" w:rsidRPr="00276391">
        <w:rPr>
          <w:lang w:eastAsia="en-AU"/>
        </w:rPr>
        <w:t xml:space="preserve"> </w:t>
      </w:r>
      <w:r w:rsidR="00236748" w:rsidRPr="00276391">
        <w:rPr>
          <w:lang w:eastAsia="en-AU"/>
        </w:rPr>
        <w:t>requirements</w:t>
      </w:r>
      <w:r w:rsidR="005D5532" w:rsidRPr="00276391">
        <w:rPr>
          <w:lang w:eastAsia="en-AU"/>
        </w:rPr>
        <w:t xml:space="preserve"> </w:t>
      </w:r>
      <w:r w:rsidR="00236748" w:rsidRPr="00276391">
        <w:rPr>
          <w:lang w:eastAsia="en-AU"/>
        </w:rPr>
        <w:t>must</w:t>
      </w:r>
      <w:r w:rsidR="005D5532" w:rsidRPr="00276391">
        <w:rPr>
          <w:lang w:eastAsia="en-AU"/>
        </w:rPr>
        <w:t xml:space="preserve"> </w:t>
      </w:r>
      <w:r w:rsidR="00236748" w:rsidRPr="00276391">
        <w:rPr>
          <w:lang w:eastAsia="en-AU"/>
        </w:rPr>
        <w:t>be</w:t>
      </w:r>
      <w:r w:rsidR="005D5532" w:rsidRPr="00276391">
        <w:rPr>
          <w:lang w:eastAsia="en-AU"/>
        </w:rPr>
        <w:t xml:space="preserve"> </w:t>
      </w:r>
      <w:r w:rsidR="00236748" w:rsidRPr="00276391">
        <w:rPr>
          <w:lang w:eastAsia="en-AU"/>
        </w:rPr>
        <w:t>reasonable</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will</w:t>
      </w:r>
      <w:r w:rsidR="005D5532" w:rsidRPr="00276391">
        <w:rPr>
          <w:lang w:eastAsia="en-AU"/>
        </w:rPr>
        <w:t xml:space="preserve"> </w:t>
      </w:r>
      <w:r w:rsidR="00236748" w:rsidRPr="00276391">
        <w:rPr>
          <w:lang w:eastAsia="en-AU"/>
        </w:rPr>
        <w:t>be</w:t>
      </w:r>
      <w:r w:rsidR="005D5532" w:rsidRPr="00276391">
        <w:rPr>
          <w:lang w:eastAsia="en-AU"/>
        </w:rPr>
        <w:t xml:space="preserve"> </w:t>
      </w:r>
      <w:r w:rsidR="00236748" w:rsidRPr="00276391">
        <w:rPr>
          <w:lang w:eastAsia="en-AU"/>
        </w:rPr>
        <w:t>provided</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organisation</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writing.</w:t>
      </w:r>
    </w:p>
    <w:p w14:paraId="1BEDBDE8" w14:textId="77777777" w:rsidR="00236748" w:rsidRPr="00276391" w:rsidRDefault="00236748" w:rsidP="009B2351">
      <w:pPr>
        <w:pStyle w:val="Heading2"/>
        <w:rPr>
          <w:rFonts w:cs="Arial"/>
          <w:lang w:eastAsia="en-AU"/>
        </w:rPr>
      </w:pPr>
      <w:bookmarkStart w:id="307" w:name="_3.6_Recordkeeping"/>
      <w:bookmarkStart w:id="308" w:name="_Toc478991792"/>
      <w:bookmarkStart w:id="309" w:name="_Toc478992374"/>
      <w:bookmarkStart w:id="310" w:name="_Toc478992892"/>
      <w:bookmarkStart w:id="311" w:name="_Toc4142050"/>
      <w:bookmarkEnd w:id="307"/>
      <w:r w:rsidRPr="00276391">
        <w:rPr>
          <w:rFonts w:cs="Arial"/>
          <w:lang w:eastAsia="en-AU"/>
        </w:rPr>
        <w:t>3.6</w:t>
      </w:r>
      <w:r w:rsidR="009B2351" w:rsidRPr="00276391">
        <w:rPr>
          <w:rFonts w:cs="Arial"/>
          <w:lang w:eastAsia="en-AU"/>
        </w:rPr>
        <w:t xml:space="preserve"> </w:t>
      </w:r>
      <w:r w:rsidRPr="00276391">
        <w:rPr>
          <w:rFonts w:cs="Arial"/>
          <w:lang w:eastAsia="en-AU"/>
        </w:rPr>
        <w:t>Recordkeeping</w:t>
      </w:r>
      <w:bookmarkEnd w:id="308"/>
      <w:bookmarkEnd w:id="309"/>
      <w:bookmarkEnd w:id="310"/>
      <w:bookmarkEnd w:id="311"/>
    </w:p>
    <w:p w14:paraId="0A9B39DD" w14:textId="77777777" w:rsidR="00236748" w:rsidRPr="00276391" w:rsidRDefault="00236748" w:rsidP="009D4D32">
      <w:pPr>
        <w:pStyle w:val="Heading3"/>
        <w:rPr>
          <w:lang w:eastAsia="en-AU"/>
        </w:rPr>
      </w:pPr>
      <w:bookmarkStart w:id="312" w:name="_Toc478991793"/>
      <w:bookmarkStart w:id="313" w:name="_Toc478992375"/>
      <w:bookmarkStart w:id="314" w:name="_Toc4142051"/>
      <w:r w:rsidRPr="00276391">
        <w:rPr>
          <w:lang w:eastAsia="en-AU"/>
        </w:rPr>
        <w:t>3.6.1</w:t>
      </w:r>
      <w:r w:rsidR="009B2351" w:rsidRPr="00276391">
        <w:rPr>
          <w:lang w:eastAsia="en-AU"/>
        </w:rPr>
        <w:t xml:space="preserve"> </w:t>
      </w:r>
      <w:r w:rsidRPr="00276391">
        <w:rPr>
          <w:lang w:eastAsia="en-AU"/>
        </w:rPr>
        <w:t>Financial</w:t>
      </w:r>
      <w:r w:rsidR="009B2351" w:rsidRPr="00276391">
        <w:rPr>
          <w:lang w:eastAsia="en-AU"/>
        </w:rPr>
        <w:t xml:space="preserve"> </w:t>
      </w:r>
      <w:r w:rsidRPr="00276391">
        <w:rPr>
          <w:lang w:eastAsia="en-AU"/>
        </w:rPr>
        <w:t>records</w:t>
      </w:r>
      <w:bookmarkEnd w:id="312"/>
      <w:bookmarkEnd w:id="313"/>
      <w:bookmarkEnd w:id="314"/>
    </w:p>
    <w:p w14:paraId="000778D4"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keep</w:t>
      </w:r>
      <w:r w:rsidR="005D5532" w:rsidRPr="00276391">
        <w:rPr>
          <w:lang w:eastAsia="en-AU"/>
        </w:rPr>
        <w:t xml:space="preserve"> </w:t>
      </w:r>
      <w:r w:rsidRPr="00276391">
        <w:rPr>
          <w:lang w:eastAsia="en-AU"/>
        </w:rPr>
        <w:t>full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accurate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keeping</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transactions,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receipts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clearly</w:t>
      </w:r>
      <w:r w:rsidR="005D5532" w:rsidRPr="00276391">
        <w:rPr>
          <w:lang w:eastAsia="en-AU"/>
        </w:rPr>
        <w:t xml:space="preserve"> </w:t>
      </w:r>
      <w:r w:rsidRPr="00276391">
        <w:rPr>
          <w:lang w:eastAsia="en-AU"/>
        </w:rPr>
        <w:t>identifiable.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easily</w:t>
      </w:r>
      <w:r w:rsidR="005D5532" w:rsidRPr="00276391">
        <w:rPr>
          <w:lang w:eastAsia="en-AU"/>
        </w:rPr>
        <w:t xml:space="preserve"> </w:t>
      </w:r>
      <w:r w:rsidRPr="00276391">
        <w:rPr>
          <w:lang w:eastAsia="en-AU"/>
        </w:rPr>
        <w:t>tracked</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accounts.</w:t>
      </w:r>
    </w:p>
    <w:p w14:paraId="39B31091" w14:textId="77777777" w:rsidR="00236748" w:rsidRPr="00276391" w:rsidRDefault="00236748" w:rsidP="00276391">
      <w:pPr>
        <w:pStyle w:val="DHHSbody"/>
        <w:rPr>
          <w:lang w:eastAsia="en-AU"/>
        </w:rPr>
      </w:pP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taxation</w:t>
      </w:r>
      <w:r w:rsidR="005D5532" w:rsidRPr="00276391">
        <w:rPr>
          <w:lang w:eastAsia="en-AU"/>
        </w:rPr>
        <w:t xml:space="preserve"> </w:t>
      </w:r>
      <w:r w:rsidRPr="00276391">
        <w:rPr>
          <w:lang w:eastAsia="en-AU"/>
        </w:rPr>
        <w:t>liabilities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clearly</w:t>
      </w:r>
      <w:r w:rsidR="005D5532" w:rsidRPr="00276391">
        <w:rPr>
          <w:lang w:eastAsia="en-AU"/>
        </w:rPr>
        <w:t xml:space="preserve"> </w:t>
      </w:r>
      <w:r w:rsidRPr="00276391">
        <w:rPr>
          <w:lang w:eastAsia="en-AU"/>
        </w:rPr>
        <w:t>identifiable.</w:t>
      </w:r>
    </w:p>
    <w:p w14:paraId="258F6352" w14:textId="1D934746" w:rsidR="00236748" w:rsidRPr="00276391" w:rsidRDefault="00236748" w:rsidP="00276391">
      <w:pPr>
        <w:pStyle w:val="DHHSbody"/>
        <w:rPr>
          <w:lang w:eastAsia="en-AU"/>
        </w:rPr>
      </w:pPr>
      <w:r w:rsidRPr="00276391">
        <w:rPr>
          <w:lang w:eastAsia="en-AU"/>
        </w:rPr>
        <w:t>Each</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certain</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legislation</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established,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accounting</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requires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include:</w:t>
      </w:r>
    </w:p>
    <w:p w14:paraId="08E1FD56" w14:textId="6C327E9C" w:rsidR="00236748" w:rsidRPr="00276391" w:rsidRDefault="00236748" w:rsidP="00276391">
      <w:pPr>
        <w:pStyle w:val="DHHSbullet1"/>
        <w:rPr>
          <w:rFonts w:cs="Arial"/>
          <w:lang w:eastAsia="en-AU"/>
        </w:rPr>
      </w:pPr>
      <w:r w:rsidRPr="00276391">
        <w:rPr>
          <w:rFonts w:cs="Arial"/>
          <w:lang w:eastAsia="en-AU"/>
        </w:rPr>
        <w:t>preparing</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statements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Accounting</w:t>
      </w:r>
      <w:r w:rsidR="005D5532" w:rsidRPr="00276391">
        <w:rPr>
          <w:rFonts w:cs="Arial"/>
          <w:lang w:eastAsia="en-AU"/>
        </w:rPr>
        <w:t xml:space="preserve"> </w:t>
      </w:r>
      <w:r w:rsidR="00FF70E7">
        <w:rPr>
          <w:rFonts w:cs="Arial"/>
          <w:lang w:eastAsia="en-AU"/>
        </w:rPr>
        <w:t>Standards</w:t>
      </w:r>
    </w:p>
    <w:p w14:paraId="60C076BA" w14:textId="77777777" w:rsidR="00236748" w:rsidRPr="00276391" w:rsidRDefault="00236748" w:rsidP="00276391">
      <w:pPr>
        <w:pStyle w:val="DHHSbullet1"/>
        <w:rPr>
          <w:rFonts w:cs="Arial"/>
          <w:lang w:eastAsia="en-AU"/>
        </w:rPr>
      </w:pPr>
      <w:r w:rsidRPr="00276391">
        <w:rPr>
          <w:rFonts w:cs="Arial"/>
          <w:lang w:eastAsia="en-AU"/>
        </w:rPr>
        <w:t>having</w:t>
      </w:r>
      <w:r w:rsidR="005D5532" w:rsidRPr="00276391">
        <w:rPr>
          <w:rFonts w:cs="Arial"/>
          <w:lang w:eastAsia="en-AU"/>
        </w:rPr>
        <w:t xml:space="preserve"> </w:t>
      </w:r>
      <w:r w:rsidRPr="00276391">
        <w:rPr>
          <w:rFonts w:cs="Arial"/>
          <w:lang w:eastAsia="en-AU"/>
        </w:rPr>
        <w:t>accounts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records</w:t>
      </w:r>
      <w:r w:rsidR="005D5532" w:rsidRPr="00276391">
        <w:rPr>
          <w:rFonts w:cs="Arial"/>
          <w:lang w:eastAsia="en-AU"/>
        </w:rPr>
        <w:t xml:space="preserve"> </w:t>
      </w:r>
      <w:r w:rsidRPr="00276391">
        <w:rPr>
          <w:rFonts w:cs="Arial"/>
          <w:lang w:eastAsia="en-AU"/>
        </w:rPr>
        <w:t>audited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Auditing</w:t>
      </w:r>
      <w:r w:rsidR="005D5532" w:rsidRPr="00276391">
        <w:rPr>
          <w:rFonts w:cs="Arial"/>
          <w:lang w:eastAsia="en-AU"/>
        </w:rPr>
        <w:t xml:space="preserve"> </w:t>
      </w:r>
      <w:r w:rsidRPr="00276391">
        <w:rPr>
          <w:rFonts w:cs="Arial"/>
          <w:lang w:eastAsia="en-AU"/>
        </w:rPr>
        <w:t>Standards.</w:t>
      </w:r>
      <w:r w:rsidR="005D5532" w:rsidRPr="00276391">
        <w:rPr>
          <w:rFonts w:cs="Arial"/>
          <w:lang w:eastAsia="en-AU"/>
        </w:rPr>
        <w:t xml:space="preserve"> </w:t>
      </w:r>
    </w:p>
    <w:p w14:paraId="52979709"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seek</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unsure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keeping</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records.</w:t>
      </w:r>
    </w:p>
    <w:p w14:paraId="1C8A0977"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Australian</w:t>
      </w:r>
      <w:r w:rsidR="005D5532" w:rsidRPr="00276391">
        <w:rPr>
          <w:lang w:eastAsia="en-AU"/>
        </w:rPr>
        <w:t xml:space="preserve"> </w:t>
      </w:r>
      <w:r w:rsidRPr="00276391">
        <w:rPr>
          <w:lang w:eastAsia="en-AU"/>
        </w:rPr>
        <w:t>Accounting</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refer</w:t>
      </w:r>
      <w:r w:rsidR="005D5532" w:rsidRPr="00276391">
        <w:rPr>
          <w:lang w:eastAsia="en-AU"/>
        </w:rPr>
        <w:t xml:space="preserve"> </w:t>
      </w:r>
      <w:r w:rsidRPr="00276391">
        <w:rPr>
          <w:lang w:eastAsia="en-AU"/>
        </w:rPr>
        <w:t>to:</w:t>
      </w:r>
    </w:p>
    <w:p w14:paraId="7699E1DC" w14:textId="77777777" w:rsidR="00236748" w:rsidRPr="001674B2" w:rsidRDefault="00236748" w:rsidP="001674B2">
      <w:pPr>
        <w:pStyle w:val="DHHSbullet1"/>
        <w:rPr>
          <w:rFonts w:cs="Arial"/>
          <w:lang w:eastAsia="en-AU"/>
        </w:rPr>
      </w:pPr>
      <w:r w:rsidRPr="001674B2">
        <w:rPr>
          <w:rFonts w:cs="Arial"/>
          <w:color w:val="000000"/>
          <w:szCs w:val="19"/>
          <w:lang w:eastAsia="en-AU"/>
        </w:rPr>
        <w:t>The</w:t>
      </w:r>
      <w:r w:rsidR="005D5532" w:rsidRPr="001674B2">
        <w:rPr>
          <w:rFonts w:cs="Arial"/>
          <w:color w:val="000000"/>
          <w:szCs w:val="19"/>
          <w:lang w:eastAsia="en-AU"/>
        </w:rPr>
        <w:t xml:space="preserve"> </w:t>
      </w:r>
      <w:hyperlink r:id="rId68" w:tgtFrame="_blank" w:tooltip="Link to the Australian Accounting Standard Board website" w:history="1">
        <w:r w:rsidRPr="001674B2">
          <w:rPr>
            <w:rStyle w:val="Hyperlink"/>
          </w:rPr>
          <w:t>Australian</w:t>
        </w:r>
        <w:r w:rsidR="005D5532" w:rsidRPr="001674B2">
          <w:rPr>
            <w:rStyle w:val="Hyperlink"/>
          </w:rPr>
          <w:t xml:space="preserve"> </w:t>
        </w:r>
        <w:r w:rsidRPr="001674B2">
          <w:rPr>
            <w:rStyle w:val="Hyperlink"/>
          </w:rPr>
          <w:t>Accounting</w:t>
        </w:r>
        <w:r w:rsidR="005D5532" w:rsidRPr="001674B2">
          <w:rPr>
            <w:rStyle w:val="Hyperlink"/>
          </w:rPr>
          <w:t xml:space="preserve"> </w:t>
        </w:r>
        <w:r w:rsidRPr="001674B2">
          <w:rPr>
            <w:rStyle w:val="Hyperlink"/>
          </w:rPr>
          <w:t>Standard</w:t>
        </w:r>
        <w:r w:rsidR="005D5532" w:rsidRPr="001674B2">
          <w:rPr>
            <w:rStyle w:val="Hyperlink"/>
          </w:rPr>
          <w:t xml:space="preserve"> </w:t>
        </w:r>
        <w:r w:rsidRPr="001674B2">
          <w:rPr>
            <w:rStyle w:val="Hyperlink"/>
          </w:rPr>
          <w:t>Board</w:t>
        </w:r>
        <w:r w:rsidR="005D5532" w:rsidRPr="001674B2">
          <w:rPr>
            <w:rStyle w:val="Hyperlink"/>
            <w:rFonts w:cs="Arial"/>
            <w:szCs w:val="19"/>
            <w:lang w:eastAsia="en-AU"/>
          </w:rPr>
          <w:t xml:space="preserve"> </w:t>
        </w:r>
        <w:r w:rsidRPr="001674B2">
          <w:rPr>
            <w:rStyle w:val="Hyperlink"/>
            <w:rFonts w:cs="Arial"/>
            <w:szCs w:val="19"/>
            <w:lang w:eastAsia="en-AU"/>
          </w:rPr>
          <w:t>website</w:t>
        </w:r>
      </w:hyperlink>
      <w:r w:rsidR="001674B2">
        <w:rPr>
          <w:rFonts w:cs="Arial"/>
          <w:color w:val="000000"/>
          <w:szCs w:val="19"/>
          <w:lang w:eastAsia="en-AU"/>
        </w:rPr>
        <w:t xml:space="preserve"> </w:t>
      </w:r>
      <w:r w:rsidR="001674B2" w:rsidRPr="001674B2">
        <w:rPr>
          <w:rFonts w:cs="Arial"/>
          <w:color w:val="000000"/>
          <w:szCs w:val="19"/>
          <w:lang w:eastAsia="en-AU"/>
        </w:rPr>
        <w:t>&lt;http://www.aasb.gov.au/pronouncements/current-standards.aspx</w:t>
      </w:r>
      <w:r w:rsidR="001674B2">
        <w:rPr>
          <w:rFonts w:cs="Arial"/>
          <w:color w:val="000000"/>
          <w:szCs w:val="19"/>
          <w:lang w:eastAsia="en-AU"/>
        </w:rPr>
        <w:t>&gt;</w:t>
      </w:r>
      <w:r w:rsidR="004228E1">
        <w:rPr>
          <w:rFonts w:cs="Arial"/>
          <w:color w:val="000000"/>
          <w:szCs w:val="19"/>
          <w:lang w:eastAsia="en-AU"/>
        </w:rPr>
        <w:t xml:space="preserve"> </w:t>
      </w:r>
      <w:r w:rsidRPr="001674B2">
        <w:rPr>
          <w:rFonts w:cs="Arial"/>
          <w:color w:val="000000"/>
          <w:szCs w:val="19"/>
          <w:lang w:eastAsia="en-AU"/>
        </w:rPr>
        <w:t>(external</w:t>
      </w:r>
      <w:r w:rsidR="005D5532" w:rsidRPr="001674B2">
        <w:rPr>
          <w:rFonts w:cs="Arial"/>
          <w:color w:val="000000"/>
          <w:szCs w:val="19"/>
          <w:lang w:eastAsia="en-AU"/>
        </w:rPr>
        <w:t xml:space="preserve"> </w:t>
      </w:r>
      <w:r w:rsidRPr="001674B2">
        <w:rPr>
          <w:rFonts w:cs="Arial"/>
          <w:color w:val="000000"/>
          <w:szCs w:val="19"/>
          <w:lang w:eastAsia="en-AU"/>
        </w:rPr>
        <w:t>link,</w:t>
      </w:r>
      <w:r w:rsidR="005D5532" w:rsidRPr="001674B2">
        <w:rPr>
          <w:rFonts w:cs="Arial"/>
          <w:color w:val="000000"/>
          <w:szCs w:val="19"/>
          <w:lang w:eastAsia="en-AU"/>
        </w:rPr>
        <w:t xml:space="preserve"> </w:t>
      </w:r>
      <w:r w:rsidRPr="001674B2">
        <w:rPr>
          <w:rFonts w:cs="Arial"/>
          <w:color w:val="000000"/>
          <w:szCs w:val="19"/>
          <w:lang w:eastAsia="en-AU"/>
        </w:rPr>
        <w:t>opens</w:t>
      </w:r>
      <w:r w:rsidR="005D5532" w:rsidRPr="001674B2">
        <w:rPr>
          <w:rFonts w:cs="Arial"/>
          <w:color w:val="000000"/>
          <w:szCs w:val="19"/>
          <w:lang w:eastAsia="en-AU"/>
        </w:rPr>
        <w:t xml:space="preserve"> </w:t>
      </w:r>
      <w:r w:rsidRPr="001674B2">
        <w:rPr>
          <w:rFonts w:cs="Arial"/>
          <w:color w:val="000000"/>
          <w:szCs w:val="19"/>
          <w:lang w:eastAsia="en-AU"/>
        </w:rPr>
        <w:t>in</w:t>
      </w:r>
      <w:r w:rsidR="005D5532" w:rsidRPr="001674B2">
        <w:rPr>
          <w:rFonts w:cs="Arial"/>
          <w:color w:val="000000"/>
          <w:szCs w:val="19"/>
          <w:lang w:eastAsia="en-AU"/>
        </w:rPr>
        <w:t xml:space="preserve"> </w:t>
      </w:r>
      <w:r w:rsidRPr="001674B2">
        <w:rPr>
          <w:rFonts w:cs="Arial"/>
          <w:color w:val="000000"/>
          <w:szCs w:val="19"/>
          <w:lang w:eastAsia="en-AU"/>
        </w:rPr>
        <w:t>a</w:t>
      </w:r>
      <w:r w:rsidR="005D5532" w:rsidRPr="001674B2">
        <w:rPr>
          <w:rFonts w:cs="Arial"/>
          <w:color w:val="000000"/>
          <w:szCs w:val="19"/>
          <w:lang w:eastAsia="en-AU"/>
        </w:rPr>
        <w:t xml:space="preserve"> </w:t>
      </w:r>
      <w:r w:rsidRPr="001674B2">
        <w:rPr>
          <w:rFonts w:cs="Arial"/>
          <w:color w:val="000000"/>
          <w:szCs w:val="19"/>
          <w:lang w:eastAsia="en-AU"/>
        </w:rPr>
        <w:t>new</w:t>
      </w:r>
      <w:r w:rsidR="005D5532" w:rsidRPr="001674B2">
        <w:rPr>
          <w:rFonts w:cs="Arial"/>
          <w:color w:val="000000"/>
          <w:szCs w:val="19"/>
          <w:lang w:eastAsia="en-AU"/>
        </w:rPr>
        <w:t xml:space="preserve"> </w:t>
      </w:r>
      <w:r w:rsidRPr="001674B2">
        <w:rPr>
          <w:rFonts w:cs="Arial"/>
          <w:color w:val="000000"/>
          <w:szCs w:val="19"/>
          <w:lang w:eastAsia="en-AU"/>
        </w:rPr>
        <w:t>window).</w:t>
      </w:r>
      <w:r w:rsidR="005D5532" w:rsidRPr="001674B2">
        <w:rPr>
          <w:rFonts w:cs="Arial"/>
          <w:color w:val="000000"/>
          <w:szCs w:val="19"/>
          <w:lang w:eastAsia="en-AU"/>
        </w:rPr>
        <w:t xml:space="preserve"> </w:t>
      </w:r>
    </w:p>
    <w:p w14:paraId="087AA7A4" w14:textId="20F15AED" w:rsidR="00236748" w:rsidRPr="00287F6A" w:rsidRDefault="0016341D" w:rsidP="00287F6A">
      <w:pPr>
        <w:pStyle w:val="DHHSbullet1"/>
        <w:rPr>
          <w:rFonts w:cs="Arial"/>
          <w:lang w:eastAsia="en-AU"/>
        </w:rPr>
      </w:pPr>
      <w:hyperlink r:id="rId69" w:history="1">
        <w:r w:rsidR="00236748" w:rsidRPr="00287F6A">
          <w:rPr>
            <w:rStyle w:val="Hyperlink"/>
          </w:rPr>
          <w:t>CPA</w:t>
        </w:r>
        <w:r w:rsidR="005D5532" w:rsidRPr="00287F6A">
          <w:rPr>
            <w:rStyle w:val="Hyperlink"/>
          </w:rPr>
          <w:t xml:space="preserve"> </w:t>
        </w:r>
        <w:r w:rsidR="00236748" w:rsidRPr="00287F6A">
          <w:rPr>
            <w:rStyle w:val="Hyperlink"/>
          </w:rPr>
          <w:t>Australia</w:t>
        </w:r>
        <w:r w:rsidR="005D5532" w:rsidRPr="00287F6A">
          <w:rPr>
            <w:rStyle w:val="Hyperlink"/>
          </w:rPr>
          <w:t xml:space="preserve"> </w:t>
        </w:r>
        <w:r w:rsidR="00236748" w:rsidRPr="00287F6A">
          <w:rPr>
            <w:rStyle w:val="Hyperlink"/>
          </w:rPr>
          <w:t>non-for-profit</w:t>
        </w:r>
        <w:r w:rsidR="005D5532" w:rsidRPr="00287F6A">
          <w:rPr>
            <w:rStyle w:val="Hyperlink"/>
          </w:rPr>
          <w:t xml:space="preserve"> </w:t>
        </w:r>
        <w:r w:rsidR="00236748" w:rsidRPr="00287F6A">
          <w:rPr>
            <w:rStyle w:val="Hyperlink"/>
          </w:rPr>
          <w:t>business</w:t>
        </w:r>
        <w:r w:rsidR="005D5532" w:rsidRPr="00287F6A">
          <w:rPr>
            <w:rStyle w:val="Hyperlink"/>
          </w:rPr>
          <w:t xml:space="preserve"> </w:t>
        </w:r>
        <w:r w:rsidR="00236748" w:rsidRPr="00287F6A">
          <w:rPr>
            <w:rStyle w:val="Hyperlink"/>
          </w:rPr>
          <w:t>toolkit</w:t>
        </w:r>
        <w:r w:rsidR="005D5532" w:rsidRPr="00287F6A">
          <w:rPr>
            <w:rStyle w:val="Hyperlink"/>
          </w:rPr>
          <w:t xml:space="preserve"> </w:t>
        </w:r>
        <w:r w:rsidR="00236748" w:rsidRPr="00287F6A">
          <w:rPr>
            <w:rStyle w:val="Hyperlink"/>
          </w:rPr>
          <w:t>website</w:t>
        </w:r>
      </w:hyperlink>
      <w:r w:rsidR="005D5532" w:rsidRPr="00287F6A">
        <w:rPr>
          <w:rFonts w:cs="Arial"/>
          <w:lang w:eastAsia="en-AU"/>
        </w:rPr>
        <w:t xml:space="preserve"> </w:t>
      </w:r>
      <w:r w:rsidR="004228E1" w:rsidRPr="00287F6A">
        <w:rPr>
          <w:rFonts w:cs="Arial"/>
          <w:lang w:eastAsia="en-AU"/>
        </w:rPr>
        <w:t>&lt;</w:t>
      </w:r>
      <w:r w:rsidR="00287F6A" w:rsidRPr="00287F6A">
        <w:rPr>
          <w:rFonts w:cs="Arial"/>
          <w:lang w:eastAsia="en-AU"/>
        </w:rPr>
        <w:t>https://www.cpaaustralia.com.au/professional-resources/public-practice/toolkit</w:t>
      </w:r>
      <w:r w:rsidR="004228E1" w:rsidRPr="00287F6A">
        <w:rPr>
          <w:rFonts w:cs="Arial"/>
          <w:lang w:eastAsia="en-AU"/>
        </w:rPr>
        <w:t xml:space="preserve">&gt; </w:t>
      </w:r>
      <w:r w:rsidR="00236748" w:rsidRPr="00287F6A">
        <w:rPr>
          <w:rFonts w:cs="Arial"/>
          <w:lang w:eastAsia="en-AU"/>
        </w:rPr>
        <w:t>(external</w:t>
      </w:r>
      <w:r w:rsidR="005D5532" w:rsidRPr="00287F6A">
        <w:rPr>
          <w:rFonts w:cs="Arial"/>
          <w:lang w:eastAsia="en-AU"/>
        </w:rPr>
        <w:t xml:space="preserve"> </w:t>
      </w:r>
      <w:r w:rsidR="00236748" w:rsidRPr="00287F6A">
        <w:rPr>
          <w:rFonts w:cs="Arial"/>
          <w:lang w:eastAsia="en-AU"/>
        </w:rPr>
        <w:t>link,</w:t>
      </w:r>
      <w:r w:rsidR="005D5532" w:rsidRPr="00287F6A">
        <w:rPr>
          <w:rFonts w:cs="Arial"/>
          <w:lang w:eastAsia="en-AU"/>
        </w:rPr>
        <w:t xml:space="preserve"> </w:t>
      </w:r>
      <w:r w:rsidR="00236748" w:rsidRPr="00287F6A">
        <w:rPr>
          <w:rFonts w:cs="Arial"/>
          <w:lang w:eastAsia="en-AU"/>
        </w:rPr>
        <w:t>opens</w:t>
      </w:r>
      <w:r w:rsidR="005D5532" w:rsidRPr="00287F6A">
        <w:rPr>
          <w:rFonts w:cs="Arial"/>
          <w:lang w:eastAsia="en-AU"/>
        </w:rPr>
        <w:t xml:space="preserve"> </w:t>
      </w:r>
      <w:r w:rsidR="00236748" w:rsidRPr="00287F6A">
        <w:rPr>
          <w:rFonts w:cs="Arial"/>
          <w:lang w:eastAsia="en-AU"/>
        </w:rPr>
        <w:t>in</w:t>
      </w:r>
      <w:r w:rsidR="005D5532" w:rsidRPr="00287F6A">
        <w:rPr>
          <w:rFonts w:cs="Arial"/>
          <w:lang w:eastAsia="en-AU"/>
        </w:rPr>
        <w:t xml:space="preserve"> </w:t>
      </w:r>
      <w:r w:rsidR="00236748" w:rsidRPr="00287F6A">
        <w:rPr>
          <w:rFonts w:cs="Arial"/>
          <w:lang w:eastAsia="en-AU"/>
        </w:rPr>
        <w:t>a</w:t>
      </w:r>
      <w:r w:rsidR="005D5532" w:rsidRPr="00287F6A">
        <w:rPr>
          <w:rFonts w:cs="Arial"/>
          <w:lang w:eastAsia="en-AU"/>
        </w:rPr>
        <w:t xml:space="preserve"> </w:t>
      </w:r>
      <w:r w:rsidR="00236748" w:rsidRPr="00287F6A">
        <w:rPr>
          <w:rFonts w:cs="Arial"/>
          <w:lang w:eastAsia="en-AU"/>
        </w:rPr>
        <w:t>new</w:t>
      </w:r>
      <w:r w:rsidR="005D5532" w:rsidRPr="00287F6A">
        <w:rPr>
          <w:rFonts w:cs="Arial"/>
          <w:lang w:eastAsia="en-AU"/>
        </w:rPr>
        <w:t xml:space="preserve"> </w:t>
      </w:r>
      <w:r w:rsidR="00236748" w:rsidRPr="00287F6A">
        <w:rPr>
          <w:rFonts w:cs="Arial"/>
          <w:lang w:eastAsia="en-AU"/>
        </w:rPr>
        <w:t>window).</w:t>
      </w:r>
      <w:r w:rsidR="005D5532" w:rsidRPr="00287F6A">
        <w:rPr>
          <w:rFonts w:cs="Arial"/>
          <w:lang w:eastAsia="en-AU"/>
        </w:rPr>
        <w:t xml:space="preserve"> </w:t>
      </w:r>
    </w:p>
    <w:p w14:paraId="647DF5A6"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require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keep</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records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certain</w:t>
      </w:r>
      <w:r w:rsidR="005D5532" w:rsidRPr="00B24C02">
        <w:rPr>
          <w:rFonts w:cs="Arial"/>
          <w:color w:val="000000"/>
          <w:szCs w:val="19"/>
          <w:lang w:eastAsia="en-AU"/>
        </w:rPr>
        <w:t xml:space="preserve"> </w:t>
      </w:r>
      <w:r w:rsidRPr="00B24C02">
        <w:rPr>
          <w:rFonts w:cs="Arial"/>
          <w:color w:val="000000"/>
          <w:szCs w:val="19"/>
          <w:lang w:eastAsia="en-AU"/>
        </w:rPr>
        <w:t>manner.</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requirement</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advised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p>
    <w:p w14:paraId="4F45CE8D" w14:textId="77777777" w:rsidR="00236748" w:rsidRPr="00276391" w:rsidRDefault="00236748" w:rsidP="009D4D32">
      <w:pPr>
        <w:pStyle w:val="Heading3"/>
        <w:rPr>
          <w:lang w:eastAsia="en-AU"/>
        </w:rPr>
      </w:pPr>
      <w:bookmarkStart w:id="315" w:name="_3.6.2_Recordkeeping"/>
      <w:bookmarkStart w:id="316" w:name="_Toc478991794"/>
      <w:bookmarkStart w:id="317" w:name="_Toc478992376"/>
      <w:bookmarkStart w:id="318" w:name="_Toc4142052"/>
      <w:bookmarkEnd w:id="315"/>
      <w:r w:rsidRPr="00276391">
        <w:rPr>
          <w:lang w:eastAsia="en-AU"/>
        </w:rPr>
        <w:lastRenderedPageBreak/>
        <w:t>3.6.2</w:t>
      </w:r>
      <w:r w:rsidR="009B2351" w:rsidRPr="00276391">
        <w:rPr>
          <w:lang w:eastAsia="en-AU"/>
        </w:rPr>
        <w:t xml:space="preserve"> </w:t>
      </w:r>
      <w:r w:rsidRPr="00276391">
        <w:rPr>
          <w:lang w:eastAsia="en-AU"/>
        </w:rPr>
        <w:t>Recordkeeping</w:t>
      </w:r>
      <w:bookmarkEnd w:id="316"/>
      <w:bookmarkEnd w:id="317"/>
      <w:bookmarkEnd w:id="318"/>
    </w:p>
    <w:p w14:paraId="4411CA9E" w14:textId="77777777"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2010,</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Office</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released</w:t>
      </w:r>
      <w:r w:rsidR="005D5532" w:rsidRPr="00276391">
        <w:rPr>
          <w:lang w:eastAsia="en-AU"/>
        </w:rPr>
        <w:t xml:space="preserve"> </w:t>
      </w:r>
      <w:r w:rsidRPr="00276391">
        <w:rPr>
          <w:lang w:eastAsia="en-AU"/>
        </w:rPr>
        <w:t>the</w:t>
      </w:r>
      <w:r w:rsidR="005D5532" w:rsidRPr="00276391">
        <w:rPr>
          <w:lang w:eastAsia="en-AU"/>
        </w:rPr>
        <w:t xml:space="preserve"> </w:t>
      </w:r>
      <w:hyperlink r:id="rId70" w:tgtFrame="_blank" w:tooltip="Link to the PROS 10/10 Strategic Management Standard on the Public Record Office Victoria website" w:history="1">
        <w:r w:rsidRPr="00C94233">
          <w:rPr>
            <w:rStyle w:val="Hyperlink"/>
          </w:rPr>
          <w:t>Strategic</w:t>
        </w:r>
        <w:r w:rsidR="005D5532" w:rsidRPr="00C94233">
          <w:rPr>
            <w:rStyle w:val="Hyperlink"/>
          </w:rPr>
          <w:t xml:space="preserve"> </w:t>
        </w:r>
        <w:r w:rsidRPr="00C94233">
          <w:rPr>
            <w:rStyle w:val="Hyperlink"/>
          </w:rPr>
          <w:t>Management</w:t>
        </w:r>
        <w:r w:rsidR="005D5532" w:rsidRPr="00C94233">
          <w:rPr>
            <w:rStyle w:val="Hyperlink"/>
          </w:rPr>
          <w:t xml:space="preserve"> </w:t>
        </w:r>
        <w:r w:rsidRPr="00C94233">
          <w:rPr>
            <w:rStyle w:val="Hyperlink"/>
          </w:rPr>
          <w:t>Standard</w:t>
        </w:r>
        <w:r w:rsidR="005D5532" w:rsidRPr="00C94233">
          <w:rPr>
            <w:rStyle w:val="Hyperlink"/>
          </w:rPr>
          <w:t xml:space="preserve"> </w:t>
        </w:r>
        <w:r w:rsidRPr="00C94233">
          <w:rPr>
            <w:rStyle w:val="Hyperlink"/>
          </w:rPr>
          <w:t>PROS</w:t>
        </w:r>
        <w:r w:rsidR="005D5532" w:rsidRPr="00C94233">
          <w:rPr>
            <w:rStyle w:val="Hyperlink"/>
          </w:rPr>
          <w:t xml:space="preserve"> </w:t>
        </w:r>
        <w:r w:rsidRPr="00C94233">
          <w:rPr>
            <w:rStyle w:val="Hyperlink"/>
          </w:rPr>
          <w:t>10/10</w:t>
        </w:r>
      </w:hyperlink>
      <w:r w:rsidR="005D5532" w:rsidRPr="00276391">
        <w:rPr>
          <w:lang w:eastAsia="en-AU"/>
        </w:rPr>
        <w:t xml:space="preserve"> </w:t>
      </w:r>
      <w:r w:rsidR="00A429CC">
        <w:rPr>
          <w:lang w:eastAsia="en-AU"/>
        </w:rPr>
        <w:t>&lt;</w:t>
      </w:r>
      <w:r w:rsidR="00A429CC" w:rsidRPr="00A429CC">
        <w:rPr>
          <w:lang w:eastAsia="en-AU"/>
        </w:rPr>
        <w:t>http://prov.vic.gov.au/government/standards-and-policy/all-documents/pros-1010</w:t>
      </w:r>
      <w:r w:rsidR="00A429CC">
        <w:rPr>
          <w:lang w:eastAsia="en-AU"/>
        </w:rPr>
        <w:t>&gt;</w:t>
      </w:r>
      <w:r w:rsidR="00A429CC" w:rsidRPr="00A429CC">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specifies</w:t>
      </w:r>
      <w:r w:rsidR="005D5532" w:rsidRPr="00276391">
        <w:rPr>
          <w:lang w:eastAsia="en-AU"/>
        </w:rPr>
        <w:t xml:space="preserve"> </w:t>
      </w:r>
      <w:r w:rsidRPr="00276391">
        <w:rPr>
          <w:lang w:eastAsia="en-AU"/>
        </w:rPr>
        <w:t>certain</w:t>
      </w:r>
      <w:r w:rsidR="005D5532" w:rsidRPr="00276391">
        <w:rPr>
          <w:lang w:eastAsia="en-AU"/>
        </w:rPr>
        <w:t xml:space="preserve"> </w:t>
      </w:r>
      <w:r w:rsidRPr="00276391">
        <w:rPr>
          <w:lang w:eastAsia="en-AU"/>
        </w:rPr>
        <w:t>recordkeeping</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agencies.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updated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2015</w:t>
      </w:r>
    </w:p>
    <w:p w14:paraId="7996EF9A" w14:textId="54CBF6C8"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keeping</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require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deal</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issued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hyperlink r:id="rId71" w:history="1">
        <w:r w:rsidRPr="00287F6A">
          <w:rPr>
            <w:rStyle w:val="Hyperlink"/>
          </w:rPr>
          <w:t>Public</w:t>
        </w:r>
        <w:r w:rsidR="005D5532" w:rsidRPr="00287F6A">
          <w:rPr>
            <w:rStyle w:val="Hyperlink"/>
          </w:rPr>
          <w:t xml:space="preserve"> </w:t>
        </w:r>
        <w:r w:rsidRPr="00287F6A">
          <w:rPr>
            <w:rStyle w:val="Hyperlink"/>
          </w:rPr>
          <w:t>Records</w:t>
        </w:r>
        <w:r w:rsidR="005D5532" w:rsidRPr="00287F6A">
          <w:rPr>
            <w:rStyle w:val="Hyperlink"/>
          </w:rPr>
          <w:t xml:space="preserve"> </w:t>
        </w:r>
        <w:r w:rsidRPr="00287F6A">
          <w:rPr>
            <w:rStyle w:val="Hyperlink"/>
          </w:rPr>
          <w:t>Act</w:t>
        </w:r>
        <w:r w:rsidR="005D5532" w:rsidRPr="00287F6A">
          <w:rPr>
            <w:rStyle w:val="Hyperlink"/>
          </w:rPr>
          <w:t xml:space="preserve"> </w:t>
        </w:r>
        <w:r w:rsidRPr="00287F6A">
          <w:rPr>
            <w:rStyle w:val="Hyperlink"/>
          </w:rPr>
          <w:t>1973</w:t>
        </w:r>
        <w:r w:rsidR="005D5532" w:rsidRPr="00287F6A">
          <w:rPr>
            <w:rStyle w:val="Hyperlink"/>
          </w:rPr>
          <w:t xml:space="preserve"> </w:t>
        </w:r>
        <w:r w:rsidRPr="00287F6A">
          <w:rPr>
            <w:rStyle w:val="Hyperlink"/>
          </w:rPr>
          <w:t>(Vic)</w:t>
        </w:r>
      </w:hyperlink>
      <w:r w:rsidR="005D5532" w:rsidRPr="00276391">
        <w:rPr>
          <w:lang w:eastAsia="en-AU"/>
        </w:rPr>
        <w:t xml:space="preserve"> </w:t>
      </w:r>
      <w:r w:rsidR="00A429CC">
        <w:rPr>
          <w:lang w:eastAsia="en-AU"/>
        </w:rPr>
        <w:t>&lt;</w:t>
      </w:r>
      <w:r w:rsidR="00287F6A" w:rsidRPr="00287F6A">
        <w:rPr>
          <w:lang w:eastAsia="en-AU"/>
        </w:rPr>
        <w:t>http://www7.austlii.edu.au/cgi-bin/viewdb/au/legis/vic/consol_act/pra1973153/</w:t>
      </w:r>
      <w:r w:rsidR="00A429CC">
        <w:rPr>
          <w:lang w:eastAsia="en-AU"/>
        </w:rPr>
        <w:t>&gt;</w:t>
      </w:r>
      <w:r w:rsidR="00A429CC" w:rsidRPr="00A429CC">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2E72EFD7"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cover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p>
    <w:p w14:paraId="0A67DF8E" w14:textId="0B483F86" w:rsidR="00236748" w:rsidRPr="00276391" w:rsidRDefault="00236748" w:rsidP="00276391">
      <w:pPr>
        <w:pStyle w:val="DHHSbullet1"/>
        <w:rPr>
          <w:rFonts w:cs="Arial"/>
          <w:lang w:eastAsia="en-AU"/>
        </w:rPr>
      </w:pPr>
      <w:r w:rsidRPr="00276391">
        <w:rPr>
          <w:rFonts w:cs="Arial"/>
          <w:lang w:eastAsia="en-AU"/>
        </w:rPr>
        <w:t>appropriate</w:t>
      </w:r>
      <w:r w:rsidR="005D5532" w:rsidRPr="00276391">
        <w:rPr>
          <w:rFonts w:cs="Arial"/>
          <w:lang w:eastAsia="en-AU"/>
        </w:rPr>
        <w:t xml:space="preserve"> </w:t>
      </w:r>
      <w:r w:rsidRPr="00276391">
        <w:rPr>
          <w:rFonts w:cs="Arial"/>
          <w:lang w:eastAsia="en-AU"/>
        </w:rPr>
        <w:t>creation,</w:t>
      </w:r>
      <w:r w:rsidR="005D5532" w:rsidRPr="00276391">
        <w:rPr>
          <w:rFonts w:cs="Arial"/>
          <w:lang w:eastAsia="en-AU"/>
        </w:rPr>
        <w:t xml:space="preserve"> </w:t>
      </w:r>
      <w:r w:rsidRPr="00276391">
        <w:rPr>
          <w:rFonts w:cs="Arial"/>
          <w:lang w:eastAsia="en-AU"/>
        </w:rPr>
        <w:t>maintenance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storage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hard</w:t>
      </w:r>
      <w:r w:rsidR="005D5532" w:rsidRPr="00276391">
        <w:rPr>
          <w:rFonts w:cs="Arial"/>
          <w:lang w:eastAsia="en-AU"/>
        </w:rPr>
        <w:t xml:space="preserve"> </w:t>
      </w:r>
      <w:r w:rsidRPr="00276391">
        <w:rPr>
          <w:rFonts w:cs="Arial"/>
          <w:lang w:eastAsia="en-AU"/>
        </w:rPr>
        <w:t>copy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electronic</w:t>
      </w:r>
      <w:r w:rsidR="005D5532" w:rsidRPr="00276391">
        <w:rPr>
          <w:rFonts w:cs="Arial"/>
          <w:lang w:eastAsia="en-AU"/>
        </w:rPr>
        <w:t xml:space="preserve"> </w:t>
      </w:r>
      <w:r w:rsidRPr="00276391">
        <w:rPr>
          <w:rFonts w:cs="Arial"/>
          <w:lang w:eastAsia="en-AU"/>
        </w:rPr>
        <w:t>records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maintenance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effective</w:t>
      </w:r>
      <w:r w:rsidR="005D5532" w:rsidRPr="00276391">
        <w:rPr>
          <w:rFonts w:cs="Arial"/>
          <w:lang w:eastAsia="en-AU"/>
        </w:rPr>
        <w:t xml:space="preserve"> </w:t>
      </w:r>
      <w:r w:rsidRPr="00276391">
        <w:rPr>
          <w:rFonts w:cs="Arial"/>
          <w:lang w:eastAsia="en-AU"/>
        </w:rPr>
        <w:t>record</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system</w:t>
      </w:r>
      <w:r w:rsidR="005D5532" w:rsidRPr="00276391">
        <w:rPr>
          <w:rFonts w:cs="Arial"/>
          <w:lang w:eastAsia="en-AU"/>
        </w:rPr>
        <w:t xml:space="preserve"> </w:t>
      </w:r>
    </w:p>
    <w:p w14:paraId="4DF7F2E6" w14:textId="77777777" w:rsidR="00236748" w:rsidRPr="00276391" w:rsidRDefault="00236748" w:rsidP="00276391">
      <w:pPr>
        <w:pStyle w:val="DHHSbullet1"/>
        <w:rPr>
          <w:rFonts w:cs="Arial"/>
          <w:lang w:eastAsia="en-AU"/>
        </w:rPr>
      </w:pPr>
      <w:r w:rsidRPr="00276391">
        <w:rPr>
          <w:rFonts w:cs="Arial"/>
          <w:lang w:eastAsia="en-AU"/>
        </w:rPr>
        <w:t>access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records</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appropriately</w:t>
      </w:r>
      <w:r w:rsidR="005D5532" w:rsidRPr="00276391">
        <w:rPr>
          <w:rFonts w:cs="Arial"/>
          <w:lang w:eastAsia="en-AU"/>
        </w:rPr>
        <w:t xml:space="preserve"> </w:t>
      </w:r>
      <w:r w:rsidRPr="00276391">
        <w:rPr>
          <w:rFonts w:cs="Arial"/>
          <w:lang w:eastAsia="en-AU"/>
        </w:rPr>
        <w:t>controlled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regulated</w:t>
      </w:r>
      <w:r w:rsidR="005D5532" w:rsidRPr="00276391">
        <w:rPr>
          <w:rFonts w:cs="Arial"/>
          <w:lang w:eastAsia="en-AU"/>
        </w:rPr>
        <w:t xml:space="preserve"> </w:t>
      </w:r>
    </w:p>
    <w:p w14:paraId="3C2E30C1" w14:textId="061BD864" w:rsidR="00236748" w:rsidRPr="00276391" w:rsidRDefault="00236748" w:rsidP="00276391">
      <w:pPr>
        <w:pStyle w:val="DHHSbullet1"/>
        <w:rPr>
          <w:rFonts w:cs="Arial"/>
          <w:lang w:eastAsia="en-AU"/>
        </w:rPr>
      </w:pPr>
      <w:r w:rsidRPr="00276391">
        <w:rPr>
          <w:rFonts w:cs="Arial"/>
          <w:lang w:eastAsia="en-AU"/>
        </w:rPr>
        <w:t>records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disposed</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p>
    <w:p w14:paraId="531135BA" w14:textId="105574DC" w:rsidR="00236748" w:rsidRPr="00276391" w:rsidRDefault="00236748" w:rsidP="00276391">
      <w:pPr>
        <w:pStyle w:val="DHHSbullet1"/>
        <w:rPr>
          <w:rFonts w:cs="Arial"/>
          <w:lang w:eastAsia="en-AU"/>
        </w:rPr>
      </w:pPr>
      <w:r w:rsidRPr="00276391">
        <w:rPr>
          <w:rFonts w:cs="Arial"/>
          <w:lang w:eastAsia="en-AU"/>
        </w:rPr>
        <w:t>records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able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accessed,</w:t>
      </w:r>
      <w:r w:rsidR="005D5532" w:rsidRPr="00276391">
        <w:rPr>
          <w:rFonts w:cs="Arial"/>
          <w:lang w:eastAsia="en-AU"/>
        </w:rPr>
        <w:t xml:space="preserve"> </w:t>
      </w:r>
      <w:r w:rsidRPr="00276391">
        <w:rPr>
          <w:rFonts w:cs="Arial"/>
          <w:lang w:eastAsia="en-AU"/>
        </w:rPr>
        <w:t>retrieved,</w:t>
      </w:r>
      <w:r w:rsidR="005D5532" w:rsidRPr="00276391">
        <w:rPr>
          <w:rFonts w:cs="Arial"/>
          <w:lang w:eastAsia="en-AU"/>
        </w:rPr>
        <w:t xml:space="preserve"> </w:t>
      </w:r>
      <w:r w:rsidRPr="00276391">
        <w:rPr>
          <w:rFonts w:cs="Arial"/>
          <w:lang w:eastAsia="en-AU"/>
        </w:rPr>
        <w:t>reviewed,</w:t>
      </w:r>
      <w:r w:rsidR="005D5532" w:rsidRPr="00276391">
        <w:rPr>
          <w:rFonts w:cs="Arial"/>
          <w:lang w:eastAsia="en-AU"/>
        </w:rPr>
        <w:t xml:space="preserve"> </w:t>
      </w:r>
      <w:r w:rsidRPr="00276391">
        <w:rPr>
          <w:rFonts w:cs="Arial"/>
          <w:lang w:eastAsia="en-AU"/>
        </w:rPr>
        <w:t>kept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used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immediate</w:t>
      </w:r>
      <w:r w:rsidR="005D5532" w:rsidRPr="00276391">
        <w:rPr>
          <w:rFonts w:cs="Arial"/>
          <w:lang w:eastAsia="en-AU"/>
        </w:rPr>
        <w:t xml:space="preserve"> </w:t>
      </w:r>
      <w:r w:rsidRPr="00276391">
        <w:rPr>
          <w:rFonts w:cs="Arial"/>
          <w:lang w:eastAsia="en-AU"/>
        </w:rPr>
        <w:t>access</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third</w:t>
      </w:r>
      <w:r w:rsidR="005D5532" w:rsidRPr="00276391">
        <w:rPr>
          <w:rFonts w:cs="Arial"/>
          <w:lang w:eastAsia="en-AU"/>
        </w:rPr>
        <w:t xml:space="preserve"> </w:t>
      </w:r>
      <w:r w:rsidRPr="00276391">
        <w:rPr>
          <w:rFonts w:cs="Arial"/>
          <w:lang w:eastAsia="en-AU"/>
        </w:rPr>
        <w:t>party</w:t>
      </w:r>
      <w:r w:rsidR="005D5532" w:rsidRPr="00276391">
        <w:rPr>
          <w:rFonts w:cs="Arial"/>
          <w:lang w:eastAsia="en-AU"/>
        </w:rPr>
        <w:t xml:space="preserve"> </w:t>
      </w:r>
      <w:r w:rsidRPr="00276391">
        <w:rPr>
          <w:rFonts w:cs="Arial"/>
          <w:lang w:eastAsia="en-AU"/>
        </w:rPr>
        <w:t>nominated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following</w:t>
      </w:r>
      <w:r w:rsidR="005D5532" w:rsidRPr="00276391">
        <w:rPr>
          <w:rFonts w:cs="Arial"/>
          <w:lang w:eastAsia="en-AU"/>
        </w:rPr>
        <w:t xml:space="preserve"> </w:t>
      </w:r>
      <w:r w:rsidRPr="00276391">
        <w:rPr>
          <w:rFonts w:cs="Arial"/>
          <w:lang w:eastAsia="en-AU"/>
        </w:rPr>
        <w:t>circumstances:</w:t>
      </w:r>
      <w:r w:rsidR="005D5532" w:rsidRPr="00276391">
        <w:rPr>
          <w:rFonts w:cs="Arial"/>
          <w:lang w:eastAsia="en-AU"/>
        </w:rPr>
        <w:t xml:space="preserve"> </w:t>
      </w:r>
    </w:p>
    <w:p w14:paraId="564703B3" w14:textId="402AB68A"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w:t>
      </w:r>
      <w:r w:rsidR="00287F6A">
        <w:rPr>
          <w:rFonts w:cs="Arial"/>
          <w:color w:val="000000"/>
          <w:szCs w:val="19"/>
          <w:lang w:eastAsia="en-AU"/>
        </w:rPr>
        <w:t xml:space="preserve">e </w:t>
      </w:r>
      <w:hyperlink r:id="rId72" w:history="1">
        <w:r w:rsidR="00287F6A" w:rsidRPr="00287F6A">
          <w:rPr>
            <w:rStyle w:val="Hyperlink"/>
          </w:rPr>
          <w:t>Public Records Act 1973 (Vic)</w:t>
        </w:r>
      </w:hyperlink>
      <w:r w:rsidR="006250C7">
        <w:rPr>
          <w:lang w:eastAsia="en-AU"/>
        </w:rPr>
        <w:t xml:space="preserve"> &lt;</w:t>
      </w:r>
      <w:r w:rsidR="00287F6A" w:rsidRPr="00287F6A">
        <w:rPr>
          <w:rFonts w:cs="Arial"/>
          <w:color w:val="000000"/>
          <w:szCs w:val="19"/>
          <w:lang w:eastAsia="en-AU"/>
        </w:rPr>
        <w:t>http://www7.austlii.edu.au/cgi-bin/viewdb/au/legis/vic/consol_act/pra1973153/</w:t>
      </w:r>
      <w:r w:rsidR="001675C1">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law</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FE7C25">
        <w:rPr>
          <w:rFonts w:cs="Arial"/>
          <w:bCs/>
          <w:i/>
          <w:color w:val="000000"/>
          <w:szCs w:val="19"/>
          <w:lang w:eastAsia="en-AU"/>
        </w:rPr>
        <w:t>Freedom</w:t>
      </w:r>
      <w:r w:rsidR="005D5532" w:rsidRPr="00FE7C25">
        <w:rPr>
          <w:rFonts w:cs="Arial"/>
          <w:bCs/>
          <w:i/>
          <w:color w:val="000000"/>
          <w:szCs w:val="19"/>
          <w:lang w:eastAsia="en-AU"/>
        </w:rPr>
        <w:t xml:space="preserve"> </w:t>
      </w:r>
      <w:r w:rsidRPr="00FE7C25">
        <w:rPr>
          <w:rFonts w:cs="Arial"/>
          <w:bCs/>
          <w:i/>
          <w:color w:val="000000"/>
          <w:szCs w:val="19"/>
          <w:lang w:eastAsia="en-AU"/>
        </w:rPr>
        <w:t>of</w:t>
      </w:r>
      <w:r w:rsidR="005D5532" w:rsidRPr="00FE7C25">
        <w:rPr>
          <w:rFonts w:cs="Arial"/>
          <w:bCs/>
          <w:i/>
          <w:color w:val="000000"/>
          <w:szCs w:val="19"/>
          <w:lang w:eastAsia="en-AU"/>
        </w:rPr>
        <w:t xml:space="preserve"> </w:t>
      </w:r>
      <w:r w:rsidRPr="00FE7C25">
        <w:rPr>
          <w:rFonts w:cs="Arial"/>
          <w:bCs/>
          <w:i/>
          <w:color w:val="000000"/>
          <w:szCs w:val="19"/>
          <w:lang w:eastAsia="en-AU"/>
        </w:rPr>
        <w:t>Information</w:t>
      </w:r>
      <w:r w:rsidR="005D5532" w:rsidRPr="00FE7C25">
        <w:rPr>
          <w:rFonts w:cs="Arial"/>
          <w:bCs/>
          <w:i/>
          <w:color w:val="000000"/>
          <w:szCs w:val="19"/>
          <w:lang w:eastAsia="en-AU"/>
        </w:rPr>
        <w:t xml:space="preserve"> </w:t>
      </w:r>
      <w:r w:rsidRPr="00FE7C25">
        <w:rPr>
          <w:rFonts w:cs="Arial"/>
          <w:bCs/>
          <w:i/>
          <w:color w:val="000000"/>
          <w:szCs w:val="19"/>
          <w:lang w:eastAsia="en-AU"/>
        </w:rPr>
        <w:t>Act</w:t>
      </w:r>
      <w:r w:rsidR="005D5532" w:rsidRPr="00FE7C25">
        <w:rPr>
          <w:rFonts w:cs="Arial"/>
          <w:bCs/>
          <w:i/>
          <w:color w:val="000000"/>
          <w:szCs w:val="19"/>
          <w:lang w:eastAsia="en-AU"/>
        </w:rPr>
        <w:t xml:space="preserve"> </w:t>
      </w:r>
      <w:r w:rsidRPr="00FE7C25">
        <w:rPr>
          <w:rFonts w:cs="Arial"/>
          <w:bCs/>
          <w:i/>
          <w:color w:val="000000"/>
          <w:szCs w:val="19"/>
          <w:lang w:eastAsia="en-AU"/>
        </w:rPr>
        <w:t>1982</w:t>
      </w:r>
      <w:r w:rsidR="005D5532" w:rsidRPr="00FE7C25">
        <w:rPr>
          <w:rFonts w:cs="Arial"/>
          <w:i/>
          <w:color w:val="000000"/>
          <w:szCs w:val="19"/>
          <w:lang w:eastAsia="en-AU"/>
        </w:rPr>
        <w:t xml:space="preserve"> </w:t>
      </w:r>
      <w:r w:rsidRPr="00FE7C25">
        <w:rPr>
          <w:rFonts w:cs="Arial"/>
          <w:bCs/>
          <w:i/>
          <w:color w:val="000000"/>
          <w:szCs w:val="19"/>
          <w:lang w:eastAsia="en-AU"/>
        </w:rPr>
        <w:t>(Vic)</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hyperlink w:anchor="_3.6.3_Freedom_of" w:history="1">
        <w:r w:rsidRPr="001675C1">
          <w:rPr>
            <w:rStyle w:val="Hyperlink"/>
            <w:rFonts w:cs="Arial"/>
            <w:szCs w:val="19"/>
            <w:lang w:eastAsia="en-AU"/>
          </w:rPr>
          <w:t>to</w:t>
        </w:r>
        <w:r w:rsidR="005D5532" w:rsidRPr="001675C1">
          <w:rPr>
            <w:rStyle w:val="Hyperlink"/>
            <w:rFonts w:cs="Arial"/>
            <w:szCs w:val="19"/>
            <w:lang w:eastAsia="en-AU"/>
          </w:rPr>
          <w:t xml:space="preserve"> </w:t>
        </w:r>
        <w:r w:rsidRPr="001675C1">
          <w:rPr>
            <w:rStyle w:val="Hyperlink"/>
          </w:rPr>
          <w:t>chapter</w:t>
        </w:r>
        <w:r w:rsidR="005D5532" w:rsidRPr="001675C1">
          <w:rPr>
            <w:rStyle w:val="Hyperlink"/>
          </w:rPr>
          <w:t xml:space="preserve"> </w:t>
        </w:r>
        <w:r w:rsidRPr="001675C1">
          <w:rPr>
            <w:rStyle w:val="Hyperlink"/>
          </w:rPr>
          <w:t>3.6.3</w:t>
        </w:r>
      </w:hyperlink>
      <w:r w:rsidRPr="00B24C02">
        <w:rPr>
          <w:rFonts w:cs="Arial"/>
          <w:color w:val="000000"/>
          <w:szCs w:val="19"/>
          <w:lang w:eastAsia="en-AU"/>
        </w:rPr>
        <w:t>).</w:t>
      </w:r>
      <w:r w:rsidRPr="00B24C02">
        <w:rPr>
          <w:rFonts w:cs="Arial"/>
          <w:color w:val="000000"/>
          <w:szCs w:val="19"/>
          <w:lang w:eastAsia="en-AU"/>
        </w:rPr>
        <w:br/>
        <w:t>(b)</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requested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Auditor-General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Ombudsman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Pr="00B24C02">
        <w:rPr>
          <w:rFonts w:cs="Arial"/>
          <w:color w:val="000000"/>
          <w:szCs w:val="19"/>
          <w:lang w:eastAsia="en-AU"/>
        </w:rPr>
        <w:br/>
        <w:t>(c)</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audit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9</w:t>
      </w:r>
      <w:r w:rsidR="005D5532" w:rsidRPr="00B24C02">
        <w:rPr>
          <w:rFonts w:cs="Arial"/>
          <w:color w:val="000000"/>
          <w:szCs w:val="19"/>
          <w:lang w:eastAsia="en-AU"/>
        </w:rPr>
        <w:t xml:space="preserve"> </w:t>
      </w:r>
      <w:r w:rsidRPr="00B24C02">
        <w:rPr>
          <w:rFonts w:cs="Arial"/>
          <w:color w:val="000000"/>
          <w:szCs w:val="19"/>
          <w:lang w:eastAsia="en-AU"/>
        </w:rPr>
        <w:t>(</w:t>
      </w:r>
      <w:r w:rsidR="00BD023C">
        <w:rPr>
          <w:rFonts w:cs="Arial"/>
          <w:color w:val="000000"/>
          <w:szCs w:val="19"/>
          <w:lang w:eastAsia="en-AU"/>
        </w:rPr>
        <w:t xml:space="preserve">refer </w:t>
      </w:r>
      <w:hyperlink w:anchor="_3.9_Audit_and" w:tgtFrame="_blank" w:history="1">
        <w:r w:rsidR="00BD023C" w:rsidRPr="001675C1">
          <w:rPr>
            <w:rStyle w:val="Hyperlink"/>
            <w:rFonts w:cs="Arial"/>
            <w:szCs w:val="19"/>
            <w:lang w:eastAsia="en-AU"/>
          </w:rPr>
          <w:t>to</w:t>
        </w:r>
        <w:r w:rsidR="005D5532" w:rsidRPr="001675C1">
          <w:rPr>
            <w:rStyle w:val="Hyperlink"/>
            <w:rFonts w:cs="Arial"/>
            <w:szCs w:val="19"/>
            <w:lang w:eastAsia="en-AU"/>
          </w:rPr>
          <w:t xml:space="preserve"> </w:t>
        </w:r>
        <w:r w:rsidRPr="001675C1">
          <w:rPr>
            <w:rStyle w:val="Hyperlink"/>
          </w:rPr>
          <w:t>chapter</w:t>
        </w:r>
        <w:r w:rsidR="005D5532" w:rsidRPr="001675C1">
          <w:rPr>
            <w:rStyle w:val="Hyperlink"/>
          </w:rPr>
          <w:t xml:space="preserve"> </w:t>
        </w:r>
        <w:r w:rsidRPr="001675C1">
          <w:rPr>
            <w:rStyle w:val="Hyperlink"/>
          </w:rPr>
          <w:t>3.9</w:t>
        </w:r>
      </w:hyperlink>
      <w:r w:rsidR="002C58D9">
        <w:rPr>
          <w:rFonts w:cs="Arial"/>
          <w:color w:val="000000"/>
          <w:szCs w:val="19"/>
          <w:lang w:eastAsia="en-AU"/>
        </w:rPr>
        <w:t>)</w:t>
      </w:r>
      <w:r w:rsidRPr="00B24C02">
        <w:rPr>
          <w:rFonts w:cs="Arial"/>
          <w:color w:val="000000"/>
          <w:szCs w:val="19"/>
          <w:lang w:eastAsia="en-AU"/>
        </w:rPr>
        <w:t>.</w:t>
      </w:r>
    </w:p>
    <w:p w14:paraId="7D65CFC7" w14:textId="77777777"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those</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immediately</w:t>
      </w:r>
      <w:r w:rsidR="005D5532" w:rsidRPr="00276391">
        <w:rPr>
          <w:lang w:eastAsia="en-AU"/>
        </w:rPr>
        <w:t xml:space="preserve"> </w:t>
      </w:r>
      <w:r w:rsidRPr="00276391">
        <w:rPr>
          <w:lang w:eastAsia="en-AU"/>
        </w:rPr>
        <w:t>above,</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third</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nominated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five</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receiving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request.</w:t>
      </w:r>
    </w:p>
    <w:p w14:paraId="45E0F8C2"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acting</w:t>
      </w:r>
      <w:r w:rsidR="005D5532" w:rsidRPr="00276391">
        <w:rPr>
          <w:lang w:eastAsia="en-AU"/>
        </w:rPr>
        <w:t xml:space="preserve"> </w:t>
      </w:r>
      <w:r w:rsidRPr="00276391">
        <w:rPr>
          <w:lang w:eastAsia="en-AU"/>
        </w:rPr>
        <w:t>reasonably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good</w:t>
      </w:r>
      <w:r w:rsidR="005D5532" w:rsidRPr="00276391">
        <w:rPr>
          <w:lang w:eastAsia="en-AU"/>
        </w:rPr>
        <w:t xml:space="preserve"> </w:t>
      </w:r>
      <w:r w:rsidRPr="00276391">
        <w:rPr>
          <w:lang w:eastAsia="en-AU"/>
        </w:rPr>
        <w:t>faith,</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unable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specified</w:t>
      </w:r>
      <w:r w:rsidR="005D5532" w:rsidRPr="00276391">
        <w:rPr>
          <w:lang w:eastAsia="en-AU"/>
        </w:rPr>
        <w:t xml:space="preserve"> </w:t>
      </w:r>
      <w:r w:rsidRPr="00276391">
        <w:rPr>
          <w:lang w:eastAsia="en-AU"/>
        </w:rPr>
        <w:t>(i.e.</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five</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extension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unreasonably</w:t>
      </w:r>
      <w:r w:rsidR="005D5532" w:rsidRPr="00276391">
        <w:rPr>
          <w:lang w:eastAsia="en-AU"/>
        </w:rPr>
        <w:t xml:space="preserve"> </w:t>
      </w:r>
      <w:r w:rsidRPr="00276391">
        <w:rPr>
          <w:lang w:eastAsia="en-AU"/>
        </w:rPr>
        <w:t>refuse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requested</w:t>
      </w:r>
      <w:r w:rsidR="005D5532" w:rsidRPr="00276391">
        <w:rPr>
          <w:lang w:eastAsia="en-AU"/>
        </w:rPr>
        <w:t xml:space="preserve"> </w:t>
      </w:r>
      <w:r w:rsidRPr="00276391">
        <w:rPr>
          <w:lang w:eastAsia="en-AU"/>
        </w:rPr>
        <w:t>extension.</w:t>
      </w:r>
    </w:p>
    <w:p w14:paraId="62B400DE" w14:textId="38108AE2"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retains</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ownership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materials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p>
    <w:p w14:paraId="2E922F0C" w14:textId="77777777" w:rsidR="00236748" w:rsidRPr="00276391" w:rsidRDefault="00236748" w:rsidP="00276391">
      <w:pPr>
        <w:pStyle w:val="DHHSbody"/>
        <w:rPr>
          <w:lang w:eastAsia="en-AU"/>
        </w:rPr>
      </w:pPr>
      <w:r w:rsidRPr="00276391">
        <w:rPr>
          <w:b/>
          <w:bCs/>
          <w:lang w:eastAsia="en-AU"/>
        </w:rPr>
        <w:t>Note: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accessing</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measures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disclosed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treated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breach</w:t>
      </w:r>
      <w:r w:rsidR="005D5532" w:rsidRPr="00276391">
        <w:rPr>
          <w:lang w:eastAsia="en-AU"/>
        </w:rPr>
        <w:t xml:space="preserve"> </w:t>
      </w:r>
      <w:r w:rsidRPr="00276391">
        <w:rPr>
          <w:lang w:eastAsia="en-AU"/>
        </w:rPr>
        <w:t>those</w:t>
      </w:r>
      <w:r w:rsidR="005D5532" w:rsidRPr="00276391">
        <w:rPr>
          <w:lang w:eastAsia="en-AU"/>
        </w:rPr>
        <w:t xml:space="preserve"> </w:t>
      </w:r>
      <w:r w:rsidRPr="00276391">
        <w:rPr>
          <w:lang w:eastAsia="en-AU"/>
        </w:rPr>
        <w:t>laws.</w:t>
      </w:r>
    </w:p>
    <w:p w14:paraId="3923B680" w14:textId="77777777" w:rsidR="00236748" w:rsidRPr="00276391" w:rsidRDefault="00236748" w:rsidP="009D4D32">
      <w:pPr>
        <w:pStyle w:val="Heading4"/>
        <w:rPr>
          <w:lang w:eastAsia="en-AU"/>
        </w:rPr>
      </w:pPr>
      <w:bookmarkStart w:id="319" w:name="_Toc478991795"/>
      <w:r w:rsidRPr="00276391">
        <w:rPr>
          <w:lang w:eastAsia="en-AU"/>
        </w:rPr>
        <w:t>Definition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record</w:t>
      </w:r>
      <w:bookmarkEnd w:id="319"/>
    </w:p>
    <w:p w14:paraId="2A1D2FDB" w14:textId="1909DD0E" w:rsidR="00236748" w:rsidRPr="00276391" w:rsidRDefault="00236748" w:rsidP="00FF70E7">
      <w:pPr>
        <w:pStyle w:val="DHHSbullet1"/>
        <w:numPr>
          <w:ilvl w:val="0"/>
          <w:numId w:val="0"/>
        </w:numPr>
        <w:rPr>
          <w:rFonts w:cs="Arial"/>
          <w:lang w:eastAsia="en-AU"/>
        </w:rPr>
      </w:pP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record</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document</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meaning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FE7C25">
        <w:rPr>
          <w:rFonts w:cs="Arial"/>
          <w:b/>
          <w:i/>
          <w:lang w:eastAsia="en-AU"/>
        </w:rPr>
        <w:t>the</w:t>
      </w:r>
      <w:r w:rsidR="005D5532" w:rsidRPr="00FE7C25">
        <w:rPr>
          <w:rFonts w:cs="Arial"/>
          <w:b/>
          <w:i/>
          <w:lang w:eastAsia="en-AU"/>
        </w:rPr>
        <w:t xml:space="preserve"> </w:t>
      </w:r>
      <w:r w:rsidRPr="00FE7C25">
        <w:rPr>
          <w:rFonts w:cs="Arial"/>
          <w:b/>
          <w:bCs/>
          <w:i/>
          <w:lang w:eastAsia="en-AU"/>
        </w:rPr>
        <w:t>Evidence</w:t>
      </w:r>
      <w:r w:rsidR="005D5532" w:rsidRPr="00FE7C25">
        <w:rPr>
          <w:rFonts w:cs="Arial"/>
          <w:b/>
          <w:bCs/>
          <w:i/>
          <w:lang w:eastAsia="en-AU"/>
        </w:rPr>
        <w:t xml:space="preserve"> </w:t>
      </w:r>
      <w:r w:rsidRPr="00FE7C25">
        <w:rPr>
          <w:rFonts w:cs="Arial"/>
          <w:b/>
          <w:bCs/>
          <w:i/>
          <w:lang w:eastAsia="en-AU"/>
        </w:rPr>
        <w:t>Act</w:t>
      </w:r>
      <w:r w:rsidR="005D5532" w:rsidRPr="00FE7C25">
        <w:rPr>
          <w:rFonts w:cs="Arial"/>
          <w:b/>
          <w:bCs/>
          <w:i/>
          <w:lang w:eastAsia="en-AU"/>
        </w:rPr>
        <w:t xml:space="preserve"> </w:t>
      </w:r>
      <w:r w:rsidRPr="00FE7C25">
        <w:rPr>
          <w:rFonts w:cs="Arial"/>
          <w:b/>
          <w:bCs/>
          <w:i/>
          <w:lang w:eastAsia="en-AU"/>
        </w:rPr>
        <w:t>2008</w:t>
      </w:r>
      <w:r w:rsidR="005D5532" w:rsidRPr="00FE7C25">
        <w:rPr>
          <w:rFonts w:cs="Arial"/>
          <w:b/>
          <w:bCs/>
          <w:i/>
          <w:lang w:eastAsia="en-AU"/>
        </w:rPr>
        <w:t xml:space="preserve"> </w:t>
      </w:r>
      <w:r w:rsidRPr="00FE7C25">
        <w:rPr>
          <w:rFonts w:cs="Arial"/>
          <w:b/>
          <w:bCs/>
          <w:i/>
          <w:lang w:eastAsia="en-AU"/>
        </w:rPr>
        <w:t>(Vic)</w:t>
      </w:r>
      <w:r w:rsidRPr="00276391">
        <w:rPr>
          <w:rFonts w:cs="Arial"/>
          <w:lang w:eastAsia="en-AU"/>
        </w:rPr>
        <w:t>,</w:t>
      </w:r>
      <w:r w:rsidR="005D5532" w:rsidRPr="00276391">
        <w:rPr>
          <w:rFonts w:cs="Arial"/>
          <w:lang w:eastAsia="en-AU"/>
        </w:rPr>
        <w:t xml:space="preserve"> </w:t>
      </w:r>
      <w:r w:rsidRPr="00276391">
        <w:rPr>
          <w:rFonts w:cs="Arial"/>
          <w:lang w:eastAsia="en-AU"/>
        </w:rPr>
        <w:t>including:</w:t>
      </w:r>
    </w:p>
    <w:p w14:paraId="7754ABA4" w14:textId="77777777" w:rsidR="00FF70E7" w:rsidRDefault="00236748" w:rsidP="00FF70E7">
      <w:pPr>
        <w:pStyle w:val="DHHSbullet1"/>
        <w:numPr>
          <w:ilvl w:val="0"/>
          <w:numId w:val="0"/>
        </w:numPr>
        <w:ind w:left="284" w:hanging="284"/>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anything</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there</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writing;</w:t>
      </w:r>
      <w:r w:rsidR="005D5532" w:rsidRPr="00276391">
        <w:rPr>
          <w:rFonts w:cs="Arial"/>
          <w:lang w:eastAsia="en-AU"/>
        </w:rPr>
        <w:t xml:space="preserve"> </w:t>
      </w:r>
      <w:r w:rsidR="00FF70E7">
        <w:rPr>
          <w:rFonts w:cs="Arial"/>
          <w:lang w:eastAsia="en-AU"/>
        </w:rPr>
        <w:t>or</w:t>
      </w:r>
    </w:p>
    <w:p w14:paraId="3F99A435" w14:textId="77777777" w:rsidR="00FF70E7" w:rsidRDefault="00236748" w:rsidP="00FF70E7">
      <w:pPr>
        <w:pStyle w:val="DHHSbullet1"/>
        <w:numPr>
          <w:ilvl w:val="0"/>
          <w:numId w:val="0"/>
        </w:numPr>
        <w:ind w:left="284" w:hanging="284"/>
        <w:rPr>
          <w:rFonts w:cs="Arial"/>
          <w:lang w:eastAsia="en-AU"/>
        </w:rPr>
      </w:pPr>
      <w:r w:rsidRPr="00276391">
        <w:rPr>
          <w:rFonts w:cs="Arial"/>
          <w:lang w:eastAsia="en-AU"/>
        </w:rPr>
        <w:t>(b)</w:t>
      </w:r>
      <w:r w:rsidR="005D5532" w:rsidRPr="00276391">
        <w:rPr>
          <w:rFonts w:cs="Arial"/>
          <w:lang w:eastAsia="en-AU"/>
        </w:rPr>
        <w:t xml:space="preserve"> </w:t>
      </w:r>
      <w:r w:rsidRPr="00276391">
        <w:rPr>
          <w:rFonts w:cs="Arial"/>
          <w:lang w:eastAsia="en-AU"/>
        </w:rPr>
        <w:t>anything</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there</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marks,</w:t>
      </w:r>
      <w:r w:rsidR="005D5532" w:rsidRPr="00276391">
        <w:rPr>
          <w:rFonts w:cs="Arial"/>
          <w:lang w:eastAsia="en-AU"/>
        </w:rPr>
        <w:t xml:space="preserve"> </w:t>
      </w:r>
      <w:r w:rsidRPr="00276391">
        <w:rPr>
          <w:rFonts w:cs="Arial"/>
          <w:lang w:eastAsia="en-AU"/>
        </w:rPr>
        <w:t>figures,</w:t>
      </w:r>
      <w:r w:rsidR="005D5532" w:rsidRPr="00276391">
        <w:rPr>
          <w:rFonts w:cs="Arial"/>
          <w:lang w:eastAsia="en-AU"/>
        </w:rPr>
        <w:t xml:space="preserve"> </w:t>
      </w:r>
      <w:r w:rsidRPr="00276391">
        <w:rPr>
          <w:rFonts w:cs="Arial"/>
          <w:lang w:eastAsia="en-AU"/>
        </w:rPr>
        <w:t>symbols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perforations</w:t>
      </w:r>
      <w:r w:rsidR="005D5532" w:rsidRPr="00276391">
        <w:rPr>
          <w:rFonts w:cs="Arial"/>
          <w:lang w:eastAsia="en-AU"/>
        </w:rPr>
        <w:t xml:space="preserve"> </w:t>
      </w:r>
      <w:r w:rsidRPr="00276391">
        <w:rPr>
          <w:rFonts w:cs="Arial"/>
          <w:lang w:eastAsia="en-AU"/>
        </w:rPr>
        <w:t>having</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meaning</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persons</w:t>
      </w:r>
      <w:r w:rsidR="005D5532" w:rsidRPr="00276391">
        <w:rPr>
          <w:rFonts w:cs="Arial"/>
          <w:lang w:eastAsia="en-AU"/>
        </w:rPr>
        <w:t xml:space="preserve"> </w:t>
      </w:r>
      <w:r w:rsidRPr="00276391">
        <w:rPr>
          <w:rFonts w:cs="Arial"/>
          <w:lang w:eastAsia="en-AU"/>
        </w:rPr>
        <w:t>qualified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interpret</w:t>
      </w:r>
      <w:r w:rsidR="005D5532" w:rsidRPr="00276391">
        <w:rPr>
          <w:rFonts w:cs="Arial"/>
          <w:lang w:eastAsia="en-AU"/>
        </w:rPr>
        <w:t xml:space="preserve"> </w:t>
      </w:r>
      <w:r w:rsidRPr="00276391">
        <w:rPr>
          <w:rFonts w:cs="Arial"/>
          <w:lang w:eastAsia="en-AU"/>
        </w:rPr>
        <w:t>them;</w:t>
      </w:r>
      <w:r w:rsidR="005D5532" w:rsidRPr="00276391">
        <w:rPr>
          <w:rFonts w:cs="Arial"/>
          <w:lang w:eastAsia="en-AU"/>
        </w:rPr>
        <w:t xml:space="preserve"> </w:t>
      </w:r>
      <w:r w:rsidR="00FF70E7">
        <w:rPr>
          <w:rFonts w:cs="Arial"/>
          <w:lang w:eastAsia="en-AU"/>
        </w:rPr>
        <w:t>or</w:t>
      </w:r>
    </w:p>
    <w:p w14:paraId="2F7B03A9" w14:textId="77777777" w:rsidR="00FF70E7" w:rsidRDefault="00236748" w:rsidP="00FF70E7">
      <w:pPr>
        <w:pStyle w:val="DHHSbullet1"/>
        <w:numPr>
          <w:ilvl w:val="0"/>
          <w:numId w:val="0"/>
        </w:numPr>
        <w:ind w:left="284" w:hanging="284"/>
        <w:rPr>
          <w:rFonts w:cs="Arial"/>
          <w:lang w:eastAsia="en-AU"/>
        </w:rPr>
      </w:pPr>
      <w:r w:rsidRPr="00276391">
        <w:rPr>
          <w:rFonts w:cs="Arial"/>
          <w:lang w:eastAsia="en-AU"/>
        </w:rPr>
        <w:t>(c)</w:t>
      </w:r>
      <w:r w:rsidR="005D5532" w:rsidRPr="00276391">
        <w:rPr>
          <w:rFonts w:cs="Arial"/>
          <w:lang w:eastAsia="en-AU"/>
        </w:rPr>
        <w:t xml:space="preserve"> </w:t>
      </w:r>
      <w:r w:rsidRPr="00276391">
        <w:rPr>
          <w:rFonts w:cs="Arial"/>
          <w:lang w:eastAsia="en-AU"/>
        </w:rPr>
        <w:t>anything</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sounds,</w:t>
      </w:r>
      <w:r w:rsidR="005D5532" w:rsidRPr="00276391">
        <w:rPr>
          <w:rFonts w:cs="Arial"/>
          <w:lang w:eastAsia="en-AU"/>
        </w:rPr>
        <w:t xml:space="preserve"> </w:t>
      </w:r>
      <w:r w:rsidRPr="00276391">
        <w:rPr>
          <w:rFonts w:cs="Arial"/>
          <w:lang w:eastAsia="en-AU"/>
        </w:rPr>
        <w:t>images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writings</w:t>
      </w:r>
      <w:r w:rsidR="005D5532" w:rsidRPr="00276391">
        <w:rPr>
          <w:rFonts w:cs="Arial"/>
          <w:lang w:eastAsia="en-AU"/>
        </w:rPr>
        <w:t xml:space="preserve"> </w:t>
      </w:r>
      <w:r w:rsidRPr="00276391">
        <w:rPr>
          <w:rFonts w:cs="Arial"/>
          <w:lang w:eastAsia="en-AU"/>
        </w:rPr>
        <w:t>can</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reproduced</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without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aid</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anything</w:t>
      </w:r>
      <w:r w:rsidR="005D5532" w:rsidRPr="00276391">
        <w:rPr>
          <w:rFonts w:cs="Arial"/>
          <w:lang w:eastAsia="en-AU"/>
        </w:rPr>
        <w:t xml:space="preserve"> </w:t>
      </w:r>
      <w:r w:rsidRPr="00276391">
        <w:rPr>
          <w:rFonts w:cs="Arial"/>
          <w:lang w:eastAsia="en-AU"/>
        </w:rPr>
        <w:t>else;</w:t>
      </w:r>
      <w:r w:rsidR="005D5532" w:rsidRPr="00276391">
        <w:rPr>
          <w:rFonts w:cs="Arial"/>
          <w:lang w:eastAsia="en-AU"/>
        </w:rPr>
        <w:t xml:space="preserve"> </w:t>
      </w:r>
      <w:r w:rsidR="00FF70E7">
        <w:rPr>
          <w:rFonts w:cs="Arial"/>
          <w:lang w:eastAsia="en-AU"/>
        </w:rPr>
        <w:t>or</w:t>
      </w:r>
    </w:p>
    <w:p w14:paraId="3CC1B8DA" w14:textId="1D483853" w:rsidR="00236748" w:rsidRPr="00276391" w:rsidRDefault="00236748" w:rsidP="00FF70E7">
      <w:pPr>
        <w:pStyle w:val="DHHSbullet1"/>
        <w:numPr>
          <w:ilvl w:val="0"/>
          <w:numId w:val="0"/>
        </w:numPr>
        <w:ind w:left="284" w:hanging="284"/>
        <w:rPr>
          <w:rFonts w:cs="Arial"/>
          <w:lang w:eastAsia="en-AU"/>
        </w:rPr>
      </w:pPr>
      <w:r w:rsidRPr="00276391">
        <w:rPr>
          <w:rFonts w:cs="Arial"/>
          <w:lang w:eastAsia="en-AU"/>
        </w:rPr>
        <w:t>(d)</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map,</w:t>
      </w:r>
      <w:r w:rsidR="005D5532" w:rsidRPr="00276391">
        <w:rPr>
          <w:rFonts w:cs="Arial"/>
          <w:lang w:eastAsia="en-AU"/>
        </w:rPr>
        <w:t xml:space="preserve"> </w:t>
      </w:r>
      <w:r w:rsidRPr="00276391">
        <w:rPr>
          <w:rFonts w:cs="Arial"/>
          <w:lang w:eastAsia="en-AU"/>
        </w:rPr>
        <w:t>plan,</w:t>
      </w:r>
      <w:r w:rsidR="005D5532" w:rsidRPr="00276391">
        <w:rPr>
          <w:rFonts w:cs="Arial"/>
          <w:lang w:eastAsia="en-AU"/>
        </w:rPr>
        <w:t xml:space="preserve"> </w:t>
      </w:r>
      <w:r w:rsidRPr="00276391">
        <w:rPr>
          <w:rFonts w:cs="Arial"/>
          <w:lang w:eastAsia="en-AU"/>
        </w:rPr>
        <w:t>drawing</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photograph,</w:t>
      </w:r>
    </w:p>
    <w:p w14:paraId="6EDD6A4B" w14:textId="646425D4" w:rsidR="00236748" w:rsidRPr="00276391" w:rsidRDefault="00236748" w:rsidP="00276391">
      <w:pPr>
        <w:pStyle w:val="DHHSbody"/>
        <w:rPr>
          <w:lang w:eastAsia="en-AU"/>
        </w:rPr>
      </w:pPr>
      <w:r w:rsidRPr="00B24C02">
        <w:rPr>
          <w:rFonts w:cs="Arial"/>
          <w:color w:val="000000"/>
          <w:szCs w:val="19"/>
          <w:lang w:eastAsia="en-AU"/>
        </w:rPr>
        <w:t>created,</w:t>
      </w:r>
      <w:r w:rsidR="005D5532" w:rsidRPr="00B24C02">
        <w:rPr>
          <w:rFonts w:cs="Arial"/>
          <w:color w:val="000000"/>
          <w:szCs w:val="19"/>
          <w:lang w:eastAsia="en-AU"/>
        </w:rPr>
        <w:t xml:space="preserve"> </w:t>
      </w:r>
      <w:r w:rsidRPr="00B24C02">
        <w:rPr>
          <w:rFonts w:cs="Arial"/>
          <w:color w:val="000000"/>
          <w:szCs w:val="19"/>
          <w:lang w:eastAsia="en-AU"/>
        </w:rPr>
        <w:t>managed,</w:t>
      </w:r>
      <w:r w:rsidR="005D5532" w:rsidRPr="00B24C02">
        <w:rPr>
          <w:rFonts w:cs="Arial"/>
          <w:color w:val="000000"/>
          <w:szCs w:val="19"/>
          <w:lang w:eastAsia="en-AU"/>
        </w:rPr>
        <w:t xml:space="preserve"> </w:t>
      </w:r>
      <w:r w:rsidRPr="00B24C02">
        <w:rPr>
          <w:rFonts w:cs="Arial"/>
          <w:color w:val="000000"/>
          <w:szCs w:val="19"/>
          <w:lang w:eastAsia="en-AU"/>
        </w:rPr>
        <w:t>maintained,</w:t>
      </w:r>
      <w:r w:rsidR="005D5532" w:rsidRPr="00B24C02">
        <w:rPr>
          <w:rFonts w:cs="Arial"/>
          <w:color w:val="000000"/>
          <w:szCs w:val="19"/>
          <w:lang w:eastAsia="en-AU"/>
        </w:rPr>
        <w:t xml:space="preserve"> </w:t>
      </w:r>
      <w:r w:rsidRPr="00B24C02">
        <w:rPr>
          <w:rFonts w:cs="Arial"/>
          <w:color w:val="000000"/>
          <w:szCs w:val="19"/>
          <w:lang w:eastAsia="en-AU"/>
        </w:rPr>
        <w:t>brought</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existence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otherwise</w:t>
      </w:r>
      <w:r w:rsidR="005D5532" w:rsidRPr="00B24C02">
        <w:rPr>
          <w:rFonts w:cs="Arial"/>
          <w:color w:val="000000"/>
          <w:szCs w:val="19"/>
          <w:lang w:eastAsia="en-AU"/>
        </w:rPr>
        <w:t xml:space="preserve"> </w:t>
      </w:r>
      <w:r w:rsidRPr="00B24C02">
        <w:rPr>
          <w:rFonts w:cs="Arial"/>
          <w:color w:val="000000"/>
          <w:szCs w:val="19"/>
          <w:lang w:eastAsia="en-AU"/>
        </w:rPr>
        <w:t>acquired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relation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lastRenderedPageBreak/>
        <w:t>provided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3F43BD0D" w14:textId="77777777" w:rsidR="00236748" w:rsidRPr="00276391" w:rsidRDefault="00236748" w:rsidP="009D4D32">
      <w:pPr>
        <w:pStyle w:val="Heading4"/>
        <w:rPr>
          <w:lang w:eastAsia="en-AU"/>
        </w:rPr>
      </w:pPr>
      <w:bookmarkStart w:id="320" w:name="_Toc478991796"/>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keeping</w:t>
      </w:r>
      <w:r w:rsidR="005D5532" w:rsidRPr="00276391">
        <w:rPr>
          <w:lang w:eastAsia="en-AU"/>
        </w:rPr>
        <w:t xml:space="preserve"> </w:t>
      </w:r>
      <w:r w:rsidRPr="00276391">
        <w:rPr>
          <w:lang w:eastAsia="en-AU"/>
        </w:rPr>
        <w:t>factsheets</w:t>
      </w:r>
      <w:bookmarkEnd w:id="320"/>
    </w:p>
    <w:p w14:paraId="24B874AA" w14:textId="1A0E1A00" w:rsidR="00236748" w:rsidRPr="00276391" w:rsidRDefault="00DF1D39" w:rsidP="00276391">
      <w:pPr>
        <w:pStyle w:val="DHHSbody"/>
        <w:rPr>
          <w:lang w:eastAsia="en-AU"/>
        </w:rPr>
      </w:pPr>
      <w:r>
        <w:rPr>
          <w:rFonts w:cs="Arial"/>
          <w:color w:val="000000"/>
          <w:szCs w:val="19"/>
          <w:lang w:eastAsia="en-AU"/>
        </w:rPr>
        <w:t>The department</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consultation</w:t>
      </w:r>
      <w:r w:rsidR="005D5532" w:rsidRPr="00B24C02">
        <w:rPr>
          <w:rFonts w:cs="Arial"/>
          <w:color w:val="000000"/>
          <w:szCs w:val="19"/>
          <w:lang w:eastAsia="en-AU"/>
        </w:rPr>
        <w:t xml:space="preserve"> </w:t>
      </w:r>
      <w:r w:rsidR="00236748" w:rsidRPr="00B24C02">
        <w:rPr>
          <w:rFonts w:cs="Arial"/>
          <w:color w:val="000000"/>
          <w:szCs w:val="19"/>
          <w:lang w:eastAsia="en-AU"/>
        </w:rPr>
        <w:t>with</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7F55E6">
        <w:rPr>
          <w:rFonts w:cs="Arial"/>
          <w:color w:val="000000"/>
          <w:szCs w:val="19"/>
          <w:lang w:eastAsia="en-AU"/>
        </w:rPr>
        <w:t>SAWG</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Public</w:t>
      </w:r>
      <w:r w:rsidR="005D5532" w:rsidRPr="00B24C02">
        <w:rPr>
          <w:rFonts w:cs="Arial"/>
          <w:color w:val="000000"/>
          <w:szCs w:val="19"/>
          <w:lang w:eastAsia="en-AU"/>
        </w:rPr>
        <w:t xml:space="preserve"> </w:t>
      </w:r>
      <w:r w:rsidR="00236748" w:rsidRPr="00B24C02">
        <w:rPr>
          <w:rFonts w:cs="Arial"/>
          <w:color w:val="000000"/>
          <w:szCs w:val="19"/>
          <w:lang w:eastAsia="en-AU"/>
        </w:rPr>
        <w:t>Record</w:t>
      </w:r>
      <w:r w:rsidR="005D5532" w:rsidRPr="00B24C02">
        <w:rPr>
          <w:rFonts w:cs="Arial"/>
          <w:color w:val="000000"/>
          <w:szCs w:val="19"/>
          <w:lang w:eastAsia="en-AU"/>
        </w:rPr>
        <w:t xml:space="preserve"> </w:t>
      </w:r>
      <w:r w:rsidR="00236748" w:rsidRPr="00B24C02">
        <w:rPr>
          <w:rFonts w:cs="Arial"/>
          <w:color w:val="000000"/>
          <w:szCs w:val="19"/>
          <w:lang w:eastAsia="en-AU"/>
        </w:rPr>
        <w:t>Office</w:t>
      </w:r>
      <w:r w:rsidR="005D5532" w:rsidRPr="00B24C02">
        <w:rPr>
          <w:rFonts w:cs="Arial"/>
          <w:color w:val="000000"/>
          <w:szCs w:val="19"/>
          <w:lang w:eastAsia="en-AU"/>
        </w:rPr>
        <w:t xml:space="preserve"> </w:t>
      </w:r>
      <w:r w:rsidR="00236748" w:rsidRPr="00B24C02">
        <w:rPr>
          <w:rFonts w:cs="Arial"/>
          <w:color w:val="000000"/>
          <w:szCs w:val="19"/>
          <w:lang w:eastAsia="en-AU"/>
        </w:rPr>
        <w:t>Victoria</w:t>
      </w:r>
      <w:r w:rsidR="005D5532" w:rsidRPr="00B24C02">
        <w:rPr>
          <w:rFonts w:cs="Arial"/>
          <w:color w:val="000000"/>
          <w:szCs w:val="19"/>
          <w:lang w:eastAsia="en-AU"/>
        </w:rPr>
        <w:t xml:space="preserve"> </w:t>
      </w:r>
      <w:r w:rsidR="00236748" w:rsidRPr="00B24C02">
        <w:rPr>
          <w:rFonts w:cs="Arial"/>
          <w:color w:val="000000"/>
          <w:szCs w:val="19"/>
          <w:lang w:eastAsia="en-AU"/>
        </w:rPr>
        <w:t>has</w:t>
      </w:r>
      <w:r w:rsidR="005D5532" w:rsidRPr="00B24C02">
        <w:rPr>
          <w:rFonts w:cs="Arial"/>
          <w:color w:val="000000"/>
          <w:szCs w:val="19"/>
          <w:lang w:eastAsia="en-AU"/>
        </w:rPr>
        <w:t xml:space="preserve"> </w:t>
      </w:r>
      <w:r w:rsidR="00236748" w:rsidRPr="00B24C02">
        <w:rPr>
          <w:rFonts w:cs="Arial"/>
          <w:color w:val="000000"/>
          <w:szCs w:val="19"/>
          <w:lang w:eastAsia="en-AU"/>
        </w:rPr>
        <w:t>produced</w:t>
      </w:r>
      <w:r w:rsidR="005D5532" w:rsidRPr="00B24C02">
        <w:rPr>
          <w:rFonts w:cs="Arial"/>
          <w:color w:val="000000"/>
          <w:szCs w:val="19"/>
          <w:lang w:eastAsia="en-AU"/>
        </w:rPr>
        <w:t xml:space="preserve"> </w:t>
      </w:r>
      <w:r w:rsidR="00236748" w:rsidRPr="00B24C02">
        <w:rPr>
          <w:rFonts w:cs="Arial"/>
          <w:color w:val="000000"/>
          <w:szCs w:val="19"/>
          <w:lang w:eastAsia="en-AU"/>
        </w:rPr>
        <w:t>fact</w:t>
      </w:r>
      <w:r w:rsidR="005D5532" w:rsidRPr="00B24C02">
        <w:rPr>
          <w:rFonts w:cs="Arial"/>
          <w:color w:val="000000"/>
          <w:szCs w:val="19"/>
          <w:lang w:eastAsia="en-AU"/>
        </w:rPr>
        <w:t xml:space="preserve"> </w:t>
      </w:r>
      <w:r w:rsidR="00236748" w:rsidRPr="00B24C02">
        <w:rPr>
          <w:rFonts w:cs="Arial"/>
          <w:color w:val="000000"/>
          <w:szCs w:val="19"/>
          <w:lang w:eastAsia="en-AU"/>
        </w:rPr>
        <w:t>sheets</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support</w:t>
      </w:r>
      <w:r w:rsidR="005D5532" w:rsidRPr="00B24C02">
        <w:rPr>
          <w:rFonts w:cs="Arial"/>
          <w:color w:val="000000"/>
          <w:szCs w:val="19"/>
          <w:lang w:eastAsia="en-AU"/>
        </w:rPr>
        <w:t xml:space="preserve"> </w:t>
      </w:r>
      <w:r w:rsidR="00236748" w:rsidRPr="00B24C02">
        <w:rPr>
          <w:rFonts w:cs="Arial"/>
          <w:color w:val="000000"/>
          <w:szCs w:val="19"/>
          <w:lang w:eastAsia="en-AU"/>
        </w:rPr>
        <w:t>funded</w:t>
      </w:r>
      <w:r w:rsidR="005D5532" w:rsidRPr="00B24C02">
        <w:rPr>
          <w:rFonts w:cs="Arial"/>
          <w:color w:val="000000"/>
          <w:szCs w:val="19"/>
          <w:lang w:eastAsia="en-AU"/>
        </w:rPr>
        <w:t xml:space="preserve"> </w:t>
      </w:r>
      <w:r w:rsidR="00236748" w:rsidRPr="00B24C02">
        <w:rPr>
          <w:rFonts w:cs="Arial"/>
          <w:color w:val="000000"/>
          <w:szCs w:val="19"/>
          <w:lang w:eastAsia="en-AU"/>
        </w:rPr>
        <w:t>organisations</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their</w:t>
      </w:r>
      <w:r w:rsidR="005D5532" w:rsidRPr="00B24C02">
        <w:rPr>
          <w:rFonts w:cs="Arial"/>
          <w:color w:val="000000"/>
          <w:szCs w:val="19"/>
          <w:lang w:eastAsia="en-AU"/>
        </w:rPr>
        <w:t xml:space="preserve"> </w:t>
      </w:r>
      <w:r w:rsidR="00236748" w:rsidRPr="00B24C02">
        <w:rPr>
          <w:rFonts w:cs="Arial"/>
          <w:color w:val="000000"/>
          <w:szCs w:val="19"/>
          <w:lang w:eastAsia="en-AU"/>
        </w:rPr>
        <w:t>record</w:t>
      </w:r>
      <w:r w:rsidR="005D5532" w:rsidRPr="00B24C02">
        <w:rPr>
          <w:rFonts w:cs="Arial"/>
          <w:color w:val="000000"/>
          <w:szCs w:val="19"/>
          <w:lang w:eastAsia="en-AU"/>
        </w:rPr>
        <w:t xml:space="preserve"> </w:t>
      </w:r>
      <w:r w:rsidR="00236748" w:rsidRPr="00B24C02">
        <w:rPr>
          <w:rFonts w:cs="Arial"/>
          <w:color w:val="000000"/>
          <w:szCs w:val="19"/>
          <w:lang w:eastAsia="en-AU"/>
        </w:rPr>
        <w:t>keeping.</w:t>
      </w:r>
      <w:r w:rsidR="005D5532" w:rsidRPr="00B24C02">
        <w:rPr>
          <w:rFonts w:cs="Arial"/>
          <w:color w:val="000000"/>
          <w:szCs w:val="19"/>
          <w:lang w:eastAsia="en-AU"/>
        </w:rPr>
        <w:t xml:space="preserve"> </w:t>
      </w:r>
      <w:r w:rsidR="00236748" w:rsidRPr="00B24C02">
        <w:rPr>
          <w:rFonts w:cs="Arial"/>
          <w:color w:val="000000"/>
          <w:szCs w:val="19"/>
          <w:lang w:eastAsia="en-AU"/>
        </w:rPr>
        <w:t>These</w:t>
      </w:r>
      <w:r w:rsidR="005D5532" w:rsidRPr="00B24C02">
        <w:rPr>
          <w:rFonts w:cs="Arial"/>
          <w:color w:val="000000"/>
          <w:szCs w:val="19"/>
          <w:lang w:eastAsia="en-AU"/>
        </w:rPr>
        <w:t xml:space="preserve"> </w:t>
      </w:r>
      <w:r w:rsidR="00236748" w:rsidRPr="00B24C02">
        <w:rPr>
          <w:rFonts w:cs="Arial"/>
          <w:color w:val="000000"/>
          <w:szCs w:val="19"/>
          <w:lang w:eastAsia="en-AU"/>
        </w:rPr>
        <w:t>fact</w:t>
      </w:r>
      <w:r w:rsidR="005D5532" w:rsidRPr="00B24C02">
        <w:rPr>
          <w:rFonts w:cs="Arial"/>
          <w:color w:val="000000"/>
          <w:szCs w:val="19"/>
          <w:lang w:eastAsia="en-AU"/>
        </w:rPr>
        <w:t xml:space="preserve"> </w:t>
      </w:r>
      <w:r w:rsidR="00236748" w:rsidRPr="00B24C02">
        <w:rPr>
          <w:rFonts w:cs="Arial"/>
          <w:color w:val="000000"/>
          <w:szCs w:val="19"/>
          <w:lang w:eastAsia="en-AU"/>
        </w:rPr>
        <w:t>sheets</w:t>
      </w:r>
      <w:r w:rsidR="005D5532" w:rsidRPr="00B24C02">
        <w:rPr>
          <w:rFonts w:cs="Arial"/>
          <w:color w:val="000000"/>
          <w:szCs w:val="19"/>
          <w:lang w:eastAsia="en-AU"/>
        </w:rPr>
        <w:t xml:space="preserve"> </w:t>
      </w:r>
      <w:r w:rsidR="00236748" w:rsidRPr="00B24C02">
        <w:rPr>
          <w:rFonts w:cs="Arial"/>
          <w:color w:val="000000"/>
          <w:szCs w:val="19"/>
          <w:lang w:eastAsia="en-AU"/>
        </w:rPr>
        <w:t>cover</w:t>
      </w:r>
      <w:r w:rsidR="005D5532" w:rsidRPr="00B24C02">
        <w:rPr>
          <w:rFonts w:cs="Arial"/>
          <w:color w:val="000000"/>
          <w:szCs w:val="19"/>
          <w:lang w:eastAsia="en-AU"/>
        </w:rPr>
        <w:t xml:space="preserve"> </w:t>
      </w:r>
      <w:r w:rsidR="00236748" w:rsidRPr="00B24C02">
        <w:rPr>
          <w:rFonts w:cs="Arial"/>
          <w:color w:val="000000"/>
          <w:szCs w:val="19"/>
          <w:lang w:eastAsia="en-AU"/>
        </w:rPr>
        <w:t>general</w:t>
      </w:r>
      <w:r w:rsidR="005D5532" w:rsidRPr="00B24C02">
        <w:rPr>
          <w:rFonts w:cs="Arial"/>
          <w:color w:val="000000"/>
          <w:szCs w:val="19"/>
          <w:lang w:eastAsia="en-AU"/>
        </w:rPr>
        <w:t xml:space="preserve"> </w:t>
      </w:r>
      <w:r w:rsidR="00236748" w:rsidRPr="00B24C02">
        <w:rPr>
          <w:rFonts w:cs="Arial"/>
          <w:color w:val="000000"/>
          <w:szCs w:val="19"/>
          <w:lang w:eastAsia="en-AU"/>
        </w:rPr>
        <w:t>information</w:t>
      </w:r>
      <w:r w:rsidR="005D5532" w:rsidRPr="00B24C02">
        <w:rPr>
          <w:rFonts w:cs="Arial"/>
          <w:color w:val="000000"/>
          <w:szCs w:val="19"/>
          <w:lang w:eastAsia="en-AU"/>
        </w:rPr>
        <w:t xml:space="preserve"> </w:t>
      </w:r>
      <w:r w:rsidR="00236748" w:rsidRPr="00B24C02">
        <w:rPr>
          <w:rFonts w:cs="Arial"/>
          <w:color w:val="000000"/>
          <w:szCs w:val="19"/>
          <w:lang w:eastAsia="en-AU"/>
        </w:rPr>
        <w:t>on</w:t>
      </w:r>
      <w:r w:rsidR="005D5532" w:rsidRPr="00B24C02">
        <w:rPr>
          <w:rFonts w:cs="Arial"/>
          <w:color w:val="000000"/>
          <w:szCs w:val="19"/>
          <w:lang w:eastAsia="en-AU"/>
        </w:rPr>
        <w:t xml:space="preserve"> </w:t>
      </w:r>
      <w:r w:rsidR="00236748" w:rsidRPr="00B24C02">
        <w:rPr>
          <w:rFonts w:cs="Arial"/>
          <w:color w:val="000000"/>
          <w:szCs w:val="19"/>
          <w:lang w:eastAsia="en-AU"/>
        </w:rPr>
        <w:t>record</w:t>
      </w:r>
      <w:r w:rsidR="005D5532" w:rsidRPr="00B24C02">
        <w:rPr>
          <w:rFonts w:cs="Arial"/>
          <w:color w:val="000000"/>
          <w:szCs w:val="19"/>
          <w:lang w:eastAsia="en-AU"/>
        </w:rPr>
        <w:t xml:space="preserve"> </w:t>
      </w:r>
      <w:r w:rsidR="00236748" w:rsidRPr="00B24C02">
        <w:rPr>
          <w:rFonts w:cs="Arial"/>
          <w:color w:val="000000"/>
          <w:szCs w:val="19"/>
          <w:lang w:eastAsia="en-AU"/>
        </w:rPr>
        <w:t>keeping,</w:t>
      </w:r>
      <w:r w:rsidR="005D5532" w:rsidRPr="00B24C02">
        <w:rPr>
          <w:rFonts w:cs="Arial"/>
          <w:color w:val="000000"/>
          <w:szCs w:val="19"/>
          <w:lang w:eastAsia="en-AU"/>
        </w:rPr>
        <w:t xml:space="preserve"> </w:t>
      </w:r>
      <w:r w:rsidR="00236748" w:rsidRPr="00B24C02">
        <w:rPr>
          <w:rFonts w:cs="Arial"/>
          <w:color w:val="000000"/>
          <w:szCs w:val="19"/>
          <w:lang w:eastAsia="en-AU"/>
        </w:rPr>
        <w:t>storage,</w:t>
      </w:r>
      <w:r w:rsidR="005D5532" w:rsidRPr="00B24C02">
        <w:rPr>
          <w:rFonts w:cs="Arial"/>
          <w:color w:val="000000"/>
          <w:szCs w:val="19"/>
          <w:lang w:eastAsia="en-AU"/>
        </w:rPr>
        <w:t xml:space="preserve"> </w:t>
      </w:r>
      <w:r w:rsidR="00236748" w:rsidRPr="00B24C02">
        <w:rPr>
          <w:rFonts w:cs="Arial"/>
          <w:color w:val="000000"/>
          <w:szCs w:val="19"/>
          <w:lang w:eastAsia="en-AU"/>
        </w:rPr>
        <w:t>access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security,</w:t>
      </w:r>
      <w:r w:rsidR="005D5532" w:rsidRPr="00B24C02">
        <w:rPr>
          <w:rFonts w:cs="Arial"/>
          <w:color w:val="000000"/>
          <w:szCs w:val="19"/>
          <w:lang w:eastAsia="en-AU"/>
        </w:rPr>
        <w:t xml:space="preserve"> </w:t>
      </w:r>
      <w:r w:rsidR="00236748" w:rsidRPr="00B24C02">
        <w:rPr>
          <w:rFonts w:cs="Arial"/>
          <w:color w:val="000000"/>
          <w:szCs w:val="19"/>
          <w:lang w:eastAsia="en-AU"/>
        </w:rPr>
        <w:t>record</w:t>
      </w:r>
      <w:r w:rsidR="005D5532" w:rsidRPr="00B24C02">
        <w:rPr>
          <w:rFonts w:cs="Arial"/>
          <w:color w:val="000000"/>
          <w:szCs w:val="19"/>
          <w:lang w:eastAsia="en-AU"/>
        </w:rPr>
        <w:t xml:space="preserve"> </w:t>
      </w:r>
      <w:r w:rsidR="00236748" w:rsidRPr="00B24C02">
        <w:rPr>
          <w:rFonts w:cs="Arial"/>
          <w:color w:val="000000"/>
          <w:szCs w:val="19"/>
          <w:lang w:eastAsia="en-AU"/>
        </w:rPr>
        <w:t>disposal</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transfers,</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freedom</w:t>
      </w:r>
      <w:r w:rsidR="005D5532" w:rsidRPr="00B24C02">
        <w:rPr>
          <w:rFonts w:cs="Arial"/>
          <w:color w:val="000000"/>
          <w:szCs w:val="19"/>
          <w:lang w:eastAsia="en-AU"/>
        </w:rPr>
        <w:t xml:space="preserve"> </w:t>
      </w:r>
      <w:r w:rsidR="00236748" w:rsidRPr="00B24C02">
        <w:rPr>
          <w:rFonts w:cs="Arial"/>
          <w:color w:val="000000"/>
          <w:szCs w:val="19"/>
          <w:lang w:eastAsia="en-AU"/>
        </w:rPr>
        <w:t>of</w:t>
      </w:r>
      <w:r w:rsidR="005D5532" w:rsidRPr="00B24C02">
        <w:rPr>
          <w:rFonts w:cs="Arial"/>
          <w:color w:val="000000"/>
          <w:szCs w:val="19"/>
          <w:lang w:eastAsia="en-AU"/>
        </w:rPr>
        <w:t xml:space="preserve"> </w:t>
      </w:r>
      <w:r w:rsidR="00236748" w:rsidRPr="00B24C02">
        <w:rPr>
          <w:rFonts w:cs="Arial"/>
          <w:color w:val="000000"/>
          <w:szCs w:val="19"/>
          <w:lang w:eastAsia="en-AU"/>
        </w:rPr>
        <w:t>information</w:t>
      </w:r>
      <w:r w:rsidR="00287F6A">
        <w:rPr>
          <w:rFonts w:cs="Arial"/>
          <w:color w:val="000000"/>
          <w:szCs w:val="19"/>
          <w:lang w:eastAsia="en-AU"/>
        </w:rPr>
        <w:t>. The records management for funded organisations fact sheets are</w:t>
      </w:r>
      <w:r w:rsidR="005D5532" w:rsidRPr="00B24C02">
        <w:rPr>
          <w:rFonts w:cs="Arial"/>
          <w:color w:val="000000"/>
          <w:szCs w:val="19"/>
          <w:lang w:eastAsia="en-AU"/>
        </w:rPr>
        <w:t xml:space="preserve"> </w:t>
      </w:r>
      <w:r w:rsidR="00236748" w:rsidRPr="00B24C02">
        <w:rPr>
          <w:rFonts w:cs="Arial"/>
          <w:color w:val="000000"/>
          <w:szCs w:val="19"/>
          <w:lang w:eastAsia="en-AU"/>
        </w:rPr>
        <w:t>available</w:t>
      </w:r>
      <w:r w:rsidR="005D5532" w:rsidRPr="00B24C02">
        <w:rPr>
          <w:rFonts w:cs="Arial"/>
          <w:color w:val="000000"/>
          <w:szCs w:val="19"/>
          <w:lang w:eastAsia="en-AU"/>
        </w:rPr>
        <w:t xml:space="preserve"> </w:t>
      </w:r>
      <w:r w:rsidR="00236748" w:rsidRPr="00B24C02">
        <w:rPr>
          <w:rFonts w:cs="Arial"/>
          <w:color w:val="000000"/>
          <w:szCs w:val="19"/>
          <w:lang w:eastAsia="en-AU"/>
        </w:rPr>
        <w:t>on</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hyperlink r:id="rId73" w:history="1">
        <w:r w:rsidR="00296DCA" w:rsidRPr="00287F6A">
          <w:rPr>
            <w:rStyle w:val="Hyperlink"/>
            <w:rFonts w:cs="Arial"/>
            <w:szCs w:val="19"/>
            <w:lang w:eastAsia="en-AU"/>
          </w:rPr>
          <w:t>Funded agency channel</w:t>
        </w:r>
      </w:hyperlink>
      <w:r w:rsidR="00287F6A">
        <w:rPr>
          <w:rFonts w:cs="Arial"/>
          <w:color w:val="000000"/>
          <w:szCs w:val="19"/>
          <w:lang w:eastAsia="en-AU"/>
        </w:rPr>
        <w:t xml:space="preserve"> &lt;</w:t>
      </w:r>
      <w:r w:rsidR="00287F6A" w:rsidRPr="00287F6A">
        <w:rPr>
          <w:rFonts w:cs="Arial"/>
          <w:color w:val="000000"/>
          <w:szCs w:val="19"/>
          <w:lang w:eastAsia="en-AU"/>
        </w:rPr>
        <w:t>https://fac.dhhs.vic.gov.au/policies-and-procedures</w:t>
      </w:r>
      <w:r w:rsidR="00287F6A">
        <w:rPr>
          <w:rFonts w:cs="Arial"/>
          <w:color w:val="000000"/>
          <w:szCs w:val="19"/>
          <w:lang w:eastAsia="en-AU"/>
        </w:rPr>
        <w:t xml:space="preserve">&gt; (external link, </w:t>
      </w:r>
      <w:r w:rsidR="00EA74AB">
        <w:rPr>
          <w:rFonts w:cs="Arial"/>
          <w:color w:val="000000"/>
          <w:szCs w:val="19"/>
          <w:lang w:eastAsia="en-AU"/>
        </w:rPr>
        <w:t xml:space="preserve">opens in </w:t>
      </w:r>
      <w:r w:rsidR="00C62565">
        <w:rPr>
          <w:rFonts w:cs="Arial"/>
          <w:color w:val="000000"/>
          <w:szCs w:val="19"/>
          <w:lang w:eastAsia="en-AU"/>
        </w:rPr>
        <w:t>a new window</w:t>
      </w:r>
      <w:r w:rsidR="00287F6A">
        <w:rPr>
          <w:rFonts w:cs="Arial"/>
          <w:color w:val="000000"/>
          <w:szCs w:val="19"/>
          <w:lang w:eastAsia="en-AU"/>
        </w:rPr>
        <w:t>)</w:t>
      </w:r>
      <w:r w:rsidR="00236748" w:rsidRPr="00B24C02">
        <w:rPr>
          <w:rFonts w:cs="Arial"/>
          <w:color w:val="000000"/>
          <w:szCs w:val="19"/>
          <w:lang w:eastAsia="en-AU"/>
        </w:rPr>
        <w:t>.</w:t>
      </w:r>
    </w:p>
    <w:p w14:paraId="27BC44FB" w14:textId="77777777" w:rsidR="00236748" w:rsidRPr="00276391" w:rsidRDefault="00236748" w:rsidP="009D4D32">
      <w:pPr>
        <w:pStyle w:val="Heading3"/>
        <w:rPr>
          <w:lang w:eastAsia="en-AU"/>
        </w:rPr>
      </w:pPr>
      <w:bookmarkStart w:id="321" w:name="_3.6.3_Freedom_of"/>
      <w:bookmarkStart w:id="322" w:name="_Toc478991797"/>
      <w:bookmarkStart w:id="323" w:name="_Toc478992377"/>
      <w:bookmarkStart w:id="324" w:name="_Toc4142053"/>
      <w:bookmarkEnd w:id="321"/>
      <w:r w:rsidRPr="00276391">
        <w:rPr>
          <w:lang w:eastAsia="en-AU"/>
        </w:rPr>
        <w:t>3.6.3</w:t>
      </w:r>
      <w:r w:rsidR="009B2351" w:rsidRPr="00276391">
        <w:rPr>
          <w:lang w:eastAsia="en-AU"/>
        </w:rPr>
        <w:t xml:space="preserve"> </w:t>
      </w:r>
      <w:r w:rsidRPr="00276391">
        <w:rPr>
          <w:lang w:eastAsia="en-AU"/>
        </w:rPr>
        <w:t>Freedom</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information</w:t>
      </w:r>
      <w:bookmarkEnd w:id="322"/>
      <w:bookmarkEnd w:id="323"/>
      <w:bookmarkEnd w:id="324"/>
    </w:p>
    <w:p w14:paraId="3E8712FE" w14:textId="0887F82E" w:rsidR="001D051C" w:rsidRPr="00276391" w:rsidRDefault="001D051C" w:rsidP="001D051C">
      <w:pPr>
        <w:pStyle w:val="DHHSbody"/>
        <w:rPr>
          <w:lang w:eastAsia="en-AU"/>
        </w:rPr>
      </w:pPr>
      <w:bookmarkStart w:id="325" w:name="_Toc478991798"/>
      <w:bookmarkStart w:id="326" w:name="_Toc478992378"/>
      <w:bookmarkStart w:id="327" w:name="_Toc478992893"/>
      <w:r w:rsidRPr="00276391">
        <w:rPr>
          <w:lang w:eastAsia="en-AU"/>
        </w:rPr>
        <w:t xml:space="preserve">The </w:t>
      </w:r>
      <w:hyperlink r:id="rId74" w:history="1">
        <w:r w:rsidRPr="00C849CE">
          <w:rPr>
            <w:rStyle w:val="Hyperlink"/>
            <w:bCs/>
            <w:lang w:eastAsia="en-AU"/>
          </w:rPr>
          <w:t>Freedom of Information Act 1982</w:t>
        </w:r>
        <w:r w:rsidRPr="00C849CE">
          <w:rPr>
            <w:rStyle w:val="Hyperlink"/>
            <w:lang w:eastAsia="en-AU"/>
          </w:rPr>
          <w:t xml:space="preserve"> </w:t>
        </w:r>
        <w:r w:rsidRPr="00C849CE">
          <w:rPr>
            <w:rStyle w:val="Hyperlink"/>
            <w:bCs/>
            <w:lang w:eastAsia="en-AU"/>
          </w:rPr>
          <w:t>(Vic)</w:t>
        </w:r>
      </w:hyperlink>
      <w:r w:rsidR="006250C7">
        <w:rPr>
          <w:bCs/>
          <w:lang w:eastAsia="en-AU"/>
        </w:rPr>
        <w:t xml:space="preserve"> &lt;</w:t>
      </w:r>
      <w:r w:rsidR="00C849CE" w:rsidRPr="00C849CE">
        <w:rPr>
          <w:bCs/>
          <w:lang w:eastAsia="en-AU"/>
        </w:rPr>
        <w:t>http://www9.austlii.edu.au/cgi-bin/viewdb/au/legis/vic/consol_act/foia1982222/</w:t>
      </w:r>
      <w:r w:rsidR="00C849CE">
        <w:rPr>
          <w:bCs/>
          <w:lang w:eastAsia="en-AU"/>
        </w:rPr>
        <w:t>&gt;</w:t>
      </w:r>
      <w:r w:rsidR="006250C7">
        <w:rPr>
          <w:bCs/>
          <w:lang w:eastAsia="en-AU"/>
        </w:rPr>
        <w:t xml:space="preserve"> </w:t>
      </w:r>
      <w:r w:rsidR="00C849CE">
        <w:rPr>
          <w:bCs/>
          <w:lang w:eastAsia="en-AU"/>
        </w:rPr>
        <w:t>(</w:t>
      </w:r>
      <w:r w:rsidR="007B11D1">
        <w:rPr>
          <w:bCs/>
          <w:lang w:eastAsia="en-AU"/>
        </w:rPr>
        <w:t xml:space="preserve">external link, </w:t>
      </w:r>
      <w:r w:rsidR="00EA74AB">
        <w:rPr>
          <w:bCs/>
          <w:lang w:eastAsia="en-AU"/>
        </w:rPr>
        <w:t xml:space="preserve">opens in </w:t>
      </w:r>
      <w:r w:rsidR="00C62565">
        <w:rPr>
          <w:bCs/>
          <w:lang w:eastAsia="en-AU"/>
        </w:rPr>
        <w:t>a new window</w:t>
      </w:r>
      <w:r w:rsidR="00C849CE">
        <w:rPr>
          <w:bCs/>
          <w:lang w:eastAsia="en-AU"/>
        </w:rPr>
        <w:t>)</w:t>
      </w:r>
      <w:r w:rsidRPr="00276391">
        <w:rPr>
          <w:lang w:eastAsia="en-AU"/>
        </w:rPr>
        <w:t xml:space="preserve"> (FOI Act) allows individuals to access certain information about their personal affairs and the activities of government organisations (including departments councils and prescribed authorities). The FOI Act also gives individuals the right to request that information held about them by these organisations that is incomplete, incorrect, out of date or misleading be amended or appropriately notated.</w:t>
      </w:r>
    </w:p>
    <w:p w14:paraId="5EF05FE1" w14:textId="77777777" w:rsidR="001D051C" w:rsidRPr="00276391" w:rsidRDefault="001D051C" w:rsidP="001D051C">
      <w:pPr>
        <w:pStyle w:val="DHHSbody"/>
        <w:rPr>
          <w:lang w:eastAsia="en-AU"/>
        </w:rPr>
      </w:pPr>
      <w:r w:rsidRPr="00276391">
        <w:rPr>
          <w:lang w:eastAsia="en-AU"/>
        </w:rPr>
        <w:t xml:space="preserve">When a person makes a request to the department for access to their personal information, health information or any other information, the department will review the request to make sure that all necessary information has been included and the documents being requested have been clearly identified. The department will contact the person making the request if further information is required. The FOI Act requires the department to provide an applicant with a decision within </w:t>
      </w:r>
      <w:r>
        <w:rPr>
          <w:lang w:eastAsia="en-AU"/>
        </w:rPr>
        <w:t>30</w:t>
      </w:r>
      <w:r w:rsidRPr="00276391">
        <w:rPr>
          <w:lang w:eastAsia="en-AU"/>
        </w:rPr>
        <w:t xml:space="preserve"> days from when a valid request is received.</w:t>
      </w:r>
    </w:p>
    <w:p w14:paraId="469B3120" w14:textId="4480C95E" w:rsidR="001D051C" w:rsidRPr="00276391" w:rsidRDefault="001D051C" w:rsidP="001D051C">
      <w:pPr>
        <w:pStyle w:val="DHHSbody"/>
        <w:rPr>
          <w:lang w:eastAsia="en-AU"/>
        </w:rPr>
      </w:pPr>
      <w:r w:rsidRPr="00276391">
        <w:rPr>
          <w:lang w:eastAsia="en-AU"/>
        </w:rPr>
        <w:t xml:space="preserve">A request received by the department may include documents or records that are held by organisations funded by the department. Clause 6.6 of the </w:t>
      </w:r>
      <w:r w:rsidR="009B3052">
        <w:rPr>
          <w:lang w:eastAsia="en-AU"/>
        </w:rPr>
        <w:t>Service agreement</w:t>
      </w:r>
      <w:r w:rsidRPr="00276391">
        <w:rPr>
          <w:lang w:eastAsia="en-AU"/>
        </w:rPr>
        <w:t xml:space="preserve"> requires organisations to provide the department, or any other person authorised by the department, with access to records that relate to a request under the FOI Act, or any other laws that apply to the records, if those records are in the organisation’s possession or control.</w:t>
      </w:r>
    </w:p>
    <w:p w14:paraId="4AB8722A" w14:textId="251A1D78" w:rsidR="001D051C" w:rsidRPr="00276391" w:rsidRDefault="001D051C" w:rsidP="001D051C">
      <w:pPr>
        <w:pStyle w:val="DHHSbody"/>
        <w:rPr>
          <w:lang w:eastAsia="en-AU"/>
        </w:rPr>
      </w:pPr>
      <w:r w:rsidRPr="00276391">
        <w:rPr>
          <w:lang w:eastAsia="en-AU"/>
        </w:rPr>
        <w:t xml:space="preserve">If an organisation receives a request referring to the FOI Act and seeking access to records held by the organisation, the organisation should advise the applicant that the request should be made to the department and, as an alternative, offer to process the application as a request by the individual for access to their personal information (under the </w:t>
      </w:r>
      <w:hyperlink r:id="rId75" w:history="1">
        <w:r w:rsidRPr="00C849CE">
          <w:rPr>
            <w:rStyle w:val="Hyperlink"/>
            <w:bCs/>
            <w:lang w:eastAsia="en-AU"/>
          </w:rPr>
          <w:t>Privacy and Data Protection Act 2014 (Vic)</w:t>
        </w:r>
      </w:hyperlink>
      <w:r>
        <w:rPr>
          <w:b/>
          <w:bCs/>
          <w:lang w:eastAsia="en-AU"/>
        </w:rPr>
        <w:t xml:space="preserve"> </w:t>
      </w:r>
      <w:r w:rsidR="00C849CE" w:rsidRPr="00C849CE">
        <w:rPr>
          <w:bCs/>
          <w:lang w:eastAsia="en-AU"/>
        </w:rPr>
        <w:t>&lt;http://www9.austlii.edu.au/cgi-bin/viewdb/au/legis/vic/num_act/padpa201460o2014317</w:t>
      </w:r>
      <w:r w:rsidR="00C849CE" w:rsidRPr="00C849CE">
        <w:rPr>
          <w:b/>
          <w:bCs/>
          <w:lang w:eastAsia="en-AU"/>
        </w:rPr>
        <w:t>/</w:t>
      </w:r>
      <w:r w:rsidR="00C849CE" w:rsidRPr="00C849CE">
        <w:rPr>
          <w:bCs/>
          <w:lang w:eastAsia="en-AU"/>
        </w:rPr>
        <w:t>&gt;</w:t>
      </w:r>
      <w:r w:rsidR="00C849CE">
        <w:rPr>
          <w:b/>
          <w:bCs/>
          <w:lang w:eastAsia="en-AU"/>
        </w:rPr>
        <w:t xml:space="preserve"> </w:t>
      </w:r>
      <w:r w:rsidR="00C849CE">
        <w:rPr>
          <w:bCs/>
          <w:lang w:eastAsia="en-AU"/>
        </w:rPr>
        <w:t xml:space="preserve">(external link, </w:t>
      </w:r>
      <w:r w:rsidR="00EA74AB">
        <w:rPr>
          <w:bCs/>
          <w:lang w:eastAsia="en-AU"/>
        </w:rPr>
        <w:t xml:space="preserve">opens in </w:t>
      </w:r>
      <w:r w:rsidR="00C62565">
        <w:rPr>
          <w:bCs/>
          <w:lang w:eastAsia="en-AU"/>
        </w:rPr>
        <w:t>a new window</w:t>
      </w:r>
      <w:r w:rsidR="00C849CE">
        <w:rPr>
          <w:bCs/>
          <w:lang w:eastAsia="en-AU"/>
        </w:rPr>
        <w:t xml:space="preserve">) </w:t>
      </w:r>
      <w:r w:rsidR="00C849CE" w:rsidRPr="00C849CE">
        <w:rPr>
          <w:bCs/>
          <w:lang w:eastAsia="en-AU"/>
        </w:rPr>
        <w:t>(</w:t>
      </w:r>
      <w:r w:rsidR="00C849CE">
        <w:rPr>
          <w:lang w:eastAsia="en-AU"/>
        </w:rPr>
        <w:t>PDP Act</w:t>
      </w:r>
      <w:r w:rsidRPr="00276391">
        <w:rPr>
          <w:lang w:eastAsia="en-AU"/>
        </w:rPr>
        <w:t>) a</w:t>
      </w:r>
      <w:r w:rsidR="00C849CE">
        <w:rPr>
          <w:lang w:eastAsia="en-AU"/>
        </w:rPr>
        <w:t xml:space="preserve">nd/or their health information, </w:t>
      </w:r>
      <w:r w:rsidRPr="00276391">
        <w:rPr>
          <w:lang w:eastAsia="en-AU"/>
        </w:rPr>
        <w:t xml:space="preserve">under the </w:t>
      </w:r>
      <w:hyperlink r:id="rId76" w:history="1">
        <w:r w:rsidRPr="007B11D1">
          <w:rPr>
            <w:rStyle w:val="Hyperlink"/>
            <w:bCs/>
            <w:lang w:eastAsia="en-AU"/>
          </w:rPr>
          <w:t>Health Records Act 2001 (Vic)</w:t>
        </w:r>
      </w:hyperlink>
      <w:r w:rsidR="00C849CE">
        <w:rPr>
          <w:b/>
          <w:bCs/>
          <w:lang w:eastAsia="en-AU"/>
        </w:rPr>
        <w:t xml:space="preserve"> </w:t>
      </w:r>
      <w:r w:rsidR="00C849CE" w:rsidRPr="00C849CE">
        <w:rPr>
          <w:bCs/>
          <w:lang w:eastAsia="en-AU"/>
        </w:rPr>
        <w:t>&lt;</w:t>
      </w:r>
      <w:r w:rsidR="007B11D1" w:rsidRPr="007B11D1">
        <w:rPr>
          <w:bCs/>
          <w:lang w:eastAsia="en-AU"/>
        </w:rPr>
        <w:t>http://www.austlii.edu.au/cgi-bin/viewdb/au/legis/vic/consol_act/hra2001144/</w:t>
      </w:r>
      <w:r w:rsidR="007B11D1">
        <w:rPr>
          <w:bCs/>
          <w:lang w:eastAsia="en-AU"/>
        </w:rPr>
        <w:t xml:space="preserve">&gt; </w:t>
      </w:r>
      <w:r w:rsidR="00C849CE" w:rsidRPr="00C849CE">
        <w:rPr>
          <w:bCs/>
          <w:lang w:eastAsia="en-AU"/>
        </w:rPr>
        <w:t xml:space="preserve">(external link, </w:t>
      </w:r>
      <w:r w:rsidR="00EA74AB">
        <w:rPr>
          <w:bCs/>
          <w:lang w:eastAsia="en-AU"/>
        </w:rPr>
        <w:t xml:space="preserve">opens in </w:t>
      </w:r>
      <w:r w:rsidR="00C62565">
        <w:rPr>
          <w:bCs/>
          <w:lang w:eastAsia="en-AU"/>
        </w:rPr>
        <w:t>a new window</w:t>
      </w:r>
      <w:r w:rsidR="00C849CE" w:rsidRPr="00C849CE">
        <w:rPr>
          <w:bCs/>
          <w:lang w:eastAsia="en-AU"/>
        </w:rPr>
        <w:t>)</w:t>
      </w:r>
      <w:r>
        <w:rPr>
          <w:b/>
          <w:bCs/>
          <w:lang w:eastAsia="en-AU"/>
        </w:rPr>
        <w:t xml:space="preserve"> </w:t>
      </w:r>
      <w:r w:rsidRPr="00C849CE">
        <w:rPr>
          <w:bCs/>
          <w:lang w:eastAsia="en-AU"/>
        </w:rPr>
        <w:t>(</w:t>
      </w:r>
      <w:r w:rsidR="00C849CE">
        <w:rPr>
          <w:lang w:eastAsia="en-AU"/>
        </w:rPr>
        <w:t>HR Act</w:t>
      </w:r>
      <w:r w:rsidRPr="00276391">
        <w:rPr>
          <w:lang w:eastAsia="en-AU"/>
        </w:rPr>
        <w:t>), see below.</w:t>
      </w:r>
    </w:p>
    <w:p w14:paraId="2100916C" w14:textId="77777777" w:rsidR="001D051C" w:rsidRPr="00276391" w:rsidRDefault="001D051C" w:rsidP="001D051C">
      <w:pPr>
        <w:pStyle w:val="Heading4"/>
        <w:rPr>
          <w:lang w:eastAsia="en-AU"/>
        </w:rPr>
      </w:pPr>
      <w:r w:rsidRPr="00276391">
        <w:rPr>
          <w:lang w:eastAsia="en-AU"/>
        </w:rPr>
        <w:t>Access and correction of personal information</w:t>
      </w:r>
    </w:p>
    <w:p w14:paraId="2DD79FBF" w14:textId="480F5E8C" w:rsidR="001D051C" w:rsidRPr="00276391" w:rsidRDefault="001D051C" w:rsidP="001D051C">
      <w:pPr>
        <w:pStyle w:val="DHHSbody"/>
        <w:rPr>
          <w:lang w:eastAsia="en-AU"/>
        </w:rPr>
      </w:pPr>
      <w:r w:rsidRPr="00276391">
        <w:rPr>
          <w:lang w:eastAsia="en-AU"/>
        </w:rPr>
        <w:t xml:space="preserve">Under the </w:t>
      </w:r>
      <w:r w:rsidR="009B3052">
        <w:rPr>
          <w:lang w:eastAsia="en-AU"/>
        </w:rPr>
        <w:t>Service agreement</w:t>
      </w:r>
      <w:r w:rsidRPr="00276391">
        <w:rPr>
          <w:lang w:eastAsia="en-AU"/>
        </w:rPr>
        <w:t xml:space="preserve">, funded organisations must ensure that they comply with the </w:t>
      </w:r>
      <w:r w:rsidRPr="002903A5">
        <w:rPr>
          <w:bCs/>
          <w:lang w:eastAsia="en-AU"/>
        </w:rPr>
        <w:t>Information Privacy Principles</w:t>
      </w:r>
      <w:r w:rsidRPr="002903A5">
        <w:rPr>
          <w:lang w:eastAsia="en-AU"/>
        </w:rPr>
        <w:t xml:space="preserve"> </w:t>
      </w:r>
      <w:r w:rsidRPr="002903A5">
        <w:rPr>
          <w:bCs/>
          <w:lang w:eastAsia="en-AU"/>
        </w:rPr>
        <w:t>(IPP)</w:t>
      </w:r>
      <w:r w:rsidRPr="002903A5">
        <w:rPr>
          <w:lang w:eastAsia="en-AU"/>
        </w:rPr>
        <w:t xml:space="preserve"> under the PDP Act and </w:t>
      </w:r>
      <w:r w:rsidRPr="002903A5">
        <w:rPr>
          <w:bCs/>
          <w:lang w:eastAsia="en-AU"/>
        </w:rPr>
        <w:t>Health Privacy Principles</w:t>
      </w:r>
      <w:r w:rsidRPr="002903A5">
        <w:rPr>
          <w:lang w:eastAsia="en-AU"/>
        </w:rPr>
        <w:t xml:space="preserve"> under the HR Act</w:t>
      </w:r>
      <w:r w:rsidRPr="00276391">
        <w:rPr>
          <w:lang w:eastAsia="en-AU"/>
        </w:rPr>
        <w:t>.</w:t>
      </w:r>
    </w:p>
    <w:p w14:paraId="44182F1D" w14:textId="77777777" w:rsidR="001D051C" w:rsidRPr="00276391" w:rsidRDefault="001D051C" w:rsidP="001D051C">
      <w:pPr>
        <w:pStyle w:val="DHHSbody"/>
        <w:rPr>
          <w:lang w:eastAsia="en-AU"/>
        </w:rPr>
      </w:pPr>
      <w:r w:rsidRPr="00276391">
        <w:rPr>
          <w:lang w:eastAsia="en-AU"/>
        </w:rPr>
        <w:t>IPP 6 and HPP 6 requires an organisation that holds personal information or health information about an individual to provide the individual with access to their personal or health information upon request, unless the organisation is not required to provide access because of a reason set out in IPP 6.1 (a) to (j) or HPP 6.1 (a) to (l) which may include circumstances where:</w:t>
      </w:r>
    </w:p>
    <w:p w14:paraId="6ED4455F" w14:textId="77777777" w:rsidR="001D051C" w:rsidRPr="00276391" w:rsidRDefault="001D051C" w:rsidP="001D051C">
      <w:pPr>
        <w:pStyle w:val="DHHSbullet1"/>
        <w:rPr>
          <w:rFonts w:cs="Arial"/>
          <w:lang w:eastAsia="en-AU"/>
        </w:rPr>
      </w:pPr>
      <w:r w:rsidRPr="00276391">
        <w:rPr>
          <w:rFonts w:cs="Arial"/>
          <w:lang w:eastAsia="en-AU"/>
        </w:rPr>
        <w:t xml:space="preserve">providing access would: </w:t>
      </w:r>
    </w:p>
    <w:p w14:paraId="6076458C" w14:textId="77777777" w:rsidR="001D051C" w:rsidRPr="00276391" w:rsidRDefault="001D051C" w:rsidP="001D051C">
      <w:pPr>
        <w:pStyle w:val="DHHSbullet2"/>
        <w:rPr>
          <w:lang w:eastAsia="en-AU"/>
        </w:rPr>
      </w:pPr>
      <w:r w:rsidRPr="00276391">
        <w:rPr>
          <w:lang w:eastAsia="en-AU"/>
        </w:rPr>
        <w:t xml:space="preserve">pose a serious and imminent threat to the life or health of any individual </w:t>
      </w:r>
    </w:p>
    <w:p w14:paraId="3456E540" w14:textId="77777777" w:rsidR="001D051C" w:rsidRPr="00276391" w:rsidRDefault="001D051C" w:rsidP="001D051C">
      <w:pPr>
        <w:pStyle w:val="DHHSbullet2"/>
        <w:rPr>
          <w:lang w:eastAsia="en-AU"/>
        </w:rPr>
      </w:pPr>
      <w:r w:rsidRPr="00276391">
        <w:rPr>
          <w:lang w:eastAsia="en-AU"/>
        </w:rPr>
        <w:t xml:space="preserve">have an unreasonable impact on the privacy of other individuals </w:t>
      </w:r>
    </w:p>
    <w:p w14:paraId="04A5967B" w14:textId="77777777" w:rsidR="001D051C" w:rsidRPr="00276391" w:rsidRDefault="001D051C" w:rsidP="001D051C">
      <w:pPr>
        <w:pStyle w:val="DHHSbullet2"/>
        <w:rPr>
          <w:lang w:eastAsia="en-AU"/>
        </w:rPr>
      </w:pPr>
      <w:r w:rsidRPr="00276391">
        <w:rPr>
          <w:lang w:eastAsia="en-AU"/>
        </w:rPr>
        <w:lastRenderedPageBreak/>
        <w:t xml:space="preserve">be unlawful </w:t>
      </w:r>
    </w:p>
    <w:p w14:paraId="5F8A9212" w14:textId="77777777" w:rsidR="001D051C" w:rsidRPr="00276391" w:rsidRDefault="001D051C" w:rsidP="001D051C">
      <w:pPr>
        <w:pStyle w:val="DHHSbullet2"/>
        <w:rPr>
          <w:lang w:eastAsia="en-AU"/>
        </w:rPr>
      </w:pPr>
      <w:r w:rsidRPr="00276391">
        <w:rPr>
          <w:lang w:eastAsia="en-AU"/>
        </w:rPr>
        <w:t xml:space="preserve">be likely to prejudice an investigation of possible unlawful activity </w:t>
      </w:r>
    </w:p>
    <w:p w14:paraId="6212AEE1" w14:textId="77777777" w:rsidR="001D051C" w:rsidRPr="00276391" w:rsidRDefault="001D051C" w:rsidP="001D051C">
      <w:pPr>
        <w:pStyle w:val="DHHSbullet1"/>
        <w:rPr>
          <w:rFonts w:cs="Arial"/>
          <w:lang w:eastAsia="en-AU"/>
        </w:rPr>
      </w:pPr>
      <w:r w:rsidRPr="00276391">
        <w:rPr>
          <w:rFonts w:cs="Arial"/>
          <w:lang w:eastAsia="en-AU"/>
        </w:rPr>
        <w:t xml:space="preserve">the request for access is frivolous or vexatious </w:t>
      </w:r>
    </w:p>
    <w:p w14:paraId="01CBCEA0" w14:textId="77777777" w:rsidR="001D051C" w:rsidRPr="00276391" w:rsidRDefault="001D051C" w:rsidP="001D051C">
      <w:pPr>
        <w:pStyle w:val="DHHSbullet1"/>
        <w:rPr>
          <w:rFonts w:cs="Arial"/>
          <w:lang w:eastAsia="en-AU"/>
        </w:rPr>
      </w:pPr>
      <w:r w:rsidRPr="00276391">
        <w:rPr>
          <w:rFonts w:cs="Arial"/>
          <w:lang w:eastAsia="en-AU"/>
        </w:rPr>
        <w:t xml:space="preserve">the information relates to existing legal proceedings between the organisation and the individual, and the information would not be accessible by the process of discovery or subpoena in those proceedings. </w:t>
      </w:r>
    </w:p>
    <w:p w14:paraId="02C27E49" w14:textId="77777777" w:rsidR="001D051C" w:rsidRPr="00276391" w:rsidRDefault="001D051C" w:rsidP="001D051C">
      <w:pPr>
        <w:pStyle w:val="DHHSbody"/>
        <w:rPr>
          <w:lang w:eastAsia="en-AU"/>
        </w:rPr>
      </w:pPr>
      <w:r w:rsidRPr="00B24C02">
        <w:rPr>
          <w:rFonts w:cs="Arial"/>
          <w:color w:val="000000"/>
          <w:szCs w:val="19"/>
          <w:lang w:eastAsia="en-AU"/>
        </w:rPr>
        <w:t>Funded organisations should be aware that where an individual makes a direct request to an organisation for access or correction to their personal or health information, the organisation must directly respond to the request in accordance with IPP 6 or HPP 6, as the case may be.</w:t>
      </w:r>
    </w:p>
    <w:p w14:paraId="7A7365CC" w14:textId="2D8CCC36" w:rsidR="001D051C" w:rsidRPr="00276391" w:rsidRDefault="001D051C" w:rsidP="001D051C">
      <w:pPr>
        <w:pStyle w:val="DHHSbody"/>
        <w:rPr>
          <w:lang w:eastAsia="en-AU"/>
        </w:rPr>
      </w:pPr>
      <w:r w:rsidRPr="00276391">
        <w:rPr>
          <w:lang w:eastAsia="en-AU"/>
        </w:rPr>
        <w:t xml:space="preserve">When providing access to personal or health information, funded organisations need to ensure that they do not infringe any third person’s privacy rights. Further information on the IP Act (IPP 6) and HR Act (HPP 6) is found in </w:t>
      </w:r>
      <w:hyperlink w:anchor="_3.17_Privacy,_Data" w:history="1">
        <w:r w:rsidR="002903A5" w:rsidRPr="002903A5">
          <w:rPr>
            <w:rStyle w:val="Hyperlink"/>
            <w:lang w:eastAsia="en-AU"/>
          </w:rPr>
          <w:t>Chapter 3.17</w:t>
        </w:r>
      </w:hyperlink>
      <w:r w:rsidR="002903A5">
        <w:rPr>
          <w:lang w:eastAsia="en-AU"/>
        </w:rPr>
        <w:t>.</w:t>
      </w:r>
      <w:r w:rsidRPr="00276391">
        <w:rPr>
          <w:lang w:eastAsia="en-AU"/>
        </w:rPr>
        <w:t xml:space="preserve"> </w:t>
      </w:r>
    </w:p>
    <w:p w14:paraId="38154B8D" w14:textId="77777777" w:rsidR="001D051C" w:rsidRPr="00276391" w:rsidRDefault="001D051C" w:rsidP="001D051C">
      <w:pPr>
        <w:pStyle w:val="Heading4"/>
        <w:rPr>
          <w:lang w:eastAsia="en-AU"/>
        </w:rPr>
      </w:pPr>
      <w:r w:rsidRPr="00276391">
        <w:rPr>
          <w:lang w:eastAsia="en-AU"/>
        </w:rPr>
        <w:t>Requirements of the Department of Health and Human Services</w:t>
      </w:r>
    </w:p>
    <w:p w14:paraId="24002994" w14:textId="0846BED4" w:rsidR="001D051C" w:rsidRPr="00276391" w:rsidRDefault="001D051C" w:rsidP="001D051C">
      <w:pPr>
        <w:pStyle w:val="DHHSbody"/>
        <w:rPr>
          <w:lang w:eastAsia="en-AU"/>
        </w:rPr>
      </w:pPr>
      <w:r w:rsidRPr="00276391">
        <w:rPr>
          <w:lang w:eastAsia="en-AU"/>
        </w:rPr>
        <w:t xml:space="preserve">Under clause 6.3(b) of the </w:t>
      </w:r>
      <w:r w:rsidR="009B3052">
        <w:rPr>
          <w:lang w:eastAsia="en-AU"/>
        </w:rPr>
        <w:t>Service agreement</w:t>
      </w:r>
      <w:r w:rsidRPr="00276391">
        <w:rPr>
          <w:lang w:eastAsia="en-AU"/>
        </w:rPr>
        <w:t xml:space="preserve">, organisations that are funded by </w:t>
      </w:r>
      <w:r w:rsidR="00DF1D39">
        <w:rPr>
          <w:lang w:eastAsia="en-AU"/>
        </w:rPr>
        <w:t>the department</w:t>
      </w:r>
      <w:r w:rsidRPr="00276391">
        <w:rPr>
          <w:lang w:eastAsia="en-AU"/>
        </w:rPr>
        <w:t xml:space="preserve"> are required to maintain custody of and manage records in a way which allows the department to quickly and easily access, retrieve and review the records, including when requests are made under the FOI Act.</w:t>
      </w:r>
    </w:p>
    <w:p w14:paraId="3547E5F0" w14:textId="1C95A67B" w:rsidR="001D051C" w:rsidRPr="00276391" w:rsidRDefault="001D051C" w:rsidP="001D051C">
      <w:pPr>
        <w:pStyle w:val="DHHSbody"/>
        <w:rPr>
          <w:lang w:eastAsia="en-AU"/>
        </w:rPr>
      </w:pPr>
      <w:r w:rsidRPr="00276391">
        <w:rPr>
          <w:lang w:eastAsia="en-AU"/>
        </w:rPr>
        <w:t xml:space="preserve">The </w:t>
      </w:r>
      <w:r w:rsidR="009B3052">
        <w:rPr>
          <w:lang w:eastAsia="en-AU"/>
        </w:rPr>
        <w:t>Service agreement</w:t>
      </w:r>
      <w:r w:rsidRPr="00276391">
        <w:rPr>
          <w:lang w:eastAsia="en-AU"/>
        </w:rPr>
        <w:t xml:space="preserve"> also requires organisations to advise the department about records that may fall within the scope of a request or direction received by the department under the FOI Act or any other law, where the department has notified the organisation about the details of the request or direction in writing.</w:t>
      </w:r>
    </w:p>
    <w:p w14:paraId="224CF37E" w14:textId="77777777" w:rsidR="001D051C" w:rsidRPr="00276391" w:rsidRDefault="001D051C" w:rsidP="001D051C">
      <w:pPr>
        <w:pStyle w:val="Heading4"/>
        <w:rPr>
          <w:lang w:eastAsia="en-AU"/>
        </w:rPr>
      </w:pPr>
      <w:r w:rsidRPr="00276391">
        <w:rPr>
          <w:lang w:eastAsia="en-AU"/>
        </w:rPr>
        <w:t>Fact sheet 5: Freedom of information and funded organisation records</w:t>
      </w:r>
    </w:p>
    <w:p w14:paraId="7D25F14D" w14:textId="5EC8C08B" w:rsidR="001D051C" w:rsidRPr="00276391" w:rsidRDefault="001D051C" w:rsidP="001D051C">
      <w:pPr>
        <w:pStyle w:val="DHHSbody"/>
        <w:rPr>
          <w:lang w:eastAsia="en-AU"/>
        </w:rPr>
      </w:pPr>
      <w:r w:rsidRPr="00276391">
        <w:rPr>
          <w:lang w:eastAsia="en-AU"/>
        </w:rPr>
        <w:t xml:space="preserve">A fact sheet on Freedom of Information is available on the </w:t>
      </w:r>
      <w:hyperlink r:id="rId77" w:history="1">
        <w:r w:rsidRPr="00260BF2">
          <w:rPr>
            <w:rStyle w:val="Hyperlink"/>
            <w:lang w:eastAsia="en-AU"/>
          </w:rPr>
          <w:t>Funded agency channel</w:t>
        </w:r>
      </w:hyperlink>
      <w:r w:rsidRPr="00276391">
        <w:rPr>
          <w:lang w:eastAsia="en-AU"/>
        </w:rPr>
        <w:t xml:space="preserve"> </w:t>
      </w:r>
      <w:r>
        <w:rPr>
          <w:lang w:eastAsia="en-AU"/>
        </w:rPr>
        <w:t>&lt;</w:t>
      </w:r>
      <w:r w:rsidRPr="002E66E2">
        <w:rPr>
          <w:lang w:eastAsia="en-AU"/>
        </w:rPr>
        <w:t>https://fac.dhhs.vic.gov.au/policies-and-procedures</w:t>
      </w:r>
      <w:r>
        <w:rPr>
          <w:lang w:eastAsia="en-AU"/>
        </w:rPr>
        <w:t>&gt;</w:t>
      </w:r>
      <w:r w:rsidRPr="00276391">
        <w:rPr>
          <w:lang w:eastAsia="en-AU"/>
        </w:rPr>
        <w:t xml:space="preserve"> (external link, opens in a new window)</w:t>
      </w:r>
      <w:r>
        <w:rPr>
          <w:lang w:eastAsia="en-AU"/>
        </w:rPr>
        <w:t xml:space="preserve"> under</w:t>
      </w:r>
      <w:r w:rsidRPr="00276391">
        <w:rPr>
          <w:lang w:eastAsia="en-AU"/>
        </w:rPr>
        <w:t xml:space="preserve"> </w:t>
      </w:r>
      <w:r w:rsidRPr="00260BF2">
        <w:t xml:space="preserve">'Records management for organisations funded under the </w:t>
      </w:r>
      <w:r w:rsidR="009B3052">
        <w:t>Service agreement</w:t>
      </w:r>
      <w:r w:rsidRPr="00260BF2">
        <w:t>'</w:t>
      </w:r>
      <w:r w:rsidRPr="00276391">
        <w:rPr>
          <w:lang w:eastAsia="en-AU"/>
        </w:rPr>
        <w:t>. Refer to 'Fact sheet 5: Freedom of information and funded organisation records'.</w:t>
      </w:r>
    </w:p>
    <w:p w14:paraId="33A71095" w14:textId="77777777" w:rsidR="001D051C" w:rsidRPr="00276391" w:rsidRDefault="001D051C" w:rsidP="001D051C">
      <w:pPr>
        <w:pStyle w:val="DHHSbodyBold"/>
        <w:rPr>
          <w:lang w:eastAsia="en-AU"/>
        </w:rPr>
      </w:pPr>
      <w:r w:rsidRPr="00276391">
        <w:rPr>
          <w:lang w:eastAsia="en-AU"/>
        </w:rPr>
        <w:t>Further information</w:t>
      </w:r>
    </w:p>
    <w:p w14:paraId="2B33F67A" w14:textId="77777777" w:rsidR="001D051C" w:rsidRPr="00276391" w:rsidRDefault="001D051C" w:rsidP="001D051C">
      <w:pPr>
        <w:pStyle w:val="DHHSbody"/>
        <w:rPr>
          <w:lang w:eastAsia="en-AU"/>
        </w:rPr>
      </w:pPr>
      <w:r w:rsidRPr="00276391">
        <w:rPr>
          <w:lang w:eastAsia="en-AU"/>
        </w:rPr>
        <w:t>If organisations have any further queries on Freedom of Information (FOI) please contact the FOI enquiry line on 9096 8449.</w:t>
      </w:r>
    </w:p>
    <w:p w14:paraId="038371B4" w14:textId="77777777" w:rsidR="001D051C" w:rsidRPr="00276391" w:rsidRDefault="001D051C" w:rsidP="001D051C">
      <w:pPr>
        <w:pStyle w:val="DHHSbody"/>
        <w:rPr>
          <w:lang w:eastAsia="en-AU"/>
        </w:rPr>
      </w:pPr>
      <w:r w:rsidRPr="00276391">
        <w:rPr>
          <w:lang w:eastAsia="en-AU"/>
        </w:rPr>
        <w:t xml:space="preserve">Further information about the FOI Act is available at the </w:t>
      </w:r>
      <w:hyperlink r:id="rId78" w:tgtFrame="_blank" w:tooltip="Link to the Freedom of Information website" w:history="1">
        <w:r w:rsidRPr="00314C44">
          <w:rPr>
            <w:rStyle w:val="Hyperlink"/>
          </w:rPr>
          <w:t>Freedom of Information</w:t>
        </w:r>
        <w:r w:rsidRPr="00314C44">
          <w:rPr>
            <w:rStyle w:val="Hyperlink"/>
            <w:lang w:eastAsia="en-AU"/>
          </w:rPr>
          <w:t xml:space="preserve"> website</w:t>
        </w:r>
      </w:hyperlink>
      <w:r w:rsidRPr="00276391">
        <w:rPr>
          <w:lang w:eastAsia="en-AU"/>
        </w:rPr>
        <w:t xml:space="preserve"> </w:t>
      </w:r>
      <w:r>
        <w:rPr>
          <w:lang w:eastAsia="en-AU"/>
        </w:rPr>
        <w:t>&lt;</w:t>
      </w:r>
      <w:r w:rsidRPr="00314C44">
        <w:rPr>
          <w:lang w:eastAsia="en-AU"/>
        </w:rPr>
        <w:t>http://www.foi.vic.gov.au/</w:t>
      </w:r>
      <w:r>
        <w:rPr>
          <w:lang w:eastAsia="en-AU"/>
        </w:rPr>
        <w:t>&gt;</w:t>
      </w:r>
      <w:r w:rsidRPr="00314C44">
        <w:rPr>
          <w:lang w:eastAsia="en-AU"/>
        </w:rPr>
        <w:t xml:space="preserve"> </w:t>
      </w:r>
      <w:r w:rsidRPr="00276391">
        <w:rPr>
          <w:lang w:eastAsia="en-AU"/>
        </w:rPr>
        <w:t xml:space="preserve">(external link, opens in a new window) and the </w:t>
      </w:r>
      <w:hyperlink r:id="rId79" w:tgtFrame="_blank" w:tooltip="Link to the Freedom of Information Commissioner website" w:history="1">
        <w:r w:rsidRPr="00314C44">
          <w:rPr>
            <w:rStyle w:val="Hyperlink"/>
          </w:rPr>
          <w:t>Freedom of Information Commissioner</w:t>
        </w:r>
        <w:r w:rsidRPr="00314C44">
          <w:rPr>
            <w:rStyle w:val="Hyperlink"/>
            <w:lang w:eastAsia="en-AU"/>
          </w:rPr>
          <w:t xml:space="preserve"> website</w:t>
        </w:r>
      </w:hyperlink>
      <w:r w:rsidRPr="00276391">
        <w:rPr>
          <w:lang w:eastAsia="en-AU"/>
        </w:rPr>
        <w:t xml:space="preserve"> </w:t>
      </w:r>
      <w:r>
        <w:rPr>
          <w:lang w:eastAsia="en-AU"/>
        </w:rPr>
        <w:t>&lt;</w:t>
      </w:r>
      <w:r w:rsidRPr="00314C44">
        <w:rPr>
          <w:lang w:eastAsia="en-AU"/>
        </w:rPr>
        <w:t>http://foicommissioner.vic.gov.au/</w:t>
      </w:r>
      <w:r>
        <w:rPr>
          <w:lang w:eastAsia="en-AU"/>
        </w:rPr>
        <w:t>&gt;</w:t>
      </w:r>
      <w:r w:rsidRPr="00314C44">
        <w:rPr>
          <w:lang w:eastAsia="en-AU"/>
        </w:rPr>
        <w:t xml:space="preserve"> </w:t>
      </w:r>
      <w:r w:rsidRPr="00276391">
        <w:rPr>
          <w:lang w:eastAsia="en-AU"/>
        </w:rPr>
        <w:t>(external link, opens in a new window).</w:t>
      </w:r>
    </w:p>
    <w:p w14:paraId="64ADAF86" w14:textId="77777777" w:rsidR="001D051C" w:rsidRPr="00276391" w:rsidRDefault="001D051C" w:rsidP="001D051C">
      <w:pPr>
        <w:pStyle w:val="DHHSbody"/>
        <w:rPr>
          <w:lang w:eastAsia="en-AU"/>
        </w:rPr>
      </w:pPr>
      <w:r w:rsidRPr="00276391">
        <w:rPr>
          <w:lang w:eastAsia="en-AU"/>
        </w:rPr>
        <w:t xml:space="preserve">Further information about the Privacy and Data Protection Act for Victorian Government departments and funded organisations is available at the </w:t>
      </w:r>
      <w:hyperlink r:id="rId80" w:tgtFrame="_blank" w:tooltip="Link to the Commissioner for Privacy and Data Protection's website" w:history="1">
        <w:r w:rsidRPr="00DB231C">
          <w:rPr>
            <w:rStyle w:val="Hyperlink"/>
          </w:rPr>
          <w:t>Commissioner for Privacy and Data Protection's</w:t>
        </w:r>
        <w:r w:rsidRPr="00DB231C">
          <w:rPr>
            <w:rStyle w:val="Hyperlink"/>
            <w:lang w:eastAsia="en-AU"/>
          </w:rPr>
          <w:t xml:space="preserve"> website</w:t>
        </w:r>
      </w:hyperlink>
      <w:r w:rsidRPr="00276391">
        <w:rPr>
          <w:lang w:eastAsia="en-AU"/>
        </w:rPr>
        <w:t xml:space="preserve"> </w:t>
      </w:r>
      <w:r>
        <w:rPr>
          <w:lang w:eastAsia="en-AU"/>
        </w:rPr>
        <w:t>&lt;</w:t>
      </w:r>
      <w:r w:rsidRPr="00DB231C">
        <w:rPr>
          <w:lang w:eastAsia="en-AU"/>
        </w:rPr>
        <w:t>https://www.cpdp.vic.gov.au/</w:t>
      </w:r>
      <w:r>
        <w:rPr>
          <w:lang w:eastAsia="en-AU"/>
        </w:rPr>
        <w:t>&gt;</w:t>
      </w:r>
      <w:r w:rsidRPr="00DB231C">
        <w:rPr>
          <w:lang w:eastAsia="en-AU"/>
        </w:rPr>
        <w:t xml:space="preserve"> </w:t>
      </w:r>
      <w:r w:rsidRPr="00276391">
        <w:rPr>
          <w:lang w:eastAsia="en-AU"/>
        </w:rPr>
        <w:t>(external link, opens in a new window).</w:t>
      </w:r>
    </w:p>
    <w:p w14:paraId="22F9DFF9" w14:textId="77777777" w:rsidR="00236748" w:rsidRPr="00276391" w:rsidRDefault="00236748" w:rsidP="009B2351">
      <w:pPr>
        <w:pStyle w:val="Heading2"/>
        <w:rPr>
          <w:rFonts w:cs="Arial"/>
          <w:lang w:eastAsia="en-AU"/>
        </w:rPr>
      </w:pPr>
      <w:bookmarkStart w:id="328" w:name="_Toc4142054"/>
      <w:r w:rsidRPr="00276391">
        <w:rPr>
          <w:rFonts w:cs="Arial"/>
          <w:lang w:eastAsia="en-AU"/>
        </w:rPr>
        <w:t>3.7</w:t>
      </w:r>
      <w:r w:rsidR="009B2351" w:rsidRPr="00276391">
        <w:rPr>
          <w:rFonts w:cs="Arial"/>
          <w:lang w:eastAsia="en-AU"/>
        </w:rPr>
        <w:t xml:space="preserve"> </w:t>
      </w:r>
      <w:r w:rsidRPr="00276391">
        <w:rPr>
          <w:rFonts w:cs="Arial"/>
          <w:lang w:eastAsia="en-AU"/>
        </w:rPr>
        <w:t>Assets</w:t>
      </w:r>
      <w:bookmarkEnd w:id="325"/>
      <w:bookmarkEnd w:id="326"/>
      <w:bookmarkEnd w:id="327"/>
      <w:bookmarkEnd w:id="328"/>
    </w:p>
    <w:p w14:paraId="67120DE6" w14:textId="59DE9003"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pages</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3AAC2478" w14:textId="3C10BD75" w:rsidR="00236748" w:rsidRPr="00276391" w:rsidRDefault="00236748" w:rsidP="009D4D32">
      <w:pPr>
        <w:pStyle w:val="Heading3"/>
        <w:rPr>
          <w:lang w:eastAsia="en-AU"/>
        </w:rPr>
      </w:pPr>
      <w:bookmarkStart w:id="329" w:name="_Toc478991799"/>
      <w:bookmarkStart w:id="330" w:name="_Toc478992379"/>
      <w:bookmarkStart w:id="331" w:name="_Toc4142055"/>
      <w:r w:rsidRPr="00276391">
        <w:rPr>
          <w:lang w:eastAsia="en-AU"/>
        </w:rPr>
        <w:t>3.7.1</w:t>
      </w:r>
      <w:r w:rsidR="009B2351" w:rsidRPr="00276391">
        <w:rPr>
          <w:lang w:eastAsia="en-AU"/>
        </w:rPr>
        <w:t xml:space="preserve"> </w:t>
      </w:r>
      <w:r w:rsidRPr="00276391">
        <w:rPr>
          <w:lang w:eastAsia="en-AU"/>
        </w:rPr>
        <w:t>Definition</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an</w:t>
      </w:r>
      <w:r w:rsidR="009B2351" w:rsidRPr="00276391">
        <w:rPr>
          <w:lang w:eastAsia="en-AU"/>
        </w:rPr>
        <w:t xml:space="preserve"> </w:t>
      </w:r>
      <w:r w:rsidRPr="00276391">
        <w:rPr>
          <w:lang w:eastAsia="en-AU"/>
        </w:rPr>
        <w:t>asset</w:t>
      </w:r>
      <w:r w:rsidR="009B2351" w:rsidRPr="00276391">
        <w:rPr>
          <w:lang w:eastAsia="en-AU"/>
        </w:rPr>
        <w:t xml:space="preserve"> </w:t>
      </w:r>
      <w:r w:rsidRPr="00276391">
        <w:rPr>
          <w:lang w:eastAsia="en-AU"/>
        </w:rPr>
        <w:t>under</w:t>
      </w:r>
      <w:r w:rsidR="009B2351" w:rsidRPr="00276391">
        <w:rPr>
          <w:lang w:eastAsia="en-AU"/>
        </w:rPr>
        <w:t xml:space="preserve"> </w:t>
      </w:r>
      <w:r w:rsidRPr="00276391">
        <w:rPr>
          <w:lang w:eastAsia="en-AU"/>
        </w:rPr>
        <w:t>the</w:t>
      </w:r>
      <w:r w:rsidR="009B2351" w:rsidRPr="00276391">
        <w:rPr>
          <w:lang w:eastAsia="en-AU"/>
        </w:rPr>
        <w:t xml:space="preserve"> </w:t>
      </w:r>
      <w:r w:rsidR="009B3052">
        <w:rPr>
          <w:lang w:eastAsia="en-AU"/>
        </w:rPr>
        <w:t>Service agreement</w:t>
      </w:r>
      <w:bookmarkEnd w:id="329"/>
      <w:bookmarkEnd w:id="330"/>
      <w:bookmarkEnd w:id="331"/>
    </w:p>
    <w:p w14:paraId="78FFE95B" w14:textId="247D448B" w:rsidR="00236748" w:rsidRPr="00276391" w:rsidRDefault="00236748" w:rsidP="00276391">
      <w:pPr>
        <w:pStyle w:val="DHHSbody"/>
        <w:rPr>
          <w:lang w:eastAsia="en-AU"/>
        </w:rPr>
      </w:pPr>
      <w:r w:rsidRPr="00276391">
        <w:rPr>
          <w:lang w:eastAsia="en-AU"/>
        </w:rPr>
        <w:t>Assets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non-consumable</w:t>
      </w:r>
      <w:r w:rsidR="005D5532" w:rsidRPr="00276391">
        <w:rPr>
          <w:lang w:eastAsia="en-AU"/>
        </w:rPr>
        <w:t xml:space="preserve"> </w:t>
      </w:r>
      <w:r w:rsidRPr="00276391">
        <w:rPr>
          <w:lang w:eastAsia="en-AU"/>
        </w:rPr>
        <w:t>items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tangible</w:t>
      </w:r>
      <w:r w:rsidR="005D5532" w:rsidRPr="00276391">
        <w:rPr>
          <w:lang w:eastAsia="en-AU"/>
        </w:rPr>
        <w:t xml:space="preserve"> </w:t>
      </w:r>
      <w:r w:rsidRPr="00276391">
        <w:rPr>
          <w:lang w:eastAsia="en-AU"/>
        </w:rPr>
        <w:t>property</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fixtures)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life</w:t>
      </w:r>
      <w:r w:rsidR="005D5532" w:rsidRPr="00276391">
        <w:rPr>
          <w:lang w:eastAsia="en-AU"/>
        </w:rPr>
        <w:t xml:space="preserve"> </w:t>
      </w:r>
      <w:r w:rsidRPr="00276391">
        <w:rPr>
          <w:lang w:eastAsia="en-AU"/>
        </w:rPr>
        <w:t>greater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purchased,</w:t>
      </w:r>
      <w:r w:rsidR="005D5532" w:rsidRPr="00276391">
        <w:rPr>
          <w:lang w:eastAsia="en-AU"/>
        </w:rPr>
        <w:t xml:space="preserve"> </w:t>
      </w:r>
      <w:r w:rsidRPr="00276391">
        <w:rPr>
          <w:lang w:eastAsia="en-AU"/>
        </w:rPr>
        <w:t>created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otherwise</w:t>
      </w:r>
      <w:r w:rsidR="005D5532" w:rsidRPr="00276391">
        <w:rPr>
          <w:lang w:eastAsia="en-AU"/>
        </w:rPr>
        <w:t xml:space="preserve"> </w:t>
      </w:r>
      <w:r w:rsidRPr="00276391">
        <w:rPr>
          <w:lang w:eastAsia="en-AU"/>
        </w:rPr>
        <w:t>brought</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existence</w:t>
      </w:r>
      <w:r w:rsidR="005D5532" w:rsidRPr="00276391">
        <w:rPr>
          <w:lang w:eastAsia="en-AU"/>
        </w:rPr>
        <w:t xml:space="preserve"> </w:t>
      </w:r>
      <w:r w:rsidRPr="00276391">
        <w:rPr>
          <w:lang w:eastAsia="en-AU"/>
        </w:rPr>
        <w:t>(whether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whole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include:</w:t>
      </w:r>
    </w:p>
    <w:p w14:paraId="0CA83921" w14:textId="77777777" w:rsidR="00236748" w:rsidRPr="00276391" w:rsidRDefault="00236748" w:rsidP="00276391">
      <w:pPr>
        <w:pStyle w:val="DHHSbullet1"/>
        <w:rPr>
          <w:rFonts w:cs="Arial"/>
          <w:lang w:eastAsia="en-AU"/>
        </w:rPr>
      </w:pPr>
      <w:r w:rsidRPr="00276391">
        <w:rPr>
          <w:rFonts w:cs="Arial"/>
          <w:lang w:eastAsia="en-AU"/>
        </w:rPr>
        <w:t>non-medical</w:t>
      </w:r>
      <w:r w:rsidR="005D5532" w:rsidRPr="00276391">
        <w:rPr>
          <w:rFonts w:cs="Arial"/>
          <w:lang w:eastAsia="en-AU"/>
        </w:rPr>
        <w:t xml:space="preserve"> </w:t>
      </w:r>
      <w:r w:rsidRPr="00276391">
        <w:rPr>
          <w:rFonts w:cs="Arial"/>
          <w:lang w:eastAsia="en-AU"/>
        </w:rPr>
        <w:t>equipment</w:t>
      </w:r>
      <w:r w:rsidR="005D5532" w:rsidRPr="00276391">
        <w:rPr>
          <w:rFonts w:cs="Arial"/>
          <w:lang w:eastAsia="en-AU"/>
        </w:rPr>
        <w:t xml:space="preserve"> </w:t>
      </w:r>
    </w:p>
    <w:p w14:paraId="2CA45E36" w14:textId="77777777" w:rsidR="00236748" w:rsidRPr="00276391" w:rsidRDefault="00236748" w:rsidP="00276391">
      <w:pPr>
        <w:pStyle w:val="DHHSbullet1"/>
        <w:rPr>
          <w:rFonts w:cs="Arial"/>
          <w:lang w:eastAsia="en-AU"/>
        </w:rPr>
      </w:pPr>
      <w:r w:rsidRPr="00276391">
        <w:rPr>
          <w:rFonts w:cs="Arial"/>
          <w:lang w:eastAsia="en-AU"/>
        </w:rPr>
        <w:t>equipment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aids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r w:rsidRPr="00276391">
        <w:rPr>
          <w:rFonts w:cs="Arial"/>
          <w:lang w:eastAsia="en-AU"/>
        </w:rPr>
        <w:t>clients</w:t>
      </w:r>
      <w:r w:rsidR="005D5532" w:rsidRPr="00276391">
        <w:rPr>
          <w:rFonts w:cs="Arial"/>
          <w:lang w:eastAsia="en-AU"/>
        </w:rPr>
        <w:t xml:space="preserve"> </w:t>
      </w:r>
    </w:p>
    <w:p w14:paraId="38BF1270" w14:textId="77777777" w:rsidR="00236748" w:rsidRPr="00276391" w:rsidRDefault="00236748" w:rsidP="00276391">
      <w:pPr>
        <w:pStyle w:val="DHHSbullet1"/>
        <w:rPr>
          <w:rFonts w:cs="Arial"/>
          <w:lang w:eastAsia="en-AU"/>
        </w:rPr>
      </w:pPr>
      <w:r w:rsidRPr="00276391">
        <w:rPr>
          <w:rFonts w:cs="Arial"/>
          <w:lang w:eastAsia="en-AU"/>
        </w:rPr>
        <w:lastRenderedPageBreak/>
        <w:t>electronic</w:t>
      </w:r>
      <w:r w:rsidR="005D5532" w:rsidRPr="00276391">
        <w:rPr>
          <w:rFonts w:cs="Arial"/>
          <w:lang w:eastAsia="en-AU"/>
        </w:rPr>
        <w:t xml:space="preserve"> </w:t>
      </w:r>
      <w:r w:rsidRPr="00276391">
        <w:rPr>
          <w:rFonts w:cs="Arial"/>
          <w:lang w:eastAsia="en-AU"/>
        </w:rPr>
        <w:t>equipment</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computers)</w:t>
      </w:r>
      <w:r w:rsidR="005D5532" w:rsidRPr="00276391">
        <w:rPr>
          <w:rFonts w:cs="Arial"/>
          <w:lang w:eastAsia="en-AU"/>
        </w:rPr>
        <w:t xml:space="preserve"> </w:t>
      </w:r>
    </w:p>
    <w:p w14:paraId="15331DD8" w14:textId="77777777" w:rsidR="00236748" w:rsidRPr="00276391" w:rsidRDefault="00236748" w:rsidP="00276391">
      <w:pPr>
        <w:pStyle w:val="DHHSbullet1"/>
        <w:rPr>
          <w:rFonts w:cs="Arial"/>
          <w:lang w:eastAsia="en-AU"/>
        </w:rPr>
      </w:pPr>
      <w:r w:rsidRPr="00276391">
        <w:rPr>
          <w:rFonts w:cs="Arial"/>
          <w:lang w:eastAsia="en-AU"/>
        </w:rPr>
        <w:t>furniture</w:t>
      </w:r>
      <w:r w:rsidR="005D5532" w:rsidRPr="00276391">
        <w:rPr>
          <w:rFonts w:cs="Arial"/>
          <w:lang w:eastAsia="en-AU"/>
        </w:rPr>
        <w:t xml:space="preserve"> </w:t>
      </w:r>
    </w:p>
    <w:p w14:paraId="650CA210" w14:textId="77777777" w:rsidR="00236748" w:rsidRPr="00276391" w:rsidRDefault="00236748" w:rsidP="00276391">
      <w:pPr>
        <w:pStyle w:val="DHHSbullet1"/>
        <w:rPr>
          <w:rFonts w:cs="Arial"/>
          <w:lang w:eastAsia="en-AU"/>
        </w:rPr>
      </w:pPr>
      <w:r w:rsidRPr="00276391">
        <w:rPr>
          <w:rFonts w:cs="Arial"/>
          <w:lang w:eastAsia="en-AU"/>
        </w:rPr>
        <w:t>motor</w:t>
      </w:r>
      <w:r w:rsidR="005D5532" w:rsidRPr="00276391">
        <w:rPr>
          <w:rFonts w:cs="Arial"/>
          <w:lang w:eastAsia="en-AU"/>
        </w:rPr>
        <w:t xml:space="preserve"> </w:t>
      </w:r>
      <w:r w:rsidRPr="00276391">
        <w:rPr>
          <w:rFonts w:cs="Arial"/>
          <w:lang w:eastAsia="en-AU"/>
        </w:rPr>
        <w:t>vehicles.</w:t>
      </w:r>
      <w:r w:rsidR="005D5532" w:rsidRPr="00276391">
        <w:rPr>
          <w:rFonts w:cs="Arial"/>
          <w:lang w:eastAsia="en-AU"/>
        </w:rPr>
        <w:t xml:space="preserve"> </w:t>
      </w:r>
    </w:p>
    <w:p w14:paraId="30B21B4D" w14:textId="26F69104"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clauses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described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4.6</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7</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discussed</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below)</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specifically</w:t>
      </w:r>
      <w:r w:rsidR="005D5532" w:rsidRPr="00B24C02">
        <w:rPr>
          <w:rFonts w:cs="Arial"/>
          <w:color w:val="000000"/>
          <w:szCs w:val="19"/>
          <w:lang w:eastAsia="en-AU"/>
        </w:rPr>
        <w:t xml:space="preserve"> </w:t>
      </w:r>
      <w:r w:rsidRPr="00B24C02">
        <w:rPr>
          <w:rFonts w:cs="Arial"/>
          <w:color w:val="000000"/>
          <w:szCs w:val="19"/>
          <w:lang w:eastAsia="en-AU"/>
        </w:rPr>
        <w:t>allocated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purchase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vehicle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equipped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people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disability.</w:t>
      </w:r>
    </w:p>
    <w:p w14:paraId="3BCE2A7F" w14:textId="30B4B0E6"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vast</w:t>
      </w:r>
      <w:r w:rsidR="005D5532" w:rsidRPr="00276391">
        <w:rPr>
          <w:lang w:eastAsia="en-AU"/>
        </w:rPr>
        <w:t xml:space="preserve"> </w:t>
      </w:r>
      <w:r w:rsidRPr="00276391">
        <w:rPr>
          <w:lang w:eastAsia="en-AU"/>
        </w:rPr>
        <w:t>majority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individuals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delivering</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often</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purchase</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purpose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types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dealt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4.6</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7</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allocated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them</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6F411596" w14:textId="77777777" w:rsidR="00236748" w:rsidRPr="00276391" w:rsidRDefault="00236748" w:rsidP="00276391">
      <w:pPr>
        <w:pStyle w:val="DHHSbody"/>
        <w:rPr>
          <w:lang w:eastAsia="en-AU"/>
        </w:rPr>
      </w:pPr>
      <w:r w:rsidRPr="00276391">
        <w:rPr>
          <w:lang w:eastAsia="en-AU"/>
        </w:rPr>
        <w:t>When</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development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building</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facility,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normally</w:t>
      </w:r>
      <w:r w:rsidR="005D5532" w:rsidRPr="00276391">
        <w:rPr>
          <w:lang w:eastAsia="en-AU"/>
        </w:rPr>
        <w:t xml:space="preserve"> </w:t>
      </w:r>
      <w:r w:rsidRPr="00276391">
        <w:rPr>
          <w:lang w:eastAsia="en-AU"/>
        </w:rPr>
        <w:t>enter</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separate</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containing</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kind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detail</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those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managed.</w:t>
      </w:r>
    </w:p>
    <w:p w14:paraId="2EE61853" w14:textId="77777777" w:rsidR="00236748" w:rsidRPr="00276391" w:rsidRDefault="00236748" w:rsidP="009D4D32">
      <w:pPr>
        <w:pStyle w:val="Heading3"/>
        <w:rPr>
          <w:lang w:eastAsia="en-AU"/>
        </w:rPr>
      </w:pPr>
      <w:bookmarkStart w:id="332" w:name="_3.7.2_Keeping_an"/>
      <w:bookmarkStart w:id="333" w:name="_Toc478991800"/>
      <w:bookmarkStart w:id="334" w:name="_Toc478992380"/>
      <w:bookmarkStart w:id="335" w:name="_Toc4142056"/>
      <w:bookmarkEnd w:id="332"/>
      <w:r w:rsidRPr="00276391">
        <w:rPr>
          <w:lang w:eastAsia="en-AU"/>
        </w:rPr>
        <w:t>3.7.2</w:t>
      </w:r>
      <w:r w:rsidR="009B2351" w:rsidRPr="00276391">
        <w:rPr>
          <w:lang w:eastAsia="en-AU"/>
        </w:rPr>
        <w:t xml:space="preserve"> </w:t>
      </w:r>
      <w:r w:rsidRPr="00276391">
        <w:rPr>
          <w:lang w:eastAsia="en-AU"/>
        </w:rPr>
        <w:t>Keeping</w:t>
      </w:r>
      <w:r w:rsidR="009B2351" w:rsidRPr="00276391">
        <w:rPr>
          <w:lang w:eastAsia="en-AU"/>
        </w:rPr>
        <w:t xml:space="preserve"> </w:t>
      </w:r>
      <w:r w:rsidRPr="00276391">
        <w:rPr>
          <w:lang w:eastAsia="en-AU"/>
        </w:rPr>
        <w:t>an</w:t>
      </w:r>
      <w:r w:rsidR="009B2351" w:rsidRPr="00276391">
        <w:rPr>
          <w:lang w:eastAsia="en-AU"/>
        </w:rPr>
        <w:t xml:space="preserve"> </w:t>
      </w:r>
      <w:r w:rsidRPr="00276391">
        <w:rPr>
          <w:lang w:eastAsia="en-AU"/>
        </w:rPr>
        <w:t>asset</w:t>
      </w:r>
      <w:r w:rsidR="009B2351" w:rsidRPr="00276391">
        <w:rPr>
          <w:lang w:eastAsia="en-AU"/>
        </w:rPr>
        <w:t xml:space="preserve"> </w:t>
      </w:r>
      <w:r w:rsidRPr="00276391">
        <w:rPr>
          <w:lang w:eastAsia="en-AU"/>
        </w:rPr>
        <w:t>register</w:t>
      </w:r>
      <w:bookmarkEnd w:id="333"/>
      <w:bookmarkEnd w:id="334"/>
      <w:bookmarkEnd w:id="335"/>
    </w:p>
    <w:p w14:paraId="4C3FF34E"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normal</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managing</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operations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finances,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likely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keep</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own.</w:t>
      </w:r>
    </w:p>
    <w:p w14:paraId="4C65D84B" w14:textId="7503D2A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allocated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purchase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recorded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partly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proportion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contribution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recorded.</w:t>
      </w:r>
    </w:p>
    <w:p w14:paraId="7A2790BB"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keep</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separate</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proofErr w:type="gramStart"/>
      <w:r w:rsidRPr="00276391">
        <w:rPr>
          <w:lang w:eastAsia="en-AU"/>
        </w:rPr>
        <w:t>department,</w:t>
      </w:r>
      <w:r w:rsidR="005D5532" w:rsidRPr="00276391">
        <w:rPr>
          <w:lang w:eastAsia="en-AU"/>
        </w:rPr>
        <w:t xml:space="preserve"> </w:t>
      </w:r>
      <w:r w:rsidRPr="00276391">
        <w:rPr>
          <w:lang w:eastAsia="en-AU"/>
        </w:rPr>
        <w:t>or</w:t>
      </w:r>
      <w:proofErr w:type="gramEnd"/>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incorporate</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overall</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clearly</w:t>
      </w:r>
      <w:r w:rsidR="005D5532" w:rsidRPr="00276391">
        <w:rPr>
          <w:lang w:eastAsia="en-AU"/>
        </w:rPr>
        <w:t xml:space="preserve"> </w:t>
      </w:r>
      <w:r w:rsidRPr="00276391">
        <w:rPr>
          <w:lang w:eastAsia="en-AU"/>
        </w:rPr>
        <w:t>recorded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having</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5AE84DD1" w14:textId="77777777"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requested.</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incorporated</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overall</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of</w:t>
      </w:r>
      <w:r w:rsidR="005D5532" w:rsidRPr="00276391">
        <w:rPr>
          <w:lang w:eastAsia="en-AU"/>
        </w:rPr>
        <w:t xml:space="preserve"> </w:t>
      </w:r>
      <w:proofErr w:type="gramStart"/>
      <w:r w:rsidRPr="00276391">
        <w:rPr>
          <w:lang w:eastAsia="en-AU"/>
        </w:rPr>
        <w:t>department</w:t>
      </w:r>
      <w:proofErr w:type="gramEnd"/>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requested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sample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registers</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p>
    <w:p w14:paraId="1CFE3CBF" w14:textId="7D48489E"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format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discretion,</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meets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registers</w:t>
      </w:r>
      <w:r w:rsidR="005D5532" w:rsidRPr="00276391">
        <w:rPr>
          <w:lang w:eastAsia="en-AU"/>
        </w:rPr>
        <w:t xml:space="preserve"> </w:t>
      </w:r>
      <w:r w:rsidRPr="00276391">
        <w:rPr>
          <w:lang w:eastAsia="en-AU"/>
        </w:rPr>
        <w:t>normally</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detailed</w:t>
      </w:r>
      <w:r w:rsidR="005D5532" w:rsidRPr="00276391">
        <w:rPr>
          <w:lang w:eastAsia="en-AU"/>
        </w:rPr>
        <w:t xml:space="preserve"> </w:t>
      </w:r>
      <w:r w:rsidRPr="00276391">
        <w:rPr>
          <w:lang w:eastAsia="en-AU"/>
        </w:rPr>
        <w:t>in</w:t>
      </w:r>
      <w:r w:rsidR="005D5532" w:rsidRPr="00276391">
        <w:rPr>
          <w:lang w:eastAsia="en-AU"/>
        </w:rPr>
        <w:t xml:space="preserve"> </w:t>
      </w:r>
      <w:r w:rsidR="001D5AB1">
        <w:rPr>
          <w:lang w:eastAsia="en-AU"/>
        </w:rPr>
        <w:t xml:space="preserve">Attachment 1 under </w:t>
      </w:r>
      <w:r w:rsidRPr="00276391">
        <w:rPr>
          <w:lang w:eastAsia="en-AU"/>
        </w:rPr>
        <w:t>'</w:t>
      </w:r>
      <w:hyperlink w:anchor="_Sample_of_an" w:tgtFrame="_blank" w:tooltip="Attachment 2 Sample of an asset register" w:history="1">
        <w:r w:rsidRPr="001D5AB1">
          <w:rPr>
            <w:rStyle w:val="Hyperlink"/>
            <w:lang w:eastAsia="en-AU"/>
          </w:rPr>
          <w:t>Sample</w:t>
        </w:r>
        <w:r w:rsidR="005D5532" w:rsidRPr="001D5AB1">
          <w:rPr>
            <w:rStyle w:val="Hyperlink"/>
            <w:lang w:eastAsia="en-AU"/>
          </w:rPr>
          <w:t xml:space="preserve"> </w:t>
        </w:r>
        <w:r w:rsidRPr="001D5AB1">
          <w:rPr>
            <w:rStyle w:val="Hyperlink"/>
            <w:lang w:eastAsia="en-AU"/>
          </w:rPr>
          <w:t>of</w:t>
        </w:r>
        <w:r w:rsidR="005D5532" w:rsidRPr="001D5AB1">
          <w:rPr>
            <w:rStyle w:val="Hyperlink"/>
            <w:lang w:eastAsia="en-AU"/>
          </w:rPr>
          <w:t xml:space="preserve"> </w:t>
        </w:r>
        <w:r w:rsidRPr="001D5AB1">
          <w:rPr>
            <w:rStyle w:val="Hyperlink"/>
            <w:lang w:eastAsia="en-AU"/>
          </w:rPr>
          <w:t>an</w:t>
        </w:r>
        <w:r w:rsidR="005D5532" w:rsidRPr="001D5AB1">
          <w:rPr>
            <w:rStyle w:val="Hyperlink"/>
            <w:lang w:eastAsia="en-AU"/>
          </w:rPr>
          <w:t xml:space="preserve"> </w:t>
        </w:r>
        <w:r w:rsidRPr="001D5AB1">
          <w:rPr>
            <w:rStyle w:val="Hyperlink"/>
            <w:lang w:eastAsia="en-AU"/>
          </w:rPr>
          <w:t>asset</w:t>
        </w:r>
        <w:r w:rsidR="005D5532" w:rsidRPr="001D5AB1">
          <w:rPr>
            <w:rStyle w:val="Hyperlink"/>
            <w:lang w:eastAsia="en-AU"/>
          </w:rPr>
          <w:t xml:space="preserve"> </w:t>
        </w:r>
        <w:r w:rsidRPr="001D5AB1">
          <w:rPr>
            <w:rStyle w:val="Hyperlink"/>
            <w:lang w:eastAsia="en-AU"/>
          </w:rPr>
          <w:t>register'</w:t>
        </w:r>
      </w:hyperlink>
      <w:r w:rsidRPr="00276391">
        <w:rPr>
          <w:lang w:eastAsia="en-AU"/>
        </w:rPr>
        <w:t>.</w:t>
      </w:r>
      <w:r w:rsidR="005D5532" w:rsidRPr="00276391">
        <w:rPr>
          <w:lang w:eastAsia="en-AU"/>
        </w:rPr>
        <w:t xml:space="preserve"> </w:t>
      </w:r>
    </w:p>
    <w:p w14:paraId="606D1B7D" w14:textId="77777777" w:rsidR="00236748" w:rsidRPr="00276391" w:rsidRDefault="00236748" w:rsidP="00ED28CF">
      <w:pPr>
        <w:pStyle w:val="Heading3"/>
        <w:rPr>
          <w:lang w:eastAsia="en-AU"/>
        </w:rPr>
      </w:pPr>
      <w:bookmarkStart w:id="336" w:name="_Toc478991805"/>
      <w:bookmarkStart w:id="337" w:name="_Toc478992381"/>
      <w:bookmarkStart w:id="338" w:name="_Toc4142057"/>
      <w:r w:rsidRPr="00276391">
        <w:rPr>
          <w:lang w:eastAsia="en-AU"/>
        </w:rPr>
        <w:t>3.7.3</w:t>
      </w:r>
      <w:r w:rsidR="009B2351" w:rsidRPr="00276391">
        <w:rPr>
          <w:lang w:eastAsia="en-AU"/>
        </w:rPr>
        <w:t xml:space="preserve"> </w:t>
      </w:r>
      <w:r w:rsidRPr="00276391">
        <w:rPr>
          <w:lang w:eastAsia="en-AU"/>
        </w:rPr>
        <w:t>Disposal</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assets</w:t>
      </w:r>
      <w:bookmarkEnd w:id="336"/>
      <w:bookmarkEnd w:id="337"/>
      <w:bookmarkEnd w:id="338"/>
    </w:p>
    <w:p w14:paraId="54C47BC7" w14:textId="77777777" w:rsidR="00236748" w:rsidRPr="00276391" w:rsidRDefault="00236748" w:rsidP="00276391">
      <w:pPr>
        <w:pStyle w:val="DHHSbody"/>
        <w:rPr>
          <w:lang w:eastAsia="en-AU"/>
        </w:rPr>
      </w:pPr>
      <w:r w:rsidRPr="00276391">
        <w:rPr>
          <w:lang w:eastAsia="en-AU"/>
        </w:rPr>
        <w:t>Disposal</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refers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sold,</w:t>
      </w:r>
      <w:r w:rsidR="005D5532" w:rsidRPr="00276391">
        <w:rPr>
          <w:lang w:eastAsia="en-AU"/>
        </w:rPr>
        <w:t xml:space="preserve"> </w:t>
      </w:r>
      <w:r w:rsidRPr="00276391">
        <w:rPr>
          <w:lang w:eastAsia="en-AU"/>
        </w:rPr>
        <w:t>lost,</w:t>
      </w:r>
      <w:r w:rsidR="005D5532" w:rsidRPr="00276391">
        <w:rPr>
          <w:lang w:eastAsia="en-AU"/>
        </w:rPr>
        <w:t xml:space="preserve"> </w:t>
      </w:r>
      <w:r w:rsidRPr="00276391">
        <w:rPr>
          <w:lang w:eastAsia="en-AU"/>
        </w:rPr>
        <w:t>transferred,</w:t>
      </w:r>
      <w:r w:rsidR="005D5532" w:rsidRPr="00276391">
        <w:rPr>
          <w:lang w:eastAsia="en-AU"/>
        </w:rPr>
        <w:t xml:space="preserve"> </w:t>
      </w:r>
      <w:r w:rsidRPr="00276391">
        <w:rPr>
          <w:lang w:eastAsia="en-AU"/>
        </w:rPr>
        <w:t>destroyed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scrapped.</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traded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treated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disposal.</w:t>
      </w:r>
    </w:p>
    <w:p w14:paraId="10CD5451" w14:textId="77777777" w:rsidR="00236748" w:rsidRPr="00276391" w:rsidRDefault="00236748" w:rsidP="00276391">
      <w:pPr>
        <w:pStyle w:val="DHHSbody"/>
        <w:rPr>
          <w:lang w:eastAsia="en-AU"/>
        </w:rPr>
      </w:pPr>
      <w:r w:rsidRPr="00276391">
        <w:rPr>
          <w:lang w:eastAsia="en-AU"/>
        </w:rPr>
        <w:t>Any</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worth</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$5,000</w:t>
      </w:r>
      <w:r w:rsidR="005D5532" w:rsidRPr="00276391">
        <w:rPr>
          <w:lang w:eastAsia="en-AU"/>
        </w:rPr>
        <w:t xml:space="preserve"> </w:t>
      </w:r>
      <w:r w:rsidRPr="00276391">
        <w:rPr>
          <w:lang w:eastAsia="en-AU"/>
        </w:rPr>
        <w:t>(exclusive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disposal</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disposed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prior</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7.2.</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disposal</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worth</w:t>
      </w:r>
      <w:r w:rsidR="005D5532" w:rsidRPr="00276391">
        <w:rPr>
          <w:lang w:eastAsia="en-AU"/>
        </w:rPr>
        <w:t xml:space="preserve"> </w:t>
      </w:r>
      <w:r w:rsidRPr="00276391">
        <w:rPr>
          <w:lang w:eastAsia="en-AU"/>
        </w:rPr>
        <w:t>$5,000</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(exclusive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disposal.</w:t>
      </w:r>
    </w:p>
    <w:p w14:paraId="302864CB" w14:textId="77777777" w:rsidR="00236748" w:rsidRPr="00276391" w:rsidRDefault="00236748" w:rsidP="00276391">
      <w:pPr>
        <w:pStyle w:val="DHHSbody"/>
        <w:rPr>
          <w:lang w:eastAsia="en-AU"/>
        </w:rPr>
      </w:pPr>
      <w:r w:rsidRPr="00276391">
        <w:rPr>
          <w:lang w:eastAsia="en-AU"/>
        </w:rPr>
        <w:t>When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sold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otherwise</w:t>
      </w:r>
      <w:r w:rsidR="005D5532" w:rsidRPr="00276391">
        <w:rPr>
          <w:lang w:eastAsia="en-AU"/>
        </w:rPr>
        <w:t xml:space="preserve"> </w:t>
      </w:r>
      <w:r w:rsidRPr="00276391">
        <w:rPr>
          <w:lang w:eastAsia="en-AU"/>
        </w:rPr>
        <w:t>disposed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disposal</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sale</w:t>
      </w:r>
      <w:r w:rsidR="005D5532" w:rsidRPr="00276391">
        <w:rPr>
          <w:lang w:eastAsia="en-AU"/>
        </w:rPr>
        <w:t xml:space="preserve"> </w:t>
      </w:r>
      <w:r w:rsidRPr="00276391">
        <w:rPr>
          <w:lang w:eastAsia="en-AU"/>
        </w:rPr>
        <w:t>proceeds)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recorded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recorded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register.</w:t>
      </w:r>
    </w:p>
    <w:p w14:paraId="18AF9086"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disposed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may:</w:t>
      </w:r>
    </w:p>
    <w:p w14:paraId="224810D1" w14:textId="5A837855" w:rsidR="00236748" w:rsidRPr="00276391" w:rsidRDefault="00236748" w:rsidP="00276391">
      <w:pPr>
        <w:pStyle w:val="DHHSbullet1"/>
        <w:rPr>
          <w:rFonts w:cs="Arial"/>
          <w:lang w:eastAsia="en-AU"/>
        </w:rPr>
      </w:pPr>
      <w:r w:rsidRPr="00276391">
        <w:rPr>
          <w:rFonts w:cs="Arial"/>
          <w:lang w:eastAsia="en-AU"/>
        </w:rPr>
        <w:lastRenderedPageBreak/>
        <w:t>reduce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amount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payable</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depreciated</w:t>
      </w:r>
      <w:r w:rsidR="005D5532" w:rsidRPr="00276391">
        <w:rPr>
          <w:rFonts w:cs="Arial"/>
          <w:lang w:eastAsia="en-AU"/>
        </w:rPr>
        <w:t xml:space="preserve"> </w:t>
      </w:r>
      <w:r w:rsidRPr="00276391">
        <w:rPr>
          <w:rFonts w:cs="Arial"/>
          <w:lang w:eastAsia="en-AU"/>
        </w:rPr>
        <w:t>value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asset;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41B9D4E1" w14:textId="77777777" w:rsidR="00236748" w:rsidRPr="00276391" w:rsidRDefault="00236748" w:rsidP="00276391">
      <w:pPr>
        <w:pStyle w:val="DHHSbullet1"/>
        <w:rPr>
          <w:rFonts w:cs="Arial"/>
          <w:lang w:eastAsia="en-AU"/>
        </w:rPr>
      </w:pPr>
      <w:r w:rsidRPr="00276391">
        <w:rPr>
          <w:rFonts w:cs="Arial"/>
          <w:lang w:eastAsia="en-AU"/>
        </w:rPr>
        <w:t>request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reimburse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amount</w:t>
      </w:r>
      <w:r w:rsidR="005D5532" w:rsidRPr="00276391">
        <w:rPr>
          <w:rFonts w:cs="Arial"/>
          <w:lang w:eastAsia="en-AU"/>
        </w:rPr>
        <w:t xml:space="preserve"> </w:t>
      </w:r>
      <w:r w:rsidRPr="00276391">
        <w:rPr>
          <w:rFonts w:cs="Arial"/>
          <w:lang w:eastAsia="en-AU"/>
        </w:rPr>
        <w:t>equal</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depreciated</w:t>
      </w:r>
      <w:r w:rsidR="005D5532" w:rsidRPr="00276391">
        <w:rPr>
          <w:rFonts w:cs="Arial"/>
          <w:lang w:eastAsia="en-AU"/>
        </w:rPr>
        <w:t xml:space="preserve"> </w:t>
      </w:r>
      <w:r w:rsidRPr="00276391">
        <w:rPr>
          <w:rFonts w:cs="Arial"/>
          <w:lang w:eastAsia="en-AU"/>
        </w:rPr>
        <w:t>value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asset.</w:t>
      </w:r>
      <w:r w:rsidR="005D5532" w:rsidRPr="00276391">
        <w:rPr>
          <w:rFonts w:cs="Arial"/>
          <w:lang w:eastAsia="en-AU"/>
        </w:rPr>
        <w:t xml:space="preserve"> </w:t>
      </w:r>
    </w:p>
    <w:p w14:paraId="11288300"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advise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reduced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amounts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007A5E9F" w:rsidRPr="00B24C02">
        <w:rPr>
          <w:rFonts w:cs="Arial"/>
          <w:color w:val="000000"/>
          <w:szCs w:val="19"/>
          <w:lang w:eastAsia="en-AU"/>
        </w:rPr>
        <w:t>reimbursed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disposal</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time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considering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request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sell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otherwise</w:t>
      </w:r>
      <w:r w:rsidR="005D5532" w:rsidRPr="00B24C02">
        <w:rPr>
          <w:rFonts w:cs="Arial"/>
          <w:color w:val="000000"/>
          <w:szCs w:val="19"/>
          <w:lang w:eastAsia="en-AU"/>
        </w:rPr>
        <w:t xml:space="preserve"> </w:t>
      </w:r>
      <w:r w:rsidRPr="00B24C02">
        <w:rPr>
          <w:rFonts w:cs="Arial"/>
          <w:color w:val="000000"/>
          <w:szCs w:val="19"/>
          <w:lang w:eastAsia="en-AU"/>
        </w:rPr>
        <w:t>dispose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p>
    <w:p w14:paraId="5A364082" w14:textId="77777777" w:rsidR="00236748" w:rsidRPr="00276391" w:rsidRDefault="00236748" w:rsidP="00ED28CF">
      <w:pPr>
        <w:pStyle w:val="Heading3"/>
        <w:rPr>
          <w:lang w:eastAsia="en-AU"/>
        </w:rPr>
      </w:pPr>
      <w:bookmarkStart w:id="339" w:name="_Toc478991806"/>
      <w:bookmarkStart w:id="340" w:name="_Toc478992382"/>
      <w:bookmarkStart w:id="341" w:name="_Toc4142058"/>
      <w:r w:rsidRPr="00276391">
        <w:rPr>
          <w:lang w:eastAsia="en-AU"/>
        </w:rPr>
        <w:t>3.7.4</w:t>
      </w:r>
      <w:r w:rsidR="009B2351" w:rsidRPr="00276391">
        <w:rPr>
          <w:lang w:eastAsia="en-AU"/>
        </w:rPr>
        <w:t xml:space="preserve"> </w:t>
      </w:r>
      <w:r w:rsidRPr="00276391">
        <w:rPr>
          <w:lang w:eastAsia="en-AU"/>
        </w:rPr>
        <w:t>Loss</w:t>
      </w:r>
      <w:r w:rsidR="009B2351" w:rsidRPr="00276391">
        <w:rPr>
          <w:lang w:eastAsia="en-AU"/>
        </w:rPr>
        <w:t xml:space="preserve"> </w:t>
      </w:r>
      <w:r w:rsidRPr="00276391">
        <w:rPr>
          <w:lang w:eastAsia="en-AU"/>
        </w:rPr>
        <w:t>damage</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destruction</w:t>
      </w:r>
      <w:bookmarkEnd w:id="339"/>
      <w:bookmarkEnd w:id="340"/>
      <w:bookmarkEnd w:id="341"/>
    </w:p>
    <w:p w14:paraId="6E55AD31" w14:textId="77777777" w:rsidR="00236748" w:rsidRPr="00276391" w:rsidRDefault="00236748" w:rsidP="00276391">
      <w:pPr>
        <w:pStyle w:val="DHHSbody"/>
        <w:rPr>
          <w:lang w:eastAsia="en-AU"/>
        </w:rPr>
      </w:pP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bear</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expenses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running</w:t>
      </w:r>
      <w:r w:rsidR="005D5532" w:rsidRPr="00276391">
        <w:rPr>
          <w:lang w:eastAsia="en-AU"/>
        </w:rPr>
        <w:t xml:space="preserve"> </w:t>
      </w:r>
      <w:r w:rsidRPr="00276391">
        <w:rPr>
          <w:lang w:eastAsia="en-AU"/>
        </w:rPr>
        <w:t>costs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registration</w:t>
      </w:r>
      <w:r w:rsidR="005D5532" w:rsidRPr="00276391">
        <w:rPr>
          <w:lang w:eastAsia="en-AU"/>
        </w:rPr>
        <w:t xml:space="preserve"> </w:t>
      </w:r>
      <w:r w:rsidRPr="00276391">
        <w:rPr>
          <w:lang w:eastAsia="en-AU"/>
        </w:rPr>
        <w:t>costs.</w:t>
      </w:r>
    </w:p>
    <w:p w14:paraId="67E21534"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loses,</w:t>
      </w:r>
      <w:r w:rsidR="005D5532" w:rsidRPr="00276391">
        <w:rPr>
          <w:lang w:eastAsia="en-AU"/>
        </w:rPr>
        <w:t xml:space="preserve"> </w:t>
      </w:r>
      <w:r w:rsidRPr="00276391">
        <w:rPr>
          <w:lang w:eastAsia="en-AU"/>
        </w:rPr>
        <w:t>damages,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destroys</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(purchased</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grant)</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repair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replace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agree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repaired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replaced,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photocopier</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now</w:t>
      </w:r>
      <w:r w:rsidR="005D5532" w:rsidRPr="00276391">
        <w:rPr>
          <w:lang w:eastAsia="en-AU"/>
        </w:rPr>
        <w:t xml:space="preserve"> </w:t>
      </w:r>
      <w:r w:rsidRPr="00276391">
        <w:rPr>
          <w:lang w:eastAsia="en-AU"/>
        </w:rPr>
        <w:t>outdated.</w:t>
      </w:r>
    </w:p>
    <w:p w14:paraId="67545503" w14:textId="77777777" w:rsidR="00236748" w:rsidRPr="00276391" w:rsidRDefault="00236748" w:rsidP="00ED28CF">
      <w:pPr>
        <w:pStyle w:val="Heading3"/>
        <w:rPr>
          <w:lang w:eastAsia="en-AU"/>
        </w:rPr>
      </w:pPr>
      <w:bookmarkStart w:id="342" w:name="_Toc478991807"/>
      <w:bookmarkStart w:id="343" w:name="_Toc478992383"/>
      <w:bookmarkStart w:id="344" w:name="_Toc4142059"/>
      <w:r w:rsidRPr="00276391">
        <w:rPr>
          <w:lang w:eastAsia="en-AU"/>
        </w:rPr>
        <w:t>3.7.5</w:t>
      </w:r>
      <w:r w:rsidR="009B2351" w:rsidRPr="00276391">
        <w:rPr>
          <w:lang w:eastAsia="en-AU"/>
        </w:rPr>
        <w:t xml:space="preserve"> </w:t>
      </w:r>
      <w:r w:rsidRPr="00276391">
        <w:rPr>
          <w:lang w:eastAsia="en-AU"/>
        </w:rPr>
        <w:t>Transfer</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assets</w:t>
      </w:r>
      <w:bookmarkEnd w:id="342"/>
      <w:bookmarkEnd w:id="343"/>
      <w:bookmarkEnd w:id="344"/>
    </w:p>
    <w:p w14:paraId="294E4E3A"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ceases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purchased</w:t>
      </w:r>
      <w:r w:rsidR="005D5532" w:rsidRPr="00276391">
        <w:rPr>
          <w:lang w:eastAsia="en-AU"/>
        </w:rPr>
        <w:t xml:space="preserve"> </w:t>
      </w:r>
      <w:r w:rsidRPr="00276391">
        <w:rPr>
          <w:lang w:eastAsia="en-AU"/>
        </w:rPr>
        <w:t>entirely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partly</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grant,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p>
    <w:p w14:paraId="3C1BBD65" w14:textId="77777777" w:rsidR="00236748" w:rsidRPr="00276391" w:rsidRDefault="00236748" w:rsidP="00276391">
      <w:pPr>
        <w:pStyle w:val="DHHSbullet1"/>
        <w:rPr>
          <w:rFonts w:cs="Arial"/>
          <w:lang w:eastAsia="en-AU"/>
        </w:rPr>
      </w:pPr>
      <w:r w:rsidRPr="00276391">
        <w:rPr>
          <w:rFonts w:cs="Arial"/>
          <w:lang w:eastAsia="en-AU"/>
        </w:rPr>
        <w:t>transfer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assets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another</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provider</w:t>
      </w:r>
      <w:r w:rsidR="005D5532" w:rsidRPr="00276391">
        <w:rPr>
          <w:rFonts w:cs="Arial"/>
          <w:lang w:eastAsia="en-AU"/>
        </w:rPr>
        <w:t xml:space="preserve"> </w:t>
      </w:r>
    </w:p>
    <w:p w14:paraId="0F3D999F" w14:textId="77777777" w:rsidR="00236748" w:rsidRPr="00276391" w:rsidRDefault="00236748" w:rsidP="00276391">
      <w:pPr>
        <w:pStyle w:val="DHHSbullet1"/>
        <w:rPr>
          <w:rFonts w:cs="Arial"/>
          <w:lang w:eastAsia="en-AU"/>
        </w:rPr>
      </w:pPr>
      <w:r w:rsidRPr="00276391">
        <w:rPr>
          <w:rFonts w:cs="Arial"/>
          <w:lang w:eastAsia="en-AU"/>
        </w:rPr>
        <w:t>transfer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assets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p>
    <w:p w14:paraId="493B18A4" w14:textId="77777777" w:rsidR="00236748" w:rsidRPr="00276391" w:rsidRDefault="00236748" w:rsidP="00276391">
      <w:pPr>
        <w:pStyle w:val="DHHSbullet1"/>
        <w:rPr>
          <w:rFonts w:cs="Arial"/>
          <w:lang w:eastAsia="en-AU"/>
        </w:rPr>
      </w:pPr>
      <w:r w:rsidRPr="00276391">
        <w:rPr>
          <w:rFonts w:cs="Arial"/>
          <w:lang w:eastAsia="en-AU"/>
        </w:rPr>
        <w:t>reimburse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amount</w:t>
      </w:r>
      <w:r w:rsidR="005D5532" w:rsidRPr="00276391">
        <w:rPr>
          <w:rFonts w:cs="Arial"/>
          <w:lang w:eastAsia="en-AU"/>
        </w:rPr>
        <w:t xml:space="preserve"> </w:t>
      </w:r>
      <w:r w:rsidRPr="00276391">
        <w:rPr>
          <w:rFonts w:cs="Arial"/>
          <w:lang w:eastAsia="en-AU"/>
        </w:rPr>
        <w:t>equal</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depreciated</w:t>
      </w:r>
      <w:r w:rsidR="005D5532" w:rsidRPr="00276391">
        <w:rPr>
          <w:rFonts w:cs="Arial"/>
          <w:lang w:eastAsia="en-AU"/>
        </w:rPr>
        <w:t xml:space="preserve"> </w:t>
      </w:r>
      <w:r w:rsidRPr="00276391">
        <w:rPr>
          <w:rFonts w:cs="Arial"/>
          <w:lang w:eastAsia="en-AU"/>
        </w:rPr>
        <w:t>value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asset.</w:t>
      </w:r>
      <w:r w:rsidR="005D5532" w:rsidRPr="00276391">
        <w:rPr>
          <w:rFonts w:cs="Arial"/>
          <w:lang w:eastAsia="en-AU"/>
        </w:rPr>
        <w:t xml:space="preserve"> </w:t>
      </w:r>
    </w:p>
    <w:p w14:paraId="7B2D2809"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transfer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third</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another</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provider,</w:t>
      </w:r>
      <w:r w:rsidR="005D5532" w:rsidRPr="00B24C02">
        <w:rPr>
          <w:rFonts w:cs="Arial"/>
          <w:color w:val="000000"/>
          <w:szCs w:val="19"/>
          <w:lang w:eastAsia="en-AU"/>
        </w:rPr>
        <w:t xml:space="preserve"> </w:t>
      </w:r>
      <w:r w:rsidRPr="00B24C02">
        <w:rPr>
          <w:rFonts w:cs="Arial"/>
          <w:color w:val="000000"/>
          <w:szCs w:val="19"/>
          <w:lang w:eastAsia="en-AU"/>
        </w:rPr>
        <w:t>enables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continue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services.</w:t>
      </w:r>
    </w:p>
    <w:p w14:paraId="0E65E705"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third</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stake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(i.e.</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obtain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third</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considering</w:t>
      </w:r>
      <w:r w:rsidR="005D5532" w:rsidRPr="00276391">
        <w:rPr>
          <w:lang w:eastAsia="en-AU"/>
        </w:rPr>
        <w:t xml:space="preserve"> </w:t>
      </w:r>
      <w:r w:rsidRPr="00276391">
        <w:rPr>
          <w:lang w:eastAsia="en-AU"/>
        </w:rPr>
        <w:t>transferring</w:t>
      </w:r>
      <w:r w:rsidR="005D5532" w:rsidRPr="00276391">
        <w:rPr>
          <w:lang w:eastAsia="en-AU"/>
        </w:rPr>
        <w:t xml:space="preserve"> </w:t>
      </w:r>
      <w:r w:rsidRPr="00276391">
        <w:rPr>
          <w:lang w:eastAsia="en-AU"/>
        </w:rPr>
        <w:t>ownership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selling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reimburse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765C6721" w14:textId="77777777" w:rsidR="00236748" w:rsidRPr="00276391" w:rsidRDefault="00236748" w:rsidP="00276391">
      <w:pPr>
        <w:pStyle w:val="DHHSbody"/>
        <w:rPr>
          <w:lang w:eastAsia="en-AU"/>
        </w:rPr>
      </w:pPr>
      <w:r w:rsidRPr="00276391">
        <w:rPr>
          <w:lang w:eastAsia="en-AU"/>
        </w:rPr>
        <w:t>Assets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fully</w:t>
      </w:r>
      <w:r w:rsidR="005D5532" w:rsidRPr="00276391">
        <w:rPr>
          <w:lang w:eastAsia="en-AU"/>
        </w:rPr>
        <w:t xml:space="preserve"> </w:t>
      </w:r>
      <w:r w:rsidRPr="00276391">
        <w:rPr>
          <w:lang w:eastAsia="en-AU"/>
        </w:rPr>
        <w:t>depreciated</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worth</w:t>
      </w:r>
      <w:r w:rsidR="005D5532" w:rsidRPr="00276391">
        <w:rPr>
          <w:lang w:eastAsia="en-AU"/>
        </w:rPr>
        <w:t xml:space="preserve"> </w:t>
      </w:r>
      <w:r w:rsidRPr="00276391">
        <w:rPr>
          <w:lang w:eastAsia="en-AU"/>
        </w:rPr>
        <w:t>less</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$5000</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purchase,</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viewed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owned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retained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p>
    <w:p w14:paraId="51ED65A8" w14:textId="77777777" w:rsidR="00236748" w:rsidRPr="00276391" w:rsidRDefault="00236748" w:rsidP="00276391">
      <w:pPr>
        <w:pStyle w:val="DHHSbody"/>
        <w:rPr>
          <w:lang w:eastAsia="en-AU"/>
        </w:rPr>
      </w:pPr>
      <w:r w:rsidRPr="00276391">
        <w:rPr>
          <w:lang w:eastAsia="en-AU"/>
        </w:rPr>
        <w:t>When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transferred</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another,</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depreciated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transfer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reported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statement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year.</w:t>
      </w:r>
    </w:p>
    <w:p w14:paraId="1B61C3DD"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receives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down</w:t>
      </w:r>
      <w:r w:rsidR="005D5532" w:rsidRPr="00276391">
        <w:rPr>
          <w:lang w:eastAsia="en-AU"/>
        </w:rPr>
        <w:t xml:space="preserve"> </w:t>
      </w:r>
      <w:r w:rsidRPr="00276391">
        <w:rPr>
          <w:lang w:eastAsia="en-AU"/>
        </w:rPr>
        <w:t>value,</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supplied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transferring</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commence</w:t>
      </w:r>
      <w:r w:rsidR="005D5532" w:rsidRPr="00276391">
        <w:rPr>
          <w:lang w:eastAsia="en-AU"/>
        </w:rPr>
        <w:t xml:space="preserve"> </w:t>
      </w:r>
      <w:r w:rsidRPr="00276391">
        <w:rPr>
          <w:lang w:eastAsia="en-AU"/>
        </w:rPr>
        <w:t>depreciation</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full</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acquisition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statement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year.</w:t>
      </w:r>
    </w:p>
    <w:p w14:paraId="10A3A2FF" w14:textId="77777777" w:rsidR="00236748" w:rsidRPr="00276391" w:rsidRDefault="00236748" w:rsidP="00ED28CF">
      <w:pPr>
        <w:pStyle w:val="Heading3"/>
        <w:rPr>
          <w:lang w:eastAsia="en-AU"/>
        </w:rPr>
      </w:pPr>
      <w:bookmarkStart w:id="345" w:name="_Toc478991808"/>
      <w:bookmarkStart w:id="346" w:name="_Toc478992384"/>
      <w:bookmarkStart w:id="347" w:name="_Toc4142060"/>
      <w:r w:rsidRPr="00276391">
        <w:rPr>
          <w:lang w:eastAsia="en-AU"/>
        </w:rPr>
        <w:t>3.7.6</w:t>
      </w:r>
      <w:r w:rsidR="009B2351" w:rsidRPr="00276391">
        <w:rPr>
          <w:lang w:eastAsia="en-AU"/>
        </w:rPr>
        <w:t xml:space="preserve"> </w:t>
      </w:r>
      <w:r w:rsidRPr="00276391">
        <w:rPr>
          <w:lang w:eastAsia="en-AU"/>
        </w:rPr>
        <w:t>Depreciation</w:t>
      </w:r>
      <w:r w:rsidR="009B2351" w:rsidRPr="00276391">
        <w:rPr>
          <w:lang w:eastAsia="en-AU"/>
        </w:rPr>
        <w:t xml:space="preserve"> </w:t>
      </w:r>
      <w:r w:rsidRPr="00276391">
        <w:rPr>
          <w:lang w:eastAsia="en-AU"/>
        </w:rPr>
        <w:t>in</w:t>
      </w:r>
      <w:r w:rsidR="009B2351" w:rsidRPr="00276391">
        <w:rPr>
          <w:lang w:eastAsia="en-AU"/>
        </w:rPr>
        <w:t xml:space="preserve"> </w:t>
      </w:r>
      <w:r w:rsidRPr="00276391">
        <w:rPr>
          <w:lang w:eastAsia="en-AU"/>
        </w:rPr>
        <w:t>accordance</w:t>
      </w:r>
      <w:r w:rsidR="009B2351" w:rsidRPr="00276391">
        <w:rPr>
          <w:lang w:eastAsia="en-AU"/>
        </w:rPr>
        <w:t xml:space="preserve"> </w:t>
      </w:r>
      <w:r w:rsidRPr="00276391">
        <w:rPr>
          <w:lang w:eastAsia="en-AU"/>
        </w:rPr>
        <w:t>with</w:t>
      </w:r>
      <w:r w:rsidR="009B2351" w:rsidRPr="00276391">
        <w:rPr>
          <w:lang w:eastAsia="en-AU"/>
        </w:rPr>
        <w:t xml:space="preserve"> </w:t>
      </w:r>
      <w:r w:rsidRPr="00276391">
        <w:rPr>
          <w:lang w:eastAsia="en-AU"/>
        </w:rPr>
        <w:t>Australian</w:t>
      </w:r>
      <w:r w:rsidR="009B2351" w:rsidRPr="00276391">
        <w:rPr>
          <w:lang w:eastAsia="en-AU"/>
        </w:rPr>
        <w:t xml:space="preserve"> </w:t>
      </w:r>
      <w:r w:rsidRPr="00276391">
        <w:rPr>
          <w:lang w:eastAsia="en-AU"/>
        </w:rPr>
        <w:t>Accounting</w:t>
      </w:r>
      <w:r w:rsidR="009B2351" w:rsidRPr="00276391">
        <w:rPr>
          <w:lang w:eastAsia="en-AU"/>
        </w:rPr>
        <w:t xml:space="preserve"> </w:t>
      </w:r>
      <w:r w:rsidRPr="00276391">
        <w:rPr>
          <w:lang w:eastAsia="en-AU"/>
        </w:rPr>
        <w:t>Stan</w:t>
      </w:r>
      <w:r w:rsidRPr="00ED28CF">
        <w:t>d</w:t>
      </w:r>
      <w:r w:rsidRPr="00276391">
        <w:rPr>
          <w:lang w:eastAsia="en-AU"/>
        </w:rPr>
        <w:t>ard</w:t>
      </w:r>
      <w:bookmarkEnd w:id="345"/>
      <w:bookmarkEnd w:id="346"/>
      <w:bookmarkEnd w:id="347"/>
    </w:p>
    <w:p w14:paraId="70B0BC78"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straight-line</w:t>
      </w:r>
      <w:r w:rsidR="005D5532" w:rsidRPr="00276391">
        <w:rPr>
          <w:lang w:eastAsia="en-AU"/>
        </w:rPr>
        <w:t xml:space="preserve"> </w:t>
      </w:r>
      <w:r w:rsidRPr="00276391">
        <w:rPr>
          <w:lang w:eastAsia="en-AU"/>
        </w:rPr>
        <w:t>method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calculating</w:t>
      </w:r>
      <w:r w:rsidR="005D5532" w:rsidRPr="00276391">
        <w:rPr>
          <w:lang w:eastAsia="en-AU"/>
        </w:rPr>
        <w:t xml:space="preserve"> </w:t>
      </w:r>
      <w:r w:rsidRPr="00276391">
        <w:rPr>
          <w:lang w:eastAsia="en-AU"/>
        </w:rPr>
        <w:t>depreciation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preferred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(see</w:t>
      </w:r>
      <w:r w:rsidR="001D5AB1">
        <w:rPr>
          <w:lang w:eastAsia="en-AU"/>
        </w:rPr>
        <w:t xml:space="preserve"> Attachment 1</w:t>
      </w:r>
      <w:r w:rsidR="005D5532" w:rsidRPr="00276391">
        <w:rPr>
          <w:lang w:eastAsia="en-AU"/>
        </w:rPr>
        <w:t xml:space="preserve"> </w:t>
      </w:r>
      <w:hyperlink w:anchor="_Sample_depreciation_of" w:tgtFrame="_blank" w:tooltip="Sample depreciation of non-current physical assets" w:history="1">
        <w:r w:rsidRPr="00C94233">
          <w:rPr>
            <w:rStyle w:val="Hyperlink"/>
          </w:rPr>
          <w:t>Sample</w:t>
        </w:r>
        <w:r w:rsidR="005D5532" w:rsidRPr="00C94233">
          <w:rPr>
            <w:rStyle w:val="Hyperlink"/>
          </w:rPr>
          <w:t xml:space="preserve"> </w:t>
        </w:r>
        <w:r w:rsidRPr="00C94233">
          <w:rPr>
            <w:rStyle w:val="Hyperlink"/>
          </w:rPr>
          <w:t>depreciation</w:t>
        </w:r>
        <w:r w:rsidR="005D5532" w:rsidRPr="00C94233">
          <w:rPr>
            <w:rStyle w:val="Hyperlink"/>
          </w:rPr>
          <w:t xml:space="preserve"> </w:t>
        </w:r>
        <w:r w:rsidRPr="00C94233">
          <w:rPr>
            <w:rStyle w:val="Hyperlink"/>
          </w:rPr>
          <w:t>of</w:t>
        </w:r>
        <w:r w:rsidR="005D5532" w:rsidRPr="00C94233">
          <w:rPr>
            <w:rStyle w:val="Hyperlink"/>
          </w:rPr>
          <w:t xml:space="preserve"> </w:t>
        </w:r>
        <w:r w:rsidRPr="00C94233">
          <w:rPr>
            <w:rStyle w:val="Hyperlink"/>
          </w:rPr>
          <w:t>non-current</w:t>
        </w:r>
        <w:r w:rsidR="005D5532" w:rsidRPr="00C94233">
          <w:rPr>
            <w:rStyle w:val="Hyperlink"/>
          </w:rPr>
          <w:t xml:space="preserve"> </w:t>
        </w:r>
        <w:r w:rsidRPr="00C94233">
          <w:rPr>
            <w:rStyle w:val="Hyperlink"/>
          </w:rPr>
          <w:t>physical</w:t>
        </w:r>
        <w:r w:rsidR="005D5532" w:rsidRPr="00C94233">
          <w:rPr>
            <w:rStyle w:val="Hyperlink"/>
          </w:rPr>
          <w:t xml:space="preserve"> </w:t>
        </w:r>
        <w:r w:rsidRPr="00C94233">
          <w:rPr>
            <w:rStyle w:val="Hyperlink"/>
          </w:rPr>
          <w:t>asset</w:t>
        </w:r>
      </w:hyperlink>
      <w:r w:rsidRPr="00276391">
        <w:rPr>
          <w:lang w:eastAsia="en-AU"/>
        </w:rPr>
        <w:t>).</w:t>
      </w:r>
    </w:p>
    <w:p w14:paraId="473B2B66" w14:textId="77777777" w:rsidR="00236748" w:rsidRPr="00276391" w:rsidRDefault="00236748" w:rsidP="00276391">
      <w:pPr>
        <w:pStyle w:val="DHHSbody"/>
        <w:rPr>
          <w:lang w:eastAsia="en-AU"/>
        </w:rPr>
      </w:pPr>
      <w:r w:rsidRPr="00276391">
        <w:rPr>
          <w:lang w:eastAsia="en-AU"/>
        </w:rPr>
        <w:t>Depreciation</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commence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acquisition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installation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(disregarding</w:t>
      </w:r>
      <w:r w:rsidR="005D5532" w:rsidRPr="00276391">
        <w:rPr>
          <w:lang w:eastAsia="en-AU"/>
        </w:rPr>
        <w:t xml:space="preserve"> </w:t>
      </w:r>
      <w:r w:rsidRPr="00276391">
        <w:rPr>
          <w:lang w:eastAsia="en-AU"/>
        </w:rPr>
        <w:t>fractions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disposal</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cause</w:t>
      </w:r>
      <w:r w:rsidR="005D5532" w:rsidRPr="00276391">
        <w:rPr>
          <w:lang w:eastAsia="en-AU"/>
        </w:rPr>
        <w:t xml:space="preserve"> </w:t>
      </w:r>
      <w:r w:rsidRPr="00276391">
        <w:rPr>
          <w:lang w:eastAsia="en-AU"/>
        </w:rPr>
        <w:t>depreciation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cease</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end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disposed</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(disregarding</w:t>
      </w:r>
      <w:r w:rsidR="005D5532" w:rsidRPr="00276391">
        <w:rPr>
          <w:lang w:eastAsia="en-AU"/>
        </w:rPr>
        <w:t xml:space="preserve"> </w:t>
      </w:r>
      <w:r w:rsidRPr="00276391">
        <w:rPr>
          <w:lang w:eastAsia="en-AU"/>
        </w:rPr>
        <w:t>fractions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month).</w:t>
      </w:r>
    </w:p>
    <w:p w14:paraId="43FCBFCC"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decides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depreciation</w:t>
      </w:r>
      <w:r w:rsidR="005D5532" w:rsidRPr="00276391">
        <w:rPr>
          <w:lang w:eastAsia="en-AU"/>
        </w:rPr>
        <w:t xml:space="preserve"> </w:t>
      </w:r>
      <w:r w:rsidRPr="00276391">
        <w:rPr>
          <w:lang w:eastAsia="en-AU"/>
        </w:rPr>
        <w:t>rates</w:t>
      </w:r>
      <w:r w:rsidR="005D5532" w:rsidRPr="00276391">
        <w:rPr>
          <w:lang w:eastAsia="en-AU"/>
        </w:rPr>
        <w:t xml:space="preserve"> </w:t>
      </w:r>
      <w:r w:rsidRPr="00276391">
        <w:rPr>
          <w:lang w:eastAsia="en-AU"/>
        </w:rPr>
        <w:t>in</w:t>
      </w:r>
      <w:r w:rsidR="005D5532" w:rsidRPr="00276391">
        <w:rPr>
          <w:lang w:eastAsia="en-AU"/>
        </w:rPr>
        <w:t xml:space="preserve"> </w:t>
      </w:r>
      <w:r w:rsidR="001D5AB1">
        <w:rPr>
          <w:lang w:eastAsia="en-AU"/>
        </w:rPr>
        <w:t>Attachment 1</w:t>
      </w:r>
      <w:r w:rsidR="005D5532" w:rsidRPr="00276391">
        <w:rPr>
          <w:lang w:eastAsia="en-AU"/>
        </w:rPr>
        <w:t xml:space="preserve"> </w:t>
      </w:r>
      <w:hyperlink w:anchor="_Recommended_annual_depreciation" w:tgtFrame="_blank" w:tooltip="Recommended depreciation rates" w:history="1">
        <w:r w:rsidRPr="00C94233">
          <w:rPr>
            <w:rStyle w:val="Hyperlink"/>
          </w:rPr>
          <w:t>'Recommended</w:t>
        </w:r>
        <w:r w:rsidR="005D5532" w:rsidRPr="00C94233">
          <w:rPr>
            <w:rStyle w:val="Hyperlink"/>
          </w:rPr>
          <w:t xml:space="preserve"> </w:t>
        </w:r>
        <w:r w:rsidRPr="00C94233">
          <w:rPr>
            <w:rStyle w:val="Hyperlink"/>
          </w:rPr>
          <w:t>annual</w:t>
        </w:r>
        <w:r w:rsidR="005D5532" w:rsidRPr="00C94233">
          <w:rPr>
            <w:rStyle w:val="Hyperlink"/>
          </w:rPr>
          <w:t xml:space="preserve"> </w:t>
        </w:r>
        <w:r w:rsidRPr="00C94233">
          <w:rPr>
            <w:rStyle w:val="Hyperlink"/>
          </w:rPr>
          <w:t>depreciation</w:t>
        </w:r>
        <w:r w:rsidR="005D5532" w:rsidRPr="00C94233">
          <w:rPr>
            <w:rStyle w:val="Hyperlink"/>
          </w:rPr>
          <w:t xml:space="preserve"> </w:t>
        </w:r>
        <w:r w:rsidRPr="00C94233">
          <w:rPr>
            <w:rStyle w:val="Hyperlink"/>
          </w:rPr>
          <w:t>rates'</w:t>
        </w:r>
      </w:hyperlink>
      <w:r w:rsidRPr="00276391">
        <w:rPr>
          <w:lang w:eastAsia="en-AU"/>
        </w:rPr>
        <w:t>,</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engage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suitably</w:t>
      </w:r>
      <w:r w:rsidR="005D5532" w:rsidRPr="00276391">
        <w:rPr>
          <w:lang w:eastAsia="en-AU"/>
        </w:rPr>
        <w:t xml:space="preserve"> </w:t>
      </w:r>
      <w:r w:rsidRPr="00276391">
        <w:rPr>
          <w:lang w:eastAsia="en-AU"/>
        </w:rPr>
        <w:t>qualified</w:t>
      </w:r>
      <w:r w:rsidR="005D5532" w:rsidRPr="00276391">
        <w:rPr>
          <w:lang w:eastAsia="en-AU"/>
        </w:rPr>
        <w:t xml:space="preserve"> </w:t>
      </w:r>
      <w:r w:rsidRPr="00276391">
        <w:rPr>
          <w:lang w:eastAsia="en-AU"/>
        </w:rPr>
        <w:t>person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rate</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method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calculating</w:t>
      </w:r>
      <w:r w:rsidR="005D5532" w:rsidRPr="00276391">
        <w:rPr>
          <w:lang w:eastAsia="en-AU"/>
        </w:rPr>
        <w:t xml:space="preserve"> </w:t>
      </w:r>
      <w:r w:rsidRPr="00276391">
        <w:rPr>
          <w:lang w:eastAsia="en-AU"/>
        </w:rPr>
        <w:t>depreciation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type</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determined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lastRenderedPageBreak/>
        <w:t>Commonwealth</w:t>
      </w:r>
      <w:r w:rsidR="005D5532" w:rsidRPr="00276391">
        <w:rPr>
          <w:lang w:eastAsia="en-AU"/>
        </w:rPr>
        <w:t xml:space="preserve"> </w:t>
      </w:r>
      <w:r w:rsidRPr="00276391">
        <w:rPr>
          <w:lang w:eastAsia="en-AU"/>
        </w:rPr>
        <w:t>Commissioner</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Taxation</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estimated</w:t>
      </w:r>
      <w:r w:rsidR="005D5532" w:rsidRPr="00276391">
        <w:rPr>
          <w:lang w:eastAsia="en-AU"/>
        </w:rPr>
        <w:t xml:space="preserve"> </w:t>
      </w:r>
      <w:r w:rsidRPr="00276391">
        <w:rPr>
          <w:lang w:eastAsia="en-AU"/>
        </w:rPr>
        <w:t>useful</w:t>
      </w:r>
      <w:r w:rsidR="005D5532" w:rsidRPr="00276391">
        <w:rPr>
          <w:lang w:eastAsia="en-AU"/>
        </w:rPr>
        <w:t xml:space="preserve"> </w:t>
      </w:r>
      <w:r w:rsidRPr="00276391">
        <w:rPr>
          <w:lang w:eastAsia="en-AU"/>
        </w:rPr>
        <w:t>life</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acquisition.</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approach</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necessary</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dealing</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specialist</w:t>
      </w:r>
      <w:r w:rsidR="005D5532" w:rsidRPr="00276391">
        <w:rPr>
          <w:lang w:eastAsia="en-AU"/>
        </w:rPr>
        <w:t xml:space="preserve"> </w:t>
      </w:r>
      <w:r w:rsidRPr="00276391">
        <w:rPr>
          <w:lang w:eastAsia="en-AU"/>
        </w:rPr>
        <w:t>equipment.</w:t>
      </w:r>
    </w:p>
    <w:p w14:paraId="5256C37C" w14:textId="6C96CBD4" w:rsidR="00236748" w:rsidRPr="00276391" w:rsidRDefault="00236748" w:rsidP="00ED28CF">
      <w:pPr>
        <w:pStyle w:val="Heading3"/>
        <w:rPr>
          <w:lang w:eastAsia="en-AU"/>
        </w:rPr>
      </w:pPr>
      <w:bookmarkStart w:id="348" w:name="_Toc478991809"/>
      <w:bookmarkStart w:id="349" w:name="_Toc478992385"/>
      <w:bookmarkStart w:id="350" w:name="_Toc4142061"/>
      <w:r w:rsidRPr="00276391">
        <w:rPr>
          <w:lang w:eastAsia="en-AU"/>
        </w:rPr>
        <w:t>3.7.7</w:t>
      </w:r>
      <w:r w:rsidR="009B2351" w:rsidRPr="00276391">
        <w:rPr>
          <w:lang w:eastAsia="en-AU"/>
        </w:rPr>
        <w:t xml:space="preserve"> </w:t>
      </w:r>
      <w:r w:rsidRPr="00276391">
        <w:rPr>
          <w:lang w:eastAsia="en-AU"/>
        </w:rPr>
        <w:t>Assets</w:t>
      </w:r>
      <w:r w:rsidR="009B2351" w:rsidRPr="00276391">
        <w:rPr>
          <w:lang w:eastAsia="en-AU"/>
        </w:rPr>
        <w:t xml:space="preserve"> </w:t>
      </w:r>
      <w:r w:rsidRPr="00276391">
        <w:rPr>
          <w:lang w:eastAsia="en-AU"/>
        </w:rPr>
        <w:t>funded</w:t>
      </w:r>
      <w:r w:rsidR="009B2351" w:rsidRPr="00276391">
        <w:rPr>
          <w:lang w:eastAsia="en-AU"/>
        </w:rPr>
        <w:t xml:space="preserve"> </w:t>
      </w:r>
      <w:r w:rsidRPr="00276391">
        <w:rPr>
          <w:lang w:eastAsia="en-AU"/>
        </w:rPr>
        <w:t>under</w:t>
      </w:r>
      <w:r w:rsidR="009B2351" w:rsidRPr="00276391">
        <w:rPr>
          <w:lang w:eastAsia="en-AU"/>
        </w:rPr>
        <w:t xml:space="preserve"> </w:t>
      </w:r>
      <w:r w:rsidRPr="00276391">
        <w:rPr>
          <w:lang w:eastAsia="en-AU"/>
        </w:rPr>
        <w:t>previous</w:t>
      </w:r>
      <w:r w:rsidR="009B2351" w:rsidRPr="00276391">
        <w:rPr>
          <w:lang w:eastAsia="en-AU"/>
        </w:rPr>
        <w:t xml:space="preserve"> </w:t>
      </w:r>
      <w:r w:rsidR="009B3052">
        <w:rPr>
          <w:lang w:eastAsia="en-AU"/>
        </w:rPr>
        <w:t>Service agreement</w:t>
      </w:r>
      <w:r w:rsidRPr="00276391">
        <w:rPr>
          <w:lang w:eastAsia="en-AU"/>
        </w:rPr>
        <w:t>s</w:t>
      </w:r>
      <w:bookmarkEnd w:id="348"/>
      <w:bookmarkEnd w:id="349"/>
      <w:bookmarkEnd w:id="350"/>
    </w:p>
    <w:p w14:paraId="659645BC" w14:textId="56B5419B" w:rsidR="00236748" w:rsidRPr="00276391" w:rsidRDefault="00236748" w:rsidP="00276391">
      <w:pPr>
        <w:pStyle w:val="DHHSbody"/>
        <w:rPr>
          <w:lang w:eastAsia="en-AU"/>
        </w:rPr>
      </w:pP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relating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been</w:t>
      </w:r>
      <w:r w:rsidR="005D5532" w:rsidRPr="00B24C02">
        <w:rPr>
          <w:rFonts w:cs="Arial"/>
          <w:color w:val="000000"/>
          <w:szCs w:val="19"/>
          <w:lang w:eastAsia="en-AU"/>
        </w:rPr>
        <w:t xml:space="preserve"> </w:t>
      </w:r>
      <w:r w:rsidRPr="00B24C02">
        <w:rPr>
          <w:rFonts w:cs="Arial"/>
          <w:color w:val="000000"/>
          <w:szCs w:val="19"/>
          <w:lang w:eastAsia="en-AU"/>
        </w:rPr>
        <w:t>updated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reflect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recent</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clauses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took</w:t>
      </w:r>
      <w:r w:rsidR="005D5532" w:rsidRPr="00B24C02">
        <w:rPr>
          <w:rFonts w:cs="Arial"/>
          <w:color w:val="000000"/>
          <w:szCs w:val="19"/>
          <w:lang w:eastAsia="en-AU"/>
        </w:rPr>
        <w:t xml:space="preserve"> </w:t>
      </w:r>
      <w:r w:rsidRPr="00B24C02">
        <w:rPr>
          <w:rFonts w:cs="Arial"/>
          <w:color w:val="000000"/>
          <w:szCs w:val="19"/>
          <w:lang w:eastAsia="en-AU"/>
        </w:rPr>
        <w:t>effect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11</w:t>
      </w:r>
      <w:r w:rsidR="005D5532" w:rsidRPr="00B24C02">
        <w:rPr>
          <w:rFonts w:cs="Arial"/>
          <w:color w:val="000000"/>
          <w:szCs w:val="19"/>
          <w:lang w:eastAsia="en-AU"/>
        </w:rPr>
        <w:t xml:space="preserve"> </w:t>
      </w:r>
      <w:r w:rsidRPr="00B24C02">
        <w:rPr>
          <w:rFonts w:cs="Arial"/>
          <w:color w:val="000000"/>
          <w:szCs w:val="19"/>
          <w:lang w:eastAsia="en-AU"/>
        </w:rPr>
        <w:t>December</w:t>
      </w:r>
      <w:r w:rsidR="005D5532" w:rsidRPr="00B24C02">
        <w:rPr>
          <w:rFonts w:cs="Arial"/>
          <w:color w:val="000000"/>
          <w:szCs w:val="19"/>
          <w:lang w:eastAsia="en-AU"/>
        </w:rPr>
        <w:t xml:space="preserve"> </w:t>
      </w:r>
      <w:r w:rsidRPr="00B24C02">
        <w:rPr>
          <w:rFonts w:cs="Arial"/>
          <w:color w:val="000000"/>
          <w:szCs w:val="19"/>
          <w:lang w:eastAsia="en-AU"/>
        </w:rPr>
        <w:t>2015.</w:t>
      </w:r>
    </w:p>
    <w:p w14:paraId="50FE2765" w14:textId="37A382C5"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current</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applied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current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previous</w:t>
      </w:r>
      <w:r w:rsidR="005D5532" w:rsidRPr="00276391">
        <w:rPr>
          <w:lang w:eastAsia="en-AU"/>
        </w:rPr>
        <w:t xml:space="preserve"> </w:t>
      </w:r>
      <w:r w:rsidR="009B3052">
        <w:rPr>
          <w:lang w:eastAsia="en-AU"/>
        </w:rPr>
        <w:t>Service agreement</w:t>
      </w:r>
      <w:r w:rsidRPr="00276391">
        <w:rPr>
          <w:lang w:eastAsia="en-AU"/>
        </w:rPr>
        <w:t>s.</w:t>
      </w:r>
    </w:p>
    <w:p w14:paraId="413A2F53" w14:textId="25ABADD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term</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Capital</w:t>
      </w:r>
      <w:r w:rsidR="005D5532" w:rsidRPr="00276391">
        <w:rPr>
          <w:lang w:eastAsia="en-AU"/>
        </w:rPr>
        <w:t xml:space="preserve"> </w:t>
      </w:r>
      <w:r w:rsidRPr="00276391">
        <w:rPr>
          <w:lang w:eastAsia="en-AU"/>
        </w:rPr>
        <w:t>Agreements.</w:t>
      </w:r>
    </w:p>
    <w:p w14:paraId="703650A0" w14:textId="77777777" w:rsidR="00236748" w:rsidRDefault="00ED28CF" w:rsidP="00ED28CF">
      <w:pPr>
        <w:pStyle w:val="Heading2"/>
        <w:rPr>
          <w:lang w:eastAsia="en-AU"/>
        </w:rPr>
      </w:pPr>
      <w:bookmarkStart w:id="351" w:name="_Toc478991810"/>
      <w:bookmarkStart w:id="352" w:name="_Toc478992386"/>
      <w:bookmarkStart w:id="353" w:name="_Toc478992894"/>
      <w:bookmarkStart w:id="354" w:name="_Toc4142062"/>
      <w:r>
        <w:rPr>
          <w:lang w:eastAsia="en-AU"/>
        </w:rPr>
        <w:t>3.8</w:t>
      </w:r>
      <w:r w:rsidR="009B2351" w:rsidRPr="00276391">
        <w:rPr>
          <w:lang w:eastAsia="en-AU"/>
        </w:rPr>
        <w:t xml:space="preserve"> </w:t>
      </w:r>
      <w:r w:rsidR="00236748" w:rsidRPr="00276391">
        <w:rPr>
          <w:lang w:eastAsia="en-AU"/>
        </w:rPr>
        <w:t>Reporting</w:t>
      </w:r>
      <w:bookmarkEnd w:id="351"/>
      <w:bookmarkEnd w:id="352"/>
      <w:bookmarkEnd w:id="353"/>
      <w:bookmarkEnd w:id="354"/>
    </w:p>
    <w:p w14:paraId="6EC00348" w14:textId="77777777" w:rsidR="00067E93" w:rsidRPr="00276391" w:rsidRDefault="00067E93" w:rsidP="00067E93">
      <w:pPr>
        <w:pStyle w:val="DHHSbody"/>
        <w:rPr>
          <w:lang w:eastAsia="en-AU"/>
        </w:rPr>
      </w:pPr>
      <w:r w:rsidRPr="00276391">
        <w:rPr>
          <w:lang w:eastAsia="en-AU"/>
        </w:rPr>
        <w:t>The organisation will provide the department with information and reports on the services delivered.</w:t>
      </w:r>
    </w:p>
    <w:p w14:paraId="574AD66B" w14:textId="77777777" w:rsidR="00067E93" w:rsidRPr="00276391" w:rsidRDefault="00067E93" w:rsidP="00067E93">
      <w:pPr>
        <w:pStyle w:val="DHHSbody"/>
        <w:rPr>
          <w:lang w:eastAsia="en-AU"/>
        </w:rPr>
      </w:pPr>
      <w:r w:rsidRPr="00276391">
        <w:rPr>
          <w:lang w:eastAsia="en-AU"/>
        </w:rPr>
        <w:t>This section provides information on reporting and accountability, including financial reporting to the department.</w:t>
      </w:r>
    </w:p>
    <w:p w14:paraId="6D10AB0C" w14:textId="77777777" w:rsidR="00067E93" w:rsidRPr="00276391" w:rsidRDefault="00067E93" w:rsidP="00067E93">
      <w:pPr>
        <w:pStyle w:val="Heading3"/>
        <w:rPr>
          <w:lang w:eastAsia="en-AU"/>
        </w:rPr>
      </w:pPr>
      <w:bookmarkStart w:id="355" w:name="_3.8.1_Reporting_and"/>
      <w:bookmarkStart w:id="356" w:name="_Toc478991811"/>
      <w:bookmarkStart w:id="357" w:name="_Toc478992387"/>
      <w:bookmarkStart w:id="358" w:name="_Toc4142063"/>
      <w:bookmarkEnd w:id="355"/>
      <w:r>
        <w:rPr>
          <w:lang w:eastAsia="en-AU"/>
        </w:rPr>
        <w:t>3.8.1</w:t>
      </w:r>
      <w:r w:rsidRPr="00276391">
        <w:rPr>
          <w:lang w:eastAsia="en-AU"/>
        </w:rPr>
        <w:t xml:space="preserve"> Reporting and accountability</w:t>
      </w:r>
      <w:bookmarkEnd w:id="356"/>
      <w:bookmarkEnd w:id="357"/>
      <w:bookmarkEnd w:id="358"/>
    </w:p>
    <w:p w14:paraId="337EE5F1" w14:textId="0EAE8DB4"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accountable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specified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26482EB0" w14:textId="76534FA7" w:rsidR="00236748" w:rsidRPr="00276391" w:rsidRDefault="009B3052" w:rsidP="00067E93">
      <w:pPr>
        <w:pStyle w:val="Heading4"/>
        <w:rPr>
          <w:lang w:eastAsia="en-AU"/>
        </w:rPr>
      </w:pPr>
      <w:bookmarkStart w:id="359" w:name="_Toc478991812"/>
      <w:r>
        <w:rPr>
          <w:lang w:eastAsia="en-AU"/>
        </w:rPr>
        <w:t>Service agreement</w:t>
      </w:r>
      <w:r w:rsidR="005D5532" w:rsidRPr="00276391">
        <w:rPr>
          <w:lang w:eastAsia="en-AU"/>
        </w:rPr>
        <w:t xml:space="preserve"> </w:t>
      </w:r>
      <w:r w:rsidR="00236748" w:rsidRPr="00276391">
        <w:rPr>
          <w:lang w:eastAsia="en-AU"/>
        </w:rPr>
        <w:t>Compliance</w:t>
      </w:r>
      <w:r w:rsidR="005D5532" w:rsidRPr="00276391">
        <w:rPr>
          <w:lang w:eastAsia="en-AU"/>
        </w:rPr>
        <w:t xml:space="preserve"> </w:t>
      </w:r>
      <w:r w:rsidR="00236748" w:rsidRPr="00276391">
        <w:rPr>
          <w:lang w:eastAsia="en-AU"/>
        </w:rPr>
        <w:t>Certification</w:t>
      </w:r>
      <w:r w:rsidR="005D5532" w:rsidRPr="00276391">
        <w:rPr>
          <w:lang w:eastAsia="en-AU"/>
        </w:rPr>
        <w:t xml:space="preserve"> </w:t>
      </w:r>
      <w:r w:rsidR="00236748" w:rsidRPr="00276391">
        <w:rPr>
          <w:lang w:eastAsia="en-AU"/>
        </w:rPr>
        <w:t>(SACC)</w:t>
      </w:r>
      <w:bookmarkEnd w:id="359"/>
    </w:p>
    <w:p w14:paraId="3A33CB23" w14:textId="44A67F5A" w:rsidR="00236748" w:rsidRPr="00276391" w:rsidRDefault="00236748" w:rsidP="00276391">
      <w:pPr>
        <w:pStyle w:val="DHHSbody"/>
        <w:rPr>
          <w:lang w:eastAsia="en-AU"/>
        </w:rPr>
      </w:pPr>
      <w:r w:rsidRPr="00B24C02">
        <w:rPr>
          <w:rFonts w:cs="Arial"/>
          <w:color w:val="000000"/>
          <w:szCs w:val="19"/>
          <w:lang w:eastAsia="en-AU"/>
        </w:rPr>
        <w:t>Most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submit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annual</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1419DF">
        <w:rPr>
          <w:rFonts w:cs="Arial"/>
          <w:color w:val="000000"/>
          <w:szCs w:val="19"/>
          <w:lang w:eastAsia="en-AU"/>
        </w:rPr>
        <w:t>c</w:t>
      </w:r>
      <w:r w:rsidRPr="00B24C02">
        <w:rPr>
          <w:rFonts w:cs="Arial"/>
          <w:color w:val="000000"/>
          <w:szCs w:val="19"/>
          <w:lang w:eastAsia="en-AU"/>
        </w:rPr>
        <w:t>ompliance</w:t>
      </w:r>
      <w:r w:rsidR="005D5532" w:rsidRPr="00B24C02">
        <w:rPr>
          <w:rFonts w:cs="Arial"/>
          <w:color w:val="000000"/>
          <w:szCs w:val="19"/>
          <w:lang w:eastAsia="en-AU"/>
        </w:rPr>
        <w:t xml:space="preserve"> </w:t>
      </w:r>
      <w:r w:rsidR="001419DF">
        <w:rPr>
          <w:rFonts w:cs="Arial"/>
          <w:color w:val="000000"/>
          <w:szCs w:val="19"/>
          <w:lang w:eastAsia="en-AU"/>
        </w:rPr>
        <w:t>c</w:t>
      </w:r>
      <w:r w:rsidRPr="00B24C02">
        <w:rPr>
          <w:rFonts w:cs="Arial"/>
          <w:color w:val="000000"/>
          <w:szCs w:val="19"/>
          <w:lang w:eastAsia="en-AU"/>
        </w:rPr>
        <w:t>ertification</w:t>
      </w:r>
      <w:r w:rsidR="005D5532" w:rsidRPr="00B24C02">
        <w:rPr>
          <w:rFonts w:cs="Arial"/>
          <w:color w:val="000000"/>
          <w:szCs w:val="19"/>
          <w:lang w:eastAsia="en-AU"/>
        </w:rPr>
        <w:t xml:space="preserve"> </w:t>
      </w:r>
      <w:r w:rsidRPr="00B24C02">
        <w:rPr>
          <w:rFonts w:cs="Arial"/>
          <w:color w:val="000000"/>
          <w:szCs w:val="19"/>
          <w:lang w:eastAsia="en-AU"/>
        </w:rPr>
        <w:t>(SACC).</w:t>
      </w:r>
      <w:r w:rsidR="005D5532" w:rsidRPr="00B24C02">
        <w:rPr>
          <w:rFonts w:cs="Arial"/>
          <w:color w:val="000000"/>
          <w:szCs w:val="19"/>
          <w:lang w:eastAsia="en-AU"/>
        </w:rPr>
        <w:t xml:space="preserve"> </w:t>
      </w:r>
    </w:p>
    <w:p w14:paraId="7004D634"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questions</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p>
    <w:p w14:paraId="049A7697" w14:textId="44FAA75E" w:rsidR="00236748" w:rsidRPr="00276391" w:rsidRDefault="00236748" w:rsidP="00276391">
      <w:pPr>
        <w:pStyle w:val="DHHSbullet1"/>
        <w:rPr>
          <w:rFonts w:cs="Arial"/>
          <w:lang w:eastAsia="en-AU"/>
        </w:rPr>
      </w:pPr>
      <w:r w:rsidRPr="00276391">
        <w:rPr>
          <w:rFonts w:cs="Arial"/>
          <w:lang w:eastAsia="en-AU"/>
        </w:rPr>
        <w:t>Financial</w:t>
      </w:r>
      <w:r w:rsidR="005D5532" w:rsidRPr="00276391">
        <w:rPr>
          <w:rFonts w:cs="Arial"/>
          <w:lang w:eastAsia="en-AU"/>
        </w:rPr>
        <w:t xml:space="preserve"> </w:t>
      </w:r>
      <w:r w:rsidRPr="00276391">
        <w:rPr>
          <w:rFonts w:cs="Arial"/>
          <w:lang w:eastAsia="en-AU"/>
        </w:rPr>
        <w:t>Management</w:t>
      </w:r>
      <w:r w:rsidR="00D05F49">
        <w:rPr>
          <w:rFonts w:cs="Arial"/>
          <w:lang w:eastAsia="en-AU"/>
        </w:rPr>
        <w: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used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outlined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proofErr w:type="gramStart"/>
      <w:r w:rsidRPr="00276391">
        <w:rPr>
          <w:rFonts w:cs="Arial"/>
          <w:lang w:eastAsia="en-AU"/>
        </w:rPr>
        <w:t>financial</w:t>
      </w:r>
      <w:proofErr w:type="gramEnd"/>
      <w:r w:rsidR="005D5532" w:rsidRPr="00276391">
        <w:rPr>
          <w:rFonts w:cs="Arial"/>
          <w:lang w:eastAsia="en-AU"/>
        </w:rPr>
        <w:t xml:space="preserve"> </w:t>
      </w:r>
      <w:r w:rsidRPr="00276391">
        <w:rPr>
          <w:rFonts w:cs="Arial"/>
          <w:lang w:eastAsia="en-AU"/>
        </w:rPr>
        <w:t>viable,</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prepared</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reports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audit</w:t>
      </w:r>
      <w:r w:rsidR="005D5532" w:rsidRPr="00276391">
        <w:rPr>
          <w:rFonts w:cs="Arial"/>
          <w:lang w:eastAsia="en-AU"/>
        </w:rPr>
        <w:t xml:space="preserve"> </w:t>
      </w:r>
      <w:r w:rsidRPr="00276391">
        <w:rPr>
          <w:rFonts w:cs="Arial"/>
          <w:lang w:eastAsia="en-AU"/>
        </w:rPr>
        <w:t>reports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maintains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asset</w:t>
      </w:r>
      <w:r w:rsidR="005D5532" w:rsidRPr="00276391">
        <w:rPr>
          <w:rFonts w:cs="Arial"/>
          <w:lang w:eastAsia="en-AU"/>
        </w:rPr>
        <w:t xml:space="preserve"> </w:t>
      </w:r>
      <w:r w:rsidRPr="00276391">
        <w:rPr>
          <w:rFonts w:cs="Arial"/>
          <w:lang w:eastAsia="en-AU"/>
        </w:rPr>
        <w:t>register</w:t>
      </w:r>
      <w:r w:rsidR="00FF70E7">
        <w:rPr>
          <w:rFonts w:cs="Arial"/>
          <w:lang w:eastAsia="en-AU"/>
        </w:rPr>
        <w:t>.</w:t>
      </w:r>
    </w:p>
    <w:p w14:paraId="34C42F56" w14:textId="43626403" w:rsidR="00236748" w:rsidRPr="00276391" w:rsidRDefault="00236748" w:rsidP="00276391">
      <w:pPr>
        <w:pStyle w:val="DHHSbullet1"/>
        <w:rPr>
          <w:rFonts w:cs="Arial"/>
          <w:lang w:eastAsia="en-AU"/>
        </w:rPr>
      </w:pPr>
      <w:r w:rsidRPr="00276391">
        <w:rPr>
          <w:rFonts w:cs="Arial"/>
          <w:lang w:eastAsia="en-AU"/>
        </w:rPr>
        <w:t>Risk</w:t>
      </w:r>
      <w:r w:rsidR="005D5532" w:rsidRPr="00276391">
        <w:rPr>
          <w:rFonts w:cs="Arial"/>
          <w:lang w:eastAsia="en-AU"/>
        </w:rPr>
        <w:t xml:space="preserve"> </w:t>
      </w:r>
      <w:r w:rsidRPr="00276391">
        <w:rPr>
          <w:rFonts w:cs="Arial"/>
          <w:lang w:eastAsia="en-AU"/>
        </w:rPr>
        <w:t>Management</w:t>
      </w:r>
      <w:r w:rsidR="00D05F49">
        <w:rPr>
          <w:rFonts w:cs="Arial"/>
          <w:lang w:eastAsia="en-AU"/>
        </w:rPr>
        <w: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managed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Australian/New</w:t>
      </w:r>
      <w:r w:rsidR="005D5532" w:rsidRPr="00276391">
        <w:rPr>
          <w:rFonts w:cs="Arial"/>
          <w:lang w:eastAsia="en-AU"/>
        </w:rPr>
        <w:t xml:space="preserve"> </w:t>
      </w:r>
      <w:r w:rsidRPr="00276391">
        <w:rPr>
          <w:rFonts w:cs="Arial"/>
          <w:lang w:eastAsia="en-AU"/>
        </w:rPr>
        <w:t>Zealand</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Standard</w:t>
      </w:r>
      <w:r w:rsidR="00FF70E7">
        <w:rPr>
          <w:rFonts w:cs="Arial"/>
          <w:lang w:eastAsia="en-AU"/>
        </w:rPr>
        <w:t>.</w:t>
      </w:r>
    </w:p>
    <w:p w14:paraId="6558BDB9" w14:textId="109B198D" w:rsidR="00236748" w:rsidRPr="00276391" w:rsidRDefault="00236748" w:rsidP="00276391">
      <w:pPr>
        <w:pStyle w:val="DHHSbullet1"/>
        <w:rPr>
          <w:rFonts w:cs="Arial"/>
          <w:lang w:eastAsia="en-AU"/>
        </w:rPr>
      </w:pPr>
      <w:r w:rsidRPr="00276391">
        <w:rPr>
          <w:rFonts w:cs="Arial"/>
          <w:lang w:eastAsia="en-AU"/>
        </w:rPr>
        <w:t>Staff</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screening</w:t>
      </w:r>
      <w:r w:rsidR="00D05F49">
        <w:rPr>
          <w:rFonts w:cs="Arial"/>
          <w:lang w:eastAsia="en-AU"/>
        </w:rPr>
        <w:t xml:space="preserve">, </w:t>
      </w:r>
      <w:r w:rsidRPr="00276391">
        <w:rPr>
          <w:rFonts w:cs="Arial"/>
          <w:lang w:eastAsia="en-AU"/>
        </w:rPr>
        <w:t>referee</w:t>
      </w:r>
      <w:r w:rsidR="005D5532" w:rsidRPr="00276391">
        <w:rPr>
          <w:rFonts w:cs="Arial"/>
          <w:lang w:eastAsia="en-AU"/>
        </w:rPr>
        <w:t xml:space="preserve"> </w:t>
      </w:r>
      <w:r w:rsidRPr="00276391">
        <w:rPr>
          <w:rFonts w:cs="Arial"/>
          <w:lang w:eastAsia="en-AU"/>
        </w:rPr>
        <w:t>checks,</w:t>
      </w:r>
      <w:r w:rsidR="005D5532" w:rsidRPr="00276391">
        <w:rPr>
          <w:rFonts w:cs="Arial"/>
          <w:lang w:eastAsia="en-AU"/>
        </w:rPr>
        <w:t xml:space="preserve"> </w:t>
      </w:r>
      <w:r w:rsidRPr="00276391">
        <w:rPr>
          <w:rFonts w:cs="Arial"/>
          <w:lang w:eastAsia="en-AU"/>
        </w:rPr>
        <w:t>police</w:t>
      </w:r>
      <w:r w:rsidR="005D5532" w:rsidRPr="00276391">
        <w:rPr>
          <w:rFonts w:cs="Arial"/>
          <w:lang w:eastAsia="en-AU"/>
        </w:rPr>
        <w:t xml:space="preserve"> </w:t>
      </w:r>
      <w:r w:rsidRPr="00276391">
        <w:rPr>
          <w:rFonts w:cs="Arial"/>
          <w:lang w:eastAsia="en-AU"/>
        </w:rPr>
        <w:t>checks,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relevant</w:t>
      </w:r>
      <w:r w:rsidR="005D5532" w:rsidRPr="00276391">
        <w:rPr>
          <w:rFonts w:cs="Arial"/>
          <w:lang w:eastAsia="en-AU"/>
        </w:rPr>
        <w:t xml:space="preserve"> </w:t>
      </w:r>
      <w:r w:rsidRPr="00276391">
        <w:rPr>
          <w:rFonts w:cs="Arial"/>
          <w:lang w:eastAsia="en-AU"/>
        </w:rPr>
        <w:t>Working</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Children</w:t>
      </w:r>
      <w:r w:rsidR="005D5532" w:rsidRPr="00276391">
        <w:rPr>
          <w:rFonts w:cs="Arial"/>
          <w:lang w:eastAsia="en-AU"/>
        </w:rPr>
        <w:t xml:space="preserve"> </w:t>
      </w:r>
      <w:r w:rsidRPr="00276391">
        <w:rPr>
          <w:rFonts w:cs="Arial"/>
          <w:lang w:eastAsia="en-AU"/>
        </w:rPr>
        <w:t>Checks</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been</w:t>
      </w:r>
      <w:r w:rsidR="005D5532" w:rsidRPr="00276391">
        <w:rPr>
          <w:rFonts w:cs="Arial"/>
          <w:lang w:eastAsia="en-AU"/>
        </w:rPr>
        <w:t xml:space="preserve"> </w:t>
      </w:r>
      <w:r w:rsidRPr="00276391">
        <w:rPr>
          <w:rFonts w:cs="Arial"/>
          <w:lang w:eastAsia="en-AU"/>
        </w:rPr>
        <w:t>completed</w:t>
      </w:r>
      <w:r w:rsidR="00FF70E7">
        <w:rPr>
          <w:rFonts w:cs="Arial"/>
          <w:lang w:eastAsia="en-AU"/>
        </w:rPr>
        <w:t>.</w:t>
      </w:r>
    </w:p>
    <w:p w14:paraId="187346FD" w14:textId="03B9A1D1" w:rsidR="00236748" w:rsidRPr="00276391" w:rsidRDefault="00236748" w:rsidP="00276391">
      <w:pPr>
        <w:pStyle w:val="DHHSbullet1"/>
        <w:rPr>
          <w:rFonts w:cs="Arial"/>
          <w:lang w:eastAsia="en-AU"/>
        </w:rPr>
      </w:pPr>
      <w:r w:rsidRPr="00276391">
        <w:rPr>
          <w:rFonts w:cs="Arial"/>
          <w:lang w:eastAsia="en-AU"/>
        </w:rPr>
        <w:t>Privacy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Data</w:t>
      </w:r>
      <w:r w:rsidR="005D5532" w:rsidRPr="00276391">
        <w:rPr>
          <w:rFonts w:cs="Arial"/>
          <w:lang w:eastAsia="en-AU"/>
        </w:rPr>
        <w:t xml:space="preserve"> </w:t>
      </w:r>
      <w:r w:rsidRPr="00276391">
        <w:rPr>
          <w:rFonts w:cs="Arial"/>
          <w:lang w:eastAsia="en-AU"/>
        </w:rPr>
        <w:t>Protection</w:t>
      </w:r>
      <w:r w:rsidR="00D05F49">
        <w:rPr>
          <w:rFonts w:cs="Arial"/>
          <w:lang w:eastAsia="en-AU"/>
        </w:rPr>
        <w: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practices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systems</w:t>
      </w:r>
      <w:r w:rsidR="005D5532" w:rsidRPr="00276391">
        <w:rPr>
          <w:rFonts w:cs="Arial"/>
          <w:lang w:eastAsia="en-AU"/>
        </w:rPr>
        <w:t xml:space="preserve"> </w:t>
      </w:r>
      <w:r w:rsidR="00136E7E">
        <w:rPr>
          <w:rFonts w:cs="Arial"/>
          <w:lang w:eastAsia="en-AU"/>
        </w:rPr>
        <w:t>that do not contravene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D05F49">
        <w:rPr>
          <w:rFonts w:cs="Arial"/>
          <w:i/>
          <w:lang w:eastAsia="en-AU"/>
        </w:rPr>
        <w:t>Privacy</w:t>
      </w:r>
      <w:r w:rsidR="005D5532" w:rsidRPr="00D05F49">
        <w:rPr>
          <w:rFonts w:cs="Arial"/>
          <w:i/>
          <w:lang w:eastAsia="en-AU"/>
        </w:rPr>
        <w:t xml:space="preserve"> </w:t>
      </w:r>
      <w:r w:rsidRPr="00D05F49">
        <w:rPr>
          <w:rFonts w:cs="Arial"/>
          <w:i/>
          <w:lang w:eastAsia="en-AU"/>
        </w:rPr>
        <w:t>and</w:t>
      </w:r>
      <w:r w:rsidR="005D5532" w:rsidRPr="00D05F49">
        <w:rPr>
          <w:rFonts w:cs="Arial"/>
          <w:i/>
          <w:lang w:eastAsia="en-AU"/>
        </w:rPr>
        <w:t xml:space="preserve"> </w:t>
      </w:r>
      <w:r w:rsidRPr="00D05F49">
        <w:rPr>
          <w:rFonts w:cs="Arial"/>
          <w:i/>
          <w:lang w:eastAsia="en-AU"/>
        </w:rPr>
        <w:t>Data</w:t>
      </w:r>
      <w:r w:rsidR="005D5532" w:rsidRPr="00D05F49">
        <w:rPr>
          <w:rFonts w:cs="Arial"/>
          <w:i/>
          <w:lang w:eastAsia="en-AU"/>
        </w:rPr>
        <w:t xml:space="preserve"> </w:t>
      </w:r>
      <w:r w:rsidRPr="00D05F49">
        <w:rPr>
          <w:rFonts w:cs="Arial"/>
          <w:i/>
          <w:lang w:eastAsia="en-AU"/>
        </w:rPr>
        <w:t>Protection</w:t>
      </w:r>
      <w:r w:rsidR="005D5532" w:rsidRPr="00D05F49">
        <w:rPr>
          <w:rFonts w:cs="Arial"/>
          <w:i/>
          <w:lang w:eastAsia="en-AU"/>
        </w:rPr>
        <w:t xml:space="preserve"> </w:t>
      </w:r>
      <w:r w:rsidRPr="00D05F49">
        <w:rPr>
          <w:rFonts w:cs="Arial"/>
          <w:i/>
          <w:lang w:eastAsia="en-AU"/>
        </w:rPr>
        <w:t>Act</w:t>
      </w:r>
      <w:r w:rsidR="005D5532" w:rsidRPr="00D05F49">
        <w:rPr>
          <w:rFonts w:cs="Arial"/>
          <w:i/>
          <w:lang w:eastAsia="en-AU"/>
        </w:rPr>
        <w:t xml:space="preserve"> </w:t>
      </w:r>
      <w:r w:rsidRPr="00D05F49">
        <w:rPr>
          <w:rFonts w:cs="Arial"/>
          <w:i/>
          <w:lang w:eastAsia="en-AU"/>
        </w:rPr>
        <w:t>2014</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D05F49">
        <w:rPr>
          <w:rFonts w:cs="Arial"/>
          <w:i/>
          <w:lang w:eastAsia="en-AU"/>
        </w:rPr>
        <w:t>Health</w:t>
      </w:r>
      <w:r w:rsidR="005D5532" w:rsidRPr="00D05F49">
        <w:rPr>
          <w:rFonts w:cs="Arial"/>
          <w:i/>
          <w:lang w:eastAsia="en-AU"/>
        </w:rPr>
        <w:t xml:space="preserve"> </w:t>
      </w:r>
      <w:r w:rsidRPr="00D05F49">
        <w:rPr>
          <w:rFonts w:cs="Arial"/>
          <w:i/>
          <w:lang w:eastAsia="en-AU"/>
        </w:rPr>
        <w:t>Records</w:t>
      </w:r>
      <w:r w:rsidR="005D5532" w:rsidRPr="00D05F49">
        <w:rPr>
          <w:rFonts w:cs="Arial"/>
          <w:i/>
          <w:lang w:eastAsia="en-AU"/>
        </w:rPr>
        <w:t xml:space="preserve"> </w:t>
      </w:r>
      <w:r w:rsidRPr="00D05F49">
        <w:rPr>
          <w:rFonts w:cs="Arial"/>
          <w:i/>
          <w:lang w:eastAsia="en-AU"/>
        </w:rPr>
        <w:t>Act</w:t>
      </w:r>
      <w:r w:rsidR="005D5532" w:rsidRPr="00D05F49">
        <w:rPr>
          <w:rFonts w:cs="Arial"/>
          <w:i/>
          <w:lang w:eastAsia="en-AU"/>
        </w:rPr>
        <w:t xml:space="preserve"> </w:t>
      </w:r>
      <w:r w:rsidRPr="00D05F49">
        <w:rPr>
          <w:rFonts w:cs="Arial"/>
          <w:i/>
          <w:lang w:eastAsia="en-AU"/>
        </w:rPr>
        <w:t>2001</w:t>
      </w:r>
      <w:r w:rsidRPr="00276391">
        <w:rPr>
          <w:rFonts w:cs="Arial"/>
          <w:lang w:eastAsia="en-AU"/>
        </w:rPr>
        <w: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protect</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p>
    <w:p w14:paraId="19771727"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SACC</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submitted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three</w:t>
      </w:r>
      <w:r w:rsidR="005D5532" w:rsidRPr="00B24C02">
        <w:rPr>
          <w:rFonts w:cs="Arial"/>
          <w:color w:val="000000"/>
          <w:szCs w:val="19"/>
          <w:lang w:eastAsia="en-AU"/>
        </w:rPr>
        <w:t xml:space="preserve"> </w:t>
      </w:r>
      <w:r w:rsidRPr="00B24C02">
        <w:rPr>
          <w:rFonts w:cs="Arial"/>
          <w:color w:val="000000"/>
          <w:szCs w:val="19"/>
          <w:lang w:eastAsia="en-AU"/>
        </w:rPr>
        <w:t>months</w:t>
      </w:r>
      <w:r w:rsidR="005D5532" w:rsidRPr="00B24C02">
        <w:rPr>
          <w:rFonts w:cs="Arial"/>
          <w:color w:val="000000"/>
          <w:szCs w:val="19"/>
          <w:lang w:eastAsia="en-AU"/>
        </w:rPr>
        <w:t xml:space="preserve"> </w:t>
      </w:r>
      <w:r w:rsidRPr="00B24C02">
        <w:rPr>
          <w:rFonts w:cs="Arial"/>
          <w:color w:val="000000"/>
          <w:szCs w:val="19"/>
          <w:lang w:eastAsia="en-AU"/>
        </w:rPr>
        <w:t>after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operating</w:t>
      </w:r>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seven</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after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Annual</w:t>
      </w:r>
      <w:r w:rsidR="005D5532" w:rsidRPr="00B24C02">
        <w:rPr>
          <w:rFonts w:cs="Arial"/>
          <w:color w:val="000000"/>
          <w:szCs w:val="19"/>
          <w:lang w:eastAsia="en-AU"/>
        </w:rPr>
        <w:t xml:space="preserve"> </w:t>
      </w:r>
      <w:r w:rsidRPr="00B24C02">
        <w:rPr>
          <w:rFonts w:cs="Arial"/>
          <w:color w:val="000000"/>
          <w:szCs w:val="19"/>
          <w:lang w:eastAsia="en-AU"/>
        </w:rPr>
        <w:t>General</w:t>
      </w:r>
      <w:r w:rsidR="005D5532" w:rsidRPr="00B24C02">
        <w:rPr>
          <w:rFonts w:cs="Arial"/>
          <w:color w:val="000000"/>
          <w:szCs w:val="19"/>
          <w:lang w:eastAsia="en-AU"/>
        </w:rPr>
        <w:t xml:space="preserve"> </w:t>
      </w:r>
      <w:r w:rsidRPr="00B24C02">
        <w:rPr>
          <w:rFonts w:cs="Arial"/>
          <w:color w:val="000000"/>
          <w:szCs w:val="19"/>
          <w:lang w:eastAsia="en-AU"/>
        </w:rPr>
        <w:t>Meeting.</w:t>
      </w:r>
    </w:p>
    <w:p w14:paraId="08BFF256" w14:textId="77777777" w:rsidR="00236748" w:rsidRPr="003F52B3" w:rsidRDefault="00236748" w:rsidP="003F52B3">
      <w:pPr>
        <w:pStyle w:val="DHHSbody"/>
        <w:rPr>
          <w:lang w:eastAsia="en-AU"/>
        </w:rPr>
      </w:pPr>
      <w:bookmarkStart w:id="360" w:name="_Toc478991813"/>
      <w:r w:rsidRPr="003F52B3">
        <w:rPr>
          <w:b/>
          <w:lang w:eastAsia="en-AU"/>
        </w:rPr>
        <w:t>Does</w:t>
      </w:r>
      <w:r w:rsidR="005D5532" w:rsidRPr="003F52B3">
        <w:rPr>
          <w:b/>
          <w:lang w:eastAsia="en-AU"/>
        </w:rPr>
        <w:t xml:space="preserve"> </w:t>
      </w:r>
      <w:r w:rsidRPr="003F52B3">
        <w:rPr>
          <w:b/>
          <w:lang w:eastAsia="en-AU"/>
        </w:rPr>
        <w:t>the</w:t>
      </w:r>
      <w:r w:rsidR="005D5532" w:rsidRPr="003F52B3">
        <w:rPr>
          <w:b/>
          <w:lang w:eastAsia="en-AU"/>
        </w:rPr>
        <w:t xml:space="preserve"> </w:t>
      </w:r>
      <w:r w:rsidRPr="003F52B3">
        <w:rPr>
          <w:b/>
          <w:lang w:eastAsia="en-AU"/>
        </w:rPr>
        <w:t>SACC</w:t>
      </w:r>
      <w:r w:rsidR="005D5532" w:rsidRPr="003F52B3">
        <w:rPr>
          <w:b/>
          <w:lang w:eastAsia="en-AU"/>
        </w:rPr>
        <w:t xml:space="preserve"> </w:t>
      </w:r>
      <w:r w:rsidRPr="003F52B3">
        <w:rPr>
          <w:b/>
          <w:lang w:eastAsia="en-AU"/>
        </w:rPr>
        <w:t>apply</w:t>
      </w:r>
      <w:r w:rsidR="005D5532" w:rsidRPr="003F52B3">
        <w:rPr>
          <w:b/>
          <w:lang w:eastAsia="en-AU"/>
        </w:rPr>
        <w:t xml:space="preserve"> </w:t>
      </w:r>
      <w:r w:rsidRPr="003F52B3">
        <w:rPr>
          <w:b/>
          <w:lang w:eastAsia="en-AU"/>
        </w:rPr>
        <w:t>to</w:t>
      </w:r>
      <w:r w:rsidR="005D5532" w:rsidRPr="003F52B3">
        <w:rPr>
          <w:b/>
          <w:lang w:eastAsia="en-AU"/>
        </w:rPr>
        <w:t xml:space="preserve"> </w:t>
      </w:r>
      <w:r w:rsidRPr="003F52B3">
        <w:rPr>
          <w:b/>
          <w:lang w:eastAsia="en-AU"/>
        </w:rPr>
        <w:t>my</w:t>
      </w:r>
      <w:r w:rsidR="005D5532" w:rsidRPr="003F52B3">
        <w:rPr>
          <w:b/>
          <w:lang w:eastAsia="en-AU"/>
        </w:rPr>
        <w:t xml:space="preserve"> </w:t>
      </w:r>
      <w:r w:rsidRPr="003F52B3">
        <w:rPr>
          <w:b/>
          <w:lang w:eastAsia="en-AU"/>
        </w:rPr>
        <w:t>organisation?</w:t>
      </w:r>
      <w:bookmarkEnd w:id="360"/>
    </w:p>
    <w:p w14:paraId="46C08570"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SACC</w:t>
      </w:r>
      <w:r w:rsidR="005D5532" w:rsidRPr="00B24C02">
        <w:rPr>
          <w:rFonts w:cs="Arial"/>
          <w:color w:val="000000"/>
          <w:szCs w:val="19"/>
          <w:lang w:eastAsia="en-AU"/>
        </w:rPr>
        <w:t xml:space="preserve"> </w:t>
      </w:r>
      <w:r w:rsidRPr="00B24C02">
        <w:rPr>
          <w:rFonts w:cs="Arial"/>
          <w:color w:val="000000"/>
          <w:szCs w:val="19"/>
          <w:lang w:eastAsia="en-AU"/>
        </w:rPr>
        <w:t>form</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mandatory</w:t>
      </w:r>
      <w:r w:rsidR="005D5532" w:rsidRPr="00B24C02">
        <w:rPr>
          <w:rFonts w:cs="Arial"/>
          <w:color w:val="000000"/>
          <w:szCs w:val="19"/>
          <w:lang w:eastAsia="en-AU"/>
        </w:rPr>
        <w:t xml:space="preserve"> </w:t>
      </w:r>
      <w:r w:rsidRPr="00B24C02">
        <w:rPr>
          <w:rFonts w:cs="Arial"/>
          <w:color w:val="000000"/>
          <w:szCs w:val="19"/>
          <w:lang w:eastAsia="en-AU"/>
        </w:rPr>
        <w:t>for:</w:t>
      </w:r>
    </w:p>
    <w:p w14:paraId="62CBFC5E" w14:textId="630CF7A0" w:rsidR="00236748" w:rsidRPr="00276391" w:rsidRDefault="00236748" w:rsidP="00276391">
      <w:pPr>
        <w:pStyle w:val="DHHSbullet1"/>
        <w:rPr>
          <w:rFonts w:cs="Arial"/>
          <w:lang w:eastAsia="en-AU"/>
        </w:rPr>
      </w:pPr>
      <w:r w:rsidRPr="00276391">
        <w:rPr>
          <w:rFonts w:cs="Arial"/>
          <w:lang w:eastAsia="en-AU"/>
        </w:rPr>
        <w:t>Organisations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Education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Training</w:t>
      </w:r>
      <w:r w:rsidR="005D5532" w:rsidRPr="00276391">
        <w:rPr>
          <w:rFonts w:cs="Arial"/>
          <w:lang w:eastAsia="en-AU"/>
        </w:rPr>
        <w:t xml:space="preserve"> </w:t>
      </w:r>
      <w:r w:rsidRPr="00276391">
        <w:rPr>
          <w:rFonts w:cs="Arial"/>
          <w:lang w:eastAsia="en-AU"/>
        </w:rPr>
        <w:t>through</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p>
    <w:p w14:paraId="469D8474" w14:textId="77777777" w:rsidR="00236748" w:rsidRPr="00276391" w:rsidRDefault="00236748" w:rsidP="00ED28CF">
      <w:pPr>
        <w:pStyle w:val="DHHSbullet1lastline"/>
        <w:rPr>
          <w:lang w:eastAsia="en-AU"/>
        </w:rPr>
      </w:pP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Carer</w:t>
      </w:r>
      <w:r w:rsidR="005D5532" w:rsidRPr="00276391">
        <w:rPr>
          <w:lang w:eastAsia="en-AU"/>
        </w:rPr>
        <w:t xml:space="preserve"> </w:t>
      </w:r>
      <w:r w:rsidRPr="00276391">
        <w:rPr>
          <w:lang w:eastAsia="en-AU"/>
        </w:rPr>
        <w:t>Register,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Disability</w:t>
      </w:r>
      <w:r w:rsidR="005D5532" w:rsidRPr="00276391">
        <w:rPr>
          <w:lang w:eastAsia="en-AU"/>
        </w:rPr>
        <w:t xml:space="preserve"> </w:t>
      </w:r>
      <w:r w:rsidRPr="00276391">
        <w:rPr>
          <w:lang w:eastAsia="en-AU"/>
        </w:rPr>
        <w:t>Worker</w:t>
      </w:r>
      <w:r w:rsidR="005D5532" w:rsidRPr="00276391">
        <w:rPr>
          <w:lang w:eastAsia="en-AU"/>
        </w:rPr>
        <w:t xml:space="preserve"> </w:t>
      </w:r>
      <w:r w:rsidRPr="00276391">
        <w:rPr>
          <w:lang w:eastAsia="en-AU"/>
        </w:rPr>
        <w:t>Exclusion</w:t>
      </w:r>
      <w:r w:rsidR="005D5532" w:rsidRPr="00276391">
        <w:rPr>
          <w:lang w:eastAsia="en-AU"/>
        </w:rPr>
        <w:t xml:space="preserve"> </w:t>
      </w:r>
      <w:r w:rsidRPr="00276391">
        <w:rPr>
          <w:lang w:eastAsia="en-AU"/>
        </w:rPr>
        <w:t>Scheme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Accreditation.</w:t>
      </w:r>
      <w:r w:rsidR="005D5532" w:rsidRPr="00276391">
        <w:rPr>
          <w:lang w:eastAsia="en-AU"/>
        </w:rPr>
        <w:t xml:space="preserve"> </w:t>
      </w:r>
    </w:p>
    <w:p w14:paraId="23EF3BF8" w14:textId="77777777" w:rsidR="00236748" w:rsidRPr="00276391" w:rsidRDefault="00236748" w:rsidP="00276391">
      <w:pPr>
        <w:pStyle w:val="DHHSbody"/>
        <w:rPr>
          <w:lang w:eastAsia="en-AU"/>
        </w:rPr>
      </w:pP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questions</w:t>
      </w:r>
      <w:r w:rsidR="005D5532" w:rsidRPr="00B24C02">
        <w:rPr>
          <w:rFonts w:cs="Arial"/>
          <w:color w:val="000000"/>
          <w:szCs w:val="19"/>
          <w:lang w:eastAsia="en-AU"/>
        </w:rPr>
        <w:t xml:space="preserve"> </w:t>
      </w:r>
      <w:r w:rsidRPr="00B24C02">
        <w:rPr>
          <w:rFonts w:cs="Arial"/>
          <w:color w:val="000000"/>
          <w:szCs w:val="19"/>
          <w:lang w:eastAsia="en-AU"/>
        </w:rPr>
        <w:t>do</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apply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p>
    <w:p w14:paraId="2BDC6D2A" w14:textId="77777777" w:rsidR="00236748" w:rsidRPr="00276391" w:rsidRDefault="00236748" w:rsidP="00ED28CF">
      <w:pPr>
        <w:pStyle w:val="DHHSbullet1lastline"/>
        <w:rPr>
          <w:lang w:eastAsia="en-AU"/>
        </w:rPr>
      </w:pPr>
      <w:r w:rsidRPr="00276391">
        <w:rPr>
          <w:lang w:eastAsia="en-AU"/>
        </w:rPr>
        <w:t>TAFEs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Universities,</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Statutory</w:t>
      </w:r>
      <w:r w:rsidR="005D5532" w:rsidRPr="00276391">
        <w:rPr>
          <w:lang w:eastAsia="en-AU"/>
        </w:rPr>
        <w:t xml:space="preserve"> </w:t>
      </w:r>
      <w:r w:rsidRPr="00276391">
        <w:rPr>
          <w:lang w:eastAsia="en-AU"/>
        </w:rPr>
        <w:t>Bodies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already</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Attestation/Certification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could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lastRenderedPageBreak/>
        <w:t>reporting</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publishing</w:t>
      </w:r>
      <w:r w:rsidR="005D5532" w:rsidRPr="00276391">
        <w:rPr>
          <w:lang w:eastAsia="en-AU"/>
        </w:rPr>
        <w:t xml:space="preserve"> </w:t>
      </w:r>
      <w:r w:rsidRPr="00276391">
        <w:rPr>
          <w:lang w:eastAsia="en-AU"/>
        </w:rPr>
        <w:t>similar</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Reports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legislation.</w:t>
      </w:r>
      <w:r w:rsidR="005D5532" w:rsidRPr="00276391">
        <w:rPr>
          <w:lang w:eastAsia="en-AU"/>
        </w:rPr>
        <w:t xml:space="preserve"> </w:t>
      </w:r>
    </w:p>
    <w:p w14:paraId="4254B674" w14:textId="483F5564" w:rsidR="00236748" w:rsidRPr="00276391" w:rsidRDefault="00236748" w:rsidP="00276391">
      <w:pPr>
        <w:pStyle w:val="DHHSbody"/>
        <w:rPr>
          <w:lang w:eastAsia="en-AU"/>
        </w:rPr>
      </w:pP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statements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submitted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organisations</w:t>
      </w:r>
      <w:r w:rsidR="00FF70E7">
        <w:rPr>
          <w:rFonts w:cs="Arial"/>
          <w:color w:val="000000"/>
          <w:szCs w:val="19"/>
          <w:lang w:eastAsia="en-AU"/>
        </w:rPr>
        <w:t xml:space="preserve">, </w:t>
      </w:r>
      <w:r w:rsidRPr="00B24C02">
        <w:rPr>
          <w:rFonts w:cs="Arial"/>
          <w:color w:val="000000"/>
          <w:szCs w:val="19"/>
          <w:lang w:eastAsia="en-AU"/>
        </w:rPr>
        <w:t>although</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still</w:t>
      </w:r>
      <w:r w:rsidR="005D5532" w:rsidRPr="00B24C02">
        <w:rPr>
          <w:rFonts w:cs="Arial"/>
          <w:color w:val="000000"/>
          <w:szCs w:val="19"/>
          <w:lang w:eastAsia="en-AU"/>
        </w:rPr>
        <w:t xml:space="preserve"> </w:t>
      </w:r>
      <w:r w:rsidRPr="00B24C02">
        <w:rPr>
          <w:rFonts w:cs="Arial"/>
          <w:color w:val="000000"/>
          <w:szCs w:val="19"/>
          <w:lang w:eastAsia="en-AU"/>
        </w:rPr>
        <w:t>respond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four</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questions</w:t>
      </w:r>
      <w:r w:rsidR="00FF70E7">
        <w:rPr>
          <w:rFonts w:cs="Arial"/>
          <w:color w:val="000000"/>
          <w:szCs w:val="19"/>
          <w:lang w:eastAsia="en-AU"/>
        </w:rPr>
        <w:t>:</w:t>
      </w:r>
    </w:p>
    <w:p w14:paraId="46E863F2" w14:textId="77777777" w:rsidR="00236748" w:rsidRPr="00276391" w:rsidRDefault="00236748" w:rsidP="003C7B90">
      <w:pPr>
        <w:pStyle w:val="DHHSbullet1"/>
        <w:spacing w:line="276" w:lineRule="auto"/>
        <w:rPr>
          <w:rFonts w:cs="Arial"/>
          <w:lang w:eastAsia="en-AU"/>
        </w:rPr>
      </w:pP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p>
    <w:p w14:paraId="5C4F12A7" w14:textId="02E8911A" w:rsidR="00236748" w:rsidRPr="00276391" w:rsidRDefault="00FF70E7" w:rsidP="003C7B90">
      <w:pPr>
        <w:pStyle w:val="DHHSbullet1"/>
        <w:spacing w:after="0" w:line="276" w:lineRule="auto"/>
        <w:rPr>
          <w:rFonts w:cs="Arial"/>
          <w:lang w:eastAsia="en-AU"/>
        </w:rPr>
      </w:pPr>
      <w:r>
        <w:rPr>
          <w:rFonts w:cs="Arial"/>
          <w:lang w:eastAsia="en-AU"/>
        </w:rPr>
        <w:t>u</w:t>
      </w:r>
      <w:r w:rsidR="00236748" w:rsidRPr="00276391">
        <w:rPr>
          <w:rFonts w:cs="Arial"/>
          <w:lang w:eastAsia="en-AU"/>
        </w:rPr>
        <w:t>niversities/TAFE</w:t>
      </w:r>
      <w:r w:rsidR="005D5532" w:rsidRPr="00276391">
        <w:rPr>
          <w:rFonts w:cs="Arial"/>
          <w:lang w:eastAsia="en-AU"/>
        </w:rPr>
        <w:t xml:space="preserve"> </w:t>
      </w:r>
    </w:p>
    <w:p w14:paraId="608B8568" w14:textId="7D773264" w:rsidR="00236748" w:rsidRPr="00276391" w:rsidRDefault="00236748" w:rsidP="00ED28CF">
      <w:pPr>
        <w:pStyle w:val="DHHSbullet1lastline"/>
        <w:rPr>
          <w:lang w:eastAsia="en-AU"/>
        </w:rPr>
      </w:pPr>
      <w:r w:rsidRPr="00276391">
        <w:rPr>
          <w:lang w:eastAsia="en-AU"/>
        </w:rPr>
        <w:t>Government</w:t>
      </w:r>
      <w:r w:rsidR="005D5532" w:rsidRPr="00276391">
        <w:rPr>
          <w:lang w:eastAsia="en-AU"/>
        </w:rPr>
        <w:t xml:space="preserve"> </w:t>
      </w:r>
      <w:r w:rsidRPr="00276391">
        <w:rPr>
          <w:lang w:eastAsia="en-AU"/>
        </w:rPr>
        <w:t>schools</w:t>
      </w:r>
      <w:r w:rsidR="00FF70E7">
        <w:rPr>
          <w:lang w:eastAsia="en-AU"/>
        </w:rPr>
        <w:t>.</w:t>
      </w:r>
    </w:p>
    <w:p w14:paraId="6389C078"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SACC</w:t>
      </w:r>
      <w:r w:rsidR="005D5532" w:rsidRPr="00B24C02">
        <w:rPr>
          <w:rFonts w:cs="Arial"/>
          <w:color w:val="000000"/>
          <w:szCs w:val="19"/>
          <w:lang w:eastAsia="en-AU"/>
        </w:rPr>
        <w:t xml:space="preserve"> </w:t>
      </w:r>
      <w:r w:rsidRPr="00B24C02">
        <w:rPr>
          <w:rFonts w:cs="Arial"/>
          <w:color w:val="000000"/>
          <w:szCs w:val="19"/>
          <w:lang w:eastAsia="en-AU"/>
        </w:rPr>
        <w:t>form</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for:</w:t>
      </w:r>
    </w:p>
    <w:p w14:paraId="36A9A5B1" w14:textId="6CCF3A2B" w:rsidR="00236748" w:rsidRPr="00276391" w:rsidRDefault="00FF70E7" w:rsidP="00276391">
      <w:pPr>
        <w:pStyle w:val="DHHSbullet1"/>
        <w:rPr>
          <w:rFonts w:cs="Arial"/>
          <w:lang w:eastAsia="en-AU"/>
        </w:rPr>
      </w:pPr>
      <w:r>
        <w:rPr>
          <w:rFonts w:cs="Arial"/>
          <w:lang w:eastAsia="en-AU"/>
        </w:rPr>
        <w:t>O</w:t>
      </w:r>
      <w:r w:rsidR="00236748" w:rsidRPr="00276391">
        <w:rPr>
          <w:rFonts w:cs="Arial"/>
          <w:lang w:eastAsia="en-AU"/>
        </w:rPr>
        <w:t>rganisations</w:t>
      </w:r>
      <w:r w:rsidR="005D5532" w:rsidRPr="00276391">
        <w:rPr>
          <w:rFonts w:cs="Arial"/>
          <w:lang w:eastAsia="en-AU"/>
        </w:rPr>
        <w:t xml:space="preserve"> </w:t>
      </w:r>
      <w:r w:rsidR="00236748" w:rsidRPr="00276391">
        <w:rPr>
          <w:rFonts w:cs="Arial"/>
          <w:lang w:eastAsia="en-AU"/>
        </w:rPr>
        <w:t>that</w:t>
      </w:r>
      <w:r w:rsidR="005D5532" w:rsidRPr="00276391">
        <w:rPr>
          <w:rFonts w:cs="Arial"/>
          <w:lang w:eastAsia="en-AU"/>
        </w:rPr>
        <w:t xml:space="preserve"> </w:t>
      </w:r>
      <w:r w:rsidR="00236748" w:rsidRPr="00276391">
        <w:rPr>
          <w:rFonts w:cs="Arial"/>
          <w:lang w:eastAsia="en-AU"/>
        </w:rPr>
        <w:t>only</w:t>
      </w:r>
      <w:r w:rsidR="005D5532" w:rsidRPr="00276391">
        <w:rPr>
          <w:rFonts w:cs="Arial"/>
          <w:lang w:eastAsia="en-AU"/>
        </w:rPr>
        <w:t xml:space="preserve"> </w:t>
      </w:r>
      <w:r w:rsidR="00236748" w:rsidRPr="00276391">
        <w:rPr>
          <w:rFonts w:cs="Arial"/>
          <w:lang w:eastAsia="en-AU"/>
        </w:rPr>
        <w:t>receive</w:t>
      </w:r>
      <w:r w:rsidR="005D5532" w:rsidRPr="00276391">
        <w:rPr>
          <w:rFonts w:cs="Arial"/>
          <w:lang w:eastAsia="en-AU"/>
        </w:rPr>
        <w:t xml:space="preserve"> </w:t>
      </w:r>
      <w:r w:rsidR="00236748" w:rsidRPr="00276391">
        <w:rPr>
          <w:rFonts w:cs="Arial"/>
          <w:lang w:eastAsia="en-AU"/>
        </w:rPr>
        <w:t>funding</w:t>
      </w:r>
      <w:r w:rsidR="005D5532" w:rsidRPr="00276391">
        <w:rPr>
          <w:rFonts w:cs="Arial"/>
          <w:lang w:eastAsia="en-AU"/>
        </w:rPr>
        <w:t xml:space="preserve"> </w:t>
      </w:r>
      <w:r w:rsidR="00236748" w:rsidRPr="00276391">
        <w:rPr>
          <w:rFonts w:cs="Arial"/>
          <w:lang w:eastAsia="en-AU"/>
        </w:rPr>
        <w:t>under</w:t>
      </w:r>
      <w:r w:rsidR="005D5532" w:rsidRPr="00276391">
        <w:rPr>
          <w:rFonts w:cs="Arial"/>
          <w:lang w:eastAsia="en-AU"/>
        </w:rPr>
        <w:t xml:space="preserve"> </w:t>
      </w:r>
      <w:r w:rsidR="00236748" w:rsidRPr="00276391">
        <w:rPr>
          <w:rFonts w:cs="Arial"/>
          <w:lang w:eastAsia="en-AU"/>
        </w:rPr>
        <w:t>a</w:t>
      </w:r>
      <w:r w:rsidR="005D5532" w:rsidRPr="00276391">
        <w:rPr>
          <w:rFonts w:cs="Arial"/>
          <w:lang w:eastAsia="en-AU"/>
        </w:rPr>
        <w:t xml:space="preserve"> </w:t>
      </w:r>
      <w:r w:rsidR="00236748" w:rsidRPr="00276391">
        <w:rPr>
          <w:rFonts w:cs="Arial"/>
          <w:lang w:eastAsia="en-AU"/>
        </w:rPr>
        <w:t>Short</w:t>
      </w:r>
      <w:r w:rsidR="005D5532" w:rsidRPr="00276391">
        <w:rPr>
          <w:rFonts w:cs="Arial"/>
          <w:lang w:eastAsia="en-AU"/>
        </w:rPr>
        <w:t xml:space="preserve"> </w:t>
      </w:r>
      <w:r w:rsidR="00236748" w:rsidRPr="00276391">
        <w:rPr>
          <w:rFonts w:cs="Arial"/>
          <w:lang w:eastAsia="en-AU"/>
        </w:rPr>
        <w:t>Form</w:t>
      </w:r>
      <w:r w:rsidR="005D5532" w:rsidRPr="00276391">
        <w:rPr>
          <w:rFonts w:cs="Arial"/>
          <w:lang w:eastAsia="en-AU"/>
        </w:rPr>
        <w:t xml:space="preserve"> </w:t>
      </w:r>
      <w:r w:rsidR="00236748" w:rsidRPr="00276391">
        <w:rPr>
          <w:rFonts w:cs="Arial"/>
          <w:lang w:eastAsia="en-AU"/>
        </w:rPr>
        <w:t>Common</w:t>
      </w:r>
      <w:r w:rsidR="005D5532" w:rsidRPr="00276391">
        <w:rPr>
          <w:rFonts w:cs="Arial"/>
          <w:lang w:eastAsia="en-AU"/>
        </w:rPr>
        <w:t xml:space="preserve"> </w:t>
      </w:r>
      <w:r w:rsidR="00236748" w:rsidRPr="00276391">
        <w:rPr>
          <w:rFonts w:cs="Arial"/>
          <w:lang w:eastAsia="en-AU"/>
        </w:rPr>
        <w:t>Funding</w:t>
      </w:r>
      <w:r w:rsidR="005D5532" w:rsidRPr="00276391">
        <w:rPr>
          <w:rFonts w:cs="Arial"/>
          <w:lang w:eastAsia="en-AU"/>
        </w:rPr>
        <w:t xml:space="preserve"> </w:t>
      </w:r>
      <w:r w:rsidR="00236748" w:rsidRPr="00276391">
        <w:rPr>
          <w:rFonts w:cs="Arial"/>
          <w:lang w:eastAsia="en-AU"/>
        </w:rPr>
        <w:t>Agreement</w:t>
      </w:r>
      <w:r w:rsidR="005D5532" w:rsidRPr="00276391">
        <w:rPr>
          <w:rFonts w:cs="Arial"/>
          <w:lang w:eastAsia="en-AU"/>
        </w:rPr>
        <w:t xml:space="preserve"> </w:t>
      </w:r>
    </w:p>
    <w:p w14:paraId="254658EF" w14:textId="32158305" w:rsidR="00236748" w:rsidRPr="00276391" w:rsidRDefault="00236748" w:rsidP="00ED28CF">
      <w:pPr>
        <w:pStyle w:val="DHHSbullet1lastline"/>
        <w:rPr>
          <w:lang w:eastAsia="en-AU"/>
        </w:rPr>
      </w:pPr>
      <w:r w:rsidRPr="00276391">
        <w:rPr>
          <w:lang w:eastAsia="en-AU"/>
        </w:rPr>
        <w:t>Hospitals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excluded</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already</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reports</w:t>
      </w:r>
      <w:r w:rsidR="005D5532" w:rsidRPr="00276391">
        <w:rPr>
          <w:lang w:eastAsia="en-AU"/>
        </w:rPr>
        <w:t xml:space="preserve"> </w:t>
      </w:r>
      <w:r w:rsidRPr="00276391">
        <w:rPr>
          <w:lang w:eastAsia="en-AU"/>
        </w:rPr>
        <w:t>to</w:t>
      </w:r>
      <w:r w:rsidR="005D5532" w:rsidRPr="00276391">
        <w:rPr>
          <w:lang w:eastAsia="en-AU"/>
        </w:rPr>
        <w:t xml:space="preserve"> </w:t>
      </w:r>
      <w:r w:rsidR="00DF1D39">
        <w:rPr>
          <w:lang w:eastAsia="en-AU"/>
        </w:rPr>
        <w:t>the Department Health and Human Services</w:t>
      </w:r>
      <w:r w:rsidR="003C7B90">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monthly</w:t>
      </w:r>
      <w:r w:rsidR="005D5532" w:rsidRPr="00276391">
        <w:rPr>
          <w:lang w:eastAsia="en-AU"/>
        </w:rPr>
        <w:t xml:space="preserve"> </w:t>
      </w:r>
      <w:r w:rsidRPr="00276391">
        <w:rPr>
          <w:lang w:eastAsia="en-AU"/>
        </w:rPr>
        <w:t>basis;</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Attestation/Certification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scrutinised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Commissioner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relation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Data</w:t>
      </w:r>
      <w:r w:rsidR="005D5532" w:rsidRPr="00276391">
        <w:rPr>
          <w:lang w:eastAsia="en-AU"/>
        </w:rPr>
        <w:t xml:space="preserve"> </w:t>
      </w:r>
      <w:r w:rsidRPr="00276391">
        <w:rPr>
          <w:lang w:eastAsia="en-AU"/>
        </w:rPr>
        <w:t>Protection</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currently</w:t>
      </w:r>
      <w:r w:rsidR="005D5532" w:rsidRPr="00276391">
        <w:rPr>
          <w:lang w:eastAsia="en-AU"/>
        </w:rPr>
        <w:t xml:space="preserve"> </w:t>
      </w:r>
      <w:r w:rsidRPr="00276391">
        <w:rPr>
          <w:lang w:eastAsia="en-AU"/>
        </w:rPr>
        <w:t>manage</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file</w:t>
      </w:r>
      <w:r w:rsidR="005D5532" w:rsidRPr="00276391">
        <w:rPr>
          <w:lang w:eastAsia="en-AU"/>
        </w:rPr>
        <w:t xml:space="preserve"> </w:t>
      </w:r>
      <w:r w:rsidRPr="00276391">
        <w:rPr>
          <w:lang w:eastAsia="en-AU"/>
        </w:rPr>
        <w:t>sampling</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accreditation</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Australian</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Practitioner</w:t>
      </w:r>
      <w:r w:rsidR="005D5532" w:rsidRPr="00276391">
        <w:rPr>
          <w:lang w:eastAsia="en-AU"/>
        </w:rPr>
        <w:t xml:space="preserve"> </w:t>
      </w:r>
      <w:r w:rsidRPr="00276391">
        <w:rPr>
          <w:lang w:eastAsia="en-AU"/>
        </w:rPr>
        <w:t>Regulations</w:t>
      </w:r>
      <w:r w:rsidR="005D5532" w:rsidRPr="00276391">
        <w:rPr>
          <w:lang w:eastAsia="en-AU"/>
        </w:rPr>
        <w:t xml:space="preserve"> </w:t>
      </w:r>
    </w:p>
    <w:p w14:paraId="36436404" w14:textId="77777777" w:rsidR="00917AEC" w:rsidRPr="00917AEC" w:rsidRDefault="00917AEC" w:rsidP="00917AEC">
      <w:pPr>
        <w:pStyle w:val="DHHSbullet1"/>
        <w:numPr>
          <w:ilvl w:val="0"/>
          <w:numId w:val="0"/>
        </w:numPr>
        <w:rPr>
          <w:b/>
          <w:lang w:eastAsia="en-AU"/>
        </w:rPr>
      </w:pPr>
      <w:r w:rsidRPr="00917AEC">
        <w:rPr>
          <w:b/>
          <w:lang w:eastAsia="en-AU"/>
        </w:rPr>
        <w:t>Further information</w:t>
      </w:r>
    </w:p>
    <w:p w14:paraId="3F0CE498" w14:textId="1316813F" w:rsidR="00917AEC" w:rsidRDefault="0016341D" w:rsidP="00276391">
      <w:pPr>
        <w:pStyle w:val="DHHSbody"/>
        <w:rPr>
          <w:rFonts w:cs="Arial"/>
          <w:color w:val="000000"/>
          <w:szCs w:val="19"/>
          <w:lang w:eastAsia="en-AU"/>
        </w:rPr>
      </w:pPr>
      <w:hyperlink r:id="rId81" w:history="1">
        <w:r w:rsidR="00917AEC" w:rsidRPr="00917AEC">
          <w:rPr>
            <w:rStyle w:val="Hyperlink"/>
            <w:rFonts w:cs="Arial"/>
            <w:szCs w:val="19"/>
            <w:lang w:eastAsia="en-AU"/>
          </w:rPr>
          <w:t xml:space="preserve">Guidelines for the </w:t>
        </w:r>
        <w:r w:rsidR="009B3052">
          <w:rPr>
            <w:rStyle w:val="Hyperlink"/>
            <w:rFonts w:cs="Arial"/>
            <w:szCs w:val="19"/>
            <w:lang w:eastAsia="en-AU"/>
          </w:rPr>
          <w:t>Service agreement</w:t>
        </w:r>
        <w:r w:rsidR="00917AEC" w:rsidRPr="00917AEC">
          <w:rPr>
            <w:rStyle w:val="Hyperlink"/>
            <w:rFonts w:cs="Arial"/>
            <w:szCs w:val="19"/>
            <w:lang w:eastAsia="en-AU"/>
          </w:rPr>
          <w:t xml:space="preserve"> compliance certification (SACC)</w:t>
        </w:r>
      </w:hyperlink>
      <w:r w:rsidR="00917AEC">
        <w:rPr>
          <w:rFonts w:cs="Arial"/>
          <w:color w:val="000000"/>
          <w:szCs w:val="19"/>
          <w:lang w:eastAsia="en-AU"/>
        </w:rPr>
        <w:t xml:space="preserve"> &lt;</w:t>
      </w:r>
      <w:r w:rsidR="00917AEC" w:rsidRPr="00917AEC">
        <w:rPr>
          <w:rFonts w:cs="Arial"/>
          <w:color w:val="000000"/>
          <w:szCs w:val="19"/>
          <w:lang w:eastAsia="en-AU"/>
        </w:rPr>
        <w:t>https://fac.dhhs.vic.gov.au/guidelines-service-agreement-compliance-certification-form</w:t>
      </w:r>
      <w:r w:rsidR="00917AEC">
        <w:rPr>
          <w:rFonts w:cs="Arial"/>
          <w:color w:val="000000"/>
          <w:szCs w:val="19"/>
          <w:lang w:eastAsia="en-AU"/>
        </w:rPr>
        <w:t>&gt; (external link opens in a new window)</w:t>
      </w:r>
    </w:p>
    <w:p w14:paraId="32A3C771" w14:textId="6DF77439" w:rsidR="00917AEC" w:rsidRDefault="005F5A6D" w:rsidP="00276391">
      <w:pPr>
        <w:pStyle w:val="DHHSbody"/>
        <w:rPr>
          <w:rFonts w:cs="Arial"/>
          <w:color w:val="000000"/>
          <w:szCs w:val="19"/>
          <w:lang w:eastAsia="en-AU"/>
        </w:rPr>
      </w:pPr>
      <w:r>
        <w:rPr>
          <w:rFonts w:cs="Arial"/>
          <w:color w:val="000000"/>
          <w:szCs w:val="19"/>
          <w:lang w:eastAsia="en-AU"/>
        </w:rPr>
        <w:t>Assistance completing</w:t>
      </w:r>
      <w:r w:rsidR="00917AEC">
        <w:rPr>
          <w:rFonts w:cs="Arial"/>
          <w:color w:val="000000"/>
          <w:szCs w:val="19"/>
          <w:lang w:eastAsia="en-AU"/>
        </w:rPr>
        <w:t xml:space="preserve"> </w:t>
      </w:r>
      <w:r>
        <w:rPr>
          <w:rFonts w:cs="Arial"/>
          <w:color w:val="000000"/>
          <w:szCs w:val="19"/>
          <w:lang w:eastAsia="en-AU"/>
        </w:rPr>
        <w:t>the</w:t>
      </w:r>
      <w:r w:rsidR="00917AEC">
        <w:rPr>
          <w:rFonts w:cs="Arial"/>
          <w:color w:val="000000"/>
          <w:szCs w:val="19"/>
          <w:lang w:eastAsia="en-AU"/>
        </w:rPr>
        <w:t xml:space="preserve"> SACC</w:t>
      </w:r>
      <w:r>
        <w:rPr>
          <w:rFonts w:cs="Arial"/>
          <w:color w:val="000000"/>
          <w:szCs w:val="19"/>
          <w:lang w:eastAsia="en-AU"/>
        </w:rPr>
        <w:t xml:space="preserve"> email</w:t>
      </w:r>
      <w:r w:rsidR="00917AEC">
        <w:rPr>
          <w:rFonts w:cs="Arial"/>
          <w:color w:val="000000"/>
          <w:szCs w:val="19"/>
          <w:lang w:eastAsia="en-AU"/>
        </w:rPr>
        <w:t xml:space="preserve"> </w:t>
      </w:r>
      <w:hyperlink r:id="rId82" w:history="1">
        <w:r w:rsidR="00AE1173" w:rsidRPr="00963B79">
          <w:rPr>
            <w:rStyle w:val="Hyperlink"/>
          </w:rPr>
          <w:t>MonitoringFramework.helpdesk@dhhs.vic.gov.au</w:t>
        </w:r>
      </w:hyperlink>
      <w:r w:rsidR="00AE1173">
        <w:t xml:space="preserve"> </w:t>
      </w:r>
    </w:p>
    <w:p w14:paraId="49C044D3" w14:textId="77777777" w:rsidR="00236748" w:rsidRPr="00276391" w:rsidRDefault="00236748" w:rsidP="00C94233">
      <w:pPr>
        <w:pStyle w:val="Heading4"/>
        <w:tabs>
          <w:tab w:val="center" w:pos="4649"/>
        </w:tabs>
        <w:rPr>
          <w:lang w:eastAsia="en-AU"/>
        </w:rPr>
      </w:pPr>
      <w:bookmarkStart w:id="361" w:name="_Toc478991814"/>
      <w:r w:rsidRPr="00276391">
        <w:rPr>
          <w:lang w:eastAsia="en-AU"/>
        </w:rPr>
        <w:t>Data</w:t>
      </w:r>
      <w:r w:rsidR="005D5532" w:rsidRPr="00276391">
        <w:rPr>
          <w:lang w:eastAsia="en-AU"/>
        </w:rPr>
        <w:t xml:space="preserve"> </w:t>
      </w:r>
      <w:r w:rsidRPr="00276391">
        <w:rPr>
          <w:lang w:eastAsia="en-AU"/>
        </w:rPr>
        <w:t>collection</w:t>
      </w:r>
      <w:bookmarkEnd w:id="361"/>
      <w:r w:rsidR="00C94233">
        <w:rPr>
          <w:lang w:eastAsia="en-AU"/>
        </w:rPr>
        <w:tab/>
      </w:r>
    </w:p>
    <w:p w14:paraId="701D315C" w14:textId="14382087"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accountability,</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regularly</w:t>
      </w:r>
      <w:r w:rsidR="005D5532" w:rsidRPr="00B24C02">
        <w:rPr>
          <w:rFonts w:cs="Arial"/>
          <w:color w:val="000000"/>
          <w:szCs w:val="19"/>
          <w:lang w:eastAsia="en-AU"/>
        </w:rPr>
        <w:t xml:space="preserve"> </w:t>
      </w:r>
      <w:r w:rsidRPr="00B24C02">
        <w:rPr>
          <w:rFonts w:cs="Arial"/>
          <w:color w:val="000000"/>
          <w:szCs w:val="19"/>
          <w:lang w:eastAsia="en-AU"/>
        </w:rPr>
        <w:t>report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data</w:t>
      </w:r>
      <w:r w:rsidR="005D5532" w:rsidRPr="00B24C02">
        <w:rPr>
          <w:rFonts w:cs="Arial"/>
          <w:color w:val="000000"/>
          <w:szCs w:val="19"/>
          <w:lang w:eastAsia="en-AU"/>
        </w:rPr>
        <w:t xml:space="preserve"> </w:t>
      </w:r>
      <w:r w:rsidRPr="00B24C02">
        <w:rPr>
          <w:rFonts w:cs="Arial"/>
          <w:color w:val="000000"/>
          <w:szCs w:val="19"/>
          <w:lang w:eastAsia="en-AU"/>
        </w:rPr>
        <w:t>collections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allows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periodically</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progress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adjust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necessary.</w:t>
      </w:r>
    </w:p>
    <w:p w14:paraId="2AFB870A" w14:textId="1CCEF760" w:rsidR="00236748" w:rsidRDefault="00236748" w:rsidP="00276391">
      <w:pPr>
        <w:pStyle w:val="DHHSbody"/>
        <w:rPr>
          <w:rFonts w:cs="Arial"/>
          <w:color w:val="000000"/>
          <w:szCs w:val="19"/>
          <w:lang w:eastAsia="en-AU"/>
        </w:rPr>
      </w:pP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data</w:t>
      </w:r>
      <w:r w:rsidR="005D5532" w:rsidRPr="00276391">
        <w:rPr>
          <w:lang w:eastAsia="en-AU"/>
        </w:rPr>
        <w:t xml:space="preserve"> </w:t>
      </w:r>
      <w:r w:rsidRPr="00276391">
        <w:rPr>
          <w:lang w:eastAsia="en-AU"/>
        </w:rPr>
        <w:t>collection</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located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hyperlink r:id="rId83" w:tgtFrame="_blank" w:tooltip="link to the Funded Agency Channel website" w:history="1">
        <w:r w:rsidR="00296DCA">
          <w:rPr>
            <w:rStyle w:val="Hyperlink"/>
          </w:rPr>
          <w:t>Funded agency channel</w:t>
        </w:r>
      </w:hyperlink>
      <w:r w:rsidR="00346C01" w:rsidRPr="00276391">
        <w:rPr>
          <w:lang w:eastAsia="en-AU"/>
        </w:rPr>
        <w:t xml:space="preserve"> </w:t>
      </w:r>
      <w:r w:rsidR="00346C01">
        <w:rPr>
          <w:lang w:eastAsia="en-AU"/>
        </w:rPr>
        <w:t>&lt;</w:t>
      </w:r>
      <w:r w:rsidR="004761F4" w:rsidRPr="004761F4">
        <w:rPr>
          <w:lang w:eastAsia="en-AU"/>
        </w:rPr>
        <w:t>https://fac.dhhs.vic.gov.au</w:t>
      </w:r>
      <w:r w:rsidR="00346C01">
        <w:rPr>
          <w:lang w:eastAsia="en-AU"/>
        </w:rPr>
        <w:t>&gt;</w:t>
      </w:r>
      <w:r w:rsidR="005D5532"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AE1173">
        <w:rPr>
          <w:lang w:eastAsia="en-AU"/>
        </w:rPr>
        <w:t xml:space="preserve">, </w:t>
      </w:r>
      <w:r w:rsidR="00EA74AB">
        <w:rPr>
          <w:lang w:eastAsia="en-AU"/>
        </w:rPr>
        <w:t xml:space="preserve">opens in </w:t>
      </w:r>
      <w:r w:rsidR="00C62565">
        <w:rPr>
          <w:lang w:eastAsia="en-AU"/>
        </w:rPr>
        <w:t>a new window</w:t>
      </w:r>
      <w:r w:rsidRPr="00276391">
        <w:rPr>
          <w:lang w:eastAsia="en-AU"/>
        </w:rPr>
        <w: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departmental</w:t>
      </w:r>
      <w:r w:rsidR="005D5532" w:rsidRPr="00276391">
        <w:rPr>
          <w:lang w:eastAsia="en-AU"/>
        </w:rPr>
        <w:t xml:space="preserve"> </w:t>
      </w:r>
      <w:hyperlink r:id="rId84" w:history="1">
        <w:r w:rsidR="00174137" w:rsidRPr="005D7BAC">
          <w:rPr>
            <w:rStyle w:val="Hyperlink"/>
          </w:rPr>
          <w:t>Policy and funding guidelines</w:t>
        </w:r>
      </w:hyperlink>
      <w:r w:rsidR="00174137">
        <w:rPr>
          <w:rStyle w:val="Hyperlink"/>
        </w:rPr>
        <w:t xml:space="preserve"> </w:t>
      </w:r>
      <w:r w:rsidR="007B11D1">
        <w:rPr>
          <w:rFonts w:cs="Arial"/>
          <w:color w:val="000000"/>
          <w:szCs w:val="19"/>
          <w:lang w:eastAsia="en-AU"/>
        </w:rPr>
        <w:t>&lt;</w:t>
      </w:r>
      <w:r w:rsidR="007B11D1" w:rsidRPr="007B11D1">
        <w:rPr>
          <w:rFonts w:cs="Arial"/>
          <w:color w:val="000000"/>
          <w:szCs w:val="19"/>
          <w:lang w:eastAsia="en-AU"/>
        </w:rPr>
        <w:t>https://www.dhhs.vic.gov.au/policy-and-funding-guidelines</w:t>
      </w:r>
      <w:r w:rsidR="007B11D1">
        <w:rPr>
          <w:rFonts w:cs="Arial"/>
          <w:color w:val="000000"/>
          <w:szCs w:val="19"/>
          <w:lang w:eastAsia="en-AU"/>
        </w:rPr>
        <w:t>&gt; (</w:t>
      </w:r>
      <w:r w:rsidR="00AE1173">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007B11D1">
        <w:rPr>
          <w:rFonts w:cs="Arial"/>
          <w:color w:val="000000"/>
          <w:szCs w:val="19"/>
          <w:lang w:eastAsia="en-AU"/>
        </w:rPr>
        <w:t>)</w:t>
      </w:r>
      <w:r w:rsidRPr="00174137">
        <w:rPr>
          <w:rFonts w:cs="Arial"/>
          <w:color w:val="000000"/>
          <w:szCs w:val="19"/>
          <w:lang w:eastAsia="en-AU"/>
        </w:rPr>
        <w:t>.</w:t>
      </w:r>
    </w:p>
    <w:p w14:paraId="563300EA" w14:textId="0531A44B" w:rsidR="00236D2A" w:rsidRPr="00174137" w:rsidRDefault="00236D2A" w:rsidP="00276391">
      <w:pPr>
        <w:pStyle w:val="DHHSbody"/>
        <w:rPr>
          <w:rFonts w:cs="Arial"/>
          <w:color w:val="000000"/>
          <w:szCs w:val="19"/>
          <w:lang w:eastAsia="en-AU"/>
        </w:rPr>
      </w:pPr>
      <w:r>
        <w:rPr>
          <w:rFonts w:cs="Arial"/>
          <w:color w:val="000000"/>
          <w:szCs w:val="19"/>
          <w:lang w:eastAsia="en-AU"/>
        </w:rPr>
        <w:t>General information about data collections is available from data co</w:t>
      </w:r>
      <w:r w:rsidR="003C7B90">
        <w:rPr>
          <w:rFonts w:cs="Arial"/>
          <w:color w:val="000000"/>
          <w:szCs w:val="19"/>
          <w:lang w:eastAsia="en-AU"/>
        </w:rPr>
        <w:t>llection section of the Funded agency c</w:t>
      </w:r>
      <w:r>
        <w:rPr>
          <w:rFonts w:cs="Arial"/>
          <w:color w:val="000000"/>
          <w:szCs w:val="19"/>
          <w:lang w:eastAsia="en-AU"/>
        </w:rPr>
        <w:t>hannel.</w:t>
      </w:r>
    </w:p>
    <w:p w14:paraId="0E7864C6" w14:textId="77777777" w:rsidR="00236748" w:rsidRPr="00276391" w:rsidRDefault="00236748" w:rsidP="00067E93">
      <w:pPr>
        <w:pStyle w:val="Heading4"/>
        <w:rPr>
          <w:lang w:eastAsia="en-AU"/>
        </w:rPr>
      </w:pPr>
      <w:bookmarkStart w:id="362" w:name="_Toc478991815"/>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Tracking</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362"/>
    </w:p>
    <w:p w14:paraId="64B77F54" w14:textId="75D55D71" w:rsidR="00AE1173" w:rsidRPr="00276391" w:rsidRDefault="00DF1D39" w:rsidP="00AE1173">
      <w:pPr>
        <w:pStyle w:val="DHHSbody"/>
        <w:rPr>
          <w:lang w:eastAsia="en-AU"/>
        </w:rPr>
      </w:pPr>
      <w:r>
        <w:rPr>
          <w:rFonts w:cs="Arial"/>
          <w:color w:val="000000"/>
          <w:szCs w:val="19"/>
          <w:lang w:eastAsia="en-AU"/>
        </w:rPr>
        <w:t>The department’s</w:t>
      </w:r>
      <w:r w:rsidR="00AE1173">
        <w:rPr>
          <w:rFonts w:cs="Arial"/>
          <w:color w:val="000000"/>
          <w:szCs w:val="19"/>
          <w:lang w:eastAsia="en-AU"/>
        </w:rPr>
        <w:t xml:space="preserve"> </w:t>
      </w:r>
      <w:r w:rsidR="00AE1173" w:rsidRPr="00B24C02">
        <w:rPr>
          <w:rFonts w:cs="Arial"/>
          <w:color w:val="000000"/>
          <w:szCs w:val="19"/>
          <w:lang w:eastAsia="en-AU"/>
        </w:rPr>
        <w:t xml:space="preserve">service delivery tracking process </w:t>
      </w:r>
      <w:r w:rsidR="00AE1173">
        <w:rPr>
          <w:rFonts w:cs="Arial"/>
          <w:color w:val="000000"/>
          <w:szCs w:val="19"/>
          <w:lang w:eastAsia="en-AU"/>
        </w:rPr>
        <w:t>enables</w:t>
      </w:r>
      <w:r w:rsidR="00AE1173" w:rsidRPr="00B24C02">
        <w:rPr>
          <w:rFonts w:cs="Arial"/>
          <w:color w:val="000000"/>
          <w:szCs w:val="19"/>
          <w:lang w:eastAsia="en-AU"/>
        </w:rPr>
        <w:t xml:space="preserve"> the department and providers </w:t>
      </w:r>
      <w:r w:rsidR="00AE1173">
        <w:rPr>
          <w:rFonts w:cs="Arial"/>
          <w:color w:val="000000"/>
          <w:szCs w:val="19"/>
          <w:lang w:eastAsia="en-AU"/>
        </w:rPr>
        <w:t>to</w:t>
      </w:r>
      <w:r w:rsidR="00AE1173" w:rsidRPr="00B24C02">
        <w:rPr>
          <w:rFonts w:cs="Arial"/>
          <w:color w:val="000000"/>
          <w:szCs w:val="19"/>
          <w:lang w:eastAsia="en-AU"/>
        </w:rPr>
        <w:t xml:space="preserve"> </w:t>
      </w:r>
      <w:r w:rsidR="00AE1173">
        <w:rPr>
          <w:rFonts w:cs="Arial"/>
          <w:color w:val="000000"/>
          <w:szCs w:val="19"/>
          <w:lang w:eastAsia="en-AU"/>
        </w:rPr>
        <w:t xml:space="preserve">have a shared view of service delivery </w:t>
      </w:r>
      <w:r w:rsidR="00AE1173" w:rsidRPr="00B24C02">
        <w:rPr>
          <w:rFonts w:cs="Arial"/>
          <w:color w:val="000000"/>
          <w:szCs w:val="19"/>
          <w:lang w:eastAsia="en-AU"/>
        </w:rPr>
        <w:t xml:space="preserve">against their </w:t>
      </w:r>
      <w:r w:rsidR="009B3052">
        <w:rPr>
          <w:rFonts w:cs="Arial"/>
          <w:color w:val="000000"/>
          <w:szCs w:val="19"/>
          <w:lang w:eastAsia="en-AU"/>
        </w:rPr>
        <w:t>Service agreement</w:t>
      </w:r>
      <w:r w:rsidR="00AE1173" w:rsidRPr="00B24C02">
        <w:rPr>
          <w:rFonts w:cs="Arial"/>
          <w:color w:val="000000"/>
          <w:szCs w:val="19"/>
          <w:lang w:eastAsia="en-AU"/>
        </w:rPr>
        <w:t xml:space="preserve"> targets</w:t>
      </w:r>
      <w:r w:rsidR="00AE1173">
        <w:rPr>
          <w:rFonts w:cs="Arial"/>
          <w:color w:val="000000"/>
          <w:szCs w:val="19"/>
          <w:lang w:eastAsia="en-AU"/>
        </w:rPr>
        <w:t xml:space="preserve"> in a timely manner.</w:t>
      </w:r>
    </w:p>
    <w:p w14:paraId="6E9CB7EB" w14:textId="77777777" w:rsidR="00AE1173" w:rsidRPr="00276391" w:rsidRDefault="00AE1173" w:rsidP="00AE1173">
      <w:pPr>
        <w:pStyle w:val="DHHSbody"/>
        <w:rPr>
          <w:lang w:eastAsia="en-AU"/>
        </w:rPr>
      </w:pPr>
      <w:r w:rsidRPr="00276391">
        <w:rPr>
          <w:lang w:eastAsia="en-AU"/>
        </w:rPr>
        <w:t xml:space="preserve">Organisations funded for in scope activities are required to submit performance data on a monthly basis through an online service delivery tracking tool in </w:t>
      </w:r>
      <w:r>
        <w:rPr>
          <w:lang w:eastAsia="en-AU"/>
        </w:rPr>
        <w:t>Funded agency channel</w:t>
      </w:r>
      <w:r w:rsidRPr="00276391">
        <w:rPr>
          <w:lang w:eastAsia="en-AU"/>
        </w:rPr>
        <w:t xml:space="preserve"> (My Agency).</w:t>
      </w:r>
    </w:p>
    <w:p w14:paraId="0D489C9F" w14:textId="77777777" w:rsidR="00AE1173" w:rsidRDefault="00AE1173" w:rsidP="00AE1173">
      <w:pPr>
        <w:pStyle w:val="DHHSbody"/>
        <w:rPr>
          <w:lang w:eastAsia="en-AU"/>
        </w:rPr>
      </w:pPr>
      <w:r w:rsidRPr="00276391">
        <w:rPr>
          <w:lang w:eastAsia="en-AU"/>
        </w:rPr>
        <w:t xml:space="preserve">Further information about Service Delivery Tracking can be found on the </w:t>
      </w:r>
      <w:r>
        <w:rPr>
          <w:lang w:eastAsia="en-AU"/>
        </w:rPr>
        <w:t>Funded agency channel</w:t>
      </w:r>
      <w:r w:rsidRPr="00276391">
        <w:rPr>
          <w:lang w:eastAsia="en-AU"/>
        </w:rPr>
        <w:t xml:space="preserve">'s </w:t>
      </w:r>
      <w:hyperlink r:id="rId85" w:tgtFrame="_blank" w:tooltip="Link to the Service Delivery Tracking page on Funded Agency Channel" w:history="1">
        <w:r w:rsidRPr="00C94233">
          <w:rPr>
            <w:rStyle w:val="Hyperlink"/>
          </w:rPr>
          <w:t>Service Delivery Tracking webpage</w:t>
        </w:r>
      </w:hyperlink>
      <w:r w:rsidRPr="00276391">
        <w:rPr>
          <w:lang w:eastAsia="en-AU"/>
        </w:rPr>
        <w:t xml:space="preserve"> </w:t>
      </w:r>
      <w:r>
        <w:rPr>
          <w:lang w:eastAsia="en-AU"/>
        </w:rPr>
        <w:t>&lt;</w:t>
      </w:r>
      <w:r w:rsidRPr="005B3D14">
        <w:rPr>
          <w:lang w:eastAsia="en-AU"/>
        </w:rPr>
        <w:t>https://fac.dhhs.vic.gov.au/funded-agency-channel/service-delivery-tracking</w:t>
      </w:r>
      <w:r>
        <w:rPr>
          <w:lang w:eastAsia="en-AU"/>
        </w:rPr>
        <w:t>&gt;</w:t>
      </w:r>
      <w:r w:rsidRPr="002E453D">
        <w:rPr>
          <w:lang w:eastAsia="en-AU"/>
        </w:rPr>
        <w:t xml:space="preserve"> </w:t>
      </w:r>
      <w:r w:rsidRPr="00276391">
        <w:rPr>
          <w:lang w:eastAsia="en-AU"/>
        </w:rPr>
        <w:t xml:space="preserve">(external link, opens in a new window). </w:t>
      </w:r>
    </w:p>
    <w:p w14:paraId="1F2E61F6" w14:textId="77777777" w:rsidR="00236748" w:rsidRPr="00276391" w:rsidRDefault="00236748" w:rsidP="00067E93">
      <w:pPr>
        <w:pStyle w:val="Heading4"/>
        <w:rPr>
          <w:lang w:eastAsia="en-AU"/>
        </w:rPr>
      </w:pPr>
      <w:bookmarkStart w:id="363" w:name="_Toc478991816"/>
      <w:r w:rsidRPr="00276391">
        <w:rPr>
          <w:lang w:eastAsia="en-AU"/>
        </w:rPr>
        <w:t>Standard</w:t>
      </w:r>
      <w:r w:rsidR="005D5532" w:rsidRPr="00276391">
        <w:rPr>
          <w:lang w:eastAsia="en-AU"/>
        </w:rPr>
        <w:t xml:space="preserve"> </w:t>
      </w:r>
      <w:r w:rsidRPr="00276391">
        <w:rPr>
          <w:lang w:eastAsia="en-AU"/>
        </w:rPr>
        <w:t>Chart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Accounts</w:t>
      </w:r>
      <w:bookmarkEnd w:id="363"/>
    </w:p>
    <w:p w14:paraId="5170E0A6" w14:textId="77777777" w:rsidR="00236748" w:rsidRPr="00276391" w:rsidRDefault="00236748" w:rsidP="00276391">
      <w:pPr>
        <w:pStyle w:val="DHHSbody"/>
        <w:rPr>
          <w:lang w:eastAsia="en-AU"/>
        </w:rPr>
      </w:pPr>
      <w:r w:rsidRPr="00B24C02">
        <w:rPr>
          <w:rFonts w:cs="Arial"/>
          <w:color w:val="000000"/>
          <w:szCs w:val="19"/>
          <w:lang w:eastAsia="en-AU"/>
        </w:rPr>
        <w:t>Requests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non-profit</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consistent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Standard</w:t>
      </w:r>
      <w:r w:rsidR="005D5532" w:rsidRPr="00B24C02">
        <w:rPr>
          <w:rFonts w:cs="Arial"/>
          <w:color w:val="000000"/>
          <w:szCs w:val="19"/>
          <w:lang w:eastAsia="en-AU"/>
        </w:rPr>
        <w:t xml:space="preserve"> </w:t>
      </w:r>
      <w:r w:rsidRPr="00B24C02">
        <w:rPr>
          <w:rFonts w:cs="Arial"/>
          <w:color w:val="000000"/>
          <w:szCs w:val="19"/>
          <w:lang w:eastAsia="en-AU"/>
        </w:rPr>
        <w:t>Chart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Accounts</w:t>
      </w:r>
      <w:r w:rsidR="005D5532" w:rsidRPr="00B24C02">
        <w:rPr>
          <w:rFonts w:cs="Arial"/>
          <w:color w:val="000000"/>
          <w:szCs w:val="19"/>
          <w:lang w:eastAsia="en-AU"/>
        </w:rPr>
        <w:t xml:space="preserve"> </w:t>
      </w:r>
      <w:r w:rsidRPr="00B24C02">
        <w:rPr>
          <w:rFonts w:cs="Arial"/>
          <w:color w:val="000000"/>
          <w:szCs w:val="19"/>
          <w:lang w:eastAsia="en-AU"/>
        </w:rPr>
        <w:t>(</w:t>
      </w:r>
      <w:proofErr w:type="spellStart"/>
      <w:r w:rsidRPr="00B24C02">
        <w:rPr>
          <w:rFonts w:cs="Arial"/>
          <w:color w:val="000000"/>
          <w:szCs w:val="19"/>
          <w:lang w:eastAsia="en-AU"/>
        </w:rPr>
        <w:t>SCoA</w:t>
      </w:r>
      <w:proofErr w:type="spellEnd"/>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terminology.</w:t>
      </w:r>
    </w:p>
    <w:p w14:paraId="726728AD" w14:textId="77777777" w:rsidR="00236748" w:rsidRPr="00276391" w:rsidRDefault="00236748" w:rsidP="00276391">
      <w:pPr>
        <w:pStyle w:val="DHHSbody"/>
        <w:rPr>
          <w:lang w:eastAsia="en-AU"/>
        </w:rPr>
      </w:pPr>
      <w:r w:rsidRPr="00276391">
        <w:rPr>
          <w:lang w:eastAsia="en-AU"/>
        </w:rPr>
        <w:lastRenderedPageBreak/>
        <w:t>The</w:t>
      </w:r>
      <w:r w:rsidR="005D5532" w:rsidRPr="00276391">
        <w:rPr>
          <w:lang w:eastAsia="en-AU"/>
        </w:rPr>
        <w:t xml:space="preserve"> </w:t>
      </w:r>
      <w:proofErr w:type="spellStart"/>
      <w:r w:rsidRPr="00276391">
        <w:rPr>
          <w:lang w:eastAsia="en-AU"/>
        </w:rPr>
        <w:t>SCoA</w:t>
      </w:r>
      <w:proofErr w:type="spellEnd"/>
      <w:r w:rsidR="005D5532" w:rsidRPr="00276391">
        <w:rPr>
          <w:lang w:eastAsia="en-AU"/>
        </w:rPr>
        <w:t xml:space="preserve"> </w:t>
      </w:r>
      <w:r w:rsidRPr="00276391">
        <w:rPr>
          <w:lang w:eastAsia="en-AU"/>
        </w:rPr>
        <w:t>was</w:t>
      </w:r>
      <w:r w:rsidR="005D5532" w:rsidRPr="00276391">
        <w:rPr>
          <w:lang w:eastAsia="en-AU"/>
        </w:rPr>
        <w:t xml:space="preserve"> </w:t>
      </w:r>
      <w:r w:rsidRPr="00276391">
        <w:rPr>
          <w:lang w:eastAsia="en-AU"/>
        </w:rPr>
        <w:t>implemented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2010</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accounts</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approach</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collecting</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non-profit</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organisations.</w:t>
      </w:r>
    </w:p>
    <w:p w14:paraId="7A907605" w14:textId="15FFC67A"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proofErr w:type="spellStart"/>
      <w:r w:rsidR="003C7B90">
        <w:rPr>
          <w:lang w:eastAsia="en-AU"/>
        </w:rPr>
        <w:t>SCoA</w:t>
      </w:r>
      <w:proofErr w:type="spellEnd"/>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materials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hyperlink r:id="rId86" w:tgtFrame="_blank" w:history="1">
        <w:r w:rsidRPr="00AA51C9">
          <w:rPr>
            <w:rStyle w:val="Hyperlink"/>
          </w:rPr>
          <w:t>Accounting</w:t>
        </w:r>
        <w:r w:rsidR="005D5532" w:rsidRPr="00AA51C9">
          <w:rPr>
            <w:rStyle w:val="Hyperlink"/>
          </w:rPr>
          <w:t xml:space="preserve"> </w:t>
        </w:r>
        <w:r w:rsidRPr="00AA51C9">
          <w:rPr>
            <w:rStyle w:val="Hyperlink"/>
          </w:rPr>
          <w:t>for</w:t>
        </w:r>
        <w:r w:rsidR="005D5532" w:rsidRPr="00AA51C9">
          <w:rPr>
            <w:rStyle w:val="Hyperlink"/>
          </w:rPr>
          <w:t xml:space="preserve"> </w:t>
        </w:r>
        <w:r w:rsidRPr="00AA51C9">
          <w:rPr>
            <w:rStyle w:val="Hyperlink"/>
          </w:rPr>
          <w:t>Good</w:t>
        </w:r>
      </w:hyperlink>
      <w:r w:rsidR="00C9629F">
        <w:rPr>
          <w:rStyle w:val="Hyperlink"/>
        </w:rPr>
        <w:t xml:space="preserve"> website</w:t>
      </w:r>
      <w:r w:rsidR="006250C7">
        <w:rPr>
          <w:rStyle w:val="Hyperlink"/>
        </w:rPr>
        <w:t xml:space="preserve"> </w:t>
      </w:r>
      <w:r w:rsidR="004C6434">
        <w:rPr>
          <w:lang w:eastAsia="en-AU"/>
        </w:rPr>
        <w:t>&lt;h</w:t>
      </w:r>
      <w:r w:rsidR="008477B6" w:rsidRPr="008477B6">
        <w:rPr>
          <w:lang w:eastAsia="en-AU"/>
        </w:rPr>
        <w:t>ttp://www.accountingforgood.com.au/</w:t>
      </w:r>
      <w:r w:rsidR="008477B6">
        <w:rPr>
          <w:lang w:eastAsia="en-AU"/>
        </w:rPr>
        <w:t>&gt;</w:t>
      </w:r>
      <w:r w:rsidR="008477B6" w:rsidRPr="008477B6">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130CA3B7" w14:textId="77777777" w:rsidR="00236748" w:rsidRPr="00276391" w:rsidRDefault="00236748" w:rsidP="00067E93">
      <w:pPr>
        <w:pStyle w:val="Heading3"/>
        <w:rPr>
          <w:lang w:eastAsia="en-AU"/>
        </w:rPr>
      </w:pPr>
      <w:bookmarkStart w:id="364" w:name="_Toc478991817"/>
      <w:bookmarkStart w:id="365" w:name="_Toc478992388"/>
      <w:bookmarkStart w:id="366" w:name="_Toc4142064"/>
      <w:r w:rsidRPr="00276391">
        <w:rPr>
          <w:lang w:eastAsia="en-AU"/>
        </w:rPr>
        <w:t>3.8.2</w:t>
      </w:r>
      <w:r w:rsidR="009B2351" w:rsidRPr="00276391">
        <w:rPr>
          <w:lang w:eastAsia="en-AU"/>
        </w:rPr>
        <w:t xml:space="preserve"> </w:t>
      </w:r>
      <w:r w:rsidRPr="00276391">
        <w:rPr>
          <w:lang w:eastAsia="en-AU"/>
        </w:rPr>
        <w:t>Financial</w:t>
      </w:r>
      <w:r w:rsidR="009B2351" w:rsidRPr="00276391">
        <w:rPr>
          <w:lang w:eastAsia="en-AU"/>
        </w:rPr>
        <w:t xml:space="preserve"> </w:t>
      </w:r>
      <w:r w:rsidRPr="00276391">
        <w:rPr>
          <w:lang w:eastAsia="en-AU"/>
        </w:rPr>
        <w:t>accountability</w:t>
      </w:r>
      <w:r w:rsidR="009B2351" w:rsidRPr="00276391">
        <w:rPr>
          <w:lang w:eastAsia="en-AU"/>
        </w:rPr>
        <w:t xml:space="preserve"> </w:t>
      </w:r>
      <w:r w:rsidRPr="00276391">
        <w:rPr>
          <w:lang w:eastAsia="en-AU"/>
        </w:rPr>
        <w:t>requirements</w:t>
      </w:r>
      <w:bookmarkEnd w:id="364"/>
      <w:bookmarkEnd w:id="365"/>
      <w:bookmarkEnd w:id="366"/>
    </w:p>
    <w:p w14:paraId="66F16DBB" w14:textId="23356F7B"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report</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accountability</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basis.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confirms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6</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8</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570B9F5C" w14:textId="15622526"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attach</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data</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URLs</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0736B3">
        <w:rPr>
          <w:lang w:eastAsia="en-AU"/>
        </w:rPr>
        <w:t>m</w:t>
      </w:r>
      <w:r w:rsidRPr="00276391">
        <w:rPr>
          <w:lang w:eastAsia="en-AU"/>
        </w:rPr>
        <w:t>odule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296DCA">
        <w:rPr>
          <w:lang w:eastAsia="en-AU"/>
        </w:rPr>
        <w:t>Funded agency channel</w:t>
      </w:r>
      <w:r w:rsidRPr="00276391">
        <w:rPr>
          <w:lang w:eastAsia="en-AU"/>
        </w:rPr>
        <w: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location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Report,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Indicator</w:t>
      </w:r>
      <w:r w:rsidR="005D5532" w:rsidRPr="00276391">
        <w:rPr>
          <w:lang w:eastAsia="en-AU"/>
        </w:rPr>
        <w:t xml:space="preserve"> </w:t>
      </w:r>
      <w:r w:rsidRPr="00276391">
        <w:rPr>
          <w:lang w:eastAsia="en-AU"/>
        </w:rPr>
        <w:t>Statement</w:t>
      </w:r>
      <w:r w:rsidR="005D5532" w:rsidRPr="00276391">
        <w:rPr>
          <w:lang w:eastAsia="en-AU"/>
        </w:rPr>
        <w:t xml:space="preserve"> </w:t>
      </w:r>
      <w:r w:rsidR="000736B3">
        <w:rPr>
          <w:lang w:eastAsia="en-AU"/>
        </w:rPr>
        <w:t xml:space="preserve">(FIS) </w:t>
      </w:r>
      <w:r w:rsidRPr="00276391">
        <w:rPr>
          <w:lang w:eastAsia="en-AU"/>
        </w:rPr>
        <w:t>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Cash</w:t>
      </w:r>
      <w:r w:rsidR="005D5532" w:rsidRPr="00276391">
        <w:rPr>
          <w:lang w:eastAsia="en-AU"/>
        </w:rPr>
        <w:t xml:space="preserve"> </w:t>
      </w:r>
      <w:r w:rsidRPr="00276391">
        <w:rPr>
          <w:lang w:eastAsia="en-AU"/>
        </w:rPr>
        <w:t>Indicator</w:t>
      </w:r>
      <w:r w:rsidR="005D5532" w:rsidRPr="00276391">
        <w:rPr>
          <w:lang w:eastAsia="en-AU"/>
        </w:rPr>
        <w:t xml:space="preserve"> </w:t>
      </w:r>
      <w:r w:rsidRPr="00276391">
        <w:rPr>
          <w:lang w:eastAsia="en-AU"/>
        </w:rPr>
        <w:t>Statement</w:t>
      </w:r>
      <w:r w:rsidR="000736B3">
        <w:rPr>
          <w:lang w:eastAsia="en-AU"/>
        </w:rPr>
        <w:t xml:space="preserve"> (CIS)</w:t>
      </w:r>
      <w:r w:rsidRPr="00276391">
        <w:rPr>
          <w:lang w:eastAsia="en-AU"/>
        </w:rPr>
        <w:t>.</w:t>
      </w:r>
    </w:p>
    <w:p w14:paraId="73ED72FF" w14:textId="3BB509EE"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receives</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Accountability</w:t>
      </w:r>
      <w:r w:rsidR="005D5532" w:rsidRPr="00276391">
        <w:rPr>
          <w:lang w:eastAsia="en-AU"/>
        </w:rPr>
        <w:t xml:space="preserve"> </w:t>
      </w:r>
      <w:r w:rsidRPr="00276391">
        <w:rPr>
          <w:lang w:eastAsia="en-AU"/>
        </w:rPr>
        <w:t>Requirement</w:t>
      </w:r>
      <w:r w:rsidR="005D5532" w:rsidRPr="00276391">
        <w:rPr>
          <w:lang w:eastAsia="en-AU"/>
        </w:rPr>
        <w:t xml:space="preserve"> </w:t>
      </w:r>
      <w:r w:rsidRPr="00276391">
        <w:rPr>
          <w:lang w:eastAsia="en-AU"/>
        </w:rPr>
        <w:t>(FAR)</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cover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for</w:t>
      </w:r>
      <w:r w:rsidR="005D5532" w:rsidRPr="00276391">
        <w:rPr>
          <w:lang w:eastAsia="en-AU"/>
        </w:rPr>
        <w:t xml:space="preserve"> </w:t>
      </w:r>
      <w:r w:rsidR="00DF1D39">
        <w:rPr>
          <w:lang w:eastAsia="en-AU"/>
        </w:rPr>
        <w:t>Department Health and Human Services and Department Education and Training.</w:t>
      </w:r>
    </w:p>
    <w:p w14:paraId="77619406" w14:textId="77777777" w:rsidR="00236748" w:rsidRPr="00276391" w:rsidRDefault="00236748" w:rsidP="00276391">
      <w:pPr>
        <w:pStyle w:val="DHHSbody"/>
        <w:rPr>
          <w:lang w:eastAsia="en-AU"/>
        </w:rPr>
      </w:pPr>
      <w:r w:rsidRPr="00276391">
        <w:rPr>
          <w:lang w:eastAsia="en-AU"/>
        </w:rPr>
        <w:t>FAR</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assists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financially</w:t>
      </w:r>
      <w:r w:rsidR="005D5532" w:rsidRPr="00276391">
        <w:rPr>
          <w:lang w:eastAsia="en-AU"/>
        </w:rPr>
        <w:t xml:space="preserve"> </w:t>
      </w:r>
      <w:r w:rsidRPr="00276391">
        <w:rPr>
          <w:lang w:eastAsia="en-AU"/>
        </w:rPr>
        <w:t>sustainable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system.</w:t>
      </w:r>
      <w:r w:rsidR="005D5532" w:rsidRPr="00276391">
        <w:rPr>
          <w:lang w:eastAsia="en-AU"/>
        </w:rPr>
        <w:t xml:space="preserve"> </w:t>
      </w:r>
      <w:r w:rsidRPr="00276391">
        <w:rPr>
          <w:lang w:eastAsia="en-AU"/>
        </w:rPr>
        <w:t>Finance</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analyse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monitor</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position</w:t>
      </w:r>
      <w:r w:rsidR="005D5532" w:rsidRPr="00276391">
        <w:rPr>
          <w:lang w:eastAsia="en-AU"/>
        </w:rPr>
        <w:t xml:space="preserve"> </w:t>
      </w:r>
      <w:r w:rsidRPr="00276391">
        <w:rPr>
          <w:lang w:eastAsia="en-AU"/>
        </w:rPr>
        <w:t>trends</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time.</w:t>
      </w:r>
    </w:p>
    <w:p w14:paraId="75789FE4" w14:textId="77777777" w:rsidR="00236748" w:rsidRPr="00276391" w:rsidRDefault="00236748" w:rsidP="00067E93">
      <w:pPr>
        <w:pStyle w:val="Heading4"/>
        <w:rPr>
          <w:lang w:eastAsia="en-AU"/>
        </w:rPr>
      </w:pPr>
      <w:bookmarkStart w:id="367" w:name="_Toc478991818"/>
      <w:r w:rsidRPr="00276391">
        <w:rPr>
          <w:lang w:eastAsia="en-AU"/>
        </w:rPr>
        <w:t>Annual</w:t>
      </w:r>
      <w:r w:rsidR="005D5532" w:rsidRPr="00276391">
        <w:rPr>
          <w:lang w:eastAsia="en-AU"/>
        </w:rPr>
        <w:t xml:space="preserve"> </w:t>
      </w:r>
      <w:r w:rsidRPr="00276391">
        <w:rPr>
          <w:lang w:eastAsia="en-AU"/>
        </w:rPr>
        <w:t>FAR</w:t>
      </w:r>
      <w:r w:rsidR="005D5532" w:rsidRPr="00276391">
        <w:rPr>
          <w:lang w:eastAsia="en-AU"/>
        </w:rPr>
        <w:t xml:space="preserve"> </w:t>
      </w:r>
      <w:r w:rsidRPr="00276391">
        <w:rPr>
          <w:lang w:eastAsia="en-AU"/>
        </w:rPr>
        <w:t>requirements</w:t>
      </w:r>
      <w:bookmarkEnd w:id="367"/>
    </w:p>
    <w:p w14:paraId="2F9AD575" w14:textId="77777777" w:rsidR="00236748" w:rsidRPr="00276391" w:rsidRDefault="00236748" w:rsidP="00276391">
      <w:pPr>
        <w:pStyle w:val="DHHSbody"/>
        <w:rPr>
          <w:lang w:eastAsia="en-AU"/>
        </w:rPr>
      </w:pPr>
      <w:r w:rsidRPr="00B24C02">
        <w:rPr>
          <w:rFonts w:cs="Arial"/>
          <w:color w:val="000000"/>
          <w:szCs w:val="19"/>
          <w:lang w:eastAsia="en-AU"/>
        </w:rPr>
        <w:t>Your</w:t>
      </w:r>
      <w:r w:rsidR="005D5532" w:rsidRPr="00B24C02">
        <w:rPr>
          <w:rFonts w:cs="Arial"/>
          <w:color w:val="000000"/>
          <w:szCs w:val="19"/>
          <w:lang w:eastAsia="en-AU"/>
        </w:rPr>
        <w:t xml:space="preserve"> </w:t>
      </w:r>
      <w:r w:rsidRPr="00B24C02">
        <w:rPr>
          <w:rFonts w:cs="Arial"/>
          <w:color w:val="000000"/>
          <w:szCs w:val="19"/>
          <w:lang w:eastAsia="en-AU"/>
        </w:rPr>
        <w:t>annual</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statements/annual</w:t>
      </w:r>
      <w:r w:rsidR="005D5532" w:rsidRPr="00B24C02">
        <w:rPr>
          <w:rFonts w:cs="Arial"/>
          <w:color w:val="000000"/>
          <w:szCs w:val="19"/>
          <w:lang w:eastAsia="en-AU"/>
        </w:rPr>
        <w:t xml:space="preserve"> </w:t>
      </w:r>
      <w:r w:rsidRPr="00B24C02">
        <w:rPr>
          <w:rFonts w:cs="Arial"/>
          <w:color w:val="000000"/>
          <w:szCs w:val="19"/>
          <w:lang w:eastAsia="en-AU"/>
        </w:rPr>
        <w:t>report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preferred</w:t>
      </w:r>
      <w:r w:rsidR="005D5532" w:rsidRPr="00B24C02">
        <w:rPr>
          <w:rFonts w:cs="Arial"/>
          <w:color w:val="000000"/>
          <w:szCs w:val="19"/>
          <w:lang w:eastAsia="en-AU"/>
        </w:rPr>
        <w:t xml:space="preserve"> </w:t>
      </w:r>
      <w:r w:rsidRPr="00B24C02">
        <w:rPr>
          <w:rFonts w:cs="Arial"/>
          <w:color w:val="000000"/>
          <w:szCs w:val="19"/>
          <w:lang w:eastAsia="en-AU"/>
        </w:rPr>
        <w:t>documentation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supplied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your</w:t>
      </w:r>
      <w:r w:rsidR="005D5532" w:rsidRPr="00B24C02">
        <w:rPr>
          <w:rFonts w:cs="Arial"/>
          <w:color w:val="000000"/>
          <w:szCs w:val="19"/>
          <w:lang w:eastAsia="en-AU"/>
        </w:rPr>
        <w:t xml:space="preserve"> </w:t>
      </w:r>
      <w:r w:rsidRPr="00B24C02">
        <w:rPr>
          <w:rFonts w:cs="Arial"/>
          <w:color w:val="000000"/>
          <w:szCs w:val="19"/>
          <w:lang w:eastAsia="en-AU"/>
        </w:rPr>
        <w:t>FAR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SACC.</w:t>
      </w:r>
    </w:p>
    <w:p w14:paraId="61FBA512" w14:textId="7A975C05"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your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legally</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produce</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you</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download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either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CIS</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your</w:t>
      </w:r>
      <w:r w:rsidR="005D5532" w:rsidRPr="00276391">
        <w:rPr>
          <w:lang w:eastAsia="en-AU"/>
        </w:rPr>
        <w:t xml:space="preserve"> </w:t>
      </w:r>
      <w:r w:rsidRPr="00276391">
        <w:rPr>
          <w:lang w:eastAsia="en-AU"/>
        </w:rPr>
        <w:t>total</w:t>
      </w:r>
      <w:r w:rsidR="005D5532" w:rsidRPr="00276391">
        <w:rPr>
          <w:lang w:eastAsia="en-AU"/>
        </w:rPr>
        <w:t xml:space="preserve"> </w:t>
      </w:r>
      <w:r w:rsidRPr="00276391">
        <w:rPr>
          <w:lang w:eastAsia="en-AU"/>
        </w:rPr>
        <w:t>income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less</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$250,000)</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FIS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Auditor’s</w:t>
      </w:r>
      <w:r w:rsidR="005D5532" w:rsidRPr="00276391">
        <w:rPr>
          <w:lang w:eastAsia="en-AU"/>
        </w:rPr>
        <w:t xml:space="preserve"> </w:t>
      </w:r>
      <w:r w:rsidR="003360F5">
        <w:rPr>
          <w:lang w:eastAsia="en-AU"/>
        </w:rPr>
        <w:t>Statement</w:t>
      </w:r>
      <w:r w:rsidR="005D5532" w:rsidRPr="00276391">
        <w:rPr>
          <w:lang w:eastAsia="en-AU"/>
        </w:rPr>
        <w:t xml:space="preserve"> </w:t>
      </w:r>
      <w:r w:rsidRPr="00276391">
        <w:rPr>
          <w:lang w:eastAsia="en-AU"/>
        </w:rPr>
        <w:t>templates</w:t>
      </w:r>
      <w:r w:rsidR="003360F5">
        <w:rPr>
          <w:lang w:eastAsia="en-AU"/>
        </w:rPr>
        <w:t>,</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below.</w:t>
      </w:r>
    </w:p>
    <w:p w14:paraId="0DF88CE4" w14:textId="46126694" w:rsidR="00236748" w:rsidRPr="00276391" w:rsidRDefault="003360F5" w:rsidP="00276391">
      <w:pPr>
        <w:pStyle w:val="DHHSbody"/>
        <w:rPr>
          <w:lang w:eastAsia="en-AU"/>
        </w:rPr>
      </w:pPr>
      <w:r>
        <w:rPr>
          <w:lang w:eastAsia="en-AU"/>
        </w:rPr>
        <w:t>Financial statement/annual reports are</w:t>
      </w:r>
      <w:r w:rsidR="005D5532" w:rsidRPr="00276391">
        <w:rPr>
          <w:lang w:eastAsia="en-AU"/>
        </w:rPr>
        <w:t xml:space="preserve"> </w:t>
      </w:r>
      <w:r w:rsidR="00236748" w:rsidRPr="00276391">
        <w:rPr>
          <w:lang w:eastAsia="en-AU"/>
        </w:rPr>
        <w:t>not</w:t>
      </w:r>
      <w:r w:rsidR="005D5532" w:rsidRPr="00276391">
        <w:rPr>
          <w:lang w:eastAsia="en-AU"/>
        </w:rPr>
        <w:t xml:space="preserve"> </w:t>
      </w:r>
      <w:r w:rsidR="00236748" w:rsidRPr="00276391">
        <w:rPr>
          <w:lang w:eastAsia="en-AU"/>
        </w:rPr>
        <w:t>required</w:t>
      </w:r>
      <w:r w:rsidR="005D5532" w:rsidRPr="00276391">
        <w:rPr>
          <w:lang w:eastAsia="en-AU"/>
        </w:rPr>
        <w:t xml:space="preserve"> </w:t>
      </w:r>
      <w:r w:rsidR="00236748" w:rsidRPr="00276391">
        <w:rPr>
          <w:lang w:eastAsia="en-AU"/>
        </w:rPr>
        <w:t>from</w:t>
      </w:r>
      <w:r w:rsidR="005D5532" w:rsidRPr="00276391">
        <w:rPr>
          <w:lang w:eastAsia="en-AU"/>
        </w:rPr>
        <w:t xml:space="preserve"> </w:t>
      </w:r>
      <w:r w:rsidR="00236748" w:rsidRPr="00276391">
        <w:rPr>
          <w:lang w:eastAsia="en-AU"/>
        </w:rPr>
        <w:t>Local</w:t>
      </w:r>
      <w:r w:rsidR="005D5532" w:rsidRPr="00276391">
        <w:rPr>
          <w:lang w:eastAsia="en-AU"/>
        </w:rPr>
        <w:t xml:space="preserve"> </w:t>
      </w:r>
      <w:r w:rsidR="00236748" w:rsidRPr="00276391">
        <w:rPr>
          <w:lang w:eastAsia="en-AU"/>
        </w:rPr>
        <w:t>Government,</w:t>
      </w:r>
      <w:r w:rsidR="005D5532" w:rsidRPr="00276391">
        <w:rPr>
          <w:lang w:eastAsia="en-AU"/>
        </w:rPr>
        <w:t xml:space="preserve"> </w:t>
      </w:r>
      <w:r w:rsidR="00236748" w:rsidRPr="00276391">
        <w:rPr>
          <w:lang w:eastAsia="en-AU"/>
        </w:rPr>
        <w:t>Government</w:t>
      </w:r>
      <w:r w:rsidR="005D5532" w:rsidRPr="00276391">
        <w:rPr>
          <w:lang w:eastAsia="en-AU"/>
        </w:rPr>
        <w:t xml:space="preserve"> </w:t>
      </w:r>
      <w:r w:rsidR="00236748" w:rsidRPr="00276391">
        <w:rPr>
          <w:lang w:eastAsia="en-AU"/>
        </w:rPr>
        <w:t>schools,</w:t>
      </w:r>
      <w:r w:rsidR="005D5532" w:rsidRPr="00276391">
        <w:rPr>
          <w:lang w:eastAsia="en-AU"/>
        </w:rPr>
        <w:t xml:space="preserve"> </w:t>
      </w:r>
      <w:r w:rsidR="00236748" w:rsidRPr="00276391">
        <w:rPr>
          <w:lang w:eastAsia="en-AU"/>
        </w:rPr>
        <w:t>Universities,</w:t>
      </w:r>
      <w:r w:rsidR="005D5532" w:rsidRPr="00276391">
        <w:rPr>
          <w:lang w:eastAsia="en-AU"/>
        </w:rPr>
        <w:t xml:space="preserve"> </w:t>
      </w:r>
      <w:r w:rsidR="00236748" w:rsidRPr="00276391">
        <w:rPr>
          <w:lang w:eastAsia="en-AU"/>
        </w:rPr>
        <w:t>TAFE</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Non-Incorporated</w:t>
      </w:r>
      <w:r w:rsidR="005D5532" w:rsidRPr="00276391">
        <w:rPr>
          <w:lang w:eastAsia="en-AU"/>
        </w:rPr>
        <w:t xml:space="preserve"> </w:t>
      </w:r>
      <w:r w:rsidR="00236748" w:rsidRPr="00276391">
        <w:rPr>
          <w:lang w:eastAsia="en-AU"/>
        </w:rPr>
        <w:t>Consortia.</w:t>
      </w:r>
      <w:r w:rsidR="005D5532" w:rsidRPr="00276391">
        <w:rPr>
          <w:lang w:eastAsia="en-AU"/>
        </w:rPr>
        <w:t xml:space="preserve"> </w:t>
      </w:r>
      <w:r w:rsidR="00236748" w:rsidRPr="00276391">
        <w:rPr>
          <w:lang w:eastAsia="en-AU"/>
        </w:rPr>
        <w:t>These</w:t>
      </w:r>
      <w:r w:rsidR="005D5532" w:rsidRPr="00276391">
        <w:rPr>
          <w:lang w:eastAsia="en-AU"/>
        </w:rPr>
        <w:t xml:space="preserve"> </w:t>
      </w:r>
      <w:r w:rsidR="00236748" w:rsidRPr="00276391">
        <w:rPr>
          <w:lang w:eastAsia="en-AU"/>
        </w:rPr>
        <w:t>organisations</w:t>
      </w:r>
      <w:r w:rsidR="005D5532" w:rsidRPr="00276391">
        <w:rPr>
          <w:lang w:eastAsia="en-AU"/>
        </w:rPr>
        <w:t xml:space="preserve"> </w:t>
      </w:r>
      <w:r w:rsidR="00236748" w:rsidRPr="00276391">
        <w:rPr>
          <w:lang w:eastAsia="en-AU"/>
        </w:rPr>
        <w:t>need</w:t>
      </w:r>
      <w:r w:rsidR="005D5532" w:rsidRPr="00276391">
        <w:rPr>
          <w:lang w:eastAsia="en-AU"/>
        </w:rPr>
        <w:t xml:space="preserve"> </w:t>
      </w:r>
      <w:r w:rsidR="00236748" w:rsidRPr="00276391">
        <w:rPr>
          <w:lang w:eastAsia="en-AU"/>
        </w:rPr>
        <w:t>only</w:t>
      </w:r>
      <w:r w:rsidR="005D5532" w:rsidRPr="00276391">
        <w:rPr>
          <w:lang w:eastAsia="en-AU"/>
        </w:rPr>
        <w:t xml:space="preserve"> </w:t>
      </w:r>
      <w:r w:rsidR="00236748" w:rsidRPr="00276391">
        <w:rPr>
          <w:lang w:eastAsia="en-AU"/>
        </w:rPr>
        <w:t>provide</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Annual</w:t>
      </w:r>
      <w:r w:rsidR="005D5532" w:rsidRPr="00276391">
        <w:rPr>
          <w:lang w:eastAsia="en-AU"/>
        </w:rPr>
        <w:t xml:space="preserve"> </w:t>
      </w:r>
      <w:r w:rsidR="00236748" w:rsidRPr="00276391">
        <w:rPr>
          <w:lang w:eastAsia="en-AU"/>
        </w:rPr>
        <w:t>Certification</w:t>
      </w:r>
      <w:r w:rsidR="005D5532" w:rsidRPr="00276391">
        <w:rPr>
          <w:lang w:eastAsia="en-AU"/>
        </w:rPr>
        <w:t xml:space="preserve"> </w:t>
      </w:r>
      <w:r w:rsidR="00236748" w:rsidRPr="00276391">
        <w:rPr>
          <w:lang w:eastAsia="en-AU"/>
        </w:rPr>
        <w:t>as</w:t>
      </w:r>
      <w:r w:rsidR="005D5532" w:rsidRPr="00276391">
        <w:rPr>
          <w:lang w:eastAsia="en-AU"/>
        </w:rPr>
        <w:t xml:space="preserve"> </w:t>
      </w:r>
      <w:r w:rsidR="00236748" w:rsidRPr="00276391">
        <w:rPr>
          <w:lang w:eastAsia="en-AU"/>
        </w:rPr>
        <w:t>part</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236748" w:rsidRPr="00276391">
        <w:rPr>
          <w:lang w:eastAsia="en-AU"/>
        </w:rPr>
        <w:t>Compliance</w:t>
      </w:r>
      <w:r w:rsidR="005D5532" w:rsidRPr="00276391">
        <w:rPr>
          <w:lang w:eastAsia="en-AU"/>
        </w:rPr>
        <w:t xml:space="preserve"> </w:t>
      </w:r>
      <w:r w:rsidR="00236748" w:rsidRPr="00276391">
        <w:rPr>
          <w:lang w:eastAsia="en-AU"/>
        </w:rPr>
        <w:t>Certification</w:t>
      </w:r>
      <w:r w:rsidR="005D5532" w:rsidRPr="00276391">
        <w:rPr>
          <w:lang w:eastAsia="en-AU"/>
        </w:rPr>
        <w:t xml:space="preserve"> </w:t>
      </w:r>
      <w:r w:rsidR="00236748" w:rsidRPr="00276391">
        <w:rPr>
          <w:lang w:eastAsia="en-AU"/>
        </w:rPr>
        <w:t>(SACC).</w:t>
      </w:r>
    </w:p>
    <w:p w14:paraId="1341C925" w14:textId="77777777" w:rsidR="00236748" w:rsidRPr="003F52B3" w:rsidRDefault="00236748" w:rsidP="003624DD">
      <w:pPr>
        <w:pStyle w:val="Heading4"/>
        <w:rPr>
          <w:lang w:eastAsia="en-AU"/>
        </w:rPr>
      </w:pPr>
      <w:bookmarkStart w:id="368" w:name="_Toc478991819"/>
      <w:r w:rsidRPr="003F52B3">
        <w:rPr>
          <w:lang w:eastAsia="en-AU"/>
        </w:rPr>
        <w:t>Standard</w:t>
      </w:r>
      <w:r w:rsidR="005D5532" w:rsidRPr="003F52B3">
        <w:rPr>
          <w:lang w:eastAsia="en-AU"/>
        </w:rPr>
        <w:t xml:space="preserve"> </w:t>
      </w:r>
      <w:r w:rsidRPr="003F52B3">
        <w:rPr>
          <w:lang w:eastAsia="en-AU"/>
        </w:rPr>
        <w:t>financial</w:t>
      </w:r>
      <w:r w:rsidR="005D5532" w:rsidRPr="003F52B3">
        <w:rPr>
          <w:lang w:eastAsia="en-AU"/>
        </w:rPr>
        <w:t xml:space="preserve"> </w:t>
      </w:r>
      <w:r w:rsidRPr="003F52B3">
        <w:rPr>
          <w:lang w:eastAsia="en-AU"/>
        </w:rPr>
        <w:t>reporting</w:t>
      </w:r>
      <w:r w:rsidR="005D5532" w:rsidRPr="003F52B3">
        <w:rPr>
          <w:lang w:eastAsia="en-AU"/>
        </w:rPr>
        <w:t xml:space="preserve"> </w:t>
      </w:r>
      <w:r w:rsidRPr="003F52B3">
        <w:rPr>
          <w:lang w:eastAsia="en-AU"/>
        </w:rPr>
        <w:t>templates</w:t>
      </w:r>
      <w:bookmarkEnd w:id="368"/>
    </w:p>
    <w:p w14:paraId="5DCE3A66" w14:textId="4810451D" w:rsidR="00236748" w:rsidRDefault="004C77F8" w:rsidP="00276391">
      <w:pPr>
        <w:pStyle w:val="DHHSbody"/>
        <w:rPr>
          <w:rFonts w:cs="Arial"/>
          <w:color w:val="000000"/>
          <w:szCs w:val="19"/>
          <w:lang w:eastAsia="en-AU"/>
        </w:rPr>
      </w:pPr>
      <w:r>
        <w:rPr>
          <w:rFonts w:cs="Arial"/>
          <w:color w:val="000000"/>
          <w:szCs w:val="19"/>
          <w:lang w:eastAsia="en-AU"/>
        </w:rPr>
        <w:t xml:space="preserve">Organisations </w:t>
      </w:r>
      <w:r w:rsidR="00236748" w:rsidRPr="00B24C02">
        <w:rPr>
          <w:rFonts w:cs="Arial"/>
          <w:color w:val="000000"/>
          <w:szCs w:val="19"/>
          <w:lang w:eastAsia="en-AU"/>
        </w:rPr>
        <w:t>should</w:t>
      </w:r>
      <w:r w:rsidR="005D5532" w:rsidRPr="00B24C02">
        <w:rPr>
          <w:rFonts w:cs="Arial"/>
          <w:color w:val="000000"/>
          <w:szCs w:val="19"/>
          <w:lang w:eastAsia="en-AU"/>
        </w:rPr>
        <w:t xml:space="preserve"> </w:t>
      </w:r>
      <w:r w:rsidR="00236748" w:rsidRPr="00B24C02">
        <w:rPr>
          <w:rFonts w:cs="Arial"/>
          <w:color w:val="000000"/>
          <w:szCs w:val="19"/>
          <w:lang w:eastAsia="en-AU"/>
        </w:rPr>
        <w:t>ensure</w:t>
      </w:r>
      <w:r w:rsidR="005D5532" w:rsidRPr="00B24C02">
        <w:rPr>
          <w:rFonts w:cs="Arial"/>
          <w:color w:val="000000"/>
          <w:szCs w:val="19"/>
          <w:lang w:eastAsia="en-AU"/>
        </w:rPr>
        <w:t xml:space="preserve"> </w:t>
      </w:r>
      <w:r w:rsidR="00236748" w:rsidRPr="00B24C02">
        <w:rPr>
          <w:rFonts w:cs="Arial"/>
          <w:color w:val="000000"/>
          <w:szCs w:val="19"/>
          <w:lang w:eastAsia="en-AU"/>
        </w:rPr>
        <w:t>that</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applicable</w:t>
      </w:r>
      <w:r w:rsidR="005D5532" w:rsidRPr="00B24C02">
        <w:rPr>
          <w:rFonts w:cs="Arial"/>
          <w:color w:val="000000"/>
          <w:szCs w:val="19"/>
          <w:lang w:eastAsia="en-AU"/>
        </w:rPr>
        <w:t xml:space="preserve"> </w:t>
      </w:r>
      <w:r w:rsidR="00236748" w:rsidRPr="00B24C02">
        <w:rPr>
          <w:rFonts w:cs="Arial"/>
          <w:color w:val="000000"/>
          <w:szCs w:val="19"/>
          <w:lang w:eastAsia="en-AU"/>
        </w:rPr>
        <w:t>reporting</w:t>
      </w:r>
      <w:r w:rsidR="005D5532" w:rsidRPr="00B24C02">
        <w:rPr>
          <w:rFonts w:cs="Arial"/>
          <w:color w:val="000000"/>
          <w:szCs w:val="19"/>
          <w:lang w:eastAsia="en-AU"/>
        </w:rPr>
        <w:t xml:space="preserve"> </w:t>
      </w:r>
      <w:r w:rsidR="00236748" w:rsidRPr="00B24C02">
        <w:rPr>
          <w:rFonts w:cs="Arial"/>
          <w:color w:val="000000"/>
          <w:szCs w:val="19"/>
          <w:lang w:eastAsia="en-AU"/>
        </w:rPr>
        <w:t>period</w:t>
      </w:r>
      <w:r w:rsidR="005D5532" w:rsidRPr="00B24C02">
        <w:rPr>
          <w:rFonts w:cs="Arial"/>
          <w:color w:val="000000"/>
          <w:szCs w:val="19"/>
          <w:lang w:eastAsia="en-AU"/>
        </w:rPr>
        <w:t xml:space="preserve"> </w:t>
      </w:r>
      <w:r w:rsidR="00236748" w:rsidRPr="00B24C02">
        <w:rPr>
          <w:rFonts w:cs="Arial"/>
          <w:color w:val="000000"/>
          <w:szCs w:val="19"/>
          <w:lang w:eastAsia="en-AU"/>
        </w:rPr>
        <w:t>is</w:t>
      </w:r>
      <w:r w:rsidR="005D5532" w:rsidRPr="00B24C02">
        <w:rPr>
          <w:rFonts w:cs="Arial"/>
          <w:color w:val="000000"/>
          <w:szCs w:val="19"/>
          <w:lang w:eastAsia="en-AU"/>
        </w:rPr>
        <w:t xml:space="preserve"> </w:t>
      </w:r>
      <w:r w:rsidR="00236748" w:rsidRPr="00B24C02">
        <w:rPr>
          <w:rFonts w:cs="Arial"/>
          <w:color w:val="000000"/>
          <w:szCs w:val="19"/>
          <w:lang w:eastAsia="en-AU"/>
        </w:rPr>
        <w:t>inserted</w:t>
      </w:r>
      <w:r w:rsidR="005D5532" w:rsidRPr="00B24C02">
        <w:rPr>
          <w:rFonts w:cs="Arial"/>
          <w:color w:val="000000"/>
          <w:szCs w:val="19"/>
          <w:lang w:eastAsia="en-AU"/>
        </w:rPr>
        <w:t xml:space="preserve"> </w:t>
      </w:r>
      <w:r w:rsidR="00236748" w:rsidRPr="00B24C02">
        <w:rPr>
          <w:rFonts w:cs="Arial"/>
          <w:color w:val="000000"/>
          <w:szCs w:val="19"/>
          <w:lang w:eastAsia="en-AU"/>
        </w:rPr>
        <w:t>(for</w:t>
      </w:r>
      <w:r w:rsidR="005D5532" w:rsidRPr="00B24C02">
        <w:rPr>
          <w:rFonts w:cs="Arial"/>
          <w:color w:val="000000"/>
          <w:szCs w:val="19"/>
          <w:lang w:eastAsia="en-AU"/>
        </w:rPr>
        <w:t xml:space="preserve"> </w:t>
      </w:r>
      <w:r w:rsidR="00236748" w:rsidRPr="00B24C02">
        <w:rPr>
          <w:rFonts w:cs="Arial"/>
          <w:color w:val="000000"/>
          <w:szCs w:val="19"/>
          <w:lang w:eastAsia="en-AU"/>
        </w:rPr>
        <w:t>example</w:t>
      </w:r>
      <w:r w:rsidR="005D5532" w:rsidRPr="00B24C02">
        <w:rPr>
          <w:rFonts w:cs="Arial"/>
          <w:color w:val="000000"/>
          <w:szCs w:val="19"/>
          <w:lang w:eastAsia="en-AU"/>
        </w:rPr>
        <w:t xml:space="preserve"> </w:t>
      </w:r>
      <w:r w:rsidR="00236748" w:rsidRPr="00B24C02">
        <w:rPr>
          <w:rFonts w:cs="Arial"/>
          <w:color w:val="000000"/>
          <w:szCs w:val="19"/>
          <w:lang w:eastAsia="en-AU"/>
        </w:rPr>
        <w:t>1</w:t>
      </w:r>
      <w:r w:rsidR="005D5532" w:rsidRPr="00B24C02">
        <w:rPr>
          <w:rFonts w:cs="Arial"/>
          <w:color w:val="000000"/>
          <w:szCs w:val="19"/>
          <w:lang w:eastAsia="en-AU"/>
        </w:rPr>
        <w:t xml:space="preserve"> </w:t>
      </w:r>
      <w:r w:rsidR="00236748" w:rsidRPr="00B24C02">
        <w:rPr>
          <w:rFonts w:cs="Arial"/>
          <w:color w:val="000000"/>
          <w:szCs w:val="19"/>
          <w:lang w:eastAsia="en-AU"/>
        </w:rPr>
        <w:t>Jul</w:t>
      </w:r>
      <w:r w:rsidR="005D5532" w:rsidRPr="00B24C02">
        <w:rPr>
          <w:rFonts w:cs="Arial"/>
          <w:color w:val="000000"/>
          <w:szCs w:val="19"/>
          <w:lang w:eastAsia="en-AU"/>
        </w:rPr>
        <w:t xml:space="preserve"> </w:t>
      </w:r>
      <w:r>
        <w:rPr>
          <w:rFonts w:cs="Arial"/>
          <w:color w:val="000000"/>
          <w:szCs w:val="19"/>
          <w:lang w:eastAsia="en-AU"/>
        </w:rPr>
        <w:t>2017</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30</w:t>
      </w:r>
      <w:r w:rsidR="005D5532" w:rsidRPr="00B24C02">
        <w:rPr>
          <w:rFonts w:cs="Arial"/>
          <w:color w:val="000000"/>
          <w:szCs w:val="19"/>
          <w:lang w:eastAsia="en-AU"/>
        </w:rPr>
        <w:t xml:space="preserve"> </w:t>
      </w:r>
      <w:r w:rsidR="00236748" w:rsidRPr="00B24C02">
        <w:rPr>
          <w:rFonts w:cs="Arial"/>
          <w:color w:val="000000"/>
          <w:szCs w:val="19"/>
          <w:lang w:eastAsia="en-AU"/>
        </w:rPr>
        <w:t>Jun</w:t>
      </w:r>
      <w:r w:rsidR="005D5532" w:rsidRPr="00B24C02">
        <w:rPr>
          <w:rFonts w:cs="Arial"/>
          <w:color w:val="000000"/>
          <w:szCs w:val="19"/>
          <w:lang w:eastAsia="en-AU"/>
        </w:rPr>
        <w:t xml:space="preserve"> </w:t>
      </w:r>
      <w:r>
        <w:rPr>
          <w:rFonts w:cs="Arial"/>
          <w:color w:val="000000"/>
          <w:szCs w:val="19"/>
          <w:lang w:eastAsia="en-AU"/>
        </w:rPr>
        <w:t>2018</w:t>
      </w:r>
      <w:r w:rsidR="00236748" w:rsidRPr="00B24C02">
        <w:rPr>
          <w:rFonts w:cs="Arial"/>
          <w:color w:val="000000"/>
          <w:szCs w:val="19"/>
          <w:lang w:eastAsia="en-AU"/>
        </w:rPr>
        <w:t>)</w:t>
      </w:r>
      <w:r w:rsidR="005D5532" w:rsidRPr="00B24C02">
        <w:rPr>
          <w:rFonts w:cs="Arial"/>
          <w:color w:val="000000"/>
          <w:szCs w:val="19"/>
          <w:lang w:eastAsia="en-AU"/>
        </w:rPr>
        <w:t xml:space="preserve"> </w:t>
      </w:r>
      <w:r w:rsidR="00236748" w:rsidRPr="00B24C02">
        <w:rPr>
          <w:rFonts w:cs="Arial"/>
          <w:color w:val="000000"/>
          <w:szCs w:val="19"/>
          <w:lang w:eastAsia="en-AU"/>
        </w:rPr>
        <w:t>as</w:t>
      </w:r>
      <w:r w:rsidR="005D5532" w:rsidRPr="00B24C02">
        <w:rPr>
          <w:rFonts w:cs="Arial"/>
          <w:color w:val="000000"/>
          <w:szCs w:val="19"/>
          <w:lang w:eastAsia="en-AU"/>
        </w:rPr>
        <w:t xml:space="preserve"> </w:t>
      </w:r>
      <w:r w:rsidR="00236748" w:rsidRPr="00B24C02">
        <w:rPr>
          <w:rFonts w:cs="Arial"/>
          <w:color w:val="000000"/>
          <w:szCs w:val="19"/>
          <w:lang w:eastAsia="en-AU"/>
        </w:rPr>
        <w:t>well</w:t>
      </w:r>
      <w:r w:rsidR="005D5532" w:rsidRPr="00B24C02">
        <w:rPr>
          <w:rFonts w:cs="Arial"/>
          <w:color w:val="000000"/>
          <w:szCs w:val="19"/>
          <w:lang w:eastAsia="en-AU"/>
        </w:rPr>
        <w:t xml:space="preserve"> </w:t>
      </w:r>
      <w:r w:rsidR="00236748" w:rsidRPr="00B24C02">
        <w:rPr>
          <w:rFonts w:cs="Arial"/>
          <w:color w:val="000000"/>
          <w:szCs w:val="19"/>
          <w:lang w:eastAsia="en-AU"/>
        </w:rPr>
        <w:t>as</w:t>
      </w:r>
      <w:r w:rsidR="005D5532" w:rsidRPr="00B24C02">
        <w:rPr>
          <w:rFonts w:cs="Arial"/>
          <w:color w:val="000000"/>
          <w:szCs w:val="19"/>
          <w:lang w:eastAsia="en-AU"/>
        </w:rPr>
        <w:t xml:space="preserve"> </w:t>
      </w:r>
      <w:r w:rsidR="00236748" w:rsidRPr="00B24C02">
        <w:rPr>
          <w:rFonts w:cs="Arial"/>
          <w:color w:val="000000"/>
          <w:szCs w:val="19"/>
          <w:lang w:eastAsia="en-AU"/>
        </w:rPr>
        <w:t>details</w:t>
      </w:r>
      <w:r w:rsidR="005D5532" w:rsidRPr="00B24C02">
        <w:rPr>
          <w:rFonts w:cs="Arial"/>
          <w:color w:val="000000"/>
          <w:szCs w:val="19"/>
          <w:lang w:eastAsia="en-AU"/>
        </w:rPr>
        <w:t xml:space="preserve"> </w:t>
      </w:r>
      <w:r w:rsidR="00236748" w:rsidRPr="00B24C02">
        <w:rPr>
          <w:rFonts w:cs="Arial"/>
          <w:color w:val="000000"/>
          <w:szCs w:val="19"/>
          <w:lang w:eastAsia="en-AU"/>
        </w:rPr>
        <w:t>of</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236748" w:rsidRPr="00B24C02">
        <w:rPr>
          <w:rFonts w:cs="Arial"/>
          <w:color w:val="000000"/>
          <w:szCs w:val="19"/>
          <w:lang w:eastAsia="en-AU"/>
        </w:rPr>
        <w:t>organisation.</w:t>
      </w:r>
      <w:r w:rsidR="00FF70E7" w:rsidRPr="00FF70E7">
        <w:rPr>
          <w:rFonts w:cs="Arial"/>
          <w:color w:val="000000"/>
          <w:szCs w:val="19"/>
          <w:lang w:eastAsia="en-AU"/>
        </w:rPr>
        <w:t xml:space="preserve"> </w:t>
      </w:r>
      <w:r w:rsidR="00FF70E7">
        <w:rPr>
          <w:rFonts w:cs="Arial"/>
          <w:color w:val="000000"/>
          <w:szCs w:val="19"/>
          <w:lang w:eastAsia="en-AU"/>
        </w:rPr>
        <w:t>The following reporting templates are available on the Funded agency channel</w:t>
      </w:r>
      <w:r w:rsidR="00FF70E7" w:rsidRPr="00B24C02">
        <w:rPr>
          <w:rFonts w:cs="Arial"/>
          <w:color w:val="000000"/>
          <w:szCs w:val="19"/>
          <w:lang w:eastAsia="en-AU"/>
        </w:rPr>
        <w:t xml:space="preserve"> </w:t>
      </w:r>
      <w:r w:rsidR="00FF70E7">
        <w:rPr>
          <w:rFonts w:cs="Arial"/>
          <w:color w:val="000000"/>
          <w:szCs w:val="19"/>
          <w:lang w:eastAsia="en-AU"/>
        </w:rPr>
        <w:t>under the attachments tab:</w:t>
      </w:r>
    </w:p>
    <w:p w14:paraId="039B0C79" w14:textId="76CFB0C7" w:rsidR="004C77F8" w:rsidRPr="004C77F8" w:rsidRDefault="004C77F8" w:rsidP="00AA51C9">
      <w:pPr>
        <w:pStyle w:val="DHHSbullet1"/>
        <w:rPr>
          <w:rFonts w:cs="Arial"/>
          <w:lang w:eastAsia="en-AU"/>
        </w:rPr>
      </w:pPr>
      <w:r>
        <w:t>Financial indicators statement</w:t>
      </w:r>
      <w:r w:rsidR="006250C7">
        <w:rPr>
          <w:rFonts w:cs="Arial"/>
          <w:color w:val="000000"/>
          <w:szCs w:val="19"/>
          <w:lang w:eastAsia="en-AU"/>
        </w:rPr>
        <w:t xml:space="preserve"> </w:t>
      </w:r>
      <w:r>
        <w:rPr>
          <w:rFonts w:cs="Arial"/>
          <w:color w:val="000000"/>
          <w:szCs w:val="19"/>
          <w:lang w:eastAsia="en-AU"/>
        </w:rPr>
        <w:t>(FIS)</w:t>
      </w:r>
    </w:p>
    <w:p w14:paraId="4BA35078" w14:textId="375884AC" w:rsidR="00236748" w:rsidRPr="004C77F8" w:rsidRDefault="004C77F8" w:rsidP="00AA51C9">
      <w:pPr>
        <w:pStyle w:val="DHHSbullet1"/>
        <w:rPr>
          <w:rFonts w:cs="Arial"/>
          <w:lang w:eastAsia="en-AU"/>
        </w:rPr>
      </w:pPr>
      <w:r>
        <w:rPr>
          <w:rFonts w:cs="Arial"/>
          <w:color w:val="000000"/>
          <w:szCs w:val="19"/>
          <w:lang w:eastAsia="en-AU"/>
        </w:rPr>
        <w:t xml:space="preserve">Cash indicators statement (CIS) </w:t>
      </w:r>
    </w:p>
    <w:p w14:paraId="5352D745" w14:textId="11917F22" w:rsidR="00236748" w:rsidRPr="00AA51C9" w:rsidRDefault="00236748" w:rsidP="00AA51C9">
      <w:pPr>
        <w:pStyle w:val="DHHSbullet1"/>
        <w:rPr>
          <w:rFonts w:cs="Arial"/>
          <w:lang w:eastAsia="en-AU"/>
        </w:rPr>
      </w:pPr>
      <w:r w:rsidRPr="00A52F42">
        <w:t>Independent</w:t>
      </w:r>
      <w:r w:rsidR="005D5532" w:rsidRPr="00A52F42">
        <w:t xml:space="preserve"> </w:t>
      </w:r>
      <w:r w:rsidRPr="00A52F42">
        <w:t>Auditor's</w:t>
      </w:r>
      <w:r w:rsidR="005D5532" w:rsidRPr="00A52F42">
        <w:t xml:space="preserve"> </w:t>
      </w:r>
      <w:r w:rsidRPr="00A52F42">
        <w:t>Report</w:t>
      </w:r>
      <w:r w:rsidR="005D5532" w:rsidRPr="00AA51C9">
        <w:rPr>
          <w:rFonts w:cs="Arial"/>
          <w:lang w:eastAsia="en-AU"/>
        </w:rPr>
        <w:t xml:space="preserve"> </w:t>
      </w:r>
      <w:r w:rsidRPr="00AA51C9">
        <w:rPr>
          <w:rFonts w:cs="Arial"/>
          <w:lang w:eastAsia="en-AU"/>
        </w:rPr>
        <w:t>(only</w:t>
      </w:r>
      <w:r w:rsidR="005D5532" w:rsidRPr="00AA51C9">
        <w:rPr>
          <w:rFonts w:cs="Arial"/>
          <w:lang w:eastAsia="en-AU"/>
        </w:rPr>
        <w:t xml:space="preserve"> </w:t>
      </w:r>
      <w:r w:rsidRPr="00AA51C9">
        <w:rPr>
          <w:rFonts w:cs="Arial"/>
          <w:lang w:eastAsia="en-AU"/>
        </w:rPr>
        <w:t>if</w:t>
      </w:r>
      <w:r w:rsidR="005D5532" w:rsidRPr="00AA51C9">
        <w:rPr>
          <w:rFonts w:cs="Arial"/>
          <w:lang w:eastAsia="en-AU"/>
        </w:rPr>
        <w:t xml:space="preserve"> </w:t>
      </w:r>
      <w:r w:rsidRPr="00AA51C9">
        <w:rPr>
          <w:rFonts w:cs="Arial"/>
          <w:lang w:eastAsia="en-AU"/>
        </w:rPr>
        <w:t>required</w:t>
      </w:r>
      <w:r w:rsidR="005D5532" w:rsidRPr="00AA51C9">
        <w:rPr>
          <w:rFonts w:cs="Arial"/>
          <w:lang w:eastAsia="en-AU"/>
        </w:rPr>
        <w:t xml:space="preserve"> </w:t>
      </w:r>
      <w:r w:rsidRPr="00AA51C9">
        <w:rPr>
          <w:rFonts w:cs="Arial"/>
          <w:lang w:eastAsia="en-AU"/>
        </w:rPr>
        <w:t>by</w:t>
      </w:r>
      <w:r w:rsidR="005D5532" w:rsidRPr="00AA51C9">
        <w:rPr>
          <w:rFonts w:cs="Arial"/>
          <w:lang w:eastAsia="en-AU"/>
        </w:rPr>
        <w:t xml:space="preserve"> </w:t>
      </w:r>
      <w:r w:rsidRPr="00AA51C9">
        <w:rPr>
          <w:rFonts w:cs="Arial"/>
          <w:lang w:eastAsia="en-AU"/>
        </w:rPr>
        <w:t>law</w:t>
      </w:r>
      <w:r w:rsidR="005D5532" w:rsidRPr="00AA51C9">
        <w:rPr>
          <w:rFonts w:cs="Arial"/>
          <w:lang w:eastAsia="en-AU"/>
        </w:rPr>
        <w:t xml:space="preserve"> </w:t>
      </w:r>
      <w:r w:rsidRPr="00AA51C9">
        <w:rPr>
          <w:rFonts w:cs="Arial"/>
          <w:lang w:eastAsia="en-AU"/>
        </w:rPr>
        <w:t>to</w:t>
      </w:r>
      <w:r w:rsidR="005D5532" w:rsidRPr="00AA51C9">
        <w:rPr>
          <w:rFonts w:cs="Arial"/>
          <w:lang w:eastAsia="en-AU"/>
        </w:rPr>
        <w:t xml:space="preserve"> </w:t>
      </w:r>
      <w:r w:rsidRPr="00AA51C9">
        <w:rPr>
          <w:rFonts w:cs="Arial"/>
          <w:lang w:eastAsia="en-AU"/>
        </w:rPr>
        <w:t>have</w:t>
      </w:r>
      <w:r w:rsidR="005D5532" w:rsidRPr="00AA51C9">
        <w:rPr>
          <w:rFonts w:cs="Arial"/>
          <w:lang w:eastAsia="en-AU"/>
        </w:rPr>
        <w:t xml:space="preserve"> </w:t>
      </w:r>
      <w:r w:rsidRPr="00AA51C9">
        <w:rPr>
          <w:rFonts w:cs="Arial"/>
          <w:lang w:eastAsia="en-AU"/>
        </w:rPr>
        <w:t>financial</w:t>
      </w:r>
      <w:r w:rsidR="005D5532" w:rsidRPr="00AA51C9">
        <w:rPr>
          <w:rFonts w:cs="Arial"/>
          <w:lang w:eastAsia="en-AU"/>
        </w:rPr>
        <w:t xml:space="preserve"> </w:t>
      </w:r>
      <w:r w:rsidRPr="00AA51C9">
        <w:rPr>
          <w:rFonts w:cs="Arial"/>
          <w:lang w:eastAsia="en-AU"/>
        </w:rPr>
        <w:t>statements</w:t>
      </w:r>
      <w:r w:rsidR="005D5532" w:rsidRPr="00AA51C9">
        <w:rPr>
          <w:rFonts w:cs="Arial"/>
          <w:lang w:eastAsia="en-AU"/>
        </w:rPr>
        <w:t xml:space="preserve"> </w:t>
      </w:r>
      <w:r w:rsidRPr="00AA51C9">
        <w:rPr>
          <w:rFonts w:cs="Arial"/>
          <w:lang w:eastAsia="en-AU"/>
        </w:rPr>
        <w:t>audited)</w:t>
      </w:r>
      <w:r w:rsidR="00FF70E7">
        <w:rPr>
          <w:rFonts w:cs="Arial"/>
          <w:lang w:eastAsia="en-AU"/>
        </w:rPr>
        <w:t>.</w:t>
      </w:r>
    </w:p>
    <w:p w14:paraId="2C195D71" w14:textId="46B9BE3C"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you</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still</w:t>
      </w:r>
      <w:r w:rsidR="005D5532" w:rsidRPr="00B24C02">
        <w:rPr>
          <w:rFonts w:cs="Arial"/>
          <w:color w:val="000000"/>
          <w:szCs w:val="19"/>
          <w:lang w:eastAsia="en-AU"/>
        </w:rPr>
        <w:t xml:space="preserve"> </w:t>
      </w:r>
      <w:r w:rsidRPr="00B24C02">
        <w:rPr>
          <w:rFonts w:cs="Arial"/>
          <w:color w:val="000000"/>
          <w:szCs w:val="19"/>
          <w:lang w:eastAsia="en-AU"/>
        </w:rPr>
        <w:t>unsure</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your</w:t>
      </w:r>
      <w:r w:rsidR="005D5532" w:rsidRPr="00B24C02">
        <w:rPr>
          <w:rFonts w:cs="Arial"/>
          <w:color w:val="000000"/>
          <w:szCs w:val="19"/>
          <w:lang w:eastAsia="en-AU"/>
        </w:rPr>
        <w:t xml:space="preserve"> </w:t>
      </w:r>
      <w:r w:rsidRPr="00B24C02">
        <w:rPr>
          <w:rFonts w:cs="Arial"/>
          <w:color w:val="000000"/>
          <w:szCs w:val="19"/>
          <w:lang w:eastAsia="en-AU"/>
        </w:rPr>
        <w:t>FAR</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please</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your</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0D5C4D">
        <w:rPr>
          <w:rFonts w:cs="Arial"/>
          <w:color w:val="000000"/>
          <w:szCs w:val="19"/>
          <w:lang w:eastAsia="en-AU"/>
        </w:rPr>
        <w:t>c</w:t>
      </w:r>
      <w:r w:rsidRPr="00B24C02">
        <w:rPr>
          <w:rFonts w:cs="Arial"/>
          <w:color w:val="000000"/>
          <w:szCs w:val="19"/>
          <w:lang w:eastAsia="en-AU"/>
        </w:rPr>
        <w:t>ontact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000736B3">
        <w:rPr>
          <w:rFonts w:cs="Arial"/>
          <w:color w:val="000000"/>
          <w:szCs w:val="19"/>
          <w:lang w:eastAsia="en-AU"/>
        </w:rPr>
        <w:t>p</w:t>
      </w:r>
      <w:r w:rsidRPr="00B24C02">
        <w:rPr>
          <w:rFonts w:cs="Arial"/>
          <w:color w:val="000000"/>
          <w:szCs w:val="19"/>
          <w:lang w:eastAsia="en-AU"/>
        </w:rPr>
        <w:t>ayment</w:t>
      </w:r>
      <w:r w:rsidR="005D5532" w:rsidRPr="00B24C02">
        <w:rPr>
          <w:rFonts w:cs="Arial"/>
          <w:color w:val="000000"/>
          <w:szCs w:val="19"/>
          <w:lang w:eastAsia="en-AU"/>
        </w:rPr>
        <w:t xml:space="preserve"> </w:t>
      </w:r>
      <w:r w:rsidR="000D5C4D">
        <w:rPr>
          <w:rFonts w:cs="Arial"/>
          <w:color w:val="000000"/>
          <w:szCs w:val="19"/>
          <w:lang w:eastAsia="en-AU"/>
        </w:rPr>
        <w:t>c</w:t>
      </w:r>
      <w:r w:rsidRPr="00B24C02">
        <w:rPr>
          <w:rFonts w:cs="Arial"/>
          <w:color w:val="000000"/>
          <w:szCs w:val="19"/>
          <w:lang w:eastAsia="en-AU"/>
        </w:rPr>
        <w:t>ontact.</w:t>
      </w:r>
    </w:p>
    <w:p w14:paraId="642276B0" w14:textId="77777777" w:rsidR="00236748" w:rsidRPr="003F52B3" w:rsidRDefault="00236748" w:rsidP="003F52B3">
      <w:pPr>
        <w:pStyle w:val="DHHSbody"/>
        <w:rPr>
          <w:lang w:eastAsia="en-AU"/>
        </w:rPr>
      </w:pPr>
      <w:bookmarkStart w:id="369" w:name="_Toc478991820"/>
      <w:r w:rsidRPr="003F52B3">
        <w:rPr>
          <w:b/>
          <w:lang w:eastAsia="en-AU"/>
        </w:rPr>
        <w:t>Financial</w:t>
      </w:r>
      <w:r w:rsidR="005D5532" w:rsidRPr="003F52B3">
        <w:rPr>
          <w:b/>
          <w:lang w:eastAsia="en-AU"/>
        </w:rPr>
        <w:t xml:space="preserve"> </w:t>
      </w:r>
      <w:r w:rsidRPr="003F52B3">
        <w:rPr>
          <w:b/>
          <w:lang w:eastAsia="en-AU"/>
        </w:rPr>
        <w:t>reporting</w:t>
      </w:r>
      <w:r w:rsidR="005D5532" w:rsidRPr="003F52B3">
        <w:rPr>
          <w:b/>
          <w:lang w:eastAsia="en-AU"/>
        </w:rPr>
        <w:t xml:space="preserve"> </w:t>
      </w:r>
      <w:r w:rsidRPr="003F52B3">
        <w:rPr>
          <w:b/>
          <w:lang w:eastAsia="en-AU"/>
        </w:rPr>
        <w:t>standards</w:t>
      </w:r>
      <w:bookmarkEnd w:id="369"/>
    </w:p>
    <w:p w14:paraId="19303873"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Australian</w:t>
      </w:r>
      <w:r w:rsidR="005D5532" w:rsidRPr="00B24C02">
        <w:rPr>
          <w:rFonts w:cs="Arial"/>
          <w:color w:val="000000"/>
          <w:szCs w:val="19"/>
          <w:lang w:eastAsia="en-AU"/>
        </w:rPr>
        <w:t xml:space="preserve"> </w:t>
      </w:r>
      <w:r w:rsidRPr="00B24C02">
        <w:rPr>
          <w:rFonts w:cs="Arial"/>
          <w:color w:val="000000"/>
          <w:szCs w:val="19"/>
          <w:lang w:eastAsia="en-AU"/>
        </w:rPr>
        <w:t>Equivalents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International</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Standards</w:t>
      </w:r>
      <w:r w:rsidR="005D5532" w:rsidRPr="00B24C02">
        <w:rPr>
          <w:rFonts w:cs="Arial"/>
          <w:color w:val="000000"/>
          <w:szCs w:val="19"/>
          <w:lang w:eastAsia="en-AU"/>
        </w:rPr>
        <w:t xml:space="preserve"> </w:t>
      </w:r>
      <w:r w:rsidRPr="00B24C02">
        <w:rPr>
          <w:rFonts w:cs="Arial"/>
          <w:color w:val="000000"/>
          <w:szCs w:val="19"/>
          <w:lang w:eastAsia="en-AU"/>
        </w:rPr>
        <w:t>(AIFRS)</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came</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effect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2005.</w:t>
      </w:r>
    </w:p>
    <w:p w14:paraId="69F24694" w14:textId="77777777" w:rsidR="00236748" w:rsidRPr="00276391" w:rsidRDefault="00236748" w:rsidP="00276391">
      <w:pPr>
        <w:pStyle w:val="DHHSbody"/>
        <w:rPr>
          <w:lang w:eastAsia="en-AU"/>
        </w:rPr>
      </w:pP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AIFRS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87" w:tgtFrame="_blank" w:history="1">
        <w:r w:rsidRPr="00C94233">
          <w:rPr>
            <w:rStyle w:val="Hyperlink"/>
          </w:rPr>
          <w:t>Australian</w:t>
        </w:r>
        <w:r w:rsidR="005D5532" w:rsidRPr="00C94233">
          <w:rPr>
            <w:rStyle w:val="Hyperlink"/>
          </w:rPr>
          <w:t xml:space="preserve"> </w:t>
        </w:r>
        <w:r w:rsidRPr="00C94233">
          <w:rPr>
            <w:rStyle w:val="Hyperlink"/>
          </w:rPr>
          <w:t>Accounting</w:t>
        </w:r>
        <w:r w:rsidR="005D5532" w:rsidRPr="00C94233">
          <w:rPr>
            <w:rStyle w:val="Hyperlink"/>
          </w:rPr>
          <w:t xml:space="preserve"> </w:t>
        </w:r>
        <w:r w:rsidRPr="00C94233">
          <w:rPr>
            <w:rStyle w:val="Hyperlink"/>
          </w:rPr>
          <w:t>Standards</w:t>
        </w:r>
        <w:r w:rsidR="005D5532" w:rsidRPr="00C94233">
          <w:rPr>
            <w:rStyle w:val="Hyperlink"/>
          </w:rPr>
          <w:t xml:space="preserve"> </w:t>
        </w:r>
        <w:r w:rsidRPr="00C94233">
          <w:rPr>
            <w:rStyle w:val="Hyperlink"/>
          </w:rPr>
          <w:t>Board's</w:t>
        </w:r>
        <w:r w:rsidR="005D5532" w:rsidRPr="00C94233">
          <w:rPr>
            <w:rStyle w:val="Hyperlink"/>
          </w:rPr>
          <w:t xml:space="preserve"> </w:t>
        </w:r>
        <w:r w:rsidRPr="00C94233">
          <w:rPr>
            <w:rStyle w:val="Hyperlink"/>
          </w:rPr>
          <w:t>website</w:t>
        </w:r>
      </w:hyperlink>
      <w:r w:rsidR="005D5532" w:rsidRPr="00276391">
        <w:rPr>
          <w:lang w:eastAsia="en-AU"/>
        </w:rPr>
        <w:t xml:space="preserve"> </w:t>
      </w:r>
      <w:r w:rsidR="007028C8">
        <w:rPr>
          <w:lang w:eastAsia="en-AU"/>
        </w:rPr>
        <w:t>&lt;</w:t>
      </w:r>
      <w:r w:rsidR="007028C8" w:rsidRPr="007028C8">
        <w:rPr>
          <w:lang w:eastAsia="en-AU"/>
        </w:rPr>
        <w:t>http://www.aasb.gov.au/Home.aspx</w:t>
      </w:r>
      <w:r w:rsidR="007028C8">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0E8A7B74" w14:textId="725D84D5" w:rsidR="00236748" w:rsidRPr="00276391" w:rsidRDefault="00236748" w:rsidP="00067E93">
      <w:pPr>
        <w:pStyle w:val="Heading3"/>
        <w:rPr>
          <w:lang w:eastAsia="en-AU"/>
        </w:rPr>
      </w:pPr>
      <w:bookmarkStart w:id="370" w:name="_Toc478991821"/>
      <w:bookmarkStart w:id="371" w:name="_Toc478992389"/>
      <w:bookmarkStart w:id="372" w:name="_Toc4142065"/>
      <w:r w:rsidRPr="00276391">
        <w:rPr>
          <w:lang w:eastAsia="en-AU"/>
        </w:rPr>
        <w:lastRenderedPageBreak/>
        <w:t>3.8.3</w:t>
      </w:r>
      <w:r w:rsidR="009B2351" w:rsidRPr="00276391">
        <w:rPr>
          <w:lang w:eastAsia="en-AU"/>
        </w:rPr>
        <w:t xml:space="preserve"> </w:t>
      </w:r>
      <w:r w:rsidRPr="00276391">
        <w:rPr>
          <w:lang w:eastAsia="en-AU"/>
        </w:rPr>
        <w:t>Timelines</w:t>
      </w:r>
      <w:r w:rsidR="009B2351" w:rsidRPr="00276391">
        <w:rPr>
          <w:lang w:eastAsia="en-AU"/>
        </w:rPr>
        <w:t xml:space="preserve"> </w:t>
      </w:r>
      <w:r w:rsidRPr="00276391">
        <w:rPr>
          <w:lang w:eastAsia="en-AU"/>
        </w:rPr>
        <w:t>for</w:t>
      </w:r>
      <w:r w:rsidR="009B2351" w:rsidRPr="00276391">
        <w:rPr>
          <w:lang w:eastAsia="en-AU"/>
        </w:rPr>
        <w:t xml:space="preserve"> </w:t>
      </w:r>
      <w:r w:rsidR="009B3052">
        <w:rPr>
          <w:lang w:eastAsia="en-AU"/>
        </w:rPr>
        <w:t>Service agreement</w:t>
      </w:r>
      <w:r w:rsidR="009B2351" w:rsidRPr="00276391">
        <w:rPr>
          <w:lang w:eastAsia="en-AU"/>
        </w:rPr>
        <w:t xml:space="preserve"> </w:t>
      </w:r>
      <w:r w:rsidR="000736B3">
        <w:rPr>
          <w:lang w:eastAsia="en-AU"/>
        </w:rPr>
        <w:t>c</w:t>
      </w:r>
      <w:r w:rsidRPr="00276391">
        <w:rPr>
          <w:lang w:eastAsia="en-AU"/>
        </w:rPr>
        <w:t>ompliance</w:t>
      </w:r>
      <w:r w:rsidR="009B2351" w:rsidRPr="00276391">
        <w:rPr>
          <w:lang w:eastAsia="en-AU"/>
        </w:rPr>
        <w:t xml:space="preserve"> </w:t>
      </w:r>
      <w:r w:rsidR="000736B3">
        <w:rPr>
          <w:lang w:eastAsia="en-AU"/>
        </w:rPr>
        <w:t>c</w:t>
      </w:r>
      <w:r w:rsidRPr="00276391">
        <w:rPr>
          <w:lang w:eastAsia="en-AU"/>
        </w:rPr>
        <w:t>ertification</w:t>
      </w:r>
      <w:bookmarkEnd w:id="370"/>
      <w:bookmarkEnd w:id="371"/>
      <w:bookmarkEnd w:id="372"/>
    </w:p>
    <w:p w14:paraId="71AEC2E4" w14:textId="1E951A90"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0736B3">
        <w:rPr>
          <w:lang w:eastAsia="en-AU"/>
        </w:rPr>
        <w:t>c</w:t>
      </w:r>
      <w:r w:rsidRPr="00276391">
        <w:rPr>
          <w:lang w:eastAsia="en-AU"/>
        </w:rPr>
        <w:t>ompliance</w:t>
      </w:r>
      <w:r w:rsidR="005D5532" w:rsidRPr="00276391">
        <w:rPr>
          <w:lang w:eastAsia="en-AU"/>
        </w:rPr>
        <w:t xml:space="preserve"> </w:t>
      </w:r>
      <w:r w:rsidR="000736B3">
        <w:rPr>
          <w:lang w:eastAsia="en-AU"/>
        </w:rPr>
        <w:t>c</w:t>
      </w:r>
      <w:r w:rsidRPr="00276391">
        <w:rPr>
          <w:lang w:eastAsia="en-AU"/>
        </w:rPr>
        <w:t>ertification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period.</w:t>
      </w:r>
    </w:p>
    <w:p w14:paraId="5877960B" w14:textId="71DB3548" w:rsidR="00236748" w:rsidRPr="00276391" w:rsidRDefault="00236748" w:rsidP="00276391">
      <w:pPr>
        <w:pStyle w:val="DHHSbody"/>
        <w:rPr>
          <w:lang w:eastAsia="en-AU"/>
        </w:rPr>
      </w:pPr>
      <w:r w:rsidRPr="00276391">
        <w:rPr>
          <w:lang w:eastAsia="en-AU"/>
        </w:rPr>
        <w:t>From</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2016,</w:t>
      </w:r>
      <w:r w:rsidR="005D5532" w:rsidRPr="00276391">
        <w:rPr>
          <w:lang w:eastAsia="en-AU"/>
        </w:rPr>
        <w:t xml:space="preserve"> </w:t>
      </w:r>
      <w:r w:rsidRPr="00276391">
        <w:rPr>
          <w:lang w:eastAsia="en-AU"/>
        </w:rPr>
        <w:t>FAR</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incorporated</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0736B3">
        <w:rPr>
          <w:lang w:eastAsia="en-AU"/>
        </w:rPr>
        <w:t>c</w:t>
      </w:r>
      <w:r w:rsidRPr="00276391">
        <w:rPr>
          <w:lang w:eastAsia="en-AU"/>
        </w:rPr>
        <w:t>ompliance</w:t>
      </w:r>
      <w:r w:rsidR="005D5532" w:rsidRPr="00276391">
        <w:rPr>
          <w:lang w:eastAsia="en-AU"/>
        </w:rPr>
        <w:t xml:space="preserve"> </w:t>
      </w:r>
      <w:r w:rsidR="000736B3">
        <w:rPr>
          <w:lang w:eastAsia="en-AU"/>
        </w:rPr>
        <w:t>c</w:t>
      </w:r>
      <w:r w:rsidRPr="00276391">
        <w:rPr>
          <w:lang w:eastAsia="en-AU"/>
        </w:rPr>
        <w:t>ertification</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record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planned</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AGM</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online</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000736B3">
        <w:rPr>
          <w:lang w:eastAsia="en-AU"/>
        </w:rPr>
        <w:t>m</w:t>
      </w:r>
      <w:r w:rsidRPr="00276391">
        <w:rPr>
          <w:lang w:eastAsia="en-AU"/>
        </w:rPr>
        <w:t>odule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hyperlink r:id="rId88" w:tgtFrame="_blank" w:tooltip="link to the Funded Agency Channel website" w:history="1">
        <w:r w:rsidR="00296DCA">
          <w:rPr>
            <w:rStyle w:val="Hyperlink"/>
          </w:rPr>
          <w:t>Funded agency channel</w:t>
        </w:r>
      </w:hyperlink>
      <w:r w:rsidR="00037682" w:rsidRPr="00276391">
        <w:rPr>
          <w:lang w:eastAsia="en-AU"/>
        </w:rPr>
        <w:t xml:space="preserve"> </w:t>
      </w:r>
      <w:r w:rsidR="00037682">
        <w:rPr>
          <w:lang w:eastAsia="en-AU"/>
        </w:rPr>
        <w:t>&lt;</w:t>
      </w:r>
      <w:r w:rsidR="00BD5BFF" w:rsidRPr="00BD5BFF">
        <w:rPr>
          <w:lang w:eastAsia="en-AU"/>
        </w:rPr>
        <w:t>https://fac.dhhs.vic.gov.au</w:t>
      </w:r>
      <w:r w:rsidR="00037682">
        <w:rPr>
          <w:lang w:eastAsia="en-AU"/>
        </w:rPr>
        <w:t>&gt;</w:t>
      </w:r>
      <w:r w:rsidR="005D5532"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0736B3">
        <w:rPr>
          <w:lang w:eastAsia="en-AU"/>
        </w:rPr>
        <w:t>, opens in a new window</w:t>
      </w:r>
      <w:r w:rsidRPr="00276391">
        <w:rPr>
          <w:lang w:eastAsia="en-AU"/>
        </w:rPr>
        <w: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automatically</w:t>
      </w:r>
      <w:r w:rsidR="005D5532" w:rsidRPr="00276391">
        <w:rPr>
          <w:lang w:eastAsia="en-AU"/>
        </w:rPr>
        <w:t xml:space="preserve"> </w:t>
      </w:r>
      <w:r w:rsidRPr="00276391">
        <w:rPr>
          <w:lang w:eastAsia="en-AU"/>
        </w:rPr>
        <w:t>update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completion.</w:t>
      </w:r>
    </w:p>
    <w:p w14:paraId="7EC40F84"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submitted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49B1763E" w14:textId="77777777" w:rsidR="00236748" w:rsidRPr="00067E93" w:rsidRDefault="00236748" w:rsidP="00276391">
      <w:pPr>
        <w:pStyle w:val="DHHSbullet1"/>
        <w:rPr>
          <w:rFonts w:cs="Arial"/>
          <w:lang w:eastAsia="en-AU"/>
        </w:rPr>
      </w:pPr>
      <w:r w:rsidRPr="00276391">
        <w:rPr>
          <w:rFonts w:cs="Arial"/>
          <w:lang w:eastAsia="en-AU"/>
        </w:rPr>
        <w:t>within</w:t>
      </w:r>
      <w:r w:rsidR="005D5532" w:rsidRPr="00276391">
        <w:rPr>
          <w:rFonts w:cs="Arial"/>
          <w:lang w:eastAsia="en-AU"/>
        </w:rPr>
        <w:t xml:space="preserve"> </w:t>
      </w:r>
      <w:r w:rsidRPr="00276391">
        <w:rPr>
          <w:rFonts w:cs="Arial"/>
          <w:lang w:eastAsia="en-AU"/>
        </w:rPr>
        <w:t>three</w:t>
      </w:r>
      <w:r w:rsidR="005D5532" w:rsidRPr="00276391">
        <w:rPr>
          <w:rFonts w:cs="Arial"/>
          <w:lang w:eastAsia="en-AU"/>
        </w:rPr>
        <w:t xml:space="preserve"> </w:t>
      </w:r>
      <w:r w:rsidRPr="00276391">
        <w:rPr>
          <w:rFonts w:cs="Arial"/>
          <w:lang w:eastAsia="en-AU"/>
        </w:rPr>
        <w:t>months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end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operating</w:t>
      </w:r>
      <w:r w:rsidR="005D5532" w:rsidRPr="00276391">
        <w:rPr>
          <w:rFonts w:cs="Arial"/>
          <w:lang w:eastAsia="en-AU"/>
        </w:rPr>
        <w:t xml:space="preserve"> </w:t>
      </w:r>
      <w:r w:rsidRPr="00276391">
        <w:rPr>
          <w:rFonts w:cs="Arial"/>
          <w:lang w:eastAsia="en-AU"/>
        </w:rPr>
        <w:t>period.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operating</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p>
    <w:p w14:paraId="38121060" w14:textId="77777777" w:rsidR="00236748" w:rsidRPr="00276391" w:rsidRDefault="00236748" w:rsidP="00067E93">
      <w:pPr>
        <w:pStyle w:val="DHHSbullet2"/>
        <w:rPr>
          <w:lang w:eastAsia="en-AU"/>
        </w:rPr>
      </w:pPr>
      <w:r w:rsidRPr="00276391">
        <w:rPr>
          <w:lang w:eastAsia="en-AU"/>
        </w:rPr>
        <w:t>Financial</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30</w:t>
      </w:r>
      <w:r w:rsidR="005D5532" w:rsidRPr="00276391">
        <w:rPr>
          <w:lang w:eastAsia="en-AU"/>
        </w:rPr>
        <w:t xml:space="preserve"> </w:t>
      </w:r>
      <w:r w:rsidRPr="00276391">
        <w:rPr>
          <w:lang w:eastAsia="en-AU"/>
        </w:rPr>
        <w:t>Jun)</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Oct</w:t>
      </w:r>
      <w:r w:rsidR="005D5532" w:rsidRPr="00276391">
        <w:rPr>
          <w:lang w:eastAsia="en-AU"/>
        </w:rPr>
        <w:t xml:space="preserve"> </w:t>
      </w:r>
    </w:p>
    <w:p w14:paraId="280B0346" w14:textId="77777777" w:rsidR="00236748" w:rsidRPr="00276391" w:rsidRDefault="00236748" w:rsidP="00067E93">
      <w:pPr>
        <w:pStyle w:val="DHHSbullet2"/>
        <w:rPr>
          <w:lang w:eastAsia="en-AU"/>
        </w:rPr>
      </w:pPr>
      <w:r w:rsidRPr="00276391">
        <w:rPr>
          <w:lang w:eastAsia="en-AU"/>
        </w:rPr>
        <w:t>Calendar</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Jan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31</w:t>
      </w:r>
      <w:r w:rsidR="005D5532" w:rsidRPr="00276391">
        <w:rPr>
          <w:lang w:eastAsia="en-AU"/>
        </w:rPr>
        <w:t xml:space="preserve"> </w:t>
      </w:r>
      <w:r w:rsidRPr="00276391">
        <w:rPr>
          <w:lang w:eastAsia="en-AU"/>
        </w:rPr>
        <w:t>Dec)</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Apr</w:t>
      </w:r>
      <w:r w:rsidR="005D5532" w:rsidRPr="00276391">
        <w:rPr>
          <w:lang w:eastAsia="en-AU"/>
        </w:rPr>
        <w:t xml:space="preserve"> </w:t>
      </w:r>
    </w:p>
    <w:p w14:paraId="49896A72" w14:textId="77777777" w:rsidR="00236748" w:rsidRPr="00276391" w:rsidRDefault="00236748" w:rsidP="00067E93">
      <w:pPr>
        <w:pStyle w:val="DHHSbullet2"/>
        <w:rPr>
          <w:lang w:eastAsia="en-AU"/>
        </w:rPr>
      </w:pPr>
      <w:r w:rsidRPr="00276391">
        <w:rPr>
          <w:lang w:eastAsia="en-AU"/>
        </w:rPr>
        <w:t>Other</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Oct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30</w:t>
      </w:r>
      <w:r w:rsidR="005D5532" w:rsidRPr="00276391">
        <w:rPr>
          <w:lang w:eastAsia="en-AU"/>
        </w:rPr>
        <w:t xml:space="preserve"> </w:t>
      </w:r>
      <w:r w:rsidRPr="00276391">
        <w:rPr>
          <w:lang w:eastAsia="en-AU"/>
        </w:rPr>
        <w:t>Sep)</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Jan</w:t>
      </w:r>
      <w:r w:rsidR="005D5532" w:rsidRPr="00276391">
        <w:rPr>
          <w:lang w:eastAsia="en-AU"/>
        </w:rPr>
        <w:t xml:space="preserve"> </w:t>
      </w:r>
    </w:p>
    <w:p w14:paraId="5D470CF3" w14:textId="77777777" w:rsidR="004C77F8" w:rsidRDefault="00236748" w:rsidP="004C77F8">
      <w:pPr>
        <w:pStyle w:val="DHHSbullet2"/>
        <w:rPr>
          <w:lang w:eastAsia="en-AU"/>
        </w:rPr>
      </w:pPr>
      <w:r w:rsidRPr="00276391">
        <w:rPr>
          <w:lang w:eastAsia="en-AU"/>
        </w:rPr>
        <w:t>Other</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Nov</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31</w:t>
      </w:r>
      <w:r w:rsidR="005D5532" w:rsidRPr="00276391">
        <w:rPr>
          <w:lang w:eastAsia="en-AU"/>
        </w:rPr>
        <w:t xml:space="preserve"> </w:t>
      </w:r>
      <w:r w:rsidRPr="00276391">
        <w:rPr>
          <w:lang w:eastAsia="en-AU"/>
        </w:rPr>
        <w:t>Oct)</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Feb</w:t>
      </w:r>
      <w:r w:rsidR="005D5532" w:rsidRPr="00276391">
        <w:rPr>
          <w:lang w:eastAsia="en-AU"/>
        </w:rPr>
        <w:t xml:space="preserve"> </w:t>
      </w:r>
    </w:p>
    <w:p w14:paraId="2F98F9A1" w14:textId="09C8BFBD" w:rsidR="00236748" w:rsidRPr="00276391" w:rsidRDefault="00236748" w:rsidP="004C77F8">
      <w:pPr>
        <w:pStyle w:val="DHHSbullet2"/>
        <w:rPr>
          <w:lang w:eastAsia="en-AU"/>
        </w:rPr>
      </w:pPr>
      <w:r w:rsidRPr="00276391">
        <w:rPr>
          <w:lang w:eastAsia="en-AU"/>
        </w:rPr>
        <w:t>Other</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Apr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31</w:t>
      </w:r>
      <w:r w:rsidR="005D5532" w:rsidRPr="00276391">
        <w:rPr>
          <w:lang w:eastAsia="en-AU"/>
        </w:rPr>
        <w:t xml:space="preserve"> </w:t>
      </w:r>
      <w:r w:rsidRPr="00276391">
        <w:rPr>
          <w:lang w:eastAsia="en-AU"/>
        </w:rPr>
        <w:t>Mar)</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Jul</w:t>
      </w:r>
      <w:r w:rsidR="005D5532" w:rsidRPr="00276391">
        <w:rPr>
          <w:lang w:eastAsia="en-AU"/>
        </w:rPr>
        <w:t xml:space="preserve"> </w:t>
      </w:r>
    </w:p>
    <w:p w14:paraId="757079FE" w14:textId="79290DE7" w:rsidR="004C77F8" w:rsidRPr="004C77F8" w:rsidRDefault="004C77F8" w:rsidP="00067E93">
      <w:pPr>
        <w:pStyle w:val="DHHSbullet1lastline"/>
        <w:rPr>
          <w:i/>
          <w:lang w:eastAsia="en-AU"/>
        </w:rPr>
      </w:pPr>
      <w:r>
        <w:rPr>
          <w:b/>
          <w:lang w:eastAsia="en-AU"/>
        </w:rPr>
        <w:t xml:space="preserve">OR </w:t>
      </w:r>
      <w:r>
        <w:rPr>
          <w:lang w:eastAsia="en-AU"/>
        </w:rPr>
        <w:t>within seven days of the organisation’s Annual General Meeting</w:t>
      </w:r>
      <w:r w:rsidRPr="004C77F8">
        <w:rPr>
          <w:lang w:eastAsia="en-AU"/>
        </w:rPr>
        <w:t xml:space="preserve"> </w:t>
      </w:r>
      <w:r>
        <w:rPr>
          <w:i/>
          <w:lang w:eastAsia="en-AU"/>
        </w:rPr>
        <w:t>if this is later than three months after the end of the organisation’s financial operation period.</w:t>
      </w:r>
    </w:p>
    <w:p w14:paraId="1AAD509C" w14:textId="3707455D" w:rsidR="00236748" w:rsidRPr="00276391" w:rsidRDefault="004C77F8" w:rsidP="00067E93">
      <w:pPr>
        <w:pStyle w:val="DHHSbullet1lastline"/>
        <w:rPr>
          <w:lang w:eastAsia="en-AU"/>
        </w:rPr>
      </w:pPr>
      <w:r>
        <w:rPr>
          <w:b/>
          <w:lang w:eastAsia="en-AU"/>
        </w:rPr>
        <w:t xml:space="preserve">OR </w:t>
      </w:r>
      <w:r w:rsidR="00236748" w:rsidRPr="00276391">
        <w:rPr>
          <w:lang w:eastAsia="en-AU"/>
        </w:rPr>
        <w:t>another</w:t>
      </w:r>
      <w:r w:rsidR="005D5532" w:rsidRPr="00276391">
        <w:rPr>
          <w:lang w:eastAsia="en-AU"/>
        </w:rPr>
        <w:t xml:space="preserve"> </w:t>
      </w:r>
      <w:r w:rsidR="00236748" w:rsidRPr="00276391">
        <w:rPr>
          <w:lang w:eastAsia="en-AU"/>
        </w:rPr>
        <w:t>time</w:t>
      </w:r>
      <w:r w:rsidR="005D5532" w:rsidRPr="00276391">
        <w:rPr>
          <w:lang w:eastAsia="en-AU"/>
        </w:rPr>
        <w:t xml:space="preserve"> </w:t>
      </w:r>
      <w:r w:rsidR="00236748" w:rsidRPr="00276391">
        <w:rPr>
          <w:lang w:eastAsia="en-AU"/>
        </w:rPr>
        <w:t>if</w:t>
      </w:r>
      <w:r w:rsidR="005D5532" w:rsidRPr="00276391">
        <w:rPr>
          <w:lang w:eastAsia="en-AU"/>
        </w:rPr>
        <w:t xml:space="preserve"> </w:t>
      </w:r>
      <w:r w:rsidR="00236748" w:rsidRPr="00276391">
        <w:rPr>
          <w:lang w:eastAsia="en-AU"/>
        </w:rPr>
        <w:t>agreed</w:t>
      </w:r>
      <w:r w:rsidR="005D5532" w:rsidRPr="00276391">
        <w:rPr>
          <w:lang w:eastAsia="en-AU"/>
        </w:rPr>
        <w:t xml:space="preserve"> </w:t>
      </w:r>
      <w:r w:rsidR="00236748" w:rsidRPr="00276391">
        <w:rPr>
          <w:lang w:eastAsia="en-AU"/>
        </w:rPr>
        <w:t>by</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department</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organisation.</w:t>
      </w:r>
      <w:r w:rsidR="005D5532" w:rsidRPr="00276391">
        <w:rPr>
          <w:lang w:eastAsia="en-AU"/>
        </w:rPr>
        <w:t xml:space="preserve"> </w:t>
      </w:r>
    </w:p>
    <w:p w14:paraId="05FA3037" w14:textId="77777777" w:rsidR="00236748" w:rsidRPr="00276391" w:rsidRDefault="00236748" w:rsidP="00276391">
      <w:pPr>
        <w:pStyle w:val="DHHSbody"/>
        <w:rPr>
          <w:lang w:eastAsia="en-AU"/>
        </w:rPr>
      </w:pP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reasonable</w:t>
      </w:r>
      <w:r w:rsidR="005D5532" w:rsidRPr="00B24C02">
        <w:rPr>
          <w:rFonts w:cs="Arial"/>
          <w:color w:val="000000"/>
          <w:szCs w:val="19"/>
          <w:lang w:eastAsia="en-AU"/>
        </w:rPr>
        <w:t xml:space="preserve"> </w:t>
      </w:r>
      <w:r w:rsidRPr="00B24C02">
        <w:rPr>
          <w:rFonts w:cs="Arial"/>
          <w:color w:val="000000"/>
          <w:szCs w:val="19"/>
          <w:lang w:eastAsia="en-AU"/>
        </w:rPr>
        <w:t>concerns</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position,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require</w:t>
      </w:r>
      <w:r w:rsidR="005D5532" w:rsidRPr="00B24C02">
        <w:rPr>
          <w:rFonts w:cs="Arial"/>
          <w:color w:val="000000"/>
          <w:szCs w:val="19"/>
          <w:lang w:eastAsia="en-AU"/>
        </w:rPr>
        <w:t xml:space="preserve"> </w:t>
      </w: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frequent</w:t>
      </w:r>
      <w:r w:rsidR="005D5532" w:rsidRPr="00B24C02">
        <w:rPr>
          <w:rFonts w:cs="Arial"/>
          <w:color w:val="000000"/>
          <w:szCs w:val="19"/>
          <w:lang w:eastAsia="en-AU"/>
        </w:rPr>
        <w:t xml:space="preserve"> </w:t>
      </w:r>
      <w:r w:rsidRPr="00B24C02">
        <w:rPr>
          <w:rFonts w:cs="Arial"/>
          <w:color w:val="000000"/>
          <w:szCs w:val="19"/>
          <w:lang w:eastAsia="en-AU"/>
        </w:rPr>
        <w:t>FAR</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8.2.</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discuss</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concerns</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advise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requirements.</w:t>
      </w:r>
    </w:p>
    <w:p w14:paraId="6A1862A7" w14:textId="77777777" w:rsidR="00236748" w:rsidRPr="00276391" w:rsidRDefault="00236748" w:rsidP="00067E93">
      <w:pPr>
        <w:pStyle w:val="Heading3"/>
        <w:rPr>
          <w:lang w:eastAsia="en-AU"/>
        </w:rPr>
      </w:pPr>
      <w:bookmarkStart w:id="373" w:name="_Toc478991822"/>
      <w:bookmarkStart w:id="374" w:name="_Toc478992390"/>
      <w:bookmarkStart w:id="375" w:name="_Toc4142066"/>
      <w:r w:rsidRPr="00276391">
        <w:rPr>
          <w:lang w:eastAsia="en-AU"/>
        </w:rPr>
        <w:t>3.8.4</w:t>
      </w:r>
      <w:r w:rsidR="009B2351" w:rsidRPr="00276391">
        <w:rPr>
          <w:lang w:eastAsia="en-AU"/>
        </w:rPr>
        <w:t xml:space="preserve"> </w:t>
      </w:r>
      <w:r w:rsidRPr="00276391">
        <w:rPr>
          <w:lang w:eastAsia="en-AU"/>
        </w:rPr>
        <w:t>Glossary</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financial</w:t>
      </w:r>
      <w:r w:rsidR="009B2351" w:rsidRPr="00276391">
        <w:rPr>
          <w:lang w:eastAsia="en-AU"/>
        </w:rPr>
        <w:t xml:space="preserve"> </w:t>
      </w:r>
      <w:r w:rsidRPr="00276391">
        <w:rPr>
          <w:lang w:eastAsia="en-AU"/>
        </w:rPr>
        <w:t>accountability</w:t>
      </w:r>
      <w:r w:rsidR="009B2351" w:rsidRPr="00276391">
        <w:rPr>
          <w:lang w:eastAsia="en-AU"/>
        </w:rPr>
        <w:t xml:space="preserve"> </w:t>
      </w:r>
      <w:r w:rsidRPr="00276391">
        <w:rPr>
          <w:lang w:eastAsia="en-AU"/>
        </w:rPr>
        <w:t>terms</w:t>
      </w:r>
      <w:bookmarkEnd w:id="373"/>
      <w:bookmarkEnd w:id="374"/>
      <w:bookmarkEnd w:id="375"/>
    </w:p>
    <w:p w14:paraId="448D951B" w14:textId="77777777" w:rsidR="00236748" w:rsidRPr="00276391" w:rsidRDefault="00236748" w:rsidP="003624DD">
      <w:pPr>
        <w:pStyle w:val="DHHSbodyBold"/>
        <w:rPr>
          <w:lang w:eastAsia="en-AU"/>
        </w:rPr>
      </w:pPr>
      <w:bookmarkStart w:id="376" w:name="_Toc478991823"/>
      <w:r w:rsidRPr="00276391">
        <w:rPr>
          <w:lang w:eastAsia="en-AU"/>
        </w:rPr>
        <w:t>Accrual</w:t>
      </w:r>
      <w:r w:rsidR="005D5532" w:rsidRPr="00276391">
        <w:rPr>
          <w:lang w:eastAsia="en-AU"/>
        </w:rPr>
        <w:t xml:space="preserve"> </w:t>
      </w:r>
      <w:r w:rsidRPr="00276391">
        <w:rPr>
          <w:lang w:eastAsia="en-AU"/>
        </w:rPr>
        <w:t>accounting</w:t>
      </w:r>
      <w:bookmarkEnd w:id="376"/>
    </w:p>
    <w:p w14:paraId="069E10FE"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system</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records</w:t>
      </w:r>
      <w:r w:rsidR="005D5532" w:rsidRPr="00B24C02">
        <w:rPr>
          <w:rFonts w:cs="Arial"/>
          <w:color w:val="000000"/>
          <w:szCs w:val="19"/>
          <w:lang w:eastAsia="en-AU"/>
        </w:rPr>
        <w:t xml:space="preserve"> </w:t>
      </w:r>
      <w:r w:rsidRPr="00B24C02">
        <w:rPr>
          <w:rFonts w:cs="Arial"/>
          <w:color w:val="000000"/>
          <w:szCs w:val="19"/>
          <w:lang w:eastAsia="en-AU"/>
        </w:rPr>
        <w:t>expenses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were</w:t>
      </w:r>
      <w:r w:rsidR="005D5532" w:rsidRPr="00B24C02">
        <w:rPr>
          <w:rFonts w:cs="Arial"/>
          <w:color w:val="000000"/>
          <w:szCs w:val="19"/>
          <w:lang w:eastAsia="en-AU"/>
        </w:rPr>
        <w:t xml:space="preserve"> </w:t>
      </w:r>
      <w:r w:rsidRPr="00B24C02">
        <w:rPr>
          <w:rFonts w:cs="Arial"/>
          <w:color w:val="000000"/>
          <w:szCs w:val="19"/>
          <w:lang w:eastAsia="en-AU"/>
        </w:rPr>
        <w:t>incurred</w:t>
      </w:r>
      <w:r w:rsidR="005D5532" w:rsidRPr="00B24C02">
        <w:rPr>
          <w:rFonts w:cs="Arial"/>
          <w:color w:val="000000"/>
          <w:szCs w:val="19"/>
          <w:lang w:eastAsia="en-AU"/>
        </w:rPr>
        <w:t xml:space="preserve"> </w:t>
      </w:r>
      <w:r w:rsidRPr="00B24C02">
        <w:rPr>
          <w:rFonts w:cs="Arial"/>
          <w:color w:val="000000"/>
          <w:szCs w:val="19"/>
          <w:lang w:eastAsia="en-AU"/>
        </w:rPr>
        <w:t>regardless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actually</w:t>
      </w:r>
      <w:r w:rsidR="005D5532" w:rsidRPr="00B24C02">
        <w:rPr>
          <w:rFonts w:cs="Arial"/>
          <w:color w:val="000000"/>
          <w:szCs w:val="19"/>
          <w:lang w:eastAsia="en-AU"/>
        </w:rPr>
        <w:t xml:space="preserve"> </w:t>
      </w:r>
      <w:r w:rsidRPr="00B24C02">
        <w:rPr>
          <w:rFonts w:cs="Arial"/>
          <w:color w:val="000000"/>
          <w:szCs w:val="19"/>
          <w:lang w:eastAsia="en-AU"/>
        </w:rPr>
        <w:t>paid</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depreciation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long</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leave).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case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revenue,</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recorded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was</w:t>
      </w:r>
      <w:r w:rsidR="005D5532" w:rsidRPr="00B24C02">
        <w:rPr>
          <w:rFonts w:cs="Arial"/>
          <w:color w:val="000000"/>
          <w:szCs w:val="19"/>
          <w:lang w:eastAsia="en-AU"/>
        </w:rPr>
        <w:t xml:space="preserve"> </w:t>
      </w:r>
      <w:r w:rsidRPr="00B24C02">
        <w:rPr>
          <w:rFonts w:cs="Arial"/>
          <w:color w:val="000000"/>
          <w:szCs w:val="19"/>
          <w:lang w:eastAsia="en-AU"/>
        </w:rPr>
        <w:t>earned</w:t>
      </w:r>
      <w:r w:rsidR="005D5532" w:rsidRPr="00B24C02">
        <w:rPr>
          <w:rFonts w:cs="Arial"/>
          <w:color w:val="000000"/>
          <w:szCs w:val="19"/>
          <w:lang w:eastAsia="en-AU"/>
        </w:rPr>
        <w:t xml:space="preserve"> </w:t>
      </w:r>
      <w:r w:rsidRPr="00B24C02">
        <w:rPr>
          <w:rFonts w:cs="Arial"/>
          <w:color w:val="000000"/>
          <w:szCs w:val="19"/>
          <w:lang w:eastAsia="en-AU"/>
        </w:rPr>
        <w:t>regardless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actually</w:t>
      </w:r>
      <w:r w:rsidR="005D5532" w:rsidRPr="00B24C02">
        <w:rPr>
          <w:rFonts w:cs="Arial"/>
          <w:color w:val="000000"/>
          <w:szCs w:val="19"/>
          <w:lang w:eastAsia="en-AU"/>
        </w:rPr>
        <w:t xml:space="preserve"> </w:t>
      </w:r>
      <w:r w:rsidRPr="00B24C02">
        <w:rPr>
          <w:rFonts w:cs="Arial"/>
          <w:color w:val="000000"/>
          <w:szCs w:val="19"/>
          <w:lang w:eastAsia="en-AU"/>
        </w:rPr>
        <w:t>received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unpaid</w:t>
      </w:r>
      <w:r w:rsidR="005D5532" w:rsidRPr="00B24C02">
        <w:rPr>
          <w:rFonts w:cs="Arial"/>
          <w:color w:val="000000"/>
          <w:szCs w:val="19"/>
          <w:lang w:eastAsia="en-AU"/>
        </w:rPr>
        <w:t xml:space="preserve"> </w:t>
      </w:r>
      <w:r w:rsidRPr="00B24C02">
        <w:rPr>
          <w:rFonts w:cs="Arial"/>
          <w:color w:val="000000"/>
          <w:szCs w:val="19"/>
          <w:lang w:eastAsia="en-AU"/>
        </w:rPr>
        <w:t>fees).</w:t>
      </w:r>
    </w:p>
    <w:p w14:paraId="78FE8E20" w14:textId="77777777" w:rsidR="00236748" w:rsidRPr="00276391" w:rsidRDefault="00236748" w:rsidP="003624DD">
      <w:pPr>
        <w:pStyle w:val="DHHSbodyBold"/>
        <w:rPr>
          <w:lang w:eastAsia="en-AU"/>
        </w:rPr>
      </w:pPr>
      <w:bookmarkStart w:id="377" w:name="_Toc478991824"/>
      <w:r w:rsidRPr="00276391">
        <w:rPr>
          <w:lang w:eastAsia="en-AU"/>
        </w:rPr>
        <w:t>Activity</w:t>
      </w:r>
      <w:bookmarkEnd w:id="377"/>
    </w:p>
    <w:p w14:paraId="589F681F"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operation</w:t>
      </w:r>
      <w:r w:rsidR="005D5532" w:rsidRPr="00B24C02">
        <w:rPr>
          <w:rFonts w:cs="Arial"/>
          <w:color w:val="000000"/>
          <w:szCs w:val="19"/>
          <w:lang w:eastAsia="en-AU"/>
        </w:rPr>
        <w:t xml:space="preserve"> </w:t>
      </w:r>
      <w:r w:rsidRPr="00B24C02">
        <w:rPr>
          <w:rFonts w:cs="Arial"/>
          <w:color w:val="000000"/>
          <w:szCs w:val="19"/>
          <w:lang w:eastAsia="en-AU"/>
        </w:rPr>
        <w:t>carried</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output.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occasional</w:t>
      </w:r>
      <w:r w:rsidR="005D5532" w:rsidRPr="00B24C02">
        <w:rPr>
          <w:rFonts w:cs="Arial"/>
          <w:color w:val="000000"/>
          <w:szCs w:val="19"/>
          <w:lang w:eastAsia="en-AU"/>
        </w:rPr>
        <w:t xml:space="preserve"> </w:t>
      </w:r>
      <w:r w:rsidRPr="00B24C02">
        <w:rPr>
          <w:rFonts w:cs="Arial"/>
          <w:color w:val="000000"/>
          <w:szCs w:val="19"/>
          <w:lang w:eastAsia="en-AU"/>
        </w:rPr>
        <w:t>care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activity</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children's</w:t>
      </w:r>
      <w:r w:rsidR="005D5532" w:rsidRPr="00B24C02">
        <w:rPr>
          <w:rFonts w:cs="Arial"/>
          <w:color w:val="000000"/>
          <w:szCs w:val="19"/>
          <w:lang w:eastAsia="en-AU"/>
        </w:rPr>
        <w:t xml:space="preserve"> </w:t>
      </w:r>
      <w:r w:rsidRPr="00B24C02">
        <w:rPr>
          <w:rFonts w:cs="Arial"/>
          <w:color w:val="000000"/>
          <w:szCs w:val="19"/>
          <w:lang w:eastAsia="en-AU"/>
        </w:rPr>
        <w:t>services.</w:t>
      </w:r>
    </w:p>
    <w:p w14:paraId="766A48E5" w14:textId="77777777" w:rsidR="00236748" w:rsidRPr="00276391" w:rsidRDefault="00236748" w:rsidP="003624DD">
      <w:pPr>
        <w:pStyle w:val="DHHSbodyBold"/>
        <w:rPr>
          <w:lang w:eastAsia="en-AU"/>
        </w:rPr>
      </w:pPr>
      <w:bookmarkStart w:id="378" w:name="_Toc478991825"/>
      <w:r w:rsidRPr="00276391">
        <w:rPr>
          <w:lang w:eastAsia="en-AU"/>
        </w:rPr>
        <w:t>Assets</w:t>
      </w:r>
      <w:bookmarkEnd w:id="378"/>
    </w:p>
    <w:p w14:paraId="667B7F03" w14:textId="77777777" w:rsidR="00236748" w:rsidRPr="00276391" w:rsidRDefault="00236748" w:rsidP="00276391">
      <w:pPr>
        <w:pStyle w:val="DHHSbody"/>
        <w:rPr>
          <w:lang w:eastAsia="en-AU"/>
        </w:rPr>
      </w:pP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potential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future</w:t>
      </w:r>
      <w:r w:rsidR="005D5532" w:rsidRPr="00B24C02">
        <w:rPr>
          <w:rFonts w:cs="Arial"/>
          <w:color w:val="000000"/>
          <w:szCs w:val="19"/>
          <w:lang w:eastAsia="en-AU"/>
        </w:rPr>
        <w:t xml:space="preserve"> </w:t>
      </w:r>
      <w:r w:rsidRPr="00B24C02">
        <w:rPr>
          <w:rFonts w:cs="Arial"/>
          <w:color w:val="000000"/>
          <w:szCs w:val="19"/>
          <w:lang w:eastAsia="en-AU"/>
        </w:rPr>
        <w:t>economic</w:t>
      </w:r>
      <w:r w:rsidR="005D5532" w:rsidRPr="00B24C02">
        <w:rPr>
          <w:rFonts w:cs="Arial"/>
          <w:color w:val="000000"/>
          <w:szCs w:val="19"/>
          <w:lang w:eastAsia="en-AU"/>
        </w:rPr>
        <w:t xml:space="preserve"> </w:t>
      </w:r>
      <w:r w:rsidRPr="00B24C02">
        <w:rPr>
          <w:rFonts w:cs="Arial"/>
          <w:color w:val="000000"/>
          <w:szCs w:val="19"/>
          <w:lang w:eastAsia="en-AU"/>
        </w:rPr>
        <w:t>benefit</w:t>
      </w:r>
      <w:r w:rsidR="005D5532" w:rsidRPr="00B24C02">
        <w:rPr>
          <w:rFonts w:cs="Arial"/>
          <w:color w:val="000000"/>
          <w:szCs w:val="19"/>
          <w:lang w:eastAsia="en-AU"/>
        </w:rPr>
        <w:t xml:space="preserve"> </w:t>
      </w:r>
      <w:r w:rsidRPr="00B24C02">
        <w:rPr>
          <w:rFonts w:cs="Arial"/>
          <w:color w:val="000000"/>
          <w:szCs w:val="19"/>
          <w:lang w:eastAsia="en-AU"/>
        </w:rPr>
        <w:t>controlled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result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past</w:t>
      </w:r>
      <w:r w:rsidR="005D5532" w:rsidRPr="00B24C02">
        <w:rPr>
          <w:rFonts w:cs="Arial"/>
          <w:color w:val="000000"/>
          <w:szCs w:val="19"/>
          <w:lang w:eastAsia="en-AU"/>
        </w:rPr>
        <w:t xml:space="preserve"> </w:t>
      </w:r>
      <w:r w:rsidRPr="00B24C02">
        <w:rPr>
          <w:rFonts w:cs="Arial"/>
          <w:color w:val="000000"/>
          <w:szCs w:val="19"/>
          <w:lang w:eastAsia="en-AU"/>
        </w:rPr>
        <w:t>transactions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past</w:t>
      </w:r>
      <w:r w:rsidR="005D5532" w:rsidRPr="00B24C02">
        <w:rPr>
          <w:rFonts w:cs="Arial"/>
          <w:color w:val="000000"/>
          <w:szCs w:val="19"/>
          <w:lang w:eastAsia="en-AU"/>
        </w:rPr>
        <w:t xml:space="preserve"> </w:t>
      </w:r>
      <w:r w:rsidRPr="00B24C02">
        <w:rPr>
          <w:rFonts w:cs="Arial"/>
          <w:color w:val="000000"/>
          <w:szCs w:val="19"/>
          <w:lang w:eastAsia="en-AU"/>
        </w:rPr>
        <w:t>events.</w:t>
      </w:r>
    </w:p>
    <w:p w14:paraId="2AC47FD1" w14:textId="77777777" w:rsidR="00236748" w:rsidRPr="00276391" w:rsidRDefault="00236748" w:rsidP="003624DD">
      <w:pPr>
        <w:pStyle w:val="DHHSbodyBold"/>
        <w:rPr>
          <w:lang w:eastAsia="en-AU"/>
        </w:rPr>
      </w:pPr>
      <w:bookmarkStart w:id="379" w:name="_Toc478991826"/>
      <w:r w:rsidRPr="00276391">
        <w:rPr>
          <w:lang w:eastAsia="en-AU"/>
        </w:rPr>
        <w:t>Cash</w:t>
      </w:r>
      <w:r w:rsidR="005D5532" w:rsidRPr="00276391">
        <w:rPr>
          <w:lang w:eastAsia="en-AU"/>
        </w:rPr>
        <w:t xml:space="preserve"> </w:t>
      </w:r>
      <w:r w:rsidRPr="00276391">
        <w:rPr>
          <w:lang w:eastAsia="en-AU"/>
        </w:rPr>
        <w:t>accounting</w:t>
      </w:r>
      <w:bookmarkEnd w:id="379"/>
    </w:p>
    <w:p w14:paraId="4F6833B7"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system</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records</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payments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funds</w:t>
      </w:r>
      <w:r w:rsidR="005D5532" w:rsidRPr="00B24C02">
        <w:rPr>
          <w:rFonts w:cs="Arial"/>
          <w:color w:val="000000"/>
          <w:szCs w:val="19"/>
          <w:lang w:eastAsia="en-AU"/>
        </w:rPr>
        <w:t xml:space="preserve"> </w:t>
      </w:r>
      <w:r w:rsidRPr="00B24C02">
        <w:rPr>
          <w:rFonts w:cs="Arial"/>
          <w:color w:val="000000"/>
          <w:szCs w:val="19"/>
          <w:lang w:eastAsia="en-AU"/>
        </w:rPr>
        <w:t>received.</w:t>
      </w:r>
    </w:p>
    <w:p w14:paraId="6B94D58F" w14:textId="77777777" w:rsidR="00236748" w:rsidRPr="00276391" w:rsidRDefault="00236748" w:rsidP="003624DD">
      <w:pPr>
        <w:pStyle w:val="DHHSbodyBold"/>
        <w:rPr>
          <w:lang w:eastAsia="en-AU"/>
        </w:rPr>
      </w:pPr>
      <w:bookmarkStart w:id="380" w:name="_Toc478991827"/>
      <w:r w:rsidRPr="00276391">
        <w:rPr>
          <w:lang w:eastAsia="en-AU"/>
        </w:rPr>
        <w:t>Current</w:t>
      </w:r>
      <w:r w:rsidR="005D5532" w:rsidRPr="00276391">
        <w:rPr>
          <w:lang w:eastAsia="en-AU"/>
        </w:rPr>
        <w:t xml:space="preserve"> </w:t>
      </w:r>
      <w:r w:rsidRPr="00276391">
        <w:rPr>
          <w:lang w:eastAsia="en-AU"/>
        </w:rPr>
        <w:t>assets</w:t>
      </w:r>
      <w:bookmarkEnd w:id="380"/>
    </w:p>
    <w:p w14:paraId="47D1C63C" w14:textId="77777777" w:rsidR="00236748" w:rsidRPr="00276391" w:rsidRDefault="00236748" w:rsidP="00276391">
      <w:pPr>
        <w:pStyle w:val="DHHSbody"/>
        <w:rPr>
          <w:lang w:eastAsia="en-AU"/>
        </w:rPr>
      </w:pP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intended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converted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proofErr w:type="gramStart"/>
      <w:r w:rsidRPr="00B24C02">
        <w:rPr>
          <w:rFonts w:cs="Arial"/>
          <w:color w:val="000000"/>
          <w:szCs w:val="19"/>
          <w:lang w:eastAsia="en-AU"/>
        </w:rPr>
        <w:t>12</w:t>
      </w:r>
      <w:r w:rsidR="005D5532" w:rsidRPr="00B24C02">
        <w:rPr>
          <w:rFonts w:cs="Arial"/>
          <w:color w:val="000000"/>
          <w:szCs w:val="19"/>
          <w:lang w:eastAsia="en-AU"/>
        </w:rPr>
        <w:t xml:space="preserve"> </w:t>
      </w:r>
      <w:r w:rsidRPr="00B24C02">
        <w:rPr>
          <w:rFonts w:cs="Arial"/>
          <w:color w:val="000000"/>
          <w:szCs w:val="19"/>
          <w:lang w:eastAsia="en-AU"/>
        </w:rPr>
        <w:t>month</w:t>
      </w:r>
      <w:proofErr w:type="gramEnd"/>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petty</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advance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debtors).</w:t>
      </w:r>
    </w:p>
    <w:p w14:paraId="55AECC3B" w14:textId="77777777" w:rsidR="00236748" w:rsidRPr="00276391" w:rsidRDefault="00236748" w:rsidP="003624DD">
      <w:pPr>
        <w:pStyle w:val="DHHSbodyBold"/>
        <w:rPr>
          <w:lang w:eastAsia="en-AU"/>
        </w:rPr>
      </w:pPr>
      <w:bookmarkStart w:id="381" w:name="_Toc478991828"/>
      <w:r w:rsidRPr="00276391">
        <w:rPr>
          <w:lang w:eastAsia="en-AU"/>
        </w:rPr>
        <w:t>Current</w:t>
      </w:r>
      <w:r w:rsidR="005D5532" w:rsidRPr="00276391">
        <w:rPr>
          <w:lang w:eastAsia="en-AU"/>
        </w:rPr>
        <w:t xml:space="preserve"> </w:t>
      </w:r>
      <w:r w:rsidRPr="00276391">
        <w:rPr>
          <w:lang w:eastAsia="en-AU"/>
        </w:rPr>
        <w:t>liabilities</w:t>
      </w:r>
      <w:bookmarkEnd w:id="381"/>
    </w:p>
    <w:p w14:paraId="2DDDC482" w14:textId="77777777" w:rsidR="00236748" w:rsidRPr="00276391" w:rsidRDefault="00236748" w:rsidP="00276391">
      <w:pPr>
        <w:pStyle w:val="DHHSbody"/>
        <w:rPr>
          <w:lang w:eastAsia="en-AU"/>
        </w:rPr>
      </w:pPr>
      <w:r w:rsidRPr="00B24C02">
        <w:rPr>
          <w:rFonts w:cs="Arial"/>
          <w:color w:val="000000"/>
          <w:szCs w:val="19"/>
          <w:lang w:eastAsia="en-AU"/>
        </w:rPr>
        <w:t>Amounts</w:t>
      </w:r>
      <w:r w:rsidR="005D5532" w:rsidRPr="00B24C02">
        <w:rPr>
          <w:rFonts w:cs="Arial"/>
          <w:color w:val="000000"/>
          <w:szCs w:val="19"/>
          <w:lang w:eastAsia="en-AU"/>
        </w:rPr>
        <w:t xml:space="preserve"> </w:t>
      </w:r>
      <w:r w:rsidRPr="00B24C02">
        <w:rPr>
          <w:rFonts w:cs="Arial"/>
          <w:color w:val="000000"/>
          <w:szCs w:val="19"/>
          <w:lang w:eastAsia="en-AU"/>
        </w:rPr>
        <w:t>owed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outside</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intended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paid</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proofErr w:type="gramStart"/>
      <w:r w:rsidRPr="00B24C02">
        <w:rPr>
          <w:rFonts w:cs="Arial"/>
          <w:color w:val="000000"/>
          <w:szCs w:val="19"/>
          <w:lang w:eastAsia="en-AU"/>
        </w:rPr>
        <w:t>12</w:t>
      </w:r>
      <w:r w:rsidR="005D5532" w:rsidRPr="00B24C02">
        <w:rPr>
          <w:rFonts w:cs="Arial"/>
          <w:color w:val="000000"/>
          <w:szCs w:val="19"/>
          <w:lang w:eastAsia="en-AU"/>
        </w:rPr>
        <w:t xml:space="preserve"> </w:t>
      </w:r>
      <w:r w:rsidRPr="00B24C02">
        <w:rPr>
          <w:rFonts w:cs="Arial"/>
          <w:color w:val="000000"/>
          <w:szCs w:val="19"/>
          <w:lang w:eastAsia="en-AU"/>
        </w:rPr>
        <w:t>month</w:t>
      </w:r>
      <w:proofErr w:type="gramEnd"/>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creditors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bank</w:t>
      </w:r>
      <w:r w:rsidR="005D5532" w:rsidRPr="00B24C02">
        <w:rPr>
          <w:rFonts w:cs="Arial"/>
          <w:color w:val="000000"/>
          <w:szCs w:val="19"/>
          <w:lang w:eastAsia="en-AU"/>
        </w:rPr>
        <w:t xml:space="preserve"> </w:t>
      </w:r>
      <w:r w:rsidRPr="00B24C02">
        <w:rPr>
          <w:rFonts w:cs="Arial"/>
          <w:color w:val="000000"/>
          <w:szCs w:val="19"/>
          <w:lang w:eastAsia="en-AU"/>
        </w:rPr>
        <w:t>overdraft).</w:t>
      </w:r>
    </w:p>
    <w:p w14:paraId="2FC8773C" w14:textId="77777777" w:rsidR="00236748" w:rsidRPr="00276391" w:rsidRDefault="00236748" w:rsidP="003624DD">
      <w:pPr>
        <w:pStyle w:val="DHHSbodyBold"/>
        <w:rPr>
          <w:lang w:eastAsia="en-AU"/>
        </w:rPr>
      </w:pPr>
      <w:bookmarkStart w:id="382" w:name="_Toc478991829"/>
      <w:r w:rsidRPr="00276391">
        <w:rPr>
          <w:lang w:eastAsia="en-AU"/>
        </w:rPr>
        <w:t>Liability</w:t>
      </w:r>
      <w:bookmarkEnd w:id="382"/>
    </w:p>
    <w:p w14:paraId="389301A1" w14:textId="77777777" w:rsidR="00236748" w:rsidRPr="00276391" w:rsidRDefault="00236748" w:rsidP="00276391">
      <w:pPr>
        <w:pStyle w:val="DHHSbody"/>
        <w:rPr>
          <w:lang w:eastAsia="en-AU"/>
        </w:rPr>
      </w:pPr>
      <w:r w:rsidRPr="00B24C02">
        <w:rPr>
          <w:rFonts w:cs="Arial"/>
          <w:color w:val="000000"/>
          <w:szCs w:val="19"/>
          <w:lang w:eastAsia="en-AU"/>
        </w:rPr>
        <w:lastRenderedPageBreak/>
        <w:t>An</w:t>
      </w:r>
      <w:r w:rsidR="005D5532" w:rsidRPr="00B24C02">
        <w:rPr>
          <w:rFonts w:cs="Arial"/>
          <w:color w:val="000000"/>
          <w:szCs w:val="19"/>
          <w:lang w:eastAsia="en-AU"/>
        </w:rPr>
        <w:t xml:space="preserve"> </w:t>
      </w:r>
      <w:r w:rsidRPr="00B24C02">
        <w:rPr>
          <w:rFonts w:cs="Arial"/>
          <w:color w:val="000000"/>
          <w:szCs w:val="19"/>
          <w:lang w:eastAsia="en-AU"/>
        </w:rPr>
        <w:t>obligation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pay</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future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past</w:t>
      </w:r>
      <w:r w:rsidR="005D5532" w:rsidRPr="00B24C02">
        <w:rPr>
          <w:rFonts w:cs="Arial"/>
          <w:color w:val="000000"/>
          <w:szCs w:val="19"/>
          <w:lang w:eastAsia="en-AU"/>
        </w:rPr>
        <w:t xml:space="preserve"> </w:t>
      </w:r>
      <w:r w:rsidRPr="00B24C02">
        <w:rPr>
          <w:rFonts w:cs="Arial"/>
          <w:color w:val="000000"/>
          <w:szCs w:val="19"/>
          <w:lang w:eastAsia="en-AU"/>
        </w:rPr>
        <w:t>transaction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event.</w:t>
      </w:r>
    </w:p>
    <w:p w14:paraId="7AB2463E" w14:textId="77777777" w:rsidR="00236748" w:rsidRPr="00276391" w:rsidRDefault="00236748" w:rsidP="003624DD">
      <w:pPr>
        <w:pStyle w:val="DHHSbodyBold"/>
        <w:rPr>
          <w:lang w:eastAsia="en-AU"/>
        </w:rPr>
      </w:pPr>
      <w:bookmarkStart w:id="383" w:name="_Toc478991830"/>
      <w:r w:rsidRPr="00276391">
        <w:rPr>
          <w:lang w:eastAsia="en-AU"/>
        </w:rPr>
        <w:t>Non-current</w:t>
      </w:r>
      <w:r w:rsidR="005D5532" w:rsidRPr="00276391">
        <w:rPr>
          <w:lang w:eastAsia="en-AU"/>
        </w:rPr>
        <w:t xml:space="preserve"> </w:t>
      </w:r>
      <w:r w:rsidRPr="00276391">
        <w:rPr>
          <w:lang w:eastAsia="en-AU"/>
        </w:rPr>
        <w:t>assets</w:t>
      </w:r>
      <w:bookmarkEnd w:id="383"/>
    </w:p>
    <w:p w14:paraId="243DA0AD" w14:textId="77777777" w:rsidR="00236748" w:rsidRPr="00276391" w:rsidRDefault="00236748" w:rsidP="00276391">
      <w:pPr>
        <w:pStyle w:val="DHHSbody"/>
        <w:rPr>
          <w:lang w:eastAsia="en-AU"/>
        </w:rPr>
      </w:pP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intended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converted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cash</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proofErr w:type="gramStart"/>
      <w:r w:rsidRPr="00B24C02">
        <w:rPr>
          <w:rFonts w:cs="Arial"/>
          <w:color w:val="000000"/>
          <w:szCs w:val="19"/>
          <w:lang w:eastAsia="en-AU"/>
        </w:rPr>
        <w:t>twelve</w:t>
      </w:r>
      <w:r w:rsidR="005D5532" w:rsidRPr="00B24C02">
        <w:rPr>
          <w:rFonts w:cs="Arial"/>
          <w:color w:val="000000"/>
          <w:szCs w:val="19"/>
          <w:lang w:eastAsia="en-AU"/>
        </w:rPr>
        <w:t xml:space="preserve"> </w:t>
      </w:r>
      <w:r w:rsidRPr="00B24C02">
        <w:rPr>
          <w:rFonts w:cs="Arial"/>
          <w:color w:val="000000"/>
          <w:szCs w:val="19"/>
          <w:lang w:eastAsia="en-AU"/>
        </w:rPr>
        <w:t>month</w:t>
      </w:r>
      <w:proofErr w:type="gramEnd"/>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purchased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intention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resale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vehicles,</w:t>
      </w:r>
      <w:r w:rsidR="005D5532" w:rsidRPr="00B24C02">
        <w:rPr>
          <w:rFonts w:cs="Arial"/>
          <w:color w:val="000000"/>
          <w:szCs w:val="19"/>
          <w:lang w:eastAsia="en-AU"/>
        </w:rPr>
        <w:t xml:space="preserve"> </w:t>
      </w:r>
      <w:r w:rsidRPr="00B24C02">
        <w:rPr>
          <w:rFonts w:cs="Arial"/>
          <w:color w:val="000000"/>
          <w:szCs w:val="19"/>
          <w:lang w:eastAsia="en-AU"/>
        </w:rPr>
        <w:t>furniture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fittings,</w:t>
      </w:r>
      <w:r w:rsidR="005D5532" w:rsidRPr="00B24C02">
        <w:rPr>
          <w:rFonts w:cs="Arial"/>
          <w:color w:val="000000"/>
          <w:szCs w:val="19"/>
          <w:lang w:eastAsia="en-AU"/>
        </w:rPr>
        <w:t xml:space="preserve"> </w:t>
      </w:r>
      <w:r w:rsidRPr="00B24C02">
        <w:rPr>
          <w:rFonts w:cs="Arial"/>
          <w:color w:val="000000"/>
          <w:szCs w:val="19"/>
          <w:lang w:eastAsia="en-AU"/>
        </w:rPr>
        <w:t>land</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buildings).</w:t>
      </w:r>
    </w:p>
    <w:p w14:paraId="6B49D2E7" w14:textId="77777777" w:rsidR="00236748" w:rsidRPr="00276391" w:rsidRDefault="00236748" w:rsidP="003624DD">
      <w:pPr>
        <w:pStyle w:val="DHHSbodyBold"/>
        <w:rPr>
          <w:lang w:eastAsia="en-AU"/>
        </w:rPr>
      </w:pPr>
      <w:bookmarkStart w:id="384" w:name="_Toc478991831"/>
      <w:r w:rsidRPr="00276391">
        <w:rPr>
          <w:lang w:eastAsia="en-AU"/>
        </w:rPr>
        <w:t>Non-current</w:t>
      </w:r>
      <w:r w:rsidR="005D5532" w:rsidRPr="00276391">
        <w:rPr>
          <w:lang w:eastAsia="en-AU"/>
        </w:rPr>
        <w:t xml:space="preserve"> </w:t>
      </w:r>
      <w:r w:rsidRPr="00276391">
        <w:rPr>
          <w:lang w:eastAsia="en-AU"/>
        </w:rPr>
        <w:t>liabilities</w:t>
      </w:r>
      <w:bookmarkEnd w:id="384"/>
    </w:p>
    <w:p w14:paraId="0A2CE1C1" w14:textId="77777777" w:rsidR="00236748" w:rsidRPr="00276391" w:rsidRDefault="00236748" w:rsidP="00276391">
      <w:pPr>
        <w:pStyle w:val="DHHSbody"/>
        <w:rPr>
          <w:lang w:eastAsia="en-AU"/>
        </w:rPr>
      </w:pPr>
      <w:r w:rsidRPr="00B24C02">
        <w:rPr>
          <w:rFonts w:cs="Arial"/>
          <w:color w:val="000000"/>
          <w:szCs w:val="19"/>
          <w:lang w:eastAsia="en-AU"/>
        </w:rPr>
        <w:t>Amounts</w:t>
      </w:r>
      <w:r w:rsidR="005D5532" w:rsidRPr="00B24C02">
        <w:rPr>
          <w:rFonts w:cs="Arial"/>
          <w:color w:val="000000"/>
          <w:szCs w:val="19"/>
          <w:lang w:eastAsia="en-AU"/>
        </w:rPr>
        <w:t xml:space="preserve"> </w:t>
      </w:r>
      <w:r w:rsidRPr="00B24C02">
        <w:rPr>
          <w:rFonts w:cs="Arial"/>
          <w:color w:val="000000"/>
          <w:szCs w:val="19"/>
          <w:lang w:eastAsia="en-AU"/>
        </w:rPr>
        <w:t>owed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outside</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repaid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full</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proofErr w:type="gramStart"/>
      <w:r w:rsidRPr="00B24C02">
        <w:rPr>
          <w:rFonts w:cs="Arial"/>
          <w:color w:val="000000"/>
          <w:szCs w:val="19"/>
          <w:lang w:eastAsia="en-AU"/>
        </w:rPr>
        <w:t>12</w:t>
      </w:r>
      <w:r w:rsidR="005D5532" w:rsidRPr="00B24C02">
        <w:rPr>
          <w:rFonts w:cs="Arial"/>
          <w:color w:val="000000"/>
          <w:szCs w:val="19"/>
          <w:lang w:eastAsia="en-AU"/>
        </w:rPr>
        <w:t xml:space="preserve"> </w:t>
      </w:r>
      <w:r w:rsidRPr="00B24C02">
        <w:rPr>
          <w:rFonts w:cs="Arial"/>
          <w:color w:val="000000"/>
          <w:szCs w:val="19"/>
          <w:lang w:eastAsia="en-AU"/>
        </w:rPr>
        <w:t>month</w:t>
      </w:r>
      <w:proofErr w:type="gramEnd"/>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mortgage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loans).</w:t>
      </w:r>
    </w:p>
    <w:p w14:paraId="76DD6A13" w14:textId="09CAC758" w:rsidR="00236748" w:rsidRPr="00276391" w:rsidRDefault="002201EA" w:rsidP="000E1684">
      <w:pPr>
        <w:pStyle w:val="Heading2"/>
        <w:numPr>
          <w:ilvl w:val="1"/>
          <w:numId w:val="17"/>
        </w:numPr>
        <w:rPr>
          <w:rFonts w:cs="Arial"/>
          <w:lang w:eastAsia="en-AU"/>
        </w:rPr>
      </w:pPr>
      <w:bookmarkStart w:id="385" w:name="_3.9_Audit_and"/>
      <w:bookmarkStart w:id="386" w:name="_Toc478991832"/>
      <w:bookmarkStart w:id="387" w:name="_Toc478992391"/>
      <w:bookmarkStart w:id="388" w:name="_Toc478992895"/>
      <w:bookmarkEnd w:id="385"/>
      <w:r>
        <w:rPr>
          <w:rFonts w:cs="Arial"/>
          <w:lang w:eastAsia="en-AU"/>
        </w:rPr>
        <w:t xml:space="preserve"> </w:t>
      </w:r>
      <w:bookmarkStart w:id="389" w:name="_Toc4142067"/>
      <w:r w:rsidR="00236748" w:rsidRPr="00276391">
        <w:rPr>
          <w:rFonts w:cs="Arial"/>
          <w:lang w:eastAsia="en-AU"/>
        </w:rPr>
        <w:t>Audit</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performance</w:t>
      </w:r>
      <w:r w:rsidR="009B2351" w:rsidRPr="00276391">
        <w:rPr>
          <w:rFonts w:cs="Arial"/>
          <w:lang w:eastAsia="en-AU"/>
        </w:rPr>
        <w:t xml:space="preserve"> </w:t>
      </w:r>
      <w:r w:rsidR="00236748" w:rsidRPr="00276391">
        <w:rPr>
          <w:rFonts w:cs="Arial"/>
          <w:lang w:eastAsia="en-AU"/>
        </w:rPr>
        <w:t>review</w:t>
      </w:r>
      <w:bookmarkEnd w:id="386"/>
      <w:bookmarkEnd w:id="387"/>
      <w:bookmarkEnd w:id="388"/>
      <w:bookmarkEnd w:id="389"/>
    </w:p>
    <w:p w14:paraId="229E29EC" w14:textId="2C20387A" w:rsidR="000E1684" w:rsidRPr="00276391" w:rsidRDefault="000E1684" w:rsidP="000E1684">
      <w:pPr>
        <w:pStyle w:val="DHHSbody"/>
        <w:rPr>
          <w:lang w:eastAsia="en-AU"/>
        </w:rPr>
      </w:pPr>
      <w:bookmarkStart w:id="390" w:name="_Toc478991833"/>
      <w:bookmarkStart w:id="391" w:name="_Toc478992392"/>
      <w:r w:rsidRPr="00276391">
        <w:rPr>
          <w:lang w:eastAsia="en-AU"/>
        </w:rPr>
        <w:t xml:space="preserve">Under the </w:t>
      </w:r>
      <w:r w:rsidR="009B3052">
        <w:rPr>
          <w:lang w:eastAsia="en-AU"/>
        </w:rPr>
        <w:t>Service agreement</w:t>
      </w:r>
      <w:r w:rsidRPr="00276391">
        <w:rPr>
          <w:lang w:eastAsia="en-AU"/>
        </w:rPr>
        <w:t>, the department can conduct, or engage a third party to conduct, a performance review or an audit of an organisation. A performance review or an audit may be conducted at any reasonable time, at the department's expense:</w:t>
      </w:r>
    </w:p>
    <w:p w14:paraId="0C4EEFEC" w14:textId="0FA79FF2" w:rsidR="000E1684" w:rsidRDefault="000E1684" w:rsidP="002201EA">
      <w:pPr>
        <w:pStyle w:val="DHHSbullet1"/>
        <w:numPr>
          <w:ilvl w:val="0"/>
          <w:numId w:val="11"/>
        </w:numPr>
        <w:ind w:left="284" w:hanging="284"/>
        <w:rPr>
          <w:rFonts w:cs="Arial"/>
          <w:lang w:eastAsia="en-AU"/>
        </w:rPr>
      </w:pPr>
      <w:r w:rsidRPr="000E1684">
        <w:rPr>
          <w:rFonts w:cs="Arial"/>
          <w:lang w:eastAsia="en-AU"/>
        </w:rPr>
        <w:t xml:space="preserve">for the purpose of monitoring and assessing the organisation's performance of its obligations under the </w:t>
      </w:r>
      <w:r w:rsidR="009B3052">
        <w:rPr>
          <w:rFonts w:cs="Arial"/>
          <w:lang w:eastAsia="en-AU"/>
        </w:rPr>
        <w:t>Service agreement</w:t>
      </w:r>
      <w:r w:rsidRPr="000E1684">
        <w:rPr>
          <w:rFonts w:cs="Arial"/>
          <w:lang w:eastAsia="en-AU"/>
        </w:rPr>
        <w:t xml:space="preserve"> or the delivery of </w:t>
      </w:r>
      <w:r w:rsidR="00FF70E7">
        <w:rPr>
          <w:rFonts w:cs="Arial"/>
          <w:lang w:eastAsia="en-AU"/>
        </w:rPr>
        <w:t>the services</w:t>
      </w:r>
    </w:p>
    <w:p w14:paraId="78F64426" w14:textId="2CAFB37F" w:rsidR="000E1684" w:rsidRDefault="000E1684" w:rsidP="002201EA">
      <w:pPr>
        <w:pStyle w:val="DHHSbullet1"/>
        <w:numPr>
          <w:ilvl w:val="0"/>
          <w:numId w:val="11"/>
        </w:numPr>
        <w:ind w:left="284" w:hanging="284"/>
        <w:rPr>
          <w:rFonts w:cs="Arial"/>
          <w:lang w:eastAsia="en-AU"/>
        </w:rPr>
      </w:pPr>
      <w:r w:rsidRPr="000E1684">
        <w:rPr>
          <w:rFonts w:cs="Arial"/>
          <w:lang w:eastAsia="en-AU"/>
        </w:rPr>
        <w:t xml:space="preserve">if the department has reasonable concerns that the organisation may not be delivering, or may be unable to deliver, all or part of the services in accordance with the </w:t>
      </w:r>
      <w:r w:rsidR="009B3052">
        <w:rPr>
          <w:rFonts w:cs="Arial"/>
          <w:lang w:eastAsia="en-AU"/>
        </w:rPr>
        <w:t>Service agreement</w:t>
      </w:r>
    </w:p>
    <w:p w14:paraId="614ECF19" w14:textId="6B85EBE5" w:rsidR="000E1684" w:rsidRDefault="000E1684" w:rsidP="002201EA">
      <w:pPr>
        <w:pStyle w:val="DHHSbullet1"/>
        <w:numPr>
          <w:ilvl w:val="0"/>
          <w:numId w:val="11"/>
        </w:numPr>
        <w:ind w:left="284" w:hanging="284"/>
        <w:rPr>
          <w:rFonts w:cs="Arial"/>
          <w:lang w:eastAsia="en-AU"/>
        </w:rPr>
      </w:pPr>
      <w:r w:rsidRPr="000E1684">
        <w:rPr>
          <w:rFonts w:cs="Arial"/>
          <w:lang w:eastAsia="en-AU"/>
        </w:rPr>
        <w:t xml:space="preserve">if the organisation's records give the department reasonable concern about the organisation's compliance, or ability to comply, with the </w:t>
      </w:r>
      <w:r w:rsidR="009B3052">
        <w:rPr>
          <w:rFonts w:cs="Arial"/>
          <w:lang w:eastAsia="en-AU"/>
        </w:rPr>
        <w:t>Service agreement</w:t>
      </w:r>
    </w:p>
    <w:p w14:paraId="77EAF015" w14:textId="20392CFA" w:rsidR="000E1684" w:rsidRDefault="000E1684" w:rsidP="002201EA">
      <w:pPr>
        <w:pStyle w:val="DHHSbullet1"/>
        <w:numPr>
          <w:ilvl w:val="0"/>
          <w:numId w:val="11"/>
        </w:numPr>
        <w:ind w:left="284" w:hanging="284"/>
        <w:rPr>
          <w:rFonts w:cs="Arial"/>
          <w:lang w:eastAsia="en-AU"/>
        </w:rPr>
      </w:pPr>
      <w:r w:rsidRPr="000E1684">
        <w:rPr>
          <w:rFonts w:cs="Arial"/>
          <w:lang w:eastAsia="en-AU"/>
        </w:rPr>
        <w:t>if the department has reasonable concerns that the organis</w:t>
      </w:r>
      <w:r w:rsidR="00FF70E7">
        <w:rPr>
          <w:rFonts w:cs="Arial"/>
          <w:lang w:eastAsia="en-AU"/>
        </w:rPr>
        <w:t>ation is not financially stable</w:t>
      </w:r>
      <w:r w:rsidRPr="000E1684">
        <w:rPr>
          <w:rFonts w:cs="Arial"/>
          <w:lang w:eastAsia="en-AU"/>
        </w:rPr>
        <w:t xml:space="preserve"> </w:t>
      </w:r>
    </w:p>
    <w:p w14:paraId="2438857F" w14:textId="77777777" w:rsidR="000E1684" w:rsidRDefault="000E1684" w:rsidP="002201EA">
      <w:pPr>
        <w:pStyle w:val="DHHSbullet1"/>
        <w:numPr>
          <w:ilvl w:val="0"/>
          <w:numId w:val="11"/>
        </w:numPr>
        <w:ind w:left="284" w:hanging="284"/>
        <w:rPr>
          <w:rFonts w:cs="Arial"/>
          <w:lang w:eastAsia="en-AU"/>
        </w:rPr>
      </w:pPr>
      <w:r w:rsidRPr="000E1684">
        <w:rPr>
          <w:rFonts w:cs="Arial"/>
          <w:lang w:eastAsia="en-AU"/>
        </w:rPr>
        <w:t xml:space="preserve">if the department has reasonable concerns that the organisation has misused all or part of the funding; or </w:t>
      </w:r>
    </w:p>
    <w:p w14:paraId="11065DCC" w14:textId="27661408" w:rsidR="000E1684" w:rsidRPr="000E1684" w:rsidRDefault="000E1684" w:rsidP="002201EA">
      <w:pPr>
        <w:pStyle w:val="DHHSbullet1"/>
        <w:numPr>
          <w:ilvl w:val="0"/>
          <w:numId w:val="11"/>
        </w:numPr>
        <w:ind w:left="284" w:hanging="284"/>
        <w:rPr>
          <w:rFonts w:cs="Arial"/>
          <w:lang w:eastAsia="en-AU"/>
        </w:rPr>
      </w:pPr>
      <w:r w:rsidRPr="000E1684">
        <w:rPr>
          <w:rFonts w:cs="Arial"/>
          <w:lang w:eastAsia="en-AU"/>
        </w:rPr>
        <w:t>to confirm whether the funding has been used for the correct purposes.</w:t>
      </w:r>
    </w:p>
    <w:p w14:paraId="3C4919D3" w14:textId="77777777" w:rsidR="000E1684" w:rsidRPr="00276391" w:rsidRDefault="000E1684" w:rsidP="000E1684">
      <w:pPr>
        <w:pStyle w:val="DHHSbody"/>
        <w:rPr>
          <w:lang w:eastAsia="en-AU"/>
        </w:rPr>
      </w:pPr>
      <w:r>
        <w:rPr>
          <w:lang w:eastAsia="en-AU"/>
        </w:rPr>
        <w:t>T</w:t>
      </w:r>
      <w:r w:rsidRPr="00276391">
        <w:rPr>
          <w:lang w:eastAsia="en-AU"/>
        </w:rPr>
        <w:t>he organisation is required to:</w:t>
      </w:r>
    </w:p>
    <w:p w14:paraId="55EEC867" w14:textId="686813FE" w:rsidR="000E1684" w:rsidRDefault="000E1684" w:rsidP="002201EA">
      <w:pPr>
        <w:pStyle w:val="DHHSbullet1"/>
        <w:numPr>
          <w:ilvl w:val="0"/>
          <w:numId w:val="11"/>
        </w:numPr>
        <w:tabs>
          <w:tab w:val="left" w:pos="284"/>
        </w:tabs>
        <w:ind w:left="284" w:hanging="284"/>
        <w:rPr>
          <w:rFonts w:cs="Arial"/>
          <w:lang w:eastAsia="en-AU"/>
        </w:rPr>
      </w:pPr>
      <w:r w:rsidRPr="00276391">
        <w:rPr>
          <w:rFonts w:cs="Arial"/>
          <w:lang w:eastAsia="en-AU"/>
        </w:rPr>
        <w:t>cooper</w:t>
      </w:r>
      <w:r w:rsidR="002201EA">
        <w:rPr>
          <w:rFonts w:cs="Arial"/>
          <w:lang w:eastAsia="en-AU"/>
        </w:rPr>
        <w:t xml:space="preserve">ate with and </w:t>
      </w:r>
      <w:proofErr w:type="gramStart"/>
      <w:r w:rsidR="002201EA">
        <w:rPr>
          <w:rFonts w:cs="Arial"/>
          <w:lang w:eastAsia="en-AU"/>
        </w:rPr>
        <w:t xml:space="preserve">provide assistance </w:t>
      </w:r>
      <w:r w:rsidRPr="00276391">
        <w:rPr>
          <w:rFonts w:cs="Arial"/>
          <w:lang w:eastAsia="en-AU"/>
        </w:rPr>
        <w:t>to</w:t>
      </w:r>
      <w:proofErr w:type="gramEnd"/>
      <w:r w:rsidRPr="00276391">
        <w:rPr>
          <w:rFonts w:cs="Arial"/>
          <w:lang w:eastAsia="en-AU"/>
        </w:rPr>
        <w:t xml:space="preserve"> the department or </w:t>
      </w:r>
      <w:r>
        <w:rPr>
          <w:rFonts w:cs="Arial"/>
          <w:lang w:eastAsia="en-AU"/>
        </w:rPr>
        <w:t>any</w:t>
      </w:r>
      <w:r w:rsidRPr="00276391">
        <w:rPr>
          <w:rFonts w:cs="Arial"/>
          <w:lang w:eastAsia="en-AU"/>
        </w:rPr>
        <w:t xml:space="preserve"> third party engaged </w:t>
      </w:r>
      <w:r>
        <w:rPr>
          <w:rFonts w:cs="Arial"/>
          <w:lang w:eastAsia="en-AU"/>
        </w:rPr>
        <w:t xml:space="preserve">by the department </w:t>
      </w:r>
      <w:r w:rsidRPr="00276391">
        <w:rPr>
          <w:rFonts w:cs="Arial"/>
          <w:lang w:eastAsia="en-AU"/>
        </w:rPr>
        <w:t>to conduct the audit or performance review</w:t>
      </w:r>
      <w:r>
        <w:rPr>
          <w:rFonts w:cs="Arial"/>
          <w:lang w:eastAsia="en-AU"/>
        </w:rPr>
        <w:t>.</w:t>
      </w:r>
    </w:p>
    <w:p w14:paraId="370150F3" w14:textId="4725CFFF" w:rsidR="000E1684" w:rsidRDefault="000E1684" w:rsidP="002201EA">
      <w:pPr>
        <w:pStyle w:val="DHHSbullet1"/>
        <w:numPr>
          <w:ilvl w:val="0"/>
          <w:numId w:val="11"/>
        </w:numPr>
        <w:tabs>
          <w:tab w:val="left" w:pos="284"/>
        </w:tabs>
        <w:ind w:left="284" w:hanging="284"/>
        <w:rPr>
          <w:rFonts w:cs="Arial"/>
          <w:lang w:eastAsia="en-AU"/>
        </w:rPr>
      </w:pPr>
      <w:r w:rsidRPr="000E1684">
        <w:rPr>
          <w:rFonts w:cs="Arial"/>
          <w:lang w:eastAsia="en-AU"/>
        </w:rPr>
        <w:t xml:space="preserve">make available </w:t>
      </w:r>
      <w:r>
        <w:t xml:space="preserve">to the department or any third party engaged by the department </w:t>
      </w:r>
      <w:r w:rsidRPr="000E1684">
        <w:rPr>
          <w:rFonts w:cs="Arial"/>
          <w:lang w:eastAsia="en-AU"/>
        </w:rPr>
        <w:t xml:space="preserve">all information and records needed for the audit or performance review </w:t>
      </w:r>
      <w:r>
        <w:t>in accordance with any written request from the department or third party engaged by the department</w:t>
      </w:r>
      <w:r w:rsidRPr="000E1684">
        <w:rPr>
          <w:rFonts w:cs="Arial"/>
          <w:lang w:eastAsia="en-AU"/>
        </w:rPr>
        <w:t xml:space="preserve">. Records under the agreement may include for example (but are not limited to) client files, policies/guidelines related to service delivery, records on staff, carer and volunteers, and governance documents related to the compliance of the organisation in meeting its obligations under the </w:t>
      </w:r>
      <w:r w:rsidR="009B3052">
        <w:rPr>
          <w:rFonts w:cs="Arial"/>
          <w:lang w:eastAsia="en-AU"/>
        </w:rPr>
        <w:t>Service agreement</w:t>
      </w:r>
      <w:r w:rsidRPr="000E1684">
        <w:rPr>
          <w:rFonts w:cs="Arial"/>
          <w:lang w:eastAsia="en-AU"/>
        </w:rPr>
        <w:t>.</w:t>
      </w:r>
    </w:p>
    <w:p w14:paraId="1358B2F3" w14:textId="488B3ED6" w:rsidR="000E1684" w:rsidRPr="000E1684" w:rsidRDefault="000E1684" w:rsidP="002201EA">
      <w:pPr>
        <w:pStyle w:val="DHHSbullet1"/>
        <w:numPr>
          <w:ilvl w:val="0"/>
          <w:numId w:val="11"/>
        </w:numPr>
        <w:tabs>
          <w:tab w:val="left" w:pos="284"/>
        </w:tabs>
        <w:ind w:left="284" w:hanging="284"/>
        <w:rPr>
          <w:rFonts w:cs="Arial"/>
          <w:lang w:eastAsia="en-AU"/>
        </w:rPr>
      </w:pPr>
      <w:r w:rsidRPr="000E1684">
        <w:rPr>
          <w:rFonts w:cs="Arial"/>
          <w:lang w:eastAsia="en-AU"/>
        </w:rPr>
        <w:t xml:space="preserve">allow the department or any third party </w:t>
      </w:r>
      <w:r>
        <w:t>engaged by the department</w:t>
      </w:r>
      <w:r w:rsidRPr="000E1684">
        <w:rPr>
          <w:rFonts w:cs="Arial"/>
          <w:lang w:eastAsia="en-AU"/>
        </w:rPr>
        <w:t xml:space="preserve"> access to the organisation's premises or place of business to carry out the audit or performance review. </w:t>
      </w:r>
    </w:p>
    <w:p w14:paraId="511549BA" w14:textId="4812D68E" w:rsidR="00236748" w:rsidRPr="00276391" w:rsidRDefault="00236748" w:rsidP="00276391">
      <w:pPr>
        <w:pStyle w:val="Heading3"/>
        <w:rPr>
          <w:lang w:eastAsia="en-AU"/>
        </w:rPr>
      </w:pPr>
      <w:bookmarkStart w:id="392" w:name="_Toc4142068"/>
      <w:r w:rsidRPr="00276391">
        <w:rPr>
          <w:lang w:eastAsia="en-AU"/>
        </w:rPr>
        <w:t>Information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009B3052">
        <w:rPr>
          <w:lang w:eastAsia="en-AU"/>
        </w:rPr>
        <w:t>Service agreement</w:t>
      </w:r>
      <w:r w:rsidRPr="00276391">
        <w:rPr>
          <w:lang w:eastAsia="en-AU"/>
        </w:rPr>
        <w:t>s)</w:t>
      </w:r>
      <w:bookmarkEnd w:id="390"/>
      <w:bookmarkEnd w:id="391"/>
      <w:bookmarkEnd w:id="392"/>
    </w:p>
    <w:p w14:paraId="38BA3C16" w14:textId="3978550E"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00DF1D39">
        <w:rPr>
          <w:rFonts w:cs="Arial"/>
          <w:color w:val="000000"/>
          <w:szCs w:val="19"/>
          <w:lang w:eastAsia="en-AU"/>
        </w:rPr>
        <w:t>the department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audits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reviews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9</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reviews</w:t>
      </w:r>
      <w:r w:rsidR="005D5532" w:rsidRPr="00B24C02">
        <w:rPr>
          <w:rFonts w:cs="Arial"/>
          <w:color w:val="000000"/>
          <w:szCs w:val="19"/>
          <w:lang w:eastAsia="en-AU"/>
        </w:rPr>
        <w:t xml:space="preserve"> </w:t>
      </w:r>
      <w:r w:rsidRPr="00B24C02">
        <w:rPr>
          <w:rFonts w:cs="Arial"/>
          <w:color w:val="000000"/>
          <w:szCs w:val="19"/>
          <w:lang w:eastAsia="en-AU"/>
        </w:rPr>
        <w:t>undertaken</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3</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5B9FF7D3" w14:textId="77777777" w:rsidR="00236748" w:rsidRPr="00276391" w:rsidRDefault="00236748" w:rsidP="009B2351">
      <w:pPr>
        <w:pStyle w:val="Heading2"/>
        <w:rPr>
          <w:rFonts w:cs="Arial"/>
          <w:lang w:eastAsia="en-AU"/>
        </w:rPr>
      </w:pPr>
      <w:bookmarkStart w:id="393" w:name="_3.10_Assignment_and"/>
      <w:bookmarkStart w:id="394" w:name="_Toc478991834"/>
      <w:bookmarkStart w:id="395" w:name="_Toc478992393"/>
      <w:bookmarkStart w:id="396" w:name="_Toc478992896"/>
      <w:bookmarkStart w:id="397" w:name="_Toc4142069"/>
      <w:bookmarkEnd w:id="393"/>
      <w:r w:rsidRPr="00276391">
        <w:rPr>
          <w:rFonts w:cs="Arial"/>
          <w:lang w:eastAsia="en-AU"/>
        </w:rPr>
        <w:t>3.10</w:t>
      </w:r>
      <w:r w:rsidR="009B2351" w:rsidRPr="00276391">
        <w:rPr>
          <w:rFonts w:cs="Arial"/>
          <w:lang w:eastAsia="en-AU"/>
        </w:rPr>
        <w:t xml:space="preserve"> </w:t>
      </w:r>
      <w:r w:rsidRPr="00276391">
        <w:rPr>
          <w:rFonts w:cs="Arial"/>
          <w:lang w:eastAsia="en-AU"/>
        </w:rPr>
        <w:t>Assignment</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subcontracting</w:t>
      </w:r>
      <w:bookmarkEnd w:id="394"/>
      <w:bookmarkEnd w:id="395"/>
      <w:bookmarkEnd w:id="396"/>
      <w:bookmarkEnd w:id="397"/>
    </w:p>
    <w:p w14:paraId="22F33FB5" w14:textId="455BC7F9"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provisions</w:t>
      </w:r>
      <w:r w:rsidR="005D5532" w:rsidRPr="00276391">
        <w:rPr>
          <w:lang w:eastAsia="en-AU"/>
        </w:rPr>
        <w:t xml:space="preserve"> </w:t>
      </w:r>
      <w:r w:rsidRPr="00276391">
        <w:rPr>
          <w:lang w:eastAsia="en-AU"/>
        </w:rPr>
        <w:t>allowing</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subcontract</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third</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prior</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consent.</w:t>
      </w:r>
    </w:p>
    <w:p w14:paraId="68DFC55D" w14:textId="77777777" w:rsidR="00236748" w:rsidRPr="00276391" w:rsidRDefault="00236748" w:rsidP="00276391">
      <w:pPr>
        <w:pStyle w:val="Heading3"/>
        <w:rPr>
          <w:lang w:eastAsia="en-AU"/>
        </w:rPr>
      </w:pPr>
      <w:bookmarkStart w:id="398" w:name="_Toc478991835"/>
      <w:bookmarkStart w:id="399" w:name="_Toc478992394"/>
      <w:bookmarkStart w:id="400" w:name="_Toc4142070"/>
      <w:r w:rsidRPr="00276391">
        <w:rPr>
          <w:lang w:eastAsia="en-AU"/>
        </w:rPr>
        <w:lastRenderedPageBreak/>
        <w:t>What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subcontracting?</w:t>
      </w:r>
      <w:bookmarkEnd w:id="398"/>
      <w:bookmarkEnd w:id="399"/>
      <w:bookmarkEnd w:id="400"/>
    </w:p>
    <w:p w14:paraId="6BA36CFB" w14:textId="1F0350B9" w:rsidR="00236748" w:rsidRPr="00276391" w:rsidRDefault="00236748" w:rsidP="00276391">
      <w:pPr>
        <w:pStyle w:val="DHHSbody"/>
        <w:rPr>
          <w:lang w:eastAsia="en-AU"/>
        </w:rPr>
      </w:pPr>
      <w:r w:rsidRPr="00B24C02">
        <w:rPr>
          <w:rFonts w:cs="Arial"/>
          <w:color w:val="000000"/>
          <w:szCs w:val="19"/>
          <w:lang w:eastAsia="en-AU"/>
        </w:rPr>
        <w:t>Subcontracting</w:t>
      </w:r>
      <w:r w:rsidR="005D5532" w:rsidRPr="00B24C02">
        <w:rPr>
          <w:rFonts w:cs="Arial"/>
          <w:color w:val="000000"/>
          <w:szCs w:val="19"/>
          <w:lang w:eastAsia="en-AU"/>
        </w:rPr>
        <w:t xml:space="preserve"> </w:t>
      </w:r>
      <w:r w:rsidRPr="00B24C02">
        <w:rPr>
          <w:rFonts w:cs="Arial"/>
          <w:color w:val="000000"/>
          <w:szCs w:val="19"/>
          <w:lang w:eastAsia="en-AU"/>
        </w:rPr>
        <w:t>refers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engaging</w:t>
      </w:r>
      <w:r w:rsidR="005D5532" w:rsidRPr="00B24C02">
        <w:rPr>
          <w:rFonts w:cs="Arial"/>
          <w:color w:val="000000"/>
          <w:szCs w:val="19"/>
          <w:lang w:eastAsia="en-AU"/>
        </w:rPr>
        <w:t xml:space="preserve"> </w:t>
      </w:r>
      <w:r w:rsidRPr="00B24C02">
        <w:rPr>
          <w:rFonts w:cs="Arial"/>
          <w:color w:val="000000"/>
          <w:szCs w:val="19"/>
          <w:lang w:eastAsia="en-AU"/>
        </w:rPr>
        <w:t>another</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person</w:t>
      </w:r>
      <w:r w:rsidR="005D5532" w:rsidRPr="00B24C02">
        <w:rPr>
          <w:rFonts w:cs="Arial"/>
          <w:color w:val="000000"/>
          <w:szCs w:val="19"/>
          <w:lang w:eastAsia="en-AU"/>
        </w:rPr>
        <w:t xml:space="preserve"> </w:t>
      </w:r>
      <w:r w:rsidRPr="00B24C02">
        <w:rPr>
          <w:rFonts w:cs="Arial"/>
          <w:color w:val="000000"/>
          <w:szCs w:val="19"/>
          <w:lang w:eastAsia="en-AU"/>
        </w:rPr>
        <w:t>(excluding</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undertake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set</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Schedules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100</w:t>
      </w:r>
      <w:r w:rsidR="005D5532" w:rsidRPr="00B24C02">
        <w:rPr>
          <w:rFonts w:cs="Arial"/>
          <w:color w:val="000000"/>
          <w:szCs w:val="19"/>
          <w:lang w:eastAsia="en-AU"/>
        </w:rPr>
        <w:t xml:space="preserve"> </w:t>
      </w:r>
      <w:r w:rsidRPr="00B24C02">
        <w:rPr>
          <w:rFonts w:cs="Arial"/>
          <w:color w:val="000000"/>
          <w:szCs w:val="19"/>
          <w:lang w:eastAsia="en-AU"/>
        </w:rPr>
        <w:t>episodes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respite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wish</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engage</w:t>
      </w:r>
      <w:r w:rsidR="005D5532" w:rsidRPr="00B24C02">
        <w:rPr>
          <w:rFonts w:cs="Arial"/>
          <w:color w:val="000000"/>
          <w:szCs w:val="19"/>
          <w:lang w:eastAsia="en-AU"/>
        </w:rPr>
        <w:t xml:space="preserve"> </w:t>
      </w:r>
      <w:r w:rsidRPr="00B24C02">
        <w:rPr>
          <w:rFonts w:cs="Arial"/>
          <w:color w:val="000000"/>
          <w:szCs w:val="19"/>
          <w:lang w:eastAsia="en-AU"/>
        </w:rPr>
        <w:t>another</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subcontract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20</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episodes.</w:t>
      </w:r>
    </w:p>
    <w:p w14:paraId="7798BE1C"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purposes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considered</w:t>
      </w:r>
      <w:r w:rsidR="005D5532" w:rsidRPr="00276391">
        <w:rPr>
          <w:lang w:eastAsia="en-AU"/>
        </w:rPr>
        <w:t xml:space="preserve"> </w:t>
      </w:r>
      <w:r w:rsidRPr="00276391">
        <w:rPr>
          <w:lang w:eastAsia="en-AU"/>
        </w:rPr>
        <w:t>subcontracting:</w:t>
      </w:r>
    </w:p>
    <w:p w14:paraId="39C22BC9" w14:textId="77777777" w:rsidR="00236748" w:rsidRPr="00276391" w:rsidRDefault="00236748" w:rsidP="00276391">
      <w:pPr>
        <w:pStyle w:val="DHHSbullet1"/>
        <w:rPr>
          <w:rFonts w:cs="Arial"/>
          <w:lang w:eastAsia="en-AU"/>
        </w:rPr>
      </w:pPr>
      <w:r w:rsidRPr="00276391">
        <w:rPr>
          <w:rFonts w:cs="Arial"/>
          <w:lang w:eastAsia="en-AU"/>
        </w:rPr>
        <w:t>employment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temporary</w:t>
      </w:r>
      <w:r w:rsidR="005D5532" w:rsidRPr="00276391">
        <w:rPr>
          <w:rFonts w:cs="Arial"/>
          <w:lang w:eastAsia="en-AU"/>
        </w:rPr>
        <w:t xml:space="preserve"> </w:t>
      </w:r>
      <w:r w:rsidRPr="00276391">
        <w:rPr>
          <w:rFonts w:cs="Arial"/>
          <w:lang w:eastAsia="en-AU"/>
        </w:rPr>
        <w:t>staff</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fill</w:t>
      </w:r>
      <w:r w:rsidR="005D5532" w:rsidRPr="00276391">
        <w:rPr>
          <w:rFonts w:cs="Arial"/>
          <w:lang w:eastAsia="en-AU"/>
        </w:rPr>
        <w:t xml:space="preserve"> </w:t>
      </w:r>
      <w:r w:rsidRPr="00276391">
        <w:rPr>
          <w:rFonts w:cs="Arial"/>
          <w:lang w:eastAsia="en-AU"/>
        </w:rPr>
        <w:t>vacancies</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ordinarily</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provide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p>
    <w:p w14:paraId="6916A259" w14:textId="77777777" w:rsidR="00236748" w:rsidRPr="00276391" w:rsidRDefault="00236748" w:rsidP="00276391">
      <w:pPr>
        <w:pStyle w:val="DHHSbullet1"/>
        <w:rPr>
          <w:rFonts w:cs="Arial"/>
          <w:lang w:eastAsia="en-AU"/>
        </w:rPr>
      </w:pPr>
      <w:r w:rsidRPr="00276391">
        <w:rPr>
          <w:rFonts w:cs="Arial"/>
          <w:lang w:eastAsia="en-AU"/>
        </w:rPr>
        <w:t>services</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ordinary</w:t>
      </w:r>
      <w:r w:rsidR="005D5532" w:rsidRPr="00276391">
        <w:rPr>
          <w:rFonts w:cs="Arial"/>
          <w:lang w:eastAsia="en-AU"/>
        </w:rPr>
        <w:t xml:space="preserve"> </w:t>
      </w:r>
      <w:r w:rsidRPr="00276391">
        <w:rPr>
          <w:rFonts w:cs="Arial"/>
          <w:lang w:eastAsia="en-AU"/>
        </w:rPr>
        <w:t>operational</w:t>
      </w:r>
      <w:r w:rsidR="005D5532" w:rsidRPr="00276391">
        <w:rPr>
          <w:rFonts w:cs="Arial"/>
          <w:lang w:eastAsia="en-AU"/>
        </w:rPr>
        <w:t xml:space="preserve"> </w:t>
      </w:r>
      <w:r w:rsidRPr="00276391">
        <w:rPr>
          <w:rFonts w:cs="Arial"/>
          <w:lang w:eastAsia="en-AU"/>
        </w:rPr>
        <w:t>needs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do</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directly</w:t>
      </w:r>
      <w:r w:rsidR="005D5532" w:rsidRPr="00276391">
        <w:rPr>
          <w:rFonts w:cs="Arial"/>
          <w:lang w:eastAsia="en-AU"/>
        </w:rPr>
        <w:t xml:space="preserve"> </w:t>
      </w:r>
      <w:r w:rsidRPr="00276391">
        <w:rPr>
          <w:rFonts w:cs="Arial"/>
          <w:lang w:eastAsia="en-AU"/>
        </w:rPr>
        <w:t>involve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provision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technology,</w:t>
      </w:r>
      <w:r w:rsidR="005D5532" w:rsidRPr="00276391">
        <w:rPr>
          <w:rFonts w:cs="Arial"/>
          <w:lang w:eastAsia="en-AU"/>
        </w:rPr>
        <w:t xml:space="preserve"> </w:t>
      </w:r>
      <w:r w:rsidRPr="00276391">
        <w:rPr>
          <w:rFonts w:cs="Arial"/>
          <w:lang w:eastAsia="en-AU"/>
        </w:rPr>
        <w:t>human</w:t>
      </w:r>
      <w:r w:rsidR="005D5532" w:rsidRPr="00276391">
        <w:rPr>
          <w:rFonts w:cs="Arial"/>
          <w:lang w:eastAsia="en-AU"/>
        </w:rPr>
        <w:t xml:space="preserve"> </w:t>
      </w:r>
      <w:r w:rsidRPr="00276391">
        <w:rPr>
          <w:rFonts w:cs="Arial"/>
          <w:lang w:eastAsia="en-AU"/>
        </w:rPr>
        <w:t>resources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cleaning</w:t>
      </w:r>
      <w:r w:rsidR="005D5532" w:rsidRPr="00276391">
        <w:rPr>
          <w:rFonts w:cs="Arial"/>
          <w:lang w:eastAsia="en-AU"/>
        </w:rPr>
        <w:t xml:space="preserve"> </w:t>
      </w:r>
    </w:p>
    <w:p w14:paraId="245F127D" w14:textId="77777777" w:rsidR="00236748" w:rsidRPr="00276391" w:rsidRDefault="00236748" w:rsidP="00276391">
      <w:pPr>
        <w:pStyle w:val="DHHSbullet1"/>
        <w:rPr>
          <w:rFonts w:cs="Arial"/>
          <w:lang w:eastAsia="en-AU"/>
        </w:rPr>
      </w:pPr>
      <w:r w:rsidRPr="00276391">
        <w:rPr>
          <w:rFonts w:cs="Arial"/>
          <w:lang w:eastAsia="en-AU"/>
        </w:rPr>
        <w:t>where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specifically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engage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fund</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providers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deliver</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supports.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example:</w:t>
      </w:r>
      <w:r w:rsidR="005D5532" w:rsidRPr="00276391">
        <w:rPr>
          <w:rFonts w:cs="Arial"/>
          <w:lang w:eastAsia="en-AU"/>
        </w:rPr>
        <w:t xml:space="preserve"> </w:t>
      </w:r>
    </w:p>
    <w:p w14:paraId="6E551D4C" w14:textId="77777777" w:rsidR="00236748" w:rsidRPr="00276391" w:rsidRDefault="00236748" w:rsidP="0043765D">
      <w:pPr>
        <w:pStyle w:val="DHHSbullet2"/>
        <w:rPr>
          <w:lang w:eastAsia="en-AU"/>
        </w:rPr>
      </w:pPr>
      <w:r w:rsidRPr="00B24C02">
        <w:rPr>
          <w:lang w:eastAsia="en-AU"/>
        </w:rPr>
        <w:t>where</w:t>
      </w:r>
      <w:r w:rsidR="005D5532" w:rsidRPr="00B24C02">
        <w:rPr>
          <w:lang w:eastAsia="en-AU"/>
        </w:rPr>
        <w:t xml:space="preserve"> </w:t>
      </w:r>
      <w:r w:rsidRPr="00B24C02">
        <w:rPr>
          <w:lang w:eastAsia="en-AU"/>
        </w:rPr>
        <w:t>an</w:t>
      </w:r>
      <w:r w:rsidR="005D5532" w:rsidRPr="00B24C02">
        <w:rPr>
          <w:lang w:eastAsia="en-AU"/>
        </w:rPr>
        <w:t xml:space="preserve"> </w:t>
      </w:r>
      <w:r w:rsidRPr="00B24C02">
        <w:rPr>
          <w:lang w:eastAsia="en-AU"/>
        </w:rPr>
        <w:t>organisation</w:t>
      </w:r>
      <w:r w:rsidR="005D5532" w:rsidRPr="00B24C02">
        <w:rPr>
          <w:lang w:eastAsia="en-AU"/>
        </w:rPr>
        <w:t xml:space="preserve"> </w:t>
      </w:r>
      <w:r w:rsidRPr="00B24C02">
        <w:rPr>
          <w:lang w:eastAsia="en-AU"/>
        </w:rPr>
        <w:t>is</w:t>
      </w:r>
      <w:r w:rsidR="005D5532" w:rsidRPr="00B24C02">
        <w:rPr>
          <w:lang w:eastAsia="en-AU"/>
        </w:rPr>
        <w:t xml:space="preserve"> </w:t>
      </w:r>
      <w:r w:rsidRPr="00B24C02">
        <w:rPr>
          <w:lang w:eastAsia="en-AU"/>
        </w:rPr>
        <w:t>funded</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discretionary</w:t>
      </w:r>
      <w:r w:rsidR="005D5532" w:rsidRPr="00B24C02">
        <w:rPr>
          <w:lang w:eastAsia="en-AU"/>
        </w:rPr>
        <w:t xml:space="preserve"> </w:t>
      </w:r>
      <w:r w:rsidRPr="00B24C02">
        <w:rPr>
          <w:lang w:eastAsia="en-AU"/>
        </w:rPr>
        <w:t>amount</w:t>
      </w:r>
      <w:r w:rsidR="005D5532" w:rsidRPr="00B24C02">
        <w:rPr>
          <w:lang w:eastAsia="en-AU"/>
        </w:rPr>
        <w:t xml:space="preserve"> </w:t>
      </w:r>
      <w:r w:rsidRPr="00B24C02">
        <w:rPr>
          <w:lang w:eastAsia="en-AU"/>
        </w:rPr>
        <w:t>for</w:t>
      </w:r>
      <w:r w:rsidR="005D5532" w:rsidRPr="00B24C02">
        <w:rPr>
          <w:lang w:eastAsia="en-AU"/>
        </w:rPr>
        <w:t xml:space="preserve"> </w:t>
      </w:r>
      <w:r w:rsidRPr="00B24C02">
        <w:rPr>
          <w:lang w:eastAsia="en-AU"/>
        </w:rPr>
        <w:t>client</w:t>
      </w:r>
      <w:r w:rsidR="005D5532" w:rsidRPr="00B24C02">
        <w:rPr>
          <w:lang w:eastAsia="en-AU"/>
        </w:rPr>
        <w:t xml:space="preserve"> </w:t>
      </w:r>
      <w:r w:rsidRPr="00B24C02">
        <w:rPr>
          <w:lang w:eastAsia="en-AU"/>
        </w:rPr>
        <w:t>directed</w:t>
      </w:r>
      <w:r w:rsidR="005D5532" w:rsidRPr="00B24C02">
        <w:rPr>
          <w:lang w:eastAsia="en-AU"/>
        </w:rPr>
        <w:t xml:space="preserve"> </w:t>
      </w:r>
      <w:r w:rsidRPr="00B24C02">
        <w:rPr>
          <w:lang w:eastAsia="en-AU"/>
        </w:rPr>
        <w:t>supports</w:t>
      </w:r>
      <w:r w:rsidR="005D5532" w:rsidRPr="00B24C02">
        <w:rPr>
          <w:lang w:eastAsia="en-AU"/>
        </w:rPr>
        <w:t xml:space="preserve"> </w:t>
      </w:r>
      <w:r w:rsidR="007A5E9F" w:rsidRPr="00B24C02">
        <w:rPr>
          <w:lang w:eastAsia="en-AU"/>
        </w:rPr>
        <w:t>e.g.</w:t>
      </w:r>
      <w:r w:rsidR="005D5532" w:rsidRPr="00B24C02">
        <w:rPr>
          <w:lang w:eastAsia="en-AU"/>
        </w:rPr>
        <w:t xml:space="preserve"> </w:t>
      </w:r>
      <w:r w:rsidRPr="00B24C02">
        <w:rPr>
          <w:lang w:eastAsia="en-AU"/>
        </w:rPr>
        <w:t>the</w:t>
      </w:r>
      <w:r w:rsidR="005D5532" w:rsidRPr="00B24C02">
        <w:rPr>
          <w:lang w:eastAsia="en-AU"/>
        </w:rPr>
        <w:t xml:space="preserve"> </w:t>
      </w:r>
      <w:r w:rsidRPr="00B24C02">
        <w:rPr>
          <w:lang w:eastAsia="en-AU"/>
        </w:rPr>
        <w:t>engagement</w:t>
      </w:r>
      <w:r w:rsidR="005D5532" w:rsidRPr="00B24C02">
        <w:rPr>
          <w:lang w:eastAsia="en-AU"/>
        </w:rPr>
        <w:t xml:space="preserve"> </w:t>
      </w:r>
      <w:r w:rsidRPr="00B24C02">
        <w:rPr>
          <w:lang w:eastAsia="en-AU"/>
        </w:rPr>
        <w:t>of</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massage</w:t>
      </w:r>
      <w:r w:rsidR="005D5532" w:rsidRPr="00B24C02">
        <w:rPr>
          <w:lang w:eastAsia="en-AU"/>
        </w:rPr>
        <w:t xml:space="preserve"> </w:t>
      </w:r>
      <w:r w:rsidRPr="00B24C02">
        <w:rPr>
          <w:lang w:eastAsia="en-AU"/>
        </w:rPr>
        <w:t>therapist</w:t>
      </w:r>
      <w:r w:rsidR="005D5532" w:rsidRPr="00B24C02">
        <w:rPr>
          <w:lang w:eastAsia="en-AU"/>
        </w:rPr>
        <w:t xml:space="preserve"> </w:t>
      </w:r>
      <w:r w:rsidRPr="00B24C02">
        <w:rPr>
          <w:lang w:eastAsia="en-AU"/>
        </w:rPr>
        <w:t>for</w:t>
      </w:r>
      <w:r w:rsidR="005D5532" w:rsidRPr="00B24C02">
        <w:rPr>
          <w:lang w:eastAsia="en-AU"/>
        </w:rPr>
        <w:t xml:space="preserve"> </w:t>
      </w:r>
      <w:r w:rsidRPr="00B24C02">
        <w:rPr>
          <w:lang w:eastAsia="en-AU"/>
        </w:rPr>
        <w:t>a</w:t>
      </w:r>
      <w:r w:rsidR="005D5532" w:rsidRPr="00B24C02">
        <w:rPr>
          <w:lang w:eastAsia="en-AU"/>
        </w:rPr>
        <w:t xml:space="preserve"> </w:t>
      </w:r>
      <w:r w:rsidRPr="00B24C02">
        <w:rPr>
          <w:lang w:eastAsia="en-AU"/>
        </w:rPr>
        <w:t>service</w:t>
      </w:r>
      <w:r w:rsidR="005D5532" w:rsidRPr="00B24C02">
        <w:rPr>
          <w:lang w:eastAsia="en-AU"/>
        </w:rPr>
        <w:t xml:space="preserve"> </w:t>
      </w:r>
      <w:r w:rsidRPr="00B24C02">
        <w:rPr>
          <w:lang w:eastAsia="en-AU"/>
        </w:rPr>
        <w:t>user</w:t>
      </w:r>
      <w:r w:rsidR="005D5532" w:rsidRPr="00B24C02">
        <w:rPr>
          <w:lang w:eastAsia="en-AU"/>
        </w:rPr>
        <w:t xml:space="preserve"> </w:t>
      </w:r>
    </w:p>
    <w:p w14:paraId="5251EF49" w14:textId="77777777" w:rsidR="00236748" w:rsidRPr="00276391" w:rsidRDefault="00236748" w:rsidP="0043765D">
      <w:pPr>
        <w:pStyle w:val="DHHSbullet2"/>
        <w:rPr>
          <w:lang w:eastAsia="en-AU"/>
        </w:rPr>
      </w:pPr>
      <w:r w:rsidRPr="00276391">
        <w:rPr>
          <w:lang w:eastAsia="en-AU"/>
        </w:rPr>
        <w:t>where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peak</w:t>
      </w:r>
      <w:r w:rsidR="005D5532" w:rsidRPr="00276391">
        <w:rPr>
          <w:lang w:eastAsia="en-AU"/>
        </w:rPr>
        <w:t xml:space="preserve"> </w:t>
      </w:r>
      <w:r w:rsidRPr="00276391">
        <w:rPr>
          <w:lang w:eastAsia="en-AU"/>
        </w:rPr>
        <w:t>research</w:t>
      </w:r>
      <w:r w:rsidR="005D5532" w:rsidRPr="00276391">
        <w:rPr>
          <w:lang w:eastAsia="en-AU"/>
        </w:rPr>
        <w:t xml:space="preserve"> </w:t>
      </w:r>
      <w:r w:rsidRPr="00276391">
        <w:rPr>
          <w:lang w:eastAsia="en-AU"/>
        </w:rPr>
        <w:t>body</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research.</w:t>
      </w:r>
      <w:r w:rsidR="005D5532" w:rsidRPr="00276391">
        <w:rPr>
          <w:lang w:eastAsia="en-AU"/>
        </w:rPr>
        <w:t xml:space="preserve"> </w:t>
      </w:r>
    </w:p>
    <w:p w14:paraId="2C5594F8" w14:textId="77777777" w:rsidR="00236748" w:rsidRPr="00276391" w:rsidRDefault="00236748" w:rsidP="00276391">
      <w:pPr>
        <w:pStyle w:val="Heading3"/>
        <w:rPr>
          <w:lang w:eastAsia="en-AU"/>
        </w:rPr>
      </w:pPr>
      <w:bookmarkStart w:id="401" w:name="_Toc478991836"/>
      <w:bookmarkStart w:id="402" w:name="_Toc478992395"/>
      <w:bookmarkStart w:id="403" w:name="_Toc4142071"/>
      <w:r w:rsidRPr="00276391">
        <w:rPr>
          <w:lang w:eastAsia="en-AU"/>
        </w:rPr>
        <w:t>Process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obtaining</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subcontracting</w:t>
      </w:r>
      <w:bookmarkEnd w:id="401"/>
      <w:bookmarkEnd w:id="402"/>
      <w:bookmarkEnd w:id="403"/>
    </w:p>
    <w:p w14:paraId="6A40B293" w14:textId="77777777" w:rsidR="00236748" w:rsidRPr="00276391" w:rsidRDefault="00236748" w:rsidP="00276391">
      <w:pPr>
        <w:pStyle w:val="DHHSbody"/>
        <w:rPr>
          <w:lang w:eastAsia="en-AU"/>
        </w:rPr>
      </w:pP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proposal</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subcontracting</w:t>
      </w:r>
      <w:r w:rsidR="005D5532" w:rsidRPr="00B24C02">
        <w:rPr>
          <w:rFonts w:cs="Arial"/>
          <w:color w:val="000000"/>
          <w:szCs w:val="19"/>
          <w:lang w:eastAsia="en-AU"/>
        </w:rPr>
        <w:t xml:space="preserve"> </w:t>
      </w:r>
      <w:r w:rsidRPr="00B24C02">
        <w:rPr>
          <w:rFonts w:cs="Arial"/>
          <w:color w:val="000000"/>
          <w:szCs w:val="19"/>
          <w:lang w:eastAsia="en-AU"/>
        </w:rPr>
        <w:t>needs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include</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proposed</w:t>
      </w:r>
      <w:r w:rsidR="005D5532" w:rsidRPr="00B24C02">
        <w:rPr>
          <w:rFonts w:cs="Arial"/>
          <w:color w:val="000000"/>
          <w:szCs w:val="19"/>
          <w:lang w:eastAsia="en-AU"/>
        </w:rPr>
        <w:t xml:space="preserve"> </w:t>
      </w:r>
      <w:r w:rsidRPr="00B24C02">
        <w:rPr>
          <w:rFonts w:cs="Arial"/>
          <w:color w:val="000000"/>
          <w:szCs w:val="19"/>
          <w:lang w:eastAsia="en-AU"/>
        </w:rPr>
        <w:t>subcontracted</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period</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proposed</w:t>
      </w:r>
      <w:r w:rsidR="005D5532" w:rsidRPr="00B24C02">
        <w:rPr>
          <w:rFonts w:cs="Arial"/>
          <w:color w:val="000000"/>
          <w:szCs w:val="19"/>
          <w:lang w:eastAsia="en-AU"/>
        </w:rPr>
        <w:t xml:space="preserve"> </w:t>
      </w:r>
      <w:r w:rsidRPr="00B24C02">
        <w:rPr>
          <w:rFonts w:cs="Arial"/>
          <w:color w:val="000000"/>
          <w:szCs w:val="19"/>
          <w:lang w:eastAsia="en-AU"/>
        </w:rPr>
        <w:t>subcontract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proposed</w:t>
      </w:r>
      <w:r w:rsidR="005D5532" w:rsidRPr="00B24C02">
        <w:rPr>
          <w:rFonts w:cs="Arial"/>
          <w:color w:val="000000"/>
          <w:szCs w:val="19"/>
          <w:lang w:eastAsia="en-AU"/>
        </w:rPr>
        <w:t xml:space="preserve"> </w:t>
      </w:r>
      <w:r w:rsidRPr="00B24C02">
        <w:rPr>
          <w:rFonts w:cs="Arial"/>
          <w:color w:val="000000"/>
          <w:szCs w:val="19"/>
          <w:lang w:eastAsia="en-AU"/>
        </w:rPr>
        <w:t>subcontractor.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only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taken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consented</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consents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proofErr w:type="gramStart"/>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and</w:t>
      </w:r>
      <w:proofErr w:type="gramEnd"/>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impose</w:t>
      </w:r>
      <w:r w:rsidR="005D5532" w:rsidRPr="00B24C02">
        <w:rPr>
          <w:rFonts w:cs="Arial"/>
          <w:color w:val="000000"/>
          <w:szCs w:val="19"/>
          <w:lang w:eastAsia="en-AU"/>
        </w:rPr>
        <w:t xml:space="preserve"> </w:t>
      </w:r>
      <w:r w:rsidRPr="00B24C02">
        <w:rPr>
          <w:rFonts w:cs="Arial"/>
          <w:color w:val="000000"/>
          <w:szCs w:val="19"/>
          <w:lang w:eastAsia="en-AU"/>
        </w:rPr>
        <w:t>conditions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consent.</w:t>
      </w:r>
    </w:p>
    <w:p w14:paraId="4F0FB25A" w14:textId="77777777" w:rsidR="00236748" w:rsidRPr="00276391" w:rsidRDefault="00236748" w:rsidP="00276391">
      <w:pPr>
        <w:pStyle w:val="Heading3"/>
        <w:rPr>
          <w:lang w:eastAsia="en-AU"/>
        </w:rPr>
      </w:pPr>
      <w:bookmarkStart w:id="404" w:name="_Toc478991837"/>
      <w:bookmarkStart w:id="405" w:name="_Toc478992396"/>
      <w:bookmarkStart w:id="406" w:name="_Toc4142072"/>
      <w:r w:rsidRPr="00276391">
        <w:rPr>
          <w:lang w:eastAsia="en-AU"/>
        </w:rPr>
        <w:t>Engaging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subcontractor</w:t>
      </w:r>
      <w:bookmarkEnd w:id="404"/>
      <w:bookmarkEnd w:id="405"/>
      <w:bookmarkEnd w:id="406"/>
    </w:p>
    <w:p w14:paraId="283A17B0" w14:textId="76AA3EAC"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wants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assign</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rights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subcontract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third</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provision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satisfy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third</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same</w:t>
      </w:r>
      <w:r w:rsidR="005D5532" w:rsidRPr="00B24C02">
        <w:rPr>
          <w:rFonts w:cs="Arial"/>
          <w:color w:val="000000"/>
          <w:szCs w:val="19"/>
          <w:lang w:eastAsia="en-AU"/>
        </w:rPr>
        <w:t xml:space="preserve"> </w:t>
      </w:r>
      <w:r w:rsidRPr="00B24C02">
        <w:rPr>
          <w:rFonts w:cs="Arial"/>
          <w:color w:val="000000"/>
          <w:szCs w:val="19"/>
          <w:lang w:eastAsia="en-AU"/>
        </w:rPr>
        <w:t>terms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conditions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third</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agrees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condition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granting</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consent.</w:t>
      </w:r>
    </w:p>
    <w:p w14:paraId="57AB917B" w14:textId="54A4E99E" w:rsidR="00236748" w:rsidRPr="00276391" w:rsidRDefault="00236748" w:rsidP="00276391">
      <w:pPr>
        <w:pStyle w:val="DHHSbody"/>
        <w:rPr>
          <w:lang w:eastAsia="en-AU"/>
        </w:rPr>
      </w:pPr>
      <w:r w:rsidRPr="00276391">
        <w:rPr>
          <w:lang w:eastAsia="en-AU"/>
        </w:rPr>
        <w:t>Before</w:t>
      </w:r>
      <w:r w:rsidR="005D5532" w:rsidRPr="00276391">
        <w:rPr>
          <w:lang w:eastAsia="en-AU"/>
        </w:rPr>
        <w:t xml:space="preserve"> </w:t>
      </w:r>
      <w:r w:rsidRPr="00276391">
        <w:rPr>
          <w:lang w:eastAsia="en-AU"/>
        </w:rPr>
        <w:t>subcontracting</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strongly</w:t>
      </w:r>
      <w:r w:rsidR="005D5532" w:rsidRPr="00276391">
        <w:rPr>
          <w:lang w:eastAsia="en-AU"/>
        </w:rPr>
        <w:t xml:space="preserve"> </w:t>
      </w:r>
      <w:r w:rsidRPr="00276391">
        <w:rPr>
          <w:lang w:eastAsia="en-AU"/>
        </w:rPr>
        <w:t>advised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seek</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advice.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subcontracting</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compromise</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6BF8EDA7" w14:textId="59D9F51B"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contract</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same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term</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specifically</w:t>
      </w:r>
      <w:r w:rsidR="005D5532" w:rsidRPr="00276391">
        <w:rPr>
          <w:lang w:eastAsia="en-AU"/>
        </w:rPr>
        <w:t xml:space="preserve"> </w:t>
      </w:r>
      <w:r w:rsidRPr="00276391">
        <w:rPr>
          <w:lang w:eastAsia="en-AU"/>
        </w:rPr>
        <w:t>allows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subcontractor’s</w:t>
      </w:r>
      <w:r w:rsidR="005D5532" w:rsidRPr="00276391">
        <w:rPr>
          <w:lang w:eastAsia="en-AU"/>
        </w:rPr>
        <w:t xml:space="preserve"> </w:t>
      </w:r>
      <w:r w:rsidRPr="00276391">
        <w:rPr>
          <w:lang w:eastAsia="en-AU"/>
        </w:rPr>
        <w:t>premises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conduct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audit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same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9</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t>
      </w:r>
      <w:r w:rsidR="00BD023C">
        <w:rPr>
          <w:lang w:eastAsia="en-AU"/>
        </w:rPr>
        <w:t xml:space="preserve">Refer to </w:t>
      </w:r>
      <w:hyperlink w:anchor="_3.9_Audit_and" w:history="1">
        <w:r w:rsidR="00F35FAE">
          <w:rPr>
            <w:rStyle w:val="Hyperlink"/>
            <w:lang w:eastAsia="en-AU"/>
          </w:rPr>
          <w:t>C</w:t>
        </w:r>
        <w:r w:rsidR="00BD023C" w:rsidRPr="005965A9">
          <w:rPr>
            <w:rStyle w:val="Hyperlink"/>
            <w:lang w:eastAsia="en-AU"/>
          </w:rPr>
          <w:t>hapter</w:t>
        </w:r>
        <w:r w:rsidR="005D5532" w:rsidRPr="005965A9">
          <w:rPr>
            <w:rStyle w:val="Hyperlink"/>
          </w:rPr>
          <w:t xml:space="preserve"> </w:t>
        </w:r>
        <w:r w:rsidRPr="005965A9">
          <w:rPr>
            <w:rStyle w:val="Hyperlink"/>
          </w:rPr>
          <w:t>3.9</w:t>
        </w:r>
      </w:hyperlink>
      <w:r w:rsidRPr="00276391">
        <w:rPr>
          <w:lang w:eastAsia="en-AU"/>
        </w:rPr>
        <w:t>).</w:t>
      </w:r>
    </w:p>
    <w:p w14:paraId="47C214EE" w14:textId="77777777" w:rsidR="00236748" w:rsidRPr="00276391" w:rsidRDefault="00236748" w:rsidP="00276391">
      <w:pPr>
        <w:pStyle w:val="DHHSbody"/>
        <w:rPr>
          <w:lang w:eastAsia="en-AU"/>
        </w:rPr>
      </w:pPr>
      <w:r w:rsidRPr="00276391">
        <w:rPr>
          <w:lang w:eastAsia="en-AU"/>
        </w:rPr>
        <w:t>Despite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consenting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subcontracting</w:t>
      </w:r>
      <w:r w:rsidR="005D5532" w:rsidRPr="00276391">
        <w:rPr>
          <w:lang w:eastAsia="en-AU"/>
        </w:rPr>
        <w:t xml:space="preserve"> </w:t>
      </w:r>
      <w:r w:rsidRPr="00276391">
        <w:rPr>
          <w:lang w:eastAsia="en-AU"/>
        </w:rPr>
        <w:t>arrangement,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remains</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subcontracted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acts,</w:t>
      </w:r>
      <w:r w:rsidR="005D5532" w:rsidRPr="00276391">
        <w:rPr>
          <w:lang w:eastAsia="en-AU"/>
        </w:rPr>
        <w:t xml:space="preserve"> </w:t>
      </w:r>
      <w:r w:rsidRPr="00276391">
        <w:rPr>
          <w:lang w:eastAsia="en-AU"/>
        </w:rPr>
        <w:t>omissions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mistakes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subcontractor</w:t>
      </w:r>
      <w:r w:rsidR="005D5532" w:rsidRPr="00276391">
        <w:rPr>
          <w:lang w:eastAsia="en-AU"/>
        </w:rPr>
        <w:t xml:space="preserve"> </w:t>
      </w:r>
      <w:r w:rsidRPr="00276391">
        <w:rPr>
          <w:lang w:eastAsia="en-AU"/>
        </w:rPr>
        <w:t>performing</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taken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acts,</w:t>
      </w:r>
      <w:r w:rsidR="005D5532" w:rsidRPr="00276391">
        <w:rPr>
          <w:lang w:eastAsia="en-AU"/>
        </w:rPr>
        <w:t xml:space="preserve"> </w:t>
      </w:r>
      <w:r w:rsidRPr="00276391">
        <w:rPr>
          <w:lang w:eastAsia="en-AU"/>
        </w:rPr>
        <w:t>omissions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mistakes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p>
    <w:p w14:paraId="7BA9D2A3" w14:textId="77777777" w:rsidR="00236748" w:rsidRPr="00276391" w:rsidRDefault="00236748" w:rsidP="00276391">
      <w:pPr>
        <w:pStyle w:val="Heading3"/>
        <w:rPr>
          <w:lang w:eastAsia="en-AU"/>
        </w:rPr>
      </w:pPr>
      <w:bookmarkStart w:id="407" w:name="_Toc478991838"/>
      <w:bookmarkStart w:id="408" w:name="_Toc478992397"/>
      <w:bookmarkStart w:id="409" w:name="_Toc4142073"/>
      <w:r w:rsidRPr="00276391">
        <w:rPr>
          <w:lang w:eastAsia="en-AU"/>
        </w:rPr>
        <w:t>Information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407"/>
      <w:bookmarkEnd w:id="408"/>
      <w:bookmarkEnd w:id="409"/>
    </w:p>
    <w:p w14:paraId="3D02B1CC" w14:textId="3726137D" w:rsidR="00236748" w:rsidRPr="00276391" w:rsidRDefault="00236748" w:rsidP="00276391">
      <w:pPr>
        <w:pStyle w:val="DHHSbody"/>
        <w:rPr>
          <w:lang w:eastAsia="en-AU"/>
        </w:rPr>
      </w:pP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reviewed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body</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3</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t>
      </w:r>
      <w:r w:rsidR="00BD023C">
        <w:rPr>
          <w:rFonts w:cs="Arial"/>
          <w:color w:val="000000"/>
          <w:szCs w:val="19"/>
          <w:lang w:eastAsia="en-AU"/>
        </w:rPr>
        <w:t>refer to</w:t>
      </w:r>
      <w:r w:rsidR="00BD023C" w:rsidRPr="00B24C02">
        <w:rPr>
          <w:rFonts w:cs="Arial"/>
          <w:color w:val="000000"/>
          <w:szCs w:val="19"/>
          <w:lang w:eastAsia="en-AU"/>
        </w:rPr>
        <w:t xml:space="preserve"> </w:t>
      </w:r>
      <w:hyperlink w:anchor="_3.3.3_Compliance_with" w:tooltip="Link to chapter 3.3.3" w:history="1">
        <w:r w:rsidR="00F35FAE">
          <w:rPr>
            <w:rStyle w:val="Hyperlink"/>
          </w:rPr>
          <w:t>C</w:t>
        </w:r>
        <w:r w:rsidRPr="00C94233">
          <w:rPr>
            <w:rStyle w:val="Hyperlink"/>
          </w:rPr>
          <w:t>hapter</w:t>
        </w:r>
        <w:r w:rsidR="005D5532" w:rsidRPr="00C94233">
          <w:rPr>
            <w:rStyle w:val="Hyperlink"/>
          </w:rPr>
          <w:t xml:space="preserve"> </w:t>
        </w:r>
        <w:r w:rsidRPr="00C94233">
          <w:rPr>
            <w:rStyle w:val="Hyperlink"/>
          </w:rPr>
          <w:t>3.3.3</w:t>
        </w:r>
      </w:hyperlink>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need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contract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approved</w:t>
      </w:r>
      <w:r w:rsidR="005D5532" w:rsidRPr="00B24C02">
        <w:rPr>
          <w:rFonts w:cs="Arial"/>
          <w:color w:val="000000"/>
          <w:szCs w:val="19"/>
          <w:lang w:eastAsia="en-AU"/>
        </w:rPr>
        <w:t xml:space="preserve"> </w:t>
      </w:r>
      <w:r w:rsidRPr="00B24C02">
        <w:rPr>
          <w:rFonts w:cs="Arial"/>
          <w:color w:val="000000"/>
          <w:szCs w:val="19"/>
          <w:lang w:eastAsia="en-AU"/>
        </w:rPr>
        <w:t>subcontractor</w:t>
      </w:r>
      <w:r w:rsidR="005D5532" w:rsidRPr="00B24C02">
        <w:rPr>
          <w:rFonts w:cs="Arial"/>
          <w:color w:val="000000"/>
          <w:szCs w:val="19"/>
          <w:lang w:eastAsia="en-AU"/>
        </w:rPr>
        <w:t xml:space="preserve"> </w:t>
      </w:r>
      <w:r w:rsidRPr="00B24C02">
        <w:rPr>
          <w:rFonts w:cs="Arial"/>
          <w:color w:val="000000"/>
          <w:szCs w:val="19"/>
          <w:lang w:eastAsia="en-AU"/>
        </w:rPr>
        <w:t>includes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subcontractor</w:t>
      </w:r>
      <w:r w:rsidR="005D5532" w:rsidRPr="00B24C02">
        <w:rPr>
          <w:rFonts w:cs="Arial"/>
          <w:color w:val="000000"/>
          <w:szCs w:val="19"/>
          <w:lang w:eastAsia="en-AU"/>
        </w:rPr>
        <w:t xml:space="preserve"> </w:t>
      </w:r>
      <w:r w:rsidRPr="00B24C02">
        <w:rPr>
          <w:rFonts w:cs="Arial"/>
          <w:color w:val="000000"/>
          <w:szCs w:val="19"/>
          <w:lang w:eastAsia="en-AU"/>
        </w:rPr>
        <w:t>agrees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allow</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independent</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body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access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subcontractor’s</w:t>
      </w:r>
      <w:r w:rsidR="005D5532" w:rsidRPr="00B24C02">
        <w:rPr>
          <w:rFonts w:cs="Arial"/>
          <w:color w:val="000000"/>
          <w:szCs w:val="19"/>
          <w:lang w:eastAsia="en-AU"/>
        </w:rPr>
        <w:t xml:space="preserve"> </w:t>
      </w:r>
      <w:r w:rsidRPr="00B24C02">
        <w:rPr>
          <w:rFonts w:cs="Arial"/>
          <w:color w:val="000000"/>
          <w:szCs w:val="19"/>
          <w:lang w:eastAsia="en-AU"/>
        </w:rPr>
        <w:t>premises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place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conduct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review.</w:t>
      </w:r>
    </w:p>
    <w:p w14:paraId="2B6BBF3E" w14:textId="77777777" w:rsidR="00236748" w:rsidRPr="00276391" w:rsidRDefault="00236748" w:rsidP="009B2351">
      <w:pPr>
        <w:pStyle w:val="Heading2"/>
        <w:rPr>
          <w:rFonts w:cs="Arial"/>
          <w:lang w:eastAsia="en-AU"/>
        </w:rPr>
      </w:pPr>
      <w:bookmarkStart w:id="410" w:name="_3.11_Dispute_resolution"/>
      <w:bookmarkStart w:id="411" w:name="_Toc478991839"/>
      <w:bookmarkStart w:id="412" w:name="_Toc478992398"/>
      <w:bookmarkStart w:id="413" w:name="_Toc478992897"/>
      <w:bookmarkStart w:id="414" w:name="_Toc4142074"/>
      <w:bookmarkEnd w:id="410"/>
      <w:r w:rsidRPr="00276391">
        <w:rPr>
          <w:rFonts w:cs="Arial"/>
          <w:lang w:eastAsia="en-AU"/>
        </w:rPr>
        <w:lastRenderedPageBreak/>
        <w:t>3.11</w:t>
      </w:r>
      <w:r w:rsidR="009B2351" w:rsidRPr="00276391">
        <w:rPr>
          <w:rFonts w:cs="Arial"/>
          <w:lang w:eastAsia="en-AU"/>
        </w:rPr>
        <w:t xml:space="preserve"> </w:t>
      </w:r>
      <w:r w:rsidRPr="00276391">
        <w:rPr>
          <w:rFonts w:cs="Arial"/>
          <w:lang w:eastAsia="en-AU"/>
        </w:rPr>
        <w:t>Dispute</w:t>
      </w:r>
      <w:r w:rsidR="009B2351" w:rsidRPr="00276391">
        <w:rPr>
          <w:rFonts w:cs="Arial"/>
          <w:lang w:eastAsia="en-AU"/>
        </w:rPr>
        <w:t xml:space="preserve"> </w:t>
      </w:r>
      <w:r w:rsidRPr="00276391">
        <w:rPr>
          <w:rFonts w:cs="Arial"/>
          <w:lang w:eastAsia="en-AU"/>
        </w:rPr>
        <w:t>resolution</w:t>
      </w:r>
      <w:bookmarkEnd w:id="411"/>
      <w:bookmarkEnd w:id="412"/>
      <w:bookmarkEnd w:id="413"/>
      <w:bookmarkEnd w:id="414"/>
    </w:p>
    <w:p w14:paraId="7F171576" w14:textId="77777777" w:rsidR="000E1684" w:rsidRPr="00276391" w:rsidRDefault="000E1684" w:rsidP="000E1684">
      <w:pPr>
        <w:pStyle w:val="DHHSbody"/>
        <w:rPr>
          <w:lang w:eastAsia="en-AU"/>
        </w:rPr>
      </w:pPr>
      <w:bookmarkStart w:id="415" w:name="_Toc478991840"/>
      <w:bookmarkStart w:id="416" w:name="_Toc478992399"/>
      <w:r w:rsidRPr="00276391">
        <w:rPr>
          <w:lang w:eastAsia="en-AU"/>
        </w:rPr>
        <w:t xml:space="preserve">Where a dispute arises, the organisation and department </w:t>
      </w:r>
      <w:r>
        <w:rPr>
          <w:lang w:eastAsia="en-AU"/>
        </w:rPr>
        <w:t>must</w:t>
      </w:r>
      <w:r w:rsidRPr="00276391">
        <w:rPr>
          <w:lang w:eastAsia="en-AU"/>
        </w:rPr>
        <w:t xml:space="preserve"> seek to resolve the dispute through open and good faith discussions in the first instance. The organisation and the department are to act reasonably in these discussions.</w:t>
      </w:r>
    </w:p>
    <w:p w14:paraId="339F57A3" w14:textId="1DFE6F4F" w:rsidR="000E1684" w:rsidRPr="00276391" w:rsidRDefault="000E1684" w:rsidP="000E1684">
      <w:pPr>
        <w:pStyle w:val="DHHSbody"/>
        <w:rPr>
          <w:lang w:eastAsia="en-AU"/>
        </w:rPr>
      </w:pPr>
      <w:r w:rsidRPr="00276391">
        <w:rPr>
          <w:lang w:eastAsia="en-AU"/>
        </w:rPr>
        <w:t xml:space="preserve">All Australian governments have a common law responsibility to act as model litigants. Victoria has its own Model Litigant Guidelines. They set standards for how the state should behave as a party to legal proceedings. These guidelines are available on the Department of Justice and Regulation’s web page </w:t>
      </w:r>
      <w:hyperlink r:id="rId89" w:history="1">
        <w:r w:rsidRPr="000D5C4D">
          <w:rPr>
            <w:rStyle w:val="Hyperlink"/>
            <w:lang w:eastAsia="en-AU"/>
          </w:rPr>
          <w:t>‘Victorian Model Litigant Guidelines’</w:t>
        </w:r>
      </w:hyperlink>
      <w:r>
        <w:rPr>
          <w:lang w:eastAsia="en-AU"/>
        </w:rPr>
        <w:t xml:space="preserve"> &lt;</w:t>
      </w:r>
      <w:r w:rsidR="0079203F" w:rsidRPr="0079203F">
        <w:rPr>
          <w:lang w:eastAsia="en-AU"/>
        </w:rPr>
        <w:t>http://www.justice.vic.gov.au/home/justice+system/laws+and+regulation/victorian+model+litigant+guidelines</w:t>
      </w:r>
      <w:r>
        <w:rPr>
          <w:lang w:eastAsia="en-AU"/>
        </w:rPr>
        <w:t xml:space="preserve">&gt; </w:t>
      </w:r>
      <w:r w:rsidRPr="00276391">
        <w:rPr>
          <w:lang w:eastAsia="en-AU"/>
        </w:rPr>
        <w:t>(external link, opens in a new window).</w:t>
      </w:r>
    </w:p>
    <w:p w14:paraId="02F1E727" w14:textId="432BD043" w:rsidR="000E1684" w:rsidRPr="00276391" w:rsidRDefault="000E1684" w:rsidP="000E1684">
      <w:pPr>
        <w:pStyle w:val="DHHSbody"/>
        <w:rPr>
          <w:lang w:eastAsia="en-AU"/>
        </w:rPr>
      </w:pPr>
      <w:r w:rsidRPr="00276391">
        <w:rPr>
          <w:lang w:eastAsia="en-AU"/>
        </w:rPr>
        <w:t>If a dispute is unable to be resolved through good faith discussions,</w:t>
      </w:r>
      <w:r>
        <w:rPr>
          <w:lang w:eastAsia="en-AU"/>
        </w:rPr>
        <w:t xml:space="preserve"> the </w:t>
      </w:r>
      <w:r w:rsidR="009B3052">
        <w:rPr>
          <w:lang w:eastAsia="en-AU"/>
        </w:rPr>
        <w:t>Service agreement</w:t>
      </w:r>
      <w:r>
        <w:rPr>
          <w:lang w:eastAsia="en-AU"/>
        </w:rPr>
        <w:t xml:space="preserve"> sets out the following steps to resolve the dispute:</w:t>
      </w:r>
      <w:r w:rsidR="006250C7">
        <w:rPr>
          <w:lang w:eastAsia="en-AU"/>
        </w:rPr>
        <w:t xml:space="preserve"> </w:t>
      </w:r>
    </w:p>
    <w:p w14:paraId="7756BD14" w14:textId="77777777" w:rsidR="00236748" w:rsidRPr="003D3866" w:rsidRDefault="00236748" w:rsidP="003D3866">
      <w:pPr>
        <w:pStyle w:val="DHHSbody"/>
        <w:rPr>
          <w:b/>
          <w:lang w:eastAsia="en-AU"/>
        </w:rPr>
      </w:pPr>
      <w:r w:rsidRPr="003D3866">
        <w:rPr>
          <w:b/>
          <w:lang w:eastAsia="en-AU"/>
        </w:rPr>
        <w:t>Step</w:t>
      </w:r>
      <w:r w:rsidR="005D5532" w:rsidRPr="003D3866">
        <w:rPr>
          <w:b/>
          <w:lang w:eastAsia="en-AU"/>
        </w:rPr>
        <w:t xml:space="preserve"> </w:t>
      </w:r>
      <w:r w:rsidRPr="003D3866">
        <w:rPr>
          <w:b/>
          <w:lang w:eastAsia="en-AU"/>
        </w:rPr>
        <w:t>1</w:t>
      </w:r>
      <w:bookmarkEnd w:id="415"/>
      <w:bookmarkEnd w:id="416"/>
    </w:p>
    <w:p w14:paraId="55A0961C"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claiming</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arisen</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give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describing</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full</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“First</w:t>
      </w:r>
      <w:r w:rsidR="005D5532" w:rsidRPr="00B24C02">
        <w:rPr>
          <w:rFonts w:cs="Arial"/>
          <w:color w:val="000000"/>
          <w:szCs w:val="19"/>
          <w:lang w:eastAsia="en-AU"/>
        </w:rPr>
        <w:t xml:space="preserve"> </w:t>
      </w:r>
      <w:r w:rsidRPr="00B24C02">
        <w:rPr>
          <w:rFonts w:cs="Arial"/>
          <w:color w:val="000000"/>
          <w:szCs w:val="19"/>
          <w:lang w:eastAsia="en-AU"/>
        </w:rPr>
        <w:t>Notice”).</w:t>
      </w:r>
    </w:p>
    <w:p w14:paraId="0CAB951B" w14:textId="77777777" w:rsidR="00236748" w:rsidRPr="003D3866" w:rsidRDefault="00236748" w:rsidP="003D3866">
      <w:pPr>
        <w:pStyle w:val="DHHSbody"/>
        <w:rPr>
          <w:b/>
          <w:lang w:eastAsia="en-AU"/>
        </w:rPr>
      </w:pPr>
      <w:bookmarkStart w:id="417" w:name="_Toc478991841"/>
      <w:bookmarkStart w:id="418" w:name="_Toc478992400"/>
      <w:r w:rsidRPr="003D3866">
        <w:rPr>
          <w:b/>
          <w:lang w:eastAsia="en-AU"/>
        </w:rPr>
        <w:t>Step</w:t>
      </w:r>
      <w:r w:rsidR="005D5532" w:rsidRPr="003D3866">
        <w:rPr>
          <w:b/>
          <w:lang w:eastAsia="en-AU"/>
        </w:rPr>
        <w:t xml:space="preserve"> </w:t>
      </w:r>
      <w:r w:rsidRPr="003D3866">
        <w:rPr>
          <w:b/>
          <w:lang w:eastAsia="en-AU"/>
        </w:rPr>
        <w:t>2</w:t>
      </w:r>
      <w:bookmarkEnd w:id="417"/>
      <w:bookmarkEnd w:id="418"/>
    </w:p>
    <w:p w14:paraId="2D83D39F" w14:textId="77777777" w:rsidR="00236748" w:rsidRPr="00276391" w:rsidRDefault="00236748" w:rsidP="00276391">
      <w:pPr>
        <w:pStyle w:val="DHHSbody"/>
        <w:rPr>
          <w:lang w:eastAsia="en-AU"/>
        </w:rPr>
      </w:pP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fourteen</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First</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discuss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try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resolve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p>
    <w:p w14:paraId="355A580C" w14:textId="77777777" w:rsidR="00236748" w:rsidRPr="003D3866" w:rsidRDefault="00236748" w:rsidP="003D3866">
      <w:pPr>
        <w:pStyle w:val="DHHSbody"/>
        <w:rPr>
          <w:b/>
          <w:lang w:eastAsia="en-AU"/>
        </w:rPr>
      </w:pPr>
      <w:bookmarkStart w:id="419" w:name="_Toc478991842"/>
      <w:bookmarkStart w:id="420" w:name="_Toc478992401"/>
      <w:r w:rsidRPr="003D3866">
        <w:rPr>
          <w:b/>
          <w:lang w:eastAsia="en-AU"/>
        </w:rPr>
        <w:t>Step</w:t>
      </w:r>
      <w:r w:rsidR="005D5532" w:rsidRPr="003D3866">
        <w:rPr>
          <w:b/>
          <w:lang w:eastAsia="en-AU"/>
        </w:rPr>
        <w:t xml:space="preserve"> </w:t>
      </w:r>
      <w:r w:rsidRPr="003D3866">
        <w:rPr>
          <w:b/>
          <w:lang w:eastAsia="en-AU"/>
        </w:rPr>
        <w:t>3</w:t>
      </w:r>
      <w:bookmarkEnd w:id="419"/>
      <w:bookmarkEnd w:id="420"/>
    </w:p>
    <w:p w14:paraId="65F0A3AB"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remains</w:t>
      </w:r>
      <w:r w:rsidR="005D5532" w:rsidRPr="00B24C02">
        <w:rPr>
          <w:rFonts w:cs="Arial"/>
          <w:color w:val="000000"/>
          <w:szCs w:val="19"/>
          <w:lang w:eastAsia="en-AU"/>
        </w:rPr>
        <w:t xml:space="preserve"> </w:t>
      </w:r>
      <w:r w:rsidRPr="00B24C02">
        <w:rPr>
          <w:rFonts w:cs="Arial"/>
          <w:color w:val="000000"/>
          <w:szCs w:val="19"/>
          <w:lang w:eastAsia="en-AU"/>
        </w:rPr>
        <w:t>unresolved</w:t>
      </w:r>
      <w:r w:rsidR="005D5532" w:rsidRPr="00B24C02">
        <w:rPr>
          <w:rFonts w:cs="Arial"/>
          <w:color w:val="000000"/>
          <w:szCs w:val="19"/>
          <w:lang w:eastAsia="en-AU"/>
        </w:rPr>
        <w:t xml:space="preserve"> </w:t>
      </w:r>
      <w:proofErr w:type="gramStart"/>
      <w:r w:rsidRPr="00B24C02">
        <w:rPr>
          <w:rFonts w:cs="Arial"/>
          <w:color w:val="000000"/>
          <w:szCs w:val="19"/>
          <w:lang w:eastAsia="en-AU"/>
        </w:rPr>
        <w:t>twenty</w:t>
      </w:r>
      <w:r w:rsidR="005D5532" w:rsidRPr="00B24C02">
        <w:rPr>
          <w:rFonts w:cs="Arial"/>
          <w:color w:val="000000"/>
          <w:szCs w:val="19"/>
          <w:lang w:eastAsia="en-AU"/>
        </w:rPr>
        <w:t xml:space="preserve"> </w:t>
      </w:r>
      <w:r w:rsidRPr="00B24C02">
        <w:rPr>
          <w:rFonts w:cs="Arial"/>
          <w:color w:val="000000"/>
          <w:szCs w:val="19"/>
          <w:lang w:eastAsia="en-AU"/>
        </w:rPr>
        <w:t>one</w:t>
      </w:r>
      <w:proofErr w:type="gramEnd"/>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after</w:t>
      </w:r>
      <w:r w:rsidR="005D5532" w:rsidRPr="00B24C02">
        <w:rPr>
          <w:rFonts w:cs="Arial"/>
          <w:color w:val="000000"/>
          <w:szCs w:val="19"/>
          <w:lang w:eastAsia="en-AU"/>
        </w:rPr>
        <w:t xml:space="preserve"> </w:t>
      </w:r>
      <w:r w:rsidRPr="00B24C02">
        <w:rPr>
          <w:rFonts w:cs="Arial"/>
          <w:color w:val="000000"/>
          <w:szCs w:val="19"/>
          <w:lang w:eastAsia="en-AU"/>
        </w:rPr>
        <w:t>receipt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First</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then</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give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“Second</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requesting</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referred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resolution.</w:t>
      </w:r>
    </w:p>
    <w:p w14:paraId="5BC3B2C2" w14:textId="32C284E0" w:rsidR="00236748" w:rsidRPr="00276391" w:rsidRDefault="00236748" w:rsidP="00A33C50">
      <w:pPr>
        <w:pStyle w:val="DHHSbody"/>
        <w:rPr>
          <w:lang w:eastAsia="en-AU"/>
        </w:rPr>
      </w:pPr>
      <w:r w:rsidRPr="00276391">
        <w:rPr>
          <w:b/>
          <w:bCs/>
          <w:lang w:eastAsia="en-AU"/>
        </w:rPr>
        <w:t>Note: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Dispute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Officer</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normally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Deputy</w:t>
      </w:r>
      <w:r w:rsidR="005D5532" w:rsidRPr="00276391">
        <w:rPr>
          <w:lang w:eastAsia="en-AU"/>
        </w:rPr>
        <w:t xml:space="preserve"> </w:t>
      </w:r>
      <w:r w:rsidRPr="00276391">
        <w:rPr>
          <w:lang w:eastAsia="en-AU"/>
        </w:rPr>
        <w:t>Secretary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Director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ordinarily</w:t>
      </w:r>
      <w:r w:rsidR="005D5532" w:rsidRPr="00276391">
        <w:rPr>
          <w:lang w:eastAsia="en-AU"/>
        </w:rPr>
        <w:t xml:space="preserve"> </w:t>
      </w:r>
      <w:r w:rsidRPr="00276391">
        <w:rPr>
          <w:lang w:eastAsia="en-AU"/>
        </w:rPr>
        <w:t>involved</w:t>
      </w:r>
      <w:r w:rsidR="005D5532" w:rsidRPr="00276391">
        <w:rPr>
          <w:lang w:eastAsia="en-AU"/>
        </w:rPr>
        <w:t xml:space="preserve"> </w:t>
      </w:r>
      <w:r w:rsidRPr="00276391">
        <w:rPr>
          <w:lang w:eastAsia="en-AU"/>
        </w:rPr>
        <w:t>directly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managing</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dispute</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arisen.</w:t>
      </w:r>
    </w:p>
    <w:p w14:paraId="7DAD9BEF" w14:textId="77777777" w:rsidR="00236748" w:rsidRPr="003D3866" w:rsidRDefault="00236748" w:rsidP="003D3866">
      <w:pPr>
        <w:pStyle w:val="DHHSbody"/>
        <w:rPr>
          <w:b/>
          <w:lang w:eastAsia="en-AU"/>
        </w:rPr>
      </w:pPr>
      <w:bookmarkStart w:id="421" w:name="_Toc478991843"/>
      <w:bookmarkStart w:id="422" w:name="_Toc478992402"/>
      <w:r w:rsidRPr="003D3866">
        <w:rPr>
          <w:b/>
          <w:lang w:eastAsia="en-AU"/>
        </w:rPr>
        <w:t>Step</w:t>
      </w:r>
      <w:r w:rsidR="005D5532" w:rsidRPr="003D3866">
        <w:rPr>
          <w:b/>
          <w:lang w:eastAsia="en-AU"/>
        </w:rPr>
        <w:t xml:space="preserve"> </w:t>
      </w:r>
      <w:r w:rsidRPr="003D3866">
        <w:rPr>
          <w:b/>
          <w:lang w:eastAsia="en-AU"/>
        </w:rPr>
        <w:t>4</w:t>
      </w:r>
      <w:bookmarkEnd w:id="421"/>
      <w:bookmarkEnd w:id="422"/>
    </w:p>
    <w:p w14:paraId="08440967" w14:textId="77777777" w:rsidR="00236748" w:rsidRPr="00276391" w:rsidRDefault="00236748" w:rsidP="00276391">
      <w:pPr>
        <w:pStyle w:val="DHHSbody"/>
        <w:rPr>
          <w:lang w:eastAsia="en-AU"/>
        </w:rPr>
      </w:pP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fourteen</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Second</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discuss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submissions</w:t>
      </w:r>
      <w:r w:rsidR="005D5532" w:rsidRPr="00B24C02">
        <w:rPr>
          <w:rFonts w:cs="Arial"/>
          <w:color w:val="000000"/>
          <w:szCs w:val="19"/>
          <w:lang w:eastAsia="en-AU"/>
        </w:rPr>
        <w:t xml:space="preserve"> </w:t>
      </w:r>
      <w:r w:rsidRPr="00B24C02">
        <w:rPr>
          <w:rFonts w:cs="Arial"/>
          <w:color w:val="000000"/>
          <w:szCs w:val="19"/>
          <w:lang w:eastAsia="en-AU"/>
        </w:rPr>
        <w:t>regarding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p>
    <w:p w14:paraId="35296559" w14:textId="77777777" w:rsidR="00236748" w:rsidRPr="003D3866" w:rsidRDefault="00236748" w:rsidP="003D3866">
      <w:pPr>
        <w:pStyle w:val="DHHSbody"/>
        <w:rPr>
          <w:b/>
          <w:lang w:eastAsia="en-AU"/>
        </w:rPr>
      </w:pPr>
      <w:bookmarkStart w:id="423" w:name="_Toc478991844"/>
      <w:bookmarkStart w:id="424" w:name="_Toc478992403"/>
      <w:r w:rsidRPr="003D3866">
        <w:rPr>
          <w:b/>
          <w:lang w:eastAsia="en-AU"/>
        </w:rPr>
        <w:t>Step</w:t>
      </w:r>
      <w:r w:rsidR="005D5532" w:rsidRPr="003D3866">
        <w:rPr>
          <w:b/>
          <w:lang w:eastAsia="en-AU"/>
        </w:rPr>
        <w:t xml:space="preserve"> </w:t>
      </w:r>
      <w:r w:rsidRPr="003D3866">
        <w:rPr>
          <w:b/>
          <w:lang w:eastAsia="en-AU"/>
        </w:rPr>
        <w:t>5</w:t>
      </w:r>
      <w:bookmarkEnd w:id="423"/>
      <w:bookmarkEnd w:id="424"/>
    </w:p>
    <w:p w14:paraId="1021D243" w14:textId="77777777" w:rsidR="00236748" w:rsidRPr="00276391" w:rsidRDefault="00236748" w:rsidP="00276391">
      <w:pPr>
        <w:pStyle w:val="DHHSbody"/>
        <w:rPr>
          <w:lang w:eastAsia="en-AU"/>
        </w:rPr>
      </w:pPr>
      <w:r w:rsidRPr="00B24C02">
        <w:rPr>
          <w:rFonts w:cs="Arial"/>
          <w:color w:val="000000"/>
          <w:szCs w:val="19"/>
          <w:lang w:eastAsia="en-AU"/>
        </w:rPr>
        <w:t>Within</w:t>
      </w:r>
      <w:r w:rsidR="005D5532" w:rsidRPr="00B24C02">
        <w:rPr>
          <w:rFonts w:cs="Arial"/>
          <w:color w:val="000000"/>
          <w:szCs w:val="19"/>
          <w:lang w:eastAsia="en-AU"/>
        </w:rPr>
        <w:t xml:space="preserve"> </w:t>
      </w:r>
      <w:proofErr w:type="gramStart"/>
      <w:r w:rsidRPr="00B24C02">
        <w:rPr>
          <w:rFonts w:cs="Arial"/>
          <w:color w:val="000000"/>
          <w:szCs w:val="19"/>
          <w:lang w:eastAsia="en-AU"/>
        </w:rPr>
        <w:t>twenty</w:t>
      </w:r>
      <w:r w:rsidR="005D5532" w:rsidRPr="00B24C02">
        <w:rPr>
          <w:rFonts w:cs="Arial"/>
          <w:color w:val="000000"/>
          <w:szCs w:val="19"/>
          <w:lang w:eastAsia="en-AU"/>
        </w:rPr>
        <w:t xml:space="preserve"> </w:t>
      </w:r>
      <w:r w:rsidRPr="00B24C02">
        <w:rPr>
          <w:rFonts w:cs="Arial"/>
          <w:color w:val="000000"/>
          <w:szCs w:val="19"/>
          <w:lang w:eastAsia="en-AU"/>
        </w:rPr>
        <w:t>eight</w:t>
      </w:r>
      <w:proofErr w:type="gramEnd"/>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Second</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decision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parties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p>
    <w:p w14:paraId="7C8C2064" w14:textId="77777777" w:rsidR="00236748" w:rsidRPr="003D3866" w:rsidRDefault="00236748" w:rsidP="003D3866">
      <w:pPr>
        <w:pStyle w:val="DHHSbody"/>
        <w:rPr>
          <w:b/>
          <w:lang w:eastAsia="en-AU"/>
        </w:rPr>
      </w:pPr>
      <w:bookmarkStart w:id="425" w:name="_Toc478991845"/>
      <w:bookmarkStart w:id="426" w:name="_Toc478992404"/>
      <w:r w:rsidRPr="003D3866">
        <w:rPr>
          <w:b/>
          <w:lang w:eastAsia="en-AU"/>
        </w:rPr>
        <w:t>Step</w:t>
      </w:r>
      <w:r w:rsidR="005D5532" w:rsidRPr="003D3866">
        <w:rPr>
          <w:b/>
          <w:lang w:eastAsia="en-AU"/>
        </w:rPr>
        <w:t xml:space="preserve"> </w:t>
      </w:r>
      <w:r w:rsidRPr="003D3866">
        <w:rPr>
          <w:b/>
          <w:lang w:eastAsia="en-AU"/>
        </w:rPr>
        <w:t>6</w:t>
      </w:r>
      <w:bookmarkEnd w:id="425"/>
      <w:bookmarkEnd w:id="426"/>
    </w:p>
    <w:p w14:paraId="26C3842E" w14:textId="77777777" w:rsidR="00236748" w:rsidRPr="00276391" w:rsidRDefault="00236748" w:rsidP="00276391">
      <w:pPr>
        <w:pStyle w:val="DHHSbody"/>
        <w:rPr>
          <w:lang w:eastAsia="en-AU"/>
        </w:rPr>
      </w:pP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fourteen</w:t>
      </w:r>
      <w:r w:rsidR="005D5532" w:rsidRPr="00B24C02">
        <w:rPr>
          <w:rFonts w:cs="Arial"/>
          <w:color w:val="000000"/>
          <w:szCs w:val="19"/>
          <w:lang w:eastAsia="en-AU"/>
        </w:rPr>
        <w:t xml:space="preserve"> </w:t>
      </w:r>
      <w:r w:rsidRPr="00B24C02">
        <w:rPr>
          <w:rFonts w:cs="Arial"/>
          <w:color w:val="000000"/>
          <w:szCs w:val="19"/>
          <w:lang w:eastAsia="en-AU"/>
        </w:rPr>
        <w:t>(14)</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date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decision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writing,</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referring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Notice").</w:t>
      </w:r>
    </w:p>
    <w:p w14:paraId="35B2A943" w14:textId="77777777" w:rsidR="00236748" w:rsidRPr="003D3866" w:rsidRDefault="00236748" w:rsidP="003D3866">
      <w:pPr>
        <w:pStyle w:val="DHHSbody"/>
        <w:rPr>
          <w:b/>
          <w:lang w:eastAsia="en-AU"/>
        </w:rPr>
      </w:pPr>
      <w:bookmarkStart w:id="427" w:name="_Toc478991846"/>
      <w:bookmarkStart w:id="428" w:name="_Toc478992405"/>
      <w:r w:rsidRPr="003D3866">
        <w:rPr>
          <w:b/>
          <w:lang w:eastAsia="en-AU"/>
        </w:rPr>
        <w:t>Step</w:t>
      </w:r>
      <w:r w:rsidR="005D5532" w:rsidRPr="003D3866">
        <w:rPr>
          <w:b/>
          <w:lang w:eastAsia="en-AU"/>
        </w:rPr>
        <w:t xml:space="preserve"> </w:t>
      </w:r>
      <w:r w:rsidRPr="003D3866">
        <w:rPr>
          <w:b/>
          <w:lang w:eastAsia="en-AU"/>
        </w:rPr>
        <w:t>7</w:t>
      </w:r>
      <w:bookmarkEnd w:id="427"/>
      <w:bookmarkEnd w:id="428"/>
    </w:p>
    <w:p w14:paraId="22142CEF" w14:textId="77777777" w:rsidR="00236748" w:rsidRPr="00276391" w:rsidRDefault="00236748" w:rsidP="00276391">
      <w:pPr>
        <w:pStyle w:val="DHHSbody"/>
        <w:rPr>
          <w:lang w:eastAsia="en-AU"/>
        </w:rPr>
      </w:pP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fourteen</w:t>
      </w:r>
      <w:r w:rsidR="005D5532" w:rsidRPr="00B24C02">
        <w:rPr>
          <w:rFonts w:cs="Arial"/>
          <w:color w:val="000000"/>
          <w:szCs w:val="19"/>
          <w:lang w:eastAsia="en-AU"/>
        </w:rPr>
        <w:t xml:space="preserve"> </w:t>
      </w:r>
      <w:r w:rsidRPr="00B24C02">
        <w:rPr>
          <w:rFonts w:cs="Arial"/>
          <w:color w:val="000000"/>
          <w:szCs w:val="19"/>
          <w:lang w:eastAsia="en-AU"/>
        </w:rPr>
        <w:t>(14)</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received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whether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agrees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mediate.</w:t>
      </w:r>
      <w:r w:rsidR="005D5532" w:rsidRPr="00B24C02">
        <w:rPr>
          <w:rFonts w:cs="Arial"/>
          <w:color w:val="000000"/>
          <w:szCs w:val="19"/>
          <w:lang w:eastAsia="en-AU"/>
        </w:rPr>
        <w:t xml:space="preserve"> </w:t>
      </w:r>
      <w:r w:rsidRPr="00B24C02">
        <w:rPr>
          <w:rFonts w:cs="Arial"/>
          <w:color w:val="000000"/>
          <w:szCs w:val="19"/>
          <w:lang w:eastAsia="en-AU"/>
        </w:rPr>
        <w:t>Failure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deemed</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mediate.</w:t>
      </w:r>
    </w:p>
    <w:p w14:paraId="7B0C8C23" w14:textId="77777777" w:rsidR="00236748" w:rsidRPr="003D3866" w:rsidRDefault="00236748" w:rsidP="003D3866">
      <w:pPr>
        <w:pStyle w:val="DHHSbody"/>
        <w:rPr>
          <w:b/>
          <w:lang w:eastAsia="en-AU"/>
        </w:rPr>
      </w:pPr>
      <w:bookmarkStart w:id="429" w:name="_Toc478991847"/>
      <w:bookmarkStart w:id="430" w:name="_Toc478992406"/>
      <w:r w:rsidRPr="003D3866">
        <w:rPr>
          <w:b/>
          <w:lang w:eastAsia="en-AU"/>
        </w:rPr>
        <w:t>Step</w:t>
      </w:r>
      <w:r w:rsidR="005D5532" w:rsidRPr="003D3866">
        <w:rPr>
          <w:b/>
          <w:lang w:eastAsia="en-AU"/>
        </w:rPr>
        <w:t xml:space="preserve"> </w:t>
      </w:r>
      <w:r w:rsidRPr="003D3866">
        <w:rPr>
          <w:b/>
          <w:lang w:eastAsia="en-AU"/>
        </w:rPr>
        <w:t>8</w:t>
      </w:r>
      <w:bookmarkEnd w:id="429"/>
      <w:bookmarkEnd w:id="430"/>
    </w:p>
    <w:p w14:paraId="2B690736" w14:textId="77777777" w:rsidR="00236748" w:rsidRPr="00276391" w:rsidRDefault="00236748" w:rsidP="00276391">
      <w:pPr>
        <w:pStyle w:val="DHHSbody"/>
        <w:rPr>
          <w:lang w:eastAsia="en-AU"/>
        </w:rPr>
      </w:pPr>
      <w:r w:rsidRPr="00B24C02">
        <w:rPr>
          <w:rFonts w:cs="Arial"/>
          <w:color w:val="000000"/>
          <w:szCs w:val="19"/>
          <w:lang w:eastAsia="en-AU"/>
        </w:rPr>
        <w:lastRenderedPageBreak/>
        <w:t>If</w:t>
      </w:r>
      <w:r w:rsidR="005D5532" w:rsidRPr="00B24C02">
        <w:rPr>
          <w:rFonts w:cs="Arial"/>
          <w:color w:val="000000"/>
          <w:szCs w:val="19"/>
          <w:lang w:eastAsia="en-AU"/>
        </w:rPr>
        <w:t xml:space="preserve"> </w:t>
      </w:r>
      <w:r w:rsidRPr="00B24C02">
        <w:rPr>
          <w:rFonts w:cs="Arial"/>
          <w:color w:val="000000"/>
          <w:szCs w:val="19"/>
          <w:lang w:eastAsia="en-AU"/>
        </w:rPr>
        <w:t>neither</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served</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Mediation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does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agree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mediate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resolve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then</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decision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Dispute</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above</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final</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binding</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parties.</w:t>
      </w:r>
    </w:p>
    <w:p w14:paraId="77467D0D" w14:textId="77777777" w:rsidR="00236748" w:rsidRPr="003D3866" w:rsidRDefault="00236748" w:rsidP="003D3866">
      <w:pPr>
        <w:pStyle w:val="DHHSbody"/>
        <w:rPr>
          <w:b/>
          <w:lang w:eastAsia="en-AU"/>
        </w:rPr>
      </w:pPr>
      <w:bookmarkStart w:id="431" w:name="_Toc478991848"/>
      <w:bookmarkStart w:id="432" w:name="_Toc478992407"/>
      <w:r w:rsidRPr="003D3866">
        <w:rPr>
          <w:b/>
          <w:lang w:eastAsia="en-AU"/>
        </w:rPr>
        <w:t>Step</w:t>
      </w:r>
      <w:r w:rsidR="005D5532" w:rsidRPr="003D3866">
        <w:rPr>
          <w:b/>
          <w:lang w:eastAsia="en-AU"/>
        </w:rPr>
        <w:t xml:space="preserve"> </w:t>
      </w:r>
      <w:r w:rsidRPr="003D3866">
        <w:rPr>
          <w:b/>
          <w:lang w:eastAsia="en-AU"/>
        </w:rPr>
        <w:t>9</w:t>
      </w:r>
      <w:bookmarkEnd w:id="431"/>
      <w:bookmarkEnd w:id="432"/>
    </w:p>
    <w:p w14:paraId="6A1483C4" w14:textId="77777777" w:rsidR="00E179B2" w:rsidRPr="00276391" w:rsidRDefault="00E179B2" w:rsidP="00E179B2">
      <w:pPr>
        <w:pStyle w:val="DHHSbody"/>
        <w:rPr>
          <w:lang w:eastAsia="en-AU"/>
        </w:rPr>
      </w:pPr>
      <w:bookmarkStart w:id="433" w:name="_Toc478991849"/>
      <w:bookmarkStart w:id="434" w:name="_Toc478992408"/>
      <w:bookmarkStart w:id="435" w:name="_Toc478992898"/>
      <w:r w:rsidRPr="00B24C02">
        <w:rPr>
          <w:rFonts w:cs="Arial"/>
          <w:color w:val="000000"/>
          <w:szCs w:val="19"/>
          <w:lang w:eastAsia="en-AU"/>
        </w:rPr>
        <w:t>If the party served with the Mediation Notice agrees to mediate then the parties will mediate to resolve the dispute on the following terms:</w:t>
      </w:r>
    </w:p>
    <w:p w14:paraId="300FF31C"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 mediator may be appointed either by agreement between the parties or, failing such agreement within seven (7) days of the date of the Mediation Notice, by the president of the Law Institute of Victoria </w:t>
      </w:r>
    </w:p>
    <w:p w14:paraId="7BD3E796" w14:textId="77777777" w:rsidR="002201EA" w:rsidRDefault="00E179B2" w:rsidP="00E179B2">
      <w:pPr>
        <w:pStyle w:val="DHHSbullet1"/>
        <w:numPr>
          <w:ilvl w:val="0"/>
          <w:numId w:val="16"/>
        </w:numPr>
        <w:ind w:left="284"/>
        <w:rPr>
          <w:rFonts w:cs="Arial"/>
          <w:lang w:eastAsia="en-AU"/>
        </w:rPr>
      </w:pPr>
      <w:r>
        <w:t>each party will bear their respective costs of the mediation. However, the mediator's fee, fees for mediation rooms and costs of shared equipment facilities and services of the mediation will be shared equally</w:t>
      </w:r>
      <w:r w:rsidRPr="00276391" w:rsidDel="009C66DA">
        <w:rPr>
          <w:rFonts w:cs="Arial"/>
          <w:lang w:eastAsia="en-AU"/>
        </w:rPr>
        <w:t xml:space="preserve"> </w:t>
      </w:r>
    </w:p>
    <w:p w14:paraId="6EEE4B24" w14:textId="0B68706A"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venue for the mediation will be agreed between the parties or, failing such agreement, will be nominated by the mediator </w:t>
      </w:r>
    </w:p>
    <w:p w14:paraId="46C59957"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each party may be legally represented if they so wish </w:t>
      </w:r>
    </w:p>
    <w:p w14:paraId="259882C9"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mediation will be conducted without prejudice and complete confidentiality will be preserved in respect of the mediation and any documents and information used at or in relation to the mediation </w:t>
      </w:r>
    </w:p>
    <w:p w14:paraId="747A5D4A" w14:textId="17747C69" w:rsidR="00E179B2" w:rsidRPr="00E179B2" w:rsidRDefault="00E179B2" w:rsidP="00E179B2">
      <w:pPr>
        <w:pStyle w:val="DHHSbullet1"/>
        <w:numPr>
          <w:ilvl w:val="0"/>
          <w:numId w:val="16"/>
        </w:numPr>
        <w:ind w:left="284"/>
        <w:rPr>
          <w:rFonts w:cs="Arial"/>
          <w:lang w:eastAsia="en-AU"/>
        </w:rPr>
      </w:pPr>
      <w:r w:rsidRPr="00276391">
        <w:rPr>
          <w:rFonts w:cs="Arial"/>
          <w:lang w:eastAsia="en-AU"/>
        </w:rPr>
        <w:t xml:space="preserve">if the dispute is still unresolved within twenty eight days after the date of the Mediation Notice (or after such other period of time agreed by the parties), the parties agree that the Dispute Resolution Officer will provide a new decision in writing (which may be the same as the decision made by the Dispute Resolution Officer in Step 5 before the mediation process commenced) and such decision will be final and binding on the parties. </w:t>
      </w:r>
    </w:p>
    <w:p w14:paraId="1559E1D0" w14:textId="77777777" w:rsidR="00E179B2" w:rsidRPr="00276391" w:rsidRDefault="00E179B2" w:rsidP="00E179B2">
      <w:pPr>
        <w:pStyle w:val="DHHSbody"/>
        <w:rPr>
          <w:lang w:eastAsia="en-AU"/>
        </w:rPr>
      </w:pPr>
      <w:r w:rsidRPr="0096305A">
        <w:rPr>
          <w:rFonts w:cs="Arial"/>
          <w:color w:val="000000"/>
          <w:szCs w:val="19"/>
          <w:lang w:eastAsia="en-AU"/>
        </w:rPr>
        <w:t>If the department and the organisation agree, the parties can also choose to mediate earlier than provided for under the dispute resolution process.</w:t>
      </w:r>
    </w:p>
    <w:p w14:paraId="34389AB1" w14:textId="51DEE8B2" w:rsidR="00E179B2" w:rsidRDefault="00E179B2" w:rsidP="00E179B2">
      <w:pPr>
        <w:pStyle w:val="DHHSbody"/>
        <w:rPr>
          <w:rFonts w:cs="Arial"/>
          <w:color w:val="000000"/>
          <w:szCs w:val="19"/>
          <w:lang w:eastAsia="en-AU"/>
        </w:rPr>
      </w:pPr>
      <w:r w:rsidRPr="00B24C02">
        <w:rPr>
          <w:rFonts w:cs="Arial"/>
          <w:color w:val="000000"/>
          <w:szCs w:val="19"/>
          <w:lang w:eastAsia="en-AU"/>
        </w:rPr>
        <w:t xml:space="preserve">During the dispute resolution process, the parties will continue to perform their obligations under the </w:t>
      </w:r>
      <w:r w:rsidR="009B3052">
        <w:rPr>
          <w:rFonts w:cs="Arial"/>
          <w:color w:val="000000"/>
          <w:szCs w:val="19"/>
          <w:lang w:eastAsia="en-AU"/>
        </w:rPr>
        <w:t>Service agreement</w:t>
      </w:r>
      <w:r w:rsidRPr="00B24C02">
        <w:rPr>
          <w:rFonts w:cs="Arial"/>
          <w:color w:val="000000"/>
          <w:szCs w:val="19"/>
          <w:lang w:eastAsia="en-AU"/>
        </w:rPr>
        <w:t xml:space="preserve"> despite the existence of any dispute. Nothing in the Dispute Resolution clause (clause 11) affects the parties' abilities to exercise their rights under the Suspension clause (clause 12), Cessation clause (clause 13) and Termination of Agreement clause (clause 14).</w:t>
      </w:r>
    </w:p>
    <w:p w14:paraId="38334F74" w14:textId="77777777" w:rsidR="00236748" w:rsidRPr="00276391" w:rsidRDefault="00236748" w:rsidP="009B2351">
      <w:pPr>
        <w:pStyle w:val="Heading2"/>
        <w:rPr>
          <w:rFonts w:cs="Arial"/>
          <w:lang w:eastAsia="en-AU"/>
        </w:rPr>
      </w:pPr>
      <w:bookmarkStart w:id="436" w:name="_Toc4142075"/>
      <w:r w:rsidRPr="00276391">
        <w:rPr>
          <w:rFonts w:cs="Arial"/>
          <w:lang w:eastAsia="en-AU"/>
        </w:rPr>
        <w:t>3.12</w:t>
      </w:r>
      <w:r w:rsidR="009B2351" w:rsidRPr="00276391">
        <w:rPr>
          <w:rFonts w:cs="Arial"/>
          <w:lang w:eastAsia="en-AU"/>
        </w:rPr>
        <w:t xml:space="preserve"> </w:t>
      </w:r>
      <w:r w:rsidRPr="00276391">
        <w:rPr>
          <w:rFonts w:cs="Arial"/>
          <w:lang w:eastAsia="en-AU"/>
        </w:rPr>
        <w:t>Suspension</w:t>
      </w:r>
      <w:bookmarkEnd w:id="433"/>
      <w:bookmarkEnd w:id="434"/>
      <w:bookmarkEnd w:id="435"/>
      <w:bookmarkEnd w:id="436"/>
    </w:p>
    <w:p w14:paraId="237BF979" w14:textId="77777777" w:rsidR="00236748" w:rsidRPr="00276391" w:rsidRDefault="00236748" w:rsidP="00067E93">
      <w:pPr>
        <w:pStyle w:val="Heading3"/>
        <w:rPr>
          <w:lang w:eastAsia="en-AU"/>
        </w:rPr>
      </w:pPr>
      <w:bookmarkStart w:id="437" w:name="_Toc478991850"/>
      <w:bookmarkStart w:id="438" w:name="_Toc478992409"/>
      <w:bookmarkStart w:id="439" w:name="_Toc4142076"/>
      <w:r w:rsidRPr="00276391">
        <w:rPr>
          <w:lang w:eastAsia="en-AU"/>
        </w:rPr>
        <w:t>3.12.1</w:t>
      </w:r>
      <w:r w:rsidR="009B2351" w:rsidRPr="00276391">
        <w:rPr>
          <w:lang w:eastAsia="en-AU"/>
        </w:rPr>
        <w:t xml:space="preserve"> </w:t>
      </w:r>
      <w:r w:rsidRPr="00276391">
        <w:rPr>
          <w:lang w:eastAsia="en-AU"/>
        </w:rPr>
        <w:t>Suspension</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services</w:t>
      </w:r>
      <w:bookmarkEnd w:id="437"/>
      <w:bookmarkEnd w:id="438"/>
      <w:bookmarkEnd w:id="439"/>
    </w:p>
    <w:p w14:paraId="089249AA" w14:textId="460E0F28" w:rsidR="00E179B2" w:rsidRPr="00276391" w:rsidRDefault="00E179B2" w:rsidP="00E179B2">
      <w:pPr>
        <w:pStyle w:val="DHHSbody"/>
        <w:rPr>
          <w:lang w:eastAsia="en-AU"/>
        </w:rPr>
      </w:pPr>
      <w:r w:rsidRPr="00276391">
        <w:rPr>
          <w:lang w:eastAsia="en-AU"/>
        </w:rPr>
        <w:t xml:space="preserve">The department is able to immediately suspend delivery of all of or part of the services described under the </w:t>
      </w:r>
      <w:r w:rsidR="009B3052">
        <w:rPr>
          <w:lang w:eastAsia="en-AU"/>
        </w:rPr>
        <w:t>Service agreement</w:t>
      </w:r>
      <w:r>
        <w:rPr>
          <w:lang w:eastAsia="en-AU"/>
        </w:rPr>
        <w:t xml:space="preserve"> by giving written notice</w:t>
      </w:r>
      <w:r w:rsidRPr="00276391">
        <w:rPr>
          <w:lang w:eastAsia="en-AU"/>
        </w:rPr>
        <w:t>, if:</w:t>
      </w:r>
    </w:p>
    <w:p w14:paraId="6F20C4BD" w14:textId="4C7F3043"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w:t>
      </w:r>
      <w:r w:rsidRPr="00276391">
        <w:rPr>
          <w:rFonts w:cs="Arial"/>
          <w:lang w:eastAsia="en-AU"/>
        </w:rPr>
        <w:t xml:space="preserve">has failed to meet the Standards and performance targets </w:t>
      </w:r>
      <w:r>
        <w:t xml:space="preserve">listed in any schedule to the </w:t>
      </w:r>
      <w:r w:rsidR="009B3052">
        <w:t>Service agreement</w:t>
      </w:r>
      <w:r>
        <w:t xml:space="preserve"> in respect of the services</w:t>
      </w:r>
    </w:p>
    <w:p w14:paraId="57287986" w14:textId="466B5215"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or its subcontractor </w:t>
      </w:r>
      <w:r w:rsidRPr="00276391">
        <w:rPr>
          <w:rFonts w:cs="Arial"/>
          <w:lang w:eastAsia="en-AU"/>
        </w:rPr>
        <w:t>is undergoing or is about to undergo a performance review or audit under the Audit and Performance Review clause (clause 9.1(b)-(e))</w:t>
      </w:r>
    </w:p>
    <w:p w14:paraId="46CAF50D" w14:textId="01DE060E"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w:t>
      </w:r>
      <w:r w:rsidRPr="00276391">
        <w:rPr>
          <w:rFonts w:cs="Arial"/>
          <w:lang w:eastAsia="en-AU"/>
        </w:rPr>
        <w:t>has failed to follow any applicable departmental policies or the organisation’s own policies</w:t>
      </w:r>
    </w:p>
    <w:p w14:paraId="7327D8B9" w14:textId="7FFAFBEB"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w:t>
      </w:r>
      <w:r w:rsidRPr="00276391">
        <w:rPr>
          <w:rFonts w:cs="Arial"/>
          <w:lang w:eastAsia="en-AU"/>
        </w:rPr>
        <w:t>has misused any of the funding, or has shown an inability to properly manage its assets</w:t>
      </w:r>
    </w:p>
    <w:p w14:paraId="5AB22BB7" w14:textId="1E273BE8"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w:t>
      </w:r>
      <w:r w:rsidRPr="00276391">
        <w:rPr>
          <w:rFonts w:cs="Arial"/>
          <w:lang w:eastAsia="en-AU"/>
        </w:rPr>
        <w:t xml:space="preserve">has breached the </w:t>
      </w:r>
      <w:r w:rsidR="009B3052">
        <w:rPr>
          <w:rFonts w:cs="Arial"/>
          <w:lang w:eastAsia="en-AU"/>
        </w:rPr>
        <w:t>Service agreement</w:t>
      </w:r>
      <w:r w:rsidRPr="00276391">
        <w:rPr>
          <w:rFonts w:cs="Arial"/>
          <w:lang w:eastAsia="en-AU"/>
        </w:rPr>
        <w:t xml:space="preserve"> and notice has been given by the department of the breach</w:t>
      </w:r>
      <w:r>
        <w:rPr>
          <w:rFonts w:cs="Arial"/>
          <w:lang w:eastAsia="en-AU"/>
        </w:rPr>
        <w:t>; or</w:t>
      </w:r>
      <w:r w:rsidRPr="00276391">
        <w:rPr>
          <w:rFonts w:cs="Arial"/>
          <w:lang w:eastAsia="en-AU"/>
        </w:rPr>
        <w:t xml:space="preserve"> </w:t>
      </w:r>
    </w:p>
    <w:p w14:paraId="0043E4B9" w14:textId="77777777" w:rsidR="00E179B2" w:rsidRPr="00276391" w:rsidRDefault="00E179B2" w:rsidP="00E179B2">
      <w:pPr>
        <w:pStyle w:val="DHHSbullet1"/>
        <w:numPr>
          <w:ilvl w:val="0"/>
          <w:numId w:val="16"/>
        </w:numPr>
        <w:ind w:left="284"/>
        <w:rPr>
          <w:rFonts w:cs="Arial"/>
          <w:lang w:eastAsia="en-AU"/>
        </w:rPr>
      </w:pPr>
      <w:r>
        <w:rPr>
          <w:rFonts w:cs="Arial"/>
          <w:lang w:eastAsia="en-AU"/>
        </w:rPr>
        <w:t xml:space="preserve">the organisation </w:t>
      </w:r>
      <w:r>
        <w:t xml:space="preserve">or its officer, board member, employee, member, volunteer, subcontractor, representative or agent </w:t>
      </w:r>
      <w:r w:rsidRPr="00276391">
        <w:rPr>
          <w:rFonts w:cs="Arial"/>
          <w:lang w:eastAsia="en-AU"/>
        </w:rPr>
        <w:t xml:space="preserve">has breached any law that is applicable to the services or the operation of the organisation. </w:t>
      </w:r>
    </w:p>
    <w:p w14:paraId="47AA4D7F" w14:textId="77777777" w:rsidR="00E179B2" w:rsidRPr="00276391" w:rsidRDefault="00E179B2" w:rsidP="00E179B2">
      <w:pPr>
        <w:pStyle w:val="DHHSbody"/>
        <w:rPr>
          <w:lang w:eastAsia="en-AU"/>
        </w:rPr>
      </w:pPr>
      <w:r w:rsidRPr="00B24C02">
        <w:rPr>
          <w:rFonts w:cs="Arial"/>
          <w:color w:val="000000"/>
          <w:szCs w:val="19"/>
          <w:lang w:eastAsia="en-AU"/>
        </w:rPr>
        <w:lastRenderedPageBreak/>
        <w:t>The department may also request the organisation to suspend the delivery of services, or part of the services, by giving five business days' written notice, if the department reasonably suspects any of the following:</w:t>
      </w:r>
    </w:p>
    <w:p w14:paraId="6B6BD521" w14:textId="31C714C9"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that the organisation has failed, or is likely to fail, to meet the Standards and performance targets listed in any Schedule to the </w:t>
      </w:r>
      <w:r w:rsidR="009B3052">
        <w:rPr>
          <w:rFonts w:cs="Arial"/>
          <w:lang w:eastAsia="en-AU"/>
        </w:rPr>
        <w:t>Service agreement</w:t>
      </w:r>
      <w:r w:rsidRPr="00276391">
        <w:rPr>
          <w:rFonts w:cs="Arial"/>
          <w:lang w:eastAsia="en-AU"/>
        </w:rPr>
        <w:t xml:space="preserve"> in respect of the services</w:t>
      </w:r>
    </w:p>
    <w:p w14:paraId="22DC52F8" w14:textId="5A9F7136" w:rsidR="00E179B2" w:rsidRPr="00276391" w:rsidRDefault="00E179B2" w:rsidP="00E179B2">
      <w:pPr>
        <w:pStyle w:val="DHHSbullet1"/>
        <w:numPr>
          <w:ilvl w:val="0"/>
          <w:numId w:val="16"/>
        </w:numPr>
        <w:ind w:left="284"/>
        <w:rPr>
          <w:rFonts w:cs="Arial"/>
          <w:lang w:eastAsia="en-AU"/>
        </w:rPr>
      </w:pPr>
      <w:r w:rsidRPr="00276391">
        <w:rPr>
          <w:rFonts w:cs="Arial"/>
          <w:lang w:eastAsia="en-AU"/>
        </w:rPr>
        <w:t>that the organisation has failed, or is likely to fail, to follow any applicable departmental policy or the organisation's own policies</w:t>
      </w:r>
    </w:p>
    <w:p w14:paraId="7967B0DB"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that the organisation has misused funding or is unable to properly manage its assets</w:t>
      </w:r>
      <w:r>
        <w:rPr>
          <w:rFonts w:cs="Arial"/>
          <w:lang w:eastAsia="en-AU"/>
        </w:rPr>
        <w:t>; or</w:t>
      </w:r>
      <w:r w:rsidRPr="00276391">
        <w:rPr>
          <w:rFonts w:cs="Arial"/>
          <w:lang w:eastAsia="en-AU"/>
        </w:rPr>
        <w:t xml:space="preserve"> </w:t>
      </w:r>
    </w:p>
    <w:p w14:paraId="19F8CDAD"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that the organisation or its officer, board member, employee, member, volunteer, subcontractor, representative or agent has breached any law applicable to the services or the operation of the organisation. </w:t>
      </w:r>
    </w:p>
    <w:p w14:paraId="78F732F2" w14:textId="0894BD35" w:rsidR="00E179B2" w:rsidRPr="00276391" w:rsidRDefault="00E179B2" w:rsidP="00E179B2">
      <w:pPr>
        <w:pStyle w:val="DHHSbody"/>
        <w:rPr>
          <w:lang w:eastAsia="en-AU"/>
        </w:rPr>
      </w:pPr>
      <w:r>
        <w:t xml:space="preserve">The department may, by giving written notice to the organisation reduce the services to be delivered under the </w:t>
      </w:r>
      <w:r w:rsidR="009B3052">
        <w:t>Service agreement</w:t>
      </w:r>
      <w:r>
        <w:t xml:space="preserve"> to reflect any suspension of all or part of the services under clause 12</w:t>
      </w:r>
      <w:r w:rsidRPr="00276391">
        <w:rPr>
          <w:lang w:eastAsia="en-AU"/>
        </w:rPr>
        <w:t>. When services are suspended, the department may fund a third party to deliver all or part of the suspended services. This is to ensure continuity of service for clients accessing the services.</w:t>
      </w:r>
    </w:p>
    <w:p w14:paraId="3E6A6A98" w14:textId="013D4C81" w:rsidR="00E179B2" w:rsidRPr="00276391" w:rsidRDefault="00E179B2" w:rsidP="00E179B2">
      <w:pPr>
        <w:pStyle w:val="DHHSbody"/>
        <w:rPr>
          <w:lang w:eastAsia="en-AU"/>
        </w:rPr>
      </w:pPr>
      <w:r w:rsidRPr="00276391">
        <w:rPr>
          <w:lang w:eastAsia="en-AU"/>
        </w:rPr>
        <w:t xml:space="preserve">The organisation and the department can exercise their rights under the cessation clause (clause 13 - </w:t>
      </w:r>
      <w:r>
        <w:rPr>
          <w:rFonts w:cs="Arial"/>
          <w:color w:val="000000"/>
          <w:szCs w:val="19"/>
          <w:lang w:eastAsia="en-AU"/>
        </w:rPr>
        <w:t>refer to</w:t>
      </w:r>
      <w:r w:rsidRPr="00B24C02">
        <w:rPr>
          <w:rFonts w:cs="Arial"/>
          <w:color w:val="000000"/>
          <w:szCs w:val="19"/>
          <w:lang w:eastAsia="en-AU"/>
        </w:rPr>
        <w:t xml:space="preserve"> </w:t>
      </w:r>
      <w:hyperlink w:anchor="_3.13_Cessation_1" w:tooltip="Link to chapter 3.13 Cessation" w:history="1">
        <w:r w:rsidR="00F35FAE">
          <w:rPr>
            <w:rStyle w:val="Hyperlink"/>
          </w:rPr>
          <w:t>C</w:t>
        </w:r>
        <w:r w:rsidRPr="00026283">
          <w:rPr>
            <w:rStyle w:val="Hyperlink"/>
          </w:rPr>
          <w:t>hapter 3.13</w:t>
        </w:r>
      </w:hyperlink>
      <w:r w:rsidRPr="00276391">
        <w:rPr>
          <w:lang w:eastAsia="en-AU"/>
        </w:rPr>
        <w:t xml:space="preserve">) and the termination clause (clause 14 - </w:t>
      </w:r>
      <w:r>
        <w:t>r</w:t>
      </w:r>
      <w:r w:rsidRPr="00390C43">
        <w:t xml:space="preserve">efer to </w:t>
      </w:r>
      <w:hyperlink w:anchor="_3.14_Termination_of" w:history="1">
        <w:r w:rsidR="00F35FAE">
          <w:rPr>
            <w:rStyle w:val="Hyperlink"/>
          </w:rPr>
          <w:t>C</w:t>
        </w:r>
        <w:r w:rsidRPr="00390C43">
          <w:rPr>
            <w:rStyle w:val="Hyperlink"/>
          </w:rPr>
          <w:t>hapter 3.14</w:t>
        </w:r>
      </w:hyperlink>
      <w:r w:rsidRPr="00276391">
        <w:rPr>
          <w:lang w:eastAsia="en-AU"/>
        </w:rPr>
        <w:t>) at any time during the suspension of the services.</w:t>
      </w:r>
    </w:p>
    <w:p w14:paraId="4AE8A6FC" w14:textId="250CB093" w:rsidR="00236748" w:rsidRPr="00276391" w:rsidRDefault="00E179B2" w:rsidP="00E179B2">
      <w:pPr>
        <w:pStyle w:val="DHHSbody"/>
        <w:rPr>
          <w:lang w:eastAsia="en-AU"/>
        </w:rPr>
      </w:pPr>
      <w:r>
        <w:rPr>
          <w:lang w:eastAsia="en-AU"/>
        </w:rPr>
        <w:t>The o</w:t>
      </w:r>
      <w:r w:rsidRPr="00276391">
        <w:rPr>
          <w:lang w:eastAsia="en-AU"/>
        </w:rPr>
        <w:t xml:space="preserve">rganisation and the department can enter the dispute resolution process (clause 11 - </w:t>
      </w:r>
      <w:r>
        <w:rPr>
          <w:rFonts w:cs="Arial"/>
          <w:color w:val="000000"/>
          <w:szCs w:val="19"/>
          <w:lang w:eastAsia="en-AU"/>
        </w:rPr>
        <w:t>refer to</w:t>
      </w:r>
      <w:r w:rsidRPr="00B24C02">
        <w:rPr>
          <w:rFonts w:cs="Arial"/>
          <w:color w:val="000000"/>
          <w:szCs w:val="19"/>
          <w:lang w:eastAsia="en-AU"/>
        </w:rPr>
        <w:t xml:space="preserve"> </w:t>
      </w:r>
      <w:hyperlink w:anchor="_3.11_Dispute_resolution" w:tooltip="Link to Chapter 3.11 Dispute Resolution" w:history="1">
        <w:r w:rsidR="00F35FAE">
          <w:rPr>
            <w:rStyle w:val="Hyperlink"/>
          </w:rPr>
          <w:t>C</w:t>
        </w:r>
        <w:r w:rsidRPr="00026283">
          <w:rPr>
            <w:rStyle w:val="Hyperlink"/>
          </w:rPr>
          <w:t>hapter 3.11</w:t>
        </w:r>
      </w:hyperlink>
      <w:r w:rsidRPr="00276391">
        <w:rPr>
          <w:lang w:eastAsia="en-AU"/>
        </w:rPr>
        <w:t>) at any point during the suspension of services</w:t>
      </w:r>
      <w:r w:rsidR="00236748" w:rsidRPr="00276391">
        <w:rPr>
          <w:lang w:eastAsia="en-AU"/>
        </w:rPr>
        <w:t>.</w:t>
      </w:r>
    </w:p>
    <w:p w14:paraId="5A5AF580" w14:textId="77777777" w:rsidR="00236748" w:rsidRPr="00276391" w:rsidRDefault="00236748" w:rsidP="00067E93">
      <w:pPr>
        <w:pStyle w:val="Heading3"/>
        <w:rPr>
          <w:lang w:eastAsia="en-AU"/>
        </w:rPr>
      </w:pPr>
      <w:bookmarkStart w:id="440" w:name="_Toc478991851"/>
      <w:bookmarkStart w:id="441" w:name="_Toc478992410"/>
      <w:bookmarkStart w:id="442" w:name="_Toc4142077"/>
      <w:r w:rsidRPr="00276391">
        <w:rPr>
          <w:lang w:eastAsia="en-AU"/>
        </w:rPr>
        <w:t>3.12.2</w:t>
      </w:r>
      <w:r w:rsidR="009B2351" w:rsidRPr="00276391">
        <w:rPr>
          <w:lang w:eastAsia="en-AU"/>
        </w:rPr>
        <w:t xml:space="preserve"> </w:t>
      </w:r>
      <w:r w:rsidRPr="00276391">
        <w:rPr>
          <w:lang w:eastAsia="en-AU"/>
        </w:rPr>
        <w:t>Suspension</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funding</w:t>
      </w:r>
      <w:bookmarkEnd w:id="440"/>
      <w:bookmarkEnd w:id="441"/>
      <w:bookmarkEnd w:id="442"/>
    </w:p>
    <w:p w14:paraId="2FFB0AA9" w14:textId="77777777" w:rsidR="00E179B2" w:rsidRPr="00276391" w:rsidRDefault="00E179B2" w:rsidP="00E179B2">
      <w:pPr>
        <w:pStyle w:val="DHHSbody"/>
        <w:rPr>
          <w:lang w:eastAsia="en-AU"/>
        </w:rPr>
      </w:pPr>
      <w:bookmarkStart w:id="443" w:name="_3.13_Cessation_1"/>
      <w:bookmarkStart w:id="444" w:name="_Toc478991852"/>
      <w:bookmarkStart w:id="445" w:name="_Toc478992411"/>
      <w:bookmarkEnd w:id="443"/>
      <w:r w:rsidRPr="00276391">
        <w:rPr>
          <w:lang w:eastAsia="en-AU"/>
        </w:rPr>
        <w:t xml:space="preserve">The department may </w:t>
      </w:r>
      <w:r>
        <w:t>immediately stop paying all or part of the funding on giving written notice to the organisation</w:t>
      </w:r>
      <w:r w:rsidRPr="00276391" w:rsidDel="00D432FF">
        <w:rPr>
          <w:lang w:eastAsia="en-AU"/>
        </w:rPr>
        <w:t xml:space="preserve"> </w:t>
      </w:r>
      <w:r w:rsidRPr="00276391">
        <w:rPr>
          <w:lang w:eastAsia="en-AU"/>
        </w:rPr>
        <w:t>if:</w:t>
      </w:r>
    </w:p>
    <w:p w14:paraId="4CD4C891" w14:textId="05035572"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does not meet, or report on, a milestone that is linked to a payment of funding </w:t>
      </w:r>
    </w:p>
    <w:p w14:paraId="1A1F2DFB" w14:textId="0C85D32E"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has failed to meet the Standards and performance targets </w:t>
      </w:r>
      <w:r>
        <w:t xml:space="preserve">listed in any schedule to the </w:t>
      </w:r>
      <w:r w:rsidR="009B3052">
        <w:t>Service agreement</w:t>
      </w:r>
      <w:r>
        <w:t xml:space="preserve"> in respect of the services</w:t>
      </w:r>
    </w:p>
    <w:p w14:paraId="3933BEB7" w14:textId="2F887317" w:rsidR="00E179B2" w:rsidRPr="00276391" w:rsidRDefault="00E179B2" w:rsidP="00E179B2">
      <w:pPr>
        <w:pStyle w:val="DHHSbullet1"/>
        <w:numPr>
          <w:ilvl w:val="0"/>
          <w:numId w:val="16"/>
        </w:numPr>
        <w:ind w:left="284"/>
        <w:rPr>
          <w:rFonts w:cs="Arial"/>
          <w:lang w:eastAsia="en-AU"/>
        </w:rPr>
      </w:pPr>
      <w:r w:rsidRPr="00276391">
        <w:rPr>
          <w:rFonts w:cs="Arial"/>
          <w:lang w:eastAsia="en-AU"/>
        </w:rPr>
        <w:t>the organisation has misused or has shown an inability to properly manage its assets</w:t>
      </w:r>
    </w:p>
    <w:p w14:paraId="112845BB" w14:textId="5530FB2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has breached the </w:t>
      </w:r>
      <w:r w:rsidR="009B3052">
        <w:rPr>
          <w:rFonts w:cs="Arial"/>
          <w:lang w:eastAsia="en-AU"/>
        </w:rPr>
        <w:t>Service agreement</w:t>
      </w:r>
      <w:r w:rsidRPr="00276391">
        <w:rPr>
          <w:rFonts w:cs="Arial"/>
          <w:lang w:eastAsia="en-AU"/>
        </w:rPr>
        <w:t xml:space="preserve"> and notice has been given by the department of the breach</w:t>
      </w:r>
    </w:p>
    <w:p w14:paraId="5107C2D7" w14:textId="77777777" w:rsidR="00E179B2" w:rsidRDefault="00E179B2" w:rsidP="00E179B2">
      <w:pPr>
        <w:pStyle w:val="DHHSbullet1"/>
        <w:numPr>
          <w:ilvl w:val="0"/>
          <w:numId w:val="16"/>
        </w:numPr>
        <w:ind w:left="284"/>
        <w:rPr>
          <w:rFonts w:cs="Arial"/>
          <w:lang w:eastAsia="en-AU"/>
        </w:rPr>
      </w:pPr>
      <w:r w:rsidRPr="00276391">
        <w:rPr>
          <w:rFonts w:cs="Arial"/>
          <w:lang w:eastAsia="en-AU"/>
        </w:rPr>
        <w:t>the department has reasonable concerns that the organisation is not financially stable</w:t>
      </w:r>
      <w:r>
        <w:rPr>
          <w:rFonts w:cs="Arial"/>
          <w:lang w:eastAsia="en-AU"/>
        </w:rPr>
        <w:t>; or</w:t>
      </w:r>
    </w:p>
    <w:p w14:paraId="44F1375C" w14:textId="42AF1548" w:rsidR="00E179B2" w:rsidRPr="00E179B2" w:rsidRDefault="00E179B2" w:rsidP="00E179B2">
      <w:pPr>
        <w:pStyle w:val="DHHSbullet1"/>
        <w:numPr>
          <w:ilvl w:val="0"/>
          <w:numId w:val="16"/>
        </w:numPr>
        <w:ind w:left="284"/>
        <w:rPr>
          <w:rFonts w:cs="Arial"/>
          <w:lang w:eastAsia="en-AU"/>
        </w:rPr>
      </w:pPr>
      <w:r w:rsidRPr="00276391">
        <w:rPr>
          <w:rFonts w:cs="Arial"/>
          <w:lang w:eastAsia="en-AU"/>
        </w:rPr>
        <w:t>the organisation has been requested by the department to suspend all or part of the services under clause 12</w:t>
      </w:r>
      <w:r>
        <w:rPr>
          <w:rFonts w:cs="Arial"/>
          <w:lang w:eastAsia="en-AU"/>
        </w:rPr>
        <w:t>.</w:t>
      </w:r>
    </w:p>
    <w:p w14:paraId="74E5932B" w14:textId="77777777" w:rsidR="00E179B2" w:rsidRPr="00276391" w:rsidRDefault="00E179B2" w:rsidP="00E179B2">
      <w:pPr>
        <w:pStyle w:val="DHHSbody"/>
        <w:rPr>
          <w:lang w:eastAsia="en-AU"/>
        </w:rPr>
      </w:pPr>
      <w:r w:rsidRPr="00B24C02">
        <w:rPr>
          <w:rFonts w:cs="Arial"/>
          <w:color w:val="000000"/>
          <w:szCs w:val="19"/>
          <w:lang w:eastAsia="en-AU"/>
        </w:rPr>
        <w:t>The department may also stop paying the organisation all or part of the funding on giving five business days’ written notice to the organisation if any of the following occurs:</w:t>
      </w:r>
    </w:p>
    <w:p w14:paraId="264BD527" w14:textId="20B403C3"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department reasonably suspects that the organisation has failed, or is likely to fail, to meet the Standards and performance targets listed in any Schedule to the </w:t>
      </w:r>
      <w:r w:rsidR="009B3052">
        <w:rPr>
          <w:rFonts w:cs="Arial"/>
          <w:lang w:eastAsia="en-AU"/>
        </w:rPr>
        <w:t>Service agreement</w:t>
      </w:r>
      <w:r w:rsidRPr="00276391">
        <w:rPr>
          <w:rFonts w:cs="Arial"/>
          <w:lang w:eastAsia="en-AU"/>
        </w:rPr>
        <w:t xml:space="preserve"> in respect of the services</w:t>
      </w:r>
    </w:p>
    <w:p w14:paraId="463D0EA9"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the department reasonably suspects that the organisation has misused funding or is unable to properly manage its assets</w:t>
      </w:r>
      <w:r>
        <w:rPr>
          <w:rFonts w:cs="Arial"/>
          <w:lang w:eastAsia="en-AU"/>
        </w:rPr>
        <w:t>; or</w:t>
      </w:r>
      <w:r w:rsidRPr="00276391">
        <w:rPr>
          <w:rFonts w:cs="Arial"/>
          <w:lang w:eastAsia="en-AU"/>
        </w:rPr>
        <w:t xml:space="preserve"> </w:t>
      </w:r>
    </w:p>
    <w:p w14:paraId="2F684CE7"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department has requested the organisation to suspend all or part of the services under clause 12.1A. </w:t>
      </w:r>
    </w:p>
    <w:p w14:paraId="4F5AF5C9" w14:textId="77777777" w:rsidR="00E179B2" w:rsidRPr="00276391" w:rsidRDefault="00E179B2" w:rsidP="00E179B2">
      <w:pPr>
        <w:pStyle w:val="DHHSbody"/>
        <w:rPr>
          <w:lang w:eastAsia="en-AU"/>
        </w:rPr>
      </w:pPr>
      <w:r w:rsidRPr="00B24C02">
        <w:rPr>
          <w:rFonts w:cs="Arial"/>
          <w:color w:val="000000"/>
          <w:szCs w:val="19"/>
          <w:lang w:eastAsia="en-AU"/>
        </w:rPr>
        <w:t>The department will write to the organisation to inform it when the funding in Schedule 2 will be reduced to reflect the suspension.</w:t>
      </w:r>
    </w:p>
    <w:p w14:paraId="6F93FEE0" w14:textId="1146E78C" w:rsidR="00E179B2" w:rsidRPr="00276391" w:rsidRDefault="00E179B2" w:rsidP="00E179B2">
      <w:pPr>
        <w:pStyle w:val="DHHSbody"/>
        <w:rPr>
          <w:lang w:eastAsia="en-AU"/>
        </w:rPr>
      </w:pPr>
      <w:bookmarkStart w:id="446" w:name="_3.13_Cessation"/>
      <w:bookmarkEnd w:id="446"/>
      <w:r w:rsidRPr="00276391">
        <w:rPr>
          <w:lang w:eastAsia="en-AU"/>
        </w:rPr>
        <w:t xml:space="preserve">The organisation and the department can exercise their rights under the cessation clause (clause 13 - </w:t>
      </w:r>
      <w:r>
        <w:rPr>
          <w:rFonts w:cs="Arial"/>
          <w:color w:val="000000"/>
          <w:szCs w:val="19"/>
          <w:lang w:eastAsia="en-AU"/>
        </w:rPr>
        <w:t>refer to</w:t>
      </w:r>
      <w:r w:rsidRPr="00B24C02">
        <w:rPr>
          <w:rFonts w:cs="Arial"/>
          <w:color w:val="000000"/>
          <w:szCs w:val="19"/>
          <w:lang w:eastAsia="en-AU"/>
        </w:rPr>
        <w:t xml:space="preserve"> </w:t>
      </w:r>
      <w:hyperlink w:anchor="_3.13_Cessation_1" w:tooltip="Link to chapter 3.13 Cessation" w:history="1">
        <w:r w:rsidR="00F35FAE">
          <w:rPr>
            <w:rStyle w:val="Hyperlink"/>
          </w:rPr>
          <w:t>C</w:t>
        </w:r>
        <w:r w:rsidRPr="00026283">
          <w:rPr>
            <w:rStyle w:val="Hyperlink"/>
          </w:rPr>
          <w:t>hapter 3.13</w:t>
        </w:r>
      </w:hyperlink>
      <w:r w:rsidRPr="00276391">
        <w:rPr>
          <w:lang w:eastAsia="en-AU"/>
        </w:rPr>
        <w:t xml:space="preserve">) and the termination clause (clause 14 - </w:t>
      </w:r>
      <w:r>
        <w:rPr>
          <w:rFonts w:cs="Arial"/>
          <w:color w:val="000000"/>
          <w:szCs w:val="19"/>
          <w:lang w:eastAsia="en-AU"/>
        </w:rPr>
        <w:t>refer to</w:t>
      </w:r>
      <w:r w:rsidRPr="00B24C02">
        <w:rPr>
          <w:rFonts w:cs="Arial"/>
          <w:color w:val="000000"/>
          <w:szCs w:val="19"/>
          <w:lang w:eastAsia="en-AU"/>
        </w:rPr>
        <w:t xml:space="preserve"> </w:t>
      </w:r>
      <w:hyperlink w:anchor="_3.14_Termination_of" w:history="1">
        <w:r w:rsidR="00F35FAE">
          <w:rPr>
            <w:rStyle w:val="Hyperlink"/>
            <w:lang w:eastAsia="en-AU"/>
          </w:rPr>
          <w:t>C</w:t>
        </w:r>
        <w:r w:rsidRPr="00026283">
          <w:rPr>
            <w:rStyle w:val="Hyperlink"/>
            <w:lang w:eastAsia="en-AU"/>
          </w:rPr>
          <w:t>hapter 3.14</w:t>
        </w:r>
      </w:hyperlink>
      <w:r w:rsidRPr="00276391">
        <w:rPr>
          <w:lang w:eastAsia="en-AU"/>
        </w:rPr>
        <w:t xml:space="preserve">) at any time during the suspension of </w:t>
      </w:r>
      <w:r>
        <w:rPr>
          <w:lang w:eastAsia="en-AU"/>
        </w:rPr>
        <w:t>funding</w:t>
      </w:r>
      <w:r w:rsidRPr="00276391">
        <w:rPr>
          <w:lang w:eastAsia="en-AU"/>
        </w:rPr>
        <w:t>.</w:t>
      </w:r>
    </w:p>
    <w:p w14:paraId="1BA5D5EE" w14:textId="38AB068D" w:rsidR="00E179B2" w:rsidRPr="00276391" w:rsidRDefault="00E179B2" w:rsidP="00E179B2">
      <w:pPr>
        <w:pStyle w:val="DHHSbody"/>
        <w:rPr>
          <w:lang w:eastAsia="en-AU"/>
        </w:rPr>
      </w:pPr>
      <w:r>
        <w:rPr>
          <w:lang w:eastAsia="en-AU"/>
        </w:rPr>
        <w:lastRenderedPageBreak/>
        <w:t>The o</w:t>
      </w:r>
      <w:r w:rsidRPr="00276391">
        <w:rPr>
          <w:lang w:eastAsia="en-AU"/>
        </w:rPr>
        <w:t xml:space="preserve">rganisation and the department can enter the dispute resolution process (clause 11 - </w:t>
      </w:r>
      <w:r>
        <w:rPr>
          <w:rFonts w:cs="Arial"/>
          <w:color w:val="000000"/>
          <w:szCs w:val="19"/>
          <w:lang w:eastAsia="en-AU"/>
        </w:rPr>
        <w:t>refer to</w:t>
      </w:r>
      <w:r w:rsidRPr="00B24C02">
        <w:rPr>
          <w:rFonts w:cs="Arial"/>
          <w:color w:val="000000"/>
          <w:szCs w:val="19"/>
          <w:lang w:eastAsia="en-AU"/>
        </w:rPr>
        <w:t xml:space="preserve"> </w:t>
      </w:r>
      <w:hyperlink w:anchor="_3.11_Dispute_resolution" w:tooltip="Link to Chapter 3.11 Dispute Resolution" w:history="1">
        <w:r w:rsidR="00F35FAE">
          <w:rPr>
            <w:rStyle w:val="Hyperlink"/>
          </w:rPr>
          <w:t>C</w:t>
        </w:r>
        <w:r w:rsidRPr="00026283">
          <w:rPr>
            <w:rStyle w:val="Hyperlink"/>
          </w:rPr>
          <w:t>hapter 3.11</w:t>
        </w:r>
      </w:hyperlink>
      <w:r w:rsidRPr="00276391">
        <w:rPr>
          <w:lang w:eastAsia="en-AU"/>
        </w:rPr>
        <w:t xml:space="preserve">) at any point during the suspension of </w:t>
      </w:r>
      <w:r>
        <w:rPr>
          <w:lang w:eastAsia="en-AU"/>
        </w:rPr>
        <w:t>funding</w:t>
      </w:r>
      <w:r w:rsidRPr="00276391">
        <w:rPr>
          <w:lang w:eastAsia="en-AU"/>
        </w:rPr>
        <w:t>.</w:t>
      </w:r>
    </w:p>
    <w:p w14:paraId="2890D0EF" w14:textId="77777777" w:rsidR="00236748" w:rsidRPr="00276391" w:rsidRDefault="00236748" w:rsidP="003624DD">
      <w:pPr>
        <w:pStyle w:val="Heading2"/>
        <w:rPr>
          <w:lang w:eastAsia="en-AU"/>
        </w:rPr>
      </w:pPr>
      <w:bookmarkStart w:id="447" w:name="_Toc4142078"/>
      <w:r w:rsidRPr="00276391">
        <w:rPr>
          <w:lang w:eastAsia="en-AU"/>
        </w:rPr>
        <w:t>3.13</w:t>
      </w:r>
      <w:r w:rsidR="009B2351" w:rsidRPr="00276391">
        <w:rPr>
          <w:lang w:eastAsia="en-AU"/>
        </w:rPr>
        <w:t xml:space="preserve"> </w:t>
      </w:r>
      <w:r w:rsidRPr="00276391">
        <w:rPr>
          <w:lang w:eastAsia="en-AU"/>
        </w:rPr>
        <w:t>Cessation</w:t>
      </w:r>
      <w:bookmarkEnd w:id="444"/>
      <w:bookmarkEnd w:id="445"/>
      <w:bookmarkEnd w:id="447"/>
    </w:p>
    <w:p w14:paraId="0E1EE1B0" w14:textId="77777777" w:rsidR="00E179B2" w:rsidRPr="00276391" w:rsidRDefault="00E179B2" w:rsidP="00E179B2">
      <w:pPr>
        <w:pStyle w:val="DHHSbody"/>
        <w:rPr>
          <w:lang w:eastAsia="en-AU"/>
        </w:rPr>
      </w:pPr>
      <w:bookmarkStart w:id="448" w:name="_3.14_Termination_of"/>
      <w:bookmarkStart w:id="449" w:name="_Toc478991853"/>
      <w:bookmarkStart w:id="450" w:name="_Toc478992412"/>
      <w:bookmarkStart w:id="451" w:name="_Toc478992899"/>
      <w:bookmarkEnd w:id="448"/>
      <w:r w:rsidRPr="00276391">
        <w:rPr>
          <w:lang w:eastAsia="en-AU"/>
        </w:rPr>
        <w:t>The department can require an organisation to immediately and permanently cease delivery of part of the services</w:t>
      </w:r>
      <w:r>
        <w:rPr>
          <w:lang w:eastAsia="en-AU"/>
        </w:rPr>
        <w:t xml:space="preserve"> </w:t>
      </w:r>
      <w:r>
        <w:t>on giving written notice to the organisation</w:t>
      </w:r>
      <w:r w:rsidRPr="00276391">
        <w:rPr>
          <w:lang w:eastAsia="en-AU"/>
        </w:rPr>
        <w:t xml:space="preserve"> if:</w:t>
      </w:r>
    </w:p>
    <w:p w14:paraId="51C4DCB3" w14:textId="3501117A" w:rsidR="00E179B2" w:rsidRPr="00276391" w:rsidRDefault="00E179B2" w:rsidP="00E179B2">
      <w:pPr>
        <w:pStyle w:val="DHHSbullet1"/>
        <w:numPr>
          <w:ilvl w:val="0"/>
          <w:numId w:val="16"/>
        </w:numPr>
        <w:ind w:left="284"/>
        <w:rPr>
          <w:rFonts w:cs="Arial"/>
          <w:lang w:eastAsia="en-AU"/>
        </w:rPr>
      </w:pPr>
      <w:r w:rsidRPr="00276391">
        <w:rPr>
          <w:rFonts w:cs="Arial"/>
          <w:lang w:eastAsia="en-AU"/>
        </w:rPr>
        <w:t>the organisation fails to</w:t>
      </w:r>
      <w:r>
        <w:rPr>
          <w:rFonts w:cs="Arial"/>
          <w:lang w:eastAsia="en-AU"/>
        </w:rPr>
        <w:t xml:space="preserve"> satisfactorily</w:t>
      </w:r>
      <w:r w:rsidRPr="00276391">
        <w:rPr>
          <w:rFonts w:cs="Arial"/>
          <w:lang w:eastAsia="en-AU"/>
        </w:rPr>
        <w:t xml:space="preserve"> remedy a breach of the </w:t>
      </w:r>
      <w:r w:rsidR="009B3052">
        <w:rPr>
          <w:rFonts w:cs="Arial"/>
          <w:lang w:eastAsia="en-AU"/>
        </w:rPr>
        <w:t>Service agreement</w:t>
      </w:r>
      <w:r w:rsidRPr="00276391">
        <w:rPr>
          <w:rFonts w:cs="Arial"/>
          <w:lang w:eastAsia="en-AU"/>
        </w:rPr>
        <w:t>, within thirty days of receiving notice of the breach from the department</w:t>
      </w:r>
    </w:p>
    <w:p w14:paraId="0853AEF9" w14:textId="2B7E21CF" w:rsidR="00E179B2" w:rsidRPr="00276391" w:rsidRDefault="00E179B2" w:rsidP="00E179B2">
      <w:pPr>
        <w:pStyle w:val="DHHSbullet1"/>
        <w:numPr>
          <w:ilvl w:val="0"/>
          <w:numId w:val="16"/>
        </w:numPr>
        <w:ind w:left="284"/>
        <w:rPr>
          <w:rFonts w:cs="Arial"/>
          <w:lang w:eastAsia="en-AU"/>
        </w:rPr>
      </w:pPr>
      <w:r>
        <w:rPr>
          <w:rFonts w:cs="Arial"/>
          <w:lang w:eastAsia="en-AU"/>
        </w:rPr>
        <w:t xml:space="preserve">if in the reasonable opinion of the department, </w:t>
      </w:r>
      <w:r w:rsidRPr="00276391">
        <w:rPr>
          <w:rFonts w:cs="Arial"/>
          <w:lang w:eastAsia="en-AU"/>
        </w:rPr>
        <w:t xml:space="preserve">the organisation commits a serious or material breach of the </w:t>
      </w:r>
      <w:r w:rsidR="009B3052">
        <w:rPr>
          <w:rFonts w:cs="Arial"/>
          <w:lang w:eastAsia="en-AU"/>
        </w:rPr>
        <w:t>Service agreement</w:t>
      </w:r>
      <w:r w:rsidRPr="00276391">
        <w:rPr>
          <w:rFonts w:cs="Arial"/>
          <w:lang w:eastAsia="en-AU"/>
        </w:rPr>
        <w:t xml:space="preserve"> which is not capable of remedy</w:t>
      </w:r>
    </w:p>
    <w:p w14:paraId="0D6C482C" w14:textId="77777777" w:rsidR="00E179B2" w:rsidRPr="0096305A" w:rsidRDefault="00E179B2" w:rsidP="00E179B2">
      <w:pPr>
        <w:pStyle w:val="DHHSbullet1"/>
        <w:numPr>
          <w:ilvl w:val="0"/>
          <w:numId w:val="16"/>
        </w:numPr>
        <w:ind w:left="284"/>
        <w:rPr>
          <w:rFonts w:cs="Arial"/>
          <w:lang w:eastAsia="en-AU"/>
        </w:rPr>
      </w:pPr>
      <w:r>
        <w:t xml:space="preserve">the Organisation behaves in a way that may: </w:t>
      </w:r>
    </w:p>
    <w:p w14:paraId="0E197EED" w14:textId="77777777" w:rsidR="00E179B2" w:rsidRPr="0096305A" w:rsidRDefault="00E179B2" w:rsidP="00E179B2">
      <w:pPr>
        <w:pStyle w:val="DHHSbullet1"/>
        <w:numPr>
          <w:ilvl w:val="0"/>
          <w:numId w:val="0"/>
        </w:numPr>
        <w:ind w:left="284" w:firstLine="436"/>
        <w:rPr>
          <w:rFonts w:cs="Arial"/>
          <w:lang w:eastAsia="en-AU"/>
        </w:rPr>
      </w:pPr>
      <w:r>
        <w:t xml:space="preserve">(i) be contrary to prevailing community standards; or </w:t>
      </w:r>
    </w:p>
    <w:p w14:paraId="032713C2" w14:textId="77777777" w:rsidR="00E179B2" w:rsidRPr="0096305A" w:rsidRDefault="00E179B2" w:rsidP="00E179B2">
      <w:pPr>
        <w:pStyle w:val="DHHSbullet1"/>
        <w:numPr>
          <w:ilvl w:val="0"/>
          <w:numId w:val="0"/>
        </w:numPr>
        <w:ind w:left="284" w:firstLine="436"/>
        <w:rPr>
          <w:rFonts w:cs="Arial"/>
          <w:lang w:eastAsia="en-AU"/>
        </w:rPr>
      </w:pPr>
      <w:r>
        <w:t xml:space="preserve">(ii) be regarded by the public as unacceptable; or </w:t>
      </w:r>
    </w:p>
    <w:p w14:paraId="0D2D9BCC" w14:textId="77777777" w:rsidR="00E179B2" w:rsidRDefault="00E179B2" w:rsidP="00E179B2">
      <w:pPr>
        <w:pStyle w:val="DHHSbullet1"/>
        <w:numPr>
          <w:ilvl w:val="0"/>
          <w:numId w:val="0"/>
        </w:numPr>
        <w:ind w:left="284" w:firstLine="436"/>
      </w:pPr>
      <w:r>
        <w:t xml:space="preserve">(iii) bring the reputation of the organisation into disrepute; </w:t>
      </w:r>
    </w:p>
    <w:p w14:paraId="29BE9BEF" w14:textId="77777777" w:rsidR="00E179B2" w:rsidRPr="0096305A" w:rsidRDefault="00E179B2" w:rsidP="00E179B2">
      <w:pPr>
        <w:pStyle w:val="DHHSbullet1"/>
        <w:numPr>
          <w:ilvl w:val="0"/>
          <w:numId w:val="0"/>
        </w:numPr>
        <w:ind w:left="284"/>
        <w:rPr>
          <w:rFonts w:cs="Arial"/>
          <w:lang w:eastAsia="en-AU"/>
        </w:rPr>
      </w:pPr>
      <w:r>
        <w:t>and the department reasonably believes that continued association with the organisation may be detrimental to the reputation of the department; or</w:t>
      </w:r>
    </w:p>
    <w:p w14:paraId="1070DA7D" w14:textId="50489C8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breaches an essential term of the </w:t>
      </w:r>
      <w:r w:rsidR="009B3052">
        <w:rPr>
          <w:rFonts w:cs="Arial"/>
          <w:lang w:eastAsia="en-AU"/>
        </w:rPr>
        <w:t>Service agreement</w:t>
      </w:r>
      <w:r w:rsidRPr="00276391">
        <w:rPr>
          <w:rFonts w:cs="Arial"/>
          <w:lang w:eastAsia="en-AU"/>
        </w:rPr>
        <w:t xml:space="preserve">. Essential terms of the </w:t>
      </w:r>
      <w:r w:rsidR="009B3052">
        <w:rPr>
          <w:rFonts w:cs="Arial"/>
          <w:lang w:eastAsia="en-AU"/>
        </w:rPr>
        <w:t>Service agreement</w:t>
      </w:r>
      <w:r w:rsidRPr="00276391">
        <w:rPr>
          <w:rFonts w:cs="Arial"/>
          <w:lang w:eastAsia="en-AU"/>
        </w:rPr>
        <w:t xml:space="preserve"> are clauses 3.1(e)</w:t>
      </w:r>
      <w:r>
        <w:rPr>
          <w:rFonts w:cs="Arial"/>
          <w:lang w:eastAsia="en-AU"/>
        </w:rPr>
        <w:t xml:space="preserve"> [Quality of Service Delivery]</w:t>
      </w:r>
      <w:r w:rsidRPr="00276391">
        <w:rPr>
          <w:rFonts w:cs="Arial"/>
          <w:lang w:eastAsia="en-AU"/>
        </w:rPr>
        <w:t>, 3.6</w:t>
      </w:r>
      <w:r>
        <w:rPr>
          <w:rFonts w:cs="Arial"/>
          <w:lang w:eastAsia="en-AU"/>
        </w:rPr>
        <w:t xml:space="preserve"> [Compliance with Standards]</w:t>
      </w:r>
      <w:r w:rsidRPr="00276391">
        <w:rPr>
          <w:rFonts w:cs="Arial"/>
          <w:lang w:eastAsia="en-AU"/>
        </w:rPr>
        <w:t>, 4.4, 4.5, 4.6 and 4.7</w:t>
      </w:r>
      <w:r>
        <w:rPr>
          <w:rFonts w:cs="Arial"/>
          <w:lang w:eastAsia="en-AU"/>
        </w:rPr>
        <w:t xml:space="preserve"> [Funding]</w:t>
      </w:r>
      <w:r w:rsidRPr="00276391">
        <w:rPr>
          <w:rFonts w:cs="Arial"/>
          <w:lang w:eastAsia="en-AU"/>
        </w:rPr>
        <w:t xml:space="preserve">. </w:t>
      </w:r>
    </w:p>
    <w:p w14:paraId="547A9A41" w14:textId="77777777" w:rsidR="00E179B2" w:rsidRPr="00276391" w:rsidRDefault="00E179B2" w:rsidP="00E179B2">
      <w:pPr>
        <w:pStyle w:val="DHHSbody"/>
        <w:rPr>
          <w:lang w:eastAsia="en-AU"/>
        </w:rPr>
      </w:pPr>
      <w:r w:rsidRPr="00B24C02">
        <w:rPr>
          <w:rFonts w:cs="Arial"/>
          <w:color w:val="000000"/>
          <w:szCs w:val="19"/>
          <w:lang w:eastAsia="en-AU"/>
        </w:rPr>
        <w:t xml:space="preserve">Written notice will be provided to the organisation as soon as possible </w:t>
      </w:r>
      <w:r>
        <w:rPr>
          <w:rFonts w:cs="Arial"/>
          <w:color w:val="000000"/>
          <w:szCs w:val="19"/>
          <w:lang w:eastAsia="en-AU"/>
        </w:rPr>
        <w:t>if</w:t>
      </w:r>
      <w:r w:rsidRPr="00B24C02">
        <w:rPr>
          <w:rFonts w:cs="Arial"/>
          <w:color w:val="000000"/>
          <w:szCs w:val="19"/>
          <w:lang w:eastAsia="en-AU"/>
        </w:rPr>
        <w:t xml:space="preserve"> the department requires the organisation to cease delivery of part of the services. The department may also stop payment of part of the corresponding funding at the same time as ceasing part of the services. The department may fund a third party to deliver any services that have been ceased to ensure continuity of service for people accessing the services.</w:t>
      </w:r>
    </w:p>
    <w:p w14:paraId="7E7C9194" w14:textId="77777777" w:rsidR="00E179B2" w:rsidRPr="00276391" w:rsidRDefault="00E179B2" w:rsidP="00E179B2">
      <w:pPr>
        <w:pStyle w:val="DHHSbody"/>
        <w:rPr>
          <w:lang w:eastAsia="en-AU"/>
        </w:rPr>
      </w:pPr>
      <w:r w:rsidRPr="00276391">
        <w:rPr>
          <w:lang w:eastAsia="en-AU"/>
        </w:rPr>
        <w:t>The department can also require an organisation to permanently cease delivery of part of the services by giving three months’ written notice if:</w:t>
      </w:r>
    </w:p>
    <w:p w14:paraId="0BE9DAD2"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department does not receive sufficient funds from either the Victorian Parliament or the Commonwealth Government to finance the program or part of the services </w:t>
      </w:r>
    </w:p>
    <w:p w14:paraId="257C6E1A"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there is a change in Victorian Government policy that affects the program or part of the services. </w:t>
      </w:r>
    </w:p>
    <w:p w14:paraId="31989DAF" w14:textId="77777777" w:rsidR="00E179B2" w:rsidRPr="00276391" w:rsidRDefault="00E179B2" w:rsidP="00E179B2">
      <w:pPr>
        <w:pStyle w:val="DHHSbody"/>
        <w:rPr>
          <w:lang w:eastAsia="en-AU"/>
        </w:rPr>
      </w:pPr>
      <w:r w:rsidRPr="00B24C02">
        <w:rPr>
          <w:rFonts w:cs="Arial"/>
          <w:color w:val="000000"/>
          <w:szCs w:val="19"/>
          <w:lang w:eastAsia="en-AU"/>
        </w:rPr>
        <w:t>In these particular circumstances (i.e. where services are being ceased due to not receiving sufficient funding or a change in policy), the department will advise the organisation of any further actions that the department reasonably expects to take in relation to or as a result of the cessation of services.</w:t>
      </w:r>
    </w:p>
    <w:p w14:paraId="136F58C6" w14:textId="77777777" w:rsidR="00236748" w:rsidRPr="00276391" w:rsidRDefault="00236748" w:rsidP="009B2351">
      <w:pPr>
        <w:pStyle w:val="Heading2"/>
        <w:rPr>
          <w:rFonts w:cs="Arial"/>
          <w:lang w:eastAsia="en-AU"/>
        </w:rPr>
      </w:pPr>
      <w:bookmarkStart w:id="452" w:name="_Toc4142079"/>
      <w:r w:rsidRPr="00276391">
        <w:rPr>
          <w:rFonts w:cs="Arial"/>
          <w:lang w:eastAsia="en-AU"/>
        </w:rPr>
        <w:t>3.14</w:t>
      </w:r>
      <w:r w:rsidR="009B2351" w:rsidRPr="00276391">
        <w:rPr>
          <w:rFonts w:cs="Arial"/>
          <w:lang w:eastAsia="en-AU"/>
        </w:rPr>
        <w:t xml:space="preserve"> </w:t>
      </w:r>
      <w:r w:rsidRPr="00276391">
        <w:rPr>
          <w:rFonts w:cs="Arial"/>
          <w:lang w:eastAsia="en-AU"/>
        </w:rPr>
        <w:t>Termination</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agreement</w:t>
      </w:r>
      <w:bookmarkEnd w:id="449"/>
      <w:bookmarkEnd w:id="450"/>
      <w:bookmarkEnd w:id="451"/>
      <w:bookmarkEnd w:id="452"/>
    </w:p>
    <w:p w14:paraId="31AD55E8" w14:textId="65E6A074"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terminated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circumstances:</w:t>
      </w:r>
    </w:p>
    <w:p w14:paraId="61C5850A" w14:textId="77777777" w:rsidR="00236748" w:rsidRPr="00276391" w:rsidRDefault="00236748" w:rsidP="00276391">
      <w:pPr>
        <w:pStyle w:val="DHHSbullet1"/>
        <w:rPr>
          <w:rFonts w:cs="Arial"/>
          <w:lang w:eastAsia="en-AU"/>
        </w:rPr>
      </w:pPr>
      <w:r w:rsidRPr="00276391">
        <w:rPr>
          <w:rFonts w:cs="Arial"/>
          <w:lang w:eastAsia="en-AU"/>
        </w:rPr>
        <w:t>termination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breach</w:t>
      </w:r>
      <w:r w:rsidR="005D5532" w:rsidRPr="00276391">
        <w:rPr>
          <w:rFonts w:cs="Arial"/>
          <w:lang w:eastAsia="en-AU"/>
        </w:rPr>
        <w:t xml:space="preserve"> </w:t>
      </w:r>
    </w:p>
    <w:p w14:paraId="718DAFB7" w14:textId="77777777" w:rsidR="00236748" w:rsidRPr="00276391" w:rsidRDefault="00236748" w:rsidP="00276391">
      <w:pPr>
        <w:pStyle w:val="DHHSbullet1"/>
        <w:rPr>
          <w:rFonts w:cs="Arial"/>
          <w:lang w:eastAsia="en-AU"/>
        </w:rPr>
      </w:pPr>
      <w:r w:rsidRPr="00276391">
        <w:rPr>
          <w:rFonts w:cs="Arial"/>
          <w:lang w:eastAsia="en-AU"/>
        </w:rPr>
        <w:t>termination</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certain</w:t>
      </w:r>
      <w:r w:rsidR="005D5532" w:rsidRPr="00276391">
        <w:rPr>
          <w:rFonts w:cs="Arial"/>
          <w:lang w:eastAsia="en-AU"/>
        </w:rPr>
        <w:t xml:space="preserve"> </w:t>
      </w:r>
      <w:r w:rsidRPr="00276391">
        <w:rPr>
          <w:rFonts w:cs="Arial"/>
          <w:lang w:eastAsia="en-AU"/>
        </w:rPr>
        <w:t>specified</w:t>
      </w:r>
      <w:r w:rsidR="005D5532" w:rsidRPr="00276391">
        <w:rPr>
          <w:rFonts w:cs="Arial"/>
          <w:lang w:eastAsia="en-AU"/>
        </w:rPr>
        <w:t xml:space="preserve"> </w:t>
      </w:r>
      <w:r w:rsidRPr="00276391">
        <w:rPr>
          <w:rFonts w:cs="Arial"/>
          <w:lang w:eastAsia="en-AU"/>
        </w:rPr>
        <w:t>grounds)</w:t>
      </w:r>
      <w:r w:rsidR="005D5532" w:rsidRPr="00276391">
        <w:rPr>
          <w:rFonts w:cs="Arial"/>
          <w:lang w:eastAsia="en-AU"/>
        </w:rPr>
        <w:t xml:space="preserve"> </w:t>
      </w:r>
    </w:p>
    <w:p w14:paraId="639AEC93" w14:textId="77777777" w:rsidR="00236748" w:rsidRPr="00276391" w:rsidRDefault="00236748" w:rsidP="00276391">
      <w:pPr>
        <w:pStyle w:val="DHHSbullet1"/>
        <w:rPr>
          <w:rFonts w:cs="Arial"/>
          <w:lang w:eastAsia="en-AU"/>
        </w:rPr>
      </w:pPr>
      <w:r w:rsidRPr="00276391">
        <w:rPr>
          <w:rFonts w:cs="Arial"/>
          <w:lang w:eastAsia="en-AU"/>
        </w:rPr>
        <w:t>termination</w:t>
      </w:r>
      <w:r w:rsidR="005D5532" w:rsidRPr="00276391">
        <w:rPr>
          <w:rFonts w:cs="Arial"/>
          <w:lang w:eastAsia="en-AU"/>
        </w:rPr>
        <w:t xml:space="preserve"> </w:t>
      </w:r>
      <w:r w:rsidRPr="00276391">
        <w:rPr>
          <w:rFonts w:cs="Arial"/>
          <w:lang w:eastAsia="en-AU"/>
        </w:rPr>
        <w:t>without</w:t>
      </w:r>
      <w:r w:rsidR="005D5532" w:rsidRPr="00276391">
        <w:rPr>
          <w:rFonts w:cs="Arial"/>
          <w:lang w:eastAsia="en-AU"/>
        </w:rPr>
        <w:t xml:space="preserve"> </w:t>
      </w:r>
      <w:r w:rsidRPr="00276391">
        <w:rPr>
          <w:rFonts w:cs="Arial"/>
          <w:lang w:eastAsia="en-AU"/>
        </w:rPr>
        <w:t>fault.</w:t>
      </w:r>
      <w:r w:rsidR="005D5532" w:rsidRPr="00276391">
        <w:rPr>
          <w:rFonts w:cs="Arial"/>
          <w:lang w:eastAsia="en-AU"/>
        </w:rPr>
        <w:t xml:space="preserve"> </w:t>
      </w:r>
    </w:p>
    <w:p w14:paraId="4972AF39" w14:textId="3E7E8F8D" w:rsidR="00236748" w:rsidRPr="00276391" w:rsidRDefault="00236748" w:rsidP="00276391">
      <w:pPr>
        <w:pStyle w:val="DHHSbody"/>
        <w:rPr>
          <w:lang w:eastAsia="en-AU"/>
        </w:rPr>
      </w:pP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described</w:t>
      </w:r>
      <w:r w:rsidR="005D5532" w:rsidRPr="00B24C02">
        <w:rPr>
          <w:rFonts w:cs="Arial"/>
          <w:color w:val="000000"/>
          <w:szCs w:val="19"/>
          <w:lang w:eastAsia="en-AU"/>
        </w:rPr>
        <w:t xml:space="preserve"> </w:t>
      </w:r>
      <w:r w:rsidRPr="00B24C02">
        <w:rPr>
          <w:rFonts w:cs="Arial"/>
          <w:color w:val="000000"/>
          <w:szCs w:val="19"/>
          <w:lang w:eastAsia="en-AU"/>
        </w:rPr>
        <w:t>below</w:t>
      </w:r>
      <w:r w:rsidR="00F35FAE">
        <w:rPr>
          <w:rFonts w:cs="Arial"/>
          <w:color w:val="000000"/>
          <w:szCs w:val="19"/>
          <w:lang w:eastAsia="en-AU"/>
        </w:rPr>
        <w:t>.</w:t>
      </w:r>
    </w:p>
    <w:p w14:paraId="2DA3A5AC" w14:textId="77777777" w:rsidR="00E179B2" w:rsidRPr="00276391" w:rsidRDefault="00E179B2" w:rsidP="00E179B2">
      <w:pPr>
        <w:pStyle w:val="Heading3"/>
        <w:rPr>
          <w:lang w:eastAsia="en-AU"/>
        </w:rPr>
      </w:pPr>
      <w:bookmarkStart w:id="453" w:name="_Toc478991854"/>
      <w:bookmarkStart w:id="454" w:name="_Toc478992413"/>
      <w:bookmarkStart w:id="455" w:name="_Toc4142080"/>
      <w:bookmarkStart w:id="456" w:name="_Toc478991857"/>
      <w:bookmarkStart w:id="457" w:name="_Toc478992416"/>
      <w:bookmarkStart w:id="458" w:name="_Toc478992900"/>
      <w:r w:rsidRPr="00276391">
        <w:rPr>
          <w:lang w:eastAsia="en-AU"/>
        </w:rPr>
        <w:t>Termination for breach</w:t>
      </w:r>
      <w:bookmarkEnd w:id="453"/>
      <w:bookmarkEnd w:id="454"/>
      <w:bookmarkEnd w:id="455"/>
    </w:p>
    <w:p w14:paraId="7A1775BF" w14:textId="403DC74D" w:rsidR="00E179B2" w:rsidRPr="00276391" w:rsidRDefault="00E179B2" w:rsidP="00E179B2">
      <w:pPr>
        <w:pStyle w:val="DHHSbody"/>
        <w:rPr>
          <w:lang w:eastAsia="en-AU"/>
        </w:rPr>
      </w:pPr>
      <w:r w:rsidRPr="00B24C02">
        <w:rPr>
          <w:rFonts w:cs="Arial"/>
          <w:color w:val="000000"/>
          <w:szCs w:val="19"/>
          <w:lang w:eastAsia="en-AU"/>
        </w:rPr>
        <w:t xml:space="preserve">If the organisation or the department is in breach of the </w:t>
      </w:r>
      <w:r w:rsidR="009B3052">
        <w:rPr>
          <w:rFonts w:cs="Arial"/>
          <w:color w:val="000000"/>
          <w:szCs w:val="19"/>
          <w:lang w:eastAsia="en-AU"/>
        </w:rPr>
        <w:t>Service agreement</w:t>
      </w:r>
      <w:r w:rsidRPr="00B24C02">
        <w:rPr>
          <w:rFonts w:cs="Arial"/>
          <w:color w:val="000000"/>
          <w:szCs w:val="19"/>
          <w:lang w:eastAsia="en-AU"/>
        </w:rPr>
        <w:t xml:space="preserve">, written notice </w:t>
      </w:r>
      <w:r>
        <w:rPr>
          <w:rFonts w:cs="Arial"/>
          <w:color w:val="000000"/>
          <w:szCs w:val="19"/>
          <w:lang w:eastAsia="en-AU"/>
        </w:rPr>
        <w:t>may</w:t>
      </w:r>
      <w:r w:rsidRPr="00B24C02">
        <w:rPr>
          <w:rFonts w:cs="Arial"/>
          <w:color w:val="000000"/>
          <w:szCs w:val="19"/>
          <w:lang w:eastAsia="en-AU"/>
        </w:rPr>
        <w:t xml:space="preserve"> be provided to the party alleged to be in breach requiring that party to remedy the breach within thirty days of receiving the notice. If the breach is not satisfactorily remedied within thirty days, the party who gave notice may immediately terminate the </w:t>
      </w:r>
      <w:r w:rsidR="009B3052">
        <w:rPr>
          <w:rFonts w:cs="Arial"/>
          <w:color w:val="000000"/>
          <w:szCs w:val="19"/>
          <w:lang w:eastAsia="en-AU"/>
        </w:rPr>
        <w:t>Service agreement</w:t>
      </w:r>
      <w:r w:rsidRPr="00B24C02">
        <w:rPr>
          <w:rFonts w:cs="Arial"/>
          <w:color w:val="000000"/>
          <w:szCs w:val="19"/>
          <w:lang w:eastAsia="en-AU"/>
        </w:rPr>
        <w:t xml:space="preserve"> by giving written notice.</w:t>
      </w:r>
    </w:p>
    <w:p w14:paraId="710D1E6A" w14:textId="3504DD31" w:rsidR="00E179B2" w:rsidRPr="00276391" w:rsidRDefault="00E179B2" w:rsidP="00E179B2">
      <w:pPr>
        <w:pStyle w:val="DHHSbody"/>
        <w:rPr>
          <w:lang w:eastAsia="en-AU"/>
        </w:rPr>
      </w:pPr>
      <w:r w:rsidRPr="00276391">
        <w:rPr>
          <w:lang w:eastAsia="en-AU"/>
        </w:rPr>
        <w:lastRenderedPageBreak/>
        <w:t>The dispute resolution process (clause 11) can be entered into at any time during this process (</w:t>
      </w:r>
      <w:r>
        <w:rPr>
          <w:rFonts w:cs="Arial"/>
          <w:color w:val="000000"/>
          <w:szCs w:val="19"/>
          <w:lang w:eastAsia="en-AU"/>
        </w:rPr>
        <w:t>refer to</w:t>
      </w:r>
      <w:r w:rsidRPr="00B24C02">
        <w:rPr>
          <w:rFonts w:cs="Arial"/>
          <w:color w:val="000000"/>
          <w:szCs w:val="19"/>
          <w:lang w:eastAsia="en-AU"/>
        </w:rPr>
        <w:t xml:space="preserve"> </w:t>
      </w:r>
      <w:hyperlink w:anchor="_3.11_Dispute_resolution" w:tooltip="Link to Chapter 3.11 Dispute resolution" w:history="1">
        <w:r w:rsidR="00F35FAE">
          <w:rPr>
            <w:rStyle w:val="Hyperlink"/>
          </w:rPr>
          <w:t>C</w:t>
        </w:r>
        <w:r w:rsidRPr="00986D1E">
          <w:rPr>
            <w:rStyle w:val="Hyperlink"/>
          </w:rPr>
          <w:t>hapter 3.11</w:t>
        </w:r>
      </w:hyperlink>
      <w:r w:rsidRPr="00276391">
        <w:rPr>
          <w:lang w:eastAsia="en-AU"/>
        </w:rPr>
        <w:t>).</w:t>
      </w:r>
      <w:r>
        <w:rPr>
          <w:lang w:eastAsia="en-AU"/>
        </w:rPr>
        <w:t xml:space="preserve"> The dispute resolution process does not affect the parties’ ability to exercise a termination right.</w:t>
      </w:r>
    </w:p>
    <w:p w14:paraId="1F54B648" w14:textId="77777777" w:rsidR="00E179B2" w:rsidRPr="00276391" w:rsidRDefault="00E179B2" w:rsidP="00E179B2">
      <w:pPr>
        <w:pStyle w:val="Heading3"/>
        <w:rPr>
          <w:lang w:eastAsia="en-AU"/>
        </w:rPr>
      </w:pPr>
      <w:bookmarkStart w:id="459" w:name="_Toc478991855"/>
      <w:bookmarkStart w:id="460" w:name="_Toc478992414"/>
      <w:bookmarkStart w:id="461" w:name="_Toc4142081"/>
      <w:r w:rsidRPr="00276391">
        <w:rPr>
          <w:lang w:eastAsia="en-AU"/>
        </w:rPr>
        <w:t>Termination by the department</w:t>
      </w:r>
      <w:bookmarkEnd w:id="459"/>
      <w:bookmarkEnd w:id="460"/>
      <w:bookmarkEnd w:id="461"/>
    </w:p>
    <w:p w14:paraId="0FE19FAE" w14:textId="167C9ADE" w:rsidR="00E179B2" w:rsidRPr="00276391" w:rsidRDefault="00E179B2" w:rsidP="00E179B2">
      <w:pPr>
        <w:pStyle w:val="DHHSbody"/>
        <w:rPr>
          <w:lang w:eastAsia="en-AU"/>
        </w:rPr>
      </w:pPr>
      <w:r w:rsidRPr="00B24C02">
        <w:rPr>
          <w:rFonts w:cs="Arial"/>
          <w:color w:val="000000"/>
          <w:szCs w:val="19"/>
          <w:lang w:eastAsia="en-AU"/>
        </w:rPr>
        <w:t xml:space="preserve">The </w:t>
      </w:r>
      <w:r w:rsidR="009B3052">
        <w:rPr>
          <w:rFonts w:cs="Arial"/>
          <w:color w:val="000000"/>
          <w:szCs w:val="19"/>
          <w:lang w:eastAsia="en-AU"/>
        </w:rPr>
        <w:t>Service agreement</w:t>
      </w:r>
      <w:r w:rsidRPr="00B24C02">
        <w:rPr>
          <w:rFonts w:cs="Arial"/>
          <w:color w:val="000000"/>
          <w:szCs w:val="19"/>
          <w:lang w:eastAsia="en-AU"/>
        </w:rPr>
        <w:t xml:space="preserve"> can be terminated immediately if:</w:t>
      </w:r>
    </w:p>
    <w:p w14:paraId="5DB7A08A" w14:textId="5DDC9B91" w:rsidR="00E179B2" w:rsidRPr="00B630DB" w:rsidRDefault="00E179B2" w:rsidP="00E179B2">
      <w:pPr>
        <w:pStyle w:val="DHHSbullet1"/>
        <w:numPr>
          <w:ilvl w:val="0"/>
          <w:numId w:val="16"/>
        </w:numPr>
        <w:ind w:left="284"/>
        <w:rPr>
          <w:rFonts w:cs="Arial"/>
          <w:lang w:eastAsia="en-AU"/>
        </w:rPr>
      </w:pPr>
      <w:r>
        <w:rPr>
          <w:rFonts w:cs="Arial"/>
          <w:lang w:eastAsia="en-AU"/>
        </w:rPr>
        <w:t xml:space="preserve">an insolvency event occurs </w:t>
      </w:r>
      <w:r w:rsidR="00FF70E7">
        <w:rPr>
          <w:rFonts w:cs="Arial"/>
          <w:lang w:eastAsia="en-AU"/>
        </w:rPr>
        <w:t>in relation to the organisation</w:t>
      </w:r>
    </w:p>
    <w:p w14:paraId="6896AF2A" w14:textId="7348E84F" w:rsidR="00E179B2" w:rsidRPr="00276391" w:rsidRDefault="00E179B2" w:rsidP="00E179B2">
      <w:pPr>
        <w:pStyle w:val="DHHSbullet1"/>
        <w:numPr>
          <w:ilvl w:val="0"/>
          <w:numId w:val="16"/>
        </w:numPr>
        <w:ind w:left="284"/>
        <w:rPr>
          <w:rFonts w:cs="Arial"/>
          <w:lang w:eastAsia="en-AU"/>
        </w:rPr>
      </w:pPr>
      <w:r w:rsidRPr="00276391">
        <w:rPr>
          <w:rFonts w:cs="Arial"/>
          <w:lang w:eastAsia="en-AU"/>
        </w:rPr>
        <w:t>in case of an individual, the organisation becomes bankrupt, mentally incapacitated, dies, is incapacitated through illness for more than thirty days or is convicted of a crime punishable by imprisonment</w:t>
      </w:r>
    </w:p>
    <w:p w14:paraId="77CAC0B6" w14:textId="4F050859" w:rsidR="00E179B2" w:rsidRPr="00276391" w:rsidRDefault="00E179B2" w:rsidP="00E179B2">
      <w:pPr>
        <w:pStyle w:val="DHHSbullet1"/>
        <w:numPr>
          <w:ilvl w:val="0"/>
          <w:numId w:val="16"/>
        </w:numPr>
        <w:ind w:left="284"/>
        <w:rPr>
          <w:rFonts w:cs="Arial"/>
          <w:lang w:eastAsia="en-AU"/>
        </w:rPr>
      </w:pPr>
      <w:r w:rsidRPr="00276391">
        <w:rPr>
          <w:rFonts w:cs="Arial"/>
          <w:lang w:eastAsia="en-AU"/>
        </w:rPr>
        <w:t>the organisation has a change in control (being a change in any person who directly or indirectly exercises</w:t>
      </w:r>
      <w:r>
        <w:rPr>
          <w:rFonts w:cs="Arial"/>
          <w:lang w:eastAsia="en-AU"/>
        </w:rPr>
        <w:t xml:space="preserve"> effective</w:t>
      </w:r>
      <w:r w:rsidRPr="00276391">
        <w:rPr>
          <w:rFonts w:cs="Arial"/>
          <w:lang w:eastAsia="en-AU"/>
        </w:rPr>
        <w:t xml:space="preserve"> control over the organisation), which the department reasonably believes would negatively affect the organisation’s ability to comply with the </w:t>
      </w:r>
      <w:r w:rsidR="009B3052">
        <w:rPr>
          <w:rFonts w:cs="Arial"/>
          <w:lang w:eastAsia="en-AU"/>
        </w:rPr>
        <w:t>Service agreement</w:t>
      </w:r>
    </w:p>
    <w:p w14:paraId="384FF9E2" w14:textId="60344038"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commits a serious or material breach of the </w:t>
      </w:r>
      <w:r w:rsidR="009B3052">
        <w:rPr>
          <w:rFonts w:cs="Arial"/>
          <w:lang w:eastAsia="en-AU"/>
        </w:rPr>
        <w:t>Service agreement</w:t>
      </w:r>
      <w:r w:rsidRPr="00276391">
        <w:rPr>
          <w:rFonts w:cs="Arial"/>
          <w:lang w:eastAsia="en-AU"/>
        </w:rPr>
        <w:t>, which</w:t>
      </w:r>
      <w:r>
        <w:rPr>
          <w:rFonts w:cs="Arial"/>
          <w:lang w:eastAsia="en-AU"/>
        </w:rPr>
        <w:t>, in the reasonable opinion of the department,</w:t>
      </w:r>
      <w:r w:rsidR="00FF70E7">
        <w:rPr>
          <w:rFonts w:cs="Arial"/>
          <w:lang w:eastAsia="en-AU"/>
        </w:rPr>
        <w:t xml:space="preserve"> is not capable of remedy</w:t>
      </w:r>
    </w:p>
    <w:p w14:paraId="6F321F00" w14:textId="77777777" w:rsidR="00E179B2" w:rsidRPr="0096305A" w:rsidRDefault="00E179B2" w:rsidP="00E179B2">
      <w:pPr>
        <w:pStyle w:val="DHHSbullet1"/>
        <w:numPr>
          <w:ilvl w:val="0"/>
          <w:numId w:val="16"/>
        </w:numPr>
        <w:ind w:left="284"/>
        <w:rPr>
          <w:rFonts w:cs="Arial"/>
          <w:lang w:eastAsia="en-AU"/>
        </w:rPr>
      </w:pPr>
      <w:r>
        <w:t xml:space="preserve">if the organisation behaves in a way that: </w:t>
      </w:r>
    </w:p>
    <w:p w14:paraId="70DC4346" w14:textId="77777777" w:rsidR="00E179B2" w:rsidRPr="0096305A" w:rsidRDefault="00E179B2" w:rsidP="00E179B2">
      <w:pPr>
        <w:pStyle w:val="DHHSbullet1"/>
        <w:numPr>
          <w:ilvl w:val="0"/>
          <w:numId w:val="0"/>
        </w:numPr>
        <w:ind w:left="284" w:firstLine="436"/>
        <w:rPr>
          <w:rFonts w:cs="Arial"/>
          <w:lang w:eastAsia="en-AU"/>
        </w:rPr>
      </w:pPr>
      <w:r>
        <w:t xml:space="preserve">(i) is inconsistent with prevailing community standards; or </w:t>
      </w:r>
    </w:p>
    <w:p w14:paraId="4D0DD36F" w14:textId="77777777" w:rsidR="00E179B2" w:rsidRPr="0096305A" w:rsidRDefault="00E179B2" w:rsidP="00E179B2">
      <w:pPr>
        <w:pStyle w:val="DHHSbullet1"/>
        <w:numPr>
          <w:ilvl w:val="0"/>
          <w:numId w:val="0"/>
        </w:numPr>
        <w:ind w:left="284" w:firstLine="436"/>
        <w:rPr>
          <w:rFonts w:cs="Arial"/>
          <w:lang w:eastAsia="en-AU"/>
        </w:rPr>
      </w:pPr>
      <w:r>
        <w:t xml:space="preserve">(ii) may be regarded by the public as unacceptable; or </w:t>
      </w:r>
    </w:p>
    <w:p w14:paraId="26751EAB" w14:textId="77777777" w:rsidR="00E179B2" w:rsidRDefault="00E179B2" w:rsidP="00E179B2">
      <w:pPr>
        <w:pStyle w:val="DHHSbullet1"/>
        <w:numPr>
          <w:ilvl w:val="0"/>
          <w:numId w:val="0"/>
        </w:numPr>
        <w:ind w:left="284" w:firstLine="436"/>
      </w:pPr>
      <w:r>
        <w:t xml:space="preserve">(iii) may bring the reputation of the organisation into disrepute; and </w:t>
      </w:r>
    </w:p>
    <w:p w14:paraId="76265BB0" w14:textId="77777777" w:rsidR="00E179B2" w:rsidRPr="00276391" w:rsidRDefault="00E179B2" w:rsidP="00320110">
      <w:pPr>
        <w:pStyle w:val="DHHSbullet1"/>
        <w:numPr>
          <w:ilvl w:val="0"/>
          <w:numId w:val="0"/>
        </w:numPr>
        <w:ind w:left="284"/>
        <w:rPr>
          <w:rFonts w:cs="Arial"/>
          <w:lang w:eastAsia="en-AU"/>
        </w:rPr>
      </w:pPr>
      <w:r>
        <w:t>the department believes that its continued association with the organisation may be detrimental to the reputation of the department; or</w:t>
      </w:r>
    </w:p>
    <w:p w14:paraId="38985969" w14:textId="3AE2DA02"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the organisation breaches an essential term of the </w:t>
      </w:r>
      <w:r w:rsidR="009B3052">
        <w:rPr>
          <w:rFonts w:cs="Arial"/>
          <w:lang w:eastAsia="en-AU"/>
        </w:rPr>
        <w:t>Service agreement</w:t>
      </w:r>
      <w:r w:rsidRPr="00276391">
        <w:rPr>
          <w:rFonts w:cs="Arial"/>
          <w:lang w:eastAsia="en-AU"/>
        </w:rPr>
        <w:t>. Essential terms of the agreement are clauses 3.1(e)</w:t>
      </w:r>
      <w:r>
        <w:rPr>
          <w:rFonts w:cs="Arial"/>
          <w:lang w:eastAsia="en-AU"/>
        </w:rPr>
        <w:t xml:space="preserve"> [Quality of Service Delivery]</w:t>
      </w:r>
      <w:r w:rsidRPr="00276391">
        <w:rPr>
          <w:rFonts w:cs="Arial"/>
          <w:lang w:eastAsia="en-AU"/>
        </w:rPr>
        <w:t>, 3.6</w:t>
      </w:r>
      <w:r>
        <w:rPr>
          <w:rFonts w:cs="Arial"/>
          <w:lang w:eastAsia="en-AU"/>
        </w:rPr>
        <w:t xml:space="preserve"> [Compliance with Standards]</w:t>
      </w:r>
      <w:r w:rsidRPr="00276391">
        <w:rPr>
          <w:rFonts w:cs="Arial"/>
          <w:lang w:eastAsia="en-AU"/>
        </w:rPr>
        <w:t>, 4.4, 4.5, 4.6 and 4.7</w:t>
      </w:r>
      <w:r>
        <w:rPr>
          <w:rFonts w:cs="Arial"/>
          <w:lang w:eastAsia="en-AU"/>
        </w:rPr>
        <w:t xml:space="preserve"> [Funding]</w:t>
      </w:r>
      <w:r w:rsidRPr="00276391">
        <w:rPr>
          <w:rFonts w:cs="Arial"/>
          <w:lang w:eastAsia="en-AU"/>
        </w:rPr>
        <w:t xml:space="preserve">. </w:t>
      </w:r>
    </w:p>
    <w:p w14:paraId="47AAEF54" w14:textId="3BCE1031" w:rsidR="00E179B2" w:rsidRPr="00276391" w:rsidRDefault="00E179B2" w:rsidP="00E179B2">
      <w:pPr>
        <w:pStyle w:val="DHHSbody"/>
        <w:rPr>
          <w:lang w:eastAsia="en-AU"/>
        </w:rPr>
      </w:pPr>
      <w:r w:rsidRPr="00B24C02">
        <w:rPr>
          <w:rFonts w:cs="Arial"/>
          <w:color w:val="000000"/>
          <w:szCs w:val="19"/>
          <w:lang w:eastAsia="en-AU"/>
        </w:rPr>
        <w:t xml:space="preserve">If the department does not receive sufficient funds from either the Victorian Parliament or the Commonwealth Government to finance the relevant program or the services, or if there is a change in Victorian Government policy that affects the program or the services, the department may also terminate the </w:t>
      </w:r>
      <w:r w:rsidR="009B3052">
        <w:rPr>
          <w:rFonts w:cs="Arial"/>
          <w:color w:val="000000"/>
          <w:szCs w:val="19"/>
          <w:lang w:eastAsia="en-AU"/>
        </w:rPr>
        <w:t>Service agreement</w:t>
      </w:r>
      <w:r w:rsidRPr="00B24C02">
        <w:rPr>
          <w:rFonts w:cs="Arial"/>
          <w:color w:val="000000"/>
          <w:szCs w:val="19"/>
          <w:lang w:eastAsia="en-AU"/>
        </w:rPr>
        <w:t xml:space="preserve"> by giving the organisation at least three months’ written notice.</w:t>
      </w:r>
    </w:p>
    <w:p w14:paraId="03AC4FB9" w14:textId="68D6ED76" w:rsidR="00E179B2" w:rsidRPr="00276391" w:rsidRDefault="00E179B2" w:rsidP="00E179B2">
      <w:pPr>
        <w:pStyle w:val="DHHSbody"/>
        <w:rPr>
          <w:lang w:eastAsia="en-AU"/>
        </w:rPr>
      </w:pPr>
      <w:r w:rsidRPr="00276391">
        <w:rPr>
          <w:lang w:eastAsia="en-AU"/>
        </w:rPr>
        <w:t xml:space="preserve">In these particular circumstances (i.e. where the </w:t>
      </w:r>
      <w:r w:rsidR="009B3052">
        <w:rPr>
          <w:lang w:eastAsia="en-AU"/>
        </w:rPr>
        <w:t>Service agreement</w:t>
      </w:r>
      <w:r w:rsidRPr="00276391">
        <w:rPr>
          <w:lang w:eastAsia="en-AU"/>
        </w:rPr>
        <w:t xml:space="preserve"> is being terminated due to not receiving sufficient funding or a change in policy), the department will pay reasonable costs (other than loss of profit or income) necessarily incurred and substantiated by the organisation that arise directly from the termination.</w:t>
      </w:r>
      <w:r>
        <w:rPr>
          <w:lang w:eastAsia="en-AU"/>
        </w:rPr>
        <w:t xml:space="preserve"> </w:t>
      </w:r>
      <w:r>
        <w:t xml:space="preserve">The organisation must use its best efforts to minimise any such costs arising from termination. The total amount payable by the department to the organisation, if any, will not exceed the total amount of funding that would have been payable under the </w:t>
      </w:r>
      <w:r w:rsidR="009B3052">
        <w:t>Service agreement</w:t>
      </w:r>
      <w:r>
        <w:t xml:space="preserve"> had it not been terminated, less any amount already paid under the </w:t>
      </w:r>
      <w:r w:rsidR="009B3052">
        <w:t>Service agreement</w:t>
      </w:r>
      <w:r>
        <w:t>.</w:t>
      </w:r>
    </w:p>
    <w:p w14:paraId="047B1665" w14:textId="3F9B9064" w:rsidR="00E179B2" w:rsidRPr="00276391" w:rsidRDefault="00E179B2" w:rsidP="00E179B2">
      <w:pPr>
        <w:pStyle w:val="DHHSbody"/>
        <w:rPr>
          <w:lang w:eastAsia="en-AU"/>
        </w:rPr>
      </w:pPr>
      <w:r w:rsidRPr="00276391">
        <w:rPr>
          <w:lang w:eastAsia="en-AU"/>
        </w:rPr>
        <w:t xml:space="preserve">The dispute resolution process (clause 11) can be entered into at any time during termination of the </w:t>
      </w:r>
      <w:r w:rsidR="009B3052">
        <w:rPr>
          <w:lang w:eastAsia="en-AU"/>
        </w:rPr>
        <w:t>Service agreement</w:t>
      </w:r>
      <w:r w:rsidRPr="00276391">
        <w:rPr>
          <w:lang w:eastAsia="en-AU"/>
        </w:rPr>
        <w:t xml:space="preserve"> (</w:t>
      </w:r>
      <w:r w:rsidRPr="00F9589D">
        <w:t xml:space="preserve">Refer to </w:t>
      </w:r>
      <w:hyperlink w:anchor="_3.11_Dispute_resolution" w:history="1">
        <w:r w:rsidR="00FA6A7B">
          <w:rPr>
            <w:rStyle w:val="Hyperlink"/>
          </w:rPr>
          <w:t>C</w:t>
        </w:r>
        <w:r w:rsidRPr="00F9589D">
          <w:rPr>
            <w:rStyle w:val="Hyperlink"/>
          </w:rPr>
          <w:t>hapter 3.11</w:t>
        </w:r>
      </w:hyperlink>
      <w:r w:rsidRPr="00276391">
        <w:rPr>
          <w:lang w:eastAsia="en-AU"/>
        </w:rPr>
        <w:t>).</w:t>
      </w:r>
      <w:r>
        <w:rPr>
          <w:lang w:eastAsia="en-AU"/>
        </w:rPr>
        <w:t xml:space="preserve"> The dispute resolution process does not affect the parties’ ability to exercise a termination right.</w:t>
      </w:r>
    </w:p>
    <w:p w14:paraId="0116DE49" w14:textId="77777777" w:rsidR="00E179B2" w:rsidRPr="00276391" w:rsidRDefault="00E179B2" w:rsidP="00E179B2">
      <w:pPr>
        <w:pStyle w:val="Heading3"/>
        <w:rPr>
          <w:lang w:eastAsia="en-AU"/>
        </w:rPr>
      </w:pPr>
      <w:bookmarkStart w:id="462" w:name="_Toc478991856"/>
      <w:bookmarkStart w:id="463" w:name="_Toc478992415"/>
      <w:bookmarkStart w:id="464" w:name="_Toc4142082"/>
      <w:r w:rsidRPr="00276391">
        <w:rPr>
          <w:lang w:eastAsia="en-AU"/>
        </w:rPr>
        <w:t>Termination without fault</w:t>
      </w:r>
      <w:bookmarkEnd w:id="462"/>
      <w:bookmarkEnd w:id="463"/>
      <w:bookmarkEnd w:id="464"/>
    </w:p>
    <w:p w14:paraId="655A55D5" w14:textId="62D19306" w:rsidR="00E179B2" w:rsidRPr="00276391" w:rsidRDefault="00E179B2" w:rsidP="00E179B2">
      <w:pPr>
        <w:pStyle w:val="DHHSbody"/>
        <w:rPr>
          <w:lang w:eastAsia="en-AU"/>
        </w:rPr>
      </w:pPr>
      <w:r w:rsidRPr="00B24C02">
        <w:rPr>
          <w:rFonts w:cs="Arial"/>
          <w:color w:val="000000"/>
          <w:szCs w:val="19"/>
          <w:lang w:eastAsia="en-AU"/>
        </w:rPr>
        <w:t xml:space="preserve">Either party may terminate the </w:t>
      </w:r>
      <w:r w:rsidR="009B3052">
        <w:rPr>
          <w:rFonts w:cs="Arial"/>
          <w:color w:val="000000"/>
          <w:szCs w:val="19"/>
          <w:lang w:eastAsia="en-AU"/>
        </w:rPr>
        <w:t>Service agreement</w:t>
      </w:r>
      <w:r w:rsidRPr="00B24C02">
        <w:rPr>
          <w:rFonts w:cs="Arial"/>
          <w:color w:val="000000"/>
          <w:szCs w:val="19"/>
          <w:lang w:eastAsia="en-AU"/>
        </w:rPr>
        <w:t xml:space="preserve"> with no fault attributed to the organisation or the department. In this case the terminating party must provide at least three months’ written notice to other party. Where this occurs, the party electing to terminate will pay the reasonable costs of the other party that arise directly from the termination</w:t>
      </w:r>
      <w:r>
        <w:rPr>
          <w:rFonts w:cs="Arial"/>
          <w:color w:val="000000"/>
          <w:szCs w:val="19"/>
          <w:lang w:eastAsia="en-AU"/>
        </w:rPr>
        <w:t xml:space="preserve"> (other than loss of profit or income)</w:t>
      </w:r>
      <w:r w:rsidRPr="00B24C02">
        <w:rPr>
          <w:rFonts w:cs="Arial"/>
          <w:color w:val="000000"/>
          <w:szCs w:val="19"/>
          <w:lang w:eastAsia="en-AU"/>
        </w:rPr>
        <w:t xml:space="preserve">. </w:t>
      </w:r>
      <w:r>
        <w:t xml:space="preserve">The non-terminating party must use its best efforts to minimise any such costs arising from termination. </w:t>
      </w:r>
      <w:r w:rsidRPr="00B24C02">
        <w:rPr>
          <w:rFonts w:cs="Arial"/>
          <w:color w:val="000000"/>
          <w:szCs w:val="19"/>
          <w:lang w:eastAsia="en-AU"/>
        </w:rPr>
        <w:t xml:space="preserve">The total amount payable by the department on termination without fault will not exceed the total amount of funding that would have been payable under the </w:t>
      </w:r>
      <w:r w:rsidR="009B3052">
        <w:rPr>
          <w:rFonts w:cs="Arial"/>
          <w:color w:val="000000"/>
          <w:szCs w:val="19"/>
          <w:lang w:eastAsia="en-AU"/>
        </w:rPr>
        <w:t>Service agreement</w:t>
      </w:r>
      <w:r w:rsidRPr="00B24C02">
        <w:rPr>
          <w:rFonts w:cs="Arial"/>
          <w:color w:val="000000"/>
          <w:szCs w:val="19"/>
          <w:lang w:eastAsia="en-AU"/>
        </w:rPr>
        <w:t xml:space="preserve"> if it had not been terminated (less any amount already paid under the </w:t>
      </w:r>
      <w:r w:rsidR="009B3052">
        <w:rPr>
          <w:rFonts w:cs="Arial"/>
          <w:color w:val="000000"/>
          <w:szCs w:val="19"/>
          <w:lang w:eastAsia="en-AU"/>
        </w:rPr>
        <w:t>Service agreement</w:t>
      </w:r>
      <w:r w:rsidRPr="00B24C02">
        <w:rPr>
          <w:rFonts w:cs="Arial"/>
          <w:color w:val="000000"/>
          <w:szCs w:val="19"/>
          <w:lang w:eastAsia="en-AU"/>
        </w:rPr>
        <w:t>).</w:t>
      </w:r>
    </w:p>
    <w:p w14:paraId="483D9D74" w14:textId="77777777" w:rsidR="00236748" w:rsidRPr="00276391" w:rsidRDefault="00236748" w:rsidP="009B2351">
      <w:pPr>
        <w:pStyle w:val="Heading2"/>
        <w:rPr>
          <w:rFonts w:cs="Arial"/>
          <w:lang w:eastAsia="en-AU"/>
        </w:rPr>
      </w:pPr>
      <w:bookmarkStart w:id="465" w:name="_Toc4142083"/>
      <w:r w:rsidRPr="00276391">
        <w:rPr>
          <w:rFonts w:cs="Arial"/>
          <w:lang w:eastAsia="en-AU"/>
        </w:rPr>
        <w:lastRenderedPageBreak/>
        <w:t>3.15</w:t>
      </w:r>
      <w:r w:rsidR="009B2351" w:rsidRPr="00276391">
        <w:rPr>
          <w:rFonts w:cs="Arial"/>
          <w:lang w:eastAsia="en-AU"/>
        </w:rPr>
        <w:t xml:space="preserve"> </w:t>
      </w:r>
      <w:r w:rsidRPr="00276391">
        <w:rPr>
          <w:rFonts w:cs="Arial"/>
          <w:lang w:eastAsia="en-AU"/>
        </w:rPr>
        <w:t>Transition</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services</w:t>
      </w:r>
      <w:bookmarkEnd w:id="456"/>
      <w:bookmarkEnd w:id="457"/>
      <w:bookmarkEnd w:id="458"/>
      <w:bookmarkEnd w:id="465"/>
    </w:p>
    <w:p w14:paraId="532F473B" w14:textId="79B638EC" w:rsidR="00E179B2" w:rsidRPr="00276391" w:rsidRDefault="00E179B2" w:rsidP="00E179B2">
      <w:pPr>
        <w:pStyle w:val="DHHSbody"/>
        <w:rPr>
          <w:lang w:eastAsia="en-AU"/>
        </w:rPr>
      </w:pPr>
      <w:r w:rsidRPr="00276391">
        <w:rPr>
          <w:lang w:eastAsia="en-AU"/>
        </w:rPr>
        <w:t xml:space="preserve">Where a </w:t>
      </w:r>
      <w:r w:rsidR="009B3052">
        <w:rPr>
          <w:lang w:eastAsia="en-AU"/>
        </w:rPr>
        <w:t>Service agreement</w:t>
      </w:r>
      <w:r w:rsidRPr="00276391">
        <w:rPr>
          <w:lang w:eastAsia="en-AU"/>
        </w:rPr>
        <w:t xml:space="preserve"> expires or is terminated or where an organisation ceases to deliver services, the department will notify the organisation of the need to hand over to the department or to a third party nominated by the department:</w:t>
      </w:r>
    </w:p>
    <w:p w14:paraId="57CC95AC"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all records provided to the organisation by the department relating to the delivery of the services </w:t>
      </w:r>
    </w:p>
    <w:p w14:paraId="5E96CF42"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all records created, managed and maintained relating to the delivery of the services in a format and in a way that allows the records to be quickly and easily accessed, retrieved, reviewed, kept and used by the department or a third party nominated by the department. </w:t>
      </w:r>
    </w:p>
    <w:p w14:paraId="5A9A06C5" w14:textId="77777777" w:rsidR="00E179B2" w:rsidRPr="00276391" w:rsidRDefault="00E179B2" w:rsidP="00E179B2">
      <w:pPr>
        <w:pStyle w:val="DHHSbody"/>
        <w:rPr>
          <w:lang w:eastAsia="en-AU"/>
        </w:rPr>
      </w:pPr>
      <w:r w:rsidRPr="00B24C02">
        <w:rPr>
          <w:rFonts w:cs="Arial"/>
          <w:color w:val="000000"/>
          <w:szCs w:val="19"/>
          <w:lang w:eastAsia="en-AU"/>
        </w:rPr>
        <w:t>The time stated to comply with a handover request above is five business days. However, where an organisation, acting reasonably and in good faith, is unable to comply within five business days, the organisation may make a written request for an extension of time in which to comply. The department will not unreasonably refuse to consent to a requested extension.</w:t>
      </w:r>
    </w:p>
    <w:p w14:paraId="62028DB4" w14:textId="05CD0E76" w:rsidR="00E179B2" w:rsidRPr="00276391" w:rsidRDefault="00E179B2" w:rsidP="00E179B2">
      <w:pPr>
        <w:pStyle w:val="DHHSbody"/>
        <w:rPr>
          <w:lang w:eastAsia="en-AU"/>
        </w:rPr>
      </w:pPr>
      <w:r w:rsidRPr="00276391">
        <w:rPr>
          <w:lang w:eastAsia="en-AU"/>
        </w:rPr>
        <w:t xml:space="preserve">Within thirty days of a </w:t>
      </w:r>
      <w:r w:rsidR="009B3052">
        <w:rPr>
          <w:lang w:eastAsia="en-AU"/>
        </w:rPr>
        <w:t>Service agreement</w:t>
      </w:r>
      <w:r w:rsidRPr="00276391">
        <w:rPr>
          <w:lang w:eastAsia="en-AU"/>
        </w:rPr>
        <w:t xml:space="preserve"> expiring or being terminated or an organisation ceasing to provide services, the organisation is required to provide the department with:</w:t>
      </w:r>
    </w:p>
    <w:p w14:paraId="17031FF0" w14:textId="77777777"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 financial acquittal detailing all the funding paid to the organisation by the department and funding spent by the organisation (including any unspent funding) </w:t>
      </w:r>
    </w:p>
    <w:p w14:paraId="6DED0317" w14:textId="67C9FE99"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 copy of the current asset register (described in clause 7 - </w:t>
      </w:r>
      <w:r w:rsidRPr="00F9589D">
        <w:t xml:space="preserve">refer to </w:t>
      </w:r>
      <w:hyperlink w:anchor="_3.7.2_Keeping_an" w:history="1">
        <w:r w:rsidR="00E744A1">
          <w:rPr>
            <w:rStyle w:val="Hyperlink"/>
          </w:rPr>
          <w:t>C</w:t>
        </w:r>
        <w:r w:rsidRPr="00F9589D">
          <w:rPr>
            <w:rStyle w:val="Hyperlink"/>
          </w:rPr>
          <w:t>hapter 3.7.2</w:t>
        </w:r>
      </w:hyperlink>
      <w:r w:rsidRPr="00276391">
        <w:rPr>
          <w:rFonts w:cs="Arial"/>
          <w:lang w:eastAsia="en-AU"/>
        </w:rPr>
        <w:t xml:space="preserve">) </w:t>
      </w:r>
    </w:p>
    <w:p w14:paraId="389C7F71" w14:textId="6876C660" w:rsidR="00E179B2" w:rsidRPr="00276391" w:rsidRDefault="00E179B2" w:rsidP="00E179B2">
      <w:pPr>
        <w:pStyle w:val="DHHSbullet1"/>
        <w:numPr>
          <w:ilvl w:val="0"/>
          <w:numId w:val="16"/>
        </w:numPr>
        <w:ind w:left="284"/>
        <w:rPr>
          <w:rFonts w:cs="Arial"/>
          <w:lang w:eastAsia="en-AU"/>
        </w:rPr>
      </w:pPr>
      <w:r w:rsidRPr="00276391">
        <w:rPr>
          <w:rFonts w:cs="Arial"/>
          <w:lang w:eastAsia="en-AU"/>
        </w:rPr>
        <w:t xml:space="preserve">any other outstanding information, documentation or reports the organisation is required to provide to the department under the </w:t>
      </w:r>
      <w:r w:rsidR="009B3052">
        <w:rPr>
          <w:rFonts w:cs="Arial"/>
          <w:lang w:eastAsia="en-AU"/>
        </w:rPr>
        <w:t>Service agreement</w:t>
      </w:r>
      <w:r w:rsidRPr="00276391">
        <w:rPr>
          <w:rFonts w:cs="Arial"/>
          <w:lang w:eastAsia="en-AU"/>
        </w:rPr>
        <w:t xml:space="preserve"> (</w:t>
      </w:r>
      <w:r w:rsidRPr="00F9589D">
        <w:t xml:space="preserve">refer to </w:t>
      </w:r>
      <w:hyperlink w:anchor="_3.6.2_Recordkeeping" w:history="1">
        <w:r w:rsidR="00E744A1">
          <w:rPr>
            <w:rStyle w:val="Hyperlink"/>
          </w:rPr>
          <w:t>C</w:t>
        </w:r>
        <w:r w:rsidRPr="00F9589D">
          <w:rPr>
            <w:rStyle w:val="Hyperlink"/>
          </w:rPr>
          <w:t>hapter 3.6.2</w:t>
        </w:r>
      </w:hyperlink>
      <w:r w:rsidRPr="00276391">
        <w:rPr>
          <w:rFonts w:cs="Arial"/>
          <w:lang w:eastAsia="en-AU"/>
        </w:rPr>
        <w:t xml:space="preserve">). </w:t>
      </w:r>
    </w:p>
    <w:p w14:paraId="66D1F614" w14:textId="567EADAB" w:rsidR="00E179B2" w:rsidRDefault="00E179B2" w:rsidP="00E179B2">
      <w:pPr>
        <w:pStyle w:val="DHHSbody"/>
        <w:rPr>
          <w:rFonts w:cs="Arial"/>
          <w:color w:val="000000"/>
          <w:szCs w:val="19"/>
          <w:lang w:eastAsia="en-AU"/>
        </w:rPr>
      </w:pPr>
      <w:r w:rsidRPr="00B24C02">
        <w:rPr>
          <w:rFonts w:cs="Arial"/>
          <w:color w:val="000000"/>
          <w:szCs w:val="19"/>
          <w:lang w:eastAsia="en-AU"/>
        </w:rPr>
        <w:t xml:space="preserve">These obligations in clause 15 will continue for a period of three years after the expiry or termination of the </w:t>
      </w:r>
      <w:r w:rsidR="009B3052">
        <w:rPr>
          <w:rFonts w:cs="Arial"/>
          <w:color w:val="000000"/>
          <w:szCs w:val="19"/>
          <w:lang w:eastAsia="en-AU"/>
        </w:rPr>
        <w:t>Service agreement</w:t>
      </w:r>
      <w:r w:rsidRPr="00B24C02">
        <w:rPr>
          <w:rFonts w:cs="Arial"/>
          <w:color w:val="000000"/>
          <w:szCs w:val="19"/>
          <w:lang w:eastAsia="en-AU"/>
        </w:rPr>
        <w:t>.</w:t>
      </w:r>
    </w:p>
    <w:p w14:paraId="005AA07A" w14:textId="326A00DB" w:rsidR="00E179B2" w:rsidRDefault="00E179B2" w:rsidP="00E179B2">
      <w:pPr>
        <w:pStyle w:val="DHHSbullet1"/>
        <w:numPr>
          <w:ilvl w:val="0"/>
          <w:numId w:val="0"/>
        </w:numPr>
        <w:rPr>
          <w:rFonts w:cs="Arial"/>
          <w:lang w:eastAsia="en-AU"/>
        </w:rPr>
      </w:pPr>
      <w:r w:rsidRPr="00276391">
        <w:rPr>
          <w:lang w:eastAsia="en-AU"/>
        </w:rPr>
        <w:t xml:space="preserve">Organisations are to also provide (and must require any subcontractor engaged by the organisation to provide) all reasonable assistance to transfer all or part of the services, functions and operations provided under the </w:t>
      </w:r>
      <w:r w:rsidR="009B3052">
        <w:rPr>
          <w:lang w:eastAsia="en-AU"/>
        </w:rPr>
        <w:t>Service agreement</w:t>
      </w:r>
      <w:r w:rsidRPr="00276391">
        <w:rPr>
          <w:lang w:eastAsia="en-AU"/>
        </w:rPr>
        <w:t xml:space="preserve"> to the department or a third party nominated by the department. This assistance may include, for example, answering questions and providing other information as may be reasonably sought.</w:t>
      </w:r>
    </w:p>
    <w:p w14:paraId="4F5E6753" w14:textId="77777777" w:rsidR="00236748" w:rsidRPr="00276391" w:rsidRDefault="00236748" w:rsidP="009B2351">
      <w:pPr>
        <w:pStyle w:val="Heading2"/>
        <w:rPr>
          <w:rFonts w:cs="Arial"/>
          <w:lang w:eastAsia="en-AU"/>
        </w:rPr>
      </w:pPr>
      <w:bookmarkStart w:id="466" w:name="_Toc478991858"/>
      <w:bookmarkStart w:id="467" w:name="_Toc478992417"/>
      <w:bookmarkStart w:id="468" w:name="_Toc478992901"/>
      <w:bookmarkStart w:id="469" w:name="_Toc4142084"/>
      <w:r w:rsidRPr="00276391">
        <w:rPr>
          <w:rFonts w:cs="Arial"/>
          <w:lang w:eastAsia="en-AU"/>
        </w:rPr>
        <w:t>3.16</w:t>
      </w:r>
      <w:r w:rsidR="009B2351" w:rsidRPr="00276391">
        <w:rPr>
          <w:rFonts w:cs="Arial"/>
          <w:lang w:eastAsia="en-AU"/>
        </w:rPr>
        <w:t xml:space="preserve"> </w:t>
      </w:r>
      <w:r w:rsidRPr="00276391">
        <w:rPr>
          <w:rFonts w:cs="Arial"/>
          <w:lang w:eastAsia="en-AU"/>
        </w:rPr>
        <w:t>Intellectual</w:t>
      </w:r>
      <w:r w:rsidR="009B2351" w:rsidRPr="00276391">
        <w:rPr>
          <w:rFonts w:cs="Arial"/>
          <w:lang w:eastAsia="en-AU"/>
        </w:rPr>
        <w:t xml:space="preserve"> </w:t>
      </w:r>
      <w:r w:rsidRPr="00276391">
        <w:rPr>
          <w:rFonts w:cs="Arial"/>
          <w:lang w:eastAsia="en-AU"/>
        </w:rPr>
        <w:t>property</w:t>
      </w:r>
      <w:bookmarkEnd w:id="466"/>
      <w:bookmarkEnd w:id="467"/>
      <w:bookmarkEnd w:id="468"/>
      <w:bookmarkEnd w:id="469"/>
    </w:p>
    <w:p w14:paraId="13F1EB97" w14:textId="18BCA053" w:rsidR="00E179B2" w:rsidRPr="00276391" w:rsidRDefault="00E179B2" w:rsidP="00E179B2">
      <w:pPr>
        <w:pStyle w:val="DHHSbody"/>
        <w:rPr>
          <w:lang w:eastAsia="en-AU"/>
        </w:rPr>
      </w:pPr>
      <w:r w:rsidRPr="00276391">
        <w:rPr>
          <w:lang w:eastAsia="en-AU"/>
        </w:rPr>
        <w:t xml:space="preserve">Under the </w:t>
      </w:r>
      <w:r w:rsidR="009B3052">
        <w:rPr>
          <w:lang w:eastAsia="en-AU"/>
        </w:rPr>
        <w:t>Service agreement</w:t>
      </w:r>
      <w:r w:rsidRPr="00276391">
        <w:rPr>
          <w:lang w:eastAsia="en-AU"/>
        </w:rPr>
        <w:t>, ownership of project intellectual property (Project IP) vests in the funded organisation unless the department specifically elects to own the Project IP in accordance with clause 16.</w:t>
      </w:r>
    </w:p>
    <w:p w14:paraId="42E7C038" w14:textId="3F614A40" w:rsidR="00E179B2" w:rsidRPr="00276391" w:rsidRDefault="00E179B2" w:rsidP="00E179B2">
      <w:pPr>
        <w:pStyle w:val="DHHSbody"/>
        <w:rPr>
          <w:lang w:eastAsia="en-AU"/>
        </w:rPr>
      </w:pPr>
      <w:r w:rsidRPr="00276391">
        <w:rPr>
          <w:lang w:eastAsia="en-AU"/>
        </w:rPr>
        <w:t xml:space="preserve">Where the department has not elected to own the Project IP, the organisation grants a license to the department to use the Project IP and other background or </w:t>
      </w:r>
      <w:proofErr w:type="gramStart"/>
      <w:r w:rsidRPr="00276391">
        <w:rPr>
          <w:lang w:eastAsia="en-AU"/>
        </w:rPr>
        <w:t>third party</w:t>
      </w:r>
      <w:proofErr w:type="gramEnd"/>
      <w:r w:rsidRPr="00276391">
        <w:rPr>
          <w:lang w:eastAsia="en-AU"/>
        </w:rPr>
        <w:t xml:space="preserve"> intellectual property to the extent needed to allow the department to enjoy the full benefit of services and the </w:t>
      </w:r>
      <w:r w:rsidR="009B3052">
        <w:rPr>
          <w:lang w:eastAsia="en-AU"/>
        </w:rPr>
        <w:t>Service agreement</w:t>
      </w:r>
      <w:r w:rsidRPr="00276391">
        <w:rPr>
          <w:lang w:eastAsia="en-AU"/>
        </w:rPr>
        <w:t>.</w:t>
      </w:r>
    </w:p>
    <w:p w14:paraId="4FC5FF4E" w14:textId="77777777" w:rsidR="00E179B2" w:rsidRPr="00276391" w:rsidRDefault="00E179B2" w:rsidP="00E179B2">
      <w:pPr>
        <w:pStyle w:val="DHHSbody"/>
        <w:rPr>
          <w:lang w:eastAsia="en-AU"/>
        </w:rPr>
      </w:pPr>
      <w:r w:rsidRPr="00276391">
        <w:rPr>
          <w:lang w:eastAsia="en-AU"/>
        </w:rPr>
        <w:t xml:space="preserve">In certain circumstances, the department may require Project IP to be owned by the department on behalf of the State of Victoria. If the department proposes to own the Project IP, this </w:t>
      </w:r>
      <w:r>
        <w:rPr>
          <w:lang w:eastAsia="en-AU"/>
        </w:rPr>
        <w:t xml:space="preserve">may </w:t>
      </w:r>
      <w:r w:rsidRPr="00276391">
        <w:rPr>
          <w:lang w:eastAsia="en-AU"/>
        </w:rPr>
        <w:t>be</w:t>
      </w:r>
      <w:r>
        <w:rPr>
          <w:lang w:eastAsia="en-AU"/>
        </w:rPr>
        <w:t xml:space="preserve"> </w:t>
      </w:r>
      <w:r w:rsidRPr="00276391">
        <w:rPr>
          <w:lang w:eastAsia="en-AU"/>
        </w:rPr>
        <w:t>confirmed with the organisation in writing prior to the relevant services being delivered.</w:t>
      </w:r>
      <w:r>
        <w:rPr>
          <w:lang w:eastAsia="en-AU"/>
        </w:rPr>
        <w:t xml:space="preserve"> However, this is not a prerequisite to the department providing a written notice under clause 16.3.</w:t>
      </w:r>
    </w:p>
    <w:p w14:paraId="79E040CE" w14:textId="2D66777D" w:rsidR="00E179B2" w:rsidRPr="00276391" w:rsidRDefault="00E179B2" w:rsidP="00E179B2">
      <w:pPr>
        <w:pStyle w:val="DHHSbody"/>
        <w:rPr>
          <w:lang w:eastAsia="en-AU"/>
        </w:rPr>
      </w:pPr>
      <w:r w:rsidRPr="00276391">
        <w:rPr>
          <w:lang w:eastAsia="en-AU"/>
        </w:rPr>
        <w:t>The department will have regard to the Whole of Victorian Government Intellectual Property Policy (</w:t>
      </w:r>
      <w:hyperlink r:id="rId90" w:tgtFrame="_blank" w:tooltip="Link to the Intellectual Property Guidelines for the Victorian Public Sector (Version 1)" w:history="1">
        <w:r w:rsidRPr="00986D1E">
          <w:rPr>
            <w:rStyle w:val="Hyperlink"/>
          </w:rPr>
          <w:t>Intellectual Property Guidelines for the Victorian Public Sector (Version 1</w:t>
        </w:r>
      </w:hyperlink>
      <w:r>
        <w:rPr>
          <w:lang w:eastAsia="en-AU"/>
        </w:rPr>
        <w:t>) &lt;</w:t>
      </w:r>
      <w:r w:rsidRPr="00F9589D">
        <w:rPr>
          <w:lang w:eastAsia="en-AU"/>
        </w:rPr>
        <w:t>http://www.dtf.vic.gov.au/Publications/Victoria-Economy-publications/Intellectual-Property-Guidelines-for-the-Victorian-Public-Sector-Version-1</w:t>
      </w:r>
      <w:r>
        <w:rPr>
          <w:lang w:eastAsia="en-AU"/>
        </w:rPr>
        <w:t>&gt; (</w:t>
      </w:r>
      <w:r w:rsidRPr="00276391">
        <w:rPr>
          <w:lang w:eastAsia="en-AU"/>
        </w:rPr>
        <w:t xml:space="preserve">external link, </w:t>
      </w:r>
      <w:r w:rsidR="00EA74AB">
        <w:rPr>
          <w:lang w:eastAsia="en-AU"/>
        </w:rPr>
        <w:t xml:space="preserve">opens in </w:t>
      </w:r>
      <w:r w:rsidR="00C62565">
        <w:rPr>
          <w:lang w:eastAsia="en-AU"/>
        </w:rPr>
        <w:t>a new window</w:t>
      </w:r>
      <w:r w:rsidRPr="00276391">
        <w:rPr>
          <w:lang w:eastAsia="en-AU"/>
        </w:rPr>
        <w:t>) when considering whether some or all of the Project IP should be owned by the department.</w:t>
      </w:r>
    </w:p>
    <w:p w14:paraId="2B230723" w14:textId="77777777" w:rsidR="00E179B2" w:rsidRPr="00276391" w:rsidRDefault="00E179B2" w:rsidP="00E179B2">
      <w:pPr>
        <w:pStyle w:val="DHHSbody"/>
        <w:rPr>
          <w:lang w:eastAsia="en-AU"/>
        </w:rPr>
      </w:pPr>
      <w:r w:rsidRPr="00276391">
        <w:rPr>
          <w:lang w:eastAsia="en-AU"/>
        </w:rPr>
        <w:t>The intellectual property clause requires that the funded organisation properly manage the Project IP including:</w:t>
      </w:r>
    </w:p>
    <w:p w14:paraId="79D59D8E" w14:textId="77777777" w:rsidR="00E179B2" w:rsidRPr="00E179B2" w:rsidRDefault="00E179B2" w:rsidP="00E179B2">
      <w:pPr>
        <w:pStyle w:val="DHHSbullet1"/>
        <w:rPr>
          <w:rFonts w:cs="Arial"/>
          <w:lang w:eastAsia="en-AU"/>
        </w:rPr>
      </w:pPr>
      <w:r w:rsidRPr="00E179B2">
        <w:rPr>
          <w:rFonts w:cs="Arial"/>
          <w:lang w:eastAsia="en-AU"/>
        </w:rPr>
        <w:lastRenderedPageBreak/>
        <w:t xml:space="preserve">registering, maintaining the registration of, protecting, managing, exploiting and (as appropriate) commercialising it for the benefit of the Victorian public </w:t>
      </w:r>
    </w:p>
    <w:p w14:paraId="130A5A9B" w14:textId="77777777" w:rsidR="00E179B2" w:rsidRPr="00E179B2" w:rsidRDefault="00E179B2" w:rsidP="00E179B2">
      <w:pPr>
        <w:pStyle w:val="DHHSbullet1"/>
        <w:rPr>
          <w:rFonts w:cs="Arial"/>
          <w:lang w:eastAsia="en-AU"/>
        </w:rPr>
      </w:pPr>
      <w:r w:rsidRPr="00E179B2">
        <w:rPr>
          <w:rFonts w:cs="Arial"/>
          <w:lang w:eastAsia="en-AU"/>
        </w:rPr>
        <w:t xml:space="preserve">maintaining, improving, enhancing and developing it to the fullest extent reasonably necessary to maintain its usefulness and appropriateness to the organisation and the department for the provision of the services </w:t>
      </w:r>
    </w:p>
    <w:p w14:paraId="0F42B61E" w14:textId="77777777" w:rsidR="00E179B2" w:rsidRPr="00E179B2" w:rsidRDefault="00E179B2" w:rsidP="00E179B2">
      <w:pPr>
        <w:pStyle w:val="DHHSbullet1"/>
        <w:rPr>
          <w:rFonts w:cs="Arial"/>
          <w:lang w:eastAsia="en-AU"/>
        </w:rPr>
      </w:pPr>
      <w:r w:rsidRPr="00E179B2">
        <w:rPr>
          <w:rFonts w:cs="Arial"/>
          <w:lang w:eastAsia="en-AU"/>
        </w:rPr>
        <w:t xml:space="preserve">using, reproducing, publishing, adapting, disseminating, communicating to the public, broadcasting, and performing it for the benefit of the Victorian public </w:t>
      </w:r>
    </w:p>
    <w:p w14:paraId="0D514D28" w14:textId="77777777" w:rsidR="00E179B2" w:rsidRPr="00E179B2" w:rsidRDefault="00E179B2" w:rsidP="00E179B2">
      <w:pPr>
        <w:pStyle w:val="DHHSbullet1"/>
        <w:rPr>
          <w:rFonts w:cs="Arial"/>
          <w:lang w:eastAsia="en-AU"/>
        </w:rPr>
      </w:pPr>
      <w:r w:rsidRPr="00E179B2">
        <w:rPr>
          <w:rFonts w:cs="Arial"/>
          <w:lang w:eastAsia="en-AU"/>
        </w:rPr>
        <w:t xml:space="preserve">complying with all applicable departmental or other Victorian Government policies relating to the Project IP. </w:t>
      </w:r>
    </w:p>
    <w:p w14:paraId="1F74131D" w14:textId="6F4A642C" w:rsidR="00236748" w:rsidRPr="00276391" w:rsidRDefault="00236748" w:rsidP="00E179B2">
      <w:pPr>
        <w:pStyle w:val="DHHSbullet1"/>
        <w:numPr>
          <w:ilvl w:val="0"/>
          <w:numId w:val="0"/>
        </w:numPr>
        <w:rPr>
          <w:rFonts w:cs="Arial"/>
          <w:lang w:eastAsia="en-AU"/>
        </w:rPr>
      </w:pPr>
    </w:p>
    <w:p w14:paraId="430E0E49" w14:textId="77777777" w:rsidR="00236748" w:rsidRPr="00276391" w:rsidRDefault="00236748" w:rsidP="009B2351">
      <w:pPr>
        <w:pStyle w:val="Heading2"/>
        <w:rPr>
          <w:rFonts w:cs="Arial"/>
          <w:lang w:eastAsia="en-AU"/>
        </w:rPr>
      </w:pPr>
      <w:bookmarkStart w:id="470" w:name="_3.17_Privacy,_Data"/>
      <w:bookmarkStart w:id="471" w:name="_Toc478991859"/>
      <w:bookmarkStart w:id="472" w:name="_Toc478992418"/>
      <w:bookmarkStart w:id="473" w:name="_Toc478992902"/>
      <w:bookmarkStart w:id="474" w:name="_Toc4142085"/>
      <w:bookmarkEnd w:id="470"/>
      <w:r w:rsidRPr="00276391">
        <w:rPr>
          <w:rFonts w:cs="Arial"/>
          <w:lang w:eastAsia="en-AU"/>
        </w:rPr>
        <w:t>3.17</w:t>
      </w:r>
      <w:r w:rsidR="009B2351" w:rsidRPr="00276391">
        <w:rPr>
          <w:rFonts w:cs="Arial"/>
          <w:lang w:eastAsia="en-AU"/>
        </w:rPr>
        <w:t xml:space="preserve"> </w:t>
      </w:r>
      <w:r w:rsidRPr="00276391">
        <w:rPr>
          <w:rFonts w:cs="Arial"/>
          <w:lang w:eastAsia="en-AU"/>
        </w:rPr>
        <w:t>Privacy,</w:t>
      </w:r>
      <w:r w:rsidR="009B2351" w:rsidRPr="00276391">
        <w:rPr>
          <w:rFonts w:cs="Arial"/>
          <w:lang w:eastAsia="en-AU"/>
        </w:rPr>
        <w:t xml:space="preserve"> </w:t>
      </w:r>
      <w:r w:rsidRPr="00276391">
        <w:rPr>
          <w:rFonts w:cs="Arial"/>
          <w:lang w:eastAsia="en-AU"/>
        </w:rPr>
        <w:t>Data</w:t>
      </w:r>
      <w:r w:rsidR="009B2351" w:rsidRPr="00276391">
        <w:rPr>
          <w:rFonts w:cs="Arial"/>
          <w:lang w:eastAsia="en-AU"/>
        </w:rPr>
        <w:t xml:space="preserve"> </w:t>
      </w:r>
      <w:r w:rsidRPr="00276391">
        <w:rPr>
          <w:rFonts w:cs="Arial"/>
          <w:lang w:eastAsia="en-AU"/>
        </w:rPr>
        <w:t>Protection</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Protected</w:t>
      </w:r>
      <w:r w:rsidR="009B2351" w:rsidRPr="00276391">
        <w:rPr>
          <w:rFonts w:cs="Arial"/>
          <w:lang w:eastAsia="en-AU"/>
        </w:rPr>
        <w:t xml:space="preserve"> </w:t>
      </w:r>
      <w:r w:rsidRPr="00276391">
        <w:rPr>
          <w:rFonts w:cs="Arial"/>
          <w:lang w:eastAsia="en-AU"/>
        </w:rPr>
        <w:t>Disclosures</w:t>
      </w:r>
      <w:bookmarkEnd w:id="471"/>
      <w:bookmarkEnd w:id="472"/>
      <w:bookmarkEnd w:id="473"/>
      <w:bookmarkEnd w:id="474"/>
    </w:p>
    <w:p w14:paraId="0D46EB14" w14:textId="77777777" w:rsidR="00236748" w:rsidRPr="00276391" w:rsidRDefault="00236748" w:rsidP="00276391">
      <w:pPr>
        <w:pStyle w:val="Heading3"/>
        <w:rPr>
          <w:lang w:eastAsia="en-AU"/>
        </w:rPr>
      </w:pPr>
      <w:bookmarkStart w:id="475" w:name="_Toc478991860"/>
      <w:bookmarkStart w:id="476" w:name="_Toc478992419"/>
      <w:bookmarkStart w:id="477" w:name="_Toc4142086"/>
      <w:r w:rsidRPr="00276391">
        <w:rPr>
          <w:lang w:eastAsia="en-AU"/>
        </w:rPr>
        <w:t>Privacy</w:t>
      </w:r>
      <w:bookmarkEnd w:id="475"/>
      <w:bookmarkEnd w:id="476"/>
      <w:bookmarkEnd w:id="477"/>
    </w:p>
    <w:p w14:paraId="74B50899" w14:textId="2FA5482A" w:rsidR="00236748" w:rsidRPr="00276391" w:rsidRDefault="004C3861" w:rsidP="00276391">
      <w:pPr>
        <w:pStyle w:val="DHHSbody"/>
        <w:rPr>
          <w:lang w:eastAsia="en-AU"/>
        </w:rPr>
      </w:pPr>
      <w:r>
        <w:rPr>
          <w:rFonts w:cs="Arial"/>
          <w:color w:val="000000"/>
          <w:szCs w:val="19"/>
          <w:lang w:eastAsia="en-AU"/>
        </w:rPr>
        <w:t>S</w:t>
      </w:r>
      <w:r w:rsidR="00236748" w:rsidRPr="00B24C02">
        <w:rPr>
          <w:rFonts w:cs="Arial"/>
          <w:color w:val="000000"/>
          <w:szCs w:val="19"/>
          <w:lang w:eastAsia="en-AU"/>
        </w:rPr>
        <w:t>ections</w:t>
      </w:r>
      <w:r>
        <w:rPr>
          <w:rFonts w:cs="Arial"/>
          <w:color w:val="000000"/>
          <w:szCs w:val="19"/>
          <w:lang w:eastAsia="en-AU"/>
        </w:rPr>
        <w:t xml:space="preserve"> 3.17</w:t>
      </w:r>
      <w:r w:rsidR="00026283">
        <w:rPr>
          <w:rFonts w:cs="Arial"/>
          <w:color w:val="000000"/>
          <w:szCs w:val="19"/>
          <w:lang w:eastAsia="en-AU"/>
        </w:rPr>
        <w:t xml:space="preserve">.1 – 3.17.7 </w:t>
      </w:r>
      <w:r w:rsidR="00236748" w:rsidRPr="00B24C02">
        <w:rPr>
          <w:rFonts w:cs="Arial"/>
          <w:color w:val="000000"/>
          <w:szCs w:val="19"/>
          <w:lang w:eastAsia="en-AU"/>
        </w:rPr>
        <w:t>below</w:t>
      </w:r>
      <w:r w:rsidR="005D5532" w:rsidRPr="00B24C02">
        <w:rPr>
          <w:rFonts w:cs="Arial"/>
          <w:color w:val="000000"/>
          <w:szCs w:val="19"/>
          <w:lang w:eastAsia="en-AU"/>
        </w:rPr>
        <w:t xml:space="preserve"> </w:t>
      </w:r>
      <w:r w:rsidR="00236748" w:rsidRPr="00B24C02">
        <w:rPr>
          <w:rFonts w:cs="Arial"/>
          <w:color w:val="000000"/>
          <w:szCs w:val="19"/>
          <w:lang w:eastAsia="en-AU"/>
        </w:rPr>
        <w:t>provide</w:t>
      </w:r>
      <w:r w:rsidR="005D5532" w:rsidRPr="00B24C02">
        <w:rPr>
          <w:rFonts w:cs="Arial"/>
          <w:color w:val="000000"/>
          <w:szCs w:val="19"/>
          <w:lang w:eastAsia="en-AU"/>
        </w:rPr>
        <w:t xml:space="preserve"> </w:t>
      </w:r>
      <w:r w:rsidR="00236748" w:rsidRPr="00B24C02">
        <w:rPr>
          <w:rFonts w:cs="Arial"/>
          <w:color w:val="000000"/>
          <w:szCs w:val="19"/>
          <w:lang w:eastAsia="en-AU"/>
        </w:rPr>
        <w:t>additional</w:t>
      </w:r>
      <w:r w:rsidR="005D5532" w:rsidRPr="00B24C02">
        <w:rPr>
          <w:rFonts w:cs="Arial"/>
          <w:color w:val="000000"/>
          <w:szCs w:val="19"/>
          <w:lang w:eastAsia="en-AU"/>
        </w:rPr>
        <w:t xml:space="preserve"> </w:t>
      </w:r>
      <w:r w:rsidR="00236748" w:rsidRPr="00B24C02">
        <w:rPr>
          <w:rFonts w:cs="Arial"/>
          <w:color w:val="000000"/>
          <w:szCs w:val="19"/>
          <w:lang w:eastAsia="en-AU"/>
        </w:rPr>
        <w:t>information</w:t>
      </w:r>
      <w:r w:rsidR="005D5532" w:rsidRPr="00B24C02">
        <w:rPr>
          <w:rFonts w:cs="Arial"/>
          <w:color w:val="000000"/>
          <w:szCs w:val="19"/>
          <w:lang w:eastAsia="en-AU"/>
        </w:rPr>
        <w:t xml:space="preserve"> </w:t>
      </w:r>
      <w:r w:rsidR="00236748" w:rsidRPr="00B24C02">
        <w:rPr>
          <w:rFonts w:cs="Arial"/>
          <w:color w:val="000000"/>
          <w:szCs w:val="19"/>
          <w:lang w:eastAsia="en-AU"/>
        </w:rPr>
        <w:t>on</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236748" w:rsidRPr="00B24C02">
        <w:rPr>
          <w:rFonts w:cs="Arial"/>
          <w:color w:val="000000"/>
          <w:szCs w:val="19"/>
          <w:lang w:eastAsia="en-AU"/>
        </w:rPr>
        <w:t>clauses</w:t>
      </w:r>
      <w:r w:rsidR="005D5532" w:rsidRPr="00B24C02">
        <w:rPr>
          <w:rFonts w:cs="Arial"/>
          <w:color w:val="000000"/>
          <w:szCs w:val="19"/>
          <w:lang w:eastAsia="en-AU"/>
        </w:rPr>
        <w:t xml:space="preserve"> </w:t>
      </w:r>
      <w:r w:rsidR="00236748" w:rsidRPr="00B24C02">
        <w:rPr>
          <w:rFonts w:cs="Arial"/>
          <w:color w:val="000000"/>
          <w:szCs w:val="19"/>
          <w:lang w:eastAsia="en-AU"/>
        </w:rPr>
        <w:t>related</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privacy</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privacy</w:t>
      </w:r>
      <w:r w:rsidR="005D5532" w:rsidRPr="00B24C02">
        <w:rPr>
          <w:rFonts w:cs="Arial"/>
          <w:color w:val="000000"/>
          <w:szCs w:val="19"/>
          <w:lang w:eastAsia="en-AU"/>
        </w:rPr>
        <w:t xml:space="preserve"> </w:t>
      </w:r>
      <w:r w:rsidR="00236748" w:rsidRPr="00B24C02">
        <w:rPr>
          <w:rFonts w:cs="Arial"/>
          <w:color w:val="000000"/>
          <w:szCs w:val="19"/>
          <w:lang w:eastAsia="en-AU"/>
        </w:rPr>
        <w:t>requirements</w:t>
      </w:r>
      <w:r w:rsidR="005D5532" w:rsidRPr="00B24C02">
        <w:rPr>
          <w:rFonts w:cs="Arial"/>
          <w:color w:val="000000"/>
          <w:szCs w:val="19"/>
          <w:lang w:eastAsia="en-AU"/>
        </w:rPr>
        <w:t xml:space="preserve"> </w:t>
      </w:r>
      <w:r w:rsidR="00236748" w:rsidRPr="00B24C02">
        <w:rPr>
          <w:rFonts w:cs="Arial"/>
          <w:color w:val="000000"/>
          <w:szCs w:val="19"/>
          <w:lang w:eastAsia="en-AU"/>
        </w:rPr>
        <w:t>under</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hyperlink r:id="rId91" w:history="1">
        <w:r w:rsidR="00236748" w:rsidRPr="00443292">
          <w:rPr>
            <w:rStyle w:val="Hyperlink"/>
          </w:rPr>
          <w:t>Privacy</w:t>
        </w:r>
        <w:r w:rsidR="005D5532" w:rsidRPr="00443292">
          <w:rPr>
            <w:rStyle w:val="Hyperlink"/>
          </w:rPr>
          <w:t xml:space="preserve"> </w:t>
        </w:r>
        <w:r w:rsidR="00236748" w:rsidRPr="00443292">
          <w:rPr>
            <w:rStyle w:val="Hyperlink"/>
          </w:rPr>
          <w:t>and</w:t>
        </w:r>
        <w:r w:rsidR="005D5532" w:rsidRPr="00443292">
          <w:rPr>
            <w:rStyle w:val="Hyperlink"/>
          </w:rPr>
          <w:t xml:space="preserve"> </w:t>
        </w:r>
        <w:r w:rsidR="00236748" w:rsidRPr="00443292">
          <w:rPr>
            <w:rStyle w:val="Hyperlink"/>
          </w:rPr>
          <w:t>Data</w:t>
        </w:r>
        <w:r w:rsidR="005D5532" w:rsidRPr="00443292">
          <w:rPr>
            <w:rStyle w:val="Hyperlink"/>
          </w:rPr>
          <w:t xml:space="preserve"> </w:t>
        </w:r>
        <w:r w:rsidR="00236748" w:rsidRPr="00443292">
          <w:rPr>
            <w:rStyle w:val="Hyperlink"/>
          </w:rPr>
          <w:t>Protection</w:t>
        </w:r>
        <w:r w:rsidR="005D5532" w:rsidRPr="00443292">
          <w:rPr>
            <w:rStyle w:val="Hyperlink"/>
          </w:rPr>
          <w:t xml:space="preserve"> </w:t>
        </w:r>
        <w:r w:rsidR="00236748" w:rsidRPr="00443292">
          <w:rPr>
            <w:rStyle w:val="Hyperlink"/>
          </w:rPr>
          <w:t>Act</w:t>
        </w:r>
        <w:r w:rsidR="005D5532" w:rsidRPr="00443292">
          <w:rPr>
            <w:rStyle w:val="Hyperlink"/>
          </w:rPr>
          <w:t xml:space="preserve"> </w:t>
        </w:r>
        <w:r w:rsidR="00236748" w:rsidRPr="00443292">
          <w:rPr>
            <w:rStyle w:val="Hyperlink"/>
          </w:rPr>
          <w:t>2014</w:t>
        </w:r>
        <w:r w:rsidR="005D5532" w:rsidRPr="00443292">
          <w:rPr>
            <w:rStyle w:val="Hyperlink"/>
          </w:rPr>
          <w:t xml:space="preserve"> </w:t>
        </w:r>
        <w:r w:rsidR="00236748" w:rsidRPr="00443292">
          <w:rPr>
            <w:rStyle w:val="Hyperlink"/>
          </w:rPr>
          <w:t>(Vic</w:t>
        </w:r>
        <w:r w:rsidR="00F373A1" w:rsidRPr="00443292">
          <w:rPr>
            <w:rStyle w:val="Hyperlink"/>
          </w:rPr>
          <w:t>) (</w:t>
        </w:r>
        <w:r w:rsidR="00236748" w:rsidRPr="00443292">
          <w:rPr>
            <w:rStyle w:val="Hyperlink"/>
          </w:rPr>
          <w:t>PDP</w:t>
        </w:r>
        <w:r w:rsidR="005D5532" w:rsidRPr="00443292">
          <w:rPr>
            <w:rStyle w:val="Hyperlink"/>
          </w:rPr>
          <w:t xml:space="preserve"> </w:t>
        </w:r>
        <w:r w:rsidR="00236748" w:rsidRPr="00443292">
          <w:rPr>
            <w:rStyle w:val="Hyperlink"/>
          </w:rPr>
          <w:t>Act)</w:t>
        </w:r>
      </w:hyperlink>
      <w:r w:rsidR="00C576EB">
        <w:rPr>
          <w:rStyle w:val="Hyperlink"/>
        </w:rPr>
        <w:t xml:space="preserve"> </w:t>
      </w:r>
      <w:r w:rsidR="00C576EB">
        <w:rPr>
          <w:rFonts w:cs="Arial"/>
          <w:color w:val="000000"/>
          <w:szCs w:val="19"/>
          <w:lang w:eastAsia="en-AU"/>
        </w:rPr>
        <w:t>&lt;</w:t>
      </w:r>
      <w:r w:rsidR="00443292" w:rsidRPr="00443292">
        <w:rPr>
          <w:rFonts w:cs="Arial"/>
          <w:color w:val="000000"/>
          <w:szCs w:val="19"/>
          <w:lang w:eastAsia="en-AU"/>
        </w:rPr>
        <w:t>http://www8.austlii.edu.au/cgi-bin/viewdb/au/legis/vic/num_act/padpa201460o2014317/</w:t>
      </w:r>
      <w:r w:rsidR="00C576EB">
        <w:rPr>
          <w:rFonts w:cs="Arial"/>
          <w:color w:val="000000"/>
          <w:szCs w:val="19"/>
          <w:lang w:eastAsia="en-AU"/>
        </w:rPr>
        <w:t xml:space="preserve">&gt; </w:t>
      </w:r>
      <w:r w:rsidR="00236748" w:rsidRPr="00B24C02">
        <w:rPr>
          <w:rFonts w:cs="Arial"/>
          <w:color w:val="000000"/>
          <w:szCs w:val="19"/>
          <w:lang w:eastAsia="en-AU"/>
        </w:rPr>
        <w:t>(external</w:t>
      </w:r>
      <w:r w:rsidR="005D5532" w:rsidRPr="00B24C02">
        <w:rPr>
          <w:rFonts w:cs="Arial"/>
          <w:color w:val="000000"/>
          <w:szCs w:val="19"/>
          <w:lang w:eastAsia="en-AU"/>
        </w:rPr>
        <w:t xml:space="preserve"> </w:t>
      </w:r>
      <w:r w:rsidR="00236748" w:rsidRPr="00B24C02">
        <w:rPr>
          <w:rFonts w:cs="Arial"/>
          <w:color w:val="000000"/>
          <w:szCs w:val="19"/>
          <w:lang w:eastAsia="en-AU"/>
        </w:rPr>
        <w:t>link,</w:t>
      </w:r>
      <w:r w:rsidR="005D5532" w:rsidRPr="00B24C02">
        <w:rPr>
          <w:rFonts w:cs="Arial"/>
          <w:color w:val="000000"/>
          <w:szCs w:val="19"/>
          <w:lang w:eastAsia="en-AU"/>
        </w:rPr>
        <w:t xml:space="preserve"> </w:t>
      </w:r>
      <w:r w:rsidR="00EA74AB">
        <w:rPr>
          <w:rFonts w:cs="Arial"/>
          <w:color w:val="000000"/>
          <w:szCs w:val="19"/>
          <w:lang w:eastAsia="en-AU"/>
        </w:rPr>
        <w:t xml:space="preserve">opens in </w:t>
      </w:r>
      <w:r w:rsidR="00C62565">
        <w:rPr>
          <w:rFonts w:cs="Arial"/>
          <w:color w:val="000000"/>
          <w:szCs w:val="19"/>
          <w:lang w:eastAsia="en-AU"/>
        </w:rPr>
        <w:t>a new window</w:t>
      </w:r>
      <w:r w:rsidR="00236748" w:rsidRPr="00B24C02">
        <w:rPr>
          <w:rFonts w:cs="Arial"/>
          <w:color w:val="000000"/>
          <w:szCs w:val="19"/>
          <w:lang w:eastAsia="en-AU"/>
        </w:rPr>
        <w:t>)</w:t>
      </w:r>
      <w:r w:rsidR="005D5532" w:rsidRPr="00B24C02">
        <w:rPr>
          <w:rFonts w:cs="Arial"/>
          <w:color w:val="000000"/>
          <w:szCs w:val="19"/>
          <w:lang w:eastAsia="en-AU"/>
        </w:rPr>
        <w:t xml:space="preserve"> </w:t>
      </w:r>
      <w:r w:rsidR="00236748" w:rsidRPr="00B24C02">
        <w:rPr>
          <w:rFonts w:cs="Arial"/>
          <w:color w:val="000000"/>
          <w:szCs w:val="19"/>
          <w:lang w:eastAsia="en-AU"/>
        </w:rPr>
        <w:t>and</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hyperlink r:id="rId92" w:history="1">
        <w:r w:rsidR="00236748" w:rsidRPr="00443292">
          <w:rPr>
            <w:rStyle w:val="Hyperlink"/>
          </w:rPr>
          <w:t>Health</w:t>
        </w:r>
        <w:r w:rsidR="005D5532" w:rsidRPr="00443292">
          <w:rPr>
            <w:rStyle w:val="Hyperlink"/>
          </w:rPr>
          <w:t xml:space="preserve"> </w:t>
        </w:r>
        <w:r w:rsidR="00236748" w:rsidRPr="00443292">
          <w:rPr>
            <w:rStyle w:val="Hyperlink"/>
          </w:rPr>
          <w:t>Records</w:t>
        </w:r>
        <w:r w:rsidR="005D5532" w:rsidRPr="00443292">
          <w:rPr>
            <w:rStyle w:val="Hyperlink"/>
          </w:rPr>
          <w:t xml:space="preserve"> </w:t>
        </w:r>
        <w:r w:rsidR="00236748" w:rsidRPr="00443292">
          <w:rPr>
            <w:rStyle w:val="Hyperlink"/>
          </w:rPr>
          <w:t>Act</w:t>
        </w:r>
        <w:r w:rsidR="005D5532" w:rsidRPr="00443292">
          <w:rPr>
            <w:rStyle w:val="Hyperlink"/>
          </w:rPr>
          <w:t xml:space="preserve"> </w:t>
        </w:r>
        <w:r w:rsidR="00236748" w:rsidRPr="00443292">
          <w:rPr>
            <w:rStyle w:val="Hyperlink"/>
          </w:rPr>
          <w:t>2001</w:t>
        </w:r>
        <w:r w:rsidR="005D5532" w:rsidRPr="00443292">
          <w:rPr>
            <w:rStyle w:val="Hyperlink"/>
          </w:rPr>
          <w:t xml:space="preserve"> </w:t>
        </w:r>
        <w:r w:rsidR="00236748" w:rsidRPr="00443292">
          <w:rPr>
            <w:rStyle w:val="Hyperlink"/>
          </w:rPr>
          <w:t>(Vic</w:t>
        </w:r>
        <w:r w:rsidR="00F373A1" w:rsidRPr="00443292">
          <w:rPr>
            <w:rStyle w:val="Hyperlink"/>
          </w:rPr>
          <w:t>) (</w:t>
        </w:r>
        <w:r w:rsidR="00236748" w:rsidRPr="00443292">
          <w:rPr>
            <w:rStyle w:val="Hyperlink"/>
          </w:rPr>
          <w:t>HR</w:t>
        </w:r>
        <w:r w:rsidR="005D5532" w:rsidRPr="00443292">
          <w:rPr>
            <w:rStyle w:val="Hyperlink"/>
          </w:rPr>
          <w:t xml:space="preserve"> </w:t>
        </w:r>
        <w:r w:rsidR="00236748" w:rsidRPr="00443292">
          <w:rPr>
            <w:rStyle w:val="Hyperlink"/>
          </w:rPr>
          <w:t>Act)</w:t>
        </w:r>
      </w:hyperlink>
      <w:r w:rsidR="005D5532" w:rsidRPr="00B24C02">
        <w:rPr>
          <w:rFonts w:cs="Arial"/>
          <w:color w:val="000000"/>
          <w:szCs w:val="19"/>
          <w:lang w:eastAsia="en-AU"/>
        </w:rPr>
        <w:t xml:space="preserve"> </w:t>
      </w:r>
      <w:r w:rsidR="00C576EB">
        <w:rPr>
          <w:rFonts w:cs="Arial"/>
          <w:color w:val="000000"/>
          <w:szCs w:val="19"/>
          <w:lang w:eastAsia="en-AU"/>
        </w:rPr>
        <w:t>&lt;</w:t>
      </w:r>
      <w:r w:rsidR="00443292" w:rsidRPr="00443292">
        <w:rPr>
          <w:rFonts w:cs="Arial"/>
          <w:color w:val="000000"/>
          <w:szCs w:val="19"/>
          <w:lang w:eastAsia="en-AU"/>
        </w:rPr>
        <w:t>http://www8.austlii.edu.au/cgi-bin/viewdb/au/legis/vic/consol_act/hra2001144/</w:t>
      </w:r>
      <w:r w:rsidR="00C576EB">
        <w:rPr>
          <w:rFonts w:cs="Arial"/>
          <w:color w:val="000000"/>
          <w:szCs w:val="19"/>
          <w:lang w:eastAsia="en-AU"/>
        </w:rPr>
        <w:t xml:space="preserve">&gt; </w:t>
      </w:r>
      <w:r w:rsidR="00236748" w:rsidRPr="00B24C02">
        <w:rPr>
          <w:rFonts w:cs="Arial"/>
          <w:color w:val="000000"/>
          <w:szCs w:val="19"/>
          <w:lang w:eastAsia="en-AU"/>
        </w:rPr>
        <w:t>(external</w:t>
      </w:r>
      <w:r w:rsidR="005D5532" w:rsidRPr="00B24C02">
        <w:rPr>
          <w:rFonts w:cs="Arial"/>
          <w:color w:val="000000"/>
          <w:szCs w:val="19"/>
          <w:lang w:eastAsia="en-AU"/>
        </w:rPr>
        <w:t xml:space="preserve"> </w:t>
      </w:r>
      <w:r w:rsidR="00236748" w:rsidRPr="00B24C02">
        <w:rPr>
          <w:rFonts w:cs="Arial"/>
          <w:color w:val="000000"/>
          <w:szCs w:val="19"/>
          <w:lang w:eastAsia="en-AU"/>
        </w:rPr>
        <w:t>link,</w:t>
      </w:r>
      <w:r w:rsidR="005D5532" w:rsidRPr="00B24C02">
        <w:rPr>
          <w:rFonts w:cs="Arial"/>
          <w:color w:val="000000"/>
          <w:szCs w:val="19"/>
          <w:lang w:eastAsia="en-AU"/>
        </w:rPr>
        <w:t xml:space="preserve"> </w:t>
      </w:r>
      <w:r w:rsidR="00EA74AB">
        <w:rPr>
          <w:rFonts w:cs="Arial"/>
          <w:color w:val="000000"/>
          <w:szCs w:val="19"/>
          <w:lang w:eastAsia="en-AU"/>
        </w:rPr>
        <w:t xml:space="preserve">opens in </w:t>
      </w:r>
      <w:r w:rsidR="00C62565">
        <w:rPr>
          <w:rFonts w:cs="Arial"/>
          <w:color w:val="000000"/>
          <w:szCs w:val="19"/>
          <w:lang w:eastAsia="en-AU"/>
        </w:rPr>
        <w:t>a new window</w:t>
      </w:r>
      <w:r w:rsidR="00236748" w:rsidRPr="00B24C02">
        <w:rPr>
          <w:rFonts w:cs="Arial"/>
          <w:color w:val="000000"/>
          <w:szCs w:val="19"/>
          <w:lang w:eastAsia="en-AU"/>
        </w:rPr>
        <w:t>):</w:t>
      </w:r>
    </w:p>
    <w:p w14:paraId="6017C779" w14:textId="77777777" w:rsidR="00236748" w:rsidRPr="00276391" w:rsidRDefault="00236748" w:rsidP="00276391">
      <w:pPr>
        <w:pStyle w:val="Heading3"/>
        <w:rPr>
          <w:lang w:eastAsia="en-AU"/>
        </w:rPr>
      </w:pPr>
      <w:bookmarkStart w:id="478" w:name="_Toc478991861"/>
      <w:bookmarkStart w:id="479" w:name="_Toc478992420"/>
      <w:bookmarkStart w:id="480" w:name="_Toc4142087"/>
      <w:r w:rsidRPr="00276391">
        <w:rPr>
          <w:lang w:eastAsia="en-AU"/>
        </w:rPr>
        <w:t>Protected</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2012</w:t>
      </w:r>
      <w:bookmarkEnd w:id="478"/>
      <w:bookmarkEnd w:id="479"/>
      <w:bookmarkEnd w:id="480"/>
    </w:p>
    <w:p w14:paraId="0B4C4A65" w14:textId="661E43B1" w:rsidR="00236748" w:rsidRPr="00276391" w:rsidRDefault="00026283" w:rsidP="00276391">
      <w:pPr>
        <w:pStyle w:val="DHHSbody"/>
        <w:rPr>
          <w:lang w:eastAsia="en-AU"/>
        </w:rPr>
      </w:pPr>
      <w:r>
        <w:rPr>
          <w:rFonts w:cs="Arial"/>
          <w:color w:val="000000"/>
          <w:szCs w:val="19"/>
          <w:lang w:eastAsia="en-AU"/>
        </w:rPr>
        <w:t>S</w:t>
      </w:r>
      <w:r w:rsidRPr="00B24C02">
        <w:rPr>
          <w:rFonts w:cs="Arial"/>
          <w:color w:val="000000"/>
          <w:szCs w:val="19"/>
          <w:lang w:eastAsia="en-AU"/>
        </w:rPr>
        <w:t>ection</w:t>
      </w:r>
      <w:r w:rsidR="005D5532" w:rsidRPr="00B24C02">
        <w:rPr>
          <w:rFonts w:cs="Arial"/>
          <w:color w:val="000000"/>
          <w:szCs w:val="19"/>
          <w:lang w:eastAsia="en-AU"/>
        </w:rPr>
        <w:t xml:space="preserve"> </w:t>
      </w:r>
      <w:r w:rsidRPr="00026283">
        <w:rPr>
          <w:rFonts w:cs="Arial"/>
          <w:color w:val="000000"/>
          <w:szCs w:val="19"/>
          <w:lang w:eastAsia="en-AU"/>
        </w:rPr>
        <w:t>3.17.8</w:t>
      </w:r>
      <w:r w:rsidR="005D5532" w:rsidRPr="00B24C02">
        <w:rPr>
          <w:rFonts w:cs="Arial"/>
          <w:color w:val="000000"/>
          <w:szCs w:val="19"/>
          <w:lang w:eastAsia="en-AU"/>
        </w:rPr>
        <w:t xml:space="preserve"> </w:t>
      </w:r>
      <w:r w:rsidR="00236748" w:rsidRPr="00B24C02">
        <w:rPr>
          <w:rFonts w:cs="Arial"/>
          <w:color w:val="000000"/>
          <w:szCs w:val="19"/>
          <w:lang w:eastAsia="en-AU"/>
        </w:rPr>
        <w:t>below</w:t>
      </w:r>
      <w:r w:rsidR="005D5532" w:rsidRPr="00B24C02">
        <w:rPr>
          <w:rFonts w:cs="Arial"/>
          <w:color w:val="000000"/>
          <w:szCs w:val="19"/>
          <w:lang w:eastAsia="en-AU"/>
        </w:rPr>
        <w:t xml:space="preserve"> </w:t>
      </w:r>
      <w:r w:rsidR="00236748" w:rsidRPr="00B24C02">
        <w:rPr>
          <w:rFonts w:cs="Arial"/>
          <w:color w:val="000000"/>
          <w:szCs w:val="19"/>
          <w:lang w:eastAsia="en-AU"/>
        </w:rPr>
        <w:t>provides</w:t>
      </w:r>
      <w:r w:rsidR="005D5532" w:rsidRPr="00B24C02">
        <w:rPr>
          <w:rFonts w:cs="Arial"/>
          <w:color w:val="000000"/>
          <w:szCs w:val="19"/>
          <w:lang w:eastAsia="en-AU"/>
        </w:rPr>
        <w:t xml:space="preserve"> </w:t>
      </w:r>
      <w:r w:rsidR="00236748" w:rsidRPr="00B24C02">
        <w:rPr>
          <w:rFonts w:cs="Arial"/>
          <w:color w:val="000000"/>
          <w:szCs w:val="19"/>
          <w:lang w:eastAsia="en-AU"/>
        </w:rPr>
        <w:t>additional</w:t>
      </w:r>
      <w:r w:rsidR="005D5532" w:rsidRPr="00B24C02">
        <w:rPr>
          <w:rFonts w:cs="Arial"/>
          <w:color w:val="000000"/>
          <w:szCs w:val="19"/>
          <w:lang w:eastAsia="en-AU"/>
        </w:rPr>
        <w:t xml:space="preserve"> </w:t>
      </w:r>
      <w:r w:rsidR="00236748" w:rsidRPr="00B24C02">
        <w:rPr>
          <w:rFonts w:cs="Arial"/>
          <w:color w:val="000000"/>
          <w:szCs w:val="19"/>
          <w:lang w:eastAsia="en-AU"/>
        </w:rPr>
        <w:t>information</w:t>
      </w:r>
      <w:r w:rsidR="005D5532" w:rsidRPr="00B24C02">
        <w:rPr>
          <w:rFonts w:cs="Arial"/>
          <w:color w:val="000000"/>
          <w:szCs w:val="19"/>
          <w:lang w:eastAsia="en-AU"/>
        </w:rPr>
        <w:t xml:space="preserve"> </w:t>
      </w:r>
      <w:r w:rsidR="00236748" w:rsidRPr="00B24C02">
        <w:rPr>
          <w:rFonts w:cs="Arial"/>
          <w:color w:val="000000"/>
          <w:szCs w:val="19"/>
          <w:lang w:eastAsia="en-AU"/>
        </w:rPr>
        <w:t>on</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00236748" w:rsidRPr="00B24C02">
        <w:rPr>
          <w:rFonts w:cs="Arial"/>
          <w:color w:val="000000"/>
          <w:szCs w:val="19"/>
          <w:lang w:eastAsia="en-AU"/>
        </w:rPr>
        <w:t>clauses</w:t>
      </w:r>
      <w:r w:rsidR="005D5532" w:rsidRPr="00B24C02">
        <w:rPr>
          <w:rFonts w:cs="Arial"/>
          <w:color w:val="000000"/>
          <w:szCs w:val="19"/>
          <w:lang w:eastAsia="en-AU"/>
        </w:rPr>
        <w:t xml:space="preserve"> </w:t>
      </w:r>
      <w:r w:rsidR="00236748" w:rsidRPr="00B24C02">
        <w:rPr>
          <w:rFonts w:cs="Arial"/>
          <w:color w:val="000000"/>
          <w:szCs w:val="19"/>
          <w:lang w:eastAsia="en-AU"/>
        </w:rPr>
        <w:t>related</w:t>
      </w:r>
      <w:r w:rsidR="005D5532" w:rsidRPr="00B24C02">
        <w:rPr>
          <w:rFonts w:cs="Arial"/>
          <w:color w:val="000000"/>
          <w:szCs w:val="19"/>
          <w:lang w:eastAsia="en-AU"/>
        </w:rPr>
        <w:t xml:space="preserve"> </w:t>
      </w:r>
      <w:r w:rsidR="00236748" w:rsidRPr="00B24C02">
        <w:rPr>
          <w:rFonts w:cs="Arial"/>
          <w:color w:val="000000"/>
          <w:szCs w:val="19"/>
          <w:lang w:eastAsia="en-AU"/>
        </w:rPr>
        <w:t>to</w:t>
      </w:r>
      <w:r w:rsidR="005D5532" w:rsidRPr="00B24C02">
        <w:rPr>
          <w:rFonts w:cs="Arial"/>
          <w:color w:val="000000"/>
          <w:szCs w:val="19"/>
          <w:lang w:eastAsia="en-AU"/>
        </w:rPr>
        <w:t xml:space="preserve"> </w:t>
      </w:r>
      <w:r w:rsidR="00236748" w:rsidRPr="00B24C02">
        <w:rPr>
          <w:rFonts w:cs="Arial"/>
          <w:color w:val="000000"/>
          <w:szCs w:val="19"/>
          <w:lang w:eastAsia="en-AU"/>
        </w:rPr>
        <w:t>the</w:t>
      </w:r>
      <w:r w:rsidR="005D5532" w:rsidRPr="00B24C02">
        <w:rPr>
          <w:rFonts w:cs="Arial"/>
          <w:color w:val="000000"/>
          <w:szCs w:val="19"/>
          <w:lang w:eastAsia="en-AU"/>
        </w:rPr>
        <w:t xml:space="preserve"> </w:t>
      </w:r>
      <w:hyperlink r:id="rId93" w:history="1">
        <w:r w:rsidR="00236748" w:rsidRPr="002604A9">
          <w:rPr>
            <w:rStyle w:val="Hyperlink"/>
          </w:rPr>
          <w:t>Protected</w:t>
        </w:r>
        <w:r w:rsidR="005D5532" w:rsidRPr="002604A9">
          <w:rPr>
            <w:rStyle w:val="Hyperlink"/>
          </w:rPr>
          <w:t xml:space="preserve"> </w:t>
        </w:r>
        <w:r w:rsidR="00236748" w:rsidRPr="002604A9">
          <w:rPr>
            <w:rStyle w:val="Hyperlink"/>
          </w:rPr>
          <w:t>Disclosure</w:t>
        </w:r>
        <w:r w:rsidR="005D5532" w:rsidRPr="002604A9">
          <w:rPr>
            <w:rStyle w:val="Hyperlink"/>
          </w:rPr>
          <w:t xml:space="preserve"> </w:t>
        </w:r>
        <w:r w:rsidR="00236748" w:rsidRPr="002604A9">
          <w:rPr>
            <w:rStyle w:val="Hyperlink"/>
          </w:rPr>
          <w:t>Act</w:t>
        </w:r>
        <w:r w:rsidR="005D5532" w:rsidRPr="002604A9">
          <w:rPr>
            <w:rStyle w:val="Hyperlink"/>
          </w:rPr>
          <w:t xml:space="preserve"> </w:t>
        </w:r>
        <w:r w:rsidR="00236748" w:rsidRPr="002604A9">
          <w:rPr>
            <w:rStyle w:val="Hyperlink"/>
          </w:rPr>
          <w:t>2012</w:t>
        </w:r>
      </w:hyperlink>
      <w:r w:rsidR="005D5532" w:rsidRPr="00B24C02">
        <w:rPr>
          <w:rFonts w:cs="Arial"/>
          <w:color w:val="000000"/>
          <w:szCs w:val="19"/>
          <w:lang w:eastAsia="en-AU"/>
        </w:rPr>
        <w:t xml:space="preserve"> </w:t>
      </w:r>
      <w:r w:rsidR="00F228C4">
        <w:rPr>
          <w:rFonts w:cs="Arial"/>
          <w:color w:val="000000"/>
          <w:szCs w:val="19"/>
          <w:lang w:eastAsia="en-AU"/>
        </w:rPr>
        <w:t>&lt;</w:t>
      </w:r>
      <w:r w:rsidR="002604A9" w:rsidRPr="002604A9">
        <w:rPr>
          <w:rFonts w:cs="Arial"/>
          <w:color w:val="000000"/>
          <w:szCs w:val="19"/>
          <w:lang w:eastAsia="en-AU"/>
        </w:rPr>
        <w:t>http://www6.austlii.edu.au/cgi-bin/viewdb/au/legis/vic/num_act/pda201285o2012279/</w:t>
      </w:r>
      <w:r w:rsidR="00F228C4">
        <w:rPr>
          <w:rFonts w:cs="Arial"/>
          <w:color w:val="000000"/>
          <w:szCs w:val="19"/>
          <w:lang w:eastAsia="en-AU"/>
        </w:rPr>
        <w:t>&gt;</w:t>
      </w:r>
      <w:r w:rsidR="00F228C4" w:rsidRPr="00F228C4">
        <w:rPr>
          <w:rFonts w:cs="Arial"/>
          <w:color w:val="000000"/>
          <w:szCs w:val="19"/>
          <w:lang w:eastAsia="en-AU"/>
        </w:rPr>
        <w:t xml:space="preserve"> </w:t>
      </w:r>
      <w:r w:rsidR="00236748" w:rsidRPr="00B24C02">
        <w:rPr>
          <w:rFonts w:cs="Arial"/>
          <w:color w:val="000000"/>
          <w:szCs w:val="19"/>
          <w:lang w:eastAsia="en-AU"/>
        </w:rPr>
        <w:t>(external</w:t>
      </w:r>
      <w:r w:rsidR="005D5532" w:rsidRPr="00B24C02">
        <w:rPr>
          <w:rFonts w:cs="Arial"/>
          <w:color w:val="000000"/>
          <w:szCs w:val="19"/>
          <w:lang w:eastAsia="en-AU"/>
        </w:rPr>
        <w:t xml:space="preserve"> </w:t>
      </w:r>
      <w:r w:rsidR="00236748" w:rsidRPr="00B24C02">
        <w:rPr>
          <w:rFonts w:cs="Arial"/>
          <w:color w:val="000000"/>
          <w:szCs w:val="19"/>
          <w:lang w:eastAsia="en-AU"/>
        </w:rPr>
        <w:t>link,</w:t>
      </w:r>
      <w:r w:rsidR="005D5532" w:rsidRPr="00B24C02">
        <w:rPr>
          <w:rFonts w:cs="Arial"/>
          <w:color w:val="000000"/>
          <w:szCs w:val="19"/>
          <w:lang w:eastAsia="en-AU"/>
        </w:rPr>
        <w:t xml:space="preserve"> </w:t>
      </w:r>
      <w:r w:rsidR="00236748" w:rsidRPr="00B24C02">
        <w:rPr>
          <w:rFonts w:cs="Arial"/>
          <w:color w:val="000000"/>
          <w:szCs w:val="19"/>
          <w:lang w:eastAsia="en-AU"/>
        </w:rPr>
        <w:t>opens</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a</w:t>
      </w:r>
      <w:r w:rsidR="005D5532" w:rsidRPr="00B24C02">
        <w:rPr>
          <w:rFonts w:cs="Arial"/>
          <w:color w:val="000000"/>
          <w:szCs w:val="19"/>
          <w:lang w:eastAsia="en-AU"/>
        </w:rPr>
        <w:t xml:space="preserve"> </w:t>
      </w:r>
      <w:r w:rsidR="00236748" w:rsidRPr="00B24C02">
        <w:rPr>
          <w:rFonts w:cs="Arial"/>
          <w:color w:val="000000"/>
          <w:szCs w:val="19"/>
          <w:lang w:eastAsia="en-AU"/>
        </w:rPr>
        <w:t>new</w:t>
      </w:r>
      <w:r w:rsidR="005D5532" w:rsidRPr="00B24C02">
        <w:rPr>
          <w:rFonts w:cs="Arial"/>
          <w:color w:val="000000"/>
          <w:szCs w:val="19"/>
          <w:lang w:eastAsia="en-AU"/>
        </w:rPr>
        <w:t xml:space="preserve"> </w:t>
      </w:r>
      <w:r w:rsidR="00236748" w:rsidRPr="00B24C02">
        <w:rPr>
          <w:rFonts w:cs="Arial"/>
          <w:color w:val="000000"/>
          <w:szCs w:val="19"/>
          <w:lang w:eastAsia="en-AU"/>
        </w:rPr>
        <w:t>window).</w:t>
      </w:r>
    </w:p>
    <w:p w14:paraId="08CECB94" w14:textId="77777777" w:rsidR="00236748" w:rsidRPr="00276391" w:rsidRDefault="00236748" w:rsidP="00067E93">
      <w:pPr>
        <w:pStyle w:val="Heading3"/>
        <w:rPr>
          <w:lang w:eastAsia="en-AU"/>
        </w:rPr>
      </w:pPr>
      <w:bookmarkStart w:id="481" w:name="_Toc478991862"/>
      <w:bookmarkStart w:id="482" w:name="_Toc478992421"/>
      <w:bookmarkStart w:id="483" w:name="_Toc4142088"/>
      <w:r w:rsidRPr="00276391">
        <w:rPr>
          <w:lang w:eastAsia="en-AU"/>
        </w:rPr>
        <w:t>3.17.1</w:t>
      </w:r>
      <w:r w:rsidR="009B2351" w:rsidRPr="00276391">
        <w:rPr>
          <w:lang w:eastAsia="en-AU"/>
        </w:rPr>
        <w:t xml:space="preserve"> </w:t>
      </w:r>
      <w:r w:rsidRPr="00276391">
        <w:rPr>
          <w:lang w:eastAsia="en-AU"/>
        </w:rPr>
        <w:t>Overview</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privacy</w:t>
      </w:r>
      <w:r w:rsidR="009B2351" w:rsidRPr="00276391">
        <w:rPr>
          <w:lang w:eastAsia="en-AU"/>
        </w:rPr>
        <w:t xml:space="preserve"> </w:t>
      </w:r>
      <w:r w:rsidRPr="00276391">
        <w:rPr>
          <w:lang w:eastAsia="en-AU"/>
        </w:rPr>
        <w:t>requirements</w:t>
      </w:r>
      <w:bookmarkEnd w:id="481"/>
      <w:bookmarkEnd w:id="482"/>
      <w:bookmarkEnd w:id="483"/>
    </w:p>
    <w:p w14:paraId="006499CD"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funds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both</w:t>
      </w:r>
      <w:r w:rsidR="005D5532" w:rsidRPr="00B24C02">
        <w:rPr>
          <w:rFonts w:cs="Arial"/>
          <w:color w:val="000000"/>
          <w:szCs w:val="19"/>
          <w:lang w:eastAsia="en-AU"/>
        </w:rPr>
        <w:t xml:space="preserve"> </w:t>
      </w:r>
      <w:r w:rsidRPr="00B24C02">
        <w:rPr>
          <w:rFonts w:cs="Arial"/>
          <w:color w:val="000000"/>
          <w:szCs w:val="19"/>
          <w:lang w:eastAsia="en-AU"/>
        </w:rPr>
        <w:t>subject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regime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governs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personal</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when</w:t>
      </w:r>
      <w:r w:rsidR="005D5532" w:rsidRPr="00B24C02">
        <w:rPr>
          <w:rFonts w:cs="Arial"/>
          <w:color w:val="000000"/>
          <w:szCs w:val="19"/>
          <w:lang w:eastAsia="en-AU"/>
        </w:rPr>
        <w:t xml:space="preserve"> </w:t>
      </w:r>
      <w:r w:rsidRPr="00B24C02">
        <w:rPr>
          <w:rFonts w:cs="Arial"/>
          <w:color w:val="000000"/>
          <w:szCs w:val="19"/>
          <w:lang w:eastAsia="en-AU"/>
        </w:rPr>
        <w:t>delivering</w:t>
      </w:r>
      <w:r w:rsidR="005D5532" w:rsidRPr="00B24C02">
        <w:rPr>
          <w:rFonts w:cs="Arial"/>
          <w:color w:val="000000"/>
          <w:szCs w:val="19"/>
          <w:lang w:eastAsia="en-AU"/>
        </w:rPr>
        <w:t xml:space="preserve"> </w:t>
      </w:r>
      <w:r w:rsidRPr="00B24C02">
        <w:rPr>
          <w:rFonts w:cs="Arial"/>
          <w:color w:val="000000"/>
          <w:szCs w:val="19"/>
          <w:lang w:eastAsia="en-AU"/>
        </w:rPr>
        <w:t>services.</w:t>
      </w:r>
    </w:p>
    <w:p w14:paraId="068EC21C" w14:textId="7BCA3074" w:rsidR="00FB1C15" w:rsidRPr="00276391" w:rsidRDefault="00236748" w:rsidP="00FB1C15">
      <w:pPr>
        <w:pStyle w:val="DHHSbody"/>
        <w:rPr>
          <w:lang w:eastAsia="en-AU"/>
        </w:rPr>
      </w:pPr>
      <w:r w:rsidRPr="00B24C02">
        <w:rPr>
          <w:lang w:eastAsia="en-AU"/>
        </w:rPr>
        <w:t>The</w:t>
      </w:r>
      <w:r w:rsidR="005D5532" w:rsidRPr="00B24C02">
        <w:rPr>
          <w:lang w:eastAsia="en-AU"/>
        </w:rPr>
        <w:t xml:space="preserve"> </w:t>
      </w:r>
      <w:hyperlink r:id="rId94" w:history="1">
        <w:r w:rsidRPr="002604A9">
          <w:rPr>
            <w:rStyle w:val="Hyperlink"/>
          </w:rPr>
          <w:t>Privacy</w:t>
        </w:r>
        <w:r w:rsidR="005D5532" w:rsidRPr="002604A9">
          <w:rPr>
            <w:rStyle w:val="Hyperlink"/>
          </w:rPr>
          <w:t xml:space="preserve"> </w:t>
        </w:r>
        <w:r w:rsidRPr="002604A9">
          <w:rPr>
            <w:rStyle w:val="Hyperlink"/>
          </w:rPr>
          <w:t>and</w:t>
        </w:r>
        <w:r w:rsidR="005D5532" w:rsidRPr="002604A9">
          <w:rPr>
            <w:rStyle w:val="Hyperlink"/>
          </w:rPr>
          <w:t xml:space="preserve"> </w:t>
        </w:r>
        <w:r w:rsidRPr="002604A9">
          <w:rPr>
            <w:rStyle w:val="Hyperlink"/>
          </w:rPr>
          <w:t>Data</w:t>
        </w:r>
        <w:r w:rsidR="005D5532" w:rsidRPr="002604A9">
          <w:rPr>
            <w:rStyle w:val="Hyperlink"/>
          </w:rPr>
          <w:t xml:space="preserve"> </w:t>
        </w:r>
        <w:r w:rsidRPr="002604A9">
          <w:rPr>
            <w:rStyle w:val="Hyperlink"/>
          </w:rPr>
          <w:t>Protection</w:t>
        </w:r>
        <w:r w:rsidR="005D5532" w:rsidRPr="002604A9">
          <w:rPr>
            <w:rStyle w:val="Hyperlink"/>
          </w:rPr>
          <w:t xml:space="preserve"> </w:t>
        </w:r>
        <w:r w:rsidRPr="002604A9">
          <w:rPr>
            <w:rStyle w:val="Hyperlink"/>
          </w:rPr>
          <w:t>Act</w:t>
        </w:r>
        <w:r w:rsidR="005D5532" w:rsidRPr="002604A9">
          <w:rPr>
            <w:rStyle w:val="Hyperlink"/>
          </w:rPr>
          <w:t xml:space="preserve"> </w:t>
        </w:r>
        <w:r w:rsidRPr="002604A9">
          <w:rPr>
            <w:rStyle w:val="Hyperlink"/>
          </w:rPr>
          <w:t>2014</w:t>
        </w:r>
        <w:r w:rsidR="005D5532" w:rsidRPr="002604A9">
          <w:rPr>
            <w:rStyle w:val="Hyperlink"/>
          </w:rPr>
          <w:t xml:space="preserve"> </w:t>
        </w:r>
        <w:r w:rsidRPr="002604A9">
          <w:rPr>
            <w:rStyle w:val="Hyperlink"/>
          </w:rPr>
          <w:t>(Vic</w:t>
        </w:r>
        <w:r w:rsidR="00F373A1" w:rsidRPr="002604A9">
          <w:rPr>
            <w:rStyle w:val="Hyperlink"/>
          </w:rPr>
          <w:t>) (</w:t>
        </w:r>
        <w:r w:rsidRPr="002604A9">
          <w:rPr>
            <w:rStyle w:val="Hyperlink"/>
          </w:rPr>
          <w:t>PDP</w:t>
        </w:r>
        <w:r w:rsidR="005D5532" w:rsidRPr="002604A9">
          <w:rPr>
            <w:rStyle w:val="Hyperlink"/>
          </w:rPr>
          <w:t xml:space="preserve"> </w:t>
        </w:r>
        <w:r w:rsidRPr="002604A9">
          <w:rPr>
            <w:rStyle w:val="Hyperlink"/>
          </w:rPr>
          <w:t>Act)</w:t>
        </w:r>
      </w:hyperlink>
      <w:r w:rsidR="005D5532" w:rsidRPr="00B24C02">
        <w:rPr>
          <w:lang w:eastAsia="en-AU"/>
        </w:rPr>
        <w:t xml:space="preserve"> </w:t>
      </w:r>
      <w:r w:rsidR="00D04B0C">
        <w:rPr>
          <w:rFonts w:cs="Arial"/>
          <w:color w:val="000000"/>
          <w:szCs w:val="19"/>
          <w:lang w:eastAsia="en-AU"/>
        </w:rPr>
        <w:t>&lt;</w:t>
      </w:r>
      <w:r w:rsidR="002604A9" w:rsidRPr="00443292">
        <w:rPr>
          <w:rFonts w:cs="Arial"/>
          <w:color w:val="000000"/>
          <w:szCs w:val="19"/>
          <w:lang w:eastAsia="en-AU"/>
        </w:rPr>
        <w:t>http://www8.austlii.edu.au/cgi-bin/viewdb/au/legis/vic/num_act/padpa201460o2014317/</w:t>
      </w:r>
      <w:r w:rsidR="00D04B0C">
        <w:rPr>
          <w:rFonts w:cs="Arial"/>
          <w:color w:val="000000"/>
          <w:szCs w:val="19"/>
          <w:lang w:eastAsia="en-AU"/>
        </w:rPr>
        <w:t>&gt;</w:t>
      </w:r>
      <w:r w:rsidR="00D04B0C" w:rsidRPr="00B24C02">
        <w:rPr>
          <w:lang w:eastAsia="en-AU"/>
        </w:rPr>
        <w:t xml:space="preserve"> </w:t>
      </w:r>
      <w:r w:rsidRPr="00B24C02">
        <w:rPr>
          <w:lang w:eastAsia="en-AU"/>
        </w:rPr>
        <w:t>(external</w:t>
      </w:r>
      <w:r w:rsidR="005D5532" w:rsidRPr="00B24C02">
        <w:rPr>
          <w:lang w:eastAsia="en-AU"/>
        </w:rPr>
        <w:t xml:space="preserve"> </w:t>
      </w:r>
      <w:r w:rsidRPr="00B24C02">
        <w:rPr>
          <w:lang w:eastAsia="en-AU"/>
        </w:rPr>
        <w:t>link,</w:t>
      </w:r>
      <w:r w:rsidR="005D5532" w:rsidRPr="00B24C02">
        <w:rPr>
          <w:lang w:eastAsia="en-AU"/>
        </w:rPr>
        <w:t xml:space="preserve"> </w:t>
      </w:r>
      <w:r w:rsidR="00EA74AB">
        <w:rPr>
          <w:lang w:eastAsia="en-AU"/>
        </w:rPr>
        <w:t xml:space="preserve">opens in </w:t>
      </w:r>
      <w:r w:rsidR="00C62565">
        <w:rPr>
          <w:lang w:eastAsia="en-AU"/>
        </w:rPr>
        <w:t>a new window</w:t>
      </w:r>
      <w:r w:rsidRPr="00B24C02">
        <w:rPr>
          <w:lang w:eastAsia="en-AU"/>
        </w:rPr>
        <w:t>)</w:t>
      </w:r>
      <w:r w:rsidR="005D5532" w:rsidRPr="00B24C02">
        <w:rPr>
          <w:lang w:eastAsia="en-AU"/>
        </w:rPr>
        <w:t xml:space="preserve"> </w:t>
      </w:r>
      <w:r w:rsidRPr="00B24C02">
        <w:rPr>
          <w:lang w:eastAsia="en-AU"/>
        </w:rPr>
        <w:t>and</w:t>
      </w:r>
      <w:r w:rsidR="005D5532" w:rsidRPr="00B24C02">
        <w:rPr>
          <w:lang w:eastAsia="en-AU"/>
        </w:rPr>
        <w:t xml:space="preserve"> </w:t>
      </w:r>
      <w:r w:rsidRPr="00B24C02">
        <w:rPr>
          <w:lang w:eastAsia="en-AU"/>
        </w:rPr>
        <w:t>the</w:t>
      </w:r>
      <w:r w:rsidR="005D5532" w:rsidRPr="00B24C02">
        <w:rPr>
          <w:lang w:eastAsia="en-AU"/>
        </w:rPr>
        <w:t xml:space="preserve"> </w:t>
      </w:r>
      <w:hyperlink r:id="rId95" w:history="1">
        <w:r w:rsidRPr="002604A9">
          <w:rPr>
            <w:rStyle w:val="Hyperlink"/>
          </w:rPr>
          <w:t>Health</w:t>
        </w:r>
        <w:r w:rsidR="005D5532" w:rsidRPr="002604A9">
          <w:rPr>
            <w:rStyle w:val="Hyperlink"/>
          </w:rPr>
          <w:t xml:space="preserve"> </w:t>
        </w:r>
        <w:r w:rsidRPr="002604A9">
          <w:rPr>
            <w:rStyle w:val="Hyperlink"/>
          </w:rPr>
          <w:t>Records</w:t>
        </w:r>
        <w:r w:rsidR="005D5532" w:rsidRPr="002604A9">
          <w:rPr>
            <w:rStyle w:val="Hyperlink"/>
          </w:rPr>
          <w:t xml:space="preserve"> </w:t>
        </w:r>
        <w:r w:rsidRPr="002604A9">
          <w:rPr>
            <w:rStyle w:val="Hyperlink"/>
          </w:rPr>
          <w:t>Act</w:t>
        </w:r>
        <w:r w:rsidR="005D5532" w:rsidRPr="002604A9">
          <w:rPr>
            <w:rStyle w:val="Hyperlink"/>
          </w:rPr>
          <w:t xml:space="preserve"> </w:t>
        </w:r>
        <w:r w:rsidRPr="002604A9">
          <w:rPr>
            <w:rStyle w:val="Hyperlink"/>
          </w:rPr>
          <w:t>2001</w:t>
        </w:r>
        <w:r w:rsidR="005D5532" w:rsidRPr="002604A9">
          <w:rPr>
            <w:rStyle w:val="Hyperlink"/>
          </w:rPr>
          <w:t xml:space="preserve"> </w:t>
        </w:r>
        <w:r w:rsidRPr="002604A9">
          <w:rPr>
            <w:rStyle w:val="Hyperlink"/>
          </w:rPr>
          <w:t>(Vic</w:t>
        </w:r>
        <w:r w:rsidR="00F373A1" w:rsidRPr="002604A9">
          <w:rPr>
            <w:rStyle w:val="Hyperlink"/>
          </w:rPr>
          <w:t>) (</w:t>
        </w:r>
        <w:r w:rsidRPr="002604A9">
          <w:rPr>
            <w:rStyle w:val="Hyperlink"/>
          </w:rPr>
          <w:t>HR</w:t>
        </w:r>
        <w:r w:rsidR="005D5532" w:rsidRPr="002604A9">
          <w:rPr>
            <w:rStyle w:val="Hyperlink"/>
          </w:rPr>
          <w:t xml:space="preserve"> </w:t>
        </w:r>
        <w:r w:rsidRPr="002604A9">
          <w:rPr>
            <w:rStyle w:val="Hyperlink"/>
          </w:rPr>
          <w:t>Act)</w:t>
        </w:r>
      </w:hyperlink>
      <w:r w:rsidR="005D5532" w:rsidRPr="00B24C02">
        <w:rPr>
          <w:lang w:eastAsia="en-AU"/>
        </w:rPr>
        <w:t xml:space="preserve"> </w:t>
      </w:r>
      <w:r w:rsidR="00D04B0C">
        <w:rPr>
          <w:lang w:eastAsia="en-AU"/>
        </w:rPr>
        <w:t>&lt;</w:t>
      </w:r>
      <w:r w:rsidR="002604A9" w:rsidRPr="00443292">
        <w:rPr>
          <w:rFonts w:cs="Arial"/>
          <w:color w:val="000000"/>
          <w:szCs w:val="19"/>
          <w:lang w:eastAsia="en-AU"/>
        </w:rPr>
        <w:t>http://www8.austlii.edu.au/cgi-bin/viewdb/au/legis/vic/consol_act/hra2001144/</w:t>
      </w:r>
      <w:r w:rsidR="00D04B0C">
        <w:rPr>
          <w:rFonts w:cs="Arial"/>
          <w:color w:val="000000"/>
          <w:szCs w:val="19"/>
          <w:lang w:eastAsia="en-AU"/>
        </w:rPr>
        <w:t>&gt;</w:t>
      </w:r>
      <w:r w:rsidR="00D04B0C" w:rsidRPr="00B24C02">
        <w:rPr>
          <w:lang w:eastAsia="en-AU"/>
        </w:rPr>
        <w:t xml:space="preserve"> </w:t>
      </w:r>
      <w:r w:rsidRPr="00B24C02">
        <w:rPr>
          <w:lang w:eastAsia="en-AU"/>
        </w:rPr>
        <w:t>(external</w:t>
      </w:r>
      <w:r w:rsidR="005D5532" w:rsidRPr="00B24C02">
        <w:rPr>
          <w:lang w:eastAsia="en-AU"/>
        </w:rPr>
        <w:t xml:space="preserve"> </w:t>
      </w:r>
      <w:r w:rsidRPr="00B24C02">
        <w:rPr>
          <w:lang w:eastAsia="en-AU"/>
        </w:rPr>
        <w:t>link,</w:t>
      </w:r>
      <w:r w:rsidR="005D5532" w:rsidRPr="00B24C02">
        <w:rPr>
          <w:lang w:eastAsia="en-AU"/>
        </w:rPr>
        <w:t xml:space="preserve"> </w:t>
      </w:r>
      <w:r w:rsidR="00EA74AB">
        <w:rPr>
          <w:lang w:eastAsia="en-AU"/>
        </w:rPr>
        <w:t xml:space="preserve">opens in </w:t>
      </w:r>
      <w:r w:rsidR="00C62565">
        <w:rPr>
          <w:lang w:eastAsia="en-AU"/>
        </w:rPr>
        <w:t>a new window</w:t>
      </w:r>
      <w:r w:rsidRPr="00B24C02">
        <w:rPr>
          <w:lang w:eastAsia="en-AU"/>
        </w:rPr>
        <w:t>)</w:t>
      </w:r>
      <w:r w:rsidR="005D5532" w:rsidRPr="00B24C02">
        <w:rPr>
          <w:lang w:eastAsia="en-AU"/>
        </w:rPr>
        <w:t xml:space="preserve"> </w:t>
      </w:r>
      <w:r w:rsidRPr="00B24C02">
        <w:rPr>
          <w:lang w:eastAsia="en-AU"/>
        </w:rPr>
        <w:t>are</w:t>
      </w:r>
      <w:r w:rsidR="005D5532" w:rsidRPr="00B24C02">
        <w:rPr>
          <w:lang w:eastAsia="en-AU"/>
        </w:rPr>
        <w:t xml:space="preserve"> </w:t>
      </w:r>
      <w:r w:rsidRPr="00B24C02">
        <w:rPr>
          <w:lang w:eastAsia="en-AU"/>
        </w:rPr>
        <w:t>in</w:t>
      </w:r>
      <w:r w:rsidR="005D5532" w:rsidRPr="00B24C02">
        <w:rPr>
          <w:lang w:eastAsia="en-AU"/>
        </w:rPr>
        <w:t xml:space="preserve"> </w:t>
      </w:r>
      <w:r w:rsidRPr="00B24C02">
        <w:rPr>
          <w:lang w:eastAsia="en-AU"/>
        </w:rPr>
        <w:t>place</w:t>
      </w:r>
      <w:r w:rsidR="005D5532" w:rsidRPr="00B24C02">
        <w:rPr>
          <w:lang w:eastAsia="en-AU"/>
        </w:rPr>
        <w:t xml:space="preserve"> </w:t>
      </w:r>
      <w:r w:rsidRPr="00B24C02">
        <w:rPr>
          <w:lang w:eastAsia="en-AU"/>
        </w:rPr>
        <w:t>to</w:t>
      </w:r>
      <w:r w:rsidR="005D5532" w:rsidRPr="00B24C02">
        <w:rPr>
          <w:lang w:eastAsia="en-AU"/>
        </w:rPr>
        <w:t xml:space="preserve"> </w:t>
      </w:r>
      <w:r w:rsidRPr="00B24C02">
        <w:rPr>
          <w:lang w:eastAsia="en-AU"/>
        </w:rPr>
        <w:t>protect</w:t>
      </w:r>
      <w:r w:rsidR="005D5532" w:rsidRPr="00B24C02">
        <w:rPr>
          <w:lang w:eastAsia="en-AU"/>
        </w:rPr>
        <w:t xml:space="preserve"> </w:t>
      </w:r>
      <w:r w:rsidRPr="00B24C02">
        <w:rPr>
          <w:lang w:eastAsia="en-AU"/>
        </w:rPr>
        <w:t>personal</w:t>
      </w:r>
      <w:r w:rsidR="005D5532" w:rsidRPr="00B24C02">
        <w:rPr>
          <w:lang w:eastAsia="en-AU"/>
        </w:rPr>
        <w:t xml:space="preserve"> </w:t>
      </w:r>
      <w:r w:rsidRPr="00B24C02">
        <w:rPr>
          <w:lang w:eastAsia="en-AU"/>
        </w:rPr>
        <w:t>and</w:t>
      </w:r>
      <w:r w:rsidR="005D5532" w:rsidRPr="00B24C02">
        <w:rPr>
          <w:lang w:eastAsia="en-AU"/>
        </w:rPr>
        <w:t xml:space="preserve"> </w:t>
      </w:r>
      <w:r w:rsidRPr="00B24C02">
        <w:rPr>
          <w:lang w:eastAsia="en-AU"/>
        </w:rPr>
        <w:t>health</w:t>
      </w:r>
      <w:r w:rsidR="005D5532" w:rsidRPr="00B24C02">
        <w:rPr>
          <w:lang w:eastAsia="en-AU"/>
        </w:rPr>
        <w:t xml:space="preserve"> </w:t>
      </w:r>
      <w:r w:rsidRPr="00B24C02">
        <w:rPr>
          <w:lang w:eastAsia="en-AU"/>
        </w:rPr>
        <w:t>information.</w:t>
      </w:r>
      <w:r w:rsidR="005D5532" w:rsidRPr="00B24C02">
        <w:rPr>
          <w:lang w:eastAsia="en-AU"/>
        </w:rPr>
        <w:t xml:space="preserve"> </w:t>
      </w:r>
      <w:r w:rsidR="00FB1C15" w:rsidRPr="00B24C02">
        <w:rPr>
          <w:lang w:eastAsia="en-AU"/>
        </w:rPr>
        <w:t>The</w:t>
      </w:r>
      <w:r w:rsidR="00FB1C15" w:rsidRPr="00276391">
        <w:rPr>
          <w:lang w:eastAsia="en-AU"/>
        </w:rPr>
        <w:t xml:space="preserve"> Acts </w:t>
      </w:r>
      <w:r w:rsidR="00FB1C15">
        <w:rPr>
          <w:lang w:eastAsia="en-AU"/>
        </w:rPr>
        <w:t>contain principles</w:t>
      </w:r>
      <w:r w:rsidR="00FB1C15" w:rsidRPr="00276391">
        <w:rPr>
          <w:lang w:eastAsia="en-AU"/>
        </w:rPr>
        <w:t xml:space="preserve"> </w:t>
      </w:r>
      <w:r w:rsidR="00FB1C15">
        <w:rPr>
          <w:lang w:eastAsia="en-AU"/>
        </w:rPr>
        <w:t>for</w:t>
      </w:r>
      <w:r w:rsidR="00FB1C15" w:rsidRPr="00276391">
        <w:rPr>
          <w:lang w:eastAsia="en-AU"/>
        </w:rPr>
        <w:t xml:space="preserve"> the collection</w:t>
      </w:r>
      <w:r w:rsidR="00FB1C15">
        <w:rPr>
          <w:lang w:eastAsia="en-AU"/>
        </w:rPr>
        <w:t>, use and disclosure</w:t>
      </w:r>
      <w:r w:rsidR="00FB1C15" w:rsidRPr="00276391">
        <w:rPr>
          <w:lang w:eastAsia="en-AU"/>
        </w:rPr>
        <w:t xml:space="preserve"> of personal and health information.</w:t>
      </w:r>
    </w:p>
    <w:p w14:paraId="27BE90F6" w14:textId="3F04A9F6"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submit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annual</w:t>
      </w:r>
      <w:r w:rsidR="005D5532" w:rsidRPr="00276391">
        <w:rPr>
          <w:lang w:eastAsia="en-AU"/>
        </w:rPr>
        <w:t xml:space="preserve"> </w:t>
      </w:r>
      <w:r w:rsidR="009B3052">
        <w:rPr>
          <w:lang w:eastAsia="en-AU"/>
        </w:rPr>
        <w:t>Service agreement</w:t>
      </w:r>
      <w:r w:rsidR="005D5532" w:rsidRPr="00276391">
        <w:rPr>
          <w:lang w:eastAsia="en-AU"/>
        </w:rPr>
        <w:t xml:space="preserve"> </w:t>
      </w:r>
      <w:r w:rsidR="00E744A1">
        <w:rPr>
          <w:lang w:eastAsia="en-AU"/>
        </w:rPr>
        <w:t>c</w:t>
      </w:r>
      <w:r w:rsidRPr="00276391">
        <w:rPr>
          <w:lang w:eastAsia="en-AU"/>
        </w:rPr>
        <w:t>ompliance</w:t>
      </w:r>
      <w:r w:rsidR="005D5532" w:rsidRPr="00276391">
        <w:rPr>
          <w:lang w:eastAsia="en-AU"/>
        </w:rPr>
        <w:t xml:space="preserve"> </w:t>
      </w:r>
      <w:r w:rsidR="00E744A1">
        <w:rPr>
          <w:lang w:eastAsia="en-AU"/>
        </w:rPr>
        <w:t>c</w:t>
      </w:r>
      <w:r w:rsidRPr="00276391">
        <w:rPr>
          <w:lang w:eastAsia="en-AU"/>
        </w:rPr>
        <w:t>ertification</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question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information</w:t>
      </w:r>
      <w:r w:rsidR="005D5532" w:rsidRPr="00276391">
        <w:rPr>
          <w:lang w:eastAsia="en-AU"/>
        </w:rPr>
        <w:t xml:space="preserve"> </w:t>
      </w:r>
      <w:r w:rsidR="00BD023C">
        <w:rPr>
          <w:lang w:eastAsia="en-AU"/>
        </w:rPr>
        <w:t xml:space="preserve">refer to </w:t>
      </w:r>
      <w:hyperlink w:anchor="_3.8.1_Reporting_and" w:tgtFrame="_blank" w:history="1">
        <w:r w:rsidR="005D25D4">
          <w:rPr>
            <w:rStyle w:val="Hyperlink"/>
          </w:rPr>
          <w:t>C</w:t>
        </w:r>
        <w:r w:rsidR="000D5C4D">
          <w:rPr>
            <w:rStyle w:val="Hyperlink"/>
          </w:rPr>
          <w:t>hapter 3.8.1 Reporting and accountability</w:t>
        </w:r>
      </w:hyperlink>
      <w:r w:rsidRPr="00276391">
        <w:rPr>
          <w:lang w:eastAsia="en-AU"/>
        </w:rPr>
        <w:t>.</w:t>
      </w:r>
    </w:p>
    <w:p w14:paraId="54CBE9C2"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PDP</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covers</w:t>
      </w:r>
      <w:r w:rsidR="005D5532" w:rsidRPr="00276391">
        <w:rPr>
          <w:lang w:eastAsia="en-AU"/>
        </w:rPr>
        <w:t xml:space="preserve"> </w:t>
      </w:r>
      <w:r w:rsidRPr="00276391">
        <w:rPr>
          <w:lang w:eastAsia="en-AU"/>
        </w:rPr>
        <w:t>personal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(excluding</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held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non-government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private</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contracted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HR</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covers</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handled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private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organisations.</w:t>
      </w:r>
    </w:p>
    <w:p w14:paraId="2DD3A0C1" w14:textId="5CD72772" w:rsidR="00236748" w:rsidRPr="00276391" w:rsidRDefault="00236748" w:rsidP="00276391">
      <w:pPr>
        <w:pStyle w:val="DHHSbody"/>
        <w:rPr>
          <w:lang w:eastAsia="en-AU"/>
        </w:rPr>
      </w:pPr>
      <w:r w:rsidRPr="00276391">
        <w:rPr>
          <w:lang w:eastAsia="en-AU"/>
        </w:rPr>
        <w:t>Clause</w:t>
      </w:r>
      <w:r w:rsidR="005D5532" w:rsidRPr="00276391">
        <w:rPr>
          <w:lang w:eastAsia="en-AU"/>
        </w:rPr>
        <w:t xml:space="preserve"> </w:t>
      </w:r>
      <w:r w:rsidRPr="00276391">
        <w:rPr>
          <w:lang w:eastAsia="en-AU"/>
        </w:rPr>
        <w:t>17</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requires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both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PDP</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HR</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code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practice</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dealing</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personal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information.</w:t>
      </w:r>
    </w:p>
    <w:p w14:paraId="2ACAC775" w14:textId="77777777" w:rsidR="00236748" w:rsidRPr="00276391" w:rsidRDefault="00236748" w:rsidP="00276391">
      <w:pPr>
        <w:pStyle w:val="DHHSbody"/>
        <w:rPr>
          <w:lang w:eastAsia="en-AU"/>
        </w:rPr>
      </w:pP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collect,</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disclose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Principles</w:t>
      </w:r>
      <w:r w:rsidR="005D5532" w:rsidRPr="00276391">
        <w:rPr>
          <w:lang w:eastAsia="en-AU"/>
        </w:rPr>
        <w:t xml:space="preserve"> </w:t>
      </w:r>
      <w:r w:rsidRPr="00276391">
        <w:rPr>
          <w:lang w:eastAsia="en-AU"/>
        </w:rPr>
        <w:t>(IPPs)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Principles</w:t>
      </w:r>
      <w:r w:rsidR="005D5532" w:rsidRPr="00276391">
        <w:rPr>
          <w:lang w:eastAsia="en-AU"/>
        </w:rPr>
        <w:t xml:space="preserve"> </w:t>
      </w:r>
      <w:r w:rsidRPr="00276391">
        <w:rPr>
          <w:lang w:eastAsia="en-AU"/>
        </w:rPr>
        <w:t>(HPPs)</w:t>
      </w:r>
      <w:r w:rsidR="005D5532" w:rsidRPr="00276391">
        <w:rPr>
          <w:lang w:eastAsia="en-AU"/>
        </w:rPr>
        <w:t xml:space="preserve"> </w:t>
      </w:r>
      <w:r w:rsidRPr="00276391">
        <w:rPr>
          <w:lang w:eastAsia="en-AU"/>
        </w:rPr>
        <w:t>outlined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PDP</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HR</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respectively.</w:t>
      </w:r>
    </w:p>
    <w:p w14:paraId="4052A7F3" w14:textId="3F287EC1" w:rsidR="00236748" w:rsidRPr="00276391" w:rsidRDefault="00236748" w:rsidP="00276391">
      <w:pPr>
        <w:pStyle w:val="DHHSbody"/>
        <w:rPr>
          <w:lang w:eastAsia="en-AU"/>
        </w:rPr>
      </w:pPr>
      <w:r w:rsidRPr="00276391">
        <w:rPr>
          <w:lang w:eastAsia="en-AU"/>
        </w:rPr>
        <w:lastRenderedPageBreak/>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reflect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Broadly,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delivering</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an</w:t>
      </w:r>
      <w:r w:rsidR="005D5532" w:rsidRPr="00276391">
        <w:rPr>
          <w:lang w:eastAsia="en-AU"/>
        </w:rPr>
        <w:t xml:space="preserve"> </w:t>
      </w:r>
      <w:proofErr w:type="gramStart"/>
      <w:r w:rsidRPr="00276391">
        <w:rPr>
          <w:lang w:eastAsia="en-AU"/>
        </w:rPr>
        <w:t>organisations</w:t>
      </w:r>
      <w:proofErr w:type="gramEnd"/>
      <w:r w:rsidR="005D5532" w:rsidRPr="00276391">
        <w:rPr>
          <w:lang w:eastAsia="en-AU"/>
        </w:rPr>
        <w:t xml:space="preserve"> </w:t>
      </w:r>
      <w:r w:rsidRPr="00276391">
        <w:rPr>
          <w:lang w:eastAsia="en-AU"/>
        </w:rPr>
        <w:t>must:</w:t>
      </w:r>
    </w:p>
    <w:p w14:paraId="2D573683" w14:textId="1F216FA7" w:rsidR="00FB1C15" w:rsidRPr="00276391" w:rsidRDefault="00FB1C15" w:rsidP="00FB1C15">
      <w:pPr>
        <w:pStyle w:val="DHHSbullet1"/>
        <w:rPr>
          <w:rFonts w:cs="Arial"/>
          <w:lang w:eastAsia="en-AU"/>
        </w:rPr>
      </w:pPr>
      <w:r>
        <w:rPr>
          <w:rFonts w:cs="Arial"/>
          <w:lang w:eastAsia="en-AU"/>
        </w:rPr>
        <w:t xml:space="preserve">comply with </w:t>
      </w:r>
      <w:r w:rsidRPr="00276391">
        <w:rPr>
          <w:rFonts w:cs="Arial"/>
          <w:lang w:eastAsia="en-AU"/>
        </w:rPr>
        <w:t>the HPP</w:t>
      </w:r>
      <w:r>
        <w:rPr>
          <w:rFonts w:cs="Arial"/>
          <w:lang w:eastAsia="en-AU"/>
        </w:rPr>
        <w:t>s</w:t>
      </w:r>
      <w:r w:rsidRPr="00276391">
        <w:rPr>
          <w:rFonts w:cs="Arial"/>
          <w:lang w:eastAsia="en-AU"/>
        </w:rPr>
        <w:t xml:space="preserve"> or IPP</w:t>
      </w:r>
      <w:r>
        <w:rPr>
          <w:rFonts w:cs="Arial"/>
          <w:lang w:eastAsia="en-AU"/>
        </w:rPr>
        <w:t>s</w:t>
      </w:r>
      <w:r w:rsidR="006250C7">
        <w:rPr>
          <w:rFonts w:cs="Arial"/>
          <w:lang w:eastAsia="en-AU"/>
        </w:rPr>
        <w:t xml:space="preserve"> </w:t>
      </w:r>
    </w:p>
    <w:p w14:paraId="05D317EF" w14:textId="1AF6AD81" w:rsidR="00FB1C15" w:rsidRPr="00276391" w:rsidRDefault="00FB1C15" w:rsidP="00FB1C15">
      <w:pPr>
        <w:pStyle w:val="DHHSbullet1"/>
        <w:rPr>
          <w:rFonts w:cs="Arial"/>
          <w:lang w:eastAsia="en-AU"/>
        </w:rPr>
      </w:pPr>
      <w:r w:rsidRPr="00276391">
        <w:rPr>
          <w:rFonts w:cs="Arial"/>
          <w:lang w:eastAsia="en-AU"/>
        </w:rPr>
        <w:t xml:space="preserve">only collect information if it is needed for the performance of one or more of its functions or activities under the </w:t>
      </w:r>
      <w:r w:rsidR="009B3052">
        <w:rPr>
          <w:rFonts w:cs="Arial"/>
          <w:lang w:eastAsia="en-AU"/>
        </w:rPr>
        <w:t>Service agreement</w:t>
      </w:r>
      <w:r>
        <w:rPr>
          <w:rFonts w:cs="Arial"/>
          <w:lang w:eastAsia="en-AU"/>
        </w:rPr>
        <w:t xml:space="preserve"> (there are also additional requirements under the HPPs)</w:t>
      </w:r>
    </w:p>
    <w:p w14:paraId="0E49E539" w14:textId="77777777" w:rsidR="00FB1C15" w:rsidRPr="00276391" w:rsidRDefault="00FB1C15" w:rsidP="00FB1C15">
      <w:pPr>
        <w:pStyle w:val="DHHSbullet1"/>
        <w:rPr>
          <w:rFonts w:cs="Arial"/>
          <w:lang w:eastAsia="en-AU"/>
        </w:rPr>
      </w:pPr>
      <w:r w:rsidRPr="00276391">
        <w:rPr>
          <w:rFonts w:cs="Arial"/>
          <w:lang w:eastAsia="en-AU"/>
        </w:rPr>
        <w:t xml:space="preserve">ensure that clients know why their information is being collected and how it will be handled (including notifying clients of the matters described under IPP 1.3 or HPP 1.4). Refer to </w:t>
      </w:r>
      <w:hyperlink w:anchor="_3.17.3_Collection_and" w:tgtFrame="_blank" w:tooltip="Link to chapter 3.17.3 of the kit" w:history="1">
        <w:r w:rsidRPr="00986D1E">
          <w:rPr>
            <w:rStyle w:val="Hyperlink"/>
          </w:rPr>
          <w:t>3.17.3 - Collection and disclosure of personal and health information</w:t>
        </w:r>
      </w:hyperlink>
      <w:r w:rsidRPr="00276391">
        <w:rPr>
          <w:rFonts w:cs="Arial"/>
          <w:lang w:eastAsia="en-AU"/>
        </w:rPr>
        <w:t xml:space="preserve"> for further information. </w:t>
      </w:r>
    </w:p>
    <w:p w14:paraId="43EB746E" w14:textId="77777777" w:rsidR="00FB1C15" w:rsidRPr="00276391" w:rsidRDefault="00FB1C15" w:rsidP="00FB1C15">
      <w:pPr>
        <w:pStyle w:val="DHHSbullet1"/>
        <w:rPr>
          <w:rFonts w:cs="Arial"/>
          <w:lang w:eastAsia="en-AU"/>
        </w:rPr>
      </w:pPr>
      <w:r w:rsidRPr="00276391">
        <w:rPr>
          <w:rFonts w:cs="Arial"/>
          <w:lang w:eastAsia="en-AU"/>
        </w:rPr>
        <w:t>use and disclose information only for the primary purpose for which it was collected, or a permitted secondary purpose under IPP 2.1 or HPP 2.2 (see below)</w:t>
      </w:r>
    </w:p>
    <w:p w14:paraId="3ADE66B2" w14:textId="77777777" w:rsidR="00FB1C15" w:rsidRPr="00276391" w:rsidRDefault="00FB1C15" w:rsidP="00FB1C15">
      <w:pPr>
        <w:pStyle w:val="DHHSbullet1"/>
        <w:rPr>
          <w:rFonts w:cs="Arial"/>
          <w:lang w:eastAsia="en-AU"/>
        </w:rPr>
      </w:pPr>
      <w:r w:rsidRPr="00276391">
        <w:rPr>
          <w:rFonts w:cs="Arial"/>
          <w:lang w:eastAsia="en-AU"/>
        </w:rPr>
        <w:t xml:space="preserve">store information securely and protect it from misuse, loss and unauthorised access, modification or disclosure </w:t>
      </w:r>
    </w:p>
    <w:p w14:paraId="01168020" w14:textId="702294C4" w:rsidR="00FB1C15" w:rsidRPr="00FB1C15" w:rsidRDefault="00FB1C15" w:rsidP="00FB1C15">
      <w:pPr>
        <w:pStyle w:val="DHHSbullet1"/>
        <w:rPr>
          <w:rFonts w:cs="Arial"/>
          <w:lang w:eastAsia="en-AU"/>
        </w:rPr>
      </w:pPr>
      <w:r w:rsidRPr="00FB1C15">
        <w:rPr>
          <w:rFonts w:cs="Arial"/>
          <w:lang w:eastAsia="en-AU"/>
        </w:rPr>
        <w:t xml:space="preserve">retain information for the period required by the </w:t>
      </w:r>
      <w:hyperlink r:id="rId96" w:history="1">
        <w:r w:rsidRPr="00FB1C15">
          <w:rPr>
            <w:rStyle w:val="Hyperlink"/>
          </w:rPr>
          <w:t>Public Records Act 1973</w:t>
        </w:r>
        <w:r w:rsidRPr="00FB1C15">
          <w:rPr>
            <w:rStyle w:val="Hyperlink"/>
            <w:rFonts w:cs="Arial"/>
            <w:lang w:eastAsia="en-AU"/>
          </w:rPr>
          <w:t xml:space="preserve"> (Vic)</w:t>
        </w:r>
      </w:hyperlink>
      <w:r w:rsidRPr="00FB1C15">
        <w:rPr>
          <w:rFonts w:cs="Arial"/>
          <w:lang w:eastAsia="en-AU"/>
        </w:rPr>
        <w:t xml:space="preserve"> &lt;http://www8.austlii.edu.au/cgi-bin/viewdb/au/legis/vic/consol_act/pra1973153/&gt; (external link, </w:t>
      </w:r>
      <w:r w:rsidR="00EA74AB">
        <w:rPr>
          <w:rFonts w:cs="Arial"/>
          <w:lang w:eastAsia="en-AU"/>
        </w:rPr>
        <w:t xml:space="preserve">opens in </w:t>
      </w:r>
      <w:r w:rsidR="00C62565">
        <w:rPr>
          <w:rFonts w:cs="Arial"/>
          <w:lang w:eastAsia="en-AU"/>
        </w:rPr>
        <w:t>a new window</w:t>
      </w:r>
      <w:r w:rsidRPr="00FB1C15">
        <w:rPr>
          <w:rFonts w:cs="Arial"/>
          <w:lang w:eastAsia="en-AU"/>
        </w:rPr>
        <w:t xml:space="preserve">) </w:t>
      </w:r>
    </w:p>
    <w:p w14:paraId="573E0DB6" w14:textId="77777777" w:rsidR="00FB1C15" w:rsidRPr="00276391" w:rsidRDefault="00FB1C15" w:rsidP="00FB1C15">
      <w:pPr>
        <w:pStyle w:val="DHHSbullet1"/>
        <w:rPr>
          <w:rFonts w:cs="Arial"/>
          <w:lang w:eastAsia="en-AU"/>
        </w:rPr>
      </w:pPr>
      <w:r w:rsidRPr="00276391">
        <w:rPr>
          <w:rFonts w:cs="Arial"/>
          <w:lang w:eastAsia="en-AU"/>
        </w:rPr>
        <w:t xml:space="preserve">provide individuals with access to their information </w:t>
      </w:r>
      <w:r>
        <w:rPr>
          <w:rFonts w:cs="Arial"/>
          <w:lang w:eastAsia="en-AU"/>
        </w:rPr>
        <w:t xml:space="preserve">on request </w:t>
      </w:r>
      <w:r w:rsidRPr="00276391">
        <w:rPr>
          <w:rFonts w:cs="Arial"/>
          <w:lang w:eastAsia="en-AU"/>
        </w:rPr>
        <w:t xml:space="preserve">and the ability to correct incorrect information. </w:t>
      </w:r>
    </w:p>
    <w:p w14:paraId="02A0E0E7" w14:textId="394EC733" w:rsidR="00FB1C15" w:rsidRPr="00276391" w:rsidRDefault="00FB1C15" w:rsidP="00FB1C15">
      <w:pPr>
        <w:pStyle w:val="DHHSbody"/>
        <w:rPr>
          <w:lang w:eastAsia="en-AU"/>
        </w:rPr>
      </w:pPr>
      <w:r w:rsidRPr="00B24C02">
        <w:rPr>
          <w:rFonts w:cs="Arial"/>
          <w:color w:val="000000"/>
          <w:szCs w:val="19"/>
          <w:lang w:eastAsia="en-AU"/>
        </w:rPr>
        <w:t xml:space="preserve">An organisation under the </w:t>
      </w:r>
      <w:r w:rsidR="009B3052">
        <w:rPr>
          <w:rFonts w:cs="Arial"/>
          <w:color w:val="000000"/>
          <w:szCs w:val="19"/>
          <w:lang w:eastAsia="en-AU"/>
        </w:rPr>
        <w:t>Service agreement</w:t>
      </w:r>
      <w:r w:rsidRPr="00B24C02">
        <w:rPr>
          <w:rFonts w:cs="Arial"/>
          <w:color w:val="000000"/>
          <w:szCs w:val="19"/>
          <w:lang w:eastAsia="en-AU"/>
        </w:rPr>
        <w:t xml:space="preserve"> </w:t>
      </w:r>
      <w:r>
        <w:rPr>
          <w:rFonts w:cs="Arial"/>
          <w:color w:val="000000"/>
          <w:szCs w:val="19"/>
          <w:lang w:eastAsia="en-AU"/>
        </w:rPr>
        <w:t xml:space="preserve">must </w:t>
      </w:r>
      <w:r w:rsidRPr="00B24C02">
        <w:rPr>
          <w:rFonts w:cs="Arial"/>
          <w:color w:val="000000"/>
          <w:szCs w:val="19"/>
          <w:lang w:eastAsia="en-AU"/>
        </w:rPr>
        <w:t>also:</w:t>
      </w:r>
    </w:p>
    <w:p w14:paraId="70E0BE6E" w14:textId="77777777" w:rsidR="00FB1C15" w:rsidRPr="00276391" w:rsidRDefault="00FB1C15" w:rsidP="00FB1C15">
      <w:pPr>
        <w:pStyle w:val="DHHSbullet1"/>
        <w:rPr>
          <w:rFonts w:cs="Arial"/>
          <w:lang w:eastAsia="en-AU"/>
        </w:rPr>
      </w:pPr>
      <w:r w:rsidRPr="00276391">
        <w:rPr>
          <w:rFonts w:cs="Arial"/>
          <w:lang w:eastAsia="en-AU"/>
        </w:rPr>
        <w:t xml:space="preserve">comply with any direction, guideline, determination or recommendation made by the </w:t>
      </w:r>
      <w:r>
        <w:rPr>
          <w:rFonts w:cs="Arial"/>
          <w:lang w:eastAsia="en-AU"/>
        </w:rPr>
        <w:t xml:space="preserve">Victorian Information </w:t>
      </w:r>
      <w:r w:rsidRPr="00276391">
        <w:rPr>
          <w:rFonts w:cs="Arial"/>
          <w:lang w:eastAsia="en-AU"/>
        </w:rPr>
        <w:t xml:space="preserve">Commissioner or the Health </w:t>
      </w:r>
      <w:r>
        <w:rPr>
          <w:rFonts w:cs="Arial"/>
          <w:lang w:eastAsia="en-AU"/>
        </w:rPr>
        <w:t>Complaints</w:t>
      </w:r>
      <w:r w:rsidRPr="00276391">
        <w:rPr>
          <w:rFonts w:cs="Arial"/>
          <w:lang w:eastAsia="en-AU"/>
        </w:rPr>
        <w:t xml:space="preserve"> Commissioner (clause 17.3(g)</w:t>
      </w:r>
      <w:r>
        <w:rPr>
          <w:rFonts w:cs="Arial"/>
          <w:lang w:eastAsia="en-AU"/>
        </w:rPr>
        <w:t>)</w:t>
      </w:r>
      <w:r w:rsidRPr="00276391">
        <w:rPr>
          <w:rFonts w:cs="Arial"/>
          <w:lang w:eastAsia="en-AU"/>
        </w:rPr>
        <w:t xml:space="preserve"> </w:t>
      </w:r>
    </w:p>
    <w:p w14:paraId="78F66ADC" w14:textId="77777777" w:rsidR="00FB1C15" w:rsidRPr="00276391" w:rsidRDefault="00FB1C15" w:rsidP="00FB1C15">
      <w:pPr>
        <w:pStyle w:val="DHHSbullet1"/>
        <w:rPr>
          <w:rFonts w:cs="Arial"/>
          <w:lang w:eastAsia="en-AU"/>
        </w:rPr>
      </w:pPr>
      <w:r w:rsidRPr="00276391">
        <w:rPr>
          <w:rFonts w:cs="Arial"/>
          <w:lang w:eastAsia="en-AU"/>
        </w:rPr>
        <w:t xml:space="preserve">make sure that any person (including any subcontractor) who may deal with personal information or health information is aware of their obligations </w:t>
      </w:r>
      <w:r>
        <w:rPr>
          <w:rFonts w:cs="Arial"/>
          <w:lang w:eastAsia="en-AU"/>
        </w:rPr>
        <w:t>under</w:t>
      </w:r>
      <w:r w:rsidRPr="00276391">
        <w:rPr>
          <w:rFonts w:cs="Arial"/>
          <w:lang w:eastAsia="en-AU"/>
        </w:rPr>
        <w:t xml:space="preserve"> the PDP Act and HR Act (clause 17.3(h)) </w:t>
      </w:r>
    </w:p>
    <w:p w14:paraId="206E7615" w14:textId="77777777" w:rsidR="00FB1C15" w:rsidRPr="00276391" w:rsidRDefault="00FB1C15" w:rsidP="00FB1C15">
      <w:pPr>
        <w:pStyle w:val="DHHSbullet1"/>
        <w:rPr>
          <w:rFonts w:cs="Arial"/>
          <w:lang w:eastAsia="en-AU"/>
        </w:rPr>
      </w:pPr>
      <w:r w:rsidRPr="00276391">
        <w:rPr>
          <w:rFonts w:cs="Arial"/>
          <w:lang w:eastAsia="en-AU"/>
        </w:rPr>
        <w:t>immediately notify the department if it becomes aware of a breach or po</w:t>
      </w:r>
      <w:r>
        <w:rPr>
          <w:rFonts w:cs="Arial"/>
          <w:lang w:eastAsia="en-AU"/>
        </w:rPr>
        <w:t>tential</w:t>
      </w:r>
      <w:r w:rsidRPr="00276391">
        <w:rPr>
          <w:rFonts w:cs="Arial"/>
          <w:lang w:eastAsia="en-AU"/>
        </w:rPr>
        <w:t xml:space="preserve"> breach by the organisation (or any person acting on behalf of the organisation) of the organisation’s obligations </w:t>
      </w:r>
      <w:r>
        <w:rPr>
          <w:rFonts w:cs="Arial"/>
          <w:lang w:eastAsia="en-AU"/>
        </w:rPr>
        <w:t>under</w:t>
      </w:r>
      <w:r w:rsidRPr="00276391">
        <w:rPr>
          <w:rFonts w:cs="Arial"/>
          <w:lang w:eastAsia="en-AU"/>
        </w:rPr>
        <w:t xml:space="preserve"> the PDP Act and the HR Act (clause 17.3(i)</w:t>
      </w:r>
      <w:r>
        <w:rPr>
          <w:rFonts w:cs="Arial"/>
          <w:lang w:eastAsia="en-AU"/>
        </w:rPr>
        <w:t>)</w:t>
      </w:r>
      <w:r w:rsidRPr="00276391">
        <w:rPr>
          <w:rFonts w:cs="Arial"/>
          <w:lang w:eastAsia="en-AU"/>
        </w:rPr>
        <w:t xml:space="preserve"> </w:t>
      </w:r>
    </w:p>
    <w:p w14:paraId="48B4B65B" w14:textId="77777777" w:rsidR="00FB1C15" w:rsidRPr="00276391" w:rsidRDefault="00FB1C15" w:rsidP="00FB1C15">
      <w:pPr>
        <w:pStyle w:val="DHHSbullet1"/>
        <w:rPr>
          <w:rFonts w:cs="Arial"/>
          <w:lang w:eastAsia="en-AU"/>
        </w:rPr>
      </w:pPr>
      <w:r w:rsidRPr="00276391">
        <w:rPr>
          <w:rFonts w:cs="Arial"/>
          <w:lang w:eastAsia="en-AU"/>
        </w:rPr>
        <w:t xml:space="preserve">in complying with IPP 1.3 and HPP 1.4, ensure individuals </w:t>
      </w:r>
      <w:r>
        <w:rPr>
          <w:rFonts w:cs="Arial"/>
          <w:lang w:eastAsia="en-AU"/>
        </w:rPr>
        <w:t>whose information is collected by the organisation are</w:t>
      </w:r>
      <w:r w:rsidRPr="00276391">
        <w:rPr>
          <w:rFonts w:cs="Arial"/>
          <w:lang w:eastAsia="en-AU"/>
        </w:rPr>
        <w:t xml:space="preserve"> aware that: </w:t>
      </w:r>
    </w:p>
    <w:p w14:paraId="57C499C6" w14:textId="77777777" w:rsidR="00FB1C15" w:rsidRPr="00276391" w:rsidRDefault="00FB1C15" w:rsidP="00FB1C15">
      <w:pPr>
        <w:pStyle w:val="DHHSbullet2"/>
        <w:rPr>
          <w:lang w:eastAsia="en-AU"/>
        </w:rPr>
      </w:pPr>
      <w:r w:rsidRPr="00276391">
        <w:rPr>
          <w:lang w:eastAsia="en-AU"/>
        </w:rPr>
        <w:t xml:space="preserve">the department is an organisation which may </w:t>
      </w:r>
      <w:r>
        <w:rPr>
          <w:lang w:eastAsia="en-AU"/>
        </w:rPr>
        <w:t>collect</w:t>
      </w:r>
      <w:r w:rsidRPr="00276391">
        <w:rPr>
          <w:lang w:eastAsia="en-AU"/>
        </w:rPr>
        <w:t xml:space="preserve"> personal and health information (clause 17.3k(i)</w:t>
      </w:r>
      <w:r>
        <w:rPr>
          <w:lang w:eastAsia="en-AU"/>
        </w:rPr>
        <w:t>)</w:t>
      </w:r>
      <w:r w:rsidRPr="00276391">
        <w:rPr>
          <w:lang w:eastAsia="en-AU"/>
        </w:rPr>
        <w:t xml:space="preserve"> </w:t>
      </w:r>
    </w:p>
    <w:p w14:paraId="2C4C1D2B" w14:textId="77777777" w:rsidR="00FB1C15" w:rsidRPr="00276391" w:rsidRDefault="00FB1C15" w:rsidP="00FB1C15">
      <w:pPr>
        <w:pStyle w:val="DHHSbullet2"/>
        <w:rPr>
          <w:lang w:eastAsia="en-AU"/>
        </w:rPr>
      </w:pPr>
      <w:r w:rsidRPr="00276391">
        <w:rPr>
          <w:lang w:eastAsia="en-AU"/>
        </w:rPr>
        <w:t xml:space="preserve">the organisation may collect and disclose information to the department for specific purposes, including for the purpose of providing its services to the individual and for the department’s auditing and monitoring of the organisation’s recordkeeping </w:t>
      </w:r>
    </w:p>
    <w:p w14:paraId="7F07C519" w14:textId="77777777" w:rsidR="00FB1C15" w:rsidRPr="00276391" w:rsidRDefault="00FB1C15" w:rsidP="00FB1C15">
      <w:pPr>
        <w:pStyle w:val="DHHSbullet2lastline"/>
        <w:rPr>
          <w:lang w:eastAsia="en-AU"/>
        </w:rPr>
      </w:pPr>
      <w:r w:rsidRPr="00276391">
        <w:rPr>
          <w:lang w:eastAsia="en-AU"/>
        </w:rPr>
        <w:t xml:space="preserve">unless the personal information is destroyed by the organisation, it will ultimately be disposed of to, or at the direction of, </w:t>
      </w:r>
      <w:r>
        <w:rPr>
          <w:lang w:eastAsia="en-AU"/>
        </w:rPr>
        <w:t>Public Record Office Victoria.</w:t>
      </w:r>
    </w:p>
    <w:p w14:paraId="2FF07426" w14:textId="77777777"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developing</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sharing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security</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legislation,</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limited</w:t>
      </w:r>
      <w:r w:rsidR="005D5532" w:rsidRPr="00276391">
        <w:rPr>
          <w:lang w:eastAsia="en-AU"/>
        </w:rPr>
        <w:t xml:space="preserve"> </w:t>
      </w:r>
      <w:r w:rsidRPr="00276391">
        <w:rPr>
          <w:lang w:eastAsia="en-AU"/>
        </w:rPr>
        <w:t>to:</w:t>
      </w:r>
    </w:p>
    <w:p w14:paraId="36A4ADEC" w14:textId="3E9865E6" w:rsidR="00236748" w:rsidRPr="007B11D1" w:rsidRDefault="0016341D" w:rsidP="007B11D1">
      <w:pPr>
        <w:pStyle w:val="DHHSbullet1"/>
        <w:rPr>
          <w:rFonts w:cs="Arial"/>
          <w:lang w:eastAsia="en-AU"/>
        </w:rPr>
      </w:pPr>
      <w:hyperlink r:id="rId97" w:history="1">
        <w:r w:rsidR="00236748" w:rsidRPr="007B11D1">
          <w:rPr>
            <w:rStyle w:val="Hyperlink"/>
          </w:rPr>
          <w:t>Adoption</w:t>
        </w:r>
        <w:r w:rsidR="005D5532" w:rsidRPr="007B11D1">
          <w:rPr>
            <w:rStyle w:val="Hyperlink"/>
          </w:rPr>
          <w:t xml:space="preserve"> </w:t>
        </w:r>
        <w:r w:rsidR="00236748" w:rsidRPr="007B11D1">
          <w:rPr>
            <w:rStyle w:val="Hyperlink"/>
          </w:rPr>
          <w:t>Act</w:t>
        </w:r>
        <w:r w:rsidR="005D5532" w:rsidRPr="007B11D1">
          <w:rPr>
            <w:rStyle w:val="Hyperlink"/>
          </w:rPr>
          <w:t xml:space="preserve"> </w:t>
        </w:r>
        <w:r w:rsidR="00236748" w:rsidRPr="007B11D1">
          <w:rPr>
            <w:rStyle w:val="Hyperlink"/>
          </w:rPr>
          <w:t>1984</w:t>
        </w:r>
        <w:r w:rsidR="005D5532" w:rsidRPr="007B11D1">
          <w:rPr>
            <w:rStyle w:val="Hyperlink"/>
          </w:rPr>
          <w:t xml:space="preserve"> </w:t>
        </w:r>
        <w:r w:rsidR="00236748" w:rsidRPr="007B11D1">
          <w:rPr>
            <w:rStyle w:val="Hyperlink"/>
          </w:rPr>
          <w:t>(Vic)</w:t>
        </w:r>
      </w:hyperlink>
      <w:r w:rsidR="005D5532" w:rsidRPr="007B11D1">
        <w:rPr>
          <w:rFonts w:cs="Arial"/>
          <w:color w:val="000000"/>
          <w:szCs w:val="19"/>
          <w:lang w:eastAsia="en-AU"/>
        </w:rPr>
        <w:t xml:space="preserve"> </w:t>
      </w:r>
      <w:r w:rsidR="005B6E48" w:rsidRPr="007B11D1">
        <w:rPr>
          <w:rFonts w:cs="Arial"/>
          <w:color w:val="000000"/>
          <w:szCs w:val="19"/>
          <w:lang w:eastAsia="en-AU"/>
        </w:rPr>
        <w:t>&lt;</w:t>
      </w:r>
      <w:r w:rsidR="007B11D1" w:rsidRPr="007B11D1">
        <w:rPr>
          <w:rFonts w:cs="Arial"/>
          <w:color w:val="000000"/>
          <w:szCs w:val="19"/>
          <w:lang w:eastAsia="en-AU"/>
        </w:rPr>
        <w:t>http://www9.austlii.edu.au/cgi-bin/viewdb/au/legis/vic/consol_act/aa1984107/</w:t>
      </w:r>
      <w:r w:rsidR="005B6E48" w:rsidRPr="007B11D1">
        <w:rPr>
          <w:rFonts w:cs="Arial"/>
          <w:color w:val="000000"/>
          <w:szCs w:val="19"/>
          <w:lang w:eastAsia="en-AU"/>
        </w:rPr>
        <w:t xml:space="preserve">&gt; </w:t>
      </w:r>
      <w:r w:rsidR="00236748" w:rsidRPr="007B11D1">
        <w:rPr>
          <w:rFonts w:cs="Arial"/>
          <w:color w:val="000000"/>
          <w:szCs w:val="19"/>
          <w:lang w:eastAsia="en-AU"/>
        </w:rPr>
        <w:t>(external</w:t>
      </w:r>
      <w:r w:rsidR="005D5532" w:rsidRPr="007B11D1">
        <w:rPr>
          <w:rFonts w:cs="Arial"/>
          <w:color w:val="000000"/>
          <w:szCs w:val="19"/>
          <w:lang w:eastAsia="en-AU"/>
        </w:rPr>
        <w:t xml:space="preserve"> </w:t>
      </w:r>
      <w:r w:rsidR="00236748" w:rsidRPr="007B11D1">
        <w:rPr>
          <w:rFonts w:cs="Arial"/>
          <w:color w:val="000000"/>
          <w:szCs w:val="19"/>
          <w:lang w:eastAsia="en-AU"/>
        </w:rPr>
        <w:t>link,</w:t>
      </w:r>
      <w:r w:rsidR="005D5532" w:rsidRPr="007B11D1">
        <w:rPr>
          <w:rFonts w:cs="Arial"/>
          <w:color w:val="000000"/>
          <w:szCs w:val="19"/>
          <w:lang w:eastAsia="en-AU"/>
        </w:rPr>
        <w:t xml:space="preserve"> </w:t>
      </w:r>
      <w:r w:rsidR="00EA74AB">
        <w:rPr>
          <w:rFonts w:cs="Arial"/>
          <w:color w:val="000000"/>
          <w:szCs w:val="19"/>
          <w:lang w:eastAsia="en-AU"/>
        </w:rPr>
        <w:t xml:space="preserve">opens in </w:t>
      </w:r>
      <w:r w:rsidR="00C62565">
        <w:rPr>
          <w:rFonts w:cs="Arial"/>
          <w:color w:val="000000"/>
          <w:szCs w:val="19"/>
          <w:lang w:eastAsia="en-AU"/>
        </w:rPr>
        <w:t>a new window</w:t>
      </w:r>
      <w:r w:rsidR="00236748" w:rsidRPr="007B11D1">
        <w:rPr>
          <w:rFonts w:cs="Arial"/>
          <w:color w:val="000000"/>
          <w:szCs w:val="19"/>
          <w:lang w:eastAsia="en-AU"/>
        </w:rPr>
        <w:t>)</w:t>
      </w:r>
      <w:r w:rsidR="005D5532" w:rsidRPr="007B11D1">
        <w:rPr>
          <w:rFonts w:cs="Arial"/>
          <w:color w:val="000000"/>
          <w:szCs w:val="19"/>
          <w:lang w:eastAsia="en-AU"/>
        </w:rPr>
        <w:t xml:space="preserve"> </w:t>
      </w:r>
    </w:p>
    <w:p w14:paraId="66B10196" w14:textId="03207EAA" w:rsidR="00236748" w:rsidRPr="00023441" w:rsidRDefault="0016341D" w:rsidP="00023441">
      <w:pPr>
        <w:pStyle w:val="DHHSbullet1"/>
        <w:rPr>
          <w:rFonts w:cs="Arial"/>
          <w:lang w:eastAsia="en-AU"/>
        </w:rPr>
      </w:pPr>
      <w:hyperlink r:id="rId98" w:tgtFrame="_blank" w:tooltip="Link to the Children, Youth and Families Act 2005 (Vic)" w:history="1">
        <w:r w:rsidR="00236748" w:rsidRPr="00986D1E">
          <w:rPr>
            <w:rStyle w:val="Hyperlink"/>
          </w:rPr>
          <w:t>Children,</w:t>
        </w:r>
        <w:r w:rsidR="005D5532" w:rsidRPr="00986D1E">
          <w:rPr>
            <w:rStyle w:val="Hyperlink"/>
          </w:rPr>
          <w:t xml:space="preserve"> </w:t>
        </w:r>
        <w:r w:rsidR="00236748" w:rsidRPr="00986D1E">
          <w:rPr>
            <w:rStyle w:val="Hyperlink"/>
          </w:rPr>
          <w:t>Youth</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Families</w:t>
        </w:r>
        <w:r w:rsidR="005D5532" w:rsidRPr="00986D1E">
          <w:rPr>
            <w:rStyle w:val="Hyperlink"/>
          </w:rPr>
          <w:t xml:space="preserve"> </w:t>
        </w:r>
        <w:r w:rsidR="00236748" w:rsidRPr="00986D1E">
          <w:rPr>
            <w:rStyle w:val="Hyperlink"/>
          </w:rPr>
          <w:t>Act</w:t>
        </w:r>
        <w:r w:rsidR="005D5532" w:rsidRPr="00986D1E">
          <w:rPr>
            <w:rStyle w:val="Hyperlink"/>
          </w:rPr>
          <w:t xml:space="preserve"> </w:t>
        </w:r>
        <w:r w:rsidR="00236748" w:rsidRPr="00986D1E">
          <w:rPr>
            <w:rStyle w:val="Hyperlink"/>
          </w:rPr>
          <w:t>2005</w:t>
        </w:r>
        <w:r w:rsidR="005D5532" w:rsidRPr="00986D1E">
          <w:rPr>
            <w:rStyle w:val="Hyperlink"/>
          </w:rPr>
          <w:t xml:space="preserve"> </w:t>
        </w:r>
        <w:r w:rsidR="00236748" w:rsidRPr="00986D1E">
          <w:rPr>
            <w:rStyle w:val="Hyperlink"/>
          </w:rPr>
          <w:t>(Vic)</w:t>
        </w:r>
      </w:hyperlink>
      <w:r w:rsidR="005D5532" w:rsidRPr="00023441">
        <w:rPr>
          <w:rFonts w:cs="Arial"/>
          <w:lang w:eastAsia="en-AU"/>
        </w:rPr>
        <w:t xml:space="preserve"> </w:t>
      </w:r>
      <w:r w:rsidR="005B6E48" w:rsidRPr="00023441">
        <w:rPr>
          <w:rFonts w:cs="Arial"/>
          <w:lang w:eastAsia="en-AU"/>
        </w:rPr>
        <w:t>&lt;</w:t>
      </w:r>
      <w:r w:rsidR="00023441" w:rsidRPr="00023441">
        <w:rPr>
          <w:rFonts w:cs="Arial"/>
          <w:lang w:eastAsia="en-AU"/>
        </w:rPr>
        <w:t>http://www9.austlii.edu.au/cgi-bin/viewdb/au/legis/vic/consol_act/cyafa2005252/</w:t>
      </w:r>
      <w:r w:rsidR="005B6E48" w:rsidRPr="00023441">
        <w:rPr>
          <w:rFonts w:cs="Arial"/>
          <w:lang w:eastAsia="en-AU"/>
        </w:rPr>
        <w:t xml:space="preserve">&gt; </w:t>
      </w:r>
      <w:r w:rsidR="00236748" w:rsidRPr="00023441">
        <w:rPr>
          <w:rFonts w:cs="Arial"/>
          <w:lang w:eastAsia="en-AU"/>
        </w:rPr>
        <w:t>(external</w:t>
      </w:r>
      <w:r w:rsidR="005D5532" w:rsidRPr="00023441">
        <w:rPr>
          <w:rFonts w:cs="Arial"/>
          <w:lang w:eastAsia="en-AU"/>
        </w:rPr>
        <w:t xml:space="preserve"> </w:t>
      </w:r>
      <w:r w:rsidR="00236748" w:rsidRPr="00023441">
        <w:rPr>
          <w:rFonts w:cs="Arial"/>
          <w:lang w:eastAsia="en-AU"/>
        </w:rPr>
        <w:t>link,</w:t>
      </w:r>
      <w:r w:rsidR="005D5532" w:rsidRPr="00023441">
        <w:rPr>
          <w:rFonts w:cs="Arial"/>
          <w:lang w:eastAsia="en-AU"/>
        </w:rPr>
        <w:t xml:space="preserve"> </w:t>
      </w:r>
      <w:r w:rsidR="00EA74AB">
        <w:rPr>
          <w:rFonts w:cs="Arial"/>
          <w:lang w:eastAsia="en-AU"/>
        </w:rPr>
        <w:t xml:space="preserve">opens in </w:t>
      </w:r>
      <w:r w:rsidR="00C62565">
        <w:rPr>
          <w:rFonts w:cs="Arial"/>
          <w:lang w:eastAsia="en-AU"/>
        </w:rPr>
        <w:t>a new window</w:t>
      </w:r>
      <w:r w:rsidR="00236748" w:rsidRPr="00023441">
        <w:rPr>
          <w:rFonts w:cs="Arial"/>
          <w:lang w:eastAsia="en-AU"/>
        </w:rPr>
        <w:t>)</w:t>
      </w:r>
      <w:r w:rsidR="005D5532" w:rsidRPr="00023441">
        <w:rPr>
          <w:rFonts w:cs="Arial"/>
          <w:lang w:eastAsia="en-AU"/>
        </w:rPr>
        <w:t xml:space="preserve"> </w:t>
      </w:r>
    </w:p>
    <w:p w14:paraId="2F96C2F1" w14:textId="136DB608" w:rsidR="00236748" w:rsidRPr="00023441" w:rsidRDefault="0016341D" w:rsidP="00023441">
      <w:pPr>
        <w:pStyle w:val="DHHSbullet1"/>
        <w:rPr>
          <w:rFonts w:cs="Arial"/>
          <w:lang w:eastAsia="en-AU"/>
        </w:rPr>
      </w:pPr>
      <w:hyperlink r:id="rId99" w:history="1">
        <w:r w:rsidR="00236748" w:rsidRPr="00023441">
          <w:rPr>
            <w:rStyle w:val="Hyperlink"/>
          </w:rPr>
          <w:t>Disability</w:t>
        </w:r>
        <w:r w:rsidR="005D5532" w:rsidRPr="00023441">
          <w:rPr>
            <w:rStyle w:val="Hyperlink"/>
          </w:rPr>
          <w:t xml:space="preserve"> </w:t>
        </w:r>
        <w:r w:rsidR="00236748" w:rsidRPr="00023441">
          <w:rPr>
            <w:rStyle w:val="Hyperlink"/>
          </w:rPr>
          <w:t>Act</w:t>
        </w:r>
        <w:r w:rsidR="005D5532" w:rsidRPr="00023441">
          <w:rPr>
            <w:rStyle w:val="Hyperlink"/>
          </w:rPr>
          <w:t xml:space="preserve"> </w:t>
        </w:r>
        <w:r w:rsidR="00236748" w:rsidRPr="00023441">
          <w:rPr>
            <w:rStyle w:val="Hyperlink"/>
          </w:rPr>
          <w:t>2006</w:t>
        </w:r>
        <w:r w:rsidR="005D5532" w:rsidRPr="00023441">
          <w:rPr>
            <w:rStyle w:val="Hyperlink"/>
          </w:rPr>
          <w:t xml:space="preserve"> </w:t>
        </w:r>
        <w:r w:rsidR="00236748" w:rsidRPr="00023441">
          <w:rPr>
            <w:rStyle w:val="Hyperlink"/>
          </w:rPr>
          <w:t>(Vic)</w:t>
        </w:r>
      </w:hyperlink>
      <w:r w:rsidR="005D5532" w:rsidRPr="00023441">
        <w:rPr>
          <w:rFonts w:cs="Arial"/>
          <w:lang w:eastAsia="en-AU"/>
        </w:rPr>
        <w:t xml:space="preserve"> </w:t>
      </w:r>
      <w:r w:rsidR="005B6E48" w:rsidRPr="00023441">
        <w:rPr>
          <w:rFonts w:cs="Arial"/>
          <w:lang w:eastAsia="en-AU"/>
        </w:rPr>
        <w:t>&lt;</w:t>
      </w:r>
      <w:r w:rsidR="00023441" w:rsidRPr="00023441">
        <w:rPr>
          <w:rFonts w:cs="Arial"/>
          <w:lang w:eastAsia="en-AU"/>
        </w:rPr>
        <w:t>http://www9.austlii.edu.au/cgi-bin/viewdb/au/legis/vic/consol_act/da2006121/</w:t>
      </w:r>
      <w:r w:rsidR="005B6E48" w:rsidRPr="00023441">
        <w:rPr>
          <w:rFonts w:cs="Arial"/>
          <w:lang w:eastAsia="en-AU"/>
        </w:rPr>
        <w:t xml:space="preserve">&gt; </w:t>
      </w:r>
      <w:r w:rsidR="00236748" w:rsidRPr="00023441">
        <w:rPr>
          <w:rFonts w:cs="Arial"/>
          <w:lang w:eastAsia="en-AU"/>
        </w:rPr>
        <w:t>(external</w:t>
      </w:r>
      <w:r w:rsidR="005D5532" w:rsidRPr="00023441">
        <w:rPr>
          <w:rFonts w:cs="Arial"/>
          <w:lang w:eastAsia="en-AU"/>
        </w:rPr>
        <w:t xml:space="preserve"> </w:t>
      </w:r>
      <w:r w:rsidR="00236748" w:rsidRPr="00023441">
        <w:rPr>
          <w:rFonts w:cs="Arial"/>
          <w:lang w:eastAsia="en-AU"/>
        </w:rPr>
        <w:t>link,</w:t>
      </w:r>
      <w:r w:rsidR="005D5532" w:rsidRPr="00023441">
        <w:rPr>
          <w:rFonts w:cs="Arial"/>
          <w:lang w:eastAsia="en-AU"/>
        </w:rPr>
        <w:t xml:space="preserve"> </w:t>
      </w:r>
      <w:r w:rsidR="00EA74AB">
        <w:rPr>
          <w:rFonts w:cs="Arial"/>
          <w:lang w:eastAsia="en-AU"/>
        </w:rPr>
        <w:t xml:space="preserve">opens in </w:t>
      </w:r>
      <w:r w:rsidR="00C62565">
        <w:rPr>
          <w:rFonts w:cs="Arial"/>
          <w:lang w:eastAsia="en-AU"/>
        </w:rPr>
        <w:t>a new window</w:t>
      </w:r>
      <w:r w:rsidR="00236748" w:rsidRPr="00023441">
        <w:rPr>
          <w:rFonts w:cs="Arial"/>
          <w:lang w:eastAsia="en-AU"/>
        </w:rPr>
        <w:t>)</w:t>
      </w:r>
      <w:r w:rsidR="005D5532" w:rsidRPr="00023441">
        <w:rPr>
          <w:rFonts w:cs="Arial"/>
          <w:lang w:eastAsia="en-AU"/>
        </w:rPr>
        <w:t xml:space="preserve"> </w:t>
      </w:r>
    </w:p>
    <w:p w14:paraId="45C15D29" w14:textId="08A5E299" w:rsidR="00236748" w:rsidRPr="00023441" w:rsidRDefault="0016341D" w:rsidP="00023441">
      <w:pPr>
        <w:pStyle w:val="DHHSbullet1"/>
        <w:rPr>
          <w:rFonts w:cs="Arial"/>
          <w:lang w:eastAsia="en-AU"/>
        </w:rPr>
      </w:pPr>
      <w:hyperlink r:id="rId100" w:history="1">
        <w:r w:rsidR="00236748" w:rsidRPr="00023441">
          <w:rPr>
            <w:rStyle w:val="Hyperlink"/>
          </w:rPr>
          <w:t>Mental</w:t>
        </w:r>
        <w:r w:rsidR="005D5532" w:rsidRPr="00023441">
          <w:rPr>
            <w:rStyle w:val="Hyperlink"/>
          </w:rPr>
          <w:t xml:space="preserve"> </w:t>
        </w:r>
        <w:r w:rsidR="00236748" w:rsidRPr="00023441">
          <w:rPr>
            <w:rStyle w:val="Hyperlink"/>
          </w:rPr>
          <w:t>Health</w:t>
        </w:r>
        <w:r w:rsidR="005D5532" w:rsidRPr="00023441">
          <w:rPr>
            <w:rStyle w:val="Hyperlink"/>
          </w:rPr>
          <w:t xml:space="preserve"> </w:t>
        </w:r>
        <w:r w:rsidR="00236748" w:rsidRPr="00023441">
          <w:rPr>
            <w:rStyle w:val="Hyperlink"/>
          </w:rPr>
          <w:t>Act</w:t>
        </w:r>
        <w:r w:rsidR="005D5532" w:rsidRPr="00023441">
          <w:rPr>
            <w:rStyle w:val="Hyperlink"/>
          </w:rPr>
          <w:t xml:space="preserve"> </w:t>
        </w:r>
        <w:r w:rsidR="00236748" w:rsidRPr="00023441">
          <w:rPr>
            <w:rStyle w:val="Hyperlink"/>
          </w:rPr>
          <w:t>2014</w:t>
        </w:r>
        <w:r w:rsidR="005D5532" w:rsidRPr="00023441">
          <w:rPr>
            <w:rStyle w:val="Hyperlink"/>
          </w:rPr>
          <w:t xml:space="preserve"> </w:t>
        </w:r>
        <w:r w:rsidR="00236748" w:rsidRPr="00023441">
          <w:rPr>
            <w:rStyle w:val="Hyperlink"/>
          </w:rPr>
          <w:t>(Vic)</w:t>
        </w:r>
      </w:hyperlink>
      <w:r w:rsidR="005D5532" w:rsidRPr="00023441">
        <w:rPr>
          <w:rFonts w:cs="Arial"/>
          <w:lang w:eastAsia="en-AU"/>
        </w:rPr>
        <w:t xml:space="preserve"> </w:t>
      </w:r>
      <w:r w:rsidR="005B6E48" w:rsidRPr="00023441">
        <w:rPr>
          <w:rFonts w:cs="Arial"/>
          <w:lang w:eastAsia="en-AU"/>
        </w:rPr>
        <w:t>&lt;</w:t>
      </w:r>
      <w:r w:rsidR="00023441" w:rsidRPr="00023441">
        <w:rPr>
          <w:rFonts w:cs="Arial"/>
          <w:lang w:eastAsia="en-AU"/>
        </w:rPr>
        <w:t>https://www2.health.vic.gov.au/mental-health/practice-and-service-quality/mental-health-act-2014</w:t>
      </w:r>
      <w:r w:rsidR="005B6E48" w:rsidRPr="00023441">
        <w:rPr>
          <w:rFonts w:cs="Arial"/>
          <w:lang w:eastAsia="en-AU"/>
        </w:rPr>
        <w:t xml:space="preserve">&gt; </w:t>
      </w:r>
      <w:r w:rsidR="00236748" w:rsidRPr="00023441">
        <w:rPr>
          <w:rFonts w:cs="Arial"/>
          <w:lang w:eastAsia="en-AU"/>
        </w:rPr>
        <w:t>(external</w:t>
      </w:r>
      <w:r w:rsidR="005D5532" w:rsidRPr="00023441">
        <w:rPr>
          <w:rFonts w:cs="Arial"/>
          <w:lang w:eastAsia="en-AU"/>
        </w:rPr>
        <w:t xml:space="preserve"> </w:t>
      </w:r>
      <w:r w:rsidR="00236748" w:rsidRPr="00023441">
        <w:rPr>
          <w:rFonts w:cs="Arial"/>
          <w:lang w:eastAsia="en-AU"/>
        </w:rPr>
        <w:t>link,</w:t>
      </w:r>
      <w:r w:rsidR="005D5532" w:rsidRPr="00023441">
        <w:rPr>
          <w:rFonts w:cs="Arial"/>
          <w:lang w:eastAsia="en-AU"/>
        </w:rPr>
        <w:t xml:space="preserve"> </w:t>
      </w:r>
      <w:r w:rsidR="00EA74AB">
        <w:rPr>
          <w:rFonts w:cs="Arial"/>
          <w:lang w:eastAsia="en-AU"/>
        </w:rPr>
        <w:t xml:space="preserve">opens in </w:t>
      </w:r>
      <w:r w:rsidR="00C62565">
        <w:rPr>
          <w:rFonts w:cs="Arial"/>
          <w:lang w:eastAsia="en-AU"/>
        </w:rPr>
        <w:t>a new window</w:t>
      </w:r>
      <w:r w:rsidR="00236748" w:rsidRPr="00023441">
        <w:rPr>
          <w:rFonts w:cs="Arial"/>
          <w:lang w:eastAsia="en-AU"/>
        </w:rPr>
        <w:t>)</w:t>
      </w:r>
      <w:r w:rsidR="005D5532" w:rsidRPr="00023441">
        <w:rPr>
          <w:rFonts w:cs="Arial"/>
          <w:lang w:eastAsia="en-AU"/>
        </w:rPr>
        <w:t xml:space="preserve"> </w:t>
      </w:r>
    </w:p>
    <w:p w14:paraId="261FBDEB" w14:textId="03EBD704" w:rsidR="00236748" w:rsidRPr="004D5469" w:rsidRDefault="0016341D" w:rsidP="004D5469">
      <w:pPr>
        <w:pStyle w:val="DHHSbullet1"/>
        <w:rPr>
          <w:rFonts w:cs="Arial"/>
          <w:lang w:eastAsia="en-AU"/>
        </w:rPr>
      </w:pPr>
      <w:hyperlink r:id="rId101" w:tgtFrame="_blank" w:tooltip="Link to the Charter of Human Rights and Responsibilities Act 2006 (Vic)" w:history="1">
        <w:r w:rsidR="00236748" w:rsidRPr="004D5469">
          <w:rPr>
            <w:rStyle w:val="Hyperlink"/>
          </w:rPr>
          <w:t>Charter</w:t>
        </w:r>
        <w:r w:rsidR="005D5532" w:rsidRPr="004D5469">
          <w:rPr>
            <w:rStyle w:val="Hyperlink"/>
          </w:rPr>
          <w:t xml:space="preserve"> </w:t>
        </w:r>
        <w:r w:rsidR="00236748" w:rsidRPr="004D5469">
          <w:rPr>
            <w:rStyle w:val="Hyperlink"/>
          </w:rPr>
          <w:t>of</w:t>
        </w:r>
        <w:r w:rsidR="005D5532" w:rsidRPr="004D5469">
          <w:rPr>
            <w:rStyle w:val="Hyperlink"/>
          </w:rPr>
          <w:t xml:space="preserve"> </w:t>
        </w:r>
        <w:r w:rsidR="00236748" w:rsidRPr="004D5469">
          <w:rPr>
            <w:rStyle w:val="Hyperlink"/>
          </w:rPr>
          <w:t>Human</w:t>
        </w:r>
        <w:r w:rsidR="005D5532" w:rsidRPr="004D5469">
          <w:rPr>
            <w:rStyle w:val="Hyperlink"/>
          </w:rPr>
          <w:t xml:space="preserve"> </w:t>
        </w:r>
        <w:r w:rsidR="00236748" w:rsidRPr="004D5469">
          <w:rPr>
            <w:rStyle w:val="Hyperlink"/>
          </w:rPr>
          <w:t>Rights</w:t>
        </w:r>
        <w:r w:rsidR="005D5532" w:rsidRPr="004D5469">
          <w:rPr>
            <w:rStyle w:val="Hyperlink"/>
          </w:rPr>
          <w:t xml:space="preserve"> </w:t>
        </w:r>
        <w:r w:rsidR="00236748" w:rsidRPr="004D5469">
          <w:rPr>
            <w:rStyle w:val="Hyperlink"/>
          </w:rPr>
          <w:t>and</w:t>
        </w:r>
        <w:r w:rsidR="005D5532" w:rsidRPr="004D5469">
          <w:rPr>
            <w:rStyle w:val="Hyperlink"/>
          </w:rPr>
          <w:t xml:space="preserve"> </w:t>
        </w:r>
        <w:r w:rsidR="00236748" w:rsidRPr="004D5469">
          <w:rPr>
            <w:rStyle w:val="Hyperlink"/>
          </w:rPr>
          <w:t>Responsibilities</w:t>
        </w:r>
        <w:r w:rsidR="005D5532" w:rsidRPr="004D5469">
          <w:rPr>
            <w:rStyle w:val="Hyperlink"/>
          </w:rPr>
          <w:t xml:space="preserve"> </w:t>
        </w:r>
        <w:r w:rsidR="00236748" w:rsidRPr="004D5469">
          <w:rPr>
            <w:rStyle w:val="Hyperlink"/>
          </w:rPr>
          <w:t>Act</w:t>
        </w:r>
        <w:r w:rsidR="005D5532" w:rsidRPr="004D5469">
          <w:rPr>
            <w:rStyle w:val="Hyperlink"/>
          </w:rPr>
          <w:t xml:space="preserve"> </w:t>
        </w:r>
        <w:r w:rsidR="00236748" w:rsidRPr="004D5469">
          <w:rPr>
            <w:rStyle w:val="Hyperlink"/>
          </w:rPr>
          <w:t>2006</w:t>
        </w:r>
        <w:r w:rsidR="005D5532" w:rsidRPr="004D5469">
          <w:rPr>
            <w:rStyle w:val="Hyperlink"/>
          </w:rPr>
          <w:t xml:space="preserve"> </w:t>
        </w:r>
        <w:r w:rsidR="00236748" w:rsidRPr="004D5469">
          <w:rPr>
            <w:rStyle w:val="Hyperlink"/>
          </w:rPr>
          <w:t>(Vic)</w:t>
        </w:r>
      </w:hyperlink>
      <w:r w:rsidR="005D5532" w:rsidRPr="004D5469">
        <w:rPr>
          <w:rFonts w:cs="Arial"/>
          <w:lang w:eastAsia="en-AU"/>
        </w:rPr>
        <w:t xml:space="preserve"> </w:t>
      </w:r>
      <w:r w:rsidR="005B6E48" w:rsidRPr="004D5469">
        <w:rPr>
          <w:rFonts w:cs="Arial"/>
          <w:lang w:eastAsia="en-AU"/>
        </w:rPr>
        <w:t>&lt;</w:t>
      </w:r>
      <w:r w:rsidR="004D5469" w:rsidRPr="004D5469">
        <w:rPr>
          <w:rFonts w:cs="Arial"/>
          <w:lang w:eastAsia="en-AU"/>
        </w:rPr>
        <w:t>https://www.humanrightscommission.vic.gov.au/human-rights/the-charter</w:t>
      </w:r>
      <w:r w:rsidR="005B6E48" w:rsidRPr="004D5469">
        <w:rPr>
          <w:rFonts w:cs="Arial"/>
          <w:lang w:eastAsia="en-AU"/>
        </w:rPr>
        <w:t xml:space="preserve">&gt; </w:t>
      </w:r>
      <w:r w:rsidR="00236748" w:rsidRPr="004D5469">
        <w:rPr>
          <w:rFonts w:cs="Arial"/>
          <w:lang w:eastAsia="en-AU"/>
        </w:rPr>
        <w:t>(external</w:t>
      </w:r>
      <w:r w:rsidR="005D5532" w:rsidRPr="004D5469">
        <w:rPr>
          <w:rFonts w:cs="Arial"/>
          <w:lang w:eastAsia="en-AU"/>
        </w:rPr>
        <w:t xml:space="preserve"> </w:t>
      </w:r>
      <w:r w:rsidR="00236748" w:rsidRPr="004D5469">
        <w:rPr>
          <w:rFonts w:cs="Arial"/>
          <w:lang w:eastAsia="en-AU"/>
        </w:rPr>
        <w:t>link,</w:t>
      </w:r>
      <w:r w:rsidR="005D5532" w:rsidRPr="004D5469">
        <w:rPr>
          <w:rFonts w:cs="Arial"/>
          <w:lang w:eastAsia="en-AU"/>
        </w:rPr>
        <w:t xml:space="preserve"> </w:t>
      </w:r>
      <w:r w:rsidR="00236748" w:rsidRPr="004D5469">
        <w:rPr>
          <w:rFonts w:cs="Arial"/>
          <w:lang w:eastAsia="en-AU"/>
        </w:rPr>
        <w:t>opens</w:t>
      </w:r>
      <w:r w:rsidR="005D5532" w:rsidRPr="004D5469">
        <w:rPr>
          <w:rFonts w:cs="Arial"/>
          <w:lang w:eastAsia="en-AU"/>
        </w:rPr>
        <w:t xml:space="preserve"> </w:t>
      </w:r>
      <w:r w:rsidR="00236748" w:rsidRPr="004D5469">
        <w:rPr>
          <w:rFonts w:cs="Arial"/>
          <w:lang w:eastAsia="en-AU"/>
        </w:rPr>
        <w:t>in</w:t>
      </w:r>
      <w:r w:rsidR="005D5532" w:rsidRPr="004D5469">
        <w:rPr>
          <w:rFonts w:cs="Arial"/>
          <w:lang w:eastAsia="en-AU"/>
        </w:rPr>
        <w:t xml:space="preserve"> </w:t>
      </w:r>
      <w:r w:rsidR="00236748" w:rsidRPr="004D5469">
        <w:rPr>
          <w:rFonts w:cs="Arial"/>
          <w:lang w:eastAsia="en-AU"/>
        </w:rPr>
        <w:t>a</w:t>
      </w:r>
      <w:r w:rsidR="005D5532" w:rsidRPr="004D5469">
        <w:rPr>
          <w:rFonts w:cs="Arial"/>
          <w:lang w:eastAsia="en-AU"/>
        </w:rPr>
        <w:t xml:space="preserve"> </w:t>
      </w:r>
      <w:r w:rsidR="00236748" w:rsidRPr="004D5469">
        <w:rPr>
          <w:rFonts w:cs="Arial"/>
          <w:lang w:eastAsia="en-AU"/>
        </w:rPr>
        <w:t>new</w:t>
      </w:r>
      <w:r w:rsidR="005D5532" w:rsidRPr="004D5469">
        <w:rPr>
          <w:rFonts w:cs="Arial"/>
          <w:lang w:eastAsia="en-AU"/>
        </w:rPr>
        <w:t xml:space="preserve"> </w:t>
      </w:r>
      <w:r w:rsidR="00236748" w:rsidRPr="004D5469">
        <w:rPr>
          <w:rFonts w:cs="Arial"/>
          <w:lang w:eastAsia="en-AU"/>
        </w:rPr>
        <w:t>window)</w:t>
      </w:r>
      <w:r w:rsidR="005D5532" w:rsidRPr="004D5469">
        <w:rPr>
          <w:rFonts w:cs="Arial"/>
          <w:lang w:eastAsia="en-AU"/>
        </w:rPr>
        <w:t xml:space="preserve"> </w:t>
      </w:r>
    </w:p>
    <w:p w14:paraId="2AC5B9E9" w14:textId="53FB7371" w:rsidR="00236748" w:rsidRDefault="0016341D" w:rsidP="006219DF">
      <w:pPr>
        <w:pStyle w:val="DHHSbullet1"/>
        <w:rPr>
          <w:rFonts w:cs="Arial"/>
          <w:lang w:eastAsia="en-AU"/>
        </w:rPr>
      </w:pPr>
      <w:hyperlink r:id="rId102" w:tgtFrame="_blank" w:tooltip="Link to the Public Records Act 1973 " w:history="1">
        <w:r w:rsidR="00236748" w:rsidRPr="00986D1E">
          <w:rPr>
            <w:rStyle w:val="Hyperlink"/>
          </w:rPr>
          <w:t>Public</w:t>
        </w:r>
        <w:r w:rsidR="005D5532" w:rsidRPr="00986D1E">
          <w:rPr>
            <w:rStyle w:val="Hyperlink"/>
          </w:rPr>
          <w:t xml:space="preserve"> </w:t>
        </w:r>
        <w:r w:rsidR="00236748" w:rsidRPr="00986D1E">
          <w:rPr>
            <w:rStyle w:val="Hyperlink"/>
          </w:rPr>
          <w:t>Records</w:t>
        </w:r>
        <w:r w:rsidR="005D5532" w:rsidRPr="00986D1E">
          <w:rPr>
            <w:rStyle w:val="Hyperlink"/>
          </w:rPr>
          <w:t xml:space="preserve"> </w:t>
        </w:r>
        <w:r w:rsidR="00236748" w:rsidRPr="00986D1E">
          <w:rPr>
            <w:rStyle w:val="Hyperlink"/>
          </w:rPr>
          <w:t>Act</w:t>
        </w:r>
        <w:r w:rsidR="005D5532" w:rsidRPr="00986D1E">
          <w:rPr>
            <w:rStyle w:val="Hyperlink"/>
          </w:rPr>
          <w:t xml:space="preserve"> </w:t>
        </w:r>
        <w:r w:rsidR="00236748" w:rsidRPr="00986D1E">
          <w:rPr>
            <w:rStyle w:val="Hyperlink"/>
          </w:rPr>
          <w:t>1973</w:t>
        </w:r>
        <w:r w:rsidR="005D5532" w:rsidRPr="00986D1E">
          <w:rPr>
            <w:rStyle w:val="Hyperlink"/>
          </w:rPr>
          <w:t xml:space="preserve"> </w:t>
        </w:r>
        <w:r w:rsidR="00236748" w:rsidRPr="00986D1E">
          <w:rPr>
            <w:rStyle w:val="Hyperlink"/>
          </w:rPr>
          <w:t>(Vic)</w:t>
        </w:r>
      </w:hyperlink>
      <w:r w:rsidR="005D5532" w:rsidRPr="00B24C02">
        <w:rPr>
          <w:rFonts w:cs="Arial"/>
          <w:lang w:eastAsia="en-AU"/>
        </w:rPr>
        <w:t xml:space="preserve"> </w:t>
      </w:r>
      <w:r w:rsidR="006219DF" w:rsidRPr="002604A9">
        <w:rPr>
          <w:rFonts w:cs="Arial"/>
          <w:lang w:eastAsia="en-AU"/>
        </w:rPr>
        <w:t xml:space="preserve">&lt;http://www7.austlii.edu.au/cgi-bin/viewdb/au/legis/vic/consol_act/pra1973153/&gt; (external link, </w:t>
      </w:r>
      <w:r w:rsidR="00EA74AB">
        <w:rPr>
          <w:rFonts w:cs="Arial"/>
          <w:lang w:eastAsia="en-AU"/>
        </w:rPr>
        <w:t xml:space="preserve">opens in </w:t>
      </w:r>
      <w:r w:rsidR="00C62565">
        <w:rPr>
          <w:rFonts w:cs="Arial"/>
          <w:lang w:eastAsia="en-AU"/>
        </w:rPr>
        <w:t>a new window</w:t>
      </w:r>
      <w:r w:rsidR="00FF70E7">
        <w:rPr>
          <w:rFonts w:cs="Arial"/>
          <w:lang w:eastAsia="en-AU"/>
        </w:rPr>
        <w:t>).</w:t>
      </w:r>
    </w:p>
    <w:p w14:paraId="046AEAA2" w14:textId="77777777" w:rsidR="00FF70E7" w:rsidRPr="006219DF" w:rsidRDefault="00FF70E7" w:rsidP="00FF70E7">
      <w:pPr>
        <w:pStyle w:val="DHHSbullet1"/>
        <w:numPr>
          <w:ilvl w:val="0"/>
          <w:numId w:val="0"/>
        </w:numPr>
        <w:ind w:left="284"/>
        <w:rPr>
          <w:rFonts w:cs="Arial"/>
          <w:lang w:eastAsia="en-AU"/>
        </w:rPr>
      </w:pPr>
    </w:p>
    <w:p w14:paraId="3CB5331A" w14:textId="30F90C8C" w:rsidR="00FB1C15" w:rsidRDefault="00FB1C15" w:rsidP="00FB1C15">
      <w:pPr>
        <w:pStyle w:val="DHHSbullet1"/>
        <w:numPr>
          <w:ilvl w:val="0"/>
          <w:numId w:val="0"/>
        </w:numPr>
        <w:rPr>
          <w:rFonts w:cs="Arial"/>
          <w:color w:val="000000"/>
          <w:szCs w:val="19"/>
          <w:lang w:eastAsia="en-AU"/>
        </w:rPr>
      </w:pPr>
      <w:bookmarkStart w:id="484" w:name="_3.17.2_Access_and"/>
      <w:bookmarkStart w:id="485" w:name="_Toc478991863"/>
      <w:bookmarkStart w:id="486" w:name="_Toc478992422"/>
      <w:bookmarkEnd w:id="484"/>
      <w:r w:rsidRPr="00FB1C15">
        <w:rPr>
          <w:rFonts w:cs="Arial"/>
          <w:color w:val="000000"/>
          <w:szCs w:val="19"/>
          <w:lang w:eastAsia="en-AU"/>
        </w:rPr>
        <w:t xml:space="preserve">Organisations should refer to the websites of the </w:t>
      </w:r>
      <w:hyperlink r:id="rId103" w:tgtFrame="_blank" w:tooltip="Link to the Office for the Commissioner for Privacy and Data Protection's website" w:history="1">
        <w:r w:rsidRPr="00986D1E">
          <w:rPr>
            <w:rStyle w:val="Hyperlink"/>
          </w:rPr>
          <w:t xml:space="preserve">Office </w:t>
        </w:r>
        <w:r>
          <w:rPr>
            <w:rStyle w:val="Hyperlink"/>
          </w:rPr>
          <w:t>of</w:t>
        </w:r>
        <w:r w:rsidRPr="00986D1E">
          <w:rPr>
            <w:rStyle w:val="Hyperlink"/>
          </w:rPr>
          <w:t xml:space="preserve"> the </w:t>
        </w:r>
        <w:r>
          <w:rPr>
            <w:rStyle w:val="Hyperlink"/>
          </w:rPr>
          <w:t xml:space="preserve">Victorian Information </w:t>
        </w:r>
        <w:r w:rsidRPr="00986D1E">
          <w:rPr>
            <w:rStyle w:val="Hyperlink"/>
          </w:rPr>
          <w:t>Commissioner</w:t>
        </w:r>
      </w:hyperlink>
      <w:r w:rsidRPr="00FB1C15">
        <w:rPr>
          <w:rFonts w:cs="Arial"/>
          <w:color w:val="000000"/>
          <w:szCs w:val="19"/>
          <w:lang w:eastAsia="en-AU"/>
        </w:rPr>
        <w:t xml:space="preserve"> &lt;https://www.ovic.vic.gov.au/index.php&gt; (external link, </w:t>
      </w:r>
      <w:r w:rsidR="00EA74AB">
        <w:rPr>
          <w:rFonts w:cs="Arial"/>
          <w:color w:val="000000"/>
          <w:szCs w:val="19"/>
          <w:lang w:eastAsia="en-AU"/>
        </w:rPr>
        <w:t xml:space="preserve">opens in </w:t>
      </w:r>
      <w:r w:rsidR="00C62565">
        <w:rPr>
          <w:rFonts w:cs="Arial"/>
          <w:color w:val="000000"/>
          <w:szCs w:val="19"/>
          <w:lang w:eastAsia="en-AU"/>
        </w:rPr>
        <w:t>a new window</w:t>
      </w:r>
      <w:r w:rsidRPr="00FB1C15">
        <w:rPr>
          <w:rFonts w:cs="Arial"/>
          <w:color w:val="000000"/>
          <w:szCs w:val="19"/>
          <w:lang w:eastAsia="en-AU"/>
        </w:rPr>
        <w:t xml:space="preserve">) and the </w:t>
      </w:r>
      <w:hyperlink r:id="rId104" w:history="1">
        <w:r w:rsidRPr="00A71E82">
          <w:rPr>
            <w:rStyle w:val="Hyperlink"/>
          </w:rPr>
          <w:t xml:space="preserve">Health </w:t>
        </w:r>
        <w:r w:rsidRPr="006512BF">
          <w:rPr>
            <w:rStyle w:val="Hyperlink"/>
          </w:rPr>
          <w:t>Complaints Commissioner</w:t>
        </w:r>
      </w:hyperlink>
      <w:r w:rsidRPr="00FB1C15">
        <w:rPr>
          <w:rFonts w:cs="Arial"/>
          <w:color w:val="000000"/>
          <w:szCs w:val="19"/>
          <w:lang w:eastAsia="en-AU"/>
        </w:rPr>
        <w:t xml:space="preserve"> &lt;https://hcc.vic.gov.au/&gt; (external link, </w:t>
      </w:r>
      <w:r w:rsidR="00EA74AB">
        <w:rPr>
          <w:rFonts w:cs="Arial"/>
          <w:color w:val="000000"/>
          <w:szCs w:val="19"/>
          <w:lang w:eastAsia="en-AU"/>
        </w:rPr>
        <w:t xml:space="preserve">opens in </w:t>
      </w:r>
      <w:r w:rsidR="00C62565">
        <w:rPr>
          <w:rFonts w:cs="Arial"/>
          <w:color w:val="000000"/>
          <w:szCs w:val="19"/>
          <w:lang w:eastAsia="en-AU"/>
        </w:rPr>
        <w:t>a new window</w:t>
      </w:r>
      <w:r w:rsidRPr="00FB1C15">
        <w:rPr>
          <w:rFonts w:cs="Arial"/>
          <w:color w:val="000000"/>
          <w:szCs w:val="19"/>
          <w:lang w:eastAsia="en-AU"/>
        </w:rPr>
        <w:t>) for further information on their privacy obligations.</w:t>
      </w:r>
    </w:p>
    <w:p w14:paraId="4C2E2707" w14:textId="77777777" w:rsidR="00FB1C15" w:rsidRPr="00276391" w:rsidRDefault="00FB1C15" w:rsidP="00FB1C15">
      <w:pPr>
        <w:pStyle w:val="DHHSbullet1"/>
        <w:numPr>
          <w:ilvl w:val="0"/>
          <w:numId w:val="0"/>
        </w:numPr>
        <w:rPr>
          <w:lang w:eastAsia="en-AU"/>
        </w:rPr>
      </w:pPr>
    </w:p>
    <w:p w14:paraId="0E7645C3" w14:textId="7375B641" w:rsidR="00FB1C15" w:rsidRPr="00276391" w:rsidRDefault="00FB1C15" w:rsidP="00FB1C15">
      <w:pPr>
        <w:pStyle w:val="DHHSbullet1"/>
        <w:numPr>
          <w:ilvl w:val="0"/>
          <w:numId w:val="0"/>
        </w:numPr>
        <w:ind w:left="284" w:hanging="284"/>
        <w:rPr>
          <w:lang w:eastAsia="en-AU"/>
        </w:rPr>
      </w:pPr>
      <w:r w:rsidRPr="00276391">
        <w:rPr>
          <w:lang w:eastAsia="en-AU"/>
        </w:rPr>
        <w:t>Further information on the IPPs and HPPs is provided in</w:t>
      </w:r>
      <w:r>
        <w:rPr>
          <w:lang w:eastAsia="en-AU"/>
        </w:rPr>
        <w:t xml:space="preserve"> the following</w:t>
      </w:r>
      <w:r w:rsidR="005D25D4">
        <w:rPr>
          <w:lang w:eastAsia="en-AU"/>
        </w:rPr>
        <w:t xml:space="preserve"> sections.</w:t>
      </w:r>
    </w:p>
    <w:p w14:paraId="1AD4CDEC" w14:textId="77777777" w:rsidR="00236748" w:rsidRPr="00276391" w:rsidRDefault="00236748" w:rsidP="00067E93">
      <w:pPr>
        <w:pStyle w:val="Heading3"/>
        <w:rPr>
          <w:lang w:eastAsia="en-AU"/>
        </w:rPr>
      </w:pPr>
      <w:bookmarkStart w:id="487" w:name="_Toc4142089"/>
      <w:r w:rsidRPr="00276391">
        <w:rPr>
          <w:lang w:eastAsia="en-AU"/>
        </w:rPr>
        <w:t>3.17.2</w:t>
      </w:r>
      <w:r w:rsidR="009B2351" w:rsidRPr="00276391">
        <w:rPr>
          <w:lang w:eastAsia="en-AU"/>
        </w:rPr>
        <w:t xml:space="preserve"> </w:t>
      </w:r>
      <w:r w:rsidRPr="00276391">
        <w:rPr>
          <w:lang w:eastAsia="en-AU"/>
        </w:rPr>
        <w:t>Access</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correction</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personal</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health</w:t>
      </w:r>
      <w:r w:rsidR="009B2351" w:rsidRPr="00276391">
        <w:rPr>
          <w:lang w:eastAsia="en-AU"/>
        </w:rPr>
        <w:t xml:space="preserve"> </w:t>
      </w:r>
      <w:r w:rsidRPr="00276391">
        <w:rPr>
          <w:lang w:eastAsia="en-AU"/>
        </w:rPr>
        <w:t>information</w:t>
      </w:r>
      <w:bookmarkEnd w:id="485"/>
      <w:bookmarkEnd w:id="486"/>
      <w:bookmarkEnd w:id="487"/>
    </w:p>
    <w:p w14:paraId="70EC912D" w14:textId="77777777" w:rsidR="00236748" w:rsidRPr="00276391" w:rsidRDefault="00236748" w:rsidP="00276391">
      <w:pPr>
        <w:pStyle w:val="DHHSbody"/>
        <w:rPr>
          <w:lang w:eastAsia="en-AU"/>
        </w:rPr>
      </w:pP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Principle</w:t>
      </w:r>
      <w:r w:rsidR="005D5532" w:rsidRPr="00B24C02">
        <w:rPr>
          <w:rFonts w:cs="Arial"/>
          <w:color w:val="000000"/>
          <w:szCs w:val="19"/>
          <w:lang w:eastAsia="en-AU"/>
        </w:rPr>
        <w:t xml:space="preserve"> </w:t>
      </w:r>
      <w:r w:rsidRPr="00B24C02">
        <w:rPr>
          <w:rFonts w:cs="Arial"/>
          <w:color w:val="000000"/>
          <w:szCs w:val="19"/>
          <w:lang w:eastAsia="en-AU"/>
        </w:rPr>
        <w:t>(IPP)</w:t>
      </w:r>
      <w:r w:rsidR="005D5532" w:rsidRPr="00B24C02">
        <w:rPr>
          <w:rFonts w:cs="Arial"/>
          <w:color w:val="000000"/>
          <w:szCs w:val="19"/>
          <w:lang w:eastAsia="en-AU"/>
        </w:rPr>
        <w:t xml:space="preserve"> </w:t>
      </w:r>
      <w:r w:rsidRPr="00B24C02">
        <w:rPr>
          <w:rFonts w:cs="Arial"/>
          <w:color w:val="000000"/>
          <w:szCs w:val="19"/>
          <w:lang w:eastAsia="en-AU"/>
        </w:rPr>
        <w:t>6</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PDP</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Principle</w:t>
      </w:r>
      <w:r w:rsidR="005D5532" w:rsidRPr="00B24C02">
        <w:rPr>
          <w:rFonts w:cs="Arial"/>
          <w:color w:val="000000"/>
          <w:szCs w:val="19"/>
          <w:lang w:eastAsia="en-AU"/>
        </w:rPr>
        <w:t xml:space="preserve"> </w:t>
      </w:r>
      <w:r w:rsidRPr="00B24C02">
        <w:rPr>
          <w:rFonts w:cs="Arial"/>
          <w:color w:val="000000"/>
          <w:szCs w:val="19"/>
          <w:lang w:eastAsia="en-AU"/>
        </w:rPr>
        <w:t>(HPP)</w:t>
      </w:r>
      <w:r w:rsidR="005D5532" w:rsidRPr="00B24C02">
        <w:rPr>
          <w:rFonts w:cs="Arial"/>
          <w:color w:val="000000"/>
          <w:szCs w:val="19"/>
          <w:lang w:eastAsia="en-AU"/>
        </w:rPr>
        <w:t xml:space="preserve"> </w:t>
      </w:r>
      <w:r w:rsidRPr="00B24C02">
        <w:rPr>
          <w:rFonts w:cs="Arial"/>
          <w:color w:val="000000"/>
          <w:szCs w:val="19"/>
          <w:lang w:eastAsia="en-AU"/>
        </w:rPr>
        <w:t>6</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HR</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contain</w:t>
      </w:r>
      <w:r w:rsidR="005D5532" w:rsidRPr="00B24C02">
        <w:rPr>
          <w:rFonts w:cs="Arial"/>
          <w:color w:val="000000"/>
          <w:szCs w:val="19"/>
          <w:lang w:eastAsia="en-AU"/>
        </w:rPr>
        <w:t xml:space="preserve"> </w:t>
      </w:r>
      <w:r w:rsidRPr="00B24C02">
        <w:rPr>
          <w:rFonts w:cs="Arial"/>
          <w:color w:val="000000"/>
          <w:szCs w:val="19"/>
          <w:lang w:eastAsia="en-AU"/>
        </w:rPr>
        <w:t>provisions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individuals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access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correct</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own</w:t>
      </w:r>
      <w:r w:rsidR="005D5532" w:rsidRPr="00B24C02">
        <w:rPr>
          <w:rFonts w:cs="Arial"/>
          <w:color w:val="000000"/>
          <w:szCs w:val="19"/>
          <w:lang w:eastAsia="en-AU"/>
        </w:rPr>
        <w:t xml:space="preserve"> </w:t>
      </w:r>
      <w:r w:rsidRPr="00B24C02">
        <w:rPr>
          <w:rFonts w:cs="Arial"/>
          <w:color w:val="000000"/>
          <w:szCs w:val="19"/>
          <w:lang w:eastAsia="en-AU"/>
        </w:rPr>
        <w:t>personal</w:t>
      </w:r>
      <w:r w:rsidR="005D5532" w:rsidRPr="00B24C02">
        <w:rPr>
          <w:rFonts w:cs="Arial"/>
          <w:color w:val="000000"/>
          <w:szCs w:val="19"/>
          <w:lang w:eastAsia="en-AU"/>
        </w:rPr>
        <w:t xml:space="preserve"> </w:t>
      </w:r>
      <w:r w:rsidRPr="00B24C02">
        <w:rPr>
          <w:rFonts w:cs="Arial"/>
          <w:color w:val="000000"/>
          <w:szCs w:val="19"/>
          <w:lang w:eastAsia="en-AU"/>
        </w:rPr>
        <w:t>information.</w:t>
      </w:r>
    </w:p>
    <w:p w14:paraId="3E8A5F43" w14:textId="77777777" w:rsidR="00236748" w:rsidRPr="00276391" w:rsidRDefault="00236748" w:rsidP="00276391">
      <w:pPr>
        <w:pStyle w:val="DHHSbody"/>
        <w:rPr>
          <w:lang w:eastAsia="en-AU"/>
        </w:rPr>
      </w:pPr>
      <w:r w:rsidRPr="00276391">
        <w:rPr>
          <w:lang w:eastAsia="en-AU"/>
        </w:rPr>
        <w:t>Under</w:t>
      </w:r>
      <w:r w:rsidR="005D5532" w:rsidRPr="00276391">
        <w:rPr>
          <w:lang w:eastAsia="en-AU"/>
        </w:rPr>
        <w:t xml:space="preserve"> </w:t>
      </w:r>
      <w:r w:rsidRPr="00276391">
        <w:rPr>
          <w:lang w:eastAsia="en-AU"/>
        </w:rPr>
        <w:t>IPP</w:t>
      </w:r>
      <w:r w:rsidR="005D5532" w:rsidRPr="00276391">
        <w:rPr>
          <w:lang w:eastAsia="en-AU"/>
        </w:rPr>
        <w:t xml:space="preserve"> </w:t>
      </w:r>
      <w:r w:rsidRPr="00276391">
        <w:rPr>
          <w:lang w:eastAsia="en-AU"/>
        </w:rPr>
        <w:t>6.8,</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requests</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correction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personal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held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soon</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practicable,</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no</w:t>
      </w:r>
      <w:r w:rsidR="005D5532" w:rsidRPr="00276391">
        <w:rPr>
          <w:lang w:eastAsia="en-AU"/>
        </w:rPr>
        <w:t xml:space="preserve"> </w:t>
      </w:r>
      <w:r w:rsidRPr="00276391">
        <w:rPr>
          <w:lang w:eastAsia="en-AU"/>
        </w:rPr>
        <w:t>later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45</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receiving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request:</w:t>
      </w:r>
    </w:p>
    <w:p w14:paraId="5D75672D" w14:textId="28564502"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access,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reasons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denial</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access;</w:t>
      </w:r>
    </w:p>
    <w:p w14:paraId="7C042161" w14:textId="77777777" w:rsidR="00236748" w:rsidRPr="00276391" w:rsidRDefault="00236748" w:rsidP="00276391">
      <w:pPr>
        <w:pStyle w:val="DHHSbullet1"/>
        <w:rPr>
          <w:rFonts w:cs="Arial"/>
          <w:lang w:eastAsia="en-AU"/>
        </w:rPr>
      </w:pPr>
      <w:r w:rsidRPr="00276391">
        <w:rPr>
          <w:rFonts w:cs="Arial"/>
          <w:lang w:eastAsia="en-AU"/>
        </w:rPr>
        <w:t>correct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provide</w:t>
      </w:r>
      <w:r w:rsidR="005D5532" w:rsidRPr="00276391">
        <w:rPr>
          <w:rFonts w:cs="Arial"/>
          <w:lang w:eastAsia="en-AU"/>
        </w:rPr>
        <w:t xml:space="preserve"> </w:t>
      </w:r>
      <w:r w:rsidRPr="00276391">
        <w:rPr>
          <w:rFonts w:cs="Arial"/>
          <w:lang w:eastAsia="en-AU"/>
        </w:rPr>
        <w:t>reasons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refusal</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correct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458185FE" w14:textId="7599CCE4"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reasons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delay</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responding</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request</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access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correction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00FF70E7">
        <w:rPr>
          <w:rFonts w:cs="Arial"/>
          <w:lang w:eastAsia="en-AU"/>
        </w:rPr>
        <w:t>information</w:t>
      </w:r>
    </w:p>
    <w:p w14:paraId="7F48DE3B" w14:textId="77777777" w:rsidR="00FB1C15" w:rsidRPr="00276391" w:rsidRDefault="00FB1C15" w:rsidP="00FB1C15">
      <w:pPr>
        <w:pStyle w:val="DHHSbullet1"/>
        <w:rPr>
          <w:lang w:eastAsia="en-AU"/>
        </w:rPr>
      </w:pPr>
      <w:r w:rsidRPr="00FB1C15">
        <w:rPr>
          <w:rFonts w:cs="Arial"/>
          <w:color w:val="000000"/>
          <w:szCs w:val="19"/>
          <w:lang w:eastAsia="en-AU"/>
        </w:rPr>
        <w:t>Requests for access to and correction of health information held by a funded organisation must be in accordance with HPP 6.</w:t>
      </w:r>
    </w:p>
    <w:p w14:paraId="7673ED1F" w14:textId="7BBE1233" w:rsidR="00236748" w:rsidRPr="00276391" w:rsidRDefault="00236748" w:rsidP="00276391">
      <w:pPr>
        <w:pStyle w:val="DHHSbody"/>
        <w:rPr>
          <w:lang w:eastAsia="en-AU"/>
        </w:rPr>
      </w:pPr>
      <w:r w:rsidRPr="00276391">
        <w:rPr>
          <w:lang w:eastAsia="en-AU"/>
        </w:rPr>
        <w:t>Refer</w:t>
      </w:r>
      <w:r w:rsidR="005D5532" w:rsidRPr="00276391">
        <w:rPr>
          <w:lang w:eastAsia="en-AU"/>
        </w:rPr>
        <w:t xml:space="preserve"> </w:t>
      </w:r>
      <w:r w:rsidRPr="00276391">
        <w:rPr>
          <w:lang w:eastAsia="en-AU"/>
        </w:rPr>
        <w:t>to</w:t>
      </w:r>
      <w:r w:rsidR="005D5532" w:rsidRPr="00276391">
        <w:rPr>
          <w:lang w:eastAsia="en-AU"/>
        </w:rPr>
        <w:t xml:space="preserve"> </w:t>
      </w:r>
      <w:hyperlink w:anchor="_3.6.3_Freedom_of" w:history="1">
        <w:r w:rsidR="00744B98">
          <w:rPr>
            <w:rStyle w:val="Hyperlink"/>
          </w:rPr>
          <w:t>C</w:t>
        </w:r>
        <w:r w:rsidRPr="00986D1E">
          <w:rPr>
            <w:rStyle w:val="Hyperlink"/>
          </w:rPr>
          <w:t>hapter</w:t>
        </w:r>
        <w:r w:rsidR="005D5532" w:rsidRPr="00986D1E">
          <w:rPr>
            <w:rStyle w:val="Hyperlink"/>
          </w:rPr>
          <w:t xml:space="preserve"> </w:t>
        </w:r>
        <w:r w:rsidRPr="00986D1E">
          <w:rPr>
            <w:rStyle w:val="Hyperlink"/>
          </w:rPr>
          <w:t>3.6.3</w:t>
        </w:r>
        <w:r w:rsidR="005D5532" w:rsidRPr="00986D1E">
          <w:rPr>
            <w:rStyle w:val="Hyperlink"/>
          </w:rPr>
          <w:t xml:space="preserve"> </w:t>
        </w:r>
        <w:r w:rsidRPr="00986D1E">
          <w:rPr>
            <w:rStyle w:val="Hyperlink"/>
          </w:rPr>
          <w:t>Freedom</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Information</w:t>
        </w:r>
      </w:hyperlink>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p>
    <w:p w14:paraId="585CAC7B" w14:textId="77777777" w:rsidR="00236748" w:rsidRPr="00276391" w:rsidRDefault="00236748" w:rsidP="00067E93">
      <w:pPr>
        <w:pStyle w:val="Heading3"/>
        <w:rPr>
          <w:lang w:eastAsia="en-AU"/>
        </w:rPr>
      </w:pPr>
      <w:bookmarkStart w:id="488" w:name="_3.17.3_Collection_and"/>
      <w:bookmarkStart w:id="489" w:name="_Toc478991864"/>
      <w:bookmarkStart w:id="490" w:name="_Toc478992423"/>
      <w:bookmarkStart w:id="491" w:name="_Toc4142090"/>
      <w:bookmarkEnd w:id="488"/>
      <w:r w:rsidRPr="00276391">
        <w:rPr>
          <w:lang w:eastAsia="en-AU"/>
        </w:rPr>
        <w:t>3.17.3</w:t>
      </w:r>
      <w:r w:rsidR="009B2351" w:rsidRPr="00276391">
        <w:rPr>
          <w:lang w:eastAsia="en-AU"/>
        </w:rPr>
        <w:t xml:space="preserve"> </w:t>
      </w:r>
      <w:r w:rsidRPr="00276391">
        <w:rPr>
          <w:lang w:eastAsia="en-AU"/>
        </w:rPr>
        <w:t>Collection</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disclosure</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personal</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health</w:t>
      </w:r>
      <w:r w:rsidR="009B2351" w:rsidRPr="00276391">
        <w:rPr>
          <w:lang w:eastAsia="en-AU"/>
        </w:rPr>
        <w:t xml:space="preserve"> </w:t>
      </w:r>
      <w:r w:rsidRPr="00276391">
        <w:rPr>
          <w:lang w:eastAsia="en-AU"/>
        </w:rPr>
        <w:t>information</w:t>
      </w:r>
      <w:bookmarkEnd w:id="489"/>
      <w:bookmarkEnd w:id="490"/>
      <w:bookmarkEnd w:id="491"/>
    </w:p>
    <w:p w14:paraId="7651CC03" w14:textId="77777777" w:rsidR="00236748" w:rsidRPr="00276391" w:rsidRDefault="00236748" w:rsidP="00067E93">
      <w:pPr>
        <w:pStyle w:val="Heading4"/>
        <w:rPr>
          <w:lang w:eastAsia="en-AU"/>
        </w:rPr>
      </w:pPr>
      <w:bookmarkStart w:id="492" w:name="_Toc478991865"/>
      <w:r w:rsidRPr="00276391">
        <w:rPr>
          <w:lang w:eastAsia="en-AU"/>
        </w:rPr>
        <w:t>Collection</w:t>
      </w:r>
      <w:r w:rsidR="005D5532" w:rsidRPr="00276391">
        <w:rPr>
          <w:lang w:eastAsia="en-AU"/>
        </w:rPr>
        <w:t xml:space="preserve"> </w:t>
      </w:r>
      <w:r w:rsidRPr="00276391">
        <w:rPr>
          <w:lang w:eastAsia="en-AU"/>
        </w:rPr>
        <w:t>notice</w:t>
      </w:r>
      <w:bookmarkEnd w:id="492"/>
    </w:p>
    <w:p w14:paraId="7BFD1A16" w14:textId="68E27A09" w:rsidR="00FB1C15" w:rsidRDefault="00FB1C15" w:rsidP="00FB1C15">
      <w:pPr>
        <w:pStyle w:val="DHHSbullet1"/>
        <w:numPr>
          <w:ilvl w:val="0"/>
          <w:numId w:val="0"/>
        </w:numPr>
        <w:rPr>
          <w:rFonts w:cs="Arial"/>
          <w:color w:val="000000"/>
          <w:szCs w:val="19"/>
          <w:lang w:eastAsia="en-AU"/>
        </w:rPr>
      </w:pPr>
      <w:r w:rsidRPr="00FB1C15">
        <w:rPr>
          <w:rFonts w:cs="Arial"/>
          <w:color w:val="000000"/>
          <w:szCs w:val="19"/>
          <w:lang w:eastAsia="en-AU"/>
        </w:rPr>
        <w:t>Under Information Privacy Principle (IPP) 1.3 of the PDP Act and Health Privacy Principle (HPP) 1.4 of</w:t>
      </w:r>
      <w:r w:rsidR="006250C7">
        <w:rPr>
          <w:rFonts w:cs="Arial"/>
          <w:color w:val="000000"/>
          <w:szCs w:val="19"/>
          <w:lang w:eastAsia="en-AU"/>
        </w:rPr>
        <w:t xml:space="preserve">                                    </w:t>
      </w:r>
      <w:r w:rsidRPr="00FB1C15">
        <w:rPr>
          <w:rFonts w:cs="Arial"/>
          <w:color w:val="000000"/>
          <w:szCs w:val="19"/>
          <w:lang w:eastAsia="en-AU"/>
        </w:rPr>
        <w:t xml:space="preserve">the HR Act, before, or as soon as practicable after, personal or health information is collected about an individual </w:t>
      </w:r>
      <w:r>
        <w:rPr>
          <w:rFonts w:cs="Arial"/>
          <w:color w:val="000000"/>
          <w:szCs w:val="19"/>
          <w:lang w:eastAsia="en-AU"/>
        </w:rPr>
        <w:t xml:space="preserve">or </w:t>
      </w:r>
      <w:r w:rsidRPr="00FB1C15">
        <w:rPr>
          <w:rFonts w:cs="Arial"/>
          <w:color w:val="000000"/>
          <w:szCs w:val="19"/>
          <w:lang w:eastAsia="en-AU"/>
        </w:rPr>
        <w:t xml:space="preserve">from an individual, funded organisations must inform the individual by providing a notice to the individual, </w:t>
      </w:r>
      <w:r>
        <w:rPr>
          <w:rFonts w:cs="Arial"/>
          <w:color w:val="000000"/>
          <w:szCs w:val="19"/>
          <w:lang w:eastAsia="en-AU"/>
        </w:rPr>
        <w:t xml:space="preserve">informing them </w:t>
      </w:r>
      <w:r w:rsidRPr="00FB1C15">
        <w:rPr>
          <w:rFonts w:cs="Arial"/>
          <w:color w:val="000000"/>
          <w:szCs w:val="19"/>
          <w:lang w:eastAsia="en-AU"/>
        </w:rPr>
        <w:t>of:</w:t>
      </w:r>
    </w:p>
    <w:p w14:paraId="10A23313" w14:textId="77777777" w:rsidR="00FF70E7" w:rsidRPr="00276391" w:rsidRDefault="00FF70E7" w:rsidP="00FB1C15">
      <w:pPr>
        <w:pStyle w:val="DHHSbullet1"/>
        <w:numPr>
          <w:ilvl w:val="0"/>
          <w:numId w:val="0"/>
        </w:numPr>
        <w:rPr>
          <w:lang w:eastAsia="en-AU"/>
        </w:rPr>
      </w:pPr>
    </w:p>
    <w:p w14:paraId="6B9A254C"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identity</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how</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contact</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p>
    <w:p w14:paraId="1395D63D"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fact</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individual</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able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gain</w:t>
      </w:r>
      <w:r w:rsidR="005D5532" w:rsidRPr="00276391">
        <w:rPr>
          <w:rFonts w:cs="Arial"/>
          <w:lang w:eastAsia="en-AU"/>
        </w:rPr>
        <w:t xml:space="preserve"> </w:t>
      </w:r>
      <w:r w:rsidRPr="00276391">
        <w:rPr>
          <w:rFonts w:cs="Arial"/>
          <w:lang w:eastAsia="en-AU"/>
        </w:rPr>
        <w:t>access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p>
    <w:p w14:paraId="76489EED"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purposes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collected</w:t>
      </w:r>
      <w:r w:rsidR="005D5532" w:rsidRPr="00276391">
        <w:rPr>
          <w:rFonts w:cs="Arial"/>
          <w:lang w:eastAsia="en-AU"/>
        </w:rPr>
        <w:t xml:space="preserve"> </w:t>
      </w:r>
    </w:p>
    <w:p w14:paraId="5B05CFD9" w14:textId="77777777" w:rsidR="00236748" w:rsidRPr="00276391" w:rsidRDefault="00236748" w:rsidP="00276391">
      <w:pPr>
        <w:pStyle w:val="DHHSbullet1"/>
        <w:rPr>
          <w:rFonts w:cs="Arial"/>
          <w:lang w:eastAsia="en-AU"/>
        </w:rPr>
      </w:pPr>
      <w:r w:rsidRPr="00276391">
        <w:rPr>
          <w:rFonts w:cs="Arial"/>
          <w:lang w:eastAsia="en-AU"/>
        </w:rPr>
        <w:t>to</w:t>
      </w:r>
      <w:r w:rsidR="005D5532" w:rsidRPr="00276391">
        <w:rPr>
          <w:rFonts w:cs="Arial"/>
          <w:lang w:eastAsia="en-AU"/>
        </w:rPr>
        <w:t xml:space="preserve"> </w:t>
      </w:r>
      <w:r w:rsidRPr="00276391">
        <w:rPr>
          <w:rFonts w:cs="Arial"/>
          <w:lang w:eastAsia="en-AU"/>
        </w:rPr>
        <w:t>whom</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types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individuals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funded</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usually</w:t>
      </w:r>
      <w:r w:rsidR="005D5532" w:rsidRPr="00276391">
        <w:rPr>
          <w:rFonts w:cs="Arial"/>
          <w:lang w:eastAsia="en-AU"/>
        </w:rPr>
        <w:t xml:space="preserve"> </w:t>
      </w:r>
      <w:r w:rsidRPr="00276391">
        <w:rPr>
          <w:rFonts w:cs="Arial"/>
          <w:lang w:eastAsia="en-AU"/>
        </w:rPr>
        <w:t>discloses</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kind</w:t>
      </w:r>
      <w:r w:rsidR="005D5532" w:rsidRPr="00276391">
        <w:rPr>
          <w:rFonts w:cs="Arial"/>
          <w:lang w:eastAsia="en-AU"/>
        </w:rPr>
        <w:t xml:space="preserve"> </w:t>
      </w:r>
    </w:p>
    <w:p w14:paraId="0903AB73" w14:textId="77777777" w:rsidR="00236748" w:rsidRPr="00276391" w:rsidRDefault="00236748" w:rsidP="00276391">
      <w:pPr>
        <w:pStyle w:val="DHHSbullet1"/>
        <w:rPr>
          <w:rFonts w:cs="Arial"/>
          <w:lang w:eastAsia="en-AU"/>
        </w:rPr>
      </w:pPr>
      <w:r w:rsidRPr="00276391">
        <w:rPr>
          <w:rFonts w:cs="Arial"/>
          <w:lang w:eastAsia="en-AU"/>
        </w:rPr>
        <w:t>any</w:t>
      </w:r>
      <w:r w:rsidR="005D5532" w:rsidRPr="00276391">
        <w:rPr>
          <w:rFonts w:cs="Arial"/>
          <w:lang w:eastAsia="en-AU"/>
        </w:rPr>
        <w:t xml:space="preserve"> </w:t>
      </w:r>
      <w:r w:rsidRPr="00276391">
        <w:rPr>
          <w:rFonts w:cs="Arial"/>
          <w:lang w:eastAsia="en-AU"/>
        </w:rPr>
        <w:t>law</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requires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particular</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collected</w:t>
      </w:r>
      <w:r w:rsidR="005D5532" w:rsidRPr="00276391">
        <w:rPr>
          <w:rFonts w:cs="Arial"/>
          <w:lang w:eastAsia="en-AU"/>
        </w:rPr>
        <w:t xml:space="preserve"> </w:t>
      </w:r>
    </w:p>
    <w:p w14:paraId="6CD518AA"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main</w:t>
      </w:r>
      <w:r w:rsidR="005D5532" w:rsidRPr="00276391">
        <w:rPr>
          <w:rFonts w:cs="Arial"/>
          <w:lang w:eastAsia="en-AU"/>
        </w:rPr>
        <w:t xml:space="preserve"> </w:t>
      </w:r>
      <w:r w:rsidRPr="00276391">
        <w:rPr>
          <w:rFonts w:cs="Arial"/>
          <w:lang w:eastAsia="en-AU"/>
        </w:rPr>
        <w:t>consequences</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individual</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part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not</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p>
    <w:p w14:paraId="4620334F" w14:textId="1E4ABE35" w:rsidR="00236748" w:rsidRPr="00276391" w:rsidRDefault="00236748" w:rsidP="00276391">
      <w:pPr>
        <w:pStyle w:val="DHHSbody"/>
        <w:rPr>
          <w:lang w:eastAsia="en-AU"/>
        </w:rPr>
      </w:pP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complying</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IPP</w:t>
      </w:r>
      <w:r w:rsidR="005D5532" w:rsidRPr="00B24C02">
        <w:rPr>
          <w:rFonts w:cs="Arial"/>
          <w:color w:val="000000"/>
          <w:szCs w:val="19"/>
          <w:lang w:eastAsia="en-AU"/>
        </w:rPr>
        <w:t xml:space="preserve"> </w:t>
      </w:r>
      <w:r w:rsidRPr="00B24C02">
        <w:rPr>
          <w:rFonts w:cs="Arial"/>
          <w:color w:val="000000"/>
          <w:szCs w:val="19"/>
          <w:lang w:eastAsia="en-AU"/>
        </w:rPr>
        <w:t>1.3</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HPP</w:t>
      </w:r>
      <w:r w:rsidR="005D5532" w:rsidRPr="00B24C02">
        <w:rPr>
          <w:rFonts w:cs="Arial"/>
          <w:color w:val="000000"/>
          <w:szCs w:val="19"/>
          <w:lang w:eastAsia="en-AU"/>
        </w:rPr>
        <w:t xml:space="preserve"> </w:t>
      </w:r>
      <w:r w:rsidRPr="00B24C02">
        <w:rPr>
          <w:rFonts w:cs="Arial"/>
          <w:color w:val="000000"/>
          <w:szCs w:val="19"/>
          <w:lang w:eastAsia="en-AU"/>
        </w:rPr>
        <w:t>1.4,</w:t>
      </w:r>
      <w:r w:rsidR="005D5532" w:rsidRPr="00B24C02">
        <w:rPr>
          <w:rFonts w:cs="Arial"/>
          <w:color w:val="000000"/>
          <w:szCs w:val="19"/>
          <w:lang w:eastAsia="en-AU"/>
        </w:rPr>
        <w:t xml:space="preserve"> </w:t>
      </w:r>
      <w:r w:rsidRPr="00B24C02">
        <w:rPr>
          <w:rFonts w:cs="Arial"/>
          <w:color w:val="000000"/>
          <w:szCs w:val="19"/>
          <w:lang w:eastAsia="en-AU"/>
        </w:rPr>
        <w:t>clause</w:t>
      </w:r>
      <w:r w:rsidR="005D5532" w:rsidRPr="00B24C02">
        <w:rPr>
          <w:rFonts w:cs="Arial"/>
          <w:color w:val="000000"/>
          <w:szCs w:val="19"/>
          <w:lang w:eastAsia="en-AU"/>
        </w:rPr>
        <w:t xml:space="preserve"> </w:t>
      </w:r>
      <w:r w:rsidRPr="00B24C02">
        <w:rPr>
          <w:rFonts w:cs="Arial"/>
          <w:color w:val="000000"/>
          <w:szCs w:val="19"/>
          <w:lang w:eastAsia="en-AU"/>
        </w:rPr>
        <w:t>17.3(k)</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specifically</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make</w:t>
      </w:r>
      <w:r w:rsidR="005D5532" w:rsidRPr="00B24C02">
        <w:rPr>
          <w:rFonts w:cs="Arial"/>
          <w:color w:val="000000"/>
          <w:szCs w:val="19"/>
          <w:lang w:eastAsia="en-AU"/>
        </w:rPr>
        <w:t xml:space="preserve"> </w:t>
      </w:r>
      <w:r w:rsidRPr="00B24C02">
        <w:rPr>
          <w:rFonts w:cs="Arial"/>
          <w:color w:val="000000"/>
          <w:szCs w:val="19"/>
          <w:lang w:eastAsia="en-AU"/>
        </w:rPr>
        <w:t>individuals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whom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that:</w:t>
      </w:r>
    </w:p>
    <w:p w14:paraId="5C5D39C9" w14:textId="3761CD44"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it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disclose</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00FF70E7">
        <w:rPr>
          <w:rFonts w:cs="Arial"/>
          <w:lang w:eastAsia="en-AU"/>
        </w:rPr>
        <w:t>17.3k(i)</w:t>
      </w:r>
    </w:p>
    <w:p w14:paraId="7F7EB6EC" w14:textId="4E831875"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collect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disclose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specific</w:t>
      </w:r>
      <w:r w:rsidR="005D5532" w:rsidRPr="00276391">
        <w:rPr>
          <w:rFonts w:cs="Arial"/>
          <w:lang w:eastAsia="en-AU"/>
        </w:rPr>
        <w:t xml:space="preserve"> </w:t>
      </w:r>
      <w:r w:rsidRPr="00276391">
        <w:rPr>
          <w:rFonts w:cs="Arial"/>
          <w:lang w:eastAsia="en-AU"/>
        </w:rPr>
        <w:t>purposes,</w:t>
      </w:r>
      <w:r w:rsidR="005D5532" w:rsidRPr="00276391">
        <w:rPr>
          <w:rFonts w:cs="Arial"/>
          <w:lang w:eastAsia="en-AU"/>
        </w:rPr>
        <w:t xml:space="preserve"> </w:t>
      </w:r>
      <w:r w:rsidRPr="00276391">
        <w:rPr>
          <w:rFonts w:cs="Arial"/>
          <w:lang w:eastAsia="en-AU"/>
        </w:rPr>
        <w:t>including</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providing</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individual</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department’s</w:t>
      </w:r>
      <w:r w:rsidR="005D5532" w:rsidRPr="00276391">
        <w:rPr>
          <w:rFonts w:cs="Arial"/>
          <w:lang w:eastAsia="en-AU"/>
        </w:rPr>
        <w:t xml:space="preserve"> </w:t>
      </w:r>
      <w:r w:rsidRPr="00276391">
        <w:rPr>
          <w:rFonts w:cs="Arial"/>
          <w:lang w:eastAsia="en-AU"/>
        </w:rPr>
        <w:t>auditing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monitoring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00FF70E7">
        <w:rPr>
          <w:rFonts w:cs="Arial"/>
          <w:lang w:eastAsia="en-AU"/>
        </w:rPr>
        <w:t>recordkeeping</w:t>
      </w:r>
    </w:p>
    <w:p w14:paraId="0586D971" w14:textId="77777777" w:rsidR="00FB1C15" w:rsidRPr="00276391" w:rsidRDefault="00FB1C15" w:rsidP="00FB1C15">
      <w:pPr>
        <w:pStyle w:val="DHHSbullet1"/>
        <w:rPr>
          <w:rFonts w:cs="Arial"/>
          <w:lang w:eastAsia="en-AU"/>
        </w:rPr>
      </w:pPr>
      <w:r w:rsidRPr="00276391">
        <w:rPr>
          <w:rFonts w:cs="Arial"/>
          <w:lang w:eastAsia="en-AU"/>
        </w:rPr>
        <w:lastRenderedPageBreak/>
        <w:t xml:space="preserve">unless the personal information is destroyed by the organisation, it will ultimately be disposed of to, or at the direction of, </w:t>
      </w:r>
      <w:r>
        <w:rPr>
          <w:rFonts w:cs="Arial"/>
          <w:lang w:eastAsia="en-AU"/>
        </w:rPr>
        <w:t>Public Record Office Victoria.</w:t>
      </w:r>
      <w:r w:rsidRPr="00276391">
        <w:rPr>
          <w:rFonts w:cs="Arial"/>
          <w:lang w:eastAsia="en-AU"/>
        </w:rPr>
        <w:t xml:space="preserve"> </w:t>
      </w:r>
    </w:p>
    <w:p w14:paraId="19128775"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‘collection</w:t>
      </w:r>
      <w:r w:rsidR="005D5532" w:rsidRPr="00B24C02">
        <w:rPr>
          <w:rFonts w:cs="Arial"/>
          <w:color w:val="000000"/>
          <w:szCs w:val="19"/>
          <w:lang w:eastAsia="en-AU"/>
        </w:rPr>
        <w:t xml:space="preserve"> </w:t>
      </w:r>
      <w:r w:rsidRPr="00B24C02">
        <w:rPr>
          <w:rFonts w:cs="Arial"/>
          <w:color w:val="000000"/>
          <w:szCs w:val="19"/>
          <w:lang w:eastAsia="en-AU"/>
        </w:rPr>
        <w:t>notice’</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various</w:t>
      </w:r>
      <w:r w:rsidR="005D5532" w:rsidRPr="00B24C02">
        <w:rPr>
          <w:rFonts w:cs="Arial"/>
          <w:color w:val="000000"/>
          <w:szCs w:val="19"/>
          <w:lang w:eastAsia="en-AU"/>
        </w:rPr>
        <w:t xml:space="preserve"> </w:t>
      </w:r>
      <w:r w:rsidRPr="00B24C02">
        <w:rPr>
          <w:rFonts w:cs="Arial"/>
          <w:color w:val="000000"/>
          <w:szCs w:val="19"/>
          <w:lang w:eastAsia="en-AU"/>
        </w:rPr>
        <w:t>means,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sheets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initial</w:t>
      </w:r>
      <w:r w:rsidR="005D5532" w:rsidRPr="00B24C02">
        <w:rPr>
          <w:rFonts w:cs="Arial"/>
          <w:color w:val="000000"/>
          <w:szCs w:val="19"/>
          <w:lang w:eastAsia="en-AU"/>
        </w:rPr>
        <w:t xml:space="preserve"> </w:t>
      </w:r>
      <w:r w:rsidRPr="00B24C02">
        <w:rPr>
          <w:rFonts w:cs="Arial"/>
          <w:color w:val="000000"/>
          <w:szCs w:val="19"/>
          <w:lang w:eastAsia="en-AU"/>
        </w:rPr>
        <w:t>consultation,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standard</w:t>
      </w:r>
      <w:r w:rsidR="005D5532" w:rsidRPr="00B24C02">
        <w:rPr>
          <w:rFonts w:cs="Arial"/>
          <w:color w:val="000000"/>
          <w:szCs w:val="19"/>
          <w:lang w:eastAsia="en-AU"/>
        </w:rPr>
        <w:t xml:space="preserve"> </w:t>
      </w:r>
      <w:r w:rsidRPr="00B24C02">
        <w:rPr>
          <w:rFonts w:cs="Arial"/>
          <w:color w:val="000000"/>
          <w:szCs w:val="19"/>
          <w:lang w:eastAsia="en-AU"/>
        </w:rPr>
        <w:t>telephone</w:t>
      </w:r>
      <w:r w:rsidR="005D5532" w:rsidRPr="00B24C02">
        <w:rPr>
          <w:rFonts w:cs="Arial"/>
          <w:color w:val="000000"/>
          <w:szCs w:val="19"/>
          <w:lang w:eastAsia="en-AU"/>
        </w:rPr>
        <w:t xml:space="preserve"> </w:t>
      </w:r>
      <w:r w:rsidRPr="00B24C02">
        <w:rPr>
          <w:rFonts w:cs="Arial"/>
          <w:color w:val="000000"/>
          <w:szCs w:val="19"/>
          <w:lang w:eastAsia="en-AU"/>
        </w:rPr>
        <w:t>script,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website,</w:t>
      </w:r>
      <w:r w:rsidR="005D5532" w:rsidRPr="00B24C02">
        <w:rPr>
          <w:rFonts w:cs="Arial"/>
          <w:color w:val="000000"/>
          <w:szCs w:val="19"/>
          <w:lang w:eastAsia="en-AU"/>
        </w:rPr>
        <w:t xml:space="preserve"> </w:t>
      </w:r>
      <w:r w:rsidRPr="00B24C02">
        <w:rPr>
          <w:rFonts w:cs="Arial"/>
          <w:color w:val="000000"/>
          <w:szCs w:val="19"/>
          <w:lang w:eastAsia="en-AU"/>
        </w:rPr>
        <w:t>posters,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brochures.</w:t>
      </w:r>
    </w:p>
    <w:p w14:paraId="76E3494D" w14:textId="77777777" w:rsidR="00236748" w:rsidRPr="00276391" w:rsidRDefault="00236748" w:rsidP="00276391">
      <w:pPr>
        <w:pStyle w:val="DHHSbody"/>
        <w:rPr>
          <w:lang w:eastAsia="en-AU"/>
        </w:rPr>
      </w:pPr>
      <w:r w:rsidRPr="00276391">
        <w:rPr>
          <w:lang w:eastAsia="en-AU"/>
        </w:rPr>
        <w:t>Giving</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individuals</w:t>
      </w:r>
      <w:r w:rsidR="005D5532" w:rsidRPr="00276391">
        <w:rPr>
          <w:lang w:eastAsia="en-AU"/>
        </w:rPr>
        <w:t xml:space="preserve"> </w:t>
      </w:r>
      <w:r w:rsidRPr="00276391">
        <w:rPr>
          <w:lang w:eastAsia="en-AU"/>
        </w:rPr>
        <w:t>helps</w:t>
      </w:r>
      <w:r w:rsidR="005D5532" w:rsidRPr="00276391">
        <w:rPr>
          <w:lang w:eastAsia="en-AU"/>
        </w:rPr>
        <w:t xml:space="preserve"> </w:t>
      </w:r>
      <w:r w:rsidRPr="00276391">
        <w:rPr>
          <w:lang w:eastAsia="en-AU"/>
        </w:rPr>
        <w:t>promote</w:t>
      </w:r>
      <w:r w:rsidR="005D5532" w:rsidRPr="00276391">
        <w:rPr>
          <w:lang w:eastAsia="en-AU"/>
        </w:rPr>
        <w:t xml:space="preserve"> </w:t>
      </w:r>
      <w:r w:rsidRPr="00276391">
        <w:rPr>
          <w:lang w:eastAsia="en-AU"/>
        </w:rPr>
        <w:t>transparency</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collection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handling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personal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informs</w:t>
      </w:r>
      <w:r w:rsidR="005D5532" w:rsidRPr="00276391">
        <w:rPr>
          <w:lang w:eastAsia="en-AU"/>
        </w:rPr>
        <w:t xml:space="preserve"> </w:t>
      </w:r>
      <w:r w:rsidRPr="00276391">
        <w:rPr>
          <w:lang w:eastAsia="en-AU"/>
        </w:rPr>
        <w:t>individuals</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important</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information.</w:t>
      </w:r>
    </w:p>
    <w:p w14:paraId="05040B25" w14:textId="4F03FEA2" w:rsidR="00FB1C15" w:rsidRPr="00276391" w:rsidRDefault="00FB1C15" w:rsidP="00FB1C15">
      <w:pPr>
        <w:pStyle w:val="DHHSbody"/>
        <w:rPr>
          <w:lang w:eastAsia="en-AU"/>
        </w:rPr>
      </w:pPr>
      <w:bookmarkStart w:id="493" w:name="_Toc478991866"/>
      <w:r w:rsidRPr="00276391">
        <w:rPr>
          <w:lang w:eastAsia="en-AU"/>
        </w:rPr>
        <w:t>Information on collection notices can be found on the</w:t>
      </w:r>
      <w:r>
        <w:rPr>
          <w:lang w:eastAsia="en-AU"/>
        </w:rPr>
        <w:t xml:space="preserve"> website of the</w:t>
      </w:r>
      <w:r w:rsidRPr="00276391">
        <w:rPr>
          <w:lang w:eastAsia="en-AU"/>
        </w:rPr>
        <w:t xml:space="preserve"> </w:t>
      </w:r>
      <w:hyperlink r:id="rId105" w:tgtFrame="_blank" w:history="1">
        <w:r w:rsidRPr="00AF3CEE">
          <w:rPr>
            <w:rStyle w:val="Hyperlink"/>
          </w:rPr>
          <w:t xml:space="preserve">Office of the </w:t>
        </w:r>
        <w:r>
          <w:rPr>
            <w:rStyle w:val="Hyperlink"/>
          </w:rPr>
          <w:t xml:space="preserve">Victorian Information </w:t>
        </w:r>
        <w:r w:rsidRPr="00AF3CEE">
          <w:rPr>
            <w:rStyle w:val="Hyperlink"/>
          </w:rPr>
          <w:t>Commissioner</w:t>
        </w:r>
      </w:hyperlink>
      <w:r w:rsidRPr="00276391">
        <w:rPr>
          <w:lang w:eastAsia="en-AU"/>
        </w:rPr>
        <w:t xml:space="preserve"> </w:t>
      </w:r>
      <w:r>
        <w:rPr>
          <w:lang w:eastAsia="en-AU"/>
        </w:rPr>
        <w:t>&lt;</w:t>
      </w:r>
      <w:r w:rsidRPr="00AF3CEE">
        <w:rPr>
          <w:lang w:eastAsia="en-AU"/>
        </w:rPr>
        <w:t>https://www.</w:t>
      </w:r>
      <w:r>
        <w:rPr>
          <w:lang w:eastAsia="en-AU"/>
        </w:rPr>
        <w:t>ovic</w:t>
      </w:r>
      <w:r w:rsidRPr="00AF3CEE">
        <w:rPr>
          <w:lang w:eastAsia="en-AU"/>
        </w:rPr>
        <w:t>.vic.gov.au/index.php</w:t>
      </w:r>
      <w:r>
        <w:rPr>
          <w:lang w:eastAsia="en-AU"/>
        </w:rPr>
        <w:t xml:space="preserve">&gt; </w:t>
      </w:r>
      <w:r w:rsidRPr="00276391">
        <w:rPr>
          <w:lang w:eastAsia="en-AU"/>
        </w:rPr>
        <w:t xml:space="preserve">(external link, </w:t>
      </w:r>
      <w:r w:rsidR="00EA74AB">
        <w:rPr>
          <w:lang w:eastAsia="en-AU"/>
        </w:rPr>
        <w:t xml:space="preserve">opens in </w:t>
      </w:r>
      <w:r w:rsidR="00C62565">
        <w:rPr>
          <w:lang w:eastAsia="en-AU"/>
        </w:rPr>
        <w:t>a new window</w:t>
      </w:r>
      <w:r w:rsidRPr="00276391">
        <w:rPr>
          <w:lang w:eastAsia="en-AU"/>
        </w:rPr>
        <w:t>).</w:t>
      </w:r>
    </w:p>
    <w:p w14:paraId="307A69A3" w14:textId="65BFDAFA" w:rsidR="00236748" w:rsidRPr="00276391" w:rsidRDefault="00FB1C15" w:rsidP="00067E93">
      <w:pPr>
        <w:pStyle w:val="Heading4"/>
        <w:rPr>
          <w:lang w:eastAsia="en-AU"/>
        </w:rPr>
      </w:pPr>
      <w:r>
        <w:rPr>
          <w:lang w:eastAsia="en-AU"/>
        </w:rPr>
        <w:t>Use and d</w:t>
      </w:r>
      <w:r w:rsidR="00236748" w:rsidRPr="00276391">
        <w:rPr>
          <w:lang w:eastAsia="en-AU"/>
        </w:rPr>
        <w:t>isclosure</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information</w:t>
      </w:r>
      <w:bookmarkEnd w:id="493"/>
    </w:p>
    <w:p w14:paraId="4386D944" w14:textId="77777777" w:rsidR="00FB1C15" w:rsidRPr="00276391" w:rsidRDefault="00FB1C15" w:rsidP="00FB1C15">
      <w:pPr>
        <w:pStyle w:val="DHHSbody"/>
        <w:rPr>
          <w:lang w:eastAsia="en-AU"/>
        </w:rPr>
      </w:pPr>
      <w:r w:rsidRPr="00B24C02">
        <w:rPr>
          <w:rFonts w:cs="Arial"/>
          <w:color w:val="000000"/>
          <w:szCs w:val="19"/>
          <w:lang w:eastAsia="en-AU"/>
        </w:rPr>
        <w:t>Under the IPPs and HPPs, organisations must</w:t>
      </w:r>
      <w:r>
        <w:rPr>
          <w:rFonts w:cs="Arial"/>
          <w:color w:val="000000"/>
          <w:szCs w:val="19"/>
          <w:lang w:eastAsia="en-AU"/>
        </w:rPr>
        <w:t xml:space="preserve"> only</w:t>
      </w:r>
      <w:r w:rsidRPr="00B24C02">
        <w:rPr>
          <w:rFonts w:cs="Arial"/>
          <w:color w:val="000000"/>
          <w:szCs w:val="19"/>
          <w:lang w:eastAsia="en-AU"/>
        </w:rPr>
        <w:t xml:space="preserve"> use and disclose </w:t>
      </w:r>
      <w:r>
        <w:rPr>
          <w:rFonts w:cs="Arial"/>
          <w:color w:val="000000"/>
          <w:szCs w:val="19"/>
          <w:lang w:eastAsia="en-AU"/>
        </w:rPr>
        <w:t xml:space="preserve">personal or health </w:t>
      </w:r>
      <w:r w:rsidRPr="00B24C02">
        <w:rPr>
          <w:rFonts w:cs="Arial"/>
          <w:color w:val="000000"/>
          <w:szCs w:val="19"/>
          <w:lang w:eastAsia="en-AU"/>
        </w:rPr>
        <w:t>information for the primary purpose for which it was collected or for a permitted secondary purpose.</w:t>
      </w:r>
    </w:p>
    <w:p w14:paraId="4210BCF2" w14:textId="77777777" w:rsidR="00236748" w:rsidRPr="00276391" w:rsidRDefault="00236748" w:rsidP="00276391">
      <w:pPr>
        <w:pStyle w:val="DHHSbody"/>
        <w:rPr>
          <w:lang w:eastAsia="en-AU"/>
        </w:rPr>
      </w:pPr>
      <w:r w:rsidRPr="00276391">
        <w:rPr>
          <w:lang w:eastAsia="en-AU"/>
        </w:rPr>
        <w:t>IPP</w:t>
      </w:r>
      <w:r w:rsidR="005D5532" w:rsidRPr="00276391">
        <w:rPr>
          <w:lang w:eastAsia="en-AU"/>
        </w:rPr>
        <w:t xml:space="preserve"> </w:t>
      </w:r>
      <w:r w:rsidRPr="00276391">
        <w:rPr>
          <w:lang w:eastAsia="en-AU"/>
        </w:rPr>
        <w:t>2.1</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HPP</w:t>
      </w:r>
      <w:r w:rsidR="005D5532" w:rsidRPr="00276391">
        <w:rPr>
          <w:lang w:eastAsia="en-AU"/>
        </w:rPr>
        <w:t xml:space="preserve"> </w:t>
      </w:r>
      <w:r w:rsidRPr="00276391">
        <w:rPr>
          <w:lang w:eastAsia="en-AU"/>
        </w:rPr>
        <w:t>2.2</w:t>
      </w:r>
      <w:r w:rsidR="005D5532" w:rsidRPr="00276391">
        <w:rPr>
          <w:lang w:eastAsia="en-AU"/>
        </w:rPr>
        <w:t xml:space="preserve"> </w:t>
      </w:r>
      <w:r w:rsidRPr="00276391">
        <w:rPr>
          <w:lang w:eastAsia="en-AU"/>
        </w:rPr>
        <w:t>permit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disclose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individual</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secondary</w:t>
      </w:r>
      <w:r w:rsidR="005D5532" w:rsidRPr="00276391">
        <w:rPr>
          <w:lang w:eastAsia="en-AU"/>
        </w:rPr>
        <w:t xml:space="preserve"> </w:t>
      </w:r>
      <w:r w:rsidRPr="00276391">
        <w:rPr>
          <w:lang w:eastAsia="en-AU"/>
        </w:rPr>
        <w:t>purpose</w:t>
      </w:r>
      <w:r w:rsidR="005D5532" w:rsidRPr="00276391">
        <w:rPr>
          <w:lang w:eastAsia="en-AU"/>
        </w:rPr>
        <w:t xml:space="preserve"> </w:t>
      </w:r>
      <w:r w:rsidRPr="00276391">
        <w:rPr>
          <w:lang w:eastAsia="en-AU"/>
        </w:rPr>
        <w:t>if:</w:t>
      </w:r>
    </w:p>
    <w:p w14:paraId="172D69AE" w14:textId="68682FC6"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secondary</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case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sensitive</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directly</w:t>
      </w:r>
      <w:r w:rsidR="005D5532" w:rsidRPr="00276391">
        <w:rPr>
          <w:rFonts w:cs="Arial"/>
          <w:lang w:eastAsia="en-AU"/>
        </w:rPr>
        <w:t xml:space="preserve"> </w:t>
      </w:r>
      <w:r w:rsidRPr="00276391">
        <w:rPr>
          <w:rFonts w:cs="Arial"/>
          <w:lang w:eastAsia="en-AU"/>
        </w:rPr>
        <w:t>related)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primary</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was</w:t>
      </w:r>
      <w:r w:rsidR="005D5532" w:rsidRPr="00276391">
        <w:rPr>
          <w:rFonts w:cs="Arial"/>
          <w:lang w:eastAsia="en-AU"/>
        </w:rPr>
        <w:t xml:space="preserve"> </w:t>
      </w:r>
      <w:r w:rsidR="00225863">
        <w:rPr>
          <w:rFonts w:cs="Arial"/>
          <w:lang w:eastAsia="en-AU"/>
        </w:rPr>
        <w:t>collected</w:t>
      </w:r>
    </w:p>
    <w:p w14:paraId="443C02EA"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relevant</w:t>
      </w:r>
      <w:r w:rsidR="005D5532" w:rsidRPr="00276391">
        <w:rPr>
          <w:rFonts w:cs="Arial"/>
          <w:lang w:eastAsia="en-AU"/>
        </w:rPr>
        <w:t xml:space="preserve"> </w:t>
      </w:r>
      <w:r w:rsidRPr="00276391">
        <w:rPr>
          <w:rFonts w:cs="Arial"/>
          <w:lang w:eastAsia="en-AU"/>
        </w:rPr>
        <w:t>individual</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whom</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relates</w:t>
      </w:r>
      <w:r w:rsidR="005D5532" w:rsidRPr="00276391">
        <w:rPr>
          <w:rFonts w:cs="Arial"/>
          <w:lang w:eastAsia="en-AU"/>
        </w:rPr>
        <w:t xml:space="preserve"> </w:t>
      </w:r>
      <w:r w:rsidRPr="00276391">
        <w:rPr>
          <w:rFonts w:cs="Arial"/>
          <w:lang w:eastAsia="en-AU"/>
        </w:rPr>
        <w:t>would</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expect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disclose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secondary</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p>
    <w:p w14:paraId="4D48A885" w14:textId="2749D31B" w:rsidR="00236748" w:rsidRPr="00276391" w:rsidRDefault="00236748" w:rsidP="00276391">
      <w:pPr>
        <w:pStyle w:val="DHHSbody"/>
        <w:rPr>
          <w:lang w:eastAsia="en-AU"/>
        </w:rPr>
      </w:pPr>
      <w:r w:rsidRPr="00B24C02">
        <w:rPr>
          <w:rFonts w:cs="Arial"/>
          <w:color w:val="000000"/>
          <w:szCs w:val="19"/>
          <w:lang w:eastAsia="en-AU"/>
        </w:rPr>
        <w:t>There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circumstances</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disclosure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permitted.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IPP</w:t>
      </w:r>
      <w:r w:rsidR="005D5532" w:rsidRPr="00B24C02">
        <w:rPr>
          <w:rFonts w:cs="Arial"/>
          <w:color w:val="000000"/>
          <w:szCs w:val="19"/>
          <w:lang w:eastAsia="en-AU"/>
        </w:rPr>
        <w:t xml:space="preserve"> </w:t>
      </w:r>
      <w:r w:rsidRPr="00B24C02">
        <w:rPr>
          <w:rFonts w:cs="Arial"/>
          <w:color w:val="000000"/>
          <w:szCs w:val="19"/>
          <w:lang w:eastAsia="en-AU"/>
        </w:rPr>
        <w:t>2.1(d)</w:t>
      </w:r>
      <w:r w:rsidR="005D5532" w:rsidRPr="00B24C02">
        <w:rPr>
          <w:rFonts w:cs="Arial"/>
          <w:color w:val="000000"/>
          <w:szCs w:val="19"/>
          <w:lang w:eastAsia="en-AU"/>
        </w:rPr>
        <w:t xml:space="preserve"> </w:t>
      </w:r>
      <w:r w:rsidRPr="00B24C02">
        <w:rPr>
          <w:rFonts w:cs="Arial"/>
          <w:color w:val="000000"/>
          <w:szCs w:val="19"/>
          <w:lang w:eastAsia="en-AU"/>
        </w:rPr>
        <w:t>permits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disclosure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personal</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reasonably</w:t>
      </w:r>
      <w:r w:rsidR="005D5532" w:rsidRPr="00B24C02">
        <w:rPr>
          <w:rFonts w:cs="Arial"/>
          <w:color w:val="000000"/>
          <w:szCs w:val="19"/>
          <w:lang w:eastAsia="en-AU"/>
        </w:rPr>
        <w:t xml:space="preserve"> </w:t>
      </w:r>
      <w:r w:rsidRPr="00B24C02">
        <w:rPr>
          <w:rFonts w:cs="Arial"/>
          <w:color w:val="000000"/>
          <w:szCs w:val="19"/>
          <w:lang w:eastAsia="en-AU"/>
        </w:rPr>
        <w:t>believes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disclosure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necessary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lessen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prevent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serious</w:t>
      </w:r>
      <w:r w:rsidR="005D5532" w:rsidRPr="00B24C02">
        <w:rPr>
          <w:rFonts w:cs="Arial"/>
          <w:color w:val="000000"/>
          <w:szCs w:val="19"/>
          <w:lang w:eastAsia="en-AU"/>
        </w:rPr>
        <w:t xml:space="preserve"> </w:t>
      </w: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life,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welfare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serious</w:t>
      </w:r>
      <w:r w:rsidR="005D5532" w:rsidRPr="00B24C02">
        <w:rPr>
          <w:rFonts w:cs="Arial"/>
          <w:color w:val="000000"/>
          <w:szCs w:val="19"/>
          <w:lang w:eastAsia="en-AU"/>
        </w:rPr>
        <w:t xml:space="preserve"> </w:t>
      </w:r>
      <w:r w:rsidRPr="00B24C02">
        <w:rPr>
          <w:rFonts w:cs="Arial"/>
          <w:color w:val="000000"/>
          <w:szCs w:val="19"/>
          <w:lang w:eastAsia="en-AU"/>
        </w:rPr>
        <w:t>threat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welfare.</w:t>
      </w:r>
    </w:p>
    <w:p w14:paraId="7775C42A" w14:textId="308AF175" w:rsidR="00236748" w:rsidRPr="00276391" w:rsidRDefault="00236748" w:rsidP="00276391">
      <w:pPr>
        <w:pStyle w:val="DHHSbody"/>
        <w:rPr>
          <w:lang w:eastAsia="en-AU"/>
        </w:rPr>
      </w:pP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entitled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purposes</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 xml:space="preserve">Service </w:t>
      </w:r>
      <w:proofErr w:type="gramStart"/>
      <w:r w:rsidR="009B3052">
        <w:rPr>
          <w:lang w:eastAsia="en-AU"/>
        </w:rPr>
        <w:t>agreement</w:t>
      </w:r>
      <w:r w:rsidRPr="00276391">
        <w:rPr>
          <w:lang w:eastAsia="en-AU"/>
        </w:rPr>
        <w:t>,</w:t>
      </w:r>
      <w:r w:rsidR="005D5532" w:rsidRPr="00276391">
        <w:rPr>
          <w:lang w:eastAsia="en-AU"/>
        </w:rPr>
        <w:t xml:space="preserve"> </w:t>
      </w:r>
      <w:r w:rsidRPr="00276391">
        <w:rPr>
          <w:lang w:eastAsia="en-AU"/>
        </w:rPr>
        <w:t>and</w:t>
      </w:r>
      <w:proofErr w:type="gramEnd"/>
      <w:r w:rsidR="005D5532" w:rsidRPr="00276391">
        <w:rPr>
          <w:lang w:eastAsia="en-AU"/>
        </w:rPr>
        <w:t xml:space="preserve"> </w:t>
      </w:r>
      <w:r w:rsidRPr="00276391">
        <w:rPr>
          <w:lang w:eastAsia="en-AU"/>
        </w:rPr>
        <w:t>retains</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ownership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records</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6.6</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6.9).</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personal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measures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disclosed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treated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way</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breach</w:t>
      </w:r>
      <w:r w:rsidR="005D5532" w:rsidRPr="00276391">
        <w:rPr>
          <w:lang w:eastAsia="en-AU"/>
        </w:rPr>
        <w:t xml:space="preserve"> </w:t>
      </w:r>
      <w:r w:rsidRPr="00276391">
        <w:rPr>
          <w:lang w:eastAsia="en-AU"/>
        </w:rPr>
        <w:t>those</w:t>
      </w:r>
      <w:r w:rsidR="005D5532" w:rsidRPr="00276391">
        <w:rPr>
          <w:lang w:eastAsia="en-AU"/>
        </w:rPr>
        <w:t xml:space="preserve"> </w:t>
      </w:r>
      <w:r w:rsidRPr="00276391">
        <w:rPr>
          <w:lang w:eastAsia="en-AU"/>
        </w:rPr>
        <w:t>laws.</w:t>
      </w:r>
    </w:p>
    <w:p w14:paraId="7BF374E4" w14:textId="77777777" w:rsidR="00236748" w:rsidRPr="00276391" w:rsidRDefault="00236748" w:rsidP="00067E93">
      <w:pPr>
        <w:pStyle w:val="Heading3"/>
        <w:rPr>
          <w:lang w:eastAsia="en-AU"/>
        </w:rPr>
      </w:pPr>
      <w:bookmarkStart w:id="494" w:name="_Toc478991867"/>
      <w:bookmarkStart w:id="495" w:name="_Toc478992424"/>
      <w:bookmarkStart w:id="496" w:name="_Toc4142091"/>
      <w:r w:rsidRPr="00276391">
        <w:rPr>
          <w:lang w:eastAsia="en-AU"/>
        </w:rPr>
        <w:t>3.17.4</w:t>
      </w:r>
      <w:r w:rsidR="009B2351" w:rsidRPr="00276391">
        <w:rPr>
          <w:lang w:eastAsia="en-AU"/>
        </w:rPr>
        <w:t xml:space="preserve"> </w:t>
      </w:r>
      <w:r w:rsidRPr="00276391">
        <w:rPr>
          <w:lang w:eastAsia="en-AU"/>
        </w:rPr>
        <w:t>Security</w:t>
      </w:r>
      <w:r w:rsidR="009B2351" w:rsidRPr="00276391">
        <w:rPr>
          <w:lang w:eastAsia="en-AU"/>
        </w:rPr>
        <w:t xml:space="preserve"> </w:t>
      </w:r>
      <w:r w:rsidRPr="00276391">
        <w:rPr>
          <w:lang w:eastAsia="en-AU"/>
        </w:rPr>
        <w:t>of</w:t>
      </w:r>
      <w:r w:rsidR="009B2351" w:rsidRPr="00276391">
        <w:rPr>
          <w:lang w:eastAsia="en-AU"/>
        </w:rPr>
        <w:t xml:space="preserve"> </w:t>
      </w:r>
      <w:r w:rsidRPr="00276391">
        <w:rPr>
          <w:lang w:eastAsia="en-AU"/>
        </w:rPr>
        <w:t>personal</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health</w:t>
      </w:r>
      <w:r w:rsidR="009B2351" w:rsidRPr="00276391">
        <w:rPr>
          <w:lang w:eastAsia="en-AU"/>
        </w:rPr>
        <w:t xml:space="preserve"> </w:t>
      </w:r>
      <w:r w:rsidRPr="00276391">
        <w:rPr>
          <w:lang w:eastAsia="en-AU"/>
        </w:rPr>
        <w:t>information</w:t>
      </w:r>
      <w:bookmarkEnd w:id="494"/>
      <w:bookmarkEnd w:id="495"/>
      <w:bookmarkEnd w:id="496"/>
    </w:p>
    <w:p w14:paraId="69513149" w14:textId="77777777" w:rsidR="00C50797" w:rsidRPr="00276391" w:rsidRDefault="00C50797" w:rsidP="00C50797">
      <w:pPr>
        <w:pStyle w:val="DHHSbody"/>
        <w:rPr>
          <w:lang w:eastAsia="en-AU"/>
        </w:rPr>
      </w:pPr>
      <w:bookmarkStart w:id="497" w:name="_Toc478991869"/>
      <w:bookmarkStart w:id="498" w:name="_Toc478992425"/>
      <w:r>
        <w:rPr>
          <w:rFonts w:cs="Arial"/>
          <w:color w:val="000000"/>
          <w:szCs w:val="19"/>
          <w:lang w:eastAsia="en-AU"/>
        </w:rPr>
        <w:t>Contracted Service Providers have long-standing privacy obligations under</w:t>
      </w:r>
      <w:r w:rsidRPr="00B24C02">
        <w:rPr>
          <w:rFonts w:cs="Arial"/>
          <w:color w:val="000000"/>
          <w:szCs w:val="19"/>
          <w:lang w:eastAsia="en-AU"/>
        </w:rPr>
        <w:t xml:space="preserve"> Information Privacy Principle (IPP) 4.1 of the PDP Act and</w:t>
      </w:r>
      <w:r>
        <w:rPr>
          <w:rFonts w:cs="Arial"/>
          <w:color w:val="000000"/>
          <w:szCs w:val="19"/>
          <w:lang w:eastAsia="en-AU"/>
        </w:rPr>
        <w:t>/or</w:t>
      </w:r>
      <w:r w:rsidRPr="00B24C02">
        <w:rPr>
          <w:rFonts w:cs="Arial"/>
          <w:color w:val="000000"/>
          <w:szCs w:val="19"/>
          <w:lang w:eastAsia="en-AU"/>
        </w:rPr>
        <w:t xml:space="preserve"> Health Privacy Principle (HPP) 4.1 of the HR Act</w:t>
      </w:r>
      <w:r>
        <w:rPr>
          <w:rFonts w:cs="Arial"/>
          <w:color w:val="000000"/>
          <w:szCs w:val="19"/>
          <w:lang w:eastAsia="en-AU"/>
        </w:rPr>
        <w:t>. This means that</w:t>
      </w:r>
      <w:r w:rsidRPr="00B24C02">
        <w:rPr>
          <w:rFonts w:cs="Arial"/>
          <w:color w:val="000000"/>
          <w:szCs w:val="19"/>
          <w:lang w:eastAsia="en-AU"/>
        </w:rPr>
        <w:t xml:space="preserve"> an organisation is required to take reasonable steps to protect the </w:t>
      </w:r>
      <w:r>
        <w:rPr>
          <w:rFonts w:cs="Arial"/>
          <w:color w:val="000000"/>
          <w:szCs w:val="19"/>
          <w:lang w:eastAsia="en-AU"/>
        </w:rPr>
        <w:t xml:space="preserve">personal and/or health </w:t>
      </w:r>
      <w:r w:rsidRPr="00B24C02">
        <w:rPr>
          <w:rFonts w:cs="Arial"/>
          <w:color w:val="000000"/>
          <w:szCs w:val="19"/>
          <w:lang w:eastAsia="en-AU"/>
        </w:rPr>
        <w:t>information it holds from misuse, loss, and unauthorised access, modification or disclosure.</w:t>
      </w:r>
    </w:p>
    <w:p w14:paraId="363E4400" w14:textId="77777777" w:rsidR="00FB1C15" w:rsidRPr="00276391" w:rsidRDefault="00FB1C15" w:rsidP="00FB1C15">
      <w:pPr>
        <w:pStyle w:val="DHHSbody"/>
        <w:rPr>
          <w:lang w:eastAsia="en-AU"/>
        </w:rPr>
      </w:pPr>
      <w:r w:rsidRPr="00276391">
        <w:rPr>
          <w:lang w:eastAsia="en-AU"/>
        </w:rPr>
        <w:t>An organisation needs to secure personal information from its creation (when the data is first recorded), through any transformation (such as from paper to electronic form), during its transmission (whether physically carried or sent digitally through a computer network), and while it is held (for example, text messages stored in a mobile phone) Organisations should refer to the</w:t>
      </w:r>
      <w:r>
        <w:rPr>
          <w:lang w:eastAsia="en-AU"/>
        </w:rPr>
        <w:t xml:space="preserve"> website of the Office of the</w:t>
      </w:r>
      <w:r w:rsidRPr="00276391">
        <w:rPr>
          <w:lang w:eastAsia="en-AU"/>
        </w:rPr>
        <w:t xml:space="preserve"> </w:t>
      </w:r>
      <w:hyperlink r:id="rId106" w:history="1">
        <w:r w:rsidRPr="003016B1">
          <w:rPr>
            <w:rStyle w:val="Hyperlink"/>
          </w:rPr>
          <w:t>Victorian Information Commissioner</w:t>
        </w:r>
      </w:hyperlink>
      <w:r w:rsidRPr="00276391">
        <w:rPr>
          <w:lang w:eastAsia="en-AU"/>
        </w:rPr>
        <w:t xml:space="preserve"> </w:t>
      </w:r>
      <w:r>
        <w:rPr>
          <w:lang w:eastAsia="en-AU"/>
        </w:rPr>
        <w:t>&lt;</w:t>
      </w:r>
      <w:r w:rsidRPr="004A17CB">
        <w:rPr>
          <w:lang w:eastAsia="en-AU"/>
        </w:rPr>
        <w:t>https://www.</w:t>
      </w:r>
      <w:r>
        <w:rPr>
          <w:lang w:eastAsia="en-AU"/>
        </w:rPr>
        <w:t>ovic</w:t>
      </w:r>
      <w:r w:rsidRPr="004A17CB">
        <w:rPr>
          <w:lang w:eastAsia="en-AU"/>
        </w:rPr>
        <w:t>.vic.gov.au/</w:t>
      </w:r>
      <w:r>
        <w:rPr>
          <w:lang w:eastAsia="en-AU"/>
        </w:rPr>
        <w:t xml:space="preserve">&gt; </w:t>
      </w:r>
      <w:r w:rsidRPr="00276391">
        <w:rPr>
          <w:lang w:eastAsia="en-AU"/>
        </w:rPr>
        <w:t>(external link, opens in a new window) for information in relation to data security.</w:t>
      </w:r>
    </w:p>
    <w:p w14:paraId="315314C9" w14:textId="77777777" w:rsidR="00C50797" w:rsidRPr="00276391" w:rsidRDefault="00C50797" w:rsidP="00C50797">
      <w:pPr>
        <w:pStyle w:val="DHHSbody"/>
        <w:rPr>
          <w:lang w:eastAsia="en-AU"/>
        </w:rPr>
      </w:pPr>
      <w:r w:rsidRPr="00276391">
        <w:rPr>
          <w:lang w:eastAsia="en-AU"/>
        </w:rPr>
        <w:t xml:space="preserve">An organisation’s obligations to protect and keep information secure under IPP 4.1 and HPP 4.1 will continue for as long as an organisation holds the information, and until the time the information is disposed of in accordance with IPP 4.2, HPP 4.2 and HPP 4.5 (as the context requires) and any other relevant laws, such as the </w:t>
      </w:r>
      <w:r w:rsidRPr="00744B98">
        <w:rPr>
          <w:i/>
        </w:rPr>
        <w:t>Public Records Act 1973 (Vic)</w:t>
      </w:r>
      <w:r>
        <w:rPr>
          <w:lang w:eastAsia="en-AU"/>
        </w:rPr>
        <w:t>.</w:t>
      </w:r>
    </w:p>
    <w:p w14:paraId="5B5132F7" w14:textId="77777777" w:rsidR="00C50797" w:rsidRPr="00276391" w:rsidRDefault="00C50797" w:rsidP="00C50797">
      <w:pPr>
        <w:pStyle w:val="DHHSbody"/>
        <w:rPr>
          <w:lang w:eastAsia="en-AU"/>
        </w:rPr>
      </w:pPr>
      <w:r w:rsidRPr="00276391">
        <w:rPr>
          <w:lang w:eastAsia="en-AU"/>
        </w:rPr>
        <w:lastRenderedPageBreak/>
        <w:t xml:space="preserve">In deciding what reasonable steps to take to protect personal information, the Office of the Victorian </w:t>
      </w:r>
      <w:r>
        <w:rPr>
          <w:lang w:eastAsia="en-AU"/>
        </w:rPr>
        <w:t xml:space="preserve">Information </w:t>
      </w:r>
      <w:r w:rsidRPr="00276391">
        <w:rPr>
          <w:lang w:eastAsia="en-AU"/>
        </w:rPr>
        <w:t>Commissioner suggests that the following factors should be considered:</w:t>
      </w:r>
    </w:p>
    <w:p w14:paraId="551D26AA" w14:textId="77777777" w:rsidR="00C50797" w:rsidRPr="00276391" w:rsidRDefault="00C50797" w:rsidP="00C50797">
      <w:pPr>
        <w:pStyle w:val="DHHSbullet1"/>
        <w:rPr>
          <w:rFonts w:cs="Arial"/>
          <w:lang w:eastAsia="en-AU"/>
        </w:rPr>
      </w:pPr>
      <w:r w:rsidRPr="00276391">
        <w:rPr>
          <w:rFonts w:cs="Arial"/>
          <w:lang w:eastAsia="en-AU"/>
        </w:rPr>
        <w:t>the nature or sensitivity of the personal information concerned</w:t>
      </w:r>
    </w:p>
    <w:p w14:paraId="5A61280A" w14:textId="77777777" w:rsidR="00C50797" w:rsidRPr="00276391" w:rsidRDefault="00C50797" w:rsidP="00C50797">
      <w:pPr>
        <w:pStyle w:val="DHHSbullet1"/>
        <w:rPr>
          <w:rFonts w:cs="Arial"/>
          <w:lang w:eastAsia="en-AU"/>
        </w:rPr>
      </w:pPr>
      <w:r w:rsidRPr="00276391">
        <w:rPr>
          <w:rFonts w:cs="Arial"/>
          <w:lang w:eastAsia="en-AU"/>
        </w:rPr>
        <w:t>the likelihood of a security breach occurring</w:t>
      </w:r>
    </w:p>
    <w:p w14:paraId="5C49F121" w14:textId="77777777" w:rsidR="00C50797" w:rsidRPr="00DF0069" w:rsidRDefault="00C50797" w:rsidP="00C50797">
      <w:pPr>
        <w:pStyle w:val="DHHSbullet1"/>
        <w:rPr>
          <w:rFonts w:cs="Arial"/>
          <w:lang w:eastAsia="en-AU"/>
        </w:rPr>
      </w:pPr>
      <w:r w:rsidRPr="00DF0069">
        <w:rPr>
          <w:rFonts w:cs="Arial"/>
          <w:lang w:eastAsia="en-AU"/>
        </w:rPr>
        <w:t>the gravity of any harm to an individual if a security breach occurs</w:t>
      </w:r>
      <w:r>
        <w:rPr>
          <w:rFonts w:cs="Arial"/>
          <w:lang w:eastAsia="en-AU"/>
        </w:rPr>
        <w:t>.</w:t>
      </w:r>
    </w:p>
    <w:p w14:paraId="1BB4759A" w14:textId="2155B653" w:rsidR="00C50797" w:rsidRPr="00276391" w:rsidRDefault="00C50797" w:rsidP="00C50797">
      <w:pPr>
        <w:pStyle w:val="DHHSbody"/>
        <w:rPr>
          <w:lang w:eastAsia="en-AU"/>
        </w:rPr>
      </w:pPr>
      <w:r>
        <w:rPr>
          <w:rFonts w:cs="Arial"/>
          <w:color w:val="000000"/>
          <w:szCs w:val="19"/>
          <w:lang w:eastAsia="en-AU"/>
        </w:rPr>
        <w:t xml:space="preserve">The Office of the Victorian Information Commissioner has released a guideline to assist organisations comply with IPP 4.1. Contracted service providers are strongly encouraged to review the </w:t>
      </w:r>
      <w:hyperlink r:id="rId107" w:history="1">
        <w:r w:rsidRPr="00DE2015">
          <w:rPr>
            <w:rStyle w:val="Hyperlink"/>
            <w:rFonts w:cs="Arial"/>
            <w:szCs w:val="19"/>
            <w:lang w:eastAsia="en-AU"/>
          </w:rPr>
          <w:t>Guidelines to protecting the security of personal information: ‘Reasonable steps’ under Information Privacy Principle 4.1</w:t>
        </w:r>
      </w:hyperlink>
      <w:r>
        <w:rPr>
          <w:rFonts w:cs="Arial"/>
          <w:color w:val="000000"/>
          <w:szCs w:val="19"/>
          <w:lang w:eastAsia="en-AU"/>
        </w:rPr>
        <w:t xml:space="preserve">, </w:t>
      </w:r>
      <w:r w:rsidR="00333BEC">
        <w:rPr>
          <w:rFonts w:cs="Arial"/>
          <w:color w:val="000000"/>
          <w:szCs w:val="19"/>
          <w:lang w:eastAsia="en-AU"/>
        </w:rPr>
        <w:t>&lt;</w:t>
      </w:r>
      <w:r w:rsidR="00333BEC" w:rsidRPr="00333BEC">
        <w:rPr>
          <w:rFonts w:cs="Arial"/>
          <w:color w:val="000000"/>
          <w:szCs w:val="19"/>
          <w:lang w:eastAsia="en-AU"/>
        </w:rPr>
        <w:t>https://www.cpdp.vic.gov.au/images/content/pdf/privacy_</w:t>
      </w:r>
      <w:r w:rsidR="00744B98">
        <w:rPr>
          <w:rFonts w:cs="Arial"/>
          <w:color w:val="000000"/>
          <w:szCs w:val="19"/>
          <w:lang w:eastAsia="en-AU"/>
        </w:rPr>
        <w:t>guidelines/IPP_4_Guidelines.pdf</w:t>
      </w:r>
      <w:r w:rsidR="00333BEC">
        <w:rPr>
          <w:rFonts w:cs="Arial"/>
          <w:color w:val="000000"/>
          <w:szCs w:val="19"/>
          <w:lang w:eastAsia="en-AU"/>
        </w:rPr>
        <w:t xml:space="preserve">&gt; </w:t>
      </w:r>
      <w:r w:rsidR="00A7646A">
        <w:rPr>
          <w:rFonts w:cs="Arial"/>
          <w:color w:val="000000"/>
          <w:szCs w:val="19"/>
          <w:lang w:eastAsia="en-AU"/>
        </w:rPr>
        <w:t>(ex</w:t>
      </w:r>
      <w:r w:rsidR="00BA2F1B">
        <w:rPr>
          <w:rFonts w:cs="Arial"/>
          <w:color w:val="000000"/>
          <w:szCs w:val="19"/>
          <w:lang w:eastAsia="en-AU"/>
        </w:rPr>
        <w:t xml:space="preserve">ternal link, </w:t>
      </w:r>
      <w:r w:rsidR="00EA74AB">
        <w:rPr>
          <w:rFonts w:cs="Arial"/>
          <w:color w:val="000000"/>
          <w:szCs w:val="19"/>
          <w:lang w:eastAsia="en-AU"/>
        </w:rPr>
        <w:t xml:space="preserve">opens in </w:t>
      </w:r>
      <w:r w:rsidR="00C62565">
        <w:rPr>
          <w:rFonts w:cs="Arial"/>
          <w:color w:val="000000"/>
          <w:szCs w:val="19"/>
          <w:lang w:eastAsia="en-AU"/>
        </w:rPr>
        <w:t>a new window</w:t>
      </w:r>
      <w:r w:rsidR="00BA2F1B">
        <w:rPr>
          <w:rFonts w:cs="Arial"/>
          <w:color w:val="000000"/>
          <w:szCs w:val="19"/>
          <w:lang w:eastAsia="en-AU"/>
        </w:rPr>
        <w:t xml:space="preserve">) </w:t>
      </w:r>
      <w:r>
        <w:rPr>
          <w:rFonts w:cs="Arial"/>
          <w:color w:val="000000"/>
          <w:szCs w:val="19"/>
          <w:lang w:eastAsia="en-AU"/>
        </w:rPr>
        <w:t>and implement the recommended information security controls.</w:t>
      </w:r>
      <w:r w:rsidR="006250C7">
        <w:rPr>
          <w:rFonts w:cs="Arial"/>
          <w:color w:val="000000"/>
          <w:szCs w:val="19"/>
          <w:lang w:eastAsia="en-AU"/>
        </w:rPr>
        <w:t xml:space="preserve"> </w:t>
      </w:r>
    </w:p>
    <w:p w14:paraId="16A8F31C" w14:textId="6FCBA4FF" w:rsidR="003C05A7" w:rsidRPr="00276391" w:rsidRDefault="003C05A7" w:rsidP="003C05A7">
      <w:pPr>
        <w:pStyle w:val="DHHSbody"/>
        <w:rPr>
          <w:lang w:eastAsia="en-AU"/>
        </w:rPr>
      </w:pPr>
      <w:bookmarkStart w:id="499" w:name="_Toc478991868"/>
      <w:r w:rsidRPr="00276391">
        <w:rPr>
          <w:lang w:eastAsia="en-AU"/>
        </w:rPr>
        <w:t xml:space="preserve">Part 4 of the PDP Act requires the </w:t>
      </w:r>
      <w:r>
        <w:rPr>
          <w:lang w:eastAsia="en-AU"/>
        </w:rPr>
        <w:t xml:space="preserve">Victorian Information </w:t>
      </w:r>
      <w:r w:rsidRPr="00276391">
        <w:rPr>
          <w:lang w:eastAsia="en-AU"/>
        </w:rPr>
        <w:t xml:space="preserve">Commissioner to develop a Victorian Protective Data Security Framework for monitoring and assuring the security of public sector data. </w:t>
      </w:r>
      <w:r>
        <w:rPr>
          <w:lang w:eastAsia="en-AU"/>
        </w:rPr>
        <w:t xml:space="preserve">Under </w:t>
      </w:r>
      <w:r w:rsidRPr="00276391">
        <w:rPr>
          <w:lang w:eastAsia="en-AU"/>
        </w:rPr>
        <w:t xml:space="preserve">Part 4 of the Act the </w:t>
      </w:r>
      <w:r>
        <w:rPr>
          <w:lang w:eastAsia="en-AU"/>
        </w:rPr>
        <w:t xml:space="preserve">Information </w:t>
      </w:r>
      <w:r w:rsidRPr="00276391">
        <w:rPr>
          <w:lang w:eastAsia="en-AU"/>
        </w:rPr>
        <w:t xml:space="preserve">Commissioner </w:t>
      </w:r>
      <w:r>
        <w:rPr>
          <w:lang w:eastAsia="en-AU"/>
        </w:rPr>
        <w:t xml:space="preserve">may </w:t>
      </w:r>
      <w:r w:rsidRPr="00276391">
        <w:rPr>
          <w:lang w:eastAsia="en-AU"/>
        </w:rPr>
        <w:t xml:space="preserve">issue Standards consistent with the Victorian Protective Data Security Framework for the security, confidentiality and integrity of public sector data and access to public sector data. The Framework and Standards </w:t>
      </w:r>
      <w:r>
        <w:rPr>
          <w:lang w:eastAsia="en-AU"/>
        </w:rPr>
        <w:t>are</w:t>
      </w:r>
      <w:r w:rsidRPr="00276391">
        <w:rPr>
          <w:lang w:eastAsia="en-AU"/>
        </w:rPr>
        <w:t xml:space="preserve"> available </w:t>
      </w:r>
      <w:r>
        <w:rPr>
          <w:lang w:eastAsia="en-AU"/>
        </w:rPr>
        <w:t>on the website of</w:t>
      </w:r>
      <w:r w:rsidRPr="00276391">
        <w:rPr>
          <w:lang w:eastAsia="en-AU"/>
        </w:rPr>
        <w:t xml:space="preserve"> the Office of the </w:t>
      </w:r>
      <w:r>
        <w:rPr>
          <w:lang w:eastAsia="en-AU"/>
        </w:rPr>
        <w:t xml:space="preserve">Victorian Information </w:t>
      </w:r>
      <w:r w:rsidRPr="00276391">
        <w:rPr>
          <w:lang w:eastAsia="en-AU"/>
        </w:rPr>
        <w:t>Commissioner</w:t>
      </w:r>
      <w:r>
        <w:rPr>
          <w:lang w:eastAsia="en-AU"/>
        </w:rPr>
        <w:t xml:space="preserve"> relating to </w:t>
      </w:r>
      <w:hyperlink r:id="rId108" w:history="1">
        <w:r w:rsidRPr="00744B98">
          <w:rPr>
            <w:rStyle w:val="Hyperlink"/>
            <w:lang w:eastAsia="en-AU"/>
          </w:rPr>
          <w:t xml:space="preserve">privacy and data protection </w:t>
        </w:r>
      </w:hyperlink>
      <w:r w:rsidRPr="00276391">
        <w:rPr>
          <w:lang w:eastAsia="en-AU"/>
        </w:rPr>
        <w:t xml:space="preserve"> </w:t>
      </w:r>
      <w:r w:rsidR="00744B98">
        <w:rPr>
          <w:lang w:eastAsia="en-AU"/>
        </w:rPr>
        <w:t>&lt;</w:t>
      </w:r>
      <w:r w:rsidRPr="00196866">
        <w:rPr>
          <w:lang w:eastAsia="en-AU"/>
        </w:rPr>
        <w:t>https://www.cpdp.vic.gov.au/menu-data-security/victorian-protective-data-security-framework/vpdsf</w:t>
      </w:r>
      <w:r w:rsidR="00744B98">
        <w:rPr>
          <w:lang w:eastAsia="en-AU"/>
        </w:rPr>
        <w:t>&gt;</w:t>
      </w:r>
      <w:r w:rsidR="006250C7">
        <w:rPr>
          <w:lang w:eastAsia="en-AU"/>
        </w:rPr>
        <w:t xml:space="preserve"> </w:t>
      </w:r>
      <w:r w:rsidRPr="00276391">
        <w:rPr>
          <w:lang w:eastAsia="en-AU"/>
        </w:rPr>
        <w:t>(external link, opens in a new window).</w:t>
      </w:r>
    </w:p>
    <w:p w14:paraId="6A833124" w14:textId="77777777" w:rsidR="003C05A7" w:rsidRPr="00276391" w:rsidRDefault="003C05A7" w:rsidP="003C05A7">
      <w:pPr>
        <w:pStyle w:val="DHHSbody"/>
        <w:rPr>
          <w:lang w:eastAsia="en-AU"/>
        </w:rPr>
      </w:pPr>
      <w:r w:rsidRPr="00276391">
        <w:rPr>
          <w:lang w:eastAsia="en-AU"/>
        </w:rPr>
        <w:t xml:space="preserve">Within two years after the issue of applicable Protective Data Security Standards by the </w:t>
      </w:r>
      <w:r>
        <w:rPr>
          <w:lang w:eastAsia="en-AU"/>
        </w:rPr>
        <w:t xml:space="preserve">Information </w:t>
      </w:r>
      <w:r w:rsidRPr="00276391">
        <w:rPr>
          <w:lang w:eastAsia="en-AU"/>
        </w:rPr>
        <w:t>Commissioner, the department is required to develop a Protective Data Security Plan that addresses the Standards applicable to the department. Among other things, any Protective Data Security Plan developed for the department must address compliance by the department’s contracted service providers with the relevant Standards that apply to the department, to the extent that those providers collect, hold, use, manage, disclose or transfer public sector data for the department.</w:t>
      </w:r>
    </w:p>
    <w:p w14:paraId="46012638" w14:textId="75FC086D" w:rsidR="003C05A7" w:rsidRPr="00276391" w:rsidRDefault="003C05A7" w:rsidP="003C05A7">
      <w:pPr>
        <w:pStyle w:val="DHHSbody"/>
        <w:rPr>
          <w:lang w:eastAsia="en-AU"/>
        </w:rPr>
      </w:pPr>
      <w:r w:rsidRPr="00276391">
        <w:rPr>
          <w:lang w:eastAsia="en-AU"/>
        </w:rPr>
        <w:t xml:space="preserve">Clause 17.2 of the </w:t>
      </w:r>
      <w:r w:rsidR="009B3052">
        <w:rPr>
          <w:lang w:eastAsia="en-AU"/>
        </w:rPr>
        <w:t>Service agreement</w:t>
      </w:r>
      <w:r w:rsidRPr="00276391">
        <w:rPr>
          <w:lang w:eastAsia="en-AU"/>
        </w:rPr>
        <w:t xml:space="preserve"> provides that a funded organisation is bound by any applicable Protective Data Security Standards issued by the </w:t>
      </w:r>
      <w:r>
        <w:rPr>
          <w:lang w:eastAsia="en-AU"/>
        </w:rPr>
        <w:t xml:space="preserve">Information </w:t>
      </w:r>
      <w:r w:rsidRPr="00276391">
        <w:rPr>
          <w:lang w:eastAsia="en-AU"/>
        </w:rPr>
        <w:t>Commissioner and any provision of a Protective Data Security Plan developed for the department that applies to the organisation.</w:t>
      </w:r>
    </w:p>
    <w:p w14:paraId="3523FAA7" w14:textId="4EA69B42" w:rsidR="003C05A7" w:rsidRPr="00276391" w:rsidRDefault="003C05A7" w:rsidP="003C05A7">
      <w:pPr>
        <w:pStyle w:val="DHHSbody"/>
        <w:rPr>
          <w:lang w:eastAsia="en-AU"/>
        </w:rPr>
      </w:pPr>
      <w:r w:rsidRPr="00276391">
        <w:rPr>
          <w:lang w:eastAsia="en-AU"/>
        </w:rPr>
        <w:t>Having an effective recordkeeping system (</w:t>
      </w:r>
      <w:hyperlink w:anchor="_3.6_Recordkeeping" w:history="1">
        <w:r w:rsidR="00744B98">
          <w:rPr>
            <w:rStyle w:val="Hyperlink"/>
            <w:lang w:eastAsia="en-AU"/>
          </w:rPr>
          <w:t>C</w:t>
        </w:r>
        <w:r w:rsidRPr="003C05A7">
          <w:rPr>
            <w:rStyle w:val="Hyperlink"/>
            <w:lang w:eastAsia="en-AU"/>
          </w:rPr>
          <w:t>hapter 3.6</w:t>
        </w:r>
      </w:hyperlink>
      <w:r>
        <w:rPr>
          <w:lang w:eastAsia="en-AU"/>
        </w:rPr>
        <w:t>)</w:t>
      </w:r>
      <w:r w:rsidRPr="00276391">
        <w:rPr>
          <w:lang w:eastAsia="en-AU"/>
        </w:rPr>
        <w:t xml:space="preserve"> is a necessary step in ensuring that data is secured. By implementing and maintaining an effective recordkeeping system, an organisation should be able to properly categorise and store </w:t>
      </w:r>
      <w:proofErr w:type="gramStart"/>
      <w:r w:rsidRPr="00276391">
        <w:rPr>
          <w:lang w:eastAsia="en-AU"/>
        </w:rPr>
        <w:t>records, and</w:t>
      </w:r>
      <w:proofErr w:type="gramEnd"/>
      <w:r w:rsidRPr="00276391">
        <w:rPr>
          <w:lang w:eastAsia="en-AU"/>
        </w:rPr>
        <w:t xml:space="preserve"> ensure appropriate access to records.</w:t>
      </w:r>
    </w:p>
    <w:p w14:paraId="40539702" w14:textId="77777777" w:rsidR="003C05A7" w:rsidRPr="00276391" w:rsidRDefault="003C05A7" w:rsidP="003C05A7">
      <w:pPr>
        <w:pStyle w:val="DHHSbody"/>
        <w:rPr>
          <w:lang w:eastAsia="en-AU"/>
        </w:rPr>
      </w:pPr>
      <w:r w:rsidRPr="00276391">
        <w:rPr>
          <w:lang w:eastAsia="en-AU"/>
        </w:rPr>
        <w:t>Funded organisations are to implement safeguards that are appropriate and proportionate to the likely risk of a security breach and the gravity of harm that may result. Information risk management should be incorporated into an organisation’s broader risk management approach.</w:t>
      </w:r>
    </w:p>
    <w:p w14:paraId="43491CA3" w14:textId="77777777" w:rsidR="00C50797" w:rsidRPr="00276391" w:rsidRDefault="00C50797" w:rsidP="00C50797">
      <w:pPr>
        <w:pStyle w:val="Heading4"/>
        <w:rPr>
          <w:lang w:eastAsia="en-AU"/>
        </w:rPr>
      </w:pPr>
      <w:r w:rsidRPr="00276391">
        <w:rPr>
          <w:lang w:eastAsia="en-AU"/>
        </w:rPr>
        <w:t>Resources on information security</w:t>
      </w:r>
      <w:bookmarkEnd w:id="499"/>
    </w:p>
    <w:p w14:paraId="66DC7706" w14:textId="64D5C34F" w:rsidR="00C50797" w:rsidRDefault="00C50797" w:rsidP="00C50797">
      <w:pPr>
        <w:pStyle w:val="DHHSbullet1"/>
        <w:numPr>
          <w:ilvl w:val="0"/>
          <w:numId w:val="0"/>
        </w:numPr>
        <w:contextualSpacing w:val="0"/>
      </w:pPr>
      <w:r>
        <w:t xml:space="preserve">As an initial cybersecurity baseline funded agencies should implement the Australian Government's </w:t>
      </w:r>
      <w:hyperlink r:id="rId109" w:history="1">
        <w:r w:rsidRPr="001A59E2">
          <w:rPr>
            <w:rStyle w:val="Hyperlink"/>
          </w:rPr>
          <w:t>ASD Essential Eight</w:t>
        </w:r>
      </w:hyperlink>
      <w:r w:rsidR="00744B98">
        <w:rPr>
          <w:rStyle w:val="Hyperlink"/>
        </w:rPr>
        <w:t xml:space="preserve"> </w:t>
      </w:r>
      <w:r w:rsidR="00E649F5">
        <w:t>&lt;</w:t>
      </w:r>
      <w:r w:rsidR="00E649F5" w:rsidRPr="00E649F5">
        <w:t>https://www.asd.gov.au/publications/protect/essential-eight-explained.htm</w:t>
      </w:r>
      <w:r w:rsidR="00E649F5">
        <w:t>&gt; (external link, opens in a new window).</w:t>
      </w:r>
      <w:r>
        <w:t xml:space="preserve"> This involves an assessment of compliance with the Essential Eight and plans to remediate any identified gaps. Free resources include a free </w:t>
      </w:r>
      <w:hyperlink r:id="rId110" w:history="1">
        <w:r w:rsidRPr="00744B98">
          <w:rPr>
            <w:rStyle w:val="Hyperlink"/>
          </w:rPr>
          <w:t>maturity model assessment</w:t>
        </w:r>
        <w:r w:rsidR="0071193C" w:rsidRPr="00744B98">
          <w:rPr>
            <w:rStyle w:val="Hyperlink"/>
          </w:rPr>
          <w:t xml:space="preserve"> </w:t>
        </w:r>
        <w:r w:rsidRPr="00744B98">
          <w:rPr>
            <w:rStyle w:val="Hyperlink"/>
          </w:rPr>
          <w:t>tool</w:t>
        </w:r>
      </w:hyperlink>
      <w:r w:rsidR="0071193C">
        <w:t xml:space="preserve"> &lt;</w:t>
      </w:r>
      <w:r w:rsidR="0071193C" w:rsidRPr="0071193C">
        <w:t>https://www.asd.gov.au/publications/protect/essential-eight-maturity-model.htm</w:t>
      </w:r>
      <w:r w:rsidR="0071193C">
        <w:t>&gt; (external link, opens in a new window)</w:t>
      </w:r>
      <w:r>
        <w:t>.</w:t>
      </w:r>
      <w:r w:rsidR="0071193C" w:rsidRPr="0071193C">
        <w:t xml:space="preserve"> </w:t>
      </w:r>
    </w:p>
    <w:p w14:paraId="32CF0AE8" w14:textId="11956DED" w:rsidR="00C50797" w:rsidRDefault="00C50797" w:rsidP="00C50797">
      <w:pPr>
        <w:pStyle w:val="DHHSbullet1"/>
        <w:numPr>
          <w:ilvl w:val="0"/>
          <w:numId w:val="0"/>
        </w:numPr>
        <w:contextualSpacing w:val="0"/>
      </w:pPr>
      <w:r>
        <w:t xml:space="preserve">Funded Agencies should also subscribe to the </w:t>
      </w:r>
      <w:hyperlink r:id="rId111" w:history="1">
        <w:r w:rsidRPr="001B580A">
          <w:rPr>
            <w:rStyle w:val="Hyperlink"/>
          </w:rPr>
          <w:t>Stay Smart Online</w:t>
        </w:r>
      </w:hyperlink>
      <w:r>
        <w:t xml:space="preserve"> </w:t>
      </w:r>
      <w:r w:rsidR="00744B98">
        <w:t>&lt;</w:t>
      </w:r>
      <w:r w:rsidR="00744B98" w:rsidRPr="00744B98">
        <w:t>https://www.staysmartonline.gov.au/</w:t>
      </w:r>
      <w:r w:rsidR="00744B98">
        <w:t>&gt;</w:t>
      </w:r>
      <w:r w:rsidR="006250C7">
        <w:t xml:space="preserve"> </w:t>
      </w:r>
      <w:r w:rsidR="00744B98">
        <w:t xml:space="preserve">(external link, opens in a new window) </w:t>
      </w:r>
      <w:r>
        <w:t>service.</w:t>
      </w:r>
    </w:p>
    <w:p w14:paraId="4BE22512" w14:textId="55C7388C" w:rsidR="00C50797" w:rsidRPr="00276391" w:rsidRDefault="00C50797" w:rsidP="00C50797">
      <w:pPr>
        <w:pStyle w:val="DHHSbody"/>
        <w:rPr>
          <w:lang w:eastAsia="en-AU"/>
        </w:rPr>
      </w:pPr>
      <w:r w:rsidRPr="00B24C02">
        <w:rPr>
          <w:rFonts w:cs="Arial"/>
          <w:color w:val="000000"/>
          <w:szCs w:val="19"/>
          <w:lang w:eastAsia="en-AU"/>
        </w:rPr>
        <w:t xml:space="preserve">The </w:t>
      </w:r>
      <w:r w:rsidR="00D05F49">
        <w:rPr>
          <w:rFonts w:cs="Arial"/>
          <w:color w:val="000000"/>
          <w:szCs w:val="19"/>
          <w:lang w:eastAsia="en-AU"/>
        </w:rPr>
        <w:t>Funded agency channel</w:t>
      </w:r>
      <w:r>
        <w:rPr>
          <w:rFonts w:cs="Arial"/>
          <w:color w:val="000000"/>
          <w:szCs w:val="19"/>
          <w:lang w:eastAsia="en-AU"/>
        </w:rPr>
        <w:t xml:space="preserve"> links to the </w:t>
      </w:r>
      <w:hyperlink r:id="rId112" w:history="1">
        <w:r w:rsidRPr="00400FC7">
          <w:rPr>
            <w:rStyle w:val="Hyperlink"/>
            <w:rFonts w:cs="Arial"/>
            <w:szCs w:val="19"/>
            <w:lang w:eastAsia="en-AU"/>
          </w:rPr>
          <w:t>ImproveIT site</w:t>
        </w:r>
      </w:hyperlink>
      <w:r w:rsidR="00744B98">
        <w:rPr>
          <w:rFonts w:cs="Arial"/>
          <w:color w:val="000000"/>
          <w:szCs w:val="19"/>
          <w:lang w:eastAsia="en-AU"/>
        </w:rPr>
        <w:t xml:space="preserve"> &lt;</w:t>
      </w:r>
      <w:r w:rsidR="00744B98" w:rsidRPr="00744B98">
        <w:rPr>
          <w:rFonts w:cs="Arial"/>
          <w:color w:val="000000"/>
          <w:szCs w:val="19"/>
          <w:lang w:eastAsia="en-AU"/>
        </w:rPr>
        <w:t>https://improveit.org/</w:t>
      </w:r>
      <w:r w:rsidR="00744B98">
        <w:rPr>
          <w:rFonts w:cs="Arial"/>
          <w:color w:val="000000"/>
          <w:szCs w:val="19"/>
          <w:lang w:eastAsia="en-AU"/>
        </w:rPr>
        <w:t>&gt;</w:t>
      </w:r>
      <w:r>
        <w:rPr>
          <w:rFonts w:cs="Arial"/>
          <w:color w:val="000000"/>
          <w:szCs w:val="19"/>
          <w:lang w:eastAsia="en-AU"/>
        </w:rPr>
        <w:t xml:space="preserve"> </w:t>
      </w:r>
      <w:r w:rsidR="00744B98">
        <w:t xml:space="preserve">(external link, opens in a new window) </w:t>
      </w:r>
      <w:r>
        <w:rPr>
          <w:rFonts w:cs="Arial"/>
          <w:color w:val="000000"/>
          <w:szCs w:val="19"/>
          <w:lang w:eastAsia="en-AU"/>
        </w:rPr>
        <w:t>which was developed to help non-profit and community organisations make the most of IT.</w:t>
      </w:r>
    </w:p>
    <w:p w14:paraId="3DB5059F" w14:textId="348F47A4" w:rsidR="00C50797" w:rsidRDefault="00C50797" w:rsidP="00C50797">
      <w:pPr>
        <w:pStyle w:val="DHHSbody"/>
        <w:rPr>
          <w:rFonts w:cs="Arial"/>
          <w:color w:val="000000"/>
          <w:szCs w:val="19"/>
          <w:lang w:eastAsia="en-AU"/>
        </w:rPr>
      </w:pPr>
      <w:r w:rsidRPr="00B24C02">
        <w:rPr>
          <w:rFonts w:cs="Arial"/>
          <w:color w:val="000000"/>
          <w:szCs w:val="19"/>
          <w:lang w:eastAsia="en-AU"/>
        </w:rPr>
        <w:lastRenderedPageBreak/>
        <w:t xml:space="preserve">The </w:t>
      </w:r>
      <w:hyperlink r:id="rId113" w:history="1">
        <w:r w:rsidRPr="0014333E">
          <w:rPr>
            <w:rStyle w:val="Hyperlink"/>
          </w:rPr>
          <w:t>Office of the Victorian Information Commissioner</w:t>
        </w:r>
        <w:r w:rsidRPr="0014333E">
          <w:rPr>
            <w:rStyle w:val="Hyperlink"/>
            <w:rFonts w:cs="Arial"/>
            <w:szCs w:val="19"/>
            <w:lang w:eastAsia="en-AU"/>
          </w:rPr>
          <w:t xml:space="preserve"> website</w:t>
        </w:r>
      </w:hyperlink>
      <w:r w:rsidR="0014333E">
        <w:rPr>
          <w:rFonts w:cs="Arial"/>
          <w:color w:val="000000"/>
          <w:szCs w:val="19"/>
          <w:lang w:eastAsia="en-AU"/>
        </w:rPr>
        <w:t xml:space="preserve"> &lt;</w:t>
      </w:r>
      <w:r w:rsidR="0014333E" w:rsidRPr="0014333E">
        <w:rPr>
          <w:rFonts w:cs="Arial"/>
          <w:color w:val="000000"/>
          <w:szCs w:val="19"/>
          <w:lang w:eastAsia="en-AU"/>
        </w:rPr>
        <w:t>https://www.ovic.vic.gov.au/</w:t>
      </w:r>
      <w:r w:rsidR="0014333E">
        <w:rPr>
          <w:rFonts w:cs="Arial"/>
          <w:color w:val="000000"/>
          <w:szCs w:val="19"/>
          <w:lang w:eastAsia="en-AU"/>
        </w:rPr>
        <w:t>&gt;</w:t>
      </w:r>
      <w:r w:rsidRPr="00B24C02">
        <w:rPr>
          <w:rFonts w:cs="Arial"/>
          <w:color w:val="000000"/>
          <w:szCs w:val="19"/>
          <w:lang w:eastAsia="en-AU"/>
        </w:rPr>
        <w:t xml:space="preserve"> </w:t>
      </w:r>
      <w:r w:rsidR="0014333E">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0014333E">
        <w:rPr>
          <w:rFonts w:cs="Arial"/>
          <w:color w:val="000000"/>
          <w:szCs w:val="19"/>
          <w:lang w:eastAsia="en-AU"/>
        </w:rPr>
        <w:t xml:space="preserve">) </w:t>
      </w:r>
      <w:r w:rsidRPr="00B24C02">
        <w:rPr>
          <w:rFonts w:cs="Arial"/>
          <w:color w:val="000000"/>
          <w:szCs w:val="19"/>
          <w:lang w:eastAsia="en-AU"/>
        </w:rPr>
        <w:t>also has a range of guides on information security, including guides on the use of cloud computing, email disclaimers, and mobile phone usage</w:t>
      </w:r>
      <w:r>
        <w:rPr>
          <w:rFonts w:cs="Arial"/>
          <w:color w:val="000000"/>
          <w:szCs w:val="19"/>
          <w:lang w:eastAsia="en-AU"/>
        </w:rPr>
        <w:t>.</w:t>
      </w:r>
    </w:p>
    <w:p w14:paraId="00597BF8" w14:textId="0E869B4A" w:rsidR="00594629" w:rsidRPr="00276391" w:rsidRDefault="00594629" w:rsidP="00594629">
      <w:pPr>
        <w:pStyle w:val="Heading3"/>
        <w:rPr>
          <w:lang w:eastAsia="en-AU"/>
        </w:rPr>
      </w:pPr>
      <w:bookmarkStart w:id="500" w:name="_Toc478991871"/>
      <w:bookmarkStart w:id="501" w:name="_Toc478992426"/>
      <w:bookmarkStart w:id="502" w:name="_Toc4142092"/>
      <w:r w:rsidRPr="00276391">
        <w:rPr>
          <w:lang w:eastAsia="en-AU"/>
        </w:rPr>
        <w:t>3</w:t>
      </w:r>
      <w:r>
        <w:rPr>
          <w:lang w:eastAsia="en-AU"/>
        </w:rPr>
        <w:t>.17.5</w:t>
      </w:r>
      <w:r w:rsidRPr="00276391">
        <w:rPr>
          <w:lang w:eastAsia="en-AU"/>
        </w:rPr>
        <w:t xml:space="preserve"> Staff awareness and training in privacy, data protection and health information security</w:t>
      </w:r>
      <w:bookmarkEnd w:id="500"/>
      <w:bookmarkEnd w:id="501"/>
      <w:bookmarkEnd w:id="502"/>
    </w:p>
    <w:p w14:paraId="03F57CEA" w14:textId="77777777" w:rsidR="00594629" w:rsidRPr="00276391" w:rsidRDefault="00594629" w:rsidP="00594629">
      <w:pPr>
        <w:pStyle w:val="DHHSbody"/>
        <w:rPr>
          <w:lang w:eastAsia="en-AU"/>
        </w:rPr>
      </w:pPr>
      <w:r w:rsidRPr="00B24C02">
        <w:rPr>
          <w:rFonts w:cs="Arial"/>
          <w:color w:val="000000"/>
          <w:szCs w:val="19"/>
          <w:lang w:eastAsia="en-AU"/>
        </w:rPr>
        <w:t xml:space="preserve">Funded organisations are to ensure that staff who handle personal and health information receive training on their privacy and data protection responsibilities, in particular how the Information Privacy Principles and the Health Privacy Principles apply to their day-to-day work. Organisations are also to make staff aware of the information security processes used by the organisation. </w:t>
      </w:r>
    </w:p>
    <w:p w14:paraId="7BC5C9BD" w14:textId="609E05DF" w:rsidR="00594629" w:rsidRPr="00276391" w:rsidRDefault="00594629" w:rsidP="00594629">
      <w:pPr>
        <w:pStyle w:val="DHHSbody"/>
        <w:rPr>
          <w:lang w:eastAsia="en-AU"/>
        </w:rPr>
      </w:pPr>
      <w:r w:rsidRPr="00276391">
        <w:rPr>
          <w:lang w:eastAsia="en-AU"/>
        </w:rPr>
        <w:t>The department has developed guidelines on Information Security to support organisations to provide their staff with data security training and help protect information kept by organisations from misuse, loss and unauthorised access, modification or disclosure.</w:t>
      </w:r>
      <w:r>
        <w:rPr>
          <w:lang w:eastAsia="en-AU"/>
        </w:rPr>
        <w:t xml:space="preserve"> </w:t>
      </w:r>
      <w:r w:rsidRPr="00276391">
        <w:rPr>
          <w:lang w:eastAsia="en-AU"/>
        </w:rPr>
        <w:t xml:space="preserve">The </w:t>
      </w:r>
      <w:hyperlink r:id="rId114" w:history="1">
        <w:r w:rsidRPr="003C05A7">
          <w:rPr>
            <w:rStyle w:val="Hyperlink"/>
            <w:lang w:eastAsia="en-AU"/>
          </w:rPr>
          <w:t>Privacy and information security guideline for funded agency staff</w:t>
        </w:r>
      </w:hyperlink>
      <w:r>
        <w:rPr>
          <w:lang w:eastAsia="en-AU"/>
        </w:rPr>
        <w:t xml:space="preserve"> &lt;</w:t>
      </w:r>
      <w:r w:rsidRPr="00594629">
        <w:rPr>
          <w:lang w:eastAsia="en-AU"/>
        </w:rPr>
        <w:t>https://dhhs.vic.gov.au/privacy-and-information-security-guideline-funded-agency-staff</w:t>
      </w:r>
      <w:r w:rsidR="00744B98">
        <w:rPr>
          <w:lang w:eastAsia="en-AU"/>
        </w:rPr>
        <w:t>&gt;</w:t>
      </w:r>
      <w:r w:rsidRPr="001E30FE">
        <w:rPr>
          <w:i/>
          <w:lang w:eastAsia="en-AU"/>
        </w:rPr>
        <w:t xml:space="preserve"> </w:t>
      </w:r>
      <w:r w:rsidRPr="00594629">
        <w:rPr>
          <w:lang w:eastAsia="en-AU"/>
        </w:rPr>
        <w:t xml:space="preserve">(external link, </w:t>
      </w:r>
      <w:r w:rsidR="00EA74AB">
        <w:rPr>
          <w:lang w:eastAsia="en-AU"/>
        </w:rPr>
        <w:t xml:space="preserve">opens in </w:t>
      </w:r>
      <w:r w:rsidR="00C62565">
        <w:rPr>
          <w:lang w:eastAsia="en-AU"/>
        </w:rPr>
        <w:t>a new window</w:t>
      </w:r>
      <w:r w:rsidRPr="00594629">
        <w:rPr>
          <w:lang w:eastAsia="en-AU"/>
        </w:rPr>
        <w:t>)</w:t>
      </w:r>
      <w:r>
        <w:rPr>
          <w:i/>
          <w:lang w:eastAsia="en-AU"/>
        </w:rPr>
        <w:t xml:space="preserve"> </w:t>
      </w:r>
      <w:r w:rsidRPr="00276391">
        <w:rPr>
          <w:lang w:eastAsia="en-AU"/>
        </w:rPr>
        <w:t>cover handling, sharing, storing, transporting and disposing of client information as well as incident response and contact details if organisations require further information.</w:t>
      </w:r>
    </w:p>
    <w:p w14:paraId="6DD950BA" w14:textId="77777777" w:rsidR="00594629" w:rsidRPr="00276391" w:rsidRDefault="00594629" w:rsidP="00594629">
      <w:pPr>
        <w:pStyle w:val="DHHSbody"/>
        <w:rPr>
          <w:lang w:eastAsia="en-AU"/>
        </w:rPr>
      </w:pPr>
      <w:r>
        <w:rPr>
          <w:rFonts w:cs="Arial"/>
          <w:color w:val="000000"/>
          <w:szCs w:val="19"/>
          <w:lang w:eastAsia="en-AU"/>
        </w:rPr>
        <w:t>O</w:t>
      </w:r>
      <w:r w:rsidRPr="00B24C02">
        <w:rPr>
          <w:rFonts w:cs="Arial"/>
          <w:color w:val="000000"/>
          <w:szCs w:val="19"/>
          <w:lang w:eastAsia="en-AU"/>
        </w:rPr>
        <w:t xml:space="preserve">ther resources to </w:t>
      </w:r>
      <w:r>
        <w:rPr>
          <w:rFonts w:cs="Arial"/>
          <w:color w:val="000000"/>
          <w:szCs w:val="19"/>
          <w:lang w:eastAsia="en-AU"/>
        </w:rPr>
        <w:t>assist</w:t>
      </w:r>
      <w:r w:rsidRPr="00B24C02">
        <w:rPr>
          <w:rFonts w:cs="Arial"/>
          <w:color w:val="000000"/>
          <w:szCs w:val="19"/>
          <w:lang w:eastAsia="en-AU"/>
        </w:rPr>
        <w:t xml:space="preserve"> organisations increas</w:t>
      </w:r>
      <w:r>
        <w:rPr>
          <w:rFonts w:cs="Arial"/>
          <w:color w:val="000000"/>
          <w:szCs w:val="19"/>
          <w:lang w:eastAsia="en-AU"/>
        </w:rPr>
        <w:t>e</w:t>
      </w:r>
      <w:r w:rsidRPr="00B24C02">
        <w:rPr>
          <w:rFonts w:cs="Arial"/>
          <w:color w:val="000000"/>
          <w:szCs w:val="19"/>
          <w:lang w:eastAsia="en-AU"/>
        </w:rPr>
        <w:t xml:space="preserve"> staff awareness of privacy and data protection requirements</w:t>
      </w:r>
      <w:r>
        <w:rPr>
          <w:rFonts w:cs="Arial"/>
          <w:color w:val="000000"/>
          <w:szCs w:val="19"/>
          <w:lang w:eastAsia="en-AU"/>
        </w:rPr>
        <w:t xml:space="preserve"> </w:t>
      </w:r>
      <w:r w:rsidRPr="00B24C02">
        <w:rPr>
          <w:rFonts w:cs="Arial"/>
          <w:color w:val="000000"/>
          <w:szCs w:val="19"/>
          <w:lang w:eastAsia="en-AU"/>
        </w:rPr>
        <w:t>include:</w:t>
      </w:r>
    </w:p>
    <w:p w14:paraId="44FAED3A" w14:textId="47230F93" w:rsidR="00594629" w:rsidRPr="00D86A33" w:rsidRDefault="00594629" w:rsidP="00594629">
      <w:pPr>
        <w:pStyle w:val="DHHSbullet1"/>
        <w:rPr>
          <w:rFonts w:cs="Arial"/>
          <w:lang w:eastAsia="en-AU"/>
        </w:rPr>
      </w:pPr>
      <w:r w:rsidRPr="00D86A33">
        <w:rPr>
          <w:rFonts w:cs="Arial"/>
          <w:lang w:eastAsia="en-AU"/>
        </w:rPr>
        <w:t xml:space="preserve">The </w:t>
      </w:r>
      <w:hyperlink r:id="rId115" w:history="1">
        <w:r w:rsidRPr="00D86A33">
          <w:rPr>
            <w:rStyle w:val="Hyperlink"/>
          </w:rPr>
          <w:t xml:space="preserve">Victorian Information Commissioner </w:t>
        </w:r>
        <w:r w:rsidRPr="00D86A33">
          <w:rPr>
            <w:rStyle w:val="Hyperlink"/>
            <w:rFonts w:cs="Arial"/>
            <w:lang w:eastAsia="en-AU"/>
          </w:rPr>
          <w:t>website</w:t>
        </w:r>
      </w:hyperlink>
      <w:r w:rsidRPr="00D86A33">
        <w:rPr>
          <w:rFonts w:cs="Arial"/>
          <w:lang w:eastAsia="en-AU"/>
        </w:rPr>
        <w:t xml:space="preserve"> </w:t>
      </w:r>
      <w:r w:rsidR="007E0CF5">
        <w:rPr>
          <w:rFonts w:cs="Arial"/>
          <w:lang w:eastAsia="en-AU"/>
        </w:rPr>
        <w:t>&lt;</w:t>
      </w:r>
      <w:r w:rsidRPr="00D86A33">
        <w:rPr>
          <w:rFonts w:cs="Arial"/>
          <w:lang w:eastAsia="en-AU"/>
        </w:rPr>
        <w:t>https://www.ovic.vic.gov.au/</w:t>
      </w:r>
      <w:r>
        <w:rPr>
          <w:rFonts w:cs="Arial"/>
          <w:lang w:eastAsia="en-AU"/>
        </w:rPr>
        <w:t>&gt; (external link opens in a new window)</w:t>
      </w:r>
      <w:r w:rsidRPr="00D86A33">
        <w:rPr>
          <w:rFonts w:cs="Arial"/>
          <w:lang w:eastAsia="en-AU"/>
        </w:rPr>
        <w:t xml:space="preserve"> offers training services and resources. </w:t>
      </w:r>
    </w:p>
    <w:p w14:paraId="696B9512" w14:textId="77777777" w:rsidR="00594629" w:rsidRPr="00D86A33" w:rsidRDefault="00594629" w:rsidP="00594629">
      <w:pPr>
        <w:pStyle w:val="DHHSbullet1"/>
        <w:rPr>
          <w:rFonts w:cs="Arial"/>
          <w:lang w:eastAsia="en-AU"/>
        </w:rPr>
      </w:pPr>
      <w:r>
        <w:rPr>
          <w:lang w:eastAsia="en-AU"/>
        </w:rPr>
        <w:t xml:space="preserve">The </w:t>
      </w:r>
      <w:hyperlink r:id="rId116" w:history="1">
        <w:r w:rsidRPr="00D86A33">
          <w:rPr>
            <w:rStyle w:val="Hyperlink"/>
          </w:rPr>
          <w:t>Health Complaints Commissioner</w:t>
        </w:r>
        <w:r w:rsidRPr="00D86A33">
          <w:rPr>
            <w:rStyle w:val="Hyperlink"/>
            <w:rFonts w:cs="Arial"/>
            <w:lang w:eastAsia="en-AU"/>
          </w:rPr>
          <w:t xml:space="preserve"> website</w:t>
        </w:r>
      </w:hyperlink>
      <w:r w:rsidRPr="00D86A33">
        <w:rPr>
          <w:rFonts w:cs="Arial"/>
          <w:lang w:eastAsia="en-AU"/>
        </w:rPr>
        <w:t xml:space="preserve"> </w:t>
      </w:r>
      <w:r>
        <w:rPr>
          <w:rFonts w:cs="Arial"/>
          <w:lang w:eastAsia="en-AU"/>
        </w:rPr>
        <w:t>&lt;</w:t>
      </w:r>
      <w:r w:rsidRPr="00D86A33">
        <w:rPr>
          <w:rFonts w:cs="Arial"/>
          <w:lang w:eastAsia="en-AU"/>
        </w:rPr>
        <w:t>https://hcc.vic.gov.au/</w:t>
      </w:r>
      <w:r>
        <w:rPr>
          <w:rFonts w:cs="Arial"/>
          <w:lang w:eastAsia="en-AU"/>
        </w:rPr>
        <w:t>&gt; (external link opens in a new window)</w:t>
      </w:r>
      <w:r w:rsidRPr="00D86A33">
        <w:rPr>
          <w:rFonts w:cs="Arial"/>
          <w:lang w:eastAsia="en-AU"/>
        </w:rPr>
        <w:t xml:space="preserve"> offers training for healthcare providers and staff.</w:t>
      </w:r>
    </w:p>
    <w:p w14:paraId="3C0AAB46" w14:textId="01BBDA95" w:rsidR="00594629" w:rsidRDefault="0016341D" w:rsidP="00067E93">
      <w:pPr>
        <w:pStyle w:val="DHHSbullet1"/>
        <w:rPr>
          <w:lang w:eastAsia="en-AU"/>
        </w:rPr>
      </w:pPr>
      <w:hyperlink r:id="rId117" w:tgtFrame="_blank" w:tooltip="Link to Stay Smart Online " w:history="1">
        <w:r w:rsidR="00594629" w:rsidRPr="00986D1E">
          <w:rPr>
            <w:rStyle w:val="Hyperlink"/>
          </w:rPr>
          <w:t>Stay Smart Online</w:t>
        </w:r>
      </w:hyperlink>
      <w:r w:rsidR="00594629" w:rsidRPr="00D86A33">
        <w:rPr>
          <w:rFonts w:cs="Arial"/>
          <w:lang w:eastAsia="en-AU"/>
        </w:rPr>
        <w:t xml:space="preserve"> &lt;https://www.staysmartonline.gov.au/</w:t>
      </w:r>
      <w:r w:rsidR="00594629">
        <w:rPr>
          <w:rFonts w:cs="Arial"/>
          <w:lang w:eastAsia="en-AU"/>
        </w:rPr>
        <w:t xml:space="preserve">&gt; (external link opens in a new window) </w:t>
      </w:r>
      <w:r w:rsidR="00594629" w:rsidRPr="00D86A33">
        <w:rPr>
          <w:rFonts w:cs="Arial"/>
          <w:lang w:eastAsia="en-AU"/>
        </w:rPr>
        <w:t>is a website developed by the Commonwealth Attorney-General’s Department. It provides simple steps to stay safe online including top tips, fact sheets, checklists, and a self-assessment tool.</w:t>
      </w:r>
      <w:r w:rsidR="00594629" w:rsidRPr="00276391">
        <w:rPr>
          <w:lang w:eastAsia="en-AU"/>
        </w:rPr>
        <w:t xml:space="preserve"> </w:t>
      </w:r>
    </w:p>
    <w:p w14:paraId="6E5D1862" w14:textId="366366AF" w:rsidR="00236748" w:rsidRPr="00276391" w:rsidRDefault="00594629" w:rsidP="00067E93">
      <w:pPr>
        <w:pStyle w:val="Heading3"/>
        <w:rPr>
          <w:lang w:eastAsia="en-AU"/>
        </w:rPr>
      </w:pPr>
      <w:bookmarkStart w:id="503" w:name="_Toc4142093"/>
      <w:r>
        <w:rPr>
          <w:lang w:eastAsia="en-AU"/>
        </w:rPr>
        <w:t>3.17.6</w:t>
      </w:r>
      <w:r w:rsidR="009B2351" w:rsidRPr="00276391">
        <w:rPr>
          <w:lang w:eastAsia="en-AU"/>
        </w:rPr>
        <w:t xml:space="preserve"> </w:t>
      </w:r>
      <w:r w:rsidR="00236748" w:rsidRPr="00276391">
        <w:rPr>
          <w:lang w:eastAsia="en-AU"/>
        </w:rPr>
        <w:t>Information</w:t>
      </w:r>
      <w:r w:rsidR="009B2351" w:rsidRPr="00276391">
        <w:rPr>
          <w:lang w:eastAsia="en-AU"/>
        </w:rPr>
        <w:t xml:space="preserve"> </w:t>
      </w:r>
      <w:r w:rsidR="00236748" w:rsidRPr="00276391">
        <w:rPr>
          <w:lang w:eastAsia="en-AU"/>
        </w:rPr>
        <w:t>on</w:t>
      </w:r>
      <w:r w:rsidR="009B2351" w:rsidRPr="00276391">
        <w:rPr>
          <w:lang w:eastAsia="en-AU"/>
        </w:rPr>
        <w:t xml:space="preserve"> </w:t>
      </w:r>
      <w:r w:rsidR="00236748" w:rsidRPr="00276391">
        <w:rPr>
          <w:lang w:eastAsia="en-AU"/>
        </w:rPr>
        <w:t>privacy</w:t>
      </w:r>
      <w:r w:rsidR="009B2351" w:rsidRPr="00276391">
        <w:rPr>
          <w:lang w:eastAsia="en-AU"/>
        </w:rPr>
        <w:t xml:space="preserve"> </w:t>
      </w:r>
      <w:r w:rsidR="00236748" w:rsidRPr="00276391">
        <w:rPr>
          <w:lang w:eastAsia="en-AU"/>
        </w:rPr>
        <w:t>complaints</w:t>
      </w:r>
      <w:bookmarkEnd w:id="497"/>
      <w:bookmarkEnd w:id="498"/>
      <w:bookmarkEnd w:id="503"/>
    </w:p>
    <w:p w14:paraId="047D6004" w14:textId="77777777" w:rsidR="00236748" w:rsidRPr="00276391" w:rsidRDefault="00236748" w:rsidP="00276391">
      <w:pPr>
        <w:pStyle w:val="DHHSbody"/>
        <w:rPr>
          <w:lang w:eastAsia="en-AU"/>
        </w:rPr>
      </w:pPr>
      <w:r w:rsidRPr="00B24C02">
        <w:rPr>
          <w:rFonts w:cs="Arial"/>
          <w:color w:val="000000"/>
          <w:szCs w:val="19"/>
          <w:lang w:eastAsia="en-AU"/>
        </w:rPr>
        <w:t>Individuals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lodge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Office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Commissioner</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Data</w:t>
      </w:r>
      <w:r w:rsidR="005D5532" w:rsidRPr="00B24C02">
        <w:rPr>
          <w:rFonts w:cs="Arial"/>
          <w:color w:val="000000"/>
          <w:szCs w:val="19"/>
          <w:lang w:eastAsia="en-AU"/>
        </w:rPr>
        <w:t xml:space="preserve"> </w:t>
      </w:r>
      <w:r w:rsidRPr="00B24C02">
        <w:rPr>
          <w:rFonts w:cs="Arial"/>
          <w:color w:val="000000"/>
          <w:szCs w:val="19"/>
          <w:lang w:eastAsia="en-AU"/>
        </w:rPr>
        <w:t>Protection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Office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Commissioner</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personal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Before</w:t>
      </w:r>
      <w:r w:rsidR="005D5532" w:rsidRPr="00B24C02">
        <w:rPr>
          <w:rFonts w:cs="Arial"/>
          <w:color w:val="000000"/>
          <w:szCs w:val="19"/>
          <w:lang w:eastAsia="en-AU"/>
        </w:rPr>
        <w:t xml:space="preserve"> </w:t>
      </w:r>
      <w:r w:rsidRPr="00B24C02">
        <w:rPr>
          <w:rFonts w:cs="Arial"/>
          <w:color w:val="000000"/>
          <w:szCs w:val="19"/>
          <w:lang w:eastAsia="en-AU"/>
        </w:rPr>
        <w:t>making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Commissioner,</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likely</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directly</w:t>
      </w:r>
      <w:r w:rsidR="005D5532" w:rsidRPr="00B24C02">
        <w:rPr>
          <w:rFonts w:cs="Arial"/>
          <w:color w:val="000000"/>
          <w:szCs w:val="19"/>
          <w:lang w:eastAsia="en-AU"/>
        </w:rPr>
        <w:t xml:space="preserve"> </w:t>
      </w:r>
      <w:r w:rsidRPr="00B24C02">
        <w:rPr>
          <w:rFonts w:cs="Arial"/>
          <w:color w:val="000000"/>
          <w:szCs w:val="19"/>
          <w:lang w:eastAsia="en-AU"/>
        </w:rPr>
        <w:t>complained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p>
    <w:p w14:paraId="58D92908" w14:textId="4B1E7EF1" w:rsidR="00236748" w:rsidRPr="00276391" w:rsidRDefault="00236748" w:rsidP="00276391">
      <w:pPr>
        <w:pStyle w:val="DHHSbody"/>
        <w:rPr>
          <w:lang w:eastAsia="en-AU"/>
        </w:rPr>
      </w:pP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Data</w:t>
      </w:r>
      <w:r w:rsidR="005D5532" w:rsidRPr="00276391">
        <w:rPr>
          <w:lang w:eastAsia="en-AU"/>
        </w:rPr>
        <w:t xml:space="preserve"> </w:t>
      </w:r>
      <w:r w:rsidRPr="00276391">
        <w:rPr>
          <w:lang w:eastAsia="en-AU"/>
        </w:rPr>
        <w:t>Protection</w:t>
      </w:r>
      <w:r w:rsidR="005D5532" w:rsidRPr="00276391">
        <w:rPr>
          <w:lang w:eastAsia="en-AU"/>
        </w:rPr>
        <w:t xml:space="preserve"> </w:t>
      </w:r>
      <w:r w:rsidRPr="00276391">
        <w:rPr>
          <w:lang w:eastAsia="en-AU"/>
        </w:rPr>
        <w:t>Commissioner</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118" w:tgtFrame="_blank" w:history="1">
        <w:r w:rsidRPr="00986D1E">
          <w:rPr>
            <w:rStyle w:val="Hyperlink"/>
          </w:rPr>
          <w:t>Office</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the</w:t>
        </w:r>
        <w:r w:rsidR="005D5532" w:rsidRPr="00986D1E">
          <w:rPr>
            <w:rStyle w:val="Hyperlink"/>
          </w:rPr>
          <w:t xml:space="preserve"> </w:t>
        </w:r>
        <w:r w:rsidRPr="00986D1E">
          <w:rPr>
            <w:rStyle w:val="Hyperlink"/>
          </w:rPr>
          <w:t>Commissioner</w:t>
        </w:r>
        <w:r w:rsidR="005D5532" w:rsidRPr="00986D1E">
          <w:rPr>
            <w:rStyle w:val="Hyperlink"/>
          </w:rPr>
          <w:t xml:space="preserve"> </w:t>
        </w:r>
        <w:r w:rsidRPr="00986D1E">
          <w:rPr>
            <w:rStyle w:val="Hyperlink"/>
          </w:rPr>
          <w:t>for</w:t>
        </w:r>
        <w:r w:rsidR="005D5532" w:rsidRPr="00986D1E">
          <w:rPr>
            <w:rStyle w:val="Hyperlink"/>
          </w:rPr>
          <w:t xml:space="preserve"> </w:t>
        </w:r>
        <w:r w:rsidRPr="00986D1E">
          <w:rPr>
            <w:rStyle w:val="Hyperlink"/>
          </w:rPr>
          <w:t>Privacy</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Data</w:t>
        </w:r>
        <w:r w:rsidR="005D5532" w:rsidRPr="00986D1E">
          <w:rPr>
            <w:rStyle w:val="Hyperlink"/>
          </w:rPr>
          <w:t xml:space="preserve"> </w:t>
        </w:r>
        <w:r w:rsidRPr="00986D1E">
          <w:rPr>
            <w:rStyle w:val="Hyperlink"/>
          </w:rPr>
          <w:t>Protection</w:t>
        </w:r>
      </w:hyperlink>
      <w:r w:rsidR="005D5532" w:rsidRPr="00276391">
        <w:rPr>
          <w:lang w:eastAsia="en-AU"/>
        </w:rPr>
        <w:t xml:space="preserve"> </w:t>
      </w:r>
      <w:r w:rsidR="003A0522">
        <w:rPr>
          <w:lang w:eastAsia="en-AU"/>
        </w:rPr>
        <w:t>&lt;</w:t>
      </w:r>
      <w:r w:rsidR="003A0522" w:rsidRPr="003A0522">
        <w:rPr>
          <w:lang w:eastAsia="en-AU"/>
        </w:rPr>
        <w:t>https://www.cpdp.vic.gov.au/index.php</w:t>
      </w:r>
      <w:r w:rsidR="003A0522">
        <w:rPr>
          <w:lang w:eastAsia="en-AU"/>
        </w:rPr>
        <w:t>&gt;</w:t>
      </w:r>
      <w:r w:rsidR="003A0522" w:rsidRPr="003A0522">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00EA74AB">
        <w:rPr>
          <w:lang w:eastAsia="en-AU"/>
        </w:rPr>
        <w:t xml:space="preserve">opens in </w:t>
      </w:r>
      <w:r w:rsidR="00C62565">
        <w:rPr>
          <w:lang w:eastAsia="en-AU"/>
        </w:rPr>
        <w:t>a new window</w:t>
      </w:r>
      <w:r w:rsidRPr="00276391">
        <w:rPr>
          <w:lang w:eastAsia="en-AU"/>
        </w:rPr>
        <w:t>)</w:t>
      </w:r>
      <w:r w:rsidR="005D5532" w:rsidRPr="00276391">
        <w:rPr>
          <w:lang w:eastAsia="en-AU"/>
        </w:rPr>
        <w:t xml:space="preserve"> </w:t>
      </w:r>
      <w:r w:rsidRPr="00276391">
        <w:rPr>
          <w:lang w:eastAsia="en-AU"/>
        </w:rPr>
        <w:t>website.</w:t>
      </w:r>
      <w:r w:rsidR="005D5532" w:rsidRPr="00276391">
        <w:rPr>
          <w:lang w:eastAsia="en-AU"/>
        </w:rPr>
        <w:t xml:space="preserve"> </w:t>
      </w:r>
    </w:p>
    <w:p w14:paraId="1E07FEDC" w14:textId="42BF9D65" w:rsidR="00236748" w:rsidRPr="00276391" w:rsidRDefault="00236748" w:rsidP="00276391">
      <w:pPr>
        <w:pStyle w:val="DHHSbody"/>
        <w:rPr>
          <w:lang w:eastAsia="en-AU"/>
        </w:rPr>
      </w:pP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Commissioner</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FC05FA">
        <w:t>Office</w:t>
      </w:r>
      <w:r w:rsidR="005D5532" w:rsidRPr="00FC05FA">
        <w:t xml:space="preserve"> </w:t>
      </w:r>
      <w:r w:rsidRPr="00FC05FA">
        <w:t>of</w:t>
      </w:r>
      <w:r w:rsidR="005D5532" w:rsidRPr="00FC05FA">
        <w:t xml:space="preserve"> </w:t>
      </w:r>
      <w:r w:rsidRPr="00FC05FA">
        <w:t>the</w:t>
      </w:r>
      <w:r w:rsidR="005D5532" w:rsidRPr="00FC05FA">
        <w:t xml:space="preserve"> </w:t>
      </w:r>
      <w:hyperlink r:id="rId119" w:history="1">
        <w:r w:rsidRPr="00FC05FA">
          <w:rPr>
            <w:rStyle w:val="Hyperlink"/>
          </w:rPr>
          <w:t>Health</w:t>
        </w:r>
        <w:r w:rsidR="005D5532" w:rsidRPr="00FC05FA">
          <w:rPr>
            <w:rStyle w:val="Hyperlink"/>
          </w:rPr>
          <w:t xml:space="preserve"> </w:t>
        </w:r>
        <w:r w:rsidRPr="00FC05FA">
          <w:rPr>
            <w:rStyle w:val="Hyperlink"/>
          </w:rPr>
          <w:t>Services</w:t>
        </w:r>
        <w:r w:rsidR="005D5532" w:rsidRPr="00FC05FA">
          <w:rPr>
            <w:rStyle w:val="Hyperlink"/>
          </w:rPr>
          <w:t xml:space="preserve"> </w:t>
        </w:r>
        <w:r w:rsidRPr="00FC05FA">
          <w:rPr>
            <w:rStyle w:val="Hyperlink"/>
          </w:rPr>
          <w:t>Commissioner</w:t>
        </w:r>
      </w:hyperlink>
      <w:r w:rsidR="005D5532" w:rsidRPr="00276391">
        <w:rPr>
          <w:lang w:eastAsia="en-AU"/>
        </w:rPr>
        <w:t xml:space="preserve"> </w:t>
      </w:r>
      <w:r w:rsidR="003A0522">
        <w:rPr>
          <w:lang w:eastAsia="en-AU"/>
        </w:rPr>
        <w:t>&lt;</w:t>
      </w:r>
      <w:r w:rsidR="0071193C" w:rsidRPr="0071193C">
        <w:rPr>
          <w:lang w:eastAsia="en-AU"/>
        </w:rPr>
        <w:t>https://hcc.vic.gov.au/</w:t>
      </w:r>
      <w:r w:rsidR="003A0522">
        <w:rPr>
          <w:lang w:eastAsia="en-AU"/>
        </w:rPr>
        <w:t>&gt;</w:t>
      </w:r>
      <w:r w:rsidR="00C06FD0">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00EA74AB">
        <w:rPr>
          <w:lang w:eastAsia="en-AU"/>
        </w:rPr>
        <w:t xml:space="preserve">opens in </w:t>
      </w:r>
      <w:r w:rsidR="00C62565">
        <w:rPr>
          <w:lang w:eastAsia="en-AU"/>
        </w:rPr>
        <w:t>a new window</w:t>
      </w:r>
      <w:r w:rsidRPr="00276391">
        <w:rPr>
          <w:lang w:eastAsia="en-AU"/>
        </w:rPr>
        <w:t>)</w:t>
      </w:r>
      <w:r w:rsidR="005D5532" w:rsidRPr="00276391">
        <w:rPr>
          <w:lang w:eastAsia="en-AU"/>
        </w:rPr>
        <w:t xml:space="preserve"> </w:t>
      </w:r>
      <w:r w:rsidRPr="00276391">
        <w:rPr>
          <w:lang w:eastAsia="en-AU"/>
        </w:rPr>
        <w:t>website.</w:t>
      </w:r>
    </w:p>
    <w:p w14:paraId="33C9076D" w14:textId="77777777" w:rsidR="00236748" w:rsidRPr="00276391" w:rsidRDefault="00236748" w:rsidP="00067E93">
      <w:pPr>
        <w:pStyle w:val="Heading4"/>
        <w:rPr>
          <w:lang w:eastAsia="en-AU"/>
        </w:rPr>
      </w:pPr>
      <w:bookmarkStart w:id="504" w:name="_Toc478991870"/>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bookmarkEnd w:id="504"/>
    </w:p>
    <w:p w14:paraId="422EC1B4" w14:textId="77777777" w:rsidR="00236748" w:rsidRPr="00276391" w:rsidRDefault="00236748" w:rsidP="00276391">
      <w:pPr>
        <w:pStyle w:val="DHHSbody"/>
        <w:rPr>
          <w:lang w:eastAsia="en-AU"/>
        </w:rPr>
      </w:pP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receives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notification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asking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investigate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written</w:t>
      </w:r>
      <w:r w:rsidR="005D5532" w:rsidRPr="00B24C02">
        <w:rPr>
          <w:rFonts w:cs="Arial"/>
          <w:color w:val="000000"/>
          <w:szCs w:val="19"/>
          <w:lang w:eastAsia="en-AU"/>
        </w:rPr>
        <w:t xml:space="preserve"> </w:t>
      </w:r>
      <w:r w:rsidRPr="00B24C02">
        <w:rPr>
          <w:rFonts w:cs="Arial"/>
          <w:color w:val="000000"/>
          <w:szCs w:val="19"/>
          <w:lang w:eastAsia="en-AU"/>
        </w:rPr>
        <w:t>response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complainant.</w:t>
      </w:r>
    </w:p>
    <w:p w14:paraId="770E9065" w14:textId="77777777" w:rsidR="00236748" w:rsidRPr="00276391" w:rsidRDefault="00236748" w:rsidP="00067E93">
      <w:pPr>
        <w:pStyle w:val="Heading3"/>
        <w:rPr>
          <w:lang w:eastAsia="en-AU"/>
        </w:rPr>
      </w:pPr>
      <w:bookmarkStart w:id="505" w:name="_Toc478991872"/>
      <w:bookmarkStart w:id="506" w:name="_Toc478992427"/>
      <w:bookmarkStart w:id="507" w:name="_Toc4142094"/>
      <w:r w:rsidRPr="00276391">
        <w:rPr>
          <w:lang w:eastAsia="en-AU"/>
        </w:rPr>
        <w:lastRenderedPageBreak/>
        <w:t>3.17.7</w:t>
      </w:r>
      <w:r w:rsidR="009B2351" w:rsidRPr="00276391">
        <w:rPr>
          <w:lang w:eastAsia="en-AU"/>
        </w:rPr>
        <w:t xml:space="preserve"> </w:t>
      </w:r>
      <w:r w:rsidRPr="00276391">
        <w:rPr>
          <w:lang w:eastAsia="en-AU"/>
        </w:rPr>
        <w:t>Privacy</w:t>
      </w:r>
      <w:r w:rsidR="009B2351" w:rsidRPr="00276391">
        <w:rPr>
          <w:lang w:eastAsia="en-AU"/>
        </w:rPr>
        <w:t xml:space="preserve"> </w:t>
      </w:r>
      <w:r w:rsidRPr="00276391">
        <w:rPr>
          <w:lang w:eastAsia="en-AU"/>
        </w:rPr>
        <w:t>contact</w:t>
      </w:r>
      <w:r w:rsidR="009B2351" w:rsidRPr="00276391">
        <w:rPr>
          <w:lang w:eastAsia="en-AU"/>
        </w:rPr>
        <w:t xml:space="preserve"> </w:t>
      </w:r>
      <w:r w:rsidRPr="00276391">
        <w:rPr>
          <w:lang w:eastAsia="en-AU"/>
        </w:rPr>
        <w:t>information</w:t>
      </w:r>
      <w:bookmarkEnd w:id="505"/>
      <w:bookmarkEnd w:id="506"/>
      <w:bookmarkEnd w:id="507"/>
    </w:p>
    <w:p w14:paraId="04C6730C" w14:textId="77777777"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summary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principles,</w:t>
      </w:r>
      <w:r w:rsidR="005D5532" w:rsidRPr="00B24C02">
        <w:rPr>
          <w:rFonts w:cs="Arial"/>
          <w:color w:val="000000"/>
          <w:szCs w:val="19"/>
          <w:lang w:eastAsia="en-AU"/>
        </w:rPr>
        <w:t xml:space="preserve"> </w:t>
      </w:r>
      <w:r w:rsidRPr="00B24C02">
        <w:rPr>
          <w:rFonts w:cs="Arial"/>
          <w:color w:val="000000"/>
          <w:szCs w:val="19"/>
          <w:lang w:eastAsia="en-AU"/>
        </w:rPr>
        <w:t>go</w:t>
      </w:r>
      <w:r w:rsidR="005D5532" w:rsidRPr="00B24C02">
        <w:rPr>
          <w:rFonts w:cs="Arial"/>
          <w:color w:val="000000"/>
          <w:szCs w:val="19"/>
          <w:lang w:eastAsia="en-AU"/>
        </w:rPr>
        <w:t xml:space="preserve"> </w:t>
      </w:r>
      <w:r w:rsidRPr="00B24C02">
        <w:rPr>
          <w:rFonts w:cs="Arial"/>
          <w:color w:val="000000"/>
          <w:szCs w:val="19"/>
          <w:lang w:eastAsia="en-AU"/>
        </w:rPr>
        <w:t>to:</w:t>
      </w:r>
    </w:p>
    <w:p w14:paraId="4C384CAE" w14:textId="1C7116B4" w:rsidR="00236748" w:rsidRPr="00C45D27" w:rsidRDefault="0016341D" w:rsidP="00C45D27">
      <w:pPr>
        <w:pStyle w:val="DHHSbullet1"/>
        <w:rPr>
          <w:rFonts w:cs="Arial"/>
          <w:lang w:eastAsia="en-AU"/>
        </w:rPr>
      </w:pPr>
      <w:hyperlink r:id="rId120" w:history="1">
        <w:r w:rsidR="00236748" w:rsidRPr="00986D1E">
          <w:rPr>
            <w:rStyle w:val="Hyperlink"/>
          </w:rPr>
          <w:t>Department</w:t>
        </w:r>
        <w:r w:rsidR="005D5532" w:rsidRPr="00986D1E">
          <w:rPr>
            <w:rStyle w:val="Hyperlink"/>
          </w:rPr>
          <w:t xml:space="preserve"> </w:t>
        </w:r>
        <w:r w:rsidR="00236748" w:rsidRPr="00986D1E">
          <w:rPr>
            <w:rStyle w:val="Hyperlink"/>
          </w:rPr>
          <w:t>of</w:t>
        </w:r>
        <w:r w:rsidR="005D5532" w:rsidRPr="00986D1E">
          <w:rPr>
            <w:rStyle w:val="Hyperlink"/>
          </w:rPr>
          <w:t xml:space="preserve"> </w:t>
        </w:r>
        <w:r w:rsidR="00236748" w:rsidRPr="00986D1E">
          <w:rPr>
            <w:rStyle w:val="Hyperlink"/>
          </w:rPr>
          <w:t>Health</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Human</w:t>
        </w:r>
        <w:r w:rsidR="005D5532" w:rsidRPr="00986D1E">
          <w:rPr>
            <w:rStyle w:val="Hyperlink"/>
          </w:rPr>
          <w:t xml:space="preserve"> </w:t>
        </w:r>
        <w:r w:rsidR="00236748" w:rsidRPr="00986D1E">
          <w:rPr>
            <w:rStyle w:val="Hyperlink"/>
          </w:rPr>
          <w:t>Services</w:t>
        </w:r>
        <w:r w:rsidR="005D5532" w:rsidRPr="00986D1E">
          <w:rPr>
            <w:rStyle w:val="Hyperlink"/>
          </w:rPr>
          <w:t xml:space="preserve"> </w:t>
        </w:r>
        <w:r w:rsidR="00236748" w:rsidRPr="00986D1E">
          <w:rPr>
            <w:rStyle w:val="Hyperlink"/>
          </w:rPr>
          <w:t>(human</w:t>
        </w:r>
        <w:r w:rsidR="005D5532" w:rsidRPr="00986D1E">
          <w:rPr>
            <w:rStyle w:val="Hyperlink"/>
          </w:rPr>
          <w:t xml:space="preserve"> </w:t>
        </w:r>
        <w:r w:rsidR="00236748" w:rsidRPr="00986D1E">
          <w:rPr>
            <w:rStyle w:val="Hyperlink"/>
          </w:rPr>
          <w:t>services)</w:t>
        </w:r>
      </w:hyperlink>
      <w:r w:rsidR="005D5532" w:rsidRPr="00C45D27">
        <w:rPr>
          <w:rFonts w:cs="Arial"/>
          <w:color w:val="000000"/>
          <w:szCs w:val="19"/>
          <w:lang w:eastAsia="en-AU"/>
        </w:rPr>
        <w:t xml:space="preserve"> </w:t>
      </w:r>
      <w:r w:rsidR="00C45D27" w:rsidRPr="00C45D27">
        <w:rPr>
          <w:rFonts w:cs="Arial"/>
          <w:color w:val="000000"/>
          <w:szCs w:val="19"/>
          <w:lang w:eastAsia="en-AU"/>
        </w:rPr>
        <w:t>&lt;https://dhhs.vic.gov.au/department-health-and-human-services-privacy-policy</w:t>
      </w:r>
      <w:r w:rsidR="00C45D27">
        <w:rPr>
          <w:rFonts w:cs="Arial"/>
          <w:color w:val="000000"/>
          <w:szCs w:val="19"/>
          <w:lang w:eastAsia="en-AU"/>
        </w:rPr>
        <w:t>&gt;</w:t>
      </w:r>
      <w:r w:rsidR="00C45D27" w:rsidRPr="00C45D27">
        <w:rPr>
          <w:rFonts w:cs="Arial"/>
          <w:color w:val="000000"/>
          <w:szCs w:val="19"/>
          <w:lang w:eastAsia="en-AU"/>
        </w:rPr>
        <w:t xml:space="preserve"> </w:t>
      </w:r>
      <w:r w:rsidR="00236748" w:rsidRPr="00C45D27">
        <w:rPr>
          <w:rFonts w:cs="Arial"/>
          <w:color w:val="000000"/>
          <w:szCs w:val="19"/>
          <w:lang w:eastAsia="en-AU"/>
        </w:rPr>
        <w:t>(external</w:t>
      </w:r>
      <w:r w:rsidR="005D5532" w:rsidRPr="00C45D27">
        <w:rPr>
          <w:rFonts w:cs="Arial"/>
          <w:color w:val="000000"/>
          <w:szCs w:val="19"/>
          <w:lang w:eastAsia="en-AU"/>
        </w:rPr>
        <w:t xml:space="preserve"> </w:t>
      </w:r>
      <w:r w:rsidR="00236748" w:rsidRPr="00C45D27">
        <w:rPr>
          <w:rFonts w:cs="Arial"/>
          <w:color w:val="000000"/>
          <w:szCs w:val="19"/>
          <w:lang w:eastAsia="en-AU"/>
        </w:rPr>
        <w:t>link,</w:t>
      </w:r>
      <w:r w:rsidR="005D5532" w:rsidRPr="00C45D27">
        <w:rPr>
          <w:rFonts w:cs="Arial"/>
          <w:color w:val="000000"/>
          <w:szCs w:val="19"/>
          <w:lang w:eastAsia="en-AU"/>
        </w:rPr>
        <w:t xml:space="preserve"> </w:t>
      </w:r>
      <w:r w:rsidR="00EA74AB">
        <w:rPr>
          <w:rFonts w:cs="Arial"/>
          <w:color w:val="000000"/>
          <w:szCs w:val="19"/>
          <w:lang w:eastAsia="en-AU"/>
        </w:rPr>
        <w:t xml:space="preserve">opens in </w:t>
      </w:r>
      <w:r w:rsidR="00C62565">
        <w:rPr>
          <w:rFonts w:cs="Arial"/>
          <w:color w:val="000000"/>
          <w:szCs w:val="19"/>
          <w:lang w:eastAsia="en-AU"/>
        </w:rPr>
        <w:t>a new window</w:t>
      </w:r>
      <w:r w:rsidR="00236748" w:rsidRPr="00C45D27">
        <w:rPr>
          <w:rFonts w:cs="Arial"/>
          <w:color w:val="000000"/>
          <w:szCs w:val="19"/>
          <w:lang w:eastAsia="en-AU"/>
        </w:rPr>
        <w:t>)</w:t>
      </w:r>
      <w:r w:rsidR="005D5532" w:rsidRPr="00C45D27">
        <w:rPr>
          <w:rFonts w:cs="Arial"/>
          <w:color w:val="000000"/>
          <w:szCs w:val="19"/>
          <w:lang w:eastAsia="en-AU"/>
        </w:rPr>
        <w:t xml:space="preserve"> </w:t>
      </w:r>
    </w:p>
    <w:p w14:paraId="26E28754" w14:textId="1AC87A10" w:rsidR="00236748" w:rsidRPr="00A83DFA" w:rsidRDefault="0016341D" w:rsidP="00A83DFA">
      <w:pPr>
        <w:pStyle w:val="DHHSbullet1"/>
        <w:rPr>
          <w:rFonts w:cs="Arial"/>
          <w:lang w:eastAsia="en-AU"/>
        </w:rPr>
      </w:pPr>
      <w:hyperlink r:id="rId121" w:history="1">
        <w:r w:rsidR="00236748" w:rsidRPr="00986D1E">
          <w:rPr>
            <w:rStyle w:val="Hyperlink"/>
          </w:rPr>
          <w:t>Department</w:t>
        </w:r>
        <w:r w:rsidR="005D5532" w:rsidRPr="00986D1E">
          <w:rPr>
            <w:rStyle w:val="Hyperlink"/>
          </w:rPr>
          <w:t xml:space="preserve"> </w:t>
        </w:r>
        <w:r w:rsidR="00236748" w:rsidRPr="00986D1E">
          <w:rPr>
            <w:rStyle w:val="Hyperlink"/>
          </w:rPr>
          <w:t>of</w:t>
        </w:r>
        <w:r w:rsidR="005D5532" w:rsidRPr="00986D1E">
          <w:rPr>
            <w:rStyle w:val="Hyperlink"/>
          </w:rPr>
          <w:t xml:space="preserve"> </w:t>
        </w:r>
        <w:r w:rsidR="00236748" w:rsidRPr="00986D1E">
          <w:rPr>
            <w:rStyle w:val="Hyperlink"/>
          </w:rPr>
          <w:t>Health</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Human</w:t>
        </w:r>
        <w:r w:rsidR="005D5532" w:rsidRPr="00986D1E">
          <w:rPr>
            <w:rStyle w:val="Hyperlink"/>
          </w:rPr>
          <w:t xml:space="preserve"> </w:t>
        </w:r>
        <w:r w:rsidR="00236748" w:rsidRPr="00986D1E">
          <w:rPr>
            <w:rStyle w:val="Hyperlink"/>
          </w:rPr>
          <w:t>Services</w:t>
        </w:r>
        <w:r w:rsidR="005D5532" w:rsidRPr="00986D1E">
          <w:rPr>
            <w:rStyle w:val="Hyperlink"/>
          </w:rPr>
          <w:t xml:space="preserve"> </w:t>
        </w:r>
        <w:r w:rsidR="00236748" w:rsidRPr="00986D1E">
          <w:rPr>
            <w:rStyle w:val="Hyperlink"/>
          </w:rPr>
          <w:t>(health)</w:t>
        </w:r>
      </w:hyperlink>
      <w:r w:rsidR="005D5532" w:rsidRPr="00A83DFA">
        <w:rPr>
          <w:rFonts w:cs="Arial"/>
          <w:lang w:eastAsia="en-AU"/>
        </w:rPr>
        <w:t xml:space="preserve"> </w:t>
      </w:r>
      <w:r w:rsidR="00A83DFA" w:rsidRPr="00A83DFA">
        <w:rPr>
          <w:rFonts w:cs="Arial"/>
          <w:lang w:eastAsia="en-AU"/>
        </w:rPr>
        <w:t>&lt;https://www2.health.vic.gov.au/privacy</w:t>
      </w:r>
      <w:r w:rsidR="00A83DFA">
        <w:rPr>
          <w:rFonts w:cs="Arial"/>
          <w:lang w:eastAsia="en-AU"/>
        </w:rPr>
        <w:t>&gt;</w:t>
      </w:r>
      <w:r w:rsidR="00A83DFA" w:rsidRPr="00A83DFA">
        <w:rPr>
          <w:rFonts w:cs="Arial"/>
          <w:lang w:eastAsia="en-AU"/>
        </w:rPr>
        <w:t xml:space="preserve"> </w:t>
      </w:r>
      <w:r w:rsidR="00236748" w:rsidRPr="00A83DFA">
        <w:rPr>
          <w:rFonts w:cs="Arial"/>
          <w:lang w:eastAsia="en-AU"/>
        </w:rPr>
        <w:t>(external</w:t>
      </w:r>
      <w:r w:rsidR="005D5532" w:rsidRPr="00A83DFA">
        <w:rPr>
          <w:rFonts w:cs="Arial"/>
          <w:lang w:eastAsia="en-AU"/>
        </w:rPr>
        <w:t xml:space="preserve"> </w:t>
      </w:r>
      <w:r w:rsidR="00236748" w:rsidRPr="00A83DFA">
        <w:rPr>
          <w:rFonts w:cs="Arial"/>
          <w:lang w:eastAsia="en-AU"/>
        </w:rPr>
        <w:t>link,</w:t>
      </w:r>
      <w:r w:rsidR="005D5532" w:rsidRPr="00A83DFA">
        <w:rPr>
          <w:rFonts w:cs="Arial"/>
          <w:lang w:eastAsia="en-AU"/>
        </w:rPr>
        <w:t xml:space="preserve"> </w:t>
      </w:r>
      <w:r w:rsidR="00EA74AB">
        <w:rPr>
          <w:rFonts w:cs="Arial"/>
          <w:lang w:eastAsia="en-AU"/>
        </w:rPr>
        <w:t xml:space="preserve">opens in </w:t>
      </w:r>
      <w:r w:rsidR="00C62565">
        <w:rPr>
          <w:rFonts w:cs="Arial"/>
          <w:lang w:eastAsia="en-AU"/>
        </w:rPr>
        <w:t>a new window</w:t>
      </w:r>
      <w:r w:rsidR="00236748" w:rsidRPr="00A83DFA">
        <w:rPr>
          <w:rFonts w:cs="Arial"/>
          <w:lang w:eastAsia="en-AU"/>
        </w:rPr>
        <w:t>)</w:t>
      </w:r>
      <w:r w:rsidR="005D5532" w:rsidRPr="00A83DFA">
        <w:rPr>
          <w:rFonts w:cs="Arial"/>
          <w:lang w:eastAsia="en-AU"/>
        </w:rPr>
        <w:t xml:space="preserve"> </w:t>
      </w:r>
    </w:p>
    <w:p w14:paraId="5B6E6C5E" w14:textId="3F3C4AD7" w:rsidR="00236748" w:rsidRPr="00A83DFA" w:rsidRDefault="0016341D" w:rsidP="00A83DFA">
      <w:pPr>
        <w:pStyle w:val="DHHSbullet1"/>
        <w:rPr>
          <w:rFonts w:cs="Arial"/>
          <w:lang w:eastAsia="en-AU"/>
        </w:rPr>
      </w:pPr>
      <w:hyperlink r:id="rId122" w:tgtFrame="_blank" w:tooltip="Link to Department of Education and Training privacy statement" w:history="1">
        <w:r w:rsidR="00236748" w:rsidRPr="00986D1E">
          <w:rPr>
            <w:rStyle w:val="Hyperlink"/>
          </w:rPr>
          <w:t>Department</w:t>
        </w:r>
        <w:r w:rsidR="005D5532" w:rsidRPr="00986D1E">
          <w:rPr>
            <w:rStyle w:val="Hyperlink"/>
          </w:rPr>
          <w:t xml:space="preserve"> </w:t>
        </w:r>
        <w:r w:rsidR="00236748" w:rsidRPr="00986D1E">
          <w:rPr>
            <w:rStyle w:val="Hyperlink"/>
          </w:rPr>
          <w:t>of</w:t>
        </w:r>
        <w:r w:rsidR="005D5532" w:rsidRPr="00986D1E">
          <w:rPr>
            <w:rStyle w:val="Hyperlink"/>
          </w:rPr>
          <w:t xml:space="preserve"> </w:t>
        </w:r>
        <w:r w:rsidR="00236748" w:rsidRPr="00986D1E">
          <w:rPr>
            <w:rStyle w:val="Hyperlink"/>
          </w:rPr>
          <w:t>Education</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Training</w:t>
        </w:r>
      </w:hyperlink>
      <w:r w:rsidR="00A83DFA">
        <w:rPr>
          <w:rFonts w:cs="Arial"/>
          <w:lang w:eastAsia="en-AU"/>
        </w:rPr>
        <w:t xml:space="preserve"> </w:t>
      </w:r>
      <w:r w:rsidR="00A83DFA" w:rsidRPr="00A83DFA">
        <w:rPr>
          <w:rFonts w:cs="Arial"/>
          <w:lang w:eastAsia="en-AU"/>
        </w:rPr>
        <w:t>&lt;http://www.education.vic.gov.au/Pages/privacy.aspx?Redirect=</w:t>
      </w:r>
      <w:r w:rsidR="00A83DFA">
        <w:rPr>
          <w:rFonts w:cs="Arial"/>
          <w:lang w:eastAsia="en-AU"/>
        </w:rPr>
        <w:t>&gt;</w:t>
      </w:r>
      <w:r w:rsidR="00A83DFA" w:rsidRPr="00A83DFA">
        <w:rPr>
          <w:rFonts w:cs="Arial"/>
          <w:lang w:eastAsia="en-AU"/>
        </w:rPr>
        <w:t>1</w:t>
      </w:r>
      <w:r w:rsidR="006522B4">
        <w:rPr>
          <w:rFonts w:cs="Arial"/>
          <w:lang w:eastAsia="en-AU"/>
        </w:rPr>
        <w:t>&gt;</w:t>
      </w:r>
      <w:r w:rsidR="00A83DFA" w:rsidRPr="00A83DFA">
        <w:rPr>
          <w:rFonts w:cs="Arial"/>
          <w:lang w:eastAsia="en-AU"/>
        </w:rPr>
        <w:t xml:space="preserve"> </w:t>
      </w:r>
      <w:r w:rsidR="00236748" w:rsidRPr="00A83DFA">
        <w:rPr>
          <w:rFonts w:cs="Arial"/>
          <w:lang w:eastAsia="en-AU"/>
        </w:rPr>
        <w:t>(external</w:t>
      </w:r>
      <w:r w:rsidR="005D5532" w:rsidRPr="00A83DFA">
        <w:rPr>
          <w:rFonts w:cs="Arial"/>
          <w:lang w:eastAsia="en-AU"/>
        </w:rPr>
        <w:t xml:space="preserve"> </w:t>
      </w:r>
      <w:r w:rsidR="00236748" w:rsidRPr="00A83DFA">
        <w:rPr>
          <w:rFonts w:cs="Arial"/>
          <w:lang w:eastAsia="en-AU"/>
        </w:rPr>
        <w:t>link,</w:t>
      </w:r>
      <w:r w:rsidR="005D5532" w:rsidRPr="00A83DFA">
        <w:rPr>
          <w:rFonts w:cs="Arial"/>
          <w:lang w:eastAsia="en-AU"/>
        </w:rPr>
        <w:t xml:space="preserve"> </w:t>
      </w:r>
      <w:r w:rsidR="00EA74AB">
        <w:rPr>
          <w:rFonts w:cs="Arial"/>
          <w:lang w:eastAsia="en-AU"/>
        </w:rPr>
        <w:t xml:space="preserve">opens in </w:t>
      </w:r>
      <w:r w:rsidR="00C62565">
        <w:rPr>
          <w:rFonts w:cs="Arial"/>
          <w:lang w:eastAsia="en-AU"/>
        </w:rPr>
        <w:t>a new window</w:t>
      </w:r>
      <w:r w:rsidR="00236748" w:rsidRPr="00A83DFA">
        <w:rPr>
          <w:rFonts w:cs="Arial"/>
          <w:lang w:eastAsia="en-AU"/>
        </w:rPr>
        <w:t>)</w:t>
      </w:r>
      <w:r w:rsidR="00225863">
        <w:rPr>
          <w:rFonts w:cs="Arial"/>
          <w:lang w:eastAsia="en-AU"/>
        </w:rPr>
        <w:t>.</w:t>
      </w:r>
    </w:p>
    <w:p w14:paraId="36403D99"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Privacy</w:t>
      </w:r>
      <w:r w:rsidR="005D5532" w:rsidRPr="00B24C02">
        <w:rPr>
          <w:rFonts w:cs="Arial"/>
          <w:color w:val="000000"/>
          <w:szCs w:val="19"/>
          <w:lang w:eastAsia="en-AU"/>
        </w:rPr>
        <w:t xml:space="preserve"> </w:t>
      </w:r>
      <w:r w:rsidRPr="00B24C02">
        <w:rPr>
          <w:rFonts w:cs="Arial"/>
          <w:color w:val="000000"/>
          <w:szCs w:val="19"/>
          <w:lang w:eastAsia="en-AU"/>
        </w:rPr>
        <w:t>Team</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contacted</w:t>
      </w:r>
      <w:r w:rsidR="005D5532" w:rsidRPr="00B24C02">
        <w:rPr>
          <w:rFonts w:cs="Arial"/>
          <w:color w:val="000000"/>
          <w:szCs w:val="19"/>
          <w:lang w:eastAsia="en-AU"/>
        </w:rPr>
        <w:t xml:space="preserve"> </w:t>
      </w:r>
      <w:r w:rsidRPr="00B24C02">
        <w:rPr>
          <w:rFonts w:cs="Arial"/>
          <w:color w:val="000000"/>
          <w:szCs w:val="19"/>
          <w:lang w:eastAsia="en-AU"/>
        </w:rPr>
        <w:t>on:</w:t>
      </w:r>
    </w:p>
    <w:p w14:paraId="5987DC30" w14:textId="77777777" w:rsidR="00236748" w:rsidRPr="00276391" w:rsidRDefault="00236748" w:rsidP="00054330">
      <w:pPr>
        <w:pStyle w:val="DHHSbody"/>
        <w:spacing w:after="0"/>
        <w:rPr>
          <w:i/>
          <w:iCs/>
          <w:lang w:eastAsia="en-AU"/>
        </w:rPr>
      </w:pPr>
      <w:r w:rsidRPr="00276391">
        <w:rPr>
          <w:i/>
          <w:iCs/>
          <w:lang w:eastAsia="en-AU"/>
        </w:rPr>
        <w:t>Privacy</w:t>
      </w:r>
      <w:r w:rsidR="005D5532" w:rsidRPr="00276391">
        <w:rPr>
          <w:i/>
          <w:iCs/>
          <w:lang w:eastAsia="en-AU"/>
        </w:rPr>
        <w:t xml:space="preserve"> </w:t>
      </w:r>
      <w:r w:rsidRPr="00276391">
        <w:rPr>
          <w:i/>
          <w:iCs/>
          <w:lang w:eastAsia="en-AU"/>
        </w:rPr>
        <w:t>Team</w:t>
      </w:r>
      <w:r w:rsidR="005D5532" w:rsidRPr="00276391">
        <w:rPr>
          <w:i/>
          <w:iCs/>
          <w:lang w:eastAsia="en-AU"/>
        </w:rPr>
        <w:t xml:space="preserve"> </w:t>
      </w:r>
    </w:p>
    <w:p w14:paraId="4C1713D3" w14:textId="77777777" w:rsidR="00236748" w:rsidRPr="00276391" w:rsidRDefault="00236748" w:rsidP="00054330">
      <w:pPr>
        <w:pStyle w:val="DHHSbody"/>
        <w:spacing w:after="0"/>
        <w:rPr>
          <w:i/>
          <w:iCs/>
          <w:lang w:eastAsia="en-AU"/>
        </w:rPr>
      </w:pPr>
      <w:r w:rsidRPr="00276391">
        <w:rPr>
          <w:i/>
          <w:iCs/>
          <w:lang w:eastAsia="en-AU"/>
        </w:rPr>
        <w:t>Postal</w:t>
      </w:r>
      <w:r w:rsidR="005D5532" w:rsidRPr="00276391">
        <w:rPr>
          <w:i/>
          <w:iCs/>
          <w:lang w:eastAsia="en-AU"/>
        </w:rPr>
        <w:t xml:space="preserve"> </w:t>
      </w:r>
      <w:r w:rsidRPr="00276391">
        <w:rPr>
          <w:i/>
          <w:iCs/>
          <w:lang w:eastAsia="en-AU"/>
        </w:rPr>
        <w:t>Address:</w:t>
      </w:r>
      <w:r w:rsidR="005D5532" w:rsidRPr="00276391">
        <w:rPr>
          <w:i/>
          <w:iCs/>
          <w:lang w:eastAsia="en-AU"/>
        </w:rPr>
        <w:t xml:space="preserve"> </w:t>
      </w:r>
      <w:r w:rsidRPr="00276391">
        <w:rPr>
          <w:i/>
          <w:iCs/>
          <w:lang w:eastAsia="en-AU"/>
        </w:rPr>
        <w:t>GPO</w:t>
      </w:r>
      <w:r w:rsidR="005D5532" w:rsidRPr="00276391">
        <w:rPr>
          <w:i/>
          <w:iCs/>
          <w:lang w:eastAsia="en-AU"/>
        </w:rPr>
        <w:t xml:space="preserve"> </w:t>
      </w:r>
      <w:r w:rsidRPr="00276391">
        <w:rPr>
          <w:i/>
          <w:iCs/>
          <w:lang w:eastAsia="en-AU"/>
        </w:rPr>
        <w:t>BOX</w:t>
      </w:r>
      <w:r w:rsidR="005D5532" w:rsidRPr="00276391">
        <w:rPr>
          <w:i/>
          <w:iCs/>
          <w:lang w:eastAsia="en-AU"/>
        </w:rPr>
        <w:t xml:space="preserve"> </w:t>
      </w:r>
      <w:r w:rsidRPr="00276391">
        <w:rPr>
          <w:i/>
          <w:iCs/>
          <w:lang w:eastAsia="en-AU"/>
        </w:rPr>
        <w:t>4057,</w:t>
      </w:r>
      <w:r w:rsidR="005D5532" w:rsidRPr="00276391">
        <w:rPr>
          <w:i/>
          <w:iCs/>
          <w:lang w:eastAsia="en-AU"/>
        </w:rPr>
        <w:t xml:space="preserve"> </w:t>
      </w:r>
      <w:r w:rsidRPr="00276391">
        <w:rPr>
          <w:i/>
          <w:iCs/>
          <w:lang w:eastAsia="en-AU"/>
        </w:rPr>
        <w:t>MELBOURNE,</w:t>
      </w:r>
      <w:r w:rsidR="005D5532" w:rsidRPr="00276391">
        <w:rPr>
          <w:i/>
          <w:iCs/>
          <w:lang w:eastAsia="en-AU"/>
        </w:rPr>
        <w:t xml:space="preserve"> </w:t>
      </w:r>
      <w:r w:rsidRPr="00276391">
        <w:rPr>
          <w:i/>
          <w:iCs/>
          <w:lang w:eastAsia="en-AU"/>
        </w:rPr>
        <w:t>VIC</w:t>
      </w:r>
      <w:r w:rsidR="005D5532" w:rsidRPr="00276391">
        <w:rPr>
          <w:i/>
          <w:iCs/>
          <w:lang w:eastAsia="en-AU"/>
        </w:rPr>
        <w:t xml:space="preserve"> </w:t>
      </w:r>
      <w:r w:rsidRPr="00276391">
        <w:rPr>
          <w:i/>
          <w:iCs/>
          <w:lang w:eastAsia="en-AU"/>
        </w:rPr>
        <w:t>3001</w:t>
      </w:r>
      <w:r w:rsidR="005D5532" w:rsidRPr="00276391">
        <w:rPr>
          <w:i/>
          <w:iCs/>
          <w:lang w:eastAsia="en-AU"/>
        </w:rPr>
        <w:t xml:space="preserve"> </w:t>
      </w:r>
    </w:p>
    <w:p w14:paraId="2C605F31" w14:textId="77777777" w:rsidR="00236748" w:rsidRPr="00276391" w:rsidRDefault="00236748" w:rsidP="00054330">
      <w:pPr>
        <w:pStyle w:val="DHHSbody"/>
        <w:spacing w:after="0"/>
        <w:rPr>
          <w:i/>
          <w:iCs/>
          <w:lang w:eastAsia="en-AU"/>
        </w:rPr>
      </w:pPr>
      <w:r w:rsidRPr="00276391">
        <w:rPr>
          <w:i/>
          <w:iCs/>
          <w:lang w:eastAsia="en-AU"/>
        </w:rPr>
        <w:t>Street</w:t>
      </w:r>
      <w:r w:rsidR="005D5532" w:rsidRPr="00276391">
        <w:rPr>
          <w:i/>
          <w:iCs/>
          <w:lang w:eastAsia="en-AU"/>
        </w:rPr>
        <w:t xml:space="preserve"> </w:t>
      </w:r>
      <w:r w:rsidRPr="00276391">
        <w:rPr>
          <w:i/>
          <w:iCs/>
          <w:lang w:eastAsia="en-AU"/>
        </w:rPr>
        <w:t>Address:</w:t>
      </w:r>
      <w:r w:rsidR="005D5532" w:rsidRPr="00276391">
        <w:rPr>
          <w:i/>
          <w:iCs/>
          <w:lang w:eastAsia="en-AU"/>
        </w:rPr>
        <w:t xml:space="preserve"> </w:t>
      </w:r>
      <w:r w:rsidRPr="00276391">
        <w:rPr>
          <w:i/>
          <w:iCs/>
          <w:lang w:eastAsia="en-AU"/>
        </w:rPr>
        <w:t>50</w:t>
      </w:r>
      <w:r w:rsidR="005D5532" w:rsidRPr="00276391">
        <w:rPr>
          <w:i/>
          <w:iCs/>
          <w:lang w:eastAsia="en-AU"/>
        </w:rPr>
        <w:t xml:space="preserve"> </w:t>
      </w:r>
      <w:r w:rsidRPr="00276391">
        <w:rPr>
          <w:i/>
          <w:iCs/>
          <w:lang w:eastAsia="en-AU"/>
        </w:rPr>
        <w:t>Lonsdale</w:t>
      </w:r>
      <w:r w:rsidR="005D5532" w:rsidRPr="00276391">
        <w:rPr>
          <w:i/>
          <w:iCs/>
          <w:lang w:eastAsia="en-AU"/>
        </w:rPr>
        <w:t xml:space="preserve"> </w:t>
      </w:r>
      <w:r w:rsidRPr="00276391">
        <w:rPr>
          <w:i/>
          <w:iCs/>
          <w:lang w:eastAsia="en-AU"/>
        </w:rPr>
        <w:t>Street,</w:t>
      </w:r>
      <w:r w:rsidR="005D5532" w:rsidRPr="00276391">
        <w:rPr>
          <w:i/>
          <w:iCs/>
          <w:lang w:eastAsia="en-AU"/>
        </w:rPr>
        <w:t xml:space="preserve"> </w:t>
      </w:r>
      <w:r w:rsidRPr="00276391">
        <w:rPr>
          <w:i/>
          <w:iCs/>
          <w:lang w:eastAsia="en-AU"/>
        </w:rPr>
        <w:t>MELBOURNE,</w:t>
      </w:r>
      <w:r w:rsidR="005D5532" w:rsidRPr="00276391">
        <w:rPr>
          <w:i/>
          <w:iCs/>
          <w:lang w:eastAsia="en-AU"/>
        </w:rPr>
        <w:t xml:space="preserve"> </w:t>
      </w:r>
      <w:r w:rsidRPr="00276391">
        <w:rPr>
          <w:i/>
          <w:iCs/>
          <w:lang w:eastAsia="en-AU"/>
        </w:rPr>
        <w:t>VIC</w:t>
      </w:r>
      <w:r w:rsidR="005D5532" w:rsidRPr="00276391">
        <w:rPr>
          <w:i/>
          <w:iCs/>
          <w:lang w:eastAsia="en-AU"/>
        </w:rPr>
        <w:t xml:space="preserve"> </w:t>
      </w:r>
      <w:r w:rsidRPr="00276391">
        <w:rPr>
          <w:i/>
          <w:iCs/>
          <w:lang w:eastAsia="en-AU"/>
        </w:rPr>
        <w:t>3000</w:t>
      </w:r>
      <w:r w:rsidR="005D5532" w:rsidRPr="00276391">
        <w:rPr>
          <w:i/>
          <w:iCs/>
          <w:lang w:eastAsia="en-AU"/>
        </w:rPr>
        <w:t xml:space="preserve"> </w:t>
      </w:r>
    </w:p>
    <w:p w14:paraId="0830B6F7" w14:textId="77777777" w:rsidR="00236748" w:rsidRPr="00276391" w:rsidRDefault="00236748" w:rsidP="00054330">
      <w:pPr>
        <w:pStyle w:val="DHHSbody"/>
        <w:spacing w:after="0"/>
        <w:rPr>
          <w:i/>
          <w:iCs/>
          <w:lang w:eastAsia="en-AU"/>
        </w:rPr>
      </w:pPr>
      <w:r w:rsidRPr="00276391">
        <w:rPr>
          <w:i/>
          <w:iCs/>
          <w:lang w:eastAsia="en-AU"/>
        </w:rPr>
        <w:t>Phone:</w:t>
      </w:r>
      <w:r w:rsidR="005D5532" w:rsidRPr="00276391">
        <w:rPr>
          <w:i/>
          <w:iCs/>
          <w:lang w:eastAsia="en-AU"/>
        </w:rPr>
        <w:t xml:space="preserve"> </w:t>
      </w:r>
      <w:r w:rsidRPr="00276391">
        <w:rPr>
          <w:i/>
          <w:iCs/>
          <w:lang w:eastAsia="en-AU"/>
        </w:rPr>
        <w:t>9096</w:t>
      </w:r>
      <w:r w:rsidR="005D5532" w:rsidRPr="00276391">
        <w:rPr>
          <w:i/>
          <w:iCs/>
          <w:lang w:eastAsia="en-AU"/>
        </w:rPr>
        <w:t xml:space="preserve"> </w:t>
      </w:r>
      <w:r w:rsidRPr="00276391">
        <w:rPr>
          <w:i/>
          <w:iCs/>
          <w:lang w:eastAsia="en-AU"/>
        </w:rPr>
        <w:t>0888</w:t>
      </w:r>
      <w:r w:rsidR="005D5532" w:rsidRPr="00276391">
        <w:rPr>
          <w:i/>
          <w:iCs/>
          <w:lang w:eastAsia="en-AU"/>
        </w:rPr>
        <w:t xml:space="preserve"> </w:t>
      </w:r>
    </w:p>
    <w:p w14:paraId="4FE7E53D" w14:textId="77777777" w:rsidR="00236748" w:rsidRPr="00276391" w:rsidRDefault="00236748" w:rsidP="00276391">
      <w:pPr>
        <w:pStyle w:val="DHHSbody"/>
        <w:rPr>
          <w:i/>
          <w:iCs/>
          <w:lang w:eastAsia="en-AU"/>
        </w:rPr>
      </w:pPr>
      <w:r w:rsidRPr="00276391">
        <w:rPr>
          <w:i/>
          <w:iCs/>
          <w:lang w:eastAsia="en-AU"/>
        </w:rPr>
        <w:t>Email:</w:t>
      </w:r>
      <w:r w:rsidR="005D5532" w:rsidRPr="00276391">
        <w:rPr>
          <w:i/>
          <w:iCs/>
          <w:lang w:eastAsia="en-AU"/>
        </w:rPr>
        <w:t xml:space="preserve"> </w:t>
      </w:r>
      <w:hyperlink r:id="rId123" w:history="1">
        <w:r w:rsidRPr="00986D1E">
          <w:rPr>
            <w:rStyle w:val="Hyperlink"/>
          </w:rPr>
          <w:t>privacy@dhhs.vic.gov.au</w:t>
        </w:r>
      </w:hyperlink>
      <w:r w:rsidR="005D5532" w:rsidRPr="00276391">
        <w:rPr>
          <w:i/>
          <w:iCs/>
          <w:lang w:eastAsia="en-AU"/>
        </w:rPr>
        <w:t xml:space="preserve"> </w:t>
      </w:r>
    </w:p>
    <w:p w14:paraId="0E524841"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FOI</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team</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contacted</w:t>
      </w:r>
      <w:r w:rsidR="005D5532" w:rsidRPr="00276391">
        <w:rPr>
          <w:lang w:eastAsia="en-AU"/>
        </w:rPr>
        <w:t xml:space="preserve"> </w:t>
      </w:r>
      <w:r w:rsidRPr="00276391">
        <w:rPr>
          <w:lang w:eastAsia="en-AU"/>
        </w:rPr>
        <w:t>on:</w:t>
      </w:r>
    </w:p>
    <w:p w14:paraId="05AA9918" w14:textId="77777777" w:rsidR="00236748" w:rsidRPr="00276391" w:rsidRDefault="00236748" w:rsidP="00276391">
      <w:pPr>
        <w:pStyle w:val="DHHSbody"/>
        <w:rPr>
          <w:i/>
          <w:iCs/>
          <w:lang w:eastAsia="en-AU"/>
        </w:rPr>
      </w:pPr>
      <w:r w:rsidRPr="00276391">
        <w:rPr>
          <w:i/>
          <w:iCs/>
          <w:lang w:eastAsia="en-AU"/>
        </w:rPr>
        <w:t>Information</w:t>
      </w:r>
      <w:r w:rsidR="005D5532" w:rsidRPr="00276391">
        <w:rPr>
          <w:i/>
          <w:iCs/>
          <w:lang w:eastAsia="en-AU"/>
        </w:rPr>
        <w:t xml:space="preserve"> </w:t>
      </w:r>
      <w:r w:rsidRPr="00276391">
        <w:rPr>
          <w:i/>
          <w:iCs/>
          <w:lang w:eastAsia="en-AU"/>
        </w:rPr>
        <w:t>and</w:t>
      </w:r>
      <w:r w:rsidR="005D5532" w:rsidRPr="00276391">
        <w:rPr>
          <w:i/>
          <w:iCs/>
          <w:lang w:eastAsia="en-AU"/>
        </w:rPr>
        <w:t xml:space="preserve"> </w:t>
      </w:r>
      <w:r w:rsidRPr="00276391">
        <w:rPr>
          <w:i/>
          <w:iCs/>
          <w:lang w:eastAsia="en-AU"/>
        </w:rPr>
        <w:t>Knowledge</w:t>
      </w:r>
      <w:r w:rsidR="005D5532" w:rsidRPr="00276391">
        <w:rPr>
          <w:i/>
          <w:iCs/>
          <w:lang w:eastAsia="en-AU"/>
        </w:rPr>
        <w:t xml:space="preserve"> </w:t>
      </w:r>
      <w:r w:rsidRPr="00276391">
        <w:rPr>
          <w:i/>
          <w:iCs/>
          <w:lang w:eastAsia="en-AU"/>
        </w:rPr>
        <w:t>Management</w:t>
      </w:r>
      <w:r w:rsidR="005D5532" w:rsidRPr="00276391">
        <w:rPr>
          <w:i/>
          <w:iCs/>
          <w:lang w:eastAsia="en-AU"/>
        </w:rPr>
        <w:t xml:space="preserve"> </w:t>
      </w:r>
      <w:r w:rsidRPr="00276391">
        <w:rPr>
          <w:i/>
          <w:iCs/>
          <w:lang w:eastAsia="en-AU"/>
        </w:rPr>
        <w:t>Branch</w:t>
      </w:r>
      <w:r w:rsidRPr="00276391">
        <w:rPr>
          <w:i/>
          <w:iCs/>
          <w:lang w:eastAsia="en-AU"/>
        </w:rPr>
        <w:br/>
        <w:t>Department</w:t>
      </w:r>
      <w:r w:rsidR="005D5532" w:rsidRPr="00276391">
        <w:rPr>
          <w:i/>
          <w:iCs/>
          <w:lang w:eastAsia="en-AU"/>
        </w:rPr>
        <w:t xml:space="preserve"> </w:t>
      </w:r>
      <w:r w:rsidRPr="00276391">
        <w:rPr>
          <w:i/>
          <w:iCs/>
          <w:lang w:eastAsia="en-AU"/>
        </w:rPr>
        <w:t>of</w:t>
      </w:r>
      <w:r w:rsidR="005D5532" w:rsidRPr="00276391">
        <w:rPr>
          <w:i/>
          <w:iCs/>
          <w:lang w:eastAsia="en-AU"/>
        </w:rPr>
        <w:t xml:space="preserve"> </w:t>
      </w:r>
      <w:r w:rsidRPr="00276391">
        <w:rPr>
          <w:i/>
          <w:iCs/>
          <w:lang w:eastAsia="en-AU"/>
        </w:rPr>
        <w:t>Education</w:t>
      </w:r>
      <w:r w:rsidR="005D5532" w:rsidRPr="00276391">
        <w:rPr>
          <w:i/>
          <w:iCs/>
          <w:lang w:eastAsia="en-AU"/>
        </w:rPr>
        <w:t xml:space="preserve"> </w:t>
      </w:r>
      <w:r w:rsidRPr="00276391">
        <w:rPr>
          <w:i/>
          <w:iCs/>
          <w:lang w:eastAsia="en-AU"/>
        </w:rPr>
        <w:t>and</w:t>
      </w:r>
      <w:r w:rsidR="005D5532" w:rsidRPr="00276391">
        <w:rPr>
          <w:i/>
          <w:iCs/>
          <w:lang w:eastAsia="en-AU"/>
        </w:rPr>
        <w:t xml:space="preserve"> </w:t>
      </w:r>
      <w:r w:rsidRPr="00276391">
        <w:rPr>
          <w:i/>
          <w:iCs/>
          <w:lang w:eastAsia="en-AU"/>
        </w:rPr>
        <w:t>Training</w:t>
      </w:r>
      <w:r w:rsidRPr="00276391">
        <w:rPr>
          <w:i/>
          <w:iCs/>
          <w:lang w:eastAsia="en-AU"/>
        </w:rPr>
        <w:br/>
        <w:t>Level</w:t>
      </w:r>
      <w:r w:rsidR="005D5532" w:rsidRPr="00276391">
        <w:rPr>
          <w:i/>
          <w:iCs/>
          <w:lang w:eastAsia="en-AU"/>
        </w:rPr>
        <w:t xml:space="preserve"> </w:t>
      </w:r>
      <w:r w:rsidRPr="00276391">
        <w:rPr>
          <w:i/>
          <w:iCs/>
          <w:lang w:eastAsia="en-AU"/>
        </w:rPr>
        <w:t>3,</w:t>
      </w:r>
      <w:r w:rsidR="005D5532" w:rsidRPr="00276391">
        <w:rPr>
          <w:i/>
          <w:iCs/>
          <w:lang w:eastAsia="en-AU"/>
        </w:rPr>
        <w:t xml:space="preserve"> </w:t>
      </w:r>
      <w:r w:rsidRPr="00276391">
        <w:rPr>
          <w:i/>
          <w:iCs/>
          <w:lang w:eastAsia="en-AU"/>
        </w:rPr>
        <w:t>2</w:t>
      </w:r>
      <w:r w:rsidR="005D5532" w:rsidRPr="00276391">
        <w:rPr>
          <w:i/>
          <w:iCs/>
          <w:lang w:eastAsia="en-AU"/>
        </w:rPr>
        <w:t xml:space="preserve"> </w:t>
      </w:r>
      <w:r w:rsidRPr="00276391">
        <w:rPr>
          <w:i/>
          <w:iCs/>
          <w:lang w:eastAsia="en-AU"/>
        </w:rPr>
        <w:t>Treasury</w:t>
      </w:r>
      <w:r w:rsidR="005D5532" w:rsidRPr="00276391">
        <w:rPr>
          <w:i/>
          <w:iCs/>
          <w:lang w:eastAsia="en-AU"/>
        </w:rPr>
        <w:t xml:space="preserve"> </w:t>
      </w:r>
      <w:r w:rsidRPr="00276391">
        <w:rPr>
          <w:i/>
          <w:iCs/>
          <w:lang w:eastAsia="en-AU"/>
        </w:rPr>
        <w:t>Place</w:t>
      </w:r>
      <w:r w:rsidR="005D5532" w:rsidRPr="00276391">
        <w:rPr>
          <w:i/>
          <w:iCs/>
          <w:lang w:eastAsia="en-AU"/>
        </w:rPr>
        <w:t xml:space="preserve"> </w:t>
      </w:r>
      <w:r w:rsidRPr="00276391">
        <w:rPr>
          <w:i/>
          <w:iCs/>
          <w:lang w:eastAsia="en-AU"/>
        </w:rPr>
        <w:t>East</w:t>
      </w:r>
      <w:r w:rsidR="005D5532" w:rsidRPr="00276391">
        <w:rPr>
          <w:i/>
          <w:iCs/>
          <w:lang w:eastAsia="en-AU"/>
        </w:rPr>
        <w:t xml:space="preserve"> </w:t>
      </w:r>
      <w:r w:rsidRPr="00276391">
        <w:rPr>
          <w:i/>
          <w:iCs/>
          <w:lang w:eastAsia="en-AU"/>
        </w:rPr>
        <w:t>Melbourne</w:t>
      </w:r>
      <w:r w:rsidR="005D5532" w:rsidRPr="00276391">
        <w:rPr>
          <w:i/>
          <w:iCs/>
          <w:lang w:eastAsia="en-AU"/>
        </w:rPr>
        <w:t xml:space="preserve"> </w:t>
      </w:r>
      <w:r w:rsidRPr="00276391">
        <w:rPr>
          <w:i/>
          <w:iCs/>
          <w:lang w:eastAsia="en-AU"/>
        </w:rPr>
        <w:t>3002</w:t>
      </w:r>
      <w:r w:rsidRPr="00276391">
        <w:rPr>
          <w:i/>
          <w:iCs/>
          <w:lang w:eastAsia="en-AU"/>
        </w:rPr>
        <w:br/>
        <w:t>Telephone:</w:t>
      </w:r>
      <w:r w:rsidR="005D5532" w:rsidRPr="00276391">
        <w:rPr>
          <w:i/>
          <w:iCs/>
          <w:lang w:eastAsia="en-AU"/>
        </w:rPr>
        <w:t xml:space="preserve"> </w:t>
      </w:r>
      <w:r w:rsidRPr="00276391">
        <w:rPr>
          <w:i/>
          <w:iCs/>
          <w:lang w:eastAsia="en-AU"/>
        </w:rPr>
        <w:t>9637</w:t>
      </w:r>
      <w:r w:rsidR="005D5532" w:rsidRPr="00276391">
        <w:rPr>
          <w:i/>
          <w:iCs/>
          <w:lang w:eastAsia="en-AU"/>
        </w:rPr>
        <w:t xml:space="preserve"> </w:t>
      </w:r>
      <w:r w:rsidRPr="00276391">
        <w:rPr>
          <w:i/>
          <w:iCs/>
          <w:lang w:eastAsia="en-AU"/>
        </w:rPr>
        <w:t>2670</w:t>
      </w:r>
      <w:r w:rsidRPr="00276391">
        <w:rPr>
          <w:i/>
          <w:iCs/>
          <w:lang w:eastAsia="en-AU"/>
        </w:rPr>
        <w:br/>
        <w:t>Email:</w:t>
      </w:r>
      <w:r w:rsidR="005D5532" w:rsidRPr="00276391">
        <w:rPr>
          <w:i/>
          <w:iCs/>
          <w:lang w:eastAsia="en-AU"/>
        </w:rPr>
        <w:t xml:space="preserve"> </w:t>
      </w:r>
      <w:hyperlink r:id="rId124" w:history="1">
        <w:r w:rsidRPr="00986D1E">
          <w:rPr>
            <w:rStyle w:val="Hyperlink"/>
          </w:rPr>
          <w:t>foi@edumail.vic.gov.au</w:t>
        </w:r>
      </w:hyperlink>
      <w:r w:rsidR="005D5532" w:rsidRPr="00276391">
        <w:rPr>
          <w:i/>
          <w:iCs/>
          <w:lang w:eastAsia="en-AU"/>
        </w:rPr>
        <w:t xml:space="preserve"> </w:t>
      </w:r>
    </w:p>
    <w:p w14:paraId="7CBFD906"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contact:</w:t>
      </w:r>
    </w:p>
    <w:p w14:paraId="66F5BAEE" w14:textId="2719645A" w:rsidR="00236748" w:rsidRPr="00276391" w:rsidRDefault="00236748" w:rsidP="00276391">
      <w:pPr>
        <w:pStyle w:val="DHHSbody"/>
        <w:rPr>
          <w:i/>
          <w:iCs/>
          <w:lang w:eastAsia="en-AU"/>
        </w:rPr>
      </w:pPr>
      <w:r w:rsidRPr="00276391">
        <w:rPr>
          <w:i/>
          <w:iCs/>
          <w:lang w:eastAsia="en-AU"/>
        </w:rPr>
        <w:t>Office</w:t>
      </w:r>
      <w:r w:rsidR="005D5532" w:rsidRPr="00276391">
        <w:rPr>
          <w:i/>
          <w:iCs/>
          <w:lang w:eastAsia="en-AU"/>
        </w:rPr>
        <w:t xml:space="preserve"> </w:t>
      </w:r>
      <w:r w:rsidRPr="00276391">
        <w:rPr>
          <w:i/>
          <w:iCs/>
          <w:lang w:eastAsia="en-AU"/>
        </w:rPr>
        <w:t>of</w:t>
      </w:r>
      <w:r w:rsidR="005D5532" w:rsidRPr="00276391">
        <w:rPr>
          <w:i/>
          <w:iCs/>
          <w:lang w:eastAsia="en-AU"/>
        </w:rPr>
        <w:t xml:space="preserve"> </w:t>
      </w:r>
      <w:r w:rsidRPr="00276391">
        <w:rPr>
          <w:i/>
          <w:iCs/>
          <w:lang w:eastAsia="en-AU"/>
        </w:rPr>
        <w:t>the</w:t>
      </w:r>
      <w:r w:rsidR="005D5532" w:rsidRPr="00276391">
        <w:rPr>
          <w:i/>
          <w:iCs/>
          <w:lang w:eastAsia="en-AU"/>
        </w:rPr>
        <w:t xml:space="preserve"> </w:t>
      </w:r>
      <w:r w:rsidRPr="00276391">
        <w:rPr>
          <w:i/>
          <w:iCs/>
          <w:lang w:eastAsia="en-AU"/>
        </w:rPr>
        <w:t>Victorian</w:t>
      </w:r>
      <w:r w:rsidR="005D5532" w:rsidRPr="00276391">
        <w:rPr>
          <w:i/>
          <w:iCs/>
          <w:lang w:eastAsia="en-AU"/>
        </w:rPr>
        <w:t xml:space="preserve"> </w:t>
      </w:r>
      <w:r w:rsidRPr="00276391">
        <w:rPr>
          <w:i/>
          <w:iCs/>
          <w:lang w:eastAsia="en-AU"/>
        </w:rPr>
        <w:t>Commissioner</w:t>
      </w:r>
      <w:r w:rsidR="005D5532" w:rsidRPr="00276391">
        <w:rPr>
          <w:i/>
          <w:iCs/>
          <w:lang w:eastAsia="en-AU"/>
        </w:rPr>
        <w:t xml:space="preserve"> </w:t>
      </w:r>
      <w:r w:rsidRPr="00276391">
        <w:rPr>
          <w:i/>
          <w:iCs/>
          <w:lang w:eastAsia="en-AU"/>
        </w:rPr>
        <w:t>for</w:t>
      </w:r>
      <w:r w:rsidR="005D5532" w:rsidRPr="00276391">
        <w:rPr>
          <w:i/>
          <w:iCs/>
          <w:lang w:eastAsia="en-AU"/>
        </w:rPr>
        <w:t xml:space="preserve"> </w:t>
      </w:r>
      <w:r w:rsidRPr="00276391">
        <w:rPr>
          <w:i/>
          <w:iCs/>
          <w:lang w:eastAsia="en-AU"/>
        </w:rPr>
        <w:t>Privacy</w:t>
      </w:r>
      <w:r w:rsidR="005D5532" w:rsidRPr="00276391">
        <w:rPr>
          <w:i/>
          <w:iCs/>
          <w:lang w:eastAsia="en-AU"/>
        </w:rPr>
        <w:t xml:space="preserve"> </w:t>
      </w:r>
      <w:r w:rsidRPr="00276391">
        <w:rPr>
          <w:i/>
          <w:iCs/>
          <w:lang w:eastAsia="en-AU"/>
        </w:rPr>
        <w:t>and</w:t>
      </w:r>
      <w:r w:rsidR="005D5532" w:rsidRPr="00276391">
        <w:rPr>
          <w:i/>
          <w:iCs/>
          <w:lang w:eastAsia="en-AU"/>
        </w:rPr>
        <w:t xml:space="preserve"> </w:t>
      </w:r>
      <w:r w:rsidRPr="00276391">
        <w:rPr>
          <w:i/>
          <w:iCs/>
          <w:lang w:eastAsia="en-AU"/>
        </w:rPr>
        <w:t>Data</w:t>
      </w:r>
      <w:r w:rsidR="005D5532" w:rsidRPr="00276391">
        <w:rPr>
          <w:i/>
          <w:iCs/>
          <w:lang w:eastAsia="en-AU"/>
        </w:rPr>
        <w:t xml:space="preserve"> </w:t>
      </w:r>
      <w:r w:rsidRPr="00276391">
        <w:rPr>
          <w:i/>
          <w:iCs/>
          <w:lang w:eastAsia="en-AU"/>
        </w:rPr>
        <w:t>Protection</w:t>
      </w:r>
      <w:r w:rsidR="005D5532" w:rsidRPr="00276391">
        <w:rPr>
          <w:i/>
          <w:iCs/>
          <w:lang w:eastAsia="en-AU"/>
        </w:rPr>
        <w:t xml:space="preserve"> </w:t>
      </w:r>
      <w:r w:rsidRPr="00276391">
        <w:rPr>
          <w:i/>
          <w:iCs/>
          <w:lang w:eastAsia="en-AU"/>
        </w:rPr>
        <w:br/>
        <w:t>Level</w:t>
      </w:r>
      <w:r w:rsidR="005D5532" w:rsidRPr="00276391">
        <w:rPr>
          <w:i/>
          <w:iCs/>
          <w:lang w:eastAsia="en-AU"/>
        </w:rPr>
        <w:t xml:space="preserve"> </w:t>
      </w:r>
      <w:r w:rsidRPr="00276391">
        <w:rPr>
          <w:i/>
          <w:iCs/>
          <w:lang w:eastAsia="en-AU"/>
        </w:rPr>
        <w:t>6,</w:t>
      </w:r>
      <w:r w:rsidR="005D5532" w:rsidRPr="00276391">
        <w:rPr>
          <w:i/>
          <w:iCs/>
          <w:lang w:eastAsia="en-AU"/>
        </w:rPr>
        <w:t xml:space="preserve"> </w:t>
      </w:r>
      <w:r w:rsidRPr="00276391">
        <w:rPr>
          <w:i/>
          <w:iCs/>
          <w:lang w:eastAsia="en-AU"/>
        </w:rPr>
        <w:t>121</w:t>
      </w:r>
      <w:r w:rsidR="005D5532" w:rsidRPr="00276391">
        <w:rPr>
          <w:i/>
          <w:iCs/>
          <w:lang w:eastAsia="en-AU"/>
        </w:rPr>
        <w:t xml:space="preserve"> </w:t>
      </w:r>
      <w:r w:rsidRPr="00276391">
        <w:rPr>
          <w:i/>
          <w:iCs/>
          <w:lang w:eastAsia="en-AU"/>
        </w:rPr>
        <w:t>Exhibition</w:t>
      </w:r>
      <w:r w:rsidR="005D5532" w:rsidRPr="00276391">
        <w:rPr>
          <w:i/>
          <w:iCs/>
          <w:lang w:eastAsia="en-AU"/>
        </w:rPr>
        <w:t xml:space="preserve"> </w:t>
      </w:r>
      <w:r w:rsidRPr="00276391">
        <w:rPr>
          <w:i/>
          <w:iCs/>
          <w:lang w:eastAsia="en-AU"/>
        </w:rPr>
        <w:t>Street</w:t>
      </w:r>
      <w:r w:rsidRPr="00276391">
        <w:rPr>
          <w:i/>
          <w:iCs/>
          <w:lang w:eastAsia="en-AU"/>
        </w:rPr>
        <w:br/>
        <w:t>Melbourne</w:t>
      </w:r>
      <w:r w:rsidR="005D5532" w:rsidRPr="00276391">
        <w:rPr>
          <w:i/>
          <w:iCs/>
          <w:lang w:eastAsia="en-AU"/>
        </w:rPr>
        <w:t xml:space="preserve"> </w:t>
      </w:r>
      <w:r w:rsidRPr="00276391">
        <w:rPr>
          <w:i/>
          <w:iCs/>
          <w:lang w:eastAsia="en-AU"/>
        </w:rPr>
        <w:t>VIC</w:t>
      </w:r>
      <w:r w:rsidR="005D5532" w:rsidRPr="00276391">
        <w:rPr>
          <w:i/>
          <w:iCs/>
          <w:lang w:eastAsia="en-AU"/>
        </w:rPr>
        <w:t xml:space="preserve"> </w:t>
      </w:r>
      <w:r w:rsidRPr="00276391">
        <w:rPr>
          <w:i/>
          <w:iCs/>
          <w:lang w:eastAsia="en-AU"/>
        </w:rPr>
        <w:t>3000.</w:t>
      </w:r>
      <w:r w:rsidRPr="00276391">
        <w:rPr>
          <w:i/>
          <w:iCs/>
          <w:lang w:eastAsia="en-AU"/>
        </w:rPr>
        <w:br/>
        <w:t>Telephone:</w:t>
      </w:r>
      <w:r w:rsidR="005D5532" w:rsidRPr="00276391">
        <w:rPr>
          <w:i/>
          <w:iCs/>
          <w:lang w:eastAsia="en-AU"/>
        </w:rPr>
        <w:t xml:space="preserve"> </w:t>
      </w:r>
      <w:r w:rsidRPr="00276391">
        <w:rPr>
          <w:i/>
          <w:iCs/>
          <w:lang w:eastAsia="en-AU"/>
        </w:rPr>
        <w:t>1300</w:t>
      </w:r>
      <w:r w:rsidR="005D5532" w:rsidRPr="00276391">
        <w:rPr>
          <w:i/>
          <w:iCs/>
          <w:lang w:eastAsia="en-AU"/>
        </w:rPr>
        <w:t xml:space="preserve"> </w:t>
      </w:r>
      <w:r w:rsidRPr="00276391">
        <w:rPr>
          <w:i/>
          <w:iCs/>
          <w:lang w:eastAsia="en-AU"/>
        </w:rPr>
        <w:t>666</w:t>
      </w:r>
      <w:r w:rsidR="005D5532" w:rsidRPr="00276391">
        <w:rPr>
          <w:i/>
          <w:iCs/>
          <w:lang w:eastAsia="en-AU"/>
        </w:rPr>
        <w:t xml:space="preserve"> </w:t>
      </w:r>
      <w:r w:rsidRPr="00276391">
        <w:rPr>
          <w:i/>
          <w:iCs/>
          <w:lang w:eastAsia="en-AU"/>
        </w:rPr>
        <w:t>444</w:t>
      </w:r>
      <w:r w:rsidRPr="00276391">
        <w:rPr>
          <w:i/>
          <w:iCs/>
          <w:lang w:eastAsia="en-AU"/>
        </w:rPr>
        <w:br/>
        <w:t>Website:</w:t>
      </w:r>
      <w:r w:rsidR="005D5532" w:rsidRPr="00276391">
        <w:rPr>
          <w:i/>
          <w:iCs/>
          <w:lang w:eastAsia="en-AU"/>
        </w:rPr>
        <w:t xml:space="preserve"> </w:t>
      </w:r>
      <w:hyperlink r:id="rId125" w:history="1">
        <w:r w:rsidRPr="00D32C61">
          <w:rPr>
            <w:rStyle w:val="Hyperlink"/>
          </w:rPr>
          <w:t>http://www.cpdp.vic.gov.au</w:t>
        </w:r>
      </w:hyperlink>
      <w:r w:rsidR="005D5532" w:rsidRPr="00276391">
        <w:rPr>
          <w:i/>
          <w:iCs/>
          <w:lang w:eastAsia="en-AU"/>
        </w:rPr>
        <w:t xml:space="preserve"> </w:t>
      </w:r>
      <w:r w:rsidR="00D32C61">
        <w:rPr>
          <w:i/>
          <w:iCs/>
          <w:lang w:eastAsia="en-AU"/>
        </w:rPr>
        <w:t>&lt;</w:t>
      </w:r>
      <w:r w:rsidR="00D32C61" w:rsidRPr="00D32C61">
        <w:rPr>
          <w:i/>
          <w:iCs/>
          <w:lang w:eastAsia="en-AU"/>
        </w:rPr>
        <w:t>http://www.cpdp.vic.gov.au/</w:t>
      </w:r>
      <w:r w:rsidR="00D32C61">
        <w:rPr>
          <w:i/>
          <w:iCs/>
          <w:lang w:eastAsia="en-AU"/>
        </w:rPr>
        <w:t>&gt;</w:t>
      </w:r>
      <w:r w:rsidR="00D32C61" w:rsidRPr="00D32C61">
        <w:rPr>
          <w:i/>
          <w:iCs/>
          <w:lang w:eastAsia="en-AU"/>
        </w:rPr>
        <w:t xml:space="preserve"> </w:t>
      </w:r>
      <w:r w:rsidRPr="00276391">
        <w:rPr>
          <w:i/>
          <w:iCs/>
          <w:lang w:eastAsia="en-AU"/>
        </w:rPr>
        <w:t>(external</w:t>
      </w:r>
      <w:r w:rsidR="005D5532" w:rsidRPr="00276391">
        <w:rPr>
          <w:i/>
          <w:iCs/>
          <w:lang w:eastAsia="en-AU"/>
        </w:rPr>
        <w:t xml:space="preserve"> </w:t>
      </w:r>
      <w:r w:rsidRPr="00276391">
        <w:rPr>
          <w:i/>
          <w:iCs/>
          <w:lang w:eastAsia="en-AU"/>
        </w:rPr>
        <w:t>link</w:t>
      </w:r>
      <w:r w:rsidR="007E0CF5">
        <w:rPr>
          <w:i/>
          <w:iCs/>
          <w:lang w:eastAsia="en-AU"/>
        </w:rPr>
        <w:t>, opens in a new window</w:t>
      </w:r>
      <w:r w:rsidRPr="00276391">
        <w:rPr>
          <w:i/>
          <w:iCs/>
          <w:lang w:eastAsia="en-AU"/>
        </w:rPr>
        <w:t>)</w:t>
      </w:r>
      <w:r w:rsidR="005D5532" w:rsidRPr="00276391">
        <w:rPr>
          <w:i/>
          <w:iCs/>
          <w:lang w:eastAsia="en-AU"/>
        </w:rPr>
        <w:t xml:space="preserve"> </w:t>
      </w:r>
    </w:p>
    <w:p w14:paraId="7C11311F"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contact:</w:t>
      </w:r>
    </w:p>
    <w:p w14:paraId="3A966B59" w14:textId="77777777" w:rsidR="00236748" w:rsidRPr="00276391" w:rsidRDefault="00236748" w:rsidP="00276391">
      <w:pPr>
        <w:pStyle w:val="DHHSbody"/>
        <w:rPr>
          <w:i/>
          <w:iCs/>
          <w:lang w:eastAsia="en-AU"/>
        </w:rPr>
      </w:pPr>
      <w:r w:rsidRPr="00276391">
        <w:rPr>
          <w:i/>
          <w:iCs/>
          <w:lang w:eastAsia="en-AU"/>
        </w:rPr>
        <w:t>Office</w:t>
      </w:r>
      <w:r w:rsidR="005D5532" w:rsidRPr="00276391">
        <w:rPr>
          <w:i/>
          <w:iCs/>
          <w:lang w:eastAsia="en-AU"/>
        </w:rPr>
        <w:t xml:space="preserve"> </w:t>
      </w:r>
      <w:r w:rsidRPr="00276391">
        <w:rPr>
          <w:i/>
          <w:iCs/>
          <w:lang w:eastAsia="en-AU"/>
        </w:rPr>
        <w:t>of</w:t>
      </w:r>
      <w:r w:rsidR="005D5532" w:rsidRPr="00276391">
        <w:rPr>
          <w:i/>
          <w:iCs/>
          <w:lang w:eastAsia="en-AU"/>
        </w:rPr>
        <w:t xml:space="preserve"> </w:t>
      </w:r>
      <w:r w:rsidRPr="00276391">
        <w:rPr>
          <w:i/>
          <w:iCs/>
          <w:lang w:eastAsia="en-AU"/>
        </w:rPr>
        <w:t>the</w:t>
      </w:r>
      <w:r w:rsidR="005D5532" w:rsidRPr="00276391">
        <w:rPr>
          <w:i/>
          <w:iCs/>
          <w:lang w:eastAsia="en-AU"/>
        </w:rPr>
        <w:t xml:space="preserve"> </w:t>
      </w:r>
      <w:r w:rsidRPr="00276391">
        <w:rPr>
          <w:i/>
          <w:iCs/>
          <w:lang w:eastAsia="en-AU"/>
        </w:rPr>
        <w:t>Health</w:t>
      </w:r>
      <w:r w:rsidR="005D5532" w:rsidRPr="00276391">
        <w:rPr>
          <w:i/>
          <w:iCs/>
          <w:lang w:eastAsia="en-AU"/>
        </w:rPr>
        <w:t xml:space="preserve"> </w:t>
      </w:r>
      <w:r w:rsidRPr="00276391">
        <w:rPr>
          <w:i/>
          <w:iCs/>
          <w:lang w:eastAsia="en-AU"/>
        </w:rPr>
        <w:t>Services</w:t>
      </w:r>
      <w:r w:rsidR="005D5532" w:rsidRPr="00276391">
        <w:rPr>
          <w:i/>
          <w:iCs/>
          <w:lang w:eastAsia="en-AU"/>
        </w:rPr>
        <w:t xml:space="preserve"> </w:t>
      </w:r>
      <w:r w:rsidRPr="00276391">
        <w:rPr>
          <w:i/>
          <w:iCs/>
          <w:lang w:eastAsia="en-AU"/>
        </w:rPr>
        <w:t>Commissioner</w:t>
      </w:r>
      <w:r w:rsidRPr="00276391">
        <w:rPr>
          <w:i/>
          <w:iCs/>
          <w:lang w:eastAsia="en-AU"/>
        </w:rPr>
        <w:br/>
        <w:t>Level</w:t>
      </w:r>
      <w:r w:rsidR="005D5532" w:rsidRPr="00276391">
        <w:rPr>
          <w:i/>
          <w:iCs/>
          <w:lang w:eastAsia="en-AU"/>
        </w:rPr>
        <w:t xml:space="preserve"> </w:t>
      </w:r>
      <w:r w:rsidRPr="00276391">
        <w:rPr>
          <w:i/>
          <w:iCs/>
          <w:lang w:eastAsia="en-AU"/>
        </w:rPr>
        <w:t>26,</w:t>
      </w:r>
      <w:r w:rsidR="005D5532" w:rsidRPr="00276391">
        <w:rPr>
          <w:i/>
          <w:iCs/>
          <w:lang w:eastAsia="en-AU"/>
        </w:rPr>
        <w:t xml:space="preserve"> </w:t>
      </w:r>
      <w:r w:rsidRPr="00276391">
        <w:rPr>
          <w:i/>
          <w:iCs/>
          <w:lang w:eastAsia="en-AU"/>
        </w:rPr>
        <w:t>570</w:t>
      </w:r>
      <w:r w:rsidR="005D5532" w:rsidRPr="00276391">
        <w:rPr>
          <w:i/>
          <w:iCs/>
          <w:lang w:eastAsia="en-AU"/>
        </w:rPr>
        <w:t xml:space="preserve"> </w:t>
      </w:r>
      <w:r w:rsidRPr="00276391">
        <w:rPr>
          <w:i/>
          <w:iCs/>
          <w:lang w:eastAsia="en-AU"/>
        </w:rPr>
        <w:t>Bourke</w:t>
      </w:r>
      <w:r w:rsidR="005D5532" w:rsidRPr="00276391">
        <w:rPr>
          <w:i/>
          <w:iCs/>
          <w:lang w:eastAsia="en-AU"/>
        </w:rPr>
        <w:t xml:space="preserve"> </w:t>
      </w:r>
      <w:r w:rsidRPr="00276391">
        <w:rPr>
          <w:i/>
          <w:iCs/>
          <w:lang w:eastAsia="en-AU"/>
        </w:rPr>
        <w:t>Street</w:t>
      </w:r>
      <w:r w:rsidRPr="00276391">
        <w:rPr>
          <w:i/>
          <w:iCs/>
          <w:lang w:eastAsia="en-AU"/>
        </w:rPr>
        <w:br/>
        <w:t>Melbourne</w:t>
      </w:r>
      <w:r w:rsidR="005D5532" w:rsidRPr="00276391">
        <w:rPr>
          <w:i/>
          <w:iCs/>
          <w:lang w:eastAsia="en-AU"/>
        </w:rPr>
        <w:t xml:space="preserve"> </w:t>
      </w:r>
      <w:r w:rsidRPr="00276391">
        <w:rPr>
          <w:i/>
          <w:iCs/>
          <w:lang w:eastAsia="en-AU"/>
        </w:rPr>
        <w:t>VIC</w:t>
      </w:r>
      <w:r w:rsidR="005D5532" w:rsidRPr="00276391">
        <w:rPr>
          <w:i/>
          <w:iCs/>
          <w:lang w:eastAsia="en-AU"/>
        </w:rPr>
        <w:t xml:space="preserve"> </w:t>
      </w:r>
      <w:r w:rsidRPr="00276391">
        <w:rPr>
          <w:i/>
          <w:iCs/>
          <w:lang w:eastAsia="en-AU"/>
        </w:rPr>
        <w:t>3000.</w:t>
      </w:r>
      <w:r w:rsidRPr="00276391">
        <w:rPr>
          <w:i/>
          <w:iCs/>
          <w:lang w:eastAsia="en-AU"/>
        </w:rPr>
        <w:br/>
        <w:t>Telephone:</w:t>
      </w:r>
      <w:r w:rsidR="005D5532" w:rsidRPr="00276391">
        <w:rPr>
          <w:i/>
          <w:iCs/>
          <w:lang w:eastAsia="en-AU"/>
        </w:rPr>
        <w:t xml:space="preserve"> </w:t>
      </w:r>
      <w:r w:rsidRPr="00276391">
        <w:rPr>
          <w:i/>
          <w:iCs/>
          <w:lang w:eastAsia="en-AU"/>
        </w:rPr>
        <w:t>1800</w:t>
      </w:r>
      <w:r w:rsidR="005D5532" w:rsidRPr="00276391">
        <w:rPr>
          <w:i/>
          <w:iCs/>
          <w:lang w:eastAsia="en-AU"/>
        </w:rPr>
        <w:t xml:space="preserve"> </w:t>
      </w:r>
      <w:r w:rsidRPr="00276391">
        <w:rPr>
          <w:i/>
          <w:iCs/>
          <w:lang w:eastAsia="en-AU"/>
        </w:rPr>
        <w:t>582</w:t>
      </w:r>
      <w:r w:rsidR="005D5532" w:rsidRPr="00276391">
        <w:rPr>
          <w:i/>
          <w:iCs/>
          <w:lang w:eastAsia="en-AU"/>
        </w:rPr>
        <w:t xml:space="preserve"> </w:t>
      </w:r>
      <w:r w:rsidRPr="00276391">
        <w:rPr>
          <w:i/>
          <w:iCs/>
          <w:lang w:eastAsia="en-AU"/>
        </w:rPr>
        <w:t>113</w:t>
      </w:r>
      <w:r w:rsidRPr="00276391">
        <w:rPr>
          <w:i/>
          <w:iCs/>
          <w:lang w:eastAsia="en-AU"/>
        </w:rPr>
        <w:br/>
        <w:t>Website:</w:t>
      </w:r>
      <w:r w:rsidR="005D5532" w:rsidRPr="00276391">
        <w:rPr>
          <w:i/>
          <w:iCs/>
          <w:lang w:eastAsia="en-AU"/>
        </w:rPr>
        <w:t xml:space="preserve"> </w:t>
      </w:r>
      <w:hyperlink r:id="rId126" w:history="1">
        <w:r w:rsidR="00210A91" w:rsidRPr="00210A91">
          <w:rPr>
            <w:rStyle w:val="Hyperlink"/>
            <w:iCs/>
            <w:lang w:eastAsia="en-AU"/>
          </w:rPr>
          <w:t>https://hcc.vic.gov.au/</w:t>
        </w:r>
      </w:hyperlink>
      <w:r w:rsidR="00210A91">
        <w:rPr>
          <w:iCs/>
          <w:lang w:eastAsia="en-AU"/>
        </w:rPr>
        <w:t xml:space="preserve"> </w:t>
      </w:r>
      <w:r w:rsidR="00210A91">
        <w:t>&lt;</w:t>
      </w:r>
      <w:r w:rsidR="00210A91" w:rsidRPr="00210A91">
        <w:t>https://hcc.vic.gov.au/</w:t>
      </w:r>
      <w:r w:rsidR="00210A91">
        <w:t>&gt;</w:t>
      </w:r>
      <w:r w:rsidR="00210A91" w:rsidRPr="00210A91">
        <w:t xml:space="preserve"> </w:t>
      </w:r>
      <w:r w:rsidRPr="00276391">
        <w:rPr>
          <w:i/>
          <w:iCs/>
          <w:lang w:eastAsia="en-AU"/>
        </w:rPr>
        <w:t>(external</w:t>
      </w:r>
      <w:r w:rsidR="005D5532" w:rsidRPr="00276391">
        <w:rPr>
          <w:i/>
          <w:iCs/>
          <w:lang w:eastAsia="en-AU"/>
        </w:rPr>
        <w:t xml:space="preserve"> </w:t>
      </w:r>
      <w:r w:rsidRPr="00276391">
        <w:rPr>
          <w:i/>
          <w:iCs/>
          <w:lang w:eastAsia="en-AU"/>
        </w:rPr>
        <w:t>link)</w:t>
      </w:r>
      <w:r w:rsidR="005D5532" w:rsidRPr="00276391">
        <w:rPr>
          <w:i/>
          <w:iCs/>
          <w:lang w:eastAsia="en-AU"/>
        </w:rPr>
        <w:t xml:space="preserve"> </w:t>
      </w:r>
    </w:p>
    <w:p w14:paraId="37A0FD30" w14:textId="7777777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advice</w:t>
      </w:r>
      <w:r w:rsidR="005D5532" w:rsidRPr="00276391">
        <w:rPr>
          <w:lang w:eastAsia="en-AU"/>
        </w:rPr>
        <w:t xml:space="preserve"> </w:t>
      </w:r>
      <w:r w:rsidRPr="00276391">
        <w:rPr>
          <w:lang w:eastAsia="en-AU"/>
        </w:rPr>
        <w:t>concerning</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privacy,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seek</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advice.</w:t>
      </w:r>
    </w:p>
    <w:p w14:paraId="361DFBB2" w14:textId="77777777" w:rsidR="00236748" w:rsidRPr="00276391" w:rsidRDefault="00236748" w:rsidP="00067E93">
      <w:pPr>
        <w:pStyle w:val="Heading3"/>
        <w:rPr>
          <w:lang w:eastAsia="en-AU"/>
        </w:rPr>
      </w:pPr>
      <w:bookmarkStart w:id="508" w:name="_Toc478991873"/>
      <w:bookmarkStart w:id="509" w:name="_Toc478992428"/>
      <w:bookmarkStart w:id="510" w:name="_Toc4142095"/>
      <w:r w:rsidRPr="00276391">
        <w:rPr>
          <w:lang w:eastAsia="en-AU"/>
        </w:rPr>
        <w:t>3.17.8</w:t>
      </w:r>
      <w:r w:rsidR="009B2351" w:rsidRPr="00276391">
        <w:rPr>
          <w:lang w:eastAsia="en-AU"/>
        </w:rPr>
        <w:t xml:space="preserve"> </w:t>
      </w:r>
      <w:r w:rsidRPr="00276391">
        <w:rPr>
          <w:lang w:eastAsia="en-AU"/>
        </w:rPr>
        <w:t>Protected</w:t>
      </w:r>
      <w:r w:rsidR="009B2351" w:rsidRPr="00276391">
        <w:rPr>
          <w:lang w:eastAsia="en-AU"/>
        </w:rPr>
        <w:t xml:space="preserve"> </w:t>
      </w:r>
      <w:r w:rsidRPr="00276391">
        <w:rPr>
          <w:lang w:eastAsia="en-AU"/>
        </w:rPr>
        <w:t>Disclosure</w:t>
      </w:r>
      <w:r w:rsidR="009B2351" w:rsidRPr="00276391">
        <w:rPr>
          <w:lang w:eastAsia="en-AU"/>
        </w:rPr>
        <w:t xml:space="preserve"> </w:t>
      </w:r>
      <w:r w:rsidRPr="00276391">
        <w:rPr>
          <w:lang w:eastAsia="en-AU"/>
        </w:rPr>
        <w:t>Act</w:t>
      </w:r>
      <w:r w:rsidR="009B2351" w:rsidRPr="00276391">
        <w:rPr>
          <w:lang w:eastAsia="en-AU"/>
        </w:rPr>
        <w:t xml:space="preserve"> </w:t>
      </w:r>
      <w:r w:rsidRPr="00276391">
        <w:rPr>
          <w:lang w:eastAsia="en-AU"/>
        </w:rPr>
        <w:t>2012</w:t>
      </w:r>
      <w:bookmarkEnd w:id="508"/>
      <w:bookmarkEnd w:id="509"/>
      <w:bookmarkEnd w:id="510"/>
    </w:p>
    <w:p w14:paraId="5137AF94" w14:textId="56141E35" w:rsidR="001D051C" w:rsidRPr="00FC05FA" w:rsidRDefault="001D051C" w:rsidP="001D051C">
      <w:pPr>
        <w:pStyle w:val="DHHSbody"/>
        <w:rPr>
          <w:rFonts w:cs="Arial"/>
          <w:color w:val="000000"/>
          <w:szCs w:val="19"/>
          <w:lang w:eastAsia="en-AU"/>
        </w:rPr>
      </w:pPr>
      <w:bookmarkStart w:id="511" w:name="_Toc478991874"/>
      <w:bookmarkStart w:id="512" w:name="_Toc478992429"/>
      <w:bookmarkStart w:id="513" w:name="_Toc478992903"/>
      <w:r w:rsidRPr="001A0795">
        <w:rPr>
          <w:rFonts w:cs="Arial"/>
          <w:color w:val="000000"/>
          <w:szCs w:val="19"/>
          <w:lang w:eastAsia="en-AU"/>
        </w:rPr>
        <w:t xml:space="preserve">The </w:t>
      </w:r>
      <w:hyperlink r:id="rId127" w:history="1">
        <w:r w:rsidRPr="00225863">
          <w:rPr>
            <w:rStyle w:val="Hyperlink"/>
          </w:rPr>
          <w:t>Protected Disclosure Act 2012</w:t>
        </w:r>
      </w:hyperlink>
      <w:r w:rsidR="00FC05FA">
        <w:rPr>
          <w:rFonts w:cs="Arial"/>
          <w:color w:val="000000"/>
          <w:szCs w:val="19"/>
          <w:lang w:eastAsia="en-AU"/>
        </w:rPr>
        <w:t xml:space="preserve"> </w:t>
      </w:r>
      <w:r>
        <w:rPr>
          <w:rFonts w:cs="Arial"/>
          <w:color w:val="000000"/>
          <w:szCs w:val="19"/>
          <w:lang w:eastAsia="en-AU"/>
        </w:rPr>
        <w:t>&lt;</w:t>
      </w:r>
      <w:r w:rsidR="00FC05FA" w:rsidRPr="00FC05FA">
        <w:rPr>
          <w:rFonts w:cs="Arial"/>
          <w:color w:val="000000"/>
          <w:szCs w:val="19"/>
          <w:lang w:eastAsia="en-AU"/>
        </w:rPr>
        <w:t>http://www6.austlii.edu.au/cgi-bin/viewdb/au/legis/vic/num_act/pda201285o2012279/</w:t>
      </w:r>
      <w:r>
        <w:rPr>
          <w:rFonts w:cs="Arial"/>
          <w:color w:val="000000"/>
          <w:szCs w:val="19"/>
          <w:lang w:eastAsia="en-AU"/>
        </w:rPr>
        <w:t>&gt;</w:t>
      </w:r>
      <w:r w:rsidRPr="00B20D9F">
        <w:rPr>
          <w:rFonts w:cs="Arial"/>
          <w:color w:val="000000"/>
          <w:szCs w:val="19"/>
          <w:lang w:eastAsia="en-AU"/>
        </w:rPr>
        <w:t xml:space="preserve"> </w:t>
      </w:r>
      <w:r w:rsidRPr="001A0795">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Pr="001A0795">
        <w:rPr>
          <w:rFonts w:cs="Arial"/>
          <w:color w:val="000000"/>
          <w:szCs w:val="19"/>
          <w:lang w:eastAsia="en-AU"/>
        </w:rPr>
        <w:t>) provides for the disclosure of</w:t>
      </w:r>
      <w:r w:rsidRPr="00B24C02">
        <w:rPr>
          <w:rFonts w:cs="Arial"/>
          <w:color w:val="000000"/>
          <w:szCs w:val="19"/>
          <w:lang w:eastAsia="en-AU"/>
        </w:rPr>
        <w:t xml:space="preserve"> improper conduct by public bodies and public officials and the protection for those who come forward with a disclosure. It also provides for the investigation of disclosures that meet the legislative definition of a protected disclosure.</w:t>
      </w:r>
    </w:p>
    <w:p w14:paraId="60578EEA" w14:textId="77777777" w:rsidR="001D051C" w:rsidRPr="00276391" w:rsidRDefault="001D051C" w:rsidP="001D051C">
      <w:pPr>
        <w:pStyle w:val="DHHSbody"/>
        <w:rPr>
          <w:lang w:eastAsia="en-AU"/>
        </w:rPr>
      </w:pPr>
      <w:r w:rsidRPr="00276391">
        <w:rPr>
          <w:lang w:eastAsia="en-AU"/>
        </w:rPr>
        <w:t>The purposes of the Act are to:</w:t>
      </w:r>
    </w:p>
    <w:p w14:paraId="1A129228" w14:textId="77777777" w:rsidR="001D051C" w:rsidRPr="00276391" w:rsidRDefault="001D051C" w:rsidP="001D051C">
      <w:pPr>
        <w:pStyle w:val="DHHSbullet1"/>
        <w:rPr>
          <w:rFonts w:cs="Arial"/>
          <w:lang w:eastAsia="en-AU"/>
        </w:rPr>
      </w:pPr>
      <w:r w:rsidRPr="00276391">
        <w:rPr>
          <w:rFonts w:cs="Arial"/>
          <w:lang w:eastAsia="en-AU"/>
        </w:rPr>
        <w:lastRenderedPageBreak/>
        <w:t xml:space="preserve">encourage and facilitate disclosures of improper conduct by public officers, public bodies and other persons, and of detrimental action taken in reprisal for making a disclosure </w:t>
      </w:r>
    </w:p>
    <w:p w14:paraId="557DD8A1" w14:textId="4A6029CA" w:rsidR="001D051C" w:rsidRPr="00276391" w:rsidRDefault="001D051C" w:rsidP="001D051C">
      <w:pPr>
        <w:pStyle w:val="DHHSbullet1"/>
        <w:rPr>
          <w:rFonts w:cs="Arial"/>
          <w:lang w:eastAsia="en-AU"/>
        </w:rPr>
      </w:pPr>
      <w:r w:rsidRPr="00276391">
        <w:rPr>
          <w:rFonts w:cs="Arial"/>
          <w:lang w:eastAsia="en-AU"/>
        </w:rPr>
        <w:t>provide protection for persons who make disclosures and persons who may suffer detrimental action in reprisal for making a</w:t>
      </w:r>
      <w:r w:rsidR="00225863">
        <w:rPr>
          <w:rFonts w:cs="Arial"/>
          <w:lang w:eastAsia="en-AU"/>
        </w:rPr>
        <w:t xml:space="preserve"> disclosure</w:t>
      </w:r>
    </w:p>
    <w:p w14:paraId="57EC78FF" w14:textId="77777777" w:rsidR="001D051C" w:rsidRPr="00276391" w:rsidRDefault="001D051C" w:rsidP="001D051C">
      <w:pPr>
        <w:pStyle w:val="DHHSbullet1"/>
        <w:rPr>
          <w:rFonts w:cs="Arial"/>
          <w:lang w:eastAsia="en-AU"/>
        </w:rPr>
      </w:pPr>
      <w:r w:rsidRPr="00276391">
        <w:rPr>
          <w:rFonts w:cs="Arial"/>
          <w:lang w:eastAsia="en-AU"/>
        </w:rPr>
        <w:t xml:space="preserve">provide for the confidentiality of the content of disclosures and the identity of persons who make those disclosures. </w:t>
      </w:r>
    </w:p>
    <w:p w14:paraId="25EAA6AE" w14:textId="77777777" w:rsidR="001D051C" w:rsidRPr="00276391" w:rsidRDefault="001D051C" w:rsidP="001D051C">
      <w:pPr>
        <w:pStyle w:val="DHHSbody"/>
        <w:rPr>
          <w:lang w:eastAsia="en-AU"/>
        </w:rPr>
      </w:pPr>
      <w:r w:rsidRPr="00B24C02">
        <w:rPr>
          <w:rFonts w:cs="Arial"/>
          <w:color w:val="000000"/>
          <w:szCs w:val="19"/>
          <w:lang w:eastAsia="en-AU"/>
        </w:rPr>
        <w:t>The Act recognises that improper or corrupt conduct by employees, officers or other staff within the public sector, or actions that involve reprisals against any person making a protected disclosure, will not be tolerated.</w:t>
      </w:r>
    </w:p>
    <w:p w14:paraId="36092519" w14:textId="77777777" w:rsidR="001D051C" w:rsidRPr="00276391" w:rsidRDefault="001D051C" w:rsidP="001D051C">
      <w:pPr>
        <w:pStyle w:val="DHHSbody"/>
        <w:rPr>
          <w:lang w:eastAsia="en-AU"/>
        </w:rPr>
      </w:pPr>
      <w:r w:rsidRPr="00276391">
        <w:rPr>
          <w:lang w:eastAsia="en-AU"/>
        </w:rPr>
        <w:t>'Improper conduct' is defined as corrupt conduct, or certain ‘specified conduct’ that is not corrupt conduct but that if proved, the conduct would constitute:</w:t>
      </w:r>
    </w:p>
    <w:p w14:paraId="17E0F94A" w14:textId="77777777" w:rsidR="001D051C" w:rsidRPr="00276391" w:rsidRDefault="001D051C" w:rsidP="001D051C">
      <w:pPr>
        <w:pStyle w:val="DHHSbullet1"/>
        <w:rPr>
          <w:rFonts w:cs="Arial"/>
          <w:lang w:eastAsia="en-AU"/>
        </w:rPr>
      </w:pPr>
      <w:r w:rsidRPr="00276391">
        <w:rPr>
          <w:rFonts w:cs="Arial"/>
          <w:lang w:eastAsia="en-AU"/>
        </w:rPr>
        <w:t xml:space="preserve">a criminal offence, or </w:t>
      </w:r>
    </w:p>
    <w:p w14:paraId="2CC8511E" w14:textId="77777777" w:rsidR="001D051C" w:rsidRPr="00276391" w:rsidRDefault="001D051C" w:rsidP="001D051C">
      <w:pPr>
        <w:pStyle w:val="DHHSbullet1"/>
        <w:rPr>
          <w:rFonts w:cs="Arial"/>
          <w:lang w:eastAsia="en-AU"/>
        </w:rPr>
      </w:pPr>
      <w:r w:rsidRPr="00276391">
        <w:rPr>
          <w:rFonts w:cs="Arial"/>
          <w:lang w:eastAsia="en-AU"/>
        </w:rPr>
        <w:t xml:space="preserve">reasonable grounds for dismissing or dispensing with, or otherwise terminating, the services of the officer who was, or is, engaged in that conduct. </w:t>
      </w:r>
    </w:p>
    <w:p w14:paraId="1BDCBF72" w14:textId="77777777" w:rsidR="001D051C" w:rsidRPr="00276391" w:rsidRDefault="001D051C" w:rsidP="001D051C">
      <w:pPr>
        <w:pStyle w:val="DHHSbody"/>
        <w:rPr>
          <w:lang w:eastAsia="en-AU"/>
        </w:rPr>
      </w:pPr>
      <w:r w:rsidRPr="00B24C02">
        <w:rPr>
          <w:rFonts w:cs="Arial"/>
          <w:color w:val="000000"/>
          <w:szCs w:val="19"/>
          <w:lang w:eastAsia="en-AU"/>
        </w:rPr>
        <w:t>Specified conduct is conduct—</w:t>
      </w:r>
    </w:p>
    <w:p w14:paraId="3A9E7BF8" w14:textId="77777777" w:rsidR="00225863" w:rsidRDefault="001D051C" w:rsidP="00225863">
      <w:pPr>
        <w:pStyle w:val="DHHSbullet1"/>
        <w:numPr>
          <w:ilvl w:val="0"/>
          <w:numId w:val="0"/>
        </w:numPr>
        <w:ind w:left="284" w:hanging="284"/>
        <w:rPr>
          <w:rFonts w:cs="Arial"/>
          <w:lang w:eastAsia="en-AU"/>
        </w:rPr>
      </w:pPr>
      <w:r>
        <w:rPr>
          <w:rFonts w:cs="Arial"/>
          <w:lang w:eastAsia="en-AU"/>
        </w:rPr>
        <w:t>(a)</w:t>
      </w:r>
      <w:r w:rsidRPr="00276391">
        <w:rPr>
          <w:rFonts w:cs="Arial"/>
          <w:lang w:eastAsia="en-AU"/>
        </w:rPr>
        <w:t xml:space="preserve"> of any person that adversely affects the honest performance by a public officer or public body of his or her or its functions as a pu</w:t>
      </w:r>
      <w:r w:rsidR="00225863">
        <w:rPr>
          <w:rFonts w:cs="Arial"/>
          <w:lang w:eastAsia="en-AU"/>
        </w:rPr>
        <w:t>blic officer or public body; or</w:t>
      </w:r>
    </w:p>
    <w:p w14:paraId="1FAE0ED7" w14:textId="5D3D8378" w:rsidR="00225863" w:rsidRDefault="001D051C" w:rsidP="00225863">
      <w:pPr>
        <w:pStyle w:val="DHHSbullet1"/>
        <w:numPr>
          <w:ilvl w:val="0"/>
          <w:numId w:val="0"/>
        </w:numPr>
        <w:ind w:left="284" w:hanging="284"/>
        <w:rPr>
          <w:rFonts w:cs="Arial"/>
          <w:lang w:eastAsia="en-AU"/>
        </w:rPr>
      </w:pPr>
      <w:r w:rsidRPr="00276391">
        <w:rPr>
          <w:rFonts w:cs="Arial"/>
          <w:lang w:eastAsia="en-AU"/>
        </w:rPr>
        <w:t>(b) of a public officer or public body that constitutes or involves the dishonest performance of his or her or its functions as a pu</w:t>
      </w:r>
      <w:r w:rsidR="00225863">
        <w:rPr>
          <w:rFonts w:cs="Arial"/>
          <w:lang w:eastAsia="en-AU"/>
        </w:rPr>
        <w:t>blic officer or public body; or</w:t>
      </w:r>
    </w:p>
    <w:p w14:paraId="351CF973" w14:textId="77777777" w:rsidR="00225863" w:rsidRDefault="001D051C" w:rsidP="00225863">
      <w:pPr>
        <w:pStyle w:val="DHHSbullet1"/>
        <w:numPr>
          <w:ilvl w:val="0"/>
          <w:numId w:val="0"/>
        </w:numPr>
        <w:ind w:left="284" w:hanging="284"/>
        <w:rPr>
          <w:rFonts w:cs="Arial"/>
          <w:lang w:eastAsia="en-AU"/>
        </w:rPr>
      </w:pPr>
      <w:r w:rsidRPr="00276391">
        <w:rPr>
          <w:rFonts w:cs="Arial"/>
          <w:lang w:eastAsia="en-AU"/>
        </w:rPr>
        <w:t>(c) of a public officer or public body that constitutes or involves knowingly or reckle</w:t>
      </w:r>
      <w:r w:rsidR="00225863">
        <w:rPr>
          <w:rFonts w:cs="Arial"/>
          <w:lang w:eastAsia="en-AU"/>
        </w:rPr>
        <w:t>ssly breaching public trust; or</w:t>
      </w:r>
    </w:p>
    <w:p w14:paraId="7B8D8F3A" w14:textId="77777777" w:rsidR="00225863" w:rsidRDefault="001D051C" w:rsidP="00225863">
      <w:pPr>
        <w:pStyle w:val="DHHSbullet1"/>
        <w:numPr>
          <w:ilvl w:val="0"/>
          <w:numId w:val="0"/>
        </w:numPr>
        <w:ind w:left="284" w:hanging="284"/>
        <w:rPr>
          <w:rFonts w:cs="Arial"/>
          <w:lang w:eastAsia="en-AU"/>
        </w:rPr>
      </w:pPr>
      <w:r w:rsidRPr="00276391">
        <w:rPr>
          <w:rFonts w:cs="Arial"/>
          <w:lang w:eastAsia="en-AU"/>
        </w:rPr>
        <w:t>(d) of a public officer or public body that involves the misuse of information or material acquired in the course of the performance of his or her or its functions as a public officer or public body, whether or not for the benefit of the public officer or publ</w:t>
      </w:r>
      <w:r w:rsidR="00225863">
        <w:rPr>
          <w:rFonts w:cs="Arial"/>
          <w:lang w:eastAsia="en-AU"/>
        </w:rPr>
        <w:t>ic body or any other person; or</w:t>
      </w:r>
    </w:p>
    <w:p w14:paraId="40F60CA0" w14:textId="77777777" w:rsidR="00225863" w:rsidRDefault="001D051C" w:rsidP="00225863">
      <w:pPr>
        <w:pStyle w:val="DHHSbullet1"/>
        <w:numPr>
          <w:ilvl w:val="0"/>
          <w:numId w:val="0"/>
        </w:numPr>
        <w:ind w:left="284" w:hanging="284"/>
        <w:rPr>
          <w:rFonts w:cs="Arial"/>
          <w:lang w:eastAsia="en-AU"/>
        </w:rPr>
      </w:pPr>
      <w:r w:rsidRPr="00276391">
        <w:rPr>
          <w:rFonts w:cs="Arial"/>
          <w:lang w:eastAsia="en-AU"/>
        </w:rPr>
        <w:t>(e) that could constitute a conspiracy or an attempt to engage in any conduct referred to in par</w:t>
      </w:r>
      <w:r w:rsidR="00225863">
        <w:rPr>
          <w:rFonts w:cs="Arial"/>
          <w:lang w:eastAsia="en-AU"/>
        </w:rPr>
        <w:t>agraph (a), (b), (c) or (d); or</w:t>
      </w:r>
    </w:p>
    <w:p w14:paraId="7EA94031" w14:textId="3A4F3CDA" w:rsidR="001D051C" w:rsidRPr="00276391" w:rsidRDefault="001D051C" w:rsidP="00225863">
      <w:pPr>
        <w:pStyle w:val="DHHSbullet1"/>
        <w:numPr>
          <w:ilvl w:val="0"/>
          <w:numId w:val="0"/>
        </w:numPr>
        <w:ind w:left="284" w:hanging="284"/>
        <w:rPr>
          <w:rFonts w:cs="Arial"/>
          <w:lang w:eastAsia="en-AU"/>
        </w:rPr>
      </w:pPr>
      <w:r w:rsidRPr="00276391">
        <w:rPr>
          <w:rFonts w:cs="Arial"/>
          <w:lang w:eastAsia="en-AU"/>
        </w:rPr>
        <w:t>(f) of a public officer or public body in his or her capacity as a public officer or its capacity as a public body that—</w:t>
      </w:r>
    </w:p>
    <w:p w14:paraId="3E109874" w14:textId="77777777" w:rsidR="001D051C" w:rsidRPr="00276391" w:rsidRDefault="001D051C" w:rsidP="00225863">
      <w:pPr>
        <w:pStyle w:val="DHHSbody"/>
        <w:ind w:left="436"/>
        <w:rPr>
          <w:lang w:eastAsia="en-AU"/>
        </w:rPr>
      </w:pPr>
      <w:r w:rsidRPr="00B24C02">
        <w:rPr>
          <w:rFonts w:cs="Arial"/>
          <w:color w:val="000000"/>
          <w:szCs w:val="19"/>
          <w:lang w:eastAsia="en-AU"/>
        </w:rPr>
        <w:t>(i) involves substantial mismanagement of public resources; or</w:t>
      </w:r>
      <w:r w:rsidRPr="00B24C02">
        <w:rPr>
          <w:rFonts w:cs="Arial"/>
          <w:color w:val="000000"/>
          <w:szCs w:val="19"/>
          <w:lang w:eastAsia="en-AU"/>
        </w:rPr>
        <w:br/>
        <w:t>(ii) involves substantial risk to public health or safety; or</w:t>
      </w:r>
      <w:r w:rsidRPr="00B24C02">
        <w:rPr>
          <w:rFonts w:cs="Arial"/>
          <w:color w:val="000000"/>
          <w:szCs w:val="19"/>
          <w:lang w:eastAsia="en-AU"/>
        </w:rPr>
        <w:br/>
        <w:t>(iii) involves substantial risk to the environment.</w:t>
      </w:r>
    </w:p>
    <w:p w14:paraId="1DB56F56" w14:textId="77777777" w:rsidR="001D051C" w:rsidRPr="00276391" w:rsidRDefault="001D051C" w:rsidP="001D051C">
      <w:pPr>
        <w:pStyle w:val="DHHSbody"/>
        <w:rPr>
          <w:lang w:eastAsia="en-AU"/>
        </w:rPr>
      </w:pPr>
      <w:r w:rsidRPr="00276391">
        <w:rPr>
          <w:lang w:eastAsia="en-AU"/>
        </w:rPr>
        <w:t>Every public body, including departments and their associated statutory authorities, must establish a set of written procedures to facilitate the making of disclosures under the Act, investigate the disclosed matters, and protect the maker of the protected disclosure from reprisals. If your organisation meets the definition of a 'public body' under the Act, your organisation is required to comply with the Act. Public bodies within the meaning of the Act include (but are not limited to):</w:t>
      </w:r>
    </w:p>
    <w:p w14:paraId="547CFDDF" w14:textId="4B33F9C1" w:rsidR="001D051C" w:rsidRPr="006219DF" w:rsidRDefault="001D051C" w:rsidP="006219DF">
      <w:pPr>
        <w:pStyle w:val="DHHSbullet1"/>
        <w:rPr>
          <w:rFonts w:cs="Arial"/>
          <w:lang w:eastAsia="en-AU"/>
        </w:rPr>
      </w:pPr>
      <w:r w:rsidRPr="006219DF">
        <w:rPr>
          <w:rFonts w:cs="Arial"/>
          <w:color w:val="000000"/>
          <w:szCs w:val="19"/>
          <w:lang w:eastAsia="en-AU"/>
        </w:rPr>
        <w:t xml:space="preserve">public sector bodies within the meaning of section 4(1) of </w:t>
      </w:r>
      <w:hyperlink r:id="rId128" w:tgtFrame="_blank" w:history="1">
        <w:r w:rsidRPr="006219DF">
          <w:rPr>
            <w:rStyle w:val="Hyperlink"/>
            <w:rFonts w:cs="Arial"/>
            <w:szCs w:val="19"/>
            <w:lang w:eastAsia="en-AU"/>
          </w:rPr>
          <w:t xml:space="preserve">the </w:t>
        </w:r>
        <w:r w:rsidRPr="006219DF">
          <w:rPr>
            <w:rStyle w:val="Hyperlink"/>
          </w:rPr>
          <w:t>Public Administration Act 2004</w:t>
        </w:r>
      </w:hyperlink>
      <w:r w:rsidRPr="006219DF">
        <w:rPr>
          <w:rFonts w:cs="Arial"/>
          <w:color w:val="000000"/>
          <w:szCs w:val="19"/>
          <w:lang w:eastAsia="en-AU"/>
        </w:rPr>
        <w:t xml:space="preserve"> &lt;</w:t>
      </w:r>
      <w:r w:rsidR="006219DF" w:rsidRPr="006219DF">
        <w:rPr>
          <w:rFonts w:cs="Arial"/>
          <w:color w:val="000000"/>
          <w:szCs w:val="19"/>
          <w:lang w:eastAsia="en-AU"/>
        </w:rPr>
        <w:t>http://www9.austlii.edu.au/cgi-bin/viewdb/au/legis/vic/consol_act/paa2004230/</w:t>
      </w:r>
      <w:r w:rsidRPr="006219DF">
        <w:rPr>
          <w:rFonts w:cs="Arial"/>
          <w:color w:val="000000"/>
          <w:szCs w:val="19"/>
          <w:lang w:eastAsia="en-AU"/>
        </w:rPr>
        <w:t xml:space="preserve">&gt; (external link, opens in a new window) (including </w:t>
      </w:r>
      <w:r w:rsidR="00DF1D39">
        <w:rPr>
          <w:rFonts w:cs="Arial"/>
          <w:color w:val="000000"/>
          <w:szCs w:val="19"/>
          <w:lang w:eastAsia="en-AU"/>
        </w:rPr>
        <w:t>Department Health and Human Services</w:t>
      </w:r>
      <w:r w:rsidRPr="006219DF">
        <w:rPr>
          <w:rFonts w:cs="Arial"/>
          <w:color w:val="000000"/>
          <w:szCs w:val="19"/>
          <w:lang w:eastAsia="en-AU"/>
        </w:rPr>
        <w:t xml:space="preserve">) </w:t>
      </w:r>
    </w:p>
    <w:p w14:paraId="5A2446BA" w14:textId="77777777" w:rsidR="001D051C" w:rsidRPr="00276391" w:rsidRDefault="001D051C" w:rsidP="001D051C">
      <w:pPr>
        <w:pStyle w:val="DHHSbullet1"/>
        <w:rPr>
          <w:rFonts w:cs="Arial"/>
          <w:lang w:eastAsia="en-AU"/>
        </w:rPr>
      </w:pPr>
      <w:r w:rsidRPr="00276391">
        <w:rPr>
          <w:rFonts w:cs="Arial"/>
          <w:lang w:eastAsia="en-AU"/>
        </w:rPr>
        <w:t xml:space="preserve">bodies, whether corporate or unincorporated, established by or under an Act for a public purpose, including universities </w:t>
      </w:r>
    </w:p>
    <w:p w14:paraId="3CBA2AEE" w14:textId="77777777" w:rsidR="001D051C" w:rsidRPr="00276391" w:rsidRDefault="001D051C" w:rsidP="001D051C">
      <w:pPr>
        <w:pStyle w:val="DHHSbullet1"/>
        <w:rPr>
          <w:rFonts w:cs="Arial"/>
          <w:lang w:eastAsia="en-AU"/>
        </w:rPr>
      </w:pPr>
      <w:r w:rsidRPr="00276391">
        <w:rPr>
          <w:rFonts w:cs="Arial"/>
          <w:lang w:eastAsia="en-AU"/>
        </w:rPr>
        <w:t xml:space="preserve">bodies that perform a public function on behalf of the State or a public body or public officer (whether under contract or otherwise) </w:t>
      </w:r>
    </w:p>
    <w:p w14:paraId="4D0DD2BD" w14:textId="77777777" w:rsidR="001D051C" w:rsidRPr="00276391" w:rsidRDefault="001D051C" w:rsidP="001D051C">
      <w:pPr>
        <w:pStyle w:val="DHHSbullet1"/>
        <w:rPr>
          <w:rFonts w:cs="Arial"/>
          <w:lang w:eastAsia="en-AU"/>
        </w:rPr>
      </w:pPr>
      <w:r w:rsidRPr="00276391">
        <w:rPr>
          <w:rFonts w:cs="Arial"/>
          <w:lang w:eastAsia="en-AU"/>
        </w:rPr>
        <w:t>any other body or entity prescribed as a public body under the Privacy and Data Protection Act 2014 or the Independent Broad-based Anti-</w:t>
      </w:r>
      <w:proofErr w:type="gramStart"/>
      <w:r w:rsidRPr="00276391">
        <w:rPr>
          <w:rFonts w:cs="Arial"/>
          <w:lang w:eastAsia="en-AU"/>
        </w:rPr>
        <w:t>corruption</w:t>
      </w:r>
      <w:proofErr w:type="gramEnd"/>
      <w:r w:rsidRPr="00276391">
        <w:rPr>
          <w:rFonts w:cs="Arial"/>
          <w:lang w:eastAsia="en-AU"/>
        </w:rPr>
        <w:t xml:space="preserve"> Commission Act 2011. </w:t>
      </w:r>
    </w:p>
    <w:p w14:paraId="265A742E" w14:textId="5601FBE4" w:rsidR="001D051C" w:rsidRPr="00276391" w:rsidRDefault="001D051C" w:rsidP="001D051C">
      <w:pPr>
        <w:pStyle w:val="DHHSbody"/>
        <w:rPr>
          <w:lang w:eastAsia="en-AU"/>
        </w:rPr>
      </w:pPr>
      <w:r w:rsidRPr="00B24C02">
        <w:rPr>
          <w:rFonts w:cs="Arial"/>
          <w:color w:val="000000"/>
          <w:szCs w:val="19"/>
          <w:lang w:eastAsia="en-AU"/>
        </w:rPr>
        <w:lastRenderedPageBreak/>
        <w:t xml:space="preserve">A copy of the </w:t>
      </w:r>
      <w:hyperlink r:id="rId129" w:tgtFrame="_blank" w:history="1">
        <w:r w:rsidRPr="00986D1E">
          <w:rPr>
            <w:rStyle w:val="Hyperlink"/>
          </w:rPr>
          <w:t>Protected Disclosure Act 2012</w:t>
        </w:r>
      </w:hyperlink>
      <w:r w:rsidRPr="00B24C02">
        <w:rPr>
          <w:rFonts w:cs="Arial"/>
          <w:color w:val="000000"/>
          <w:szCs w:val="19"/>
          <w:lang w:eastAsia="en-AU"/>
        </w:rPr>
        <w:t xml:space="preserve"> </w:t>
      </w:r>
      <w:r>
        <w:rPr>
          <w:rFonts w:cs="Arial"/>
          <w:color w:val="000000"/>
          <w:szCs w:val="19"/>
          <w:lang w:eastAsia="en-AU"/>
        </w:rPr>
        <w:t>&lt;</w:t>
      </w:r>
      <w:r w:rsidR="006219DF" w:rsidRPr="006219DF">
        <w:rPr>
          <w:rFonts w:cs="Arial"/>
          <w:color w:val="000000"/>
          <w:szCs w:val="19"/>
          <w:lang w:eastAsia="en-AU"/>
        </w:rPr>
        <w:t>http://www9.austlii.edu.au/cgi-bin/viewdb/au/legis/vic/num_act/pda201285o2012279/</w:t>
      </w:r>
      <w:r>
        <w:rPr>
          <w:rFonts w:cs="Arial"/>
          <w:color w:val="000000"/>
          <w:szCs w:val="19"/>
          <w:lang w:eastAsia="en-AU"/>
        </w:rPr>
        <w:t>&gt;</w:t>
      </w:r>
      <w:r w:rsidRPr="005B044B">
        <w:rPr>
          <w:rFonts w:cs="Arial"/>
          <w:color w:val="000000"/>
          <w:szCs w:val="19"/>
          <w:lang w:eastAsia="en-AU"/>
        </w:rPr>
        <w:t xml:space="preserve"> </w:t>
      </w:r>
      <w:r w:rsidRPr="00B24C02">
        <w:rPr>
          <w:rFonts w:cs="Arial"/>
          <w:color w:val="000000"/>
          <w:szCs w:val="19"/>
          <w:lang w:eastAsia="en-AU"/>
        </w:rPr>
        <w:t>(external link, opens in a new window) can be found at Victorian Legislation and Parliamentary Documents website.</w:t>
      </w:r>
    </w:p>
    <w:p w14:paraId="7727C22E" w14:textId="77777777" w:rsidR="001D051C" w:rsidRPr="00276391" w:rsidRDefault="001D051C" w:rsidP="001D051C">
      <w:pPr>
        <w:pStyle w:val="DHHSbody"/>
        <w:rPr>
          <w:lang w:eastAsia="en-AU"/>
        </w:rPr>
      </w:pPr>
      <w:r w:rsidRPr="00276391">
        <w:rPr>
          <w:lang w:eastAsia="en-AU"/>
        </w:rPr>
        <w:t xml:space="preserve">The Independent Broad-Based Anti-corruption Commission’s (IBAC) guidelines in relation to the Act are available on the </w:t>
      </w:r>
      <w:hyperlink r:id="rId130" w:tgtFrame="_blank" w:history="1">
        <w:r w:rsidRPr="00986D1E">
          <w:rPr>
            <w:rStyle w:val="Hyperlink"/>
          </w:rPr>
          <w:t>IBAC website</w:t>
        </w:r>
      </w:hyperlink>
      <w:r w:rsidRPr="00276391">
        <w:rPr>
          <w:lang w:eastAsia="en-AU"/>
        </w:rPr>
        <w:t xml:space="preserve"> </w:t>
      </w:r>
      <w:r>
        <w:rPr>
          <w:lang w:eastAsia="en-AU"/>
        </w:rPr>
        <w:t>&lt;</w:t>
      </w:r>
      <w:r w:rsidRPr="005B044B">
        <w:rPr>
          <w:lang w:eastAsia="en-AU"/>
        </w:rPr>
        <w:t>http://www.ibac.vic.gov.au/</w:t>
      </w:r>
      <w:r>
        <w:rPr>
          <w:lang w:eastAsia="en-AU"/>
        </w:rPr>
        <w:t>&gt;</w:t>
      </w:r>
      <w:r w:rsidRPr="005B044B">
        <w:rPr>
          <w:lang w:eastAsia="en-AU"/>
        </w:rPr>
        <w:t xml:space="preserve"> </w:t>
      </w:r>
      <w:r w:rsidRPr="00276391">
        <w:rPr>
          <w:lang w:eastAsia="en-AU"/>
        </w:rPr>
        <w:t>(external link, opens in a new window).</w:t>
      </w:r>
    </w:p>
    <w:p w14:paraId="4B5144C3" w14:textId="19F41656" w:rsidR="001D051C" w:rsidRPr="00276391" w:rsidRDefault="001D051C" w:rsidP="001D051C">
      <w:pPr>
        <w:pStyle w:val="DHHSbody"/>
        <w:rPr>
          <w:lang w:eastAsia="en-AU"/>
        </w:rPr>
      </w:pPr>
      <w:r w:rsidRPr="00276391">
        <w:rPr>
          <w:lang w:eastAsia="en-AU"/>
        </w:rPr>
        <w:t xml:space="preserve">Further information on protected disclosures is also available on the </w:t>
      </w:r>
      <w:hyperlink r:id="rId131" w:tgtFrame="_blank" w:history="1">
        <w:r w:rsidRPr="00107375">
          <w:rPr>
            <w:rStyle w:val="Hyperlink"/>
          </w:rPr>
          <w:t xml:space="preserve">Department of </w:t>
        </w:r>
        <w:r>
          <w:rPr>
            <w:rStyle w:val="Hyperlink"/>
          </w:rPr>
          <w:t xml:space="preserve">Health and </w:t>
        </w:r>
        <w:r w:rsidRPr="00107375">
          <w:rPr>
            <w:rStyle w:val="Hyperlink"/>
          </w:rPr>
          <w:t>Human Services' Protected Disclosures</w:t>
        </w:r>
        <w:r w:rsidRPr="00107375">
          <w:rPr>
            <w:rStyle w:val="Hyperlink"/>
            <w:lang w:eastAsia="en-AU"/>
          </w:rPr>
          <w:t xml:space="preserve"> web page</w:t>
        </w:r>
      </w:hyperlink>
      <w:r w:rsidRPr="00276391">
        <w:rPr>
          <w:lang w:eastAsia="en-AU"/>
        </w:rPr>
        <w:t xml:space="preserve"> </w:t>
      </w:r>
      <w:r>
        <w:rPr>
          <w:lang w:eastAsia="en-AU"/>
        </w:rPr>
        <w:t>&lt;</w:t>
      </w:r>
      <w:r w:rsidRPr="00A720E8">
        <w:rPr>
          <w:lang w:eastAsia="en-AU"/>
        </w:rPr>
        <w:t>https://providers.dhhs.vic.gov.au/protected-disclosure</w:t>
      </w:r>
      <w:r w:rsidR="006250C7">
        <w:rPr>
          <w:lang w:eastAsia="en-AU"/>
        </w:rPr>
        <w:t>&gt;</w:t>
      </w:r>
      <w:r w:rsidRPr="00107375">
        <w:rPr>
          <w:lang w:eastAsia="en-AU"/>
        </w:rPr>
        <w:t xml:space="preserve"> </w:t>
      </w:r>
      <w:r w:rsidRPr="00276391">
        <w:rPr>
          <w:lang w:eastAsia="en-AU"/>
        </w:rPr>
        <w:t>(external link, opens in a new window) or by contacting the Department of Health and Human Services' Manager, Corporate Integrity on 9096 8529.</w:t>
      </w:r>
    </w:p>
    <w:p w14:paraId="67D284E9" w14:textId="77777777" w:rsidR="00236748" w:rsidRPr="00276391" w:rsidRDefault="00236748" w:rsidP="009B2351">
      <w:pPr>
        <w:pStyle w:val="Heading2"/>
        <w:rPr>
          <w:rFonts w:cs="Arial"/>
          <w:lang w:eastAsia="en-AU"/>
        </w:rPr>
      </w:pPr>
      <w:bookmarkStart w:id="514" w:name="_Toc4142096"/>
      <w:r w:rsidRPr="00276391">
        <w:rPr>
          <w:rFonts w:cs="Arial"/>
          <w:lang w:eastAsia="en-AU"/>
        </w:rPr>
        <w:t>3.18</w:t>
      </w:r>
      <w:r w:rsidR="009B2351" w:rsidRPr="00276391">
        <w:rPr>
          <w:rFonts w:cs="Arial"/>
          <w:lang w:eastAsia="en-AU"/>
        </w:rPr>
        <w:t xml:space="preserve"> </w:t>
      </w:r>
      <w:r w:rsidRPr="00276391">
        <w:rPr>
          <w:rFonts w:cs="Arial"/>
          <w:lang w:eastAsia="en-AU"/>
        </w:rPr>
        <w:t>Confidential</w:t>
      </w:r>
      <w:r w:rsidR="009B2351" w:rsidRPr="00276391">
        <w:rPr>
          <w:rFonts w:cs="Arial"/>
          <w:lang w:eastAsia="en-AU"/>
        </w:rPr>
        <w:t xml:space="preserve"> </w:t>
      </w:r>
      <w:r w:rsidRPr="00276391">
        <w:rPr>
          <w:rFonts w:cs="Arial"/>
          <w:lang w:eastAsia="en-AU"/>
        </w:rPr>
        <w:t>information</w:t>
      </w:r>
      <w:bookmarkEnd w:id="511"/>
      <w:bookmarkEnd w:id="512"/>
      <w:bookmarkEnd w:id="513"/>
      <w:bookmarkEnd w:id="514"/>
    </w:p>
    <w:p w14:paraId="1241D795" w14:textId="78EBB94B" w:rsidR="00236748" w:rsidRPr="00276391" w:rsidRDefault="00236748" w:rsidP="00276391">
      <w:pPr>
        <w:pStyle w:val="DHHSbody"/>
        <w:rPr>
          <w:lang w:eastAsia="en-AU"/>
        </w:rPr>
      </w:pP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treated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p>
    <w:p w14:paraId="02F8290D"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party’s</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given</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disclose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third</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without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prior</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unless:</w:t>
      </w:r>
    </w:p>
    <w:p w14:paraId="054B9ADD" w14:textId="09C92CCB"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disclosure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confidential</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law</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4080BA2C" w14:textId="67229E63"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disclosure</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persons</w:t>
      </w:r>
      <w:r w:rsidR="005D5532" w:rsidRPr="00276391">
        <w:rPr>
          <w:rFonts w:cs="Arial"/>
          <w:lang w:eastAsia="en-AU"/>
        </w:rPr>
        <w:t xml:space="preserve"> </w:t>
      </w:r>
      <w:r w:rsidRPr="00276391">
        <w:rPr>
          <w:rFonts w:cs="Arial"/>
          <w:lang w:eastAsia="en-AU"/>
        </w:rPr>
        <w:t>performing</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Pr="00276391">
        <w:rPr>
          <w:rFonts w:cs="Arial"/>
          <w:lang w:eastAsia="en-AU"/>
        </w:rPr>
        <w:t>obligations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Pr="00276391">
        <w:rPr>
          <w:rFonts w:cs="Arial"/>
          <w:lang w:eastAsia="en-AU"/>
        </w:rPr>
        <w:t>;</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25730910"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disclosure</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party's</w:t>
      </w:r>
      <w:r w:rsidR="005D5532" w:rsidRPr="00276391">
        <w:rPr>
          <w:rFonts w:cs="Arial"/>
          <w:lang w:eastAsia="en-AU"/>
        </w:rPr>
        <w:t xml:space="preserve"> </w:t>
      </w:r>
      <w:r w:rsidRPr="00276391">
        <w:rPr>
          <w:rFonts w:cs="Arial"/>
          <w:lang w:eastAsia="en-AU"/>
        </w:rPr>
        <w:t>own</w:t>
      </w:r>
      <w:r w:rsidR="005D5532" w:rsidRPr="00276391">
        <w:rPr>
          <w:rFonts w:cs="Arial"/>
          <w:lang w:eastAsia="en-AU"/>
        </w:rPr>
        <w:t xml:space="preserve"> </w:t>
      </w:r>
      <w:r w:rsidRPr="00276391">
        <w:rPr>
          <w:rFonts w:cs="Arial"/>
          <w:lang w:eastAsia="en-AU"/>
        </w:rPr>
        <w:t>professional</w:t>
      </w:r>
      <w:r w:rsidR="005D5532" w:rsidRPr="00276391">
        <w:rPr>
          <w:rFonts w:cs="Arial"/>
          <w:lang w:eastAsia="en-AU"/>
        </w:rPr>
        <w:t xml:space="preserve"> </w:t>
      </w:r>
      <w:r w:rsidRPr="00276391">
        <w:rPr>
          <w:rFonts w:cs="Arial"/>
          <w:lang w:eastAsia="en-AU"/>
        </w:rPr>
        <w:t>advisers,</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insurer;</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p>
    <w:p w14:paraId="492F6242" w14:textId="77777777" w:rsidR="00236748" w:rsidRPr="00276391" w:rsidRDefault="00236748" w:rsidP="00276391">
      <w:pPr>
        <w:pStyle w:val="DHHSbullet1"/>
        <w:rPr>
          <w:rFonts w:cs="Arial"/>
          <w:lang w:eastAsia="en-AU"/>
        </w:rPr>
      </w:pPr>
      <w:r w:rsidRPr="00276391">
        <w:rPr>
          <w:rFonts w:cs="Arial"/>
          <w:lang w:eastAsia="en-AU"/>
        </w:rPr>
        <w:t>if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disclosure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requested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Auditor-General,</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Ombudsman,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Minister</w:t>
      </w:r>
      <w:r w:rsidR="005D5532" w:rsidRPr="00276391">
        <w:rPr>
          <w:rFonts w:cs="Arial"/>
          <w:lang w:eastAsia="en-AU"/>
        </w:rPr>
        <w:t xml:space="preserve"> </w:t>
      </w:r>
      <w:r w:rsidRPr="00276391">
        <w:rPr>
          <w:rFonts w:cs="Arial"/>
          <w:lang w:eastAsia="en-AU"/>
        </w:rPr>
        <w:t>responsible</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portfolio</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operate.</w:t>
      </w:r>
      <w:r w:rsidR="005D5532" w:rsidRPr="00276391">
        <w:rPr>
          <w:rFonts w:cs="Arial"/>
          <w:lang w:eastAsia="en-AU"/>
        </w:rPr>
        <w:t xml:space="preserve"> </w:t>
      </w:r>
    </w:p>
    <w:p w14:paraId="39D967B3" w14:textId="7F833DE7" w:rsidR="00236748" w:rsidRPr="00276391" w:rsidRDefault="00236748" w:rsidP="00276391">
      <w:pPr>
        <w:pStyle w:val="DHHSbody"/>
        <w:rPr>
          <w:lang w:eastAsia="en-AU"/>
        </w:rPr>
      </w:pPr>
      <w:r w:rsidRPr="00B24C02">
        <w:rPr>
          <w:rFonts w:cs="Arial"/>
          <w:color w:val="000000"/>
          <w:szCs w:val="19"/>
          <w:lang w:eastAsia="en-AU"/>
        </w:rPr>
        <w:t>Subject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above,</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third</w:t>
      </w:r>
      <w:r w:rsidR="005D5532" w:rsidRPr="00B24C02">
        <w:rPr>
          <w:rFonts w:cs="Arial"/>
          <w:color w:val="000000"/>
          <w:szCs w:val="19"/>
          <w:lang w:eastAsia="en-AU"/>
        </w:rPr>
        <w:t xml:space="preserve"> </w:t>
      </w:r>
      <w:r w:rsidRPr="00B24C02">
        <w:rPr>
          <w:rFonts w:cs="Arial"/>
          <w:color w:val="000000"/>
          <w:szCs w:val="19"/>
          <w:lang w:eastAsia="en-AU"/>
        </w:rPr>
        <w:t>party</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discloses</w:t>
      </w:r>
      <w:r w:rsidR="005D5532" w:rsidRPr="00B24C02">
        <w:rPr>
          <w:rFonts w:cs="Arial"/>
          <w:color w:val="000000"/>
          <w:szCs w:val="19"/>
          <w:lang w:eastAsia="en-AU"/>
        </w:rPr>
        <w:t xml:space="preserve"> </w:t>
      </w:r>
      <w:r w:rsidRPr="00B24C02">
        <w:rPr>
          <w:rFonts w:cs="Arial"/>
          <w:color w:val="000000"/>
          <w:szCs w:val="19"/>
          <w:lang w:eastAsia="en-AU"/>
        </w:rPr>
        <w:t>confidential</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confidential</w:t>
      </w:r>
      <w:r w:rsidR="005D5532" w:rsidRPr="00B24C02">
        <w:rPr>
          <w:rFonts w:cs="Arial"/>
          <w:color w:val="000000"/>
          <w:szCs w:val="19"/>
          <w:lang w:eastAsia="en-AU"/>
        </w:rPr>
        <w:t xml:space="preserve"> </w:t>
      </w:r>
      <w:r w:rsidRPr="00B24C02">
        <w:rPr>
          <w:rFonts w:cs="Arial"/>
          <w:color w:val="000000"/>
          <w:szCs w:val="19"/>
          <w:lang w:eastAsia="en-AU"/>
        </w:rPr>
        <w:t>nature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information.</w:t>
      </w:r>
    </w:p>
    <w:p w14:paraId="646C232E" w14:textId="12A09988" w:rsidR="00236748" w:rsidRPr="00276391" w:rsidRDefault="00236748" w:rsidP="00276391">
      <w:pPr>
        <w:pStyle w:val="DHHSbody"/>
        <w:rPr>
          <w:lang w:eastAsia="en-AU"/>
        </w:rPr>
      </w:pPr>
      <w:r w:rsidRPr="00276391">
        <w:rPr>
          <w:lang w:eastAsia="en-AU"/>
        </w:rPr>
        <w:t>All</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contracts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agreements</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contract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certain</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permitted</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included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all</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tender</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allows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disclosure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circumstances</w:t>
      </w:r>
      <w:r w:rsidR="005D5532" w:rsidRPr="00276391">
        <w:rPr>
          <w:lang w:eastAsia="en-AU"/>
        </w:rPr>
        <w:t xml:space="preserve"> </w:t>
      </w:r>
      <w:r w:rsidRPr="00276391">
        <w:rPr>
          <w:lang w:eastAsia="en-AU"/>
        </w:rPr>
        <w:t>described</w:t>
      </w:r>
      <w:r w:rsidR="005D5532" w:rsidRPr="00276391">
        <w:rPr>
          <w:lang w:eastAsia="en-AU"/>
        </w:rPr>
        <w:t xml:space="preserve"> </w:t>
      </w:r>
      <w:r w:rsidRPr="00276391">
        <w:rPr>
          <w:lang w:eastAsia="en-AU"/>
        </w:rPr>
        <w:t>above.</w:t>
      </w:r>
    </w:p>
    <w:p w14:paraId="238E7DCB" w14:textId="3740B463" w:rsidR="00236748" w:rsidRPr="00276391" w:rsidRDefault="00236748" w:rsidP="00276391">
      <w:pPr>
        <w:pStyle w:val="Heading3"/>
        <w:rPr>
          <w:lang w:eastAsia="en-AU"/>
        </w:rPr>
      </w:pPr>
      <w:bookmarkStart w:id="515" w:name="_Toc478991875"/>
      <w:bookmarkStart w:id="516" w:name="_Toc478992430"/>
      <w:bookmarkStart w:id="517" w:name="_Toc4142097"/>
      <w:r w:rsidRPr="00276391">
        <w:rPr>
          <w:lang w:eastAsia="en-AU"/>
        </w:rPr>
        <w:t>Publication</w:t>
      </w:r>
      <w:r w:rsidR="005D5532" w:rsidRPr="00276391">
        <w:rPr>
          <w:lang w:eastAsia="en-AU"/>
        </w:rPr>
        <w:t xml:space="preserve"> </w:t>
      </w:r>
      <w:r w:rsidRPr="00276391">
        <w:rPr>
          <w:lang w:eastAsia="en-AU"/>
        </w:rPr>
        <w:t>of</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details</w:t>
      </w:r>
      <w:bookmarkEnd w:id="515"/>
      <w:bookmarkEnd w:id="516"/>
      <w:bookmarkEnd w:id="517"/>
    </w:p>
    <w:p w14:paraId="2C7CA5AC" w14:textId="11C17B81"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indicative</w:t>
      </w:r>
      <w:r w:rsidR="005D5532" w:rsidRPr="00B24C02">
        <w:rPr>
          <w:rFonts w:cs="Arial"/>
          <w:color w:val="000000"/>
          <w:szCs w:val="19"/>
          <w:lang w:eastAsia="en-AU"/>
        </w:rPr>
        <w:t xml:space="preserve"> </w:t>
      </w:r>
      <w:r w:rsidRPr="00B24C02">
        <w:rPr>
          <w:rFonts w:cs="Arial"/>
          <w:color w:val="000000"/>
          <w:szCs w:val="19"/>
          <w:lang w:eastAsia="en-AU"/>
        </w:rPr>
        <w:t>list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00DF1D39">
        <w:rPr>
          <w:rFonts w:cs="Arial"/>
          <w:color w:val="000000"/>
          <w:szCs w:val="19"/>
          <w:lang w:eastAsia="en-AU"/>
        </w:rPr>
        <w:t>the department</w:t>
      </w:r>
      <w:r w:rsidR="00C14A6D">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publish</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132" w:history="1">
        <w:r w:rsidRPr="00DF1D39">
          <w:rPr>
            <w:rStyle w:val="Hyperlink"/>
            <w:rFonts w:cs="Arial"/>
            <w:szCs w:val="19"/>
            <w:lang w:eastAsia="en-AU"/>
          </w:rPr>
          <w:t>Victorian</w:t>
        </w:r>
        <w:r w:rsidR="005D5532" w:rsidRPr="00DF1D39">
          <w:rPr>
            <w:rStyle w:val="Hyperlink"/>
            <w:rFonts w:cs="Arial"/>
            <w:szCs w:val="19"/>
            <w:lang w:eastAsia="en-AU"/>
          </w:rPr>
          <w:t xml:space="preserve"> </w:t>
        </w:r>
        <w:r w:rsidRPr="00DF1D39">
          <w:rPr>
            <w:rStyle w:val="Hyperlink"/>
            <w:rFonts w:cs="Arial"/>
            <w:szCs w:val="19"/>
            <w:lang w:eastAsia="en-AU"/>
          </w:rPr>
          <w:t>Government</w:t>
        </w:r>
        <w:r w:rsidR="005D5532" w:rsidRPr="00DF1D39">
          <w:rPr>
            <w:rStyle w:val="Hyperlink"/>
            <w:rFonts w:cs="Arial"/>
            <w:szCs w:val="19"/>
            <w:lang w:eastAsia="en-AU"/>
          </w:rPr>
          <w:t xml:space="preserve"> </w:t>
        </w:r>
        <w:r w:rsidRPr="00DF1D39">
          <w:rPr>
            <w:rStyle w:val="Hyperlink"/>
            <w:rFonts w:cs="Arial"/>
            <w:szCs w:val="19"/>
            <w:lang w:eastAsia="en-AU"/>
          </w:rPr>
          <w:t>Purchasing</w:t>
        </w:r>
        <w:r w:rsidR="005D5532" w:rsidRPr="00DF1D39">
          <w:rPr>
            <w:rStyle w:val="Hyperlink"/>
            <w:rFonts w:cs="Arial"/>
            <w:szCs w:val="19"/>
            <w:lang w:eastAsia="en-AU"/>
          </w:rPr>
          <w:t xml:space="preserve"> </w:t>
        </w:r>
        <w:r w:rsidRPr="00DF1D39">
          <w:rPr>
            <w:rStyle w:val="Hyperlink"/>
            <w:rFonts w:cs="Arial"/>
            <w:szCs w:val="19"/>
            <w:lang w:eastAsia="en-AU"/>
          </w:rPr>
          <w:t>Board</w:t>
        </w:r>
      </w:hyperlink>
      <w:r w:rsidR="005D5532" w:rsidRPr="00B24C02">
        <w:rPr>
          <w:rFonts w:cs="Arial"/>
          <w:color w:val="000000"/>
          <w:szCs w:val="19"/>
          <w:lang w:eastAsia="en-AU"/>
        </w:rPr>
        <w:t xml:space="preserve"> </w:t>
      </w:r>
      <w:r w:rsidR="00DF1D39">
        <w:rPr>
          <w:rFonts w:cs="Arial"/>
          <w:color w:val="000000"/>
          <w:szCs w:val="19"/>
          <w:lang w:eastAsia="en-AU"/>
        </w:rPr>
        <w:t>&lt;</w:t>
      </w:r>
      <w:r w:rsidR="00DF1D39" w:rsidRPr="00DF1D39">
        <w:rPr>
          <w:rFonts w:cs="Arial"/>
          <w:color w:val="000000"/>
          <w:szCs w:val="19"/>
          <w:lang w:eastAsia="en-AU"/>
        </w:rPr>
        <w:t>http://www.procurement.vic.gov.au/Home</w:t>
      </w:r>
      <w:r w:rsidR="00DF1D39">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p>
    <w:p w14:paraId="44EC718E" w14:textId="77777777" w:rsidR="00236748" w:rsidRPr="00276391" w:rsidRDefault="00236748" w:rsidP="00054330">
      <w:pPr>
        <w:pStyle w:val="Heading4"/>
        <w:rPr>
          <w:lang w:eastAsia="en-AU"/>
        </w:rPr>
      </w:pPr>
      <w:r w:rsidRPr="00276391">
        <w:rPr>
          <w:lang w:eastAsia="en-AU"/>
        </w:rPr>
        <w:t>Contract</w:t>
      </w:r>
      <w:r w:rsidR="005D5532" w:rsidRPr="00276391">
        <w:rPr>
          <w:lang w:eastAsia="en-AU"/>
        </w:rPr>
        <w:t xml:space="preserve"> </w:t>
      </w:r>
      <w:r w:rsidRPr="00276391">
        <w:rPr>
          <w:lang w:eastAsia="en-AU"/>
        </w:rPr>
        <w:t>details</w:t>
      </w:r>
    </w:p>
    <w:p w14:paraId="3DCD25A9" w14:textId="77777777" w:rsidR="00236748" w:rsidRPr="00276391" w:rsidRDefault="00236748" w:rsidP="00276391">
      <w:pPr>
        <w:pStyle w:val="DHHSbullet1"/>
        <w:rPr>
          <w:rFonts w:cs="Arial"/>
          <w:lang w:eastAsia="en-AU"/>
        </w:rPr>
      </w:pPr>
      <w:r w:rsidRPr="00276391">
        <w:rPr>
          <w:rFonts w:cs="Arial"/>
          <w:lang w:eastAsia="en-AU"/>
        </w:rPr>
        <w:t>public</w:t>
      </w:r>
      <w:r w:rsidR="005D5532" w:rsidRPr="00276391">
        <w:rPr>
          <w:rFonts w:cs="Arial"/>
          <w:lang w:eastAsia="en-AU"/>
        </w:rPr>
        <w:t xml:space="preserve"> </w:t>
      </w:r>
      <w:r w:rsidRPr="00276391">
        <w:rPr>
          <w:rFonts w:cs="Arial"/>
          <w:lang w:eastAsia="en-AU"/>
        </w:rPr>
        <w:t>body</w:t>
      </w:r>
      <w:r w:rsidR="005D5532" w:rsidRPr="00276391">
        <w:rPr>
          <w:rFonts w:cs="Arial"/>
          <w:lang w:eastAsia="en-AU"/>
        </w:rPr>
        <w:t xml:space="preserve"> </w:t>
      </w:r>
      <w:r w:rsidRPr="00276391">
        <w:rPr>
          <w:rFonts w:cs="Arial"/>
          <w:lang w:eastAsia="en-AU"/>
        </w:rPr>
        <w:t>(name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division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region)</w:t>
      </w:r>
      <w:r w:rsidR="005D5532" w:rsidRPr="00276391">
        <w:rPr>
          <w:rFonts w:cs="Arial"/>
          <w:lang w:eastAsia="en-AU"/>
        </w:rPr>
        <w:t xml:space="preserve"> </w:t>
      </w:r>
    </w:p>
    <w:p w14:paraId="022A8C68" w14:textId="77777777" w:rsidR="00236748" w:rsidRPr="00276391" w:rsidRDefault="00236748" w:rsidP="00276391">
      <w:pPr>
        <w:pStyle w:val="DHHSbullet1"/>
        <w:rPr>
          <w:rFonts w:cs="Arial"/>
          <w:lang w:eastAsia="en-AU"/>
        </w:rPr>
      </w:pPr>
      <w:r w:rsidRPr="00276391">
        <w:rPr>
          <w:rFonts w:cs="Arial"/>
          <w:lang w:eastAsia="en-AU"/>
        </w:rPr>
        <w:t>contract</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unique</w:t>
      </w:r>
      <w:r w:rsidR="005D5532" w:rsidRPr="00276391">
        <w:rPr>
          <w:rFonts w:cs="Arial"/>
          <w:lang w:eastAsia="en-AU"/>
        </w:rPr>
        <w:t xml:space="preserve"> </w:t>
      </w:r>
      <w:r w:rsidRPr="00276391">
        <w:rPr>
          <w:rFonts w:cs="Arial"/>
          <w:lang w:eastAsia="en-AU"/>
        </w:rPr>
        <w:t>reference</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p>
    <w:p w14:paraId="35591440" w14:textId="77777777" w:rsidR="00236748" w:rsidRPr="00276391" w:rsidRDefault="00236748" w:rsidP="00276391">
      <w:pPr>
        <w:pStyle w:val="DHHSbullet1"/>
        <w:rPr>
          <w:rFonts w:cs="Arial"/>
          <w:lang w:eastAsia="en-AU"/>
        </w:rPr>
      </w:pPr>
      <w:r w:rsidRPr="00276391">
        <w:rPr>
          <w:rFonts w:cs="Arial"/>
          <w:lang w:eastAsia="en-AU"/>
        </w:rPr>
        <w:t>title</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purpose)</w:t>
      </w:r>
      <w:r w:rsidR="005D5532" w:rsidRPr="00276391">
        <w:rPr>
          <w:rFonts w:cs="Arial"/>
          <w:lang w:eastAsia="en-AU"/>
        </w:rPr>
        <w:t xml:space="preserve"> </w:t>
      </w:r>
    </w:p>
    <w:p w14:paraId="356AA402" w14:textId="77777777" w:rsidR="00236748" w:rsidRPr="00276391" w:rsidRDefault="00236748" w:rsidP="00276391">
      <w:pPr>
        <w:pStyle w:val="DHHSbullet1"/>
        <w:rPr>
          <w:rFonts w:cs="Arial"/>
          <w:lang w:eastAsia="en-AU"/>
        </w:rPr>
      </w:pPr>
      <w:r w:rsidRPr="00276391">
        <w:rPr>
          <w:rFonts w:cs="Arial"/>
          <w:lang w:eastAsia="en-AU"/>
        </w:rPr>
        <w:t>type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(categories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purchase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goods/services;</w:t>
      </w:r>
      <w:r w:rsidR="005D5532" w:rsidRPr="00276391">
        <w:rPr>
          <w:rFonts w:cs="Arial"/>
          <w:lang w:eastAsia="en-AU"/>
        </w:rPr>
        <w:t xml:space="preserve"> </w:t>
      </w:r>
      <w:r w:rsidRPr="00276391">
        <w:rPr>
          <w:rFonts w:cs="Arial"/>
          <w:lang w:eastAsia="en-AU"/>
        </w:rPr>
        <w:t>operating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leases;</w:t>
      </w:r>
      <w:r w:rsidR="005D5532" w:rsidRPr="00276391">
        <w:rPr>
          <w:rFonts w:cs="Arial"/>
          <w:lang w:eastAsia="en-AU"/>
        </w:rPr>
        <w:t xml:space="preserve"> </w:t>
      </w:r>
      <w:r w:rsidRPr="00276391">
        <w:rPr>
          <w:rFonts w:cs="Arial"/>
          <w:lang w:eastAsia="en-AU"/>
        </w:rPr>
        <w:t>revenue</w:t>
      </w:r>
      <w:r w:rsidR="005D5532" w:rsidRPr="00276391">
        <w:rPr>
          <w:rFonts w:cs="Arial"/>
          <w:lang w:eastAsia="en-AU"/>
        </w:rPr>
        <w:t xml:space="preserve"> </w:t>
      </w:r>
      <w:r w:rsidRPr="00276391">
        <w:rPr>
          <w:rFonts w:cs="Arial"/>
          <w:lang w:eastAsia="en-AU"/>
        </w:rPr>
        <w:t>lease;</w:t>
      </w:r>
      <w:r w:rsidR="005D5532" w:rsidRPr="00276391">
        <w:rPr>
          <w:rFonts w:cs="Arial"/>
          <w:lang w:eastAsia="en-AU"/>
        </w:rPr>
        <w:t xml:space="preserve"> </w:t>
      </w:r>
      <w:r w:rsidRPr="00276391">
        <w:rPr>
          <w:rFonts w:cs="Arial"/>
          <w:lang w:eastAsia="en-AU"/>
        </w:rPr>
        <w:t>construction)</w:t>
      </w:r>
      <w:r w:rsidR="005D5532" w:rsidRPr="00276391">
        <w:rPr>
          <w:rFonts w:cs="Arial"/>
          <w:lang w:eastAsia="en-AU"/>
        </w:rPr>
        <w:t xml:space="preserve"> </w:t>
      </w:r>
    </w:p>
    <w:p w14:paraId="5722B984" w14:textId="77777777" w:rsidR="00236748" w:rsidRPr="00276391" w:rsidRDefault="00236748" w:rsidP="00276391">
      <w:pPr>
        <w:pStyle w:val="DHHSbullet1"/>
        <w:rPr>
          <w:rFonts w:cs="Arial"/>
          <w:lang w:eastAsia="en-AU"/>
        </w:rPr>
      </w:pPr>
      <w:r w:rsidRPr="00276391">
        <w:rPr>
          <w:rFonts w:cs="Arial"/>
          <w:lang w:eastAsia="en-AU"/>
        </w:rPr>
        <w:t>total</w:t>
      </w:r>
      <w:r w:rsidR="005D5532" w:rsidRPr="00276391">
        <w:rPr>
          <w:rFonts w:cs="Arial"/>
          <w:lang w:eastAsia="en-AU"/>
        </w:rPr>
        <w:t xml:space="preserve"> </w:t>
      </w:r>
      <w:r w:rsidRPr="00276391">
        <w:rPr>
          <w:rFonts w:cs="Arial"/>
          <w:lang w:eastAsia="en-AU"/>
        </w:rPr>
        <w:t>value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(value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while</w:t>
      </w:r>
      <w:r w:rsidR="005D5532" w:rsidRPr="00276391">
        <w:rPr>
          <w:rFonts w:cs="Arial"/>
          <w:lang w:eastAsia="en-AU"/>
        </w:rPr>
        <w:t xml:space="preserve"> </w:t>
      </w:r>
      <w:r w:rsidRPr="00276391">
        <w:rPr>
          <w:rFonts w:cs="Arial"/>
          <w:lang w:eastAsia="en-AU"/>
        </w:rPr>
        <w:t>$100,000</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nominal</w:t>
      </w:r>
      <w:r w:rsidR="005D5532" w:rsidRPr="00276391">
        <w:rPr>
          <w:rFonts w:cs="Arial"/>
          <w:lang w:eastAsia="en-AU"/>
        </w:rPr>
        <w:t xml:space="preserve"> </w:t>
      </w:r>
      <w:r w:rsidRPr="00276391">
        <w:rPr>
          <w:rFonts w:cs="Arial"/>
          <w:lang w:eastAsia="en-AU"/>
        </w:rPr>
        <w:t>threshold,</w:t>
      </w:r>
      <w:r w:rsidR="005D5532" w:rsidRPr="00276391">
        <w:rPr>
          <w:rFonts w:cs="Arial"/>
          <w:lang w:eastAsia="en-AU"/>
        </w:rPr>
        <w:t xml:space="preserve"> </w:t>
      </w:r>
      <w:r w:rsidRPr="00276391">
        <w:rPr>
          <w:rFonts w:cs="Arial"/>
          <w:lang w:eastAsia="en-AU"/>
        </w:rPr>
        <w:t>contracts</w:t>
      </w:r>
      <w:r w:rsidR="005D5532" w:rsidRPr="00276391">
        <w:rPr>
          <w:rFonts w:cs="Arial"/>
          <w:lang w:eastAsia="en-AU"/>
        </w:rPr>
        <w:t xml:space="preserve"> </w:t>
      </w:r>
      <w:r w:rsidRPr="00276391">
        <w:rPr>
          <w:rFonts w:cs="Arial"/>
          <w:lang w:eastAsia="en-AU"/>
        </w:rPr>
        <w:t>less</w:t>
      </w:r>
      <w:r w:rsidR="005D5532" w:rsidRPr="00276391">
        <w:rPr>
          <w:rFonts w:cs="Arial"/>
          <w:lang w:eastAsia="en-AU"/>
        </w:rPr>
        <w:t xml:space="preserve"> </w:t>
      </w:r>
      <w:r w:rsidRPr="00276391">
        <w:rPr>
          <w:rFonts w:cs="Arial"/>
          <w:lang w:eastAsia="en-AU"/>
        </w:rPr>
        <w:t>than</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disclosed)</w:t>
      </w:r>
      <w:r w:rsidR="005D5532" w:rsidRPr="00276391">
        <w:rPr>
          <w:rFonts w:cs="Arial"/>
          <w:lang w:eastAsia="en-AU"/>
        </w:rPr>
        <w:t xml:space="preserve"> </w:t>
      </w:r>
    </w:p>
    <w:p w14:paraId="6A33E028" w14:textId="77777777" w:rsidR="00236748" w:rsidRPr="00276391" w:rsidRDefault="00236748" w:rsidP="00276391">
      <w:pPr>
        <w:pStyle w:val="DHHSbullet1"/>
        <w:rPr>
          <w:rFonts w:cs="Arial"/>
          <w:lang w:eastAsia="en-AU"/>
        </w:rPr>
      </w:pPr>
      <w:r w:rsidRPr="00276391">
        <w:rPr>
          <w:rFonts w:cs="Arial"/>
          <w:lang w:eastAsia="en-AU"/>
        </w:rPr>
        <w:t>start</w:t>
      </w:r>
      <w:r w:rsidR="005D5532" w:rsidRPr="00276391">
        <w:rPr>
          <w:rFonts w:cs="Arial"/>
          <w:lang w:eastAsia="en-AU"/>
        </w:rPr>
        <w:t xml:space="preserve"> </w:t>
      </w:r>
      <w:r w:rsidRPr="00276391">
        <w:rPr>
          <w:rFonts w:cs="Arial"/>
          <w:lang w:eastAsia="en-AU"/>
        </w:rPr>
        <w:t>date</w:t>
      </w:r>
      <w:r w:rsidR="005D5532" w:rsidRPr="00276391">
        <w:rPr>
          <w:rFonts w:cs="Arial"/>
          <w:lang w:eastAsia="en-AU"/>
        </w:rPr>
        <w:t xml:space="preserve"> </w:t>
      </w:r>
    </w:p>
    <w:p w14:paraId="632B4B40" w14:textId="77777777" w:rsidR="00236748" w:rsidRPr="00276391" w:rsidRDefault="00236748" w:rsidP="00276391">
      <w:pPr>
        <w:pStyle w:val="DHHSbullet1"/>
        <w:rPr>
          <w:rFonts w:cs="Arial"/>
          <w:lang w:eastAsia="en-AU"/>
        </w:rPr>
      </w:pPr>
      <w:r w:rsidRPr="00276391">
        <w:rPr>
          <w:rFonts w:cs="Arial"/>
          <w:lang w:eastAsia="en-AU"/>
        </w:rPr>
        <w:t>expiry</w:t>
      </w:r>
      <w:r w:rsidR="005D5532" w:rsidRPr="00276391">
        <w:rPr>
          <w:rFonts w:cs="Arial"/>
          <w:lang w:eastAsia="en-AU"/>
        </w:rPr>
        <w:t xml:space="preserve"> </w:t>
      </w:r>
      <w:r w:rsidRPr="00276391">
        <w:rPr>
          <w:rFonts w:cs="Arial"/>
          <w:lang w:eastAsia="en-AU"/>
        </w:rPr>
        <w:t>date</w:t>
      </w:r>
      <w:r w:rsidR="005D5532" w:rsidRPr="00276391">
        <w:rPr>
          <w:rFonts w:cs="Arial"/>
          <w:lang w:eastAsia="en-AU"/>
        </w:rPr>
        <w:t xml:space="preserve"> </w:t>
      </w:r>
    </w:p>
    <w:p w14:paraId="0EF2C599" w14:textId="77777777" w:rsidR="00236748" w:rsidRPr="00276391" w:rsidRDefault="00236748" w:rsidP="00276391">
      <w:pPr>
        <w:pStyle w:val="DHHSbullet1"/>
        <w:rPr>
          <w:rFonts w:cs="Arial"/>
          <w:lang w:eastAsia="en-AU"/>
        </w:rPr>
      </w:pPr>
      <w:r w:rsidRPr="00276391">
        <w:rPr>
          <w:rFonts w:cs="Arial"/>
          <w:lang w:eastAsia="en-AU"/>
        </w:rPr>
        <w:t>status</w:t>
      </w:r>
      <w:r w:rsidR="005D5532" w:rsidRPr="00276391">
        <w:rPr>
          <w:rFonts w:cs="Arial"/>
          <w:lang w:eastAsia="en-AU"/>
        </w:rPr>
        <w:t xml:space="preserve"> </w:t>
      </w:r>
    </w:p>
    <w:p w14:paraId="12932EEA" w14:textId="77777777" w:rsidR="00236748" w:rsidRPr="00276391" w:rsidRDefault="00236748" w:rsidP="00276391">
      <w:pPr>
        <w:pStyle w:val="DHHSbullet1"/>
        <w:rPr>
          <w:rFonts w:cs="Arial"/>
          <w:lang w:eastAsia="en-AU"/>
        </w:rPr>
      </w:pPr>
      <w:r w:rsidRPr="00276391">
        <w:rPr>
          <w:rFonts w:cs="Arial"/>
          <w:lang w:eastAsia="en-AU"/>
        </w:rPr>
        <w:t>United</w:t>
      </w:r>
      <w:r w:rsidR="005D5532" w:rsidRPr="00276391">
        <w:rPr>
          <w:rFonts w:cs="Arial"/>
          <w:lang w:eastAsia="en-AU"/>
        </w:rPr>
        <w:t xml:space="preserve"> </w:t>
      </w:r>
      <w:r w:rsidRPr="00276391">
        <w:rPr>
          <w:rFonts w:cs="Arial"/>
          <w:lang w:eastAsia="en-AU"/>
        </w:rPr>
        <w:t>Nations</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r w:rsidRPr="00276391">
        <w:rPr>
          <w:rFonts w:cs="Arial"/>
          <w:lang w:eastAsia="en-AU"/>
        </w:rPr>
        <w:t>Products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Code</w:t>
      </w:r>
      <w:r w:rsidR="005D5532" w:rsidRPr="00276391">
        <w:rPr>
          <w:rFonts w:cs="Arial"/>
          <w:lang w:eastAsia="en-AU"/>
        </w:rPr>
        <w:t xml:space="preserve"> </w:t>
      </w:r>
      <w:r w:rsidRPr="00276391">
        <w:rPr>
          <w:rFonts w:cs="Arial"/>
          <w:lang w:eastAsia="en-AU"/>
        </w:rPr>
        <w:t>(UNSPSC)</w:t>
      </w:r>
      <w:r w:rsidR="005D5532" w:rsidRPr="00276391">
        <w:rPr>
          <w:rFonts w:cs="Arial"/>
          <w:lang w:eastAsia="en-AU"/>
        </w:rPr>
        <w:t xml:space="preserve"> </w:t>
      </w:r>
    </w:p>
    <w:p w14:paraId="337B808E" w14:textId="77777777" w:rsidR="00236748" w:rsidRPr="00276391" w:rsidRDefault="00236748" w:rsidP="00276391">
      <w:pPr>
        <w:pStyle w:val="DHHSbullet1"/>
        <w:rPr>
          <w:rFonts w:cs="Arial"/>
          <w:lang w:eastAsia="en-AU"/>
        </w:rPr>
      </w:pPr>
      <w:r w:rsidRPr="00276391">
        <w:rPr>
          <w:rFonts w:cs="Arial"/>
          <w:lang w:eastAsia="en-AU"/>
        </w:rPr>
        <w:t>description</w:t>
      </w:r>
      <w:r w:rsidR="005D5532" w:rsidRPr="00276391">
        <w:rPr>
          <w:rFonts w:cs="Arial"/>
          <w:lang w:eastAsia="en-AU"/>
        </w:rPr>
        <w:t xml:space="preserve"> </w:t>
      </w:r>
      <w:r w:rsidRPr="00276391">
        <w:rPr>
          <w:rFonts w:cs="Arial"/>
          <w:lang w:eastAsia="en-AU"/>
        </w:rPr>
        <w:t>(details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type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being</w:t>
      </w:r>
      <w:r w:rsidR="005D5532" w:rsidRPr="00276391">
        <w:rPr>
          <w:rFonts w:cs="Arial"/>
          <w:lang w:eastAsia="en-AU"/>
        </w:rPr>
        <w:t xml:space="preserve"> </w:t>
      </w:r>
      <w:r w:rsidRPr="00276391">
        <w:rPr>
          <w:rFonts w:cs="Arial"/>
          <w:lang w:eastAsia="en-AU"/>
        </w:rPr>
        <w:t>delivered)</w:t>
      </w:r>
      <w:r w:rsidR="005D5532" w:rsidRPr="00276391">
        <w:rPr>
          <w:rFonts w:cs="Arial"/>
          <w:lang w:eastAsia="en-AU"/>
        </w:rPr>
        <w:t xml:space="preserve"> </w:t>
      </w:r>
    </w:p>
    <w:p w14:paraId="23FF8E3F" w14:textId="77777777" w:rsidR="00236748" w:rsidRPr="00054330" w:rsidRDefault="00236748" w:rsidP="00276391">
      <w:pPr>
        <w:pStyle w:val="DHHSbullet1"/>
        <w:rPr>
          <w:rFonts w:cs="Arial"/>
          <w:lang w:eastAsia="en-AU"/>
        </w:rPr>
      </w:pPr>
      <w:r w:rsidRPr="00276391">
        <w:rPr>
          <w:rFonts w:cs="Arial"/>
          <w:lang w:eastAsia="en-AU"/>
        </w:rPr>
        <w:lastRenderedPageBreak/>
        <w:t>public</w:t>
      </w:r>
      <w:r w:rsidR="005D5532" w:rsidRPr="00276391">
        <w:rPr>
          <w:rFonts w:cs="Arial"/>
          <w:lang w:eastAsia="en-AU"/>
        </w:rPr>
        <w:t xml:space="preserve"> </w:t>
      </w:r>
      <w:r w:rsidRPr="00276391">
        <w:rPr>
          <w:rFonts w:cs="Arial"/>
          <w:lang w:eastAsia="en-AU"/>
        </w:rPr>
        <w:t>body</w:t>
      </w:r>
      <w:r w:rsidR="005D5532" w:rsidRPr="00276391">
        <w:rPr>
          <w:rFonts w:cs="Arial"/>
          <w:lang w:eastAsia="en-AU"/>
        </w:rPr>
        <w:t xml:space="preserve"> </w:t>
      </w:r>
      <w:r w:rsidRPr="00276391">
        <w:rPr>
          <w:rFonts w:cs="Arial"/>
          <w:lang w:eastAsia="en-AU"/>
        </w:rPr>
        <w:t>(i.e.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contact</w:t>
      </w:r>
      <w:r w:rsidR="005D5532" w:rsidRPr="00276391">
        <w:rPr>
          <w:rFonts w:cs="Arial"/>
          <w:lang w:eastAsia="en-AU"/>
        </w:rPr>
        <w:t xml:space="preserve"> </w:t>
      </w:r>
      <w:r w:rsidRPr="00276391">
        <w:rPr>
          <w:rFonts w:cs="Arial"/>
          <w:lang w:eastAsia="en-AU"/>
        </w:rPr>
        <w:t>details</w:t>
      </w:r>
      <w:r w:rsidR="005D5532" w:rsidRPr="00276391">
        <w:rPr>
          <w:rFonts w:cs="Arial"/>
          <w:lang w:eastAsia="en-AU"/>
        </w:rPr>
        <w:t xml:space="preserve"> </w:t>
      </w:r>
    </w:p>
    <w:p w14:paraId="1E00C561" w14:textId="77777777" w:rsidR="00236748" w:rsidRPr="00276391" w:rsidRDefault="00236748" w:rsidP="00054330">
      <w:pPr>
        <w:pStyle w:val="DHHSbullet2"/>
        <w:rPr>
          <w:lang w:eastAsia="en-AU"/>
        </w:rPr>
      </w:pPr>
      <w:r w:rsidRPr="00276391">
        <w:rPr>
          <w:lang w:eastAsia="en-AU"/>
        </w:rPr>
        <w:t>contact</w:t>
      </w:r>
      <w:r w:rsidR="005D5532" w:rsidRPr="00276391">
        <w:rPr>
          <w:lang w:eastAsia="en-AU"/>
        </w:rPr>
        <w:t xml:space="preserve"> </w:t>
      </w:r>
      <w:r w:rsidRPr="00276391">
        <w:rPr>
          <w:lang w:eastAsia="en-AU"/>
        </w:rPr>
        <w:t>person</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person</w:t>
      </w:r>
      <w:r w:rsidR="005D5532" w:rsidRPr="00276391">
        <w:rPr>
          <w:lang w:eastAsia="en-AU"/>
        </w:rPr>
        <w:t xml:space="preserve"> </w:t>
      </w:r>
      <w:r w:rsidRPr="00276391">
        <w:rPr>
          <w:lang w:eastAsia="en-AU"/>
        </w:rPr>
        <w:t>name)</w:t>
      </w:r>
      <w:r w:rsidR="005D5532" w:rsidRPr="00276391">
        <w:rPr>
          <w:lang w:eastAsia="en-AU"/>
        </w:rPr>
        <w:t xml:space="preserve"> </w:t>
      </w:r>
    </w:p>
    <w:p w14:paraId="1EA0E073" w14:textId="77777777" w:rsidR="00236748" w:rsidRPr="00276391" w:rsidRDefault="00236748" w:rsidP="00054330">
      <w:pPr>
        <w:pStyle w:val="DHHSbullet2"/>
        <w:rPr>
          <w:lang w:eastAsia="en-AU"/>
        </w:rPr>
      </w:pPr>
      <w:r w:rsidRPr="00276391">
        <w:rPr>
          <w:lang w:eastAsia="en-AU"/>
        </w:rPr>
        <w:t>email</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email</w:t>
      </w:r>
      <w:r w:rsidR="005D5532" w:rsidRPr="00276391">
        <w:rPr>
          <w:lang w:eastAsia="en-AU"/>
        </w:rPr>
        <w:t xml:space="preserve"> </w:t>
      </w:r>
      <w:r w:rsidRPr="00276391">
        <w:rPr>
          <w:lang w:eastAsia="en-AU"/>
        </w:rPr>
        <w:t>address)</w:t>
      </w:r>
      <w:r w:rsidR="005D5532" w:rsidRPr="00276391">
        <w:rPr>
          <w:lang w:eastAsia="en-AU"/>
        </w:rPr>
        <w:t xml:space="preserve"> </w:t>
      </w:r>
    </w:p>
    <w:p w14:paraId="1CCF56D3" w14:textId="77777777" w:rsidR="00236748" w:rsidRPr="00276391" w:rsidRDefault="00236748" w:rsidP="00054330">
      <w:pPr>
        <w:pStyle w:val="Heading4"/>
        <w:rPr>
          <w:lang w:eastAsia="en-AU"/>
        </w:rPr>
      </w:pPr>
      <w:r w:rsidRPr="00276391">
        <w:rPr>
          <w:lang w:eastAsia="en-AU"/>
        </w:rPr>
        <w:t>Supplier</w:t>
      </w:r>
      <w:r w:rsidR="005D5532" w:rsidRPr="00276391">
        <w:rPr>
          <w:lang w:eastAsia="en-AU"/>
        </w:rPr>
        <w:t xml:space="preserve"> </w:t>
      </w:r>
      <w:r w:rsidRPr="00276391">
        <w:rPr>
          <w:lang w:eastAsia="en-AU"/>
        </w:rPr>
        <w:t>in</w:t>
      </w:r>
      <w:r w:rsidR="00054330">
        <w:rPr>
          <w:lang w:eastAsia="en-AU"/>
        </w:rPr>
        <w:t>f</w:t>
      </w:r>
      <w:r w:rsidRPr="00276391">
        <w:rPr>
          <w:lang w:eastAsia="en-AU"/>
        </w:rPr>
        <w:t>ormation</w:t>
      </w:r>
    </w:p>
    <w:p w14:paraId="59429539" w14:textId="77777777" w:rsidR="00236748" w:rsidRPr="00276391" w:rsidRDefault="00236748" w:rsidP="00276391">
      <w:pPr>
        <w:pStyle w:val="DHHSbullet1"/>
        <w:rPr>
          <w:rFonts w:cs="Arial"/>
          <w:lang w:eastAsia="en-AU"/>
        </w:rPr>
      </w:pPr>
      <w:r w:rsidRPr="00276391">
        <w:rPr>
          <w:rFonts w:cs="Arial"/>
          <w:lang w:eastAsia="en-AU"/>
        </w:rPr>
        <w:t>supplier</w:t>
      </w:r>
      <w:r w:rsidR="005D5532" w:rsidRPr="00276391">
        <w:rPr>
          <w:rFonts w:cs="Arial"/>
          <w:lang w:eastAsia="en-AU"/>
        </w:rPr>
        <w:t xml:space="preserve"> </w:t>
      </w:r>
      <w:r w:rsidRPr="00276391">
        <w:rPr>
          <w:rFonts w:cs="Arial"/>
          <w:lang w:eastAsia="en-AU"/>
        </w:rPr>
        <w:t>name</w:t>
      </w:r>
      <w:r w:rsidR="005D5532" w:rsidRPr="00276391">
        <w:rPr>
          <w:rFonts w:cs="Arial"/>
          <w:lang w:eastAsia="en-AU"/>
        </w:rPr>
        <w:t xml:space="preserve"> </w:t>
      </w:r>
    </w:p>
    <w:p w14:paraId="6A638ADD" w14:textId="77777777" w:rsidR="00236748" w:rsidRPr="00276391" w:rsidRDefault="00236748" w:rsidP="00276391">
      <w:pPr>
        <w:pStyle w:val="DHHSbullet1"/>
        <w:rPr>
          <w:rFonts w:cs="Arial"/>
          <w:lang w:eastAsia="en-AU"/>
        </w:rPr>
      </w:pPr>
      <w:r w:rsidRPr="00276391">
        <w:rPr>
          <w:rFonts w:cs="Arial"/>
          <w:lang w:eastAsia="en-AU"/>
        </w:rPr>
        <w:t>Australian</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p>
    <w:p w14:paraId="07D3345A" w14:textId="77777777" w:rsidR="00236748" w:rsidRPr="00276391" w:rsidRDefault="00236748" w:rsidP="00276391">
      <w:pPr>
        <w:pStyle w:val="DHHSbullet1"/>
        <w:rPr>
          <w:rFonts w:cs="Arial"/>
          <w:lang w:eastAsia="en-AU"/>
        </w:rPr>
      </w:pPr>
      <w:r w:rsidRPr="00276391">
        <w:rPr>
          <w:rFonts w:cs="Arial"/>
          <w:lang w:eastAsia="en-AU"/>
        </w:rPr>
        <w:t>Australian</w:t>
      </w:r>
      <w:r w:rsidR="005D5532" w:rsidRPr="00276391">
        <w:rPr>
          <w:rFonts w:cs="Arial"/>
          <w:lang w:eastAsia="en-AU"/>
        </w:rPr>
        <w:t xml:space="preserve"> </w:t>
      </w:r>
      <w:r w:rsidRPr="00276391">
        <w:rPr>
          <w:rFonts w:cs="Arial"/>
          <w:lang w:eastAsia="en-AU"/>
        </w:rPr>
        <w:t>Company</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r w:rsidRPr="00276391">
        <w:rPr>
          <w:rFonts w:cs="Arial"/>
          <w:lang w:eastAsia="en-AU"/>
        </w:rPr>
        <w:t>(ACN)</w:t>
      </w:r>
      <w:r w:rsidR="005D5532" w:rsidRPr="00276391">
        <w:rPr>
          <w:rFonts w:cs="Arial"/>
          <w:lang w:eastAsia="en-AU"/>
        </w:rPr>
        <w:t xml:space="preserve"> </w:t>
      </w:r>
    </w:p>
    <w:p w14:paraId="4C8C2208" w14:textId="77777777" w:rsidR="00236748" w:rsidRPr="00276391" w:rsidRDefault="00236748" w:rsidP="00276391">
      <w:pPr>
        <w:pStyle w:val="DHHSbullet1"/>
        <w:rPr>
          <w:rFonts w:cs="Arial"/>
          <w:lang w:eastAsia="en-AU"/>
        </w:rPr>
      </w:pPr>
      <w:r w:rsidRPr="00276391">
        <w:rPr>
          <w:rFonts w:cs="Arial"/>
          <w:lang w:eastAsia="en-AU"/>
        </w:rPr>
        <w:t>Data</w:t>
      </w:r>
      <w:r w:rsidR="005D5532" w:rsidRPr="00276391">
        <w:rPr>
          <w:rFonts w:cs="Arial"/>
          <w:lang w:eastAsia="en-AU"/>
        </w:rPr>
        <w:t xml:space="preserve"> </w:t>
      </w:r>
      <w:r w:rsidRPr="00276391">
        <w:rPr>
          <w:rFonts w:cs="Arial"/>
          <w:lang w:eastAsia="en-AU"/>
        </w:rPr>
        <w:t>Universal</w:t>
      </w:r>
      <w:r w:rsidR="005D5532" w:rsidRPr="00276391">
        <w:rPr>
          <w:rFonts w:cs="Arial"/>
          <w:lang w:eastAsia="en-AU"/>
        </w:rPr>
        <w:t xml:space="preserve"> </w:t>
      </w:r>
      <w:r w:rsidRPr="00276391">
        <w:rPr>
          <w:rFonts w:cs="Arial"/>
          <w:lang w:eastAsia="en-AU"/>
        </w:rPr>
        <w:t>Numbering</w:t>
      </w:r>
      <w:r w:rsidR="005D5532" w:rsidRPr="00276391">
        <w:rPr>
          <w:rFonts w:cs="Arial"/>
          <w:lang w:eastAsia="en-AU"/>
        </w:rPr>
        <w:t xml:space="preserve"> </w:t>
      </w:r>
      <w:r w:rsidRPr="00276391">
        <w:rPr>
          <w:rFonts w:cs="Arial"/>
          <w:lang w:eastAsia="en-AU"/>
        </w:rPr>
        <w:t>System</w:t>
      </w:r>
      <w:r w:rsidR="005D5532" w:rsidRPr="00276391">
        <w:rPr>
          <w:rFonts w:cs="Arial"/>
          <w:lang w:eastAsia="en-AU"/>
        </w:rPr>
        <w:t xml:space="preserve"> </w:t>
      </w:r>
      <w:r w:rsidRPr="00276391">
        <w:rPr>
          <w:rFonts w:cs="Arial"/>
          <w:lang w:eastAsia="en-AU"/>
        </w:rPr>
        <w:t>(DUNS)</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p>
    <w:p w14:paraId="370275BB" w14:textId="77777777" w:rsidR="00236748" w:rsidRPr="00276391" w:rsidRDefault="00236748" w:rsidP="00276391">
      <w:pPr>
        <w:pStyle w:val="DHHSbullet1"/>
        <w:rPr>
          <w:rFonts w:cs="Arial"/>
          <w:lang w:eastAsia="en-AU"/>
        </w:rPr>
      </w:pPr>
      <w:r w:rsidRPr="00276391">
        <w:rPr>
          <w:rFonts w:cs="Arial"/>
          <w:lang w:eastAsia="en-AU"/>
        </w:rPr>
        <w:t>address</w:t>
      </w:r>
      <w:r w:rsidR="005D5532" w:rsidRPr="00276391">
        <w:rPr>
          <w:rFonts w:cs="Arial"/>
          <w:lang w:eastAsia="en-AU"/>
        </w:rPr>
        <w:t xml:space="preserve"> </w:t>
      </w:r>
    </w:p>
    <w:p w14:paraId="746B6531" w14:textId="77777777" w:rsidR="00236748" w:rsidRPr="00276391" w:rsidRDefault="00236748" w:rsidP="00276391">
      <w:pPr>
        <w:pStyle w:val="DHHSbullet1"/>
        <w:rPr>
          <w:rFonts w:cs="Arial"/>
          <w:lang w:eastAsia="en-AU"/>
        </w:rPr>
      </w:pPr>
      <w:r w:rsidRPr="00276391">
        <w:rPr>
          <w:rFonts w:cs="Arial"/>
          <w:lang w:eastAsia="en-AU"/>
        </w:rPr>
        <w:t>suburb</w:t>
      </w:r>
      <w:r w:rsidR="005D5532" w:rsidRPr="00276391">
        <w:rPr>
          <w:rFonts w:cs="Arial"/>
          <w:lang w:eastAsia="en-AU"/>
        </w:rPr>
        <w:t xml:space="preserve"> </w:t>
      </w:r>
    </w:p>
    <w:p w14:paraId="5715F5F8" w14:textId="77777777" w:rsidR="00236748" w:rsidRPr="00276391" w:rsidRDefault="00236748" w:rsidP="00276391">
      <w:pPr>
        <w:pStyle w:val="DHHSbullet1"/>
        <w:rPr>
          <w:rFonts w:cs="Arial"/>
          <w:lang w:eastAsia="en-AU"/>
        </w:rPr>
      </w:pPr>
      <w:r w:rsidRPr="00276391">
        <w:rPr>
          <w:rFonts w:cs="Arial"/>
          <w:lang w:eastAsia="en-AU"/>
        </w:rPr>
        <w:t>state</w:t>
      </w:r>
      <w:r w:rsidR="005D5532" w:rsidRPr="00276391">
        <w:rPr>
          <w:rFonts w:cs="Arial"/>
          <w:lang w:eastAsia="en-AU"/>
        </w:rPr>
        <w:t xml:space="preserve"> </w:t>
      </w:r>
    </w:p>
    <w:p w14:paraId="008A1DF7" w14:textId="77777777" w:rsidR="00236748" w:rsidRPr="00276391" w:rsidRDefault="00236748" w:rsidP="00276391">
      <w:pPr>
        <w:pStyle w:val="DHHSbullet1"/>
        <w:rPr>
          <w:rFonts w:cs="Arial"/>
          <w:lang w:eastAsia="en-AU"/>
        </w:rPr>
      </w:pPr>
      <w:r w:rsidRPr="00276391">
        <w:rPr>
          <w:rFonts w:cs="Arial"/>
          <w:lang w:eastAsia="en-AU"/>
        </w:rPr>
        <w:t>post</w:t>
      </w:r>
      <w:r w:rsidR="005D5532" w:rsidRPr="00276391">
        <w:rPr>
          <w:rFonts w:cs="Arial"/>
          <w:lang w:eastAsia="en-AU"/>
        </w:rPr>
        <w:t xml:space="preserve"> </w:t>
      </w:r>
      <w:r w:rsidRPr="00276391">
        <w:rPr>
          <w:rFonts w:cs="Arial"/>
          <w:lang w:eastAsia="en-AU"/>
        </w:rPr>
        <w:t>code</w:t>
      </w:r>
      <w:r w:rsidR="005D5532" w:rsidRPr="00276391">
        <w:rPr>
          <w:rFonts w:cs="Arial"/>
          <w:lang w:eastAsia="en-AU"/>
        </w:rPr>
        <w:t xml:space="preserve"> </w:t>
      </w:r>
    </w:p>
    <w:p w14:paraId="4DAC2B4D" w14:textId="77777777" w:rsidR="00236748" w:rsidRPr="00276391" w:rsidRDefault="00236748" w:rsidP="00276391">
      <w:pPr>
        <w:pStyle w:val="DHHSbullet1"/>
        <w:rPr>
          <w:rFonts w:cs="Arial"/>
          <w:lang w:eastAsia="en-AU"/>
        </w:rPr>
      </w:pPr>
      <w:r w:rsidRPr="00276391">
        <w:rPr>
          <w:rFonts w:cs="Arial"/>
          <w:lang w:eastAsia="en-AU"/>
        </w:rPr>
        <w:t>email</w:t>
      </w:r>
      <w:r w:rsidR="005D5532" w:rsidRPr="00276391">
        <w:rPr>
          <w:rFonts w:cs="Arial"/>
          <w:lang w:eastAsia="en-AU"/>
        </w:rPr>
        <w:t xml:space="preserve"> </w:t>
      </w:r>
      <w:r w:rsidRPr="00276391">
        <w:rPr>
          <w:rFonts w:cs="Arial"/>
          <w:lang w:eastAsia="en-AU"/>
        </w:rPr>
        <w:t>address</w:t>
      </w:r>
      <w:r w:rsidR="005D5532" w:rsidRPr="00276391">
        <w:rPr>
          <w:rFonts w:cs="Arial"/>
          <w:lang w:eastAsia="en-AU"/>
        </w:rPr>
        <w:t xml:space="preserve"> </w:t>
      </w:r>
    </w:p>
    <w:p w14:paraId="61060702" w14:textId="77777777" w:rsidR="00236748" w:rsidRPr="00276391" w:rsidRDefault="00236748" w:rsidP="009B2351">
      <w:pPr>
        <w:pStyle w:val="Heading2"/>
        <w:rPr>
          <w:rFonts w:cs="Arial"/>
          <w:lang w:eastAsia="en-AU"/>
        </w:rPr>
      </w:pPr>
      <w:bookmarkStart w:id="518" w:name="_Toc478991876"/>
      <w:bookmarkStart w:id="519" w:name="_Toc478992431"/>
      <w:bookmarkStart w:id="520" w:name="_Toc478992904"/>
      <w:bookmarkStart w:id="521" w:name="_Toc4142098"/>
      <w:r w:rsidRPr="00276391">
        <w:rPr>
          <w:rFonts w:cs="Arial"/>
          <w:lang w:eastAsia="en-AU"/>
        </w:rPr>
        <w:t>3.19</w:t>
      </w:r>
      <w:r w:rsidR="009B2351" w:rsidRPr="00276391">
        <w:rPr>
          <w:rFonts w:cs="Arial"/>
          <w:lang w:eastAsia="en-AU"/>
        </w:rPr>
        <w:t xml:space="preserve"> </w:t>
      </w:r>
      <w:r w:rsidRPr="00276391">
        <w:rPr>
          <w:rFonts w:cs="Arial"/>
          <w:lang w:eastAsia="en-AU"/>
        </w:rPr>
        <w:t>Indemnity</w:t>
      </w:r>
      <w:bookmarkEnd w:id="518"/>
      <w:bookmarkEnd w:id="519"/>
      <w:bookmarkEnd w:id="520"/>
      <w:bookmarkEnd w:id="521"/>
    </w:p>
    <w:p w14:paraId="3F47BB75" w14:textId="38191DE7" w:rsidR="00054330" w:rsidRDefault="00236748" w:rsidP="00054330">
      <w:pPr>
        <w:pStyle w:val="DHHSbody"/>
        <w:rPr>
          <w:lang w:eastAsia="en-AU"/>
        </w:rPr>
      </w:pP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indemnify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against</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liability</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costs,</w:t>
      </w:r>
      <w:r w:rsidR="005D5532" w:rsidRPr="00276391">
        <w:rPr>
          <w:lang w:eastAsia="en-AU"/>
        </w:rPr>
        <w:t xml:space="preserve"> </w:t>
      </w:r>
      <w:r w:rsidRPr="00276391">
        <w:rPr>
          <w:lang w:eastAsia="en-AU"/>
        </w:rPr>
        <w:t>damages,</w:t>
      </w:r>
      <w:r w:rsidR="005D5532" w:rsidRPr="00276391">
        <w:rPr>
          <w:lang w:eastAsia="en-AU"/>
        </w:rPr>
        <w:t xml:space="preserve"> </w:t>
      </w:r>
      <w:r w:rsidRPr="00276391">
        <w:rPr>
          <w:lang w:eastAsia="en-AU"/>
        </w:rPr>
        <w:t>expenses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losses)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incur</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result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claim,</w:t>
      </w:r>
      <w:r w:rsidR="005D5532" w:rsidRPr="00276391">
        <w:rPr>
          <w:lang w:eastAsia="en-AU"/>
        </w:rPr>
        <w:t xml:space="preserve"> </w:t>
      </w:r>
      <w:r w:rsidRPr="00276391">
        <w:rPr>
          <w:lang w:eastAsia="en-AU"/>
        </w:rPr>
        <w:t>arising</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breach</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law,</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unlawful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negligent</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omission.</w:t>
      </w:r>
    </w:p>
    <w:p w14:paraId="3DEF4847" w14:textId="77777777" w:rsidR="00236748" w:rsidRPr="00276391" w:rsidRDefault="00236748" w:rsidP="00054330">
      <w:pPr>
        <w:pStyle w:val="DHHSbody"/>
        <w:rPr>
          <w:lang w:eastAsia="en-AU"/>
        </w:rPr>
      </w:pPr>
      <w:r w:rsidRPr="00276391">
        <w:rPr>
          <w:lang w:eastAsia="en-AU"/>
        </w:rPr>
        <w:t>Claims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relate</w:t>
      </w:r>
      <w:r w:rsidR="005D5532" w:rsidRPr="00276391">
        <w:rPr>
          <w:lang w:eastAsia="en-AU"/>
        </w:rPr>
        <w:t xml:space="preserve"> </w:t>
      </w:r>
      <w:r w:rsidRPr="00276391">
        <w:rPr>
          <w:lang w:eastAsia="en-AU"/>
        </w:rPr>
        <w:t>to:</w:t>
      </w:r>
    </w:p>
    <w:p w14:paraId="1FB49E4B" w14:textId="77777777" w:rsidR="00236748" w:rsidRPr="00276391" w:rsidRDefault="00236748" w:rsidP="00225863">
      <w:pPr>
        <w:pStyle w:val="DHHSbullet1"/>
        <w:numPr>
          <w:ilvl w:val="0"/>
          <w:numId w:val="0"/>
        </w:numPr>
        <w:rPr>
          <w:rFonts w:cs="Arial"/>
          <w:lang w:eastAsia="en-AU"/>
        </w:rPr>
      </w:pPr>
      <w:r w:rsidRPr="00276391">
        <w:rPr>
          <w:rFonts w:cs="Arial"/>
          <w:lang w:eastAsia="en-AU"/>
        </w:rPr>
        <w:t>(a)</w:t>
      </w:r>
      <w:r w:rsidR="005D5532" w:rsidRPr="00276391">
        <w:rPr>
          <w:rFonts w:cs="Arial"/>
          <w:lang w:eastAsia="en-AU"/>
        </w:rPr>
        <w:t xml:space="preserve"> </w:t>
      </w:r>
      <w:r w:rsidRPr="00276391">
        <w:rPr>
          <w:rFonts w:cs="Arial"/>
          <w:lang w:eastAsia="en-AU"/>
        </w:rPr>
        <w:t>loss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damage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property;</w:t>
      </w:r>
      <w:r w:rsidRPr="00276391">
        <w:rPr>
          <w:rFonts w:cs="Arial"/>
          <w:lang w:eastAsia="en-AU"/>
        </w:rPr>
        <w:br/>
        <w:t>(b)</w:t>
      </w:r>
      <w:r w:rsidR="005D5532" w:rsidRPr="00276391">
        <w:rPr>
          <w:rFonts w:cs="Arial"/>
          <w:lang w:eastAsia="en-AU"/>
        </w:rPr>
        <w:t xml:space="preserve"> </w:t>
      </w:r>
      <w:r w:rsidRPr="00276391">
        <w:rPr>
          <w:rFonts w:cs="Arial"/>
          <w:lang w:eastAsia="en-AU"/>
        </w:rPr>
        <w:t>death</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injury;</w:t>
      </w:r>
      <w:r w:rsidRPr="00276391">
        <w:rPr>
          <w:rFonts w:cs="Arial"/>
          <w:lang w:eastAsia="en-AU"/>
        </w:rPr>
        <w:br/>
        <w:t>(c)</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breach</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any</w:t>
      </w:r>
      <w:r w:rsidR="005D5532" w:rsidRPr="00276391">
        <w:rPr>
          <w:rFonts w:cs="Arial"/>
          <w:lang w:eastAsia="en-AU"/>
        </w:rPr>
        <w:t xml:space="preserve"> </w:t>
      </w:r>
      <w:r w:rsidRPr="00276391">
        <w:rPr>
          <w:rFonts w:cs="Arial"/>
          <w:lang w:eastAsia="en-AU"/>
        </w:rPr>
        <w:t>third</w:t>
      </w:r>
      <w:r w:rsidR="005D5532" w:rsidRPr="00276391">
        <w:rPr>
          <w:rFonts w:cs="Arial"/>
          <w:lang w:eastAsia="en-AU"/>
        </w:rPr>
        <w:t xml:space="preserve"> </w:t>
      </w:r>
      <w:r w:rsidRPr="00276391">
        <w:rPr>
          <w:rFonts w:cs="Arial"/>
          <w:lang w:eastAsia="en-AU"/>
        </w:rPr>
        <w:t>party’s</w:t>
      </w:r>
      <w:r w:rsidR="005D5532" w:rsidRPr="00276391">
        <w:rPr>
          <w:rFonts w:cs="Arial"/>
          <w:lang w:eastAsia="en-AU"/>
        </w:rPr>
        <w:t xml:space="preserve"> </w:t>
      </w:r>
      <w:r w:rsidRPr="00276391">
        <w:rPr>
          <w:rFonts w:cs="Arial"/>
          <w:lang w:eastAsia="en-AU"/>
        </w:rPr>
        <w:t>intellectual</w:t>
      </w:r>
      <w:r w:rsidR="005D5532" w:rsidRPr="00276391">
        <w:rPr>
          <w:rFonts w:cs="Arial"/>
          <w:lang w:eastAsia="en-AU"/>
        </w:rPr>
        <w:t xml:space="preserve"> </w:t>
      </w:r>
      <w:r w:rsidRPr="00276391">
        <w:rPr>
          <w:rFonts w:cs="Arial"/>
          <w:lang w:eastAsia="en-AU"/>
        </w:rPr>
        <w:t>property</w:t>
      </w:r>
      <w:r w:rsidR="005D5532" w:rsidRPr="00276391">
        <w:rPr>
          <w:rFonts w:cs="Arial"/>
          <w:lang w:eastAsia="en-AU"/>
        </w:rPr>
        <w:t xml:space="preserve"> </w:t>
      </w:r>
      <w:r w:rsidRPr="00276391">
        <w:rPr>
          <w:rFonts w:cs="Arial"/>
          <w:lang w:eastAsia="en-AU"/>
        </w:rPr>
        <w:t>rights;</w:t>
      </w:r>
      <w:r w:rsidRPr="00276391">
        <w:rPr>
          <w:rFonts w:cs="Arial"/>
          <w:lang w:eastAsia="en-AU"/>
        </w:rPr>
        <w:br/>
        <w:t>(d)</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breach</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privacy</w:t>
      </w:r>
      <w:r w:rsidR="005D5532" w:rsidRPr="00276391">
        <w:rPr>
          <w:rFonts w:cs="Arial"/>
          <w:lang w:eastAsia="en-AU"/>
        </w:rPr>
        <w:t xml:space="preserve"> </w:t>
      </w:r>
      <w:r w:rsidRPr="00276391">
        <w:rPr>
          <w:rFonts w:cs="Arial"/>
          <w:lang w:eastAsia="en-AU"/>
        </w:rPr>
        <w:t>Law;</w:t>
      </w:r>
      <w:r w:rsidR="005D5532" w:rsidRPr="00276391">
        <w:rPr>
          <w:rFonts w:cs="Arial"/>
          <w:lang w:eastAsia="en-AU"/>
        </w:rPr>
        <w:t xml:space="preserve"> </w:t>
      </w:r>
      <w:r w:rsidRPr="00276391">
        <w:rPr>
          <w:rFonts w:cs="Arial"/>
          <w:lang w:eastAsia="en-AU"/>
        </w:rPr>
        <w:t>or</w:t>
      </w:r>
      <w:r w:rsidRPr="00276391">
        <w:rPr>
          <w:rFonts w:cs="Arial"/>
          <w:lang w:eastAsia="en-AU"/>
        </w:rPr>
        <w:br/>
        <w:t>(e)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breach</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recordkeeping</w:t>
      </w:r>
      <w:r w:rsidR="005D5532" w:rsidRPr="00276391">
        <w:rPr>
          <w:rFonts w:cs="Arial"/>
          <w:lang w:eastAsia="en-AU"/>
        </w:rPr>
        <w:t xml:space="preserve"> </w:t>
      </w:r>
      <w:r w:rsidRPr="00276391">
        <w:rPr>
          <w:rFonts w:cs="Arial"/>
          <w:lang w:eastAsia="en-AU"/>
        </w:rPr>
        <w:t>obligations</w:t>
      </w:r>
      <w:r w:rsidR="005D5532" w:rsidRPr="00276391">
        <w:rPr>
          <w:rFonts w:cs="Arial"/>
          <w:lang w:eastAsia="en-AU"/>
        </w:rPr>
        <w:t xml:space="preserve"> </w:t>
      </w:r>
      <w:r w:rsidRPr="00276391">
        <w:rPr>
          <w:rFonts w:cs="Arial"/>
          <w:lang w:eastAsia="en-AU"/>
        </w:rPr>
        <w:t>(</w:t>
      </w:r>
      <w:r w:rsidR="00BD023C">
        <w:rPr>
          <w:rFonts w:cs="Arial"/>
          <w:lang w:eastAsia="en-AU"/>
        </w:rPr>
        <w:t>see</w:t>
      </w:r>
      <w:r w:rsidR="005D5532" w:rsidRPr="00276391">
        <w:rPr>
          <w:rFonts w:cs="Arial"/>
          <w:lang w:eastAsia="en-AU"/>
        </w:rPr>
        <w:t xml:space="preserve"> </w:t>
      </w:r>
      <w:r w:rsidRPr="00276391">
        <w:rPr>
          <w:rFonts w:cs="Arial"/>
          <w:lang w:eastAsia="en-AU"/>
        </w:rPr>
        <w:t>clause</w:t>
      </w:r>
      <w:r w:rsidR="005D5532" w:rsidRPr="00276391">
        <w:rPr>
          <w:rFonts w:cs="Arial"/>
          <w:lang w:eastAsia="en-AU"/>
        </w:rPr>
        <w:t xml:space="preserve"> </w:t>
      </w:r>
      <w:r w:rsidRPr="00276391">
        <w:rPr>
          <w:rFonts w:cs="Arial"/>
          <w:lang w:eastAsia="en-AU"/>
        </w:rPr>
        <w:t>6).</w:t>
      </w:r>
    </w:p>
    <w:p w14:paraId="6F295632"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liability</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caused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contributed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unlawful</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negligent</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omissions</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officers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liability</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reduced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amount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attributed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officers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excludes</w:t>
      </w:r>
      <w:r w:rsidR="005D5532" w:rsidRPr="00B24C02">
        <w:rPr>
          <w:rFonts w:cs="Arial"/>
          <w:color w:val="000000"/>
          <w:szCs w:val="19"/>
          <w:lang w:eastAsia="en-AU"/>
        </w:rPr>
        <w:t xml:space="preserve"> </w:t>
      </w:r>
      <w:r w:rsidRPr="00B24C02">
        <w:rPr>
          <w:rFonts w:cs="Arial"/>
          <w:color w:val="000000"/>
          <w:szCs w:val="19"/>
          <w:lang w:eastAsia="en-AU"/>
        </w:rPr>
        <w:t>contractors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(companies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consultants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engaged).</w:t>
      </w:r>
    </w:p>
    <w:p w14:paraId="1FDCA9C9" w14:textId="77777777" w:rsidR="00236748" w:rsidRPr="00276391" w:rsidRDefault="00236748" w:rsidP="009B2351">
      <w:pPr>
        <w:pStyle w:val="Heading2"/>
        <w:rPr>
          <w:rFonts w:cs="Arial"/>
          <w:lang w:eastAsia="en-AU"/>
        </w:rPr>
      </w:pPr>
      <w:bookmarkStart w:id="522" w:name="_Toc478991877"/>
      <w:bookmarkStart w:id="523" w:name="_Toc478992432"/>
      <w:bookmarkStart w:id="524" w:name="_Toc478992905"/>
      <w:bookmarkStart w:id="525" w:name="_Toc4142099"/>
      <w:r w:rsidRPr="00276391">
        <w:rPr>
          <w:rFonts w:cs="Arial"/>
          <w:lang w:eastAsia="en-AU"/>
        </w:rPr>
        <w:t>3.20</w:t>
      </w:r>
      <w:r w:rsidR="009B2351" w:rsidRPr="00276391">
        <w:rPr>
          <w:rFonts w:cs="Arial"/>
          <w:lang w:eastAsia="en-AU"/>
        </w:rPr>
        <w:t xml:space="preserve"> </w:t>
      </w:r>
      <w:r w:rsidRPr="00276391">
        <w:rPr>
          <w:rFonts w:cs="Arial"/>
          <w:lang w:eastAsia="en-AU"/>
        </w:rPr>
        <w:t>Insurance</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risk</w:t>
      </w:r>
      <w:r w:rsidR="009B2351" w:rsidRPr="00276391">
        <w:rPr>
          <w:rFonts w:cs="Arial"/>
          <w:lang w:eastAsia="en-AU"/>
        </w:rPr>
        <w:t xml:space="preserve"> </w:t>
      </w:r>
      <w:r w:rsidRPr="00276391">
        <w:rPr>
          <w:rFonts w:cs="Arial"/>
          <w:lang w:eastAsia="en-AU"/>
        </w:rPr>
        <w:t>management</w:t>
      </w:r>
      <w:bookmarkEnd w:id="522"/>
      <w:bookmarkEnd w:id="523"/>
      <w:bookmarkEnd w:id="524"/>
      <w:bookmarkEnd w:id="525"/>
    </w:p>
    <w:p w14:paraId="6F6A53F7" w14:textId="77777777" w:rsidR="00236748" w:rsidRPr="00276391" w:rsidRDefault="00236748" w:rsidP="00067E93">
      <w:pPr>
        <w:pStyle w:val="Heading3"/>
        <w:rPr>
          <w:lang w:eastAsia="en-AU"/>
        </w:rPr>
      </w:pPr>
      <w:bookmarkStart w:id="526" w:name="_Toc478991878"/>
      <w:bookmarkStart w:id="527" w:name="_Toc478992433"/>
      <w:bookmarkStart w:id="528" w:name="_Toc4142100"/>
      <w:r w:rsidRPr="00276391">
        <w:rPr>
          <w:lang w:eastAsia="en-AU"/>
        </w:rPr>
        <w:t>3.20.1</w:t>
      </w:r>
      <w:r w:rsidR="009B2351" w:rsidRPr="00276391">
        <w:rPr>
          <w:lang w:eastAsia="en-AU"/>
        </w:rPr>
        <w:t xml:space="preserve"> </w:t>
      </w:r>
      <w:r w:rsidRPr="00276391">
        <w:rPr>
          <w:lang w:eastAsia="en-AU"/>
        </w:rPr>
        <w:t>Insurance</w:t>
      </w:r>
      <w:bookmarkEnd w:id="526"/>
      <w:bookmarkEnd w:id="527"/>
      <w:bookmarkEnd w:id="528"/>
    </w:p>
    <w:p w14:paraId="5D2423AA" w14:textId="3CF42986"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operations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p>
    <w:p w14:paraId="6D21B542" w14:textId="77777777" w:rsidR="00225863" w:rsidRDefault="00236748" w:rsidP="00225863">
      <w:pPr>
        <w:pStyle w:val="DHHSbullet1"/>
        <w:numPr>
          <w:ilvl w:val="0"/>
          <w:numId w:val="11"/>
        </w:numPr>
        <w:ind w:left="284" w:hanging="284"/>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Victorian</w:t>
      </w:r>
      <w:r w:rsidR="005D5532" w:rsidRPr="00276391">
        <w:rPr>
          <w:rFonts w:cs="Arial"/>
          <w:lang w:eastAsia="en-AU"/>
        </w:rPr>
        <w:t xml:space="preserve"> </w:t>
      </w:r>
      <w:r w:rsidRPr="00276391">
        <w:rPr>
          <w:rFonts w:cs="Arial"/>
          <w:lang w:eastAsia="en-AU"/>
        </w:rPr>
        <w:t>Managed</w:t>
      </w:r>
      <w:r w:rsidR="005D5532" w:rsidRPr="00276391">
        <w:rPr>
          <w:rFonts w:cs="Arial"/>
          <w:lang w:eastAsia="en-AU"/>
        </w:rPr>
        <w:t xml:space="preserve"> </w:t>
      </w:r>
      <w:r w:rsidRPr="00276391">
        <w:rPr>
          <w:rFonts w:cs="Arial"/>
          <w:lang w:eastAsia="en-AU"/>
        </w:rPr>
        <w:t>Insurance</w:t>
      </w:r>
      <w:r w:rsidR="005D5532" w:rsidRPr="00276391">
        <w:rPr>
          <w:rFonts w:cs="Arial"/>
          <w:lang w:eastAsia="en-AU"/>
        </w:rPr>
        <w:t xml:space="preserve"> </w:t>
      </w:r>
      <w:r w:rsidRPr="00276391">
        <w:rPr>
          <w:rFonts w:cs="Arial"/>
          <w:lang w:eastAsia="en-AU"/>
        </w:rPr>
        <w:t>Authority</w:t>
      </w:r>
      <w:r w:rsidR="005D5532" w:rsidRPr="00276391">
        <w:rPr>
          <w:rFonts w:cs="Arial"/>
          <w:lang w:eastAsia="en-AU"/>
        </w:rPr>
        <w:t xml:space="preserve"> </w:t>
      </w:r>
      <w:r w:rsidRPr="00276391">
        <w:rPr>
          <w:rFonts w:cs="Arial"/>
          <w:lang w:eastAsia="en-AU"/>
        </w:rPr>
        <w:t>(see</w:t>
      </w:r>
      <w:r w:rsidR="005D5532" w:rsidRPr="00276391">
        <w:rPr>
          <w:rFonts w:cs="Arial"/>
          <w:lang w:eastAsia="en-AU"/>
        </w:rPr>
        <w:t xml:space="preserve"> </w:t>
      </w:r>
      <w:r w:rsidRPr="00276391">
        <w:rPr>
          <w:rFonts w:cs="Arial"/>
          <w:lang w:eastAsia="en-AU"/>
        </w:rPr>
        <w:t>below)</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Council</w:t>
      </w:r>
      <w:r w:rsidR="005D5532" w:rsidRPr="00276391">
        <w:rPr>
          <w:rFonts w:cs="Arial"/>
          <w:lang w:eastAsia="en-AU"/>
        </w:rPr>
        <w:t xml:space="preserve"> </w:t>
      </w:r>
      <w:r w:rsidRPr="00276391">
        <w:rPr>
          <w:rFonts w:cs="Arial"/>
          <w:lang w:eastAsia="en-AU"/>
        </w:rPr>
        <w:t>within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meaning</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Act</w:t>
      </w:r>
      <w:r w:rsidR="005D5532" w:rsidRPr="00276391">
        <w:rPr>
          <w:rFonts w:cs="Arial"/>
          <w:lang w:eastAsia="en-AU"/>
        </w:rPr>
        <w:t xml:space="preserve"> </w:t>
      </w:r>
      <w:r w:rsidRPr="00276391">
        <w:rPr>
          <w:rFonts w:cs="Arial"/>
          <w:lang w:eastAsia="en-AU"/>
        </w:rPr>
        <w:t>1989</w:t>
      </w:r>
      <w:r w:rsidR="005D5532" w:rsidRPr="00276391">
        <w:rPr>
          <w:rFonts w:cs="Arial"/>
          <w:lang w:eastAsia="en-AU"/>
        </w:rPr>
        <w:t xml:space="preserve"> </w:t>
      </w:r>
      <w:r w:rsidRPr="00276391">
        <w:rPr>
          <w:rFonts w:cs="Arial"/>
          <w:lang w:eastAsia="en-AU"/>
        </w:rPr>
        <w:t>(Vic),</w:t>
      </w:r>
      <w:r w:rsidR="005D5532" w:rsidRPr="00276391">
        <w:rPr>
          <w:rFonts w:cs="Arial"/>
          <w:lang w:eastAsia="en-AU"/>
        </w:rPr>
        <w:t xml:space="preserve"> </w:t>
      </w:r>
      <w:r w:rsidRPr="00276391">
        <w:rPr>
          <w:rFonts w:cs="Arial"/>
          <w:lang w:eastAsia="en-AU"/>
        </w:rPr>
        <w:t>Liability</w:t>
      </w:r>
      <w:r w:rsidR="005D5532" w:rsidRPr="00276391">
        <w:rPr>
          <w:rFonts w:cs="Arial"/>
          <w:lang w:eastAsia="en-AU"/>
        </w:rPr>
        <w:t xml:space="preserve"> </w:t>
      </w:r>
      <w:r w:rsidRPr="00276391">
        <w:rPr>
          <w:rFonts w:cs="Arial"/>
          <w:lang w:eastAsia="en-AU"/>
        </w:rPr>
        <w:t>Mutual</w:t>
      </w:r>
      <w:r w:rsidR="005D5532" w:rsidRPr="00276391">
        <w:rPr>
          <w:rFonts w:cs="Arial"/>
          <w:lang w:eastAsia="en-AU"/>
        </w:rPr>
        <w:t xml:space="preserve"> </w:t>
      </w:r>
      <w:r w:rsidRPr="00276391">
        <w:rPr>
          <w:rFonts w:cs="Arial"/>
          <w:lang w:eastAsia="en-AU"/>
        </w:rPr>
        <w:t>Insurance;</w:t>
      </w:r>
      <w:r w:rsidR="005D5532" w:rsidRPr="00276391">
        <w:rPr>
          <w:rFonts w:cs="Arial"/>
          <w:lang w:eastAsia="en-AU"/>
        </w:rPr>
        <w:t xml:space="preserve"> </w:t>
      </w:r>
      <w:r w:rsidR="00225863">
        <w:rPr>
          <w:rFonts w:cs="Arial"/>
          <w:lang w:eastAsia="en-AU"/>
        </w:rPr>
        <w:t>or</w:t>
      </w:r>
    </w:p>
    <w:p w14:paraId="7AB97615" w14:textId="255E09E9" w:rsidR="00225863" w:rsidRDefault="00236748" w:rsidP="00225863">
      <w:pPr>
        <w:pStyle w:val="DHHSbullet1"/>
        <w:numPr>
          <w:ilvl w:val="0"/>
          <w:numId w:val="11"/>
        </w:numPr>
        <w:ind w:left="284" w:hanging="284"/>
        <w:rPr>
          <w:rFonts w:cs="Arial"/>
          <w:lang w:eastAsia="en-AU"/>
        </w:rPr>
      </w:pPr>
      <w:r w:rsidRPr="001A0795">
        <w:rPr>
          <w:rFonts w:cs="Arial"/>
          <w:lang w:eastAsia="en-AU"/>
        </w:rPr>
        <w:t>an</w:t>
      </w:r>
      <w:r w:rsidR="005D5532" w:rsidRPr="001A0795">
        <w:rPr>
          <w:rFonts w:cs="Arial"/>
          <w:lang w:eastAsia="en-AU"/>
        </w:rPr>
        <w:t xml:space="preserve"> </w:t>
      </w:r>
      <w:r w:rsidRPr="001A0795">
        <w:rPr>
          <w:rFonts w:cs="Arial"/>
          <w:lang w:eastAsia="en-AU"/>
        </w:rPr>
        <w:t>insurer</w:t>
      </w:r>
      <w:r w:rsidR="005D5532" w:rsidRPr="001A0795">
        <w:rPr>
          <w:rFonts w:cs="Arial"/>
          <w:lang w:eastAsia="en-AU"/>
        </w:rPr>
        <w:t xml:space="preserve"> </w:t>
      </w:r>
      <w:r w:rsidRPr="001A0795">
        <w:rPr>
          <w:rFonts w:cs="Arial"/>
          <w:lang w:eastAsia="en-AU"/>
        </w:rPr>
        <w:t>authorised</w:t>
      </w:r>
      <w:r w:rsidR="005D5532" w:rsidRPr="001A0795">
        <w:rPr>
          <w:rFonts w:cs="Arial"/>
          <w:lang w:eastAsia="en-AU"/>
        </w:rPr>
        <w:t xml:space="preserve"> </w:t>
      </w:r>
      <w:r w:rsidRPr="001A0795">
        <w:rPr>
          <w:rFonts w:cs="Arial"/>
          <w:lang w:eastAsia="en-AU"/>
        </w:rPr>
        <w:t>under</w:t>
      </w:r>
      <w:r w:rsidR="005D5532" w:rsidRPr="001A0795">
        <w:rPr>
          <w:rFonts w:cs="Arial"/>
          <w:lang w:eastAsia="en-AU"/>
        </w:rPr>
        <w:t xml:space="preserve"> </w:t>
      </w:r>
      <w:r w:rsidRPr="001A0795">
        <w:rPr>
          <w:rFonts w:cs="Arial"/>
          <w:lang w:eastAsia="en-AU"/>
        </w:rPr>
        <w:t>the</w:t>
      </w:r>
      <w:r w:rsidR="005D5532" w:rsidRPr="001A0795">
        <w:rPr>
          <w:rFonts w:cs="Arial"/>
          <w:lang w:eastAsia="en-AU"/>
        </w:rPr>
        <w:t xml:space="preserve"> </w:t>
      </w:r>
      <w:hyperlink r:id="rId133" w:tgtFrame="_blank" w:history="1">
        <w:r w:rsidRPr="00986D1E">
          <w:rPr>
            <w:rStyle w:val="Hyperlink"/>
          </w:rPr>
          <w:t>Insurance</w:t>
        </w:r>
        <w:r w:rsidR="005D5532" w:rsidRPr="00986D1E">
          <w:rPr>
            <w:rStyle w:val="Hyperlink"/>
          </w:rPr>
          <w:t xml:space="preserve"> </w:t>
        </w:r>
        <w:r w:rsidRPr="00986D1E">
          <w:rPr>
            <w:rStyle w:val="Hyperlink"/>
          </w:rPr>
          <w:t>Act</w:t>
        </w:r>
        <w:r w:rsidR="005D5532" w:rsidRPr="00986D1E">
          <w:rPr>
            <w:rStyle w:val="Hyperlink"/>
          </w:rPr>
          <w:t xml:space="preserve"> </w:t>
        </w:r>
        <w:r w:rsidRPr="00986D1E">
          <w:rPr>
            <w:rStyle w:val="Hyperlink"/>
          </w:rPr>
          <w:t>1973</w:t>
        </w:r>
        <w:r w:rsidR="005D5532" w:rsidRPr="00986D1E">
          <w:rPr>
            <w:rStyle w:val="Hyperlink"/>
          </w:rPr>
          <w:t xml:space="preserve"> </w:t>
        </w:r>
        <w:r w:rsidRPr="00986D1E">
          <w:rPr>
            <w:rStyle w:val="Hyperlink"/>
          </w:rPr>
          <w:t>(Cth)</w:t>
        </w:r>
      </w:hyperlink>
      <w:r w:rsidR="00316AC2">
        <w:rPr>
          <w:rFonts w:cs="Arial"/>
          <w:lang w:eastAsia="en-AU"/>
        </w:rPr>
        <w:t xml:space="preserve"> &lt;</w:t>
      </w:r>
      <w:r w:rsidR="00316AC2" w:rsidRPr="00316AC2">
        <w:rPr>
          <w:rFonts w:cs="Arial"/>
          <w:lang w:eastAsia="en-AU"/>
        </w:rPr>
        <w:t>https://www.legislation.gov.au/Series/C1973A00076</w:t>
      </w:r>
      <w:r w:rsidR="00316AC2">
        <w:rPr>
          <w:rFonts w:cs="Arial"/>
          <w:lang w:eastAsia="en-AU"/>
        </w:rPr>
        <w:t>&gt;</w:t>
      </w:r>
      <w:r w:rsidR="00316AC2" w:rsidRPr="00316AC2">
        <w:rPr>
          <w:rFonts w:cs="Arial"/>
          <w:lang w:eastAsia="en-AU"/>
        </w:rPr>
        <w:t xml:space="preserve"> </w:t>
      </w:r>
      <w:r w:rsidRPr="001A0795">
        <w:rPr>
          <w:rFonts w:cs="Arial"/>
          <w:lang w:eastAsia="en-AU"/>
        </w:rPr>
        <w:t>(external</w:t>
      </w:r>
      <w:r w:rsidR="005D5532" w:rsidRPr="001A0795">
        <w:rPr>
          <w:rFonts w:cs="Arial"/>
          <w:lang w:eastAsia="en-AU"/>
        </w:rPr>
        <w:t xml:space="preserve"> </w:t>
      </w:r>
      <w:r w:rsidRPr="001A0795">
        <w:rPr>
          <w:rFonts w:cs="Arial"/>
          <w:lang w:eastAsia="en-AU"/>
        </w:rPr>
        <w:t>link,</w:t>
      </w:r>
      <w:r w:rsidR="005D5532" w:rsidRPr="001A0795">
        <w:rPr>
          <w:rFonts w:cs="Arial"/>
          <w:lang w:eastAsia="en-AU"/>
        </w:rPr>
        <w:t xml:space="preserve"> </w:t>
      </w:r>
      <w:r w:rsidRPr="001A0795">
        <w:rPr>
          <w:rFonts w:cs="Arial"/>
          <w:lang w:eastAsia="en-AU"/>
        </w:rPr>
        <w:t>opens</w:t>
      </w:r>
      <w:r w:rsidR="005D5532" w:rsidRPr="001A0795">
        <w:rPr>
          <w:rFonts w:cs="Arial"/>
          <w:lang w:eastAsia="en-AU"/>
        </w:rPr>
        <w:t xml:space="preserve"> </w:t>
      </w:r>
      <w:r w:rsidRPr="001A0795">
        <w:rPr>
          <w:rFonts w:cs="Arial"/>
          <w:lang w:eastAsia="en-AU"/>
        </w:rPr>
        <w:t>in</w:t>
      </w:r>
      <w:r w:rsidR="005D5532" w:rsidRPr="001A0795">
        <w:rPr>
          <w:rFonts w:cs="Arial"/>
          <w:lang w:eastAsia="en-AU"/>
        </w:rPr>
        <w:t xml:space="preserve"> </w:t>
      </w:r>
      <w:r w:rsidRPr="001A0795">
        <w:rPr>
          <w:rFonts w:cs="Arial"/>
          <w:lang w:eastAsia="en-AU"/>
        </w:rPr>
        <w:t>a</w:t>
      </w:r>
      <w:r w:rsidR="005D5532" w:rsidRPr="001A0795">
        <w:rPr>
          <w:rFonts w:cs="Arial"/>
          <w:lang w:eastAsia="en-AU"/>
        </w:rPr>
        <w:t xml:space="preserve"> </w:t>
      </w:r>
      <w:r w:rsidRPr="001A0795">
        <w:rPr>
          <w:rFonts w:cs="Arial"/>
          <w:lang w:eastAsia="en-AU"/>
        </w:rPr>
        <w:t>new</w:t>
      </w:r>
      <w:r w:rsidR="005D5532" w:rsidRPr="001A0795">
        <w:rPr>
          <w:rFonts w:cs="Arial"/>
          <w:lang w:eastAsia="en-AU"/>
        </w:rPr>
        <w:t xml:space="preserve"> </w:t>
      </w:r>
      <w:r w:rsidR="00225863">
        <w:rPr>
          <w:rFonts w:cs="Arial"/>
          <w:lang w:eastAsia="en-AU"/>
        </w:rPr>
        <w:t>window) or</w:t>
      </w:r>
    </w:p>
    <w:p w14:paraId="4E791131" w14:textId="37F3F72B" w:rsidR="00236748" w:rsidRPr="00276391" w:rsidRDefault="00236748" w:rsidP="00225863">
      <w:pPr>
        <w:pStyle w:val="DHHSbullet1"/>
        <w:numPr>
          <w:ilvl w:val="0"/>
          <w:numId w:val="11"/>
        </w:numPr>
        <w:ind w:left="284" w:hanging="284"/>
        <w:rPr>
          <w:rFonts w:cs="Arial"/>
          <w:lang w:eastAsia="en-AU"/>
        </w:rPr>
      </w:pPr>
      <w:r w:rsidRPr="00276391">
        <w:rPr>
          <w:rFonts w:cs="Arial"/>
          <w:lang w:eastAsia="en-AU"/>
        </w:rPr>
        <w:t>an</w:t>
      </w:r>
      <w:r w:rsidR="005D5532" w:rsidRPr="00276391">
        <w:rPr>
          <w:rFonts w:cs="Arial"/>
          <w:lang w:eastAsia="en-AU"/>
        </w:rPr>
        <w:t xml:space="preserve"> </w:t>
      </w:r>
      <w:r w:rsidRPr="00276391">
        <w:rPr>
          <w:rFonts w:cs="Arial"/>
          <w:lang w:eastAsia="en-AU"/>
        </w:rPr>
        <w:t>insurer</w:t>
      </w:r>
      <w:r w:rsidR="005D5532" w:rsidRPr="00276391">
        <w:rPr>
          <w:rFonts w:cs="Arial"/>
          <w:lang w:eastAsia="en-AU"/>
        </w:rPr>
        <w:t xml:space="preserve"> </w:t>
      </w:r>
      <w:r w:rsidRPr="00276391">
        <w:rPr>
          <w:rFonts w:cs="Arial"/>
          <w:lang w:eastAsia="en-AU"/>
        </w:rPr>
        <w:t>approved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writing</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p>
    <w:p w14:paraId="159555E0" w14:textId="0E9544CB" w:rsidR="00054330" w:rsidRDefault="00236748" w:rsidP="00276391">
      <w:pPr>
        <w:pStyle w:val="DHHSbody"/>
        <w:rPr>
          <w:rFonts w:cs="Arial"/>
          <w:color w:val="000000"/>
          <w:szCs w:val="19"/>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appropriate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coverage</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maintained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term,</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underwritten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‘claims</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basis,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coverage</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maintained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no</w:t>
      </w:r>
      <w:r w:rsidR="005D5532" w:rsidRPr="00B24C02">
        <w:rPr>
          <w:rFonts w:cs="Arial"/>
          <w:color w:val="000000"/>
          <w:szCs w:val="19"/>
          <w:lang w:eastAsia="en-AU"/>
        </w:rPr>
        <w:t xml:space="preserve"> </w:t>
      </w:r>
      <w:r w:rsidRPr="00B24C02">
        <w:rPr>
          <w:rFonts w:cs="Arial"/>
          <w:color w:val="000000"/>
          <w:szCs w:val="19"/>
          <w:lang w:eastAsia="en-AU"/>
        </w:rPr>
        <w:t>less</w:t>
      </w:r>
      <w:r w:rsidR="005D5532" w:rsidRPr="00B24C02">
        <w:rPr>
          <w:rFonts w:cs="Arial"/>
          <w:color w:val="000000"/>
          <w:szCs w:val="19"/>
          <w:lang w:eastAsia="en-AU"/>
        </w:rPr>
        <w:t xml:space="preserve"> </w:t>
      </w:r>
      <w:r w:rsidRPr="00B24C02">
        <w:rPr>
          <w:rFonts w:cs="Arial"/>
          <w:color w:val="000000"/>
          <w:szCs w:val="19"/>
          <w:lang w:eastAsia="en-AU"/>
        </w:rPr>
        <w:t>than</w:t>
      </w:r>
      <w:r w:rsidR="005D5532" w:rsidRPr="00B24C02">
        <w:rPr>
          <w:rFonts w:cs="Arial"/>
          <w:color w:val="000000"/>
          <w:szCs w:val="19"/>
          <w:lang w:eastAsia="en-AU"/>
        </w:rPr>
        <w:t xml:space="preserve"> </w:t>
      </w:r>
      <w:r w:rsidRPr="00B24C02">
        <w:rPr>
          <w:rFonts w:cs="Arial"/>
          <w:color w:val="000000"/>
          <w:szCs w:val="19"/>
          <w:lang w:eastAsia="en-AU"/>
        </w:rPr>
        <w:t>six</w:t>
      </w:r>
      <w:r w:rsidR="005D5532" w:rsidRPr="00B24C02">
        <w:rPr>
          <w:rFonts w:cs="Arial"/>
          <w:color w:val="000000"/>
          <w:szCs w:val="19"/>
          <w:lang w:eastAsia="en-AU"/>
        </w:rPr>
        <w:t xml:space="preserve"> </w:t>
      </w:r>
      <w:r w:rsidRPr="00B24C02">
        <w:rPr>
          <w:rFonts w:cs="Arial"/>
          <w:color w:val="000000"/>
          <w:szCs w:val="19"/>
          <w:lang w:eastAsia="en-AU"/>
        </w:rPr>
        <w:t>years</w:t>
      </w:r>
      <w:r w:rsidR="005D5532" w:rsidRPr="00B24C02">
        <w:rPr>
          <w:rFonts w:cs="Arial"/>
          <w:color w:val="000000"/>
          <w:szCs w:val="19"/>
          <w:lang w:eastAsia="en-AU"/>
        </w:rPr>
        <w:t xml:space="preserve"> </w:t>
      </w:r>
      <w:r w:rsidRPr="00B24C02">
        <w:rPr>
          <w:rFonts w:cs="Arial"/>
          <w:color w:val="000000"/>
          <w:szCs w:val="19"/>
          <w:lang w:eastAsia="en-AU"/>
        </w:rPr>
        <w:t>after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completion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1D0C3A62"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request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proof</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cover.</w:t>
      </w:r>
    </w:p>
    <w:p w14:paraId="79288A6E" w14:textId="77777777" w:rsidR="00236748" w:rsidRPr="00276391" w:rsidRDefault="00236748" w:rsidP="00276391">
      <w:pPr>
        <w:pStyle w:val="DHHSbody"/>
        <w:rPr>
          <w:lang w:eastAsia="en-AU"/>
        </w:rPr>
      </w:pPr>
      <w:r w:rsidRPr="00276391">
        <w:rPr>
          <w:lang w:eastAsia="en-AU"/>
        </w:rPr>
        <w:lastRenderedPageBreak/>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undertake</w:t>
      </w:r>
      <w:r w:rsidR="005D5532" w:rsidRPr="00276391">
        <w:rPr>
          <w:lang w:eastAsia="en-AU"/>
        </w:rPr>
        <w:t xml:space="preserve"> </w:t>
      </w:r>
      <w:r w:rsidRPr="00276391">
        <w:rPr>
          <w:lang w:eastAsia="en-AU"/>
        </w:rPr>
        <w:t>periodic</w:t>
      </w:r>
      <w:r w:rsidR="005D5532" w:rsidRPr="00276391">
        <w:rPr>
          <w:lang w:eastAsia="en-AU"/>
        </w:rPr>
        <w:t xml:space="preserve"> </w:t>
      </w:r>
      <w:r w:rsidRPr="00276391">
        <w:rPr>
          <w:lang w:eastAsia="en-AU"/>
        </w:rPr>
        <w:t>reviews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sure</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operational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appropriately</w:t>
      </w:r>
      <w:r w:rsidR="005D5532" w:rsidRPr="00276391">
        <w:rPr>
          <w:lang w:eastAsia="en-AU"/>
        </w:rPr>
        <w:t xml:space="preserve"> </w:t>
      </w:r>
      <w:r w:rsidRPr="00276391">
        <w:rPr>
          <w:lang w:eastAsia="en-AU"/>
        </w:rPr>
        <w:t>insured,</w:t>
      </w:r>
      <w:r w:rsidR="005D5532" w:rsidRPr="00276391">
        <w:rPr>
          <w:lang w:eastAsia="en-AU"/>
        </w:rPr>
        <w:t xml:space="preserve"> </w:t>
      </w:r>
      <w:r w:rsidRPr="00276391">
        <w:rPr>
          <w:lang w:eastAsia="en-AU"/>
        </w:rPr>
        <w:t>particularly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relation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products</w:t>
      </w:r>
      <w:r w:rsidR="005D5532" w:rsidRPr="00276391">
        <w:rPr>
          <w:lang w:eastAsia="en-AU"/>
        </w:rPr>
        <w:t xml:space="preserve"> </w:t>
      </w:r>
      <w:r w:rsidRPr="00276391">
        <w:rPr>
          <w:lang w:eastAsia="en-AU"/>
        </w:rPr>
        <w:t>liability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professional</w:t>
      </w:r>
      <w:r w:rsidR="005D5532" w:rsidRPr="00276391">
        <w:rPr>
          <w:lang w:eastAsia="en-AU"/>
        </w:rPr>
        <w:t xml:space="preserve"> </w:t>
      </w:r>
      <w:r w:rsidRPr="00276391">
        <w:rPr>
          <w:lang w:eastAsia="en-AU"/>
        </w:rPr>
        <w:t>indemnity</w:t>
      </w:r>
      <w:r w:rsidR="005D5532" w:rsidRPr="00276391">
        <w:rPr>
          <w:lang w:eastAsia="en-AU"/>
        </w:rPr>
        <w:t xml:space="preserve"> </w:t>
      </w:r>
      <w:r w:rsidRPr="00276391">
        <w:rPr>
          <w:lang w:eastAsia="en-AU"/>
        </w:rPr>
        <w:t>risks.</w:t>
      </w:r>
    </w:p>
    <w:p w14:paraId="23538D15" w14:textId="77777777" w:rsidR="00236748" w:rsidRPr="00276391" w:rsidRDefault="00236748" w:rsidP="00067E93">
      <w:pPr>
        <w:pStyle w:val="Heading4"/>
        <w:rPr>
          <w:lang w:eastAsia="en-AU"/>
        </w:rPr>
      </w:pPr>
      <w:bookmarkStart w:id="529" w:name="_Toc478991879"/>
      <w:r w:rsidRPr="00276391">
        <w:rPr>
          <w:lang w:eastAsia="en-AU"/>
        </w:rPr>
        <w:t>Victorian</w:t>
      </w:r>
      <w:r w:rsidR="005D5532" w:rsidRPr="00276391">
        <w:rPr>
          <w:lang w:eastAsia="en-AU"/>
        </w:rPr>
        <w:t xml:space="preserve"> </w:t>
      </w:r>
      <w:r w:rsidRPr="00276391">
        <w:rPr>
          <w:lang w:eastAsia="en-AU"/>
        </w:rPr>
        <w:t>Managed</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Authority</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policies</w:t>
      </w:r>
      <w:bookmarkEnd w:id="529"/>
    </w:p>
    <w:p w14:paraId="5758207D" w14:textId="43B17884"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significant</w:t>
      </w:r>
      <w:r w:rsidR="005D5532" w:rsidRPr="00B24C02">
        <w:rPr>
          <w:rFonts w:cs="Arial"/>
          <w:color w:val="000000"/>
          <w:szCs w:val="19"/>
          <w:lang w:eastAsia="en-AU"/>
        </w:rPr>
        <w:t xml:space="preserve"> </w:t>
      </w:r>
      <w:r w:rsidRPr="00B24C02">
        <w:rPr>
          <w:rFonts w:cs="Arial"/>
          <w:color w:val="000000"/>
          <w:szCs w:val="19"/>
          <w:lang w:eastAsia="en-AU"/>
        </w:rPr>
        <w:t>majority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covered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either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two</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arranged</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p>
    <w:p w14:paraId="6AE34EA6" w14:textId="77777777" w:rsidR="00236748" w:rsidRPr="00276391" w:rsidRDefault="00236748" w:rsidP="00276391">
      <w:pPr>
        <w:pStyle w:val="DHHSbullet1"/>
        <w:rPr>
          <w:rFonts w:cs="Arial"/>
          <w:lang w:eastAsia="en-AU"/>
        </w:rPr>
      </w:pPr>
      <w:r w:rsidRPr="00276391">
        <w:rPr>
          <w:rFonts w:cs="Arial"/>
          <w:lang w:eastAsia="en-AU"/>
        </w:rPr>
        <w:t>Public</w:t>
      </w:r>
      <w:r w:rsidR="005D5532" w:rsidRPr="00276391">
        <w:rPr>
          <w:rFonts w:cs="Arial"/>
          <w:lang w:eastAsia="en-AU"/>
        </w:rPr>
        <w:t xml:space="preserve"> </w:t>
      </w:r>
      <w:r w:rsidRPr="00276391">
        <w:rPr>
          <w:rFonts w:cs="Arial"/>
          <w:lang w:eastAsia="en-AU"/>
        </w:rPr>
        <w:t>Healthcare</w:t>
      </w:r>
      <w:r w:rsidR="005D5532" w:rsidRPr="00276391">
        <w:rPr>
          <w:rFonts w:cs="Arial"/>
          <w:lang w:eastAsia="en-AU"/>
        </w:rPr>
        <w:t xml:space="preserve"> </w:t>
      </w:r>
      <w:r w:rsidRPr="00276391">
        <w:rPr>
          <w:rFonts w:cs="Arial"/>
          <w:lang w:eastAsia="en-AU"/>
        </w:rPr>
        <w:t>Insurance</w:t>
      </w:r>
      <w:r w:rsidR="005D5532" w:rsidRPr="00276391">
        <w:rPr>
          <w:rFonts w:cs="Arial"/>
          <w:lang w:eastAsia="en-AU"/>
        </w:rPr>
        <w:t xml:space="preserve"> </w:t>
      </w:r>
      <w:r w:rsidRPr="00276391">
        <w:rPr>
          <w:rFonts w:cs="Arial"/>
          <w:lang w:eastAsia="en-AU"/>
        </w:rPr>
        <w:t>Program</w:t>
      </w:r>
      <w:r w:rsidR="005D5532" w:rsidRPr="00276391">
        <w:rPr>
          <w:rFonts w:cs="Arial"/>
          <w:lang w:eastAsia="en-AU"/>
        </w:rPr>
        <w:t xml:space="preserve"> </w:t>
      </w:r>
    </w:p>
    <w:p w14:paraId="2D4D1E15" w14:textId="77777777" w:rsidR="00236748" w:rsidRPr="00276391" w:rsidRDefault="00236748" w:rsidP="00276391">
      <w:pPr>
        <w:pStyle w:val="DHHSbullet1"/>
        <w:rPr>
          <w:rFonts w:cs="Arial"/>
          <w:lang w:eastAsia="en-AU"/>
        </w:rPr>
      </w:pPr>
      <w:r w:rsidRPr="00276391">
        <w:rPr>
          <w:rFonts w:cs="Arial"/>
          <w:lang w:eastAsia="en-AU"/>
        </w:rPr>
        <w:t>Community</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r w:rsidRPr="00276391">
        <w:rPr>
          <w:rFonts w:cs="Arial"/>
          <w:lang w:eastAsia="en-AU"/>
        </w:rPr>
        <w:t>Insurance</w:t>
      </w:r>
      <w:r w:rsidR="005D5532" w:rsidRPr="00276391">
        <w:rPr>
          <w:rFonts w:cs="Arial"/>
          <w:lang w:eastAsia="en-AU"/>
        </w:rPr>
        <w:t xml:space="preserve"> </w:t>
      </w:r>
      <w:r w:rsidRPr="00276391">
        <w:rPr>
          <w:rFonts w:cs="Arial"/>
          <w:lang w:eastAsia="en-AU"/>
        </w:rPr>
        <w:t>Program.</w:t>
      </w:r>
      <w:r w:rsidR="005D5532" w:rsidRPr="00276391">
        <w:rPr>
          <w:rFonts w:cs="Arial"/>
          <w:lang w:eastAsia="en-AU"/>
        </w:rPr>
        <w:t xml:space="preserve"> </w:t>
      </w:r>
    </w:p>
    <w:p w14:paraId="0287D523" w14:textId="17C74ACB"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insurer</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both</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Managed</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Authority</w:t>
      </w:r>
      <w:r w:rsidR="005D5532" w:rsidRPr="00B24C02">
        <w:rPr>
          <w:rFonts w:cs="Arial"/>
          <w:color w:val="000000"/>
          <w:szCs w:val="19"/>
          <w:lang w:eastAsia="en-AU"/>
        </w:rPr>
        <w:t xml:space="preserve"> </w:t>
      </w:r>
      <w:r w:rsidRPr="00B24C02">
        <w:rPr>
          <w:rFonts w:cs="Arial"/>
          <w:color w:val="000000"/>
          <w:szCs w:val="19"/>
          <w:lang w:eastAsia="en-AU"/>
        </w:rPr>
        <w:t>(VMIA)</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viewed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134" w:tgtFrame="_blank" w:history="1">
        <w:r w:rsidRPr="00986D1E">
          <w:rPr>
            <w:rStyle w:val="Hyperlink"/>
          </w:rPr>
          <w:t>VMIA</w:t>
        </w:r>
        <w:r w:rsidR="005D5532" w:rsidRPr="00986D1E">
          <w:rPr>
            <w:rStyle w:val="Hyperlink"/>
          </w:rPr>
          <w:t xml:space="preserve"> </w:t>
        </w:r>
        <w:r w:rsidRPr="00986D1E">
          <w:rPr>
            <w:rStyle w:val="Hyperlink"/>
          </w:rPr>
          <w:t>website</w:t>
        </w:r>
      </w:hyperlink>
      <w:r w:rsidR="005D5532" w:rsidRPr="00B24C02">
        <w:rPr>
          <w:rFonts w:cs="Arial"/>
          <w:color w:val="000000"/>
          <w:szCs w:val="19"/>
          <w:lang w:eastAsia="en-AU"/>
        </w:rPr>
        <w:t xml:space="preserve"> </w:t>
      </w:r>
      <w:r w:rsidR="003B4928">
        <w:rPr>
          <w:rFonts w:cs="Arial"/>
          <w:color w:val="000000"/>
          <w:szCs w:val="19"/>
          <w:lang w:eastAsia="en-AU"/>
        </w:rPr>
        <w:t>&lt;</w:t>
      </w:r>
      <w:r w:rsidR="005C57F1" w:rsidRPr="005C57F1">
        <w:rPr>
          <w:rFonts w:cs="Arial"/>
          <w:color w:val="000000"/>
          <w:szCs w:val="19"/>
          <w:lang w:eastAsia="en-AU"/>
        </w:rPr>
        <w:t>https://www.vmia.vic.gov.au/</w:t>
      </w:r>
      <w:r w:rsidR="003B4928">
        <w:rPr>
          <w:rFonts w:cs="Arial"/>
          <w:color w:val="000000"/>
          <w:szCs w:val="19"/>
          <w:lang w:eastAsia="en-AU"/>
        </w:rPr>
        <w:t>&gt;</w:t>
      </w:r>
      <w:r w:rsidR="003B4928" w:rsidRPr="003B4928">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p>
    <w:p w14:paraId="30085A76" w14:textId="2A5550EB"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entering</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new</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notified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VMIA</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coverage</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VMIA</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send</w:t>
      </w:r>
      <w:r w:rsidR="005D5532" w:rsidRPr="00276391">
        <w:rPr>
          <w:lang w:eastAsia="en-AU"/>
        </w:rPr>
        <w:t xml:space="preserve"> </w:t>
      </w:r>
      <w:r w:rsidRPr="00276391">
        <w:rPr>
          <w:lang w:eastAsia="en-AU"/>
        </w:rPr>
        <w:t>confirmation</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documentation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certificates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currency.</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indicating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coverage</w:t>
      </w:r>
      <w:r w:rsidR="005D5532" w:rsidRPr="00276391">
        <w:rPr>
          <w:lang w:eastAsia="en-AU"/>
        </w:rPr>
        <w:t xml:space="preserve"> </w:t>
      </w:r>
      <w:r w:rsidRPr="00276391">
        <w:rPr>
          <w:lang w:eastAsia="en-AU"/>
        </w:rPr>
        <w:t>applicable.</w:t>
      </w:r>
    </w:p>
    <w:p w14:paraId="4B8323EE" w14:textId="77777777" w:rsidR="00236748" w:rsidRPr="00276391" w:rsidRDefault="00236748" w:rsidP="00067E93">
      <w:pPr>
        <w:pStyle w:val="Heading4"/>
        <w:rPr>
          <w:lang w:eastAsia="en-AU"/>
        </w:rPr>
      </w:pPr>
      <w:bookmarkStart w:id="530" w:name="_Toc478991880"/>
      <w:r w:rsidRPr="00276391">
        <w:rPr>
          <w:lang w:eastAsia="en-AU"/>
        </w:rPr>
        <w:t>Public</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bookmarkEnd w:id="530"/>
    </w:p>
    <w:p w14:paraId="010641BF"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types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healthcare</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covered</w:t>
      </w:r>
      <w:r w:rsidR="005D5532" w:rsidRPr="00B24C02">
        <w:rPr>
          <w:rFonts w:cs="Arial"/>
          <w:color w:val="000000"/>
          <w:szCs w:val="19"/>
          <w:lang w:eastAsia="en-AU"/>
        </w:rPr>
        <w:t xml:space="preserve"> </w:t>
      </w:r>
      <w:r w:rsidRPr="00B24C02">
        <w:rPr>
          <w:rFonts w:cs="Arial"/>
          <w:color w:val="000000"/>
          <w:szCs w:val="19"/>
          <w:lang w:eastAsia="en-AU"/>
        </w:rPr>
        <w:t>include:</w:t>
      </w:r>
    </w:p>
    <w:p w14:paraId="6814FF85" w14:textId="77777777" w:rsidR="00236748" w:rsidRPr="00276391" w:rsidRDefault="00236748" w:rsidP="00276391">
      <w:pPr>
        <w:pStyle w:val="DHHSbullet1"/>
        <w:rPr>
          <w:rFonts w:cs="Arial"/>
          <w:lang w:eastAsia="en-AU"/>
        </w:rPr>
      </w:pPr>
      <w:r w:rsidRPr="00276391">
        <w:rPr>
          <w:rFonts w:cs="Arial"/>
          <w:lang w:eastAsia="en-AU"/>
        </w:rPr>
        <w:t>health</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networks</w:t>
      </w:r>
      <w:r w:rsidR="005D5532" w:rsidRPr="00276391">
        <w:rPr>
          <w:rFonts w:cs="Arial"/>
          <w:lang w:eastAsia="en-AU"/>
        </w:rPr>
        <w:t xml:space="preserve"> </w:t>
      </w:r>
    </w:p>
    <w:p w14:paraId="089B87EF" w14:textId="77777777" w:rsidR="00236748" w:rsidRPr="00276391" w:rsidRDefault="00236748" w:rsidP="00276391">
      <w:pPr>
        <w:pStyle w:val="DHHSbullet1"/>
        <w:rPr>
          <w:rFonts w:cs="Arial"/>
          <w:lang w:eastAsia="en-AU"/>
        </w:rPr>
      </w:pPr>
      <w:r w:rsidRPr="00276391">
        <w:rPr>
          <w:rFonts w:cs="Arial"/>
          <w:lang w:eastAsia="en-AU"/>
        </w:rPr>
        <w:t>public</w:t>
      </w:r>
      <w:r w:rsidR="005D5532" w:rsidRPr="00276391">
        <w:rPr>
          <w:rFonts w:cs="Arial"/>
          <w:lang w:eastAsia="en-AU"/>
        </w:rPr>
        <w:t xml:space="preserve"> </w:t>
      </w:r>
      <w:r w:rsidRPr="00276391">
        <w:rPr>
          <w:rFonts w:cs="Arial"/>
          <w:lang w:eastAsia="en-AU"/>
        </w:rPr>
        <w:t>hospitals</w:t>
      </w:r>
      <w:r w:rsidR="005D5532" w:rsidRPr="00276391">
        <w:rPr>
          <w:rFonts w:cs="Arial"/>
          <w:lang w:eastAsia="en-AU"/>
        </w:rPr>
        <w:t xml:space="preserve"> </w:t>
      </w:r>
    </w:p>
    <w:p w14:paraId="51BA8901" w14:textId="77777777" w:rsidR="00236748" w:rsidRPr="00276391" w:rsidRDefault="00236748" w:rsidP="00276391">
      <w:pPr>
        <w:pStyle w:val="DHHSbullet1"/>
        <w:rPr>
          <w:rFonts w:cs="Arial"/>
          <w:lang w:eastAsia="en-AU"/>
        </w:rPr>
      </w:pPr>
      <w:r w:rsidRPr="00276391">
        <w:rPr>
          <w:rFonts w:cs="Arial"/>
          <w:lang w:eastAsia="en-AU"/>
        </w:rPr>
        <w:t>community</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centres</w:t>
      </w:r>
      <w:r w:rsidR="005D5532" w:rsidRPr="00276391">
        <w:rPr>
          <w:rFonts w:cs="Arial"/>
          <w:lang w:eastAsia="en-AU"/>
        </w:rPr>
        <w:t xml:space="preserve"> </w:t>
      </w:r>
    </w:p>
    <w:p w14:paraId="7C26D981" w14:textId="77777777" w:rsidR="00236748" w:rsidRPr="00276391" w:rsidRDefault="00236748" w:rsidP="00276391">
      <w:pPr>
        <w:pStyle w:val="DHHSbullet1"/>
        <w:rPr>
          <w:rFonts w:cs="Arial"/>
          <w:lang w:eastAsia="en-AU"/>
        </w:rPr>
      </w:pPr>
      <w:r w:rsidRPr="00276391">
        <w:rPr>
          <w:rFonts w:cs="Arial"/>
          <w:lang w:eastAsia="en-AU"/>
        </w:rPr>
        <w:t>ambulance</w:t>
      </w:r>
      <w:r w:rsidR="005D5532" w:rsidRPr="00276391">
        <w:rPr>
          <w:rFonts w:cs="Arial"/>
          <w:lang w:eastAsia="en-AU"/>
        </w:rPr>
        <w:t xml:space="preserve"> </w:t>
      </w:r>
    </w:p>
    <w:p w14:paraId="79732A83" w14:textId="77777777" w:rsidR="00236748" w:rsidRPr="00276391" w:rsidRDefault="00236748" w:rsidP="00276391">
      <w:pPr>
        <w:pStyle w:val="DHHSbullet1"/>
        <w:rPr>
          <w:rFonts w:cs="Arial"/>
          <w:lang w:eastAsia="en-AU"/>
        </w:rPr>
      </w:pPr>
      <w:r w:rsidRPr="00276391">
        <w:rPr>
          <w:rFonts w:cs="Arial"/>
          <w:lang w:eastAsia="en-AU"/>
        </w:rPr>
        <w:t>alcohol</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drug</w:t>
      </w:r>
      <w:r w:rsidR="005D5532" w:rsidRPr="00276391">
        <w:rPr>
          <w:rFonts w:cs="Arial"/>
          <w:lang w:eastAsia="en-AU"/>
        </w:rPr>
        <w:t xml:space="preserve"> </w:t>
      </w:r>
      <w:r w:rsidRPr="00276391">
        <w:rPr>
          <w:rFonts w:cs="Arial"/>
          <w:lang w:eastAsia="en-AU"/>
        </w:rPr>
        <w:t>treatment</w:t>
      </w:r>
      <w:r w:rsidR="005D5532" w:rsidRPr="00276391">
        <w:rPr>
          <w:rFonts w:cs="Arial"/>
          <w:lang w:eastAsia="en-AU"/>
        </w:rPr>
        <w:t xml:space="preserve"> </w:t>
      </w:r>
    </w:p>
    <w:p w14:paraId="5232DF25" w14:textId="77777777" w:rsidR="00236748" w:rsidRPr="00276391" w:rsidRDefault="00236748" w:rsidP="00276391">
      <w:pPr>
        <w:pStyle w:val="DHHSbullet1"/>
        <w:rPr>
          <w:rFonts w:cs="Arial"/>
          <w:lang w:eastAsia="en-AU"/>
        </w:rPr>
      </w:pPr>
      <w:r w:rsidRPr="00276391">
        <w:rPr>
          <w:rFonts w:cs="Arial"/>
          <w:lang w:eastAsia="en-AU"/>
        </w:rPr>
        <w:t>hospice</w:t>
      </w:r>
      <w:r w:rsidR="005D5532" w:rsidRPr="00276391">
        <w:rPr>
          <w:rFonts w:cs="Arial"/>
          <w:lang w:eastAsia="en-AU"/>
        </w:rPr>
        <w:t xml:space="preserve"> </w:t>
      </w:r>
      <w:r w:rsidRPr="00276391">
        <w:rPr>
          <w:rFonts w:cs="Arial"/>
          <w:lang w:eastAsia="en-AU"/>
        </w:rPr>
        <w:t>care</w:t>
      </w:r>
      <w:r w:rsidR="005D5532" w:rsidRPr="00276391">
        <w:rPr>
          <w:rFonts w:cs="Arial"/>
          <w:lang w:eastAsia="en-AU"/>
        </w:rPr>
        <w:t xml:space="preserve"> </w:t>
      </w:r>
    </w:p>
    <w:p w14:paraId="04A77C84" w14:textId="77777777" w:rsidR="00236748" w:rsidRPr="00276391" w:rsidRDefault="00236748" w:rsidP="00225863">
      <w:pPr>
        <w:pStyle w:val="DHHSbullet1"/>
        <w:spacing w:after="0"/>
        <w:rPr>
          <w:rFonts w:cs="Arial"/>
          <w:lang w:eastAsia="en-AU"/>
        </w:rPr>
      </w:pPr>
      <w:r w:rsidRPr="00276391">
        <w:rPr>
          <w:rFonts w:cs="Arial"/>
          <w:lang w:eastAsia="en-AU"/>
        </w:rPr>
        <w:t>palliative</w:t>
      </w:r>
      <w:r w:rsidR="005D5532" w:rsidRPr="00276391">
        <w:rPr>
          <w:rFonts w:cs="Arial"/>
          <w:lang w:eastAsia="en-AU"/>
        </w:rPr>
        <w:t xml:space="preserve"> </w:t>
      </w:r>
      <w:r w:rsidRPr="00276391">
        <w:rPr>
          <w:rFonts w:cs="Arial"/>
          <w:lang w:eastAsia="en-AU"/>
        </w:rPr>
        <w:t>care</w:t>
      </w:r>
      <w:r w:rsidR="005D5532" w:rsidRPr="00276391">
        <w:rPr>
          <w:rFonts w:cs="Arial"/>
          <w:lang w:eastAsia="en-AU"/>
        </w:rPr>
        <w:t xml:space="preserve"> </w:t>
      </w:r>
    </w:p>
    <w:p w14:paraId="286080E9" w14:textId="77777777" w:rsidR="00236748" w:rsidRPr="00276391" w:rsidRDefault="00236748" w:rsidP="00225863">
      <w:pPr>
        <w:pStyle w:val="DHHSbullet1"/>
        <w:spacing w:after="0"/>
        <w:rPr>
          <w:rFonts w:cs="Arial"/>
          <w:lang w:eastAsia="en-AU"/>
        </w:rPr>
      </w:pPr>
      <w:r w:rsidRPr="00276391">
        <w:rPr>
          <w:rFonts w:cs="Arial"/>
          <w:lang w:eastAsia="en-AU"/>
        </w:rPr>
        <w:t>sexual</w:t>
      </w:r>
      <w:r w:rsidR="005D5532" w:rsidRPr="00276391">
        <w:rPr>
          <w:rFonts w:cs="Arial"/>
          <w:lang w:eastAsia="en-AU"/>
        </w:rPr>
        <w:t xml:space="preserve"> </w:t>
      </w:r>
      <w:r w:rsidRPr="00276391">
        <w:rPr>
          <w:rFonts w:cs="Arial"/>
          <w:lang w:eastAsia="en-AU"/>
        </w:rPr>
        <w:t>assault</w:t>
      </w:r>
      <w:r w:rsidR="005D5532" w:rsidRPr="00276391">
        <w:rPr>
          <w:rFonts w:cs="Arial"/>
          <w:lang w:eastAsia="en-AU"/>
        </w:rPr>
        <w:t xml:space="preserve"> </w:t>
      </w:r>
      <w:r w:rsidRPr="00276391">
        <w:rPr>
          <w:rFonts w:cs="Arial"/>
          <w:lang w:eastAsia="en-AU"/>
        </w:rPr>
        <w:t>centres</w:t>
      </w:r>
      <w:r w:rsidR="005D5532" w:rsidRPr="00276391">
        <w:rPr>
          <w:rFonts w:cs="Arial"/>
          <w:lang w:eastAsia="en-AU"/>
        </w:rPr>
        <w:t xml:space="preserve"> </w:t>
      </w:r>
    </w:p>
    <w:p w14:paraId="193E43E3" w14:textId="77777777" w:rsidR="00236748" w:rsidRPr="00276391" w:rsidRDefault="00236748" w:rsidP="00225863">
      <w:pPr>
        <w:pStyle w:val="DHHSbullet1lastline"/>
        <w:spacing w:after="0"/>
        <w:rPr>
          <w:lang w:eastAsia="en-AU"/>
        </w:rPr>
      </w:pPr>
      <w:r w:rsidRPr="00276391">
        <w:rPr>
          <w:lang w:eastAsia="en-AU"/>
        </w:rPr>
        <w:t>bush</w:t>
      </w:r>
      <w:r w:rsidR="005D5532" w:rsidRPr="00276391">
        <w:rPr>
          <w:lang w:eastAsia="en-AU"/>
        </w:rPr>
        <w:t xml:space="preserve"> </w:t>
      </w:r>
      <w:r w:rsidRPr="00276391">
        <w:rPr>
          <w:lang w:eastAsia="en-AU"/>
        </w:rPr>
        <w:t>nursing</w:t>
      </w:r>
      <w:r w:rsidR="005D5532" w:rsidRPr="00276391">
        <w:rPr>
          <w:lang w:eastAsia="en-AU"/>
        </w:rPr>
        <w:t xml:space="preserve"> </w:t>
      </w:r>
      <w:r w:rsidRPr="00276391">
        <w:rPr>
          <w:lang w:eastAsia="en-AU"/>
        </w:rPr>
        <w:t>centres.</w:t>
      </w:r>
      <w:r w:rsidR="005D5532" w:rsidRPr="00276391">
        <w:rPr>
          <w:lang w:eastAsia="en-AU"/>
        </w:rPr>
        <w:t xml:space="preserve"> </w:t>
      </w:r>
    </w:p>
    <w:p w14:paraId="04BF1BC2"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does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private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profit</w:t>
      </w:r>
      <w:r w:rsidR="005D5532" w:rsidRPr="00B24C02">
        <w:rPr>
          <w:rFonts w:cs="Arial"/>
          <w:color w:val="000000"/>
          <w:szCs w:val="19"/>
          <w:lang w:eastAsia="en-AU"/>
        </w:rPr>
        <w:t xml:space="preserve"> </w:t>
      </w:r>
      <w:r w:rsidRPr="00B24C02">
        <w:rPr>
          <w:rFonts w:cs="Arial"/>
          <w:color w:val="000000"/>
          <w:szCs w:val="19"/>
          <w:lang w:eastAsia="en-AU"/>
        </w:rPr>
        <w:t>medical</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private</w:t>
      </w:r>
      <w:r w:rsidR="005D5532" w:rsidRPr="00B24C02">
        <w:rPr>
          <w:rFonts w:cs="Arial"/>
          <w:color w:val="000000"/>
          <w:szCs w:val="19"/>
          <w:lang w:eastAsia="en-AU"/>
        </w:rPr>
        <w:t xml:space="preserve"> </w:t>
      </w:r>
      <w:r w:rsidRPr="00B24C02">
        <w:rPr>
          <w:rFonts w:cs="Arial"/>
          <w:color w:val="000000"/>
          <w:szCs w:val="19"/>
          <w:lang w:eastAsia="en-AU"/>
        </w:rPr>
        <w:t>hospitals,</w:t>
      </w:r>
      <w:r w:rsidR="005D5532" w:rsidRPr="00B24C02">
        <w:rPr>
          <w:rFonts w:cs="Arial"/>
          <w:color w:val="000000"/>
          <w:szCs w:val="19"/>
          <w:lang w:eastAsia="en-AU"/>
        </w:rPr>
        <w:t xml:space="preserve"> </w:t>
      </w:r>
      <w:r w:rsidRPr="00B24C02">
        <w:rPr>
          <w:rFonts w:cs="Arial"/>
          <w:color w:val="000000"/>
          <w:szCs w:val="19"/>
          <w:lang w:eastAsia="en-AU"/>
        </w:rPr>
        <w:t>day</w:t>
      </w:r>
      <w:r w:rsidR="005D5532" w:rsidRPr="00B24C02">
        <w:rPr>
          <w:rFonts w:cs="Arial"/>
          <w:color w:val="000000"/>
          <w:szCs w:val="19"/>
          <w:lang w:eastAsia="en-AU"/>
        </w:rPr>
        <w:t xml:space="preserve"> </w:t>
      </w:r>
      <w:r w:rsidRPr="00B24C02">
        <w:rPr>
          <w:rFonts w:cs="Arial"/>
          <w:color w:val="000000"/>
          <w:szCs w:val="19"/>
          <w:lang w:eastAsia="en-AU"/>
        </w:rPr>
        <w:t>centres,</w:t>
      </w:r>
      <w:r w:rsidR="005D5532" w:rsidRPr="00B24C02">
        <w:rPr>
          <w:rFonts w:cs="Arial"/>
          <w:color w:val="000000"/>
          <w:szCs w:val="19"/>
          <w:lang w:eastAsia="en-AU"/>
        </w:rPr>
        <w:t xml:space="preserve"> </w:t>
      </w:r>
      <w:r w:rsidRPr="00B24C02">
        <w:rPr>
          <w:rFonts w:cs="Arial"/>
          <w:color w:val="000000"/>
          <w:szCs w:val="19"/>
          <w:lang w:eastAsia="en-AU"/>
        </w:rPr>
        <w:t>medical</w:t>
      </w:r>
      <w:r w:rsidR="005D5532" w:rsidRPr="00B24C02">
        <w:rPr>
          <w:rFonts w:cs="Arial"/>
          <w:color w:val="000000"/>
          <w:szCs w:val="19"/>
          <w:lang w:eastAsia="en-AU"/>
        </w:rPr>
        <w:t xml:space="preserve"> </w:t>
      </w:r>
      <w:r w:rsidRPr="00B24C02">
        <w:rPr>
          <w:rFonts w:cs="Arial"/>
          <w:color w:val="000000"/>
          <w:szCs w:val="19"/>
          <w:lang w:eastAsia="en-AU"/>
        </w:rPr>
        <w:t>clinics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like.</w:t>
      </w:r>
    </w:p>
    <w:p w14:paraId="32988F1C" w14:textId="77777777" w:rsidR="00236748" w:rsidRPr="00276391" w:rsidRDefault="00236748" w:rsidP="00067E93">
      <w:pPr>
        <w:pStyle w:val="Heading4"/>
        <w:rPr>
          <w:lang w:eastAsia="en-AU"/>
        </w:rPr>
      </w:pPr>
      <w:bookmarkStart w:id="531" w:name="_Toc478991881"/>
      <w:r w:rsidRPr="00276391">
        <w:rPr>
          <w:lang w:eastAsia="en-AU"/>
        </w:rPr>
        <w:t>Community</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bookmarkEnd w:id="531"/>
    </w:p>
    <w:p w14:paraId="21B6F067"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types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community</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(CSO)</w:t>
      </w:r>
      <w:r w:rsidR="005D5532" w:rsidRPr="00B24C02">
        <w:rPr>
          <w:rFonts w:cs="Arial"/>
          <w:color w:val="000000"/>
          <w:szCs w:val="19"/>
          <w:lang w:eastAsia="en-AU"/>
        </w:rPr>
        <w:t xml:space="preserve"> </w:t>
      </w:r>
      <w:r w:rsidRPr="00B24C02">
        <w:rPr>
          <w:rFonts w:cs="Arial"/>
          <w:color w:val="000000"/>
          <w:szCs w:val="19"/>
          <w:lang w:eastAsia="en-AU"/>
        </w:rPr>
        <w:t>covered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provision</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Victoria</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agreed</w:t>
      </w:r>
      <w:r w:rsidR="005D5532" w:rsidRPr="00B24C02">
        <w:rPr>
          <w:rFonts w:cs="Arial"/>
          <w:color w:val="000000"/>
          <w:szCs w:val="19"/>
          <w:lang w:eastAsia="en-AU"/>
        </w:rPr>
        <w:t xml:space="preserve"> </w:t>
      </w:r>
      <w:r w:rsidRPr="00B24C02">
        <w:rPr>
          <w:rFonts w:cs="Arial"/>
          <w:color w:val="000000"/>
          <w:szCs w:val="19"/>
          <w:lang w:eastAsia="en-AU"/>
        </w:rPr>
        <w:t>border</w:t>
      </w:r>
      <w:r w:rsidR="005D5532" w:rsidRPr="00B24C02">
        <w:rPr>
          <w:rFonts w:cs="Arial"/>
          <w:color w:val="000000"/>
          <w:szCs w:val="19"/>
          <w:lang w:eastAsia="en-AU"/>
        </w:rPr>
        <w:t xml:space="preserve"> </w:t>
      </w:r>
      <w:r w:rsidRPr="00B24C02">
        <w:rPr>
          <w:rFonts w:cs="Arial"/>
          <w:color w:val="000000"/>
          <w:szCs w:val="19"/>
          <w:lang w:eastAsia="en-AU"/>
        </w:rPr>
        <w:t>locations</w:t>
      </w:r>
      <w:r w:rsidR="005D5532" w:rsidRPr="00B24C02">
        <w:rPr>
          <w:rFonts w:cs="Arial"/>
          <w:color w:val="000000"/>
          <w:szCs w:val="19"/>
          <w:lang w:eastAsia="en-AU"/>
        </w:rPr>
        <w:t xml:space="preserve"> </w:t>
      </w:r>
      <w:r w:rsidRPr="00B24C02">
        <w:rPr>
          <w:rFonts w:cs="Arial"/>
          <w:color w:val="000000"/>
          <w:szCs w:val="19"/>
          <w:lang w:eastAsia="en-AU"/>
        </w:rPr>
        <w:t>include:</w:t>
      </w:r>
    </w:p>
    <w:p w14:paraId="023160FC" w14:textId="77777777" w:rsidR="00236748" w:rsidRPr="00276391" w:rsidRDefault="00236748" w:rsidP="00276391">
      <w:pPr>
        <w:pStyle w:val="DHHSbullet1"/>
        <w:rPr>
          <w:rFonts w:cs="Arial"/>
          <w:lang w:eastAsia="en-AU"/>
        </w:rPr>
      </w:pPr>
      <w:r w:rsidRPr="00276391">
        <w:rPr>
          <w:rFonts w:cs="Arial"/>
          <w:lang w:eastAsia="en-AU"/>
        </w:rPr>
        <w:t>kindergartens</w:t>
      </w:r>
      <w:r w:rsidR="005D5532" w:rsidRPr="00276391">
        <w:rPr>
          <w:rFonts w:cs="Arial"/>
          <w:lang w:eastAsia="en-AU"/>
        </w:rPr>
        <w:t xml:space="preserve"> </w:t>
      </w:r>
    </w:p>
    <w:p w14:paraId="3B62548D" w14:textId="77777777" w:rsidR="00236748" w:rsidRPr="00276391" w:rsidRDefault="00236748" w:rsidP="00276391">
      <w:pPr>
        <w:pStyle w:val="DHHSbullet1"/>
        <w:rPr>
          <w:rFonts w:cs="Arial"/>
          <w:lang w:eastAsia="en-AU"/>
        </w:rPr>
      </w:pPr>
      <w:r w:rsidRPr="00276391">
        <w:rPr>
          <w:rFonts w:cs="Arial"/>
          <w:lang w:eastAsia="en-AU"/>
        </w:rPr>
        <w:t>youth</w:t>
      </w:r>
      <w:r w:rsidR="005D5532" w:rsidRPr="00276391">
        <w:rPr>
          <w:rFonts w:cs="Arial"/>
          <w:lang w:eastAsia="en-AU"/>
        </w:rPr>
        <w:t xml:space="preserve"> </w:t>
      </w:r>
      <w:r w:rsidRPr="00276391">
        <w:rPr>
          <w:rFonts w:cs="Arial"/>
          <w:lang w:eastAsia="en-AU"/>
        </w:rPr>
        <w:t>accommodation</w:t>
      </w:r>
      <w:r w:rsidR="005D5532" w:rsidRPr="00276391">
        <w:rPr>
          <w:rFonts w:cs="Arial"/>
          <w:lang w:eastAsia="en-AU"/>
        </w:rPr>
        <w:t xml:space="preserve"> </w:t>
      </w:r>
    </w:p>
    <w:p w14:paraId="4652771F" w14:textId="77777777" w:rsidR="00236748" w:rsidRPr="00276391" w:rsidRDefault="00236748" w:rsidP="00276391">
      <w:pPr>
        <w:pStyle w:val="DHHSbullet1"/>
        <w:rPr>
          <w:rFonts w:cs="Arial"/>
          <w:lang w:eastAsia="en-AU"/>
        </w:rPr>
      </w:pPr>
      <w:r w:rsidRPr="00276391">
        <w:rPr>
          <w:rFonts w:cs="Arial"/>
          <w:lang w:eastAsia="en-AU"/>
        </w:rPr>
        <w:t>family</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p>
    <w:p w14:paraId="64B0BF32" w14:textId="77777777" w:rsidR="00236748" w:rsidRPr="00276391" w:rsidRDefault="00236748" w:rsidP="00276391">
      <w:pPr>
        <w:pStyle w:val="DHHSbullet1"/>
        <w:rPr>
          <w:rFonts w:cs="Arial"/>
          <w:lang w:eastAsia="en-AU"/>
        </w:rPr>
      </w:pPr>
      <w:r w:rsidRPr="00276391">
        <w:rPr>
          <w:rFonts w:cs="Arial"/>
          <w:lang w:eastAsia="en-AU"/>
        </w:rPr>
        <w:t>residential</w:t>
      </w:r>
      <w:r w:rsidR="005D5532" w:rsidRPr="00276391">
        <w:rPr>
          <w:rFonts w:cs="Arial"/>
          <w:lang w:eastAsia="en-AU"/>
        </w:rPr>
        <w:t xml:space="preserve"> </w:t>
      </w:r>
      <w:r w:rsidRPr="00276391">
        <w:rPr>
          <w:rFonts w:cs="Arial"/>
          <w:lang w:eastAsia="en-AU"/>
        </w:rPr>
        <w:t>care</w:t>
      </w:r>
      <w:r w:rsidR="005D5532" w:rsidRPr="00276391">
        <w:rPr>
          <w:rFonts w:cs="Arial"/>
          <w:lang w:eastAsia="en-AU"/>
        </w:rPr>
        <w:t xml:space="preserve"> </w:t>
      </w:r>
    </w:p>
    <w:p w14:paraId="6BA3C052" w14:textId="77777777" w:rsidR="00236748" w:rsidRPr="00276391" w:rsidRDefault="00236748" w:rsidP="00276391">
      <w:pPr>
        <w:pStyle w:val="DHHSbullet1"/>
        <w:rPr>
          <w:rFonts w:cs="Arial"/>
          <w:lang w:eastAsia="en-AU"/>
        </w:rPr>
      </w:pPr>
      <w:r w:rsidRPr="00276391">
        <w:rPr>
          <w:rFonts w:cs="Arial"/>
          <w:lang w:eastAsia="en-AU"/>
        </w:rPr>
        <w:t>child</w:t>
      </w:r>
      <w:r w:rsidR="005D5532" w:rsidRPr="00276391">
        <w:rPr>
          <w:rFonts w:cs="Arial"/>
          <w:lang w:eastAsia="en-AU"/>
        </w:rPr>
        <w:t xml:space="preserve"> </w:t>
      </w:r>
      <w:r w:rsidRPr="00276391">
        <w:rPr>
          <w:rFonts w:cs="Arial"/>
          <w:lang w:eastAsia="en-AU"/>
        </w:rPr>
        <w:t>protection</w:t>
      </w:r>
      <w:r w:rsidR="005D5532" w:rsidRPr="00276391">
        <w:rPr>
          <w:rFonts w:cs="Arial"/>
          <w:lang w:eastAsia="en-AU"/>
        </w:rPr>
        <w:t xml:space="preserve"> </w:t>
      </w:r>
    </w:p>
    <w:p w14:paraId="0415FDDB" w14:textId="77777777" w:rsidR="00236748" w:rsidRPr="00276391" w:rsidRDefault="00236748" w:rsidP="00276391">
      <w:pPr>
        <w:pStyle w:val="DHHSbullet1"/>
        <w:rPr>
          <w:rFonts w:cs="Arial"/>
          <w:lang w:eastAsia="en-AU"/>
        </w:rPr>
      </w:pPr>
      <w:r w:rsidRPr="00276391">
        <w:rPr>
          <w:rFonts w:cs="Arial"/>
          <w:lang w:eastAsia="en-AU"/>
        </w:rPr>
        <w:t>indigenous</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p>
    <w:p w14:paraId="5AB87BF8" w14:textId="77777777" w:rsidR="00236748" w:rsidRPr="00276391" w:rsidRDefault="00236748" w:rsidP="00276391">
      <w:pPr>
        <w:pStyle w:val="DHHSbullet1"/>
        <w:rPr>
          <w:rFonts w:cs="Arial"/>
          <w:lang w:eastAsia="en-AU"/>
        </w:rPr>
      </w:pPr>
      <w:r w:rsidRPr="00276391">
        <w:rPr>
          <w:rFonts w:cs="Arial"/>
          <w:lang w:eastAsia="en-AU"/>
        </w:rPr>
        <w:t>disability</w:t>
      </w:r>
      <w:r w:rsidR="005D5532" w:rsidRPr="00276391">
        <w:rPr>
          <w:rFonts w:cs="Arial"/>
          <w:lang w:eastAsia="en-AU"/>
        </w:rPr>
        <w:t xml:space="preserve"> </w:t>
      </w:r>
      <w:r w:rsidRPr="00276391">
        <w:rPr>
          <w:rFonts w:cs="Arial"/>
          <w:lang w:eastAsia="en-AU"/>
        </w:rPr>
        <w:t>accommodation</w:t>
      </w:r>
      <w:r w:rsidR="005D5532" w:rsidRPr="00276391">
        <w:rPr>
          <w:rFonts w:cs="Arial"/>
          <w:lang w:eastAsia="en-AU"/>
        </w:rPr>
        <w:t xml:space="preserve"> </w:t>
      </w:r>
      <w:r w:rsidRPr="00276391">
        <w:rPr>
          <w:rFonts w:cs="Arial"/>
          <w:lang w:eastAsia="en-AU"/>
        </w:rPr>
        <w:t>support</w:t>
      </w:r>
      <w:r w:rsidR="005D5532" w:rsidRPr="00276391">
        <w:rPr>
          <w:rFonts w:cs="Arial"/>
          <w:lang w:eastAsia="en-AU"/>
        </w:rPr>
        <w:t xml:space="preserve"> </w:t>
      </w:r>
    </w:p>
    <w:p w14:paraId="7278C8E2" w14:textId="77777777" w:rsidR="00236748" w:rsidRPr="00276391" w:rsidRDefault="00236748" w:rsidP="00276391">
      <w:pPr>
        <w:pStyle w:val="DHHSbullet1"/>
        <w:rPr>
          <w:rFonts w:cs="Arial"/>
          <w:lang w:eastAsia="en-AU"/>
        </w:rPr>
      </w:pPr>
      <w:r w:rsidRPr="00276391">
        <w:rPr>
          <w:rFonts w:cs="Arial"/>
          <w:lang w:eastAsia="en-AU"/>
        </w:rPr>
        <w:t>neighbourhood/community</w:t>
      </w:r>
      <w:r w:rsidR="005D5532" w:rsidRPr="00276391">
        <w:rPr>
          <w:rFonts w:cs="Arial"/>
          <w:lang w:eastAsia="en-AU"/>
        </w:rPr>
        <w:t xml:space="preserve"> </w:t>
      </w:r>
      <w:r w:rsidRPr="00276391">
        <w:rPr>
          <w:rFonts w:cs="Arial"/>
          <w:lang w:eastAsia="en-AU"/>
        </w:rPr>
        <w:t>houses</w:t>
      </w:r>
      <w:r w:rsidR="005D5532" w:rsidRPr="00276391">
        <w:rPr>
          <w:rFonts w:cs="Arial"/>
          <w:lang w:eastAsia="en-AU"/>
        </w:rPr>
        <w:t xml:space="preserve"> </w:t>
      </w:r>
    </w:p>
    <w:p w14:paraId="1EBF869B" w14:textId="77777777" w:rsidR="00236748" w:rsidRPr="00276391" w:rsidRDefault="00236748" w:rsidP="00225863">
      <w:pPr>
        <w:pStyle w:val="DHHSbullet1"/>
        <w:spacing w:after="0"/>
        <w:rPr>
          <w:rFonts w:cs="Arial"/>
          <w:lang w:eastAsia="en-AU"/>
        </w:rPr>
      </w:pPr>
      <w:r w:rsidRPr="00276391">
        <w:rPr>
          <w:rFonts w:cs="Arial"/>
          <w:lang w:eastAsia="en-AU"/>
        </w:rPr>
        <w:t>financial</w:t>
      </w:r>
      <w:r w:rsidR="005D5532" w:rsidRPr="00276391">
        <w:rPr>
          <w:rFonts w:cs="Arial"/>
          <w:lang w:eastAsia="en-AU"/>
        </w:rPr>
        <w:t xml:space="preserve"> </w:t>
      </w:r>
      <w:r w:rsidRPr="00276391">
        <w:rPr>
          <w:rFonts w:cs="Arial"/>
          <w:lang w:eastAsia="en-AU"/>
        </w:rPr>
        <w:t>counselling</w:t>
      </w:r>
      <w:r w:rsidR="005D5532" w:rsidRPr="00276391">
        <w:rPr>
          <w:rFonts w:cs="Arial"/>
          <w:lang w:eastAsia="en-AU"/>
        </w:rPr>
        <w:t xml:space="preserve"> </w:t>
      </w:r>
    </w:p>
    <w:p w14:paraId="349BAF91" w14:textId="77777777" w:rsidR="00236748" w:rsidRPr="00276391" w:rsidRDefault="00236748" w:rsidP="00225863">
      <w:pPr>
        <w:pStyle w:val="DHHSbullet1lastline"/>
        <w:spacing w:after="0"/>
        <w:rPr>
          <w:lang w:eastAsia="en-AU"/>
        </w:rPr>
      </w:pPr>
      <w:r w:rsidRPr="00276391">
        <w:rPr>
          <w:lang w:eastAsia="en-AU"/>
        </w:rPr>
        <w:t>community</w:t>
      </w:r>
      <w:r w:rsidR="005D5532" w:rsidRPr="00276391">
        <w:rPr>
          <w:lang w:eastAsia="en-AU"/>
        </w:rPr>
        <w:t xml:space="preserve"> </w:t>
      </w:r>
      <w:r w:rsidRPr="00276391">
        <w:rPr>
          <w:lang w:eastAsia="en-AU"/>
        </w:rPr>
        <w:t>housing.</w:t>
      </w:r>
      <w:r w:rsidR="005D5532" w:rsidRPr="00276391">
        <w:rPr>
          <w:lang w:eastAsia="en-AU"/>
        </w:rPr>
        <w:t xml:space="preserve"> </w:t>
      </w:r>
    </w:p>
    <w:p w14:paraId="1E8F2189" w14:textId="77777777" w:rsidR="00225863" w:rsidRDefault="00225863" w:rsidP="00276391">
      <w:pPr>
        <w:pStyle w:val="DHHSbody"/>
        <w:rPr>
          <w:rFonts w:cs="Arial"/>
          <w:color w:val="000000"/>
          <w:szCs w:val="19"/>
          <w:lang w:eastAsia="en-AU"/>
        </w:rPr>
      </w:pPr>
    </w:p>
    <w:p w14:paraId="53AB1D8C" w14:textId="77777777" w:rsidR="00236748" w:rsidRPr="00276391" w:rsidRDefault="00236748" w:rsidP="00276391">
      <w:pPr>
        <w:pStyle w:val="DHHSbody"/>
        <w:rPr>
          <w:lang w:eastAsia="en-AU"/>
        </w:rPr>
      </w:pPr>
      <w:r w:rsidRPr="00B24C02">
        <w:rPr>
          <w:rFonts w:cs="Arial"/>
          <w:color w:val="000000"/>
          <w:szCs w:val="19"/>
          <w:lang w:eastAsia="en-AU"/>
        </w:rPr>
        <w:lastRenderedPageBreak/>
        <w:t>The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does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private</w:t>
      </w:r>
      <w:r w:rsidR="005D5532" w:rsidRPr="00B24C02">
        <w:rPr>
          <w:rFonts w:cs="Arial"/>
          <w:color w:val="000000"/>
          <w:szCs w:val="19"/>
          <w:lang w:eastAsia="en-AU"/>
        </w:rPr>
        <w:t xml:space="preserve"> </w:t>
      </w:r>
      <w:r w:rsidRPr="00B24C02">
        <w:rPr>
          <w:rFonts w:cs="Arial"/>
          <w:color w:val="000000"/>
          <w:szCs w:val="19"/>
          <w:lang w:eastAsia="en-AU"/>
        </w:rPr>
        <w:t>for-profit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(unless</w:t>
      </w:r>
      <w:r w:rsidR="005D5532" w:rsidRPr="00B24C02">
        <w:rPr>
          <w:rFonts w:cs="Arial"/>
          <w:color w:val="000000"/>
          <w:szCs w:val="19"/>
          <w:lang w:eastAsia="en-AU"/>
        </w:rPr>
        <w:t xml:space="preserve"> </w:t>
      </w:r>
      <w:r w:rsidRPr="00B24C02">
        <w:rPr>
          <w:rFonts w:cs="Arial"/>
          <w:color w:val="000000"/>
          <w:szCs w:val="19"/>
          <w:lang w:eastAsia="en-AU"/>
        </w:rPr>
        <w:t>otherwise</w:t>
      </w:r>
      <w:r w:rsidR="005D5532" w:rsidRPr="00B24C02">
        <w:rPr>
          <w:rFonts w:cs="Arial"/>
          <w:color w:val="000000"/>
          <w:szCs w:val="19"/>
          <w:lang w:eastAsia="en-AU"/>
        </w:rPr>
        <w:t xml:space="preserve"> </w:t>
      </w:r>
      <w:r w:rsidRPr="00B24C02">
        <w:rPr>
          <w:rFonts w:cs="Arial"/>
          <w:color w:val="000000"/>
          <w:szCs w:val="19"/>
          <w:lang w:eastAsia="en-AU"/>
        </w:rPr>
        <w:t>agreed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proofErr w:type="gramStart"/>
      <w:r w:rsidRPr="00B24C02">
        <w:rPr>
          <w:rFonts w:cs="Arial"/>
          <w:color w:val="000000"/>
          <w:szCs w:val="19"/>
          <w:lang w:eastAsia="en-AU"/>
        </w:rPr>
        <w:t>interstate</w:t>
      </w:r>
      <w:r w:rsidR="005D5532" w:rsidRPr="00B24C02">
        <w:rPr>
          <w:rFonts w:cs="Arial"/>
          <w:color w:val="000000"/>
          <w:szCs w:val="19"/>
          <w:lang w:eastAsia="en-AU"/>
        </w:rPr>
        <w:t xml:space="preserve"> </w:t>
      </w:r>
      <w:r w:rsidRPr="00B24C02">
        <w:rPr>
          <w:rFonts w:cs="Arial"/>
          <w:color w:val="000000"/>
          <w:szCs w:val="19"/>
          <w:lang w:eastAsia="en-AU"/>
        </w:rPr>
        <w:t>based</w:t>
      </w:r>
      <w:proofErr w:type="gramEnd"/>
      <w:r w:rsidR="005D5532" w:rsidRPr="00B24C02">
        <w:rPr>
          <w:rFonts w:cs="Arial"/>
          <w:color w:val="000000"/>
          <w:szCs w:val="19"/>
          <w:lang w:eastAsia="en-AU"/>
        </w:rPr>
        <w:t xml:space="preserve"> </w:t>
      </w:r>
      <w:r w:rsidRPr="00B24C02">
        <w:rPr>
          <w:rFonts w:cs="Arial"/>
          <w:color w:val="000000"/>
          <w:szCs w:val="19"/>
          <w:lang w:eastAsia="en-AU"/>
        </w:rPr>
        <w:t>head</w:t>
      </w:r>
      <w:r w:rsidR="005D5532" w:rsidRPr="00B24C02">
        <w:rPr>
          <w:rFonts w:cs="Arial"/>
          <w:color w:val="000000"/>
          <w:szCs w:val="19"/>
          <w:lang w:eastAsia="en-AU"/>
        </w:rPr>
        <w:t xml:space="preserve"> </w:t>
      </w:r>
      <w:r w:rsidRPr="00B24C02">
        <w:rPr>
          <w:rFonts w:cs="Arial"/>
          <w:color w:val="000000"/>
          <w:szCs w:val="19"/>
          <w:lang w:eastAsia="en-AU"/>
        </w:rPr>
        <w:t>office,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access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economic</w:t>
      </w:r>
      <w:r w:rsidR="005D5532" w:rsidRPr="00B24C02">
        <w:rPr>
          <w:rFonts w:cs="Arial"/>
          <w:color w:val="000000"/>
          <w:szCs w:val="19"/>
          <w:lang w:eastAsia="en-AU"/>
        </w:rPr>
        <w:t xml:space="preserve"> </w:t>
      </w:r>
      <w:r w:rsidRPr="00B24C02">
        <w:rPr>
          <w:rFonts w:cs="Arial"/>
          <w:color w:val="000000"/>
          <w:szCs w:val="19"/>
          <w:lang w:eastAsia="en-AU"/>
        </w:rPr>
        <w:t>benefits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based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national</w:t>
      </w:r>
      <w:r w:rsidR="005D5532" w:rsidRPr="00B24C02">
        <w:rPr>
          <w:rFonts w:cs="Arial"/>
          <w:color w:val="000000"/>
          <w:szCs w:val="19"/>
          <w:lang w:eastAsia="en-AU"/>
        </w:rPr>
        <w:t xml:space="preserve"> </w:t>
      </w:r>
      <w:r w:rsidRPr="00B24C02">
        <w:rPr>
          <w:rFonts w:cs="Arial"/>
          <w:color w:val="000000"/>
          <w:szCs w:val="19"/>
          <w:lang w:eastAsia="en-AU"/>
        </w:rPr>
        <w:t>group</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include:</w:t>
      </w:r>
    </w:p>
    <w:p w14:paraId="669975D3" w14:textId="77777777" w:rsidR="00236748" w:rsidRPr="00276391" w:rsidRDefault="00236748" w:rsidP="00276391">
      <w:pPr>
        <w:pStyle w:val="DHHSbullet1"/>
        <w:rPr>
          <w:rFonts w:cs="Arial"/>
          <w:lang w:eastAsia="en-AU"/>
        </w:rPr>
      </w:pPr>
      <w:r w:rsidRPr="00276391">
        <w:rPr>
          <w:rFonts w:cs="Arial"/>
          <w:lang w:eastAsia="en-AU"/>
        </w:rPr>
        <w:t>educational</w:t>
      </w:r>
      <w:r w:rsidR="005D5532" w:rsidRPr="00276391">
        <w:rPr>
          <w:rFonts w:cs="Arial"/>
          <w:lang w:eastAsia="en-AU"/>
        </w:rPr>
        <w:t xml:space="preserve"> </w:t>
      </w:r>
      <w:r w:rsidRPr="00276391">
        <w:rPr>
          <w:rFonts w:cs="Arial"/>
          <w:lang w:eastAsia="en-AU"/>
        </w:rPr>
        <w:t>institutions</w:t>
      </w:r>
      <w:r w:rsidR="005D5532" w:rsidRPr="00276391">
        <w:rPr>
          <w:rFonts w:cs="Arial"/>
          <w:lang w:eastAsia="en-AU"/>
        </w:rPr>
        <w:t xml:space="preserve"> </w:t>
      </w:r>
    </w:p>
    <w:p w14:paraId="284A040F" w14:textId="77777777" w:rsidR="00236748" w:rsidRPr="00276391" w:rsidRDefault="00236748" w:rsidP="00276391">
      <w:pPr>
        <w:pStyle w:val="DHHSbullet1"/>
        <w:rPr>
          <w:rFonts w:cs="Arial"/>
          <w:lang w:eastAsia="en-AU"/>
        </w:rPr>
      </w:pPr>
      <w:r w:rsidRPr="00276391">
        <w:rPr>
          <w:rFonts w:cs="Arial"/>
          <w:lang w:eastAsia="en-AU"/>
        </w:rPr>
        <w:t>local</w:t>
      </w:r>
      <w:r w:rsidR="005D5532" w:rsidRPr="00276391">
        <w:rPr>
          <w:rFonts w:cs="Arial"/>
          <w:lang w:eastAsia="en-AU"/>
        </w:rPr>
        <w:t xml:space="preserve"> </w:t>
      </w:r>
      <w:r w:rsidRPr="00276391">
        <w:rPr>
          <w:rFonts w:cs="Arial"/>
          <w:lang w:eastAsia="en-AU"/>
        </w:rPr>
        <w:t>government</w:t>
      </w:r>
      <w:r w:rsidR="005D5532" w:rsidRPr="00276391">
        <w:rPr>
          <w:rFonts w:cs="Arial"/>
          <w:lang w:eastAsia="en-AU"/>
        </w:rPr>
        <w:t xml:space="preserve"> </w:t>
      </w:r>
      <w:r w:rsidRPr="00276391">
        <w:rPr>
          <w:rFonts w:cs="Arial"/>
          <w:lang w:eastAsia="en-AU"/>
        </w:rPr>
        <w:t>organisations</w:t>
      </w:r>
      <w:r w:rsidR="005D5532" w:rsidRPr="00276391">
        <w:rPr>
          <w:rFonts w:cs="Arial"/>
          <w:lang w:eastAsia="en-AU"/>
        </w:rPr>
        <w:t xml:space="preserve"> </w:t>
      </w:r>
    </w:p>
    <w:p w14:paraId="3A8A7636" w14:textId="77777777" w:rsidR="00236748" w:rsidRPr="00276391" w:rsidRDefault="00236748" w:rsidP="00276391">
      <w:pPr>
        <w:pStyle w:val="DHHSbullet1"/>
        <w:rPr>
          <w:rFonts w:cs="Arial"/>
          <w:lang w:eastAsia="en-AU"/>
        </w:rPr>
      </w:pPr>
      <w:r w:rsidRPr="00276391">
        <w:rPr>
          <w:rFonts w:cs="Arial"/>
          <w:lang w:eastAsia="en-AU"/>
        </w:rPr>
        <w:t>religious</w:t>
      </w:r>
      <w:r w:rsidR="005D5532" w:rsidRPr="00276391">
        <w:rPr>
          <w:rFonts w:cs="Arial"/>
          <w:lang w:eastAsia="en-AU"/>
        </w:rPr>
        <w:t xml:space="preserve"> </w:t>
      </w:r>
      <w:r w:rsidRPr="00276391">
        <w:rPr>
          <w:rFonts w:cs="Arial"/>
          <w:lang w:eastAsia="en-AU"/>
        </w:rPr>
        <w:t>denominational</w:t>
      </w:r>
      <w:r w:rsidR="005D5532" w:rsidRPr="00276391">
        <w:rPr>
          <w:rFonts w:cs="Arial"/>
          <w:lang w:eastAsia="en-AU"/>
        </w:rPr>
        <w:t xml:space="preserve"> </w:t>
      </w:r>
      <w:r w:rsidRPr="00276391">
        <w:rPr>
          <w:rFonts w:cs="Arial"/>
          <w:lang w:eastAsia="en-AU"/>
        </w:rPr>
        <w:t>bodies</w:t>
      </w:r>
      <w:r w:rsidR="005D5532" w:rsidRPr="00276391">
        <w:rPr>
          <w:rFonts w:cs="Arial"/>
          <w:lang w:eastAsia="en-AU"/>
        </w:rPr>
        <w:t xml:space="preserve"> </w:t>
      </w:r>
    </w:p>
    <w:p w14:paraId="6CE5C962" w14:textId="77777777" w:rsidR="00236748" w:rsidRPr="00276391" w:rsidRDefault="00236748" w:rsidP="00276391">
      <w:pPr>
        <w:pStyle w:val="DHHSbullet1"/>
        <w:rPr>
          <w:rFonts w:cs="Arial"/>
          <w:lang w:eastAsia="en-AU"/>
        </w:rPr>
      </w:pPr>
      <w:r w:rsidRPr="00276391">
        <w:rPr>
          <w:rFonts w:cs="Arial"/>
          <w:lang w:eastAsia="en-AU"/>
        </w:rPr>
        <w:t>Salvation</w:t>
      </w:r>
      <w:r w:rsidR="005D5532" w:rsidRPr="00276391">
        <w:rPr>
          <w:rFonts w:cs="Arial"/>
          <w:lang w:eastAsia="en-AU"/>
        </w:rPr>
        <w:t xml:space="preserve"> </w:t>
      </w:r>
      <w:r w:rsidRPr="00276391">
        <w:rPr>
          <w:rFonts w:cs="Arial"/>
          <w:lang w:eastAsia="en-AU"/>
        </w:rPr>
        <w:t>Army</w:t>
      </w:r>
      <w:r w:rsidR="005D5532" w:rsidRPr="00276391">
        <w:rPr>
          <w:rFonts w:cs="Arial"/>
          <w:lang w:eastAsia="en-AU"/>
        </w:rPr>
        <w:t xml:space="preserve"> </w:t>
      </w:r>
    </w:p>
    <w:p w14:paraId="466BB7A7" w14:textId="77777777" w:rsidR="00236748" w:rsidRPr="00276391" w:rsidRDefault="00236748" w:rsidP="00276391">
      <w:pPr>
        <w:pStyle w:val="DHHSbullet1"/>
        <w:rPr>
          <w:rFonts w:cs="Arial"/>
          <w:lang w:eastAsia="en-AU"/>
        </w:rPr>
      </w:pPr>
      <w:r w:rsidRPr="00276391">
        <w:rPr>
          <w:rFonts w:cs="Arial"/>
          <w:lang w:eastAsia="en-AU"/>
        </w:rPr>
        <w:t>YMCA</w:t>
      </w:r>
      <w:r w:rsidR="005D5532" w:rsidRPr="00276391">
        <w:rPr>
          <w:rFonts w:cs="Arial"/>
          <w:lang w:eastAsia="en-AU"/>
        </w:rPr>
        <w:t xml:space="preserve"> </w:t>
      </w:r>
    </w:p>
    <w:p w14:paraId="2D714FAB" w14:textId="77777777" w:rsidR="00236748" w:rsidRPr="00276391" w:rsidRDefault="00236748" w:rsidP="00067E93">
      <w:pPr>
        <w:pStyle w:val="Heading4"/>
        <w:rPr>
          <w:lang w:eastAsia="en-AU"/>
        </w:rPr>
      </w:pPr>
      <w:bookmarkStart w:id="532" w:name="_Toc478991882"/>
      <w:r w:rsidRPr="00276391">
        <w:rPr>
          <w:lang w:eastAsia="en-AU"/>
        </w:rPr>
        <w:t>Insurance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statutory</w:t>
      </w:r>
      <w:r w:rsidR="005D5532" w:rsidRPr="00276391">
        <w:rPr>
          <w:lang w:eastAsia="en-AU"/>
        </w:rPr>
        <w:t xml:space="preserve"> </w:t>
      </w:r>
      <w:r w:rsidRPr="00276391">
        <w:rPr>
          <w:lang w:eastAsia="en-AU"/>
        </w:rPr>
        <w:t>bodies</w:t>
      </w:r>
      <w:bookmarkEnd w:id="532"/>
    </w:p>
    <w:p w14:paraId="6F0A3054" w14:textId="04BA11C6" w:rsidR="00236748" w:rsidRPr="00276391" w:rsidRDefault="00236748" w:rsidP="00276391">
      <w:pPr>
        <w:pStyle w:val="DHHSbody"/>
        <w:rPr>
          <w:lang w:eastAsia="en-AU"/>
        </w:rPr>
      </w:pPr>
      <w:r w:rsidRPr="00B24C02">
        <w:rPr>
          <w:rFonts w:cs="Arial"/>
          <w:color w:val="000000"/>
          <w:szCs w:val="19"/>
          <w:lang w:eastAsia="en-AU"/>
        </w:rPr>
        <w:t>Statutory</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eligible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insured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VMIA</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covered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corporate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listed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'Insured'</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certificates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currency.</w:t>
      </w:r>
    </w:p>
    <w:p w14:paraId="74ED0537" w14:textId="77777777" w:rsidR="00236748" w:rsidRPr="00276391" w:rsidRDefault="00236748" w:rsidP="00067E93">
      <w:pPr>
        <w:pStyle w:val="Heading4"/>
        <w:rPr>
          <w:lang w:eastAsia="en-AU"/>
        </w:rPr>
      </w:pPr>
      <w:bookmarkStart w:id="533" w:name="_Toc478991883"/>
      <w:r w:rsidRPr="00276391">
        <w:rPr>
          <w:lang w:eastAsia="en-AU"/>
        </w:rPr>
        <w:t>Consortia</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arrangements</w:t>
      </w:r>
      <w:bookmarkEnd w:id="533"/>
    </w:p>
    <w:p w14:paraId="43EE152D" w14:textId="77777777" w:rsidR="00236748" w:rsidRPr="00276391" w:rsidRDefault="00236748" w:rsidP="00276391">
      <w:pPr>
        <w:pStyle w:val="DHHSbody"/>
        <w:rPr>
          <w:lang w:eastAsia="en-AU"/>
        </w:rPr>
      </w:pP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VMIA</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007A5E9F" w:rsidRPr="00B24C02">
        <w:rPr>
          <w:rFonts w:cs="Arial"/>
          <w:color w:val="000000"/>
          <w:szCs w:val="19"/>
          <w:lang w:eastAsia="en-AU"/>
        </w:rPr>
        <w:t>policies</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extended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form</w:t>
      </w:r>
      <w:r w:rsidR="005D5532" w:rsidRPr="00B24C02">
        <w:rPr>
          <w:rFonts w:cs="Arial"/>
          <w:color w:val="000000"/>
          <w:szCs w:val="19"/>
          <w:lang w:eastAsia="en-AU"/>
        </w:rPr>
        <w:t xml:space="preserve"> </w:t>
      </w: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strictly</w:t>
      </w:r>
      <w:r w:rsidR="005D5532" w:rsidRPr="00B24C02">
        <w:rPr>
          <w:rFonts w:cs="Arial"/>
          <w:color w:val="000000"/>
          <w:szCs w:val="19"/>
          <w:lang w:eastAsia="en-AU"/>
        </w:rPr>
        <w:t xml:space="preserve"> </w:t>
      </w:r>
      <w:r w:rsidRPr="00B24C02">
        <w:rPr>
          <w:rFonts w:cs="Arial"/>
          <w:color w:val="000000"/>
          <w:szCs w:val="19"/>
          <w:lang w:eastAsia="en-AU"/>
        </w:rPr>
        <w:t>limited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related</w:t>
      </w:r>
      <w:r w:rsidR="005D5532" w:rsidRPr="00B24C02">
        <w:rPr>
          <w:rFonts w:cs="Arial"/>
          <w:color w:val="000000"/>
          <w:szCs w:val="19"/>
          <w:lang w:eastAsia="en-AU"/>
        </w:rPr>
        <w:t xml:space="preserve"> </w:t>
      </w:r>
      <w:r w:rsidRPr="00B24C02">
        <w:rPr>
          <w:rFonts w:cs="Arial"/>
          <w:color w:val="000000"/>
          <w:szCs w:val="19"/>
          <w:lang w:eastAsia="en-AU"/>
        </w:rPr>
        <w:t>activities</w:t>
      </w:r>
      <w:r w:rsidR="005D5532" w:rsidRPr="00B24C02">
        <w:rPr>
          <w:rFonts w:cs="Arial"/>
          <w:color w:val="000000"/>
          <w:szCs w:val="19"/>
          <w:lang w:eastAsia="en-AU"/>
        </w:rPr>
        <w:t xml:space="preserve"> </w:t>
      </w:r>
      <w:r w:rsidRPr="00B24C02">
        <w:rPr>
          <w:rFonts w:cs="Arial"/>
          <w:color w:val="000000"/>
          <w:szCs w:val="19"/>
          <w:lang w:eastAsia="en-AU"/>
        </w:rPr>
        <w:t>only.</w:t>
      </w:r>
    </w:p>
    <w:p w14:paraId="1FAF457A" w14:textId="77777777"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public</w:t>
      </w:r>
      <w:r w:rsidR="005D5532" w:rsidRPr="00276391">
        <w:rPr>
          <w:lang w:eastAsia="en-AU"/>
        </w:rPr>
        <w:t xml:space="preserve"> </w:t>
      </w:r>
      <w:r w:rsidRPr="00276391">
        <w:rPr>
          <w:lang w:eastAsia="en-AU"/>
        </w:rPr>
        <w:t>healthcare</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then</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benefit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cover</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However,</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contain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healthcare</w:t>
      </w:r>
      <w:r w:rsidR="005D5532" w:rsidRPr="00276391">
        <w:rPr>
          <w:lang w:eastAsia="en-AU"/>
        </w:rPr>
        <w:t xml:space="preserve"> </w:t>
      </w:r>
      <w:r w:rsidRPr="00276391">
        <w:rPr>
          <w:lang w:eastAsia="en-AU"/>
        </w:rPr>
        <w:t>insurance</w:t>
      </w:r>
      <w:r w:rsidR="005D5532" w:rsidRPr="00276391">
        <w:rPr>
          <w:lang w:eastAsia="en-AU"/>
        </w:rPr>
        <w:t xml:space="preserve"> </w:t>
      </w:r>
      <w:proofErr w:type="gramStart"/>
      <w:r w:rsidRPr="00276391">
        <w:rPr>
          <w:lang w:eastAsia="en-AU"/>
        </w:rPr>
        <w:t>program,</w:t>
      </w:r>
      <w:r w:rsidR="005D5532" w:rsidRPr="00276391">
        <w:rPr>
          <w:lang w:eastAsia="en-AU"/>
        </w:rPr>
        <w:t xml:space="preserve"> </w:t>
      </w:r>
      <w:r w:rsidRPr="00276391">
        <w:rPr>
          <w:lang w:eastAsia="en-AU"/>
        </w:rPr>
        <w:t>but</w:t>
      </w:r>
      <w:proofErr w:type="gramEnd"/>
      <w:r w:rsidR="005D5532" w:rsidRPr="00276391">
        <w:rPr>
          <w:lang w:eastAsia="en-AU"/>
        </w:rPr>
        <w:t xml:space="preserve"> </w:t>
      </w:r>
      <w:r w:rsidRPr="00276391">
        <w:rPr>
          <w:lang w:eastAsia="en-AU"/>
        </w:rPr>
        <w:t>contains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CSO</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then</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CSO</w:t>
      </w:r>
      <w:r w:rsidR="005D5532" w:rsidRPr="00276391">
        <w:rPr>
          <w:lang w:eastAsia="en-AU"/>
        </w:rPr>
        <w:t xml:space="preserve"> </w:t>
      </w:r>
      <w:r w:rsidRPr="00276391">
        <w:rPr>
          <w:lang w:eastAsia="en-AU"/>
        </w:rPr>
        <w:t>program.</w:t>
      </w:r>
    </w:p>
    <w:p w14:paraId="220922E7" w14:textId="77777777" w:rsidR="00236748" w:rsidRPr="00276391" w:rsidRDefault="00236748" w:rsidP="00067E93">
      <w:pPr>
        <w:pStyle w:val="Heading4"/>
        <w:rPr>
          <w:lang w:eastAsia="en-AU"/>
        </w:rPr>
      </w:pPr>
      <w:bookmarkStart w:id="534" w:name="_Toc478991884"/>
      <w:r w:rsidRPr="00276391">
        <w:rPr>
          <w:lang w:eastAsia="en-AU"/>
        </w:rPr>
        <w:t>Organisations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programs</w:t>
      </w:r>
      <w:bookmarkEnd w:id="534"/>
    </w:p>
    <w:p w14:paraId="538CB9A1"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eligible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arrange</w:t>
      </w:r>
      <w:r w:rsidR="005D5532" w:rsidRPr="00B24C02">
        <w:rPr>
          <w:rFonts w:cs="Arial"/>
          <w:color w:val="000000"/>
          <w:szCs w:val="19"/>
          <w:lang w:eastAsia="en-AU"/>
        </w:rPr>
        <w:t xml:space="preserve"> </w:t>
      </w:r>
      <w:r w:rsidRPr="00B24C02">
        <w:rPr>
          <w:rFonts w:cs="Arial"/>
          <w:color w:val="000000"/>
          <w:szCs w:val="19"/>
          <w:lang w:eastAsia="en-AU"/>
        </w:rPr>
        <w:t>appropriate</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to:</w:t>
      </w:r>
    </w:p>
    <w:p w14:paraId="58BA3ACA" w14:textId="77777777" w:rsidR="00236748" w:rsidRPr="00276391" w:rsidRDefault="00236748" w:rsidP="00276391">
      <w:pPr>
        <w:pStyle w:val="DHHSbullet1"/>
        <w:rPr>
          <w:rFonts w:cs="Arial"/>
          <w:lang w:eastAsia="en-AU"/>
        </w:rPr>
      </w:pPr>
      <w:r w:rsidRPr="00276391">
        <w:rPr>
          <w:rFonts w:cs="Arial"/>
          <w:lang w:eastAsia="en-AU"/>
        </w:rPr>
        <w:t>protect</w:t>
      </w:r>
      <w:r w:rsidR="005D5532" w:rsidRPr="00276391">
        <w:rPr>
          <w:rFonts w:cs="Arial"/>
          <w:lang w:eastAsia="en-AU"/>
        </w:rPr>
        <w:t xml:space="preserve"> </w:t>
      </w:r>
      <w:r w:rsidRPr="00276391">
        <w:rPr>
          <w:rFonts w:cs="Arial"/>
          <w:lang w:eastAsia="en-AU"/>
        </w:rPr>
        <w:t>physical</w:t>
      </w:r>
      <w:r w:rsidR="005D5532" w:rsidRPr="00276391">
        <w:rPr>
          <w:rFonts w:cs="Arial"/>
          <w:lang w:eastAsia="en-AU"/>
        </w:rPr>
        <w:t xml:space="preserve"> </w:t>
      </w:r>
      <w:r w:rsidRPr="00276391">
        <w:rPr>
          <w:rFonts w:cs="Arial"/>
          <w:lang w:eastAsia="en-AU"/>
        </w:rPr>
        <w:t>assets</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buildings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contents</w:t>
      </w:r>
      <w:r w:rsidR="005D5532" w:rsidRPr="00276391">
        <w:rPr>
          <w:rFonts w:cs="Arial"/>
          <w:lang w:eastAsia="en-AU"/>
        </w:rPr>
        <w:t xml:space="preserve"> </w:t>
      </w:r>
      <w:r w:rsidRPr="00276391">
        <w:rPr>
          <w:rFonts w:cs="Arial"/>
          <w:lang w:eastAsia="en-AU"/>
        </w:rPr>
        <w:t>against</w:t>
      </w:r>
      <w:r w:rsidR="005D5532" w:rsidRPr="00276391">
        <w:rPr>
          <w:rFonts w:cs="Arial"/>
          <w:lang w:eastAsia="en-AU"/>
        </w:rPr>
        <w:t xml:space="preserve"> </w:t>
      </w:r>
      <w:r w:rsidRPr="00276391">
        <w:rPr>
          <w:rFonts w:cs="Arial"/>
          <w:lang w:eastAsia="en-AU"/>
        </w:rPr>
        <w:t>loss</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damage</w:t>
      </w:r>
      <w:r w:rsidR="005D5532" w:rsidRPr="00276391">
        <w:rPr>
          <w:rFonts w:cs="Arial"/>
          <w:lang w:eastAsia="en-AU"/>
        </w:rPr>
        <w:t xml:space="preserve"> </w:t>
      </w:r>
    </w:p>
    <w:p w14:paraId="7B6E4766" w14:textId="77777777" w:rsidR="00236748" w:rsidRPr="00276391" w:rsidRDefault="00236748" w:rsidP="00276391">
      <w:pPr>
        <w:pStyle w:val="DHHSbullet1"/>
        <w:rPr>
          <w:rFonts w:cs="Arial"/>
          <w:lang w:eastAsia="en-AU"/>
        </w:rPr>
      </w:pPr>
      <w:r w:rsidRPr="00276391">
        <w:rPr>
          <w:rFonts w:cs="Arial"/>
          <w:lang w:eastAsia="en-AU"/>
        </w:rPr>
        <w:t>indemnify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against</w:t>
      </w:r>
      <w:r w:rsidR="005D5532" w:rsidRPr="00276391">
        <w:rPr>
          <w:rFonts w:cs="Arial"/>
          <w:lang w:eastAsia="en-AU"/>
        </w:rPr>
        <w:t xml:space="preserve"> </w:t>
      </w:r>
      <w:r w:rsidRPr="00276391">
        <w:rPr>
          <w:rFonts w:cs="Arial"/>
          <w:lang w:eastAsia="en-AU"/>
        </w:rPr>
        <w:t>legal</w:t>
      </w:r>
      <w:r w:rsidR="005D5532" w:rsidRPr="00276391">
        <w:rPr>
          <w:rFonts w:cs="Arial"/>
          <w:lang w:eastAsia="en-AU"/>
        </w:rPr>
        <w:t xml:space="preserve"> </w:t>
      </w:r>
      <w:r w:rsidRPr="00276391">
        <w:rPr>
          <w:rFonts w:cs="Arial"/>
          <w:lang w:eastAsia="en-AU"/>
        </w:rPr>
        <w:t>liability</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personal</w:t>
      </w:r>
      <w:r w:rsidR="005D5532" w:rsidRPr="00276391">
        <w:rPr>
          <w:rFonts w:cs="Arial"/>
          <w:lang w:eastAsia="en-AU"/>
        </w:rPr>
        <w:t xml:space="preserve"> </w:t>
      </w:r>
      <w:r w:rsidRPr="00276391">
        <w:rPr>
          <w:rFonts w:cs="Arial"/>
          <w:lang w:eastAsia="en-AU"/>
        </w:rPr>
        <w:t>injury</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property</w:t>
      </w:r>
      <w:r w:rsidR="005D5532" w:rsidRPr="00276391">
        <w:rPr>
          <w:rFonts w:cs="Arial"/>
          <w:lang w:eastAsia="en-AU"/>
        </w:rPr>
        <w:t xml:space="preserve"> </w:t>
      </w:r>
      <w:r w:rsidRPr="00276391">
        <w:rPr>
          <w:rFonts w:cs="Arial"/>
          <w:lang w:eastAsia="en-AU"/>
        </w:rPr>
        <w:t>damage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financial</w:t>
      </w:r>
      <w:r w:rsidR="005D5532" w:rsidRPr="00276391">
        <w:rPr>
          <w:rFonts w:cs="Arial"/>
          <w:lang w:eastAsia="en-AU"/>
        </w:rPr>
        <w:t xml:space="preserve"> </w:t>
      </w:r>
      <w:r w:rsidRPr="00276391">
        <w:rPr>
          <w:rFonts w:cs="Arial"/>
          <w:lang w:eastAsia="en-AU"/>
        </w:rPr>
        <w:t>loss</w:t>
      </w:r>
      <w:r w:rsidR="005D5532" w:rsidRPr="00276391">
        <w:rPr>
          <w:rFonts w:cs="Arial"/>
          <w:lang w:eastAsia="en-AU"/>
        </w:rPr>
        <w:t xml:space="preserve"> </w:t>
      </w:r>
      <w:r w:rsidRPr="00276391">
        <w:rPr>
          <w:rFonts w:cs="Arial"/>
          <w:lang w:eastAsia="en-AU"/>
        </w:rPr>
        <w:t>claims</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such</w:t>
      </w:r>
      <w:r w:rsidR="005D5532" w:rsidRPr="00276391">
        <w:rPr>
          <w:rFonts w:cs="Arial"/>
          <w:lang w:eastAsia="en-AU"/>
        </w:rPr>
        <w:t xml:space="preserve"> </w:t>
      </w:r>
      <w:r w:rsidRPr="00276391">
        <w:rPr>
          <w:rFonts w:cs="Arial"/>
          <w:lang w:eastAsia="en-AU"/>
        </w:rPr>
        <w:t>policies</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p>
    <w:p w14:paraId="50B60319" w14:textId="77777777" w:rsidR="00236748" w:rsidRPr="00276391" w:rsidRDefault="00236748" w:rsidP="00054330">
      <w:pPr>
        <w:pStyle w:val="DHHSbullet2"/>
        <w:rPr>
          <w:lang w:eastAsia="en-AU"/>
        </w:rPr>
      </w:pPr>
      <w:r w:rsidRPr="00276391">
        <w:rPr>
          <w:lang w:eastAsia="en-AU"/>
        </w:rPr>
        <w:t>public/products</w:t>
      </w:r>
      <w:r w:rsidR="005D5532" w:rsidRPr="00276391">
        <w:rPr>
          <w:lang w:eastAsia="en-AU"/>
        </w:rPr>
        <w:t xml:space="preserve"> </w:t>
      </w:r>
      <w:r w:rsidRPr="00276391">
        <w:rPr>
          <w:lang w:eastAsia="en-AU"/>
        </w:rPr>
        <w:t>liability</w:t>
      </w:r>
      <w:r w:rsidR="005D5532" w:rsidRPr="00276391">
        <w:rPr>
          <w:lang w:eastAsia="en-AU"/>
        </w:rPr>
        <w:t xml:space="preserve"> </w:t>
      </w:r>
    </w:p>
    <w:p w14:paraId="71A1B769" w14:textId="77777777" w:rsidR="00236748" w:rsidRPr="00276391" w:rsidRDefault="00236748" w:rsidP="00054330">
      <w:pPr>
        <w:pStyle w:val="DHHSbullet2"/>
        <w:rPr>
          <w:lang w:eastAsia="en-AU"/>
        </w:rPr>
      </w:pPr>
      <w:r w:rsidRPr="00276391">
        <w:rPr>
          <w:lang w:eastAsia="en-AU"/>
        </w:rPr>
        <w:t>professional</w:t>
      </w:r>
      <w:r w:rsidR="005D5532" w:rsidRPr="00276391">
        <w:rPr>
          <w:lang w:eastAsia="en-AU"/>
        </w:rPr>
        <w:t xml:space="preserve"> </w:t>
      </w:r>
      <w:r w:rsidRPr="00276391">
        <w:rPr>
          <w:lang w:eastAsia="en-AU"/>
        </w:rPr>
        <w:t>indemnity</w:t>
      </w:r>
      <w:r w:rsidR="005D5532" w:rsidRPr="00276391">
        <w:rPr>
          <w:lang w:eastAsia="en-AU"/>
        </w:rPr>
        <w:t xml:space="preserve"> </w:t>
      </w:r>
    </w:p>
    <w:p w14:paraId="64063579" w14:textId="77777777" w:rsidR="00236748" w:rsidRPr="00276391" w:rsidRDefault="00236748" w:rsidP="00054330">
      <w:pPr>
        <w:pStyle w:val="DHHSbullet2"/>
        <w:rPr>
          <w:lang w:eastAsia="en-AU"/>
        </w:rPr>
      </w:pPr>
      <w:r w:rsidRPr="00276391">
        <w:rPr>
          <w:lang w:eastAsia="en-AU"/>
        </w:rPr>
        <w:t>directors'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officers'</w:t>
      </w:r>
      <w:r w:rsidR="005D5532" w:rsidRPr="00276391">
        <w:rPr>
          <w:lang w:eastAsia="en-AU"/>
        </w:rPr>
        <w:t xml:space="preserve"> </w:t>
      </w:r>
      <w:r w:rsidRPr="00276391">
        <w:rPr>
          <w:lang w:eastAsia="en-AU"/>
        </w:rPr>
        <w:t>liability.</w:t>
      </w:r>
      <w:r w:rsidR="005D5532" w:rsidRPr="00276391">
        <w:rPr>
          <w:lang w:eastAsia="en-AU"/>
        </w:rPr>
        <w:t xml:space="preserve"> </w:t>
      </w:r>
    </w:p>
    <w:p w14:paraId="5D3E4663" w14:textId="0975368A" w:rsidR="00236748" w:rsidRPr="00276391" w:rsidRDefault="00236748" w:rsidP="00276391">
      <w:pPr>
        <w:pStyle w:val="DHHSbody"/>
        <w:rPr>
          <w:lang w:eastAsia="en-AU"/>
        </w:rPr>
      </w:pPr>
      <w:r w:rsidRPr="00276391">
        <w:rPr>
          <w:lang w:eastAsia="en-AU"/>
        </w:rPr>
        <w:t>Some</w:t>
      </w:r>
      <w:r w:rsidR="005D5532" w:rsidRPr="00276391">
        <w:rPr>
          <w:lang w:eastAsia="en-AU"/>
        </w:rPr>
        <w:t xml:space="preserve"> </w:t>
      </w:r>
      <w:r w:rsidRPr="00276391">
        <w:rPr>
          <w:lang w:eastAsia="en-AU"/>
        </w:rPr>
        <w:t>legislation</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requires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certain</w:t>
      </w:r>
      <w:r w:rsidR="005D5532" w:rsidRPr="00276391">
        <w:rPr>
          <w:lang w:eastAsia="en-AU"/>
        </w:rPr>
        <w:t xml:space="preserve"> </w:t>
      </w:r>
      <w:r w:rsidRPr="00276391">
        <w:rPr>
          <w:lang w:eastAsia="en-AU"/>
        </w:rPr>
        <w:t>types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WorkCover</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w:t>
      </w:r>
      <w:r w:rsidR="00BD023C">
        <w:rPr>
          <w:lang w:eastAsia="en-AU"/>
        </w:rPr>
        <w:t>see</w:t>
      </w:r>
      <w:r w:rsidR="006250C7">
        <w:rPr>
          <w:lang w:eastAsia="en-AU"/>
        </w:rPr>
        <w:t xml:space="preserve"> </w:t>
      </w:r>
      <w:r w:rsidRPr="00276391">
        <w:rPr>
          <w:lang w:eastAsia="en-AU"/>
        </w:rPr>
        <w:t>the</w:t>
      </w:r>
      <w:r w:rsidR="005D5532" w:rsidRPr="00276391">
        <w:rPr>
          <w:lang w:eastAsia="en-AU"/>
        </w:rPr>
        <w:t xml:space="preserve"> </w:t>
      </w:r>
      <w:hyperlink r:id="rId135" w:tgtFrame="_blank" w:history="1">
        <w:r w:rsidRPr="00CD3C6A">
          <w:rPr>
            <w:rStyle w:val="Hyperlink"/>
          </w:rPr>
          <w:t>WorkSafe</w:t>
        </w:r>
        <w:r w:rsidR="005D5532" w:rsidRPr="00CD3C6A">
          <w:rPr>
            <w:rStyle w:val="Hyperlink"/>
          </w:rPr>
          <w:t xml:space="preserve"> </w:t>
        </w:r>
        <w:r w:rsidRPr="00CD3C6A">
          <w:rPr>
            <w:rStyle w:val="Hyperlink"/>
          </w:rPr>
          <w:t>Victoria</w:t>
        </w:r>
        <w:r w:rsidR="005D5532" w:rsidRPr="00CD3C6A">
          <w:rPr>
            <w:rStyle w:val="Hyperlink"/>
            <w:lang w:eastAsia="en-AU"/>
          </w:rPr>
          <w:t xml:space="preserve"> </w:t>
        </w:r>
        <w:r w:rsidRPr="00CD3C6A">
          <w:rPr>
            <w:rStyle w:val="Hyperlink"/>
            <w:lang w:eastAsia="en-AU"/>
          </w:rPr>
          <w:t>website</w:t>
        </w:r>
      </w:hyperlink>
      <w:r w:rsidR="005D5532" w:rsidRPr="00276391">
        <w:rPr>
          <w:lang w:eastAsia="en-AU"/>
        </w:rPr>
        <w:t xml:space="preserve"> </w:t>
      </w:r>
      <w:r w:rsidR="00CD3C6A">
        <w:rPr>
          <w:lang w:eastAsia="en-AU"/>
        </w:rPr>
        <w:t>&lt;</w:t>
      </w:r>
      <w:r w:rsidR="00CD3C6A" w:rsidRPr="00CD3C6A">
        <w:rPr>
          <w:lang w:eastAsia="en-AU"/>
        </w:rPr>
        <w:t>https://www.worksafe.vic.gov.au/</w:t>
      </w:r>
      <w:r w:rsidR="00CD3C6A">
        <w:rPr>
          <w:lang w:eastAsia="en-AU"/>
        </w:rPr>
        <w:t>&gt;</w:t>
      </w:r>
      <w:r w:rsidR="00CD3C6A" w:rsidRPr="00CD3C6A">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CD3C6A">
        <w:rPr>
          <w:lang w:eastAsia="en-AU"/>
        </w:rPr>
        <w:t>.</w:t>
      </w:r>
    </w:p>
    <w:p w14:paraId="391F1F3A" w14:textId="77777777" w:rsidR="00236748" w:rsidRPr="00276391" w:rsidRDefault="00236748" w:rsidP="00067E93">
      <w:pPr>
        <w:pStyle w:val="Heading4"/>
        <w:rPr>
          <w:lang w:eastAsia="en-AU"/>
        </w:rPr>
      </w:pPr>
      <w:bookmarkStart w:id="535" w:name="_Toc478991885"/>
      <w:r w:rsidRPr="00276391">
        <w:rPr>
          <w:lang w:eastAsia="en-AU"/>
        </w:rPr>
        <w:t>Insurance</w:t>
      </w:r>
      <w:r w:rsidR="005D5532" w:rsidRPr="00276391">
        <w:rPr>
          <w:lang w:eastAsia="en-AU"/>
        </w:rPr>
        <w:t xml:space="preserve"> </w:t>
      </w:r>
      <w:r w:rsidRPr="00276391">
        <w:rPr>
          <w:lang w:eastAsia="en-AU"/>
        </w:rPr>
        <w:t>enquiries</w:t>
      </w:r>
      <w:bookmarkEnd w:id="535"/>
    </w:p>
    <w:p w14:paraId="79FDD70C" w14:textId="090F7E92"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unsure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eligibility</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cover</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arrangements</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who</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necessary</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matter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insurance</w:t>
      </w:r>
      <w:r w:rsidR="005D5532" w:rsidRPr="00B24C02">
        <w:rPr>
          <w:rFonts w:cs="Arial"/>
          <w:color w:val="000000"/>
          <w:szCs w:val="19"/>
          <w:lang w:eastAsia="en-AU"/>
        </w:rPr>
        <w:t xml:space="preserve"> </w:t>
      </w:r>
      <w:r w:rsidRPr="00B24C02">
        <w:rPr>
          <w:rFonts w:cs="Arial"/>
          <w:color w:val="000000"/>
          <w:szCs w:val="19"/>
          <w:lang w:eastAsia="en-AU"/>
        </w:rPr>
        <w:t>manager.</w:t>
      </w:r>
      <w:r w:rsidR="005D5532" w:rsidRPr="00B24C02">
        <w:rPr>
          <w:rFonts w:cs="Arial"/>
          <w:color w:val="000000"/>
          <w:szCs w:val="19"/>
          <w:lang w:eastAsia="en-AU"/>
        </w:rPr>
        <w:t xml:space="preserve"> </w:t>
      </w:r>
    </w:p>
    <w:p w14:paraId="1A2FE58B" w14:textId="77777777" w:rsidR="00236748" w:rsidRPr="00276391" w:rsidRDefault="00236748" w:rsidP="00276391">
      <w:pPr>
        <w:pStyle w:val="DHHSbody"/>
        <w:rPr>
          <w:lang w:eastAsia="en-AU"/>
        </w:rPr>
      </w:pPr>
      <w:r w:rsidRPr="00276391">
        <w:rPr>
          <w:lang w:eastAsia="en-AU"/>
        </w:rPr>
        <w:t>Specific</w:t>
      </w:r>
      <w:r w:rsidR="005D5532" w:rsidRPr="00276391">
        <w:rPr>
          <w:lang w:eastAsia="en-AU"/>
        </w:rPr>
        <w:t xml:space="preserve"> </w:t>
      </w:r>
      <w:r w:rsidRPr="00276391">
        <w:rPr>
          <w:lang w:eastAsia="en-AU"/>
        </w:rPr>
        <w:t>enquiries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matters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referred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VMIA.</w:t>
      </w:r>
      <w:r w:rsidR="005D5532" w:rsidRPr="00276391">
        <w:rPr>
          <w:lang w:eastAsia="en-AU"/>
        </w:rPr>
        <w:t xml:space="preserve"> </w:t>
      </w:r>
      <w:r w:rsidRPr="00276391">
        <w:rPr>
          <w:lang w:eastAsia="en-AU"/>
        </w:rPr>
        <w:t>The</w:t>
      </w:r>
      <w:r w:rsidR="005D5532" w:rsidRPr="00276391">
        <w:rPr>
          <w:lang w:eastAsia="en-AU"/>
        </w:rPr>
        <w:t xml:space="preserve"> </w:t>
      </w:r>
      <w:hyperlink r:id="rId136" w:tgtFrame="_blank" w:history="1">
        <w:r w:rsidRPr="00986D1E">
          <w:rPr>
            <w:rStyle w:val="Hyperlink"/>
          </w:rPr>
          <w:t>VMIA</w:t>
        </w:r>
        <w:r w:rsidR="005D5532" w:rsidRPr="00986D1E">
          <w:rPr>
            <w:rStyle w:val="Hyperlink"/>
          </w:rPr>
          <w:t xml:space="preserve"> </w:t>
        </w:r>
        <w:r w:rsidRPr="00986D1E">
          <w:rPr>
            <w:rStyle w:val="Hyperlink"/>
          </w:rPr>
          <w:t>website</w:t>
        </w:r>
      </w:hyperlink>
      <w:r w:rsidR="005D5532" w:rsidRPr="00276391">
        <w:rPr>
          <w:lang w:eastAsia="en-AU"/>
        </w:rPr>
        <w:t xml:space="preserve"> </w:t>
      </w:r>
      <w:r w:rsidR="00CD3C6A">
        <w:rPr>
          <w:lang w:eastAsia="en-AU"/>
        </w:rPr>
        <w:t>&lt;</w:t>
      </w:r>
      <w:r w:rsidR="00CD3C6A" w:rsidRPr="00CD3C6A">
        <w:rPr>
          <w:lang w:eastAsia="en-AU"/>
        </w:rPr>
        <w:t>http://www.vmia.vic.gov.au/</w:t>
      </w:r>
      <w:r w:rsidR="00CD3C6A">
        <w:rPr>
          <w:lang w:eastAsia="en-AU"/>
        </w:rPr>
        <w:t>&gt;</w:t>
      </w:r>
      <w:r w:rsidR="00CD3C6A" w:rsidRPr="00CD3C6A">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lists</w:t>
      </w:r>
      <w:r w:rsidR="005D5532" w:rsidRPr="00276391">
        <w:rPr>
          <w:lang w:eastAsia="en-AU"/>
        </w:rPr>
        <w:t xml:space="preserve"> </w:t>
      </w:r>
      <w:r w:rsidRPr="00276391">
        <w:rPr>
          <w:lang w:eastAsia="en-AU"/>
        </w:rPr>
        <w:t>names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numbers</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program.</w:t>
      </w:r>
    </w:p>
    <w:p w14:paraId="3A85B47A" w14:textId="77777777" w:rsidR="00236748" w:rsidRPr="00276391" w:rsidRDefault="00236748" w:rsidP="00067E93">
      <w:pPr>
        <w:pStyle w:val="Heading3"/>
        <w:rPr>
          <w:lang w:eastAsia="en-AU"/>
        </w:rPr>
      </w:pPr>
      <w:bookmarkStart w:id="536" w:name="_Toc478991886"/>
      <w:bookmarkStart w:id="537" w:name="_Toc478992434"/>
      <w:bookmarkStart w:id="538" w:name="_Toc4142101"/>
      <w:r w:rsidRPr="00276391">
        <w:rPr>
          <w:lang w:eastAsia="en-AU"/>
        </w:rPr>
        <w:t>3.20.2</w:t>
      </w:r>
      <w:r w:rsidR="009B2351" w:rsidRPr="00276391">
        <w:rPr>
          <w:lang w:eastAsia="en-AU"/>
        </w:rPr>
        <w:t xml:space="preserve"> </w:t>
      </w:r>
      <w:r w:rsidRPr="00276391">
        <w:rPr>
          <w:lang w:eastAsia="en-AU"/>
        </w:rPr>
        <w:t>Risk</w:t>
      </w:r>
      <w:r w:rsidR="009B2351" w:rsidRPr="00276391">
        <w:rPr>
          <w:lang w:eastAsia="en-AU"/>
        </w:rPr>
        <w:t xml:space="preserve"> </w:t>
      </w:r>
      <w:r w:rsidRPr="00276391">
        <w:rPr>
          <w:lang w:eastAsia="en-AU"/>
        </w:rPr>
        <w:t>management</w:t>
      </w:r>
      <w:bookmarkEnd w:id="536"/>
      <w:bookmarkEnd w:id="537"/>
      <w:bookmarkEnd w:id="538"/>
    </w:p>
    <w:p w14:paraId="366981E4" w14:textId="77777777" w:rsidR="00236748" w:rsidRPr="00276391" w:rsidRDefault="00236748" w:rsidP="00276391">
      <w:pPr>
        <w:pStyle w:val="DHHSbody"/>
        <w:rPr>
          <w:lang w:eastAsia="en-AU"/>
        </w:rPr>
      </w:pPr>
      <w:r w:rsidRPr="00276391">
        <w:rPr>
          <w:lang w:eastAsia="en-AU"/>
        </w:rPr>
        <w:t>Risk</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integral</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good</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practice.</w:t>
      </w:r>
    </w:p>
    <w:p w14:paraId="08A8CBF1" w14:textId="28A74251" w:rsidR="00236748" w:rsidRPr="00276391" w:rsidRDefault="00236748" w:rsidP="00054330">
      <w:pPr>
        <w:pStyle w:val="DHHSbody"/>
        <w:rPr>
          <w:lang w:eastAsia="en-AU"/>
        </w:rPr>
      </w:pPr>
      <w:r w:rsidRPr="00276391">
        <w:rPr>
          <w:lang w:eastAsia="en-AU"/>
        </w:rPr>
        <w:lastRenderedPageBreak/>
        <w:t>Among</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things,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p>
    <w:p w14:paraId="4EA4944C" w14:textId="77777777" w:rsidR="00236748" w:rsidRPr="00276391" w:rsidRDefault="00236748" w:rsidP="00276391">
      <w:pPr>
        <w:pStyle w:val="DHHSbullet1"/>
        <w:rPr>
          <w:rFonts w:cs="Arial"/>
          <w:lang w:eastAsia="en-AU"/>
        </w:rPr>
      </w:pPr>
      <w:r w:rsidRPr="00276391">
        <w:rPr>
          <w:rFonts w:cs="Arial"/>
          <w:lang w:eastAsia="en-AU"/>
        </w:rPr>
        <w:t>manage</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Australian/New</w:t>
      </w:r>
      <w:r w:rsidR="005D5532" w:rsidRPr="00276391">
        <w:rPr>
          <w:rFonts w:cs="Arial"/>
          <w:lang w:eastAsia="en-AU"/>
        </w:rPr>
        <w:t xml:space="preserve"> </w:t>
      </w:r>
      <w:r w:rsidRPr="00276391">
        <w:rPr>
          <w:rFonts w:cs="Arial"/>
          <w:lang w:eastAsia="en-AU"/>
        </w:rPr>
        <w:t>Zealand</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r w:rsidRPr="00276391">
        <w:rPr>
          <w:rFonts w:cs="Arial"/>
          <w:lang w:eastAsia="en-AU"/>
        </w:rPr>
        <w:t>AS/NZS</w:t>
      </w:r>
      <w:r w:rsidR="005D5532" w:rsidRPr="00276391">
        <w:rPr>
          <w:rFonts w:cs="Arial"/>
          <w:lang w:eastAsia="en-AU"/>
        </w:rPr>
        <w:t xml:space="preserve"> </w:t>
      </w:r>
      <w:r w:rsidRPr="00276391">
        <w:rPr>
          <w:rFonts w:cs="Arial"/>
          <w:lang w:eastAsia="en-AU"/>
        </w:rPr>
        <w:t>ISO</w:t>
      </w:r>
      <w:r w:rsidR="005D5532" w:rsidRPr="00276391">
        <w:rPr>
          <w:rFonts w:cs="Arial"/>
          <w:lang w:eastAsia="en-AU"/>
        </w:rPr>
        <w:t xml:space="preserve"> </w:t>
      </w:r>
      <w:r w:rsidRPr="00276391">
        <w:rPr>
          <w:rFonts w:cs="Arial"/>
          <w:lang w:eastAsia="en-AU"/>
        </w:rPr>
        <w:t>31000:2009</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p>
    <w:p w14:paraId="1ADA06D9" w14:textId="77777777" w:rsidR="00236748" w:rsidRPr="00276391" w:rsidRDefault="00236748" w:rsidP="00276391">
      <w:pPr>
        <w:pStyle w:val="DHHSbullet1"/>
        <w:rPr>
          <w:rFonts w:cs="Arial"/>
          <w:lang w:eastAsia="en-AU"/>
        </w:rPr>
      </w:pPr>
      <w:r w:rsidRPr="00276391">
        <w:rPr>
          <w:rFonts w:cs="Arial"/>
          <w:lang w:eastAsia="en-AU"/>
        </w:rPr>
        <w:t>have</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chief</w:t>
      </w:r>
      <w:r w:rsidR="005D5532" w:rsidRPr="00276391">
        <w:rPr>
          <w:rFonts w:cs="Arial"/>
          <w:lang w:eastAsia="en-AU"/>
        </w:rPr>
        <w:t xml:space="preserve"> </w:t>
      </w:r>
      <w:r w:rsidRPr="00276391">
        <w:rPr>
          <w:rFonts w:cs="Arial"/>
          <w:lang w:eastAsia="en-AU"/>
        </w:rPr>
        <w:t>executive</w:t>
      </w:r>
      <w:r w:rsidR="005D5532" w:rsidRPr="00276391">
        <w:rPr>
          <w:rFonts w:cs="Arial"/>
          <w:lang w:eastAsia="en-AU"/>
        </w:rPr>
        <w:t xml:space="preserve"> </w:t>
      </w:r>
      <w:r w:rsidRPr="00276391">
        <w:rPr>
          <w:rFonts w:cs="Arial"/>
          <w:lang w:eastAsia="en-AU"/>
        </w:rPr>
        <w:t>officer</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board</w:t>
      </w:r>
      <w:r w:rsidR="005D5532" w:rsidRPr="00276391">
        <w:rPr>
          <w:rFonts w:cs="Arial"/>
          <w:lang w:eastAsia="en-AU"/>
        </w:rPr>
        <w:t xml:space="preserve"> </w:t>
      </w:r>
      <w:r w:rsidRPr="00276391">
        <w:rPr>
          <w:rFonts w:cs="Arial"/>
          <w:lang w:eastAsia="en-AU"/>
        </w:rPr>
        <w:t>member</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attest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annually</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among</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things,</w:t>
      </w:r>
      <w:r w:rsidR="005D5532" w:rsidRPr="00276391">
        <w:rPr>
          <w:rFonts w:cs="Arial"/>
          <w:lang w:eastAsia="en-AU"/>
        </w:rPr>
        <w:t xml:space="preserve"> </w:t>
      </w:r>
      <w:r w:rsidRPr="00276391">
        <w:rPr>
          <w:rFonts w:cs="Arial"/>
          <w:lang w:eastAsia="en-AU"/>
        </w:rPr>
        <w:t>its</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processes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consistent</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managed</w:t>
      </w:r>
      <w:r w:rsidR="005D5532" w:rsidRPr="00276391">
        <w:rPr>
          <w:rFonts w:cs="Arial"/>
          <w:lang w:eastAsia="en-AU"/>
        </w:rPr>
        <w:t xml:space="preserve"> </w:t>
      </w:r>
      <w:r w:rsidRPr="00276391">
        <w:rPr>
          <w:rFonts w:cs="Arial"/>
          <w:lang w:eastAsia="en-AU"/>
        </w:rPr>
        <w:t>risk</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accordance</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Standard.</w:t>
      </w:r>
      <w:r w:rsidR="005D5532" w:rsidRPr="00276391">
        <w:rPr>
          <w:rFonts w:cs="Arial"/>
          <w:lang w:eastAsia="en-AU"/>
        </w:rPr>
        <w:t xml:space="preserve"> </w:t>
      </w:r>
    </w:p>
    <w:p w14:paraId="73C8019E" w14:textId="61EB50FD" w:rsidR="003A6846" w:rsidRDefault="003A6846" w:rsidP="00276391">
      <w:pPr>
        <w:pStyle w:val="DHHSbody"/>
        <w:rPr>
          <w:rFonts w:cs="Arial"/>
          <w:color w:val="000000"/>
          <w:szCs w:val="19"/>
          <w:lang w:eastAsia="en-AU"/>
        </w:rPr>
      </w:pPr>
      <w:r>
        <w:rPr>
          <w:rFonts w:cs="Arial"/>
          <w:color w:val="000000"/>
          <w:szCs w:val="19"/>
          <w:lang w:eastAsia="en-AU"/>
        </w:rPr>
        <w:t xml:space="preserve">The risk management declaration is a question in the </w:t>
      </w:r>
      <w:r w:rsidR="009B3052">
        <w:rPr>
          <w:rFonts w:cs="Arial"/>
          <w:color w:val="000000"/>
          <w:szCs w:val="19"/>
          <w:lang w:eastAsia="en-AU"/>
        </w:rPr>
        <w:t>Service agreement</w:t>
      </w:r>
      <w:r w:rsidR="00B66DB2">
        <w:rPr>
          <w:rFonts w:cs="Arial"/>
          <w:color w:val="000000"/>
          <w:szCs w:val="19"/>
          <w:lang w:eastAsia="en-AU"/>
        </w:rPr>
        <w:t xml:space="preserve"> certification c</w:t>
      </w:r>
      <w:r>
        <w:rPr>
          <w:rFonts w:cs="Arial"/>
          <w:color w:val="000000"/>
          <w:szCs w:val="19"/>
          <w:lang w:eastAsia="en-AU"/>
        </w:rPr>
        <w:t>ompliance (SACC) Form. More information about the SAC</w:t>
      </w:r>
      <w:r w:rsidR="00B66DB2">
        <w:rPr>
          <w:rFonts w:cs="Arial"/>
          <w:color w:val="000000"/>
          <w:szCs w:val="19"/>
          <w:lang w:eastAsia="en-AU"/>
        </w:rPr>
        <w:t>C is available from the Funded agency c</w:t>
      </w:r>
      <w:r>
        <w:rPr>
          <w:rFonts w:cs="Arial"/>
          <w:color w:val="000000"/>
          <w:szCs w:val="19"/>
          <w:lang w:eastAsia="en-AU"/>
        </w:rPr>
        <w:t>hannel user guide section.</w:t>
      </w:r>
    </w:p>
    <w:p w14:paraId="4921EABE" w14:textId="0A1BFAEB" w:rsidR="00C12DCE" w:rsidRPr="002604A9" w:rsidRDefault="00C12DCE" w:rsidP="00276391">
      <w:pPr>
        <w:pStyle w:val="DHHSbody"/>
        <w:rPr>
          <w:lang w:eastAsia="en-AU"/>
        </w:rPr>
      </w:pPr>
      <w:r>
        <w:t>The</w:t>
      </w:r>
      <w:r w:rsidRPr="00B24C02">
        <w:rPr>
          <w:rFonts w:cs="Arial"/>
          <w:color w:val="000000"/>
          <w:szCs w:val="19"/>
          <w:lang w:eastAsia="en-AU"/>
        </w:rPr>
        <w:t xml:space="preserve"> Victorian Managed Insurance Authority (VMIA</w:t>
      </w:r>
      <w:r>
        <w:rPr>
          <w:rFonts w:cs="Arial"/>
          <w:color w:val="000000"/>
          <w:szCs w:val="19"/>
          <w:lang w:eastAsia="en-AU"/>
        </w:rPr>
        <w:t>) has supporting resources about risk management</w:t>
      </w:r>
      <w:r w:rsidRPr="00B24C02">
        <w:rPr>
          <w:rFonts w:cs="Arial"/>
          <w:color w:val="000000"/>
          <w:szCs w:val="19"/>
          <w:lang w:eastAsia="en-AU"/>
        </w:rPr>
        <w:t>.</w:t>
      </w:r>
    </w:p>
    <w:p w14:paraId="35AC5F4C" w14:textId="213D50E6"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B66DB2">
        <w:rPr>
          <w:lang w:eastAsia="en-AU"/>
        </w:rPr>
        <w:t>SACC</w:t>
      </w:r>
      <w:r w:rsidR="003A6846"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online</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hyperlink r:id="rId137" w:tgtFrame="_blank" w:tooltip="link to the Funded Agency Channel website" w:history="1">
        <w:r w:rsidR="00296DCA">
          <w:rPr>
            <w:rStyle w:val="Hyperlink"/>
          </w:rPr>
          <w:t>Funded agency channel</w:t>
        </w:r>
      </w:hyperlink>
      <w:r w:rsidR="00037682" w:rsidRPr="00276391">
        <w:rPr>
          <w:lang w:eastAsia="en-AU"/>
        </w:rPr>
        <w:t xml:space="preserve"> </w:t>
      </w:r>
      <w:r w:rsidR="00037682">
        <w:rPr>
          <w:lang w:eastAsia="en-AU"/>
        </w:rPr>
        <w:t>&lt;</w:t>
      </w:r>
      <w:r w:rsidR="00FC2233" w:rsidRPr="00FC2233">
        <w:rPr>
          <w:lang w:eastAsia="en-AU"/>
        </w:rPr>
        <w:t>https://fac.dhhs.vic.gov.au</w:t>
      </w:r>
      <w:r w:rsidR="00037682">
        <w:rPr>
          <w:lang w:eastAsia="en-AU"/>
        </w:rPr>
        <w:t>&gt;</w:t>
      </w:r>
      <w:r w:rsidR="005D5532"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Instructions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accessing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138" w:history="1">
        <w:r w:rsidR="00296DCA" w:rsidRPr="00CE55BA">
          <w:rPr>
            <w:rStyle w:val="Hyperlink"/>
            <w:lang w:eastAsia="en-AU"/>
          </w:rPr>
          <w:t>Funded agency channel</w:t>
        </w:r>
        <w:r w:rsidR="005D5532" w:rsidRPr="00CE55BA">
          <w:rPr>
            <w:rStyle w:val="Hyperlink"/>
            <w:lang w:eastAsia="en-AU"/>
          </w:rPr>
          <w:t xml:space="preserve"> </w:t>
        </w:r>
        <w:r w:rsidRPr="00CE55BA">
          <w:rPr>
            <w:rStyle w:val="Hyperlink"/>
            <w:lang w:eastAsia="en-AU"/>
          </w:rPr>
          <w:t>under</w:t>
        </w:r>
        <w:r w:rsidR="005D5532" w:rsidRPr="00CE55BA">
          <w:rPr>
            <w:rStyle w:val="Hyperlink"/>
            <w:lang w:eastAsia="en-AU"/>
          </w:rPr>
          <w:t xml:space="preserve"> </w:t>
        </w:r>
        <w:r w:rsidRPr="00CE55BA">
          <w:rPr>
            <w:rStyle w:val="Hyperlink"/>
          </w:rPr>
          <w:t>User</w:t>
        </w:r>
        <w:r w:rsidR="005D5532" w:rsidRPr="00CE55BA">
          <w:rPr>
            <w:rStyle w:val="Hyperlink"/>
          </w:rPr>
          <w:t xml:space="preserve"> </w:t>
        </w:r>
        <w:r w:rsidRPr="00CE55BA">
          <w:rPr>
            <w:rStyle w:val="Hyperlink"/>
          </w:rPr>
          <w:t>guidelines</w:t>
        </w:r>
      </w:hyperlink>
      <w:r w:rsidR="005D5532" w:rsidRPr="00276391">
        <w:rPr>
          <w:lang w:eastAsia="en-AU"/>
        </w:rPr>
        <w:t xml:space="preserve"> </w:t>
      </w:r>
      <w:r w:rsidR="00B406B7">
        <w:rPr>
          <w:lang w:eastAsia="en-AU"/>
        </w:rPr>
        <w:t>&lt;</w:t>
      </w:r>
      <w:r w:rsidR="00CE55BA" w:rsidRPr="00CE55BA">
        <w:rPr>
          <w:lang w:eastAsia="en-AU"/>
        </w:rPr>
        <w:t>https://fac.dhhs.vic.gov.au/my-agency-non-dhhs-staff</w:t>
      </w:r>
      <w:r w:rsidR="00B406B7">
        <w:rPr>
          <w:lang w:eastAsia="en-AU"/>
        </w:rPr>
        <w:t>&gt;</w:t>
      </w:r>
      <w:r w:rsidR="00B406B7" w:rsidRPr="00B406B7">
        <w:rPr>
          <w:lang w:eastAsia="en-AU"/>
        </w:rPr>
        <w:t xml:space="preserve"> </w:t>
      </w:r>
      <w:r w:rsidRPr="00276391">
        <w:rPr>
          <w:lang w:eastAsia="en-AU"/>
        </w:rPr>
        <w:t>(</w:t>
      </w:r>
      <w:r w:rsidR="00C9629F">
        <w:rPr>
          <w:lang w:eastAsia="en-AU"/>
        </w:rPr>
        <w:t xml:space="preserve">external link,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30D0A972" w14:textId="17A77182"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information,</w:t>
      </w:r>
      <w:r w:rsidR="005D5532" w:rsidRPr="00276391">
        <w:rPr>
          <w:lang w:eastAsia="en-AU"/>
        </w:rPr>
        <w:t xml:space="preserve"> </w:t>
      </w:r>
      <w:r w:rsidR="00BD023C">
        <w:rPr>
          <w:lang w:eastAsia="en-AU"/>
        </w:rPr>
        <w:t xml:space="preserve">see </w:t>
      </w:r>
      <w:hyperlink w:anchor="_3.8.1_Reporting_and" w:history="1">
        <w:r w:rsidR="00B66DB2" w:rsidRPr="00B66DB2">
          <w:rPr>
            <w:rStyle w:val="Hyperlink"/>
            <w:lang w:eastAsia="en-AU"/>
          </w:rPr>
          <w:t>Chapter</w:t>
        </w:r>
        <w:r w:rsidR="005D5532" w:rsidRPr="00B66DB2">
          <w:rPr>
            <w:rStyle w:val="Hyperlink"/>
            <w:lang w:eastAsia="en-AU"/>
          </w:rPr>
          <w:t xml:space="preserve"> </w:t>
        </w:r>
        <w:r w:rsidRPr="00B66DB2">
          <w:rPr>
            <w:rStyle w:val="Hyperlink"/>
          </w:rPr>
          <w:t>3.8.1</w:t>
        </w:r>
      </w:hyperlink>
      <w:r w:rsidRPr="00276391">
        <w:rPr>
          <w:lang w:eastAsia="en-AU"/>
        </w:rPr>
        <w:t>.</w:t>
      </w:r>
    </w:p>
    <w:p w14:paraId="50015527" w14:textId="155C87C9" w:rsidR="00236748" w:rsidRPr="00276391" w:rsidRDefault="00236748" w:rsidP="00067E93">
      <w:pPr>
        <w:pStyle w:val="Heading4"/>
        <w:rPr>
          <w:lang w:eastAsia="en-AU"/>
        </w:rPr>
      </w:pPr>
      <w:bookmarkStart w:id="539" w:name="_Toc478991887"/>
      <w:r w:rsidRPr="00276391">
        <w:rPr>
          <w:lang w:eastAsia="en-AU"/>
        </w:rPr>
        <w:t>Timelines</w:t>
      </w:r>
      <w:r w:rsidR="005D5532" w:rsidRPr="00276391">
        <w:rPr>
          <w:lang w:eastAsia="en-AU"/>
        </w:rPr>
        <w:t xml:space="preserve"> </w:t>
      </w:r>
      <w:r w:rsidRPr="00276391">
        <w:rPr>
          <w:lang w:eastAsia="en-AU"/>
        </w:rPr>
        <w:t>for</w:t>
      </w:r>
      <w:r w:rsidR="005D5532" w:rsidRPr="00276391">
        <w:rPr>
          <w:lang w:eastAsia="en-AU"/>
        </w:rPr>
        <w:t xml:space="preserve"> </w:t>
      </w:r>
      <w:bookmarkEnd w:id="539"/>
      <w:r w:rsidR="00C12DCE">
        <w:rPr>
          <w:lang w:eastAsia="en-AU"/>
        </w:rPr>
        <w:t>the SACC</w:t>
      </w:r>
    </w:p>
    <w:p w14:paraId="5E2C91BB" w14:textId="70626725"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3A6846">
        <w:rPr>
          <w:rFonts w:cs="Arial"/>
          <w:color w:val="000000"/>
          <w:szCs w:val="19"/>
          <w:lang w:eastAsia="en-AU"/>
        </w:rPr>
        <w:t>SACC</w:t>
      </w:r>
      <w:r w:rsidR="005D5532" w:rsidRPr="00B24C02">
        <w:rPr>
          <w:rFonts w:cs="Arial"/>
          <w:color w:val="000000"/>
          <w:szCs w:val="19"/>
          <w:lang w:eastAsia="en-AU"/>
        </w:rPr>
        <w:t xml:space="preserve"> </w:t>
      </w:r>
      <w:r w:rsidRPr="00B24C02">
        <w:rPr>
          <w:rFonts w:cs="Arial"/>
          <w:color w:val="000000"/>
          <w:szCs w:val="19"/>
          <w:lang w:eastAsia="en-AU"/>
        </w:rPr>
        <w:t>due</w:t>
      </w:r>
      <w:r w:rsidR="005D5532" w:rsidRPr="00B24C02">
        <w:rPr>
          <w:rFonts w:cs="Arial"/>
          <w:color w:val="000000"/>
          <w:szCs w:val="19"/>
          <w:lang w:eastAsia="en-AU"/>
        </w:rPr>
        <w:t xml:space="preserve"> </w:t>
      </w:r>
      <w:r w:rsidRPr="00B24C02">
        <w:rPr>
          <w:rFonts w:cs="Arial"/>
          <w:color w:val="000000"/>
          <w:szCs w:val="19"/>
          <w:lang w:eastAsia="en-AU"/>
        </w:rPr>
        <w:t>date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aligned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Accountability</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(FAR)</w:t>
      </w:r>
      <w:r w:rsidR="005D5532" w:rsidRPr="00B24C02">
        <w:rPr>
          <w:rFonts w:cs="Arial"/>
          <w:color w:val="000000"/>
          <w:szCs w:val="19"/>
          <w:lang w:eastAsia="en-AU"/>
        </w:rPr>
        <w:t xml:space="preserve"> </w:t>
      </w:r>
      <w:r w:rsidRPr="00B24C02">
        <w:rPr>
          <w:rFonts w:cs="Arial"/>
          <w:color w:val="000000"/>
          <w:szCs w:val="19"/>
          <w:lang w:eastAsia="en-AU"/>
        </w:rPr>
        <w:t>due</w:t>
      </w:r>
      <w:r w:rsidR="005D5532" w:rsidRPr="00B24C02">
        <w:rPr>
          <w:rFonts w:cs="Arial"/>
          <w:color w:val="000000"/>
          <w:szCs w:val="19"/>
          <w:lang w:eastAsia="en-AU"/>
        </w:rPr>
        <w:t xml:space="preserve"> </w:t>
      </w:r>
      <w:r w:rsidRPr="00B24C02">
        <w:rPr>
          <w:rFonts w:cs="Arial"/>
          <w:color w:val="000000"/>
          <w:szCs w:val="19"/>
          <w:lang w:eastAsia="en-AU"/>
        </w:rPr>
        <w:t>date.</w:t>
      </w:r>
    </w:p>
    <w:p w14:paraId="6EDFA798" w14:textId="2366D062"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3A6846">
        <w:rPr>
          <w:lang w:eastAsia="en-AU"/>
        </w:rPr>
        <w:t>SACC</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three</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seven</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meeting</w:t>
      </w:r>
      <w:r w:rsidR="005D5532" w:rsidRPr="00276391">
        <w:rPr>
          <w:lang w:eastAsia="en-AU"/>
        </w:rPr>
        <w:t xml:space="preserve"> </w:t>
      </w:r>
      <w:r w:rsidRPr="00276391">
        <w:rPr>
          <w:lang w:eastAsia="en-AU"/>
        </w:rPr>
        <w:t>(AGM),</w:t>
      </w:r>
      <w:r w:rsidR="005D5532" w:rsidRPr="00276391">
        <w:rPr>
          <w:lang w:eastAsia="en-AU"/>
        </w:rPr>
        <w:t xml:space="preserve"> </w:t>
      </w:r>
      <w:r w:rsidRPr="00276391">
        <w:rPr>
          <w:lang w:eastAsia="en-AU"/>
        </w:rPr>
        <w:t>unless</w:t>
      </w:r>
      <w:r w:rsidR="005D5532" w:rsidRPr="00276391">
        <w:rPr>
          <w:lang w:eastAsia="en-AU"/>
        </w:rPr>
        <w:t xml:space="preserve"> </w:t>
      </w:r>
      <w:r w:rsidRPr="00276391">
        <w:rPr>
          <w:lang w:eastAsia="en-AU"/>
        </w:rPr>
        <w:t>otherwise</w:t>
      </w:r>
      <w:r w:rsidR="005D5532" w:rsidRPr="00276391">
        <w:rPr>
          <w:lang w:eastAsia="en-AU"/>
        </w:rPr>
        <w:t xml:space="preserve"> </w:t>
      </w:r>
      <w:r w:rsidRPr="00276391">
        <w:rPr>
          <w:lang w:eastAsia="en-AU"/>
        </w:rPr>
        <w:t>agreed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p>
    <w:p w14:paraId="152D6B4E" w14:textId="6A4B5D6C"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basis,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attestation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October</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seven</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AGM.</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calendar</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basis,</w:t>
      </w:r>
      <w:r w:rsidR="005D5532" w:rsidRPr="00276391">
        <w:rPr>
          <w:lang w:eastAsia="en-AU"/>
        </w:rPr>
        <w:t xml:space="preserve"> </w:t>
      </w:r>
      <w:r w:rsidRPr="00276391">
        <w:rPr>
          <w:lang w:eastAsia="en-AU"/>
        </w:rPr>
        <w:t>the</w:t>
      </w:r>
      <w:r w:rsidR="005D5532" w:rsidRPr="00276391">
        <w:rPr>
          <w:lang w:eastAsia="en-AU"/>
        </w:rPr>
        <w:t xml:space="preserve"> </w:t>
      </w:r>
      <w:r w:rsidR="00C12DCE">
        <w:rPr>
          <w:lang w:eastAsia="en-AU"/>
        </w:rPr>
        <w:t>SACC</w:t>
      </w:r>
      <w:r w:rsidR="00C12DCE" w:rsidRPr="00276391">
        <w:rPr>
          <w:lang w:eastAsia="en-AU"/>
        </w:rPr>
        <w:t xml:space="preserve"> </w:t>
      </w:r>
      <w:r w:rsidRPr="00276391">
        <w:rPr>
          <w:lang w:eastAsia="en-AU"/>
        </w:rPr>
        <w:t>is</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April</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seven</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AGM.</w:t>
      </w:r>
    </w:p>
    <w:p w14:paraId="0A7A5732" w14:textId="05FF4258" w:rsidR="00236748" w:rsidRPr="00276391" w:rsidRDefault="00236748" w:rsidP="00276391">
      <w:pPr>
        <w:pStyle w:val="DHHSbody"/>
        <w:rPr>
          <w:lang w:eastAsia="en-AU"/>
        </w:rPr>
      </w:pPr>
      <w:r w:rsidRPr="00276391">
        <w:rPr>
          <w:lang w:eastAsia="en-AU"/>
        </w:rPr>
        <w:t>If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operates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different</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add</w:t>
      </w:r>
      <w:r w:rsidR="005D5532" w:rsidRPr="00276391">
        <w:rPr>
          <w:lang w:eastAsia="en-AU"/>
        </w:rPr>
        <w:t xml:space="preserve"> </w:t>
      </w:r>
      <w:r w:rsidRPr="00276391">
        <w:rPr>
          <w:lang w:eastAsia="en-AU"/>
        </w:rPr>
        <w:t>three</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beginning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seven</w:t>
      </w:r>
      <w:r w:rsidR="005D5532" w:rsidRPr="00276391">
        <w:rPr>
          <w:lang w:eastAsia="en-AU"/>
        </w:rPr>
        <w:t xml:space="preserve"> </w:t>
      </w:r>
      <w:r w:rsidRPr="00276391">
        <w:rPr>
          <w:lang w:eastAsia="en-AU"/>
        </w:rPr>
        <w:t>days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AGM</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the</w:t>
      </w:r>
      <w:r w:rsidR="005D5532" w:rsidRPr="00276391">
        <w:rPr>
          <w:lang w:eastAsia="en-AU"/>
        </w:rPr>
        <w:t xml:space="preserve"> </w:t>
      </w:r>
      <w:r w:rsidR="00C12DCE">
        <w:rPr>
          <w:lang w:eastAsia="en-AU"/>
        </w:rPr>
        <w:t>SACC</w:t>
      </w:r>
      <w:r w:rsidR="00FD5668">
        <w:rPr>
          <w:lang w:eastAsia="en-AU"/>
        </w:rPr>
        <w:t xml:space="preserve"> </w:t>
      </w:r>
      <w:r w:rsidRPr="00276391">
        <w:rPr>
          <w:lang w:eastAsia="en-AU"/>
        </w:rPr>
        <w:t>due</w:t>
      </w:r>
      <w:r w:rsidR="005D5532" w:rsidRPr="00276391">
        <w:rPr>
          <w:lang w:eastAsia="en-AU"/>
        </w:rPr>
        <w:t xml:space="preserve"> </w:t>
      </w:r>
      <w:r w:rsidRPr="00276391">
        <w:rPr>
          <w:lang w:eastAsia="en-AU"/>
        </w:rPr>
        <w:t>date.</w:t>
      </w:r>
    </w:p>
    <w:p w14:paraId="126FD410" w14:textId="38B597BF"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primary</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sent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complete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online</w:t>
      </w:r>
      <w:r w:rsidR="005D5532" w:rsidRPr="00276391">
        <w:rPr>
          <w:lang w:eastAsia="en-AU"/>
        </w:rPr>
        <w:t xml:space="preserve"> </w:t>
      </w:r>
      <w:r w:rsidR="003A6846">
        <w:rPr>
          <w:lang w:eastAsia="en-AU"/>
        </w:rPr>
        <w:t>SACC</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before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due</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normally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email.</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instructions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accessing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completing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online</w:t>
      </w:r>
      <w:r w:rsidR="005D5532" w:rsidRPr="00276391">
        <w:rPr>
          <w:lang w:eastAsia="en-AU"/>
        </w:rPr>
        <w:t xml:space="preserve"> </w:t>
      </w:r>
      <w:r w:rsidR="00C12DCE">
        <w:rPr>
          <w:lang w:eastAsia="en-AU"/>
        </w:rPr>
        <w:t>SACC.</w:t>
      </w:r>
    </w:p>
    <w:p w14:paraId="67271472" w14:textId="77777777" w:rsidR="00236748" w:rsidRPr="00276391" w:rsidRDefault="00236748" w:rsidP="00067E93">
      <w:pPr>
        <w:pStyle w:val="Heading4"/>
        <w:rPr>
          <w:lang w:eastAsia="en-AU"/>
        </w:rPr>
      </w:pPr>
      <w:bookmarkStart w:id="540" w:name="_Toc478991888"/>
      <w:r w:rsidRPr="00276391">
        <w:rPr>
          <w:lang w:eastAsia="en-AU"/>
        </w:rPr>
        <w:t>Further</w:t>
      </w:r>
      <w:r w:rsidR="005D5532" w:rsidRPr="00276391">
        <w:rPr>
          <w:lang w:eastAsia="en-AU"/>
        </w:rPr>
        <w:t xml:space="preserve"> </w:t>
      </w:r>
      <w:r w:rsidRPr="00276391">
        <w:rPr>
          <w:lang w:eastAsia="en-AU"/>
        </w:rPr>
        <w:t>information</w:t>
      </w:r>
      <w:bookmarkEnd w:id="540"/>
    </w:p>
    <w:p w14:paraId="7FA3A61E" w14:textId="0F392A68"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regarding</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your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VMIA</w:t>
      </w:r>
      <w:r w:rsidR="005D5532" w:rsidRPr="00276391">
        <w:rPr>
          <w:lang w:eastAsia="en-AU"/>
        </w:rPr>
        <w:t xml:space="preserve"> </w:t>
      </w:r>
      <w:r w:rsidRPr="00276391">
        <w:rPr>
          <w:lang w:eastAsia="en-AU"/>
        </w:rPr>
        <w:t>at</w:t>
      </w:r>
      <w:r w:rsidR="005D5532" w:rsidRPr="00276391">
        <w:rPr>
          <w:lang w:eastAsia="en-AU"/>
        </w:rPr>
        <w:t xml:space="preserve"> </w:t>
      </w:r>
      <w:hyperlink r:id="rId139" w:history="1">
        <w:r w:rsidR="005B16D7">
          <w:rPr>
            <w:rStyle w:val="Hyperlink"/>
            <w:rFonts w:cs="Arial"/>
            <w:color w:val="642E90"/>
            <w:spacing w:val="-6"/>
            <w:bdr w:val="none" w:sz="0" w:space="0" w:color="auto" w:frame="1"/>
            <w:shd w:val="clear" w:color="auto" w:fill="FFFFFF"/>
          </w:rPr>
          <w:t>contact@vmia.vic.gov.au</w:t>
        </w:r>
      </w:hyperlink>
      <w:r w:rsidR="00D05F49">
        <w:t>.</w:t>
      </w:r>
    </w:p>
    <w:p w14:paraId="4428B892" w14:textId="77777777" w:rsidR="00236748" w:rsidRPr="00276391" w:rsidRDefault="00236748" w:rsidP="00276391">
      <w:pPr>
        <w:pStyle w:val="DHHSbody"/>
        <w:rPr>
          <w:lang w:eastAsia="en-AU"/>
        </w:rPr>
      </w:pPr>
      <w:r w:rsidRPr="00276391">
        <w:rPr>
          <w:lang w:eastAsia="en-AU"/>
        </w:rPr>
        <w:t>Staff</w:t>
      </w:r>
      <w:r w:rsidR="005D5532" w:rsidRPr="00276391">
        <w:rPr>
          <w:lang w:eastAsia="en-AU"/>
        </w:rPr>
        <w:t xml:space="preserve"> </w:t>
      </w:r>
      <w:r w:rsidRPr="00276391">
        <w:rPr>
          <w:lang w:eastAsia="en-AU"/>
        </w:rPr>
        <w:t>seeking</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please</w:t>
      </w:r>
      <w:r w:rsidR="005D5532" w:rsidRPr="00276391">
        <w:rPr>
          <w:lang w:eastAsia="en-AU"/>
        </w:rPr>
        <w:t xml:space="preserve"> </w:t>
      </w:r>
      <w:r w:rsidRPr="00276391">
        <w:rPr>
          <w:lang w:eastAsia="en-AU"/>
        </w:rPr>
        <w:t>email:</w:t>
      </w:r>
      <w:r w:rsidR="005D5532" w:rsidRPr="00276391">
        <w:rPr>
          <w:lang w:eastAsia="en-AU"/>
        </w:rPr>
        <w:t xml:space="preserve"> </w:t>
      </w:r>
      <w:hyperlink r:id="rId140" w:history="1">
        <w:r w:rsidRPr="00986D1E">
          <w:rPr>
            <w:rStyle w:val="Hyperlink"/>
          </w:rPr>
          <w:t>MonitoringFramework.Helpdesk@dhhs.vic.gov.au</w:t>
        </w:r>
      </w:hyperlink>
      <w:r w:rsidRPr="00276391">
        <w:rPr>
          <w:lang w:eastAsia="en-AU"/>
        </w:rPr>
        <w:t>.</w:t>
      </w:r>
    </w:p>
    <w:p w14:paraId="693D93A0" w14:textId="70A1695B" w:rsidR="00236748" w:rsidRPr="00276391" w:rsidRDefault="00236748" w:rsidP="00276391">
      <w:pPr>
        <w:pStyle w:val="DHHSbody"/>
        <w:rPr>
          <w:lang w:eastAsia="en-AU"/>
        </w:rPr>
      </w:pPr>
      <w:r w:rsidRPr="00276391">
        <w:rPr>
          <w:lang w:eastAsia="en-AU"/>
        </w:rPr>
        <w:t>Please</w:t>
      </w:r>
      <w:r w:rsidR="005D5532" w:rsidRPr="00276391">
        <w:rPr>
          <w:lang w:eastAsia="en-AU"/>
        </w:rPr>
        <w:t xml:space="preserve"> </w:t>
      </w:r>
      <w:r w:rsidRPr="00276391">
        <w:rPr>
          <w:lang w:eastAsia="en-AU"/>
        </w:rPr>
        <w:t>email</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questions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to</w:t>
      </w:r>
      <w:r w:rsidR="005D5532" w:rsidRPr="00276391">
        <w:rPr>
          <w:lang w:eastAsia="en-AU"/>
        </w:rPr>
        <w:t xml:space="preserve"> </w:t>
      </w:r>
      <w:hyperlink r:id="rId141" w:history="1">
        <w:r w:rsidRPr="00986D1E">
          <w:rPr>
            <w:rStyle w:val="Hyperlink"/>
          </w:rPr>
          <w:t>sainfokit@dhhs.vic.gov.au</w:t>
        </w:r>
      </w:hyperlink>
    </w:p>
    <w:p w14:paraId="7A55521D" w14:textId="77777777" w:rsidR="00236748" w:rsidRPr="00276391" w:rsidRDefault="00236748" w:rsidP="009B2351">
      <w:pPr>
        <w:pStyle w:val="Heading2"/>
        <w:rPr>
          <w:rFonts w:cs="Arial"/>
          <w:lang w:eastAsia="en-AU"/>
        </w:rPr>
      </w:pPr>
      <w:bookmarkStart w:id="541" w:name="_Toc478991889"/>
      <w:bookmarkStart w:id="542" w:name="_Toc478992435"/>
      <w:bookmarkStart w:id="543" w:name="_Toc478992906"/>
      <w:bookmarkStart w:id="544" w:name="_Toc4142102"/>
      <w:r w:rsidRPr="00276391">
        <w:rPr>
          <w:rFonts w:cs="Arial"/>
          <w:lang w:eastAsia="en-AU"/>
        </w:rPr>
        <w:t>3.21</w:t>
      </w:r>
      <w:r w:rsidR="009B2351" w:rsidRPr="00276391">
        <w:rPr>
          <w:rFonts w:cs="Arial"/>
          <w:lang w:eastAsia="en-AU"/>
        </w:rPr>
        <w:t xml:space="preserve"> </w:t>
      </w:r>
      <w:r w:rsidRPr="00276391">
        <w:rPr>
          <w:rFonts w:cs="Arial"/>
          <w:lang w:eastAsia="en-AU"/>
        </w:rPr>
        <w:t>Variation</w:t>
      </w:r>
      <w:bookmarkEnd w:id="541"/>
      <w:bookmarkEnd w:id="542"/>
      <w:bookmarkEnd w:id="543"/>
      <w:bookmarkEnd w:id="544"/>
    </w:p>
    <w:p w14:paraId="363C1F71" w14:textId="77777777" w:rsidR="00236748" w:rsidRPr="00276391" w:rsidRDefault="00236748" w:rsidP="00067E93">
      <w:pPr>
        <w:pStyle w:val="Heading3"/>
        <w:rPr>
          <w:lang w:eastAsia="en-AU"/>
        </w:rPr>
      </w:pPr>
      <w:bookmarkStart w:id="545" w:name="_Toc478991890"/>
      <w:bookmarkStart w:id="546" w:name="_Toc478992436"/>
      <w:bookmarkStart w:id="547" w:name="_Toc4142103"/>
      <w:r w:rsidRPr="00276391">
        <w:rPr>
          <w:lang w:eastAsia="en-AU"/>
        </w:rPr>
        <w:t>3.21.1</w:t>
      </w:r>
      <w:r w:rsidR="009B2351" w:rsidRPr="00276391">
        <w:rPr>
          <w:lang w:eastAsia="en-AU"/>
        </w:rPr>
        <w:t xml:space="preserve"> </w:t>
      </w:r>
      <w:r w:rsidRPr="00276391">
        <w:rPr>
          <w:lang w:eastAsia="en-AU"/>
        </w:rPr>
        <w:t>Variations</w:t>
      </w:r>
      <w:bookmarkEnd w:id="545"/>
      <w:bookmarkEnd w:id="546"/>
      <w:bookmarkEnd w:id="547"/>
    </w:p>
    <w:p w14:paraId="3B8F0419" w14:textId="56E35359" w:rsidR="00236748" w:rsidRPr="00276391"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effect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deliverables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contained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789D08F2" w14:textId="77777777" w:rsidR="00236748" w:rsidRPr="00276391" w:rsidRDefault="00236748" w:rsidP="00276391">
      <w:pPr>
        <w:pStyle w:val="DHHSbody"/>
        <w:rPr>
          <w:lang w:eastAsia="en-AU"/>
        </w:rPr>
      </w:pPr>
      <w:r w:rsidRPr="00276391">
        <w:rPr>
          <w:lang w:eastAsia="en-AU"/>
        </w:rPr>
        <w:lastRenderedPageBreak/>
        <w:t>Variations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either</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agreed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both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proofErr w:type="gramStart"/>
      <w:r w:rsidRPr="00276391">
        <w:rPr>
          <w:lang w:eastAsia="en-AU"/>
        </w:rPr>
        <w:t>department,</w:t>
      </w:r>
      <w:r w:rsidR="005D5532" w:rsidRPr="00276391">
        <w:rPr>
          <w:lang w:eastAsia="en-AU"/>
        </w:rPr>
        <w:t xml:space="preserve"> </w:t>
      </w:r>
      <w:r w:rsidRPr="00276391">
        <w:rPr>
          <w:lang w:eastAsia="en-AU"/>
        </w:rPr>
        <w:t>or</w:t>
      </w:r>
      <w:proofErr w:type="gramEnd"/>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evidenced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continuing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proposed</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3B6D3243" w14:textId="77777777" w:rsidR="00236748" w:rsidRPr="00276391" w:rsidRDefault="00236748" w:rsidP="00276391">
      <w:pPr>
        <w:pStyle w:val="DHHSbody"/>
        <w:rPr>
          <w:lang w:eastAsia="en-AU"/>
        </w:rPr>
      </w:pPr>
      <w:r w:rsidRPr="00276391">
        <w:rPr>
          <w:lang w:eastAsia="en-AU"/>
        </w:rPr>
        <w:t>Variations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typically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growth</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targets</w:t>
      </w:r>
      <w:r w:rsidR="005D5532" w:rsidRPr="00276391">
        <w:rPr>
          <w:lang w:eastAsia="en-AU"/>
        </w:rPr>
        <w:t xml:space="preserve"> </w:t>
      </w:r>
      <w:r w:rsidRPr="00276391">
        <w:rPr>
          <w:lang w:eastAsia="en-AU"/>
        </w:rPr>
        <w:t>(increases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decreases).</w:t>
      </w:r>
    </w:p>
    <w:p w14:paraId="672E020A" w14:textId="77777777" w:rsidR="00236748" w:rsidRPr="00276391" w:rsidRDefault="00236748" w:rsidP="00276391">
      <w:pPr>
        <w:pStyle w:val="DHHSbody"/>
        <w:rPr>
          <w:lang w:eastAsia="en-AU"/>
        </w:rPr>
      </w:pPr>
      <w:r w:rsidRPr="00276391">
        <w:rPr>
          <w:lang w:eastAsia="en-AU"/>
        </w:rPr>
        <w:t>Discussions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negotiations</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initiated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p>
    <w:p w14:paraId="6B112155"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calendar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events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Chapter</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detail</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dates.</w:t>
      </w:r>
      <w:r w:rsidR="005D5532" w:rsidRPr="00276391">
        <w:rPr>
          <w:lang w:eastAsia="en-AU"/>
        </w:rPr>
        <w:t xml:space="preserve"> </w:t>
      </w:r>
      <w:r w:rsidRPr="00276391">
        <w:rPr>
          <w:lang w:eastAsia="en-AU"/>
        </w:rPr>
        <w:t>Prior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2011-12</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were</w:t>
      </w:r>
      <w:r w:rsidR="005D5532" w:rsidRPr="00276391">
        <w:rPr>
          <w:lang w:eastAsia="en-AU"/>
        </w:rPr>
        <w:t xml:space="preserve"> </w:t>
      </w:r>
      <w:r w:rsidRPr="00276391">
        <w:rPr>
          <w:lang w:eastAsia="en-AU"/>
        </w:rPr>
        <w:t>typically</w:t>
      </w:r>
      <w:r w:rsidR="005D5532" w:rsidRPr="00276391">
        <w:rPr>
          <w:lang w:eastAsia="en-AU"/>
        </w:rPr>
        <w:t xml:space="preserve"> </w:t>
      </w:r>
      <w:r w:rsidRPr="00276391">
        <w:rPr>
          <w:lang w:eastAsia="en-AU"/>
        </w:rPr>
        <w:t>bundled</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three</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meant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sometimes</w:t>
      </w:r>
      <w:r w:rsidR="005D5532" w:rsidRPr="00276391">
        <w:rPr>
          <w:lang w:eastAsia="en-AU"/>
        </w:rPr>
        <w:t xml:space="preserve"> </w:t>
      </w:r>
      <w:r w:rsidRPr="00276391">
        <w:rPr>
          <w:lang w:eastAsia="en-AU"/>
        </w:rPr>
        <w:t>had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wait</w:t>
      </w:r>
      <w:r w:rsidR="005D5532" w:rsidRPr="00276391">
        <w:rPr>
          <w:lang w:eastAsia="en-AU"/>
        </w:rPr>
        <w:t xml:space="preserve"> </w:t>
      </w:r>
      <w:r w:rsidRPr="00276391">
        <w:rPr>
          <w:lang w:eastAsia="en-AU"/>
        </w:rPr>
        <w:t>several</w:t>
      </w:r>
      <w:r w:rsidR="005D5532" w:rsidRPr="00276391">
        <w:rPr>
          <w:lang w:eastAsia="en-AU"/>
        </w:rPr>
        <w:t xml:space="preserve"> </w:t>
      </w:r>
      <w:r w:rsidRPr="00276391">
        <w:rPr>
          <w:lang w:eastAsia="en-AU"/>
        </w:rPr>
        <w:t>months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August</w:t>
      </w:r>
      <w:r w:rsidR="005D5532" w:rsidRPr="00276391">
        <w:rPr>
          <w:lang w:eastAsia="en-AU"/>
        </w:rPr>
        <w:t xml:space="preserve"> </w:t>
      </w:r>
      <w:r w:rsidRPr="00276391">
        <w:rPr>
          <w:lang w:eastAsia="en-AU"/>
        </w:rPr>
        <w:t>2012,</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processed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monthly</w:t>
      </w:r>
      <w:r w:rsidR="005D5532" w:rsidRPr="00276391">
        <w:rPr>
          <w:lang w:eastAsia="en-AU"/>
        </w:rPr>
        <w:t xml:space="preserve"> </w:t>
      </w:r>
      <w:r w:rsidRPr="00276391">
        <w:rPr>
          <w:lang w:eastAsia="en-AU"/>
        </w:rPr>
        <w:t>basis,</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timely</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p>
    <w:p w14:paraId="0B38A2B5"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variation</w:t>
      </w:r>
      <w:r w:rsidR="005D5532" w:rsidRPr="00276391">
        <w:rPr>
          <w:lang w:eastAsia="en-AU"/>
        </w:rPr>
        <w:t xml:space="preserve"> </w:t>
      </w:r>
      <w:r w:rsidRPr="00276391">
        <w:rPr>
          <w:lang w:eastAsia="en-AU"/>
        </w:rPr>
        <w:t>process:</w:t>
      </w:r>
    </w:p>
    <w:p w14:paraId="16C6B1BA"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staff</w:t>
      </w:r>
      <w:r w:rsidR="005D5532" w:rsidRPr="00276391">
        <w:rPr>
          <w:rFonts w:cs="Arial"/>
          <w:lang w:eastAsia="en-AU"/>
        </w:rPr>
        <w:t xml:space="preserve"> </w:t>
      </w:r>
      <w:r w:rsidRPr="00276391">
        <w:rPr>
          <w:rFonts w:cs="Arial"/>
          <w:lang w:eastAsia="en-AU"/>
        </w:rPr>
        <w:t>discuss</w:t>
      </w:r>
      <w:r w:rsidR="005D5532" w:rsidRPr="00276391">
        <w:rPr>
          <w:rFonts w:cs="Arial"/>
          <w:lang w:eastAsia="en-AU"/>
        </w:rPr>
        <w:t xml:space="preserve"> </w:t>
      </w:r>
      <w:r w:rsidRPr="00276391">
        <w:rPr>
          <w:rFonts w:cs="Arial"/>
          <w:lang w:eastAsia="en-AU"/>
        </w:rPr>
        <w:t>and/or</w:t>
      </w:r>
      <w:r w:rsidR="005D5532" w:rsidRPr="00276391">
        <w:rPr>
          <w:rFonts w:cs="Arial"/>
          <w:lang w:eastAsia="en-AU"/>
        </w:rPr>
        <w:t xml:space="preserve"> </w:t>
      </w:r>
      <w:r w:rsidRPr="00276391">
        <w:rPr>
          <w:rFonts w:cs="Arial"/>
          <w:lang w:eastAsia="en-AU"/>
        </w:rPr>
        <w:t>negotiate</w:t>
      </w:r>
      <w:r w:rsidR="005D5532" w:rsidRPr="00276391">
        <w:rPr>
          <w:rFonts w:cs="Arial"/>
          <w:lang w:eastAsia="en-AU"/>
        </w:rPr>
        <w:t xml:space="preserve"> </w:t>
      </w:r>
      <w:r w:rsidRPr="00276391">
        <w:rPr>
          <w:rFonts w:cs="Arial"/>
          <w:lang w:eastAsia="en-AU"/>
        </w:rPr>
        <w:t>proposed</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which</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include</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mix,</w:t>
      </w:r>
      <w:r w:rsidR="005D5532" w:rsidRPr="00276391">
        <w:rPr>
          <w:rFonts w:cs="Arial"/>
          <w:lang w:eastAsia="en-AU"/>
        </w:rPr>
        <w:t xml:space="preserve"> </w:t>
      </w:r>
      <w:r w:rsidRPr="00276391">
        <w:rPr>
          <w:rFonts w:cs="Arial"/>
          <w:lang w:eastAsia="en-AU"/>
        </w:rPr>
        <w:t>additional</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new</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new</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rounds</w:t>
      </w:r>
      <w:r w:rsidR="005D5532" w:rsidRPr="00276391">
        <w:rPr>
          <w:rFonts w:cs="Arial"/>
          <w:lang w:eastAsia="en-AU"/>
        </w:rPr>
        <w:t xml:space="preserve"> </w:t>
      </w:r>
      <w:r w:rsidRPr="00276391">
        <w:rPr>
          <w:rFonts w:cs="Arial"/>
          <w:lang w:eastAsia="en-AU"/>
        </w:rPr>
        <w:t>etc.</w:t>
      </w:r>
      <w:r w:rsidR="005D5532" w:rsidRPr="00276391">
        <w:rPr>
          <w:rFonts w:cs="Arial"/>
          <w:lang w:eastAsia="en-AU"/>
        </w:rPr>
        <w:t xml:space="preserve"> </w:t>
      </w:r>
    </w:p>
    <w:p w14:paraId="5F9CFA58" w14:textId="4F99CEBE" w:rsidR="00236748" w:rsidRPr="00276391" w:rsidRDefault="00236748" w:rsidP="00276391">
      <w:pPr>
        <w:pStyle w:val="DHHSbullet1"/>
        <w:rPr>
          <w:rFonts w:cs="Arial"/>
          <w:lang w:eastAsia="en-AU"/>
        </w:rPr>
      </w:pPr>
      <w:r w:rsidRPr="00276391">
        <w:rPr>
          <w:rFonts w:cs="Arial"/>
          <w:lang w:eastAsia="en-AU"/>
        </w:rPr>
        <w:t>Once</w:t>
      </w:r>
      <w:r w:rsidR="005D5532" w:rsidRPr="00276391">
        <w:rPr>
          <w:rFonts w:cs="Arial"/>
          <w:lang w:eastAsia="en-AU"/>
        </w:rPr>
        <w:t xml:space="preserve"> </w:t>
      </w:r>
      <w:r w:rsidRPr="00276391">
        <w:rPr>
          <w:rFonts w:cs="Arial"/>
          <w:lang w:eastAsia="en-AU"/>
        </w:rPr>
        <w:t>details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agreed,</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staff</w:t>
      </w:r>
      <w:r w:rsidR="005D5532" w:rsidRPr="00276391">
        <w:rPr>
          <w:rFonts w:cs="Arial"/>
          <w:lang w:eastAsia="en-AU"/>
        </w:rPr>
        <w:t xml:space="preserve"> </w:t>
      </w:r>
      <w:r w:rsidRPr="00276391">
        <w:rPr>
          <w:rFonts w:cs="Arial"/>
          <w:lang w:eastAsia="en-AU"/>
        </w:rPr>
        <w:t>reflect</w:t>
      </w:r>
      <w:r w:rsidR="005D5532" w:rsidRPr="00276391">
        <w:rPr>
          <w:rFonts w:cs="Arial"/>
          <w:lang w:eastAsia="en-AU"/>
        </w:rPr>
        <w:t xml:space="preserve"> </w:t>
      </w:r>
      <w:r w:rsidRPr="00276391">
        <w:rPr>
          <w:rFonts w:cs="Arial"/>
          <w:lang w:eastAsia="en-AU"/>
        </w:rPr>
        <w:t>these</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management</w:t>
      </w:r>
      <w:r w:rsidR="005D5532" w:rsidRPr="00276391">
        <w:rPr>
          <w:rFonts w:cs="Arial"/>
          <w:lang w:eastAsia="en-AU"/>
        </w:rPr>
        <w:t xml:space="preserve"> </w:t>
      </w:r>
      <w:r w:rsidRPr="00276391">
        <w:rPr>
          <w:rFonts w:cs="Arial"/>
          <w:lang w:eastAsia="en-AU"/>
        </w:rPr>
        <w:t>system</w:t>
      </w:r>
      <w:r w:rsidR="005D5532" w:rsidRPr="00276391">
        <w:rPr>
          <w:rFonts w:cs="Arial"/>
          <w:lang w:eastAsia="en-AU"/>
        </w:rPr>
        <w:t xml:space="preserve"> </w:t>
      </w:r>
      <w:r w:rsidRPr="00276391">
        <w:rPr>
          <w:rFonts w:cs="Arial"/>
          <w:lang w:eastAsia="en-AU"/>
        </w:rPr>
        <w:t>(SAMS2).</w:t>
      </w:r>
      <w:r w:rsidR="005D5532" w:rsidRPr="00276391">
        <w:rPr>
          <w:rFonts w:cs="Arial"/>
          <w:lang w:eastAsia="en-AU"/>
        </w:rPr>
        <w:t xml:space="preserve"> </w:t>
      </w:r>
    </w:p>
    <w:p w14:paraId="243CF0A4" w14:textId="5C51DFA4" w:rsidR="00236748" w:rsidRPr="00FC2233" w:rsidRDefault="00236748" w:rsidP="00FC2233">
      <w:pPr>
        <w:pStyle w:val="DHHSbullet1"/>
        <w:rPr>
          <w:rFonts w:cs="Arial"/>
          <w:lang w:eastAsia="en-AU"/>
        </w:rPr>
      </w:pPr>
      <w:r w:rsidRPr="00FC2233">
        <w:rPr>
          <w:rFonts w:cs="Arial"/>
          <w:lang w:eastAsia="en-AU"/>
        </w:rPr>
        <w:t>Once</w:t>
      </w:r>
      <w:r w:rsidR="005D5532" w:rsidRPr="00FC2233">
        <w:rPr>
          <w:rFonts w:cs="Arial"/>
          <w:lang w:eastAsia="en-AU"/>
        </w:rPr>
        <w:t xml:space="preserve"> </w:t>
      </w:r>
      <w:r w:rsidRPr="00FC2233">
        <w:rPr>
          <w:rFonts w:cs="Arial"/>
          <w:lang w:eastAsia="en-AU"/>
        </w:rPr>
        <w:t>a</w:t>
      </w:r>
      <w:r w:rsidR="005D5532" w:rsidRPr="00FC2233">
        <w:rPr>
          <w:rFonts w:cs="Arial"/>
          <w:lang w:eastAsia="en-AU"/>
        </w:rPr>
        <w:t xml:space="preserve"> </w:t>
      </w:r>
      <w:r w:rsidRPr="00FC2233">
        <w:rPr>
          <w:rFonts w:cs="Arial"/>
          <w:lang w:eastAsia="en-AU"/>
        </w:rPr>
        <w:t>department</w:t>
      </w:r>
      <w:r w:rsidR="005D5532" w:rsidRPr="00FC2233">
        <w:rPr>
          <w:rFonts w:cs="Arial"/>
          <w:lang w:eastAsia="en-AU"/>
        </w:rPr>
        <w:t xml:space="preserve"> </w:t>
      </w:r>
      <w:r w:rsidRPr="00FC2233">
        <w:rPr>
          <w:rFonts w:cs="Arial"/>
          <w:lang w:eastAsia="en-AU"/>
        </w:rPr>
        <w:t>finance</w:t>
      </w:r>
      <w:r w:rsidR="005D5532" w:rsidRPr="00FC2233">
        <w:rPr>
          <w:rFonts w:cs="Arial"/>
          <w:lang w:eastAsia="en-AU"/>
        </w:rPr>
        <w:t xml:space="preserve"> </w:t>
      </w:r>
      <w:r w:rsidRPr="00FC2233">
        <w:rPr>
          <w:rFonts w:cs="Arial"/>
          <w:lang w:eastAsia="en-AU"/>
        </w:rPr>
        <w:t>officer</w:t>
      </w:r>
      <w:r w:rsidR="005D5532" w:rsidRPr="00FC2233">
        <w:rPr>
          <w:rFonts w:cs="Arial"/>
          <w:lang w:eastAsia="en-AU"/>
        </w:rPr>
        <w:t xml:space="preserve"> </w:t>
      </w:r>
      <w:r w:rsidRPr="00FC2233">
        <w:rPr>
          <w:rFonts w:cs="Arial"/>
          <w:lang w:eastAsia="en-AU"/>
        </w:rPr>
        <w:t>approves</w:t>
      </w:r>
      <w:r w:rsidR="005D5532" w:rsidRPr="00FC2233">
        <w:rPr>
          <w:rFonts w:cs="Arial"/>
          <w:lang w:eastAsia="en-AU"/>
        </w:rPr>
        <w:t xml:space="preserve"> </w:t>
      </w:r>
      <w:r w:rsidRPr="00FC2233">
        <w:rPr>
          <w:rFonts w:cs="Arial"/>
          <w:lang w:eastAsia="en-AU"/>
        </w:rPr>
        <w:t>the</w:t>
      </w:r>
      <w:r w:rsidR="005D5532" w:rsidRPr="00FC2233">
        <w:rPr>
          <w:rFonts w:cs="Arial"/>
          <w:lang w:eastAsia="en-AU"/>
        </w:rPr>
        <w:t xml:space="preserve"> </w:t>
      </w:r>
      <w:r w:rsidRPr="00FC2233">
        <w:rPr>
          <w:rFonts w:cs="Arial"/>
          <w:lang w:eastAsia="en-AU"/>
        </w:rPr>
        <w:t>changes</w:t>
      </w:r>
      <w:r w:rsidR="005D5532" w:rsidRPr="00FC2233">
        <w:rPr>
          <w:rFonts w:cs="Arial"/>
          <w:lang w:eastAsia="en-AU"/>
        </w:rPr>
        <w:t xml:space="preserve"> </w:t>
      </w:r>
      <w:r w:rsidRPr="00FC2233">
        <w:rPr>
          <w:rFonts w:cs="Arial"/>
          <w:lang w:eastAsia="en-AU"/>
        </w:rPr>
        <w:t>they</w:t>
      </w:r>
      <w:r w:rsidR="005D5532" w:rsidRPr="00FC2233">
        <w:rPr>
          <w:rFonts w:cs="Arial"/>
          <w:lang w:eastAsia="en-AU"/>
        </w:rPr>
        <w:t xml:space="preserve"> </w:t>
      </w:r>
      <w:r w:rsidRPr="00FC2233">
        <w:rPr>
          <w:rFonts w:cs="Arial"/>
          <w:lang w:eastAsia="en-AU"/>
        </w:rPr>
        <w:t>can</w:t>
      </w:r>
      <w:r w:rsidR="005D5532" w:rsidRPr="00FC2233">
        <w:rPr>
          <w:rFonts w:cs="Arial"/>
          <w:lang w:eastAsia="en-AU"/>
        </w:rPr>
        <w:t xml:space="preserve"> </w:t>
      </w:r>
      <w:r w:rsidRPr="00FC2233">
        <w:rPr>
          <w:rFonts w:cs="Arial"/>
          <w:lang w:eastAsia="en-AU"/>
        </w:rPr>
        <w:t>then</w:t>
      </w:r>
      <w:r w:rsidR="005D5532" w:rsidRPr="00FC2233">
        <w:rPr>
          <w:rFonts w:cs="Arial"/>
          <w:lang w:eastAsia="en-AU"/>
        </w:rPr>
        <w:t xml:space="preserve"> </w:t>
      </w:r>
      <w:r w:rsidRPr="00FC2233">
        <w:rPr>
          <w:rFonts w:cs="Arial"/>
          <w:lang w:eastAsia="en-AU"/>
        </w:rPr>
        <w:t>be</w:t>
      </w:r>
      <w:r w:rsidR="005D5532" w:rsidRPr="00FC2233">
        <w:rPr>
          <w:rFonts w:cs="Arial"/>
          <w:lang w:eastAsia="en-AU"/>
        </w:rPr>
        <w:t xml:space="preserve"> </w:t>
      </w:r>
      <w:r w:rsidRPr="00FC2233">
        <w:rPr>
          <w:rFonts w:cs="Arial"/>
          <w:lang w:eastAsia="en-AU"/>
        </w:rPr>
        <w:t>viewed</w:t>
      </w:r>
      <w:r w:rsidR="005D5532" w:rsidRPr="00FC2233">
        <w:rPr>
          <w:rFonts w:cs="Arial"/>
          <w:lang w:eastAsia="en-AU"/>
        </w:rPr>
        <w:t xml:space="preserve"> </w:t>
      </w:r>
      <w:r w:rsidRPr="00FC2233">
        <w:rPr>
          <w:rFonts w:cs="Arial"/>
          <w:lang w:eastAsia="en-AU"/>
        </w:rPr>
        <w:t>by</w:t>
      </w:r>
      <w:r w:rsidR="005D5532" w:rsidRPr="00FC2233">
        <w:rPr>
          <w:rFonts w:cs="Arial"/>
          <w:lang w:eastAsia="en-AU"/>
        </w:rPr>
        <w:t xml:space="preserve"> </w:t>
      </w:r>
      <w:r w:rsidRPr="00FC2233">
        <w:rPr>
          <w:rFonts w:cs="Arial"/>
          <w:lang w:eastAsia="en-AU"/>
        </w:rPr>
        <w:t>authorised</w:t>
      </w:r>
      <w:r w:rsidR="005D5532" w:rsidRPr="00FC2233">
        <w:rPr>
          <w:rFonts w:cs="Arial"/>
          <w:lang w:eastAsia="en-AU"/>
        </w:rPr>
        <w:t xml:space="preserve"> </w:t>
      </w:r>
      <w:r w:rsidRPr="00FC2233">
        <w:rPr>
          <w:rFonts w:cs="Arial"/>
          <w:lang w:eastAsia="en-AU"/>
        </w:rPr>
        <w:t>organisation</w:t>
      </w:r>
      <w:r w:rsidR="005D5532" w:rsidRPr="00FC2233">
        <w:rPr>
          <w:rFonts w:cs="Arial"/>
          <w:lang w:eastAsia="en-AU"/>
        </w:rPr>
        <w:t xml:space="preserve"> </w:t>
      </w:r>
      <w:r w:rsidRPr="00FC2233">
        <w:rPr>
          <w:rFonts w:cs="Arial"/>
          <w:lang w:eastAsia="en-AU"/>
        </w:rPr>
        <w:t>staff</w:t>
      </w:r>
      <w:r w:rsidR="005D5532" w:rsidRPr="00FC2233">
        <w:rPr>
          <w:rFonts w:cs="Arial"/>
          <w:lang w:eastAsia="en-AU"/>
        </w:rPr>
        <w:t xml:space="preserve"> </w:t>
      </w:r>
      <w:r w:rsidRPr="00FC2233">
        <w:rPr>
          <w:rFonts w:cs="Arial"/>
          <w:lang w:eastAsia="en-AU"/>
        </w:rPr>
        <w:t>on</w:t>
      </w:r>
      <w:r w:rsidR="005D5532" w:rsidRPr="00FC2233">
        <w:rPr>
          <w:rFonts w:cs="Arial"/>
          <w:lang w:eastAsia="en-AU"/>
        </w:rPr>
        <w:t xml:space="preserve"> </w:t>
      </w:r>
      <w:r w:rsidRPr="00FC2233">
        <w:rPr>
          <w:rFonts w:cs="Arial"/>
          <w:lang w:eastAsia="en-AU"/>
        </w:rPr>
        <w:t>the</w:t>
      </w:r>
      <w:r w:rsidR="005D5532" w:rsidRPr="00FC2233">
        <w:rPr>
          <w:rFonts w:cs="Arial"/>
          <w:lang w:eastAsia="en-AU"/>
        </w:rPr>
        <w:t xml:space="preserve"> </w:t>
      </w:r>
      <w:r w:rsidR="009B3052">
        <w:rPr>
          <w:rFonts w:cs="Arial"/>
          <w:lang w:eastAsia="en-AU"/>
        </w:rPr>
        <w:t>Service agreement</w:t>
      </w:r>
      <w:r w:rsidR="005D5532" w:rsidRPr="00FC2233">
        <w:rPr>
          <w:rFonts w:cs="Arial"/>
          <w:lang w:eastAsia="en-AU"/>
        </w:rPr>
        <w:t xml:space="preserve"> </w:t>
      </w:r>
      <w:r w:rsidRPr="00FC2233">
        <w:rPr>
          <w:rFonts w:cs="Arial"/>
          <w:lang w:eastAsia="en-AU"/>
        </w:rPr>
        <w:t>Module</w:t>
      </w:r>
      <w:r w:rsidR="005D5532" w:rsidRPr="00FC2233">
        <w:rPr>
          <w:rFonts w:cs="Arial"/>
          <w:lang w:eastAsia="en-AU"/>
        </w:rPr>
        <w:t xml:space="preserve"> </w:t>
      </w:r>
      <w:r w:rsidRPr="00FC2233">
        <w:rPr>
          <w:rFonts w:cs="Arial"/>
          <w:lang w:eastAsia="en-AU"/>
        </w:rPr>
        <w:t>of</w:t>
      </w:r>
      <w:r w:rsidR="005D5532" w:rsidRPr="00FC2233">
        <w:rPr>
          <w:rFonts w:cs="Arial"/>
          <w:lang w:eastAsia="en-AU"/>
        </w:rPr>
        <w:t xml:space="preserve"> </w:t>
      </w:r>
      <w:r w:rsidRPr="00FC2233">
        <w:rPr>
          <w:rFonts w:cs="Arial"/>
          <w:lang w:eastAsia="en-AU"/>
        </w:rPr>
        <w:t>the</w:t>
      </w:r>
      <w:r w:rsidR="005D5532" w:rsidRPr="00FC2233">
        <w:rPr>
          <w:rFonts w:cs="Arial"/>
          <w:lang w:eastAsia="en-AU"/>
        </w:rPr>
        <w:t xml:space="preserve"> </w:t>
      </w:r>
      <w:hyperlink r:id="rId142" w:tgtFrame="_blank" w:tooltip="link to the Funded Agency Channel website" w:history="1">
        <w:r w:rsidR="00296DCA">
          <w:rPr>
            <w:rStyle w:val="Hyperlink"/>
          </w:rPr>
          <w:t>Funded agency channel</w:t>
        </w:r>
      </w:hyperlink>
      <w:r w:rsidR="00037682" w:rsidRPr="00276391">
        <w:rPr>
          <w:lang w:eastAsia="en-AU"/>
        </w:rPr>
        <w:t xml:space="preserve"> </w:t>
      </w:r>
      <w:r w:rsidR="00037682">
        <w:rPr>
          <w:lang w:eastAsia="en-AU"/>
        </w:rPr>
        <w:t>&lt;</w:t>
      </w:r>
      <w:r w:rsidR="00FC2233" w:rsidRPr="00FC2233">
        <w:rPr>
          <w:lang w:eastAsia="en-AU"/>
        </w:rPr>
        <w:t>https://fac.dhhs.vic.gov.au</w:t>
      </w:r>
      <w:r w:rsidR="00037682">
        <w:rPr>
          <w:lang w:eastAsia="en-AU"/>
        </w:rPr>
        <w:t>&gt;</w:t>
      </w:r>
      <w:r w:rsidR="005D5532" w:rsidRPr="00FC2233">
        <w:rPr>
          <w:rFonts w:cs="Arial"/>
          <w:lang w:eastAsia="en-AU"/>
        </w:rPr>
        <w:t xml:space="preserve"> </w:t>
      </w:r>
      <w:r w:rsidR="00EC75D4" w:rsidRPr="00276391">
        <w:rPr>
          <w:lang w:eastAsia="en-AU"/>
        </w:rPr>
        <w:t>(external link, opens in a new window)</w:t>
      </w:r>
      <w:r w:rsidR="005D5532" w:rsidRPr="00FC2233">
        <w:rPr>
          <w:rFonts w:cs="Arial"/>
          <w:lang w:eastAsia="en-AU"/>
        </w:rPr>
        <w:t xml:space="preserve"> </w:t>
      </w:r>
      <w:r w:rsidRPr="00FC2233">
        <w:rPr>
          <w:rFonts w:cs="Arial"/>
          <w:lang w:eastAsia="en-AU"/>
        </w:rPr>
        <w:t>(they</w:t>
      </w:r>
      <w:r w:rsidR="005D5532" w:rsidRPr="00FC2233">
        <w:rPr>
          <w:rFonts w:cs="Arial"/>
          <w:lang w:eastAsia="en-AU"/>
        </w:rPr>
        <w:t xml:space="preserve"> </w:t>
      </w:r>
      <w:r w:rsidRPr="00FC2233">
        <w:rPr>
          <w:rFonts w:cs="Arial"/>
          <w:lang w:eastAsia="en-AU"/>
        </w:rPr>
        <w:t>show</w:t>
      </w:r>
      <w:r w:rsidR="005D5532" w:rsidRPr="00FC2233">
        <w:rPr>
          <w:rFonts w:cs="Arial"/>
          <w:lang w:eastAsia="en-AU"/>
        </w:rPr>
        <w:t xml:space="preserve"> </w:t>
      </w:r>
      <w:r w:rsidRPr="00FC2233">
        <w:rPr>
          <w:rFonts w:cs="Arial"/>
          <w:lang w:eastAsia="en-AU"/>
        </w:rPr>
        <w:t>as</w:t>
      </w:r>
      <w:r w:rsidR="005D5532" w:rsidRPr="00FC2233">
        <w:rPr>
          <w:rFonts w:cs="Arial"/>
          <w:lang w:eastAsia="en-AU"/>
        </w:rPr>
        <w:t xml:space="preserve"> </w:t>
      </w:r>
      <w:r w:rsidRPr="00FC2233">
        <w:rPr>
          <w:rFonts w:cs="Arial"/>
          <w:lang w:eastAsia="en-AU"/>
        </w:rPr>
        <w:t>approved</w:t>
      </w:r>
      <w:r w:rsidR="005D5532" w:rsidRPr="00FC2233">
        <w:rPr>
          <w:rFonts w:cs="Arial"/>
          <w:lang w:eastAsia="en-AU"/>
        </w:rPr>
        <w:t xml:space="preserve"> </w:t>
      </w:r>
      <w:r w:rsidRPr="00FC2233">
        <w:rPr>
          <w:rFonts w:cs="Arial"/>
          <w:lang w:eastAsia="en-AU"/>
        </w:rPr>
        <w:t>commitments).</w:t>
      </w:r>
      <w:r w:rsidR="005D5532" w:rsidRPr="00FC2233">
        <w:rPr>
          <w:rFonts w:cs="Arial"/>
          <w:lang w:eastAsia="en-AU"/>
        </w:rPr>
        <w:t xml:space="preserve"> </w:t>
      </w:r>
    </w:p>
    <w:p w14:paraId="50E881EB" w14:textId="7406346C" w:rsidR="00236748" w:rsidRPr="00276391" w:rsidRDefault="00236748" w:rsidP="00276391">
      <w:pPr>
        <w:pStyle w:val="DHHSbullet1"/>
        <w:rPr>
          <w:rFonts w:cs="Arial"/>
          <w:lang w:eastAsia="en-AU"/>
        </w:rPr>
      </w:pPr>
      <w:r w:rsidRPr="00276391">
        <w:rPr>
          <w:rFonts w:cs="Arial"/>
          <w:lang w:eastAsia="en-AU"/>
        </w:rPr>
        <w:t>When</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entered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approved,</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amended</w:t>
      </w:r>
      <w:r w:rsidR="005D5532" w:rsidRPr="00276391">
        <w:rPr>
          <w:rFonts w:cs="Arial"/>
          <w:lang w:eastAsia="en-AU"/>
        </w:rPr>
        <w:t xml:space="preserve"> </w:t>
      </w:r>
      <w:r w:rsidRPr="00276391">
        <w:rPr>
          <w:rFonts w:cs="Arial"/>
          <w:lang w:eastAsia="en-AU"/>
        </w:rPr>
        <w:t>version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published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email</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sent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authorised</w:t>
      </w:r>
      <w:r w:rsidR="005D5532" w:rsidRPr="00276391">
        <w:rPr>
          <w:rFonts w:cs="Arial"/>
          <w:lang w:eastAsia="en-AU"/>
        </w:rPr>
        <w:t xml:space="preserve"> </w:t>
      </w:r>
      <w:r w:rsidRPr="00276391">
        <w:rPr>
          <w:rFonts w:cs="Arial"/>
          <w:lang w:eastAsia="en-AU"/>
        </w:rPr>
        <w:t>signatories</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notifying</w:t>
      </w:r>
      <w:r w:rsidR="005D5532" w:rsidRPr="00276391">
        <w:rPr>
          <w:rFonts w:cs="Arial"/>
          <w:lang w:eastAsia="en-AU"/>
        </w:rPr>
        <w:t xml:space="preserve"> </w:t>
      </w:r>
      <w:r w:rsidRPr="00276391">
        <w:rPr>
          <w:rFonts w:cs="Arial"/>
          <w:lang w:eastAsia="en-AU"/>
        </w:rPr>
        <w:t>them</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variation</w:t>
      </w:r>
      <w:r w:rsidR="00225863">
        <w:rPr>
          <w:rFonts w:cs="Arial"/>
          <w:lang w:eastAsia="en-AU"/>
        </w:rPr>
        <w:t>.</w:t>
      </w:r>
      <w:r w:rsidR="005D5532" w:rsidRPr="00276391">
        <w:rPr>
          <w:rFonts w:cs="Arial"/>
          <w:lang w:eastAsia="en-AU"/>
        </w:rPr>
        <w:t xml:space="preserve"> </w:t>
      </w:r>
    </w:p>
    <w:p w14:paraId="02CCF302" w14:textId="392C3804"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signatory</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five</w:t>
      </w:r>
      <w:r w:rsidR="005D5532" w:rsidRPr="00276391">
        <w:rPr>
          <w:rFonts w:cs="Arial"/>
          <w:lang w:eastAsia="en-AU"/>
        </w:rPr>
        <w:t xml:space="preserve"> </w:t>
      </w:r>
      <w:r w:rsidRPr="00276391">
        <w:rPr>
          <w:rFonts w:cs="Arial"/>
          <w:lang w:eastAsia="en-AU"/>
        </w:rPr>
        <w:t>calendar</w:t>
      </w:r>
      <w:r w:rsidR="005D5532" w:rsidRPr="00276391">
        <w:rPr>
          <w:rFonts w:cs="Arial"/>
          <w:lang w:eastAsia="en-AU"/>
        </w:rPr>
        <w:t xml:space="preserve"> </w:t>
      </w:r>
      <w:r w:rsidRPr="00276391">
        <w:rPr>
          <w:rFonts w:cs="Arial"/>
          <w:lang w:eastAsia="en-AU"/>
        </w:rPr>
        <w:t>days</w:t>
      </w:r>
      <w:r w:rsidR="005D5532" w:rsidRPr="00276391">
        <w:rPr>
          <w:rFonts w:cs="Arial"/>
          <w:lang w:eastAsia="en-AU"/>
        </w:rPr>
        <w:t xml:space="preserve"> </w:t>
      </w:r>
      <w:r w:rsidRPr="00276391">
        <w:rPr>
          <w:rFonts w:cs="Arial"/>
          <w:lang w:eastAsia="en-AU"/>
        </w:rPr>
        <w:t>from</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publication</w:t>
      </w:r>
      <w:r w:rsidR="005D5532" w:rsidRPr="00276391">
        <w:rPr>
          <w:rFonts w:cs="Arial"/>
          <w:lang w:eastAsia="en-AU"/>
        </w:rPr>
        <w:t xml:space="preserve"> </w:t>
      </w:r>
      <w:r w:rsidRPr="00276391">
        <w:rPr>
          <w:rFonts w:cs="Arial"/>
          <w:lang w:eastAsia="en-AU"/>
        </w:rPr>
        <w:t>date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review</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changes.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amended</w:t>
      </w:r>
      <w:r w:rsidR="005D5532" w:rsidRPr="00276391">
        <w:rPr>
          <w:rFonts w:cs="Arial"/>
          <w:lang w:eastAsia="en-AU"/>
        </w:rPr>
        <w:t xml:space="preserve"> </w:t>
      </w:r>
      <w:r w:rsidRPr="00276391">
        <w:rPr>
          <w:rFonts w:cs="Arial"/>
          <w:lang w:eastAsia="en-AU"/>
        </w:rPr>
        <w:t>version</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009B3052">
        <w:rPr>
          <w:rFonts w:cs="Arial"/>
          <w:lang w:eastAsia="en-AU"/>
        </w:rPr>
        <w:t>Service agreement</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move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contract</w:t>
      </w:r>
      <w:r w:rsidR="005D5532" w:rsidRPr="00276391">
        <w:rPr>
          <w:rFonts w:cs="Arial"/>
          <w:lang w:eastAsia="en-AU"/>
        </w:rPr>
        <w:t xml:space="preserve"> </w:t>
      </w:r>
      <w:r w:rsidRPr="00276391">
        <w:rPr>
          <w:rFonts w:cs="Arial"/>
          <w:lang w:eastAsia="en-AU"/>
        </w:rPr>
        <w:t>status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will</w:t>
      </w:r>
      <w:r w:rsidR="005D5532" w:rsidRPr="00276391">
        <w:rPr>
          <w:rFonts w:cs="Arial"/>
          <w:lang w:eastAsia="en-AU"/>
        </w:rPr>
        <w:t xml:space="preserve"> </w:t>
      </w:r>
      <w:r w:rsidRPr="00276391">
        <w:rPr>
          <w:rFonts w:cs="Arial"/>
          <w:lang w:eastAsia="en-AU"/>
        </w:rPr>
        <w:t>take</w:t>
      </w:r>
      <w:r w:rsidR="005D5532" w:rsidRPr="00276391">
        <w:rPr>
          <w:rFonts w:cs="Arial"/>
          <w:lang w:eastAsia="en-AU"/>
        </w:rPr>
        <w:t xml:space="preserve"> </w:t>
      </w:r>
      <w:r w:rsidRPr="00276391">
        <w:rPr>
          <w:rFonts w:cs="Arial"/>
          <w:lang w:eastAsia="en-AU"/>
        </w:rPr>
        <w:t>effect</w:t>
      </w:r>
      <w:r w:rsidR="005D5532" w:rsidRPr="00276391">
        <w:rPr>
          <w:rFonts w:cs="Arial"/>
          <w:lang w:eastAsia="en-AU"/>
        </w:rPr>
        <w:t xml:space="preserve"> </w:t>
      </w:r>
      <w:r w:rsidRPr="00276391">
        <w:rPr>
          <w:rFonts w:cs="Arial"/>
          <w:lang w:eastAsia="en-AU"/>
        </w:rPr>
        <w:t>after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five</w:t>
      </w:r>
      <w:r w:rsidR="005D5532" w:rsidRPr="00276391">
        <w:rPr>
          <w:rFonts w:cs="Arial"/>
          <w:lang w:eastAsia="en-AU"/>
        </w:rPr>
        <w:t xml:space="preserve"> </w:t>
      </w:r>
      <w:r w:rsidRPr="00276391">
        <w:rPr>
          <w:rFonts w:cs="Arial"/>
          <w:lang w:eastAsia="en-AU"/>
        </w:rPr>
        <w:t>days,</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long</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department</w:t>
      </w:r>
      <w:r w:rsidR="005D5532" w:rsidRPr="00276391">
        <w:rPr>
          <w:rFonts w:cs="Arial"/>
          <w:lang w:eastAsia="en-AU"/>
        </w:rPr>
        <w:t xml:space="preserve"> </w:t>
      </w:r>
      <w:r w:rsidRPr="00276391">
        <w:rPr>
          <w:rFonts w:cs="Arial"/>
          <w:lang w:eastAsia="en-AU"/>
        </w:rPr>
        <w:t>signatory</w:t>
      </w:r>
      <w:r w:rsidR="005D5532" w:rsidRPr="00276391">
        <w:rPr>
          <w:rFonts w:cs="Arial"/>
          <w:lang w:eastAsia="en-AU"/>
        </w:rPr>
        <w:t xml:space="preserve"> </w:t>
      </w:r>
      <w:r w:rsidRPr="00276391">
        <w:rPr>
          <w:rFonts w:cs="Arial"/>
          <w:lang w:eastAsia="en-AU"/>
        </w:rPr>
        <w:t>has</w:t>
      </w:r>
      <w:r w:rsidR="005D5532" w:rsidRPr="00276391">
        <w:rPr>
          <w:rFonts w:cs="Arial"/>
          <w:lang w:eastAsia="en-AU"/>
        </w:rPr>
        <w:t xml:space="preserve"> </w:t>
      </w:r>
      <w:r w:rsidRPr="00276391">
        <w:rPr>
          <w:rFonts w:cs="Arial"/>
          <w:lang w:eastAsia="en-AU"/>
        </w:rPr>
        <w:t>finalised</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Pr="00276391">
        <w:rPr>
          <w:rFonts w:cs="Arial"/>
          <w:lang w:eastAsia="en-AU"/>
        </w:rPr>
        <w:t>authorisation.</w:t>
      </w:r>
      <w:r w:rsidR="005D5532" w:rsidRPr="00276391">
        <w:rPr>
          <w:rFonts w:cs="Arial"/>
          <w:lang w:eastAsia="en-AU"/>
        </w:rPr>
        <w:t xml:space="preserve"> </w:t>
      </w:r>
    </w:p>
    <w:p w14:paraId="0B935704" w14:textId="2EC7A9F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variation</w:t>
      </w:r>
      <w:r w:rsidR="005D5532" w:rsidRPr="00B24C02">
        <w:rPr>
          <w:rFonts w:cs="Arial"/>
          <w:color w:val="000000"/>
          <w:szCs w:val="19"/>
          <w:lang w:eastAsia="en-AU"/>
        </w:rPr>
        <w:t xml:space="preserve"> </w:t>
      </w:r>
      <w:r w:rsidRPr="00B24C02">
        <w:rPr>
          <w:rFonts w:cs="Arial"/>
          <w:color w:val="000000"/>
          <w:szCs w:val="19"/>
          <w:lang w:eastAsia="en-AU"/>
        </w:rPr>
        <w:t>becomes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addendum</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original</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forms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revised</w:t>
      </w:r>
      <w:r w:rsidR="005D5532" w:rsidRPr="00B24C02">
        <w:rPr>
          <w:rFonts w:cs="Arial"/>
          <w:color w:val="000000"/>
          <w:szCs w:val="19"/>
          <w:lang w:eastAsia="en-AU"/>
        </w:rPr>
        <w:t xml:space="preserve"> </w:t>
      </w:r>
      <w:r w:rsidRPr="00B24C02">
        <w:rPr>
          <w:rFonts w:cs="Arial"/>
          <w:color w:val="000000"/>
          <w:szCs w:val="19"/>
          <w:lang w:eastAsia="en-AU"/>
        </w:rPr>
        <w:t>basis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conducted.</w:t>
      </w:r>
    </w:p>
    <w:p w14:paraId="2E7DEC47"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history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variations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agreements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number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ways.</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include:</w:t>
      </w:r>
    </w:p>
    <w:p w14:paraId="2FDE36A0" w14:textId="0737CAA1" w:rsidR="00236748" w:rsidRPr="00FC2233" w:rsidRDefault="00236748" w:rsidP="00FC2233">
      <w:pPr>
        <w:pStyle w:val="DHHSbullet1"/>
        <w:rPr>
          <w:rFonts w:cs="Arial"/>
          <w:lang w:eastAsia="en-AU"/>
        </w:rPr>
      </w:pPr>
      <w:r w:rsidRPr="00FC2233">
        <w:rPr>
          <w:rFonts w:cs="Arial"/>
          <w:color w:val="000000"/>
          <w:szCs w:val="19"/>
          <w:lang w:eastAsia="en-AU"/>
        </w:rPr>
        <w:t>Viewing</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Pr="00FC2233">
        <w:rPr>
          <w:rFonts w:cs="Arial"/>
          <w:color w:val="000000"/>
          <w:szCs w:val="19"/>
          <w:lang w:eastAsia="en-AU"/>
        </w:rPr>
        <w:t>agreements</w:t>
      </w:r>
      <w:r w:rsidR="005D5532" w:rsidRPr="00FC2233">
        <w:rPr>
          <w:rFonts w:cs="Arial"/>
          <w:color w:val="000000"/>
          <w:szCs w:val="19"/>
          <w:lang w:eastAsia="en-AU"/>
        </w:rPr>
        <w:t xml:space="preserve"> </w:t>
      </w:r>
      <w:r w:rsidRPr="00FC2233">
        <w:rPr>
          <w:rFonts w:cs="Arial"/>
          <w:color w:val="000000"/>
          <w:szCs w:val="19"/>
          <w:lang w:eastAsia="en-AU"/>
        </w:rPr>
        <w:t>tab</w:t>
      </w:r>
      <w:r w:rsidR="005D5532" w:rsidRPr="00FC2233">
        <w:rPr>
          <w:rFonts w:cs="Arial"/>
          <w:color w:val="000000"/>
          <w:szCs w:val="19"/>
          <w:lang w:eastAsia="en-AU"/>
        </w:rPr>
        <w:t xml:space="preserve"> </w:t>
      </w:r>
      <w:r w:rsidRPr="00FC2233">
        <w:rPr>
          <w:rFonts w:cs="Arial"/>
          <w:color w:val="000000"/>
          <w:szCs w:val="19"/>
          <w:lang w:eastAsia="en-AU"/>
        </w:rPr>
        <w:t>on</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009B3052">
        <w:rPr>
          <w:rFonts w:cs="Arial"/>
          <w:color w:val="000000"/>
          <w:szCs w:val="19"/>
          <w:lang w:eastAsia="en-AU"/>
        </w:rPr>
        <w:t>Service agreement</w:t>
      </w:r>
      <w:r w:rsidR="005D5532" w:rsidRPr="00FC2233">
        <w:rPr>
          <w:rFonts w:cs="Arial"/>
          <w:color w:val="000000"/>
          <w:szCs w:val="19"/>
          <w:lang w:eastAsia="en-AU"/>
        </w:rPr>
        <w:t xml:space="preserve"> </w:t>
      </w:r>
      <w:r w:rsidRPr="00FC2233">
        <w:rPr>
          <w:rFonts w:cs="Arial"/>
          <w:color w:val="000000"/>
          <w:szCs w:val="19"/>
          <w:lang w:eastAsia="en-AU"/>
        </w:rPr>
        <w:t>Module</w:t>
      </w:r>
      <w:r w:rsidR="005D5532" w:rsidRPr="00FC2233">
        <w:rPr>
          <w:rFonts w:cs="Arial"/>
          <w:color w:val="000000"/>
          <w:szCs w:val="19"/>
          <w:lang w:eastAsia="en-AU"/>
        </w:rPr>
        <w:t xml:space="preserve"> </w:t>
      </w:r>
      <w:r w:rsidRPr="00FC2233">
        <w:rPr>
          <w:rFonts w:cs="Arial"/>
          <w:color w:val="000000"/>
          <w:szCs w:val="19"/>
          <w:lang w:eastAsia="en-AU"/>
        </w:rPr>
        <w:t>of</w:t>
      </w:r>
      <w:r w:rsidR="005D5532" w:rsidRPr="00FC2233">
        <w:rPr>
          <w:rFonts w:cs="Arial"/>
          <w:color w:val="000000"/>
          <w:szCs w:val="19"/>
          <w:lang w:eastAsia="en-AU"/>
        </w:rPr>
        <w:t xml:space="preserve"> </w:t>
      </w:r>
      <w:hyperlink r:id="rId143" w:tgtFrame="_blank" w:tooltip="link to the Funded Agency Channel website" w:history="1">
        <w:r w:rsidR="00296DCA">
          <w:rPr>
            <w:rStyle w:val="Hyperlink"/>
          </w:rPr>
          <w:t>Funded agency channel</w:t>
        </w:r>
      </w:hyperlink>
      <w:r w:rsidR="00037682" w:rsidRPr="00276391">
        <w:rPr>
          <w:lang w:eastAsia="en-AU"/>
        </w:rPr>
        <w:t xml:space="preserve"> </w:t>
      </w:r>
      <w:r w:rsidR="00037682">
        <w:rPr>
          <w:lang w:eastAsia="en-AU"/>
        </w:rPr>
        <w:t>&lt;</w:t>
      </w:r>
      <w:r w:rsidR="00FC2233" w:rsidRPr="00FC2233">
        <w:rPr>
          <w:lang w:eastAsia="en-AU"/>
        </w:rPr>
        <w:t>https://fac.dhhs.vic.gov.au</w:t>
      </w:r>
      <w:r w:rsidR="00037682">
        <w:rPr>
          <w:lang w:eastAsia="en-AU"/>
        </w:rPr>
        <w:t>&gt;</w:t>
      </w:r>
      <w:r w:rsidR="00EC75D4">
        <w:rPr>
          <w:lang w:eastAsia="en-AU"/>
        </w:rPr>
        <w:t xml:space="preserve"> </w:t>
      </w:r>
      <w:r w:rsidR="00EC75D4" w:rsidRPr="00276391">
        <w:rPr>
          <w:lang w:eastAsia="en-AU"/>
        </w:rPr>
        <w:t>(external link, opens in a new window)</w:t>
      </w:r>
      <w:r w:rsidRPr="00FC2233">
        <w:rPr>
          <w:rFonts w:cs="Arial"/>
          <w:color w:val="000000"/>
          <w:szCs w:val="19"/>
          <w:lang w:eastAsia="en-AU"/>
        </w:rPr>
        <w:t>.</w:t>
      </w:r>
      <w:r w:rsidR="005D5532" w:rsidRPr="00FC2233">
        <w:rPr>
          <w:rFonts w:cs="Arial"/>
          <w:color w:val="000000"/>
          <w:szCs w:val="19"/>
          <w:lang w:eastAsia="en-AU"/>
        </w:rPr>
        <w:t xml:space="preserve"> </w:t>
      </w:r>
      <w:r w:rsidRPr="00FC2233">
        <w:rPr>
          <w:rFonts w:cs="Arial"/>
          <w:color w:val="000000"/>
          <w:szCs w:val="19"/>
          <w:lang w:eastAsia="en-AU"/>
        </w:rPr>
        <w:t>Each</w:t>
      </w:r>
      <w:r w:rsidR="005D5532" w:rsidRPr="00FC2233">
        <w:rPr>
          <w:rFonts w:cs="Arial"/>
          <w:color w:val="000000"/>
          <w:szCs w:val="19"/>
          <w:lang w:eastAsia="en-AU"/>
        </w:rPr>
        <w:t xml:space="preserve"> </w:t>
      </w:r>
      <w:r w:rsidRPr="00FC2233">
        <w:rPr>
          <w:rFonts w:cs="Arial"/>
          <w:color w:val="000000"/>
          <w:szCs w:val="19"/>
          <w:lang w:eastAsia="en-AU"/>
        </w:rPr>
        <w:t>new</w:t>
      </w:r>
      <w:r w:rsidR="005D5532" w:rsidRPr="00FC2233">
        <w:rPr>
          <w:rFonts w:cs="Arial"/>
          <w:color w:val="000000"/>
          <w:szCs w:val="19"/>
          <w:lang w:eastAsia="en-AU"/>
        </w:rPr>
        <w:t xml:space="preserve"> </w:t>
      </w:r>
      <w:r w:rsidRPr="00FC2233">
        <w:rPr>
          <w:rFonts w:cs="Arial"/>
          <w:color w:val="000000"/>
          <w:szCs w:val="19"/>
          <w:lang w:eastAsia="en-AU"/>
        </w:rPr>
        <w:t>version</w:t>
      </w:r>
      <w:r w:rsidR="005D5532" w:rsidRPr="00FC2233">
        <w:rPr>
          <w:rFonts w:cs="Arial"/>
          <w:color w:val="000000"/>
          <w:szCs w:val="19"/>
          <w:lang w:eastAsia="en-AU"/>
        </w:rPr>
        <w:t xml:space="preserve"> </w:t>
      </w:r>
      <w:r w:rsidRPr="00FC2233">
        <w:rPr>
          <w:rFonts w:cs="Arial"/>
          <w:color w:val="000000"/>
          <w:szCs w:val="19"/>
          <w:lang w:eastAsia="en-AU"/>
        </w:rPr>
        <w:t>of</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009B3052">
        <w:rPr>
          <w:rFonts w:cs="Arial"/>
          <w:color w:val="000000"/>
          <w:szCs w:val="19"/>
          <w:lang w:eastAsia="en-AU"/>
        </w:rPr>
        <w:t>Service agreement</w:t>
      </w:r>
      <w:r w:rsidR="005D5532" w:rsidRPr="00FC2233">
        <w:rPr>
          <w:rFonts w:cs="Arial"/>
          <w:color w:val="000000"/>
          <w:szCs w:val="19"/>
          <w:lang w:eastAsia="en-AU"/>
        </w:rPr>
        <w:t xml:space="preserve"> </w:t>
      </w:r>
      <w:r w:rsidRPr="00FC2233">
        <w:rPr>
          <w:rFonts w:cs="Arial"/>
          <w:color w:val="000000"/>
          <w:szCs w:val="19"/>
          <w:lang w:eastAsia="en-AU"/>
        </w:rPr>
        <w:t>will</w:t>
      </w:r>
      <w:r w:rsidR="005D5532" w:rsidRPr="00FC2233">
        <w:rPr>
          <w:rFonts w:cs="Arial"/>
          <w:color w:val="000000"/>
          <w:szCs w:val="19"/>
          <w:lang w:eastAsia="en-AU"/>
        </w:rPr>
        <w:t xml:space="preserve"> </w:t>
      </w:r>
      <w:r w:rsidRPr="00FC2233">
        <w:rPr>
          <w:rFonts w:cs="Arial"/>
          <w:color w:val="000000"/>
          <w:szCs w:val="19"/>
          <w:lang w:eastAsia="en-AU"/>
        </w:rPr>
        <w:t>be</w:t>
      </w:r>
      <w:r w:rsidR="005D5532" w:rsidRPr="00FC2233">
        <w:rPr>
          <w:rFonts w:cs="Arial"/>
          <w:color w:val="000000"/>
          <w:szCs w:val="19"/>
          <w:lang w:eastAsia="en-AU"/>
        </w:rPr>
        <w:t xml:space="preserve"> </w:t>
      </w:r>
      <w:r w:rsidRPr="00FC2233">
        <w:rPr>
          <w:rFonts w:cs="Arial"/>
          <w:color w:val="000000"/>
          <w:szCs w:val="19"/>
          <w:lang w:eastAsia="en-AU"/>
        </w:rPr>
        <w:t>sequentially</w:t>
      </w:r>
      <w:r w:rsidR="005D5532" w:rsidRPr="00FC2233">
        <w:rPr>
          <w:rFonts w:cs="Arial"/>
          <w:color w:val="000000"/>
          <w:szCs w:val="19"/>
          <w:lang w:eastAsia="en-AU"/>
        </w:rPr>
        <w:t xml:space="preserve"> </w:t>
      </w:r>
      <w:r w:rsidRPr="00FC2233">
        <w:rPr>
          <w:rFonts w:cs="Arial"/>
          <w:color w:val="000000"/>
          <w:szCs w:val="19"/>
          <w:lang w:eastAsia="en-AU"/>
        </w:rPr>
        <w:t>numbered.</w:t>
      </w:r>
      <w:r w:rsidR="005D5532" w:rsidRPr="00FC2233">
        <w:rPr>
          <w:rFonts w:cs="Arial"/>
          <w:color w:val="000000"/>
          <w:szCs w:val="19"/>
          <w:lang w:eastAsia="en-AU"/>
        </w:rPr>
        <w:t xml:space="preserve"> </w:t>
      </w:r>
      <w:r w:rsidRPr="00FC2233">
        <w:rPr>
          <w:rFonts w:cs="Arial"/>
          <w:color w:val="000000"/>
          <w:szCs w:val="19"/>
          <w:lang w:eastAsia="en-AU"/>
        </w:rPr>
        <w:t>You</w:t>
      </w:r>
      <w:r w:rsidR="005D5532" w:rsidRPr="00FC2233">
        <w:rPr>
          <w:rFonts w:cs="Arial"/>
          <w:color w:val="000000"/>
          <w:szCs w:val="19"/>
          <w:lang w:eastAsia="en-AU"/>
        </w:rPr>
        <w:t xml:space="preserve"> </w:t>
      </w:r>
      <w:r w:rsidRPr="00FC2233">
        <w:rPr>
          <w:rFonts w:cs="Arial"/>
          <w:color w:val="000000"/>
          <w:szCs w:val="19"/>
          <w:lang w:eastAsia="en-AU"/>
        </w:rPr>
        <w:t>can</w:t>
      </w:r>
      <w:r w:rsidR="005D5532" w:rsidRPr="00FC2233">
        <w:rPr>
          <w:rFonts w:cs="Arial"/>
          <w:color w:val="000000"/>
          <w:szCs w:val="19"/>
          <w:lang w:eastAsia="en-AU"/>
        </w:rPr>
        <w:t xml:space="preserve"> </w:t>
      </w:r>
      <w:r w:rsidRPr="00FC2233">
        <w:rPr>
          <w:rFonts w:cs="Arial"/>
          <w:color w:val="000000"/>
          <w:szCs w:val="19"/>
          <w:lang w:eastAsia="en-AU"/>
        </w:rPr>
        <w:t>select</w:t>
      </w:r>
      <w:r w:rsidR="005D5532" w:rsidRPr="00FC2233">
        <w:rPr>
          <w:rFonts w:cs="Arial"/>
          <w:color w:val="000000"/>
          <w:szCs w:val="19"/>
          <w:lang w:eastAsia="en-AU"/>
        </w:rPr>
        <w:t xml:space="preserve"> </w:t>
      </w:r>
      <w:r w:rsidRPr="00FC2233">
        <w:rPr>
          <w:rFonts w:cs="Arial"/>
          <w:color w:val="000000"/>
          <w:szCs w:val="19"/>
          <w:lang w:eastAsia="en-AU"/>
        </w:rPr>
        <w:t>and</w:t>
      </w:r>
      <w:r w:rsidR="005D5532" w:rsidRPr="00FC2233">
        <w:rPr>
          <w:rFonts w:cs="Arial"/>
          <w:color w:val="000000"/>
          <w:szCs w:val="19"/>
          <w:lang w:eastAsia="en-AU"/>
        </w:rPr>
        <w:t xml:space="preserve"> </w:t>
      </w:r>
      <w:r w:rsidRPr="00FC2233">
        <w:rPr>
          <w:rFonts w:cs="Arial"/>
          <w:color w:val="000000"/>
          <w:szCs w:val="19"/>
          <w:lang w:eastAsia="en-AU"/>
        </w:rPr>
        <w:t>enter</w:t>
      </w:r>
      <w:r w:rsidR="005D5532" w:rsidRPr="00FC2233">
        <w:rPr>
          <w:rFonts w:cs="Arial"/>
          <w:color w:val="000000"/>
          <w:szCs w:val="19"/>
          <w:lang w:eastAsia="en-AU"/>
        </w:rPr>
        <w:t xml:space="preserve"> </w:t>
      </w:r>
      <w:r w:rsidRPr="00FC2233">
        <w:rPr>
          <w:rFonts w:cs="Arial"/>
          <w:color w:val="000000"/>
          <w:szCs w:val="19"/>
          <w:lang w:eastAsia="en-AU"/>
        </w:rPr>
        <w:t>into</w:t>
      </w:r>
      <w:r w:rsidR="005D5532" w:rsidRPr="00FC2233">
        <w:rPr>
          <w:rFonts w:cs="Arial"/>
          <w:color w:val="000000"/>
          <w:szCs w:val="19"/>
          <w:lang w:eastAsia="en-AU"/>
        </w:rPr>
        <w:t xml:space="preserve"> </w:t>
      </w:r>
      <w:r w:rsidRPr="00FC2233">
        <w:rPr>
          <w:rFonts w:cs="Arial"/>
          <w:color w:val="000000"/>
          <w:szCs w:val="19"/>
          <w:lang w:eastAsia="en-AU"/>
        </w:rPr>
        <w:t>each</w:t>
      </w:r>
      <w:r w:rsidR="005D5532" w:rsidRPr="00FC2233">
        <w:rPr>
          <w:rFonts w:cs="Arial"/>
          <w:color w:val="000000"/>
          <w:szCs w:val="19"/>
          <w:lang w:eastAsia="en-AU"/>
        </w:rPr>
        <w:t xml:space="preserve"> </w:t>
      </w:r>
      <w:r w:rsidRPr="00FC2233">
        <w:rPr>
          <w:rFonts w:cs="Arial"/>
          <w:color w:val="000000"/>
          <w:szCs w:val="19"/>
          <w:lang w:eastAsia="en-AU"/>
        </w:rPr>
        <w:t>version.</w:t>
      </w:r>
      <w:r w:rsidR="005D5532" w:rsidRPr="00FC2233">
        <w:rPr>
          <w:rFonts w:cs="Arial"/>
          <w:color w:val="000000"/>
          <w:szCs w:val="19"/>
          <w:lang w:eastAsia="en-AU"/>
        </w:rPr>
        <w:t xml:space="preserve"> </w:t>
      </w:r>
      <w:r w:rsidRPr="00FC2233">
        <w:rPr>
          <w:rFonts w:cs="Arial"/>
          <w:color w:val="000000"/>
          <w:szCs w:val="19"/>
          <w:lang w:eastAsia="en-AU"/>
        </w:rPr>
        <w:t>You</w:t>
      </w:r>
      <w:r w:rsidR="005D5532" w:rsidRPr="00FC2233">
        <w:rPr>
          <w:rFonts w:cs="Arial"/>
          <w:color w:val="000000"/>
          <w:szCs w:val="19"/>
          <w:lang w:eastAsia="en-AU"/>
        </w:rPr>
        <w:t xml:space="preserve"> </w:t>
      </w:r>
      <w:r w:rsidRPr="00FC2233">
        <w:rPr>
          <w:rFonts w:cs="Arial"/>
          <w:color w:val="000000"/>
          <w:szCs w:val="19"/>
          <w:lang w:eastAsia="en-AU"/>
        </w:rPr>
        <w:t>can</w:t>
      </w:r>
      <w:r w:rsidR="005D5532" w:rsidRPr="00FC2233">
        <w:rPr>
          <w:rFonts w:cs="Arial"/>
          <w:color w:val="000000"/>
          <w:szCs w:val="19"/>
          <w:lang w:eastAsia="en-AU"/>
        </w:rPr>
        <w:t xml:space="preserve"> </w:t>
      </w:r>
      <w:r w:rsidRPr="00FC2233">
        <w:rPr>
          <w:rFonts w:cs="Arial"/>
          <w:color w:val="000000"/>
          <w:szCs w:val="19"/>
          <w:lang w:eastAsia="en-AU"/>
        </w:rPr>
        <w:t>go</w:t>
      </w:r>
      <w:r w:rsidR="005D5532" w:rsidRPr="00FC2233">
        <w:rPr>
          <w:rFonts w:cs="Arial"/>
          <w:color w:val="000000"/>
          <w:szCs w:val="19"/>
          <w:lang w:eastAsia="en-AU"/>
        </w:rPr>
        <w:t xml:space="preserve"> </w:t>
      </w:r>
      <w:r w:rsidRPr="00FC2233">
        <w:rPr>
          <w:rFonts w:cs="Arial"/>
          <w:color w:val="000000"/>
          <w:szCs w:val="19"/>
          <w:lang w:eastAsia="en-AU"/>
        </w:rPr>
        <w:t>to</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Pr="00FC2233">
        <w:rPr>
          <w:rFonts w:cs="Arial"/>
          <w:color w:val="000000"/>
          <w:szCs w:val="19"/>
          <w:lang w:eastAsia="en-AU"/>
        </w:rPr>
        <w:t>Contracts</w:t>
      </w:r>
      <w:r w:rsidR="005D5532" w:rsidRPr="00FC2233">
        <w:rPr>
          <w:rFonts w:cs="Arial"/>
          <w:color w:val="000000"/>
          <w:szCs w:val="19"/>
          <w:lang w:eastAsia="en-AU"/>
        </w:rPr>
        <w:t xml:space="preserve"> </w:t>
      </w:r>
      <w:r w:rsidRPr="00FC2233">
        <w:rPr>
          <w:rFonts w:cs="Arial"/>
          <w:color w:val="000000"/>
          <w:szCs w:val="19"/>
          <w:lang w:eastAsia="en-AU"/>
        </w:rPr>
        <w:t>lower-level</w:t>
      </w:r>
      <w:r w:rsidR="005D5532" w:rsidRPr="00FC2233">
        <w:rPr>
          <w:rFonts w:cs="Arial"/>
          <w:color w:val="000000"/>
          <w:szCs w:val="19"/>
          <w:lang w:eastAsia="en-AU"/>
        </w:rPr>
        <w:t xml:space="preserve"> </w:t>
      </w:r>
      <w:r w:rsidRPr="00FC2233">
        <w:rPr>
          <w:rFonts w:cs="Arial"/>
          <w:color w:val="000000"/>
          <w:szCs w:val="19"/>
          <w:lang w:eastAsia="en-AU"/>
        </w:rPr>
        <w:t>tab</w:t>
      </w:r>
      <w:r w:rsidR="005D5532" w:rsidRPr="00FC2233">
        <w:rPr>
          <w:rFonts w:cs="Arial"/>
          <w:color w:val="000000"/>
          <w:szCs w:val="19"/>
          <w:lang w:eastAsia="en-AU"/>
        </w:rPr>
        <w:t xml:space="preserve"> </w:t>
      </w:r>
      <w:r w:rsidRPr="00FC2233">
        <w:rPr>
          <w:rFonts w:cs="Arial"/>
          <w:color w:val="000000"/>
          <w:szCs w:val="19"/>
          <w:lang w:eastAsia="en-AU"/>
        </w:rPr>
        <w:t>and</w:t>
      </w:r>
      <w:r w:rsidR="005D5532" w:rsidRPr="00FC2233">
        <w:rPr>
          <w:rFonts w:cs="Arial"/>
          <w:color w:val="000000"/>
          <w:szCs w:val="19"/>
          <w:lang w:eastAsia="en-AU"/>
        </w:rPr>
        <w:t xml:space="preserve"> </w:t>
      </w:r>
      <w:r w:rsidRPr="00FC2233">
        <w:rPr>
          <w:rFonts w:cs="Arial"/>
          <w:color w:val="000000"/>
          <w:szCs w:val="19"/>
          <w:lang w:eastAsia="en-AU"/>
        </w:rPr>
        <w:t>view</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Pr="00FC2233">
        <w:rPr>
          <w:rFonts w:cs="Arial"/>
          <w:color w:val="000000"/>
          <w:szCs w:val="19"/>
          <w:lang w:eastAsia="en-AU"/>
        </w:rPr>
        <w:t>PDF</w:t>
      </w:r>
      <w:r w:rsidR="005D5532" w:rsidRPr="00FC2233">
        <w:rPr>
          <w:rFonts w:cs="Arial"/>
          <w:color w:val="000000"/>
          <w:szCs w:val="19"/>
          <w:lang w:eastAsia="en-AU"/>
        </w:rPr>
        <w:t xml:space="preserve"> </w:t>
      </w:r>
      <w:r w:rsidRPr="00FC2233">
        <w:rPr>
          <w:rFonts w:cs="Arial"/>
          <w:color w:val="000000"/>
          <w:szCs w:val="19"/>
          <w:lang w:eastAsia="en-AU"/>
        </w:rPr>
        <w:t>variation</w:t>
      </w:r>
      <w:r w:rsidR="005D5532" w:rsidRPr="00FC2233">
        <w:rPr>
          <w:rFonts w:cs="Arial"/>
          <w:color w:val="000000"/>
          <w:szCs w:val="19"/>
          <w:lang w:eastAsia="en-AU"/>
        </w:rPr>
        <w:t xml:space="preserve"> </w:t>
      </w:r>
      <w:r w:rsidRPr="00FC2233">
        <w:rPr>
          <w:rFonts w:cs="Arial"/>
          <w:color w:val="000000"/>
          <w:szCs w:val="19"/>
          <w:lang w:eastAsia="en-AU"/>
        </w:rPr>
        <w:t>document,</w:t>
      </w:r>
      <w:r w:rsidR="005D5532" w:rsidRPr="00FC2233">
        <w:rPr>
          <w:rFonts w:cs="Arial"/>
          <w:color w:val="000000"/>
          <w:szCs w:val="19"/>
          <w:lang w:eastAsia="en-AU"/>
        </w:rPr>
        <w:t xml:space="preserve"> </w:t>
      </w:r>
      <w:r w:rsidRPr="00FC2233">
        <w:rPr>
          <w:rFonts w:cs="Arial"/>
          <w:color w:val="000000"/>
          <w:szCs w:val="19"/>
          <w:lang w:eastAsia="en-AU"/>
        </w:rPr>
        <w:t>a</w:t>
      </w:r>
      <w:r w:rsidR="005D5532" w:rsidRPr="00FC2233">
        <w:rPr>
          <w:rFonts w:cs="Arial"/>
          <w:color w:val="000000"/>
          <w:szCs w:val="19"/>
          <w:lang w:eastAsia="en-AU"/>
        </w:rPr>
        <w:t xml:space="preserve"> </w:t>
      </w:r>
      <w:r w:rsidRPr="00FC2233">
        <w:rPr>
          <w:rFonts w:cs="Arial"/>
          <w:color w:val="000000"/>
          <w:szCs w:val="19"/>
          <w:lang w:eastAsia="en-AU"/>
        </w:rPr>
        <w:t>commitments</w:t>
      </w:r>
      <w:r w:rsidR="005D5532" w:rsidRPr="00FC2233">
        <w:rPr>
          <w:rFonts w:cs="Arial"/>
          <w:color w:val="000000"/>
          <w:szCs w:val="19"/>
          <w:lang w:eastAsia="en-AU"/>
        </w:rPr>
        <w:t xml:space="preserve"> </w:t>
      </w:r>
      <w:r w:rsidRPr="00FC2233">
        <w:rPr>
          <w:rFonts w:cs="Arial"/>
          <w:color w:val="000000"/>
          <w:szCs w:val="19"/>
          <w:lang w:eastAsia="en-AU"/>
        </w:rPr>
        <w:t>level</w:t>
      </w:r>
      <w:r w:rsidR="005D5532" w:rsidRPr="00FC2233">
        <w:rPr>
          <w:rFonts w:cs="Arial"/>
          <w:color w:val="000000"/>
          <w:szCs w:val="19"/>
          <w:lang w:eastAsia="en-AU"/>
        </w:rPr>
        <w:t xml:space="preserve"> </w:t>
      </w:r>
      <w:r w:rsidRPr="00FC2233">
        <w:rPr>
          <w:rFonts w:cs="Arial"/>
          <w:color w:val="000000"/>
          <w:szCs w:val="19"/>
          <w:lang w:eastAsia="en-AU"/>
        </w:rPr>
        <w:t>payment</w:t>
      </w:r>
      <w:r w:rsidR="005D5532" w:rsidRPr="00FC2233">
        <w:rPr>
          <w:rFonts w:cs="Arial"/>
          <w:color w:val="000000"/>
          <w:szCs w:val="19"/>
          <w:lang w:eastAsia="en-AU"/>
        </w:rPr>
        <w:t xml:space="preserve"> </w:t>
      </w:r>
      <w:r w:rsidRPr="00FC2233">
        <w:rPr>
          <w:rFonts w:cs="Arial"/>
          <w:color w:val="000000"/>
          <w:szCs w:val="19"/>
          <w:lang w:eastAsia="en-AU"/>
        </w:rPr>
        <w:t>schedule</w:t>
      </w:r>
      <w:r w:rsidR="005D5532" w:rsidRPr="00FC2233">
        <w:rPr>
          <w:rFonts w:cs="Arial"/>
          <w:color w:val="000000"/>
          <w:szCs w:val="19"/>
          <w:lang w:eastAsia="en-AU"/>
        </w:rPr>
        <w:t xml:space="preserve"> </w:t>
      </w:r>
      <w:r w:rsidRPr="00FC2233">
        <w:rPr>
          <w:rFonts w:cs="Arial"/>
          <w:color w:val="000000"/>
          <w:szCs w:val="19"/>
          <w:lang w:eastAsia="en-AU"/>
        </w:rPr>
        <w:t>(in</w:t>
      </w:r>
      <w:r w:rsidR="005D5532" w:rsidRPr="00FC2233">
        <w:rPr>
          <w:rFonts w:cs="Arial"/>
          <w:color w:val="000000"/>
          <w:szCs w:val="19"/>
          <w:lang w:eastAsia="en-AU"/>
        </w:rPr>
        <w:t xml:space="preserve"> </w:t>
      </w:r>
      <w:r w:rsidRPr="00FC2233">
        <w:rPr>
          <w:rFonts w:cs="Arial"/>
          <w:color w:val="000000"/>
          <w:szCs w:val="19"/>
          <w:lang w:eastAsia="en-AU"/>
        </w:rPr>
        <w:t>Microsoft</w:t>
      </w:r>
      <w:r w:rsidR="005D5532" w:rsidRPr="00FC2233">
        <w:rPr>
          <w:rFonts w:cs="Arial"/>
          <w:color w:val="000000"/>
          <w:szCs w:val="19"/>
          <w:lang w:eastAsia="en-AU"/>
        </w:rPr>
        <w:t xml:space="preserve"> </w:t>
      </w:r>
      <w:r w:rsidRPr="00FC2233">
        <w:rPr>
          <w:rFonts w:cs="Arial"/>
          <w:color w:val="000000"/>
          <w:szCs w:val="19"/>
          <w:lang w:eastAsia="en-AU"/>
        </w:rPr>
        <w:t>Excel)</w:t>
      </w:r>
      <w:r w:rsidR="005D5532" w:rsidRPr="00FC2233">
        <w:rPr>
          <w:rFonts w:cs="Arial"/>
          <w:color w:val="000000"/>
          <w:szCs w:val="19"/>
          <w:lang w:eastAsia="en-AU"/>
        </w:rPr>
        <w:t xml:space="preserve"> </w:t>
      </w:r>
      <w:r w:rsidRPr="00FC2233">
        <w:rPr>
          <w:rFonts w:cs="Arial"/>
          <w:color w:val="000000"/>
          <w:szCs w:val="19"/>
          <w:lang w:eastAsia="en-AU"/>
        </w:rPr>
        <w:t>and</w:t>
      </w:r>
      <w:r w:rsidR="005D5532" w:rsidRPr="00FC2233">
        <w:rPr>
          <w:rFonts w:cs="Arial"/>
          <w:color w:val="000000"/>
          <w:szCs w:val="19"/>
          <w:lang w:eastAsia="en-AU"/>
        </w:rPr>
        <w:t xml:space="preserve"> </w:t>
      </w:r>
      <w:r w:rsidRPr="00FC2233">
        <w:rPr>
          <w:rFonts w:cs="Arial"/>
          <w:color w:val="000000"/>
          <w:szCs w:val="19"/>
          <w:lang w:eastAsia="en-AU"/>
        </w:rPr>
        <w:t>the</w:t>
      </w:r>
      <w:r w:rsidR="005D5532" w:rsidRPr="00FC2233">
        <w:rPr>
          <w:rFonts w:cs="Arial"/>
          <w:color w:val="000000"/>
          <w:szCs w:val="19"/>
          <w:lang w:eastAsia="en-AU"/>
        </w:rPr>
        <w:t xml:space="preserve"> </w:t>
      </w:r>
      <w:r w:rsidRPr="00FC2233">
        <w:rPr>
          <w:rFonts w:cs="Arial"/>
          <w:color w:val="000000"/>
          <w:szCs w:val="19"/>
          <w:lang w:eastAsia="en-AU"/>
        </w:rPr>
        <w:t>PDF</w:t>
      </w:r>
      <w:r w:rsidR="005D5532" w:rsidRPr="00FC2233">
        <w:rPr>
          <w:rFonts w:cs="Arial"/>
          <w:color w:val="000000"/>
          <w:szCs w:val="19"/>
          <w:lang w:eastAsia="en-AU"/>
        </w:rPr>
        <w:t xml:space="preserve"> </w:t>
      </w:r>
      <w:r w:rsidRPr="00FC2233">
        <w:rPr>
          <w:rFonts w:cs="Arial"/>
          <w:color w:val="000000"/>
          <w:szCs w:val="19"/>
          <w:lang w:eastAsia="en-AU"/>
        </w:rPr>
        <w:t>performance</w:t>
      </w:r>
      <w:r w:rsidR="005D5532" w:rsidRPr="00FC2233">
        <w:rPr>
          <w:rFonts w:cs="Arial"/>
          <w:color w:val="000000"/>
          <w:szCs w:val="19"/>
          <w:lang w:eastAsia="en-AU"/>
        </w:rPr>
        <w:t xml:space="preserve"> </w:t>
      </w:r>
      <w:r w:rsidRPr="00FC2233">
        <w:rPr>
          <w:rFonts w:cs="Arial"/>
          <w:color w:val="000000"/>
          <w:szCs w:val="19"/>
          <w:lang w:eastAsia="en-AU"/>
        </w:rPr>
        <w:t>measure</w:t>
      </w:r>
      <w:r w:rsidR="005D5532" w:rsidRPr="00FC2233">
        <w:rPr>
          <w:rFonts w:cs="Arial"/>
          <w:color w:val="000000"/>
          <w:szCs w:val="19"/>
          <w:lang w:eastAsia="en-AU"/>
        </w:rPr>
        <w:t xml:space="preserve"> </w:t>
      </w:r>
      <w:r w:rsidRPr="00FC2233">
        <w:rPr>
          <w:rFonts w:cs="Arial"/>
          <w:color w:val="000000"/>
          <w:szCs w:val="19"/>
          <w:lang w:eastAsia="en-AU"/>
        </w:rPr>
        <w:t>report</w:t>
      </w:r>
      <w:r w:rsidR="005D5532" w:rsidRPr="00FC2233">
        <w:rPr>
          <w:rFonts w:cs="Arial"/>
          <w:color w:val="000000"/>
          <w:szCs w:val="19"/>
          <w:lang w:eastAsia="en-AU"/>
        </w:rPr>
        <w:t xml:space="preserve"> </w:t>
      </w:r>
      <w:r w:rsidRPr="00FC2233">
        <w:rPr>
          <w:rFonts w:cs="Arial"/>
          <w:color w:val="000000"/>
          <w:szCs w:val="19"/>
          <w:lang w:eastAsia="en-AU"/>
        </w:rPr>
        <w:t>for</w:t>
      </w:r>
      <w:r w:rsidR="005D5532" w:rsidRPr="00FC2233">
        <w:rPr>
          <w:rFonts w:cs="Arial"/>
          <w:color w:val="000000"/>
          <w:szCs w:val="19"/>
          <w:lang w:eastAsia="en-AU"/>
        </w:rPr>
        <w:t xml:space="preserve"> </w:t>
      </w:r>
      <w:r w:rsidRPr="00FC2233">
        <w:rPr>
          <w:rFonts w:cs="Arial"/>
          <w:color w:val="000000"/>
          <w:szCs w:val="19"/>
          <w:lang w:eastAsia="en-AU"/>
        </w:rPr>
        <w:t>each</w:t>
      </w:r>
      <w:r w:rsidR="005D5532" w:rsidRPr="00FC2233">
        <w:rPr>
          <w:rFonts w:cs="Arial"/>
          <w:color w:val="000000"/>
          <w:szCs w:val="19"/>
          <w:lang w:eastAsia="en-AU"/>
        </w:rPr>
        <w:t xml:space="preserve"> </w:t>
      </w:r>
      <w:r w:rsidRPr="00FC2233">
        <w:rPr>
          <w:rFonts w:cs="Arial"/>
          <w:color w:val="000000"/>
          <w:szCs w:val="19"/>
          <w:lang w:eastAsia="en-AU"/>
        </w:rPr>
        <w:t>agreement</w:t>
      </w:r>
      <w:r w:rsidR="005D5532" w:rsidRPr="00FC2233">
        <w:rPr>
          <w:rFonts w:cs="Arial"/>
          <w:color w:val="000000"/>
          <w:szCs w:val="19"/>
          <w:lang w:eastAsia="en-AU"/>
        </w:rPr>
        <w:t xml:space="preserve"> </w:t>
      </w:r>
      <w:r w:rsidRPr="00FC2233">
        <w:rPr>
          <w:rFonts w:cs="Arial"/>
          <w:color w:val="000000"/>
          <w:szCs w:val="19"/>
          <w:lang w:eastAsia="en-AU"/>
        </w:rPr>
        <w:t>version.</w:t>
      </w:r>
      <w:r w:rsidR="005D5532" w:rsidRPr="00FC2233">
        <w:rPr>
          <w:rFonts w:cs="Arial"/>
          <w:color w:val="000000"/>
          <w:szCs w:val="19"/>
          <w:lang w:eastAsia="en-AU"/>
        </w:rPr>
        <w:t xml:space="preserve"> </w:t>
      </w:r>
    </w:p>
    <w:p w14:paraId="7AE276B8" w14:textId="64E1B951" w:rsidR="00236748" w:rsidRPr="00EC75D4" w:rsidRDefault="00236748" w:rsidP="00EC75D4">
      <w:pPr>
        <w:pStyle w:val="DHHSbullet1"/>
        <w:rPr>
          <w:rFonts w:cs="Arial"/>
          <w:lang w:eastAsia="en-AU"/>
        </w:rPr>
      </w:pPr>
      <w:r w:rsidRPr="00EC75D4">
        <w:rPr>
          <w:rFonts w:cs="Arial"/>
          <w:lang w:eastAsia="en-AU"/>
        </w:rPr>
        <w:t>Variation</w:t>
      </w:r>
      <w:r w:rsidR="005D5532" w:rsidRPr="00EC75D4">
        <w:rPr>
          <w:rFonts w:cs="Arial"/>
          <w:lang w:eastAsia="en-AU"/>
        </w:rPr>
        <w:t xml:space="preserve"> </w:t>
      </w:r>
      <w:r w:rsidRPr="00EC75D4">
        <w:rPr>
          <w:rFonts w:cs="Arial"/>
          <w:lang w:eastAsia="en-AU"/>
        </w:rPr>
        <w:t>reports</w:t>
      </w:r>
      <w:r w:rsidR="005D5532" w:rsidRPr="00EC75D4">
        <w:rPr>
          <w:rFonts w:cs="Arial"/>
          <w:lang w:eastAsia="en-AU"/>
        </w:rPr>
        <w:t xml:space="preserve"> </w:t>
      </w:r>
      <w:r w:rsidRPr="00EC75D4">
        <w:rPr>
          <w:rFonts w:cs="Arial"/>
          <w:lang w:eastAsia="en-AU"/>
        </w:rPr>
        <w:t>on</w:t>
      </w:r>
      <w:r w:rsidR="005D5532" w:rsidRPr="00EC75D4">
        <w:rPr>
          <w:rFonts w:cs="Arial"/>
          <w:lang w:eastAsia="en-AU"/>
        </w:rPr>
        <w:t xml:space="preserve"> </w:t>
      </w:r>
      <w:hyperlink r:id="rId144" w:tgtFrame="_blank" w:tooltip="link to the Funded Agency Channel website" w:history="1">
        <w:r w:rsidR="00296DCA">
          <w:rPr>
            <w:rStyle w:val="Hyperlink"/>
          </w:rPr>
          <w:t>Funded agency channel</w:t>
        </w:r>
      </w:hyperlink>
      <w:r w:rsidR="00037682" w:rsidRPr="00276391">
        <w:rPr>
          <w:lang w:eastAsia="en-AU"/>
        </w:rPr>
        <w:t xml:space="preserve"> </w:t>
      </w:r>
      <w:r w:rsidR="00037682">
        <w:rPr>
          <w:lang w:eastAsia="en-AU"/>
        </w:rPr>
        <w:t>&lt;</w:t>
      </w:r>
      <w:r w:rsidR="00EC75D4" w:rsidRPr="00EC75D4">
        <w:rPr>
          <w:lang w:eastAsia="en-AU"/>
        </w:rPr>
        <w:t>https://fac.dhhs.vic.gov.au</w:t>
      </w:r>
      <w:r w:rsidR="00037682">
        <w:rPr>
          <w:lang w:eastAsia="en-AU"/>
        </w:rPr>
        <w:t>&gt;</w:t>
      </w:r>
      <w:r w:rsidR="00EC75D4">
        <w:rPr>
          <w:lang w:eastAsia="en-AU"/>
        </w:rPr>
        <w:t xml:space="preserve"> </w:t>
      </w:r>
      <w:r w:rsidR="00EC75D4" w:rsidRPr="00276391">
        <w:rPr>
          <w:lang w:eastAsia="en-AU"/>
        </w:rPr>
        <w:t>(external link, opens in a new window)</w:t>
      </w:r>
      <w:r w:rsidRPr="00EC75D4">
        <w:rPr>
          <w:rFonts w:cs="Arial"/>
          <w:lang w:eastAsia="en-AU"/>
        </w:rPr>
        <w:t>.</w:t>
      </w:r>
      <w:r w:rsidR="005D5532" w:rsidRPr="00EC75D4">
        <w:rPr>
          <w:rFonts w:cs="Arial"/>
          <w:lang w:eastAsia="en-AU"/>
        </w:rPr>
        <w:t xml:space="preserve"> </w:t>
      </w:r>
    </w:p>
    <w:p w14:paraId="5CF16A30" w14:textId="77777777" w:rsidR="00236748" w:rsidRPr="00276391" w:rsidRDefault="00236748" w:rsidP="00067E93">
      <w:pPr>
        <w:pStyle w:val="Heading3"/>
        <w:rPr>
          <w:lang w:eastAsia="en-AU"/>
        </w:rPr>
      </w:pPr>
      <w:bookmarkStart w:id="548" w:name="_Toc478991891"/>
      <w:bookmarkStart w:id="549" w:name="_Toc478992437"/>
      <w:bookmarkStart w:id="550" w:name="_Toc4142104"/>
      <w:r w:rsidRPr="00276391">
        <w:rPr>
          <w:lang w:eastAsia="en-AU"/>
        </w:rPr>
        <w:t>3.21.2</w:t>
      </w:r>
      <w:r w:rsidR="009B2351" w:rsidRPr="00276391">
        <w:rPr>
          <w:lang w:eastAsia="en-AU"/>
        </w:rPr>
        <w:t xml:space="preserve"> </w:t>
      </w:r>
      <w:r w:rsidRPr="00276391">
        <w:rPr>
          <w:lang w:eastAsia="en-AU"/>
        </w:rPr>
        <w:t>Adjustments</w:t>
      </w:r>
      <w:bookmarkEnd w:id="548"/>
      <w:bookmarkEnd w:id="549"/>
      <w:bookmarkEnd w:id="550"/>
    </w:p>
    <w:p w14:paraId="3483A6E7" w14:textId="0201C8D2" w:rsidR="00236748" w:rsidRPr="00276391" w:rsidRDefault="00236748" w:rsidP="00276391">
      <w:pPr>
        <w:pStyle w:val="DHHSbody"/>
        <w:rPr>
          <w:lang w:eastAsia="en-AU"/>
        </w:rPr>
      </w:pPr>
      <w:r w:rsidRPr="00276391">
        <w:rPr>
          <w:lang w:eastAsia="en-AU"/>
        </w:rPr>
        <w:t>Adjustments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changes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levels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targets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require</w:t>
      </w:r>
      <w:r w:rsidR="005D5532" w:rsidRPr="00276391">
        <w:rPr>
          <w:lang w:eastAsia="en-AU"/>
        </w:rPr>
        <w:t xml:space="preserve"> </w:t>
      </w:r>
      <w:r w:rsidRPr="00276391">
        <w:rPr>
          <w:lang w:eastAsia="en-AU"/>
        </w:rPr>
        <w:t>negotiation</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Adjustments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applied</w:t>
      </w:r>
      <w:r w:rsidR="005D5532" w:rsidRPr="00276391">
        <w:rPr>
          <w:lang w:eastAsia="en-AU"/>
        </w:rPr>
        <w:t xml:space="preserve"> </w:t>
      </w:r>
      <w:r w:rsidRPr="00276391">
        <w:rPr>
          <w:lang w:eastAsia="en-AU"/>
        </w:rPr>
        <w:t>directly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39A6C23C" w14:textId="77777777" w:rsidR="00236748" w:rsidRPr="00276391" w:rsidRDefault="00236748" w:rsidP="00276391">
      <w:pPr>
        <w:pStyle w:val="DHHSbody"/>
        <w:rPr>
          <w:lang w:eastAsia="en-AU"/>
        </w:rPr>
      </w:pPr>
      <w:r w:rsidRPr="00276391">
        <w:rPr>
          <w:lang w:eastAsia="en-AU"/>
        </w:rPr>
        <w:t>Examples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adjustments</w:t>
      </w:r>
      <w:r w:rsidR="005D5532" w:rsidRPr="00276391">
        <w:rPr>
          <w:lang w:eastAsia="en-AU"/>
        </w:rPr>
        <w:t xml:space="preserve"> </w:t>
      </w:r>
      <w:r w:rsidRPr="00276391">
        <w:rPr>
          <w:lang w:eastAsia="en-AU"/>
        </w:rPr>
        <w:t>include:</w:t>
      </w:r>
    </w:p>
    <w:p w14:paraId="4D765B3A" w14:textId="77777777" w:rsidR="00236748" w:rsidRPr="00276391" w:rsidRDefault="00236748" w:rsidP="00276391">
      <w:pPr>
        <w:pStyle w:val="DHHSbullet1"/>
        <w:rPr>
          <w:rFonts w:cs="Arial"/>
          <w:lang w:eastAsia="en-AU"/>
        </w:rPr>
      </w:pPr>
      <w:r w:rsidRPr="00276391">
        <w:rPr>
          <w:rFonts w:cs="Arial"/>
          <w:lang w:eastAsia="en-AU"/>
        </w:rPr>
        <w:t>Price</w:t>
      </w:r>
      <w:r w:rsidR="005D5532" w:rsidRPr="00276391">
        <w:rPr>
          <w:rFonts w:cs="Arial"/>
          <w:lang w:eastAsia="en-AU"/>
        </w:rPr>
        <w:t xml:space="preserve"> </w:t>
      </w:r>
      <w:r w:rsidRPr="00276391">
        <w:rPr>
          <w:rFonts w:cs="Arial"/>
          <w:lang w:eastAsia="en-AU"/>
        </w:rPr>
        <w:t>adjustments</w:t>
      </w:r>
      <w:r w:rsidR="005D5532" w:rsidRPr="00276391">
        <w:rPr>
          <w:rFonts w:cs="Arial"/>
          <w:lang w:eastAsia="en-AU"/>
        </w:rPr>
        <w:t xml:space="preserve"> </w:t>
      </w:r>
      <w:r w:rsidRPr="00276391">
        <w:rPr>
          <w:rFonts w:cs="Arial"/>
          <w:lang w:eastAsia="en-AU"/>
        </w:rPr>
        <w:t>made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provide</w:t>
      </w:r>
      <w:r w:rsidR="005D5532" w:rsidRPr="00276391">
        <w:rPr>
          <w:rFonts w:cs="Arial"/>
          <w:lang w:eastAsia="en-AU"/>
        </w:rPr>
        <w:t xml:space="preserve"> </w:t>
      </w:r>
      <w:r w:rsidRPr="00276391">
        <w:rPr>
          <w:rFonts w:cs="Arial"/>
          <w:lang w:eastAsia="en-AU"/>
        </w:rPr>
        <w:t>increased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indexation.</w:t>
      </w:r>
      <w:r w:rsidR="005D5532" w:rsidRPr="00276391">
        <w:rPr>
          <w:rFonts w:cs="Arial"/>
          <w:lang w:eastAsia="en-AU"/>
        </w:rPr>
        <w:t xml:space="preserve"> </w:t>
      </w:r>
      <w:r w:rsidRPr="00276391">
        <w:rPr>
          <w:rFonts w:cs="Arial"/>
          <w:lang w:eastAsia="en-AU"/>
        </w:rPr>
        <w:t>They</w:t>
      </w:r>
      <w:r w:rsidR="005D5532" w:rsidRPr="00276391">
        <w:rPr>
          <w:rFonts w:cs="Arial"/>
          <w:lang w:eastAsia="en-AU"/>
        </w:rPr>
        <w:t xml:space="preserve"> </w:t>
      </w:r>
      <w:r w:rsidRPr="00276391">
        <w:rPr>
          <w:rFonts w:cs="Arial"/>
          <w:lang w:eastAsia="en-AU"/>
        </w:rPr>
        <w:t>reflect</w:t>
      </w:r>
      <w:r w:rsidR="005D5532" w:rsidRPr="00276391">
        <w:rPr>
          <w:rFonts w:cs="Arial"/>
          <w:lang w:eastAsia="en-AU"/>
        </w:rPr>
        <w:t xml:space="preserve"> </w:t>
      </w:r>
      <w:r w:rsidRPr="00276391">
        <w:rPr>
          <w:rFonts w:cs="Arial"/>
          <w:lang w:eastAsia="en-AU"/>
        </w:rPr>
        <w:t>increased</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same</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delivery</w:t>
      </w:r>
      <w:r w:rsidR="005D5532" w:rsidRPr="00276391">
        <w:rPr>
          <w:rFonts w:cs="Arial"/>
          <w:lang w:eastAsia="en-AU"/>
        </w:rPr>
        <w:t xml:space="preserve"> </w:t>
      </w:r>
      <w:proofErr w:type="gramStart"/>
      <w:r w:rsidRPr="00276391">
        <w:rPr>
          <w:rFonts w:cs="Arial"/>
          <w:lang w:eastAsia="en-AU"/>
        </w:rPr>
        <w:t>outputs,</w:t>
      </w:r>
      <w:r w:rsidR="005D5532" w:rsidRPr="00276391">
        <w:rPr>
          <w:rFonts w:cs="Arial"/>
          <w:lang w:eastAsia="en-AU"/>
        </w:rPr>
        <w:t xml:space="preserve"> </w:t>
      </w:r>
      <w:r w:rsidRPr="00276391">
        <w:rPr>
          <w:rFonts w:cs="Arial"/>
          <w:lang w:eastAsia="en-AU"/>
        </w:rPr>
        <w:t>and</w:t>
      </w:r>
      <w:proofErr w:type="gramEnd"/>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typically</w:t>
      </w:r>
      <w:r w:rsidR="005D5532" w:rsidRPr="00276391">
        <w:rPr>
          <w:rFonts w:cs="Arial"/>
          <w:lang w:eastAsia="en-AU"/>
        </w:rPr>
        <w:t xml:space="preserve"> </w:t>
      </w:r>
      <w:r w:rsidRPr="00276391">
        <w:rPr>
          <w:rFonts w:cs="Arial"/>
          <w:lang w:eastAsia="en-AU"/>
        </w:rPr>
        <w:t>applied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July</w:t>
      </w:r>
      <w:r w:rsidR="005D5532" w:rsidRPr="00276391">
        <w:rPr>
          <w:rFonts w:cs="Arial"/>
          <w:lang w:eastAsia="en-AU"/>
        </w:rPr>
        <w:t xml:space="preserve"> </w:t>
      </w:r>
      <w:r w:rsidRPr="00276391">
        <w:rPr>
          <w:rFonts w:cs="Arial"/>
          <w:lang w:eastAsia="en-AU"/>
        </w:rPr>
        <w:t>each</w:t>
      </w:r>
      <w:r w:rsidR="005D5532" w:rsidRPr="00276391">
        <w:rPr>
          <w:rFonts w:cs="Arial"/>
          <w:lang w:eastAsia="en-AU"/>
        </w:rPr>
        <w:t xml:space="preserve"> </w:t>
      </w:r>
      <w:r w:rsidRPr="00276391">
        <w:rPr>
          <w:rFonts w:cs="Arial"/>
          <w:lang w:eastAsia="en-AU"/>
        </w:rPr>
        <w:t>year</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no</w:t>
      </w:r>
      <w:r w:rsidR="005D5532" w:rsidRPr="00276391">
        <w:rPr>
          <w:rFonts w:cs="Arial"/>
          <w:lang w:eastAsia="en-AU"/>
        </w:rPr>
        <w:t xml:space="preserve"> </w:t>
      </w:r>
      <w:r w:rsidRPr="00276391">
        <w:rPr>
          <w:rFonts w:cs="Arial"/>
          <w:lang w:eastAsia="en-AU"/>
        </w:rPr>
        <w:t>action</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p>
    <w:p w14:paraId="50969B55" w14:textId="77777777" w:rsidR="00236748" w:rsidRPr="00276391" w:rsidRDefault="00236748" w:rsidP="00276391">
      <w:pPr>
        <w:pStyle w:val="DHHSbullet1"/>
        <w:rPr>
          <w:rFonts w:cs="Arial"/>
          <w:lang w:eastAsia="en-AU"/>
        </w:rPr>
      </w:pPr>
      <w:r w:rsidRPr="00276391">
        <w:rPr>
          <w:rFonts w:cs="Arial"/>
          <w:lang w:eastAsia="en-AU"/>
        </w:rPr>
        <w:lastRenderedPageBreak/>
        <w:t>Service</w:t>
      </w:r>
      <w:r w:rsidR="005D5532" w:rsidRPr="00276391">
        <w:rPr>
          <w:rFonts w:cs="Arial"/>
          <w:lang w:eastAsia="en-AU"/>
        </w:rPr>
        <w:t xml:space="preserve"> </w:t>
      </w:r>
      <w:r w:rsidRPr="00276391">
        <w:rPr>
          <w:rFonts w:cs="Arial"/>
          <w:lang w:eastAsia="en-AU"/>
        </w:rPr>
        <w:t>adjustments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activities</w:t>
      </w:r>
      <w:r w:rsidR="005D5532" w:rsidRPr="00276391">
        <w:rPr>
          <w:rFonts w:cs="Arial"/>
          <w:lang w:eastAsia="en-AU"/>
        </w:rPr>
        <w:t xml:space="preserve"> </w:t>
      </w:r>
      <w:r w:rsidRPr="00276391">
        <w:rPr>
          <w:rFonts w:cs="Arial"/>
          <w:lang w:eastAsia="en-AU"/>
        </w:rPr>
        <w:t>where</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targets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determined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volume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service</w:t>
      </w:r>
      <w:r w:rsidR="005D5532" w:rsidRPr="00276391">
        <w:rPr>
          <w:rFonts w:cs="Arial"/>
          <w:lang w:eastAsia="en-AU"/>
        </w:rPr>
        <w:t xml:space="preserve"> </w:t>
      </w:r>
      <w:r w:rsidRPr="00276391">
        <w:rPr>
          <w:rFonts w:cs="Arial"/>
          <w:lang w:eastAsia="en-AU"/>
        </w:rPr>
        <w:t>provided</w:t>
      </w:r>
      <w:r w:rsidR="005D5532" w:rsidRPr="00276391">
        <w:rPr>
          <w:rFonts w:cs="Arial"/>
          <w:lang w:eastAsia="en-AU"/>
        </w:rPr>
        <w:t xml:space="preserve"> </w:t>
      </w:r>
      <w:r w:rsidRPr="00276391">
        <w:rPr>
          <w:rFonts w:cs="Arial"/>
          <w:lang w:eastAsia="en-AU"/>
        </w:rPr>
        <w:t>(e.g.</w:t>
      </w:r>
      <w:r w:rsidR="005D5532" w:rsidRPr="00276391">
        <w:rPr>
          <w:rFonts w:cs="Arial"/>
          <w:lang w:eastAsia="en-AU"/>
        </w:rPr>
        <w:t xml:space="preserve"> </w:t>
      </w:r>
      <w:r w:rsidRPr="00276391">
        <w:rPr>
          <w:rFonts w:cs="Arial"/>
          <w:lang w:eastAsia="en-AU"/>
        </w:rPr>
        <w:t>Kindergarten</w:t>
      </w:r>
      <w:r w:rsidR="005D5532" w:rsidRPr="00276391">
        <w:rPr>
          <w:rFonts w:cs="Arial"/>
          <w:lang w:eastAsia="en-AU"/>
        </w:rPr>
        <w:t xml:space="preserve"> </w:t>
      </w:r>
      <w:r w:rsidRPr="00276391">
        <w:rPr>
          <w:rFonts w:cs="Arial"/>
          <w:lang w:eastAsia="en-AU"/>
        </w:rPr>
        <w:t>enrolment</w:t>
      </w:r>
      <w:r w:rsidR="005D5532" w:rsidRPr="00276391">
        <w:rPr>
          <w:rFonts w:cs="Arial"/>
          <w:lang w:eastAsia="en-AU"/>
        </w:rPr>
        <w:t xml:space="preserve"> </w:t>
      </w:r>
      <w:r w:rsidRPr="00276391">
        <w:rPr>
          <w:rFonts w:cs="Arial"/>
          <w:lang w:eastAsia="en-AU"/>
        </w:rPr>
        <w:t>numbers,</w:t>
      </w:r>
      <w:r w:rsidR="005D5532" w:rsidRPr="00276391">
        <w:rPr>
          <w:rFonts w:cs="Arial"/>
          <w:lang w:eastAsia="en-AU"/>
        </w:rPr>
        <w:t xml:space="preserve"> </w:t>
      </w:r>
      <w:r w:rsidRPr="00276391">
        <w:rPr>
          <w:rFonts w:cs="Arial"/>
          <w:lang w:eastAsia="en-AU"/>
        </w:rPr>
        <w:t>Immunisation</w:t>
      </w:r>
      <w:r w:rsidR="005D5532" w:rsidRPr="00276391">
        <w:rPr>
          <w:rFonts w:cs="Arial"/>
          <w:lang w:eastAsia="en-AU"/>
        </w:rPr>
        <w:t xml:space="preserve"> </w:t>
      </w:r>
      <w:r w:rsidRPr="00276391">
        <w:rPr>
          <w:rFonts w:cs="Arial"/>
          <w:lang w:eastAsia="en-AU"/>
        </w:rPr>
        <w:t>numbers).</w:t>
      </w:r>
      <w:r w:rsidR="005D5532" w:rsidRPr="00276391">
        <w:rPr>
          <w:rFonts w:cs="Arial"/>
          <w:lang w:eastAsia="en-AU"/>
        </w:rPr>
        <w:t xml:space="preserve"> </w:t>
      </w:r>
    </w:p>
    <w:p w14:paraId="3CD1EEDC" w14:textId="77777777" w:rsidR="00236748" w:rsidRPr="00276391" w:rsidRDefault="00236748" w:rsidP="009B2351">
      <w:pPr>
        <w:pStyle w:val="Heading2"/>
        <w:rPr>
          <w:rFonts w:cs="Arial"/>
          <w:lang w:eastAsia="en-AU"/>
        </w:rPr>
      </w:pPr>
      <w:bookmarkStart w:id="551" w:name="_3.22_The_department's"/>
      <w:bookmarkStart w:id="552" w:name="_Toc478991892"/>
      <w:bookmarkStart w:id="553" w:name="_Toc478992438"/>
      <w:bookmarkStart w:id="554" w:name="_Toc478992907"/>
      <w:bookmarkStart w:id="555" w:name="_Toc4142105"/>
      <w:bookmarkEnd w:id="551"/>
      <w:r w:rsidRPr="00276391">
        <w:rPr>
          <w:rFonts w:cs="Arial"/>
          <w:lang w:eastAsia="en-AU"/>
        </w:rPr>
        <w:t>3.22</w:t>
      </w:r>
      <w:r w:rsidR="009B2351" w:rsidRPr="00276391">
        <w:rPr>
          <w:rFonts w:cs="Arial"/>
          <w:lang w:eastAsia="en-AU"/>
        </w:rPr>
        <w:t xml:space="preserve"> </w:t>
      </w:r>
      <w:r w:rsidRPr="00276391">
        <w:rPr>
          <w:rFonts w:cs="Arial"/>
          <w:lang w:eastAsia="en-AU"/>
        </w:rPr>
        <w:t>The</w:t>
      </w:r>
      <w:r w:rsidR="009B2351" w:rsidRPr="00276391">
        <w:rPr>
          <w:rFonts w:cs="Arial"/>
          <w:lang w:eastAsia="en-AU"/>
        </w:rPr>
        <w:t xml:space="preserve"> </w:t>
      </w:r>
      <w:r w:rsidRPr="00276391">
        <w:rPr>
          <w:rFonts w:cs="Arial"/>
          <w:lang w:eastAsia="en-AU"/>
        </w:rPr>
        <w:t>department's</w:t>
      </w:r>
      <w:r w:rsidR="009B2351" w:rsidRPr="00276391">
        <w:rPr>
          <w:rFonts w:cs="Arial"/>
          <w:lang w:eastAsia="en-AU"/>
        </w:rPr>
        <w:t xml:space="preserve"> </w:t>
      </w:r>
      <w:r w:rsidRPr="00276391">
        <w:rPr>
          <w:rFonts w:cs="Arial"/>
          <w:lang w:eastAsia="en-AU"/>
        </w:rPr>
        <w:t>consent</w:t>
      </w:r>
      <w:bookmarkEnd w:id="552"/>
      <w:bookmarkEnd w:id="553"/>
      <w:bookmarkEnd w:id="554"/>
      <w:bookmarkEnd w:id="555"/>
    </w:p>
    <w:p w14:paraId="5CC545BD" w14:textId="21F29DFA" w:rsidR="00236748" w:rsidRPr="00276391" w:rsidRDefault="00236748" w:rsidP="00276391">
      <w:pPr>
        <w:pStyle w:val="DHHSbody"/>
        <w:rPr>
          <w:lang w:eastAsia="en-AU"/>
        </w:rPr>
      </w:pPr>
      <w:r w:rsidRPr="00276391">
        <w:rPr>
          <w:lang w:eastAsia="en-AU"/>
        </w:rPr>
        <w:t>When</w:t>
      </w:r>
      <w:r w:rsidR="005D5532" w:rsidRPr="00276391">
        <w:rPr>
          <w:lang w:eastAsia="en-AU"/>
        </w:rPr>
        <w:t xml:space="preserve"> </w:t>
      </w:r>
      <w:r w:rsidRPr="00276391">
        <w:rPr>
          <w:lang w:eastAsia="en-AU"/>
        </w:rPr>
        <w:t>requesting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make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before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documentation</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17113902"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response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time.</w:t>
      </w:r>
    </w:p>
    <w:p w14:paraId="0AC4B0EF"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considers</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subject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conditions.</w:t>
      </w:r>
    </w:p>
    <w:p w14:paraId="36C484EF"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given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p>
    <w:p w14:paraId="2C2CA2F0" w14:textId="77777777" w:rsidR="00236748" w:rsidRPr="00276391" w:rsidRDefault="00236748" w:rsidP="009B2351">
      <w:pPr>
        <w:pStyle w:val="Heading2"/>
        <w:rPr>
          <w:rFonts w:cs="Arial"/>
          <w:lang w:eastAsia="en-AU"/>
        </w:rPr>
      </w:pPr>
      <w:bookmarkStart w:id="556" w:name="_Toc478991893"/>
      <w:bookmarkStart w:id="557" w:name="_Toc478992439"/>
      <w:bookmarkStart w:id="558" w:name="_Toc478992908"/>
      <w:bookmarkStart w:id="559" w:name="_Toc4142106"/>
      <w:r w:rsidRPr="00276391">
        <w:rPr>
          <w:rFonts w:cs="Arial"/>
          <w:lang w:eastAsia="en-AU"/>
        </w:rPr>
        <w:t>3.23</w:t>
      </w:r>
      <w:r w:rsidR="009B2351" w:rsidRPr="00276391">
        <w:rPr>
          <w:rFonts w:cs="Arial"/>
          <w:lang w:eastAsia="en-AU"/>
        </w:rPr>
        <w:t xml:space="preserve"> </w:t>
      </w:r>
      <w:r w:rsidRPr="00276391">
        <w:rPr>
          <w:rFonts w:cs="Arial"/>
          <w:lang w:eastAsia="en-AU"/>
        </w:rPr>
        <w:t>Status</w:t>
      </w:r>
      <w:r w:rsidR="009B2351" w:rsidRPr="00276391">
        <w:rPr>
          <w:rFonts w:cs="Arial"/>
          <w:lang w:eastAsia="en-AU"/>
        </w:rPr>
        <w:t xml:space="preserve"> </w:t>
      </w:r>
      <w:r w:rsidRPr="00276391">
        <w:rPr>
          <w:rFonts w:cs="Arial"/>
          <w:lang w:eastAsia="en-AU"/>
        </w:rPr>
        <w:t>of</w:t>
      </w:r>
      <w:r w:rsidR="009B2351" w:rsidRPr="00276391">
        <w:rPr>
          <w:rFonts w:cs="Arial"/>
          <w:lang w:eastAsia="en-AU"/>
        </w:rPr>
        <w:t xml:space="preserve"> </w:t>
      </w:r>
      <w:r w:rsidRPr="00276391">
        <w:rPr>
          <w:rFonts w:cs="Arial"/>
          <w:lang w:eastAsia="en-AU"/>
        </w:rPr>
        <w:t>organisations</w:t>
      </w:r>
      <w:bookmarkEnd w:id="556"/>
      <w:bookmarkEnd w:id="557"/>
      <w:bookmarkEnd w:id="558"/>
      <w:bookmarkEnd w:id="559"/>
    </w:p>
    <w:p w14:paraId="47738A0F" w14:textId="77777777" w:rsidR="00236748" w:rsidRPr="00276391" w:rsidRDefault="00236748" w:rsidP="00276391">
      <w:pPr>
        <w:pStyle w:val="Heading3"/>
        <w:rPr>
          <w:lang w:eastAsia="en-AU"/>
        </w:rPr>
      </w:pPr>
      <w:bookmarkStart w:id="560" w:name="_Toc478991894"/>
      <w:bookmarkStart w:id="561" w:name="_Toc478992440"/>
      <w:bookmarkStart w:id="562" w:name="_Toc4142107"/>
      <w:r w:rsidRPr="00276391">
        <w:rPr>
          <w:lang w:eastAsia="en-AU"/>
        </w:rPr>
        <w:t>Legal</w:t>
      </w:r>
      <w:r w:rsidR="005D5532" w:rsidRPr="00276391">
        <w:rPr>
          <w:lang w:eastAsia="en-AU"/>
        </w:rPr>
        <w:t xml:space="preserve"> </w:t>
      </w:r>
      <w:r w:rsidRPr="00276391">
        <w:rPr>
          <w:lang w:eastAsia="en-AU"/>
        </w:rPr>
        <w:t>relationship</w:t>
      </w:r>
      <w:bookmarkEnd w:id="560"/>
      <w:bookmarkEnd w:id="561"/>
      <w:bookmarkEnd w:id="562"/>
    </w:p>
    <w:p w14:paraId="3684361E" w14:textId="5C0EE97D"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sets</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relationship</w:t>
      </w:r>
      <w:r w:rsidR="005D5532" w:rsidRPr="00B24C02">
        <w:rPr>
          <w:rFonts w:cs="Arial"/>
          <w:color w:val="000000"/>
          <w:szCs w:val="19"/>
          <w:lang w:eastAsia="en-AU"/>
        </w:rPr>
        <w:t xml:space="preserve"> </w:t>
      </w:r>
      <w:r w:rsidRPr="00B24C02">
        <w:rPr>
          <w:rFonts w:cs="Arial"/>
          <w:color w:val="000000"/>
          <w:szCs w:val="19"/>
          <w:lang w:eastAsia="en-AU"/>
        </w:rPr>
        <w:t>between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specifies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agents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cannot</w:t>
      </w:r>
      <w:r w:rsidR="005D5532" w:rsidRPr="00B24C02">
        <w:rPr>
          <w:rFonts w:cs="Arial"/>
          <w:color w:val="000000"/>
          <w:szCs w:val="19"/>
          <w:lang w:eastAsia="en-AU"/>
        </w:rPr>
        <w:t xml:space="preserve"> </w:t>
      </w:r>
      <w:r w:rsidRPr="00B24C02">
        <w:rPr>
          <w:rFonts w:cs="Arial"/>
          <w:color w:val="000000"/>
          <w:szCs w:val="19"/>
          <w:lang w:eastAsia="en-AU"/>
        </w:rPr>
        <w:t>incur</w:t>
      </w:r>
      <w:r w:rsidR="005D5532" w:rsidRPr="00B24C02">
        <w:rPr>
          <w:rFonts w:cs="Arial"/>
          <w:color w:val="000000"/>
          <w:szCs w:val="19"/>
          <w:lang w:eastAsia="en-AU"/>
        </w:rPr>
        <w:t xml:space="preserve"> </w:t>
      </w:r>
      <w:r w:rsidRPr="00B24C02">
        <w:rPr>
          <w:rFonts w:cs="Arial"/>
          <w:color w:val="000000"/>
          <w:szCs w:val="19"/>
          <w:lang w:eastAsia="en-AU"/>
        </w:rPr>
        <w:t>liability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make</w:t>
      </w:r>
      <w:r w:rsidR="005D5532" w:rsidRPr="00B24C02">
        <w:rPr>
          <w:rFonts w:cs="Arial"/>
          <w:color w:val="000000"/>
          <w:szCs w:val="19"/>
          <w:lang w:eastAsia="en-AU"/>
        </w:rPr>
        <w:t xml:space="preserve"> </w:t>
      </w:r>
      <w:r w:rsidRPr="00B24C02">
        <w:rPr>
          <w:rFonts w:cs="Arial"/>
          <w:color w:val="000000"/>
          <w:szCs w:val="19"/>
          <w:lang w:eastAsia="en-AU"/>
        </w:rPr>
        <w:t>representations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behalf</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other.</w:t>
      </w:r>
    </w:p>
    <w:p w14:paraId="091D007B"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specifies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solely</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liable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paying</w:t>
      </w:r>
      <w:r w:rsidR="005D5532" w:rsidRPr="00276391">
        <w:rPr>
          <w:lang w:eastAsia="en-AU"/>
        </w:rPr>
        <w:t xml:space="preserve"> </w:t>
      </w:r>
      <w:r w:rsidRPr="00276391">
        <w:rPr>
          <w:lang w:eastAsia="en-AU"/>
        </w:rPr>
        <w:t>superannuation,</w:t>
      </w:r>
      <w:r w:rsidR="005D5532" w:rsidRPr="00276391">
        <w:rPr>
          <w:lang w:eastAsia="en-AU"/>
        </w:rPr>
        <w:t xml:space="preserve"> </w:t>
      </w:r>
      <w:r w:rsidRPr="00276391">
        <w:rPr>
          <w:lang w:eastAsia="en-AU"/>
        </w:rPr>
        <w:t>payroll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WorkCover</w:t>
      </w:r>
      <w:r w:rsidR="005D5532" w:rsidRPr="00276391">
        <w:rPr>
          <w:lang w:eastAsia="en-AU"/>
        </w:rPr>
        <w:t xml:space="preserve"> </w:t>
      </w:r>
      <w:r w:rsidRPr="00276391">
        <w:rPr>
          <w:lang w:eastAsia="en-AU"/>
        </w:rPr>
        <w:t>levy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similar</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entitlements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relation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employees.</w:t>
      </w:r>
    </w:p>
    <w:p w14:paraId="38A83185" w14:textId="77777777" w:rsidR="00236748" w:rsidRPr="00276391" w:rsidRDefault="00236748" w:rsidP="00276391">
      <w:pPr>
        <w:pStyle w:val="Heading3"/>
        <w:rPr>
          <w:lang w:eastAsia="en-AU"/>
        </w:rPr>
      </w:pPr>
      <w:bookmarkStart w:id="563" w:name="_Toc478991895"/>
      <w:bookmarkStart w:id="564" w:name="_Toc478992441"/>
      <w:bookmarkStart w:id="565" w:name="_Toc4142108"/>
      <w:r w:rsidRPr="00276391">
        <w:rPr>
          <w:lang w:eastAsia="en-AU"/>
        </w:rPr>
        <w:t>Legal</w:t>
      </w:r>
      <w:r w:rsidR="005D5532" w:rsidRPr="00276391">
        <w:rPr>
          <w:lang w:eastAsia="en-AU"/>
        </w:rPr>
        <w:t xml:space="preserve"> </w:t>
      </w:r>
      <w:r w:rsidRPr="00276391">
        <w:rPr>
          <w:lang w:eastAsia="en-AU"/>
        </w:rPr>
        <w:t>status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bookmarkEnd w:id="563"/>
      <w:bookmarkEnd w:id="564"/>
      <w:bookmarkEnd w:id="565"/>
    </w:p>
    <w:p w14:paraId="2780960E" w14:textId="4775AEC4"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r w:rsidR="005D5532" w:rsidRPr="00B24C02">
        <w:rPr>
          <w:rFonts w:cs="Arial"/>
          <w:color w:val="000000"/>
          <w:szCs w:val="19"/>
          <w:lang w:eastAsia="en-AU"/>
        </w:rPr>
        <w:t xml:space="preserve"> </w:t>
      </w:r>
      <w:r w:rsidRPr="00B24C02">
        <w:rPr>
          <w:rFonts w:cs="Arial"/>
          <w:color w:val="000000"/>
          <w:szCs w:val="19"/>
          <w:lang w:eastAsia="en-AU"/>
        </w:rPr>
        <w:t>established</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particular</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Most</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p>
    <w:p w14:paraId="0B096FA8" w14:textId="77777777" w:rsidR="00236748" w:rsidRPr="00276391" w:rsidRDefault="00236748" w:rsidP="00276391">
      <w:pPr>
        <w:pStyle w:val="DHHSbullet1"/>
        <w:rPr>
          <w:rFonts w:cs="Arial"/>
          <w:lang w:eastAsia="en-AU"/>
        </w:rPr>
      </w:pPr>
      <w:r w:rsidRPr="00276391">
        <w:rPr>
          <w:rFonts w:cs="Arial"/>
          <w:lang w:eastAsia="en-AU"/>
        </w:rPr>
        <w:t>Incorporated</w:t>
      </w:r>
      <w:r w:rsidR="005D5532" w:rsidRPr="00276391">
        <w:rPr>
          <w:rFonts w:cs="Arial"/>
          <w:lang w:eastAsia="en-AU"/>
        </w:rPr>
        <w:t xml:space="preserve"> </w:t>
      </w:r>
      <w:r w:rsidRPr="00276391">
        <w:rPr>
          <w:rFonts w:cs="Arial"/>
          <w:lang w:eastAsia="en-AU"/>
        </w:rPr>
        <w:t>Associations</w:t>
      </w:r>
      <w:r w:rsidR="005D5532" w:rsidRPr="00276391">
        <w:rPr>
          <w:rFonts w:cs="Arial"/>
          <w:lang w:eastAsia="en-AU"/>
        </w:rPr>
        <w:t xml:space="preserve"> </w:t>
      </w:r>
    </w:p>
    <w:p w14:paraId="040D27F9" w14:textId="77777777" w:rsidR="00236748" w:rsidRPr="00276391" w:rsidRDefault="00236748" w:rsidP="00276391">
      <w:pPr>
        <w:pStyle w:val="DHHSbullet1"/>
        <w:rPr>
          <w:rFonts w:cs="Arial"/>
          <w:lang w:eastAsia="en-AU"/>
        </w:rPr>
      </w:pPr>
      <w:r w:rsidRPr="00276391">
        <w:rPr>
          <w:rFonts w:cs="Arial"/>
          <w:lang w:eastAsia="en-AU"/>
        </w:rPr>
        <w:t>Companies</w:t>
      </w:r>
      <w:r w:rsidR="005D5532" w:rsidRPr="00276391">
        <w:rPr>
          <w:rFonts w:cs="Arial"/>
          <w:lang w:eastAsia="en-AU"/>
        </w:rPr>
        <w:t xml:space="preserve"> </w:t>
      </w:r>
    </w:p>
    <w:p w14:paraId="07C327D1" w14:textId="77777777" w:rsidR="00236748" w:rsidRPr="00276391" w:rsidRDefault="00236748" w:rsidP="00276391">
      <w:pPr>
        <w:pStyle w:val="DHHSbullet1"/>
        <w:rPr>
          <w:rFonts w:cs="Arial"/>
          <w:lang w:eastAsia="en-AU"/>
        </w:rPr>
      </w:pPr>
      <w:r w:rsidRPr="00276391">
        <w:rPr>
          <w:rFonts w:cs="Arial"/>
          <w:lang w:eastAsia="en-AU"/>
        </w:rPr>
        <w:t>Cooperatives</w:t>
      </w:r>
      <w:r w:rsidR="005D5532" w:rsidRPr="00276391">
        <w:rPr>
          <w:rFonts w:cs="Arial"/>
          <w:lang w:eastAsia="en-AU"/>
        </w:rPr>
        <w:t xml:space="preserve"> </w:t>
      </w:r>
    </w:p>
    <w:p w14:paraId="64DB44C8" w14:textId="77777777" w:rsidR="00236748" w:rsidRPr="00276391" w:rsidRDefault="00236748" w:rsidP="00276391">
      <w:pPr>
        <w:pStyle w:val="DHHSbullet1"/>
        <w:rPr>
          <w:rFonts w:cs="Arial"/>
          <w:lang w:eastAsia="en-AU"/>
        </w:rPr>
      </w:pPr>
      <w:r w:rsidRPr="00276391">
        <w:rPr>
          <w:rFonts w:cs="Arial"/>
          <w:lang w:eastAsia="en-AU"/>
        </w:rPr>
        <w:t>Partnerships</w:t>
      </w:r>
      <w:r w:rsidR="005D5532" w:rsidRPr="00276391">
        <w:rPr>
          <w:rFonts w:cs="Arial"/>
          <w:lang w:eastAsia="en-AU"/>
        </w:rPr>
        <w:t xml:space="preserve"> </w:t>
      </w:r>
    </w:p>
    <w:p w14:paraId="4AEA8DEA" w14:textId="77777777" w:rsidR="00236748" w:rsidRPr="00276391" w:rsidRDefault="00236748" w:rsidP="00276391">
      <w:pPr>
        <w:pStyle w:val="DHHSbullet1"/>
        <w:rPr>
          <w:rFonts w:cs="Arial"/>
          <w:lang w:eastAsia="en-AU"/>
        </w:rPr>
      </w:pPr>
      <w:r w:rsidRPr="00276391">
        <w:rPr>
          <w:rFonts w:cs="Arial"/>
          <w:lang w:eastAsia="en-AU"/>
        </w:rPr>
        <w:t>Entities</w:t>
      </w:r>
      <w:r w:rsidR="005D5532" w:rsidRPr="00276391">
        <w:rPr>
          <w:rFonts w:cs="Arial"/>
          <w:lang w:eastAsia="en-AU"/>
        </w:rPr>
        <w:t xml:space="preserve"> </w:t>
      </w:r>
      <w:r w:rsidRPr="00276391">
        <w:rPr>
          <w:rFonts w:cs="Arial"/>
          <w:lang w:eastAsia="en-AU"/>
        </w:rPr>
        <w:t>established</w:t>
      </w:r>
      <w:r w:rsidR="005D5532" w:rsidRPr="00276391">
        <w:rPr>
          <w:rFonts w:cs="Arial"/>
          <w:lang w:eastAsia="en-AU"/>
        </w:rPr>
        <w:t xml:space="preserve"> </w:t>
      </w:r>
      <w:r w:rsidRPr="00276391">
        <w:rPr>
          <w:rFonts w:cs="Arial"/>
          <w:lang w:eastAsia="en-AU"/>
        </w:rPr>
        <w:t>under</w:t>
      </w:r>
      <w:r w:rsidR="005D5532" w:rsidRPr="00276391">
        <w:rPr>
          <w:rFonts w:cs="Arial"/>
          <w:lang w:eastAsia="en-AU"/>
        </w:rPr>
        <w:t xml:space="preserve"> </w:t>
      </w:r>
      <w:r w:rsidRPr="00276391">
        <w:rPr>
          <w:rFonts w:cs="Arial"/>
          <w:lang w:eastAsia="en-AU"/>
        </w:rPr>
        <w:t>specific</w:t>
      </w:r>
      <w:r w:rsidR="005D5532" w:rsidRPr="00276391">
        <w:rPr>
          <w:rFonts w:cs="Arial"/>
          <w:lang w:eastAsia="en-AU"/>
        </w:rPr>
        <w:t xml:space="preserve"> </w:t>
      </w:r>
      <w:r w:rsidRPr="00276391">
        <w:rPr>
          <w:rFonts w:cs="Arial"/>
          <w:lang w:eastAsia="en-AU"/>
        </w:rPr>
        <w:t>Acts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Parliament.</w:t>
      </w:r>
      <w:r w:rsidR="005D5532" w:rsidRPr="00276391">
        <w:rPr>
          <w:rFonts w:cs="Arial"/>
          <w:lang w:eastAsia="en-AU"/>
        </w:rPr>
        <w:t xml:space="preserve"> </w:t>
      </w:r>
      <w:r w:rsidRPr="00276391">
        <w:rPr>
          <w:rFonts w:cs="Arial"/>
          <w:lang w:eastAsia="en-AU"/>
        </w:rPr>
        <w:t>These</w:t>
      </w:r>
      <w:r w:rsidR="005D5532" w:rsidRPr="00276391">
        <w:rPr>
          <w:rFonts w:cs="Arial"/>
          <w:lang w:eastAsia="en-AU"/>
        </w:rPr>
        <w:t xml:space="preserve"> </w:t>
      </w:r>
      <w:r w:rsidRPr="00276391">
        <w:rPr>
          <w:rFonts w:cs="Arial"/>
          <w:lang w:eastAsia="en-AU"/>
        </w:rPr>
        <w:t>acts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described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more</w:t>
      </w:r>
      <w:r w:rsidR="005D5532" w:rsidRPr="00276391">
        <w:rPr>
          <w:rFonts w:cs="Arial"/>
          <w:lang w:eastAsia="en-AU"/>
        </w:rPr>
        <w:t xml:space="preserve"> </w:t>
      </w:r>
      <w:r w:rsidRPr="00276391">
        <w:rPr>
          <w:rFonts w:cs="Arial"/>
          <w:lang w:eastAsia="en-AU"/>
        </w:rPr>
        <w:t>detail</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hyperlink w:anchor="_Chapter_3._Terms" w:tooltip="2. Service Agreements" w:history="1">
        <w:r w:rsidRPr="00986D1E">
          <w:rPr>
            <w:rStyle w:val="Hyperlink"/>
          </w:rPr>
          <w:t>Chapter</w:t>
        </w:r>
        <w:r w:rsidR="005D5532" w:rsidRPr="00986D1E">
          <w:rPr>
            <w:rStyle w:val="Hyperlink"/>
          </w:rPr>
          <w:t xml:space="preserve"> </w:t>
        </w:r>
        <w:r w:rsidRPr="00986D1E">
          <w:rPr>
            <w:rStyle w:val="Hyperlink"/>
          </w:rPr>
          <w:t>2</w:t>
        </w:r>
      </w:hyperlink>
      <w:r w:rsidRPr="00276391">
        <w:rPr>
          <w:rFonts w:cs="Arial"/>
          <w:lang w:eastAsia="en-AU"/>
        </w:rPr>
        <w:t>.</w:t>
      </w:r>
      <w:r w:rsidR="005D5532" w:rsidRPr="00276391">
        <w:rPr>
          <w:rFonts w:cs="Arial"/>
          <w:lang w:eastAsia="en-AU"/>
        </w:rPr>
        <w:t xml:space="preserve"> </w:t>
      </w:r>
    </w:p>
    <w:p w14:paraId="23531B02"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must:</w:t>
      </w:r>
    </w:p>
    <w:p w14:paraId="463FDCC4" w14:textId="77777777" w:rsidR="00236748" w:rsidRPr="00276391" w:rsidRDefault="00236748" w:rsidP="00276391">
      <w:pPr>
        <w:pStyle w:val="DHHSbullet1"/>
        <w:rPr>
          <w:rFonts w:cs="Arial"/>
          <w:lang w:eastAsia="en-AU"/>
        </w:rPr>
      </w:pPr>
      <w:r w:rsidRPr="00276391">
        <w:rPr>
          <w:rFonts w:cs="Arial"/>
          <w:lang w:eastAsia="en-AU"/>
        </w:rPr>
        <w:t>comply</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laws</w:t>
      </w:r>
      <w:r w:rsidR="005D5532" w:rsidRPr="00276391">
        <w:rPr>
          <w:rFonts w:cs="Arial"/>
          <w:lang w:eastAsia="en-AU"/>
        </w:rPr>
        <w:t xml:space="preserve"> </w:t>
      </w:r>
      <w:r w:rsidRPr="00276391">
        <w:rPr>
          <w:rFonts w:cs="Arial"/>
          <w:lang w:eastAsia="en-AU"/>
        </w:rPr>
        <w:t>applicable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them</w:t>
      </w:r>
      <w:r w:rsidR="005D5532" w:rsidRPr="00276391">
        <w:rPr>
          <w:rFonts w:cs="Arial"/>
          <w:lang w:eastAsia="en-AU"/>
        </w:rPr>
        <w:t xml:space="preserve"> </w:t>
      </w:r>
    </w:p>
    <w:p w14:paraId="1B051828" w14:textId="77777777" w:rsidR="00236748" w:rsidRPr="00276391" w:rsidRDefault="00236748" w:rsidP="00276391">
      <w:pPr>
        <w:pStyle w:val="DHHSbullet1"/>
        <w:rPr>
          <w:rFonts w:cs="Arial"/>
          <w:lang w:eastAsia="en-AU"/>
        </w:rPr>
      </w:pPr>
      <w:r w:rsidRPr="00276391">
        <w:rPr>
          <w:rFonts w:cs="Arial"/>
          <w:lang w:eastAsia="en-AU"/>
        </w:rPr>
        <w:t>have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active</w:t>
      </w:r>
      <w:r w:rsidR="005D5532" w:rsidRPr="00276391">
        <w:rPr>
          <w:rFonts w:cs="Arial"/>
          <w:lang w:eastAsia="en-AU"/>
        </w:rPr>
        <w:t xml:space="preserve"> </w:t>
      </w:r>
      <w:r w:rsidRPr="00276391">
        <w:rPr>
          <w:rFonts w:cs="Arial"/>
          <w:lang w:eastAsia="en-AU"/>
        </w:rPr>
        <w:t>Australian</w:t>
      </w:r>
      <w:r w:rsidR="005D5532" w:rsidRPr="00276391">
        <w:rPr>
          <w:rFonts w:cs="Arial"/>
          <w:lang w:eastAsia="en-AU"/>
        </w:rPr>
        <w:t xml:space="preserve"> </w:t>
      </w:r>
      <w:r w:rsidRPr="00276391">
        <w:rPr>
          <w:rFonts w:cs="Arial"/>
          <w:lang w:eastAsia="en-AU"/>
        </w:rPr>
        <w:t>Business</w:t>
      </w:r>
      <w:r w:rsidR="005D5532" w:rsidRPr="00276391">
        <w:rPr>
          <w:rFonts w:cs="Arial"/>
          <w:lang w:eastAsia="en-AU"/>
        </w:rPr>
        <w:t xml:space="preserve"> </w:t>
      </w:r>
      <w:r w:rsidRPr="00276391">
        <w:rPr>
          <w:rFonts w:cs="Arial"/>
          <w:lang w:eastAsia="en-AU"/>
        </w:rPr>
        <w:t>Number</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Organisation</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law</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have</w:t>
      </w:r>
      <w:r w:rsidR="005D5532" w:rsidRPr="00276391">
        <w:rPr>
          <w:rFonts w:cs="Arial"/>
          <w:lang w:eastAsia="en-AU"/>
        </w:rPr>
        <w:t xml:space="preserve"> </w:t>
      </w:r>
      <w:r w:rsidRPr="00276391">
        <w:rPr>
          <w:rFonts w:cs="Arial"/>
          <w:lang w:eastAsia="en-AU"/>
        </w:rPr>
        <w:t>an</w:t>
      </w:r>
      <w:r w:rsidR="005D5532" w:rsidRPr="00276391">
        <w:rPr>
          <w:rFonts w:cs="Arial"/>
          <w:lang w:eastAsia="en-AU"/>
        </w:rPr>
        <w:t xml:space="preserve"> </w:t>
      </w:r>
      <w:r w:rsidRPr="00276391">
        <w:rPr>
          <w:rFonts w:cs="Arial"/>
          <w:lang w:eastAsia="en-AU"/>
        </w:rPr>
        <w:t>ABN)</w:t>
      </w:r>
      <w:r w:rsidR="005D5532" w:rsidRPr="00276391">
        <w:rPr>
          <w:rFonts w:cs="Arial"/>
          <w:lang w:eastAsia="en-AU"/>
        </w:rPr>
        <w:t xml:space="preserve"> </w:t>
      </w:r>
    </w:p>
    <w:p w14:paraId="2D7C7EEA" w14:textId="77777777" w:rsidR="00236748" w:rsidRPr="00276391" w:rsidRDefault="00236748" w:rsidP="00276391">
      <w:pPr>
        <w:pStyle w:val="DHHSbullet1"/>
        <w:rPr>
          <w:rFonts w:cs="Arial"/>
          <w:lang w:eastAsia="en-AU"/>
        </w:rPr>
      </w:pPr>
      <w:r w:rsidRPr="00276391">
        <w:rPr>
          <w:rFonts w:cs="Arial"/>
          <w:lang w:eastAsia="en-AU"/>
        </w:rPr>
        <w:t>be</w:t>
      </w:r>
      <w:r w:rsidR="005D5532" w:rsidRPr="00276391">
        <w:rPr>
          <w:rFonts w:cs="Arial"/>
          <w:lang w:eastAsia="en-AU"/>
        </w:rPr>
        <w:t xml:space="preserve"> </w:t>
      </w:r>
      <w:r w:rsidRPr="00276391">
        <w:rPr>
          <w:rFonts w:cs="Arial"/>
          <w:lang w:eastAsia="en-AU"/>
        </w:rPr>
        <w:t>registered</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Goods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Tax</w:t>
      </w:r>
      <w:r w:rsidR="005D5532" w:rsidRPr="00276391">
        <w:rPr>
          <w:rFonts w:cs="Arial"/>
          <w:lang w:eastAsia="en-AU"/>
        </w:rPr>
        <w:t xml:space="preserve"> </w:t>
      </w:r>
      <w:r w:rsidRPr="00276391">
        <w:rPr>
          <w:rFonts w:cs="Arial"/>
          <w:lang w:eastAsia="en-AU"/>
        </w:rPr>
        <w:t>(GST)</w:t>
      </w:r>
      <w:r w:rsidR="005D5532" w:rsidRPr="00276391">
        <w:rPr>
          <w:rFonts w:cs="Arial"/>
          <w:lang w:eastAsia="en-AU"/>
        </w:rPr>
        <w:t xml:space="preserve"> </w:t>
      </w:r>
      <w:r w:rsidRPr="00276391">
        <w:rPr>
          <w:rFonts w:cs="Arial"/>
          <w:lang w:eastAsia="en-AU"/>
        </w:rPr>
        <w:t>if</w:t>
      </w:r>
      <w:r w:rsidR="005D5532" w:rsidRPr="00276391">
        <w:rPr>
          <w:rFonts w:cs="Arial"/>
          <w:lang w:eastAsia="en-AU"/>
        </w:rPr>
        <w:t xml:space="preserve"> </w:t>
      </w:r>
      <w:r w:rsidRPr="00276391">
        <w:rPr>
          <w:rFonts w:cs="Arial"/>
          <w:lang w:eastAsia="en-AU"/>
        </w:rPr>
        <w:t>required</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law.</w:t>
      </w:r>
      <w:r w:rsidR="005D5532" w:rsidRPr="00276391">
        <w:rPr>
          <w:rFonts w:cs="Arial"/>
          <w:lang w:eastAsia="en-AU"/>
        </w:rPr>
        <w:t xml:space="preserve"> </w:t>
      </w:r>
    </w:p>
    <w:p w14:paraId="1C1D9C52" w14:textId="77777777" w:rsidR="00236748" w:rsidRPr="00276391" w:rsidRDefault="00236748" w:rsidP="00276391">
      <w:pPr>
        <w:pStyle w:val="DHHSbody"/>
        <w:rPr>
          <w:lang w:eastAsia="en-AU"/>
        </w:rPr>
      </w:pPr>
      <w:r w:rsidRPr="00B24C02">
        <w:rPr>
          <w:rFonts w:cs="Arial"/>
          <w:color w:val="000000"/>
          <w:szCs w:val="19"/>
          <w:lang w:eastAsia="en-AU"/>
        </w:rPr>
        <w:t>Upon</w:t>
      </w:r>
      <w:r w:rsidR="005D5532" w:rsidRPr="00B24C02">
        <w:rPr>
          <w:rFonts w:cs="Arial"/>
          <w:color w:val="000000"/>
          <w:szCs w:val="19"/>
          <w:lang w:eastAsia="en-AU"/>
        </w:rPr>
        <w:t xml:space="preserve"> </w:t>
      </w:r>
      <w:r w:rsidRPr="00B24C02">
        <w:rPr>
          <w:rFonts w:cs="Arial"/>
          <w:color w:val="000000"/>
          <w:szCs w:val="19"/>
          <w:lang w:eastAsia="en-AU"/>
        </w:rPr>
        <w:t>request,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evidence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status.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notify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within</w:t>
      </w:r>
      <w:r w:rsidR="005D5532" w:rsidRPr="00B24C02">
        <w:rPr>
          <w:rFonts w:cs="Arial"/>
          <w:color w:val="000000"/>
          <w:szCs w:val="19"/>
          <w:lang w:eastAsia="en-AU"/>
        </w:rPr>
        <w:t xml:space="preserve"> </w:t>
      </w:r>
      <w:r w:rsidRPr="00B24C02">
        <w:rPr>
          <w:rFonts w:cs="Arial"/>
          <w:color w:val="000000"/>
          <w:szCs w:val="19"/>
          <w:lang w:eastAsia="en-AU"/>
        </w:rPr>
        <w:t>five</w:t>
      </w:r>
      <w:r w:rsidR="005D5532" w:rsidRPr="00B24C02">
        <w:rPr>
          <w:rFonts w:cs="Arial"/>
          <w:color w:val="000000"/>
          <w:szCs w:val="19"/>
          <w:lang w:eastAsia="en-AU"/>
        </w:rPr>
        <w:t xml:space="preserve"> </w:t>
      </w:r>
      <w:r w:rsidRPr="00B24C02">
        <w:rPr>
          <w:rFonts w:cs="Arial"/>
          <w:color w:val="000000"/>
          <w:szCs w:val="19"/>
          <w:lang w:eastAsia="en-AU"/>
        </w:rPr>
        <w:t>working</w:t>
      </w:r>
      <w:r w:rsidR="005D5532" w:rsidRPr="00B24C02">
        <w:rPr>
          <w:rFonts w:cs="Arial"/>
          <w:color w:val="000000"/>
          <w:szCs w:val="19"/>
          <w:lang w:eastAsia="en-AU"/>
        </w:rPr>
        <w:t xml:space="preserve"> </w:t>
      </w:r>
      <w:r w:rsidRPr="00B24C02">
        <w:rPr>
          <w:rFonts w:cs="Arial"/>
          <w:color w:val="000000"/>
          <w:szCs w:val="19"/>
          <w:lang w:eastAsia="en-AU"/>
        </w:rPr>
        <w:t>days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change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status.</w:t>
      </w:r>
    </w:p>
    <w:p w14:paraId="3702A9F1" w14:textId="77777777" w:rsidR="00236748" w:rsidRPr="00276391" w:rsidRDefault="00236748" w:rsidP="00276391">
      <w:pPr>
        <w:pStyle w:val="DHHSbody"/>
        <w:rPr>
          <w:lang w:eastAsia="en-AU"/>
        </w:rPr>
      </w:pPr>
      <w:r w:rsidRPr="00276391">
        <w:rPr>
          <w:lang w:eastAsia="en-AU"/>
        </w:rPr>
        <w:t>Prior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proposed</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give</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amount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impact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proposed</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refers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directly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indirectly</w:t>
      </w:r>
      <w:r w:rsidR="005D5532" w:rsidRPr="00276391">
        <w:rPr>
          <w:lang w:eastAsia="en-AU"/>
        </w:rPr>
        <w:t xml:space="preserve"> </w:t>
      </w:r>
      <w:r w:rsidRPr="00276391">
        <w:rPr>
          <w:lang w:eastAsia="en-AU"/>
        </w:rPr>
        <w:t>exercise</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holding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majority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voting</w:t>
      </w:r>
      <w:r w:rsidR="005D5532" w:rsidRPr="00276391">
        <w:rPr>
          <w:lang w:eastAsia="en-AU"/>
        </w:rPr>
        <w:t xml:space="preserve"> </w:t>
      </w:r>
      <w:r w:rsidRPr="00276391">
        <w:rPr>
          <w:lang w:eastAsia="en-AU"/>
        </w:rPr>
        <w:t>shares,</w:t>
      </w:r>
      <w:r w:rsidR="005D5532" w:rsidRPr="00276391">
        <w:rPr>
          <w:lang w:eastAsia="en-AU"/>
        </w:rPr>
        <w:t xml:space="preserve"> </w:t>
      </w:r>
      <w:r w:rsidRPr="00276391">
        <w:rPr>
          <w:lang w:eastAsia="en-AU"/>
        </w:rPr>
        <w:t>units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interests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means.</w:t>
      </w:r>
    </w:p>
    <w:p w14:paraId="7C3E4635" w14:textId="77777777" w:rsidR="00236748" w:rsidRPr="00276391" w:rsidRDefault="00236748" w:rsidP="00276391">
      <w:pPr>
        <w:pStyle w:val="DHHSbody"/>
        <w:rPr>
          <w:lang w:eastAsia="en-AU"/>
        </w:rPr>
      </w:pPr>
      <w:r w:rsidRPr="00276391">
        <w:rPr>
          <w:lang w:eastAsia="en-AU"/>
        </w:rPr>
        <w:lastRenderedPageBreak/>
        <w:t>Non-government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sovereign</w:t>
      </w:r>
      <w:r w:rsidR="005D5532" w:rsidRPr="00276391">
        <w:rPr>
          <w:lang w:eastAsia="en-AU"/>
        </w:rPr>
        <w:t xml:space="preserve"> </w:t>
      </w:r>
      <w:r w:rsidRPr="00276391">
        <w:rPr>
          <w:lang w:eastAsia="en-AU"/>
        </w:rPr>
        <w:t>entities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notify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single</w:t>
      </w:r>
      <w:r w:rsidR="005D5532" w:rsidRPr="00276391">
        <w:rPr>
          <w:lang w:eastAsia="en-AU"/>
        </w:rPr>
        <w:t xml:space="preserve"> </w:t>
      </w:r>
      <w:r w:rsidRPr="00276391">
        <w:rPr>
          <w:lang w:eastAsia="en-AU"/>
        </w:rPr>
        <w:t>board</w:t>
      </w:r>
      <w:r w:rsidR="005D5532" w:rsidRPr="00276391">
        <w:rPr>
          <w:lang w:eastAsia="en-AU"/>
        </w:rPr>
        <w:t xml:space="preserve"> </w:t>
      </w:r>
      <w:r w:rsidRPr="00276391">
        <w:rPr>
          <w:lang w:eastAsia="en-AU"/>
        </w:rPr>
        <w:t>member</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constitute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change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control.</w:t>
      </w:r>
    </w:p>
    <w:p w14:paraId="7C186047" w14:textId="77777777" w:rsidR="00236748" w:rsidRPr="00276391" w:rsidRDefault="00236748" w:rsidP="00276391">
      <w:pPr>
        <w:pStyle w:val="Heading3"/>
        <w:rPr>
          <w:lang w:eastAsia="en-AU"/>
        </w:rPr>
      </w:pPr>
      <w:bookmarkStart w:id="566" w:name="_Toc478991896"/>
      <w:bookmarkStart w:id="567" w:name="_Toc478992442"/>
      <w:bookmarkStart w:id="568" w:name="_Toc4142109"/>
      <w:r w:rsidRPr="00276391">
        <w:rPr>
          <w:lang w:eastAsia="en-AU"/>
        </w:rPr>
        <w:t>Partnership,</w:t>
      </w:r>
      <w:r w:rsidR="005D5532" w:rsidRPr="00276391">
        <w:rPr>
          <w:lang w:eastAsia="en-AU"/>
        </w:rPr>
        <w:t xml:space="preserve"> </w:t>
      </w:r>
      <w:r w:rsidRPr="00276391">
        <w:rPr>
          <w:lang w:eastAsia="en-AU"/>
        </w:rPr>
        <w:t>joint</w:t>
      </w:r>
      <w:r w:rsidR="005D5532" w:rsidRPr="00276391">
        <w:rPr>
          <w:lang w:eastAsia="en-AU"/>
        </w:rPr>
        <w:t xml:space="preserve"> </w:t>
      </w:r>
      <w:r w:rsidRPr="00276391">
        <w:rPr>
          <w:lang w:eastAsia="en-AU"/>
        </w:rPr>
        <w:t>venture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consortium</w:t>
      </w:r>
      <w:bookmarkEnd w:id="566"/>
      <w:bookmarkEnd w:id="567"/>
      <w:bookmarkEnd w:id="568"/>
    </w:p>
    <w:p w14:paraId="4E327BE7" w14:textId="77777777" w:rsidR="00236748" w:rsidRPr="00276391" w:rsidRDefault="00236748" w:rsidP="00276391">
      <w:pPr>
        <w:pStyle w:val="DHHSbody"/>
        <w:rPr>
          <w:lang w:eastAsia="en-AU"/>
        </w:rPr>
      </w:pPr>
      <w:r w:rsidRPr="00B24C02">
        <w:rPr>
          <w:rFonts w:cs="Arial"/>
          <w:color w:val="000000"/>
          <w:szCs w:val="19"/>
          <w:lang w:eastAsia="en-AU"/>
        </w:rPr>
        <w:t>If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partnership,</w:t>
      </w:r>
      <w:r w:rsidR="005D5532" w:rsidRPr="00B24C02">
        <w:rPr>
          <w:rFonts w:cs="Arial"/>
          <w:color w:val="000000"/>
          <w:szCs w:val="19"/>
          <w:lang w:eastAsia="en-AU"/>
        </w:rPr>
        <w:t xml:space="preserve"> </w:t>
      </w:r>
      <w:r w:rsidRPr="00B24C02">
        <w:rPr>
          <w:rFonts w:cs="Arial"/>
          <w:color w:val="000000"/>
          <w:szCs w:val="19"/>
          <w:lang w:eastAsia="en-AU"/>
        </w:rPr>
        <w:t>joint</w:t>
      </w:r>
      <w:r w:rsidR="005D5532" w:rsidRPr="00B24C02">
        <w:rPr>
          <w:rFonts w:cs="Arial"/>
          <w:color w:val="000000"/>
          <w:szCs w:val="19"/>
          <w:lang w:eastAsia="en-AU"/>
        </w:rPr>
        <w:t xml:space="preserve"> </w:t>
      </w:r>
      <w:r w:rsidRPr="00B24C02">
        <w:rPr>
          <w:rFonts w:cs="Arial"/>
          <w:color w:val="000000"/>
          <w:szCs w:val="19"/>
          <w:lang w:eastAsia="en-AU"/>
        </w:rPr>
        <w:t>venture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consortium</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two</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liable</w:t>
      </w:r>
      <w:r w:rsidR="005D5532" w:rsidRPr="00B24C02">
        <w:rPr>
          <w:rFonts w:cs="Arial"/>
          <w:color w:val="000000"/>
          <w:szCs w:val="19"/>
          <w:lang w:eastAsia="en-AU"/>
        </w:rPr>
        <w:t xml:space="preserve"> </w:t>
      </w:r>
      <w:r w:rsidRPr="00B24C02">
        <w:rPr>
          <w:rFonts w:cs="Arial"/>
          <w:color w:val="000000"/>
          <w:szCs w:val="19"/>
          <w:lang w:eastAsia="en-AU"/>
        </w:rPr>
        <w:t>both</w:t>
      </w:r>
      <w:r w:rsidR="005D5532" w:rsidRPr="00B24C02">
        <w:rPr>
          <w:rFonts w:cs="Arial"/>
          <w:color w:val="000000"/>
          <w:szCs w:val="19"/>
          <w:lang w:eastAsia="en-AU"/>
        </w:rPr>
        <w:t xml:space="preserve"> </w:t>
      </w:r>
      <w:r w:rsidRPr="00B24C02">
        <w:rPr>
          <w:rFonts w:cs="Arial"/>
          <w:color w:val="000000"/>
          <w:szCs w:val="19"/>
          <w:lang w:eastAsia="en-AU"/>
        </w:rPr>
        <w:t>individually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group</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full</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agreement.</w:t>
      </w:r>
    </w:p>
    <w:p w14:paraId="01C82D5B" w14:textId="1A057376" w:rsidR="00236748" w:rsidRPr="00276391" w:rsidRDefault="00236748" w:rsidP="00276391">
      <w:pPr>
        <w:pStyle w:val="DHHSbody"/>
        <w:rPr>
          <w:lang w:eastAsia="en-AU"/>
        </w:rPr>
      </w:pPr>
      <w:r w:rsidRPr="00276391">
        <w:rPr>
          <w:lang w:eastAsia="en-AU"/>
        </w:rPr>
        <w:t>All</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partnership,</w:t>
      </w:r>
      <w:r w:rsidR="005D5532" w:rsidRPr="00276391">
        <w:rPr>
          <w:lang w:eastAsia="en-AU"/>
        </w:rPr>
        <w:t xml:space="preserve"> </w:t>
      </w:r>
      <w:r w:rsidRPr="00276391">
        <w:rPr>
          <w:lang w:eastAsia="en-AU"/>
        </w:rPr>
        <w:t>joint</w:t>
      </w:r>
      <w:r w:rsidR="005D5532" w:rsidRPr="00276391">
        <w:rPr>
          <w:lang w:eastAsia="en-AU"/>
        </w:rPr>
        <w:t xml:space="preserve"> </w:t>
      </w:r>
      <w:r w:rsidRPr="00276391">
        <w:rPr>
          <w:lang w:eastAsia="en-AU"/>
        </w:rPr>
        <w:t>venture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listed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signatories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depending</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arrangements</w:t>
      </w:r>
      <w:r w:rsidR="005D5532" w:rsidRPr="00276391">
        <w:rPr>
          <w:lang w:eastAsia="en-AU"/>
        </w:rPr>
        <w:t xml:space="preserve"> </w:t>
      </w:r>
      <w:r w:rsidRPr="00276391">
        <w:rPr>
          <w:lang w:eastAsia="en-AU"/>
        </w:rPr>
        <w:t>applying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partnership,</w:t>
      </w:r>
      <w:r w:rsidR="005D5532" w:rsidRPr="00276391">
        <w:rPr>
          <w:lang w:eastAsia="en-AU"/>
        </w:rPr>
        <w:t xml:space="preserve"> </w:t>
      </w:r>
      <w:r w:rsidRPr="00276391">
        <w:rPr>
          <w:lang w:eastAsia="en-AU"/>
        </w:rPr>
        <w:t>joint</w:t>
      </w:r>
      <w:r w:rsidR="005D5532" w:rsidRPr="00276391">
        <w:rPr>
          <w:lang w:eastAsia="en-AU"/>
        </w:rPr>
        <w:t xml:space="preserve"> </w:t>
      </w:r>
      <w:r w:rsidRPr="00276391">
        <w:rPr>
          <w:lang w:eastAsia="en-AU"/>
        </w:rPr>
        <w:t>venture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ask</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documentation</w:t>
      </w:r>
      <w:r w:rsidR="005D5532" w:rsidRPr="00276391">
        <w:rPr>
          <w:lang w:eastAsia="en-AU"/>
        </w:rPr>
        <w:t xml:space="preserve"> </w:t>
      </w:r>
      <w:r w:rsidRPr="00276391">
        <w:rPr>
          <w:lang w:eastAsia="en-AU"/>
        </w:rPr>
        <w:t>showing</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partnership,</w:t>
      </w:r>
      <w:r w:rsidR="005D5532" w:rsidRPr="00276391">
        <w:rPr>
          <w:lang w:eastAsia="en-AU"/>
        </w:rPr>
        <w:t xml:space="preserve"> </w:t>
      </w:r>
      <w:r w:rsidRPr="00276391">
        <w:rPr>
          <w:lang w:eastAsia="en-AU"/>
        </w:rPr>
        <w:t>joint</w:t>
      </w:r>
      <w:r w:rsidR="005D5532" w:rsidRPr="00276391">
        <w:rPr>
          <w:lang w:eastAsia="en-AU"/>
        </w:rPr>
        <w:t xml:space="preserve"> </w:t>
      </w:r>
      <w:r w:rsidRPr="00276391">
        <w:rPr>
          <w:lang w:eastAsia="en-AU"/>
        </w:rPr>
        <w:t>venture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operates.</w:t>
      </w:r>
    </w:p>
    <w:p w14:paraId="7780A6C4" w14:textId="3D50336E"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terminate</w:t>
      </w:r>
      <w:r w:rsidR="005D5532" w:rsidRPr="00276391">
        <w:rPr>
          <w:lang w:eastAsia="en-AU"/>
        </w:rPr>
        <w:t xml:space="preserve"> </w:t>
      </w:r>
      <w:r w:rsidRPr="00276391">
        <w:rPr>
          <w:lang w:eastAsia="en-AU"/>
        </w:rPr>
        <w:t>automatically</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death,</w:t>
      </w:r>
      <w:r w:rsidR="005D5532" w:rsidRPr="00276391">
        <w:rPr>
          <w:lang w:eastAsia="en-AU"/>
        </w:rPr>
        <w:t xml:space="preserve"> </w:t>
      </w:r>
      <w:r w:rsidRPr="00276391">
        <w:rPr>
          <w:lang w:eastAsia="en-AU"/>
        </w:rPr>
        <w:t>retirement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resignation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members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partnership.</w:t>
      </w:r>
    </w:p>
    <w:p w14:paraId="1D8A9B94" w14:textId="77777777" w:rsidR="00236748" w:rsidRPr="00276391" w:rsidRDefault="00236748" w:rsidP="00276391">
      <w:pPr>
        <w:pStyle w:val="Heading3"/>
        <w:rPr>
          <w:lang w:eastAsia="en-AU"/>
        </w:rPr>
      </w:pPr>
      <w:bookmarkStart w:id="569" w:name="_Toc478991897"/>
      <w:bookmarkStart w:id="570" w:name="_Toc478992443"/>
      <w:bookmarkStart w:id="571" w:name="_Toc4142110"/>
      <w:r w:rsidRPr="00276391">
        <w:rPr>
          <w:lang w:eastAsia="en-AU"/>
        </w:rPr>
        <w:t>Change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mergers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acquisitions</w:t>
      </w:r>
      <w:bookmarkEnd w:id="569"/>
      <w:bookmarkEnd w:id="570"/>
      <w:bookmarkEnd w:id="571"/>
    </w:p>
    <w:p w14:paraId="697F363C" w14:textId="77777777"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viability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operational</w:t>
      </w:r>
      <w:r w:rsidR="005D5532" w:rsidRPr="00B24C02">
        <w:rPr>
          <w:rFonts w:cs="Arial"/>
          <w:color w:val="000000"/>
          <w:szCs w:val="19"/>
          <w:lang w:eastAsia="en-AU"/>
        </w:rPr>
        <w:t xml:space="preserve"> </w:t>
      </w:r>
      <w:r w:rsidRPr="00B24C02">
        <w:rPr>
          <w:rFonts w:cs="Arial"/>
          <w:color w:val="000000"/>
          <w:szCs w:val="19"/>
          <w:lang w:eastAsia="en-AU"/>
        </w:rPr>
        <w:t>capacity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propose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change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control,</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merger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acquisition.</w:t>
      </w:r>
    </w:p>
    <w:p w14:paraId="0A6E7A10" w14:textId="77777777" w:rsidR="00E9728E" w:rsidRPr="00276391" w:rsidRDefault="00E9728E" w:rsidP="00E9728E">
      <w:pPr>
        <w:pStyle w:val="DHHSbody"/>
        <w:rPr>
          <w:lang w:eastAsia="en-AU"/>
        </w:rPr>
      </w:pPr>
      <w:bookmarkStart w:id="572" w:name="_Toc478991898"/>
      <w:bookmarkStart w:id="573" w:name="_Toc478992444"/>
      <w:bookmarkStart w:id="574" w:name="_Toc478992909"/>
      <w:r w:rsidRPr="00276391">
        <w:rPr>
          <w:lang w:eastAsia="en-AU"/>
        </w:rPr>
        <w:t>Information on the responsibility of the organisation and the department is available in the:</w:t>
      </w:r>
    </w:p>
    <w:p w14:paraId="4B4D7B2C" w14:textId="7C5B45E3" w:rsidR="00E9728E" w:rsidRPr="008D118A" w:rsidRDefault="0016341D" w:rsidP="00E9728E">
      <w:pPr>
        <w:pStyle w:val="DHHSbullet1"/>
        <w:rPr>
          <w:rFonts w:cs="Arial"/>
          <w:lang w:eastAsia="en-AU"/>
        </w:rPr>
      </w:pPr>
      <w:hyperlink r:id="rId145" w:tgtFrame="_blank" w:history="1">
        <w:r w:rsidR="00E9728E" w:rsidRPr="00986D1E">
          <w:rPr>
            <w:rStyle w:val="Hyperlink"/>
          </w:rPr>
          <w:t>Guidelines for funded organisations proposing a change in control, a merger or an acquisition</w:t>
        </w:r>
      </w:hyperlink>
      <w:r w:rsidR="00E9728E" w:rsidRPr="008D118A">
        <w:rPr>
          <w:rFonts w:cs="Arial"/>
          <w:color w:val="000000"/>
          <w:szCs w:val="19"/>
          <w:lang w:eastAsia="en-AU"/>
        </w:rPr>
        <w:t xml:space="preserve"> &lt;https://fac.dhhs.vic.gov.au/guidelines-funded-organisations-proposing-change-control-merger-or-acquisition&gt; (</w:t>
      </w:r>
      <w:r w:rsidR="00E9728E">
        <w:rPr>
          <w:rFonts w:cs="Arial"/>
          <w:color w:val="000000"/>
          <w:szCs w:val="19"/>
          <w:lang w:eastAsia="en-AU"/>
        </w:rPr>
        <w:t xml:space="preserve">external link, </w:t>
      </w:r>
      <w:r w:rsidR="00E9728E" w:rsidRPr="008D118A">
        <w:rPr>
          <w:rFonts w:cs="Arial"/>
          <w:color w:val="000000"/>
          <w:szCs w:val="19"/>
          <w:lang w:eastAsia="en-AU"/>
        </w:rPr>
        <w:t>opens in a new window)</w:t>
      </w:r>
    </w:p>
    <w:p w14:paraId="767B2C22" w14:textId="77777777" w:rsidR="00E9728E" w:rsidRPr="008D118A" w:rsidRDefault="0016341D" w:rsidP="00E9728E">
      <w:pPr>
        <w:pStyle w:val="DHHSbullet1"/>
        <w:rPr>
          <w:rFonts w:cs="Arial"/>
          <w:lang w:eastAsia="en-AU"/>
        </w:rPr>
      </w:pPr>
      <w:hyperlink r:id="rId146" w:tgtFrame="_blank" w:history="1">
        <w:r w:rsidR="00E9728E" w:rsidRPr="008D118A">
          <w:rPr>
            <w:rStyle w:val="Hyperlink"/>
          </w:rPr>
          <w:t>Questionnaire for funded organisations proposing a change in control, a merger or an acquisition</w:t>
        </w:r>
      </w:hyperlink>
      <w:r w:rsidR="00E9728E" w:rsidRPr="008D118A">
        <w:rPr>
          <w:rFonts w:cs="Arial"/>
          <w:lang w:eastAsia="en-AU"/>
        </w:rPr>
        <w:t xml:space="preserve"> &lt;https://fac.dhhs.vic.gov.au/questionnaire-funded-organisations-proposing-change-control-merger-or-acquisition&gt; </w:t>
      </w:r>
      <w:r w:rsidR="00E9728E" w:rsidRPr="008D118A">
        <w:rPr>
          <w:rFonts w:cs="Arial"/>
          <w:color w:val="000000"/>
          <w:szCs w:val="19"/>
          <w:lang w:eastAsia="en-AU"/>
        </w:rPr>
        <w:t>(</w:t>
      </w:r>
      <w:r w:rsidR="00E9728E">
        <w:rPr>
          <w:rFonts w:cs="Arial"/>
          <w:color w:val="000000"/>
          <w:szCs w:val="19"/>
          <w:lang w:eastAsia="en-AU"/>
        </w:rPr>
        <w:t xml:space="preserve">external link, </w:t>
      </w:r>
      <w:r w:rsidR="00E9728E" w:rsidRPr="008D118A">
        <w:rPr>
          <w:rFonts w:cs="Arial"/>
          <w:color w:val="000000"/>
          <w:szCs w:val="19"/>
          <w:lang w:eastAsia="en-AU"/>
        </w:rPr>
        <w:t>opens in a new window)</w:t>
      </w:r>
      <w:r w:rsidR="00E9728E">
        <w:rPr>
          <w:rFonts w:cs="Arial"/>
          <w:color w:val="000000"/>
          <w:szCs w:val="19"/>
          <w:lang w:eastAsia="en-AU"/>
        </w:rPr>
        <w:t>.</w:t>
      </w:r>
    </w:p>
    <w:p w14:paraId="7696F0D5" w14:textId="77777777" w:rsidR="00236748" w:rsidRPr="00276391" w:rsidRDefault="00236748" w:rsidP="009B2351">
      <w:pPr>
        <w:pStyle w:val="Heading2"/>
        <w:rPr>
          <w:rFonts w:cs="Arial"/>
          <w:lang w:eastAsia="en-AU"/>
        </w:rPr>
      </w:pPr>
      <w:bookmarkStart w:id="575" w:name="_Toc4142111"/>
      <w:r w:rsidRPr="00276391">
        <w:rPr>
          <w:rFonts w:cs="Arial"/>
          <w:lang w:eastAsia="en-AU"/>
        </w:rPr>
        <w:t>3.24</w:t>
      </w:r>
      <w:r w:rsidR="009B2351" w:rsidRPr="00276391">
        <w:rPr>
          <w:rFonts w:cs="Arial"/>
          <w:lang w:eastAsia="en-AU"/>
        </w:rPr>
        <w:t xml:space="preserve"> </w:t>
      </w:r>
      <w:r w:rsidRPr="00276391">
        <w:rPr>
          <w:rFonts w:cs="Arial"/>
          <w:lang w:eastAsia="en-AU"/>
        </w:rPr>
        <w:t>Notices</w:t>
      </w:r>
      <w:bookmarkEnd w:id="572"/>
      <w:bookmarkEnd w:id="573"/>
      <w:bookmarkEnd w:id="574"/>
      <w:bookmarkEnd w:id="575"/>
    </w:p>
    <w:p w14:paraId="17A20EFF" w14:textId="77777777" w:rsidR="00236748" w:rsidRPr="00276391" w:rsidRDefault="00236748" w:rsidP="00276391">
      <w:pPr>
        <w:pStyle w:val="DHHSbody"/>
        <w:rPr>
          <w:lang w:eastAsia="en-AU"/>
        </w:rPr>
      </w:pPr>
      <w:r w:rsidRPr="00276391">
        <w:rPr>
          <w:lang w:eastAsia="en-AU"/>
        </w:rPr>
        <w:t>Any</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approval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consent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another</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signed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officer</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sign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legally</w:t>
      </w:r>
      <w:r w:rsidR="005D5532" w:rsidRPr="00276391">
        <w:rPr>
          <w:lang w:eastAsia="en-AU"/>
        </w:rPr>
        <w:t xml:space="preserve"> </w:t>
      </w:r>
      <w:r w:rsidRPr="00276391">
        <w:rPr>
          <w:lang w:eastAsia="en-AU"/>
        </w:rPr>
        <w:t>bind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represents.</w:t>
      </w:r>
    </w:p>
    <w:p w14:paraId="3F260A9A" w14:textId="0A324695" w:rsidR="00236748" w:rsidRPr="00276391" w:rsidRDefault="00236748" w:rsidP="00276391">
      <w:pPr>
        <w:pStyle w:val="DHHSbody"/>
        <w:rPr>
          <w:lang w:eastAsia="en-AU"/>
        </w:rPr>
      </w:pPr>
      <w:r w:rsidRPr="00276391">
        <w:rPr>
          <w:lang w:eastAsia="en-AU"/>
        </w:rPr>
        <w:t>Varying</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done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accordance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21</w:t>
      </w:r>
      <w:r w:rsidR="005D5532" w:rsidRPr="00276391">
        <w:rPr>
          <w:lang w:eastAsia="en-AU"/>
        </w:rPr>
        <w:t xml:space="preserve"> </w:t>
      </w:r>
      <w:r w:rsidRPr="00276391">
        <w:rPr>
          <w:lang w:eastAsia="en-AU"/>
        </w:rPr>
        <w:t>(</w:t>
      </w:r>
      <w:r w:rsidR="00BD023C">
        <w:rPr>
          <w:lang w:eastAsia="en-AU"/>
        </w:rPr>
        <w:t>refer to</w:t>
      </w:r>
      <w:r w:rsidR="005D5532" w:rsidRPr="00276391">
        <w:rPr>
          <w:lang w:eastAsia="en-AU"/>
        </w:rPr>
        <w:t xml:space="preserve"> </w:t>
      </w:r>
      <w:hyperlink w:anchor="_3.22_The_department's" w:tooltip="link to section 3.22 The department's consent" w:history="1">
        <w:r w:rsidR="00416553">
          <w:rPr>
            <w:rStyle w:val="Hyperlink"/>
          </w:rPr>
          <w:t>C</w:t>
        </w:r>
        <w:r w:rsidRPr="00986D1E">
          <w:rPr>
            <w:rStyle w:val="Hyperlink"/>
          </w:rPr>
          <w:t>hapter</w:t>
        </w:r>
        <w:r w:rsidR="005D5532" w:rsidRPr="00986D1E">
          <w:rPr>
            <w:rStyle w:val="Hyperlink"/>
          </w:rPr>
          <w:t xml:space="preserve"> </w:t>
        </w:r>
        <w:r w:rsidRPr="00986D1E">
          <w:rPr>
            <w:rStyle w:val="Hyperlink"/>
          </w:rPr>
          <w:t>3.22</w:t>
        </w:r>
      </w:hyperlink>
      <w:r w:rsidRPr="00276391">
        <w:rPr>
          <w:lang w:eastAsia="en-AU"/>
        </w:rPr>
        <w:t>).</w:t>
      </w:r>
    </w:p>
    <w:p w14:paraId="3171981A" w14:textId="2DAD5A6D" w:rsidR="00236748" w:rsidRPr="00276391"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hand,</w:t>
      </w:r>
      <w:r w:rsidR="005D5532" w:rsidRPr="00276391">
        <w:rPr>
          <w:lang w:eastAsia="en-AU"/>
        </w:rPr>
        <w:t xml:space="preserve"> </w:t>
      </w:r>
      <w:r w:rsidRPr="00276391">
        <w:rPr>
          <w:lang w:eastAsia="en-AU"/>
        </w:rPr>
        <w:t>post,</w:t>
      </w:r>
      <w:r w:rsidR="005D5532" w:rsidRPr="00276391">
        <w:rPr>
          <w:lang w:eastAsia="en-AU"/>
        </w:rPr>
        <w:t xml:space="preserve"> </w:t>
      </w:r>
      <w:r w:rsidRPr="00276391">
        <w:rPr>
          <w:lang w:eastAsia="en-AU"/>
        </w:rPr>
        <w:t>fax,</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email.</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sets</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taken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occurred.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notice</w:t>
      </w:r>
      <w:r w:rsidR="005D5532" w:rsidRPr="00276391">
        <w:rPr>
          <w:lang w:eastAsia="en-AU"/>
        </w:rPr>
        <w:t xml:space="preserve"> </w:t>
      </w:r>
      <w:r w:rsidRPr="00276391">
        <w:rPr>
          <w:lang w:eastAsia="en-AU"/>
        </w:rPr>
        <w:t>would</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5:00</w:t>
      </w:r>
      <w:r w:rsidR="005D5532" w:rsidRPr="00276391">
        <w:rPr>
          <w:lang w:eastAsia="en-AU"/>
        </w:rPr>
        <w:t xml:space="preserve"> </w:t>
      </w:r>
      <w:r w:rsidRPr="00276391">
        <w:rPr>
          <w:lang w:eastAsia="en-AU"/>
        </w:rPr>
        <w:t>pm</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considered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day.</w:t>
      </w:r>
    </w:p>
    <w:p w14:paraId="6DE4F555" w14:textId="77777777" w:rsidR="00236748" w:rsidRPr="00276391" w:rsidRDefault="00236748" w:rsidP="009B2351">
      <w:pPr>
        <w:pStyle w:val="Heading2"/>
        <w:rPr>
          <w:rFonts w:cs="Arial"/>
          <w:lang w:eastAsia="en-AU"/>
        </w:rPr>
      </w:pPr>
      <w:bookmarkStart w:id="576" w:name="_Toc478991899"/>
      <w:bookmarkStart w:id="577" w:name="_Toc478992445"/>
      <w:bookmarkStart w:id="578" w:name="_Toc478992910"/>
      <w:bookmarkStart w:id="579" w:name="_Toc4142112"/>
      <w:r w:rsidRPr="00276391">
        <w:rPr>
          <w:rFonts w:cs="Arial"/>
          <w:lang w:eastAsia="en-AU"/>
        </w:rPr>
        <w:t>3.25</w:t>
      </w:r>
      <w:r w:rsidR="009B2351" w:rsidRPr="00276391">
        <w:rPr>
          <w:rFonts w:cs="Arial"/>
          <w:lang w:eastAsia="en-AU"/>
        </w:rPr>
        <w:t xml:space="preserve"> </w:t>
      </w:r>
      <w:r w:rsidRPr="00276391">
        <w:rPr>
          <w:rFonts w:cs="Arial"/>
          <w:lang w:eastAsia="en-AU"/>
        </w:rPr>
        <w:t>Waiver</w:t>
      </w:r>
      <w:bookmarkEnd w:id="576"/>
      <w:bookmarkEnd w:id="577"/>
      <w:bookmarkEnd w:id="578"/>
      <w:bookmarkEnd w:id="579"/>
    </w:p>
    <w:p w14:paraId="03A4C08F" w14:textId="457C372C"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waived,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party</w:t>
      </w:r>
      <w:r w:rsidR="005D5532" w:rsidRPr="00276391">
        <w:rPr>
          <w:lang w:eastAsia="en-AU"/>
        </w:rPr>
        <w:t xml:space="preserve"> </w:t>
      </w:r>
      <w:r w:rsidRPr="00276391">
        <w:rPr>
          <w:lang w:eastAsia="en-AU"/>
        </w:rPr>
        <w:t>seeking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waive</w:t>
      </w:r>
      <w:r w:rsidR="005D5532" w:rsidRPr="00276391">
        <w:rPr>
          <w:lang w:eastAsia="en-AU"/>
        </w:rPr>
        <w:t xml:space="preserve"> </w:t>
      </w:r>
      <w:r w:rsidRPr="00276391">
        <w:rPr>
          <w:lang w:eastAsia="en-AU"/>
        </w:rPr>
        <w:t>its</w:t>
      </w:r>
      <w:r w:rsidR="005D5532" w:rsidRPr="00276391">
        <w:rPr>
          <w:lang w:eastAsia="en-AU"/>
        </w:rPr>
        <w:t xml:space="preserve"> </w:t>
      </w:r>
      <w:r w:rsidRPr="00276391">
        <w:rPr>
          <w:lang w:eastAsia="en-AU"/>
        </w:rPr>
        <w:t>right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writing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sign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document.</w:t>
      </w:r>
    </w:p>
    <w:p w14:paraId="627BD908" w14:textId="228610E9" w:rsidR="00236748" w:rsidRPr="00276391" w:rsidRDefault="00236748" w:rsidP="00276391">
      <w:pPr>
        <w:pStyle w:val="DHHSbody"/>
        <w:rPr>
          <w:lang w:eastAsia="en-AU"/>
        </w:rPr>
      </w:pP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adviser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contact</w:t>
      </w:r>
      <w:r w:rsidR="005D5532" w:rsidRPr="00276391">
        <w:rPr>
          <w:lang w:eastAsia="en-AU"/>
        </w:rPr>
        <w:t xml:space="preserve"> </w:t>
      </w:r>
      <w:r w:rsidRPr="00276391">
        <w:rPr>
          <w:lang w:eastAsia="en-AU"/>
        </w:rPr>
        <w:t>officer</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instance</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wishes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waive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right</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request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waive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right</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p>
    <w:p w14:paraId="4441F2C1" w14:textId="77777777" w:rsidR="00236748" w:rsidRPr="00276391" w:rsidRDefault="00236748" w:rsidP="009B2351">
      <w:pPr>
        <w:pStyle w:val="Heading2"/>
        <w:rPr>
          <w:rFonts w:cs="Arial"/>
          <w:lang w:eastAsia="en-AU"/>
        </w:rPr>
      </w:pPr>
      <w:bookmarkStart w:id="580" w:name="_Toc478655200"/>
      <w:bookmarkStart w:id="581" w:name="_Toc478991900"/>
      <w:bookmarkStart w:id="582" w:name="_Toc478992446"/>
      <w:bookmarkStart w:id="583" w:name="_Toc478992911"/>
      <w:bookmarkStart w:id="584" w:name="_Toc4142113"/>
      <w:r w:rsidRPr="00276391">
        <w:rPr>
          <w:rFonts w:cs="Arial"/>
          <w:lang w:eastAsia="en-AU"/>
        </w:rPr>
        <w:t>3.26</w:t>
      </w:r>
      <w:r w:rsidR="009B2351" w:rsidRPr="00276391">
        <w:rPr>
          <w:rFonts w:cs="Arial"/>
          <w:lang w:eastAsia="en-AU"/>
        </w:rPr>
        <w:t xml:space="preserve"> </w:t>
      </w:r>
      <w:r w:rsidRPr="00276391">
        <w:rPr>
          <w:rFonts w:cs="Arial"/>
          <w:lang w:eastAsia="en-AU"/>
        </w:rPr>
        <w:t>Survival</w:t>
      </w:r>
      <w:bookmarkEnd w:id="580"/>
      <w:bookmarkEnd w:id="581"/>
      <w:bookmarkEnd w:id="582"/>
      <w:bookmarkEnd w:id="583"/>
      <w:bookmarkEnd w:id="584"/>
    </w:p>
    <w:p w14:paraId="310AB0B4" w14:textId="13209EB6"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survival</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specifies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ended,</w:t>
      </w:r>
      <w:r w:rsidR="005D5532" w:rsidRPr="00276391">
        <w:rPr>
          <w:lang w:eastAsia="en-AU"/>
        </w:rPr>
        <w:t xml:space="preserve"> </w:t>
      </w:r>
      <w:r w:rsidRPr="00276391">
        <w:rPr>
          <w:lang w:eastAsia="en-AU"/>
        </w:rPr>
        <w:t>for</w:t>
      </w:r>
      <w:r w:rsidR="005D5532" w:rsidRPr="00276391">
        <w:rPr>
          <w:lang w:eastAsia="en-AU"/>
        </w:rPr>
        <w:t xml:space="preserve"> </w:t>
      </w:r>
      <w:r w:rsidR="00D1481E" w:rsidRPr="00276391">
        <w:rPr>
          <w:lang w:eastAsia="en-AU"/>
        </w:rPr>
        <w:t>whatever</w:t>
      </w:r>
      <w:r w:rsidR="005D5532" w:rsidRPr="00276391">
        <w:rPr>
          <w:lang w:eastAsia="en-AU"/>
        </w:rPr>
        <w:t xml:space="preserve"> </w:t>
      </w:r>
      <w:r w:rsidRPr="00276391">
        <w:rPr>
          <w:lang w:eastAsia="en-AU"/>
        </w:rPr>
        <w:t>reason.</w:t>
      </w:r>
    </w:p>
    <w:p w14:paraId="0229B406" w14:textId="77777777" w:rsidR="00236748" w:rsidRPr="00276391" w:rsidRDefault="00236748" w:rsidP="00276391">
      <w:pPr>
        <w:pStyle w:val="DHHSbody"/>
        <w:rPr>
          <w:lang w:eastAsia="en-AU"/>
        </w:rPr>
      </w:pPr>
      <w:r w:rsidRPr="00276391">
        <w:rPr>
          <w:lang w:eastAsia="en-AU"/>
        </w:rPr>
        <w:t>These</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relate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4.8-4.9</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6</w:t>
      </w:r>
      <w:r w:rsidR="005D5532" w:rsidRPr="00276391">
        <w:rPr>
          <w:lang w:eastAsia="en-AU"/>
        </w:rPr>
        <w:t xml:space="preserve"> </w:t>
      </w:r>
      <w:r w:rsidRPr="00276391">
        <w:rPr>
          <w:lang w:eastAsia="en-AU"/>
        </w:rPr>
        <w:t>[Recordkeeping]</w:t>
      </w:r>
      <w:r w:rsidR="005D5532" w:rsidRPr="00276391">
        <w:rPr>
          <w:lang w:eastAsia="en-AU"/>
        </w:rPr>
        <w:t xml:space="preserve"> </w:t>
      </w:r>
      <w:r w:rsidRPr="00276391">
        <w:rPr>
          <w:lang w:eastAsia="en-AU"/>
        </w:rPr>
        <w:t>7.2,</w:t>
      </w:r>
      <w:r w:rsidR="005D5532" w:rsidRPr="00276391">
        <w:rPr>
          <w:lang w:eastAsia="en-AU"/>
        </w:rPr>
        <w:t xml:space="preserve"> </w:t>
      </w:r>
      <w:r w:rsidRPr="00276391">
        <w:rPr>
          <w:lang w:eastAsia="en-AU"/>
        </w:rPr>
        <w:t>7.3,</w:t>
      </w:r>
      <w:r w:rsidR="005D5532" w:rsidRPr="00276391">
        <w:rPr>
          <w:lang w:eastAsia="en-AU"/>
        </w:rPr>
        <w:t xml:space="preserve"> </w:t>
      </w:r>
      <w:r w:rsidRPr="00276391">
        <w:rPr>
          <w:lang w:eastAsia="en-AU"/>
        </w:rPr>
        <w:t>7.7</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7.8</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disposal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transfer],</w:t>
      </w:r>
      <w:r w:rsidR="005D5532" w:rsidRPr="00276391">
        <w:rPr>
          <w:lang w:eastAsia="en-AU"/>
        </w:rPr>
        <w:t xml:space="preserve"> </w:t>
      </w:r>
      <w:r w:rsidRPr="00276391">
        <w:rPr>
          <w:lang w:eastAsia="en-AU"/>
        </w:rPr>
        <w:t>8</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11</w:t>
      </w:r>
      <w:r w:rsidR="005D5532" w:rsidRPr="00276391">
        <w:rPr>
          <w:lang w:eastAsia="en-AU"/>
        </w:rPr>
        <w:t xml:space="preserve"> </w:t>
      </w:r>
      <w:r w:rsidRPr="00276391">
        <w:rPr>
          <w:lang w:eastAsia="en-AU"/>
        </w:rPr>
        <w:t>[Dispute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15</w:t>
      </w:r>
      <w:r w:rsidR="005D5532" w:rsidRPr="00276391">
        <w:rPr>
          <w:lang w:eastAsia="en-AU"/>
        </w:rPr>
        <w:t xml:space="preserve"> </w:t>
      </w:r>
      <w:r w:rsidRPr="00276391">
        <w:rPr>
          <w:lang w:eastAsia="en-AU"/>
        </w:rPr>
        <w:t>[Transition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16</w:t>
      </w:r>
      <w:r w:rsidR="005D5532" w:rsidRPr="00276391">
        <w:rPr>
          <w:lang w:eastAsia="en-AU"/>
        </w:rPr>
        <w:t xml:space="preserve"> </w:t>
      </w:r>
      <w:r w:rsidRPr="00276391">
        <w:rPr>
          <w:lang w:eastAsia="en-AU"/>
        </w:rPr>
        <w:t>[Intellectual</w:t>
      </w:r>
      <w:r w:rsidR="005D5532" w:rsidRPr="00276391">
        <w:rPr>
          <w:lang w:eastAsia="en-AU"/>
        </w:rPr>
        <w:t xml:space="preserve"> </w:t>
      </w:r>
      <w:r w:rsidRPr="00276391">
        <w:rPr>
          <w:lang w:eastAsia="en-AU"/>
        </w:rPr>
        <w:t>Property],</w:t>
      </w:r>
      <w:r w:rsidR="005D5532" w:rsidRPr="00276391">
        <w:rPr>
          <w:lang w:eastAsia="en-AU"/>
        </w:rPr>
        <w:t xml:space="preserve"> </w:t>
      </w:r>
      <w:r w:rsidRPr="00276391">
        <w:rPr>
          <w:lang w:eastAsia="en-AU"/>
        </w:rPr>
        <w:t>17</w:t>
      </w:r>
      <w:r w:rsidR="00D1481E">
        <w:rPr>
          <w:lang w:eastAsia="en-AU"/>
        </w:rPr>
        <w:t xml:space="preserve"> </w:t>
      </w:r>
      <w:r w:rsidRPr="00276391">
        <w:rPr>
          <w:lang w:eastAsia="en-AU"/>
        </w:rPr>
        <w:lastRenderedPageBreak/>
        <w:t>[Privacy</w:t>
      </w:r>
      <w:r w:rsidR="005D5532" w:rsidRPr="00276391">
        <w:rPr>
          <w:lang w:eastAsia="en-AU"/>
        </w:rPr>
        <w:t xml:space="preserve"> </w:t>
      </w:r>
      <w:r w:rsidRPr="00276391">
        <w:rPr>
          <w:lang w:eastAsia="en-AU"/>
        </w:rPr>
        <w:t>and</w:t>
      </w:r>
      <w:r w:rsidR="005D5532" w:rsidRPr="00276391">
        <w:rPr>
          <w:lang w:eastAsia="en-AU"/>
        </w:rPr>
        <w:t xml:space="preserve"> </w:t>
      </w:r>
      <w:proofErr w:type="spellStart"/>
      <w:r w:rsidRPr="00276391">
        <w:rPr>
          <w:lang w:eastAsia="en-AU"/>
        </w:rPr>
        <w:t>Whistleblowers</w:t>
      </w:r>
      <w:proofErr w:type="spellEnd"/>
      <w:r w:rsidRPr="00276391">
        <w:rPr>
          <w:lang w:eastAsia="en-AU"/>
        </w:rPr>
        <w:t>],</w:t>
      </w:r>
      <w:r w:rsidR="005D5532" w:rsidRPr="00276391">
        <w:rPr>
          <w:lang w:eastAsia="en-AU"/>
        </w:rPr>
        <w:t xml:space="preserve"> </w:t>
      </w:r>
      <w:r w:rsidRPr="00276391">
        <w:rPr>
          <w:lang w:eastAsia="en-AU"/>
        </w:rPr>
        <w:t>18</w:t>
      </w:r>
      <w:r w:rsidR="005D5532" w:rsidRPr="00276391">
        <w:rPr>
          <w:lang w:eastAsia="en-AU"/>
        </w:rPr>
        <w:t xml:space="preserve"> </w:t>
      </w:r>
      <w:r w:rsidRPr="00276391">
        <w:rPr>
          <w:lang w:eastAsia="en-AU"/>
        </w:rPr>
        <w:t>[Confidential</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19</w:t>
      </w:r>
      <w:r w:rsidR="005D5532" w:rsidRPr="00276391">
        <w:rPr>
          <w:lang w:eastAsia="en-AU"/>
        </w:rPr>
        <w:t xml:space="preserve"> </w:t>
      </w:r>
      <w:r w:rsidRPr="00276391">
        <w:rPr>
          <w:lang w:eastAsia="en-AU"/>
        </w:rPr>
        <w:t>[Indemnity]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20</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Management].</w:t>
      </w:r>
    </w:p>
    <w:p w14:paraId="14EBFA5D" w14:textId="2941466A" w:rsidR="00236748" w:rsidRPr="00276391" w:rsidRDefault="00236748" w:rsidP="009B2351">
      <w:pPr>
        <w:pStyle w:val="Heading2"/>
        <w:rPr>
          <w:rFonts w:cs="Arial"/>
          <w:lang w:eastAsia="en-AU"/>
        </w:rPr>
      </w:pPr>
      <w:bookmarkStart w:id="585" w:name="_Toc478991901"/>
      <w:bookmarkStart w:id="586" w:name="_Toc478992447"/>
      <w:bookmarkStart w:id="587" w:name="_Toc478992912"/>
      <w:bookmarkStart w:id="588" w:name="_Toc4142114"/>
      <w:r w:rsidRPr="00276391">
        <w:rPr>
          <w:rFonts w:cs="Arial"/>
          <w:lang w:eastAsia="en-AU"/>
        </w:rPr>
        <w:t>3.27</w:t>
      </w:r>
      <w:r w:rsidR="009B2351" w:rsidRPr="00276391">
        <w:rPr>
          <w:rFonts w:cs="Arial"/>
          <w:lang w:eastAsia="en-AU"/>
        </w:rPr>
        <w:t xml:space="preserve"> </w:t>
      </w:r>
      <w:r w:rsidRPr="00276391">
        <w:rPr>
          <w:rFonts w:cs="Arial"/>
          <w:lang w:eastAsia="en-AU"/>
        </w:rPr>
        <w:t>Early</w:t>
      </w:r>
      <w:r w:rsidR="009B2351" w:rsidRPr="00276391">
        <w:rPr>
          <w:rFonts w:cs="Arial"/>
          <w:lang w:eastAsia="en-AU"/>
        </w:rPr>
        <w:t xml:space="preserve"> </w:t>
      </w:r>
      <w:r w:rsidRPr="00276391">
        <w:rPr>
          <w:rFonts w:cs="Arial"/>
          <w:lang w:eastAsia="en-AU"/>
        </w:rPr>
        <w:t>childhood</w:t>
      </w:r>
      <w:r w:rsidR="009B2351" w:rsidRPr="00276391">
        <w:rPr>
          <w:rFonts w:cs="Arial"/>
          <w:lang w:eastAsia="en-AU"/>
        </w:rPr>
        <w:t xml:space="preserve"> </w:t>
      </w:r>
      <w:r w:rsidRPr="00276391">
        <w:rPr>
          <w:rFonts w:cs="Arial"/>
          <w:lang w:eastAsia="en-AU"/>
        </w:rPr>
        <w:t>facilities</w:t>
      </w:r>
      <w:r w:rsidR="009B2351" w:rsidRPr="00276391">
        <w:rPr>
          <w:rFonts w:cs="Arial"/>
          <w:lang w:eastAsia="en-AU"/>
        </w:rPr>
        <w:t xml:space="preserve"> </w:t>
      </w:r>
      <w:r w:rsidRPr="00276391">
        <w:rPr>
          <w:rFonts w:cs="Arial"/>
          <w:lang w:eastAsia="en-AU"/>
        </w:rPr>
        <w:t>grant</w:t>
      </w:r>
      <w:bookmarkEnd w:id="585"/>
      <w:bookmarkEnd w:id="586"/>
      <w:bookmarkEnd w:id="587"/>
      <w:r w:rsidR="00037DC5">
        <w:rPr>
          <w:rFonts w:cs="Arial"/>
          <w:lang w:eastAsia="en-AU"/>
        </w:rPr>
        <w:t xml:space="preserve"> – </w:t>
      </w:r>
      <w:r w:rsidR="00D05F49">
        <w:rPr>
          <w:rFonts w:cs="Arial"/>
          <w:lang w:eastAsia="en-AU"/>
        </w:rPr>
        <w:t>Department of Education and Training</w:t>
      </w:r>
      <w:r w:rsidR="00037DC5">
        <w:rPr>
          <w:rFonts w:cs="Arial"/>
          <w:lang w:eastAsia="en-AU"/>
        </w:rPr>
        <w:t xml:space="preserve"> only</w:t>
      </w:r>
      <w:bookmarkEnd w:id="588"/>
    </w:p>
    <w:p w14:paraId="3BF06D65" w14:textId="045E0CAB" w:rsidR="00236748" w:rsidRPr="00276391" w:rsidRDefault="00236748" w:rsidP="00037DC5">
      <w:pPr>
        <w:pStyle w:val="Heading3"/>
        <w:rPr>
          <w:lang w:eastAsia="en-AU"/>
        </w:rPr>
      </w:pPr>
      <w:bookmarkStart w:id="589" w:name="_Toc4142115"/>
      <w:r w:rsidRPr="00B24C02">
        <w:rPr>
          <w:lang w:eastAsia="en-AU"/>
        </w:rPr>
        <w:t>This</w:t>
      </w:r>
      <w:r w:rsidR="005D5532" w:rsidRPr="00B24C02">
        <w:rPr>
          <w:lang w:eastAsia="en-AU"/>
        </w:rPr>
        <w:t xml:space="preserve"> </w:t>
      </w:r>
      <w:r w:rsidRPr="00B24C02">
        <w:rPr>
          <w:lang w:eastAsia="en-AU"/>
        </w:rPr>
        <w:t>clause</w:t>
      </w:r>
      <w:r w:rsidR="005D5532" w:rsidRPr="00B24C02">
        <w:rPr>
          <w:lang w:eastAsia="en-AU"/>
        </w:rPr>
        <w:t xml:space="preserve"> </w:t>
      </w:r>
      <w:r w:rsidRPr="00B24C02">
        <w:rPr>
          <w:lang w:eastAsia="en-AU"/>
        </w:rPr>
        <w:t>appears</w:t>
      </w:r>
      <w:r w:rsidR="005D5532" w:rsidRPr="00B24C02">
        <w:rPr>
          <w:lang w:eastAsia="en-AU"/>
        </w:rPr>
        <w:t xml:space="preserve"> </w:t>
      </w:r>
      <w:r w:rsidRPr="00B24C02">
        <w:rPr>
          <w:lang w:eastAsia="en-AU"/>
        </w:rPr>
        <w:t>in</w:t>
      </w:r>
      <w:r w:rsidR="005D5532" w:rsidRPr="00B24C02">
        <w:rPr>
          <w:lang w:eastAsia="en-AU"/>
        </w:rPr>
        <w:t xml:space="preserve"> </w:t>
      </w:r>
      <w:r w:rsidRPr="00B24C02">
        <w:rPr>
          <w:lang w:eastAsia="en-AU"/>
        </w:rPr>
        <w:t>Department</w:t>
      </w:r>
      <w:r w:rsidR="005D5532" w:rsidRPr="00B24C02">
        <w:rPr>
          <w:lang w:eastAsia="en-AU"/>
        </w:rPr>
        <w:t xml:space="preserve"> </w:t>
      </w:r>
      <w:r w:rsidRPr="00B24C02">
        <w:rPr>
          <w:lang w:eastAsia="en-AU"/>
        </w:rPr>
        <w:t>of</w:t>
      </w:r>
      <w:r w:rsidR="005D5532" w:rsidRPr="00B24C02">
        <w:rPr>
          <w:lang w:eastAsia="en-AU"/>
        </w:rPr>
        <w:t xml:space="preserve"> </w:t>
      </w:r>
      <w:r w:rsidRPr="00B24C02">
        <w:rPr>
          <w:lang w:eastAsia="en-AU"/>
        </w:rPr>
        <w:t>Education</w:t>
      </w:r>
      <w:r w:rsidR="005D5532" w:rsidRPr="00B24C02">
        <w:rPr>
          <w:lang w:eastAsia="en-AU"/>
        </w:rPr>
        <w:t xml:space="preserve"> </w:t>
      </w:r>
      <w:r w:rsidRPr="00B24C02">
        <w:rPr>
          <w:lang w:eastAsia="en-AU"/>
        </w:rPr>
        <w:t>and</w:t>
      </w:r>
      <w:r w:rsidR="005D5532" w:rsidRPr="00B24C02">
        <w:rPr>
          <w:lang w:eastAsia="en-AU"/>
        </w:rPr>
        <w:t xml:space="preserve"> </w:t>
      </w:r>
      <w:r w:rsidR="00D1481E">
        <w:rPr>
          <w:lang w:eastAsia="en-AU"/>
        </w:rPr>
        <w:t>Training</w:t>
      </w:r>
      <w:r w:rsidR="005D5532" w:rsidRPr="00B24C02">
        <w:rPr>
          <w:lang w:eastAsia="en-AU"/>
        </w:rPr>
        <w:t xml:space="preserve"> </w:t>
      </w:r>
      <w:r w:rsidRPr="00B24C02">
        <w:rPr>
          <w:lang w:eastAsia="en-AU"/>
        </w:rPr>
        <w:t>agreements</w:t>
      </w:r>
      <w:r w:rsidR="00D05F49">
        <w:rPr>
          <w:lang w:eastAsia="en-AU"/>
        </w:rPr>
        <w:t xml:space="preserve"> </w:t>
      </w:r>
      <w:r w:rsidRPr="00B24C02">
        <w:rPr>
          <w:lang w:eastAsia="en-AU"/>
        </w:rPr>
        <w:t>only.</w:t>
      </w:r>
      <w:bookmarkEnd w:id="589"/>
    </w:p>
    <w:p w14:paraId="11A1A199"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committed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increasing</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high-quality</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developing</w:t>
      </w:r>
      <w:r w:rsidR="005D5532" w:rsidRPr="00276391">
        <w:rPr>
          <w:lang w:eastAsia="en-AU"/>
        </w:rPr>
        <w:t xml:space="preserve"> </w:t>
      </w:r>
      <w:r w:rsidRPr="00276391">
        <w:rPr>
          <w:lang w:eastAsia="en-AU"/>
        </w:rPr>
        <w:t>partnerships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parents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communities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develop</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sustainable</w:t>
      </w:r>
      <w:r w:rsidR="005D5532" w:rsidRPr="00276391">
        <w:rPr>
          <w:lang w:eastAsia="en-AU"/>
        </w:rPr>
        <w:t xml:space="preserve"> </w:t>
      </w:r>
      <w:r w:rsidRPr="00276391">
        <w:rPr>
          <w:lang w:eastAsia="en-AU"/>
        </w:rPr>
        <w:t>model</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p>
    <w:p w14:paraId="00C11F43"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invests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providing</w:t>
      </w:r>
      <w:r w:rsidR="005D5532" w:rsidRPr="00276391">
        <w:rPr>
          <w:lang w:eastAsia="en-AU"/>
        </w:rPr>
        <w:t xml:space="preserve"> </w:t>
      </w:r>
      <w:r w:rsidRPr="00276391">
        <w:rPr>
          <w:lang w:eastAsia="en-AU"/>
        </w:rPr>
        <w:t>contributory</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upgrades,</w:t>
      </w:r>
      <w:r w:rsidR="005D5532" w:rsidRPr="00276391">
        <w:rPr>
          <w:lang w:eastAsia="en-AU"/>
        </w:rPr>
        <w:t xml:space="preserve"> </w:t>
      </w:r>
      <w:r w:rsidRPr="00276391">
        <w:rPr>
          <w:lang w:eastAsia="en-AU"/>
        </w:rPr>
        <w:t>renovation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refurbishments,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minor</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equipment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technology</w:t>
      </w:r>
      <w:r w:rsidR="005D5532" w:rsidRPr="00276391">
        <w:rPr>
          <w:lang w:eastAsia="en-AU"/>
        </w:rPr>
        <w:t xml:space="preserve"> </w:t>
      </w:r>
      <w:r w:rsidRPr="00276391">
        <w:rPr>
          <w:lang w:eastAsia="en-AU"/>
        </w:rPr>
        <w:t>products.</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families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wider</w:t>
      </w:r>
      <w:r w:rsidR="005D5532" w:rsidRPr="00276391">
        <w:rPr>
          <w:lang w:eastAsia="en-AU"/>
        </w:rPr>
        <w:t xml:space="preserve"> </w:t>
      </w:r>
      <w:r w:rsidRPr="00276391">
        <w:rPr>
          <w:lang w:eastAsia="en-AU"/>
        </w:rPr>
        <w:t>community.</w:t>
      </w:r>
    </w:p>
    <w:p w14:paraId="0BD8F50E" w14:textId="77777777" w:rsidR="00236748" w:rsidRPr="00276391" w:rsidRDefault="00236748" w:rsidP="00276391">
      <w:pPr>
        <w:pStyle w:val="DHHSbody"/>
        <w:rPr>
          <w:lang w:eastAsia="en-AU"/>
        </w:rPr>
      </w:pPr>
      <w:r w:rsidRPr="00276391">
        <w:rPr>
          <w:lang w:eastAsia="en-AU"/>
        </w:rPr>
        <w:t>Investing</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promotes</w:t>
      </w:r>
      <w:r w:rsidR="005D5532" w:rsidRPr="00276391">
        <w:rPr>
          <w:lang w:eastAsia="en-AU"/>
        </w:rPr>
        <w:t xml:space="preserve"> </w:t>
      </w:r>
      <w:r w:rsidRPr="00276391">
        <w:rPr>
          <w:lang w:eastAsia="en-AU"/>
        </w:rPr>
        <w:t>co-location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integration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variety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families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existing</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order</w:t>
      </w:r>
      <w:r w:rsidR="005D5532" w:rsidRPr="00276391">
        <w:rPr>
          <w:lang w:eastAsia="en-AU"/>
        </w:rPr>
        <w:t xml:space="preserve"> </w:t>
      </w:r>
      <w:r w:rsidRPr="00276391">
        <w:rPr>
          <w:lang w:eastAsia="en-AU"/>
        </w:rPr>
        <w:t>to:</w:t>
      </w:r>
    </w:p>
    <w:p w14:paraId="1D3DD7E8" w14:textId="77777777"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capital</w:t>
      </w:r>
      <w:r w:rsidR="005D5532" w:rsidRPr="00276391">
        <w:rPr>
          <w:rFonts w:cs="Arial"/>
          <w:lang w:eastAsia="en-AU"/>
        </w:rPr>
        <w:t xml:space="preserve"> </w:t>
      </w:r>
      <w:r w:rsidRPr="00276391">
        <w:rPr>
          <w:rFonts w:cs="Arial"/>
          <w:lang w:eastAsia="en-AU"/>
        </w:rPr>
        <w:t>funding</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promote</w:t>
      </w:r>
      <w:r w:rsidR="005D5532" w:rsidRPr="00276391">
        <w:rPr>
          <w:rFonts w:cs="Arial"/>
          <w:lang w:eastAsia="en-AU"/>
        </w:rPr>
        <w:t xml:space="preserve"> </w:t>
      </w:r>
      <w:r w:rsidRPr="00276391">
        <w:rPr>
          <w:rFonts w:cs="Arial"/>
          <w:lang w:eastAsia="en-AU"/>
        </w:rPr>
        <w:t>more</w:t>
      </w:r>
      <w:r w:rsidR="005D5532" w:rsidRPr="00276391">
        <w:rPr>
          <w:rFonts w:cs="Arial"/>
          <w:lang w:eastAsia="en-AU"/>
        </w:rPr>
        <w:t xml:space="preserve"> </w:t>
      </w:r>
      <w:r w:rsidRPr="00276391">
        <w:rPr>
          <w:rFonts w:cs="Arial"/>
          <w:lang w:eastAsia="en-AU"/>
        </w:rPr>
        <w:t>integrated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inclusive</w:t>
      </w:r>
      <w:r w:rsidR="005D5532" w:rsidRPr="00276391">
        <w:rPr>
          <w:rFonts w:cs="Arial"/>
          <w:lang w:eastAsia="en-AU"/>
        </w:rPr>
        <w:t xml:space="preserve"> </w:t>
      </w:r>
      <w:r w:rsidRPr="00276391">
        <w:rPr>
          <w:rFonts w:cs="Arial"/>
          <w:lang w:eastAsia="en-AU"/>
        </w:rPr>
        <w:t>early</w:t>
      </w:r>
      <w:r w:rsidR="005D5532" w:rsidRPr="00276391">
        <w:rPr>
          <w:rFonts w:cs="Arial"/>
          <w:lang w:eastAsia="en-AU"/>
        </w:rPr>
        <w:t xml:space="preserve"> </w:t>
      </w:r>
      <w:r w:rsidRPr="00276391">
        <w:rPr>
          <w:rFonts w:cs="Arial"/>
          <w:lang w:eastAsia="en-AU"/>
        </w:rPr>
        <w:t>childhood</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address</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needs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families</w:t>
      </w:r>
      <w:r w:rsidR="005D5532" w:rsidRPr="00276391">
        <w:rPr>
          <w:rFonts w:cs="Arial"/>
          <w:lang w:eastAsia="en-AU"/>
        </w:rPr>
        <w:t xml:space="preserve"> </w:t>
      </w:r>
    </w:p>
    <w:p w14:paraId="689098A3" w14:textId="77777777" w:rsidR="00236748" w:rsidRPr="00276391" w:rsidRDefault="00236748" w:rsidP="00276391">
      <w:pPr>
        <w:pStyle w:val="DHHSbullet1"/>
        <w:rPr>
          <w:rFonts w:cs="Arial"/>
          <w:lang w:eastAsia="en-AU"/>
        </w:rPr>
      </w:pPr>
      <w:r w:rsidRPr="00276391">
        <w:rPr>
          <w:rFonts w:cs="Arial"/>
          <w:lang w:eastAsia="en-AU"/>
        </w:rPr>
        <w:t>create</w:t>
      </w:r>
      <w:r w:rsidR="005D5532" w:rsidRPr="00276391">
        <w:rPr>
          <w:rFonts w:cs="Arial"/>
          <w:lang w:eastAsia="en-AU"/>
        </w:rPr>
        <w:t xml:space="preserve"> </w:t>
      </w:r>
      <w:r w:rsidRPr="00276391">
        <w:rPr>
          <w:rFonts w:cs="Arial"/>
          <w:lang w:eastAsia="en-AU"/>
        </w:rPr>
        <w:t>new</w:t>
      </w:r>
      <w:r w:rsidR="005D5532" w:rsidRPr="00276391">
        <w:rPr>
          <w:rFonts w:cs="Arial"/>
          <w:lang w:eastAsia="en-AU"/>
        </w:rPr>
        <w:t xml:space="preserve"> </w:t>
      </w:r>
      <w:r w:rsidRPr="00276391">
        <w:rPr>
          <w:rFonts w:cs="Arial"/>
          <w:lang w:eastAsia="en-AU"/>
        </w:rPr>
        <w:t>opportunities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co-locate</w:t>
      </w:r>
      <w:r w:rsidR="005D5532" w:rsidRPr="00276391">
        <w:rPr>
          <w:rFonts w:cs="Arial"/>
          <w:lang w:eastAsia="en-AU"/>
        </w:rPr>
        <w:t xml:space="preserve"> </w:t>
      </w:r>
      <w:r w:rsidRPr="00276391">
        <w:rPr>
          <w:rFonts w:cs="Arial"/>
          <w:lang w:eastAsia="en-AU"/>
        </w:rPr>
        <w:t>early</w:t>
      </w:r>
      <w:r w:rsidR="005D5532" w:rsidRPr="00276391">
        <w:rPr>
          <w:rFonts w:cs="Arial"/>
          <w:lang w:eastAsia="en-AU"/>
        </w:rPr>
        <w:t xml:space="preserve"> </w:t>
      </w:r>
      <w:r w:rsidRPr="00276391">
        <w:rPr>
          <w:rFonts w:cs="Arial"/>
          <w:lang w:eastAsia="en-AU"/>
        </w:rPr>
        <w:t>childhood</w:t>
      </w:r>
      <w:r w:rsidR="005D5532" w:rsidRPr="00276391">
        <w:rPr>
          <w:rFonts w:cs="Arial"/>
          <w:lang w:eastAsia="en-AU"/>
        </w:rPr>
        <w:t xml:space="preserve"> </w:t>
      </w:r>
      <w:r w:rsidRPr="00276391">
        <w:rPr>
          <w:rFonts w:cs="Arial"/>
          <w:lang w:eastAsia="en-AU"/>
        </w:rPr>
        <w:t>services</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near</w:t>
      </w:r>
      <w:r w:rsidR="005D5532" w:rsidRPr="00276391">
        <w:rPr>
          <w:rFonts w:cs="Arial"/>
          <w:lang w:eastAsia="en-AU"/>
        </w:rPr>
        <w:t xml:space="preserve"> </w:t>
      </w:r>
      <w:r w:rsidRPr="00276391">
        <w:rPr>
          <w:rFonts w:cs="Arial"/>
          <w:lang w:eastAsia="en-AU"/>
        </w:rPr>
        <w:t>school</w:t>
      </w:r>
      <w:r w:rsidR="005D5532" w:rsidRPr="00276391">
        <w:rPr>
          <w:rFonts w:cs="Arial"/>
          <w:lang w:eastAsia="en-AU"/>
        </w:rPr>
        <w:t xml:space="preserve"> </w:t>
      </w:r>
      <w:r w:rsidRPr="00276391">
        <w:rPr>
          <w:rFonts w:cs="Arial"/>
          <w:lang w:eastAsia="en-AU"/>
        </w:rPr>
        <w:t>sites.</w:t>
      </w:r>
      <w:r w:rsidR="005D5532" w:rsidRPr="00276391">
        <w:rPr>
          <w:rFonts w:cs="Arial"/>
          <w:lang w:eastAsia="en-AU"/>
        </w:rPr>
        <w:t xml:space="preserve"> </w:t>
      </w:r>
    </w:p>
    <w:p w14:paraId="66AE91AD" w14:textId="77777777" w:rsidR="00225863" w:rsidRDefault="00416553" w:rsidP="00225863">
      <w:pPr>
        <w:pStyle w:val="DHHSbullet1"/>
        <w:rPr>
          <w:rFonts w:cs="Arial"/>
          <w:lang w:eastAsia="en-AU"/>
        </w:rPr>
      </w:pPr>
      <w:r>
        <w:rPr>
          <w:rFonts w:cs="Arial"/>
          <w:lang w:eastAsia="en-AU"/>
        </w:rPr>
        <w:t>t</w:t>
      </w:r>
      <w:r w:rsidR="00236748" w:rsidRPr="00276391">
        <w:rPr>
          <w:rFonts w:cs="Arial"/>
          <w:lang w:eastAsia="en-AU"/>
        </w:rPr>
        <w:t>he</w:t>
      </w:r>
      <w:r w:rsidR="005D5532" w:rsidRPr="00276391">
        <w:rPr>
          <w:rFonts w:cs="Arial"/>
          <w:lang w:eastAsia="en-AU"/>
        </w:rPr>
        <w:t xml:space="preserve"> </w:t>
      </w:r>
      <w:r w:rsidR="00236748" w:rsidRPr="00276391">
        <w:rPr>
          <w:rFonts w:cs="Arial"/>
          <w:lang w:eastAsia="en-AU"/>
        </w:rPr>
        <w:t>expected</w:t>
      </w:r>
      <w:r w:rsidR="005D5532" w:rsidRPr="00276391">
        <w:rPr>
          <w:rFonts w:cs="Arial"/>
          <w:lang w:eastAsia="en-AU"/>
        </w:rPr>
        <w:t xml:space="preserve"> </w:t>
      </w:r>
      <w:r w:rsidR="00236748" w:rsidRPr="00276391">
        <w:rPr>
          <w:rFonts w:cs="Arial"/>
          <w:lang w:eastAsia="en-AU"/>
        </w:rPr>
        <w:t>outcomes</w:t>
      </w:r>
      <w:r w:rsidR="005D5532" w:rsidRPr="00276391">
        <w:rPr>
          <w:rFonts w:cs="Arial"/>
          <w:lang w:eastAsia="en-AU"/>
        </w:rPr>
        <w:t xml:space="preserve"> </w:t>
      </w:r>
      <w:r w:rsidR="00236748" w:rsidRPr="00276391">
        <w:rPr>
          <w:rFonts w:cs="Arial"/>
          <w:lang w:eastAsia="en-AU"/>
        </w:rPr>
        <w:t>of</w:t>
      </w:r>
      <w:r w:rsidR="005D5532" w:rsidRPr="00276391">
        <w:rPr>
          <w:rFonts w:cs="Arial"/>
          <w:lang w:eastAsia="en-AU"/>
        </w:rPr>
        <w:t xml:space="preserve"> </w:t>
      </w:r>
      <w:r w:rsidR="00236748" w:rsidRPr="00276391">
        <w:rPr>
          <w:rFonts w:cs="Arial"/>
          <w:lang w:eastAsia="en-AU"/>
        </w:rPr>
        <w:t>this</w:t>
      </w:r>
      <w:r w:rsidR="005D5532" w:rsidRPr="00276391">
        <w:rPr>
          <w:rFonts w:cs="Arial"/>
          <w:lang w:eastAsia="en-AU"/>
        </w:rPr>
        <w:t xml:space="preserve"> </w:t>
      </w:r>
      <w:r w:rsidR="00236748" w:rsidRPr="00276391">
        <w:rPr>
          <w:rFonts w:cs="Arial"/>
          <w:lang w:eastAsia="en-AU"/>
        </w:rPr>
        <w:t>investment</w:t>
      </w:r>
      <w:r w:rsidR="005D5532" w:rsidRPr="00276391">
        <w:rPr>
          <w:rFonts w:cs="Arial"/>
          <w:lang w:eastAsia="en-AU"/>
        </w:rPr>
        <w:t xml:space="preserve"> </w:t>
      </w:r>
      <w:r w:rsidR="00236748" w:rsidRPr="00276391">
        <w:rPr>
          <w:rFonts w:cs="Arial"/>
          <w:lang w:eastAsia="en-AU"/>
        </w:rPr>
        <w:t>include:</w:t>
      </w:r>
    </w:p>
    <w:p w14:paraId="74B5954B" w14:textId="77777777" w:rsidR="00225863" w:rsidRDefault="00236748" w:rsidP="00225863">
      <w:pPr>
        <w:pStyle w:val="DHHSbullet2"/>
        <w:rPr>
          <w:rFonts w:cs="Arial"/>
          <w:lang w:eastAsia="en-AU"/>
        </w:rPr>
      </w:pPr>
      <w:r w:rsidRPr="00225863">
        <w:rPr>
          <w:rFonts w:cs="Arial"/>
          <w:lang w:eastAsia="en-AU"/>
        </w:rPr>
        <w:t>increased</w:t>
      </w:r>
      <w:r w:rsidR="005D5532" w:rsidRPr="00225863">
        <w:rPr>
          <w:rFonts w:cs="Arial"/>
          <w:lang w:eastAsia="en-AU"/>
        </w:rPr>
        <w:t xml:space="preserve"> </w:t>
      </w:r>
      <w:r w:rsidRPr="00225863">
        <w:rPr>
          <w:rFonts w:cs="Arial"/>
          <w:lang w:eastAsia="en-AU"/>
        </w:rPr>
        <w:t>infrastructure</w:t>
      </w:r>
      <w:r w:rsidR="005D5532" w:rsidRPr="00225863">
        <w:rPr>
          <w:rFonts w:cs="Arial"/>
          <w:lang w:eastAsia="en-AU"/>
        </w:rPr>
        <w:t xml:space="preserve"> </w:t>
      </w:r>
      <w:r w:rsidRPr="00225863">
        <w:rPr>
          <w:rFonts w:cs="Arial"/>
          <w:lang w:eastAsia="en-AU"/>
        </w:rPr>
        <w:t>capacity</w:t>
      </w:r>
      <w:r w:rsidR="005D5532" w:rsidRPr="00225863">
        <w:rPr>
          <w:rFonts w:cs="Arial"/>
          <w:lang w:eastAsia="en-AU"/>
        </w:rPr>
        <w:t xml:space="preserve"> </w:t>
      </w:r>
      <w:r w:rsidRPr="00225863">
        <w:rPr>
          <w:rFonts w:cs="Arial"/>
          <w:lang w:eastAsia="en-AU"/>
        </w:rPr>
        <w:t>to</w:t>
      </w:r>
      <w:r w:rsidR="005D5532" w:rsidRPr="00225863">
        <w:rPr>
          <w:rFonts w:cs="Arial"/>
          <w:lang w:eastAsia="en-AU"/>
        </w:rPr>
        <w:t xml:space="preserve"> </w:t>
      </w:r>
      <w:r w:rsidRPr="00225863">
        <w:rPr>
          <w:rFonts w:cs="Arial"/>
          <w:lang w:eastAsia="en-AU"/>
        </w:rPr>
        <w:t>deliver</w:t>
      </w:r>
      <w:r w:rsidR="005D5532" w:rsidRPr="00225863">
        <w:rPr>
          <w:rFonts w:cs="Arial"/>
          <w:lang w:eastAsia="en-AU"/>
        </w:rPr>
        <w:t xml:space="preserve"> </w:t>
      </w:r>
      <w:r w:rsidRPr="00225863">
        <w:rPr>
          <w:rFonts w:cs="Arial"/>
          <w:lang w:eastAsia="en-AU"/>
        </w:rPr>
        <w:t>15</w:t>
      </w:r>
      <w:r w:rsidR="005D5532" w:rsidRPr="00225863">
        <w:rPr>
          <w:rFonts w:cs="Arial"/>
          <w:lang w:eastAsia="en-AU"/>
        </w:rPr>
        <w:t xml:space="preserve"> </w:t>
      </w:r>
      <w:r w:rsidRPr="00225863">
        <w:rPr>
          <w:rFonts w:cs="Arial"/>
          <w:lang w:eastAsia="en-AU"/>
        </w:rPr>
        <w:t>hours</w:t>
      </w:r>
      <w:r w:rsidR="005D5532" w:rsidRPr="00225863">
        <w:rPr>
          <w:rFonts w:cs="Arial"/>
          <w:lang w:eastAsia="en-AU"/>
        </w:rPr>
        <w:t xml:space="preserve"> </w:t>
      </w:r>
      <w:r w:rsidRPr="00225863">
        <w:rPr>
          <w:rFonts w:cs="Arial"/>
          <w:lang w:eastAsia="en-AU"/>
        </w:rPr>
        <w:t>of</w:t>
      </w:r>
      <w:r w:rsidR="005D5532" w:rsidRPr="00225863">
        <w:rPr>
          <w:rFonts w:cs="Arial"/>
          <w:lang w:eastAsia="en-AU"/>
        </w:rPr>
        <w:t xml:space="preserve"> </w:t>
      </w:r>
      <w:proofErr w:type="gramStart"/>
      <w:r w:rsidRPr="00225863">
        <w:rPr>
          <w:rFonts w:cs="Arial"/>
          <w:lang w:eastAsia="en-AU"/>
        </w:rPr>
        <w:t>high</w:t>
      </w:r>
      <w:r w:rsidR="005D5532" w:rsidRPr="00225863">
        <w:rPr>
          <w:rFonts w:cs="Arial"/>
          <w:lang w:eastAsia="en-AU"/>
        </w:rPr>
        <w:t xml:space="preserve"> </w:t>
      </w:r>
      <w:r w:rsidRPr="00225863">
        <w:rPr>
          <w:rFonts w:cs="Arial"/>
          <w:lang w:eastAsia="en-AU"/>
        </w:rPr>
        <w:t>quality</w:t>
      </w:r>
      <w:proofErr w:type="gramEnd"/>
      <w:r w:rsidR="005D5532" w:rsidRPr="00225863">
        <w:rPr>
          <w:rFonts w:cs="Arial"/>
          <w:lang w:eastAsia="en-AU"/>
        </w:rPr>
        <w:t xml:space="preserve"> </w:t>
      </w:r>
      <w:r w:rsidRPr="00225863">
        <w:rPr>
          <w:rFonts w:cs="Arial"/>
          <w:lang w:eastAsia="en-AU"/>
        </w:rPr>
        <w:t>kindergarten</w:t>
      </w:r>
      <w:r w:rsidR="005D5532" w:rsidRPr="00225863">
        <w:rPr>
          <w:rFonts w:cs="Arial"/>
          <w:lang w:eastAsia="en-AU"/>
        </w:rPr>
        <w:t xml:space="preserve"> </w:t>
      </w:r>
      <w:r w:rsidRPr="00225863">
        <w:rPr>
          <w:rFonts w:cs="Arial"/>
          <w:lang w:eastAsia="en-AU"/>
        </w:rPr>
        <w:t>for</w:t>
      </w:r>
      <w:r w:rsidR="005D5532" w:rsidRPr="00225863">
        <w:rPr>
          <w:rFonts w:cs="Arial"/>
          <w:lang w:eastAsia="en-AU"/>
        </w:rPr>
        <w:t xml:space="preserve"> </w:t>
      </w:r>
      <w:r w:rsidRPr="00225863">
        <w:rPr>
          <w:rFonts w:cs="Arial"/>
          <w:lang w:eastAsia="en-AU"/>
        </w:rPr>
        <w:t>all</w:t>
      </w:r>
      <w:r w:rsidR="005D5532" w:rsidRPr="00225863">
        <w:rPr>
          <w:rFonts w:cs="Arial"/>
          <w:lang w:eastAsia="en-AU"/>
        </w:rPr>
        <w:t xml:space="preserve"> </w:t>
      </w:r>
      <w:r w:rsidRPr="00225863">
        <w:rPr>
          <w:rFonts w:cs="Arial"/>
          <w:lang w:eastAsia="en-AU"/>
        </w:rPr>
        <w:t>children</w:t>
      </w:r>
      <w:r w:rsidR="005D5532" w:rsidRPr="00225863">
        <w:rPr>
          <w:rFonts w:cs="Arial"/>
          <w:lang w:eastAsia="en-AU"/>
        </w:rPr>
        <w:t xml:space="preserve"> </w:t>
      </w:r>
      <w:r w:rsidRPr="00225863">
        <w:rPr>
          <w:rFonts w:cs="Arial"/>
          <w:lang w:eastAsia="en-AU"/>
        </w:rPr>
        <w:t>in</w:t>
      </w:r>
      <w:r w:rsidR="005D5532" w:rsidRPr="00225863">
        <w:rPr>
          <w:rFonts w:cs="Arial"/>
          <w:lang w:eastAsia="en-AU"/>
        </w:rPr>
        <w:t xml:space="preserve"> </w:t>
      </w:r>
      <w:r w:rsidRPr="00225863">
        <w:rPr>
          <w:rFonts w:cs="Arial"/>
          <w:lang w:eastAsia="en-AU"/>
        </w:rPr>
        <w:t>the</w:t>
      </w:r>
      <w:r w:rsidR="005D5532" w:rsidRPr="00225863">
        <w:rPr>
          <w:rFonts w:cs="Arial"/>
          <w:lang w:eastAsia="en-AU"/>
        </w:rPr>
        <w:t xml:space="preserve"> </w:t>
      </w:r>
      <w:r w:rsidRPr="00225863">
        <w:rPr>
          <w:rFonts w:cs="Arial"/>
          <w:lang w:eastAsia="en-AU"/>
        </w:rPr>
        <w:t>year</w:t>
      </w:r>
      <w:r w:rsidR="005D5532" w:rsidRPr="00225863">
        <w:rPr>
          <w:rFonts w:cs="Arial"/>
          <w:lang w:eastAsia="en-AU"/>
        </w:rPr>
        <w:t xml:space="preserve"> </w:t>
      </w:r>
      <w:r w:rsidRPr="00225863">
        <w:rPr>
          <w:rFonts w:cs="Arial"/>
          <w:lang w:eastAsia="en-AU"/>
        </w:rPr>
        <w:t>before</w:t>
      </w:r>
      <w:r w:rsidR="005D5532" w:rsidRPr="00225863">
        <w:rPr>
          <w:rFonts w:cs="Arial"/>
          <w:lang w:eastAsia="en-AU"/>
        </w:rPr>
        <w:t xml:space="preserve"> </w:t>
      </w:r>
      <w:r w:rsidRPr="00225863">
        <w:rPr>
          <w:rFonts w:cs="Arial"/>
          <w:lang w:eastAsia="en-AU"/>
        </w:rPr>
        <w:t>school</w:t>
      </w:r>
      <w:r w:rsidR="005D5532" w:rsidRPr="00225863">
        <w:rPr>
          <w:rFonts w:cs="Arial"/>
          <w:lang w:eastAsia="en-AU"/>
        </w:rPr>
        <w:t xml:space="preserve"> </w:t>
      </w:r>
    </w:p>
    <w:p w14:paraId="461A89B7" w14:textId="77777777" w:rsidR="00225863" w:rsidRDefault="00236748" w:rsidP="00225863">
      <w:pPr>
        <w:pStyle w:val="DHHSbullet2"/>
        <w:rPr>
          <w:rFonts w:cs="Arial"/>
          <w:lang w:eastAsia="en-AU"/>
        </w:rPr>
      </w:pPr>
      <w:r w:rsidRPr="00225863">
        <w:rPr>
          <w:rFonts w:cs="Arial"/>
          <w:lang w:eastAsia="en-AU"/>
        </w:rPr>
        <w:t>improved</w:t>
      </w:r>
      <w:r w:rsidR="005D5532" w:rsidRPr="00225863">
        <w:rPr>
          <w:rFonts w:cs="Arial"/>
          <w:lang w:eastAsia="en-AU"/>
        </w:rPr>
        <w:t xml:space="preserve"> </w:t>
      </w:r>
      <w:r w:rsidRPr="00225863">
        <w:rPr>
          <w:rFonts w:cs="Arial"/>
          <w:lang w:eastAsia="en-AU"/>
        </w:rPr>
        <w:t>access</w:t>
      </w:r>
      <w:r w:rsidR="005D5532" w:rsidRPr="00225863">
        <w:rPr>
          <w:rFonts w:cs="Arial"/>
          <w:lang w:eastAsia="en-AU"/>
        </w:rPr>
        <w:t xml:space="preserve"> </w:t>
      </w:r>
      <w:r w:rsidRPr="00225863">
        <w:rPr>
          <w:rFonts w:cs="Arial"/>
          <w:lang w:eastAsia="en-AU"/>
        </w:rPr>
        <w:t>to</w:t>
      </w:r>
      <w:r w:rsidR="005D5532" w:rsidRPr="00225863">
        <w:rPr>
          <w:rFonts w:cs="Arial"/>
          <w:lang w:eastAsia="en-AU"/>
        </w:rPr>
        <w:t xml:space="preserve"> </w:t>
      </w:r>
      <w:r w:rsidRPr="00225863">
        <w:rPr>
          <w:rFonts w:cs="Arial"/>
          <w:lang w:eastAsia="en-AU"/>
        </w:rPr>
        <w:t>high</w:t>
      </w:r>
      <w:r w:rsidR="005D5532" w:rsidRPr="00225863">
        <w:rPr>
          <w:rFonts w:cs="Arial"/>
          <w:lang w:eastAsia="en-AU"/>
        </w:rPr>
        <w:t xml:space="preserve"> </w:t>
      </w:r>
      <w:r w:rsidRPr="00225863">
        <w:rPr>
          <w:rFonts w:cs="Arial"/>
          <w:lang w:eastAsia="en-AU"/>
        </w:rPr>
        <w:t>quality</w:t>
      </w:r>
      <w:r w:rsidR="005D5532" w:rsidRPr="00225863">
        <w:rPr>
          <w:rFonts w:cs="Arial"/>
          <w:lang w:eastAsia="en-AU"/>
        </w:rPr>
        <w:t xml:space="preserve"> </w:t>
      </w:r>
      <w:r w:rsidRPr="00225863">
        <w:rPr>
          <w:rFonts w:cs="Arial"/>
          <w:lang w:eastAsia="en-AU"/>
        </w:rPr>
        <w:t>kindergarten</w:t>
      </w:r>
      <w:r w:rsidR="005D5532" w:rsidRPr="00225863">
        <w:rPr>
          <w:rFonts w:cs="Arial"/>
          <w:lang w:eastAsia="en-AU"/>
        </w:rPr>
        <w:t xml:space="preserve"> </w:t>
      </w:r>
      <w:r w:rsidRPr="00225863">
        <w:rPr>
          <w:rFonts w:cs="Arial"/>
          <w:lang w:eastAsia="en-AU"/>
        </w:rPr>
        <w:t>education</w:t>
      </w:r>
      <w:r w:rsidR="005D5532" w:rsidRPr="00225863">
        <w:rPr>
          <w:rFonts w:cs="Arial"/>
          <w:lang w:eastAsia="en-AU"/>
        </w:rPr>
        <w:t xml:space="preserve"> </w:t>
      </w:r>
      <w:r w:rsidRPr="00225863">
        <w:rPr>
          <w:rFonts w:cs="Arial"/>
          <w:lang w:eastAsia="en-AU"/>
        </w:rPr>
        <w:t>in</w:t>
      </w:r>
      <w:r w:rsidR="005D5532" w:rsidRPr="00225863">
        <w:rPr>
          <w:rFonts w:cs="Arial"/>
          <w:lang w:eastAsia="en-AU"/>
        </w:rPr>
        <w:t xml:space="preserve"> </w:t>
      </w:r>
      <w:r w:rsidRPr="00225863">
        <w:rPr>
          <w:rFonts w:cs="Arial"/>
          <w:lang w:eastAsia="en-AU"/>
        </w:rPr>
        <w:t>the</w:t>
      </w:r>
      <w:r w:rsidR="005D5532" w:rsidRPr="00225863">
        <w:rPr>
          <w:rFonts w:cs="Arial"/>
          <w:lang w:eastAsia="en-AU"/>
        </w:rPr>
        <w:t xml:space="preserve"> </w:t>
      </w:r>
      <w:r w:rsidRPr="00225863">
        <w:rPr>
          <w:rFonts w:cs="Arial"/>
          <w:lang w:eastAsia="en-AU"/>
        </w:rPr>
        <w:t>same</w:t>
      </w:r>
      <w:r w:rsidR="005D5532" w:rsidRPr="00225863">
        <w:rPr>
          <w:rFonts w:cs="Arial"/>
          <w:lang w:eastAsia="en-AU"/>
        </w:rPr>
        <w:t xml:space="preserve"> </w:t>
      </w:r>
      <w:r w:rsidRPr="00225863">
        <w:rPr>
          <w:rFonts w:cs="Arial"/>
          <w:lang w:eastAsia="en-AU"/>
        </w:rPr>
        <w:t>place</w:t>
      </w:r>
      <w:r w:rsidR="005D5532" w:rsidRPr="00225863">
        <w:rPr>
          <w:rFonts w:cs="Arial"/>
          <w:lang w:eastAsia="en-AU"/>
        </w:rPr>
        <w:t xml:space="preserve"> </w:t>
      </w:r>
      <w:r w:rsidRPr="00225863">
        <w:rPr>
          <w:rFonts w:cs="Arial"/>
          <w:lang w:eastAsia="en-AU"/>
        </w:rPr>
        <w:t>as</w:t>
      </w:r>
      <w:r w:rsidR="005D5532" w:rsidRPr="00225863">
        <w:rPr>
          <w:rFonts w:cs="Arial"/>
          <w:lang w:eastAsia="en-AU"/>
        </w:rPr>
        <w:t xml:space="preserve"> </w:t>
      </w:r>
      <w:r w:rsidRPr="00225863">
        <w:rPr>
          <w:rFonts w:cs="Arial"/>
          <w:lang w:eastAsia="en-AU"/>
        </w:rPr>
        <w:t>long</w:t>
      </w:r>
      <w:r w:rsidR="005D5532" w:rsidRPr="00225863">
        <w:rPr>
          <w:rFonts w:cs="Arial"/>
          <w:lang w:eastAsia="en-AU"/>
        </w:rPr>
        <w:t xml:space="preserve"> </w:t>
      </w:r>
      <w:r w:rsidRPr="00225863">
        <w:rPr>
          <w:rFonts w:cs="Arial"/>
          <w:lang w:eastAsia="en-AU"/>
        </w:rPr>
        <w:t>day</w:t>
      </w:r>
      <w:r w:rsidR="005D5532" w:rsidRPr="00225863">
        <w:rPr>
          <w:rFonts w:cs="Arial"/>
          <w:lang w:eastAsia="en-AU"/>
        </w:rPr>
        <w:t xml:space="preserve"> </w:t>
      </w:r>
      <w:r w:rsidRPr="00225863">
        <w:rPr>
          <w:rFonts w:cs="Arial"/>
          <w:lang w:eastAsia="en-AU"/>
        </w:rPr>
        <w:t>care</w:t>
      </w:r>
      <w:r w:rsidR="005D5532" w:rsidRPr="00225863">
        <w:rPr>
          <w:rFonts w:cs="Arial"/>
          <w:lang w:eastAsia="en-AU"/>
        </w:rPr>
        <w:t xml:space="preserve"> </w:t>
      </w:r>
      <w:r w:rsidRPr="00225863">
        <w:rPr>
          <w:rFonts w:cs="Arial"/>
          <w:lang w:eastAsia="en-AU"/>
        </w:rPr>
        <w:t>and</w:t>
      </w:r>
      <w:r w:rsidR="005D5532" w:rsidRPr="00225863">
        <w:rPr>
          <w:rFonts w:cs="Arial"/>
          <w:lang w:eastAsia="en-AU"/>
        </w:rPr>
        <w:t xml:space="preserve"> </w:t>
      </w:r>
      <w:r w:rsidRPr="00225863">
        <w:rPr>
          <w:rFonts w:cs="Arial"/>
          <w:lang w:eastAsia="en-AU"/>
        </w:rPr>
        <w:t>other</w:t>
      </w:r>
      <w:r w:rsidR="005D5532" w:rsidRPr="00225863">
        <w:rPr>
          <w:rFonts w:cs="Arial"/>
          <w:lang w:eastAsia="en-AU"/>
        </w:rPr>
        <w:t xml:space="preserve"> </w:t>
      </w:r>
      <w:r w:rsidRPr="00225863">
        <w:rPr>
          <w:rFonts w:cs="Arial"/>
          <w:lang w:eastAsia="en-AU"/>
        </w:rPr>
        <w:t>services</w:t>
      </w:r>
      <w:r w:rsidR="005D5532" w:rsidRPr="00225863">
        <w:rPr>
          <w:rFonts w:cs="Arial"/>
          <w:lang w:eastAsia="en-AU"/>
        </w:rPr>
        <w:t xml:space="preserve"> </w:t>
      </w:r>
      <w:r w:rsidRPr="00225863">
        <w:rPr>
          <w:rFonts w:cs="Arial"/>
          <w:lang w:eastAsia="en-AU"/>
        </w:rPr>
        <w:t>for</w:t>
      </w:r>
      <w:r w:rsidR="005D5532" w:rsidRPr="00225863">
        <w:rPr>
          <w:rFonts w:cs="Arial"/>
          <w:lang w:eastAsia="en-AU"/>
        </w:rPr>
        <w:t xml:space="preserve"> </w:t>
      </w:r>
      <w:r w:rsidRPr="00225863">
        <w:rPr>
          <w:rFonts w:cs="Arial"/>
          <w:lang w:eastAsia="en-AU"/>
        </w:rPr>
        <w:t>children</w:t>
      </w:r>
      <w:r w:rsidR="005D5532" w:rsidRPr="00225863">
        <w:rPr>
          <w:rFonts w:cs="Arial"/>
          <w:lang w:eastAsia="en-AU"/>
        </w:rPr>
        <w:t xml:space="preserve"> </w:t>
      </w:r>
      <w:r w:rsidRPr="00225863">
        <w:rPr>
          <w:rFonts w:cs="Arial"/>
          <w:lang w:eastAsia="en-AU"/>
        </w:rPr>
        <w:t>and</w:t>
      </w:r>
      <w:r w:rsidR="005D5532" w:rsidRPr="00225863">
        <w:rPr>
          <w:rFonts w:cs="Arial"/>
          <w:lang w:eastAsia="en-AU"/>
        </w:rPr>
        <w:t xml:space="preserve"> </w:t>
      </w:r>
      <w:r w:rsidRPr="00225863">
        <w:rPr>
          <w:rFonts w:cs="Arial"/>
          <w:lang w:eastAsia="en-AU"/>
        </w:rPr>
        <w:t>families</w:t>
      </w:r>
      <w:r w:rsidR="005D5532" w:rsidRPr="00225863">
        <w:rPr>
          <w:rFonts w:cs="Arial"/>
          <w:lang w:eastAsia="en-AU"/>
        </w:rPr>
        <w:t xml:space="preserve"> </w:t>
      </w:r>
    </w:p>
    <w:p w14:paraId="4DADF4F4" w14:textId="77777777" w:rsidR="00225863" w:rsidRDefault="00236748" w:rsidP="00225863">
      <w:pPr>
        <w:pStyle w:val="DHHSbullet2"/>
        <w:rPr>
          <w:rFonts w:cs="Arial"/>
          <w:lang w:eastAsia="en-AU"/>
        </w:rPr>
      </w:pPr>
      <w:r w:rsidRPr="00225863">
        <w:rPr>
          <w:rFonts w:cs="Arial"/>
          <w:lang w:eastAsia="en-AU"/>
        </w:rPr>
        <w:t>more</w:t>
      </w:r>
      <w:r w:rsidR="005D5532" w:rsidRPr="00225863">
        <w:rPr>
          <w:rFonts w:cs="Arial"/>
          <w:lang w:eastAsia="en-AU"/>
        </w:rPr>
        <w:t xml:space="preserve"> </w:t>
      </w:r>
      <w:r w:rsidRPr="00225863">
        <w:rPr>
          <w:rFonts w:cs="Arial"/>
          <w:lang w:eastAsia="en-AU"/>
        </w:rPr>
        <w:t>services</w:t>
      </w:r>
      <w:r w:rsidR="005D5532" w:rsidRPr="00225863">
        <w:rPr>
          <w:rFonts w:cs="Arial"/>
          <w:lang w:eastAsia="en-AU"/>
        </w:rPr>
        <w:t xml:space="preserve"> </w:t>
      </w:r>
      <w:r w:rsidRPr="00225863">
        <w:rPr>
          <w:rFonts w:cs="Arial"/>
          <w:lang w:eastAsia="en-AU"/>
        </w:rPr>
        <w:t>for</w:t>
      </w:r>
      <w:r w:rsidR="005D5532" w:rsidRPr="00225863">
        <w:rPr>
          <w:rFonts w:cs="Arial"/>
          <w:lang w:eastAsia="en-AU"/>
        </w:rPr>
        <w:t xml:space="preserve"> </w:t>
      </w:r>
      <w:r w:rsidRPr="00225863">
        <w:rPr>
          <w:rFonts w:cs="Arial"/>
          <w:lang w:eastAsia="en-AU"/>
        </w:rPr>
        <w:t>children</w:t>
      </w:r>
      <w:r w:rsidR="005D5532" w:rsidRPr="00225863">
        <w:rPr>
          <w:rFonts w:cs="Arial"/>
          <w:lang w:eastAsia="en-AU"/>
        </w:rPr>
        <w:t xml:space="preserve"> </w:t>
      </w:r>
      <w:r w:rsidRPr="00225863">
        <w:rPr>
          <w:rFonts w:cs="Arial"/>
          <w:lang w:eastAsia="en-AU"/>
        </w:rPr>
        <w:t>and</w:t>
      </w:r>
      <w:r w:rsidR="005D5532" w:rsidRPr="00225863">
        <w:rPr>
          <w:rFonts w:cs="Arial"/>
          <w:lang w:eastAsia="en-AU"/>
        </w:rPr>
        <w:t xml:space="preserve"> </w:t>
      </w:r>
      <w:r w:rsidRPr="00225863">
        <w:rPr>
          <w:rFonts w:cs="Arial"/>
          <w:lang w:eastAsia="en-AU"/>
        </w:rPr>
        <w:t>families</w:t>
      </w:r>
      <w:r w:rsidR="005D5532" w:rsidRPr="00225863">
        <w:rPr>
          <w:rFonts w:cs="Arial"/>
          <w:lang w:eastAsia="en-AU"/>
        </w:rPr>
        <w:t xml:space="preserve"> </w:t>
      </w:r>
      <w:r w:rsidRPr="00225863">
        <w:rPr>
          <w:rFonts w:cs="Arial"/>
          <w:lang w:eastAsia="en-AU"/>
        </w:rPr>
        <w:t>on</w:t>
      </w:r>
      <w:r w:rsidR="005D5532" w:rsidRPr="00225863">
        <w:rPr>
          <w:rFonts w:cs="Arial"/>
          <w:lang w:eastAsia="en-AU"/>
        </w:rPr>
        <w:t xml:space="preserve"> </w:t>
      </w:r>
      <w:r w:rsidRPr="00225863">
        <w:rPr>
          <w:rFonts w:cs="Arial"/>
          <w:lang w:eastAsia="en-AU"/>
        </w:rPr>
        <w:t>or</w:t>
      </w:r>
      <w:r w:rsidR="005D5532" w:rsidRPr="00225863">
        <w:rPr>
          <w:rFonts w:cs="Arial"/>
          <w:lang w:eastAsia="en-AU"/>
        </w:rPr>
        <w:t xml:space="preserve"> </w:t>
      </w:r>
      <w:r w:rsidRPr="00225863">
        <w:rPr>
          <w:rFonts w:cs="Arial"/>
          <w:lang w:eastAsia="en-AU"/>
        </w:rPr>
        <w:t>near</w:t>
      </w:r>
      <w:r w:rsidR="005D5532" w:rsidRPr="00225863">
        <w:rPr>
          <w:rFonts w:cs="Arial"/>
          <w:lang w:eastAsia="en-AU"/>
        </w:rPr>
        <w:t xml:space="preserve"> </w:t>
      </w:r>
      <w:r w:rsidRPr="00225863">
        <w:rPr>
          <w:rFonts w:cs="Arial"/>
          <w:lang w:eastAsia="en-AU"/>
        </w:rPr>
        <w:t>school</w:t>
      </w:r>
      <w:r w:rsidR="005D5532" w:rsidRPr="00225863">
        <w:rPr>
          <w:rFonts w:cs="Arial"/>
          <w:lang w:eastAsia="en-AU"/>
        </w:rPr>
        <w:t xml:space="preserve"> </w:t>
      </w:r>
      <w:r w:rsidRPr="00225863">
        <w:rPr>
          <w:rFonts w:cs="Arial"/>
          <w:lang w:eastAsia="en-AU"/>
        </w:rPr>
        <w:t>sites</w:t>
      </w:r>
      <w:r w:rsidR="005D5532" w:rsidRPr="00225863">
        <w:rPr>
          <w:rFonts w:cs="Arial"/>
          <w:lang w:eastAsia="en-AU"/>
        </w:rPr>
        <w:t xml:space="preserve"> </w:t>
      </w:r>
    </w:p>
    <w:p w14:paraId="4DD7F6DD" w14:textId="259B06B0" w:rsidR="00236748" w:rsidRPr="00225863" w:rsidRDefault="00236748" w:rsidP="00225863">
      <w:pPr>
        <w:pStyle w:val="DHHSbullet2"/>
        <w:rPr>
          <w:rFonts w:cs="Arial"/>
          <w:lang w:eastAsia="en-AU"/>
        </w:rPr>
      </w:pPr>
      <w:r w:rsidRPr="00225863">
        <w:rPr>
          <w:rFonts w:cs="Arial"/>
          <w:lang w:eastAsia="en-AU"/>
        </w:rPr>
        <w:t>integrated,</w:t>
      </w:r>
      <w:r w:rsidR="005D5532" w:rsidRPr="00225863">
        <w:rPr>
          <w:rFonts w:cs="Arial"/>
          <w:lang w:eastAsia="en-AU"/>
        </w:rPr>
        <w:t xml:space="preserve"> </w:t>
      </w:r>
      <w:r w:rsidRPr="00225863">
        <w:rPr>
          <w:rFonts w:cs="Arial"/>
          <w:lang w:eastAsia="en-AU"/>
        </w:rPr>
        <w:t>inclusive</w:t>
      </w:r>
      <w:r w:rsidR="005D5532" w:rsidRPr="00225863">
        <w:rPr>
          <w:rFonts w:cs="Arial"/>
          <w:lang w:eastAsia="en-AU"/>
        </w:rPr>
        <w:t xml:space="preserve"> </w:t>
      </w:r>
      <w:r w:rsidRPr="00225863">
        <w:rPr>
          <w:rFonts w:cs="Arial"/>
          <w:lang w:eastAsia="en-AU"/>
        </w:rPr>
        <w:t>and</w:t>
      </w:r>
      <w:r w:rsidR="005D5532" w:rsidRPr="00225863">
        <w:rPr>
          <w:rFonts w:cs="Arial"/>
          <w:lang w:eastAsia="en-AU"/>
        </w:rPr>
        <w:t xml:space="preserve"> </w:t>
      </w:r>
      <w:r w:rsidRPr="00225863">
        <w:rPr>
          <w:rFonts w:cs="Arial"/>
          <w:lang w:eastAsia="en-AU"/>
        </w:rPr>
        <w:t>collaborative</w:t>
      </w:r>
      <w:r w:rsidR="005D5532" w:rsidRPr="00225863">
        <w:rPr>
          <w:rFonts w:cs="Arial"/>
          <w:lang w:eastAsia="en-AU"/>
        </w:rPr>
        <w:t xml:space="preserve"> </w:t>
      </w:r>
      <w:r w:rsidRPr="00225863">
        <w:rPr>
          <w:rFonts w:cs="Arial"/>
          <w:lang w:eastAsia="en-AU"/>
        </w:rPr>
        <w:t>early</w:t>
      </w:r>
      <w:r w:rsidR="005D5532" w:rsidRPr="00225863">
        <w:rPr>
          <w:rFonts w:cs="Arial"/>
          <w:lang w:eastAsia="en-AU"/>
        </w:rPr>
        <w:t xml:space="preserve"> </w:t>
      </w:r>
      <w:r w:rsidRPr="00225863">
        <w:rPr>
          <w:rFonts w:cs="Arial"/>
          <w:lang w:eastAsia="en-AU"/>
        </w:rPr>
        <w:t>childhood</w:t>
      </w:r>
      <w:r w:rsidR="005D5532" w:rsidRPr="00225863">
        <w:rPr>
          <w:rFonts w:cs="Arial"/>
          <w:lang w:eastAsia="en-AU"/>
        </w:rPr>
        <w:t xml:space="preserve"> </w:t>
      </w:r>
      <w:r w:rsidRPr="00225863">
        <w:rPr>
          <w:rFonts w:cs="Arial"/>
          <w:lang w:eastAsia="en-AU"/>
        </w:rPr>
        <w:t>education</w:t>
      </w:r>
      <w:r w:rsidR="005D5532" w:rsidRPr="00225863">
        <w:rPr>
          <w:rFonts w:cs="Arial"/>
          <w:lang w:eastAsia="en-AU"/>
        </w:rPr>
        <w:t xml:space="preserve"> </w:t>
      </w:r>
      <w:r w:rsidRPr="00225863">
        <w:rPr>
          <w:rFonts w:cs="Arial"/>
          <w:lang w:eastAsia="en-AU"/>
        </w:rPr>
        <w:t>and</w:t>
      </w:r>
      <w:r w:rsidR="005D5532" w:rsidRPr="00225863">
        <w:rPr>
          <w:rFonts w:cs="Arial"/>
          <w:lang w:eastAsia="en-AU"/>
        </w:rPr>
        <w:t xml:space="preserve"> </w:t>
      </w:r>
      <w:r w:rsidRPr="00225863">
        <w:rPr>
          <w:rFonts w:cs="Arial"/>
          <w:lang w:eastAsia="en-AU"/>
        </w:rPr>
        <w:t>care</w:t>
      </w:r>
      <w:r w:rsidR="005D5532" w:rsidRPr="00225863">
        <w:rPr>
          <w:rFonts w:cs="Arial"/>
          <w:lang w:eastAsia="en-AU"/>
        </w:rPr>
        <w:t xml:space="preserve"> </w:t>
      </w:r>
      <w:r w:rsidRPr="00225863">
        <w:rPr>
          <w:rFonts w:cs="Arial"/>
          <w:lang w:eastAsia="en-AU"/>
        </w:rPr>
        <w:t>services</w:t>
      </w:r>
      <w:r w:rsidR="005D5532" w:rsidRPr="00225863">
        <w:rPr>
          <w:rFonts w:cs="Arial"/>
          <w:lang w:eastAsia="en-AU"/>
        </w:rPr>
        <w:t xml:space="preserve"> </w:t>
      </w:r>
      <w:r w:rsidRPr="00225863">
        <w:rPr>
          <w:rFonts w:cs="Arial"/>
          <w:lang w:eastAsia="en-AU"/>
        </w:rPr>
        <w:t>that</w:t>
      </w:r>
      <w:r w:rsidR="005D5532" w:rsidRPr="00225863">
        <w:rPr>
          <w:rFonts w:cs="Arial"/>
          <w:lang w:eastAsia="en-AU"/>
        </w:rPr>
        <w:t xml:space="preserve"> </w:t>
      </w:r>
      <w:r w:rsidRPr="00225863">
        <w:rPr>
          <w:rFonts w:cs="Arial"/>
          <w:lang w:eastAsia="en-AU"/>
        </w:rPr>
        <w:t>provide</w:t>
      </w:r>
      <w:r w:rsidR="005D5532" w:rsidRPr="00225863">
        <w:rPr>
          <w:rFonts w:cs="Arial"/>
          <w:lang w:eastAsia="en-AU"/>
        </w:rPr>
        <w:t xml:space="preserve"> </w:t>
      </w:r>
      <w:r w:rsidRPr="00225863">
        <w:rPr>
          <w:rFonts w:cs="Arial"/>
          <w:lang w:eastAsia="en-AU"/>
        </w:rPr>
        <w:t>high</w:t>
      </w:r>
      <w:r w:rsidR="005D5532" w:rsidRPr="00225863">
        <w:rPr>
          <w:rFonts w:cs="Arial"/>
          <w:lang w:eastAsia="en-AU"/>
        </w:rPr>
        <w:t xml:space="preserve"> </w:t>
      </w:r>
      <w:r w:rsidRPr="00225863">
        <w:rPr>
          <w:rFonts w:cs="Arial"/>
          <w:lang w:eastAsia="en-AU"/>
        </w:rPr>
        <w:t>quality</w:t>
      </w:r>
      <w:r w:rsidR="005D5532" w:rsidRPr="00225863">
        <w:rPr>
          <w:rFonts w:cs="Arial"/>
          <w:lang w:eastAsia="en-AU"/>
        </w:rPr>
        <w:t xml:space="preserve"> </w:t>
      </w:r>
      <w:r w:rsidRPr="00225863">
        <w:rPr>
          <w:rFonts w:cs="Arial"/>
          <w:lang w:eastAsia="en-AU"/>
        </w:rPr>
        <w:t>programs</w:t>
      </w:r>
      <w:r w:rsidR="005D5532" w:rsidRPr="00225863">
        <w:rPr>
          <w:rFonts w:cs="Arial"/>
          <w:lang w:eastAsia="en-AU"/>
        </w:rPr>
        <w:t xml:space="preserve"> </w:t>
      </w:r>
      <w:r w:rsidRPr="00225863">
        <w:rPr>
          <w:rFonts w:cs="Arial"/>
          <w:lang w:eastAsia="en-AU"/>
        </w:rPr>
        <w:t>to</w:t>
      </w:r>
      <w:r w:rsidR="005D5532" w:rsidRPr="00225863">
        <w:rPr>
          <w:rFonts w:cs="Arial"/>
          <w:lang w:eastAsia="en-AU"/>
        </w:rPr>
        <w:t xml:space="preserve"> </w:t>
      </w:r>
      <w:r w:rsidRPr="00225863">
        <w:rPr>
          <w:rFonts w:cs="Arial"/>
          <w:lang w:eastAsia="en-AU"/>
        </w:rPr>
        <w:t>meet</w:t>
      </w:r>
      <w:r w:rsidR="005D5532" w:rsidRPr="00225863">
        <w:rPr>
          <w:rFonts w:cs="Arial"/>
          <w:lang w:eastAsia="en-AU"/>
        </w:rPr>
        <w:t xml:space="preserve"> </w:t>
      </w:r>
      <w:r w:rsidRPr="00225863">
        <w:rPr>
          <w:rFonts w:cs="Arial"/>
          <w:lang w:eastAsia="en-AU"/>
        </w:rPr>
        <w:t>the</w:t>
      </w:r>
      <w:r w:rsidR="005D5532" w:rsidRPr="00225863">
        <w:rPr>
          <w:rFonts w:cs="Arial"/>
          <w:lang w:eastAsia="en-AU"/>
        </w:rPr>
        <w:t xml:space="preserve"> </w:t>
      </w:r>
      <w:r w:rsidRPr="00225863">
        <w:rPr>
          <w:rFonts w:cs="Arial"/>
          <w:lang w:eastAsia="en-AU"/>
        </w:rPr>
        <w:t>needs</w:t>
      </w:r>
      <w:r w:rsidR="005D5532" w:rsidRPr="00225863">
        <w:rPr>
          <w:rFonts w:cs="Arial"/>
          <w:lang w:eastAsia="en-AU"/>
        </w:rPr>
        <w:t xml:space="preserve"> </w:t>
      </w:r>
      <w:r w:rsidRPr="00225863">
        <w:rPr>
          <w:rFonts w:cs="Arial"/>
          <w:lang w:eastAsia="en-AU"/>
        </w:rPr>
        <w:t>of</w:t>
      </w:r>
      <w:r w:rsidR="005D5532" w:rsidRPr="00225863">
        <w:rPr>
          <w:rFonts w:cs="Arial"/>
          <w:lang w:eastAsia="en-AU"/>
        </w:rPr>
        <w:t xml:space="preserve"> </w:t>
      </w:r>
      <w:r w:rsidRPr="00225863">
        <w:rPr>
          <w:rFonts w:cs="Arial"/>
          <w:lang w:eastAsia="en-AU"/>
        </w:rPr>
        <w:t>young</w:t>
      </w:r>
      <w:r w:rsidR="005D5532" w:rsidRPr="00225863">
        <w:rPr>
          <w:rFonts w:cs="Arial"/>
          <w:lang w:eastAsia="en-AU"/>
        </w:rPr>
        <w:t xml:space="preserve"> </w:t>
      </w:r>
      <w:r w:rsidRPr="00225863">
        <w:rPr>
          <w:rFonts w:cs="Arial"/>
          <w:lang w:eastAsia="en-AU"/>
        </w:rPr>
        <w:t>children</w:t>
      </w:r>
      <w:r w:rsidR="005D5532" w:rsidRPr="00225863">
        <w:rPr>
          <w:rFonts w:cs="Arial"/>
          <w:lang w:eastAsia="en-AU"/>
        </w:rPr>
        <w:t xml:space="preserve"> </w:t>
      </w:r>
      <w:r w:rsidRPr="00225863">
        <w:rPr>
          <w:rFonts w:cs="Arial"/>
          <w:lang w:eastAsia="en-AU"/>
        </w:rPr>
        <w:t>aged</w:t>
      </w:r>
      <w:r w:rsidR="005D5532" w:rsidRPr="00225863">
        <w:rPr>
          <w:rFonts w:cs="Arial"/>
          <w:lang w:eastAsia="en-AU"/>
        </w:rPr>
        <w:t xml:space="preserve"> </w:t>
      </w:r>
      <w:r w:rsidRPr="00225863">
        <w:rPr>
          <w:rFonts w:cs="Arial"/>
          <w:lang w:eastAsia="en-AU"/>
        </w:rPr>
        <w:t>0-8</w:t>
      </w:r>
      <w:r w:rsidR="005D5532" w:rsidRPr="00225863">
        <w:rPr>
          <w:rFonts w:cs="Arial"/>
          <w:lang w:eastAsia="en-AU"/>
        </w:rPr>
        <w:t xml:space="preserve"> </w:t>
      </w:r>
      <w:r w:rsidRPr="00225863">
        <w:rPr>
          <w:rFonts w:cs="Arial"/>
          <w:lang w:eastAsia="en-AU"/>
        </w:rPr>
        <w:t>years.</w:t>
      </w:r>
      <w:r w:rsidR="005D5532" w:rsidRPr="00225863">
        <w:rPr>
          <w:rFonts w:cs="Arial"/>
          <w:lang w:eastAsia="en-AU"/>
        </w:rPr>
        <w:t xml:space="preserve"> </w:t>
      </w:r>
    </w:p>
    <w:p w14:paraId="712654FF" w14:textId="77777777" w:rsidR="00236748" w:rsidRPr="00276391" w:rsidRDefault="00236748" w:rsidP="00276391">
      <w:pPr>
        <w:pStyle w:val="DHHSbody"/>
        <w:rPr>
          <w:lang w:eastAsia="en-AU"/>
        </w:rPr>
      </w:pPr>
      <w:r w:rsidRPr="00B24C02">
        <w:rPr>
          <w:rFonts w:cs="Arial"/>
          <w:color w:val="000000"/>
          <w:szCs w:val="19"/>
          <w:lang w:eastAsia="en-AU"/>
        </w:rPr>
        <w:t>Grants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childhood</w:t>
      </w:r>
      <w:r w:rsidR="005D5532" w:rsidRPr="00B24C02">
        <w:rPr>
          <w:rFonts w:cs="Arial"/>
          <w:color w:val="000000"/>
          <w:szCs w:val="19"/>
          <w:lang w:eastAsia="en-AU"/>
        </w:rPr>
        <w:t xml:space="preserve"> </w:t>
      </w:r>
      <w:r w:rsidRPr="00B24C02">
        <w:rPr>
          <w:rFonts w:cs="Arial"/>
          <w:color w:val="000000"/>
          <w:szCs w:val="19"/>
          <w:lang w:eastAsia="en-AU"/>
        </w:rPr>
        <w:t>facilities</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implementation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range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childhood</w:t>
      </w:r>
      <w:r w:rsidR="005D5532" w:rsidRPr="00B24C02">
        <w:rPr>
          <w:rFonts w:cs="Arial"/>
          <w:color w:val="000000"/>
          <w:szCs w:val="19"/>
          <w:lang w:eastAsia="en-AU"/>
        </w:rPr>
        <w:t xml:space="preserve"> </w:t>
      </w:r>
      <w:r w:rsidRPr="00B24C02">
        <w:rPr>
          <w:rFonts w:cs="Arial"/>
          <w:color w:val="000000"/>
          <w:szCs w:val="19"/>
          <w:lang w:eastAsia="en-AU"/>
        </w:rPr>
        <w:t>reforms</w:t>
      </w:r>
      <w:r w:rsidR="005D5532" w:rsidRPr="00B24C02">
        <w:rPr>
          <w:rFonts w:cs="Arial"/>
          <w:color w:val="000000"/>
          <w:szCs w:val="19"/>
          <w:lang w:eastAsia="en-AU"/>
        </w:rPr>
        <w:t xml:space="preserve"> </w:t>
      </w:r>
      <w:r w:rsidRPr="00B24C02">
        <w:rPr>
          <w:rFonts w:cs="Arial"/>
          <w:color w:val="000000"/>
          <w:szCs w:val="19"/>
          <w:lang w:eastAsia="en-AU"/>
        </w:rPr>
        <w:t>including:</w:t>
      </w:r>
    </w:p>
    <w:p w14:paraId="6697BD3C" w14:textId="3E6DB5D2"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National</w:t>
      </w:r>
      <w:r w:rsidR="005D5532" w:rsidRPr="00276391">
        <w:rPr>
          <w:rFonts w:cs="Arial"/>
          <w:lang w:eastAsia="en-AU"/>
        </w:rPr>
        <w:t xml:space="preserve"> </w:t>
      </w:r>
      <w:r w:rsidRPr="00276391">
        <w:rPr>
          <w:rFonts w:cs="Arial"/>
          <w:lang w:eastAsia="en-AU"/>
        </w:rPr>
        <w:t>Partnership</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Early</w:t>
      </w:r>
      <w:r w:rsidR="005D5532" w:rsidRPr="00276391">
        <w:rPr>
          <w:rFonts w:cs="Arial"/>
          <w:lang w:eastAsia="en-AU"/>
        </w:rPr>
        <w:t xml:space="preserve"> </w:t>
      </w:r>
      <w:r w:rsidRPr="00276391">
        <w:rPr>
          <w:rFonts w:cs="Arial"/>
          <w:lang w:eastAsia="en-AU"/>
        </w:rPr>
        <w:t>Childhood</w:t>
      </w:r>
      <w:r w:rsidR="005D5532" w:rsidRPr="00276391">
        <w:rPr>
          <w:rFonts w:cs="Arial"/>
          <w:lang w:eastAsia="en-AU"/>
        </w:rPr>
        <w:t xml:space="preserve"> </w:t>
      </w:r>
      <w:r w:rsidRPr="00276391">
        <w:rPr>
          <w:rFonts w:cs="Arial"/>
          <w:lang w:eastAsia="en-AU"/>
        </w:rPr>
        <w:t>Education's</w:t>
      </w:r>
      <w:r w:rsidR="005D5532" w:rsidRPr="00276391">
        <w:rPr>
          <w:rFonts w:cs="Arial"/>
          <w:lang w:eastAsia="en-AU"/>
        </w:rPr>
        <w:t xml:space="preserve"> </w:t>
      </w:r>
      <w:r w:rsidRPr="00276391">
        <w:rPr>
          <w:rFonts w:cs="Arial"/>
          <w:lang w:eastAsia="en-AU"/>
        </w:rPr>
        <w:t>commitment</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increase</w:t>
      </w:r>
      <w:r w:rsidR="005D5532" w:rsidRPr="00276391">
        <w:rPr>
          <w:rFonts w:cs="Arial"/>
          <w:lang w:eastAsia="en-AU"/>
        </w:rPr>
        <w:t xml:space="preserve"> </w:t>
      </w:r>
      <w:proofErr w:type="gramStart"/>
      <w:r w:rsidRPr="00276391">
        <w:rPr>
          <w:rFonts w:cs="Arial"/>
          <w:lang w:eastAsia="en-AU"/>
        </w:rPr>
        <w:t>four</w:t>
      </w:r>
      <w:r w:rsidR="005D5532" w:rsidRPr="00276391">
        <w:rPr>
          <w:rFonts w:cs="Arial"/>
          <w:lang w:eastAsia="en-AU"/>
        </w:rPr>
        <w:t xml:space="preserve"> </w:t>
      </w:r>
      <w:r w:rsidRPr="00276391">
        <w:rPr>
          <w:rFonts w:cs="Arial"/>
          <w:lang w:eastAsia="en-AU"/>
        </w:rPr>
        <w:t>year</w:t>
      </w:r>
      <w:r w:rsidR="005D5532" w:rsidRPr="00276391">
        <w:rPr>
          <w:rFonts w:cs="Arial"/>
          <w:lang w:eastAsia="en-AU"/>
        </w:rPr>
        <w:t xml:space="preserve"> </w:t>
      </w:r>
      <w:r w:rsidRPr="00276391">
        <w:rPr>
          <w:rFonts w:cs="Arial"/>
          <w:lang w:eastAsia="en-AU"/>
        </w:rPr>
        <w:t>old</w:t>
      </w:r>
      <w:proofErr w:type="gramEnd"/>
      <w:r w:rsidR="005D5532" w:rsidRPr="00276391">
        <w:rPr>
          <w:rFonts w:cs="Arial"/>
          <w:lang w:eastAsia="en-AU"/>
        </w:rPr>
        <w:t xml:space="preserve"> </w:t>
      </w:r>
      <w:r w:rsidRPr="00276391">
        <w:rPr>
          <w:rFonts w:cs="Arial"/>
          <w:lang w:eastAsia="en-AU"/>
        </w:rPr>
        <w:t>kindergarten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15</w:t>
      </w:r>
      <w:r w:rsidR="005D5532" w:rsidRPr="00276391">
        <w:rPr>
          <w:rFonts w:cs="Arial"/>
          <w:lang w:eastAsia="en-AU"/>
        </w:rPr>
        <w:t xml:space="preserve"> </w:t>
      </w:r>
      <w:r w:rsidRPr="00276391">
        <w:rPr>
          <w:rFonts w:cs="Arial"/>
          <w:lang w:eastAsia="en-AU"/>
        </w:rPr>
        <w:t>hours</w:t>
      </w:r>
      <w:r w:rsidR="005D5532" w:rsidRPr="00276391">
        <w:rPr>
          <w:rFonts w:cs="Arial"/>
          <w:lang w:eastAsia="en-AU"/>
        </w:rPr>
        <w:t xml:space="preserve"> </w:t>
      </w:r>
      <w:r w:rsidRPr="00276391">
        <w:rPr>
          <w:rFonts w:cs="Arial"/>
          <w:lang w:eastAsia="en-AU"/>
        </w:rPr>
        <w:t>by</w:t>
      </w:r>
      <w:r w:rsidR="005D5532" w:rsidRPr="00276391">
        <w:rPr>
          <w:rFonts w:cs="Arial"/>
          <w:lang w:eastAsia="en-AU"/>
        </w:rPr>
        <w:t xml:space="preserve"> </w:t>
      </w:r>
      <w:r w:rsidRPr="00276391">
        <w:rPr>
          <w:rFonts w:cs="Arial"/>
          <w:lang w:eastAsia="en-AU"/>
        </w:rPr>
        <w:t>2013</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improve</w:t>
      </w:r>
      <w:r w:rsidR="005D5532" w:rsidRPr="00276391">
        <w:rPr>
          <w:rFonts w:cs="Arial"/>
          <w:lang w:eastAsia="en-AU"/>
        </w:rPr>
        <w:t xml:space="preserve"> </w:t>
      </w:r>
      <w:r w:rsidRPr="00276391">
        <w:rPr>
          <w:rFonts w:cs="Arial"/>
          <w:lang w:eastAsia="en-AU"/>
        </w:rPr>
        <w:t>access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early</w:t>
      </w:r>
      <w:r w:rsidR="005D5532" w:rsidRPr="00276391">
        <w:rPr>
          <w:rFonts w:cs="Arial"/>
          <w:lang w:eastAsia="en-AU"/>
        </w:rPr>
        <w:t xml:space="preserve"> </w:t>
      </w:r>
      <w:r w:rsidRPr="00276391">
        <w:rPr>
          <w:rFonts w:cs="Arial"/>
          <w:lang w:eastAsia="en-AU"/>
        </w:rPr>
        <w:t>childhood</w:t>
      </w:r>
      <w:r w:rsidR="005D5532" w:rsidRPr="00276391">
        <w:rPr>
          <w:rFonts w:cs="Arial"/>
          <w:lang w:eastAsia="en-AU"/>
        </w:rPr>
        <w:t xml:space="preserve"> </w:t>
      </w:r>
      <w:r w:rsidRPr="00276391">
        <w:rPr>
          <w:rFonts w:cs="Arial"/>
          <w:lang w:eastAsia="en-AU"/>
        </w:rPr>
        <w:t>education</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vulnerable</w:t>
      </w:r>
      <w:r w:rsidR="005D5532" w:rsidRPr="00276391">
        <w:rPr>
          <w:rFonts w:cs="Arial"/>
          <w:lang w:eastAsia="en-AU"/>
        </w:rPr>
        <w:t xml:space="preserve"> </w:t>
      </w:r>
      <w:r w:rsidR="00225863">
        <w:rPr>
          <w:rFonts w:cs="Arial"/>
          <w:lang w:eastAsia="en-AU"/>
        </w:rPr>
        <w:t>children</w:t>
      </w:r>
      <w:r w:rsidR="005D5532" w:rsidRPr="00276391">
        <w:rPr>
          <w:rFonts w:cs="Arial"/>
          <w:lang w:eastAsia="en-AU"/>
        </w:rPr>
        <w:t xml:space="preserve"> </w:t>
      </w:r>
    </w:p>
    <w:p w14:paraId="664397B6"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National</w:t>
      </w:r>
      <w:r w:rsidR="005D5532" w:rsidRPr="00276391">
        <w:rPr>
          <w:rFonts w:cs="Arial"/>
          <w:lang w:eastAsia="en-AU"/>
        </w:rPr>
        <w:t xml:space="preserve"> </w:t>
      </w:r>
      <w:r w:rsidRPr="00276391">
        <w:rPr>
          <w:rFonts w:cs="Arial"/>
          <w:lang w:eastAsia="en-AU"/>
        </w:rPr>
        <w:t>Partnership</w:t>
      </w:r>
      <w:r w:rsidR="005D5532" w:rsidRPr="00276391">
        <w:rPr>
          <w:rFonts w:cs="Arial"/>
          <w:lang w:eastAsia="en-AU"/>
        </w:rPr>
        <w:t xml:space="preserve"> </w:t>
      </w:r>
      <w:r w:rsidRPr="00276391">
        <w:rPr>
          <w:rFonts w:cs="Arial"/>
          <w:lang w:eastAsia="en-AU"/>
        </w:rPr>
        <w:t>Agreement</w:t>
      </w:r>
      <w:r w:rsidR="005D5532" w:rsidRPr="00276391">
        <w:rPr>
          <w:rFonts w:cs="Arial"/>
          <w:lang w:eastAsia="en-AU"/>
        </w:rPr>
        <w:t xml:space="preserve"> </w:t>
      </w:r>
      <w:r w:rsidRPr="00276391">
        <w:rPr>
          <w:rFonts w:cs="Arial"/>
          <w:lang w:eastAsia="en-AU"/>
        </w:rPr>
        <w:t>on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National</w:t>
      </w:r>
      <w:r w:rsidR="005D5532" w:rsidRPr="00276391">
        <w:rPr>
          <w:rFonts w:cs="Arial"/>
          <w:lang w:eastAsia="en-AU"/>
        </w:rPr>
        <w:t xml:space="preserve"> </w:t>
      </w:r>
      <w:r w:rsidRPr="00276391">
        <w:rPr>
          <w:rFonts w:cs="Arial"/>
          <w:lang w:eastAsia="en-AU"/>
        </w:rPr>
        <w:t>Quality</w:t>
      </w:r>
      <w:r w:rsidR="005D5532" w:rsidRPr="00276391">
        <w:rPr>
          <w:rFonts w:cs="Arial"/>
          <w:lang w:eastAsia="en-AU"/>
        </w:rPr>
        <w:t xml:space="preserve"> </w:t>
      </w:r>
      <w:r w:rsidRPr="00276391">
        <w:rPr>
          <w:rFonts w:cs="Arial"/>
          <w:lang w:eastAsia="en-AU"/>
        </w:rPr>
        <w:t>Agenda</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Early</w:t>
      </w:r>
      <w:r w:rsidR="005D5532" w:rsidRPr="00276391">
        <w:rPr>
          <w:rFonts w:cs="Arial"/>
          <w:lang w:eastAsia="en-AU"/>
        </w:rPr>
        <w:t xml:space="preserve"> </w:t>
      </w:r>
      <w:r w:rsidRPr="00276391">
        <w:rPr>
          <w:rFonts w:cs="Arial"/>
          <w:lang w:eastAsia="en-AU"/>
        </w:rPr>
        <w:t>Childhood</w:t>
      </w:r>
      <w:r w:rsidR="005D5532" w:rsidRPr="00276391">
        <w:rPr>
          <w:rFonts w:cs="Arial"/>
          <w:lang w:eastAsia="en-AU"/>
        </w:rPr>
        <w:t xml:space="preserve"> </w:t>
      </w:r>
      <w:r w:rsidRPr="00276391">
        <w:rPr>
          <w:rFonts w:cs="Arial"/>
          <w:lang w:eastAsia="en-AU"/>
        </w:rPr>
        <w:t>Education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Care.</w:t>
      </w:r>
      <w:r w:rsidR="005D5532" w:rsidRPr="00276391">
        <w:rPr>
          <w:rFonts w:cs="Arial"/>
          <w:lang w:eastAsia="en-AU"/>
        </w:rPr>
        <w:t xml:space="preserve"> </w:t>
      </w:r>
    </w:p>
    <w:p w14:paraId="4A20170E" w14:textId="25C69C7B" w:rsidR="00236748" w:rsidRPr="00276391" w:rsidRDefault="00236748" w:rsidP="00276391">
      <w:pPr>
        <w:pStyle w:val="DHHSbody"/>
        <w:rPr>
          <w:lang w:eastAsia="en-AU"/>
        </w:rPr>
      </w:pPr>
      <w:r w:rsidRPr="00B24C02">
        <w:rPr>
          <w:rFonts w:cs="Arial"/>
          <w:color w:val="000000"/>
          <w:szCs w:val="19"/>
          <w:lang w:eastAsia="en-AU"/>
        </w:rPr>
        <w:t>More</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reforms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found</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147" w:history="1">
        <w:r w:rsidRPr="00A720E8">
          <w:rPr>
            <w:rStyle w:val="Hyperlink"/>
          </w:rPr>
          <w:t>Department</w:t>
        </w:r>
        <w:r w:rsidR="005D5532" w:rsidRPr="00A720E8">
          <w:rPr>
            <w:rStyle w:val="Hyperlink"/>
          </w:rPr>
          <w:t xml:space="preserve"> </w:t>
        </w:r>
        <w:r w:rsidRPr="00A720E8">
          <w:rPr>
            <w:rStyle w:val="Hyperlink"/>
          </w:rPr>
          <w:t>of</w:t>
        </w:r>
        <w:r w:rsidR="005D5532" w:rsidRPr="00A720E8">
          <w:rPr>
            <w:rStyle w:val="Hyperlink"/>
          </w:rPr>
          <w:t xml:space="preserve"> </w:t>
        </w:r>
        <w:r w:rsidRPr="00A720E8">
          <w:rPr>
            <w:rStyle w:val="Hyperlink"/>
          </w:rPr>
          <w:t>Education</w:t>
        </w:r>
        <w:r w:rsidR="005D5532" w:rsidRPr="00A720E8">
          <w:rPr>
            <w:rStyle w:val="Hyperlink"/>
          </w:rPr>
          <w:t xml:space="preserve"> </w:t>
        </w:r>
        <w:r w:rsidRPr="00A720E8">
          <w:rPr>
            <w:rStyle w:val="Hyperlink"/>
          </w:rPr>
          <w:t>and</w:t>
        </w:r>
        <w:r w:rsidR="005D5532" w:rsidRPr="00A720E8">
          <w:rPr>
            <w:rStyle w:val="Hyperlink"/>
          </w:rPr>
          <w:t xml:space="preserve"> </w:t>
        </w:r>
        <w:r w:rsidR="00D1481E" w:rsidRPr="00A720E8">
          <w:rPr>
            <w:rStyle w:val="Hyperlink"/>
          </w:rPr>
          <w:t>Training</w:t>
        </w:r>
        <w:r w:rsidR="005D5532" w:rsidRPr="00A720E8">
          <w:rPr>
            <w:rStyle w:val="Hyperlink"/>
          </w:rPr>
          <w:t xml:space="preserve"> </w:t>
        </w:r>
        <w:r w:rsidRPr="00A720E8">
          <w:rPr>
            <w:rStyle w:val="Hyperlink"/>
          </w:rPr>
          <w:t>website</w:t>
        </w:r>
      </w:hyperlink>
      <w:r w:rsidR="005D5532" w:rsidRPr="00B24C02">
        <w:rPr>
          <w:rFonts w:cs="Arial"/>
          <w:color w:val="000000"/>
          <w:szCs w:val="19"/>
          <w:lang w:eastAsia="en-AU"/>
        </w:rPr>
        <w:t xml:space="preserve"> </w:t>
      </w:r>
      <w:r w:rsidR="00340F61">
        <w:rPr>
          <w:rFonts w:cs="Arial"/>
          <w:color w:val="000000"/>
          <w:szCs w:val="19"/>
          <w:lang w:eastAsia="en-AU"/>
        </w:rPr>
        <w:t>&lt;</w:t>
      </w:r>
      <w:r w:rsidR="00340F61" w:rsidRPr="00340F61">
        <w:rPr>
          <w:rFonts w:cs="Arial"/>
          <w:color w:val="000000"/>
          <w:szCs w:val="19"/>
          <w:lang w:eastAsia="en-AU"/>
        </w:rPr>
        <w:t>http://www.education.vic.gov.au/childhood/Pages/default.aspx</w:t>
      </w:r>
      <w:r w:rsidR="00340F61">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F4014F">
        <w:rPr>
          <w:rFonts w:cs="Arial"/>
          <w:color w:val="000000"/>
          <w:szCs w:val="19"/>
          <w:lang w:eastAsia="en-AU"/>
        </w:rPr>
        <w:t>.</w:t>
      </w:r>
    </w:p>
    <w:p w14:paraId="4C214A2E" w14:textId="69F6A9C7" w:rsidR="00236748" w:rsidRPr="00276391" w:rsidRDefault="00236748" w:rsidP="00276391">
      <w:pPr>
        <w:pStyle w:val="DHHSbody"/>
        <w:rPr>
          <w:lang w:eastAsia="en-AU"/>
        </w:rPr>
      </w:pPr>
      <w:r w:rsidRPr="00276391">
        <w:rPr>
          <w:lang w:eastAsia="en-AU"/>
        </w:rPr>
        <w:t>For</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Children's</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Capital</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see</w:t>
      </w:r>
      <w:r w:rsidR="005D5532" w:rsidRPr="00276391">
        <w:rPr>
          <w:lang w:eastAsia="en-AU"/>
        </w:rPr>
        <w:t xml:space="preserve"> </w:t>
      </w:r>
      <w:r w:rsidRPr="00276391">
        <w:rPr>
          <w:lang w:eastAsia="en-AU"/>
        </w:rPr>
        <w:t>the</w:t>
      </w:r>
      <w:r w:rsidR="005D5532" w:rsidRPr="00276391">
        <w:rPr>
          <w:lang w:eastAsia="en-AU"/>
        </w:rPr>
        <w:t xml:space="preserve"> </w:t>
      </w:r>
      <w:hyperlink r:id="rId148" w:history="1">
        <w:r w:rsidRPr="00A720E8">
          <w:rPr>
            <w:rStyle w:val="Hyperlink"/>
          </w:rPr>
          <w:t>Department</w:t>
        </w:r>
        <w:r w:rsidR="005D5532" w:rsidRPr="00A720E8">
          <w:rPr>
            <w:rStyle w:val="Hyperlink"/>
          </w:rPr>
          <w:t xml:space="preserve"> </w:t>
        </w:r>
        <w:r w:rsidRPr="00A720E8">
          <w:rPr>
            <w:rStyle w:val="Hyperlink"/>
          </w:rPr>
          <w:t>of</w:t>
        </w:r>
        <w:r w:rsidR="005D5532" w:rsidRPr="00A720E8">
          <w:rPr>
            <w:rStyle w:val="Hyperlink"/>
          </w:rPr>
          <w:t xml:space="preserve"> </w:t>
        </w:r>
        <w:r w:rsidRPr="00A720E8">
          <w:rPr>
            <w:rStyle w:val="Hyperlink"/>
          </w:rPr>
          <w:t>Education</w:t>
        </w:r>
        <w:r w:rsidR="005D5532" w:rsidRPr="00A720E8">
          <w:rPr>
            <w:rStyle w:val="Hyperlink"/>
          </w:rPr>
          <w:t xml:space="preserve"> </w:t>
        </w:r>
        <w:r w:rsidRPr="00A720E8">
          <w:rPr>
            <w:rStyle w:val="Hyperlink"/>
          </w:rPr>
          <w:t>and</w:t>
        </w:r>
        <w:r w:rsidR="005D5532" w:rsidRPr="00A720E8">
          <w:rPr>
            <w:rStyle w:val="Hyperlink"/>
          </w:rPr>
          <w:t xml:space="preserve"> </w:t>
        </w:r>
        <w:r w:rsidR="002264EA" w:rsidRPr="00A720E8">
          <w:rPr>
            <w:rStyle w:val="Hyperlink"/>
          </w:rPr>
          <w:t xml:space="preserve">Training </w:t>
        </w:r>
        <w:r w:rsidRPr="00A720E8">
          <w:rPr>
            <w:rStyle w:val="Hyperlink"/>
          </w:rPr>
          <w:t>Children's</w:t>
        </w:r>
        <w:r w:rsidR="005D5532" w:rsidRPr="00A720E8">
          <w:rPr>
            <w:rStyle w:val="Hyperlink"/>
          </w:rPr>
          <w:t xml:space="preserve"> </w:t>
        </w:r>
        <w:r w:rsidRPr="00A720E8">
          <w:rPr>
            <w:rStyle w:val="Hyperlink"/>
          </w:rPr>
          <w:t>Facilities</w:t>
        </w:r>
        <w:r w:rsidR="005D5532" w:rsidRPr="00A720E8">
          <w:rPr>
            <w:rStyle w:val="Hyperlink"/>
          </w:rPr>
          <w:t xml:space="preserve"> </w:t>
        </w:r>
        <w:r w:rsidRPr="00A720E8">
          <w:rPr>
            <w:rStyle w:val="Hyperlink"/>
          </w:rPr>
          <w:t>Capital</w:t>
        </w:r>
        <w:r w:rsidR="005D5532" w:rsidRPr="00A720E8">
          <w:rPr>
            <w:rStyle w:val="Hyperlink"/>
          </w:rPr>
          <w:t xml:space="preserve"> </w:t>
        </w:r>
        <w:r w:rsidRPr="00A720E8">
          <w:rPr>
            <w:rStyle w:val="Hyperlink"/>
          </w:rPr>
          <w:t>Program</w:t>
        </w:r>
        <w:r w:rsidR="005D5532" w:rsidRPr="00A720E8">
          <w:rPr>
            <w:rStyle w:val="Hyperlink"/>
          </w:rPr>
          <w:t xml:space="preserve"> </w:t>
        </w:r>
        <w:r w:rsidRPr="00A720E8">
          <w:rPr>
            <w:rStyle w:val="Hyperlink"/>
          </w:rPr>
          <w:t>website</w:t>
        </w:r>
      </w:hyperlink>
      <w:r w:rsidR="005D5532" w:rsidRPr="00A720E8">
        <w:t xml:space="preserve"> </w:t>
      </w:r>
      <w:r w:rsidR="00634030">
        <w:rPr>
          <w:lang w:eastAsia="en-AU"/>
        </w:rPr>
        <w:t>&lt;</w:t>
      </w:r>
      <w:r w:rsidR="00634030" w:rsidRPr="00634030">
        <w:rPr>
          <w:lang w:eastAsia="en-AU"/>
        </w:rPr>
        <w:t>http://www.education.vic.gov.au/ecsmanagement/capitalprogram/</w:t>
      </w:r>
      <w:r w:rsidR="00634030">
        <w:rPr>
          <w:lang w:eastAsia="en-AU"/>
        </w:rPr>
        <w:t>&gt;</w:t>
      </w:r>
      <w:r w:rsidR="00634030" w:rsidRPr="00634030">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F4014F">
        <w:rPr>
          <w:lang w:eastAsia="en-AU"/>
        </w:rPr>
        <w:t>.</w:t>
      </w:r>
    </w:p>
    <w:p w14:paraId="3427953D" w14:textId="63DE1082" w:rsidR="00236748" w:rsidRPr="00276391" w:rsidRDefault="00236748" w:rsidP="00276391">
      <w:pPr>
        <w:pStyle w:val="Heading3"/>
        <w:rPr>
          <w:lang w:eastAsia="en-AU"/>
        </w:rPr>
      </w:pPr>
      <w:bookmarkStart w:id="590" w:name="_Toc478991902"/>
      <w:bookmarkStart w:id="591" w:name="_Toc478992448"/>
      <w:bookmarkStart w:id="592" w:name="_Toc4142116"/>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w:t>
      </w:r>
      <w:r w:rsidR="005D5532" w:rsidRPr="00276391">
        <w:rPr>
          <w:lang w:eastAsia="en-AU"/>
        </w:rPr>
        <w:t xml:space="preserve"> </w:t>
      </w:r>
      <w:r w:rsidR="009B3052">
        <w:rPr>
          <w:lang w:eastAsia="en-AU"/>
        </w:rPr>
        <w:t>Service agreement</w:t>
      </w:r>
      <w:r w:rsidRPr="00276391">
        <w:rPr>
          <w:lang w:eastAsia="en-AU"/>
        </w:rPr>
        <w:t>s</w:t>
      </w:r>
      <w:bookmarkEnd w:id="590"/>
      <w:bookmarkEnd w:id="591"/>
      <w:bookmarkEnd w:id="592"/>
    </w:p>
    <w:p w14:paraId="6D95066C" w14:textId="77777777" w:rsidR="00236748" w:rsidRPr="00276391" w:rsidRDefault="00236748" w:rsidP="00276391">
      <w:pPr>
        <w:pStyle w:val="DHHSbody"/>
        <w:rPr>
          <w:lang w:eastAsia="en-AU"/>
        </w:rPr>
      </w:pP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childhood</w:t>
      </w:r>
      <w:r w:rsidR="005D5532" w:rsidRPr="00B24C02">
        <w:rPr>
          <w:rFonts w:cs="Arial"/>
          <w:color w:val="000000"/>
          <w:szCs w:val="19"/>
          <w:lang w:eastAsia="en-AU"/>
        </w:rPr>
        <w:t xml:space="preserve"> </w:t>
      </w:r>
      <w:r w:rsidRPr="00B24C02">
        <w:rPr>
          <w:rFonts w:cs="Arial"/>
          <w:color w:val="000000"/>
          <w:szCs w:val="19"/>
          <w:lang w:eastAsia="en-AU"/>
        </w:rPr>
        <w:t>facilities</w:t>
      </w:r>
      <w:r w:rsidR="005D5532" w:rsidRPr="00B24C02">
        <w:rPr>
          <w:rFonts w:cs="Arial"/>
          <w:color w:val="000000"/>
          <w:szCs w:val="19"/>
          <w:lang w:eastAsia="en-AU"/>
        </w:rPr>
        <w:t xml:space="preserve"> </w:t>
      </w:r>
      <w:r w:rsidRPr="00B24C02">
        <w:rPr>
          <w:rFonts w:cs="Arial"/>
          <w:color w:val="000000"/>
          <w:szCs w:val="19"/>
          <w:lang w:eastAsia="en-AU"/>
        </w:rPr>
        <w:t>grants</w:t>
      </w:r>
      <w:r w:rsidR="005D5532" w:rsidRPr="00B24C02">
        <w:rPr>
          <w:rFonts w:cs="Arial"/>
          <w:color w:val="000000"/>
          <w:szCs w:val="19"/>
          <w:lang w:eastAsia="en-AU"/>
        </w:rPr>
        <w:t xml:space="preserve"> </w:t>
      </w:r>
      <w:r w:rsidRPr="00B24C02">
        <w:rPr>
          <w:rFonts w:cs="Arial"/>
          <w:color w:val="000000"/>
          <w:szCs w:val="19"/>
          <w:lang w:eastAsia="en-AU"/>
        </w:rPr>
        <w:t>valued</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$300,000</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providers</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enter</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separate</w:t>
      </w:r>
      <w:r w:rsidR="005D5532" w:rsidRPr="00B24C02">
        <w:rPr>
          <w:rFonts w:cs="Arial"/>
          <w:color w:val="000000"/>
          <w:szCs w:val="19"/>
          <w:lang w:eastAsia="en-AU"/>
        </w:rPr>
        <w:t xml:space="preserve"> </w:t>
      </w:r>
      <w:r w:rsidRPr="00B24C02">
        <w:rPr>
          <w:rFonts w:cs="Arial"/>
          <w:color w:val="000000"/>
          <w:szCs w:val="19"/>
          <w:lang w:eastAsia="en-AU"/>
        </w:rPr>
        <w:t>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002264EA">
        <w:rPr>
          <w:rFonts w:cs="Arial"/>
          <w:color w:val="000000"/>
          <w:szCs w:val="19"/>
          <w:lang w:eastAsia="en-AU"/>
        </w:rPr>
        <w:t>DET</w:t>
      </w:r>
      <w:r w:rsidRPr="00B24C02">
        <w:rPr>
          <w:rFonts w:cs="Arial"/>
          <w:color w:val="000000"/>
          <w:szCs w:val="19"/>
          <w:lang w:eastAsia="en-AU"/>
        </w:rPr>
        <w:t>.</w:t>
      </w:r>
    </w:p>
    <w:p w14:paraId="09243F18" w14:textId="10AA6B6A"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2264EA">
        <w:rPr>
          <w:lang w:eastAsia="en-AU"/>
        </w:rPr>
        <w:t>DET</w:t>
      </w:r>
      <w:r w:rsidR="005D5532" w:rsidRPr="00276391">
        <w:rPr>
          <w:lang w:eastAsia="en-AU"/>
        </w:rPr>
        <w:t xml:space="preserve"> </w:t>
      </w:r>
      <w:r w:rsidRPr="00276391">
        <w:rPr>
          <w:lang w:eastAsia="en-AU"/>
        </w:rPr>
        <w:t>2012-2015</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templates</w:t>
      </w:r>
      <w:r w:rsidR="005D5532" w:rsidRPr="00276391">
        <w:rPr>
          <w:lang w:eastAsia="en-AU"/>
        </w:rPr>
        <w:t xml:space="preserve"> </w:t>
      </w:r>
      <w:r w:rsidRPr="00276391">
        <w:rPr>
          <w:lang w:eastAsia="en-AU"/>
        </w:rPr>
        <w:t>incorporate</w:t>
      </w:r>
      <w:r w:rsidR="005D5532" w:rsidRPr="00276391">
        <w:rPr>
          <w:lang w:eastAsia="en-AU"/>
        </w:rPr>
        <w:t xml:space="preserve"> </w:t>
      </w:r>
      <w:r w:rsidRPr="00276391">
        <w:rPr>
          <w:lang w:eastAsia="en-AU"/>
        </w:rPr>
        <w:t>terms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both</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provider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DEECD</w:t>
      </w:r>
      <w:r w:rsidR="005D5532" w:rsidRPr="00276391">
        <w:rPr>
          <w:lang w:eastAsia="en-AU"/>
        </w:rPr>
        <w:t xml:space="preserve"> </w:t>
      </w:r>
      <w:r w:rsidRPr="00276391">
        <w:rPr>
          <w:lang w:eastAsia="en-AU"/>
        </w:rPr>
        <w:t>responsibilities</w:t>
      </w:r>
      <w:r w:rsidR="005D5532" w:rsidRPr="00276391">
        <w:rPr>
          <w:lang w:eastAsia="en-AU"/>
        </w:rPr>
        <w:t xml:space="preserve"> </w:t>
      </w:r>
      <w:r w:rsidRPr="00276391">
        <w:rPr>
          <w:lang w:eastAsia="en-AU"/>
        </w:rPr>
        <w:t>regarding</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(Clause</w:t>
      </w:r>
      <w:r w:rsidR="005D5532" w:rsidRPr="00276391">
        <w:rPr>
          <w:lang w:eastAsia="en-AU"/>
        </w:rPr>
        <w:t xml:space="preserve"> </w:t>
      </w:r>
      <w:r w:rsidRPr="00276391">
        <w:rPr>
          <w:lang w:eastAsia="en-AU"/>
        </w:rPr>
        <w:t>27)</w:t>
      </w:r>
      <w:r w:rsidR="005D5532" w:rsidRPr="00276391">
        <w:rPr>
          <w:lang w:eastAsia="en-AU"/>
        </w:rPr>
        <w:t xml:space="preserve"> </w:t>
      </w:r>
      <w:r w:rsidRPr="00276391">
        <w:rPr>
          <w:lang w:eastAsia="en-AU"/>
        </w:rPr>
        <w:lastRenderedPageBreak/>
        <w:t>along</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published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Please</w:t>
      </w:r>
      <w:r w:rsidR="005D5532" w:rsidRPr="00276391">
        <w:rPr>
          <w:lang w:eastAsia="en-AU"/>
        </w:rPr>
        <w:t xml:space="preserve"> </w:t>
      </w:r>
      <w:r w:rsidRPr="00276391">
        <w:rPr>
          <w:lang w:eastAsia="en-AU"/>
        </w:rPr>
        <w:t>note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Certificate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Expenditure</w:t>
      </w:r>
      <w:r w:rsidR="005D5532" w:rsidRPr="00276391">
        <w:rPr>
          <w:lang w:eastAsia="en-AU"/>
        </w:rPr>
        <w:t xml:space="preserve"> </w:t>
      </w:r>
      <w:r w:rsidRPr="00276391">
        <w:rPr>
          <w:lang w:eastAsia="en-AU"/>
        </w:rPr>
        <w:t>forms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found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149" w:tgtFrame="_blank" w:tooltip="Link to the Children's Facilities Program Site" w:history="1">
        <w:r w:rsidRPr="00986D1E">
          <w:rPr>
            <w:rStyle w:val="Hyperlink"/>
          </w:rPr>
          <w:t>Children's</w:t>
        </w:r>
        <w:r w:rsidR="005D5532" w:rsidRPr="00986D1E">
          <w:rPr>
            <w:rStyle w:val="Hyperlink"/>
          </w:rPr>
          <w:t xml:space="preserve"> </w:t>
        </w:r>
        <w:r w:rsidRPr="00986D1E">
          <w:rPr>
            <w:rStyle w:val="Hyperlink"/>
          </w:rPr>
          <w:t>Facilities</w:t>
        </w:r>
        <w:r w:rsidR="005D5532" w:rsidRPr="00986D1E">
          <w:rPr>
            <w:rStyle w:val="Hyperlink"/>
          </w:rPr>
          <w:t xml:space="preserve"> </w:t>
        </w:r>
        <w:r w:rsidRPr="00986D1E">
          <w:rPr>
            <w:rStyle w:val="Hyperlink"/>
          </w:rPr>
          <w:t>Capital</w:t>
        </w:r>
        <w:r w:rsidR="005D5532" w:rsidRPr="00986D1E">
          <w:rPr>
            <w:rStyle w:val="Hyperlink"/>
          </w:rPr>
          <w:t xml:space="preserve"> </w:t>
        </w:r>
        <w:r w:rsidRPr="00986D1E">
          <w:rPr>
            <w:rStyle w:val="Hyperlink"/>
          </w:rPr>
          <w:t>Program</w:t>
        </w:r>
        <w:r w:rsidR="005D5532" w:rsidRPr="00986D1E">
          <w:rPr>
            <w:rStyle w:val="Hyperlink"/>
          </w:rPr>
          <w:t xml:space="preserve"> </w:t>
        </w:r>
        <w:r w:rsidRPr="00986D1E">
          <w:rPr>
            <w:rStyle w:val="Hyperlink"/>
          </w:rPr>
          <w:t>site</w:t>
        </w:r>
      </w:hyperlink>
      <w:r w:rsidR="002264EA" w:rsidRPr="00986D1E">
        <w:rPr>
          <w:rStyle w:val="Hyperlink"/>
        </w:rPr>
        <w:t xml:space="preserve"> </w:t>
      </w:r>
      <w:hyperlink r:id="rId150" w:history="1">
        <w:r w:rsidR="00C9629F" w:rsidRPr="00F07421">
          <w:rPr>
            <w:rStyle w:val="Hyperlink"/>
            <w:lang w:eastAsia="en-AU"/>
          </w:rPr>
          <w:t>http://www.education.vic.gov.au/ecsmanagement/capitalprogram/</w:t>
        </w:r>
      </w:hyperlink>
      <w:r w:rsidR="00C9629F">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4E9537E3" w14:textId="77777777" w:rsidR="00236748" w:rsidRPr="00276391" w:rsidRDefault="00236748" w:rsidP="00276391">
      <w:pPr>
        <w:pStyle w:val="Heading3"/>
        <w:rPr>
          <w:lang w:eastAsia="en-AU"/>
        </w:rPr>
      </w:pPr>
      <w:bookmarkStart w:id="593" w:name="_Toc478991903"/>
      <w:bookmarkStart w:id="594" w:name="_Toc478992449"/>
      <w:bookmarkStart w:id="595" w:name="_Toc4142117"/>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Grant</w:t>
      </w:r>
      <w:r w:rsidR="005D5532" w:rsidRPr="00276391">
        <w:rPr>
          <w:lang w:eastAsia="en-AU"/>
        </w:rPr>
        <w:t xml:space="preserve"> </w:t>
      </w:r>
      <w:r w:rsidRPr="00276391">
        <w:rPr>
          <w:lang w:eastAsia="en-AU"/>
        </w:rPr>
        <w:t>Official</w:t>
      </w:r>
      <w:r w:rsidR="005D5532" w:rsidRPr="00276391">
        <w:rPr>
          <w:lang w:eastAsia="en-AU"/>
        </w:rPr>
        <w:t xml:space="preserve"> </w:t>
      </w:r>
      <w:r w:rsidRPr="00276391">
        <w:rPr>
          <w:lang w:eastAsia="en-AU"/>
        </w:rPr>
        <w:t>Opening</w:t>
      </w:r>
      <w:r w:rsidR="005D5532" w:rsidRPr="00276391">
        <w:rPr>
          <w:lang w:eastAsia="en-AU"/>
        </w:rPr>
        <w:t xml:space="preserve"> </w:t>
      </w:r>
      <w:r w:rsidRPr="00276391">
        <w:rPr>
          <w:lang w:eastAsia="en-AU"/>
        </w:rPr>
        <w:t>Requirements</w:t>
      </w:r>
      <w:bookmarkEnd w:id="593"/>
      <w:bookmarkEnd w:id="594"/>
      <w:bookmarkEnd w:id="595"/>
    </w:p>
    <w:p w14:paraId="4D8DD3D5"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actively</w:t>
      </w:r>
      <w:r w:rsidR="005D5532" w:rsidRPr="00B24C02">
        <w:rPr>
          <w:rFonts w:cs="Arial"/>
          <w:color w:val="000000"/>
          <w:szCs w:val="19"/>
          <w:lang w:eastAsia="en-AU"/>
        </w:rPr>
        <w:t xml:space="preserve"> </w:t>
      </w:r>
      <w:r w:rsidRPr="00B24C02">
        <w:rPr>
          <w:rFonts w:cs="Arial"/>
          <w:color w:val="000000"/>
          <w:szCs w:val="19"/>
          <w:lang w:eastAsia="en-AU"/>
        </w:rPr>
        <w:t>seeks</w:t>
      </w:r>
      <w:r w:rsidR="005D5532" w:rsidRPr="00B24C02">
        <w:rPr>
          <w:rFonts w:cs="Arial"/>
          <w:color w:val="000000"/>
          <w:szCs w:val="19"/>
          <w:lang w:eastAsia="en-AU"/>
        </w:rPr>
        <w:t xml:space="preserve"> </w:t>
      </w:r>
      <w:r w:rsidRPr="00B24C02">
        <w:rPr>
          <w:rFonts w:cs="Arial"/>
          <w:color w:val="000000"/>
          <w:szCs w:val="19"/>
          <w:lang w:eastAsia="en-AU"/>
        </w:rPr>
        <w:t>opportunities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promote</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early</w:t>
      </w:r>
      <w:r w:rsidR="005D5532" w:rsidRPr="00B24C02">
        <w:rPr>
          <w:rFonts w:cs="Arial"/>
          <w:color w:val="000000"/>
          <w:szCs w:val="19"/>
          <w:lang w:eastAsia="en-AU"/>
        </w:rPr>
        <w:t xml:space="preserve"> </w:t>
      </w:r>
      <w:r w:rsidRPr="00B24C02">
        <w:rPr>
          <w:rFonts w:cs="Arial"/>
          <w:color w:val="000000"/>
          <w:szCs w:val="19"/>
          <w:lang w:eastAsia="en-AU"/>
        </w:rPr>
        <w:t>childhood</w:t>
      </w:r>
      <w:r w:rsidR="005D5532" w:rsidRPr="00B24C02">
        <w:rPr>
          <w:rFonts w:cs="Arial"/>
          <w:color w:val="000000"/>
          <w:szCs w:val="19"/>
          <w:lang w:eastAsia="en-AU"/>
        </w:rPr>
        <w:t xml:space="preserve"> </w:t>
      </w:r>
      <w:r w:rsidRPr="00B24C02">
        <w:rPr>
          <w:rFonts w:cs="Arial"/>
          <w:color w:val="000000"/>
          <w:szCs w:val="19"/>
          <w:lang w:eastAsia="en-AU"/>
        </w:rPr>
        <w:t>infrastructure</w:t>
      </w:r>
      <w:r w:rsidR="005D5532" w:rsidRPr="00B24C02">
        <w:rPr>
          <w:rFonts w:cs="Arial"/>
          <w:color w:val="000000"/>
          <w:szCs w:val="19"/>
          <w:lang w:eastAsia="en-AU"/>
        </w:rPr>
        <w:t xml:space="preserve"> </w:t>
      </w:r>
      <w:r w:rsidRPr="00B24C02">
        <w:rPr>
          <w:rFonts w:cs="Arial"/>
          <w:color w:val="000000"/>
          <w:szCs w:val="19"/>
          <w:lang w:eastAsia="en-AU"/>
        </w:rPr>
        <w:t>projects.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end,</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projects</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grants</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$10,000</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expected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conduct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official</w:t>
      </w:r>
      <w:r w:rsidR="005D5532" w:rsidRPr="00B24C02">
        <w:rPr>
          <w:rFonts w:cs="Arial"/>
          <w:color w:val="000000"/>
          <w:szCs w:val="19"/>
          <w:lang w:eastAsia="en-AU"/>
        </w:rPr>
        <w:t xml:space="preserve"> </w:t>
      </w:r>
      <w:r w:rsidRPr="00B24C02">
        <w:rPr>
          <w:rFonts w:cs="Arial"/>
          <w:color w:val="000000"/>
          <w:szCs w:val="19"/>
          <w:lang w:eastAsia="en-AU"/>
        </w:rPr>
        <w:t>opening</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completion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project,</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per</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guidelines.</w:t>
      </w:r>
    </w:p>
    <w:p w14:paraId="55048073" w14:textId="77777777" w:rsidR="00236748" w:rsidRPr="00276391" w:rsidRDefault="00236748" w:rsidP="00276391">
      <w:pPr>
        <w:pStyle w:val="DHHSbody"/>
        <w:rPr>
          <w:lang w:eastAsia="en-AU"/>
        </w:rPr>
      </w:pPr>
      <w:r w:rsidRPr="00276391">
        <w:rPr>
          <w:lang w:eastAsia="en-AU"/>
        </w:rPr>
        <w:t>Recipients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official</w:t>
      </w:r>
      <w:r w:rsidR="005D5532" w:rsidRPr="00276391">
        <w:rPr>
          <w:lang w:eastAsia="en-AU"/>
        </w:rPr>
        <w:t xml:space="preserve"> </w:t>
      </w:r>
      <w:r w:rsidRPr="00276391">
        <w:rPr>
          <w:lang w:eastAsia="en-AU"/>
        </w:rPr>
        <w:t>openings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completing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Official</w:t>
      </w:r>
      <w:r w:rsidR="005D5532" w:rsidRPr="00276391">
        <w:rPr>
          <w:lang w:eastAsia="en-AU"/>
        </w:rPr>
        <w:t xml:space="preserve"> </w:t>
      </w:r>
      <w:r w:rsidRPr="00276391">
        <w:rPr>
          <w:lang w:eastAsia="en-AU"/>
        </w:rPr>
        <w:t>Opening</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form</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completion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project</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hyperlink r:id="rId151" w:tgtFrame="_blank" w:tooltip="Link to the Children's Facilities Program Site" w:history="1">
        <w:r w:rsidRPr="00986D1E">
          <w:rPr>
            <w:rStyle w:val="Hyperlink"/>
          </w:rPr>
          <w:t>Children's</w:t>
        </w:r>
        <w:r w:rsidR="005D5532" w:rsidRPr="00986D1E">
          <w:rPr>
            <w:rStyle w:val="Hyperlink"/>
          </w:rPr>
          <w:t xml:space="preserve"> </w:t>
        </w:r>
        <w:r w:rsidRPr="00986D1E">
          <w:rPr>
            <w:rStyle w:val="Hyperlink"/>
          </w:rPr>
          <w:t>Facilities</w:t>
        </w:r>
        <w:r w:rsidR="005D5532" w:rsidRPr="00986D1E">
          <w:rPr>
            <w:rStyle w:val="Hyperlink"/>
          </w:rPr>
          <w:t xml:space="preserve"> </w:t>
        </w:r>
        <w:r w:rsidRPr="00986D1E">
          <w:rPr>
            <w:rStyle w:val="Hyperlink"/>
          </w:rPr>
          <w:t>Capital</w:t>
        </w:r>
        <w:r w:rsidR="005D5532" w:rsidRPr="00986D1E">
          <w:rPr>
            <w:rStyle w:val="Hyperlink"/>
          </w:rPr>
          <w:t xml:space="preserve"> </w:t>
        </w:r>
        <w:r w:rsidRPr="00986D1E">
          <w:rPr>
            <w:rStyle w:val="Hyperlink"/>
          </w:rPr>
          <w:t>Program</w:t>
        </w:r>
        <w:r w:rsidR="005D5532" w:rsidRPr="00986D1E">
          <w:rPr>
            <w:rStyle w:val="Hyperlink"/>
          </w:rPr>
          <w:t xml:space="preserve"> </w:t>
        </w:r>
        <w:r w:rsidRPr="00986D1E">
          <w:rPr>
            <w:rStyle w:val="Hyperlink"/>
          </w:rPr>
          <w:t>site</w:t>
        </w:r>
      </w:hyperlink>
      <w:r w:rsidR="005D5532" w:rsidRPr="00276391">
        <w:rPr>
          <w:lang w:eastAsia="en-AU"/>
        </w:rPr>
        <w:t xml:space="preserve"> </w:t>
      </w:r>
      <w:r w:rsidR="00CD557C">
        <w:rPr>
          <w:lang w:eastAsia="en-AU"/>
        </w:rPr>
        <w:t>&lt;</w:t>
      </w:r>
      <w:r w:rsidR="00CD557C" w:rsidRPr="00CD557C">
        <w:rPr>
          <w:lang w:eastAsia="en-AU"/>
        </w:rPr>
        <w:t>http://www.education.vic.gov.au/ecsmanagement/capitalprogram/resources.htm</w:t>
      </w:r>
      <w:r w:rsidR="00CD557C">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28C08F19" w14:textId="77777777" w:rsidR="00236748" w:rsidRPr="00276391" w:rsidRDefault="00236748" w:rsidP="00276391">
      <w:pPr>
        <w:pStyle w:val="Heading3"/>
        <w:rPr>
          <w:lang w:eastAsia="en-AU"/>
        </w:rPr>
      </w:pPr>
      <w:bookmarkStart w:id="596" w:name="_Toc478991904"/>
      <w:bookmarkStart w:id="597" w:name="_Toc478992450"/>
      <w:bookmarkStart w:id="598" w:name="_Toc4142118"/>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Facilities</w:t>
      </w:r>
      <w:r w:rsidR="005D5532" w:rsidRPr="00276391">
        <w:rPr>
          <w:lang w:eastAsia="en-AU"/>
        </w:rPr>
        <w:t xml:space="preserve"> </w:t>
      </w:r>
      <w:r w:rsidRPr="00276391">
        <w:rPr>
          <w:lang w:eastAsia="en-AU"/>
        </w:rPr>
        <w:t>Grant</w:t>
      </w:r>
      <w:r w:rsidR="005D5532" w:rsidRPr="00276391">
        <w:rPr>
          <w:lang w:eastAsia="en-AU"/>
        </w:rPr>
        <w:t xml:space="preserve"> </w:t>
      </w:r>
      <w:r w:rsidRPr="00276391">
        <w:rPr>
          <w:lang w:eastAsia="en-AU"/>
        </w:rPr>
        <w:t>Recipient</w:t>
      </w:r>
      <w:r w:rsidR="005D5532" w:rsidRPr="00276391">
        <w:rPr>
          <w:lang w:eastAsia="en-AU"/>
        </w:rPr>
        <w:t xml:space="preserve"> </w:t>
      </w:r>
      <w:r w:rsidRPr="00276391">
        <w:rPr>
          <w:lang w:eastAsia="en-AU"/>
        </w:rPr>
        <w:t>Signage</w:t>
      </w:r>
      <w:r w:rsidR="005D5532" w:rsidRPr="00276391">
        <w:rPr>
          <w:lang w:eastAsia="en-AU"/>
        </w:rPr>
        <w:t xml:space="preserve"> </w:t>
      </w:r>
      <w:r w:rsidRPr="00276391">
        <w:rPr>
          <w:lang w:eastAsia="en-AU"/>
        </w:rPr>
        <w:t>Requirements</w:t>
      </w:r>
      <w:bookmarkEnd w:id="596"/>
      <w:bookmarkEnd w:id="597"/>
      <w:bookmarkEnd w:id="598"/>
    </w:p>
    <w:p w14:paraId="7E3E8B51"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actively</w:t>
      </w:r>
      <w:r w:rsidR="005D5532" w:rsidRPr="00B24C02">
        <w:rPr>
          <w:rFonts w:cs="Arial"/>
          <w:color w:val="000000"/>
          <w:szCs w:val="19"/>
          <w:lang w:eastAsia="en-AU"/>
        </w:rPr>
        <w:t xml:space="preserve"> </w:t>
      </w:r>
      <w:r w:rsidRPr="00B24C02">
        <w:rPr>
          <w:rFonts w:cs="Arial"/>
          <w:color w:val="000000"/>
          <w:szCs w:val="19"/>
          <w:lang w:eastAsia="en-AU"/>
        </w:rPr>
        <w:t>seeks</w:t>
      </w:r>
      <w:r w:rsidR="005D5532" w:rsidRPr="00B24C02">
        <w:rPr>
          <w:rFonts w:cs="Arial"/>
          <w:color w:val="000000"/>
          <w:szCs w:val="19"/>
          <w:lang w:eastAsia="en-AU"/>
        </w:rPr>
        <w:t xml:space="preserve"> </w:t>
      </w:r>
      <w:r w:rsidRPr="00B24C02">
        <w:rPr>
          <w:rFonts w:cs="Arial"/>
          <w:color w:val="000000"/>
          <w:szCs w:val="19"/>
          <w:lang w:eastAsia="en-AU"/>
        </w:rPr>
        <w:t>opportunities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promote</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initiatives.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end,</w:t>
      </w:r>
      <w:r w:rsidR="005D5532" w:rsidRPr="00B24C02">
        <w:rPr>
          <w:rFonts w:cs="Arial"/>
          <w:color w:val="000000"/>
          <w:szCs w:val="19"/>
          <w:lang w:eastAsia="en-AU"/>
        </w:rPr>
        <w:t xml:space="preserve"> </w:t>
      </w:r>
      <w:r w:rsidRPr="00B24C02">
        <w:rPr>
          <w:rFonts w:cs="Arial"/>
          <w:color w:val="000000"/>
          <w:szCs w:val="19"/>
          <w:lang w:eastAsia="en-AU"/>
        </w:rPr>
        <w:t>opportunities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joint</w:t>
      </w:r>
      <w:r w:rsidR="005D5532" w:rsidRPr="00B24C02">
        <w:rPr>
          <w:rFonts w:cs="Arial"/>
          <w:color w:val="000000"/>
          <w:szCs w:val="19"/>
          <w:lang w:eastAsia="en-AU"/>
        </w:rPr>
        <w:t xml:space="preserve"> </w:t>
      </w:r>
      <w:r w:rsidRPr="00B24C02">
        <w:rPr>
          <w:rFonts w:cs="Arial"/>
          <w:color w:val="000000"/>
          <w:szCs w:val="19"/>
          <w:lang w:eastAsia="en-AU"/>
        </w:rPr>
        <w:t>signage</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capital</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sites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projects</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$10,000)</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sought.</w:t>
      </w:r>
    </w:p>
    <w:p w14:paraId="4073AF71" w14:textId="77777777" w:rsidR="00236748" w:rsidRPr="00276391" w:rsidRDefault="00236748" w:rsidP="00276391">
      <w:pPr>
        <w:pStyle w:val="DHHSbody"/>
        <w:rPr>
          <w:lang w:eastAsia="en-AU"/>
        </w:rPr>
      </w:pPr>
      <w:r w:rsidRPr="00276391">
        <w:rPr>
          <w:lang w:eastAsia="en-AU"/>
        </w:rPr>
        <w:t>Signage</w:t>
      </w:r>
      <w:r w:rsidR="005D5532" w:rsidRPr="00276391">
        <w:rPr>
          <w:lang w:eastAsia="en-AU"/>
        </w:rPr>
        <w:t xml:space="preserve"> </w:t>
      </w:r>
      <w:r w:rsidRPr="00276391">
        <w:rPr>
          <w:lang w:eastAsia="en-AU"/>
        </w:rPr>
        <w:t>expenses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$1000</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site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included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early</w:t>
      </w:r>
      <w:r w:rsidR="005D5532" w:rsidRPr="00276391">
        <w:rPr>
          <w:lang w:eastAsia="en-AU"/>
        </w:rPr>
        <w:t xml:space="preserve"> </w:t>
      </w:r>
      <w:r w:rsidRPr="00276391">
        <w:rPr>
          <w:lang w:eastAsia="en-AU"/>
        </w:rPr>
        <w:t>childhood</w:t>
      </w:r>
      <w:r w:rsidR="005D5532" w:rsidRPr="00276391">
        <w:rPr>
          <w:lang w:eastAsia="en-AU"/>
        </w:rPr>
        <w:t xml:space="preserve"> </w:t>
      </w:r>
      <w:r w:rsidRPr="00276391">
        <w:rPr>
          <w:lang w:eastAsia="en-AU"/>
        </w:rPr>
        <w:t>facility</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allocated</w:t>
      </w:r>
      <w:r w:rsidR="005D5532" w:rsidRPr="00276391">
        <w:rPr>
          <w:lang w:eastAsia="en-AU"/>
        </w:rPr>
        <w:t xml:space="preserve"> </w:t>
      </w:r>
      <w:r w:rsidRPr="00276391">
        <w:rPr>
          <w:lang w:eastAsia="en-AU"/>
        </w:rPr>
        <w:t>by</w:t>
      </w:r>
      <w:r w:rsidR="005D5532" w:rsidRPr="00276391">
        <w:rPr>
          <w:lang w:eastAsia="en-AU"/>
        </w:rPr>
        <w:t xml:space="preserve"> </w:t>
      </w:r>
      <w:r w:rsidR="002264EA">
        <w:rPr>
          <w:lang w:eastAsia="en-AU"/>
        </w:rPr>
        <w:t>DET</w:t>
      </w:r>
      <w:r w:rsidRPr="00276391">
        <w:rPr>
          <w:lang w:eastAsia="en-AU"/>
        </w:rPr>
        <w:t>.</w:t>
      </w:r>
      <w:r w:rsidR="005D5532" w:rsidRPr="00276391">
        <w:rPr>
          <w:lang w:eastAsia="en-AU"/>
        </w:rPr>
        <w:t xml:space="preserve"> </w:t>
      </w:r>
      <w:r w:rsidRPr="00276391">
        <w:rPr>
          <w:lang w:eastAsia="en-AU"/>
        </w:rPr>
        <w:t>Recipients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grants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State</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signage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hyperlink r:id="rId152" w:tgtFrame="_blank" w:tooltip="Link to the Children's Facilities Program Site" w:history="1">
        <w:r w:rsidRPr="00986D1E">
          <w:rPr>
            <w:rStyle w:val="Hyperlink"/>
          </w:rPr>
          <w:t>Children's</w:t>
        </w:r>
        <w:r w:rsidR="005D5532" w:rsidRPr="00986D1E">
          <w:rPr>
            <w:rStyle w:val="Hyperlink"/>
          </w:rPr>
          <w:t xml:space="preserve"> </w:t>
        </w:r>
        <w:r w:rsidRPr="00986D1E">
          <w:rPr>
            <w:rStyle w:val="Hyperlink"/>
          </w:rPr>
          <w:t>Facilities</w:t>
        </w:r>
        <w:r w:rsidR="005D5532" w:rsidRPr="00986D1E">
          <w:rPr>
            <w:rStyle w:val="Hyperlink"/>
          </w:rPr>
          <w:t xml:space="preserve"> </w:t>
        </w:r>
        <w:r w:rsidRPr="00986D1E">
          <w:rPr>
            <w:rStyle w:val="Hyperlink"/>
          </w:rPr>
          <w:t>Capital</w:t>
        </w:r>
        <w:r w:rsidR="005D5532" w:rsidRPr="00986D1E">
          <w:rPr>
            <w:rStyle w:val="Hyperlink"/>
          </w:rPr>
          <w:t xml:space="preserve"> </w:t>
        </w:r>
        <w:r w:rsidRPr="00986D1E">
          <w:rPr>
            <w:rStyle w:val="Hyperlink"/>
          </w:rPr>
          <w:t>Program</w:t>
        </w:r>
        <w:r w:rsidR="005D5532" w:rsidRPr="00986D1E">
          <w:rPr>
            <w:rStyle w:val="Hyperlink"/>
          </w:rPr>
          <w:t xml:space="preserve"> </w:t>
        </w:r>
        <w:r w:rsidRPr="00986D1E">
          <w:rPr>
            <w:rStyle w:val="Hyperlink"/>
          </w:rPr>
          <w:t>site</w:t>
        </w:r>
      </w:hyperlink>
      <w:r w:rsidR="005D5532" w:rsidRPr="00276391">
        <w:rPr>
          <w:lang w:eastAsia="en-AU"/>
        </w:rPr>
        <w:t xml:space="preserve"> </w:t>
      </w:r>
      <w:r w:rsidR="000353B5">
        <w:rPr>
          <w:lang w:eastAsia="en-AU"/>
        </w:rPr>
        <w:t>&lt;</w:t>
      </w:r>
      <w:r w:rsidR="000353B5" w:rsidRPr="00CD557C">
        <w:rPr>
          <w:lang w:eastAsia="en-AU"/>
        </w:rPr>
        <w:t>http://www.education.vic.gov.au/ecsmanagement/capitalprogram/resources.htm</w:t>
      </w:r>
      <w:r w:rsidR="000353B5">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311E5632" w14:textId="766AB82E" w:rsidR="00236748" w:rsidRPr="00276391" w:rsidRDefault="00236748" w:rsidP="00067E93">
      <w:pPr>
        <w:pStyle w:val="Heading1"/>
        <w:rPr>
          <w:lang w:eastAsia="en-AU"/>
        </w:rPr>
      </w:pPr>
      <w:bookmarkStart w:id="599" w:name="_Chapter_4._Departmental"/>
      <w:bookmarkStart w:id="600" w:name="_Chapter_4._Department"/>
      <w:bookmarkStart w:id="601" w:name="_Toc478991905"/>
      <w:bookmarkStart w:id="602" w:name="_Toc478992451"/>
      <w:bookmarkStart w:id="603" w:name="_Toc478992913"/>
      <w:bookmarkStart w:id="604" w:name="_Toc4142119"/>
      <w:bookmarkEnd w:id="599"/>
      <w:bookmarkEnd w:id="600"/>
      <w:r w:rsidRPr="00276391">
        <w:rPr>
          <w:lang w:eastAsia="en-AU"/>
        </w:rPr>
        <w:t>Chapter</w:t>
      </w:r>
      <w:r w:rsidR="009B2351" w:rsidRPr="00276391">
        <w:rPr>
          <w:lang w:eastAsia="en-AU"/>
        </w:rPr>
        <w:t xml:space="preserve"> </w:t>
      </w:r>
      <w:r w:rsidRPr="00276391">
        <w:rPr>
          <w:lang w:eastAsia="en-AU"/>
        </w:rPr>
        <w:t>4.</w:t>
      </w:r>
      <w:r w:rsidR="009B2351" w:rsidRPr="00276391">
        <w:rPr>
          <w:lang w:eastAsia="en-AU"/>
        </w:rPr>
        <w:t xml:space="preserve"> </w:t>
      </w:r>
      <w:r w:rsidR="00B440A6" w:rsidRPr="00276391">
        <w:rPr>
          <w:lang w:eastAsia="en-AU"/>
        </w:rPr>
        <w:t>Department</w:t>
      </w:r>
      <w:r w:rsidR="00B440A6">
        <w:rPr>
          <w:lang w:eastAsia="en-AU"/>
        </w:rPr>
        <w:t xml:space="preserve"> of Health and Human Service</w:t>
      </w:r>
      <w:r w:rsidR="00B440A6" w:rsidRPr="00276391">
        <w:rPr>
          <w:lang w:eastAsia="en-AU"/>
        </w:rPr>
        <w:t xml:space="preserve"> </w:t>
      </w:r>
      <w:r w:rsidRPr="00276391">
        <w:rPr>
          <w:lang w:eastAsia="en-AU"/>
        </w:rPr>
        <w:t>policies,</w:t>
      </w:r>
      <w:r w:rsidR="009B2351" w:rsidRPr="00276391">
        <w:rPr>
          <w:lang w:eastAsia="en-AU"/>
        </w:rPr>
        <w:t xml:space="preserve"> </w:t>
      </w:r>
      <w:r w:rsidRPr="00276391">
        <w:rPr>
          <w:lang w:eastAsia="en-AU"/>
        </w:rPr>
        <w:t>procedures</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initiatives</w:t>
      </w:r>
      <w:bookmarkEnd w:id="601"/>
      <w:bookmarkEnd w:id="602"/>
      <w:bookmarkEnd w:id="603"/>
      <w:bookmarkEnd w:id="604"/>
    </w:p>
    <w:p w14:paraId="73DD9553" w14:textId="77777777" w:rsidR="00236748" w:rsidRPr="00276391" w:rsidRDefault="00236748" w:rsidP="009B2351">
      <w:pPr>
        <w:pStyle w:val="Heading2"/>
        <w:rPr>
          <w:rFonts w:cs="Arial"/>
          <w:lang w:eastAsia="en-AU"/>
        </w:rPr>
      </w:pPr>
      <w:bookmarkStart w:id="605" w:name="_4.1_Fire_risk"/>
      <w:bookmarkStart w:id="606" w:name="_Toc4142120"/>
      <w:bookmarkStart w:id="607" w:name="_Toc478991906"/>
      <w:bookmarkStart w:id="608" w:name="_Toc478992452"/>
      <w:bookmarkStart w:id="609" w:name="_Toc478992914"/>
      <w:bookmarkEnd w:id="605"/>
      <w:r w:rsidRPr="00276391">
        <w:rPr>
          <w:rFonts w:cs="Arial"/>
          <w:lang w:eastAsia="en-AU"/>
        </w:rPr>
        <w:t>4.1</w:t>
      </w:r>
      <w:r w:rsidR="009B2351" w:rsidRPr="00276391">
        <w:rPr>
          <w:rFonts w:cs="Arial"/>
          <w:lang w:eastAsia="en-AU"/>
        </w:rPr>
        <w:t xml:space="preserve"> </w:t>
      </w:r>
      <w:r w:rsidRPr="00276391">
        <w:rPr>
          <w:rFonts w:cs="Arial"/>
          <w:lang w:eastAsia="en-AU"/>
        </w:rPr>
        <w:t>Fire</w:t>
      </w:r>
      <w:r w:rsidR="009B2351" w:rsidRPr="00276391">
        <w:rPr>
          <w:rFonts w:cs="Arial"/>
          <w:lang w:eastAsia="en-AU"/>
        </w:rPr>
        <w:t xml:space="preserve"> </w:t>
      </w:r>
      <w:r w:rsidRPr="00276391">
        <w:rPr>
          <w:rFonts w:cs="Arial"/>
          <w:lang w:eastAsia="en-AU"/>
        </w:rPr>
        <w:t>risk</w:t>
      </w:r>
      <w:r w:rsidR="009B2351" w:rsidRPr="00276391">
        <w:rPr>
          <w:rFonts w:cs="Arial"/>
          <w:lang w:eastAsia="en-AU"/>
        </w:rPr>
        <w:t xml:space="preserve"> </w:t>
      </w:r>
      <w:r w:rsidRPr="00276391">
        <w:rPr>
          <w:rFonts w:cs="Arial"/>
          <w:lang w:eastAsia="en-AU"/>
        </w:rPr>
        <w:t>management</w:t>
      </w:r>
      <w:bookmarkEnd w:id="606"/>
      <w:r w:rsidR="009B2351" w:rsidRPr="00276391">
        <w:rPr>
          <w:rFonts w:cs="Arial"/>
          <w:lang w:eastAsia="en-AU"/>
        </w:rPr>
        <w:t xml:space="preserve"> </w:t>
      </w:r>
      <w:bookmarkEnd w:id="607"/>
      <w:bookmarkEnd w:id="608"/>
      <w:bookmarkEnd w:id="609"/>
    </w:p>
    <w:p w14:paraId="3977421E" w14:textId="77777777" w:rsidR="00BF1473" w:rsidRPr="00276391" w:rsidRDefault="00BF1473" w:rsidP="00BF1473">
      <w:pPr>
        <w:pStyle w:val="Heading4"/>
        <w:rPr>
          <w:lang w:eastAsia="en-AU"/>
        </w:rPr>
      </w:pPr>
      <w:bookmarkStart w:id="610" w:name="_Toc478991908"/>
      <w:bookmarkStart w:id="611" w:name="_Toc478992454"/>
      <w:bookmarkStart w:id="612" w:name="_Toc478991946"/>
      <w:bookmarkStart w:id="613" w:name="_Toc478992462"/>
      <w:bookmarkStart w:id="614" w:name="_Toc478992915"/>
      <w:r w:rsidRPr="00276391">
        <w:rPr>
          <w:lang w:eastAsia="en-AU"/>
        </w:rPr>
        <w:t>Who does this policy apply to?</w:t>
      </w:r>
      <w:bookmarkEnd w:id="610"/>
      <w:bookmarkEnd w:id="611"/>
    </w:p>
    <w:p w14:paraId="2F304FBE" w14:textId="77777777" w:rsidR="00BF1473" w:rsidRPr="00276391" w:rsidRDefault="00BF1473" w:rsidP="00BF1473">
      <w:pPr>
        <w:pStyle w:val="DHHSbody"/>
        <w:rPr>
          <w:lang w:eastAsia="en-AU"/>
        </w:rPr>
      </w:pPr>
      <w:r w:rsidRPr="00B24C02">
        <w:rPr>
          <w:rFonts w:cs="Arial"/>
          <w:color w:val="000000"/>
          <w:szCs w:val="19"/>
          <w:lang w:eastAsia="en-AU"/>
        </w:rPr>
        <w:t xml:space="preserve">This policy applies to all facilities in which the Department Health and Human Services owns, operates or funds which provide bed-based care, support or sleeping accommodation for clients under its care, but does not include typical domestic style dwelling and </w:t>
      </w:r>
      <w:r>
        <w:rPr>
          <w:rFonts w:cs="Arial"/>
          <w:color w:val="000000"/>
          <w:szCs w:val="19"/>
          <w:lang w:eastAsia="en-AU"/>
        </w:rPr>
        <w:t>l</w:t>
      </w:r>
      <w:r w:rsidRPr="00B24C02">
        <w:rPr>
          <w:rFonts w:cs="Arial"/>
          <w:color w:val="000000"/>
          <w:szCs w:val="19"/>
          <w:lang w:eastAsia="en-AU"/>
        </w:rPr>
        <w:t xml:space="preserve">ow, medium </w:t>
      </w:r>
      <w:r>
        <w:rPr>
          <w:rFonts w:cs="Arial"/>
          <w:color w:val="000000"/>
          <w:szCs w:val="19"/>
          <w:lang w:eastAsia="en-AU"/>
        </w:rPr>
        <w:t>or</w:t>
      </w:r>
      <w:r w:rsidRPr="00B24C02">
        <w:rPr>
          <w:rFonts w:cs="Arial"/>
          <w:color w:val="000000"/>
          <w:szCs w:val="19"/>
          <w:lang w:eastAsia="en-AU"/>
        </w:rPr>
        <w:t xml:space="preserve"> high rise multi-dwelling facilities used for public housing stock for individual rental agreements with tenants or </w:t>
      </w:r>
      <w:r>
        <w:rPr>
          <w:rFonts w:cs="Arial"/>
          <w:color w:val="000000"/>
          <w:szCs w:val="19"/>
          <w:lang w:eastAsia="en-AU"/>
        </w:rPr>
        <w:t>a</w:t>
      </w:r>
      <w:r w:rsidRPr="00B24C02">
        <w:rPr>
          <w:rFonts w:cs="Arial"/>
          <w:color w:val="000000"/>
          <w:szCs w:val="19"/>
          <w:lang w:eastAsia="en-AU"/>
        </w:rPr>
        <w:t xml:space="preserve">ccommodation facilities used as boarding facilities, guest facilities, hostels or the like, </w:t>
      </w:r>
      <w:r>
        <w:rPr>
          <w:rFonts w:cs="Arial"/>
          <w:color w:val="000000"/>
          <w:szCs w:val="19"/>
          <w:lang w:eastAsia="en-AU"/>
        </w:rPr>
        <w:t xml:space="preserve">or </w:t>
      </w:r>
      <w:r w:rsidRPr="00B24C02">
        <w:rPr>
          <w:rFonts w:cs="Arial"/>
          <w:color w:val="000000"/>
          <w:szCs w:val="19"/>
          <w:lang w:eastAsia="en-AU"/>
        </w:rPr>
        <w:t>rooming facilities as defined in the Residential Tenancies Act 1997</w:t>
      </w:r>
      <w:r>
        <w:rPr>
          <w:rFonts w:cs="Arial"/>
          <w:color w:val="000000"/>
          <w:szCs w:val="19"/>
          <w:lang w:eastAsia="en-AU"/>
        </w:rPr>
        <w:t>,</w:t>
      </w:r>
      <w:r w:rsidRPr="00B24C02">
        <w:rPr>
          <w:rFonts w:cs="Arial"/>
          <w:color w:val="000000"/>
          <w:szCs w:val="19"/>
          <w:lang w:eastAsia="en-AU"/>
        </w:rPr>
        <w:t xml:space="preserve"> and crisis accommodation.</w:t>
      </w:r>
    </w:p>
    <w:p w14:paraId="6B6FF381" w14:textId="77777777" w:rsidR="00BF1473" w:rsidRPr="00276391" w:rsidRDefault="00BF1473" w:rsidP="00BF1473">
      <w:pPr>
        <w:pStyle w:val="Heading4"/>
        <w:rPr>
          <w:lang w:eastAsia="en-AU"/>
        </w:rPr>
      </w:pPr>
      <w:bookmarkStart w:id="615" w:name="_Toc478991909"/>
      <w:bookmarkStart w:id="616" w:name="_Toc478992455"/>
      <w:r w:rsidRPr="00276391">
        <w:rPr>
          <w:lang w:eastAsia="en-AU"/>
        </w:rPr>
        <w:t>Policy purpose</w:t>
      </w:r>
      <w:bookmarkEnd w:id="615"/>
      <w:bookmarkEnd w:id="616"/>
    </w:p>
    <w:p w14:paraId="40DD80A4" w14:textId="77777777" w:rsidR="00BF1473" w:rsidRPr="00276391" w:rsidRDefault="00BF1473" w:rsidP="00BF1473">
      <w:pPr>
        <w:pStyle w:val="DHHSbullet1"/>
        <w:numPr>
          <w:ilvl w:val="0"/>
          <w:numId w:val="14"/>
        </w:numPr>
        <w:rPr>
          <w:rFonts w:cs="Arial"/>
          <w:lang w:eastAsia="en-AU"/>
        </w:rPr>
      </w:pPr>
      <w:r w:rsidRPr="00276391">
        <w:rPr>
          <w:rFonts w:cs="Arial"/>
          <w:lang w:eastAsia="en-AU"/>
        </w:rPr>
        <w:t xml:space="preserve">The purpose of this policy is to set minimum standards for documenting and compliance reporting with </w:t>
      </w:r>
      <w:r>
        <w:rPr>
          <w:rFonts w:cs="Arial"/>
          <w:lang w:eastAsia="en-AU"/>
        </w:rPr>
        <w:t>s</w:t>
      </w:r>
      <w:r w:rsidRPr="00276391">
        <w:rPr>
          <w:rFonts w:cs="Arial"/>
          <w:lang w:eastAsia="en-AU"/>
        </w:rPr>
        <w:t xml:space="preserve">tatutory and Guideline requirements; it also ensures that </w:t>
      </w:r>
      <w:r>
        <w:rPr>
          <w:rFonts w:cs="Arial"/>
          <w:lang w:eastAsia="en-AU"/>
        </w:rPr>
        <w:t xml:space="preserve">appropriate </w:t>
      </w:r>
      <w:r w:rsidRPr="00276391">
        <w:rPr>
          <w:rFonts w:cs="Arial"/>
          <w:lang w:eastAsia="en-AU"/>
        </w:rPr>
        <w:t xml:space="preserve">fire and emergency response procedures </w:t>
      </w:r>
      <w:r>
        <w:rPr>
          <w:rFonts w:cs="Arial"/>
          <w:lang w:eastAsia="en-AU"/>
        </w:rPr>
        <w:t xml:space="preserve">will </w:t>
      </w:r>
      <w:r w:rsidRPr="00276391">
        <w:rPr>
          <w:rFonts w:cs="Arial"/>
          <w:lang w:eastAsia="en-AU"/>
        </w:rPr>
        <w:t xml:space="preserve">be in place. </w:t>
      </w:r>
    </w:p>
    <w:p w14:paraId="0C9CF942" w14:textId="77777777" w:rsidR="00BF1473" w:rsidRPr="00276391" w:rsidRDefault="00BF1473" w:rsidP="00BF1473">
      <w:pPr>
        <w:pStyle w:val="DHHSbullet1"/>
        <w:numPr>
          <w:ilvl w:val="0"/>
          <w:numId w:val="14"/>
        </w:numPr>
        <w:rPr>
          <w:rFonts w:cs="Arial"/>
          <w:lang w:eastAsia="en-AU"/>
        </w:rPr>
      </w:pPr>
      <w:r w:rsidRPr="00276391">
        <w:rPr>
          <w:rFonts w:cs="Arial"/>
          <w:lang w:eastAsia="en-AU"/>
        </w:rPr>
        <w:t xml:space="preserve">To manage the risk to life due to fire in certain types of buildings which are owned, operated or funded by the department. </w:t>
      </w:r>
    </w:p>
    <w:p w14:paraId="7D131F1B" w14:textId="77777777" w:rsidR="00BF1473" w:rsidRPr="00276391" w:rsidRDefault="00BF1473" w:rsidP="00BF1473">
      <w:pPr>
        <w:pStyle w:val="Heading4"/>
        <w:rPr>
          <w:lang w:eastAsia="en-AU"/>
        </w:rPr>
      </w:pPr>
      <w:bookmarkStart w:id="617" w:name="_Toc478991910"/>
      <w:bookmarkStart w:id="618" w:name="_Toc478992456"/>
      <w:r w:rsidRPr="00276391">
        <w:rPr>
          <w:lang w:eastAsia="en-AU"/>
        </w:rPr>
        <w:t>Legislation and /or regulation</w:t>
      </w:r>
      <w:bookmarkEnd w:id="617"/>
      <w:bookmarkEnd w:id="618"/>
    </w:p>
    <w:p w14:paraId="619D4F9C" w14:textId="77777777" w:rsidR="00BF1473" w:rsidRPr="00053D8A" w:rsidRDefault="0016341D" w:rsidP="00BF1473">
      <w:pPr>
        <w:pStyle w:val="DHHSbullet1"/>
        <w:numPr>
          <w:ilvl w:val="0"/>
          <w:numId w:val="14"/>
        </w:numPr>
        <w:rPr>
          <w:rFonts w:cs="Arial"/>
          <w:lang w:eastAsia="en-AU"/>
        </w:rPr>
      </w:pPr>
      <w:hyperlink r:id="rId153" w:tgtFrame="_blank" w:history="1">
        <w:r w:rsidR="00BF1473" w:rsidRPr="00986D1E">
          <w:rPr>
            <w:rStyle w:val="Hyperlink"/>
          </w:rPr>
          <w:t>Building Act 1993 as amended</w:t>
        </w:r>
      </w:hyperlink>
      <w:r w:rsidR="00BF1473" w:rsidRPr="00053D8A">
        <w:rPr>
          <w:rFonts w:cs="Arial"/>
          <w:color w:val="000000"/>
          <w:szCs w:val="19"/>
          <w:lang w:eastAsia="en-AU"/>
        </w:rPr>
        <w:t xml:space="preserve"> &lt;http://www.legislation.vic.gov.au/Domino/Web_Notes/LDMS/PubLawToday.nsf/2184e627479f8392c</w:t>
      </w:r>
      <w:r w:rsidR="00BF1473" w:rsidRPr="00053D8A">
        <w:rPr>
          <w:rFonts w:cs="Arial"/>
          <w:color w:val="000000"/>
          <w:szCs w:val="19"/>
          <w:lang w:eastAsia="en-AU"/>
        </w:rPr>
        <w:lastRenderedPageBreak/>
        <w:t>a256da50082bf3e/76fb6fc121677e38ca257624001fb276!OpenDocument</w:t>
      </w:r>
      <w:r w:rsidR="00BF1473">
        <w:rPr>
          <w:rFonts w:cs="Arial"/>
          <w:color w:val="000000"/>
          <w:szCs w:val="19"/>
          <w:lang w:eastAsia="en-AU"/>
        </w:rPr>
        <w:t>&gt;</w:t>
      </w:r>
      <w:r w:rsidR="00BF1473" w:rsidRPr="00053D8A">
        <w:rPr>
          <w:rFonts w:cs="Arial"/>
          <w:color w:val="000000"/>
          <w:szCs w:val="19"/>
          <w:lang w:eastAsia="en-AU"/>
        </w:rPr>
        <w:t xml:space="preserve"> (external link, opens in a new window) </w:t>
      </w:r>
    </w:p>
    <w:p w14:paraId="6B03F6CD" w14:textId="77777777" w:rsidR="00BF1473" w:rsidRPr="00100E67" w:rsidRDefault="0016341D" w:rsidP="00BF1473">
      <w:pPr>
        <w:pStyle w:val="DHHSbullet1"/>
        <w:numPr>
          <w:ilvl w:val="0"/>
          <w:numId w:val="14"/>
        </w:numPr>
        <w:rPr>
          <w:rFonts w:cs="Arial"/>
          <w:lang w:eastAsia="en-AU"/>
        </w:rPr>
      </w:pPr>
      <w:hyperlink r:id="rId154" w:tgtFrame="_blank" w:history="1">
        <w:r w:rsidR="00BF1473" w:rsidRPr="00986D1E">
          <w:rPr>
            <w:rStyle w:val="Hyperlink"/>
          </w:rPr>
          <w:t xml:space="preserve">Building </w:t>
        </w:r>
        <w:r w:rsidR="00BF1473">
          <w:rPr>
            <w:rStyle w:val="Hyperlink"/>
          </w:rPr>
          <w:t xml:space="preserve">Interim </w:t>
        </w:r>
        <w:r w:rsidR="00BF1473" w:rsidRPr="00986D1E">
          <w:rPr>
            <w:rStyle w:val="Hyperlink"/>
          </w:rPr>
          <w:t>Regulations 20</w:t>
        </w:r>
        <w:r w:rsidR="00BF1473">
          <w:rPr>
            <w:rStyle w:val="Hyperlink"/>
          </w:rPr>
          <w:t>17</w:t>
        </w:r>
        <w:r w:rsidR="00BF1473" w:rsidRPr="00986D1E">
          <w:rPr>
            <w:rStyle w:val="Hyperlink"/>
          </w:rPr>
          <w:t xml:space="preserve"> as amended</w:t>
        </w:r>
      </w:hyperlink>
      <w:r w:rsidR="00BF1473" w:rsidRPr="00100E67">
        <w:rPr>
          <w:rFonts w:cs="Arial"/>
          <w:lang w:eastAsia="en-AU"/>
        </w:rPr>
        <w:t xml:space="preserve"> &lt;http://www.legislation.vic.gov.au/domino/Web_notes/LDMS/PubLawToday.nsf/7e27929611f1d5c2ca256dac00186f32/46165cd76bc0dbefca2578c00019c553!OpenDocument</w:t>
      </w:r>
      <w:r w:rsidR="00BF1473">
        <w:rPr>
          <w:rFonts w:cs="Arial"/>
          <w:lang w:eastAsia="en-AU"/>
        </w:rPr>
        <w:t>&gt;</w:t>
      </w:r>
      <w:r w:rsidR="00BF1473" w:rsidRPr="00100E67">
        <w:rPr>
          <w:rFonts w:cs="Arial"/>
          <w:lang w:eastAsia="en-AU"/>
        </w:rPr>
        <w:t xml:space="preserve"> (external link, opens in a new window) </w:t>
      </w:r>
    </w:p>
    <w:p w14:paraId="121FFC3A" w14:textId="77777777" w:rsidR="00BF1473" w:rsidRPr="00100E67" w:rsidRDefault="00BF1473" w:rsidP="00BF1473">
      <w:pPr>
        <w:pStyle w:val="DHHSbullet1"/>
        <w:numPr>
          <w:ilvl w:val="0"/>
          <w:numId w:val="14"/>
        </w:numPr>
        <w:rPr>
          <w:rFonts w:cs="Arial"/>
          <w:lang w:eastAsia="en-AU"/>
        </w:rPr>
      </w:pPr>
      <w:r>
        <w:t xml:space="preserve">National Construction Code Series </w:t>
      </w:r>
      <w:hyperlink r:id="rId155" w:history="1">
        <w:r w:rsidRPr="006C1D10">
          <w:rPr>
            <w:rStyle w:val="Hyperlink"/>
          </w:rPr>
          <w:t>Building Code of Australia</w:t>
        </w:r>
      </w:hyperlink>
      <w:r w:rsidRPr="00100E67">
        <w:rPr>
          <w:rFonts w:cs="Arial"/>
          <w:lang w:eastAsia="en-AU"/>
        </w:rPr>
        <w:t xml:space="preserve"> &lt;http://www.abcb.gov.au/</w:t>
      </w:r>
      <w:r>
        <w:rPr>
          <w:rFonts w:cs="Arial"/>
          <w:lang w:eastAsia="en-AU"/>
        </w:rPr>
        <w:t>&gt;</w:t>
      </w:r>
      <w:r w:rsidRPr="00100E67">
        <w:rPr>
          <w:rFonts w:cs="Arial"/>
          <w:lang w:eastAsia="en-AU"/>
        </w:rPr>
        <w:t xml:space="preserve"> (external link, opens in a new window) </w:t>
      </w:r>
    </w:p>
    <w:p w14:paraId="701C0A2B" w14:textId="77777777" w:rsidR="00BF1473" w:rsidRPr="00276391" w:rsidRDefault="00BF1473" w:rsidP="00BF1473">
      <w:pPr>
        <w:pStyle w:val="DHHSbullet1"/>
        <w:numPr>
          <w:ilvl w:val="0"/>
          <w:numId w:val="14"/>
        </w:numPr>
        <w:rPr>
          <w:rFonts w:cs="Arial"/>
          <w:lang w:eastAsia="en-AU"/>
        </w:rPr>
      </w:pPr>
      <w:r w:rsidRPr="00276391">
        <w:rPr>
          <w:rFonts w:cs="Arial"/>
          <w:lang w:eastAsia="en-AU"/>
        </w:rPr>
        <w:t>Australian Standard AS3745 – 2010</w:t>
      </w:r>
      <w:r>
        <w:rPr>
          <w:rFonts w:cs="Arial"/>
          <w:lang w:eastAsia="en-AU"/>
        </w:rPr>
        <w:t xml:space="preserve"> (</w:t>
      </w:r>
      <w:r w:rsidRPr="008702B8">
        <w:rPr>
          <w:rFonts w:cs="Arial"/>
          <w:lang w:eastAsia="en-AU"/>
        </w:rPr>
        <w:t>Planning for emergencies in facilities)</w:t>
      </w:r>
      <w:r w:rsidRPr="00276391">
        <w:rPr>
          <w:rFonts w:cs="Arial"/>
          <w:lang w:eastAsia="en-AU"/>
        </w:rPr>
        <w:t xml:space="preserve"> </w:t>
      </w:r>
    </w:p>
    <w:p w14:paraId="7EBF104C" w14:textId="21A6CA5F" w:rsidR="00BF1473" w:rsidRPr="00276391" w:rsidRDefault="00BF1473" w:rsidP="00BF1473">
      <w:pPr>
        <w:pStyle w:val="DHHSbullet1"/>
        <w:numPr>
          <w:ilvl w:val="0"/>
          <w:numId w:val="14"/>
        </w:numPr>
        <w:rPr>
          <w:rFonts w:cs="Arial"/>
          <w:lang w:eastAsia="en-AU"/>
        </w:rPr>
      </w:pPr>
      <w:r w:rsidRPr="00276391">
        <w:rPr>
          <w:rFonts w:cs="Arial"/>
          <w:lang w:eastAsia="en-AU"/>
        </w:rPr>
        <w:t>Australia Standard AS4083 – 2010</w:t>
      </w:r>
      <w:r>
        <w:rPr>
          <w:rFonts w:cs="Arial"/>
          <w:lang w:eastAsia="en-AU"/>
        </w:rPr>
        <w:t xml:space="preserve"> (</w:t>
      </w:r>
      <w:r w:rsidRPr="008702B8">
        <w:rPr>
          <w:rFonts w:cs="Arial"/>
          <w:lang w:eastAsia="en-AU"/>
        </w:rPr>
        <w:t xml:space="preserve">Planning </w:t>
      </w:r>
      <w:proofErr w:type="gramStart"/>
      <w:r w:rsidRPr="008702B8">
        <w:rPr>
          <w:rFonts w:cs="Arial"/>
          <w:lang w:eastAsia="en-AU"/>
        </w:rPr>
        <w:t>For</w:t>
      </w:r>
      <w:proofErr w:type="gramEnd"/>
      <w:r w:rsidRPr="008702B8">
        <w:rPr>
          <w:rFonts w:cs="Arial"/>
          <w:lang w:eastAsia="en-AU"/>
        </w:rPr>
        <w:t xml:space="preserve"> Emergencies - Health Care Facilities</w:t>
      </w:r>
      <w:r>
        <w:rPr>
          <w:rFonts w:cs="Arial"/>
          <w:lang w:eastAsia="en-AU"/>
        </w:rPr>
        <w:t>)</w:t>
      </w:r>
      <w:r w:rsidR="00921D8B">
        <w:rPr>
          <w:rFonts w:cs="Arial"/>
          <w:lang w:eastAsia="en-AU"/>
        </w:rPr>
        <w:t>.</w:t>
      </w:r>
    </w:p>
    <w:p w14:paraId="02E13D68" w14:textId="77777777" w:rsidR="00BF1473" w:rsidRPr="00276391" w:rsidRDefault="00BF1473" w:rsidP="00BF1473">
      <w:pPr>
        <w:pStyle w:val="Heading4"/>
        <w:rPr>
          <w:lang w:eastAsia="en-AU"/>
        </w:rPr>
      </w:pPr>
      <w:bookmarkStart w:id="619" w:name="_Toc478991911"/>
      <w:bookmarkStart w:id="620" w:name="_Toc478992457"/>
      <w:r w:rsidRPr="00276391">
        <w:rPr>
          <w:lang w:eastAsia="en-AU"/>
        </w:rPr>
        <w:t>Organisation requirements</w:t>
      </w:r>
      <w:bookmarkEnd w:id="619"/>
      <w:bookmarkEnd w:id="620"/>
    </w:p>
    <w:p w14:paraId="15FD73C2" w14:textId="16AE7369" w:rsidR="00BF1473" w:rsidRPr="00276391" w:rsidRDefault="00BF1473" w:rsidP="00BF1473">
      <w:pPr>
        <w:pStyle w:val="DHHSbody"/>
        <w:rPr>
          <w:lang w:eastAsia="en-AU"/>
        </w:rPr>
      </w:pPr>
      <w:r w:rsidRPr="00B24C02">
        <w:rPr>
          <w:rFonts w:cs="Arial"/>
          <w:color w:val="000000"/>
          <w:szCs w:val="19"/>
          <w:lang w:eastAsia="en-AU"/>
        </w:rPr>
        <w:t>Chief executives and general managers of services, agencies, networks and other facilities are responsible for ensuring the implementation of appropriate fire risk management measures required to satisfy statutory requirements and the appropriate</w:t>
      </w:r>
      <w:r w:rsidR="00921D8B">
        <w:rPr>
          <w:rFonts w:cs="Arial"/>
          <w:color w:val="000000"/>
          <w:szCs w:val="19"/>
          <w:lang w:eastAsia="en-AU"/>
        </w:rPr>
        <w:t xml:space="preserve"> </w:t>
      </w:r>
      <w:r w:rsidR="00DF1D39">
        <w:rPr>
          <w:rFonts w:cs="Arial"/>
          <w:color w:val="000000"/>
          <w:szCs w:val="19"/>
          <w:lang w:eastAsia="en-AU"/>
        </w:rPr>
        <w:t>departmental</w:t>
      </w:r>
      <w:r w:rsidRPr="00B24C02">
        <w:rPr>
          <w:rFonts w:cs="Arial"/>
          <w:color w:val="000000"/>
          <w:szCs w:val="19"/>
          <w:lang w:eastAsia="en-AU"/>
        </w:rPr>
        <w:t xml:space="preserve"> guidelines.</w:t>
      </w:r>
    </w:p>
    <w:p w14:paraId="374E9D11" w14:textId="77777777" w:rsidR="00BF1473" w:rsidRPr="00276391" w:rsidRDefault="00BF1473" w:rsidP="00BF1473">
      <w:pPr>
        <w:pStyle w:val="Heading4"/>
        <w:rPr>
          <w:lang w:eastAsia="en-AU"/>
        </w:rPr>
      </w:pPr>
      <w:bookmarkStart w:id="621" w:name="_Toc478991912"/>
      <w:bookmarkStart w:id="622" w:name="_Toc478992458"/>
      <w:r w:rsidRPr="00276391">
        <w:rPr>
          <w:lang w:eastAsia="en-AU"/>
        </w:rPr>
        <w:t>Protecting clients</w:t>
      </w:r>
      <w:bookmarkEnd w:id="621"/>
      <w:bookmarkEnd w:id="622"/>
    </w:p>
    <w:p w14:paraId="5DEC5982" w14:textId="71B0147D" w:rsidR="00BF1473" w:rsidRPr="00276391" w:rsidRDefault="00BF1473" w:rsidP="00BF1473">
      <w:pPr>
        <w:pStyle w:val="DHHSbody"/>
        <w:rPr>
          <w:lang w:eastAsia="en-AU"/>
        </w:rPr>
      </w:pPr>
      <w:r w:rsidRPr="00B24C02">
        <w:rPr>
          <w:rFonts w:cs="Arial"/>
          <w:color w:val="000000"/>
          <w:szCs w:val="19"/>
          <w:lang w:eastAsia="en-AU"/>
        </w:rPr>
        <w:t xml:space="preserve">Protecting clients from fire risk is an important part of their care and of paramount importance to the department. The </w:t>
      </w:r>
      <w:r w:rsidR="009B3052">
        <w:rPr>
          <w:rFonts w:cs="Arial"/>
          <w:color w:val="000000"/>
          <w:szCs w:val="19"/>
          <w:lang w:eastAsia="en-AU"/>
        </w:rPr>
        <w:t>Service agreement</w:t>
      </w:r>
      <w:r w:rsidRPr="00B24C02">
        <w:rPr>
          <w:rFonts w:cs="Arial"/>
          <w:color w:val="000000"/>
          <w:szCs w:val="19"/>
          <w:lang w:eastAsia="en-AU"/>
        </w:rPr>
        <w:t xml:space="preserve"> acknowledges that an organisation is responsible for complying with all laws, mandatory standards relating to fire protection, safety, health and general safety that apply to any premises from which the organisation owns or operates, irrespective of whether the relevant regulatory requirements place the obligation on the owner or occupier of those premises. The applicable guidelines for fire risk for department owned, operated or funded buildings/services are the </w:t>
      </w:r>
      <w:hyperlink r:id="rId156" w:tgtFrame="_blank" w:history="1">
        <w:r w:rsidRPr="00390713">
          <w:rPr>
            <w:rStyle w:val="Hyperlink"/>
          </w:rPr>
          <w:t>Capital Development Guidelines, Series 7, Fire Risk Management, August 2013</w:t>
        </w:r>
      </w:hyperlink>
      <w:r w:rsidRPr="00B24C02">
        <w:rPr>
          <w:rFonts w:cs="Arial"/>
          <w:color w:val="000000"/>
          <w:szCs w:val="19"/>
          <w:lang w:eastAsia="en-AU"/>
        </w:rPr>
        <w:t xml:space="preserve"> </w:t>
      </w:r>
      <w:r>
        <w:rPr>
          <w:rFonts w:cs="Arial"/>
          <w:color w:val="000000"/>
          <w:szCs w:val="19"/>
          <w:lang w:eastAsia="en-AU"/>
        </w:rPr>
        <w:t>&lt;</w:t>
      </w:r>
      <w:r w:rsidR="00390713" w:rsidRPr="00390713">
        <w:rPr>
          <w:rFonts w:cs="Arial"/>
          <w:color w:val="000000"/>
          <w:szCs w:val="19"/>
          <w:lang w:eastAsia="en-AU"/>
        </w:rPr>
        <w:t>https://providers.dhhs.vic.gov.au/capital-development-guidelines-series-7</w:t>
      </w:r>
      <w:r>
        <w:rPr>
          <w:rFonts w:cs="Arial"/>
          <w:color w:val="000000"/>
          <w:szCs w:val="19"/>
          <w:lang w:eastAsia="en-AU"/>
        </w:rPr>
        <w:t>&gt;</w:t>
      </w:r>
      <w:r w:rsidRPr="00521E35">
        <w:rPr>
          <w:rFonts w:cs="Arial"/>
          <w:color w:val="000000"/>
          <w:szCs w:val="19"/>
          <w:lang w:eastAsia="en-AU"/>
        </w:rPr>
        <w:t xml:space="preserve"> </w:t>
      </w:r>
      <w:r w:rsidRPr="00B24C02">
        <w:rPr>
          <w:rFonts w:cs="Arial"/>
          <w:color w:val="000000"/>
          <w:szCs w:val="19"/>
          <w:lang w:eastAsia="en-AU"/>
        </w:rPr>
        <w:t>(external link, opens in a new window).</w:t>
      </w:r>
    </w:p>
    <w:p w14:paraId="4F32C33E" w14:textId="56745E2E" w:rsidR="00BF1473" w:rsidRPr="00276391" w:rsidRDefault="00BF1473" w:rsidP="00BF1473">
      <w:pPr>
        <w:pStyle w:val="DHHSbody"/>
        <w:rPr>
          <w:lang w:eastAsia="en-AU"/>
        </w:rPr>
      </w:pPr>
      <w:r w:rsidRPr="00276391">
        <w:rPr>
          <w:lang w:eastAsia="en-AU"/>
        </w:rPr>
        <w:t xml:space="preserve">An organisation entering into a </w:t>
      </w:r>
      <w:r w:rsidR="009B3052">
        <w:rPr>
          <w:lang w:eastAsia="en-AU"/>
        </w:rPr>
        <w:t>Service agreement</w:t>
      </w:r>
      <w:r w:rsidRPr="00276391">
        <w:rPr>
          <w:lang w:eastAsia="en-AU"/>
        </w:rPr>
        <w:t xml:space="preserve"> must have in place an appropriate system to protect people under its care. For this reason, the </w:t>
      </w:r>
      <w:r>
        <w:rPr>
          <w:lang w:eastAsia="en-AU"/>
        </w:rPr>
        <w:t>d</w:t>
      </w:r>
      <w:r w:rsidRPr="00276391">
        <w:rPr>
          <w:lang w:eastAsia="en-AU"/>
        </w:rPr>
        <w:t xml:space="preserve">epartment is keen to clarify its role and the role of the organisation in protecting the </w:t>
      </w:r>
      <w:r>
        <w:rPr>
          <w:lang w:eastAsia="en-AU"/>
        </w:rPr>
        <w:t>d</w:t>
      </w:r>
      <w:r w:rsidRPr="00276391">
        <w:rPr>
          <w:lang w:eastAsia="en-AU"/>
        </w:rPr>
        <w:t>epartment's clients from fire risk.</w:t>
      </w:r>
    </w:p>
    <w:p w14:paraId="6978F464" w14:textId="77777777" w:rsidR="00BF1473" w:rsidRPr="00276391" w:rsidRDefault="00BF1473" w:rsidP="00BF1473">
      <w:pPr>
        <w:pStyle w:val="DHHSbodyBold"/>
        <w:rPr>
          <w:lang w:eastAsia="en-AU"/>
        </w:rPr>
      </w:pPr>
      <w:bookmarkStart w:id="623" w:name="_Toc478991913"/>
      <w:bookmarkStart w:id="624" w:name="_Toc478992459"/>
      <w:r w:rsidRPr="00276391">
        <w:rPr>
          <w:lang w:eastAsia="en-AU"/>
        </w:rPr>
        <w:t>Fire Safety Audit</w:t>
      </w:r>
      <w:bookmarkEnd w:id="623"/>
      <w:bookmarkEnd w:id="624"/>
    </w:p>
    <w:p w14:paraId="60449C7C" w14:textId="3B1C3D48" w:rsidR="00BF1473" w:rsidRPr="00276391" w:rsidRDefault="00BF1473" w:rsidP="00BF1473">
      <w:pPr>
        <w:pStyle w:val="DHHSbody"/>
        <w:rPr>
          <w:lang w:eastAsia="en-AU"/>
        </w:rPr>
      </w:pPr>
      <w:r w:rsidRPr="00B24C02">
        <w:rPr>
          <w:rFonts w:cs="Arial"/>
          <w:color w:val="000000"/>
          <w:szCs w:val="19"/>
          <w:lang w:eastAsia="en-AU"/>
        </w:rPr>
        <w:t xml:space="preserve">Every facilities must conduct regular fire safety audits in accordance with the requirements of the </w:t>
      </w:r>
      <w:hyperlink r:id="rId157" w:tgtFrame="_blank" w:history="1">
        <w:r w:rsidRPr="00390713">
          <w:rPr>
            <w:rStyle w:val="Hyperlink"/>
          </w:rPr>
          <w:t>Capital Development Guidelines, Series 7, Fire Risk Management, August 2013</w:t>
        </w:r>
      </w:hyperlink>
      <w:r w:rsidRPr="00B24C02">
        <w:rPr>
          <w:rFonts w:cs="Arial"/>
          <w:color w:val="000000"/>
          <w:szCs w:val="19"/>
          <w:lang w:eastAsia="en-AU"/>
        </w:rPr>
        <w:t xml:space="preserve"> </w:t>
      </w:r>
      <w:r>
        <w:rPr>
          <w:rFonts w:cs="Arial"/>
          <w:color w:val="000000"/>
          <w:szCs w:val="19"/>
          <w:lang w:eastAsia="en-AU"/>
        </w:rPr>
        <w:t>&lt;</w:t>
      </w:r>
      <w:r w:rsidR="00390713" w:rsidRPr="00390713">
        <w:rPr>
          <w:rFonts w:cs="Arial"/>
          <w:color w:val="000000"/>
          <w:szCs w:val="19"/>
          <w:lang w:eastAsia="en-AU"/>
        </w:rPr>
        <w:t>https://providers.dhhs.vic.gov.au/capital-development-guidelines-series-7</w:t>
      </w:r>
      <w:r>
        <w:rPr>
          <w:rFonts w:cs="Arial"/>
          <w:color w:val="000000"/>
          <w:szCs w:val="19"/>
          <w:lang w:eastAsia="en-AU"/>
        </w:rPr>
        <w:t>&gt;</w:t>
      </w:r>
      <w:r w:rsidRPr="001E4A7C">
        <w:rPr>
          <w:rFonts w:cs="Arial"/>
          <w:color w:val="000000"/>
          <w:szCs w:val="19"/>
          <w:lang w:eastAsia="en-AU"/>
        </w:rPr>
        <w:t xml:space="preserve"> </w:t>
      </w:r>
      <w:r w:rsidRPr="00B24C02">
        <w:rPr>
          <w:rFonts w:cs="Arial"/>
          <w:color w:val="000000"/>
          <w:szCs w:val="19"/>
          <w:lang w:eastAsia="en-AU"/>
        </w:rPr>
        <w:t xml:space="preserve">(external link, opens in a new window) at least once every five years </w:t>
      </w:r>
      <w:r>
        <w:rPr>
          <w:rFonts w:cs="Arial"/>
          <w:color w:val="000000"/>
          <w:szCs w:val="19"/>
          <w:lang w:eastAsia="en-AU"/>
        </w:rPr>
        <w:t>(</w:t>
      </w:r>
      <w:r w:rsidRPr="00B24C02">
        <w:rPr>
          <w:rFonts w:cs="Arial"/>
          <w:color w:val="000000"/>
          <w:szCs w:val="19"/>
          <w:lang w:eastAsia="en-AU"/>
        </w:rPr>
        <w:t>or as required by the Fire Risk Management Review Panel</w:t>
      </w:r>
      <w:r>
        <w:rPr>
          <w:rFonts w:cs="Arial"/>
          <w:color w:val="000000"/>
          <w:szCs w:val="19"/>
          <w:lang w:eastAsia="en-AU"/>
        </w:rPr>
        <w:t xml:space="preserve">, as defined in the </w:t>
      </w:r>
      <w:r w:rsidR="00EA74AB">
        <w:rPr>
          <w:rFonts w:cs="Arial"/>
          <w:color w:val="000000"/>
          <w:szCs w:val="19"/>
          <w:lang w:eastAsia="en-AU"/>
        </w:rPr>
        <w:t>Guidelines</w:t>
      </w:r>
      <w:r>
        <w:rPr>
          <w:rFonts w:cs="Arial"/>
          <w:color w:val="000000"/>
          <w:szCs w:val="19"/>
          <w:lang w:eastAsia="en-AU"/>
        </w:rPr>
        <w:t>)</w:t>
      </w:r>
      <w:r w:rsidRPr="00B24C02">
        <w:rPr>
          <w:rFonts w:cs="Arial"/>
          <w:color w:val="000000"/>
          <w:szCs w:val="19"/>
          <w:lang w:eastAsia="en-AU"/>
        </w:rPr>
        <w:t xml:space="preserve"> to monitor ongoing compliance, and whenever a modification or addition is proposed to be made to the building. A fire safety audit can only be undertaken by a practitioner who is accredited to undertake fire safety audits. Accreditation may be limited to specific building or buildings and/or occupancy types.</w:t>
      </w:r>
    </w:p>
    <w:p w14:paraId="43341A10" w14:textId="77777777" w:rsidR="00BF1473" w:rsidRPr="00276391" w:rsidRDefault="00BF1473" w:rsidP="00BF1473">
      <w:pPr>
        <w:pStyle w:val="DHHSbodyBold"/>
        <w:rPr>
          <w:lang w:eastAsia="en-AU"/>
        </w:rPr>
      </w:pPr>
      <w:bookmarkStart w:id="625" w:name="_Toc478991914"/>
      <w:bookmarkStart w:id="626" w:name="_Toc478992460"/>
      <w:r w:rsidRPr="00276391">
        <w:rPr>
          <w:lang w:eastAsia="en-AU"/>
        </w:rPr>
        <w:t>Fire Safety Handbook</w:t>
      </w:r>
      <w:bookmarkEnd w:id="625"/>
      <w:bookmarkEnd w:id="626"/>
    </w:p>
    <w:p w14:paraId="40D8A98F" w14:textId="5F8CCF16" w:rsidR="00BF1473" w:rsidRPr="00276391" w:rsidRDefault="00BF1473" w:rsidP="00BF1473">
      <w:pPr>
        <w:pStyle w:val="DHHSbody"/>
        <w:rPr>
          <w:lang w:eastAsia="en-AU"/>
        </w:rPr>
      </w:pPr>
      <w:r w:rsidRPr="00B24C02">
        <w:rPr>
          <w:rFonts w:cs="Arial"/>
          <w:color w:val="000000"/>
          <w:szCs w:val="19"/>
          <w:lang w:eastAsia="en-AU"/>
        </w:rPr>
        <w:t xml:space="preserve">Every facility must have a fire safety handbook which is a unique document for each building or facility that defines the fire safety strategy for that building in terms of the required levels of compliance, performance, design parameters and maintenance requirements for each physical or human measure/factor. </w:t>
      </w:r>
      <w:r w:rsidR="00D30093">
        <w:rPr>
          <w:rFonts w:cs="Arial"/>
          <w:color w:val="000000"/>
          <w:szCs w:val="19"/>
          <w:lang w:eastAsia="en-AU"/>
        </w:rPr>
        <w:t>The department’s website has t</w:t>
      </w:r>
      <w:r w:rsidRPr="00B24C02">
        <w:rPr>
          <w:rFonts w:cs="Arial"/>
          <w:color w:val="000000"/>
          <w:szCs w:val="19"/>
          <w:lang w:eastAsia="en-AU"/>
        </w:rPr>
        <w:t xml:space="preserve">he required template for the </w:t>
      </w:r>
      <w:hyperlink r:id="rId158" w:history="1">
        <w:r w:rsidRPr="00D30093">
          <w:rPr>
            <w:rStyle w:val="Hyperlink"/>
            <w:rFonts w:cs="Arial"/>
            <w:szCs w:val="19"/>
            <w:lang w:eastAsia="en-AU"/>
          </w:rPr>
          <w:t>Fire Safety Handbook</w:t>
        </w:r>
      </w:hyperlink>
      <w:r w:rsidR="00D30093">
        <w:rPr>
          <w:rFonts w:cs="Arial"/>
          <w:color w:val="000000"/>
          <w:szCs w:val="19"/>
          <w:lang w:eastAsia="en-AU"/>
        </w:rPr>
        <w:t xml:space="preserve"> &lt;</w:t>
      </w:r>
      <w:r w:rsidR="00D30093" w:rsidRPr="00D30093">
        <w:rPr>
          <w:rFonts w:cs="Arial"/>
          <w:color w:val="000000"/>
          <w:szCs w:val="19"/>
          <w:lang w:eastAsia="en-AU"/>
        </w:rPr>
        <w:t>https://providers.dhhs.vic.gov.au/fire-safety-handbook</w:t>
      </w:r>
      <w:r w:rsidR="00D30093">
        <w:rPr>
          <w:rFonts w:cs="Arial"/>
          <w:color w:val="000000"/>
          <w:szCs w:val="19"/>
          <w:lang w:eastAsia="en-AU"/>
        </w:rPr>
        <w:t xml:space="preserve">&gt; (external link, </w:t>
      </w:r>
      <w:r w:rsidR="00EA74AB">
        <w:rPr>
          <w:rFonts w:cs="Arial"/>
          <w:color w:val="000000"/>
          <w:szCs w:val="19"/>
          <w:lang w:eastAsia="en-AU"/>
        </w:rPr>
        <w:t xml:space="preserve">opens in </w:t>
      </w:r>
      <w:r w:rsidR="00C62565">
        <w:rPr>
          <w:rFonts w:cs="Arial"/>
          <w:color w:val="000000"/>
          <w:szCs w:val="19"/>
          <w:lang w:eastAsia="en-AU"/>
        </w:rPr>
        <w:t>a new window</w:t>
      </w:r>
      <w:r w:rsidR="00D30093">
        <w:rPr>
          <w:rFonts w:cs="Arial"/>
          <w:color w:val="000000"/>
          <w:szCs w:val="19"/>
          <w:lang w:eastAsia="en-AU"/>
        </w:rPr>
        <w:t>)</w:t>
      </w:r>
      <w:r w:rsidRPr="00B24C02">
        <w:rPr>
          <w:rFonts w:cs="Arial"/>
          <w:color w:val="000000"/>
          <w:szCs w:val="19"/>
          <w:lang w:eastAsia="en-AU"/>
        </w:rPr>
        <w:t>.</w:t>
      </w:r>
    </w:p>
    <w:p w14:paraId="52EDB34E" w14:textId="2800A295" w:rsidR="00BF1473" w:rsidRPr="00276391" w:rsidRDefault="00BF1473" w:rsidP="00BF1473">
      <w:pPr>
        <w:pStyle w:val="DHHSbody"/>
        <w:rPr>
          <w:lang w:eastAsia="en-AU"/>
        </w:rPr>
      </w:pPr>
      <w:r w:rsidRPr="001A0795">
        <w:rPr>
          <w:lang w:eastAsia="en-AU"/>
        </w:rPr>
        <w:t xml:space="preserve">The </w:t>
      </w:r>
      <w:hyperlink r:id="rId159" w:tgtFrame="_blank" w:history="1">
        <w:r w:rsidRPr="00986D1E">
          <w:rPr>
            <w:rStyle w:val="Hyperlink"/>
          </w:rPr>
          <w:t xml:space="preserve">Occupational Health </w:t>
        </w:r>
        <w:r>
          <w:rPr>
            <w:rStyle w:val="Hyperlink"/>
          </w:rPr>
          <w:t>and</w:t>
        </w:r>
        <w:r w:rsidRPr="00986D1E">
          <w:rPr>
            <w:rStyle w:val="Hyperlink"/>
          </w:rPr>
          <w:t xml:space="preserve"> Safety Act 2004</w:t>
        </w:r>
      </w:hyperlink>
      <w:r w:rsidRPr="001A0795">
        <w:rPr>
          <w:lang w:eastAsia="en-AU"/>
        </w:rPr>
        <w:t xml:space="preserve"> </w:t>
      </w:r>
      <w:r>
        <w:rPr>
          <w:lang w:eastAsia="en-AU"/>
        </w:rPr>
        <w:t>&lt;</w:t>
      </w:r>
      <w:r w:rsidR="00EA74AB" w:rsidRPr="00EA74AB">
        <w:rPr>
          <w:lang w:eastAsia="en-AU"/>
        </w:rPr>
        <w:t>http://www6.austlii.edu.au/cgi-bin/viewdb/au/legis/vic/consol_act/ohasa2004273/</w:t>
      </w:r>
      <w:r>
        <w:rPr>
          <w:lang w:eastAsia="en-AU"/>
        </w:rPr>
        <w:t>&gt;</w:t>
      </w:r>
      <w:r w:rsidRPr="00884CEC">
        <w:rPr>
          <w:lang w:eastAsia="en-AU"/>
        </w:rPr>
        <w:t xml:space="preserve"> </w:t>
      </w:r>
      <w:r w:rsidRPr="001A0795">
        <w:rPr>
          <w:lang w:eastAsia="en-AU"/>
        </w:rPr>
        <w:t>(external link</w:t>
      </w:r>
      <w:r>
        <w:rPr>
          <w:lang w:eastAsia="en-AU"/>
        </w:rPr>
        <w:t>,</w:t>
      </w:r>
      <w:r w:rsidRPr="001A0795">
        <w:rPr>
          <w:lang w:eastAsia="en-AU"/>
        </w:rPr>
        <w:t xml:space="preserve"> opens in a new window) as amended</w:t>
      </w:r>
      <w:r w:rsidRPr="00276391">
        <w:rPr>
          <w:lang w:eastAsia="en-AU"/>
        </w:rPr>
        <w:t xml:space="preserve"> (OHSA) and case law provide that what is ‘reasonably practicable’ is that which is reasonably able to be </w:t>
      </w:r>
      <w:r w:rsidRPr="00276391">
        <w:rPr>
          <w:lang w:eastAsia="en-AU"/>
        </w:rPr>
        <w:lastRenderedPageBreak/>
        <w:t>done at the particular time and in a particular circumstance. This is to be determined by taking into consideration to all relevant matters including the following:</w:t>
      </w:r>
    </w:p>
    <w:p w14:paraId="0404A7CF" w14:textId="77777777" w:rsidR="00BF1473" w:rsidRPr="00276391" w:rsidRDefault="00BF1473" w:rsidP="00FE480B">
      <w:pPr>
        <w:pStyle w:val="DHHSbullet1"/>
        <w:numPr>
          <w:ilvl w:val="0"/>
          <w:numId w:val="0"/>
        </w:numPr>
        <w:ind w:left="284" w:hanging="284"/>
        <w:rPr>
          <w:rFonts w:cs="Arial"/>
          <w:lang w:eastAsia="en-AU"/>
        </w:rPr>
      </w:pPr>
      <w:r w:rsidRPr="00276391">
        <w:rPr>
          <w:rFonts w:cs="Arial"/>
          <w:lang w:eastAsia="en-AU"/>
        </w:rPr>
        <w:t>(a) likelihood of the hazard or risk eventuating</w:t>
      </w:r>
    </w:p>
    <w:p w14:paraId="41A655F7" w14:textId="77777777" w:rsidR="00BF1473" w:rsidRPr="00276391" w:rsidRDefault="00BF1473" w:rsidP="00FE480B">
      <w:pPr>
        <w:pStyle w:val="DHHSbullet1"/>
        <w:numPr>
          <w:ilvl w:val="0"/>
          <w:numId w:val="0"/>
        </w:numPr>
        <w:ind w:left="284" w:hanging="284"/>
        <w:rPr>
          <w:rFonts w:cs="Arial"/>
          <w:lang w:eastAsia="en-AU"/>
        </w:rPr>
      </w:pPr>
      <w:r w:rsidRPr="00276391">
        <w:rPr>
          <w:rFonts w:cs="Arial"/>
          <w:lang w:eastAsia="en-AU"/>
        </w:rPr>
        <w:t>(b) degree of harm that would result if the hazard or risk eventuated</w:t>
      </w:r>
    </w:p>
    <w:p w14:paraId="253CAD30" w14:textId="3C2F2F18" w:rsidR="00BF1473" w:rsidRPr="00276391" w:rsidRDefault="00D05F49" w:rsidP="00FE480B">
      <w:pPr>
        <w:pStyle w:val="DHHSbullet1"/>
        <w:numPr>
          <w:ilvl w:val="0"/>
          <w:numId w:val="0"/>
        </w:numPr>
        <w:ind w:left="284" w:hanging="284"/>
        <w:rPr>
          <w:rFonts w:cs="Arial"/>
          <w:lang w:eastAsia="en-AU"/>
        </w:rPr>
      </w:pPr>
      <w:r>
        <w:rPr>
          <w:rFonts w:cs="Arial"/>
          <w:lang w:eastAsia="en-AU"/>
        </w:rPr>
        <w:t>(c) knowledge,</w:t>
      </w:r>
      <w:r w:rsidR="00BF1473" w:rsidRPr="00276391">
        <w:rPr>
          <w:rFonts w:cs="Arial"/>
          <w:lang w:eastAsia="en-AU"/>
        </w:rPr>
        <w:t xml:space="preserve"> includin</w:t>
      </w:r>
      <w:r>
        <w:rPr>
          <w:rFonts w:cs="Arial"/>
          <w:lang w:eastAsia="en-AU"/>
        </w:rPr>
        <w:t xml:space="preserve">g what a person ought to know, </w:t>
      </w:r>
      <w:r w:rsidR="00BF1473" w:rsidRPr="00276391">
        <w:rPr>
          <w:rFonts w:cs="Arial"/>
          <w:lang w:eastAsia="en-AU"/>
        </w:rPr>
        <w:t>about the hazard or risk and any ways of eliminating or reducing the hazard or risk</w:t>
      </w:r>
    </w:p>
    <w:p w14:paraId="23CCD6B7" w14:textId="77777777" w:rsidR="00BF1473" w:rsidRPr="00276391" w:rsidRDefault="00BF1473" w:rsidP="00FE480B">
      <w:pPr>
        <w:pStyle w:val="DHHSbullet1"/>
        <w:numPr>
          <w:ilvl w:val="0"/>
          <w:numId w:val="0"/>
        </w:numPr>
        <w:ind w:left="284" w:hanging="284"/>
        <w:rPr>
          <w:rFonts w:cs="Arial"/>
          <w:lang w:eastAsia="en-AU"/>
        </w:rPr>
      </w:pPr>
      <w:r w:rsidRPr="00276391">
        <w:rPr>
          <w:rFonts w:cs="Arial"/>
          <w:lang w:eastAsia="en-AU"/>
        </w:rPr>
        <w:t>(d) availability and suitability of ways to eliminate or reduce the hazard or risk</w:t>
      </w:r>
    </w:p>
    <w:p w14:paraId="045600E0" w14:textId="77777777" w:rsidR="00BF1473" w:rsidRPr="00276391" w:rsidRDefault="00BF1473" w:rsidP="00FE480B">
      <w:pPr>
        <w:pStyle w:val="DHHSbullet1"/>
        <w:numPr>
          <w:ilvl w:val="0"/>
          <w:numId w:val="0"/>
        </w:numPr>
        <w:ind w:left="284" w:hanging="284"/>
        <w:rPr>
          <w:rFonts w:cs="Arial"/>
          <w:lang w:eastAsia="en-AU"/>
        </w:rPr>
      </w:pPr>
      <w:r w:rsidRPr="00276391">
        <w:rPr>
          <w:rFonts w:cs="Arial"/>
          <w:lang w:eastAsia="en-AU"/>
        </w:rPr>
        <w:t>(e) cost of eliminating or reducing that hazard or risk.</w:t>
      </w:r>
    </w:p>
    <w:p w14:paraId="726C5568" w14:textId="77777777" w:rsidR="00BF1473" w:rsidRPr="00276391" w:rsidRDefault="00BF1473" w:rsidP="00BF1473">
      <w:pPr>
        <w:pStyle w:val="DHHSbody"/>
        <w:rPr>
          <w:lang w:eastAsia="en-AU"/>
        </w:rPr>
      </w:pPr>
      <w:r w:rsidRPr="00B24C02">
        <w:rPr>
          <w:rFonts w:cs="Arial"/>
          <w:color w:val="000000"/>
          <w:szCs w:val="19"/>
          <w:lang w:eastAsia="en-AU"/>
        </w:rPr>
        <w:t>The severest degree of harm that may result from a fire can be multiple fatalities. In light of this, considerable efforts should be made to eliminate or minimise the likelihood of a fire occurring (for example, through choice of building materials and regulation of activities within buildings) and to eliminate or minimise harm to the health and safety of people from the fire (for example, through fire suppression and timely evacuation).</w:t>
      </w:r>
    </w:p>
    <w:p w14:paraId="41157449" w14:textId="77777777" w:rsidR="00BF1473" w:rsidRPr="00276391" w:rsidRDefault="00BF1473" w:rsidP="00BF1473">
      <w:pPr>
        <w:pStyle w:val="DHHSbodyBold"/>
        <w:rPr>
          <w:lang w:eastAsia="en-AU"/>
        </w:rPr>
      </w:pPr>
      <w:r w:rsidRPr="00276391">
        <w:rPr>
          <w:lang w:eastAsia="en-AU"/>
        </w:rPr>
        <w:t>Services provided in own home</w:t>
      </w:r>
    </w:p>
    <w:p w14:paraId="6F1AF7F2" w14:textId="77777777" w:rsidR="00BF1473" w:rsidRPr="00276391" w:rsidRDefault="00BF1473" w:rsidP="00BF1473">
      <w:pPr>
        <w:pStyle w:val="DHHSbody"/>
        <w:rPr>
          <w:lang w:eastAsia="en-AU"/>
        </w:rPr>
      </w:pPr>
      <w:r w:rsidRPr="00276391">
        <w:rPr>
          <w:lang w:eastAsia="en-AU"/>
        </w:rPr>
        <w:t>For services provided to a client in their own primary residence (whether leased or owned by the client), the department expects that the client (and where appropriate, the owner of the premises) will have responsibility for their own fire safety and ensure that the premises meet all relevant building local laws and regulations or legislation, including retrospective obligations.</w:t>
      </w:r>
    </w:p>
    <w:p w14:paraId="78A70089" w14:textId="77777777" w:rsidR="00BF1473" w:rsidRPr="00276391" w:rsidRDefault="00BF1473" w:rsidP="00BF1473">
      <w:pPr>
        <w:pStyle w:val="DHHSbody"/>
        <w:rPr>
          <w:lang w:eastAsia="en-AU"/>
        </w:rPr>
      </w:pPr>
      <w:r w:rsidRPr="00276391">
        <w:rPr>
          <w:lang w:eastAsia="en-AU"/>
        </w:rPr>
        <w:t>The department notes that the relevant authorities (for example, local councils and fire authorities, Metropolitan Fire and Emergency Services Board and Country Fire Authority) are responsible for enforcement of fire safety provisions.</w:t>
      </w:r>
    </w:p>
    <w:p w14:paraId="39CC911D" w14:textId="77777777" w:rsidR="00BF1473" w:rsidRPr="00276391" w:rsidRDefault="00BF1473" w:rsidP="00BF1473">
      <w:pPr>
        <w:pStyle w:val="DHHSbody"/>
        <w:rPr>
          <w:lang w:eastAsia="en-AU"/>
        </w:rPr>
      </w:pPr>
      <w:r w:rsidRPr="00276391">
        <w:rPr>
          <w:lang w:eastAsia="en-AU"/>
        </w:rPr>
        <w:t>Responsibility for a client's fire safety is not specifically part of the funded service but is implied through common law or other duty of care requirements.</w:t>
      </w:r>
    </w:p>
    <w:p w14:paraId="77E7DD6C" w14:textId="77777777" w:rsidR="00BF1473" w:rsidRPr="00276391" w:rsidRDefault="00BF1473" w:rsidP="00BF1473">
      <w:pPr>
        <w:pStyle w:val="DHHSbodyBold"/>
        <w:rPr>
          <w:lang w:eastAsia="en-AU"/>
        </w:rPr>
      </w:pPr>
      <w:r w:rsidRPr="00276391">
        <w:rPr>
          <w:lang w:eastAsia="en-AU"/>
        </w:rPr>
        <w:t>Other services</w:t>
      </w:r>
    </w:p>
    <w:p w14:paraId="15267AEA" w14:textId="77777777" w:rsidR="00BF1473" w:rsidRPr="00276391" w:rsidRDefault="00BF1473" w:rsidP="00BF1473">
      <w:pPr>
        <w:pStyle w:val="DHHSbody"/>
        <w:rPr>
          <w:lang w:eastAsia="en-AU"/>
        </w:rPr>
      </w:pPr>
      <w:r w:rsidRPr="00276391">
        <w:rPr>
          <w:lang w:eastAsia="en-AU"/>
        </w:rPr>
        <w:t>For services other than in the client's home, the organisation is required to ensure that the people in its care are appropriately protected from fire risk. This includes premises, operational readiness and client placement.</w:t>
      </w:r>
    </w:p>
    <w:p w14:paraId="00460E19" w14:textId="77777777" w:rsidR="00BF1473" w:rsidRPr="00276391" w:rsidRDefault="00BF1473" w:rsidP="00BF1473">
      <w:pPr>
        <w:pStyle w:val="DHHSbodyBold"/>
        <w:rPr>
          <w:lang w:eastAsia="en-AU"/>
        </w:rPr>
      </w:pPr>
      <w:r w:rsidRPr="00276391">
        <w:rPr>
          <w:lang w:eastAsia="en-AU"/>
        </w:rPr>
        <w:t>Prem</w:t>
      </w:r>
      <w:r w:rsidRPr="0034291A">
        <w:t>i</w:t>
      </w:r>
      <w:r w:rsidRPr="00276391">
        <w:rPr>
          <w:lang w:eastAsia="en-AU"/>
        </w:rPr>
        <w:t>ses</w:t>
      </w:r>
    </w:p>
    <w:p w14:paraId="1A977335" w14:textId="1413EE37" w:rsidR="00BF1473" w:rsidRPr="00276391" w:rsidRDefault="00BF1473" w:rsidP="00BF1473">
      <w:pPr>
        <w:pStyle w:val="DHHSbody"/>
        <w:rPr>
          <w:lang w:eastAsia="en-AU"/>
        </w:rPr>
      </w:pPr>
      <w:r w:rsidRPr="00276391">
        <w:rPr>
          <w:lang w:eastAsia="en-AU"/>
        </w:rPr>
        <w:t>The department expects that the premises meet the relevant building local laws, regulations or legislation in force at the time of construction, including provisions that apply retrospectively (for example, requirement for smoke alarms</w:t>
      </w:r>
      <w:r>
        <w:rPr>
          <w:lang w:eastAsia="en-AU"/>
        </w:rPr>
        <w:t xml:space="preserve"> and fire sprinklers</w:t>
      </w:r>
      <w:r w:rsidRPr="00276391">
        <w:rPr>
          <w:lang w:eastAsia="en-AU"/>
        </w:rPr>
        <w:t xml:space="preserve">). Any subsequent building works </w:t>
      </w:r>
      <w:r>
        <w:rPr>
          <w:lang w:eastAsia="en-AU"/>
        </w:rPr>
        <w:t>must</w:t>
      </w:r>
      <w:r w:rsidRPr="00276391">
        <w:rPr>
          <w:lang w:eastAsia="en-AU"/>
        </w:rPr>
        <w:t xml:space="preserve"> meet the relevant building </w:t>
      </w:r>
      <w:r>
        <w:rPr>
          <w:lang w:eastAsia="en-AU"/>
        </w:rPr>
        <w:t>permit</w:t>
      </w:r>
      <w:r w:rsidRPr="00276391">
        <w:rPr>
          <w:lang w:eastAsia="en-AU"/>
        </w:rPr>
        <w:t xml:space="preserve"> provisions at the corresponding time.</w:t>
      </w:r>
    </w:p>
    <w:p w14:paraId="3F2B6C7B" w14:textId="422A085D" w:rsidR="00BF1473" w:rsidRPr="00276391" w:rsidRDefault="00BF1473" w:rsidP="00BF1473">
      <w:pPr>
        <w:pStyle w:val="DHHSbody"/>
        <w:rPr>
          <w:lang w:eastAsia="en-AU"/>
        </w:rPr>
      </w:pPr>
      <w:r w:rsidRPr="00276391">
        <w:rPr>
          <w:lang w:eastAsia="en-AU"/>
        </w:rPr>
        <w:t xml:space="preserve">Where this is not the case, or where the organisation determines that the premises do not provide an appropriate level of fire safety, the organisation is expected to ensure that the premises are brought up to minimum regulatory standard and in compliance with the </w:t>
      </w:r>
      <w:hyperlink r:id="rId160" w:tgtFrame="_blank" w:history="1">
        <w:r w:rsidRPr="00986D1E">
          <w:rPr>
            <w:rStyle w:val="Hyperlink"/>
          </w:rPr>
          <w:t>Capital Development Guidelines, Series 7, Fire Risk Management, August 2013</w:t>
        </w:r>
      </w:hyperlink>
      <w:r w:rsidRPr="00276391">
        <w:rPr>
          <w:lang w:eastAsia="en-AU"/>
        </w:rPr>
        <w:t xml:space="preserve"> </w:t>
      </w:r>
      <w:r>
        <w:rPr>
          <w:lang w:eastAsia="en-AU"/>
        </w:rPr>
        <w:t>&lt;</w:t>
      </w:r>
      <w:r w:rsidR="00562789" w:rsidRPr="00390713">
        <w:rPr>
          <w:rFonts w:cs="Arial"/>
          <w:color w:val="000000"/>
          <w:szCs w:val="19"/>
          <w:lang w:eastAsia="en-AU"/>
        </w:rPr>
        <w:t>https://providers.dhhs.vic.gov.au/capital-development-guidelines-series-7</w:t>
      </w:r>
      <w:r>
        <w:rPr>
          <w:lang w:eastAsia="en-AU"/>
        </w:rPr>
        <w:t>&gt;</w:t>
      </w:r>
      <w:r w:rsidRPr="006205AA">
        <w:rPr>
          <w:lang w:eastAsia="en-AU"/>
        </w:rPr>
        <w:t xml:space="preserve"> </w:t>
      </w:r>
      <w:r w:rsidRPr="00276391">
        <w:rPr>
          <w:lang w:eastAsia="en-AU"/>
        </w:rPr>
        <w:t>(external link, opens in a new window).</w:t>
      </w:r>
    </w:p>
    <w:p w14:paraId="7FED83AD" w14:textId="77777777" w:rsidR="00BF1473" w:rsidRPr="00276391" w:rsidRDefault="00BF1473" w:rsidP="00BF1473">
      <w:pPr>
        <w:pStyle w:val="DHHSbodyBold"/>
        <w:rPr>
          <w:lang w:eastAsia="en-AU"/>
        </w:rPr>
      </w:pPr>
      <w:r w:rsidRPr="00276391">
        <w:rPr>
          <w:lang w:eastAsia="en-AU"/>
        </w:rPr>
        <w:t>Operational readiness</w:t>
      </w:r>
    </w:p>
    <w:p w14:paraId="55E183D3" w14:textId="77777777" w:rsidR="00BF1473" w:rsidRPr="00276391" w:rsidRDefault="00BF1473" w:rsidP="00BF1473">
      <w:pPr>
        <w:pStyle w:val="DHHSbody"/>
        <w:rPr>
          <w:lang w:eastAsia="en-AU"/>
        </w:rPr>
      </w:pPr>
      <w:r w:rsidRPr="00276391">
        <w:rPr>
          <w:lang w:eastAsia="en-AU"/>
        </w:rPr>
        <w:t>The organisation must ensure that appropriate operational readiness measures are developed, implemented and reviewed. This includes (but is not limited to) fire emergency management and evacuation procedures, training of staff to implement the procedures developed, and maintenance of fire safety systems.</w:t>
      </w:r>
    </w:p>
    <w:p w14:paraId="478B18C8" w14:textId="77777777" w:rsidR="00BF1473" w:rsidRPr="00276391" w:rsidRDefault="00BF1473" w:rsidP="00BF1473">
      <w:pPr>
        <w:pStyle w:val="DHHSbodyBold"/>
        <w:rPr>
          <w:lang w:eastAsia="en-AU"/>
        </w:rPr>
      </w:pPr>
      <w:r w:rsidRPr="00276391">
        <w:rPr>
          <w:lang w:eastAsia="en-AU"/>
        </w:rPr>
        <w:t>Management Tasks</w:t>
      </w:r>
    </w:p>
    <w:p w14:paraId="3E429669" w14:textId="261D37FA" w:rsidR="00BF1473" w:rsidRPr="00276391" w:rsidRDefault="00BF1473" w:rsidP="00921D8B">
      <w:pPr>
        <w:pStyle w:val="DHHSbullet1"/>
        <w:numPr>
          <w:ilvl w:val="0"/>
          <w:numId w:val="0"/>
        </w:numPr>
        <w:rPr>
          <w:rFonts w:cs="Arial"/>
          <w:lang w:eastAsia="en-AU"/>
        </w:rPr>
      </w:pPr>
      <w:r w:rsidRPr="00276391">
        <w:rPr>
          <w:rFonts w:cs="Arial"/>
          <w:lang w:eastAsia="en-AU"/>
        </w:rPr>
        <w:t>The organisation must ensure that appropriate fire safety re</w:t>
      </w:r>
      <w:r w:rsidR="00921D8B">
        <w:rPr>
          <w:rFonts w:cs="Arial"/>
          <w:lang w:eastAsia="en-AU"/>
        </w:rPr>
        <w:t xml:space="preserve">adiness measures are developed, </w:t>
      </w:r>
      <w:r w:rsidRPr="00276391">
        <w:rPr>
          <w:rFonts w:cs="Arial"/>
          <w:lang w:eastAsia="en-AU"/>
        </w:rPr>
        <w:t>implemented and reviewed. This includes:</w:t>
      </w:r>
    </w:p>
    <w:p w14:paraId="1B910740" w14:textId="7A12387F" w:rsidR="00BF1473" w:rsidRPr="00276391" w:rsidRDefault="00BF1473" w:rsidP="00BF1473">
      <w:pPr>
        <w:pStyle w:val="DHHSbullet1"/>
        <w:numPr>
          <w:ilvl w:val="0"/>
          <w:numId w:val="14"/>
        </w:numPr>
        <w:rPr>
          <w:rFonts w:cs="Arial"/>
          <w:lang w:eastAsia="en-AU"/>
        </w:rPr>
      </w:pPr>
      <w:r w:rsidRPr="00276391">
        <w:rPr>
          <w:rFonts w:cs="Arial"/>
          <w:lang w:eastAsia="en-AU"/>
        </w:rPr>
        <w:lastRenderedPageBreak/>
        <w:t>holding a current fire risk audit tha</w:t>
      </w:r>
      <w:r w:rsidR="00921D8B">
        <w:rPr>
          <w:rFonts w:cs="Arial"/>
          <w:lang w:eastAsia="en-AU"/>
        </w:rPr>
        <w:t>t is less than 5 years old</w:t>
      </w:r>
    </w:p>
    <w:p w14:paraId="25CFD235" w14:textId="01BE3B24" w:rsidR="00BF1473" w:rsidRPr="00276391" w:rsidRDefault="00BF1473" w:rsidP="00BF1473">
      <w:pPr>
        <w:pStyle w:val="DHHSbullet1"/>
        <w:numPr>
          <w:ilvl w:val="0"/>
          <w:numId w:val="14"/>
        </w:numPr>
        <w:rPr>
          <w:rFonts w:cs="Arial"/>
          <w:lang w:eastAsia="en-AU"/>
        </w:rPr>
      </w:pPr>
      <w:r w:rsidRPr="00276391">
        <w:rPr>
          <w:rFonts w:cs="Arial"/>
          <w:lang w:eastAsia="en-AU"/>
        </w:rPr>
        <w:t>fire emergency manag</w:t>
      </w:r>
      <w:r w:rsidR="00921D8B">
        <w:rPr>
          <w:rFonts w:cs="Arial"/>
          <w:lang w:eastAsia="en-AU"/>
        </w:rPr>
        <w:t>ement and evacuation procedures</w:t>
      </w:r>
    </w:p>
    <w:p w14:paraId="30BFF852" w14:textId="4A593DF0" w:rsidR="00BF1473" w:rsidRPr="00276391" w:rsidRDefault="00BF1473" w:rsidP="00BF1473">
      <w:pPr>
        <w:pStyle w:val="DHHSbullet1"/>
        <w:numPr>
          <w:ilvl w:val="0"/>
          <w:numId w:val="14"/>
        </w:numPr>
        <w:rPr>
          <w:rFonts w:cs="Arial"/>
          <w:lang w:eastAsia="en-AU"/>
        </w:rPr>
      </w:pPr>
      <w:r w:rsidRPr="00276391">
        <w:rPr>
          <w:rFonts w:cs="Arial"/>
          <w:lang w:eastAsia="en-AU"/>
        </w:rPr>
        <w:t>training of staff to imp</w:t>
      </w:r>
      <w:r w:rsidR="00921D8B">
        <w:rPr>
          <w:rFonts w:cs="Arial"/>
          <w:lang w:eastAsia="en-AU"/>
        </w:rPr>
        <w:t>lement the procedures developed</w:t>
      </w:r>
    </w:p>
    <w:p w14:paraId="7615B9BA" w14:textId="7230A6CA" w:rsidR="00FE480B" w:rsidRDefault="00BF1473" w:rsidP="00BF1473">
      <w:pPr>
        <w:pStyle w:val="DHHSbullet1"/>
        <w:numPr>
          <w:ilvl w:val="0"/>
          <w:numId w:val="14"/>
        </w:numPr>
        <w:rPr>
          <w:rFonts w:cs="Arial"/>
          <w:lang w:eastAsia="en-AU"/>
        </w:rPr>
      </w:pPr>
      <w:r w:rsidRPr="00276391">
        <w:rPr>
          <w:rFonts w:cs="Arial"/>
          <w:lang w:eastAsia="en-AU"/>
        </w:rPr>
        <w:t xml:space="preserve">maintenance of all the fire safety systems and any deviations </w:t>
      </w:r>
      <w:r w:rsidR="00921D8B">
        <w:rPr>
          <w:rFonts w:cs="Arial"/>
          <w:lang w:eastAsia="en-AU"/>
        </w:rPr>
        <w:t>through an alternative solution</w:t>
      </w:r>
    </w:p>
    <w:p w14:paraId="3780FEB4" w14:textId="3A831646" w:rsidR="00BF1473" w:rsidRPr="00FE480B" w:rsidRDefault="00BF1473" w:rsidP="00BF1473">
      <w:pPr>
        <w:pStyle w:val="DHHSbullet1"/>
        <w:numPr>
          <w:ilvl w:val="0"/>
          <w:numId w:val="14"/>
        </w:numPr>
        <w:rPr>
          <w:rFonts w:cs="Arial"/>
          <w:lang w:eastAsia="en-AU"/>
        </w:rPr>
      </w:pPr>
      <w:r w:rsidRPr="00FE480B">
        <w:rPr>
          <w:rFonts w:cs="Arial"/>
          <w:color w:val="000000"/>
          <w:szCs w:val="19"/>
          <w:lang w:eastAsia="en-AU"/>
        </w:rPr>
        <w:t xml:space="preserve">holding or having access to a current Fire Safety Handbook as defined in the current </w:t>
      </w:r>
      <w:hyperlink r:id="rId161" w:tgtFrame="_blank" w:history="1">
        <w:r w:rsidRPr="00986D1E">
          <w:rPr>
            <w:rStyle w:val="Hyperlink"/>
          </w:rPr>
          <w:t>Capital Development Guidelines Series 7, Fire Risk Management, August 2013</w:t>
        </w:r>
      </w:hyperlink>
      <w:r w:rsidRPr="00FE480B">
        <w:rPr>
          <w:rFonts w:cs="Arial"/>
          <w:color w:val="000000"/>
          <w:szCs w:val="19"/>
          <w:lang w:eastAsia="en-AU"/>
        </w:rPr>
        <w:t xml:space="preserve"> &lt;</w:t>
      </w:r>
      <w:r w:rsidR="00EA74AB" w:rsidRPr="00FE480B">
        <w:rPr>
          <w:rFonts w:cs="Arial"/>
          <w:color w:val="000000"/>
          <w:szCs w:val="19"/>
          <w:lang w:eastAsia="en-AU"/>
        </w:rPr>
        <w:t>https://providers.dhhs.vic.gov.au/capital-development-guidelines-series-7</w:t>
      </w:r>
      <w:r w:rsidR="00F352C6" w:rsidRPr="00FE480B">
        <w:rPr>
          <w:rFonts w:cs="Arial"/>
          <w:color w:val="000000"/>
          <w:szCs w:val="19"/>
          <w:lang w:eastAsia="en-AU"/>
        </w:rPr>
        <w:t>&gt;</w:t>
      </w:r>
      <w:r w:rsidR="00EA74AB" w:rsidRPr="00FE480B">
        <w:rPr>
          <w:rFonts w:cs="Arial"/>
          <w:color w:val="000000"/>
          <w:szCs w:val="19"/>
          <w:lang w:eastAsia="en-AU"/>
        </w:rPr>
        <w:t xml:space="preserve"> </w:t>
      </w:r>
      <w:r w:rsidRPr="00FE480B">
        <w:rPr>
          <w:rFonts w:cs="Arial"/>
          <w:color w:val="000000"/>
          <w:szCs w:val="19"/>
          <w:lang w:eastAsia="en-AU"/>
        </w:rPr>
        <w:t>(external link, opens in a new window).</w:t>
      </w:r>
    </w:p>
    <w:p w14:paraId="6AB81734" w14:textId="77777777" w:rsidR="00BF1473" w:rsidRPr="00276391" w:rsidRDefault="00BF1473" w:rsidP="00BF1473">
      <w:pPr>
        <w:pStyle w:val="DHHSbody"/>
        <w:rPr>
          <w:lang w:eastAsia="en-AU"/>
        </w:rPr>
      </w:pPr>
      <w:r w:rsidRPr="00276391">
        <w:rPr>
          <w:lang w:eastAsia="en-AU"/>
        </w:rPr>
        <w:t>It is expected that an organisation prepares for, responds to, and recovers from, emergencies in accordance with the 'all hazards' approach. This includes, but is not limited to, fire, bushfire, flood, relocation, evacuation and prolonged service interruption.</w:t>
      </w:r>
    </w:p>
    <w:p w14:paraId="335F2199" w14:textId="77777777" w:rsidR="00BF1473" w:rsidRPr="00276391" w:rsidRDefault="00BF1473" w:rsidP="00BF1473">
      <w:pPr>
        <w:pStyle w:val="DHHSbody"/>
        <w:rPr>
          <w:lang w:eastAsia="en-AU"/>
        </w:rPr>
      </w:pPr>
      <w:r w:rsidRPr="00276391">
        <w:rPr>
          <w:lang w:eastAsia="en-AU"/>
        </w:rPr>
        <w:t xml:space="preserve">Additionally, the organisation must ensure essential </w:t>
      </w:r>
      <w:r>
        <w:rPr>
          <w:lang w:eastAsia="en-AU"/>
        </w:rPr>
        <w:t xml:space="preserve">safety measures (as defined in the Building regulations) </w:t>
      </w:r>
      <w:r w:rsidRPr="00276391">
        <w:rPr>
          <w:lang w:eastAsia="en-AU"/>
        </w:rPr>
        <w:t xml:space="preserve">are </w:t>
      </w:r>
      <w:r>
        <w:rPr>
          <w:lang w:eastAsia="en-AU"/>
        </w:rPr>
        <w:t>adequately maintained, and an annual essential safety measures report is prepared each anniversary after the date of the relevant occupancy permit for the building.</w:t>
      </w:r>
    </w:p>
    <w:p w14:paraId="6398C026" w14:textId="77777777" w:rsidR="00BF1473" w:rsidRPr="00276391" w:rsidRDefault="00BF1473" w:rsidP="00BF1473">
      <w:pPr>
        <w:pStyle w:val="DHHSbodyBold"/>
        <w:rPr>
          <w:lang w:eastAsia="en-AU"/>
        </w:rPr>
      </w:pPr>
      <w:r w:rsidRPr="00276391">
        <w:rPr>
          <w:lang w:eastAsia="en-AU"/>
        </w:rPr>
        <w:t>Client placement</w:t>
      </w:r>
    </w:p>
    <w:p w14:paraId="76105C46" w14:textId="77777777" w:rsidR="00BF1473" w:rsidRPr="00276391" w:rsidRDefault="00BF1473" w:rsidP="00BF1473">
      <w:pPr>
        <w:pStyle w:val="DHHSbody"/>
        <w:rPr>
          <w:lang w:eastAsia="en-AU"/>
        </w:rPr>
      </w:pPr>
      <w:r w:rsidRPr="00276391">
        <w:rPr>
          <w:lang w:eastAsia="en-AU"/>
        </w:rPr>
        <w:t xml:space="preserve">Where the </w:t>
      </w:r>
      <w:r w:rsidRPr="00276391">
        <w:rPr>
          <w:b/>
          <w:bCs/>
          <w:lang w:eastAsia="en-AU"/>
        </w:rPr>
        <w:t>organisation selects the clients</w:t>
      </w:r>
      <w:r w:rsidRPr="00276391">
        <w:rPr>
          <w:lang w:eastAsia="en-AU"/>
        </w:rPr>
        <w:t xml:space="preserve"> for </w:t>
      </w:r>
      <w:proofErr w:type="gramStart"/>
      <w:r w:rsidRPr="00276391">
        <w:rPr>
          <w:lang w:eastAsia="en-AU"/>
        </w:rPr>
        <w:t>bed based</w:t>
      </w:r>
      <w:proofErr w:type="gramEnd"/>
      <w:r w:rsidRPr="00276391">
        <w:rPr>
          <w:lang w:eastAsia="en-AU"/>
        </w:rPr>
        <w:t xml:space="preserve"> services, the organisation must determine whether the premises are suitable for the client to be evacuated safely, taking into account the fire systems installed and the capacity of the client to evacuate. Where changes occur that may affect the client's ongoing ability to evacuate safely, the suitability of the placement must be reassessed immediately and appropriate action taken as soon as possible.</w:t>
      </w:r>
    </w:p>
    <w:p w14:paraId="6CB0EDE7" w14:textId="77777777" w:rsidR="00BF1473" w:rsidRPr="00276391" w:rsidRDefault="00BF1473" w:rsidP="00BF1473">
      <w:pPr>
        <w:pStyle w:val="DHHSbody"/>
        <w:rPr>
          <w:lang w:eastAsia="en-AU"/>
        </w:rPr>
      </w:pPr>
      <w:r w:rsidRPr="00276391">
        <w:rPr>
          <w:lang w:eastAsia="en-AU"/>
        </w:rPr>
        <w:t xml:space="preserve">Where the </w:t>
      </w:r>
      <w:r w:rsidRPr="00276391">
        <w:rPr>
          <w:b/>
          <w:bCs/>
          <w:lang w:eastAsia="en-AU"/>
        </w:rPr>
        <w:t>organisation does not select the clients</w:t>
      </w:r>
      <w:r w:rsidRPr="00276391">
        <w:rPr>
          <w:lang w:eastAsia="en-AU"/>
        </w:rPr>
        <w:t>, the organisation is still required to monitor any relevant changes that may affect the client's ongoing ability to evacuate safely, assess the suitability of the placement, and take appropriate action as soon as possible.</w:t>
      </w:r>
    </w:p>
    <w:p w14:paraId="5AA39627" w14:textId="77777777" w:rsidR="00BF1473" w:rsidRPr="00276391" w:rsidRDefault="00BF1473" w:rsidP="00BF1473">
      <w:pPr>
        <w:pStyle w:val="Heading4"/>
        <w:rPr>
          <w:lang w:eastAsia="en-AU"/>
        </w:rPr>
      </w:pPr>
      <w:r w:rsidRPr="00276391">
        <w:rPr>
          <w:lang w:eastAsia="en-AU"/>
        </w:rPr>
        <w:t>Table 1 Fire safety - additional requirements</w:t>
      </w:r>
    </w:p>
    <w:tbl>
      <w:tblPr>
        <w:tblW w:w="961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1113"/>
        <w:gridCol w:w="1559"/>
        <w:gridCol w:w="2551"/>
        <w:gridCol w:w="2268"/>
        <w:gridCol w:w="2127"/>
      </w:tblGrid>
      <w:tr w:rsidR="00BF1473" w:rsidRPr="00276391" w14:paraId="1E70194C" w14:textId="77777777" w:rsidTr="00D30093">
        <w:trPr>
          <w:tblHeader/>
        </w:trPr>
        <w:tc>
          <w:tcPr>
            <w:tcW w:w="1113"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14:paraId="50C42AE9" w14:textId="77777777" w:rsidR="00BF1473" w:rsidRPr="00276391" w:rsidRDefault="00BF1473" w:rsidP="00D30093">
            <w:pPr>
              <w:pStyle w:val="DHHStablecolhead"/>
              <w:rPr>
                <w:lang w:eastAsia="en-AU"/>
              </w:rPr>
            </w:pPr>
            <w:r w:rsidRPr="00B24C02">
              <w:rPr>
                <w:lang w:eastAsia="en-AU"/>
              </w:rPr>
              <w:t>Standard No.</w:t>
            </w:r>
          </w:p>
        </w:tc>
        <w:tc>
          <w:tcPr>
            <w:tcW w:w="1559"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14:paraId="10AF1732" w14:textId="77777777" w:rsidR="00BF1473" w:rsidRPr="00276391" w:rsidRDefault="00BF1473" w:rsidP="00D30093">
            <w:pPr>
              <w:pStyle w:val="DHHStablecolhead"/>
              <w:rPr>
                <w:lang w:eastAsia="en-AU"/>
              </w:rPr>
            </w:pPr>
            <w:r w:rsidRPr="00B24C02">
              <w:rPr>
                <w:lang w:eastAsia="en-AU"/>
              </w:rPr>
              <w:t>Name of Standard</w:t>
            </w:r>
          </w:p>
        </w:tc>
        <w:tc>
          <w:tcPr>
            <w:tcW w:w="2551"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14:paraId="281997E1" w14:textId="77777777" w:rsidR="00BF1473" w:rsidRPr="00276391" w:rsidRDefault="00BF1473" w:rsidP="00D30093">
            <w:pPr>
              <w:pStyle w:val="DHHStablecolhead"/>
              <w:rPr>
                <w:lang w:eastAsia="en-AU"/>
              </w:rPr>
            </w:pPr>
            <w:r w:rsidRPr="00B24C02">
              <w:rPr>
                <w:lang w:eastAsia="en-AU"/>
              </w:rPr>
              <w:t>Application (summarised - see Figure 1)</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14:paraId="78E46DD9" w14:textId="77777777" w:rsidR="00BF1473" w:rsidRPr="00276391" w:rsidRDefault="00BF1473" w:rsidP="00D30093">
            <w:pPr>
              <w:pStyle w:val="DHHStablecolhead"/>
              <w:rPr>
                <w:lang w:eastAsia="en-AU"/>
              </w:rPr>
            </w:pPr>
            <w:r w:rsidRPr="00B24C02">
              <w:rPr>
                <w:lang w:eastAsia="en-AU"/>
              </w:rPr>
              <w:t>Departmental Guideline accompanying the standard</w:t>
            </w:r>
          </w:p>
        </w:tc>
        <w:tc>
          <w:tcPr>
            <w:tcW w:w="2127"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hideMark/>
          </w:tcPr>
          <w:p w14:paraId="6E57193D" w14:textId="77777777" w:rsidR="00BF1473" w:rsidRPr="00276391" w:rsidRDefault="00BF1473" w:rsidP="00D30093">
            <w:pPr>
              <w:pStyle w:val="DHHStablecolhead"/>
              <w:rPr>
                <w:lang w:eastAsia="en-AU"/>
              </w:rPr>
            </w:pPr>
            <w:r w:rsidRPr="00B24C02">
              <w:rPr>
                <w:lang w:eastAsia="en-AU"/>
              </w:rPr>
              <w:t>Fire Safety Certificate No.</w:t>
            </w:r>
          </w:p>
        </w:tc>
      </w:tr>
      <w:tr w:rsidR="00BF1473" w:rsidRPr="00276391" w14:paraId="0B383A1B" w14:textId="77777777" w:rsidTr="00D30093">
        <w:tc>
          <w:tcPr>
            <w:tcW w:w="1113"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4D872DE2" w14:textId="77777777" w:rsidR="00BF1473" w:rsidRPr="00276391" w:rsidRDefault="00BF1473" w:rsidP="00D30093">
            <w:pPr>
              <w:pStyle w:val="DHHStabletext"/>
              <w:rPr>
                <w:lang w:eastAsia="en-AU"/>
              </w:rPr>
            </w:pPr>
            <w:r w:rsidRPr="00B24C02">
              <w:rPr>
                <w:rFonts w:cs="Arial"/>
                <w:color w:val="000000"/>
                <w:szCs w:val="19"/>
                <w:lang w:eastAsia="en-AU"/>
              </w:rPr>
              <w:t>1</w:t>
            </w:r>
          </w:p>
        </w:tc>
        <w:tc>
          <w:tcPr>
            <w:tcW w:w="1559"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55F8168F" w14:textId="77777777" w:rsidR="00BF1473" w:rsidRPr="00276391" w:rsidRDefault="00BF1473" w:rsidP="00D30093">
            <w:pPr>
              <w:pStyle w:val="DHHStabletext"/>
              <w:rPr>
                <w:lang w:eastAsia="en-AU"/>
              </w:rPr>
            </w:pPr>
            <w:r w:rsidRPr="00B24C02">
              <w:rPr>
                <w:rFonts w:cs="Arial"/>
                <w:color w:val="000000"/>
                <w:szCs w:val="19"/>
                <w:lang w:eastAsia="en-AU"/>
              </w:rPr>
              <w:t>Lead Tenant/Home Based Care Services Fire Safety Standard</w:t>
            </w:r>
          </w:p>
        </w:tc>
        <w:tc>
          <w:tcPr>
            <w:tcW w:w="2551"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29865586" w14:textId="77777777" w:rsidR="00BF1473" w:rsidRPr="00276391" w:rsidRDefault="00BF1473" w:rsidP="00D30093">
            <w:pPr>
              <w:pStyle w:val="DHHStabletext"/>
              <w:rPr>
                <w:lang w:eastAsia="en-AU"/>
              </w:rPr>
            </w:pPr>
            <w:r w:rsidRPr="00B24C02">
              <w:rPr>
                <w:rFonts w:cs="Arial"/>
                <w:color w:val="000000"/>
                <w:szCs w:val="19"/>
                <w:lang w:eastAsia="en-AU"/>
              </w:rPr>
              <w:t xml:space="preserve">Lead tenant services - otherwise Standard No.5 applies. </w:t>
            </w:r>
          </w:p>
          <w:p w14:paraId="218BCCE6" w14:textId="77777777" w:rsidR="00BF1473" w:rsidRPr="00276391" w:rsidRDefault="00BF1473" w:rsidP="00D30093">
            <w:pPr>
              <w:pStyle w:val="DHHStabletext"/>
              <w:rPr>
                <w:lang w:eastAsia="en-AU"/>
              </w:rPr>
            </w:pPr>
            <w:r w:rsidRPr="00276391">
              <w:rPr>
                <w:lang w:eastAsia="en-AU"/>
              </w:rPr>
              <w:t xml:space="preserve">Bed based service provided in carer's private home and only to clients that are related - otherwise Standard No.5 applies. </w:t>
            </w:r>
          </w:p>
        </w:tc>
        <w:tc>
          <w:tcPr>
            <w:tcW w:w="2268"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B405785" w14:textId="77777777" w:rsidR="00BF1473" w:rsidRPr="00276391" w:rsidRDefault="00BF1473" w:rsidP="00D30093">
            <w:pPr>
              <w:pStyle w:val="DHHStabletext"/>
              <w:rPr>
                <w:lang w:eastAsia="en-AU"/>
              </w:rPr>
            </w:pPr>
            <w:r w:rsidRPr="00B24C02">
              <w:rPr>
                <w:rFonts w:cs="Arial"/>
                <w:color w:val="000000"/>
                <w:szCs w:val="19"/>
                <w:lang w:eastAsia="en-AU"/>
              </w:rPr>
              <w:t>Not applicable</w:t>
            </w:r>
          </w:p>
        </w:tc>
        <w:tc>
          <w:tcPr>
            <w:tcW w:w="2127" w:type="dxa"/>
            <w:tcBorders>
              <w:top w:val="single" w:sz="6" w:space="0" w:color="auto"/>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3E6A3320" w14:textId="77777777" w:rsidR="00BF1473" w:rsidRPr="00276391" w:rsidRDefault="00BF1473" w:rsidP="00D30093">
            <w:pPr>
              <w:pStyle w:val="DHHStabletext"/>
              <w:rPr>
                <w:lang w:eastAsia="en-AU"/>
              </w:rPr>
            </w:pPr>
            <w:r w:rsidRPr="00B24C02">
              <w:rPr>
                <w:rFonts w:cs="Arial"/>
                <w:color w:val="000000"/>
                <w:szCs w:val="19"/>
                <w:lang w:eastAsia="en-AU"/>
              </w:rPr>
              <w:t>Not required</w:t>
            </w:r>
          </w:p>
        </w:tc>
      </w:tr>
      <w:tr w:rsidR="00BF1473" w:rsidRPr="00276391" w14:paraId="5703ABFA" w14:textId="77777777" w:rsidTr="00D30093">
        <w:tc>
          <w:tcPr>
            <w:tcW w:w="1113"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719CB5E" w14:textId="77777777" w:rsidR="00BF1473" w:rsidRPr="00276391" w:rsidRDefault="00BF1473" w:rsidP="00D30093">
            <w:pPr>
              <w:pStyle w:val="DHHStabletext"/>
              <w:rPr>
                <w:lang w:eastAsia="en-AU"/>
              </w:rPr>
            </w:pPr>
            <w:r w:rsidRPr="00B24C02">
              <w:rPr>
                <w:rFonts w:cs="Arial"/>
                <w:color w:val="000000"/>
                <w:szCs w:val="19"/>
                <w:lang w:eastAsia="en-AU"/>
              </w:rPr>
              <w:t>2</w:t>
            </w:r>
          </w:p>
        </w:tc>
        <w:tc>
          <w:tcPr>
            <w:tcW w:w="1559"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39B996A" w14:textId="77777777" w:rsidR="00BF1473" w:rsidRPr="00276391" w:rsidRDefault="00BF1473" w:rsidP="00D30093">
            <w:pPr>
              <w:pStyle w:val="DHHStabletext"/>
              <w:rPr>
                <w:lang w:eastAsia="en-AU"/>
              </w:rPr>
            </w:pPr>
            <w:r w:rsidRPr="00B24C02">
              <w:rPr>
                <w:rFonts w:cs="Arial"/>
                <w:color w:val="000000"/>
                <w:szCs w:val="19"/>
                <w:lang w:eastAsia="en-AU"/>
              </w:rPr>
              <w:t>Support Service Only Fire Safety Standard</w:t>
            </w:r>
          </w:p>
        </w:tc>
        <w:tc>
          <w:tcPr>
            <w:tcW w:w="2551"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35916D5" w14:textId="77777777" w:rsidR="00BF1473" w:rsidRPr="00276391" w:rsidRDefault="00BF1473" w:rsidP="00D30093">
            <w:pPr>
              <w:pStyle w:val="DHHStabletext"/>
              <w:rPr>
                <w:lang w:eastAsia="en-AU"/>
              </w:rPr>
            </w:pPr>
            <w:r w:rsidRPr="00B24C02">
              <w:rPr>
                <w:rFonts w:cs="Arial"/>
                <w:color w:val="000000"/>
                <w:szCs w:val="19"/>
                <w:lang w:eastAsia="en-AU"/>
              </w:rPr>
              <w:t>Service provided to a person in their private home (owned or leased) and excludes shared accommodation by unrelated clients – otherwise Standard No.5 applies.</w:t>
            </w:r>
          </w:p>
        </w:tc>
        <w:tc>
          <w:tcPr>
            <w:tcW w:w="2268"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BCD9A03" w14:textId="77777777" w:rsidR="00BF1473" w:rsidRPr="00276391" w:rsidRDefault="00BF1473" w:rsidP="00D30093">
            <w:pPr>
              <w:pStyle w:val="DHHStabletext"/>
              <w:rPr>
                <w:lang w:eastAsia="en-AU"/>
              </w:rPr>
            </w:pPr>
            <w:r w:rsidRPr="00B24C02">
              <w:rPr>
                <w:rFonts w:cs="Arial"/>
                <w:color w:val="000000"/>
                <w:szCs w:val="19"/>
                <w:lang w:eastAsia="en-AU"/>
              </w:rPr>
              <w:t>Not applicable</w:t>
            </w:r>
          </w:p>
        </w:tc>
        <w:tc>
          <w:tcPr>
            <w:tcW w:w="2127"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699A1425" w14:textId="77777777" w:rsidR="00BF1473" w:rsidRPr="00276391" w:rsidRDefault="00BF1473" w:rsidP="00D30093">
            <w:pPr>
              <w:pStyle w:val="DHHStabletext"/>
              <w:rPr>
                <w:lang w:eastAsia="en-AU"/>
              </w:rPr>
            </w:pPr>
            <w:r w:rsidRPr="00B24C02">
              <w:rPr>
                <w:rFonts w:cs="Arial"/>
                <w:color w:val="000000"/>
                <w:szCs w:val="19"/>
                <w:lang w:eastAsia="en-AU"/>
              </w:rPr>
              <w:t>Not required</w:t>
            </w:r>
          </w:p>
        </w:tc>
      </w:tr>
      <w:tr w:rsidR="00BF1473" w:rsidRPr="00276391" w14:paraId="460C15D6" w14:textId="77777777" w:rsidTr="00D30093">
        <w:tc>
          <w:tcPr>
            <w:tcW w:w="1113"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42E97C2C" w14:textId="77777777" w:rsidR="00BF1473" w:rsidRPr="00276391" w:rsidRDefault="00BF1473" w:rsidP="00D30093">
            <w:pPr>
              <w:pStyle w:val="DHHStabletext"/>
              <w:rPr>
                <w:lang w:eastAsia="en-AU"/>
              </w:rPr>
            </w:pPr>
            <w:r w:rsidRPr="00B24C02">
              <w:rPr>
                <w:rFonts w:cs="Arial"/>
                <w:color w:val="000000"/>
                <w:szCs w:val="19"/>
                <w:lang w:eastAsia="en-AU"/>
              </w:rPr>
              <w:t>3</w:t>
            </w:r>
          </w:p>
        </w:tc>
        <w:tc>
          <w:tcPr>
            <w:tcW w:w="1559"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124D8279" w14:textId="77777777" w:rsidR="00BF1473" w:rsidRPr="00276391" w:rsidRDefault="00BF1473" w:rsidP="00D30093">
            <w:pPr>
              <w:pStyle w:val="DHHStabletext"/>
              <w:rPr>
                <w:lang w:eastAsia="en-AU"/>
              </w:rPr>
            </w:pPr>
            <w:r w:rsidRPr="00B24C02">
              <w:rPr>
                <w:rFonts w:cs="Arial"/>
                <w:color w:val="000000"/>
                <w:szCs w:val="19"/>
                <w:lang w:eastAsia="en-AU"/>
              </w:rPr>
              <w:t xml:space="preserve">Relevant Authorities </w:t>
            </w:r>
            <w:r w:rsidRPr="00B24C02">
              <w:rPr>
                <w:rFonts w:cs="Arial"/>
                <w:color w:val="000000"/>
                <w:szCs w:val="19"/>
                <w:lang w:eastAsia="en-AU"/>
              </w:rPr>
              <w:lastRenderedPageBreak/>
              <w:t>Fire Safety Standard</w:t>
            </w:r>
          </w:p>
        </w:tc>
        <w:tc>
          <w:tcPr>
            <w:tcW w:w="2551"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4293114E" w14:textId="77777777" w:rsidR="00BF1473" w:rsidRPr="00276391" w:rsidRDefault="00BF1473" w:rsidP="00D30093">
            <w:pPr>
              <w:pStyle w:val="DHHStabletext"/>
              <w:rPr>
                <w:lang w:eastAsia="en-AU"/>
              </w:rPr>
            </w:pPr>
            <w:r w:rsidRPr="00B24C02">
              <w:rPr>
                <w:rFonts w:cs="Arial"/>
                <w:color w:val="000000"/>
                <w:szCs w:val="19"/>
                <w:lang w:eastAsia="en-AU"/>
              </w:rPr>
              <w:lastRenderedPageBreak/>
              <w:t xml:space="preserve">Bed based service intended for non-statutory clients in either </w:t>
            </w:r>
            <w:r w:rsidRPr="00B24C02">
              <w:rPr>
                <w:rFonts w:cs="Arial"/>
                <w:color w:val="000000"/>
                <w:szCs w:val="19"/>
                <w:lang w:eastAsia="en-AU"/>
              </w:rPr>
              <w:lastRenderedPageBreak/>
              <w:t xml:space="preserve">government or non-government owned premise, either with or without 24 </w:t>
            </w:r>
            <w:proofErr w:type="gramStart"/>
            <w:r w:rsidRPr="00B24C02">
              <w:rPr>
                <w:rFonts w:cs="Arial"/>
                <w:color w:val="000000"/>
                <w:szCs w:val="19"/>
                <w:lang w:eastAsia="en-AU"/>
              </w:rPr>
              <w:t>hour</w:t>
            </w:r>
            <w:proofErr w:type="gramEnd"/>
            <w:r w:rsidRPr="00B24C02">
              <w:rPr>
                <w:rFonts w:cs="Arial"/>
                <w:color w:val="000000"/>
                <w:szCs w:val="19"/>
                <w:lang w:eastAsia="en-AU"/>
              </w:rPr>
              <w:t xml:space="preserve"> rostered/live in staff support or supervision.</w:t>
            </w:r>
          </w:p>
        </w:tc>
        <w:tc>
          <w:tcPr>
            <w:tcW w:w="2268"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1F0BC3C4" w14:textId="77777777" w:rsidR="00BF1473" w:rsidRPr="00276391" w:rsidRDefault="00BF1473" w:rsidP="00D30093">
            <w:pPr>
              <w:pStyle w:val="DHHStabletext"/>
              <w:rPr>
                <w:lang w:eastAsia="en-AU"/>
              </w:rPr>
            </w:pPr>
            <w:r w:rsidRPr="00B24C02">
              <w:rPr>
                <w:rFonts w:cs="Arial"/>
                <w:color w:val="000000"/>
                <w:szCs w:val="19"/>
                <w:lang w:eastAsia="en-AU"/>
              </w:rPr>
              <w:lastRenderedPageBreak/>
              <w:t xml:space="preserve">Capital Development Guidelines, Series 7, Fire Risk </w:t>
            </w:r>
            <w:r w:rsidRPr="00B24C02">
              <w:rPr>
                <w:rFonts w:cs="Arial"/>
                <w:color w:val="000000"/>
                <w:szCs w:val="19"/>
                <w:lang w:eastAsia="en-AU"/>
              </w:rPr>
              <w:lastRenderedPageBreak/>
              <w:t>Management, August 2013</w:t>
            </w:r>
          </w:p>
        </w:tc>
        <w:tc>
          <w:tcPr>
            <w:tcW w:w="2127"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2161F54C" w14:textId="0C404A47" w:rsidR="00BF1473" w:rsidRPr="00276391" w:rsidRDefault="0016341D" w:rsidP="00D30093">
            <w:pPr>
              <w:pStyle w:val="DHHStabletext"/>
              <w:rPr>
                <w:lang w:eastAsia="en-AU"/>
              </w:rPr>
            </w:pPr>
            <w:hyperlink r:id="rId162" w:tgtFrame="_blank" w:history="1">
              <w:r w:rsidR="00BF1473" w:rsidRPr="00986D1E">
                <w:rPr>
                  <w:rStyle w:val="Hyperlink"/>
                </w:rPr>
                <w:t>Fire Safety Compliance - Certificate No. 3</w:t>
              </w:r>
            </w:hyperlink>
            <w:r w:rsidR="00BF1473" w:rsidRPr="00B24C02">
              <w:rPr>
                <w:rFonts w:cs="Arial"/>
                <w:color w:val="000000"/>
                <w:szCs w:val="19"/>
                <w:lang w:eastAsia="en-AU"/>
              </w:rPr>
              <w:t xml:space="preserve"> </w:t>
            </w:r>
            <w:r w:rsidR="00BF1473">
              <w:rPr>
                <w:rFonts w:cs="Arial"/>
                <w:color w:val="000000"/>
                <w:szCs w:val="19"/>
                <w:lang w:eastAsia="en-AU"/>
              </w:rPr>
              <w:lastRenderedPageBreak/>
              <w:t>&lt;</w:t>
            </w:r>
            <w:r w:rsidR="00EA74AB" w:rsidRPr="00EA74AB">
              <w:rPr>
                <w:rFonts w:cs="Arial"/>
                <w:color w:val="000000"/>
                <w:szCs w:val="19"/>
                <w:lang w:eastAsia="en-AU"/>
              </w:rPr>
              <w:t>https://providers.dhhs.vic.gov.au/fire-safety-compliance-certificate-no-3-word</w:t>
            </w:r>
            <w:r w:rsidR="00BF1473">
              <w:rPr>
                <w:rFonts w:cs="Arial"/>
                <w:color w:val="000000"/>
                <w:szCs w:val="19"/>
                <w:lang w:eastAsia="en-AU"/>
              </w:rPr>
              <w:t>&gt;</w:t>
            </w:r>
            <w:r w:rsidR="00BF1473" w:rsidRPr="006205AA">
              <w:rPr>
                <w:rFonts w:cs="Arial"/>
                <w:color w:val="000000"/>
                <w:szCs w:val="19"/>
                <w:lang w:eastAsia="en-AU"/>
              </w:rPr>
              <w:t xml:space="preserve"> </w:t>
            </w:r>
            <w:r w:rsidR="00BF1473" w:rsidRPr="00B24C02">
              <w:rPr>
                <w:rFonts w:cs="Arial"/>
                <w:color w:val="000000"/>
                <w:szCs w:val="19"/>
                <w:lang w:eastAsia="en-AU"/>
              </w:rPr>
              <w:t>(</w:t>
            </w:r>
            <w:r w:rsidR="00EA74AB">
              <w:rPr>
                <w:rFonts w:cs="Arial"/>
                <w:color w:val="000000"/>
                <w:szCs w:val="19"/>
                <w:lang w:eastAsia="en-AU"/>
              </w:rPr>
              <w:t xml:space="preserve">external link, </w:t>
            </w:r>
            <w:r w:rsidR="00BF1473" w:rsidRPr="00B24C02">
              <w:rPr>
                <w:rFonts w:cs="Arial"/>
                <w:color w:val="000000"/>
                <w:szCs w:val="19"/>
                <w:lang w:eastAsia="en-AU"/>
              </w:rPr>
              <w:t>open</w:t>
            </w:r>
            <w:r w:rsidR="00F352C6">
              <w:rPr>
                <w:rFonts w:cs="Arial"/>
                <w:color w:val="000000"/>
                <w:szCs w:val="19"/>
                <w:lang w:eastAsia="en-AU"/>
              </w:rPr>
              <w:t>s in a new window</w:t>
            </w:r>
            <w:r w:rsidR="00BF1473" w:rsidRPr="00B24C02">
              <w:rPr>
                <w:rFonts w:cs="Arial"/>
                <w:color w:val="000000"/>
                <w:szCs w:val="19"/>
                <w:lang w:eastAsia="en-AU"/>
              </w:rPr>
              <w:t>)</w:t>
            </w:r>
          </w:p>
        </w:tc>
      </w:tr>
      <w:tr w:rsidR="00BF1473" w:rsidRPr="00276391" w14:paraId="7592BDC2" w14:textId="77777777" w:rsidTr="00D30093">
        <w:tc>
          <w:tcPr>
            <w:tcW w:w="1113"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58AE998B" w14:textId="77777777" w:rsidR="00BF1473" w:rsidRPr="00276391" w:rsidRDefault="00BF1473" w:rsidP="00D30093">
            <w:pPr>
              <w:pStyle w:val="DHHStabletext"/>
              <w:rPr>
                <w:lang w:eastAsia="en-AU"/>
              </w:rPr>
            </w:pPr>
            <w:r w:rsidRPr="00B24C02">
              <w:rPr>
                <w:rFonts w:cs="Arial"/>
                <w:color w:val="000000"/>
                <w:szCs w:val="19"/>
                <w:lang w:eastAsia="en-AU"/>
              </w:rPr>
              <w:lastRenderedPageBreak/>
              <w:t>4</w:t>
            </w:r>
          </w:p>
        </w:tc>
        <w:tc>
          <w:tcPr>
            <w:tcW w:w="1559"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3D454B6E" w14:textId="77777777" w:rsidR="00BF1473" w:rsidRPr="00276391" w:rsidRDefault="00BF1473" w:rsidP="00D30093">
            <w:pPr>
              <w:pStyle w:val="DHHStabletext"/>
              <w:rPr>
                <w:lang w:eastAsia="en-AU"/>
              </w:rPr>
            </w:pPr>
            <w:r w:rsidRPr="00B24C02">
              <w:rPr>
                <w:rFonts w:cs="Arial"/>
                <w:color w:val="000000"/>
                <w:szCs w:val="19"/>
                <w:lang w:eastAsia="en-AU"/>
              </w:rPr>
              <w:t>Department's Fire Risk Management Standard</w:t>
            </w:r>
          </w:p>
        </w:tc>
        <w:tc>
          <w:tcPr>
            <w:tcW w:w="2551"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266B7DF3" w14:textId="77777777" w:rsidR="00BF1473" w:rsidRPr="00276391" w:rsidRDefault="00BF1473" w:rsidP="00D30093">
            <w:pPr>
              <w:pStyle w:val="DHHStabletext"/>
              <w:rPr>
                <w:lang w:eastAsia="en-AU"/>
              </w:rPr>
            </w:pPr>
            <w:r w:rsidRPr="00B24C02">
              <w:rPr>
                <w:rFonts w:cs="Arial"/>
                <w:color w:val="000000"/>
                <w:szCs w:val="19"/>
                <w:lang w:eastAsia="en-AU"/>
              </w:rPr>
              <w:t xml:space="preserve">Premises owned or leased by the State Government provided with </w:t>
            </w:r>
            <w:proofErr w:type="gramStart"/>
            <w:r w:rsidRPr="00B24C02">
              <w:rPr>
                <w:rFonts w:cs="Arial"/>
                <w:color w:val="000000"/>
                <w:szCs w:val="19"/>
                <w:lang w:eastAsia="en-AU"/>
              </w:rPr>
              <w:t>bed based</w:t>
            </w:r>
            <w:proofErr w:type="gramEnd"/>
            <w:r w:rsidRPr="00B24C02">
              <w:rPr>
                <w:rFonts w:cs="Arial"/>
                <w:color w:val="000000"/>
                <w:szCs w:val="19"/>
                <w:lang w:eastAsia="en-AU"/>
              </w:rPr>
              <w:t xml:space="preserve"> services receiving rostered/live-in staff support or supervision and intended to house statutory clients.</w:t>
            </w:r>
          </w:p>
        </w:tc>
        <w:tc>
          <w:tcPr>
            <w:tcW w:w="2268"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4CB9598" w14:textId="77777777" w:rsidR="00BF1473" w:rsidRPr="00276391" w:rsidRDefault="00BF1473" w:rsidP="00D30093">
            <w:pPr>
              <w:pStyle w:val="DHHStabletext"/>
              <w:rPr>
                <w:lang w:eastAsia="en-AU"/>
              </w:rPr>
            </w:pPr>
            <w:r w:rsidRPr="00B24C02">
              <w:rPr>
                <w:rFonts w:cs="Arial"/>
                <w:color w:val="000000"/>
                <w:szCs w:val="19"/>
                <w:lang w:eastAsia="en-AU"/>
              </w:rPr>
              <w:t>Capital Development Guidelines, Series 7, Fire Risk Management</w:t>
            </w:r>
          </w:p>
        </w:tc>
        <w:tc>
          <w:tcPr>
            <w:tcW w:w="2127"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1136922F" w14:textId="18D67BFD" w:rsidR="00BF1473" w:rsidRPr="00276391" w:rsidRDefault="0016341D" w:rsidP="00D30093">
            <w:pPr>
              <w:pStyle w:val="DHHStabletext"/>
              <w:rPr>
                <w:lang w:eastAsia="en-AU"/>
              </w:rPr>
            </w:pPr>
            <w:hyperlink r:id="rId163" w:tgtFrame="_blank" w:history="1">
              <w:r w:rsidR="00BF1473" w:rsidRPr="00986D1E">
                <w:rPr>
                  <w:rStyle w:val="Hyperlink"/>
                </w:rPr>
                <w:t>Fire Safety Compliance - Certificate No. 4</w:t>
              </w:r>
            </w:hyperlink>
            <w:r w:rsidR="00BF1473" w:rsidRPr="00B24C02">
              <w:rPr>
                <w:rFonts w:cs="Arial"/>
                <w:color w:val="000000"/>
                <w:szCs w:val="19"/>
                <w:lang w:eastAsia="en-AU"/>
              </w:rPr>
              <w:t xml:space="preserve"> </w:t>
            </w:r>
            <w:r w:rsidR="00BF1473">
              <w:rPr>
                <w:rFonts w:cs="Arial"/>
                <w:color w:val="000000"/>
                <w:szCs w:val="19"/>
                <w:lang w:eastAsia="en-AU"/>
              </w:rPr>
              <w:t>&lt;</w:t>
            </w:r>
            <w:r w:rsidR="00EA74AB" w:rsidRPr="00EA74AB">
              <w:rPr>
                <w:rFonts w:cs="Arial"/>
                <w:color w:val="000000"/>
                <w:szCs w:val="19"/>
                <w:lang w:eastAsia="en-AU"/>
              </w:rPr>
              <w:t>https://providers.dhhs.vic.gov.au/fire-safety-compliance-certificate-no-4-word</w:t>
            </w:r>
            <w:r w:rsidR="00BF1473">
              <w:rPr>
                <w:rFonts w:cs="Arial"/>
                <w:color w:val="000000"/>
                <w:szCs w:val="19"/>
                <w:lang w:eastAsia="en-AU"/>
              </w:rPr>
              <w:t xml:space="preserve">&gt; </w:t>
            </w:r>
            <w:r w:rsidR="00BF1473" w:rsidRPr="00B24C02">
              <w:rPr>
                <w:rFonts w:cs="Arial"/>
                <w:color w:val="000000"/>
                <w:szCs w:val="19"/>
                <w:lang w:eastAsia="en-AU"/>
              </w:rPr>
              <w:t>(</w:t>
            </w:r>
            <w:r w:rsidR="00EA74AB">
              <w:rPr>
                <w:rFonts w:cs="Arial"/>
                <w:color w:val="000000"/>
                <w:szCs w:val="19"/>
                <w:lang w:eastAsia="en-AU"/>
              </w:rPr>
              <w:t xml:space="preserve">external link, </w:t>
            </w:r>
            <w:r w:rsidR="00BF1473" w:rsidRPr="00B24C02">
              <w:rPr>
                <w:rFonts w:cs="Arial"/>
                <w:color w:val="000000"/>
                <w:szCs w:val="19"/>
                <w:lang w:eastAsia="en-AU"/>
              </w:rPr>
              <w:t>open</w:t>
            </w:r>
            <w:r w:rsidR="00F352C6">
              <w:rPr>
                <w:rFonts w:cs="Arial"/>
                <w:color w:val="000000"/>
                <w:szCs w:val="19"/>
                <w:lang w:eastAsia="en-AU"/>
              </w:rPr>
              <w:t>s in a new window</w:t>
            </w:r>
            <w:r w:rsidR="00BF1473" w:rsidRPr="00B24C02">
              <w:rPr>
                <w:rFonts w:cs="Arial"/>
                <w:color w:val="000000"/>
                <w:szCs w:val="19"/>
                <w:lang w:eastAsia="en-AU"/>
              </w:rPr>
              <w:t>)</w:t>
            </w:r>
          </w:p>
        </w:tc>
      </w:tr>
      <w:tr w:rsidR="00BF1473" w:rsidRPr="00276391" w14:paraId="3BB017C6" w14:textId="77777777" w:rsidTr="00D30093">
        <w:tc>
          <w:tcPr>
            <w:tcW w:w="1113"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1986AD85" w14:textId="77777777" w:rsidR="00BF1473" w:rsidRPr="00276391" w:rsidRDefault="00BF1473" w:rsidP="00D30093">
            <w:pPr>
              <w:pStyle w:val="DHHStabletext"/>
              <w:rPr>
                <w:lang w:eastAsia="en-AU"/>
              </w:rPr>
            </w:pPr>
            <w:r w:rsidRPr="00B24C02">
              <w:rPr>
                <w:rFonts w:cs="Arial"/>
                <w:color w:val="000000"/>
                <w:szCs w:val="19"/>
                <w:lang w:eastAsia="en-AU"/>
              </w:rPr>
              <w:t>5</w:t>
            </w:r>
          </w:p>
        </w:tc>
        <w:tc>
          <w:tcPr>
            <w:tcW w:w="1559"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5EBB8C53" w14:textId="77777777" w:rsidR="00BF1473" w:rsidRPr="00276391" w:rsidRDefault="00BF1473" w:rsidP="00D30093">
            <w:pPr>
              <w:pStyle w:val="DHHStabletext"/>
              <w:rPr>
                <w:lang w:eastAsia="en-AU"/>
              </w:rPr>
            </w:pPr>
            <w:r w:rsidRPr="00B24C02">
              <w:rPr>
                <w:rFonts w:cs="Arial"/>
                <w:color w:val="000000"/>
                <w:szCs w:val="19"/>
                <w:lang w:eastAsia="en-AU"/>
              </w:rPr>
              <w:t>Non-Government Organisation Premises Fire Safety Standard</w:t>
            </w:r>
          </w:p>
        </w:tc>
        <w:tc>
          <w:tcPr>
            <w:tcW w:w="2551"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5C033127" w14:textId="77777777" w:rsidR="00BF1473" w:rsidRPr="00276391" w:rsidRDefault="00BF1473" w:rsidP="00D30093">
            <w:pPr>
              <w:pStyle w:val="DHHStabletext"/>
              <w:rPr>
                <w:lang w:eastAsia="en-AU"/>
              </w:rPr>
            </w:pPr>
            <w:r w:rsidRPr="00B24C02">
              <w:rPr>
                <w:rFonts w:cs="Arial"/>
                <w:color w:val="000000"/>
                <w:szCs w:val="19"/>
                <w:lang w:eastAsia="en-AU"/>
              </w:rPr>
              <w:t xml:space="preserve">Premises (not a private home) owned or leased by organisations with </w:t>
            </w:r>
            <w:proofErr w:type="gramStart"/>
            <w:r w:rsidRPr="00B24C02">
              <w:rPr>
                <w:rFonts w:cs="Arial"/>
                <w:color w:val="000000"/>
                <w:szCs w:val="19"/>
                <w:lang w:eastAsia="en-AU"/>
              </w:rPr>
              <w:t>bed based</w:t>
            </w:r>
            <w:proofErr w:type="gramEnd"/>
            <w:r w:rsidRPr="00B24C02">
              <w:rPr>
                <w:rFonts w:cs="Arial"/>
                <w:color w:val="000000"/>
                <w:szCs w:val="19"/>
                <w:lang w:eastAsia="en-AU"/>
              </w:rPr>
              <w:t xml:space="preserve"> service receiving rostered/live-in staff support or supervision intended to house statutory clients.</w:t>
            </w:r>
          </w:p>
        </w:tc>
        <w:tc>
          <w:tcPr>
            <w:tcW w:w="2268"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01819FAE" w14:textId="77777777" w:rsidR="00BF1473" w:rsidRPr="00276391" w:rsidRDefault="00BF1473" w:rsidP="00D30093">
            <w:pPr>
              <w:pStyle w:val="DHHStabletext"/>
              <w:rPr>
                <w:lang w:eastAsia="en-AU"/>
              </w:rPr>
            </w:pPr>
            <w:r w:rsidRPr="00B24C02">
              <w:rPr>
                <w:rFonts w:cs="Arial"/>
                <w:color w:val="000000"/>
                <w:szCs w:val="19"/>
                <w:lang w:eastAsia="en-AU"/>
              </w:rPr>
              <w:t>Capital Development Guidelines, Series 7, Fire Risk Management, August 2013</w:t>
            </w:r>
          </w:p>
        </w:tc>
        <w:tc>
          <w:tcPr>
            <w:tcW w:w="2127"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hideMark/>
          </w:tcPr>
          <w:p w14:paraId="64D78903" w14:textId="79D491AB" w:rsidR="00BF1473" w:rsidRPr="00276391" w:rsidRDefault="0016341D" w:rsidP="00D30093">
            <w:pPr>
              <w:pStyle w:val="DHHStabletext"/>
              <w:rPr>
                <w:lang w:eastAsia="en-AU"/>
              </w:rPr>
            </w:pPr>
            <w:hyperlink r:id="rId164" w:tgtFrame="_blank" w:history="1">
              <w:r w:rsidR="00BF1473" w:rsidRPr="00986D1E">
                <w:rPr>
                  <w:rStyle w:val="Hyperlink"/>
                </w:rPr>
                <w:t>Fire Safety Compliance - Certificate No. 5</w:t>
              </w:r>
            </w:hyperlink>
            <w:r w:rsidR="00BF1473" w:rsidRPr="00B24C02">
              <w:rPr>
                <w:rFonts w:cs="Arial"/>
                <w:color w:val="000000"/>
                <w:szCs w:val="19"/>
                <w:lang w:eastAsia="en-AU"/>
              </w:rPr>
              <w:t xml:space="preserve"> </w:t>
            </w:r>
            <w:r w:rsidR="00BF1473">
              <w:rPr>
                <w:rFonts w:cs="Arial"/>
                <w:color w:val="000000"/>
                <w:szCs w:val="19"/>
                <w:lang w:eastAsia="en-AU"/>
              </w:rPr>
              <w:t>&lt;</w:t>
            </w:r>
            <w:r w:rsidR="00EA74AB" w:rsidRPr="00EA74AB">
              <w:rPr>
                <w:rFonts w:cs="Arial"/>
                <w:color w:val="000000"/>
                <w:szCs w:val="19"/>
                <w:lang w:eastAsia="en-AU"/>
              </w:rPr>
              <w:t>https://providers.dhhs.vic.gov.au/fire-safety-compliance-certificate-no-5-word</w:t>
            </w:r>
            <w:r w:rsidR="00BF1473">
              <w:rPr>
                <w:rFonts w:cs="Arial"/>
                <w:color w:val="000000"/>
                <w:szCs w:val="19"/>
                <w:lang w:eastAsia="en-AU"/>
              </w:rPr>
              <w:t xml:space="preserve">&gt; </w:t>
            </w:r>
            <w:r w:rsidR="00BF1473" w:rsidRPr="00B24C02">
              <w:rPr>
                <w:rFonts w:cs="Arial"/>
                <w:color w:val="000000"/>
                <w:szCs w:val="19"/>
                <w:lang w:eastAsia="en-AU"/>
              </w:rPr>
              <w:t>(</w:t>
            </w:r>
            <w:r w:rsidR="00F352C6">
              <w:rPr>
                <w:rFonts w:cs="Arial"/>
                <w:color w:val="000000"/>
                <w:szCs w:val="19"/>
                <w:lang w:eastAsia="en-AU"/>
              </w:rPr>
              <w:t xml:space="preserve">external link, </w:t>
            </w:r>
            <w:r w:rsidR="00BF1473" w:rsidRPr="00B24C02">
              <w:rPr>
                <w:rFonts w:cs="Arial"/>
                <w:color w:val="000000"/>
                <w:szCs w:val="19"/>
                <w:lang w:eastAsia="en-AU"/>
              </w:rPr>
              <w:t>open</w:t>
            </w:r>
            <w:r w:rsidR="00F352C6">
              <w:rPr>
                <w:rFonts w:cs="Arial"/>
                <w:color w:val="000000"/>
                <w:szCs w:val="19"/>
                <w:lang w:eastAsia="en-AU"/>
              </w:rPr>
              <w:t>s in a new window</w:t>
            </w:r>
            <w:r w:rsidR="00BF1473" w:rsidRPr="00B24C02">
              <w:rPr>
                <w:rFonts w:cs="Arial"/>
                <w:color w:val="000000"/>
                <w:szCs w:val="19"/>
                <w:lang w:eastAsia="en-AU"/>
              </w:rPr>
              <w:t>)</w:t>
            </w:r>
          </w:p>
        </w:tc>
      </w:tr>
      <w:tr w:rsidR="00BF1473" w:rsidRPr="00276391" w14:paraId="4CACB138" w14:textId="77777777" w:rsidTr="00D30093">
        <w:tc>
          <w:tcPr>
            <w:tcW w:w="1113"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6D8CEA82" w14:textId="77777777" w:rsidR="00BF1473" w:rsidRPr="00276391" w:rsidRDefault="00BF1473" w:rsidP="00D30093">
            <w:pPr>
              <w:pStyle w:val="DHHStabletext"/>
              <w:rPr>
                <w:lang w:eastAsia="en-AU"/>
              </w:rPr>
            </w:pPr>
            <w:r w:rsidRPr="00B24C02">
              <w:rPr>
                <w:rFonts w:cs="Arial"/>
                <w:color w:val="000000"/>
                <w:szCs w:val="19"/>
                <w:lang w:eastAsia="en-AU"/>
              </w:rPr>
              <w:t>6</w:t>
            </w:r>
          </w:p>
        </w:tc>
        <w:tc>
          <w:tcPr>
            <w:tcW w:w="1559"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520D666D" w14:textId="77777777" w:rsidR="00BF1473" w:rsidRPr="00276391" w:rsidRDefault="00BF1473" w:rsidP="00D30093">
            <w:pPr>
              <w:pStyle w:val="DHHStabletext"/>
              <w:rPr>
                <w:lang w:eastAsia="en-AU"/>
              </w:rPr>
            </w:pPr>
            <w:r w:rsidRPr="00B24C02">
              <w:rPr>
                <w:rFonts w:cs="Arial"/>
                <w:color w:val="000000"/>
                <w:szCs w:val="19"/>
                <w:lang w:eastAsia="en-AU"/>
              </w:rPr>
              <w:t>Hospitals</w:t>
            </w:r>
          </w:p>
        </w:tc>
        <w:tc>
          <w:tcPr>
            <w:tcW w:w="2551"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671F3E55" w14:textId="77777777" w:rsidR="00BF1473" w:rsidRPr="00276391" w:rsidRDefault="00BF1473" w:rsidP="00D30093">
            <w:pPr>
              <w:pStyle w:val="DHHStabletext"/>
              <w:rPr>
                <w:lang w:eastAsia="en-AU"/>
              </w:rPr>
            </w:pPr>
            <w:r w:rsidRPr="00B24C02">
              <w:rPr>
                <w:rFonts w:cs="Arial"/>
                <w:color w:val="000000"/>
                <w:szCs w:val="19"/>
                <w:lang w:eastAsia="en-AU"/>
              </w:rPr>
              <w:t>Public or Private hospitals</w:t>
            </w:r>
          </w:p>
        </w:tc>
        <w:tc>
          <w:tcPr>
            <w:tcW w:w="2268"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34A741CF" w14:textId="77777777" w:rsidR="00BF1473" w:rsidRPr="00276391" w:rsidRDefault="00BF1473" w:rsidP="00D30093">
            <w:pPr>
              <w:pStyle w:val="DHHStabletext"/>
              <w:rPr>
                <w:lang w:eastAsia="en-AU"/>
              </w:rPr>
            </w:pPr>
            <w:r w:rsidRPr="00B24C02">
              <w:rPr>
                <w:rFonts w:cs="Arial"/>
                <w:color w:val="000000"/>
                <w:szCs w:val="19"/>
                <w:lang w:eastAsia="en-AU"/>
              </w:rPr>
              <w:t>Capital Development Guidelines, Series 7, Fire Risk Management</w:t>
            </w:r>
          </w:p>
        </w:tc>
        <w:tc>
          <w:tcPr>
            <w:tcW w:w="2127" w:type="dxa"/>
            <w:tcBorders>
              <w:top w:val="single" w:sz="6" w:space="0" w:color="006699"/>
              <w:left w:val="single" w:sz="6" w:space="0" w:color="006699"/>
              <w:bottom w:val="single" w:sz="6" w:space="0" w:color="006699"/>
              <w:right w:val="single" w:sz="6" w:space="0" w:color="006699"/>
            </w:tcBorders>
            <w:shd w:val="clear" w:color="auto" w:fill="auto"/>
            <w:tcMar>
              <w:top w:w="24" w:type="dxa"/>
              <w:left w:w="120" w:type="dxa"/>
              <w:bottom w:w="24" w:type="dxa"/>
              <w:right w:w="120" w:type="dxa"/>
            </w:tcMar>
            <w:vAlign w:val="center"/>
            <w:hideMark/>
          </w:tcPr>
          <w:p w14:paraId="0F947081" w14:textId="7EB0338C" w:rsidR="00BF1473" w:rsidRPr="00276391" w:rsidRDefault="0016341D" w:rsidP="00D30093">
            <w:pPr>
              <w:pStyle w:val="DHHStabletext"/>
              <w:rPr>
                <w:lang w:eastAsia="en-AU"/>
              </w:rPr>
            </w:pPr>
            <w:hyperlink r:id="rId165" w:tgtFrame="_blank" w:history="1">
              <w:r w:rsidR="00BF1473" w:rsidRPr="00986D1E">
                <w:rPr>
                  <w:rStyle w:val="Hyperlink"/>
                </w:rPr>
                <w:t>Fire Safety Compliance - Certificate No. 6</w:t>
              </w:r>
            </w:hyperlink>
            <w:r w:rsidR="00BF1473">
              <w:rPr>
                <w:rFonts w:cs="Arial"/>
                <w:color w:val="0000FF"/>
                <w:szCs w:val="19"/>
                <w:lang w:eastAsia="en-AU"/>
              </w:rPr>
              <w:t xml:space="preserve"> </w:t>
            </w:r>
            <w:r w:rsidR="00BF1473" w:rsidRPr="00C7053D">
              <w:rPr>
                <w:rFonts w:cs="Arial"/>
                <w:color w:val="000000"/>
                <w:szCs w:val="19"/>
                <w:lang w:eastAsia="en-AU"/>
              </w:rPr>
              <w:t>&lt;</w:t>
            </w:r>
            <w:r w:rsidR="00EA74AB" w:rsidRPr="00EA74AB">
              <w:rPr>
                <w:rFonts w:cs="Arial"/>
                <w:color w:val="000000"/>
                <w:szCs w:val="19"/>
                <w:lang w:eastAsia="en-AU"/>
              </w:rPr>
              <w:t>https://providers.dhhs.vic.gov.au/fire-safety-compliance-certificate-no-6-health-service-pdf</w:t>
            </w:r>
            <w:r w:rsidR="00BF1473" w:rsidRPr="00C7053D">
              <w:rPr>
                <w:rFonts w:cs="Arial"/>
                <w:color w:val="000000"/>
                <w:szCs w:val="19"/>
                <w:lang w:eastAsia="en-AU"/>
              </w:rPr>
              <w:t>&gt;</w:t>
            </w:r>
            <w:r w:rsidR="00BF1473">
              <w:rPr>
                <w:rFonts w:cs="Arial"/>
                <w:color w:val="000000"/>
                <w:szCs w:val="19"/>
                <w:lang w:eastAsia="en-AU"/>
              </w:rPr>
              <w:t xml:space="preserve"> </w:t>
            </w:r>
            <w:r w:rsidR="00BF1473" w:rsidRPr="00B24C02">
              <w:rPr>
                <w:rFonts w:cs="Arial"/>
                <w:color w:val="000000"/>
                <w:szCs w:val="19"/>
                <w:lang w:eastAsia="en-AU"/>
              </w:rPr>
              <w:t>(</w:t>
            </w:r>
            <w:r w:rsidR="00F352C6">
              <w:rPr>
                <w:rFonts w:cs="Arial"/>
                <w:color w:val="000000"/>
                <w:szCs w:val="19"/>
                <w:lang w:eastAsia="en-AU"/>
              </w:rPr>
              <w:t>external link, opens in a new window</w:t>
            </w:r>
            <w:r w:rsidR="00BF1473" w:rsidRPr="00B24C02">
              <w:rPr>
                <w:rFonts w:cs="Arial"/>
                <w:color w:val="000000"/>
                <w:szCs w:val="19"/>
                <w:lang w:eastAsia="en-AU"/>
              </w:rPr>
              <w:t>)</w:t>
            </w:r>
          </w:p>
        </w:tc>
      </w:tr>
    </w:tbl>
    <w:p w14:paraId="18179F91" w14:textId="77777777" w:rsidR="00BF1473" w:rsidRDefault="00BF1473" w:rsidP="00BF1473">
      <w:pPr>
        <w:pStyle w:val="DHHSbody"/>
        <w:rPr>
          <w:szCs w:val="19"/>
          <w:lang w:eastAsia="en-AU"/>
        </w:rPr>
      </w:pPr>
    </w:p>
    <w:p w14:paraId="5D513891" w14:textId="77777777" w:rsidR="00BF1473" w:rsidRPr="00B24C02" w:rsidRDefault="00BF1473" w:rsidP="00BF1473">
      <w:pPr>
        <w:pStyle w:val="DHHSbody"/>
        <w:rPr>
          <w:szCs w:val="19"/>
          <w:lang w:eastAsia="en-AU"/>
        </w:rPr>
      </w:pPr>
      <w:r w:rsidRPr="00B24C02">
        <w:rPr>
          <w:szCs w:val="19"/>
          <w:lang w:eastAsia="en-AU"/>
        </w:rPr>
        <w:t xml:space="preserve">To check which standard applies, </w:t>
      </w:r>
      <w:r>
        <w:rPr>
          <w:szCs w:val="19"/>
          <w:lang w:eastAsia="en-AU"/>
        </w:rPr>
        <w:t xml:space="preserve">see </w:t>
      </w:r>
      <w:hyperlink w:anchor="_Figure_1_Determining" w:history="1">
        <w:r w:rsidRPr="00BE2B10">
          <w:rPr>
            <w:rStyle w:val="Hyperlink"/>
          </w:rPr>
          <w:t>Figure 1</w:t>
        </w:r>
      </w:hyperlink>
      <w:r w:rsidRPr="00B24C02">
        <w:rPr>
          <w:szCs w:val="19"/>
          <w:lang w:eastAsia="en-AU"/>
        </w:rPr>
        <w:t>.</w:t>
      </w:r>
    </w:p>
    <w:p w14:paraId="0FF40A0A" w14:textId="77777777" w:rsidR="00BF1473" w:rsidRPr="00B24C02" w:rsidRDefault="00BF1473" w:rsidP="00BF1473">
      <w:pPr>
        <w:pStyle w:val="DHHSbody"/>
        <w:rPr>
          <w:szCs w:val="19"/>
          <w:lang w:eastAsia="en-AU"/>
        </w:rPr>
      </w:pPr>
      <w:r w:rsidRPr="00B24C02">
        <w:rPr>
          <w:szCs w:val="19"/>
          <w:lang w:eastAsia="en-AU"/>
        </w:rPr>
        <w:t>If you have any questions about the application of fire safety standards in the premises from which services are delivered to clients, contact your assigned Local Engagement Officer (LEO) in the Agency Connections Team of the Division or other contacts as allocated by the department.</w:t>
      </w:r>
    </w:p>
    <w:p w14:paraId="2031E2AC" w14:textId="77777777" w:rsidR="00BF1473" w:rsidRPr="00276391" w:rsidRDefault="00BF1473" w:rsidP="00BF1473">
      <w:pPr>
        <w:pStyle w:val="DHHSbodyBold"/>
        <w:rPr>
          <w:lang w:eastAsia="en-AU"/>
        </w:rPr>
      </w:pPr>
      <w:r w:rsidRPr="00276391">
        <w:rPr>
          <w:lang w:eastAsia="en-AU"/>
        </w:rPr>
        <w:t>Compliance certification process</w:t>
      </w:r>
    </w:p>
    <w:p w14:paraId="34D1AD70" w14:textId="040B379D" w:rsidR="00BF1473" w:rsidRPr="00B24C02" w:rsidRDefault="00BF1473" w:rsidP="00BF1473">
      <w:pPr>
        <w:pStyle w:val="DHHSbody"/>
        <w:rPr>
          <w:szCs w:val="19"/>
          <w:lang w:eastAsia="en-AU"/>
        </w:rPr>
      </w:pPr>
      <w:r w:rsidRPr="00B24C02">
        <w:rPr>
          <w:szCs w:val="19"/>
          <w:lang w:eastAsia="en-AU"/>
        </w:rPr>
        <w:t xml:space="preserve">The CEO (or equivalent) of an organisation that provides </w:t>
      </w:r>
      <w:proofErr w:type="gramStart"/>
      <w:r w:rsidRPr="00B24C02">
        <w:rPr>
          <w:szCs w:val="19"/>
          <w:lang w:eastAsia="en-AU"/>
        </w:rPr>
        <w:t>bed based</w:t>
      </w:r>
      <w:proofErr w:type="gramEnd"/>
      <w:r w:rsidRPr="00B24C02">
        <w:rPr>
          <w:szCs w:val="19"/>
          <w:lang w:eastAsia="en-AU"/>
        </w:rPr>
        <w:t xml:space="preserve"> services (under standards 3, 4, 5 and 6 see table 1) is required to complete and provide the department with the relevant fire safety certificates as part of the </w:t>
      </w:r>
      <w:r w:rsidR="009B3052">
        <w:rPr>
          <w:szCs w:val="19"/>
          <w:lang w:eastAsia="en-AU"/>
        </w:rPr>
        <w:t>Service agreement</w:t>
      </w:r>
      <w:r w:rsidRPr="00B24C02">
        <w:rPr>
          <w:szCs w:val="19"/>
          <w:lang w:eastAsia="en-AU"/>
        </w:rPr>
        <w:t xml:space="preserve"> process. Even though the </w:t>
      </w:r>
      <w:r w:rsidR="009B3052">
        <w:rPr>
          <w:szCs w:val="19"/>
          <w:lang w:eastAsia="en-AU"/>
        </w:rPr>
        <w:t>Service agreement</w:t>
      </w:r>
      <w:r w:rsidRPr="00B24C02">
        <w:rPr>
          <w:szCs w:val="19"/>
          <w:lang w:eastAsia="en-AU"/>
        </w:rPr>
        <w:t xml:space="preserve"> is for a </w:t>
      </w:r>
      <w:proofErr w:type="gramStart"/>
      <w:r w:rsidRPr="00B24C02">
        <w:rPr>
          <w:szCs w:val="19"/>
          <w:lang w:eastAsia="en-AU"/>
        </w:rPr>
        <w:t>three year</w:t>
      </w:r>
      <w:proofErr w:type="gramEnd"/>
      <w:r w:rsidRPr="00B24C02">
        <w:rPr>
          <w:szCs w:val="19"/>
          <w:lang w:eastAsia="en-AU"/>
        </w:rPr>
        <w:t xml:space="preserve"> period, the certificates must be completed annually. This ensures that the organisation provides certification to the department that they have checked all relevant services and that they meet, and will </w:t>
      </w:r>
      <w:r w:rsidRPr="00B24C02">
        <w:rPr>
          <w:szCs w:val="19"/>
          <w:lang w:eastAsia="en-AU"/>
        </w:rPr>
        <w:lastRenderedPageBreak/>
        <w:t>continue to meet, the department's fire safety requirements. The CEO must have appropriate procedures in place to ensure ongoing maintenance and reporting.</w:t>
      </w:r>
    </w:p>
    <w:p w14:paraId="6AF76A11" w14:textId="77777777" w:rsidR="00BF1473" w:rsidRPr="00B24C02" w:rsidRDefault="00BF1473" w:rsidP="00BF1473">
      <w:pPr>
        <w:pStyle w:val="DHHSbody"/>
        <w:rPr>
          <w:szCs w:val="19"/>
          <w:lang w:eastAsia="en-AU"/>
        </w:rPr>
      </w:pPr>
      <w:r w:rsidRPr="00B24C02">
        <w:rPr>
          <w:szCs w:val="19"/>
          <w:lang w:eastAsia="en-AU"/>
        </w:rPr>
        <w:t>The annual certificates to be used are included on the forms and certificates page of this site.</w:t>
      </w:r>
    </w:p>
    <w:p w14:paraId="30ACF9D9" w14:textId="77777777" w:rsidR="00BF1473" w:rsidRPr="00B24C02" w:rsidRDefault="00BF1473" w:rsidP="00BF1473">
      <w:pPr>
        <w:pStyle w:val="DHHSbody"/>
        <w:rPr>
          <w:szCs w:val="19"/>
          <w:lang w:eastAsia="en-AU"/>
        </w:rPr>
      </w:pPr>
      <w:r w:rsidRPr="00B24C02">
        <w:rPr>
          <w:szCs w:val="19"/>
          <w:lang w:eastAsia="en-AU"/>
        </w:rPr>
        <w:t xml:space="preserve">Certificates covering each financial year (1 July to 30 June) must be received by </w:t>
      </w:r>
      <w:r w:rsidRPr="00B24C02">
        <w:rPr>
          <w:b/>
          <w:bCs/>
          <w:szCs w:val="19"/>
          <w:lang w:eastAsia="en-AU"/>
        </w:rPr>
        <w:t>1 September</w:t>
      </w:r>
      <w:r w:rsidRPr="00B24C02">
        <w:rPr>
          <w:szCs w:val="19"/>
          <w:lang w:eastAsia="en-AU"/>
        </w:rPr>
        <w:t xml:space="preserve"> in the following financial year or at a date agreed in writing with the department.</w:t>
      </w:r>
    </w:p>
    <w:p w14:paraId="76F9D46B" w14:textId="77777777" w:rsidR="00BF1473" w:rsidRPr="00276391" w:rsidRDefault="00BF1473" w:rsidP="00BF1473">
      <w:pPr>
        <w:pStyle w:val="DHHSbodyBold"/>
        <w:rPr>
          <w:lang w:eastAsia="en-AU"/>
        </w:rPr>
      </w:pPr>
      <w:r w:rsidRPr="00276391">
        <w:rPr>
          <w:lang w:eastAsia="en-AU"/>
        </w:rPr>
        <w:t>Fire damage to asset report</w:t>
      </w:r>
    </w:p>
    <w:p w14:paraId="6956FDDC" w14:textId="02154F1D" w:rsidR="00BF1473" w:rsidRPr="00B24C02" w:rsidRDefault="00BF1473" w:rsidP="00BF1473">
      <w:pPr>
        <w:pStyle w:val="DHHSbody"/>
        <w:rPr>
          <w:szCs w:val="19"/>
          <w:lang w:eastAsia="en-AU"/>
        </w:rPr>
      </w:pPr>
      <w:r w:rsidRPr="00B24C02">
        <w:rPr>
          <w:szCs w:val="19"/>
          <w:lang w:eastAsia="en-AU"/>
        </w:rPr>
        <w:t xml:space="preserve">Organisations are required to provide </w:t>
      </w:r>
      <w:r>
        <w:rPr>
          <w:szCs w:val="19"/>
          <w:lang w:eastAsia="en-AU"/>
        </w:rPr>
        <w:t>‘f</w:t>
      </w:r>
      <w:r w:rsidRPr="00B24C02">
        <w:rPr>
          <w:szCs w:val="19"/>
          <w:lang w:eastAsia="en-AU"/>
        </w:rPr>
        <w:t>ire damage to asset reports</w:t>
      </w:r>
      <w:r>
        <w:rPr>
          <w:szCs w:val="19"/>
          <w:lang w:eastAsia="en-AU"/>
        </w:rPr>
        <w:t>’</w:t>
      </w:r>
      <w:r w:rsidRPr="00B24C02">
        <w:rPr>
          <w:szCs w:val="19"/>
          <w:lang w:eastAsia="en-AU"/>
        </w:rPr>
        <w:t xml:space="preserve"> to </w:t>
      </w:r>
      <w:r w:rsidR="00FE480B">
        <w:rPr>
          <w:szCs w:val="19"/>
          <w:lang w:eastAsia="en-AU"/>
        </w:rPr>
        <w:t>DHHS</w:t>
      </w:r>
      <w:r w:rsidRPr="00B24C02">
        <w:rPr>
          <w:szCs w:val="19"/>
          <w:lang w:eastAsia="en-AU"/>
        </w:rPr>
        <w:t xml:space="preserve">. Fire damage to asset reports will be accessible from the </w:t>
      </w:r>
      <w:hyperlink r:id="rId166" w:history="1">
        <w:r w:rsidR="00FE480B" w:rsidRPr="00FE480B">
          <w:rPr>
            <w:rStyle w:val="Hyperlink"/>
            <w:szCs w:val="19"/>
            <w:lang w:eastAsia="en-AU"/>
          </w:rPr>
          <w:t>F</w:t>
        </w:r>
        <w:r w:rsidRPr="00FE480B">
          <w:rPr>
            <w:rStyle w:val="Hyperlink"/>
            <w:szCs w:val="19"/>
            <w:lang w:eastAsia="en-AU"/>
          </w:rPr>
          <w:t>unded agency channel</w:t>
        </w:r>
      </w:hyperlink>
      <w:r w:rsidR="00FE480B">
        <w:rPr>
          <w:szCs w:val="19"/>
          <w:lang w:eastAsia="en-AU"/>
        </w:rPr>
        <w:t xml:space="preserve"> &lt;</w:t>
      </w:r>
      <w:r w:rsidR="00FE480B" w:rsidRPr="00FE480B">
        <w:rPr>
          <w:szCs w:val="19"/>
          <w:lang w:eastAsia="en-AU"/>
        </w:rPr>
        <w:t>https://fac.dhhs.vic.gov.au/policies-and-procedures</w:t>
      </w:r>
      <w:r w:rsidR="00BC4212">
        <w:rPr>
          <w:szCs w:val="19"/>
          <w:lang w:eastAsia="en-AU"/>
        </w:rPr>
        <w:t>&gt; (external link, opens in a new window)</w:t>
      </w:r>
      <w:r w:rsidRPr="00B24C02">
        <w:rPr>
          <w:szCs w:val="19"/>
          <w:lang w:eastAsia="en-AU"/>
        </w:rPr>
        <w:t xml:space="preserve"> and are to be lodged as soon as possible after the incident.</w:t>
      </w:r>
    </w:p>
    <w:p w14:paraId="4955DDD4" w14:textId="77777777" w:rsidR="00BF1473" w:rsidRPr="00276391" w:rsidRDefault="00BF1473" w:rsidP="00BF1473">
      <w:pPr>
        <w:pStyle w:val="DHHSbodyBold"/>
        <w:rPr>
          <w:lang w:eastAsia="en-AU"/>
        </w:rPr>
      </w:pPr>
      <w:r w:rsidRPr="00276391">
        <w:rPr>
          <w:lang w:eastAsia="en-AU"/>
        </w:rPr>
        <w:t>Fire incident and false alarm reports - incident reports</w:t>
      </w:r>
    </w:p>
    <w:p w14:paraId="7E2BDFFC" w14:textId="0B3D7B0B" w:rsidR="00BF1473" w:rsidRPr="00B24C02" w:rsidRDefault="00BF1473" w:rsidP="00BF1473">
      <w:pPr>
        <w:pStyle w:val="DHHSbody"/>
        <w:rPr>
          <w:szCs w:val="19"/>
          <w:lang w:eastAsia="en-AU"/>
        </w:rPr>
      </w:pPr>
      <w:r w:rsidRPr="00B24C02">
        <w:rPr>
          <w:szCs w:val="19"/>
          <w:lang w:eastAsia="en-AU"/>
        </w:rPr>
        <w:t xml:space="preserve">Organisations are required to provide fire incident and false alarm reports to the department following the department's incident reporting instruction and reporting process. </w:t>
      </w:r>
      <w:r>
        <w:rPr>
          <w:szCs w:val="19"/>
          <w:lang w:eastAsia="en-AU"/>
        </w:rPr>
        <w:t xml:space="preserve">See </w:t>
      </w:r>
      <w:hyperlink w:anchor="_4.3_Incident_reporting" w:history="1">
        <w:r w:rsidR="00BC4212" w:rsidRPr="00BC4212">
          <w:rPr>
            <w:rStyle w:val="Hyperlink"/>
            <w:szCs w:val="19"/>
            <w:lang w:eastAsia="en-AU"/>
          </w:rPr>
          <w:t>Chapter</w:t>
        </w:r>
        <w:r w:rsidRPr="00BC4212">
          <w:rPr>
            <w:rStyle w:val="Hyperlink"/>
            <w:szCs w:val="19"/>
            <w:lang w:eastAsia="en-AU"/>
          </w:rPr>
          <w:t xml:space="preserve"> 4.3</w:t>
        </w:r>
      </w:hyperlink>
      <w:r w:rsidRPr="00B24C02">
        <w:rPr>
          <w:szCs w:val="19"/>
          <w:lang w:eastAsia="en-AU"/>
        </w:rPr>
        <w:t xml:space="preserve"> further information. </w:t>
      </w:r>
    </w:p>
    <w:p w14:paraId="743CBBCF" w14:textId="77777777" w:rsidR="00BF1473" w:rsidRPr="00276391" w:rsidRDefault="00BF1473" w:rsidP="00BF1473">
      <w:pPr>
        <w:pStyle w:val="DHHSbodyBold"/>
        <w:rPr>
          <w:lang w:eastAsia="en-AU"/>
        </w:rPr>
      </w:pPr>
      <w:r w:rsidRPr="00276391">
        <w:rPr>
          <w:lang w:eastAsia="en-AU"/>
        </w:rPr>
        <w:t>Definitions</w:t>
      </w:r>
    </w:p>
    <w:p w14:paraId="58FDD861" w14:textId="77777777" w:rsidR="00BF1473" w:rsidRPr="00B24C02" w:rsidRDefault="00BF1473" w:rsidP="00BF1473">
      <w:pPr>
        <w:pStyle w:val="DHHSbody"/>
        <w:rPr>
          <w:szCs w:val="19"/>
          <w:lang w:eastAsia="en-AU"/>
        </w:rPr>
      </w:pPr>
      <w:r w:rsidRPr="00D93187">
        <w:rPr>
          <w:b/>
        </w:rPr>
        <w:t>Bed based service:</w:t>
      </w:r>
      <w:r>
        <w:t xml:space="preserve"> </w:t>
      </w:r>
      <w:r w:rsidRPr="00B24C02">
        <w:rPr>
          <w:szCs w:val="19"/>
          <w:lang w:eastAsia="en-AU"/>
        </w:rPr>
        <w:t>A service contracted to provide overnight accommodation for clients.</w:t>
      </w:r>
    </w:p>
    <w:p w14:paraId="1D62D589" w14:textId="1A432A3D" w:rsidR="00BF1473" w:rsidRPr="00B24C02" w:rsidRDefault="00BF1473" w:rsidP="00BF1473">
      <w:pPr>
        <w:pStyle w:val="DHHSbody"/>
        <w:rPr>
          <w:szCs w:val="19"/>
          <w:lang w:eastAsia="en-AU"/>
        </w:rPr>
      </w:pPr>
      <w:r w:rsidRPr="00B24C02">
        <w:rPr>
          <w:b/>
          <w:bCs/>
          <w:szCs w:val="19"/>
          <w:lang w:eastAsia="en-AU"/>
        </w:rPr>
        <w:t>Client</w:t>
      </w:r>
      <w:r>
        <w:rPr>
          <w:b/>
          <w:bCs/>
          <w:szCs w:val="19"/>
          <w:lang w:eastAsia="en-AU"/>
        </w:rPr>
        <w:t xml:space="preserve">: </w:t>
      </w:r>
      <w:r w:rsidRPr="00B24C02">
        <w:rPr>
          <w:szCs w:val="19"/>
          <w:lang w:eastAsia="en-AU"/>
        </w:rPr>
        <w:t xml:space="preserve">Has the same meaning as that defined in the </w:t>
      </w:r>
      <w:hyperlink r:id="rId167" w:tgtFrame="_blank" w:history="1">
        <w:r w:rsidRPr="00F352C6">
          <w:rPr>
            <w:rStyle w:val="Hyperlink"/>
          </w:rPr>
          <w:t>Capital Development Guidelines, Series 7, Fire Risk Management, August 2013</w:t>
        </w:r>
      </w:hyperlink>
      <w:r w:rsidRPr="00B24C02">
        <w:rPr>
          <w:szCs w:val="19"/>
          <w:lang w:eastAsia="en-AU"/>
        </w:rPr>
        <w:t xml:space="preserve"> </w:t>
      </w:r>
      <w:r>
        <w:rPr>
          <w:szCs w:val="19"/>
          <w:lang w:eastAsia="en-AU"/>
        </w:rPr>
        <w:t>&lt;</w:t>
      </w:r>
      <w:r w:rsidR="00F352C6" w:rsidRPr="00390713">
        <w:rPr>
          <w:rFonts w:cs="Arial"/>
          <w:color w:val="000000"/>
          <w:szCs w:val="19"/>
          <w:lang w:eastAsia="en-AU"/>
        </w:rPr>
        <w:t>https://providers.dhhs.vic.gov.au/capital-development-guidelines-series-7</w:t>
      </w:r>
      <w:r>
        <w:rPr>
          <w:szCs w:val="19"/>
          <w:lang w:eastAsia="en-AU"/>
        </w:rPr>
        <w:t>&gt;</w:t>
      </w:r>
      <w:r w:rsidRPr="00640E9B">
        <w:rPr>
          <w:szCs w:val="19"/>
          <w:lang w:eastAsia="en-AU"/>
        </w:rPr>
        <w:t xml:space="preserve"> </w:t>
      </w:r>
      <w:r w:rsidRPr="00B24C02">
        <w:rPr>
          <w:szCs w:val="19"/>
          <w:lang w:eastAsia="en-AU"/>
        </w:rPr>
        <w:t>(external link, opens in a new window) or as amended.</w:t>
      </w:r>
    </w:p>
    <w:p w14:paraId="73A6A981" w14:textId="77777777" w:rsidR="00BF1473" w:rsidRPr="00B24C02" w:rsidRDefault="00BF1473" w:rsidP="00BF1473">
      <w:pPr>
        <w:pStyle w:val="DHHSbody"/>
        <w:rPr>
          <w:szCs w:val="19"/>
          <w:lang w:eastAsia="en-AU"/>
        </w:rPr>
      </w:pPr>
      <w:r w:rsidRPr="00B24C02">
        <w:rPr>
          <w:b/>
          <w:bCs/>
          <w:szCs w:val="19"/>
          <w:lang w:eastAsia="en-AU"/>
        </w:rPr>
        <w:t>Lead tenant</w:t>
      </w:r>
      <w:r>
        <w:rPr>
          <w:b/>
          <w:bCs/>
          <w:szCs w:val="19"/>
          <w:lang w:eastAsia="en-AU"/>
        </w:rPr>
        <w:t xml:space="preserve">: </w:t>
      </w:r>
      <w:r w:rsidRPr="00B24C02">
        <w:rPr>
          <w:szCs w:val="19"/>
          <w:lang w:eastAsia="en-AU"/>
        </w:rPr>
        <w:t>A service which provides semi-independent accommodation in a household for people who are in transition to independent living using a live-in volunteer to facilitate a supportive environment.</w:t>
      </w:r>
    </w:p>
    <w:p w14:paraId="5BC1B7AB" w14:textId="77777777" w:rsidR="00BF1473" w:rsidRPr="00B24C02" w:rsidRDefault="00BF1473" w:rsidP="00BF1473">
      <w:pPr>
        <w:pStyle w:val="DHHSbody"/>
        <w:rPr>
          <w:szCs w:val="19"/>
          <w:lang w:eastAsia="en-AU"/>
        </w:rPr>
      </w:pPr>
      <w:r w:rsidRPr="00B24C02">
        <w:rPr>
          <w:b/>
          <w:bCs/>
          <w:szCs w:val="19"/>
          <w:lang w:eastAsia="en-AU"/>
        </w:rPr>
        <w:t>Private home or residence</w:t>
      </w:r>
      <w:r>
        <w:rPr>
          <w:b/>
          <w:bCs/>
          <w:szCs w:val="19"/>
          <w:lang w:eastAsia="en-AU"/>
        </w:rPr>
        <w:t xml:space="preserve">: </w:t>
      </w:r>
      <w:r w:rsidRPr="00B24C02">
        <w:rPr>
          <w:szCs w:val="19"/>
          <w:lang w:eastAsia="en-AU"/>
        </w:rPr>
        <w:t>A home owned by the occupant(s), or a home formally or informally leased by the occupant(s).</w:t>
      </w:r>
    </w:p>
    <w:p w14:paraId="31AFF410" w14:textId="0A0E1D55" w:rsidR="00BF1473" w:rsidRPr="00B24C02" w:rsidRDefault="00BF1473" w:rsidP="00BF1473">
      <w:pPr>
        <w:pStyle w:val="DHHSbody"/>
        <w:rPr>
          <w:szCs w:val="19"/>
          <w:lang w:eastAsia="en-AU"/>
        </w:rPr>
      </w:pPr>
      <w:r w:rsidRPr="00B24C02">
        <w:rPr>
          <w:b/>
          <w:bCs/>
          <w:szCs w:val="19"/>
          <w:lang w:eastAsia="en-AU"/>
        </w:rPr>
        <w:t>Statutory client</w:t>
      </w:r>
      <w:r>
        <w:rPr>
          <w:b/>
          <w:bCs/>
          <w:szCs w:val="19"/>
          <w:lang w:eastAsia="en-AU"/>
        </w:rPr>
        <w:t xml:space="preserve">: </w:t>
      </w:r>
      <w:r w:rsidRPr="00B24C02">
        <w:rPr>
          <w:szCs w:val="19"/>
          <w:lang w:eastAsia="en-AU"/>
        </w:rPr>
        <w:t xml:space="preserve">Clients for whom the department has custody or guardianship. Clients may receive services pursuant to the </w:t>
      </w:r>
      <w:hyperlink r:id="rId168" w:tgtFrame="_blank" w:history="1">
        <w:r w:rsidRPr="00986D1E">
          <w:rPr>
            <w:rStyle w:val="Hyperlink"/>
          </w:rPr>
          <w:t>Disability Act 2006</w:t>
        </w:r>
      </w:hyperlink>
      <w:r w:rsidRPr="00B24C02">
        <w:rPr>
          <w:szCs w:val="19"/>
          <w:lang w:eastAsia="en-AU"/>
        </w:rPr>
        <w:t xml:space="preserve"> </w:t>
      </w:r>
      <w:r>
        <w:rPr>
          <w:szCs w:val="19"/>
          <w:lang w:eastAsia="en-AU"/>
        </w:rPr>
        <w:t>&lt;</w:t>
      </w:r>
      <w:r w:rsidR="00F352C6" w:rsidRPr="00F352C6">
        <w:rPr>
          <w:szCs w:val="19"/>
          <w:lang w:eastAsia="en-AU"/>
        </w:rPr>
        <w:t>https://services.dhhs.vic.gov.au/disability-act-2006</w:t>
      </w:r>
      <w:r>
        <w:rPr>
          <w:szCs w:val="19"/>
          <w:lang w:eastAsia="en-AU"/>
        </w:rPr>
        <w:t>&gt;</w:t>
      </w:r>
      <w:r w:rsidRPr="00640E9B">
        <w:rPr>
          <w:szCs w:val="19"/>
          <w:lang w:eastAsia="en-AU"/>
        </w:rPr>
        <w:t xml:space="preserve"> </w:t>
      </w:r>
      <w:r w:rsidRPr="00B24C02">
        <w:rPr>
          <w:szCs w:val="19"/>
          <w:lang w:eastAsia="en-AU"/>
        </w:rPr>
        <w:t>(</w:t>
      </w:r>
      <w:r w:rsidR="00F352C6">
        <w:rPr>
          <w:szCs w:val="19"/>
          <w:lang w:eastAsia="en-AU"/>
        </w:rPr>
        <w:t>external link, opens in a new window</w:t>
      </w:r>
      <w:r w:rsidRPr="00B24C02">
        <w:rPr>
          <w:szCs w:val="19"/>
          <w:lang w:eastAsia="en-AU"/>
        </w:rPr>
        <w:t xml:space="preserve">) or the </w:t>
      </w:r>
      <w:hyperlink r:id="rId169" w:tgtFrame="_blank" w:history="1">
        <w:r w:rsidRPr="00986D1E">
          <w:rPr>
            <w:rStyle w:val="Hyperlink"/>
          </w:rPr>
          <w:t xml:space="preserve">Children, Youth </w:t>
        </w:r>
        <w:r>
          <w:rPr>
            <w:rStyle w:val="Hyperlink"/>
          </w:rPr>
          <w:t>and</w:t>
        </w:r>
        <w:r w:rsidRPr="00986D1E">
          <w:rPr>
            <w:rStyle w:val="Hyperlink"/>
          </w:rPr>
          <w:t xml:space="preserve"> Families Act 2005</w:t>
        </w:r>
      </w:hyperlink>
      <w:r w:rsidRPr="00B24C02">
        <w:rPr>
          <w:szCs w:val="19"/>
          <w:lang w:eastAsia="en-AU"/>
        </w:rPr>
        <w:t xml:space="preserve"> </w:t>
      </w:r>
      <w:r>
        <w:rPr>
          <w:szCs w:val="19"/>
          <w:lang w:eastAsia="en-AU"/>
        </w:rPr>
        <w:t>&lt;</w:t>
      </w:r>
      <w:r w:rsidR="00F352C6" w:rsidRPr="00F352C6">
        <w:rPr>
          <w:szCs w:val="19"/>
          <w:lang w:eastAsia="en-AU"/>
        </w:rPr>
        <w:t>http://www8.austlii.edu.au/cgi-bin/viewdb/au/legis/vic/consol_act/cyafa2005252/</w:t>
      </w:r>
      <w:r>
        <w:rPr>
          <w:szCs w:val="19"/>
          <w:lang w:eastAsia="en-AU"/>
        </w:rPr>
        <w:t>&gt;</w:t>
      </w:r>
      <w:r w:rsidRPr="00640E9B">
        <w:rPr>
          <w:szCs w:val="19"/>
          <w:lang w:eastAsia="en-AU"/>
        </w:rPr>
        <w:t xml:space="preserve"> </w:t>
      </w:r>
      <w:r w:rsidRPr="00B24C02">
        <w:rPr>
          <w:szCs w:val="19"/>
          <w:lang w:eastAsia="en-AU"/>
        </w:rPr>
        <w:t>(</w:t>
      </w:r>
      <w:r>
        <w:rPr>
          <w:szCs w:val="19"/>
          <w:lang w:eastAsia="en-AU"/>
        </w:rPr>
        <w:t>external link, opens in a new window</w:t>
      </w:r>
      <w:r w:rsidRPr="00B24C02">
        <w:rPr>
          <w:szCs w:val="19"/>
          <w:lang w:eastAsia="en-AU"/>
        </w:rPr>
        <w:t>).</w:t>
      </w:r>
    </w:p>
    <w:p w14:paraId="4632D497" w14:textId="77777777" w:rsidR="00BF1473" w:rsidRPr="00B24C02" w:rsidRDefault="00BF1473" w:rsidP="00BF1473">
      <w:pPr>
        <w:pStyle w:val="DHHSbody"/>
        <w:rPr>
          <w:szCs w:val="19"/>
          <w:lang w:eastAsia="en-AU"/>
        </w:rPr>
      </w:pPr>
      <w:proofErr w:type="gramStart"/>
      <w:r w:rsidRPr="00B24C02">
        <w:rPr>
          <w:b/>
          <w:bCs/>
          <w:szCs w:val="19"/>
          <w:lang w:eastAsia="en-AU"/>
        </w:rPr>
        <w:t>24 hour</w:t>
      </w:r>
      <w:proofErr w:type="gramEnd"/>
      <w:r w:rsidRPr="00B24C02">
        <w:rPr>
          <w:b/>
          <w:bCs/>
          <w:szCs w:val="19"/>
          <w:lang w:eastAsia="en-AU"/>
        </w:rPr>
        <w:t xml:space="preserve"> support or supervision</w:t>
      </w:r>
      <w:r>
        <w:rPr>
          <w:b/>
          <w:bCs/>
          <w:szCs w:val="19"/>
          <w:lang w:eastAsia="en-AU"/>
        </w:rPr>
        <w:t xml:space="preserve">: </w:t>
      </w:r>
      <w:r w:rsidRPr="00B24C02">
        <w:rPr>
          <w:szCs w:val="19"/>
          <w:lang w:eastAsia="en-AU"/>
        </w:rPr>
        <w:t>Staff support or supervision is provided whenever clients are in residence and includes active night rosters, sleepover rosters and the 24 hour worker model.</w:t>
      </w:r>
    </w:p>
    <w:p w14:paraId="27128956" w14:textId="77777777" w:rsidR="00BF1473" w:rsidRPr="00276391" w:rsidRDefault="00BF1473" w:rsidP="00BF1473">
      <w:pPr>
        <w:pStyle w:val="Heading4"/>
        <w:rPr>
          <w:lang w:eastAsia="en-AU"/>
        </w:rPr>
      </w:pPr>
      <w:bookmarkStart w:id="627" w:name="_Figure_1_Determining"/>
      <w:bookmarkEnd w:id="627"/>
      <w:r w:rsidRPr="00276391">
        <w:rPr>
          <w:lang w:eastAsia="en-AU"/>
        </w:rPr>
        <w:lastRenderedPageBreak/>
        <w:t>Figure 1 Determining appropriate fire safety standards</w:t>
      </w:r>
    </w:p>
    <w:p w14:paraId="0D2B71FA" w14:textId="77777777" w:rsidR="00BF1473" w:rsidRPr="00B24C02" w:rsidRDefault="00BF1473" w:rsidP="00BF1473">
      <w:pPr>
        <w:pStyle w:val="DHHSbody"/>
        <w:rPr>
          <w:szCs w:val="19"/>
          <w:lang w:eastAsia="en-AU"/>
        </w:rPr>
      </w:pPr>
      <w:r w:rsidRPr="00B24C02">
        <w:rPr>
          <w:noProof/>
          <w:szCs w:val="19"/>
          <w:lang w:eastAsia="en-AU"/>
        </w:rPr>
        <w:drawing>
          <wp:inline distT="0" distB="0" distL="0" distR="0" wp14:anchorId="227E9D85" wp14:editId="6E6DB295">
            <wp:extent cx="5359918" cy="6457950"/>
            <wp:effectExtent l="19050" t="19050" r="12700" b="19050"/>
            <wp:docPr id="3" name="Picture 10" descr="Start;&#10;Is it a private home or Lead Tenant? &#10;Yes, Lead tenant or Carers private home i.e. foster care refer to Fire Safety Standard 1. &#10;Yes, Bed based service provided in service recipient's private home and only to clients that are related i.e. In home respite, outreach services refer to Fire Safety Standard 2. &#10;Yes, but not any of the above i.e. unrelated clients sharing accommodation in a home with other funded clients refer to Fire Safety Standard 5 'Certificate number 5';&#10;No;&#10;Is the contracted services 'bed based'?&#10;No e.g. day education services, adult education. Refer to General requirements (refer to 'other services').&#10;Yes;&#10;Do rostered staff or live in staff provide 24 hour support or supervision to statutory clients?&#10;No e.g. bed based services provided for non-statutory clients, some Disability Services with day support, but not staffed overnight. Refer to Relevant authorities Fire Safety Standard 3 'Certificate 3'.&#10;Yes; &#10;Are the premises owned, operated or leased by the Crown, DHHS, Director of Housing, a Statutory Authority to accommodate statutory clients? &#10;Yes, e.g. Department owned, operated or funded facilities, Communit houses programs, Disability, Children Youth residential properties. Refer to 'Fire Risk Management Fire Safety Standard 4 'Certificate No 4''.&#10;No; &#10;Are the premises owned, operated or leased by a Non Government organisation or body to accommodate statutory clients?&#10;Yes, e.g. NGO owned, operated or leased, Disability Children Youth residential congregate care community living. Refer to Funded organisation premises Fire Safety Standard 5 'Certificate N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owchart for determining appropriate fire safety standards"/>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362055" cy="6460525"/>
                    </a:xfrm>
                    <a:prstGeom prst="rect">
                      <a:avLst/>
                    </a:prstGeom>
                    <a:noFill/>
                    <a:ln>
                      <a:solidFill>
                        <a:schemeClr val="tx1"/>
                      </a:solidFill>
                    </a:ln>
                  </pic:spPr>
                </pic:pic>
              </a:graphicData>
            </a:graphic>
          </wp:inline>
        </w:drawing>
      </w:r>
    </w:p>
    <w:p w14:paraId="56C02D1B" w14:textId="77777777" w:rsidR="00BF1473" w:rsidRPr="00276391" w:rsidRDefault="00BF1473" w:rsidP="00BF1473">
      <w:pPr>
        <w:pStyle w:val="Heading3"/>
        <w:rPr>
          <w:lang w:eastAsia="en-AU"/>
        </w:rPr>
      </w:pPr>
      <w:bookmarkStart w:id="628" w:name="_Toc478991915"/>
      <w:bookmarkStart w:id="629" w:name="_Toc478992461"/>
      <w:bookmarkStart w:id="630" w:name="_Toc4142121"/>
      <w:r w:rsidRPr="00276391">
        <w:rPr>
          <w:lang w:eastAsia="en-AU"/>
        </w:rPr>
        <w:t>Fire safety standards</w:t>
      </w:r>
      <w:bookmarkEnd w:id="628"/>
      <w:bookmarkEnd w:id="629"/>
      <w:bookmarkEnd w:id="630"/>
    </w:p>
    <w:p w14:paraId="258F41DF" w14:textId="77777777" w:rsidR="00BF1473" w:rsidRPr="00724CB5" w:rsidRDefault="00BF1473" w:rsidP="00BF1473">
      <w:pPr>
        <w:pStyle w:val="Heading4"/>
        <w:rPr>
          <w:b w:val="0"/>
        </w:rPr>
      </w:pPr>
      <w:bookmarkStart w:id="631" w:name="_Lead_tenant_/"/>
      <w:bookmarkStart w:id="632" w:name="_Toc478991916"/>
      <w:bookmarkEnd w:id="631"/>
      <w:r w:rsidRPr="001A0795">
        <w:t>Lead tenant / Home based care services fire safety standard</w:t>
      </w:r>
      <w:r>
        <w:t xml:space="preserve"> (</w:t>
      </w:r>
      <w:r w:rsidRPr="00FD4156">
        <w:rPr>
          <w:rFonts w:eastAsia="Times"/>
          <w:bCs w:val="0"/>
        </w:rPr>
        <w:t>Standard No. 1</w:t>
      </w:r>
      <w:r w:rsidRPr="00724CB5">
        <w:t>)</w:t>
      </w:r>
      <w:r>
        <w:rPr>
          <w:rStyle w:val="Hyperlink"/>
          <w:rFonts w:eastAsia="Times"/>
          <w:bCs w:val="0"/>
        </w:rPr>
        <w:t xml:space="preserve"> </w:t>
      </w:r>
      <w:bookmarkEnd w:id="632"/>
    </w:p>
    <w:p w14:paraId="03DED26B" w14:textId="77777777" w:rsidR="00BF1473" w:rsidRPr="003F52B3" w:rsidRDefault="00BF1473" w:rsidP="00BF1473">
      <w:pPr>
        <w:pStyle w:val="DHHSbodyBold"/>
        <w:rPr>
          <w:lang w:eastAsia="en-AU"/>
        </w:rPr>
      </w:pPr>
      <w:bookmarkStart w:id="633" w:name="_Toc478991917"/>
      <w:r w:rsidRPr="003F52B3">
        <w:rPr>
          <w:lang w:eastAsia="en-AU"/>
        </w:rPr>
        <w:t>Application</w:t>
      </w:r>
      <w:bookmarkEnd w:id="633"/>
    </w:p>
    <w:p w14:paraId="163B1483" w14:textId="77777777" w:rsidR="00BF1473" w:rsidRPr="003F52B3" w:rsidRDefault="00BF1473" w:rsidP="00BF1473">
      <w:pPr>
        <w:pStyle w:val="DHHSbody"/>
        <w:rPr>
          <w:lang w:eastAsia="en-AU"/>
        </w:rPr>
      </w:pPr>
      <w:bookmarkStart w:id="634" w:name="_Toc478991918"/>
      <w:r w:rsidRPr="003F52B3">
        <w:rPr>
          <w:lang w:eastAsia="en-AU"/>
        </w:rPr>
        <w:t>Type of service:</w:t>
      </w:r>
      <w:bookmarkEnd w:id="634"/>
    </w:p>
    <w:p w14:paraId="738E9D8F" w14:textId="77777777" w:rsidR="00BF1473" w:rsidRPr="00B24C02" w:rsidRDefault="00BF1473" w:rsidP="00BF1473">
      <w:pPr>
        <w:pStyle w:val="DHHSbody"/>
        <w:rPr>
          <w:color w:val="000000"/>
          <w:szCs w:val="19"/>
          <w:lang w:eastAsia="en-AU"/>
        </w:rPr>
      </w:pPr>
      <w:r w:rsidRPr="00B24C02">
        <w:rPr>
          <w:color w:val="000000"/>
          <w:szCs w:val="19"/>
          <w:lang w:eastAsia="en-AU"/>
        </w:rPr>
        <w:t>Services provided from carer's private home (whether owned or leased by the carer) or Lead tenant.</w:t>
      </w:r>
    </w:p>
    <w:p w14:paraId="413F6B17" w14:textId="0CAE3AFC" w:rsidR="00BF1473" w:rsidRPr="00B24C02" w:rsidRDefault="00BF1473" w:rsidP="00BF1473">
      <w:pPr>
        <w:pStyle w:val="DHHSbody"/>
        <w:rPr>
          <w:color w:val="000000"/>
          <w:szCs w:val="19"/>
          <w:lang w:eastAsia="en-AU"/>
        </w:rPr>
      </w:pPr>
      <w:r w:rsidRPr="00B24C02">
        <w:rPr>
          <w:color w:val="000000"/>
          <w:szCs w:val="19"/>
          <w:lang w:eastAsia="en-AU"/>
        </w:rPr>
        <w:t>A situation involving two or more unrelated statutory clients or clients (funding provided by the department) who are provided services by the carer in the carer owned or leased premises, is considered as a Non-Government Organisation Premises Fire Safety Standard (</w:t>
      </w:r>
      <w:hyperlink w:anchor="_Funded_organisation_(owned" w:tooltip="Link to Table 2 Fire safety - additional requirements Standard 5 from the Fire safety standards Heading" w:history="1">
        <w:r w:rsidRPr="00C12B11">
          <w:rPr>
            <w:rStyle w:val="Hyperlink"/>
            <w:bCs/>
          </w:rPr>
          <w:t>Standard No. 5</w:t>
        </w:r>
      </w:hyperlink>
      <w:r w:rsidR="00BC4212">
        <w:rPr>
          <w:color w:val="000000"/>
          <w:szCs w:val="19"/>
          <w:lang w:eastAsia="en-AU"/>
        </w:rPr>
        <w:t xml:space="preserve"> below)</w:t>
      </w:r>
      <w:r w:rsidRPr="00B24C02">
        <w:rPr>
          <w:color w:val="000000"/>
          <w:szCs w:val="19"/>
          <w:lang w:eastAsia="en-AU"/>
        </w:rPr>
        <w:t>.</w:t>
      </w:r>
    </w:p>
    <w:p w14:paraId="38FC19A9" w14:textId="77777777" w:rsidR="00BF1473" w:rsidRPr="00B24C02" w:rsidRDefault="00BF1473" w:rsidP="00BF1473">
      <w:pPr>
        <w:pStyle w:val="DHHSbody"/>
        <w:rPr>
          <w:color w:val="000000"/>
          <w:szCs w:val="19"/>
          <w:lang w:eastAsia="en-AU"/>
        </w:rPr>
      </w:pPr>
      <w:r w:rsidRPr="00B24C02">
        <w:rPr>
          <w:color w:val="000000"/>
          <w:szCs w:val="19"/>
          <w:lang w:eastAsia="en-AU"/>
        </w:rPr>
        <w:lastRenderedPageBreak/>
        <w:t>Specifications</w:t>
      </w:r>
    </w:p>
    <w:p w14:paraId="3A714D19" w14:textId="77777777" w:rsidR="00BF1473" w:rsidRPr="00B24C02" w:rsidRDefault="00BF1473" w:rsidP="00BF1473">
      <w:pPr>
        <w:pStyle w:val="DHHSbody"/>
        <w:rPr>
          <w:color w:val="000000"/>
          <w:szCs w:val="19"/>
          <w:lang w:eastAsia="en-AU"/>
        </w:rPr>
      </w:pPr>
      <w:r w:rsidRPr="00B24C02">
        <w:rPr>
          <w:color w:val="000000"/>
          <w:szCs w:val="19"/>
          <w:lang w:eastAsia="en-AU"/>
        </w:rPr>
        <w:t>The organisation is required to make certain that persons under its care are appropriately protected from the risk of fire. This protection includes:</w:t>
      </w:r>
    </w:p>
    <w:p w14:paraId="4CDEF661" w14:textId="77777777" w:rsidR="00921D8B" w:rsidRDefault="00BF1473" w:rsidP="00921D8B">
      <w:pPr>
        <w:pStyle w:val="DHHSbullet1"/>
        <w:numPr>
          <w:ilvl w:val="0"/>
          <w:numId w:val="11"/>
        </w:numPr>
        <w:tabs>
          <w:tab w:val="left" w:pos="284"/>
        </w:tabs>
        <w:ind w:left="284" w:hanging="284"/>
        <w:rPr>
          <w:lang w:eastAsia="en-AU"/>
        </w:rPr>
      </w:pPr>
      <w:r w:rsidRPr="00B24C02">
        <w:rPr>
          <w:lang w:eastAsia="en-AU"/>
        </w:rPr>
        <w:t>obtaining an assurance from the building owner that smoke alarms have been installed in accordance with the requirements of the Building Regulations</w:t>
      </w:r>
    </w:p>
    <w:p w14:paraId="7D265D4A" w14:textId="77777777" w:rsidR="00921D8B" w:rsidRDefault="00BF1473" w:rsidP="00921D8B">
      <w:pPr>
        <w:pStyle w:val="DHHSbullet1"/>
        <w:numPr>
          <w:ilvl w:val="0"/>
          <w:numId w:val="11"/>
        </w:numPr>
        <w:tabs>
          <w:tab w:val="left" w:pos="284"/>
        </w:tabs>
        <w:ind w:left="284" w:hanging="284"/>
        <w:rPr>
          <w:lang w:eastAsia="en-AU"/>
        </w:rPr>
      </w:pPr>
      <w:r w:rsidRPr="00B24C02">
        <w:rPr>
          <w:lang w:eastAsia="en-AU"/>
        </w:rPr>
        <w:t xml:space="preserve"> implementing strategies in response to clients with known or suspected fire lighting tendencies. This includes:</w:t>
      </w:r>
    </w:p>
    <w:p w14:paraId="1807DBB2" w14:textId="77777777" w:rsidR="00921D8B" w:rsidRDefault="00BF1473" w:rsidP="00921D8B">
      <w:pPr>
        <w:pStyle w:val="DHHSbullet1"/>
        <w:numPr>
          <w:ilvl w:val="1"/>
          <w:numId w:val="11"/>
        </w:numPr>
        <w:tabs>
          <w:tab w:val="left" w:pos="284"/>
        </w:tabs>
        <w:ind w:left="851" w:hanging="284"/>
        <w:rPr>
          <w:lang w:eastAsia="en-AU"/>
        </w:rPr>
      </w:pPr>
      <w:r w:rsidRPr="00276391">
        <w:rPr>
          <w:lang w:eastAsia="en-AU"/>
        </w:rPr>
        <w:t>seeking assessment for the person, to determine the severity of the behaviour and the likely risks</w:t>
      </w:r>
    </w:p>
    <w:p w14:paraId="3527A282" w14:textId="77777777" w:rsidR="00921D8B" w:rsidRDefault="00BF1473" w:rsidP="00921D8B">
      <w:pPr>
        <w:pStyle w:val="DHHSbullet1"/>
        <w:numPr>
          <w:ilvl w:val="1"/>
          <w:numId w:val="11"/>
        </w:numPr>
        <w:tabs>
          <w:tab w:val="left" w:pos="284"/>
        </w:tabs>
        <w:ind w:left="851" w:hanging="284"/>
        <w:rPr>
          <w:lang w:eastAsia="en-AU"/>
        </w:rPr>
      </w:pPr>
      <w:r w:rsidRPr="00276391">
        <w:rPr>
          <w:lang w:eastAsia="en-AU"/>
        </w:rPr>
        <w:t>identifying strategies for managing and modifying the behaviour and addressing related causal issues, as part of the Case Plan and Individual Plan</w:t>
      </w:r>
    </w:p>
    <w:p w14:paraId="6F80C5B7" w14:textId="77777777" w:rsidR="00921D8B" w:rsidRDefault="00BF1473" w:rsidP="00921D8B">
      <w:pPr>
        <w:pStyle w:val="DHHSbullet1"/>
        <w:numPr>
          <w:ilvl w:val="1"/>
          <w:numId w:val="11"/>
        </w:numPr>
        <w:tabs>
          <w:tab w:val="left" w:pos="284"/>
        </w:tabs>
        <w:ind w:left="851" w:hanging="284"/>
        <w:rPr>
          <w:lang w:eastAsia="en-AU"/>
        </w:rPr>
      </w:pPr>
      <w:r w:rsidRPr="00276391">
        <w:rPr>
          <w:lang w:eastAsia="en-AU"/>
        </w:rPr>
        <w:t>actively implementing these strategies</w:t>
      </w:r>
    </w:p>
    <w:p w14:paraId="54F459A5" w14:textId="6AA549D5" w:rsidR="00921D8B" w:rsidRDefault="00BF1473" w:rsidP="00921D8B">
      <w:pPr>
        <w:pStyle w:val="DHHSbullet1"/>
        <w:numPr>
          <w:ilvl w:val="1"/>
          <w:numId w:val="11"/>
        </w:numPr>
        <w:tabs>
          <w:tab w:val="left" w:pos="284"/>
        </w:tabs>
        <w:ind w:left="851" w:hanging="284"/>
        <w:rPr>
          <w:lang w:eastAsia="en-AU"/>
        </w:rPr>
      </w:pPr>
      <w:r w:rsidRPr="00276391">
        <w:rPr>
          <w:lang w:eastAsia="en-AU"/>
        </w:rPr>
        <w:t>referral to appropriate services to modify fire ligh</w:t>
      </w:r>
      <w:r w:rsidR="00921D8B">
        <w:rPr>
          <w:lang w:eastAsia="en-AU"/>
        </w:rPr>
        <w:t>ting behaviour to a safe level</w:t>
      </w:r>
    </w:p>
    <w:p w14:paraId="568C122D" w14:textId="3D1FFC43" w:rsidR="00BF1473" w:rsidRPr="00276391" w:rsidRDefault="00BF1473" w:rsidP="00921D8B">
      <w:pPr>
        <w:pStyle w:val="DHHSbullet1"/>
        <w:numPr>
          <w:ilvl w:val="1"/>
          <w:numId w:val="11"/>
        </w:numPr>
        <w:tabs>
          <w:tab w:val="left" w:pos="284"/>
        </w:tabs>
        <w:ind w:left="851" w:hanging="284"/>
        <w:rPr>
          <w:lang w:eastAsia="en-AU"/>
        </w:rPr>
      </w:pPr>
      <w:r w:rsidRPr="00276391">
        <w:rPr>
          <w:lang w:eastAsia="en-AU"/>
        </w:rPr>
        <w:t>ensuring an adequate level of fire safety management in the household.</w:t>
      </w:r>
    </w:p>
    <w:p w14:paraId="56A234D8" w14:textId="77777777" w:rsidR="00BF1473" w:rsidRPr="003F52B3" w:rsidRDefault="00BF1473" w:rsidP="00BF1473">
      <w:pPr>
        <w:pStyle w:val="DHHSbody"/>
        <w:rPr>
          <w:lang w:eastAsia="en-AU"/>
        </w:rPr>
      </w:pPr>
      <w:bookmarkStart w:id="635" w:name="_Toc478991919"/>
      <w:r w:rsidRPr="003F52B3">
        <w:rPr>
          <w:b/>
          <w:lang w:eastAsia="en-AU"/>
        </w:rPr>
        <w:t>Client placement</w:t>
      </w:r>
      <w:bookmarkEnd w:id="635"/>
    </w:p>
    <w:p w14:paraId="27D21CE9" w14:textId="77777777" w:rsidR="00BF1473" w:rsidRPr="00276391" w:rsidRDefault="00BF1473" w:rsidP="00BF1473">
      <w:pPr>
        <w:pStyle w:val="DHHSbody"/>
        <w:rPr>
          <w:lang w:eastAsia="en-AU"/>
        </w:rPr>
      </w:pPr>
      <w:r w:rsidRPr="00276391">
        <w:rPr>
          <w:lang w:eastAsia="en-AU"/>
        </w:rPr>
        <w:t xml:space="preserve">Where the organisation selects the clients, the organisation must determine whether the premises are suitable for the client to be evacuated safely, </w:t>
      </w:r>
      <w:proofErr w:type="gramStart"/>
      <w:r w:rsidRPr="00276391">
        <w:rPr>
          <w:lang w:eastAsia="en-AU"/>
        </w:rPr>
        <w:t>taking into account</w:t>
      </w:r>
      <w:proofErr w:type="gramEnd"/>
      <w:r w:rsidRPr="00276391">
        <w:rPr>
          <w:lang w:eastAsia="en-AU"/>
        </w:rPr>
        <w:t xml:space="preserve"> any fire safety systems installed, and the evacuation capacities of the client. Where changes may affect the client's ongoing ability to evacuate safely, the suitability of the placement must be reassessed and appropriate action taken.</w:t>
      </w:r>
    </w:p>
    <w:p w14:paraId="42ABD356" w14:textId="77777777" w:rsidR="00BF1473" w:rsidRPr="00276391" w:rsidRDefault="00BF1473" w:rsidP="00BF1473">
      <w:pPr>
        <w:pStyle w:val="DHHSbody"/>
        <w:rPr>
          <w:lang w:eastAsia="en-AU"/>
        </w:rPr>
      </w:pPr>
      <w:r w:rsidRPr="00276391">
        <w:rPr>
          <w:lang w:eastAsia="en-AU"/>
        </w:rPr>
        <w:t>Where the organisation does not select the clients, the organisation must still monitor any relevant changes that may affect the client's ongoing ability to evacuate safely, assess the suitability of the placement, and take appropriate action.</w:t>
      </w:r>
    </w:p>
    <w:p w14:paraId="54D76907" w14:textId="77777777" w:rsidR="00BF1473" w:rsidRPr="00724CB5" w:rsidRDefault="00BF1473" w:rsidP="00BF1473">
      <w:pPr>
        <w:pStyle w:val="Heading4"/>
        <w:rPr>
          <w:b w:val="0"/>
        </w:rPr>
      </w:pPr>
      <w:bookmarkStart w:id="636" w:name="_Support_Service_only"/>
      <w:bookmarkStart w:id="637" w:name="_Toc478991920"/>
      <w:bookmarkEnd w:id="636"/>
      <w:r w:rsidRPr="001A0795">
        <w:t>Support Service only Fire Safety Standard (</w:t>
      </w:r>
      <w:r w:rsidRPr="00FD4156">
        <w:rPr>
          <w:rFonts w:eastAsia="Times"/>
          <w:bCs w:val="0"/>
        </w:rPr>
        <w:t>Standard No. 2</w:t>
      </w:r>
      <w:r w:rsidRPr="001A0795">
        <w:t>)</w:t>
      </w:r>
      <w:bookmarkEnd w:id="637"/>
      <w:r>
        <w:t xml:space="preserve"> </w:t>
      </w:r>
    </w:p>
    <w:p w14:paraId="66E502C3" w14:textId="77777777" w:rsidR="00BF1473" w:rsidRPr="003F52B3" w:rsidRDefault="00BF1473" w:rsidP="00BF1473">
      <w:pPr>
        <w:pStyle w:val="DHHSbody"/>
        <w:rPr>
          <w:lang w:eastAsia="en-AU"/>
        </w:rPr>
      </w:pPr>
      <w:bookmarkStart w:id="638" w:name="_Toc478991921"/>
      <w:r w:rsidRPr="003F52B3">
        <w:rPr>
          <w:b/>
          <w:lang w:eastAsia="en-AU"/>
        </w:rPr>
        <w:t>Application</w:t>
      </w:r>
      <w:bookmarkEnd w:id="638"/>
    </w:p>
    <w:p w14:paraId="7AA7EF25" w14:textId="77777777" w:rsidR="00BF1473" w:rsidRPr="003F52B3" w:rsidRDefault="00BF1473" w:rsidP="00BF1473">
      <w:pPr>
        <w:pStyle w:val="DHHSbody"/>
        <w:rPr>
          <w:lang w:eastAsia="en-AU"/>
        </w:rPr>
      </w:pPr>
      <w:bookmarkStart w:id="639" w:name="_Toc478991922"/>
      <w:r w:rsidRPr="003F52B3">
        <w:rPr>
          <w:lang w:eastAsia="en-AU"/>
        </w:rPr>
        <w:t>Type of service:</w:t>
      </w:r>
      <w:bookmarkEnd w:id="639"/>
    </w:p>
    <w:p w14:paraId="178E4565" w14:textId="77777777" w:rsidR="00BF1473" w:rsidRPr="00276391" w:rsidRDefault="00BF1473" w:rsidP="00BF1473">
      <w:pPr>
        <w:pStyle w:val="DHHSbody"/>
        <w:rPr>
          <w:lang w:eastAsia="en-AU"/>
        </w:rPr>
      </w:pPr>
      <w:r w:rsidRPr="00276391">
        <w:rPr>
          <w:lang w:eastAsia="en-AU"/>
        </w:rPr>
        <w:t>Services provided to clients in their private home (whether leased or owned by the client).</w:t>
      </w:r>
    </w:p>
    <w:p w14:paraId="4808FD32" w14:textId="58427EFA" w:rsidR="00BF1473" w:rsidRPr="00276391" w:rsidRDefault="00BF1473" w:rsidP="00BF1473">
      <w:pPr>
        <w:pStyle w:val="DHHSbody"/>
        <w:rPr>
          <w:lang w:eastAsia="en-AU"/>
        </w:rPr>
      </w:pPr>
      <w:r w:rsidRPr="00276391">
        <w:rPr>
          <w:lang w:eastAsia="en-AU"/>
        </w:rPr>
        <w:t>A situation of shared accommodation (two or more) by unrelated statutory clients or client’s (funding provided by the department) in owned or leased premises is considered as a Non-Government Organisation Premises Fire safety Standard (</w:t>
      </w:r>
      <w:hyperlink w:anchor="_Funded_organisation_(owned" w:tooltip="Link to Table 2 Fire safety - additional requirements Standard 5 from the Fire safety standards Heading" w:history="1">
        <w:r w:rsidRPr="00C12B11">
          <w:rPr>
            <w:rStyle w:val="Hyperlink"/>
            <w:bCs/>
          </w:rPr>
          <w:t>Standard No. 5</w:t>
        </w:r>
      </w:hyperlink>
      <w:r w:rsidR="00BC4212">
        <w:rPr>
          <w:lang w:eastAsia="en-AU"/>
        </w:rPr>
        <w:t xml:space="preserve"> below)</w:t>
      </w:r>
      <w:r w:rsidRPr="00276391">
        <w:rPr>
          <w:lang w:eastAsia="en-AU"/>
        </w:rPr>
        <w:t>.</w:t>
      </w:r>
    </w:p>
    <w:p w14:paraId="1BE64846" w14:textId="77777777" w:rsidR="00BF1473" w:rsidRPr="003F52B3" w:rsidRDefault="00BF1473" w:rsidP="00BF1473">
      <w:pPr>
        <w:pStyle w:val="DHHSbody"/>
        <w:rPr>
          <w:lang w:eastAsia="en-AU"/>
        </w:rPr>
      </w:pPr>
      <w:bookmarkStart w:id="640" w:name="_Toc478991923"/>
      <w:r w:rsidRPr="003F52B3">
        <w:rPr>
          <w:b/>
          <w:lang w:eastAsia="en-AU"/>
        </w:rPr>
        <w:t>Specifications</w:t>
      </w:r>
      <w:bookmarkEnd w:id="640"/>
    </w:p>
    <w:p w14:paraId="6C6F687D" w14:textId="77777777" w:rsidR="00BF1473" w:rsidRPr="00276391" w:rsidRDefault="00BF1473" w:rsidP="00BF1473">
      <w:pPr>
        <w:pStyle w:val="DHHSbody"/>
        <w:rPr>
          <w:lang w:eastAsia="en-AU"/>
        </w:rPr>
      </w:pPr>
      <w:r w:rsidRPr="00276391">
        <w:rPr>
          <w:lang w:eastAsia="en-AU"/>
        </w:rPr>
        <w:t>The department expects that the client (and where appropriate the owner of the premises) is responsible for their own fire safety and ensuring that the premises meet all relevant building local laws, regulations or legislation, including those that apply retrospectively.</w:t>
      </w:r>
    </w:p>
    <w:p w14:paraId="0908730F" w14:textId="77777777" w:rsidR="00BF1473" w:rsidRPr="00276391" w:rsidRDefault="00BF1473" w:rsidP="00BF1473">
      <w:pPr>
        <w:pStyle w:val="DHHSbody"/>
        <w:rPr>
          <w:lang w:eastAsia="en-AU"/>
        </w:rPr>
      </w:pPr>
      <w:r w:rsidRPr="00276391">
        <w:rPr>
          <w:lang w:eastAsia="en-AU"/>
        </w:rPr>
        <w:t>The department notes that the relevant statutory authorities (for example, local councils) are charged with enforcing fire safety provisions.</w:t>
      </w:r>
    </w:p>
    <w:p w14:paraId="2432AC4A" w14:textId="77777777" w:rsidR="00BF1473" w:rsidRPr="00276391" w:rsidRDefault="00BF1473" w:rsidP="00BF1473">
      <w:pPr>
        <w:pStyle w:val="DHHSbody"/>
        <w:rPr>
          <w:lang w:eastAsia="en-AU"/>
        </w:rPr>
      </w:pPr>
      <w:r w:rsidRPr="00276391">
        <w:rPr>
          <w:lang w:eastAsia="en-AU"/>
        </w:rPr>
        <w:t xml:space="preserve">The responsibility for a client's fire safety is not specifically part of the service purchased from the </w:t>
      </w:r>
      <w:proofErr w:type="gramStart"/>
      <w:r w:rsidRPr="00276391">
        <w:rPr>
          <w:lang w:eastAsia="en-AU"/>
        </w:rPr>
        <w:t>organisation, but</w:t>
      </w:r>
      <w:proofErr w:type="gramEnd"/>
      <w:r w:rsidRPr="00276391">
        <w:rPr>
          <w:lang w:eastAsia="en-AU"/>
        </w:rPr>
        <w:t xml:space="preserve"> is implied through common law (or other duty of care) requirements.</w:t>
      </w:r>
    </w:p>
    <w:p w14:paraId="4708624F" w14:textId="77777777" w:rsidR="00BF1473" w:rsidRPr="001463DC" w:rsidRDefault="00BF1473" w:rsidP="00BF1473">
      <w:pPr>
        <w:pStyle w:val="DHHSbody"/>
        <w:rPr>
          <w:b/>
          <w:lang w:eastAsia="en-AU"/>
        </w:rPr>
      </w:pPr>
      <w:bookmarkStart w:id="641" w:name="_Toc478991924"/>
      <w:r w:rsidRPr="001463DC">
        <w:rPr>
          <w:b/>
          <w:lang w:eastAsia="en-AU"/>
        </w:rPr>
        <w:t>Client placement</w:t>
      </w:r>
      <w:bookmarkEnd w:id="641"/>
    </w:p>
    <w:p w14:paraId="27B038DB" w14:textId="77777777" w:rsidR="00BF1473" w:rsidRPr="00276391" w:rsidRDefault="00BF1473" w:rsidP="00BF1473">
      <w:pPr>
        <w:pStyle w:val="DHHSbody"/>
        <w:rPr>
          <w:lang w:eastAsia="en-AU"/>
        </w:rPr>
      </w:pPr>
      <w:r w:rsidRPr="00B24C02">
        <w:rPr>
          <w:rFonts w:cs="Arial"/>
          <w:color w:val="000000"/>
          <w:szCs w:val="19"/>
          <w:lang w:eastAsia="en-AU"/>
        </w:rPr>
        <w:t xml:space="preserve">The relevant organisation must determine whether the lead tenant premises are suitable for young people to be evacuated safely and must </w:t>
      </w:r>
      <w:proofErr w:type="gramStart"/>
      <w:r w:rsidRPr="00B24C02">
        <w:rPr>
          <w:rFonts w:cs="Arial"/>
          <w:color w:val="000000"/>
          <w:szCs w:val="19"/>
          <w:lang w:eastAsia="en-AU"/>
        </w:rPr>
        <w:t>take into account</w:t>
      </w:r>
      <w:proofErr w:type="gramEnd"/>
      <w:r w:rsidRPr="00B24C02">
        <w:rPr>
          <w:rFonts w:cs="Arial"/>
          <w:color w:val="000000"/>
          <w:szCs w:val="19"/>
          <w:lang w:eastAsia="en-AU"/>
        </w:rPr>
        <w:t xml:space="preserve"> the individual capacity of each young person to evacuate. Young people with any history of fire-lighting behaviours must be assessed to determine the currency of the behaviour and the level of risk. Where it is determined that a young person is at risk of lighting fires, they are not suitable to be placed in lead tenant accommodation.</w:t>
      </w:r>
    </w:p>
    <w:p w14:paraId="2E820054" w14:textId="77777777" w:rsidR="00BF1473" w:rsidRPr="00276391" w:rsidRDefault="00BF1473" w:rsidP="00BF1473">
      <w:pPr>
        <w:pStyle w:val="DHHSbody"/>
        <w:rPr>
          <w:lang w:eastAsia="en-AU"/>
        </w:rPr>
      </w:pPr>
      <w:r w:rsidRPr="00276391">
        <w:rPr>
          <w:lang w:eastAsia="en-AU"/>
        </w:rPr>
        <w:lastRenderedPageBreak/>
        <w:t>Where a young person or lead tenant has a condition (temporary or ongoing) that would impede their capacity to evacuate safely, the placement must be reassessed immediately and appropriate action taken as soon as possible by the organisation.</w:t>
      </w:r>
    </w:p>
    <w:p w14:paraId="4C535707" w14:textId="77777777" w:rsidR="00BF1473" w:rsidRPr="00724CB5" w:rsidRDefault="00BF1473" w:rsidP="00BF1473">
      <w:pPr>
        <w:pStyle w:val="Heading4"/>
        <w:rPr>
          <w:b w:val="0"/>
        </w:rPr>
      </w:pPr>
      <w:bookmarkStart w:id="642" w:name="_Relevant_Authorities_Fire"/>
      <w:bookmarkStart w:id="643" w:name="_Toc478991925"/>
      <w:bookmarkEnd w:id="642"/>
      <w:r w:rsidRPr="001A0795">
        <w:t>Relevant Authorities Fire Safety Standard (</w:t>
      </w:r>
      <w:r w:rsidRPr="00FD4156">
        <w:t>Standard No. 3</w:t>
      </w:r>
      <w:r w:rsidRPr="00852FE9">
        <w:t>)</w:t>
      </w:r>
      <w:bookmarkEnd w:id="643"/>
      <w:r>
        <w:t xml:space="preserve"> </w:t>
      </w:r>
    </w:p>
    <w:p w14:paraId="343E9072" w14:textId="77777777" w:rsidR="00BF1473" w:rsidRPr="003F52B3" w:rsidRDefault="00BF1473" w:rsidP="00BF1473">
      <w:pPr>
        <w:pStyle w:val="DHHSbody"/>
        <w:rPr>
          <w:lang w:eastAsia="en-AU"/>
        </w:rPr>
      </w:pPr>
      <w:bookmarkStart w:id="644" w:name="_Toc478991926"/>
      <w:r w:rsidRPr="003F52B3">
        <w:rPr>
          <w:b/>
          <w:lang w:eastAsia="en-AU"/>
        </w:rPr>
        <w:t>Application</w:t>
      </w:r>
      <w:bookmarkEnd w:id="644"/>
    </w:p>
    <w:p w14:paraId="5F382447" w14:textId="77777777" w:rsidR="00BF1473" w:rsidRPr="003F52B3" w:rsidRDefault="00BF1473" w:rsidP="00BF1473">
      <w:pPr>
        <w:pStyle w:val="DHHSbody"/>
        <w:rPr>
          <w:lang w:eastAsia="en-AU"/>
        </w:rPr>
      </w:pPr>
      <w:bookmarkStart w:id="645" w:name="_Toc478991927"/>
      <w:r w:rsidRPr="003F52B3">
        <w:rPr>
          <w:lang w:eastAsia="en-AU"/>
        </w:rPr>
        <w:t>Type of service:</w:t>
      </w:r>
      <w:bookmarkEnd w:id="645"/>
    </w:p>
    <w:p w14:paraId="07D4A0D9" w14:textId="77777777" w:rsidR="00BF1473" w:rsidRPr="00276391" w:rsidRDefault="00BF1473" w:rsidP="00BF1473">
      <w:pPr>
        <w:pStyle w:val="DHHSbody"/>
        <w:rPr>
          <w:lang w:eastAsia="en-AU"/>
        </w:rPr>
      </w:pPr>
      <w:r w:rsidRPr="00276391">
        <w:rPr>
          <w:lang w:eastAsia="en-AU"/>
        </w:rPr>
        <w:t>Bed based with 24 hours rostered/live-in staff support/supervision.</w:t>
      </w:r>
    </w:p>
    <w:p w14:paraId="032B4B46" w14:textId="77777777" w:rsidR="00BF1473" w:rsidRPr="00276391" w:rsidRDefault="00BF1473" w:rsidP="00BF1473">
      <w:pPr>
        <w:pStyle w:val="DHHSbody"/>
        <w:rPr>
          <w:lang w:eastAsia="en-AU"/>
        </w:rPr>
      </w:pPr>
      <w:r w:rsidRPr="00276391">
        <w:rPr>
          <w:lang w:eastAsia="en-AU"/>
        </w:rPr>
        <w:t xml:space="preserve">State government owned or Non-government owned premises (but not a private home) where the department's Fire Risk Management Standard has not been specified or the service is not intended specifically to house statutory clients or clients provided with </w:t>
      </w:r>
      <w:proofErr w:type="gramStart"/>
      <w:r w:rsidRPr="00276391">
        <w:rPr>
          <w:lang w:eastAsia="en-AU"/>
        </w:rPr>
        <w:t>24 hour</w:t>
      </w:r>
      <w:proofErr w:type="gramEnd"/>
      <w:r w:rsidRPr="00276391">
        <w:rPr>
          <w:lang w:eastAsia="en-AU"/>
        </w:rPr>
        <w:t xml:space="preserve"> care funding.</w:t>
      </w:r>
    </w:p>
    <w:p w14:paraId="2EF376E0" w14:textId="77777777" w:rsidR="00BF1473" w:rsidRPr="00276391" w:rsidRDefault="00BF1473" w:rsidP="00BF1473">
      <w:pPr>
        <w:pStyle w:val="DHHSbody"/>
        <w:rPr>
          <w:lang w:eastAsia="en-AU"/>
        </w:rPr>
      </w:pPr>
      <w:r w:rsidRPr="00276391">
        <w:rPr>
          <w:lang w:eastAsia="en-AU"/>
        </w:rPr>
        <w:t>May include some disability, placement and support and bed-based overnight respite residential services.</w:t>
      </w:r>
    </w:p>
    <w:p w14:paraId="4D243CED" w14:textId="77777777" w:rsidR="00BF1473" w:rsidRPr="00276391" w:rsidRDefault="00BF1473" w:rsidP="00BF1473">
      <w:pPr>
        <w:pStyle w:val="DHHSbody"/>
        <w:rPr>
          <w:lang w:eastAsia="en-AU"/>
        </w:rPr>
      </w:pPr>
      <w:r w:rsidRPr="00276391">
        <w:rPr>
          <w:b/>
          <w:bCs/>
          <w:lang w:eastAsia="en-AU"/>
        </w:rPr>
        <w:t>Specifications</w:t>
      </w:r>
    </w:p>
    <w:p w14:paraId="024240DE" w14:textId="77777777" w:rsidR="00BF1473" w:rsidRPr="00276391" w:rsidRDefault="00BF1473" w:rsidP="00BF1473">
      <w:pPr>
        <w:pStyle w:val="DHHSbody"/>
        <w:rPr>
          <w:lang w:eastAsia="en-AU"/>
        </w:rPr>
      </w:pPr>
      <w:r w:rsidRPr="00276391">
        <w:rPr>
          <w:lang w:eastAsia="en-AU"/>
        </w:rPr>
        <w:t>The organisation is required to make certain that the persons in its care are appropriately protected from risk from fire. This protection includes:</w:t>
      </w:r>
    </w:p>
    <w:p w14:paraId="42BF4649"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Premises</w:t>
      </w:r>
      <w:r w:rsidRPr="00276391">
        <w:rPr>
          <w:rFonts w:cs="Arial"/>
          <w:lang w:eastAsia="en-AU"/>
        </w:rPr>
        <w:t xml:space="preserve"> - the department expects that the premises meet all relevant building local laws, regulations or legislation, including provisions that apply retrospectively (for example, requirement for smoke alarms). It is expected that the premises were constructed to meet the requirements of relevant building by-Laws, regulations or legislation in force at the time of construction and that building works have been undertaken in accordance with relevant building approval provisions since that time. </w:t>
      </w:r>
    </w:p>
    <w:p w14:paraId="3EF83CDB" w14:textId="77777777" w:rsidR="00BF1473" w:rsidRPr="00276391" w:rsidRDefault="00BF1473" w:rsidP="00BF1473">
      <w:pPr>
        <w:pStyle w:val="DHHSbullet1"/>
        <w:numPr>
          <w:ilvl w:val="0"/>
          <w:numId w:val="14"/>
        </w:numPr>
        <w:rPr>
          <w:rFonts w:cs="Arial"/>
          <w:lang w:eastAsia="en-AU"/>
        </w:rPr>
      </w:pPr>
      <w:r w:rsidRPr="00276391">
        <w:rPr>
          <w:rFonts w:cs="Arial"/>
          <w:lang w:eastAsia="en-AU"/>
        </w:rPr>
        <w:t>Where this is not the case, or where the organisation otherwise determines that the premises do not meet a standard which provides an appropriate level of fire safety, the organisation is expected to ensure that the premises are brought up to provide an appropriate level of fire safety protection.</w:t>
      </w:r>
    </w:p>
    <w:p w14:paraId="54438256" w14:textId="77777777" w:rsidR="00BF1473" w:rsidRPr="00276391" w:rsidRDefault="00BF1473" w:rsidP="00BF1473">
      <w:pPr>
        <w:pStyle w:val="DHHSbullet1"/>
        <w:numPr>
          <w:ilvl w:val="0"/>
          <w:numId w:val="14"/>
        </w:numPr>
        <w:rPr>
          <w:rFonts w:cs="Arial"/>
          <w:lang w:eastAsia="en-AU"/>
        </w:rPr>
      </w:pPr>
      <w:r w:rsidRPr="00276391">
        <w:rPr>
          <w:rFonts w:cs="Arial"/>
          <w:lang w:eastAsia="en-AU"/>
        </w:rPr>
        <w:t>The department notes that the relevant statutory authorities (for example, local councils and fire authorities Melbourne Fire Brigade and Country Fire Authority) are responsible for the enforcement of fire safety provisions.</w:t>
      </w:r>
    </w:p>
    <w:p w14:paraId="3CEC02D8" w14:textId="6517A439" w:rsidR="00BF1473" w:rsidRPr="00276391" w:rsidRDefault="00921D8B" w:rsidP="00921D8B">
      <w:pPr>
        <w:pStyle w:val="DHHSbullet1"/>
        <w:numPr>
          <w:ilvl w:val="0"/>
          <w:numId w:val="0"/>
        </w:numPr>
        <w:ind w:left="851" w:hanging="131"/>
        <w:rPr>
          <w:rFonts w:cs="Arial"/>
          <w:lang w:eastAsia="en-AU"/>
        </w:rPr>
      </w:pPr>
      <w:r>
        <w:rPr>
          <w:rFonts w:cs="Arial"/>
          <w:lang w:eastAsia="en-AU"/>
        </w:rPr>
        <w:t xml:space="preserve">* </w:t>
      </w:r>
      <w:r w:rsidR="00BF1473" w:rsidRPr="00276391">
        <w:rPr>
          <w:rFonts w:cs="Arial"/>
          <w:lang w:eastAsia="en-AU"/>
        </w:rPr>
        <w:t xml:space="preserve">In each case a reference to premises refers to those premises from which the service (which is subject to this </w:t>
      </w:r>
      <w:r w:rsidR="009B3052">
        <w:rPr>
          <w:rFonts w:cs="Arial"/>
          <w:lang w:eastAsia="en-AU"/>
        </w:rPr>
        <w:t>Service agreement</w:t>
      </w:r>
      <w:r w:rsidR="00BF1473" w:rsidRPr="00276391">
        <w:rPr>
          <w:rFonts w:cs="Arial"/>
          <w:lang w:eastAsia="en-AU"/>
        </w:rPr>
        <w:t>) is provided.</w:t>
      </w:r>
    </w:p>
    <w:p w14:paraId="4535FDFF"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Operational readiness</w:t>
      </w:r>
      <w:r w:rsidRPr="00276391">
        <w:rPr>
          <w:rFonts w:cs="Arial"/>
          <w:lang w:eastAsia="en-AU"/>
        </w:rPr>
        <w:t xml:space="preserve"> - the organisation must ensure that appropriate operational readiness measures are developed, implemented and reviewed. This includes (but is not limited to) development of fire emergency management and evacuation procedures, training of staff to implement the procedures developed, and maintenance of fire safety systems. </w:t>
      </w:r>
    </w:p>
    <w:p w14:paraId="435DFE32"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Maintenance of essential safety measures</w:t>
      </w:r>
      <w:r w:rsidRPr="00276391">
        <w:rPr>
          <w:rFonts w:cs="Arial"/>
          <w:lang w:eastAsia="en-AU"/>
        </w:rPr>
        <w:t xml:space="preserve"> - the organisation shall ensure that all Essential Safety Measures (including all fire safety equipment/systems) are being adequately maintained, in accordance with the Building Regulations. </w:t>
      </w:r>
    </w:p>
    <w:p w14:paraId="07EDA6D9" w14:textId="48C610A8" w:rsidR="00BF1473" w:rsidRPr="00F352C6" w:rsidRDefault="00BF1473" w:rsidP="00F352C6">
      <w:pPr>
        <w:pStyle w:val="DHHSbullet1"/>
        <w:numPr>
          <w:ilvl w:val="0"/>
          <w:numId w:val="14"/>
        </w:numPr>
        <w:rPr>
          <w:rFonts w:cs="Arial"/>
          <w:lang w:eastAsia="en-AU"/>
        </w:rPr>
      </w:pPr>
      <w:r w:rsidRPr="00F352C6">
        <w:rPr>
          <w:rFonts w:cs="Arial"/>
          <w:lang w:eastAsia="en-AU"/>
        </w:rPr>
        <w:t xml:space="preserve">Completion of the </w:t>
      </w:r>
      <w:hyperlink r:id="rId171" w:tgtFrame="_blank" w:history="1">
        <w:r w:rsidRPr="00986D1E">
          <w:rPr>
            <w:rStyle w:val="Hyperlink"/>
          </w:rPr>
          <w:t>Weekly checklist</w:t>
        </w:r>
      </w:hyperlink>
      <w:r w:rsidRPr="00F352C6">
        <w:rPr>
          <w:rFonts w:cs="Arial"/>
          <w:lang w:eastAsia="en-AU"/>
        </w:rPr>
        <w:t xml:space="preserve"> &lt;</w:t>
      </w:r>
      <w:r w:rsidR="00F352C6" w:rsidRPr="00F352C6">
        <w:rPr>
          <w:rFonts w:cs="Arial"/>
          <w:lang w:eastAsia="en-AU"/>
        </w:rPr>
        <w:t>https://providers.dhhs.vic.gov.au/fire-safety-equipment-weekly-checklist-community-service-organisations-word</w:t>
      </w:r>
      <w:r w:rsidRPr="00F352C6">
        <w:rPr>
          <w:rFonts w:cs="Arial"/>
          <w:lang w:eastAsia="en-AU"/>
        </w:rPr>
        <w:t>&gt; (</w:t>
      </w:r>
      <w:r w:rsidR="00F352C6">
        <w:rPr>
          <w:rFonts w:cs="Arial"/>
          <w:lang w:eastAsia="en-AU"/>
        </w:rPr>
        <w:t>external link, opens in a new window</w:t>
      </w:r>
      <w:r w:rsidRPr="00F352C6">
        <w:rPr>
          <w:rFonts w:cs="Arial"/>
          <w:lang w:eastAsia="en-AU"/>
        </w:rPr>
        <w:t>) will assist in providing documentation to support completion of the annual Essential Safety Measures Report.</w:t>
      </w:r>
    </w:p>
    <w:p w14:paraId="43268EC6"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Client placement</w:t>
      </w:r>
      <w:r w:rsidRPr="00276391">
        <w:rPr>
          <w:rFonts w:cs="Arial"/>
          <w:lang w:eastAsia="en-AU"/>
        </w:rPr>
        <w:t xml:space="preserve"> - Where the organisation selects the clients, the organisation must determine whether the premises are suitable for the client to be evacuated safely, </w:t>
      </w:r>
      <w:proofErr w:type="gramStart"/>
      <w:r w:rsidRPr="00276391">
        <w:rPr>
          <w:rFonts w:cs="Arial"/>
          <w:lang w:eastAsia="en-AU"/>
        </w:rPr>
        <w:t>taking into account</w:t>
      </w:r>
      <w:proofErr w:type="gramEnd"/>
      <w:r w:rsidRPr="00276391">
        <w:rPr>
          <w:rFonts w:cs="Arial"/>
          <w:lang w:eastAsia="en-AU"/>
        </w:rPr>
        <w:t xml:space="preserve"> any fire safety systems installed and the evacuation capacities of the client. Where any relevant change may affect the client's ongoing ability to evacuate safely, the suitability of the placement must be immediately reassessed and appropriate action taken as soon as possible. </w:t>
      </w:r>
    </w:p>
    <w:p w14:paraId="394027C2" w14:textId="77777777" w:rsidR="00BF1473" w:rsidRPr="00276391" w:rsidRDefault="00BF1473" w:rsidP="00BF1473">
      <w:pPr>
        <w:pStyle w:val="DHHSbullet1"/>
        <w:numPr>
          <w:ilvl w:val="0"/>
          <w:numId w:val="14"/>
        </w:numPr>
        <w:rPr>
          <w:rFonts w:cs="Arial"/>
          <w:lang w:eastAsia="en-AU"/>
        </w:rPr>
      </w:pPr>
      <w:r w:rsidRPr="00276391">
        <w:rPr>
          <w:rFonts w:cs="Arial"/>
          <w:lang w:eastAsia="en-AU"/>
        </w:rPr>
        <w:t>Where the organisation does not select the clients, the organisation must still monitor any relevant changes that may affect the client's ongoing ability to evacuate safely, assess the suitability of the placement, and take appropriate action as soon as possible.</w:t>
      </w:r>
    </w:p>
    <w:p w14:paraId="6D42118B" w14:textId="37609C9B" w:rsidR="00BF1473" w:rsidRPr="00C14D34" w:rsidRDefault="00BF1473" w:rsidP="00BF1473">
      <w:pPr>
        <w:pStyle w:val="DHHSbullet1"/>
        <w:numPr>
          <w:ilvl w:val="0"/>
          <w:numId w:val="14"/>
        </w:numPr>
        <w:rPr>
          <w:rFonts w:cs="Arial"/>
          <w:lang w:eastAsia="en-AU"/>
        </w:rPr>
      </w:pPr>
      <w:r w:rsidRPr="00C14D34">
        <w:rPr>
          <w:rFonts w:cs="Arial"/>
          <w:b/>
          <w:bCs/>
          <w:lang w:eastAsia="en-AU"/>
        </w:rPr>
        <w:lastRenderedPageBreak/>
        <w:t>Fire Safety Certification</w:t>
      </w:r>
      <w:r w:rsidRPr="00C14D34">
        <w:rPr>
          <w:rFonts w:cs="Arial"/>
          <w:lang w:eastAsia="en-AU"/>
        </w:rPr>
        <w:t xml:space="preserve"> - </w:t>
      </w:r>
      <w:hyperlink r:id="rId172" w:tgtFrame="_blank" w:history="1">
        <w:r w:rsidR="00F352C6" w:rsidRPr="00986D1E">
          <w:rPr>
            <w:rStyle w:val="Hyperlink"/>
          </w:rPr>
          <w:t>Fire Safety Compliance - Certificate No. 3</w:t>
        </w:r>
      </w:hyperlink>
      <w:r w:rsidR="00F352C6" w:rsidRPr="00B24C02">
        <w:rPr>
          <w:rFonts w:cs="Arial"/>
          <w:color w:val="000000"/>
          <w:szCs w:val="19"/>
          <w:lang w:eastAsia="en-AU"/>
        </w:rPr>
        <w:t xml:space="preserve"> </w:t>
      </w:r>
      <w:r w:rsidR="00F352C6">
        <w:rPr>
          <w:rFonts w:cs="Arial"/>
          <w:color w:val="000000"/>
          <w:szCs w:val="19"/>
          <w:lang w:eastAsia="en-AU"/>
        </w:rPr>
        <w:t>&lt;</w:t>
      </w:r>
      <w:r w:rsidR="00F352C6" w:rsidRPr="00EA74AB">
        <w:rPr>
          <w:rFonts w:cs="Arial"/>
          <w:color w:val="000000"/>
          <w:szCs w:val="19"/>
          <w:lang w:eastAsia="en-AU"/>
        </w:rPr>
        <w:t>https://providers.dhhs.vic.gov.au/fire-safety-compliance-certificate-no-3-word</w:t>
      </w:r>
      <w:r w:rsidR="00F352C6">
        <w:rPr>
          <w:rFonts w:cs="Arial"/>
          <w:color w:val="000000"/>
          <w:szCs w:val="19"/>
          <w:lang w:eastAsia="en-AU"/>
        </w:rPr>
        <w:t>&gt;</w:t>
      </w:r>
      <w:r w:rsidR="00F352C6" w:rsidRPr="006205AA">
        <w:rPr>
          <w:rFonts w:cs="Arial"/>
          <w:color w:val="000000"/>
          <w:szCs w:val="19"/>
          <w:lang w:eastAsia="en-AU"/>
        </w:rPr>
        <w:t xml:space="preserve"> </w:t>
      </w:r>
      <w:r w:rsidR="00F352C6" w:rsidRPr="00B24C02">
        <w:rPr>
          <w:rFonts w:cs="Arial"/>
          <w:color w:val="000000"/>
          <w:szCs w:val="19"/>
          <w:lang w:eastAsia="en-AU"/>
        </w:rPr>
        <w:t>(</w:t>
      </w:r>
      <w:r w:rsidR="00F352C6">
        <w:rPr>
          <w:rFonts w:cs="Arial"/>
          <w:color w:val="000000"/>
          <w:szCs w:val="19"/>
          <w:lang w:eastAsia="en-AU"/>
        </w:rPr>
        <w:t xml:space="preserve">external link, </w:t>
      </w:r>
      <w:r w:rsidR="00F352C6" w:rsidRPr="00B24C02">
        <w:rPr>
          <w:rFonts w:cs="Arial"/>
          <w:color w:val="000000"/>
          <w:szCs w:val="19"/>
          <w:lang w:eastAsia="en-AU"/>
        </w:rPr>
        <w:t>open</w:t>
      </w:r>
      <w:r w:rsidR="00F352C6">
        <w:rPr>
          <w:rFonts w:cs="Arial"/>
          <w:color w:val="000000"/>
          <w:szCs w:val="19"/>
          <w:lang w:eastAsia="en-AU"/>
        </w:rPr>
        <w:t>s in a new window</w:t>
      </w:r>
      <w:r w:rsidR="00F352C6" w:rsidRPr="00B24C02">
        <w:rPr>
          <w:rFonts w:cs="Arial"/>
          <w:color w:val="000000"/>
          <w:szCs w:val="19"/>
          <w:lang w:eastAsia="en-AU"/>
        </w:rPr>
        <w:t>)</w:t>
      </w:r>
      <w:r w:rsidRPr="00C14D34">
        <w:rPr>
          <w:rFonts w:cs="Arial"/>
          <w:lang w:eastAsia="en-AU"/>
        </w:rPr>
        <w:t xml:space="preserve"> must be returned by </w:t>
      </w:r>
      <w:r w:rsidRPr="00982833">
        <w:rPr>
          <w:rFonts w:cs="Arial"/>
          <w:iCs/>
          <w:lang w:eastAsia="en-AU"/>
        </w:rPr>
        <w:t>1 September</w:t>
      </w:r>
      <w:r w:rsidRPr="00C14D34">
        <w:rPr>
          <w:rFonts w:cs="Arial"/>
          <w:lang w:eastAsia="en-AU"/>
        </w:rPr>
        <w:t xml:space="preserve"> in the following financial year or by a date to be agreed between the organisation and the department's assigned Local Engagement Officer (LEO) in the Agency Connections Team of the Division. This date will </w:t>
      </w:r>
      <w:proofErr w:type="gramStart"/>
      <w:r w:rsidRPr="00C14D34">
        <w:rPr>
          <w:rFonts w:cs="Arial"/>
          <w:lang w:eastAsia="en-AU"/>
        </w:rPr>
        <w:t>take into account</w:t>
      </w:r>
      <w:proofErr w:type="gramEnd"/>
      <w:r w:rsidRPr="00C14D34">
        <w:rPr>
          <w:rFonts w:cs="Arial"/>
          <w:lang w:eastAsia="en-AU"/>
        </w:rPr>
        <w:t xml:space="preserve"> any relevant upgrade works that are scheduled. </w:t>
      </w:r>
    </w:p>
    <w:p w14:paraId="1AA7FA0F" w14:textId="77777777" w:rsidR="00BF1473" w:rsidRPr="00C14D34" w:rsidRDefault="00BF1473" w:rsidP="00BF1473">
      <w:pPr>
        <w:pStyle w:val="Heading4"/>
        <w:rPr>
          <w:b w:val="0"/>
        </w:rPr>
      </w:pPr>
      <w:bookmarkStart w:id="646" w:name="_The_department's_fire"/>
      <w:bookmarkStart w:id="647" w:name="_Toc478991928"/>
      <w:bookmarkEnd w:id="646"/>
      <w:r w:rsidRPr="001A0795">
        <w:t>The department's fire risk management standard (</w:t>
      </w:r>
      <w:r w:rsidRPr="00FD4156">
        <w:rPr>
          <w:rFonts w:eastAsia="Times"/>
          <w:bCs w:val="0"/>
        </w:rPr>
        <w:t>Standard No. 4</w:t>
      </w:r>
      <w:r w:rsidRPr="001A0795">
        <w:t>)</w:t>
      </w:r>
      <w:bookmarkEnd w:id="647"/>
      <w:r>
        <w:t xml:space="preserve"> </w:t>
      </w:r>
    </w:p>
    <w:p w14:paraId="3930CEF7" w14:textId="77777777" w:rsidR="00BF1473" w:rsidRPr="003F52B3" w:rsidRDefault="00BF1473" w:rsidP="00BF1473">
      <w:pPr>
        <w:pStyle w:val="DHHSbody"/>
        <w:rPr>
          <w:lang w:eastAsia="en-AU"/>
        </w:rPr>
      </w:pPr>
      <w:bookmarkStart w:id="648" w:name="_Toc478991929"/>
      <w:r w:rsidRPr="003F52B3">
        <w:rPr>
          <w:b/>
          <w:lang w:eastAsia="en-AU"/>
        </w:rPr>
        <w:t>Application</w:t>
      </w:r>
      <w:bookmarkEnd w:id="648"/>
    </w:p>
    <w:p w14:paraId="2080B871" w14:textId="77777777" w:rsidR="00BF1473" w:rsidRPr="003F52B3" w:rsidRDefault="00BF1473" w:rsidP="00BF1473">
      <w:pPr>
        <w:pStyle w:val="DHHSbody"/>
        <w:rPr>
          <w:lang w:eastAsia="en-AU"/>
        </w:rPr>
      </w:pPr>
      <w:bookmarkStart w:id="649" w:name="_Toc478991930"/>
      <w:r w:rsidRPr="003F52B3">
        <w:rPr>
          <w:lang w:eastAsia="en-AU"/>
        </w:rPr>
        <w:t>Type of service:</w:t>
      </w:r>
      <w:bookmarkEnd w:id="649"/>
    </w:p>
    <w:p w14:paraId="0530914F" w14:textId="77777777" w:rsidR="00BF1473" w:rsidRPr="00B24C02" w:rsidRDefault="00BF1473" w:rsidP="00BF1473">
      <w:pPr>
        <w:pStyle w:val="DHHSbody"/>
        <w:rPr>
          <w:szCs w:val="19"/>
          <w:lang w:eastAsia="en-AU"/>
        </w:rPr>
      </w:pPr>
      <w:r w:rsidRPr="00B24C02">
        <w:rPr>
          <w:szCs w:val="19"/>
          <w:lang w:eastAsia="en-AU"/>
        </w:rPr>
        <w:t>Bed based with rostered/live-in staff support/supervision. May include disability (including respite), placement and support, secure welfare, juvenile justice, secure facilities and residential services.</w:t>
      </w:r>
    </w:p>
    <w:p w14:paraId="33433767" w14:textId="77777777" w:rsidR="00BF1473" w:rsidRPr="003F52B3" w:rsidRDefault="00BF1473" w:rsidP="00BF1473">
      <w:pPr>
        <w:pStyle w:val="DHHSbody"/>
        <w:rPr>
          <w:lang w:eastAsia="en-AU"/>
        </w:rPr>
      </w:pPr>
      <w:bookmarkStart w:id="650" w:name="_Toc478991931"/>
      <w:r w:rsidRPr="003F52B3">
        <w:rPr>
          <w:b/>
          <w:lang w:eastAsia="en-AU"/>
        </w:rPr>
        <w:t>Premises</w:t>
      </w:r>
      <w:bookmarkEnd w:id="650"/>
    </w:p>
    <w:p w14:paraId="34B12AA2" w14:textId="77777777" w:rsidR="00BF1473" w:rsidRPr="00B24C02" w:rsidRDefault="00BF1473" w:rsidP="00BF1473">
      <w:pPr>
        <w:pStyle w:val="DHHSbody"/>
        <w:rPr>
          <w:szCs w:val="19"/>
          <w:lang w:eastAsia="en-AU"/>
        </w:rPr>
      </w:pPr>
      <w:r w:rsidRPr="00B24C02">
        <w:rPr>
          <w:szCs w:val="19"/>
          <w:lang w:eastAsia="en-AU"/>
        </w:rPr>
        <w:t xml:space="preserve">Owned or leased by the State Government (the Crown, the Secretary of the department or the Director of Housing), but </w:t>
      </w:r>
      <w:r w:rsidRPr="00B24C02">
        <w:rPr>
          <w:b/>
          <w:bCs/>
          <w:szCs w:val="19"/>
          <w:lang w:eastAsia="en-AU"/>
        </w:rPr>
        <w:t>not</w:t>
      </w:r>
      <w:r w:rsidRPr="00B24C02">
        <w:rPr>
          <w:szCs w:val="19"/>
          <w:lang w:eastAsia="en-AU"/>
        </w:rPr>
        <w:t xml:space="preserve"> rental general stock (RGS).</w:t>
      </w:r>
    </w:p>
    <w:p w14:paraId="0BBD55E2" w14:textId="77777777" w:rsidR="00BF1473" w:rsidRPr="003F52B3" w:rsidRDefault="00BF1473" w:rsidP="00BF1473">
      <w:pPr>
        <w:pStyle w:val="DHHSbody"/>
        <w:rPr>
          <w:lang w:eastAsia="en-AU"/>
        </w:rPr>
      </w:pPr>
      <w:bookmarkStart w:id="651" w:name="_Toc478991932"/>
      <w:r w:rsidRPr="003F52B3">
        <w:rPr>
          <w:b/>
          <w:lang w:eastAsia="en-AU"/>
        </w:rPr>
        <w:t>Accompanying document</w:t>
      </w:r>
      <w:bookmarkEnd w:id="651"/>
    </w:p>
    <w:p w14:paraId="79946816" w14:textId="3632FED4" w:rsidR="00BF1473" w:rsidRDefault="0016341D" w:rsidP="00BF1473">
      <w:pPr>
        <w:pStyle w:val="DHHSbody"/>
        <w:rPr>
          <w:szCs w:val="19"/>
          <w:lang w:eastAsia="en-AU"/>
        </w:rPr>
      </w:pPr>
      <w:hyperlink r:id="rId173" w:tgtFrame="_blank" w:history="1">
        <w:r w:rsidR="00F352C6" w:rsidRPr="00F352C6">
          <w:rPr>
            <w:rStyle w:val="Hyperlink"/>
          </w:rPr>
          <w:t>Capital Development Guidelines, Series 7, Fire Risk Management, August 2013</w:t>
        </w:r>
      </w:hyperlink>
      <w:r w:rsidR="00F352C6" w:rsidRPr="00B24C02">
        <w:rPr>
          <w:szCs w:val="19"/>
          <w:lang w:eastAsia="en-AU"/>
        </w:rPr>
        <w:t xml:space="preserve"> </w:t>
      </w:r>
      <w:r w:rsidR="00F352C6">
        <w:rPr>
          <w:szCs w:val="19"/>
          <w:lang w:eastAsia="en-AU"/>
        </w:rPr>
        <w:t>&lt;</w:t>
      </w:r>
      <w:r w:rsidR="00F352C6" w:rsidRPr="00390713">
        <w:rPr>
          <w:rFonts w:cs="Arial"/>
          <w:color w:val="000000"/>
          <w:szCs w:val="19"/>
          <w:lang w:eastAsia="en-AU"/>
        </w:rPr>
        <w:t>https://providers.dhhs.vic.gov.au/capital-development-guidelines-series-7</w:t>
      </w:r>
      <w:r w:rsidR="00F352C6">
        <w:rPr>
          <w:szCs w:val="19"/>
          <w:lang w:eastAsia="en-AU"/>
        </w:rPr>
        <w:t>&gt;</w:t>
      </w:r>
      <w:r w:rsidR="00F352C6" w:rsidRPr="00640E9B">
        <w:rPr>
          <w:szCs w:val="19"/>
          <w:lang w:eastAsia="en-AU"/>
        </w:rPr>
        <w:t xml:space="preserve"> </w:t>
      </w:r>
      <w:r w:rsidR="00F352C6" w:rsidRPr="00B24C02">
        <w:rPr>
          <w:szCs w:val="19"/>
          <w:lang w:eastAsia="en-AU"/>
        </w:rPr>
        <w:t>(extern</w:t>
      </w:r>
      <w:r w:rsidR="00F352C6">
        <w:rPr>
          <w:szCs w:val="19"/>
          <w:lang w:eastAsia="en-AU"/>
        </w:rPr>
        <w:t>al link, opens in a new window)</w:t>
      </w:r>
      <w:r w:rsidR="00982833">
        <w:rPr>
          <w:szCs w:val="19"/>
          <w:lang w:eastAsia="en-AU"/>
        </w:rPr>
        <w:t xml:space="preserve"> are t</w:t>
      </w:r>
      <w:r w:rsidR="00BF1473" w:rsidRPr="00B24C02">
        <w:rPr>
          <w:szCs w:val="19"/>
          <w:lang w:eastAsia="en-AU"/>
        </w:rPr>
        <w:t>he relevant guidelines applicable for specific occupancy types for which the organisation has responsibility</w:t>
      </w:r>
      <w:r w:rsidR="00982833">
        <w:rPr>
          <w:szCs w:val="19"/>
          <w:lang w:eastAsia="en-AU"/>
        </w:rPr>
        <w:t>.</w:t>
      </w:r>
    </w:p>
    <w:p w14:paraId="4D69FB8B" w14:textId="77777777" w:rsidR="00BF1473" w:rsidRPr="003F52B3" w:rsidRDefault="00BF1473" w:rsidP="00BF1473">
      <w:pPr>
        <w:pStyle w:val="DHHSbody"/>
        <w:rPr>
          <w:lang w:eastAsia="en-AU"/>
        </w:rPr>
      </w:pPr>
      <w:bookmarkStart w:id="652" w:name="_Toc478991933"/>
      <w:r w:rsidRPr="003F52B3">
        <w:rPr>
          <w:b/>
          <w:lang w:eastAsia="en-AU"/>
        </w:rPr>
        <w:t>Specifications</w:t>
      </w:r>
      <w:bookmarkEnd w:id="652"/>
    </w:p>
    <w:p w14:paraId="75E3DE62" w14:textId="77777777" w:rsidR="00BF1473" w:rsidRPr="00B24C02" w:rsidRDefault="00BF1473" w:rsidP="00BF1473">
      <w:pPr>
        <w:pStyle w:val="DHHSbody"/>
        <w:rPr>
          <w:szCs w:val="19"/>
          <w:lang w:eastAsia="en-AU"/>
        </w:rPr>
      </w:pPr>
      <w:r w:rsidRPr="00B24C02">
        <w:rPr>
          <w:szCs w:val="19"/>
          <w:lang w:eastAsia="en-AU"/>
        </w:rPr>
        <w:t>The organisation is required to make certain that persons in its care are appropriately protected from risk from fire. This protection includes:</w:t>
      </w:r>
    </w:p>
    <w:p w14:paraId="41D73C1B" w14:textId="73E6244A" w:rsidR="00BF1473" w:rsidRPr="00276391" w:rsidRDefault="00BF1473" w:rsidP="00BF1473">
      <w:pPr>
        <w:pStyle w:val="DHHSbullet1"/>
        <w:numPr>
          <w:ilvl w:val="0"/>
          <w:numId w:val="14"/>
        </w:numPr>
        <w:rPr>
          <w:rFonts w:cs="Arial"/>
          <w:lang w:eastAsia="en-AU"/>
        </w:rPr>
      </w:pPr>
      <w:r w:rsidRPr="00276391">
        <w:rPr>
          <w:rFonts w:cs="Arial"/>
          <w:b/>
          <w:bCs/>
          <w:lang w:eastAsia="en-AU"/>
        </w:rPr>
        <w:t>Premises</w:t>
      </w:r>
      <w:r w:rsidRPr="00276391">
        <w:rPr>
          <w:rFonts w:cs="Arial"/>
          <w:lang w:eastAsia="en-AU"/>
        </w:rPr>
        <w:t xml:space="preserve"> - the department will fulfil its responsibilities as owner of the premises by upgrading the premises to meet the requirements of </w:t>
      </w:r>
      <w:hyperlink r:id="rId174" w:tgtFrame="_blank" w:history="1">
        <w:r w:rsidR="00F352C6" w:rsidRPr="00F352C6">
          <w:rPr>
            <w:rStyle w:val="Hyperlink"/>
          </w:rPr>
          <w:t>Capital Development Guidelines, Series 7, Fire Risk Management, August 2013</w:t>
        </w:r>
      </w:hyperlink>
      <w:r w:rsidR="00F352C6" w:rsidRPr="00B24C02">
        <w:rPr>
          <w:szCs w:val="19"/>
          <w:lang w:eastAsia="en-AU"/>
        </w:rPr>
        <w:t xml:space="preserve"> </w:t>
      </w:r>
      <w:r w:rsidR="00F352C6">
        <w:rPr>
          <w:szCs w:val="19"/>
          <w:lang w:eastAsia="en-AU"/>
        </w:rPr>
        <w:t>&lt;</w:t>
      </w:r>
      <w:r w:rsidR="00F352C6" w:rsidRPr="00390713">
        <w:rPr>
          <w:rFonts w:cs="Arial"/>
          <w:color w:val="000000"/>
          <w:szCs w:val="19"/>
          <w:lang w:eastAsia="en-AU"/>
        </w:rPr>
        <w:t>https://providers.dhhs.vic.gov.au/capital-development-guidelines-series-7</w:t>
      </w:r>
      <w:r w:rsidR="00F352C6">
        <w:rPr>
          <w:szCs w:val="19"/>
          <w:lang w:eastAsia="en-AU"/>
        </w:rPr>
        <w:t>&gt;</w:t>
      </w:r>
      <w:r w:rsidR="00F352C6" w:rsidRPr="00640E9B">
        <w:rPr>
          <w:szCs w:val="19"/>
          <w:lang w:eastAsia="en-AU"/>
        </w:rPr>
        <w:t xml:space="preserve"> </w:t>
      </w:r>
      <w:r w:rsidR="00F352C6" w:rsidRPr="00B24C02">
        <w:rPr>
          <w:szCs w:val="19"/>
          <w:lang w:eastAsia="en-AU"/>
        </w:rPr>
        <w:t xml:space="preserve">(external link, opens in a new window) </w:t>
      </w:r>
      <w:r>
        <w:rPr>
          <w:rFonts w:cs="Arial"/>
          <w:lang w:eastAsia="en-AU"/>
        </w:rPr>
        <w:t>(</w:t>
      </w:r>
      <w:r w:rsidRPr="00276391">
        <w:rPr>
          <w:rFonts w:cs="Arial"/>
          <w:lang w:eastAsia="en-AU"/>
        </w:rPr>
        <w:t xml:space="preserve">as amended from time to time) applicable to the premises*. </w:t>
      </w:r>
    </w:p>
    <w:p w14:paraId="79299DDD" w14:textId="77777777" w:rsidR="00BF1473" w:rsidRPr="00276391" w:rsidRDefault="00BF1473" w:rsidP="00BF1473">
      <w:pPr>
        <w:pStyle w:val="DHHSbullet1"/>
        <w:numPr>
          <w:ilvl w:val="0"/>
          <w:numId w:val="14"/>
        </w:numPr>
        <w:rPr>
          <w:rFonts w:cs="Arial"/>
          <w:lang w:eastAsia="en-AU"/>
        </w:rPr>
      </w:pPr>
      <w:r w:rsidRPr="00276391">
        <w:rPr>
          <w:rFonts w:cs="Arial"/>
          <w:lang w:eastAsia="en-AU"/>
        </w:rPr>
        <w:t>The organisation must ensure that any non-compliance with these guidelines that it becomes aware of is reported to the building owner (the appropriate representative of the Crown, the Secretary or the Director of Housing, as relevant) so that remedial action may be taken.</w:t>
      </w:r>
    </w:p>
    <w:p w14:paraId="4C9A211E" w14:textId="297EC1A2" w:rsidR="00BF1473" w:rsidRPr="00276391" w:rsidRDefault="00BF1473" w:rsidP="00982833">
      <w:pPr>
        <w:pStyle w:val="DHHSbullet1"/>
        <w:numPr>
          <w:ilvl w:val="0"/>
          <w:numId w:val="0"/>
        </w:numPr>
        <w:ind w:left="851" w:hanging="131"/>
        <w:rPr>
          <w:rFonts w:cs="Arial"/>
          <w:lang w:eastAsia="en-AU"/>
        </w:rPr>
      </w:pPr>
      <w:r w:rsidRPr="00276391">
        <w:rPr>
          <w:rFonts w:cs="Arial"/>
          <w:lang w:eastAsia="en-AU"/>
        </w:rPr>
        <w:t>*</w:t>
      </w:r>
      <w:r w:rsidR="00982833">
        <w:rPr>
          <w:rFonts w:cs="Arial"/>
          <w:lang w:eastAsia="en-AU"/>
        </w:rPr>
        <w:t xml:space="preserve"> </w:t>
      </w:r>
      <w:r w:rsidRPr="00276391">
        <w:rPr>
          <w:rFonts w:cs="Arial"/>
          <w:lang w:eastAsia="en-AU"/>
        </w:rPr>
        <w:t>In each case a reference to premises refers to those premises from which the service (which is</w:t>
      </w:r>
      <w:r w:rsidR="006250C7">
        <w:rPr>
          <w:rFonts w:cs="Arial"/>
          <w:lang w:eastAsia="en-AU"/>
        </w:rPr>
        <w:t xml:space="preserve"> </w:t>
      </w:r>
      <w:r w:rsidRPr="00276391">
        <w:rPr>
          <w:rFonts w:cs="Arial"/>
          <w:lang w:eastAsia="en-AU"/>
        </w:rPr>
        <w:t xml:space="preserve">subject to this </w:t>
      </w:r>
      <w:r w:rsidR="009B3052">
        <w:rPr>
          <w:rFonts w:cs="Arial"/>
          <w:lang w:eastAsia="en-AU"/>
        </w:rPr>
        <w:t>Service agreement</w:t>
      </w:r>
      <w:r w:rsidRPr="00276391">
        <w:rPr>
          <w:rFonts w:cs="Arial"/>
          <w:lang w:eastAsia="en-AU"/>
        </w:rPr>
        <w:t>) is provided.</w:t>
      </w:r>
    </w:p>
    <w:p w14:paraId="4FF56313"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Operational readiness</w:t>
      </w:r>
      <w:r w:rsidRPr="00276391">
        <w:rPr>
          <w:rFonts w:cs="Arial"/>
          <w:lang w:eastAsia="en-AU"/>
        </w:rPr>
        <w:t xml:space="preserve"> - the organisation must ensure that appropriate operational readiness measures are developed, implemented and reviewed as a minimum in accordance with Australian Standards: AS 4083-2010, Planning for emergencies - Health care facilities as appropriate. This includes (but is not limited to) development of fire emergency management and evacuation procedures, training of staff to implement the procedures developed, and conducting regular evacuation drills. </w:t>
      </w:r>
    </w:p>
    <w:p w14:paraId="13E6AE51" w14:textId="77777777" w:rsidR="00BF1473" w:rsidRPr="00276391" w:rsidRDefault="00BF1473" w:rsidP="00BF1473">
      <w:pPr>
        <w:pStyle w:val="DHHSbullet1"/>
        <w:numPr>
          <w:ilvl w:val="0"/>
          <w:numId w:val="14"/>
        </w:numPr>
        <w:rPr>
          <w:rFonts w:cs="Arial"/>
          <w:lang w:eastAsia="en-AU"/>
        </w:rPr>
      </w:pPr>
      <w:r w:rsidRPr="00276391">
        <w:rPr>
          <w:rFonts w:cs="Arial"/>
          <w:lang w:eastAsia="en-AU"/>
        </w:rPr>
        <w:t>For organisations providing disability and/or placement and support residential services, operational readiness measures shall be in accordance with the department's Fire and Emergency Response Procedures and Training Framework (as amended from time to time). The framework can be accessed on the department's website (Publications section under the heading of Fire Risk Management, 'Fire and Emergency Response Procedures and Training Framework').</w:t>
      </w:r>
    </w:p>
    <w:p w14:paraId="13BA07CF"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Maintenance of Essential Safety Measures</w:t>
      </w:r>
      <w:r w:rsidRPr="00276391">
        <w:rPr>
          <w:rFonts w:cs="Arial"/>
          <w:lang w:eastAsia="en-AU"/>
        </w:rPr>
        <w:t xml:space="preserve"> - the department will fulfil its responsibilities as owner of the premises by maintaining fire safety systems. The organisation must ensure that any factor that may affect the performance or operation of fire safety equipment, fire safety fittings, fire safety measures, exits and essential services that it becomes aware of is reported to the building owner. </w:t>
      </w:r>
    </w:p>
    <w:p w14:paraId="62CA5462" w14:textId="666A7805" w:rsidR="00BF1473" w:rsidRPr="00276391" w:rsidRDefault="00BF1473" w:rsidP="00BF1473">
      <w:pPr>
        <w:pStyle w:val="DHHSbullet1"/>
        <w:numPr>
          <w:ilvl w:val="0"/>
          <w:numId w:val="14"/>
        </w:numPr>
        <w:rPr>
          <w:rFonts w:cs="Arial"/>
          <w:lang w:eastAsia="en-AU"/>
        </w:rPr>
      </w:pPr>
      <w:r w:rsidRPr="00276391">
        <w:rPr>
          <w:rFonts w:cs="Arial"/>
          <w:lang w:eastAsia="en-AU"/>
        </w:rPr>
        <w:lastRenderedPageBreak/>
        <w:t xml:space="preserve">Completing the </w:t>
      </w:r>
      <w:hyperlink r:id="rId175" w:tgtFrame="_blank" w:history="1">
        <w:r w:rsidR="00F352C6" w:rsidRPr="00986D1E">
          <w:rPr>
            <w:rStyle w:val="Hyperlink"/>
          </w:rPr>
          <w:t>Weekly checklist</w:t>
        </w:r>
      </w:hyperlink>
      <w:r w:rsidR="00F352C6" w:rsidRPr="00F352C6">
        <w:rPr>
          <w:rFonts w:cs="Arial"/>
          <w:lang w:eastAsia="en-AU"/>
        </w:rPr>
        <w:t xml:space="preserve"> &lt;https://providers.dhhs.vic.gov.au/fire-safety-equipment-weekly-checklist-community-service-organisations-word&gt; (</w:t>
      </w:r>
      <w:r w:rsidR="00F352C6">
        <w:rPr>
          <w:rFonts w:cs="Arial"/>
          <w:lang w:eastAsia="en-AU"/>
        </w:rPr>
        <w:t>external link, opens in a new window</w:t>
      </w:r>
      <w:r w:rsidR="00F352C6" w:rsidRPr="00F352C6">
        <w:rPr>
          <w:rFonts w:cs="Arial"/>
          <w:lang w:eastAsia="en-AU"/>
        </w:rPr>
        <w:t>)</w:t>
      </w:r>
      <w:r>
        <w:rPr>
          <w:rFonts w:cs="Arial"/>
          <w:lang w:eastAsia="en-AU"/>
        </w:rPr>
        <w:t>,</w:t>
      </w:r>
      <w:r w:rsidRPr="00276391">
        <w:rPr>
          <w:rFonts w:cs="Arial"/>
          <w:lang w:eastAsia="en-AU"/>
        </w:rPr>
        <w:t xml:space="preserve"> will assist in providing documentation to substantiate adequate maintenance of essential safety measures.</w:t>
      </w:r>
    </w:p>
    <w:p w14:paraId="071418AF"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Client placement</w:t>
      </w:r>
      <w:r w:rsidRPr="00276391">
        <w:rPr>
          <w:rFonts w:cs="Arial"/>
          <w:lang w:eastAsia="en-AU"/>
        </w:rPr>
        <w:t xml:space="preserve"> - Where the organisation selects the clients, the organisation must determine whether the premises are suitable for the client to be evacuated safely, </w:t>
      </w:r>
      <w:proofErr w:type="gramStart"/>
      <w:r w:rsidRPr="00276391">
        <w:rPr>
          <w:rFonts w:cs="Arial"/>
          <w:lang w:eastAsia="en-AU"/>
        </w:rPr>
        <w:t>taking into account</w:t>
      </w:r>
      <w:proofErr w:type="gramEnd"/>
      <w:r w:rsidRPr="00276391">
        <w:rPr>
          <w:rFonts w:cs="Arial"/>
          <w:lang w:eastAsia="en-AU"/>
        </w:rPr>
        <w:t xml:space="preserve"> any fire safety systems installed and the evacuation capacities of the client. Where any relevant change may affect the client's ongoing ability to evacuate safely, the suitability of the placement must be reassessed immediately and appropriate action taken as soon as possible. </w:t>
      </w:r>
    </w:p>
    <w:p w14:paraId="2903A653" w14:textId="77777777" w:rsidR="00BF1473" w:rsidRPr="00276391" w:rsidRDefault="00BF1473" w:rsidP="00BF1473">
      <w:pPr>
        <w:pStyle w:val="DHHSbullet1"/>
        <w:numPr>
          <w:ilvl w:val="0"/>
          <w:numId w:val="14"/>
        </w:numPr>
        <w:rPr>
          <w:rFonts w:cs="Arial"/>
          <w:lang w:eastAsia="en-AU"/>
        </w:rPr>
      </w:pPr>
      <w:r w:rsidRPr="00276391">
        <w:rPr>
          <w:rFonts w:cs="Arial"/>
          <w:lang w:eastAsia="en-AU"/>
        </w:rPr>
        <w:t>Where the organisation does not select the clients, the organisation must still monitor any relevant changes that may affect the client's ongoing ability to evacuate safely, assess the suitability of the placement, and take appropriate action as soon as possible.</w:t>
      </w:r>
    </w:p>
    <w:p w14:paraId="0C109333" w14:textId="172395EA" w:rsidR="00BF1473" w:rsidRPr="00D543C9" w:rsidRDefault="00BF1473" w:rsidP="00BF1473">
      <w:pPr>
        <w:pStyle w:val="DHHSbullet1"/>
        <w:numPr>
          <w:ilvl w:val="0"/>
          <w:numId w:val="14"/>
        </w:numPr>
        <w:rPr>
          <w:rFonts w:cs="Arial"/>
          <w:lang w:eastAsia="en-AU"/>
        </w:rPr>
      </w:pPr>
      <w:r w:rsidRPr="00D543C9">
        <w:rPr>
          <w:rFonts w:cs="Arial"/>
          <w:b/>
          <w:bCs/>
          <w:lang w:eastAsia="en-AU"/>
        </w:rPr>
        <w:t>Fire Safety Certification</w:t>
      </w:r>
      <w:r w:rsidRPr="00D543C9">
        <w:rPr>
          <w:rFonts w:cs="Arial"/>
          <w:lang w:eastAsia="en-AU"/>
        </w:rPr>
        <w:t xml:space="preserve"> - </w:t>
      </w:r>
      <w:hyperlink r:id="rId176" w:tgtFrame="_blank" w:history="1">
        <w:r w:rsidR="00F352C6" w:rsidRPr="00986D1E">
          <w:rPr>
            <w:rStyle w:val="Hyperlink"/>
          </w:rPr>
          <w:t>Fire Safety Compliance - Certificate No. 4</w:t>
        </w:r>
      </w:hyperlink>
      <w:r w:rsidR="00F352C6" w:rsidRPr="00B24C02">
        <w:rPr>
          <w:rFonts w:cs="Arial"/>
          <w:color w:val="000000"/>
          <w:szCs w:val="19"/>
          <w:lang w:eastAsia="en-AU"/>
        </w:rPr>
        <w:t xml:space="preserve"> </w:t>
      </w:r>
      <w:r w:rsidR="00F352C6">
        <w:rPr>
          <w:rFonts w:cs="Arial"/>
          <w:color w:val="000000"/>
          <w:szCs w:val="19"/>
          <w:lang w:eastAsia="en-AU"/>
        </w:rPr>
        <w:t>&lt;</w:t>
      </w:r>
      <w:r w:rsidR="00F352C6" w:rsidRPr="00EA74AB">
        <w:rPr>
          <w:rFonts w:cs="Arial"/>
          <w:color w:val="000000"/>
          <w:szCs w:val="19"/>
          <w:lang w:eastAsia="en-AU"/>
        </w:rPr>
        <w:t>https://providers.dhhs.vic.gov.au/fire-safety-compliance-certificate-no-4-word</w:t>
      </w:r>
      <w:r w:rsidR="00F352C6">
        <w:rPr>
          <w:rFonts w:cs="Arial"/>
          <w:color w:val="000000"/>
          <w:szCs w:val="19"/>
          <w:lang w:eastAsia="en-AU"/>
        </w:rPr>
        <w:t xml:space="preserve">&gt; </w:t>
      </w:r>
      <w:r w:rsidR="00F352C6" w:rsidRPr="00B24C02">
        <w:rPr>
          <w:rFonts w:cs="Arial"/>
          <w:color w:val="000000"/>
          <w:szCs w:val="19"/>
          <w:lang w:eastAsia="en-AU"/>
        </w:rPr>
        <w:t>(</w:t>
      </w:r>
      <w:r w:rsidR="00F352C6">
        <w:rPr>
          <w:rFonts w:cs="Arial"/>
          <w:color w:val="000000"/>
          <w:szCs w:val="19"/>
          <w:lang w:eastAsia="en-AU"/>
        </w:rPr>
        <w:t xml:space="preserve">external link, </w:t>
      </w:r>
      <w:r w:rsidR="00F352C6" w:rsidRPr="00B24C02">
        <w:rPr>
          <w:rFonts w:cs="Arial"/>
          <w:color w:val="000000"/>
          <w:szCs w:val="19"/>
          <w:lang w:eastAsia="en-AU"/>
        </w:rPr>
        <w:t>open</w:t>
      </w:r>
      <w:r w:rsidR="00F352C6">
        <w:rPr>
          <w:rFonts w:cs="Arial"/>
          <w:color w:val="000000"/>
          <w:szCs w:val="19"/>
          <w:lang w:eastAsia="en-AU"/>
        </w:rPr>
        <w:t>s in a new window</w:t>
      </w:r>
      <w:r w:rsidR="00F352C6" w:rsidRPr="00B24C02">
        <w:rPr>
          <w:rFonts w:cs="Arial"/>
          <w:color w:val="000000"/>
          <w:szCs w:val="19"/>
          <w:lang w:eastAsia="en-AU"/>
        </w:rPr>
        <w:t>)</w:t>
      </w:r>
      <w:r w:rsidRPr="00D543C9">
        <w:rPr>
          <w:rFonts w:cs="Arial"/>
          <w:lang w:eastAsia="en-AU"/>
        </w:rPr>
        <w:t xml:space="preserve"> must be returned by 1 September in the following financial year, or by a date to be agreed between the organisation and the department's assigned Local Engagement Officer in the Agency Connections Team of the Division. This date will </w:t>
      </w:r>
      <w:proofErr w:type="gramStart"/>
      <w:r w:rsidRPr="00D543C9">
        <w:rPr>
          <w:rFonts w:cs="Arial"/>
          <w:lang w:eastAsia="en-AU"/>
        </w:rPr>
        <w:t>take into account</w:t>
      </w:r>
      <w:proofErr w:type="gramEnd"/>
      <w:r w:rsidRPr="00D543C9">
        <w:rPr>
          <w:rFonts w:cs="Arial"/>
          <w:lang w:eastAsia="en-AU"/>
        </w:rPr>
        <w:t xml:space="preserve"> any relevant upgrading works that are scheduled. </w:t>
      </w:r>
    </w:p>
    <w:p w14:paraId="72EBC538" w14:textId="77777777" w:rsidR="00BF1473" w:rsidRPr="00C12B11" w:rsidRDefault="00BF1473" w:rsidP="00BF1473">
      <w:pPr>
        <w:pStyle w:val="Heading4"/>
        <w:rPr>
          <w:b w:val="0"/>
        </w:rPr>
      </w:pPr>
      <w:bookmarkStart w:id="653" w:name="_Funded_organisation_(owned"/>
      <w:bookmarkStart w:id="654" w:name="_Toc478991934"/>
      <w:bookmarkEnd w:id="653"/>
      <w:r w:rsidRPr="001A0795">
        <w:t>Funded organisation (owned / leased) premises fire safety standard (</w:t>
      </w:r>
      <w:r w:rsidRPr="00FD4156">
        <w:rPr>
          <w:rFonts w:eastAsia="Times"/>
          <w:bCs w:val="0"/>
        </w:rPr>
        <w:t>Standard No. 5</w:t>
      </w:r>
      <w:r w:rsidRPr="001A0795">
        <w:t>)</w:t>
      </w:r>
      <w:bookmarkEnd w:id="654"/>
      <w:r>
        <w:t xml:space="preserve"> </w:t>
      </w:r>
    </w:p>
    <w:p w14:paraId="59F9F04D" w14:textId="77777777" w:rsidR="00BF1473" w:rsidRPr="003F52B3" w:rsidRDefault="00BF1473" w:rsidP="00BF1473">
      <w:pPr>
        <w:pStyle w:val="DHHSbody"/>
        <w:rPr>
          <w:lang w:eastAsia="en-AU"/>
        </w:rPr>
      </w:pPr>
      <w:bookmarkStart w:id="655" w:name="_Toc478991935"/>
      <w:r w:rsidRPr="003F52B3">
        <w:rPr>
          <w:b/>
          <w:lang w:eastAsia="en-AU"/>
        </w:rPr>
        <w:t>Application</w:t>
      </w:r>
      <w:bookmarkEnd w:id="655"/>
      <w:r w:rsidRPr="003F52B3">
        <w:rPr>
          <w:b/>
          <w:lang w:eastAsia="en-AU"/>
        </w:rPr>
        <w:t xml:space="preserve"> </w:t>
      </w:r>
    </w:p>
    <w:p w14:paraId="648496A8" w14:textId="77777777" w:rsidR="00BF1473" w:rsidRPr="003F52B3" w:rsidRDefault="00BF1473" w:rsidP="00BF1473">
      <w:pPr>
        <w:pStyle w:val="DHHSbody"/>
        <w:rPr>
          <w:lang w:eastAsia="en-AU"/>
        </w:rPr>
      </w:pPr>
      <w:bookmarkStart w:id="656" w:name="_Toc478991936"/>
      <w:r w:rsidRPr="003F52B3">
        <w:rPr>
          <w:lang w:eastAsia="en-AU"/>
        </w:rPr>
        <w:t>Type of service:</w:t>
      </w:r>
      <w:bookmarkEnd w:id="656"/>
    </w:p>
    <w:p w14:paraId="4D949F52" w14:textId="77777777" w:rsidR="00BF1473" w:rsidRDefault="00BF1473" w:rsidP="00BF1473">
      <w:pPr>
        <w:pStyle w:val="DHHSbody"/>
        <w:rPr>
          <w:color w:val="000000"/>
          <w:szCs w:val="19"/>
          <w:lang w:eastAsia="en-AU"/>
        </w:rPr>
      </w:pPr>
      <w:r w:rsidRPr="00B24C02">
        <w:rPr>
          <w:color w:val="000000"/>
          <w:szCs w:val="19"/>
          <w:lang w:eastAsia="en-AU"/>
        </w:rPr>
        <w:t xml:space="preserve">Bed based with rostered/live-in staff support/supervision for statutory clients. May include disability (including respite), placement and support, mental health, drug and alcohol and residential </w:t>
      </w:r>
      <w:r>
        <w:rPr>
          <w:color w:val="000000"/>
          <w:szCs w:val="19"/>
          <w:lang w:eastAsia="en-AU"/>
        </w:rPr>
        <w:t>services</w:t>
      </w:r>
    </w:p>
    <w:p w14:paraId="59B0E308" w14:textId="77777777" w:rsidR="00BF1473" w:rsidRPr="001A0795" w:rsidRDefault="00BF1473" w:rsidP="00BF1473">
      <w:pPr>
        <w:pStyle w:val="DHHSbody"/>
        <w:rPr>
          <w:rStyle w:val="Heading5Char"/>
        </w:rPr>
      </w:pPr>
      <w:bookmarkStart w:id="657" w:name="_Toc478991937"/>
      <w:r w:rsidRPr="001A0795">
        <w:rPr>
          <w:rStyle w:val="Heading5Char"/>
        </w:rPr>
        <w:t>Premises*:</w:t>
      </w:r>
      <w:bookmarkEnd w:id="657"/>
    </w:p>
    <w:p w14:paraId="7202865D" w14:textId="77777777" w:rsidR="00BF1473" w:rsidRPr="00B24C02" w:rsidRDefault="00BF1473" w:rsidP="00BF1473">
      <w:pPr>
        <w:pStyle w:val="DHHSbody"/>
        <w:rPr>
          <w:color w:val="000000"/>
          <w:szCs w:val="19"/>
          <w:lang w:eastAsia="en-AU"/>
        </w:rPr>
      </w:pPr>
      <w:r w:rsidRPr="00B24C02">
        <w:rPr>
          <w:color w:val="000000"/>
          <w:szCs w:val="19"/>
          <w:lang w:eastAsia="en-AU"/>
        </w:rPr>
        <w:t>Owned, operated or leased by the organisation, but not a private home (subject to conditions refer Standard 1 and 2 above).</w:t>
      </w:r>
    </w:p>
    <w:p w14:paraId="65E9A388" w14:textId="77777777" w:rsidR="00BF1473" w:rsidRPr="003F52B3" w:rsidRDefault="00BF1473" w:rsidP="00BF1473">
      <w:pPr>
        <w:pStyle w:val="DHHSbody"/>
        <w:rPr>
          <w:lang w:eastAsia="en-AU"/>
        </w:rPr>
      </w:pPr>
      <w:bookmarkStart w:id="658" w:name="_Toc478991938"/>
      <w:r w:rsidRPr="003F52B3">
        <w:rPr>
          <w:b/>
          <w:lang w:eastAsia="en-AU"/>
        </w:rPr>
        <w:t>Accompanying document</w:t>
      </w:r>
      <w:bookmarkEnd w:id="658"/>
      <w:r w:rsidRPr="003F52B3">
        <w:rPr>
          <w:b/>
          <w:lang w:eastAsia="en-AU"/>
        </w:rPr>
        <w:t xml:space="preserve"> </w:t>
      </w:r>
    </w:p>
    <w:p w14:paraId="4D3F4A64" w14:textId="77777777" w:rsidR="00014960" w:rsidRDefault="0016341D" w:rsidP="00014960">
      <w:pPr>
        <w:pStyle w:val="DHHSbody"/>
        <w:rPr>
          <w:szCs w:val="19"/>
          <w:lang w:eastAsia="en-AU"/>
        </w:rPr>
      </w:pPr>
      <w:hyperlink r:id="rId177" w:tgtFrame="_blank" w:history="1">
        <w:r w:rsidR="00014960" w:rsidRPr="00F352C6">
          <w:rPr>
            <w:rStyle w:val="Hyperlink"/>
          </w:rPr>
          <w:t>Capital Development Guidelines, Series 7, Fire Risk Management, August 2013</w:t>
        </w:r>
      </w:hyperlink>
      <w:r w:rsidR="00014960" w:rsidRPr="00B24C02">
        <w:rPr>
          <w:szCs w:val="19"/>
          <w:lang w:eastAsia="en-AU"/>
        </w:rPr>
        <w:t xml:space="preserve"> </w:t>
      </w:r>
      <w:r w:rsidR="00014960">
        <w:rPr>
          <w:szCs w:val="19"/>
          <w:lang w:eastAsia="en-AU"/>
        </w:rPr>
        <w:t>&lt;</w:t>
      </w:r>
      <w:r w:rsidR="00014960" w:rsidRPr="00390713">
        <w:rPr>
          <w:rFonts w:cs="Arial"/>
          <w:color w:val="000000"/>
          <w:szCs w:val="19"/>
          <w:lang w:eastAsia="en-AU"/>
        </w:rPr>
        <w:t>https://providers.dhhs.vic.gov.au/capital-development-guidelines-series-7</w:t>
      </w:r>
      <w:r w:rsidR="00014960">
        <w:rPr>
          <w:szCs w:val="19"/>
          <w:lang w:eastAsia="en-AU"/>
        </w:rPr>
        <w:t>&gt;</w:t>
      </w:r>
      <w:r w:rsidR="00014960" w:rsidRPr="00640E9B">
        <w:rPr>
          <w:szCs w:val="19"/>
          <w:lang w:eastAsia="en-AU"/>
        </w:rPr>
        <w:t xml:space="preserve"> </w:t>
      </w:r>
      <w:r w:rsidR="00014960" w:rsidRPr="00B24C02">
        <w:rPr>
          <w:szCs w:val="19"/>
          <w:lang w:eastAsia="en-AU"/>
        </w:rPr>
        <w:t>(extern</w:t>
      </w:r>
      <w:r w:rsidR="00014960">
        <w:rPr>
          <w:szCs w:val="19"/>
          <w:lang w:eastAsia="en-AU"/>
        </w:rPr>
        <w:t>al link, opens in a new window) are t</w:t>
      </w:r>
      <w:r w:rsidR="00014960" w:rsidRPr="00B24C02">
        <w:rPr>
          <w:szCs w:val="19"/>
          <w:lang w:eastAsia="en-AU"/>
        </w:rPr>
        <w:t>he relevant guidelines applicable for specific occupancy types for which the organisation has responsibility</w:t>
      </w:r>
      <w:r w:rsidR="00014960">
        <w:rPr>
          <w:szCs w:val="19"/>
          <w:lang w:eastAsia="en-AU"/>
        </w:rPr>
        <w:t>.</w:t>
      </w:r>
    </w:p>
    <w:p w14:paraId="0505DD4D" w14:textId="77777777" w:rsidR="00BF1473" w:rsidRPr="00B24C02" w:rsidRDefault="00BF1473" w:rsidP="00BF1473">
      <w:pPr>
        <w:pStyle w:val="DHHSbody"/>
        <w:rPr>
          <w:color w:val="000000"/>
          <w:szCs w:val="19"/>
          <w:lang w:eastAsia="en-AU"/>
        </w:rPr>
      </w:pPr>
      <w:r w:rsidRPr="00B24C02">
        <w:rPr>
          <w:color w:val="000000"/>
          <w:szCs w:val="19"/>
          <w:lang w:eastAsia="en-AU"/>
        </w:rPr>
        <w:t>Specifications</w:t>
      </w:r>
    </w:p>
    <w:p w14:paraId="4D079270" w14:textId="77777777" w:rsidR="00BF1473" w:rsidRPr="00B24C02" w:rsidRDefault="00BF1473" w:rsidP="00BF1473">
      <w:pPr>
        <w:pStyle w:val="DHHSbody"/>
        <w:rPr>
          <w:color w:val="000000"/>
          <w:szCs w:val="19"/>
          <w:lang w:eastAsia="en-AU"/>
        </w:rPr>
      </w:pPr>
      <w:r w:rsidRPr="00B24C02">
        <w:rPr>
          <w:color w:val="000000"/>
          <w:szCs w:val="19"/>
          <w:lang w:eastAsia="en-AU"/>
        </w:rPr>
        <w:t>The organisation is required to make certain that the persons in its care are appropriately protected from risk from fire. This protection includes:</w:t>
      </w:r>
    </w:p>
    <w:p w14:paraId="3689A6C2" w14:textId="6D9A524B" w:rsidR="00BF1473" w:rsidRPr="00C33D47" w:rsidRDefault="00BF1473" w:rsidP="00BF1473">
      <w:pPr>
        <w:pStyle w:val="DHHSbullet1"/>
        <w:numPr>
          <w:ilvl w:val="0"/>
          <w:numId w:val="14"/>
        </w:numPr>
        <w:rPr>
          <w:rFonts w:cs="Arial"/>
          <w:lang w:eastAsia="en-AU"/>
        </w:rPr>
      </w:pPr>
      <w:r w:rsidRPr="00C33D47">
        <w:rPr>
          <w:rFonts w:cs="Arial"/>
          <w:b/>
          <w:bCs/>
          <w:color w:val="000000"/>
          <w:szCs w:val="19"/>
          <w:lang w:eastAsia="en-AU"/>
        </w:rPr>
        <w:t>Premises</w:t>
      </w:r>
      <w:r w:rsidRPr="00C33D47">
        <w:rPr>
          <w:rFonts w:cs="Arial"/>
          <w:color w:val="000000"/>
          <w:szCs w:val="19"/>
          <w:lang w:eastAsia="en-AU"/>
        </w:rPr>
        <w:t xml:space="preserve"> - The premises must meet the requirements of the relevant </w:t>
      </w:r>
      <w:hyperlink r:id="rId178" w:tgtFrame="_blank" w:history="1">
        <w:r w:rsidR="00FC3758" w:rsidRPr="00F352C6">
          <w:rPr>
            <w:rStyle w:val="Hyperlink"/>
          </w:rPr>
          <w:t>Capital Development Guidelines, Series 7, Fire Risk Management, August 2013</w:t>
        </w:r>
      </w:hyperlink>
      <w:r w:rsidR="00FC3758" w:rsidRPr="00B24C02">
        <w:rPr>
          <w:szCs w:val="19"/>
          <w:lang w:eastAsia="en-AU"/>
        </w:rPr>
        <w:t xml:space="preserve"> </w:t>
      </w:r>
      <w:r w:rsidR="00FC3758">
        <w:rPr>
          <w:szCs w:val="19"/>
          <w:lang w:eastAsia="en-AU"/>
        </w:rPr>
        <w:t>&lt;</w:t>
      </w:r>
      <w:r w:rsidR="00FC3758" w:rsidRPr="00390713">
        <w:rPr>
          <w:rFonts w:cs="Arial"/>
          <w:color w:val="000000"/>
          <w:szCs w:val="19"/>
          <w:lang w:eastAsia="en-AU"/>
        </w:rPr>
        <w:t>https://providers.dhhs.vic.gov.au/capital-development-guidelines-series-7</w:t>
      </w:r>
      <w:r w:rsidR="00FC3758">
        <w:rPr>
          <w:szCs w:val="19"/>
          <w:lang w:eastAsia="en-AU"/>
        </w:rPr>
        <w:t>&gt;</w:t>
      </w:r>
      <w:r w:rsidR="00FC3758" w:rsidRPr="00640E9B">
        <w:rPr>
          <w:szCs w:val="19"/>
          <w:lang w:eastAsia="en-AU"/>
        </w:rPr>
        <w:t xml:space="preserve"> </w:t>
      </w:r>
      <w:r w:rsidR="00FC3758" w:rsidRPr="00B24C02">
        <w:rPr>
          <w:szCs w:val="19"/>
          <w:lang w:eastAsia="en-AU"/>
        </w:rPr>
        <w:t>(external link, opens in a new window)</w:t>
      </w:r>
      <w:r w:rsidRPr="00C33D47">
        <w:rPr>
          <w:rFonts w:cs="Arial"/>
          <w:color w:val="000000"/>
          <w:szCs w:val="19"/>
          <w:lang w:eastAsia="en-AU"/>
        </w:rPr>
        <w:t xml:space="preserve"> as amended from time to time) applicable to those premises*. The department will discuss the process of fire safety assessment and upgrade works and availability of funds (where this has not already been done) to meet these requirements. </w:t>
      </w:r>
    </w:p>
    <w:p w14:paraId="59CF32AC" w14:textId="37C8F6A8" w:rsidR="00BF1473" w:rsidRPr="00276391" w:rsidRDefault="00BF1473" w:rsidP="00014960">
      <w:pPr>
        <w:pStyle w:val="DHHSbullet1"/>
        <w:numPr>
          <w:ilvl w:val="0"/>
          <w:numId w:val="0"/>
        </w:numPr>
        <w:ind w:left="851" w:hanging="131"/>
        <w:rPr>
          <w:rFonts w:cs="Arial"/>
          <w:lang w:eastAsia="en-AU"/>
        </w:rPr>
      </w:pPr>
      <w:r w:rsidRPr="00276391">
        <w:rPr>
          <w:rFonts w:cs="Arial"/>
          <w:lang w:eastAsia="en-AU"/>
        </w:rPr>
        <w:t xml:space="preserve">* in each case a reference to premises refers to those premises from which the service (which is subject to this </w:t>
      </w:r>
      <w:r w:rsidR="009B3052">
        <w:rPr>
          <w:rFonts w:cs="Arial"/>
          <w:lang w:eastAsia="en-AU"/>
        </w:rPr>
        <w:t>Service agreement</w:t>
      </w:r>
      <w:r w:rsidRPr="00276391">
        <w:rPr>
          <w:rFonts w:cs="Arial"/>
          <w:lang w:eastAsia="en-AU"/>
        </w:rPr>
        <w:t>) is provided.</w:t>
      </w:r>
    </w:p>
    <w:p w14:paraId="7CD7D449"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Operational readiness</w:t>
      </w:r>
      <w:r w:rsidRPr="00276391">
        <w:rPr>
          <w:rFonts w:cs="Arial"/>
          <w:lang w:eastAsia="en-AU"/>
        </w:rPr>
        <w:t xml:space="preserve"> - The organisation must ensure that appropriate operational readiness measures are developed, implemented and reviewed as a minimum in accordance with Australian Standards: AS 4083-2010, Planning for emergencies-Health care facilities as appropriate. This includes (but is not limited to) development of fire emergency management and evacuation procedures, training of staff to implement the procedures developed, and conducting regular drills. </w:t>
      </w:r>
    </w:p>
    <w:p w14:paraId="7EF7F29F" w14:textId="77777777" w:rsidR="00BF1473" w:rsidRPr="00276391" w:rsidRDefault="00BF1473" w:rsidP="00BF1473">
      <w:pPr>
        <w:pStyle w:val="DHHSbullet1"/>
        <w:numPr>
          <w:ilvl w:val="0"/>
          <w:numId w:val="14"/>
        </w:numPr>
        <w:rPr>
          <w:rFonts w:cs="Arial"/>
          <w:lang w:eastAsia="en-AU"/>
        </w:rPr>
      </w:pPr>
      <w:r w:rsidRPr="00276391">
        <w:rPr>
          <w:rFonts w:cs="Arial"/>
          <w:lang w:eastAsia="en-AU"/>
        </w:rPr>
        <w:lastRenderedPageBreak/>
        <w:t>For organisations providing disability and/or placement and support residential services, operational readiness measures shall be in accordance with the department's fire and emergency response procedures and training framework (as amended from time to time). The framework can be accessed on the department's website (Publications section under the heading of Fire Risk Management, 'Fire and Emergency Response Procedures and Training Framework').</w:t>
      </w:r>
    </w:p>
    <w:p w14:paraId="0923B294"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Maintenance of essential services</w:t>
      </w:r>
      <w:r w:rsidRPr="00276391">
        <w:rPr>
          <w:rFonts w:cs="Arial"/>
          <w:lang w:eastAsia="en-AU"/>
        </w:rPr>
        <w:t xml:space="preserve"> - The organisation shall ensure that all Essential Safety Measures (including all fire safety equipment/systems) are adequately maintained in accordance with the Building Regulations. </w:t>
      </w:r>
    </w:p>
    <w:p w14:paraId="39869223" w14:textId="3CC11AD2" w:rsidR="00BF1473" w:rsidRPr="00276391" w:rsidRDefault="00BF1473" w:rsidP="00BF1473">
      <w:pPr>
        <w:pStyle w:val="DHHSbullet1"/>
        <w:numPr>
          <w:ilvl w:val="0"/>
          <w:numId w:val="14"/>
        </w:numPr>
        <w:rPr>
          <w:rFonts w:cs="Arial"/>
          <w:lang w:eastAsia="en-AU"/>
        </w:rPr>
      </w:pPr>
      <w:r w:rsidRPr="00276391">
        <w:rPr>
          <w:rFonts w:cs="Arial"/>
          <w:lang w:eastAsia="en-AU"/>
        </w:rPr>
        <w:t xml:space="preserve">Completion of the </w:t>
      </w:r>
      <w:hyperlink r:id="rId179" w:tgtFrame="_blank" w:history="1">
        <w:r w:rsidR="00FC3758" w:rsidRPr="00986D1E">
          <w:rPr>
            <w:rStyle w:val="Hyperlink"/>
          </w:rPr>
          <w:t>Weekly checklist</w:t>
        </w:r>
      </w:hyperlink>
      <w:r w:rsidR="00FC3758" w:rsidRPr="00F352C6">
        <w:rPr>
          <w:rFonts w:cs="Arial"/>
          <w:lang w:eastAsia="en-AU"/>
        </w:rPr>
        <w:t xml:space="preserve"> &lt;https://providers.dhhs.vic.gov.au/fire-safety-equipment-weekly-checklist-community-service-organisations-word&gt; (</w:t>
      </w:r>
      <w:r w:rsidR="00FC3758">
        <w:rPr>
          <w:rFonts w:cs="Arial"/>
          <w:lang w:eastAsia="en-AU"/>
        </w:rPr>
        <w:t>external link, opens in a new window</w:t>
      </w:r>
      <w:r w:rsidR="00FC3758" w:rsidRPr="00F352C6">
        <w:rPr>
          <w:rFonts w:cs="Arial"/>
          <w:lang w:eastAsia="en-AU"/>
        </w:rPr>
        <w:t>)</w:t>
      </w:r>
      <w:r w:rsidRPr="00276391">
        <w:rPr>
          <w:rFonts w:cs="Arial"/>
          <w:lang w:eastAsia="en-AU"/>
        </w:rPr>
        <w:t>will assist in providing documentation to support completion of the annual Essential Safety Measures Report.</w:t>
      </w:r>
    </w:p>
    <w:p w14:paraId="7AA10F4B"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Client placement</w:t>
      </w:r>
      <w:r w:rsidRPr="00276391">
        <w:rPr>
          <w:rFonts w:cs="Arial"/>
          <w:lang w:eastAsia="en-AU"/>
        </w:rPr>
        <w:t xml:space="preserve"> - The organisation must determine whether the premises are suitable for the clients to be evacuated safely, </w:t>
      </w:r>
      <w:proofErr w:type="gramStart"/>
      <w:r w:rsidRPr="00276391">
        <w:rPr>
          <w:rFonts w:cs="Arial"/>
          <w:lang w:eastAsia="en-AU"/>
        </w:rPr>
        <w:t>taking into account</w:t>
      </w:r>
      <w:proofErr w:type="gramEnd"/>
      <w:r w:rsidRPr="00276391">
        <w:rPr>
          <w:rFonts w:cs="Arial"/>
          <w:lang w:eastAsia="en-AU"/>
        </w:rPr>
        <w:t xml:space="preserve"> any fire safety systems installed, and the evacuation capacities of the client. Where any relevant change may affect a client's ongoing ability to evacuate safely, the suitability of the placement must be reassessed immediately and appropriate action taken as soon as possible. </w:t>
      </w:r>
    </w:p>
    <w:p w14:paraId="0FD4B47F" w14:textId="77777777" w:rsidR="00BF1473" w:rsidRPr="00276391" w:rsidRDefault="00BF1473" w:rsidP="00BF1473">
      <w:pPr>
        <w:pStyle w:val="DHHSbullet1"/>
        <w:numPr>
          <w:ilvl w:val="0"/>
          <w:numId w:val="14"/>
        </w:numPr>
        <w:rPr>
          <w:rFonts w:cs="Arial"/>
          <w:lang w:eastAsia="en-AU"/>
        </w:rPr>
      </w:pPr>
      <w:r w:rsidRPr="00276391">
        <w:rPr>
          <w:rFonts w:cs="Arial"/>
          <w:lang w:eastAsia="en-AU"/>
        </w:rPr>
        <w:t>Where the organisation does not select the clients, the organisation must still monitor any relevant changes that may affect the client's ongoing ability to evacuate safely, assess the suitability of the placement, and take appropriate action as soon as possible.</w:t>
      </w:r>
    </w:p>
    <w:p w14:paraId="6E1D368A" w14:textId="6DE53BF3" w:rsidR="00BF1473" w:rsidRPr="00C33D47" w:rsidRDefault="00BF1473" w:rsidP="00BF1473">
      <w:pPr>
        <w:pStyle w:val="DHHSbullet1"/>
        <w:numPr>
          <w:ilvl w:val="0"/>
          <w:numId w:val="14"/>
        </w:numPr>
        <w:rPr>
          <w:rFonts w:cs="Arial"/>
          <w:lang w:eastAsia="en-AU"/>
        </w:rPr>
      </w:pPr>
      <w:r w:rsidRPr="00C33D47">
        <w:rPr>
          <w:rFonts w:cs="Arial"/>
          <w:b/>
          <w:bCs/>
          <w:lang w:eastAsia="en-AU"/>
        </w:rPr>
        <w:t>Fire Safety Certification</w:t>
      </w:r>
      <w:r w:rsidRPr="00C33D47">
        <w:rPr>
          <w:rFonts w:cs="Arial"/>
          <w:lang w:eastAsia="en-AU"/>
        </w:rPr>
        <w:t xml:space="preserve"> </w:t>
      </w:r>
      <w:hyperlink r:id="rId180" w:tgtFrame="_blank" w:history="1">
        <w:r w:rsidR="00FC3758" w:rsidRPr="00986D1E">
          <w:rPr>
            <w:rStyle w:val="Hyperlink"/>
          </w:rPr>
          <w:t>Fire Safety Compliance - Certificate No. 5</w:t>
        </w:r>
      </w:hyperlink>
      <w:r w:rsidR="00FC3758" w:rsidRPr="00B24C02">
        <w:rPr>
          <w:rFonts w:cs="Arial"/>
          <w:color w:val="000000"/>
          <w:szCs w:val="19"/>
          <w:lang w:eastAsia="en-AU"/>
        </w:rPr>
        <w:t xml:space="preserve"> </w:t>
      </w:r>
      <w:r w:rsidR="00FC3758">
        <w:rPr>
          <w:rFonts w:cs="Arial"/>
          <w:color w:val="000000"/>
          <w:szCs w:val="19"/>
          <w:lang w:eastAsia="en-AU"/>
        </w:rPr>
        <w:t>&lt;</w:t>
      </w:r>
      <w:r w:rsidR="00FC3758" w:rsidRPr="00EA74AB">
        <w:rPr>
          <w:rFonts w:cs="Arial"/>
          <w:color w:val="000000"/>
          <w:szCs w:val="19"/>
          <w:lang w:eastAsia="en-AU"/>
        </w:rPr>
        <w:t>https://providers.dhhs.vic.gov.au/fire-safety-compliance-certificate-no-5-word</w:t>
      </w:r>
      <w:r w:rsidR="00FC3758">
        <w:rPr>
          <w:rFonts w:cs="Arial"/>
          <w:color w:val="000000"/>
          <w:szCs w:val="19"/>
          <w:lang w:eastAsia="en-AU"/>
        </w:rPr>
        <w:t xml:space="preserve">&gt; </w:t>
      </w:r>
      <w:r w:rsidR="00FC3758" w:rsidRPr="00B24C02">
        <w:rPr>
          <w:rFonts w:cs="Arial"/>
          <w:color w:val="000000"/>
          <w:szCs w:val="19"/>
          <w:lang w:eastAsia="en-AU"/>
        </w:rPr>
        <w:t>(</w:t>
      </w:r>
      <w:r w:rsidR="00FC3758">
        <w:rPr>
          <w:rFonts w:cs="Arial"/>
          <w:color w:val="000000"/>
          <w:szCs w:val="19"/>
          <w:lang w:eastAsia="en-AU"/>
        </w:rPr>
        <w:t xml:space="preserve">external link, </w:t>
      </w:r>
      <w:r w:rsidR="00FC3758" w:rsidRPr="00B24C02">
        <w:rPr>
          <w:rFonts w:cs="Arial"/>
          <w:color w:val="000000"/>
          <w:szCs w:val="19"/>
          <w:lang w:eastAsia="en-AU"/>
        </w:rPr>
        <w:t>open</w:t>
      </w:r>
      <w:r w:rsidR="00FC3758">
        <w:rPr>
          <w:rFonts w:cs="Arial"/>
          <w:color w:val="000000"/>
          <w:szCs w:val="19"/>
          <w:lang w:eastAsia="en-AU"/>
        </w:rPr>
        <w:t>s in a new window</w:t>
      </w:r>
      <w:r w:rsidR="00FC3758" w:rsidRPr="00B24C02">
        <w:rPr>
          <w:rFonts w:cs="Arial"/>
          <w:color w:val="000000"/>
          <w:szCs w:val="19"/>
          <w:lang w:eastAsia="en-AU"/>
        </w:rPr>
        <w:t>)</w:t>
      </w:r>
      <w:r w:rsidR="00FC3758">
        <w:rPr>
          <w:rFonts w:cs="Arial"/>
          <w:color w:val="000000"/>
          <w:szCs w:val="19"/>
          <w:lang w:eastAsia="en-AU"/>
        </w:rPr>
        <w:t xml:space="preserve"> </w:t>
      </w:r>
      <w:r w:rsidRPr="00C33D47">
        <w:rPr>
          <w:rFonts w:cs="Arial"/>
          <w:lang w:eastAsia="en-AU"/>
        </w:rPr>
        <w:t xml:space="preserve">must be returned by </w:t>
      </w:r>
      <w:r w:rsidRPr="00014960">
        <w:rPr>
          <w:rFonts w:cs="Arial"/>
          <w:iCs/>
          <w:lang w:eastAsia="en-AU"/>
        </w:rPr>
        <w:t>1 September</w:t>
      </w:r>
      <w:r w:rsidRPr="00C33D47">
        <w:rPr>
          <w:rFonts w:cs="Arial"/>
          <w:lang w:eastAsia="en-AU"/>
        </w:rPr>
        <w:t xml:space="preserve"> in the following financial year or by a date to be agreed between the agency and the department's assigned Local Engagement Officer (LEO) in the Agency Connections Team of the Division. This date will </w:t>
      </w:r>
      <w:proofErr w:type="gramStart"/>
      <w:r w:rsidRPr="00C33D47">
        <w:rPr>
          <w:rFonts w:cs="Arial"/>
          <w:lang w:eastAsia="en-AU"/>
        </w:rPr>
        <w:t>take into account</w:t>
      </w:r>
      <w:proofErr w:type="gramEnd"/>
      <w:r w:rsidRPr="00C33D47">
        <w:rPr>
          <w:rFonts w:cs="Arial"/>
          <w:lang w:eastAsia="en-AU"/>
        </w:rPr>
        <w:t xml:space="preserve"> any relevant upgrading works that are scheduled. </w:t>
      </w:r>
    </w:p>
    <w:p w14:paraId="71C23421" w14:textId="77777777" w:rsidR="00BF1473" w:rsidRPr="00276391" w:rsidRDefault="00BF1473" w:rsidP="00BF1473">
      <w:pPr>
        <w:pStyle w:val="Heading4"/>
        <w:rPr>
          <w:lang w:eastAsia="en-AU"/>
        </w:rPr>
      </w:pPr>
      <w:bookmarkStart w:id="659" w:name="_Hospital_premises_fire"/>
      <w:bookmarkStart w:id="660" w:name="_Toc478991939"/>
      <w:bookmarkEnd w:id="659"/>
      <w:r w:rsidRPr="00276391">
        <w:rPr>
          <w:lang w:eastAsia="en-AU"/>
        </w:rPr>
        <w:t xml:space="preserve">Hospital premises fire safety standard </w:t>
      </w:r>
      <w:r w:rsidRPr="00A844BA">
        <w:rPr>
          <w:lang w:eastAsia="en-AU"/>
        </w:rPr>
        <w:t>(</w:t>
      </w:r>
      <w:r w:rsidRPr="00FD4156">
        <w:rPr>
          <w:lang w:eastAsia="en-AU"/>
        </w:rPr>
        <w:t>Standard No. 6</w:t>
      </w:r>
      <w:r w:rsidRPr="00A844BA">
        <w:rPr>
          <w:lang w:eastAsia="en-AU"/>
        </w:rPr>
        <w:t>)</w:t>
      </w:r>
      <w:bookmarkEnd w:id="660"/>
    </w:p>
    <w:p w14:paraId="4256DAB0" w14:textId="77777777" w:rsidR="00BF1473" w:rsidRPr="003F52B3" w:rsidRDefault="00BF1473" w:rsidP="00BF1473">
      <w:pPr>
        <w:pStyle w:val="DHHSbody"/>
        <w:rPr>
          <w:lang w:eastAsia="en-AU"/>
        </w:rPr>
      </w:pPr>
      <w:bookmarkStart w:id="661" w:name="_Toc478991940"/>
      <w:r w:rsidRPr="003F52B3">
        <w:rPr>
          <w:b/>
          <w:lang w:eastAsia="en-AU"/>
        </w:rPr>
        <w:t>Application</w:t>
      </w:r>
      <w:bookmarkEnd w:id="661"/>
    </w:p>
    <w:p w14:paraId="19105FCA" w14:textId="77777777" w:rsidR="00BF1473" w:rsidRPr="003F52B3" w:rsidRDefault="00BF1473" w:rsidP="00BF1473">
      <w:pPr>
        <w:pStyle w:val="DHHSbody"/>
        <w:rPr>
          <w:lang w:eastAsia="en-AU"/>
        </w:rPr>
      </w:pPr>
      <w:bookmarkStart w:id="662" w:name="_Toc478991941"/>
      <w:r w:rsidRPr="003F52B3">
        <w:rPr>
          <w:lang w:eastAsia="en-AU"/>
        </w:rPr>
        <w:t>Type of service:</w:t>
      </w:r>
      <w:bookmarkEnd w:id="662"/>
    </w:p>
    <w:p w14:paraId="243797A9" w14:textId="77777777" w:rsidR="00BF1473" w:rsidRPr="00276391" w:rsidRDefault="00BF1473" w:rsidP="00BF1473">
      <w:pPr>
        <w:pStyle w:val="DHHSbody"/>
        <w:rPr>
          <w:lang w:eastAsia="en-AU"/>
        </w:rPr>
      </w:pPr>
      <w:r w:rsidRPr="00276391">
        <w:rPr>
          <w:lang w:eastAsia="en-AU"/>
        </w:rPr>
        <w:t>A building, or part thereof, used on a 24-hour basis for medical, obstetrical or surgical care of four or more inpatients, including acute hospitals. May include disability (including respite), placement and support, mental health, drug and alcohol and residential services within a hospital.</w:t>
      </w:r>
    </w:p>
    <w:p w14:paraId="03C1E89E" w14:textId="77777777" w:rsidR="00BF1473" w:rsidRPr="003F52B3" w:rsidRDefault="00BF1473" w:rsidP="00BF1473">
      <w:pPr>
        <w:pStyle w:val="DHHSbody"/>
        <w:rPr>
          <w:lang w:eastAsia="en-AU"/>
        </w:rPr>
      </w:pPr>
      <w:bookmarkStart w:id="663" w:name="_Toc478991942"/>
      <w:r w:rsidRPr="003F52B3">
        <w:rPr>
          <w:b/>
          <w:lang w:eastAsia="en-AU"/>
        </w:rPr>
        <w:t>Premises*:</w:t>
      </w:r>
      <w:bookmarkEnd w:id="663"/>
    </w:p>
    <w:p w14:paraId="4105AE0B" w14:textId="4F35C89C" w:rsidR="00BF1473" w:rsidRPr="00276391" w:rsidRDefault="00BF1473" w:rsidP="00BF1473">
      <w:pPr>
        <w:pStyle w:val="DHHSbody"/>
        <w:rPr>
          <w:lang w:eastAsia="en-AU"/>
        </w:rPr>
      </w:pPr>
      <w:r w:rsidRPr="00276391">
        <w:rPr>
          <w:lang w:eastAsia="en-AU"/>
        </w:rPr>
        <w:t xml:space="preserve">Owned operated or funded by the department or an agency subject to a </w:t>
      </w:r>
      <w:r w:rsidR="009B3052">
        <w:rPr>
          <w:lang w:eastAsia="en-AU"/>
        </w:rPr>
        <w:t>Service agreement</w:t>
      </w:r>
      <w:r w:rsidRPr="00276391">
        <w:rPr>
          <w:lang w:eastAsia="en-AU"/>
        </w:rPr>
        <w:t xml:space="preserve"> with the department.</w:t>
      </w:r>
    </w:p>
    <w:p w14:paraId="11F2C220" w14:textId="77777777" w:rsidR="00BF1473" w:rsidRPr="003F52B3" w:rsidRDefault="00BF1473" w:rsidP="00BF1473">
      <w:pPr>
        <w:pStyle w:val="DHHSbody"/>
        <w:rPr>
          <w:lang w:eastAsia="en-AU"/>
        </w:rPr>
      </w:pPr>
      <w:bookmarkStart w:id="664" w:name="_Toc478991943"/>
      <w:r w:rsidRPr="003F52B3">
        <w:rPr>
          <w:b/>
          <w:lang w:eastAsia="en-AU"/>
        </w:rPr>
        <w:t>Accompanying document</w:t>
      </w:r>
      <w:bookmarkEnd w:id="664"/>
    </w:p>
    <w:bookmarkStart w:id="665" w:name="_Toc478991944"/>
    <w:p w14:paraId="1015B519" w14:textId="77777777" w:rsidR="00014960" w:rsidRDefault="00014960" w:rsidP="00014960">
      <w:pPr>
        <w:pStyle w:val="DHHSbody"/>
        <w:rPr>
          <w:szCs w:val="19"/>
          <w:lang w:eastAsia="en-AU"/>
        </w:rPr>
      </w:pPr>
      <w:r>
        <w:fldChar w:fldCharType="begin"/>
      </w:r>
      <w:r>
        <w:instrText xml:space="preserve"> HYPERLINK "https://providers.dhhs.vic.gov.au/capital-development-guidelines-series-7" \t "_blank" </w:instrText>
      </w:r>
      <w:r>
        <w:fldChar w:fldCharType="separate"/>
      </w:r>
      <w:r w:rsidRPr="00F352C6">
        <w:rPr>
          <w:rStyle w:val="Hyperlink"/>
        </w:rPr>
        <w:t>Capital Development Guidelines, Series 7, Fire Risk Management, August 2013</w:t>
      </w:r>
      <w:r>
        <w:rPr>
          <w:rStyle w:val="Hyperlink"/>
        </w:rPr>
        <w:fldChar w:fldCharType="end"/>
      </w:r>
      <w:r w:rsidRPr="00B24C02">
        <w:rPr>
          <w:szCs w:val="19"/>
          <w:lang w:eastAsia="en-AU"/>
        </w:rPr>
        <w:t xml:space="preserve"> </w:t>
      </w:r>
      <w:r>
        <w:rPr>
          <w:szCs w:val="19"/>
          <w:lang w:eastAsia="en-AU"/>
        </w:rPr>
        <w:t>&lt;</w:t>
      </w:r>
      <w:r w:rsidRPr="00390713">
        <w:rPr>
          <w:rFonts w:cs="Arial"/>
          <w:color w:val="000000"/>
          <w:szCs w:val="19"/>
          <w:lang w:eastAsia="en-AU"/>
        </w:rPr>
        <w:t>https://providers.dhhs.vic.gov.au/capital-development-guidelines-series-7</w:t>
      </w:r>
      <w:r>
        <w:rPr>
          <w:szCs w:val="19"/>
          <w:lang w:eastAsia="en-AU"/>
        </w:rPr>
        <w:t>&gt;</w:t>
      </w:r>
      <w:r w:rsidRPr="00640E9B">
        <w:rPr>
          <w:szCs w:val="19"/>
          <w:lang w:eastAsia="en-AU"/>
        </w:rPr>
        <w:t xml:space="preserve"> </w:t>
      </w:r>
      <w:r w:rsidRPr="00B24C02">
        <w:rPr>
          <w:szCs w:val="19"/>
          <w:lang w:eastAsia="en-AU"/>
        </w:rPr>
        <w:t>(extern</w:t>
      </w:r>
      <w:r>
        <w:rPr>
          <w:szCs w:val="19"/>
          <w:lang w:eastAsia="en-AU"/>
        </w:rPr>
        <w:t>al link, opens in a new window) are t</w:t>
      </w:r>
      <w:r w:rsidRPr="00B24C02">
        <w:rPr>
          <w:szCs w:val="19"/>
          <w:lang w:eastAsia="en-AU"/>
        </w:rPr>
        <w:t>he relevant guidelines applicable for specific occupancy types for which the organisation has responsibility</w:t>
      </w:r>
      <w:r>
        <w:rPr>
          <w:szCs w:val="19"/>
          <w:lang w:eastAsia="en-AU"/>
        </w:rPr>
        <w:t>.</w:t>
      </w:r>
    </w:p>
    <w:p w14:paraId="1B6A25F8" w14:textId="7067CF7E" w:rsidR="00BF1473" w:rsidRPr="003F52B3" w:rsidRDefault="00BF1473" w:rsidP="00BF1473">
      <w:pPr>
        <w:pStyle w:val="DHHSbody"/>
        <w:rPr>
          <w:lang w:eastAsia="en-AU"/>
        </w:rPr>
      </w:pPr>
      <w:r w:rsidRPr="003F52B3">
        <w:rPr>
          <w:b/>
          <w:lang w:eastAsia="en-AU"/>
        </w:rPr>
        <w:t>Specifications</w:t>
      </w:r>
      <w:bookmarkEnd w:id="665"/>
    </w:p>
    <w:p w14:paraId="523F5A08" w14:textId="77777777" w:rsidR="00BF1473" w:rsidRPr="00276391" w:rsidRDefault="00BF1473" w:rsidP="00BF1473">
      <w:pPr>
        <w:pStyle w:val="DHHSbullet1"/>
        <w:numPr>
          <w:ilvl w:val="0"/>
          <w:numId w:val="14"/>
        </w:numPr>
        <w:rPr>
          <w:rFonts w:cs="Arial"/>
          <w:lang w:eastAsia="en-AU"/>
        </w:rPr>
      </w:pPr>
      <w:r w:rsidRPr="00276391">
        <w:rPr>
          <w:rFonts w:cs="Arial"/>
          <w:lang w:eastAsia="en-AU"/>
        </w:rPr>
        <w:t>The organisation is required to make certain that the persons in its care are appropriately protected from risk from fire. This protection includes:</w:t>
      </w:r>
    </w:p>
    <w:p w14:paraId="636DD4EC" w14:textId="7A810215" w:rsidR="00BF1473" w:rsidRPr="004310CD" w:rsidRDefault="00BF1473" w:rsidP="00BF1473">
      <w:pPr>
        <w:pStyle w:val="DHHSbullet1"/>
        <w:numPr>
          <w:ilvl w:val="0"/>
          <w:numId w:val="14"/>
        </w:numPr>
        <w:rPr>
          <w:rFonts w:cs="Arial"/>
          <w:lang w:eastAsia="en-AU"/>
        </w:rPr>
      </w:pPr>
      <w:r w:rsidRPr="004310CD">
        <w:rPr>
          <w:rFonts w:cs="Arial"/>
          <w:b/>
          <w:bCs/>
          <w:lang w:eastAsia="en-AU"/>
        </w:rPr>
        <w:t>Premises</w:t>
      </w:r>
      <w:r w:rsidRPr="004310CD">
        <w:rPr>
          <w:rFonts w:cs="Arial"/>
          <w:lang w:eastAsia="en-AU"/>
        </w:rPr>
        <w:t xml:space="preserve"> - The premises must meet the requirements of the relevant </w:t>
      </w:r>
      <w:hyperlink r:id="rId181" w:tgtFrame="_blank" w:history="1">
        <w:r w:rsidR="00FC3758" w:rsidRPr="00F352C6">
          <w:rPr>
            <w:rStyle w:val="Hyperlink"/>
          </w:rPr>
          <w:t>Capital Development Guidelines, Series 7, Fire Risk Management, August 2013</w:t>
        </w:r>
      </w:hyperlink>
      <w:r w:rsidR="00FC3758" w:rsidRPr="00B24C02">
        <w:rPr>
          <w:szCs w:val="19"/>
          <w:lang w:eastAsia="en-AU"/>
        </w:rPr>
        <w:t xml:space="preserve"> </w:t>
      </w:r>
      <w:r w:rsidR="00FC3758">
        <w:rPr>
          <w:szCs w:val="19"/>
          <w:lang w:eastAsia="en-AU"/>
        </w:rPr>
        <w:t>&lt;</w:t>
      </w:r>
      <w:r w:rsidR="00FC3758" w:rsidRPr="00390713">
        <w:rPr>
          <w:rFonts w:cs="Arial"/>
          <w:color w:val="000000"/>
          <w:szCs w:val="19"/>
          <w:lang w:eastAsia="en-AU"/>
        </w:rPr>
        <w:t>https://providers.dhhs.vic.gov.au/capital-development-guidelines-series-7</w:t>
      </w:r>
      <w:r w:rsidR="00FC3758">
        <w:rPr>
          <w:szCs w:val="19"/>
          <w:lang w:eastAsia="en-AU"/>
        </w:rPr>
        <w:t>&gt;</w:t>
      </w:r>
      <w:r w:rsidR="00FC3758" w:rsidRPr="00640E9B">
        <w:rPr>
          <w:szCs w:val="19"/>
          <w:lang w:eastAsia="en-AU"/>
        </w:rPr>
        <w:t xml:space="preserve"> </w:t>
      </w:r>
      <w:r w:rsidR="00FC3758" w:rsidRPr="00B24C02">
        <w:rPr>
          <w:szCs w:val="19"/>
          <w:lang w:eastAsia="en-AU"/>
        </w:rPr>
        <w:t>(external link, opens in a new window)</w:t>
      </w:r>
      <w:r w:rsidRPr="004310CD">
        <w:rPr>
          <w:rFonts w:cs="Arial"/>
          <w:lang w:eastAsia="en-AU"/>
        </w:rPr>
        <w:t xml:space="preserve"> (as amended from time to time) applicable to those premises*. The department will discuss the process of fire safety </w:t>
      </w:r>
      <w:r w:rsidRPr="004310CD">
        <w:rPr>
          <w:rFonts w:cs="Arial"/>
          <w:lang w:eastAsia="en-AU"/>
        </w:rPr>
        <w:lastRenderedPageBreak/>
        <w:t xml:space="preserve">assessment and upgrade works and availability of funds (where this has not already been done) to meet these requirements. </w:t>
      </w:r>
    </w:p>
    <w:p w14:paraId="078E50C8" w14:textId="74FB7671" w:rsidR="00BF1473" w:rsidRPr="00276391" w:rsidRDefault="00BF1473" w:rsidP="00FC3758">
      <w:pPr>
        <w:pStyle w:val="DHHSbullet1"/>
        <w:numPr>
          <w:ilvl w:val="0"/>
          <w:numId w:val="0"/>
        </w:numPr>
        <w:ind w:left="720"/>
        <w:rPr>
          <w:rFonts w:cs="Arial"/>
          <w:lang w:eastAsia="en-AU"/>
        </w:rPr>
      </w:pPr>
      <w:r w:rsidRPr="00276391">
        <w:rPr>
          <w:rFonts w:cs="Arial"/>
          <w:lang w:eastAsia="en-AU"/>
        </w:rPr>
        <w:t xml:space="preserve">* In each case a reference to premises refers to those premises from which the service (which is subject to this </w:t>
      </w:r>
      <w:r w:rsidR="009B3052">
        <w:rPr>
          <w:rFonts w:cs="Arial"/>
          <w:lang w:eastAsia="en-AU"/>
        </w:rPr>
        <w:t>Service agreement</w:t>
      </w:r>
      <w:r w:rsidRPr="00276391">
        <w:rPr>
          <w:rFonts w:cs="Arial"/>
          <w:lang w:eastAsia="en-AU"/>
        </w:rPr>
        <w:t>) is provided.</w:t>
      </w:r>
    </w:p>
    <w:p w14:paraId="79BDC379" w14:textId="2BD7DA6D" w:rsidR="00BF1473" w:rsidRPr="00276391" w:rsidRDefault="00BF1473" w:rsidP="00BF1473">
      <w:pPr>
        <w:pStyle w:val="DHHSbullet1"/>
        <w:numPr>
          <w:ilvl w:val="0"/>
          <w:numId w:val="14"/>
        </w:numPr>
        <w:rPr>
          <w:rFonts w:cs="Arial"/>
          <w:lang w:eastAsia="en-AU"/>
        </w:rPr>
      </w:pPr>
      <w:r w:rsidRPr="00276391">
        <w:rPr>
          <w:rFonts w:cs="Arial"/>
          <w:b/>
          <w:bCs/>
          <w:lang w:eastAsia="en-AU"/>
        </w:rPr>
        <w:t xml:space="preserve">Operational </w:t>
      </w:r>
      <w:proofErr w:type="spellStart"/>
      <w:r w:rsidRPr="00276391">
        <w:rPr>
          <w:rFonts w:cs="Arial"/>
          <w:b/>
          <w:bCs/>
          <w:lang w:eastAsia="en-AU"/>
        </w:rPr>
        <w:t>readiness</w:t>
      </w:r>
      <w:r w:rsidR="00D05F49">
        <w:rPr>
          <w:rFonts w:cs="Arial"/>
          <w:lang w:eastAsia="en-AU"/>
        </w:rPr>
        <w:t>,</w:t>
      </w:r>
      <w:proofErr w:type="gramStart"/>
      <w:r w:rsidRPr="00276391">
        <w:rPr>
          <w:rFonts w:cs="Arial"/>
          <w:lang w:eastAsia="en-AU"/>
        </w:rPr>
        <w:t>The</w:t>
      </w:r>
      <w:proofErr w:type="spellEnd"/>
      <w:proofErr w:type="gramEnd"/>
      <w:r w:rsidRPr="00276391">
        <w:rPr>
          <w:rFonts w:cs="Arial"/>
          <w:lang w:eastAsia="en-AU"/>
        </w:rPr>
        <w:t xml:space="preserve"> organisation must ensure that appropriate operational readiness measures are developed, implemented and reviewed as a minimum in accordance with Australian Standards: AS 4083-2010, Planning for emergencies - Health care facilities and AS 3745-2010, Emergency Control Organisation and Procedures for Buildings as appropriate. This includes (but is not limited to) development of fire emergency management and evacuation procedures, training of staff to implement the procedures developed, and conducting regular drills. </w:t>
      </w:r>
    </w:p>
    <w:p w14:paraId="0000E95B" w14:textId="77777777" w:rsidR="00BF1473" w:rsidRPr="00276391" w:rsidRDefault="00BF1473" w:rsidP="00BF1473">
      <w:pPr>
        <w:pStyle w:val="DHHSbullet1"/>
        <w:numPr>
          <w:ilvl w:val="0"/>
          <w:numId w:val="14"/>
        </w:numPr>
        <w:rPr>
          <w:rFonts w:cs="Arial"/>
          <w:lang w:eastAsia="en-AU"/>
        </w:rPr>
      </w:pPr>
      <w:r w:rsidRPr="00276391">
        <w:rPr>
          <w:rFonts w:cs="Arial"/>
          <w:b/>
          <w:bCs/>
          <w:lang w:eastAsia="en-AU"/>
        </w:rPr>
        <w:t>Maintenance of Essential Safety Measures</w:t>
      </w:r>
      <w:r w:rsidRPr="00276391">
        <w:rPr>
          <w:rFonts w:cs="Arial"/>
          <w:lang w:eastAsia="en-AU"/>
        </w:rPr>
        <w:t xml:space="preserve"> - The organisation shall ensure that all Essential Safety Measures (including all fire safety equipment/systems) are adequately maintained in accordance with the Building Act, Building Regulations. </w:t>
      </w:r>
    </w:p>
    <w:p w14:paraId="3E04E6DB" w14:textId="0950FD5D" w:rsidR="00BF1473" w:rsidRPr="00276391" w:rsidRDefault="00BF1473" w:rsidP="00BF1473">
      <w:pPr>
        <w:pStyle w:val="DHHSbullet1"/>
        <w:numPr>
          <w:ilvl w:val="0"/>
          <w:numId w:val="14"/>
        </w:numPr>
        <w:rPr>
          <w:rFonts w:cs="Arial"/>
          <w:lang w:eastAsia="en-AU"/>
        </w:rPr>
      </w:pPr>
      <w:r w:rsidRPr="00276391">
        <w:rPr>
          <w:rFonts w:cs="Arial"/>
          <w:b/>
          <w:bCs/>
          <w:lang w:eastAsia="en-AU"/>
        </w:rPr>
        <w:t>Fire Safety Certification</w:t>
      </w:r>
      <w:r w:rsidRPr="00276391">
        <w:rPr>
          <w:rFonts w:cs="Arial"/>
          <w:lang w:eastAsia="en-AU"/>
        </w:rPr>
        <w:t xml:space="preserve"> - </w:t>
      </w:r>
      <w:hyperlink r:id="rId182" w:tgtFrame="_blank" w:history="1">
        <w:r w:rsidR="00FC3758" w:rsidRPr="00986D1E">
          <w:rPr>
            <w:rStyle w:val="Hyperlink"/>
          </w:rPr>
          <w:t>Fire Safety Compliance - Certificate No. 6</w:t>
        </w:r>
      </w:hyperlink>
      <w:r w:rsidR="00FC3758">
        <w:rPr>
          <w:rFonts w:cs="Arial"/>
          <w:color w:val="0000FF"/>
          <w:szCs w:val="19"/>
          <w:lang w:eastAsia="en-AU"/>
        </w:rPr>
        <w:t xml:space="preserve"> </w:t>
      </w:r>
      <w:r w:rsidR="00FC3758" w:rsidRPr="00C7053D">
        <w:rPr>
          <w:rFonts w:cs="Arial"/>
          <w:color w:val="000000"/>
          <w:szCs w:val="19"/>
          <w:lang w:eastAsia="en-AU"/>
        </w:rPr>
        <w:t>&lt;</w:t>
      </w:r>
      <w:r w:rsidR="00FC3758" w:rsidRPr="00EA74AB">
        <w:rPr>
          <w:rFonts w:cs="Arial"/>
          <w:color w:val="000000"/>
          <w:szCs w:val="19"/>
          <w:lang w:eastAsia="en-AU"/>
        </w:rPr>
        <w:t>https://providers.dhhs.vic.gov.au/fire-safety-compliance-certificate-no-6-health-service-pdf</w:t>
      </w:r>
      <w:r w:rsidR="00FC3758" w:rsidRPr="00C7053D">
        <w:rPr>
          <w:rFonts w:cs="Arial"/>
          <w:color w:val="000000"/>
          <w:szCs w:val="19"/>
          <w:lang w:eastAsia="en-AU"/>
        </w:rPr>
        <w:t>&gt;</w:t>
      </w:r>
      <w:r w:rsidR="00FC3758">
        <w:rPr>
          <w:rFonts w:cs="Arial"/>
          <w:color w:val="000000"/>
          <w:szCs w:val="19"/>
          <w:lang w:eastAsia="en-AU"/>
        </w:rPr>
        <w:t xml:space="preserve"> </w:t>
      </w:r>
      <w:r w:rsidR="00FC3758" w:rsidRPr="00B24C02">
        <w:rPr>
          <w:rFonts w:cs="Arial"/>
          <w:color w:val="000000"/>
          <w:szCs w:val="19"/>
          <w:lang w:eastAsia="en-AU"/>
        </w:rPr>
        <w:t>(</w:t>
      </w:r>
      <w:r w:rsidR="00FC3758">
        <w:rPr>
          <w:rFonts w:cs="Arial"/>
          <w:color w:val="000000"/>
          <w:szCs w:val="19"/>
          <w:lang w:eastAsia="en-AU"/>
        </w:rPr>
        <w:t>external link, opens in a new window</w:t>
      </w:r>
      <w:r w:rsidR="00FC3758" w:rsidRPr="00B24C02">
        <w:rPr>
          <w:rFonts w:cs="Arial"/>
          <w:color w:val="000000"/>
          <w:szCs w:val="19"/>
          <w:lang w:eastAsia="en-AU"/>
        </w:rPr>
        <w:t>)</w:t>
      </w:r>
      <w:r w:rsidR="00FC3758">
        <w:rPr>
          <w:rFonts w:cs="Arial"/>
          <w:color w:val="000000"/>
          <w:szCs w:val="19"/>
          <w:lang w:eastAsia="en-AU"/>
        </w:rPr>
        <w:t xml:space="preserve"> </w:t>
      </w:r>
      <w:r w:rsidRPr="00276391">
        <w:rPr>
          <w:rFonts w:cs="Arial"/>
          <w:lang w:eastAsia="en-AU"/>
        </w:rPr>
        <w:t xml:space="preserve">must be returned by 1 September in the following financial year or by a date to be agreed between the agency and the department. This date will </w:t>
      </w:r>
      <w:proofErr w:type="gramStart"/>
      <w:r w:rsidRPr="00276391">
        <w:rPr>
          <w:rFonts w:cs="Arial"/>
          <w:lang w:eastAsia="en-AU"/>
        </w:rPr>
        <w:t>take into account</w:t>
      </w:r>
      <w:proofErr w:type="gramEnd"/>
      <w:r w:rsidRPr="00276391">
        <w:rPr>
          <w:rFonts w:cs="Arial"/>
          <w:lang w:eastAsia="en-AU"/>
        </w:rPr>
        <w:t xml:space="preserve"> any relevant upgrading works that are scheduled. </w:t>
      </w:r>
    </w:p>
    <w:p w14:paraId="5D192C23" w14:textId="77777777" w:rsidR="00BF1473" w:rsidRPr="003F52B3" w:rsidRDefault="00BF1473" w:rsidP="00BF1473">
      <w:pPr>
        <w:pStyle w:val="DHHSbody"/>
        <w:rPr>
          <w:lang w:eastAsia="en-AU"/>
        </w:rPr>
      </w:pPr>
      <w:bookmarkStart w:id="666" w:name="_Toc478991945"/>
      <w:r w:rsidRPr="003F52B3">
        <w:rPr>
          <w:b/>
          <w:lang w:eastAsia="en-AU"/>
        </w:rPr>
        <w:t>For further information</w:t>
      </w:r>
      <w:bookmarkEnd w:id="666"/>
    </w:p>
    <w:p w14:paraId="29BF1468" w14:textId="77777777" w:rsidR="00BF1473" w:rsidRPr="00276391" w:rsidRDefault="00BF1473" w:rsidP="00BF1473">
      <w:pPr>
        <w:pStyle w:val="DHHSbody"/>
        <w:rPr>
          <w:lang w:eastAsia="en-AU"/>
        </w:rPr>
      </w:pPr>
      <w:r w:rsidRPr="00BF1473">
        <w:rPr>
          <w:rFonts w:cs="Arial"/>
          <w:color w:val="000000"/>
          <w:szCs w:val="19"/>
          <w:lang w:eastAsia="en-AU"/>
        </w:rPr>
        <w:t xml:space="preserve">James McNally, Manager, Fire Services Team </w:t>
      </w:r>
      <w:r w:rsidRPr="00BF1473">
        <w:rPr>
          <w:rFonts w:cs="Arial"/>
          <w:color w:val="000000"/>
          <w:szCs w:val="19"/>
          <w:lang w:eastAsia="en-AU"/>
        </w:rPr>
        <w:br/>
        <w:t>Telephone: (03) 9096 60649</w:t>
      </w:r>
      <w:r w:rsidRPr="00BF1473">
        <w:rPr>
          <w:rFonts w:cs="Arial"/>
          <w:color w:val="000000"/>
          <w:szCs w:val="19"/>
          <w:lang w:eastAsia="en-AU"/>
        </w:rPr>
        <w:br/>
        <w:t xml:space="preserve">Email: </w:t>
      </w:r>
      <w:hyperlink r:id="rId183" w:history="1">
        <w:r w:rsidRPr="00BF1473">
          <w:rPr>
            <w:rStyle w:val="Hyperlink"/>
          </w:rPr>
          <w:t>fireriskmanagementunit@dhhs.vic.gov.au</w:t>
        </w:r>
      </w:hyperlink>
    </w:p>
    <w:p w14:paraId="6D270837" w14:textId="77777777" w:rsidR="00236748" w:rsidRPr="00276391" w:rsidRDefault="00236748" w:rsidP="009B2351">
      <w:pPr>
        <w:pStyle w:val="Heading2"/>
        <w:rPr>
          <w:rFonts w:cs="Arial"/>
          <w:lang w:eastAsia="en-AU"/>
        </w:rPr>
      </w:pPr>
      <w:bookmarkStart w:id="667" w:name="_Toc4142122"/>
      <w:r w:rsidRPr="00276391">
        <w:rPr>
          <w:rFonts w:cs="Arial"/>
          <w:lang w:eastAsia="en-AU"/>
        </w:rPr>
        <w:t>4.2</w:t>
      </w:r>
      <w:r w:rsidR="009B2351" w:rsidRPr="00276391">
        <w:rPr>
          <w:rFonts w:cs="Arial"/>
          <w:lang w:eastAsia="en-AU"/>
        </w:rPr>
        <w:t xml:space="preserve"> </w:t>
      </w:r>
      <w:r w:rsidRPr="00276391">
        <w:rPr>
          <w:rFonts w:cs="Arial"/>
          <w:lang w:eastAsia="en-AU"/>
        </w:rPr>
        <w:t>Asbestos</w:t>
      </w:r>
      <w:r w:rsidR="009B2351" w:rsidRPr="00276391">
        <w:rPr>
          <w:rFonts w:cs="Arial"/>
          <w:lang w:eastAsia="en-AU"/>
        </w:rPr>
        <w:t xml:space="preserve"> </w:t>
      </w:r>
      <w:r w:rsidRPr="00276391">
        <w:rPr>
          <w:rFonts w:cs="Arial"/>
          <w:lang w:eastAsia="en-AU"/>
        </w:rPr>
        <w:t>risk</w:t>
      </w:r>
      <w:r w:rsidR="009B2351" w:rsidRPr="00276391">
        <w:rPr>
          <w:rFonts w:cs="Arial"/>
          <w:lang w:eastAsia="en-AU"/>
        </w:rPr>
        <w:t xml:space="preserve"> </w:t>
      </w:r>
      <w:r w:rsidRPr="00276391">
        <w:rPr>
          <w:rFonts w:cs="Arial"/>
          <w:lang w:eastAsia="en-AU"/>
        </w:rPr>
        <w:t>management</w:t>
      </w:r>
      <w:r w:rsidR="009B2351" w:rsidRPr="00276391">
        <w:rPr>
          <w:rFonts w:cs="Arial"/>
          <w:lang w:eastAsia="en-AU"/>
        </w:rPr>
        <w:t xml:space="preserve"> </w:t>
      </w:r>
      <w:r w:rsidRPr="00276391">
        <w:rPr>
          <w:rFonts w:cs="Arial"/>
          <w:lang w:eastAsia="en-AU"/>
        </w:rPr>
        <w:t>guidelines</w:t>
      </w:r>
      <w:bookmarkEnd w:id="612"/>
      <w:bookmarkEnd w:id="613"/>
      <w:bookmarkEnd w:id="614"/>
      <w:bookmarkEnd w:id="667"/>
    </w:p>
    <w:p w14:paraId="115C7B23" w14:textId="77777777" w:rsidR="00236748" w:rsidRPr="00276391" w:rsidRDefault="00236748" w:rsidP="00E10786">
      <w:pPr>
        <w:pStyle w:val="Heading4"/>
        <w:rPr>
          <w:lang w:eastAsia="en-AU"/>
        </w:rPr>
      </w:pPr>
      <w:bookmarkStart w:id="668" w:name="_Toc478991948"/>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668"/>
    </w:p>
    <w:p w14:paraId="23ECB14D" w14:textId="66B39420"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014960">
        <w:rPr>
          <w:rFonts w:cs="Arial"/>
          <w:color w:val="000000"/>
          <w:szCs w:val="19"/>
          <w:lang w:eastAsia="en-AU"/>
        </w:rPr>
        <w:t>DHHS</w:t>
      </w:r>
      <w:r w:rsidRPr="00B24C02">
        <w:rPr>
          <w:rFonts w:cs="Arial"/>
          <w:color w:val="000000"/>
          <w:szCs w:val="19"/>
          <w:lang w:eastAsia="en-AU"/>
        </w:rPr>
        <w:t>.</w:t>
      </w:r>
    </w:p>
    <w:p w14:paraId="4A5AAAAB" w14:textId="77777777" w:rsidR="00236748" w:rsidRPr="00276391" w:rsidRDefault="00236748" w:rsidP="00E10786">
      <w:pPr>
        <w:pStyle w:val="Heading4"/>
        <w:rPr>
          <w:lang w:eastAsia="en-AU"/>
        </w:rPr>
      </w:pPr>
      <w:bookmarkStart w:id="669" w:name="_Toc478991949"/>
      <w:r w:rsidRPr="00276391">
        <w:rPr>
          <w:lang w:eastAsia="en-AU"/>
        </w:rPr>
        <w:t>Policy</w:t>
      </w:r>
      <w:r w:rsidR="005D5532" w:rsidRPr="00276391">
        <w:rPr>
          <w:lang w:eastAsia="en-AU"/>
        </w:rPr>
        <w:t xml:space="preserve"> </w:t>
      </w:r>
      <w:r w:rsidRPr="00276391">
        <w:rPr>
          <w:lang w:eastAsia="en-AU"/>
        </w:rPr>
        <w:t>purpose</w:t>
      </w:r>
      <w:bookmarkEnd w:id="669"/>
    </w:p>
    <w:p w14:paraId="135237D8" w14:textId="77777777"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Occupational</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Requirements.</w:t>
      </w:r>
    </w:p>
    <w:p w14:paraId="54350527" w14:textId="77777777" w:rsidR="00236748" w:rsidRPr="00276391" w:rsidRDefault="00236748" w:rsidP="00E10786">
      <w:pPr>
        <w:pStyle w:val="Heading4"/>
        <w:rPr>
          <w:lang w:eastAsia="en-AU"/>
        </w:rPr>
      </w:pPr>
      <w:bookmarkStart w:id="670" w:name="_Toc478991950"/>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670"/>
    </w:p>
    <w:p w14:paraId="11137F0A" w14:textId="4EDE6E52" w:rsidR="00236748" w:rsidRPr="00E74F92" w:rsidRDefault="0016341D" w:rsidP="00E74F92">
      <w:pPr>
        <w:pStyle w:val="DHHSbullet1"/>
        <w:rPr>
          <w:rFonts w:cs="Arial"/>
          <w:lang w:eastAsia="en-AU"/>
        </w:rPr>
      </w:pPr>
      <w:hyperlink r:id="rId184" w:tgtFrame="_blank" w:history="1">
        <w:r w:rsidR="00236748" w:rsidRPr="00986D1E">
          <w:rPr>
            <w:rStyle w:val="Hyperlink"/>
          </w:rPr>
          <w:t>Occupational</w:t>
        </w:r>
        <w:r w:rsidR="005D5532" w:rsidRPr="00986D1E">
          <w:rPr>
            <w:rStyle w:val="Hyperlink"/>
          </w:rPr>
          <w:t xml:space="preserve"> </w:t>
        </w:r>
        <w:r w:rsidR="00236748" w:rsidRPr="00986D1E">
          <w:rPr>
            <w:rStyle w:val="Hyperlink"/>
          </w:rPr>
          <w:t>Health</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Safety</w:t>
        </w:r>
        <w:r w:rsidR="005D5532" w:rsidRPr="00986D1E">
          <w:rPr>
            <w:rStyle w:val="Hyperlink"/>
          </w:rPr>
          <w:t xml:space="preserve"> </w:t>
        </w:r>
        <w:r w:rsidR="00236748" w:rsidRPr="00986D1E">
          <w:rPr>
            <w:rStyle w:val="Hyperlink"/>
          </w:rPr>
          <w:t>Act</w:t>
        </w:r>
        <w:r w:rsidR="005D5532" w:rsidRPr="00986D1E">
          <w:rPr>
            <w:rStyle w:val="Hyperlink"/>
          </w:rPr>
          <w:t xml:space="preserve"> </w:t>
        </w:r>
        <w:r w:rsidR="00236748" w:rsidRPr="00986D1E">
          <w:rPr>
            <w:rStyle w:val="Hyperlink"/>
          </w:rPr>
          <w:t>2004</w:t>
        </w:r>
      </w:hyperlink>
      <w:r w:rsidR="005D5532" w:rsidRPr="00E74F92">
        <w:rPr>
          <w:rFonts w:cs="Arial"/>
          <w:color w:val="000000"/>
          <w:szCs w:val="19"/>
          <w:lang w:eastAsia="en-AU"/>
        </w:rPr>
        <w:t xml:space="preserve"> </w:t>
      </w:r>
      <w:r w:rsidR="00324331" w:rsidRPr="00E74F92">
        <w:rPr>
          <w:rFonts w:cs="Arial"/>
          <w:color w:val="000000"/>
          <w:szCs w:val="19"/>
          <w:lang w:eastAsia="en-AU"/>
        </w:rPr>
        <w:t>&lt;</w:t>
      </w:r>
      <w:r w:rsidR="00E74F92" w:rsidRPr="00E74F92">
        <w:rPr>
          <w:rFonts w:cs="Arial"/>
          <w:color w:val="000000"/>
          <w:szCs w:val="19"/>
          <w:lang w:eastAsia="en-AU"/>
        </w:rPr>
        <w:t>http://www6.austlii.edu.au/cgi-bin/viewdb/au/legis/vic/consol_act/ohasa2004273/</w:t>
      </w:r>
      <w:r w:rsidR="00324331" w:rsidRPr="00E74F92">
        <w:rPr>
          <w:rFonts w:cs="Arial"/>
          <w:color w:val="000000"/>
          <w:szCs w:val="19"/>
          <w:lang w:eastAsia="en-AU"/>
        </w:rPr>
        <w:t xml:space="preserve">&gt; </w:t>
      </w:r>
      <w:r w:rsidR="00236748" w:rsidRPr="00E74F92">
        <w:rPr>
          <w:rFonts w:cs="Arial"/>
          <w:color w:val="000000"/>
          <w:szCs w:val="19"/>
          <w:lang w:eastAsia="en-AU"/>
        </w:rPr>
        <w:t>(external</w:t>
      </w:r>
      <w:r w:rsidR="005D5532" w:rsidRPr="00E74F92">
        <w:rPr>
          <w:rFonts w:cs="Arial"/>
          <w:color w:val="000000"/>
          <w:szCs w:val="19"/>
          <w:lang w:eastAsia="en-AU"/>
        </w:rPr>
        <w:t xml:space="preserve"> </w:t>
      </w:r>
      <w:r w:rsidR="00236748" w:rsidRPr="00E74F92">
        <w:rPr>
          <w:rFonts w:cs="Arial"/>
          <w:color w:val="000000"/>
          <w:szCs w:val="19"/>
          <w:lang w:eastAsia="en-AU"/>
        </w:rPr>
        <w:t>link,</w:t>
      </w:r>
      <w:r w:rsidR="005D5532" w:rsidRPr="00E74F92">
        <w:rPr>
          <w:rFonts w:cs="Arial"/>
          <w:color w:val="000000"/>
          <w:szCs w:val="19"/>
          <w:lang w:eastAsia="en-AU"/>
        </w:rPr>
        <w:t xml:space="preserve"> </w:t>
      </w:r>
      <w:r w:rsidR="00236748" w:rsidRPr="00E74F92">
        <w:rPr>
          <w:rFonts w:cs="Arial"/>
          <w:color w:val="000000"/>
          <w:szCs w:val="19"/>
          <w:lang w:eastAsia="en-AU"/>
        </w:rPr>
        <w:t>opens</w:t>
      </w:r>
      <w:r w:rsidR="005D5532" w:rsidRPr="00E74F92">
        <w:rPr>
          <w:rFonts w:cs="Arial"/>
          <w:color w:val="000000"/>
          <w:szCs w:val="19"/>
          <w:lang w:eastAsia="en-AU"/>
        </w:rPr>
        <w:t xml:space="preserve"> </w:t>
      </w:r>
      <w:r w:rsidR="00236748" w:rsidRPr="00E74F92">
        <w:rPr>
          <w:rFonts w:cs="Arial"/>
          <w:color w:val="000000"/>
          <w:szCs w:val="19"/>
          <w:lang w:eastAsia="en-AU"/>
        </w:rPr>
        <w:t>in</w:t>
      </w:r>
      <w:r w:rsidR="005D5532" w:rsidRPr="00E74F92">
        <w:rPr>
          <w:rFonts w:cs="Arial"/>
          <w:color w:val="000000"/>
          <w:szCs w:val="19"/>
          <w:lang w:eastAsia="en-AU"/>
        </w:rPr>
        <w:t xml:space="preserve"> </w:t>
      </w:r>
      <w:r w:rsidR="00236748" w:rsidRPr="00E74F92">
        <w:rPr>
          <w:rFonts w:cs="Arial"/>
          <w:color w:val="000000"/>
          <w:szCs w:val="19"/>
          <w:lang w:eastAsia="en-AU"/>
        </w:rPr>
        <w:t>a</w:t>
      </w:r>
      <w:r w:rsidR="005D5532" w:rsidRPr="00E74F92">
        <w:rPr>
          <w:rFonts w:cs="Arial"/>
          <w:color w:val="000000"/>
          <w:szCs w:val="19"/>
          <w:lang w:eastAsia="en-AU"/>
        </w:rPr>
        <w:t xml:space="preserve"> </w:t>
      </w:r>
      <w:r w:rsidR="00236748" w:rsidRPr="00E74F92">
        <w:rPr>
          <w:rFonts w:cs="Arial"/>
          <w:color w:val="000000"/>
          <w:szCs w:val="19"/>
          <w:lang w:eastAsia="en-AU"/>
        </w:rPr>
        <w:t>new</w:t>
      </w:r>
      <w:r w:rsidR="005D5532" w:rsidRPr="00E74F92">
        <w:rPr>
          <w:rFonts w:cs="Arial"/>
          <w:color w:val="000000"/>
          <w:szCs w:val="19"/>
          <w:lang w:eastAsia="en-AU"/>
        </w:rPr>
        <w:t xml:space="preserve"> </w:t>
      </w:r>
      <w:r w:rsidR="00236748" w:rsidRPr="00E74F92">
        <w:rPr>
          <w:rFonts w:cs="Arial"/>
          <w:color w:val="000000"/>
          <w:szCs w:val="19"/>
          <w:lang w:eastAsia="en-AU"/>
        </w:rPr>
        <w:t>window)</w:t>
      </w:r>
      <w:r w:rsidR="005D5532" w:rsidRPr="00E74F92">
        <w:rPr>
          <w:rFonts w:cs="Arial"/>
          <w:color w:val="000000"/>
          <w:szCs w:val="19"/>
          <w:lang w:eastAsia="en-AU"/>
        </w:rPr>
        <w:t xml:space="preserve"> </w:t>
      </w:r>
    </w:p>
    <w:p w14:paraId="33FD5C41" w14:textId="1DC63642" w:rsidR="00236748" w:rsidRPr="000D4996" w:rsidRDefault="0016341D" w:rsidP="000D4996">
      <w:pPr>
        <w:pStyle w:val="DHHSbullet1"/>
        <w:rPr>
          <w:rFonts w:cs="Arial"/>
          <w:lang w:eastAsia="en-AU"/>
        </w:rPr>
      </w:pPr>
      <w:hyperlink r:id="rId185" w:tgtFrame="_blank" w:history="1">
        <w:r w:rsidR="00236748" w:rsidRPr="00986D1E">
          <w:rPr>
            <w:rStyle w:val="Hyperlink"/>
          </w:rPr>
          <w:t>Occupational</w:t>
        </w:r>
        <w:r w:rsidR="005D5532" w:rsidRPr="00986D1E">
          <w:rPr>
            <w:rStyle w:val="Hyperlink"/>
          </w:rPr>
          <w:t xml:space="preserve"> </w:t>
        </w:r>
        <w:r w:rsidR="00236748" w:rsidRPr="00986D1E">
          <w:rPr>
            <w:rStyle w:val="Hyperlink"/>
          </w:rPr>
          <w:t>Health</w:t>
        </w:r>
        <w:r w:rsidR="005D5532" w:rsidRPr="00986D1E">
          <w:rPr>
            <w:rStyle w:val="Hyperlink"/>
          </w:rPr>
          <w:t xml:space="preserve"> </w:t>
        </w:r>
        <w:r w:rsidR="00236748" w:rsidRPr="00986D1E">
          <w:rPr>
            <w:rStyle w:val="Hyperlink"/>
          </w:rPr>
          <w:t>and</w:t>
        </w:r>
        <w:r w:rsidR="005D5532" w:rsidRPr="00986D1E">
          <w:rPr>
            <w:rStyle w:val="Hyperlink"/>
          </w:rPr>
          <w:t xml:space="preserve"> </w:t>
        </w:r>
        <w:r w:rsidR="00236748" w:rsidRPr="00986D1E">
          <w:rPr>
            <w:rStyle w:val="Hyperlink"/>
          </w:rPr>
          <w:t>Safety</w:t>
        </w:r>
        <w:r w:rsidR="005D5532" w:rsidRPr="00986D1E">
          <w:rPr>
            <w:rStyle w:val="Hyperlink"/>
          </w:rPr>
          <w:t xml:space="preserve"> </w:t>
        </w:r>
        <w:r w:rsidR="00236748" w:rsidRPr="00986D1E">
          <w:rPr>
            <w:rStyle w:val="Hyperlink"/>
          </w:rPr>
          <w:t>Regulations</w:t>
        </w:r>
        <w:r w:rsidR="005D5532" w:rsidRPr="00986D1E">
          <w:rPr>
            <w:rStyle w:val="Hyperlink"/>
          </w:rPr>
          <w:t xml:space="preserve"> </w:t>
        </w:r>
        <w:r w:rsidR="000D4996">
          <w:rPr>
            <w:rStyle w:val="Hyperlink"/>
          </w:rPr>
          <w:t>201</w:t>
        </w:r>
        <w:r w:rsidR="00236748" w:rsidRPr="00986D1E">
          <w:rPr>
            <w:rStyle w:val="Hyperlink"/>
          </w:rPr>
          <w:t>7</w:t>
        </w:r>
      </w:hyperlink>
      <w:r w:rsidR="005D5532" w:rsidRPr="000D4996">
        <w:rPr>
          <w:rFonts w:cs="Arial"/>
          <w:lang w:eastAsia="en-AU"/>
        </w:rPr>
        <w:t xml:space="preserve"> </w:t>
      </w:r>
      <w:r w:rsidR="00324331" w:rsidRPr="000D4996">
        <w:rPr>
          <w:rFonts w:cs="Arial"/>
          <w:lang w:eastAsia="en-AU"/>
        </w:rPr>
        <w:t>&lt;</w:t>
      </w:r>
      <w:r w:rsidR="000D4996" w:rsidRPr="000D4996">
        <w:rPr>
          <w:rFonts w:cs="Arial"/>
          <w:lang w:eastAsia="en-AU"/>
        </w:rPr>
        <w:t>http://www.legislation.vic.gov.au/Domino/Web_Notes/LDMS/PubStatbook.nsf/b05145073fa2a882ca256da4001bc4e7/05C39981B52D9E0FCA25810E0021D052/$FILE/17-022sra%20authorised.pdf</w:t>
      </w:r>
      <w:r w:rsidR="00324331" w:rsidRPr="000D4996">
        <w:rPr>
          <w:rFonts w:cs="Arial"/>
          <w:lang w:eastAsia="en-AU"/>
        </w:rPr>
        <w:t>&gt;</w:t>
      </w:r>
      <w:r w:rsidR="006250C7">
        <w:rPr>
          <w:rFonts w:cs="Arial"/>
          <w:lang w:eastAsia="en-AU"/>
        </w:rPr>
        <w:t xml:space="preserve"> </w:t>
      </w:r>
      <w:r w:rsidR="00236748" w:rsidRPr="000D4996">
        <w:rPr>
          <w:rFonts w:cs="Arial"/>
          <w:lang w:eastAsia="en-AU"/>
        </w:rPr>
        <w:t>(external</w:t>
      </w:r>
      <w:r w:rsidR="005D5532" w:rsidRPr="000D4996">
        <w:rPr>
          <w:rFonts w:cs="Arial"/>
          <w:lang w:eastAsia="en-AU"/>
        </w:rPr>
        <w:t xml:space="preserve"> </w:t>
      </w:r>
      <w:r w:rsidR="00236748" w:rsidRPr="000D4996">
        <w:rPr>
          <w:rFonts w:cs="Arial"/>
          <w:lang w:eastAsia="en-AU"/>
        </w:rPr>
        <w:t>link,</w:t>
      </w:r>
      <w:r w:rsidR="005D5532" w:rsidRPr="000D4996">
        <w:rPr>
          <w:rFonts w:cs="Arial"/>
          <w:lang w:eastAsia="en-AU"/>
        </w:rPr>
        <w:t xml:space="preserve"> </w:t>
      </w:r>
      <w:r w:rsidR="00236748" w:rsidRPr="000D4996">
        <w:rPr>
          <w:rFonts w:cs="Arial"/>
          <w:lang w:eastAsia="en-AU"/>
        </w:rPr>
        <w:t>opens</w:t>
      </w:r>
      <w:r w:rsidR="005D5532" w:rsidRPr="000D4996">
        <w:rPr>
          <w:rFonts w:cs="Arial"/>
          <w:lang w:eastAsia="en-AU"/>
        </w:rPr>
        <w:t xml:space="preserve"> </w:t>
      </w:r>
      <w:r w:rsidR="00236748" w:rsidRPr="000D4996">
        <w:rPr>
          <w:rFonts w:cs="Arial"/>
          <w:lang w:eastAsia="en-AU"/>
        </w:rPr>
        <w:t>in</w:t>
      </w:r>
      <w:r w:rsidR="005D5532" w:rsidRPr="000D4996">
        <w:rPr>
          <w:rFonts w:cs="Arial"/>
          <w:lang w:eastAsia="en-AU"/>
        </w:rPr>
        <w:t xml:space="preserve"> </w:t>
      </w:r>
      <w:r w:rsidR="00236748" w:rsidRPr="000D4996">
        <w:rPr>
          <w:rFonts w:cs="Arial"/>
          <w:lang w:eastAsia="en-AU"/>
        </w:rPr>
        <w:t>a</w:t>
      </w:r>
      <w:r w:rsidR="005D5532" w:rsidRPr="000D4996">
        <w:rPr>
          <w:rFonts w:cs="Arial"/>
          <w:lang w:eastAsia="en-AU"/>
        </w:rPr>
        <w:t xml:space="preserve"> </w:t>
      </w:r>
      <w:r w:rsidR="00236748" w:rsidRPr="000D4996">
        <w:rPr>
          <w:rFonts w:cs="Arial"/>
          <w:lang w:eastAsia="en-AU"/>
        </w:rPr>
        <w:t>new</w:t>
      </w:r>
      <w:r w:rsidR="005D5532" w:rsidRPr="000D4996">
        <w:rPr>
          <w:rFonts w:cs="Arial"/>
          <w:lang w:eastAsia="en-AU"/>
        </w:rPr>
        <w:t xml:space="preserve"> </w:t>
      </w:r>
      <w:r w:rsidR="00236748" w:rsidRPr="000D4996">
        <w:rPr>
          <w:rFonts w:cs="Arial"/>
          <w:lang w:eastAsia="en-AU"/>
        </w:rPr>
        <w:t>window)</w:t>
      </w:r>
      <w:r w:rsidR="005D5532" w:rsidRPr="000D4996">
        <w:rPr>
          <w:rFonts w:cs="Arial"/>
          <w:lang w:eastAsia="en-AU"/>
        </w:rPr>
        <w:t xml:space="preserve"> </w:t>
      </w:r>
    </w:p>
    <w:p w14:paraId="19C8F73E" w14:textId="77777777" w:rsidR="00236748" w:rsidRPr="00276391" w:rsidRDefault="00236748" w:rsidP="00E10786">
      <w:pPr>
        <w:pStyle w:val="Heading4"/>
        <w:rPr>
          <w:lang w:eastAsia="en-AU"/>
        </w:rPr>
      </w:pPr>
      <w:bookmarkStart w:id="671" w:name="_Toc478991951"/>
      <w:r w:rsidRPr="00276391">
        <w:rPr>
          <w:lang w:eastAsia="en-AU"/>
        </w:rPr>
        <w:t>Organisation</w:t>
      </w:r>
      <w:r w:rsidR="005D5532" w:rsidRPr="00276391">
        <w:rPr>
          <w:lang w:eastAsia="en-AU"/>
        </w:rPr>
        <w:t xml:space="preserve"> </w:t>
      </w:r>
      <w:r w:rsidRPr="00276391">
        <w:rPr>
          <w:lang w:eastAsia="en-AU"/>
        </w:rPr>
        <w:t>requirements</w:t>
      </w:r>
      <w:bookmarkEnd w:id="671"/>
    </w:p>
    <w:p w14:paraId="4DC1BFE4" w14:textId="77777777" w:rsidR="00236748" w:rsidRPr="00276391" w:rsidRDefault="00236748" w:rsidP="00276391">
      <w:pPr>
        <w:pStyle w:val="DHHSbody"/>
        <w:rPr>
          <w:lang w:eastAsia="en-AU"/>
        </w:rPr>
      </w:pPr>
      <w:r w:rsidRPr="00B24C02">
        <w:rPr>
          <w:rFonts w:cs="Arial"/>
          <w:color w:val="000000"/>
          <w:szCs w:val="19"/>
          <w:lang w:eastAsia="en-AU"/>
        </w:rPr>
        <w:t>Current</w:t>
      </w:r>
      <w:r w:rsidR="005D5532" w:rsidRPr="00B24C02">
        <w:rPr>
          <w:rFonts w:cs="Arial"/>
          <w:color w:val="000000"/>
          <w:szCs w:val="19"/>
          <w:lang w:eastAsia="en-AU"/>
        </w:rPr>
        <w:t xml:space="preserve"> </w:t>
      </w:r>
      <w:r w:rsidRPr="00B24C02">
        <w:rPr>
          <w:rFonts w:cs="Arial"/>
          <w:color w:val="000000"/>
          <w:szCs w:val="19"/>
          <w:lang w:eastAsia="en-AU"/>
        </w:rPr>
        <w:t>Asbestos</w:t>
      </w:r>
      <w:r w:rsidR="005D5532" w:rsidRPr="00B24C02">
        <w:rPr>
          <w:rFonts w:cs="Arial"/>
          <w:color w:val="000000"/>
          <w:szCs w:val="19"/>
          <w:lang w:eastAsia="en-AU"/>
        </w:rPr>
        <w:t xml:space="preserve"> </w:t>
      </w:r>
      <w:r w:rsidRPr="00B24C02">
        <w:rPr>
          <w:rFonts w:cs="Arial"/>
          <w:color w:val="000000"/>
          <w:szCs w:val="19"/>
          <w:lang w:eastAsia="en-AU"/>
        </w:rPr>
        <w:t>Register</w:t>
      </w:r>
    </w:p>
    <w:p w14:paraId="1CEB7AC7" w14:textId="77777777" w:rsidR="00236748" w:rsidRPr="00276391" w:rsidRDefault="00324331" w:rsidP="00E10786">
      <w:pPr>
        <w:pStyle w:val="Heading4"/>
        <w:rPr>
          <w:lang w:eastAsia="en-AU"/>
        </w:rPr>
      </w:pPr>
      <w:bookmarkStart w:id="672" w:name="_Toc478991952"/>
      <w:r>
        <w:rPr>
          <w:lang w:eastAsia="en-AU"/>
        </w:rPr>
        <w:t>F</w:t>
      </w:r>
      <w:r w:rsidR="00236748" w:rsidRPr="00276391">
        <w:rPr>
          <w:lang w:eastAsia="en-AU"/>
        </w:rPr>
        <w:t>urther</w:t>
      </w:r>
      <w:r w:rsidR="005D5532" w:rsidRPr="00276391">
        <w:rPr>
          <w:lang w:eastAsia="en-AU"/>
        </w:rPr>
        <w:t xml:space="preserve"> </w:t>
      </w:r>
      <w:r w:rsidR="00236748" w:rsidRPr="00276391">
        <w:rPr>
          <w:lang w:eastAsia="en-AU"/>
        </w:rPr>
        <w:t>information</w:t>
      </w:r>
      <w:bookmarkEnd w:id="672"/>
    </w:p>
    <w:p w14:paraId="10D1DBD1" w14:textId="77777777" w:rsidR="00236748" w:rsidRPr="00276391" w:rsidRDefault="0016341D" w:rsidP="00276391">
      <w:pPr>
        <w:pStyle w:val="DHHSbody"/>
        <w:rPr>
          <w:lang w:eastAsia="en-AU"/>
        </w:rPr>
      </w:pPr>
      <w:hyperlink r:id="rId186" w:history="1">
        <w:r w:rsidR="00324331" w:rsidRPr="00324331">
          <w:rPr>
            <w:rStyle w:val="Hyperlink"/>
            <w:lang w:val="en"/>
          </w:rPr>
          <w:t>Asbestos in Victoria</w:t>
        </w:r>
      </w:hyperlink>
      <w:r w:rsidR="00324331">
        <w:t xml:space="preserve"> &lt;</w:t>
      </w:r>
      <w:r w:rsidR="00324331" w:rsidRPr="00324331">
        <w:t>http://www.asbestos.vic.gov.au/</w:t>
      </w:r>
      <w:r w:rsidR="00324331">
        <w:t>&gt;</w:t>
      </w:r>
      <w:r w:rsidR="005D5532" w:rsidRPr="00B24C02">
        <w:rPr>
          <w:rFonts w:cs="Arial"/>
          <w:color w:val="000000"/>
          <w:szCs w:val="19"/>
          <w:lang w:eastAsia="en-AU"/>
        </w:rPr>
        <w:t xml:space="preserve"> </w:t>
      </w:r>
      <w:r w:rsidR="00236748" w:rsidRPr="00B24C02">
        <w:rPr>
          <w:rFonts w:cs="Arial"/>
          <w:color w:val="000000"/>
          <w:szCs w:val="19"/>
          <w:lang w:eastAsia="en-AU"/>
        </w:rPr>
        <w:t>(external</w:t>
      </w:r>
      <w:r w:rsidR="005D5532" w:rsidRPr="00B24C02">
        <w:rPr>
          <w:rFonts w:cs="Arial"/>
          <w:color w:val="000000"/>
          <w:szCs w:val="19"/>
          <w:lang w:eastAsia="en-AU"/>
        </w:rPr>
        <w:t xml:space="preserve"> </w:t>
      </w:r>
      <w:r w:rsidR="00236748" w:rsidRPr="00B24C02">
        <w:rPr>
          <w:rFonts w:cs="Arial"/>
          <w:color w:val="000000"/>
          <w:szCs w:val="19"/>
          <w:lang w:eastAsia="en-AU"/>
        </w:rPr>
        <w:t>link,</w:t>
      </w:r>
      <w:r w:rsidR="005D5532" w:rsidRPr="00B24C02">
        <w:rPr>
          <w:rFonts w:cs="Arial"/>
          <w:color w:val="000000"/>
          <w:szCs w:val="19"/>
          <w:lang w:eastAsia="en-AU"/>
        </w:rPr>
        <w:t xml:space="preserve"> </w:t>
      </w:r>
      <w:r w:rsidR="00236748" w:rsidRPr="00B24C02">
        <w:rPr>
          <w:rFonts w:cs="Arial"/>
          <w:color w:val="000000"/>
          <w:szCs w:val="19"/>
          <w:lang w:eastAsia="en-AU"/>
        </w:rPr>
        <w:t>opens</w:t>
      </w:r>
      <w:r w:rsidR="005D5532" w:rsidRPr="00B24C02">
        <w:rPr>
          <w:rFonts w:cs="Arial"/>
          <w:color w:val="000000"/>
          <w:szCs w:val="19"/>
          <w:lang w:eastAsia="en-AU"/>
        </w:rPr>
        <w:t xml:space="preserve"> </w:t>
      </w:r>
      <w:r w:rsidR="00236748" w:rsidRPr="00B24C02">
        <w:rPr>
          <w:rFonts w:cs="Arial"/>
          <w:color w:val="000000"/>
          <w:szCs w:val="19"/>
          <w:lang w:eastAsia="en-AU"/>
        </w:rPr>
        <w:t>in</w:t>
      </w:r>
      <w:r w:rsidR="005D5532" w:rsidRPr="00B24C02">
        <w:rPr>
          <w:rFonts w:cs="Arial"/>
          <w:color w:val="000000"/>
          <w:szCs w:val="19"/>
          <w:lang w:eastAsia="en-AU"/>
        </w:rPr>
        <w:t xml:space="preserve"> </w:t>
      </w:r>
      <w:r w:rsidR="00236748" w:rsidRPr="00B24C02">
        <w:rPr>
          <w:rFonts w:cs="Arial"/>
          <w:color w:val="000000"/>
          <w:szCs w:val="19"/>
          <w:lang w:eastAsia="en-AU"/>
        </w:rPr>
        <w:t>a</w:t>
      </w:r>
      <w:r w:rsidR="005D5532" w:rsidRPr="00B24C02">
        <w:rPr>
          <w:rFonts w:cs="Arial"/>
          <w:color w:val="000000"/>
          <w:szCs w:val="19"/>
          <w:lang w:eastAsia="en-AU"/>
        </w:rPr>
        <w:t xml:space="preserve"> </w:t>
      </w:r>
      <w:r w:rsidR="00236748" w:rsidRPr="00B24C02">
        <w:rPr>
          <w:rFonts w:cs="Arial"/>
          <w:color w:val="000000"/>
          <w:szCs w:val="19"/>
          <w:lang w:eastAsia="en-AU"/>
        </w:rPr>
        <w:t>new</w:t>
      </w:r>
      <w:r w:rsidR="005D5532" w:rsidRPr="00B24C02">
        <w:rPr>
          <w:rFonts w:cs="Arial"/>
          <w:color w:val="000000"/>
          <w:szCs w:val="19"/>
          <w:lang w:eastAsia="en-AU"/>
        </w:rPr>
        <w:t xml:space="preserve"> </w:t>
      </w:r>
      <w:r w:rsidR="00236748" w:rsidRPr="00B24C02">
        <w:rPr>
          <w:rFonts w:cs="Arial"/>
          <w:color w:val="000000"/>
          <w:szCs w:val="19"/>
          <w:lang w:eastAsia="en-AU"/>
        </w:rPr>
        <w:t>window)</w:t>
      </w:r>
    </w:p>
    <w:p w14:paraId="5DEAAB41" w14:textId="77777777" w:rsidR="00236748" w:rsidRPr="00276391" w:rsidRDefault="0016341D" w:rsidP="00276391">
      <w:pPr>
        <w:pStyle w:val="DHHSbody"/>
        <w:rPr>
          <w:lang w:eastAsia="en-AU"/>
        </w:rPr>
      </w:pPr>
      <w:hyperlink r:id="rId187" w:tgtFrame="_blank" w:history="1">
        <w:r w:rsidR="00236748" w:rsidRPr="00986D1E">
          <w:rPr>
            <w:rStyle w:val="Hyperlink"/>
          </w:rPr>
          <w:t>Managing</w:t>
        </w:r>
        <w:r w:rsidR="005D5532" w:rsidRPr="00986D1E">
          <w:rPr>
            <w:rStyle w:val="Hyperlink"/>
          </w:rPr>
          <w:t xml:space="preserve"> </w:t>
        </w:r>
        <w:r w:rsidR="00236748" w:rsidRPr="00986D1E">
          <w:rPr>
            <w:rStyle w:val="Hyperlink"/>
          </w:rPr>
          <w:t>Asbestos</w:t>
        </w:r>
        <w:r w:rsidR="005D5532" w:rsidRPr="00986D1E">
          <w:rPr>
            <w:rStyle w:val="Hyperlink"/>
          </w:rPr>
          <w:t xml:space="preserve"> </w:t>
        </w:r>
        <w:r w:rsidR="00236748" w:rsidRPr="00986D1E">
          <w:rPr>
            <w:rStyle w:val="Hyperlink"/>
          </w:rPr>
          <w:t>in</w:t>
        </w:r>
        <w:r w:rsidR="005D5532" w:rsidRPr="00986D1E">
          <w:rPr>
            <w:rStyle w:val="Hyperlink"/>
          </w:rPr>
          <w:t xml:space="preserve"> </w:t>
        </w:r>
        <w:r w:rsidR="00236748" w:rsidRPr="00986D1E">
          <w:rPr>
            <w:rStyle w:val="Hyperlink"/>
          </w:rPr>
          <w:t>Workplaces</w:t>
        </w:r>
        <w:r w:rsidR="005D5532" w:rsidRPr="00986D1E">
          <w:rPr>
            <w:rStyle w:val="Hyperlink"/>
          </w:rPr>
          <w:t xml:space="preserve"> </w:t>
        </w:r>
        <w:r w:rsidR="00236748" w:rsidRPr="00986D1E">
          <w:rPr>
            <w:rStyle w:val="Hyperlink"/>
          </w:rPr>
          <w:t>Compliance</w:t>
        </w:r>
        <w:r w:rsidR="005D5532" w:rsidRPr="00986D1E">
          <w:rPr>
            <w:rStyle w:val="Hyperlink"/>
          </w:rPr>
          <w:t xml:space="preserve"> </w:t>
        </w:r>
        <w:r w:rsidR="00236748" w:rsidRPr="00986D1E">
          <w:rPr>
            <w:rStyle w:val="Hyperlink"/>
          </w:rPr>
          <w:t>Code</w:t>
        </w:r>
      </w:hyperlink>
      <w:r w:rsidR="005D5532" w:rsidRPr="00276391">
        <w:rPr>
          <w:lang w:eastAsia="en-AU"/>
        </w:rPr>
        <w:t xml:space="preserve"> </w:t>
      </w:r>
      <w:r w:rsidR="00324331">
        <w:rPr>
          <w:lang w:eastAsia="en-AU"/>
        </w:rPr>
        <w:t>&lt;</w:t>
      </w:r>
      <w:r w:rsidR="00324331" w:rsidRPr="00324331">
        <w:rPr>
          <w:lang w:eastAsia="en-AU"/>
        </w:rPr>
        <w:t>http://www.worksafe.vic.gov.au/forms-and-publications/forms-and-publications/managing-asbestos-in-workplaces-compliance-code</w:t>
      </w:r>
      <w:r w:rsidR="00324331">
        <w:rPr>
          <w:lang w:eastAsia="en-AU"/>
        </w:rPr>
        <w:t>&gt;</w:t>
      </w:r>
      <w:r w:rsidR="00324331" w:rsidRPr="00324331">
        <w:rPr>
          <w:lang w:eastAsia="en-AU"/>
        </w:rPr>
        <w:t xml:space="preserve"> </w:t>
      </w:r>
      <w:r w:rsidR="00236748" w:rsidRPr="00276391">
        <w:rPr>
          <w:lang w:eastAsia="en-AU"/>
        </w:rPr>
        <w:t>(external</w:t>
      </w:r>
      <w:r w:rsidR="005D5532" w:rsidRPr="00276391">
        <w:rPr>
          <w:lang w:eastAsia="en-AU"/>
        </w:rPr>
        <w:t xml:space="preserve"> </w:t>
      </w:r>
      <w:r w:rsidR="00236748" w:rsidRPr="00276391">
        <w:rPr>
          <w:lang w:eastAsia="en-AU"/>
        </w:rPr>
        <w:t>link,</w:t>
      </w:r>
      <w:r w:rsidR="005D5532" w:rsidRPr="00276391">
        <w:rPr>
          <w:lang w:eastAsia="en-AU"/>
        </w:rPr>
        <w:t xml:space="preserve"> </w:t>
      </w:r>
      <w:r w:rsidR="00236748" w:rsidRPr="00276391">
        <w:rPr>
          <w:lang w:eastAsia="en-AU"/>
        </w:rPr>
        <w:t>opens</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new</w:t>
      </w:r>
      <w:r w:rsidR="005D5532" w:rsidRPr="00276391">
        <w:rPr>
          <w:lang w:eastAsia="en-AU"/>
        </w:rPr>
        <w:t xml:space="preserve"> </w:t>
      </w:r>
      <w:r w:rsidR="00236748" w:rsidRPr="00276391">
        <w:rPr>
          <w:lang w:eastAsia="en-AU"/>
        </w:rPr>
        <w:t>window)</w:t>
      </w:r>
      <w:r w:rsidR="005D5532" w:rsidRPr="00276391">
        <w:rPr>
          <w:lang w:eastAsia="en-AU"/>
        </w:rPr>
        <w:t xml:space="preserve"> </w:t>
      </w:r>
      <w:r w:rsidR="00236748" w:rsidRPr="00276391">
        <w:rPr>
          <w:lang w:eastAsia="en-AU"/>
        </w:rPr>
        <w:t>provides</w:t>
      </w:r>
      <w:r w:rsidR="005D5532" w:rsidRPr="00276391">
        <w:rPr>
          <w:lang w:eastAsia="en-AU"/>
        </w:rPr>
        <w:t xml:space="preserve"> </w:t>
      </w:r>
      <w:r w:rsidR="00236748" w:rsidRPr="00276391">
        <w:rPr>
          <w:lang w:eastAsia="en-AU"/>
        </w:rPr>
        <w:t>information</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how</w:t>
      </w:r>
      <w:r w:rsidR="005D5532" w:rsidRPr="00276391">
        <w:rPr>
          <w:lang w:eastAsia="en-AU"/>
        </w:rPr>
        <w:t xml:space="preserve"> </w:t>
      </w:r>
      <w:r w:rsidR="00236748" w:rsidRPr="00276391">
        <w:rPr>
          <w:lang w:eastAsia="en-AU"/>
        </w:rPr>
        <w:t>you</w:t>
      </w:r>
      <w:r w:rsidR="005D5532" w:rsidRPr="00276391">
        <w:rPr>
          <w:lang w:eastAsia="en-AU"/>
        </w:rPr>
        <w:t xml:space="preserve"> </w:t>
      </w:r>
      <w:r w:rsidR="00236748" w:rsidRPr="00276391">
        <w:rPr>
          <w:lang w:eastAsia="en-AU"/>
        </w:rPr>
        <w:t>can</w:t>
      </w:r>
      <w:r w:rsidR="005D5532" w:rsidRPr="00276391">
        <w:rPr>
          <w:lang w:eastAsia="en-AU"/>
        </w:rPr>
        <w:t xml:space="preserve"> </w:t>
      </w:r>
      <w:r w:rsidR="00236748" w:rsidRPr="00276391">
        <w:rPr>
          <w:lang w:eastAsia="en-AU"/>
        </w:rPr>
        <w:t>safely</w:t>
      </w:r>
      <w:r w:rsidR="005D5532" w:rsidRPr="00276391">
        <w:rPr>
          <w:lang w:eastAsia="en-AU"/>
        </w:rPr>
        <w:t xml:space="preserve"> </w:t>
      </w:r>
      <w:r w:rsidR="00236748" w:rsidRPr="00276391">
        <w:rPr>
          <w:lang w:eastAsia="en-AU"/>
        </w:rPr>
        <w:t>manage</w:t>
      </w:r>
      <w:r w:rsidR="005D5532" w:rsidRPr="00276391">
        <w:rPr>
          <w:lang w:eastAsia="en-AU"/>
        </w:rPr>
        <w:t xml:space="preserve"> </w:t>
      </w:r>
      <w:r w:rsidR="00236748" w:rsidRPr="00276391">
        <w:rPr>
          <w:lang w:eastAsia="en-AU"/>
        </w:rPr>
        <w:t>asbestos</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your</w:t>
      </w:r>
      <w:r w:rsidR="005D5532" w:rsidRPr="00276391">
        <w:rPr>
          <w:lang w:eastAsia="en-AU"/>
        </w:rPr>
        <w:t xml:space="preserve"> </w:t>
      </w:r>
      <w:r w:rsidR="00236748" w:rsidRPr="00276391">
        <w:rPr>
          <w:lang w:eastAsia="en-AU"/>
        </w:rPr>
        <w:t>workplace</w:t>
      </w:r>
    </w:p>
    <w:p w14:paraId="0EB8BDA6" w14:textId="77777777" w:rsidR="00236748" w:rsidRPr="00276391" w:rsidRDefault="0016341D" w:rsidP="00276391">
      <w:pPr>
        <w:pStyle w:val="DHHSbody"/>
        <w:rPr>
          <w:lang w:eastAsia="en-AU"/>
        </w:rPr>
      </w:pPr>
      <w:hyperlink r:id="rId188" w:tgtFrame="_blank" w:history="1">
        <w:r w:rsidR="00236748" w:rsidRPr="00986D1E">
          <w:rPr>
            <w:rStyle w:val="Hyperlink"/>
          </w:rPr>
          <w:t>Removing</w:t>
        </w:r>
        <w:r w:rsidR="005D5532" w:rsidRPr="00986D1E">
          <w:rPr>
            <w:rStyle w:val="Hyperlink"/>
          </w:rPr>
          <w:t xml:space="preserve"> </w:t>
        </w:r>
        <w:r w:rsidR="00236748" w:rsidRPr="00986D1E">
          <w:rPr>
            <w:rStyle w:val="Hyperlink"/>
          </w:rPr>
          <w:t>Asbestos</w:t>
        </w:r>
        <w:r w:rsidR="005D5532" w:rsidRPr="00986D1E">
          <w:rPr>
            <w:rStyle w:val="Hyperlink"/>
          </w:rPr>
          <w:t xml:space="preserve"> </w:t>
        </w:r>
        <w:r w:rsidR="00236748" w:rsidRPr="00986D1E">
          <w:rPr>
            <w:rStyle w:val="Hyperlink"/>
          </w:rPr>
          <w:t>in</w:t>
        </w:r>
        <w:r w:rsidR="005D5532" w:rsidRPr="00986D1E">
          <w:rPr>
            <w:rStyle w:val="Hyperlink"/>
          </w:rPr>
          <w:t xml:space="preserve"> </w:t>
        </w:r>
        <w:r w:rsidR="00236748" w:rsidRPr="00986D1E">
          <w:rPr>
            <w:rStyle w:val="Hyperlink"/>
          </w:rPr>
          <w:t>Workplaces</w:t>
        </w:r>
        <w:r w:rsidR="005D5532" w:rsidRPr="00986D1E">
          <w:rPr>
            <w:rStyle w:val="Hyperlink"/>
          </w:rPr>
          <w:t xml:space="preserve"> </w:t>
        </w:r>
        <w:r w:rsidR="00236748" w:rsidRPr="00986D1E">
          <w:rPr>
            <w:rStyle w:val="Hyperlink"/>
          </w:rPr>
          <w:t>Compliance</w:t>
        </w:r>
        <w:r w:rsidR="005D5532" w:rsidRPr="00986D1E">
          <w:rPr>
            <w:rStyle w:val="Hyperlink"/>
          </w:rPr>
          <w:t xml:space="preserve"> </w:t>
        </w:r>
        <w:r w:rsidR="00236748" w:rsidRPr="00986D1E">
          <w:rPr>
            <w:rStyle w:val="Hyperlink"/>
          </w:rPr>
          <w:t>Code</w:t>
        </w:r>
      </w:hyperlink>
      <w:r w:rsidR="005D5532" w:rsidRPr="00276391">
        <w:rPr>
          <w:lang w:eastAsia="en-AU"/>
        </w:rPr>
        <w:t xml:space="preserve"> </w:t>
      </w:r>
      <w:r w:rsidR="00324331">
        <w:rPr>
          <w:lang w:eastAsia="en-AU"/>
        </w:rPr>
        <w:t>&lt;</w:t>
      </w:r>
      <w:r w:rsidR="00324331" w:rsidRPr="00324331">
        <w:rPr>
          <w:lang w:eastAsia="en-AU"/>
        </w:rPr>
        <w:t>http://www.worksafe.vic.gov.au/forms-and-publications/forms-and-publications/removing-asbestos-in-workplaces-compliance-code</w:t>
      </w:r>
      <w:r w:rsidR="00324331">
        <w:rPr>
          <w:lang w:eastAsia="en-AU"/>
        </w:rPr>
        <w:t>&gt;</w:t>
      </w:r>
      <w:r w:rsidR="00324331" w:rsidRPr="00324331">
        <w:rPr>
          <w:lang w:eastAsia="en-AU"/>
        </w:rPr>
        <w:t xml:space="preserve"> </w:t>
      </w:r>
      <w:r w:rsidR="00236748" w:rsidRPr="00276391">
        <w:rPr>
          <w:lang w:eastAsia="en-AU"/>
        </w:rPr>
        <w:t>(external</w:t>
      </w:r>
      <w:r w:rsidR="005D5532" w:rsidRPr="00276391">
        <w:rPr>
          <w:lang w:eastAsia="en-AU"/>
        </w:rPr>
        <w:t xml:space="preserve"> </w:t>
      </w:r>
      <w:r w:rsidR="00236748" w:rsidRPr="00276391">
        <w:rPr>
          <w:lang w:eastAsia="en-AU"/>
        </w:rPr>
        <w:t>link,</w:t>
      </w:r>
      <w:r w:rsidR="005D5532" w:rsidRPr="00276391">
        <w:rPr>
          <w:lang w:eastAsia="en-AU"/>
        </w:rPr>
        <w:t xml:space="preserve"> </w:t>
      </w:r>
      <w:r w:rsidR="00236748" w:rsidRPr="00276391">
        <w:rPr>
          <w:lang w:eastAsia="en-AU"/>
        </w:rPr>
        <w:t>opens</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new</w:t>
      </w:r>
      <w:r w:rsidR="005D5532" w:rsidRPr="00276391">
        <w:rPr>
          <w:lang w:eastAsia="en-AU"/>
        </w:rPr>
        <w:t xml:space="preserve"> </w:t>
      </w:r>
      <w:r w:rsidR="00236748" w:rsidRPr="00276391">
        <w:rPr>
          <w:lang w:eastAsia="en-AU"/>
        </w:rPr>
        <w:t>window)</w:t>
      </w:r>
      <w:r w:rsidR="005D5532" w:rsidRPr="00276391">
        <w:rPr>
          <w:lang w:eastAsia="en-AU"/>
        </w:rPr>
        <w:t xml:space="preserve"> </w:t>
      </w:r>
      <w:r w:rsidR="00236748" w:rsidRPr="00276391">
        <w:rPr>
          <w:lang w:eastAsia="en-AU"/>
        </w:rPr>
        <w:t>provides</w:t>
      </w:r>
      <w:r w:rsidR="005D5532" w:rsidRPr="00276391">
        <w:rPr>
          <w:lang w:eastAsia="en-AU"/>
        </w:rPr>
        <w:t xml:space="preserve"> </w:t>
      </w:r>
      <w:r w:rsidR="00236748" w:rsidRPr="00276391">
        <w:rPr>
          <w:lang w:eastAsia="en-AU"/>
        </w:rPr>
        <w:t>information</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how</w:t>
      </w:r>
      <w:r w:rsidR="005D5532" w:rsidRPr="00276391">
        <w:rPr>
          <w:lang w:eastAsia="en-AU"/>
        </w:rPr>
        <w:t xml:space="preserve"> </w:t>
      </w:r>
      <w:r w:rsidR="00236748" w:rsidRPr="00276391">
        <w:rPr>
          <w:lang w:eastAsia="en-AU"/>
        </w:rPr>
        <w:t>you</w:t>
      </w:r>
      <w:r w:rsidR="005D5532" w:rsidRPr="00276391">
        <w:rPr>
          <w:lang w:eastAsia="en-AU"/>
        </w:rPr>
        <w:t xml:space="preserve"> </w:t>
      </w:r>
      <w:r w:rsidR="00236748" w:rsidRPr="00276391">
        <w:rPr>
          <w:lang w:eastAsia="en-AU"/>
        </w:rPr>
        <w:t>can</w:t>
      </w:r>
      <w:r w:rsidR="005D5532" w:rsidRPr="00276391">
        <w:rPr>
          <w:lang w:eastAsia="en-AU"/>
        </w:rPr>
        <w:t xml:space="preserve"> </w:t>
      </w:r>
      <w:r w:rsidR="00236748" w:rsidRPr="00276391">
        <w:rPr>
          <w:lang w:eastAsia="en-AU"/>
        </w:rPr>
        <w:t>arrange</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safe</w:t>
      </w:r>
      <w:r w:rsidR="005D5532" w:rsidRPr="00276391">
        <w:rPr>
          <w:lang w:eastAsia="en-AU"/>
        </w:rPr>
        <w:t xml:space="preserve"> </w:t>
      </w:r>
      <w:r w:rsidR="00236748" w:rsidRPr="00276391">
        <w:rPr>
          <w:lang w:eastAsia="en-AU"/>
        </w:rPr>
        <w:t>removal</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asbestos</w:t>
      </w:r>
      <w:r w:rsidR="005D5532" w:rsidRPr="00276391">
        <w:rPr>
          <w:lang w:eastAsia="en-AU"/>
        </w:rPr>
        <w:t xml:space="preserve"> </w:t>
      </w:r>
      <w:r w:rsidR="00236748" w:rsidRPr="00276391">
        <w:rPr>
          <w:lang w:eastAsia="en-AU"/>
        </w:rPr>
        <w:t>from</w:t>
      </w:r>
      <w:r w:rsidR="005D5532" w:rsidRPr="00276391">
        <w:rPr>
          <w:lang w:eastAsia="en-AU"/>
        </w:rPr>
        <w:t xml:space="preserve"> </w:t>
      </w:r>
      <w:r w:rsidR="00236748" w:rsidRPr="00276391">
        <w:rPr>
          <w:lang w:eastAsia="en-AU"/>
        </w:rPr>
        <w:t>your</w:t>
      </w:r>
      <w:r w:rsidR="005D5532" w:rsidRPr="00276391">
        <w:rPr>
          <w:lang w:eastAsia="en-AU"/>
        </w:rPr>
        <w:t xml:space="preserve"> </w:t>
      </w:r>
      <w:r w:rsidR="00236748" w:rsidRPr="00276391">
        <w:rPr>
          <w:lang w:eastAsia="en-AU"/>
        </w:rPr>
        <w:t>workplace.</w:t>
      </w:r>
    </w:p>
    <w:p w14:paraId="60504565" w14:textId="77777777" w:rsidR="00236748" w:rsidRPr="00276391" w:rsidRDefault="00236748" w:rsidP="00276391">
      <w:pPr>
        <w:pStyle w:val="DHHSbody"/>
        <w:rPr>
          <w:lang w:eastAsia="en-AU"/>
        </w:rPr>
      </w:pPr>
      <w:r w:rsidRPr="00276391">
        <w:rPr>
          <w:lang w:eastAsia="en-AU"/>
        </w:rPr>
        <w:t>Liz</w:t>
      </w:r>
      <w:r w:rsidR="005D5532" w:rsidRPr="00276391">
        <w:rPr>
          <w:lang w:eastAsia="en-AU"/>
        </w:rPr>
        <w:t xml:space="preserve"> </w:t>
      </w:r>
      <w:r w:rsidRPr="00276391">
        <w:rPr>
          <w:lang w:eastAsia="en-AU"/>
        </w:rPr>
        <w:t>Stackhouse,</w:t>
      </w:r>
      <w:r w:rsidR="005D5532" w:rsidRPr="00276391">
        <w:rPr>
          <w:lang w:eastAsia="en-AU"/>
        </w:rPr>
        <w:t xml:space="preserve"> </w:t>
      </w:r>
      <w:r w:rsidRPr="00276391">
        <w:rPr>
          <w:lang w:eastAsia="en-AU"/>
        </w:rPr>
        <w:t>Assistant</w:t>
      </w:r>
      <w:r w:rsidR="005D5532" w:rsidRPr="00276391">
        <w:rPr>
          <w:lang w:eastAsia="en-AU"/>
        </w:rPr>
        <w:t xml:space="preserve"> </w:t>
      </w:r>
      <w:r w:rsidRPr="00276391">
        <w:rPr>
          <w:lang w:eastAsia="en-AU"/>
        </w:rPr>
        <w:t>Director,</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Strategy,</w:t>
      </w:r>
      <w:r w:rsidR="005D5532" w:rsidRPr="00276391">
        <w:rPr>
          <w:lang w:eastAsia="en-AU"/>
        </w:rPr>
        <w:t xml:space="preserve"> </w:t>
      </w:r>
      <w:r w:rsidRPr="00276391">
        <w:rPr>
          <w:lang w:eastAsia="en-AU"/>
        </w:rPr>
        <w:t>Infrastructure</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Delivery</w:t>
      </w:r>
      <w:r w:rsidRPr="00276391">
        <w:rPr>
          <w:lang w:eastAsia="en-AU"/>
        </w:rPr>
        <w:br/>
        <w:t>Tel:</w:t>
      </w:r>
      <w:r w:rsidR="005D5532" w:rsidRPr="00276391">
        <w:rPr>
          <w:lang w:eastAsia="en-AU"/>
        </w:rPr>
        <w:t xml:space="preserve"> </w:t>
      </w:r>
      <w:r w:rsidRPr="00276391">
        <w:rPr>
          <w:lang w:eastAsia="en-AU"/>
        </w:rPr>
        <w:t>(03)</w:t>
      </w:r>
      <w:r w:rsidR="005D5532" w:rsidRPr="00276391">
        <w:rPr>
          <w:lang w:eastAsia="en-AU"/>
        </w:rPr>
        <w:t xml:space="preserve"> </w:t>
      </w:r>
      <w:r w:rsidRPr="00276391">
        <w:rPr>
          <w:lang w:eastAsia="en-AU"/>
        </w:rPr>
        <w:t>9096</w:t>
      </w:r>
      <w:r w:rsidR="005D5532" w:rsidRPr="00276391">
        <w:rPr>
          <w:lang w:eastAsia="en-AU"/>
        </w:rPr>
        <w:t xml:space="preserve"> </w:t>
      </w:r>
      <w:r w:rsidRPr="00276391">
        <w:rPr>
          <w:lang w:eastAsia="en-AU"/>
        </w:rPr>
        <w:t>1312</w:t>
      </w:r>
      <w:r w:rsidRPr="00276391">
        <w:rPr>
          <w:lang w:eastAsia="en-AU"/>
        </w:rPr>
        <w:br/>
        <w:t>Email:</w:t>
      </w:r>
      <w:r w:rsidR="005D5532" w:rsidRPr="00276391">
        <w:rPr>
          <w:lang w:eastAsia="en-AU"/>
        </w:rPr>
        <w:t xml:space="preserve"> </w:t>
      </w:r>
      <w:hyperlink r:id="rId189" w:history="1">
        <w:r w:rsidRPr="00986D1E">
          <w:rPr>
            <w:rStyle w:val="Hyperlink"/>
          </w:rPr>
          <w:t>liz.stackhouse@dhhs.vic.gov.au</w:t>
        </w:r>
      </w:hyperlink>
    </w:p>
    <w:p w14:paraId="390272B8" w14:textId="77777777" w:rsidR="00236748" w:rsidRPr="00276391" w:rsidRDefault="00236748" w:rsidP="009B2351">
      <w:pPr>
        <w:pStyle w:val="Heading2"/>
        <w:rPr>
          <w:rFonts w:cs="Arial"/>
          <w:lang w:eastAsia="en-AU"/>
        </w:rPr>
      </w:pPr>
      <w:bookmarkStart w:id="673" w:name="_4.3_Incident_reporting"/>
      <w:bookmarkStart w:id="674" w:name="_Toc478991956"/>
      <w:bookmarkStart w:id="675" w:name="_Toc478992465"/>
      <w:bookmarkStart w:id="676" w:name="_Toc478992916"/>
      <w:bookmarkStart w:id="677" w:name="_Toc4142123"/>
      <w:bookmarkEnd w:id="673"/>
      <w:r w:rsidRPr="00276391">
        <w:rPr>
          <w:rFonts w:cs="Arial"/>
          <w:lang w:eastAsia="en-AU"/>
        </w:rPr>
        <w:t>4.3</w:t>
      </w:r>
      <w:r w:rsidR="009B2351" w:rsidRPr="00276391">
        <w:rPr>
          <w:rFonts w:cs="Arial"/>
          <w:lang w:eastAsia="en-AU"/>
        </w:rPr>
        <w:t xml:space="preserve"> </w:t>
      </w:r>
      <w:r w:rsidRPr="00276391">
        <w:rPr>
          <w:rFonts w:cs="Arial"/>
          <w:lang w:eastAsia="en-AU"/>
        </w:rPr>
        <w:t>Incident</w:t>
      </w:r>
      <w:r w:rsidR="009B2351" w:rsidRPr="00276391">
        <w:rPr>
          <w:rFonts w:cs="Arial"/>
          <w:lang w:eastAsia="en-AU"/>
        </w:rPr>
        <w:t xml:space="preserve"> </w:t>
      </w:r>
      <w:r w:rsidRPr="00276391">
        <w:rPr>
          <w:rFonts w:cs="Arial"/>
          <w:lang w:eastAsia="en-AU"/>
        </w:rPr>
        <w:t>reporting</w:t>
      </w:r>
      <w:bookmarkEnd w:id="674"/>
      <w:bookmarkEnd w:id="675"/>
      <w:bookmarkEnd w:id="676"/>
      <w:bookmarkEnd w:id="677"/>
    </w:p>
    <w:p w14:paraId="6C992B34" w14:textId="77777777" w:rsidR="00F977A7" w:rsidRPr="00276391" w:rsidRDefault="00F977A7" w:rsidP="00F977A7">
      <w:pPr>
        <w:pStyle w:val="Heading4"/>
        <w:rPr>
          <w:lang w:eastAsia="en-AU"/>
        </w:rPr>
      </w:pPr>
      <w:bookmarkStart w:id="678" w:name="_Toc478991958"/>
      <w:r w:rsidRPr="00276391">
        <w:rPr>
          <w:lang w:eastAsia="en-AU"/>
        </w:rPr>
        <w:t>Who does this policy apply to?</w:t>
      </w:r>
      <w:bookmarkEnd w:id="678"/>
    </w:p>
    <w:p w14:paraId="4B1B56FC" w14:textId="328B96D9" w:rsidR="00F977A7" w:rsidRDefault="00F977A7" w:rsidP="00F977A7">
      <w:pPr>
        <w:pStyle w:val="DHHSbody"/>
        <w:rPr>
          <w:rFonts w:cs="Arial"/>
          <w:color w:val="000000"/>
          <w:szCs w:val="19"/>
          <w:lang w:eastAsia="en-AU"/>
        </w:rPr>
      </w:pPr>
      <w:r>
        <w:rPr>
          <w:rFonts w:cs="Arial"/>
          <w:color w:val="000000"/>
          <w:szCs w:val="19"/>
          <w:lang w:eastAsia="en-AU"/>
        </w:rPr>
        <w:t xml:space="preserve">The </w:t>
      </w:r>
      <w:r w:rsidRPr="00C8617C">
        <w:rPr>
          <w:rFonts w:cs="Arial"/>
          <w:i/>
          <w:color w:val="000000"/>
          <w:szCs w:val="19"/>
          <w:lang w:eastAsia="en-AU"/>
        </w:rPr>
        <w:t>Client incident management guide</w:t>
      </w:r>
      <w:r w:rsidRPr="00B24C02">
        <w:rPr>
          <w:rFonts w:cs="Arial"/>
          <w:color w:val="000000"/>
          <w:szCs w:val="19"/>
          <w:lang w:eastAsia="en-AU"/>
        </w:rPr>
        <w:t xml:space="preserve"> </w:t>
      </w:r>
      <w:r>
        <w:rPr>
          <w:rFonts w:cs="Arial"/>
          <w:color w:val="000000"/>
          <w:szCs w:val="19"/>
          <w:lang w:eastAsia="en-AU"/>
        </w:rPr>
        <w:t xml:space="preserve">and </w:t>
      </w:r>
      <w:r w:rsidRPr="00C8617C">
        <w:rPr>
          <w:rFonts w:cs="Arial"/>
          <w:i/>
          <w:color w:val="000000"/>
          <w:szCs w:val="19"/>
          <w:lang w:eastAsia="en-AU"/>
        </w:rPr>
        <w:t>Client incident management guide – out-of-home care addendum</w:t>
      </w:r>
      <w:r>
        <w:rPr>
          <w:rFonts w:cs="Arial"/>
          <w:color w:val="000000"/>
          <w:szCs w:val="19"/>
          <w:lang w:eastAsia="en-AU"/>
        </w:rPr>
        <w:t xml:space="preserve"> </w:t>
      </w:r>
      <w:r w:rsidRPr="00B24C02">
        <w:rPr>
          <w:rFonts w:cs="Arial"/>
          <w:color w:val="000000"/>
          <w:szCs w:val="19"/>
          <w:lang w:eastAsia="en-AU"/>
        </w:rPr>
        <w:t>appl</w:t>
      </w:r>
      <w:r>
        <w:rPr>
          <w:rFonts w:cs="Arial"/>
          <w:color w:val="000000"/>
          <w:szCs w:val="19"/>
          <w:lang w:eastAsia="en-AU"/>
        </w:rPr>
        <w:t>y</w:t>
      </w:r>
      <w:r w:rsidRPr="00B24C02">
        <w:rPr>
          <w:rFonts w:cs="Arial"/>
          <w:color w:val="000000"/>
          <w:szCs w:val="19"/>
          <w:lang w:eastAsia="en-AU"/>
        </w:rPr>
        <w:t xml:space="preserve"> to services directly delivered or funded by the </w:t>
      </w:r>
      <w:r w:rsidR="00934DD6">
        <w:rPr>
          <w:rFonts w:cs="Arial"/>
          <w:color w:val="000000"/>
          <w:szCs w:val="19"/>
          <w:lang w:eastAsia="en-AU"/>
        </w:rPr>
        <w:t>Department of Health and Human Services</w:t>
      </w:r>
      <w:r w:rsidRPr="00B24C02">
        <w:rPr>
          <w:rFonts w:cs="Arial"/>
          <w:color w:val="000000"/>
          <w:szCs w:val="19"/>
          <w:lang w:eastAsia="en-AU"/>
        </w:rPr>
        <w:t xml:space="preserve"> including</w:t>
      </w:r>
      <w:r>
        <w:rPr>
          <w:rFonts w:cs="Arial"/>
          <w:color w:val="000000"/>
          <w:szCs w:val="19"/>
          <w:lang w:eastAsia="en-AU"/>
        </w:rPr>
        <w:t xml:space="preserve"> c</w:t>
      </w:r>
      <w:r w:rsidRPr="00E73081">
        <w:rPr>
          <w:rFonts w:cs="Arial"/>
          <w:color w:val="000000"/>
          <w:szCs w:val="19"/>
          <w:lang w:eastAsia="en-AU"/>
        </w:rPr>
        <w:t>hildren, youth and family services</w:t>
      </w:r>
      <w:r>
        <w:rPr>
          <w:rFonts w:cs="Arial"/>
          <w:color w:val="000000"/>
          <w:szCs w:val="19"/>
          <w:lang w:eastAsia="en-AU"/>
        </w:rPr>
        <w:t>, d</w:t>
      </w:r>
      <w:r w:rsidRPr="00E73081">
        <w:rPr>
          <w:rFonts w:cs="Arial"/>
          <w:color w:val="000000"/>
          <w:szCs w:val="19"/>
          <w:lang w:eastAsia="en-AU"/>
        </w:rPr>
        <w:t>isability services</w:t>
      </w:r>
      <w:r>
        <w:rPr>
          <w:rFonts w:cs="Arial"/>
          <w:color w:val="000000"/>
          <w:szCs w:val="19"/>
          <w:lang w:eastAsia="en-AU"/>
        </w:rPr>
        <w:t>, a</w:t>
      </w:r>
      <w:r w:rsidRPr="00E73081">
        <w:rPr>
          <w:rFonts w:cs="Arial"/>
          <w:color w:val="000000"/>
          <w:szCs w:val="19"/>
          <w:lang w:eastAsia="en-AU"/>
        </w:rPr>
        <w:t>ged care and carer’s support services</w:t>
      </w:r>
      <w:r>
        <w:rPr>
          <w:rFonts w:cs="Arial"/>
          <w:color w:val="000000"/>
          <w:szCs w:val="19"/>
          <w:lang w:eastAsia="en-AU"/>
        </w:rPr>
        <w:t xml:space="preserve">, </w:t>
      </w:r>
      <w:r w:rsidRPr="00E73081">
        <w:rPr>
          <w:rFonts w:cs="Arial"/>
          <w:color w:val="000000"/>
          <w:szCs w:val="19"/>
          <w:lang w:eastAsia="en-AU"/>
        </w:rPr>
        <w:t>alcohol and drug treatment services</w:t>
      </w:r>
      <w:r>
        <w:rPr>
          <w:rFonts w:cs="Arial"/>
          <w:color w:val="000000"/>
          <w:szCs w:val="19"/>
          <w:lang w:eastAsia="en-AU"/>
        </w:rPr>
        <w:t>, c</w:t>
      </w:r>
      <w:r w:rsidRPr="00E73081">
        <w:rPr>
          <w:rFonts w:cs="Arial"/>
          <w:color w:val="000000"/>
          <w:szCs w:val="19"/>
          <w:lang w:eastAsia="en-AU"/>
        </w:rPr>
        <w:t>ommunity palliative care services</w:t>
      </w:r>
      <w:r>
        <w:rPr>
          <w:rFonts w:cs="Arial"/>
          <w:color w:val="000000"/>
          <w:szCs w:val="19"/>
          <w:lang w:eastAsia="en-AU"/>
        </w:rPr>
        <w:t>, h</w:t>
      </w:r>
      <w:r w:rsidRPr="00E73081">
        <w:rPr>
          <w:rFonts w:cs="Arial"/>
          <w:color w:val="000000"/>
          <w:szCs w:val="19"/>
          <w:lang w:eastAsia="en-AU"/>
        </w:rPr>
        <w:t xml:space="preserve">ome and </w:t>
      </w:r>
      <w:r>
        <w:rPr>
          <w:rFonts w:cs="Arial"/>
          <w:color w:val="000000"/>
          <w:szCs w:val="19"/>
          <w:lang w:eastAsia="en-AU"/>
        </w:rPr>
        <w:t>community care services, m</w:t>
      </w:r>
      <w:r w:rsidRPr="00E73081">
        <w:rPr>
          <w:rFonts w:cs="Arial"/>
          <w:color w:val="000000"/>
          <w:szCs w:val="19"/>
          <w:lang w:eastAsia="en-AU"/>
        </w:rPr>
        <w:t>ental health co</w:t>
      </w:r>
      <w:r>
        <w:rPr>
          <w:rFonts w:cs="Arial"/>
          <w:color w:val="000000"/>
          <w:szCs w:val="19"/>
          <w:lang w:eastAsia="en-AU"/>
        </w:rPr>
        <w:t>mmunity support services, s</w:t>
      </w:r>
      <w:r w:rsidRPr="00E73081">
        <w:rPr>
          <w:rFonts w:cs="Arial"/>
          <w:color w:val="000000"/>
          <w:szCs w:val="19"/>
          <w:lang w:eastAsia="en-AU"/>
        </w:rPr>
        <w:t>exual health prevention servic</w:t>
      </w:r>
      <w:r>
        <w:rPr>
          <w:rFonts w:cs="Arial"/>
          <w:color w:val="000000"/>
          <w:szCs w:val="19"/>
          <w:lang w:eastAsia="en-AU"/>
        </w:rPr>
        <w:t>es, h</w:t>
      </w:r>
      <w:r w:rsidRPr="00E73081">
        <w:rPr>
          <w:rFonts w:cs="Arial"/>
          <w:color w:val="000000"/>
          <w:szCs w:val="19"/>
          <w:lang w:eastAsia="en-AU"/>
        </w:rPr>
        <w:t>ousing and community building services</w:t>
      </w:r>
      <w:r>
        <w:rPr>
          <w:rFonts w:cs="Arial"/>
          <w:color w:val="000000"/>
          <w:szCs w:val="19"/>
          <w:lang w:eastAsia="en-AU"/>
        </w:rPr>
        <w:t>, y</w:t>
      </w:r>
      <w:r w:rsidRPr="00E73081">
        <w:rPr>
          <w:rFonts w:cs="Arial"/>
          <w:color w:val="000000"/>
          <w:szCs w:val="19"/>
          <w:lang w:eastAsia="en-AU"/>
        </w:rPr>
        <w:t>outh services</w:t>
      </w:r>
      <w:r>
        <w:rPr>
          <w:rFonts w:cs="Arial"/>
          <w:color w:val="000000"/>
          <w:szCs w:val="19"/>
          <w:lang w:eastAsia="en-AU"/>
        </w:rPr>
        <w:t>.</w:t>
      </w:r>
    </w:p>
    <w:p w14:paraId="72E4ED5E" w14:textId="4EA5A484" w:rsidR="00F977A7" w:rsidRPr="00C8617C" w:rsidRDefault="00F977A7" w:rsidP="00F977A7">
      <w:pPr>
        <w:pStyle w:val="DHHSbody"/>
        <w:rPr>
          <w:rFonts w:cs="Arial"/>
          <w:color w:val="000000"/>
          <w:szCs w:val="19"/>
          <w:lang w:eastAsia="en-AU"/>
        </w:rPr>
      </w:pPr>
      <w:r w:rsidRPr="00C8617C">
        <w:rPr>
          <w:rFonts w:cs="Arial"/>
          <w:color w:val="000000"/>
          <w:szCs w:val="19"/>
          <w:lang w:eastAsia="en-AU"/>
        </w:rPr>
        <w:t xml:space="preserve">All integrated and most registered community health services </w:t>
      </w:r>
      <w:r w:rsidR="00555125">
        <w:rPr>
          <w:rFonts w:cs="Arial"/>
          <w:color w:val="000000"/>
          <w:szCs w:val="19"/>
          <w:lang w:eastAsia="en-AU"/>
        </w:rPr>
        <w:t>use the Victorian Health Incident Management System to manage and report incidents. C</w:t>
      </w:r>
      <w:r w:rsidRPr="00C8617C">
        <w:rPr>
          <w:rFonts w:cs="Arial"/>
          <w:color w:val="000000"/>
          <w:szCs w:val="19"/>
          <w:lang w:eastAsia="en-AU"/>
        </w:rPr>
        <w:t>ommunity health services</w:t>
      </w:r>
      <w:r w:rsidR="00555125">
        <w:rPr>
          <w:rFonts w:cs="Arial"/>
          <w:color w:val="000000"/>
          <w:szCs w:val="19"/>
          <w:lang w:eastAsia="en-AU"/>
        </w:rPr>
        <w:t>’</w:t>
      </w:r>
      <w:r w:rsidRPr="00C8617C">
        <w:rPr>
          <w:rFonts w:cs="Arial"/>
          <w:color w:val="000000"/>
          <w:szCs w:val="19"/>
          <w:lang w:eastAsia="en-AU"/>
        </w:rPr>
        <w:t xml:space="preserve"> </w:t>
      </w:r>
      <w:r w:rsidR="00014960">
        <w:rPr>
          <w:rFonts w:cs="Arial"/>
          <w:color w:val="000000"/>
          <w:szCs w:val="19"/>
          <w:lang w:eastAsia="en-AU"/>
        </w:rPr>
        <w:t>use of</w:t>
      </w:r>
      <w:r w:rsidRPr="00C8617C">
        <w:rPr>
          <w:rFonts w:cs="Arial"/>
          <w:color w:val="000000"/>
          <w:szCs w:val="19"/>
          <w:lang w:eastAsia="en-AU"/>
        </w:rPr>
        <w:t xml:space="preserve"> the Client Incident Management system is deferred from January 2018 to January 2019</w:t>
      </w:r>
      <w:r w:rsidRPr="003B1A49">
        <w:rPr>
          <w:rFonts w:cs="Arial"/>
          <w:color w:val="000000"/>
          <w:szCs w:val="19"/>
          <w:lang w:eastAsia="en-AU"/>
        </w:rPr>
        <w:t>.</w:t>
      </w:r>
      <w:r w:rsidRPr="00C8617C">
        <w:rPr>
          <w:rFonts w:cs="Arial"/>
          <w:color w:val="000000"/>
          <w:szCs w:val="19"/>
          <w:lang w:eastAsia="en-AU"/>
        </w:rPr>
        <w:t xml:space="preserve"> This applies to the whole of the </w:t>
      </w:r>
      <w:proofErr w:type="gramStart"/>
      <w:r w:rsidRPr="00C8617C">
        <w:rPr>
          <w:rFonts w:cs="Arial"/>
          <w:color w:val="000000"/>
          <w:szCs w:val="19"/>
          <w:lang w:eastAsia="en-AU"/>
        </w:rPr>
        <w:t>organisation, and</w:t>
      </w:r>
      <w:proofErr w:type="gramEnd"/>
      <w:r w:rsidRPr="00C8617C">
        <w:rPr>
          <w:rFonts w:cs="Arial"/>
          <w:color w:val="000000"/>
          <w:szCs w:val="19"/>
          <w:lang w:eastAsia="en-AU"/>
        </w:rPr>
        <w:t xml:space="preserve"> is not specific to particular funded programs.</w:t>
      </w:r>
      <w:r w:rsidR="006A40B7">
        <w:rPr>
          <w:rFonts w:cs="Arial"/>
          <w:color w:val="000000"/>
          <w:szCs w:val="19"/>
          <w:lang w:eastAsia="en-AU"/>
        </w:rPr>
        <w:t xml:space="preserve"> </w:t>
      </w:r>
      <w:r w:rsidR="006A40B7" w:rsidRPr="006A40B7">
        <w:rPr>
          <w:rFonts w:cs="Arial"/>
          <w:color w:val="000000" w:themeColor="text1"/>
          <w:lang w:eastAsia="en-AU"/>
        </w:rPr>
        <w:t>During this deferment period, community</w:t>
      </w:r>
      <w:r w:rsidR="006250C7">
        <w:rPr>
          <w:rFonts w:cs="Arial"/>
          <w:color w:val="000000" w:themeColor="text1"/>
          <w:lang w:eastAsia="en-AU"/>
        </w:rPr>
        <w:t xml:space="preserve"> </w:t>
      </w:r>
      <w:r w:rsidR="006A40B7" w:rsidRPr="006A40B7">
        <w:rPr>
          <w:rFonts w:cs="Arial"/>
          <w:color w:val="000000" w:themeColor="text1"/>
          <w:lang w:eastAsia="en-AU"/>
        </w:rPr>
        <w:t>health services are to continue to use the former Health and Human Services client incident report forms to submit Category One and Two incidents to the department as per existing processes.</w:t>
      </w:r>
    </w:p>
    <w:p w14:paraId="53731799" w14:textId="77777777" w:rsidR="00F977A7" w:rsidRPr="00C8617C" w:rsidRDefault="00F977A7" w:rsidP="00F977A7">
      <w:pPr>
        <w:pStyle w:val="DHHSbody"/>
        <w:rPr>
          <w:rFonts w:cs="Arial"/>
          <w:color w:val="000000"/>
          <w:szCs w:val="19"/>
          <w:lang w:eastAsia="en-AU"/>
        </w:rPr>
      </w:pPr>
      <w:r w:rsidRPr="00C8617C">
        <w:rPr>
          <w:rFonts w:cs="Arial"/>
          <w:color w:val="000000"/>
          <w:szCs w:val="19"/>
          <w:lang w:eastAsia="en-AU"/>
        </w:rPr>
        <w:t xml:space="preserve">For further information regarding incident reporting arrangements for community health services, contact </w:t>
      </w:r>
      <w:hyperlink r:id="rId190" w:history="1">
        <w:r w:rsidRPr="00C8617C">
          <w:rPr>
            <w:rStyle w:val="Hyperlink"/>
            <w:rFonts w:cs="Arial"/>
            <w:szCs w:val="19"/>
            <w:lang w:eastAsia="en-AU"/>
          </w:rPr>
          <w:t>partnerships.primary@dhhs.vic.gov.au</w:t>
        </w:r>
      </w:hyperlink>
      <w:r w:rsidRPr="00C8617C">
        <w:rPr>
          <w:rFonts w:cs="Arial"/>
          <w:color w:val="000000"/>
          <w:szCs w:val="19"/>
          <w:lang w:eastAsia="en-AU"/>
        </w:rPr>
        <w:t>.</w:t>
      </w:r>
      <w:r>
        <w:rPr>
          <w:rFonts w:cs="Arial"/>
          <w:color w:val="000000"/>
          <w:szCs w:val="19"/>
          <w:lang w:eastAsia="en-AU"/>
        </w:rPr>
        <w:t xml:space="preserve"> </w:t>
      </w:r>
    </w:p>
    <w:p w14:paraId="015D2A5E" w14:textId="77777777" w:rsidR="00F977A7" w:rsidRPr="00276391" w:rsidRDefault="00F977A7" w:rsidP="00F977A7">
      <w:pPr>
        <w:pStyle w:val="Heading4"/>
        <w:rPr>
          <w:lang w:eastAsia="en-AU"/>
        </w:rPr>
      </w:pPr>
      <w:bookmarkStart w:id="679" w:name="_Toc478991959"/>
      <w:r>
        <w:rPr>
          <w:lang w:eastAsia="en-AU"/>
        </w:rPr>
        <w:t>P</w:t>
      </w:r>
      <w:r w:rsidRPr="00276391">
        <w:rPr>
          <w:lang w:eastAsia="en-AU"/>
        </w:rPr>
        <w:t>olicy purpose</w:t>
      </w:r>
      <w:bookmarkEnd w:id="679"/>
    </w:p>
    <w:p w14:paraId="6E2F0D32" w14:textId="77777777" w:rsidR="00F977A7" w:rsidRPr="00276391" w:rsidRDefault="00F977A7" w:rsidP="00F977A7">
      <w:pPr>
        <w:pStyle w:val="DHHSbody"/>
        <w:rPr>
          <w:lang w:eastAsia="en-AU"/>
        </w:rPr>
      </w:pPr>
      <w:r w:rsidRPr="00B24C02">
        <w:rPr>
          <w:rFonts w:cs="Arial"/>
          <w:color w:val="000000"/>
          <w:szCs w:val="19"/>
          <w:lang w:eastAsia="en-AU"/>
        </w:rPr>
        <w:t>The instruction outline</w:t>
      </w:r>
      <w:r>
        <w:rPr>
          <w:rFonts w:cs="Arial"/>
          <w:color w:val="000000"/>
          <w:szCs w:val="19"/>
          <w:lang w:eastAsia="en-AU"/>
        </w:rPr>
        <w:t>s</w:t>
      </w:r>
      <w:r w:rsidRPr="00B24C02">
        <w:rPr>
          <w:rFonts w:cs="Arial"/>
          <w:color w:val="000000"/>
          <w:szCs w:val="19"/>
          <w:lang w:eastAsia="en-AU"/>
        </w:rPr>
        <w:t xml:space="preserve"> the </w:t>
      </w:r>
      <w:r>
        <w:rPr>
          <w:rFonts w:cs="Arial"/>
          <w:color w:val="000000"/>
          <w:szCs w:val="19"/>
          <w:lang w:eastAsia="en-AU"/>
        </w:rPr>
        <w:t xml:space="preserve">response, </w:t>
      </w:r>
      <w:r w:rsidRPr="00B24C02">
        <w:rPr>
          <w:rFonts w:cs="Arial"/>
          <w:color w:val="000000"/>
          <w:szCs w:val="19"/>
          <w:lang w:eastAsia="en-AU"/>
        </w:rPr>
        <w:t>management and reporting requirements for incidents or alleged incidents that involve or impact upon clients during service delivery.</w:t>
      </w:r>
    </w:p>
    <w:p w14:paraId="1E1A2816" w14:textId="77777777" w:rsidR="00F977A7" w:rsidRPr="00276391" w:rsidRDefault="00F977A7" w:rsidP="00F977A7">
      <w:pPr>
        <w:pStyle w:val="Heading4"/>
        <w:rPr>
          <w:lang w:eastAsia="en-AU"/>
        </w:rPr>
      </w:pPr>
      <w:bookmarkStart w:id="680" w:name="_Toc478991960"/>
      <w:r w:rsidRPr="00276391">
        <w:rPr>
          <w:lang w:eastAsia="en-AU"/>
        </w:rPr>
        <w:t>Legislation and /or regulation</w:t>
      </w:r>
      <w:bookmarkEnd w:id="680"/>
    </w:p>
    <w:p w14:paraId="6C8088AA" w14:textId="77777777" w:rsidR="00F977A7" w:rsidRPr="00276391" w:rsidRDefault="00F977A7" w:rsidP="00F977A7">
      <w:pPr>
        <w:pStyle w:val="DHHSbody"/>
        <w:rPr>
          <w:lang w:eastAsia="en-AU"/>
        </w:rPr>
      </w:pPr>
      <w:r w:rsidRPr="00B24C02">
        <w:rPr>
          <w:rFonts w:cs="Arial"/>
          <w:color w:val="000000"/>
          <w:szCs w:val="19"/>
          <w:lang w:eastAsia="en-AU"/>
        </w:rPr>
        <w:t>Nil</w:t>
      </w:r>
    </w:p>
    <w:p w14:paraId="75F8D4B9" w14:textId="77777777" w:rsidR="00884B44" w:rsidRPr="00276391" w:rsidRDefault="00884B44" w:rsidP="00884B44">
      <w:pPr>
        <w:pStyle w:val="Heading4"/>
        <w:rPr>
          <w:lang w:eastAsia="en-AU"/>
        </w:rPr>
      </w:pPr>
      <w:bookmarkStart w:id="681" w:name="_Toc478991961"/>
      <w:bookmarkStart w:id="682" w:name="_Toc478991964"/>
      <w:r w:rsidRPr="00276391">
        <w:rPr>
          <w:lang w:eastAsia="en-AU"/>
        </w:rPr>
        <w:t>Organisation requirements</w:t>
      </w:r>
      <w:bookmarkEnd w:id="681"/>
    </w:p>
    <w:p w14:paraId="6605ADE6" w14:textId="77777777" w:rsidR="00884B44" w:rsidRPr="00276391" w:rsidRDefault="00884B44" w:rsidP="00884B44">
      <w:pPr>
        <w:pStyle w:val="DHHSbody"/>
        <w:rPr>
          <w:lang w:eastAsia="en-AU"/>
        </w:rPr>
      </w:pPr>
      <w:r w:rsidRPr="00B24C02">
        <w:rPr>
          <w:rFonts w:cs="Arial"/>
          <w:color w:val="000000"/>
          <w:szCs w:val="19"/>
          <w:lang w:eastAsia="en-AU"/>
        </w:rPr>
        <w:t xml:space="preserve">Reporting </w:t>
      </w:r>
      <w:r>
        <w:rPr>
          <w:rFonts w:cs="Arial"/>
          <w:color w:val="000000"/>
          <w:szCs w:val="19"/>
          <w:lang w:eastAsia="en-AU"/>
        </w:rPr>
        <w:t xml:space="preserve">and management </w:t>
      </w:r>
      <w:r w:rsidRPr="00B24C02">
        <w:rPr>
          <w:rFonts w:cs="Arial"/>
          <w:color w:val="000000"/>
          <w:szCs w:val="19"/>
          <w:lang w:eastAsia="en-AU"/>
        </w:rPr>
        <w:t>of client incidents as defined in the instructions is compulsory.</w:t>
      </w:r>
    </w:p>
    <w:p w14:paraId="02ED3197" w14:textId="53D32648" w:rsidR="00884B44" w:rsidRDefault="00884B44" w:rsidP="00884B44">
      <w:pPr>
        <w:pStyle w:val="DHHSbody"/>
        <w:rPr>
          <w:lang w:eastAsia="en-AU"/>
        </w:rPr>
      </w:pPr>
      <w:r w:rsidRPr="00276391">
        <w:rPr>
          <w:lang w:eastAsia="en-AU"/>
        </w:rPr>
        <w:t xml:space="preserve">For client incident </w:t>
      </w:r>
      <w:r>
        <w:rPr>
          <w:lang w:eastAsia="en-AU"/>
        </w:rPr>
        <w:t xml:space="preserve">reporting and </w:t>
      </w:r>
      <w:r w:rsidRPr="00276391">
        <w:rPr>
          <w:lang w:eastAsia="en-AU"/>
        </w:rPr>
        <w:t xml:space="preserve">management applicable to </w:t>
      </w:r>
      <w:r w:rsidR="00934DD6">
        <w:rPr>
          <w:lang w:eastAsia="en-AU"/>
        </w:rPr>
        <w:t>department</w:t>
      </w:r>
      <w:r w:rsidRPr="00276391">
        <w:rPr>
          <w:lang w:eastAsia="en-AU"/>
        </w:rPr>
        <w:t xml:space="preserve"> funded organisations, </w:t>
      </w:r>
      <w:r>
        <w:rPr>
          <w:lang w:eastAsia="en-AU"/>
        </w:rPr>
        <w:t>see</w:t>
      </w:r>
      <w:r w:rsidRPr="00276391">
        <w:rPr>
          <w:lang w:eastAsia="en-AU"/>
        </w:rPr>
        <w:t xml:space="preserve"> incident management and reporting guidance on the </w:t>
      </w:r>
      <w:r>
        <w:rPr>
          <w:lang w:eastAsia="en-AU"/>
        </w:rPr>
        <w:t>providers’ website</w:t>
      </w:r>
      <w:r w:rsidRPr="00276391">
        <w:rPr>
          <w:lang w:eastAsia="en-AU"/>
        </w:rPr>
        <w:t xml:space="preserve"> </w:t>
      </w:r>
      <w:hyperlink r:id="rId191" w:tgtFrame="_blank" w:history="1">
        <w:r w:rsidRPr="00656641">
          <w:rPr>
            <w:rStyle w:val="Hyperlink"/>
          </w:rPr>
          <w:t>Incident reporting</w:t>
        </w:r>
      </w:hyperlink>
      <w:r w:rsidRPr="00276391">
        <w:rPr>
          <w:lang w:eastAsia="en-AU"/>
        </w:rPr>
        <w:t xml:space="preserve"> </w:t>
      </w:r>
      <w:r>
        <w:rPr>
          <w:lang w:eastAsia="en-AU"/>
        </w:rPr>
        <w:t>&lt;</w:t>
      </w:r>
      <w:r w:rsidRPr="00725304">
        <w:rPr>
          <w:lang w:eastAsia="en-AU"/>
        </w:rPr>
        <w:t>http://providers.dhhs.vic.gov.au/reporting-incidents</w:t>
      </w:r>
      <w:r>
        <w:rPr>
          <w:lang w:eastAsia="en-AU"/>
        </w:rPr>
        <w:t>&gt;</w:t>
      </w:r>
      <w:r w:rsidRPr="00656641">
        <w:rPr>
          <w:lang w:eastAsia="en-AU"/>
        </w:rPr>
        <w:t xml:space="preserve"> </w:t>
      </w:r>
      <w:r w:rsidRPr="00276391">
        <w:rPr>
          <w:lang w:eastAsia="en-AU"/>
        </w:rPr>
        <w:t>(external link, opens in a new window) web page.</w:t>
      </w:r>
    </w:p>
    <w:p w14:paraId="101149FA" w14:textId="77777777" w:rsidR="002B1C33" w:rsidRPr="003F52B3" w:rsidRDefault="002B1C33" w:rsidP="002B1C33">
      <w:pPr>
        <w:pStyle w:val="DHHSbody"/>
        <w:rPr>
          <w:lang w:eastAsia="en-AU"/>
        </w:rPr>
      </w:pPr>
      <w:bookmarkStart w:id="683" w:name="_Toc478991965"/>
      <w:r w:rsidRPr="003F52B3">
        <w:rPr>
          <w:b/>
          <w:lang w:eastAsia="en-AU"/>
        </w:rPr>
        <w:t>Offence for failure to disclose child sexual abuse</w:t>
      </w:r>
      <w:bookmarkEnd w:id="683"/>
    </w:p>
    <w:p w14:paraId="024FA542" w14:textId="77777777" w:rsidR="002B1C33" w:rsidRPr="00276391" w:rsidRDefault="002B1C33" w:rsidP="002B1C33">
      <w:pPr>
        <w:pStyle w:val="DHHSbody"/>
        <w:rPr>
          <w:lang w:eastAsia="en-AU"/>
        </w:rPr>
      </w:pPr>
      <w:r w:rsidRPr="00B24C02">
        <w:rPr>
          <w:rFonts w:cs="Arial"/>
          <w:color w:val="000000"/>
          <w:szCs w:val="19"/>
          <w:lang w:eastAsia="en-AU"/>
        </w:rPr>
        <w:t>The offence for failure to disclose child sexual abuse to the police came into effect on 27 October 2014.</w:t>
      </w:r>
    </w:p>
    <w:p w14:paraId="4483999C" w14:textId="18378703" w:rsidR="002B1C33" w:rsidRPr="00276391" w:rsidRDefault="002B1C33" w:rsidP="002B1C33">
      <w:pPr>
        <w:pStyle w:val="DHHSbody"/>
        <w:rPr>
          <w:lang w:eastAsia="en-AU"/>
        </w:rPr>
      </w:pPr>
      <w:r w:rsidRPr="00276391">
        <w:rPr>
          <w:lang w:eastAsia="en-AU"/>
        </w:rPr>
        <w:t xml:space="preserve">Further information about the offence and how to report is available on the human services </w:t>
      </w:r>
      <w:hyperlink r:id="rId192" w:history="1">
        <w:r w:rsidRPr="00986D1E">
          <w:rPr>
            <w:rStyle w:val="Hyperlink"/>
          </w:rPr>
          <w:t>New criminal offences to improve responses to child sexual abuse</w:t>
        </w:r>
      </w:hyperlink>
      <w:r w:rsidRPr="00276391">
        <w:rPr>
          <w:lang w:eastAsia="en-AU"/>
        </w:rPr>
        <w:t xml:space="preserve"> </w:t>
      </w:r>
      <w:r w:rsidR="006250C7">
        <w:rPr>
          <w:lang w:eastAsia="en-AU"/>
        </w:rPr>
        <w:t>&lt;</w:t>
      </w:r>
      <w:r w:rsidRPr="007A0C13">
        <w:rPr>
          <w:lang w:eastAsia="en-AU"/>
        </w:rPr>
        <w:t>https://providers.dhhs.vic.gov.au/criminal-offences-improve-responses-child-sex-abuse</w:t>
      </w:r>
      <w:r>
        <w:rPr>
          <w:lang w:eastAsia="en-AU"/>
        </w:rPr>
        <w:t>&gt;</w:t>
      </w:r>
      <w:r w:rsidRPr="002809A8">
        <w:rPr>
          <w:lang w:eastAsia="en-AU"/>
        </w:rPr>
        <w:t xml:space="preserve"> </w:t>
      </w:r>
      <w:r w:rsidRPr="00276391">
        <w:rPr>
          <w:lang w:eastAsia="en-AU"/>
        </w:rPr>
        <w:t>(external link, opens in a new window) web page.</w:t>
      </w:r>
    </w:p>
    <w:p w14:paraId="07A8DE34" w14:textId="77777777" w:rsidR="002B1C33" w:rsidRPr="003F52B3" w:rsidRDefault="002B1C33" w:rsidP="002B1C33">
      <w:pPr>
        <w:pStyle w:val="DHHSbody"/>
        <w:rPr>
          <w:lang w:eastAsia="en-AU"/>
        </w:rPr>
      </w:pPr>
      <w:bookmarkStart w:id="684" w:name="_Toc478991966"/>
      <w:r w:rsidRPr="003F52B3">
        <w:rPr>
          <w:b/>
          <w:lang w:eastAsia="en-AU"/>
        </w:rPr>
        <w:t>New offence for failure to protect children from the risk of sexual abuse</w:t>
      </w:r>
      <w:bookmarkEnd w:id="684"/>
    </w:p>
    <w:p w14:paraId="746123EA" w14:textId="77777777" w:rsidR="002B1C33" w:rsidRPr="00276391" w:rsidRDefault="002B1C33" w:rsidP="002B1C33">
      <w:pPr>
        <w:pStyle w:val="DHHSbody"/>
        <w:rPr>
          <w:lang w:eastAsia="en-AU"/>
        </w:rPr>
      </w:pPr>
      <w:r w:rsidRPr="00B24C02">
        <w:rPr>
          <w:rFonts w:cs="Arial"/>
          <w:color w:val="000000"/>
          <w:szCs w:val="19"/>
          <w:lang w:eastAsia="en-AU"/>
        </w:rPr>
        <w:t>The new offence for 'failure to protect' a child from a risk of sexual abuse commenced on 1 July 2015.</w:t>
      </w:r>
    </w:p>
    <w:p w14:paraId="76D62333" w14:textId="21499163" w:rsidR="002B1C33" w:rsidRDefault="002B1C33" w:rsidP="002B1C33">
      <w:pPr>
        <w:pStyle w:val="DHHSbody"/>
        <w:rPr>
          <w:lang w:eastAsia="en-AU"/>
        </w:rPr>
      </w:pPr>
      <w:r w:rsidRPr="00276391">
        <w:rPr>
          <w:lang w:eastAsia="en-AU"/>
        </w:rPr>
        <w:lastRenderedPageBreak/>
        <w:t xml:space="preserve">A fact sheet about the offence is available to download from the human services </w:t>
      </w:r>
      <w:hyperlink r:id="rId193" w:history="1">
        <w:r w:rsidRPr="00986D1E">
          <w:rPr>
            <w:rStyle w:val="Hyperlink"/>
          </w:rPr>
          <w:t>New criminal offences to improve responses to child sexual abuse</w:t>
        </w:r>
      </w:hyperlink>
      <w:r w:rsidRPr="00276391">
        <w:rPr>
          <w:lang w:eastAsia="en-AU"/>
        </w:rPr>
        <w:t xml:space="preserve"> </w:t>
      </w:r>
      <w:r w:rsidR="006250C7">
        <w:rPr>
          <w:lang w:eastAsia="en-AU"/>
        </w:rPr>
        <w:t>&lt;</w:t>
      </w:r>
      <w:r w:rsidRPr="007A0C13">
        <w:rPr>
          <w:lang w:eastAsia="en-AU"/>
        </w:rPr>
        <w:t>https://providers.dhhs.vic.gov.au/criminal-offences-improve-responses-child-sex-abuse</w:t>
      </w:r>
      <w:r>
        <w:rPr>
          <w:lang w:eastAsia="en-AU"/>
        </w:rPr>
        <w:t>&gt;</w:t>
      </w:r>
      <w:r w:rsidRPr="002809A8">
        <w:rPr>
          <w:lang w:eastAsia="en-AU"/>
        </w:rPr>
        <w:t xml:space="preserve"> </w:t>
      </w:r>
      <w:r w:rsidRPr="00276391">
        <w:rPr>
          <w:lang w:eastAsia="en-AU"/>
        </w:rPr>
        <w:t xml:space="preserve">(external link, opens in a new window) web page. Alternatively, you can email </w:t>
      </w:r>
      <w:hyperlink r:id="rId194" w:history="1">
        <w:r w:rsidRPr="00986D1E">
          <w:rPr>
            <w:rStyle w:val="Hyperlink"/>
          </w:rPr>
          <w:t>childsafestandards@dhhs.vic.gov.au</w:t>
        </w:r>
      </w:hyperlink>
    </w:p>
    <w:p w14:paraId="609429F2" w14:textId="77777777" w:rsidR="00884B44" w:rsidRPr="00276391" w:rsidRDefault="00884B44" w:rsidP="00884B44">
      <w:pPr>
        <w:pStyle w:val="Heading4"/>
        <w:rPr>
          <w:lang w:eastAsia="en-AU"/>
        </w:rPr>
      </w:pPr>
      <w:r w:rsidRPr="00276391">
        <w:rPr>
          <w:lang w:eastAsia="en-AU"/>
        </w:rPr>
        <w:t>For further information</w:t>
      </w:r>
    </w:p>
    <w:p w14:paraId="17CB220B" w14:textId="770015E4" w:rsidR="00884B44" w:rsidRPr="007D3A44" w:rsidRDefault="00884B44" w:rsidP="00884B44">
      <w:pPr>
        <w:pStyle w:val="DHHSbody"/>
        <w:rPr>
          <w:color w:val="3366FF"/>
          <w:u w:val="dotted"/>
        </w:rPr>
      </w:pPr>
      <w:r>
        <w:rPr>
          <w:rFonts w:cs="Arial"/>
          <w:color w:val="000000"/>
          <w:szCs w:val="19"/>
          <w:lang w:eastAsia="en-AU"/>
        </w:rPr>
        <w:t xml:space="preserve">Kerry </w:t>
      </w:r>
      <w:proofErr w:type="spellStart"/>
      <w:r>
        <w:rPr>
          <w:rFonts w:cs="Arial"/>
          <w:color w:val="000000"/>
          <w:szCs w:val="19"/>
          <w:lang w:eastAsia="en-AU"/>
        </w:rPr>
        <w:t>Sayburn</w:t>
      </w:r>
      <w:proofErr w:type="spellEnd"/>
      <w:r w:rsidRPr="00B24C02">
        <w:rPr>
          <w:rFonts w:cs="Arial"/>
          <w:color w:val="000000"/>
          <w:szCs w:val="19"/>
          <w:lang w:eastAsia="en-AU"/>
        </w:rPr>
        <w:t xml:space="preserve">, Acting Manager, Quality and Oversight, </w:t>
      </w:r>
      <w:r>
        <w:rPr>
          <w:rFonts w:cs="Arial"/>
          <w:color w:val="000000"/>
          <w:szCs w:val="19"/>
          <w:lang w:eastAsia="en-AU"/>
        </w:rPr>
        <w:t>Operational Performance and Quality</w:t>
      </w:r>
      <w:r w:rsidRPr="00B24C02">
        <w:rPr>
          <w:rFonts w:cs="Arial"/>
          <w:color w:val="000000"/>
          <w:szCs w:val="19"/>
          <w:lang w:eastAsia="en-AU"/>
        </w:rPr>
        <w:t xml:space="preserve"> Branch, </w:t>
      </w:r>
      <w:r w:rsidRPr="00B92A54">
        <w:rPr>
          <w:rFonts w:cs="Arial"/>
          <w:color w:val="000000"/>
          <w:szCs w:val="19"/>
          <w:lang w:eastAsia="en-AU"/>
        </w:rPr>
        <w:t>Children, Families, Disability and Operations Division</w:t>
      </w:r>
      <w:r w:rsidRPr="00B24C02">
        <w:rPr>
          <w:rFonts w:cs="Arial"/>
          <w:color w:val="000000"/>
          <w:szCs w:val="19"/>
          <w:lang w:eastAsia="en-AU"/>
        </w:rPr>
        <w:br/>
        <w:t xml:space="preserve">Telephone: (03) </w:t>
      </w:r>
      <w:r w:rsidRPr="00B92A54">
        <w:rPr>
          <w:rFonts w:cs="Arial"/>
          <w:color w:val="000000"/>
          <w:szCs w:val="19"/>
          <w:lang w:eastAsia="en-AU"/>
        </w:rPr>
        <w:t>9096 2162</w:t>
      </w:r>
      <w:r w:rsidRPr="00B24C02">
        <w:rPr>
          <w:rFonts w:cs="Arial"/>
          <w:color w:val="000000"/>
          <w:szCs w:val="19"/>
          <w:lang w:eastAsia="en-AU"/>
        </w:rPr>
        <w:br/>
        <w:t xml:space="preserve">Email: </w:t>
      </w:r>
      <w:hyperlink r:id="rId195" w:history="1">
        <w:r w:rsidRPr="00B92A54">
          <w:rPr>
            <w:rStyle w:val="Hyperlink"/>
          </w:rPr>
          <w:t>kerry.sayburn@dhhs.vic.gov.au</w:t>
        </w:r>
      </w:hyperlink>
    </w:p>
    <w:p w14:paraId="4C76567E" w14:textId="77777777" w:rsidR="002B1C33" w:rsidRPr="003F52B3" w:rsidRDefault="002B1C33" w:rsidP="002B1C33">
      <w:pPr>
        <w:pStyle w:val="DHHSbody"/>
        <w:rPr>
          <w:lang w:eastAsia="en-AU"/>
        </w:rPr>
      </w:pPr>
      <w:bookmarkStart w:id="685" w:name="_Toc478991962"/>
      <w:r>
        <w:rPr>
          <w:b/>
          <w:lang w:eastAsia="en-AU"/>
        </w:rPr>
        <w:t>Community Health Services only</w:t>
      </w:r>
    </w:p>
    <w:p w14:paraId="3CDA61F0" w14:textId="77777777" w:rsidR="002B1C33" w:rsidRPr="002B1C33" w:rsidRDefault="002B1C33" w:rsidP="002B1C33">
      <w:pPr>
        <w:spacing w:after="240"/>
        <w:rPr>
          <w:rStyle w:val="Hyperlink"/>
          <w:rFonts w:ascii="Arial" w:hAnsi="Arial" w:cs="Arial"/>
        </w:rPr>
      </w:pPr>
      <w:r w:rsidRPr="002B1C33">
        <w:rPr>
          <w:rFonts w:ascii="Arial" w:hAnsi="Arial" w:cs="Arial"/>
          <w:color w:val="000000"/>
          <w:szCs w:val="19"/>
          <w:lang w:eastAsia="en-AU"/>
        </w:rPr>
        <w:t>Abbey Howe, Manager, Community Health, Community Based Health Policy and Programs, Health and Wellbeing Division</w:t>
      </w:r>
      <w:r w:rsidRPr="002B1C33">
        <w:rPr>
          <w:rFonts w:ascii="Arial" w:hAnsi="Arial" w:cs="Arial"/>
          <w:color w:val="000000"/>
          <w:szCs w:val="19"/>
          <w:lang w:eastAsia="en-AU"/>
        </w:rPr>
        <w:br/>
        <w:t>Telephone: (03) 9096 0543</w:t>
      </w:r>
      <w:r w:rsidRPr="002B1C33">
        <w:rPr>
          <w:rFonts w:ascii="Arial" w:hAnsi="Arial" w:cs="Arial"/>
          <w:color w:val="000000"/>
          <w:szCs w:val="19"/>
          <w:lang w:eastAsia="en-AU"/>
        </w:rPr>
        <w:br/>
        <w:t xml:space="preserve">Email: </w:t>
      </w:r>
      <w:hyperlink r:id="rId196" w:history="1">
        <w:r w:rsidRPr="002B1C33">
          <w:rPr>
            <w:rStyle w:val="Hyperlink"/>
            <w:rFonts w:ascii="Arial" w:hAnsi="Arial" w:cs="Arial"/>
          </w:rPr>
          <w:t>partnerships.primary@dhhs.vic.gov.au</w:t>
        </w:r>
      </w:hyperlink>
    </w:p>
    <w:p w14:paraId="66E5C9E0" w14:textId="20EC1645" w:rsidR="00884B44" w:rsidRPr="007A0DA8" w:rsidRDefault="00884B44" w:rsidP="002B1C33">
      <w:pPr>
        <w:spacing w:after="240"/>
        <w:rPr>
          <w:rFonts w:ascii="Arial" w:hAnsi="Arial" w:cs="Arial"/>
          <w:b/>
        </w:rPr>
      </w:pPr>
      <w:r>
        <w:rPr>
          <w:rFonts w:ascii="Arial" w:hAnsi="Arial" w:cs="Arial"/>
          <w:b/>
        </w:rPr>
        <w:t xml:space="preserve">4.14.1 </w:t>
      </w:r>
      <w:r w:rsidRPr="007A0DA8">
        <w:rPr>
          <w:rFonts w:ascii="Arial" w:hAnsi="Arial" w:cs="Arial"/>
          <w:b/>
        </w:rPr>
        <w:t xml:space="preserve">Reporting </w:t>
      </w:r>
      <w:r>
        <w:rPr>
          <w:rFonts w:ascii="Arial" w:hAnsi="Arial" w:cs="Arial"/>
          <w:b/>
        </w:rPr>
        <w:t xml:space="preserve">breaches of </w:t>
      </w:r>
      <w:r w:rsidRPr="007A0DA8">
        <w:rPr>
          <w:rFonts w:ascii="Arial" w:hAnsi="Arial" w:cs="Arial"/>
          <w:b/>
        </w:rPr>
        <w:t xml:space="preserve">privacy </w:t>
      </w:r>
    </w:p>
    <w:p w14:paraId="187E73F7" w14:textId="77777777" w:rsidR="00884B44" w:rsidRPr="003842FF" w:rsidRDefault="00884B44" w:rsidP="00884B44">
      <w:pPr>
        <w:pStyle w:val="DHHSbody"/>
        <w:rPr>
          <w:rFonts w:cs="Arial"/>
          <w:color w:val="000000"/>
        </w:rPr>
      </w:pPr>
      <w:r>
        <w:rPr>
          <w:rFonts w:cs="Arial"/>
          <w:color w:val="000000"/>
        </w:rPr>
        <w:t xml:space="preserve">Prior to </w:t>
      </w:r>
      <w:r>
        <w:t>15 January 2018, funded organisations reported privacy breaches as category one critical incidents. This incident reporting approach changed with the introduction of the client incident management system (CIMS).</w:t>
      </w:r>
    </w:p>
    <w:p w14:paraId="46337930" w14:textId="36A8606A" w:rsidR="00884B44" w:rsidRDefault="00884B44" w:rsidP="00884B44">
      <w:pPr>
        <w:pStyle w:val="DHHSbody"/>
      </w:pPr>
      <w:r>
        <w:t>A new web-based privacy incident report form is now available in the Feedback Management System (FMS) to enable funded organisations to continue notifying the department about privacy incidents. Details can be found</w:t>
      </w:r>
      <w:r w:rsidR="006250C7">
        <w:t xml:space="preserve"> </w:t>
      </w:r>
      <w:hyperlink r:id="rId197" w:history="1">
        <w:r w:rsidRPr="007A0DA8">
          <w:rPr>
            <w:rStyle w:val="Hyperlink"/>
          </w:rPr>
          <w:t>department’s providers website</w:t>
        </w:r>
      </w:hyperlink>
      <w:r w:rsidRPr="009D10CE">
        <w:rPr>
          <w:lang w:eastAsia="en-AU"/>
        </w:rPr>
        <w:t xml:space="preserve"> </w:t>
      </w:r>
      <w:r>
        <w:rPr>
          <w:lang w:eastAsia="en-AU"/>
        </w:rPr>
        <w:t>&lt;</w:t>
      </w:r>
      <w:r>
        <w:rPr>
          <w:rFonts w:ascii="Helv" w:hAnsi="Helv" w:cs="Helv"/>
          <w:color w:val="000000"/>
        </w:rPr>
        <w:t>https://providers.dhhs.vic.gov.au/reporting-incidents&gt;</w:t>
      </w:r>
      <w:r w:rsidRPr="009D10CE">
        <w:rPr>
          <w:lang w:eastAsia="en-AU"/>
        </w:rPr>
        <w:t xml:space="preserve"> (extern</w:t>
      </w:r>
      <w:r>
        <w:rPr>
          <w:lang w:eastAsia="en-AU"/>
        </w:rPr>
        <w:t>al link, opens in a new window).</w:t>
      </w:r>
    </w:p>
    <w:p w14:paraId="6430AC8E" w14:textId="77777777" w:rsidR="00014960" w:rsidRDefault="00884B44" w:rsidP="00014960">
      <w:pPr>
        <w:pStyle w:val="Heading4"/>
        <w:rPr>
          <w:lang w:eastAsia="en-AU"/>
        </w:rPr>
      </w:pPr>
      <w:r w:rsidRPr="00276391">
        <w:rPr>
          <w:lang w:eastAsia="en-AU"/>
        </w:rPr>
        <w:t>For further information</w:t>
      </w:r>
      <w:bookmarkEnd w:id="685"/>
    </w:p>
    <w:p w14:paraId="6B7CAF3E" w14:textId="5AC31D94" w:rsidR="00236748" w:rsidRPr="002B1C33" w:rsidRDefault="00884B44" w:rsidP="002B1C33">
      <w:pPr>
        <w:pStyle w:val="Heading4"/>
        <w:rPr>
          <w:b w:val="0"/>
          <w:lang w:eastAsia="en-AU"/>
        </w:rPr>
      </w:pPr>
      <w:r w:rsidRPr="00014960">
        <w:rPr>
          <w:rFonts w:cs="Arial"/>
          <w:b w:val="0"/>
          <w:color w:val="000000"/>
          <w:szCs w:val="19"/>
          <w:lang w:eastAsia="en-AU"/>
        </w:rPr>
        <w:t xml:space="preserve">Telephone: (03) </w:t>
      </w:r>
      <w:r w:rsidRPr="00014960">
        <w:rPr>
          <w:b w:val="0"/>
        </w:rPr>
        <w:t>9096 0888</w:t>
      </w:r>
      <w:r w:rsidRPr="00014960">
        <w:rPr>
          <w:rFonts w:cs="Arial"/>
          <w:b w:val="0"/>
          <w:color w:val="000000"/>
          <w:szCs w:val="19"/>
          <w:lang w:eastAsia="en-AU"/>
        </w:rPr>
        <w:br/>
        <w:t xml:space="preserve">Email: </w:t>
      </w:r>
      <w:hyperlink r:id="rId198" w:history="1">
        <w:r w:rsidRPr="00014960">
          <w:rPr>
            <w:rStyle w:val="Hyperlink"/>
            <w:b w:val="0"/>
          </w:rPr>
          <w:t>privacy@dhhs.vic.gov.au</w:t>
        </w:r>
      </w:hyperlink>
      <w:bookmarkEnd w:id="682"/>
    </w:p>
    <w:p w14:paraId="7A58057D" w14:textId="476702E6" w:rsidR="00236748" w:rsidRPr="00276391" w:rsidRDefault="00236748" w:rsidP="009B2351">
      <w:pPr>
        <w:pStyle w:val="Heading2"/>
        <w:rPr>
          <w:rFonts w:cs="Arial"/>
          <w:lang w:eastAsia="en-AU"/>
        </w:rPr>
      </w:pPr>
      <w:bookmarkStart w:id="686" w:name="_Toc478991993"/>
      <w:bookmarkStart w:id="687" w:name="_Toc478992471"/>
      <w:bookmarkStart w:id="688" w:name="_Toc478992918"/>
      <w:bookmarkStart w:id="689" w:name="_Toc4142124"/>
      <w:r w:rsidRPr="00276391">
        <w:rPr>
          <w:rFonts w:cs="Arial"/>
          <w:lang w:eastAsia="en-AU"/>
        </w:rPr>
        <w:t>4.</w:t>
      </w:r>
      <w:r w:rsidR="000D4996">
        <w:rPr>
          <w:rFonts w:cs="Arial"/>
          <w:lang w:eastAsia="en-AU"/>
        </w:rPr>
        <w:t>4</w:t>
      </w:r>
      <w:r w:rsidR="009B2351" w:rsidRPr="00276391">
        <w:rPr>
          <w:rFonts w:cs="Arial"/>
          <w:lang w:eastAsia="en-AU"/>
        </w:rPr>
        <w:t xml:space="preserve"> </w:t>
      </w:r>
      <w:r w:rsidRPr="00276391">
        <w:rPr>
          <w:rFonts w:cs="Arial"/>
          <w:lang w:eastAsia="en-AU"/>
        </w:rPr>
        <w:t>Compliment</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complaint</w:t>
      </w:r>
      <w:r w:rsidR="009B2351" w:rsidRPr="00276391">
        <w:rPr>
          <w:rFonts w:cs="Arial"/>
          <w:lang w:eastAsia="en-AU"/>
        </w:rPr>
        <w:t xml:space="preserve"> </w:t>
      </w:r>
      <w:r w:rsidRPr="00276391">
        <w:rPr>
          <w:rFonts w:cs="Arial"/>
          <w:lang w:eastAsia="en-AU"/>
        </w:rPr>
        <w:t>management</w:t>
      </w:r>
      <w:bookmarkEnd w:id="686"/>
      <w:bookmarkEnd w:id="687"/>
      <w:bookmarkEnd w:id="688"/>
      <w:bookmarkEnd w:id="689"/>
    </w:p>
    <w:p w14:paraId="6F3A8BCD" w14:textId="6DFF56A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1914F5">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committed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listening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responding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compliments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important</w:t>
      </w:r>
      <w:r w:rsidR="005D5532" w:rsidRPr="00B24C02">
        <w:rPr>
          <w:rFonts w:cs="Arial"/>
          <w:color w:val="000000"/>
          <w:szCs w:val="19"/>
          <w:lang w:eastAsia="en-AU"/>
        </w:rPr>
        <w:t xml:space="preserve"> </w:t>
      </w:r>
      <w:r w:rsidRPr="00B24C02">
        <w:rPr>
          <w:rFonts w:cs="Arial"/>
          <w:color w:val="000000"/>
          <w:szCs w:val="19"/>
          <w:lang w:eastAsia="en-AU"/>
        </w:rPr>
        <w:t>feedback</w:t>
      </w:r>
      <w:r w:rsidR="005D5532" w:rsidRPr="00B24C02">
        <w:rPr>
          <w:rFonts w:cs="Arial"/>
          <w:color w:val="000000"/>
          <w:szCs w:val="19"/>
          <w:lang w:eastAsia="en-AU"/>
        </w:rPr>
        <w:t xml:space="preserve"> </w:t>
      </w:r>
      <w:r w:rsidRPr="00B24C02">
        <w:rPr>
          <w:rFonts w:cs="Arial"/>
          <w:color w:val="000000"/>
          <w:szCs w:val="19"/>
          <w:lang w:eastAsia="en-AU"/>
        </w:rPr>
        <w:t>informs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development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delivery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enhance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well-being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Victorians.</w:t>
      </w:r>
      <w:r w:rsidR="005D5532" w:rsidRPr="00B24C02">
        <w:rPr>
          <w:rFonts w:cs="Arial"/>
          <w:color w:val="000000"/>
          <w:szCs w:val="19"/>
          <w:lang w:eastAsia="en-AU"/>
        </w:rPr>
        <w:t xml:space="preserve"> </w:t>
      </w:r>
    </w:p>
    <w:p w14:paraId="34121C7A"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aims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responsive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accessing</w:t>
      </w:r>
      <w:r w:rsidR="005D5532" w:rsidRPr="00276391">
        <w:rPr>
          <w:lang w:eastAsia="en-AU"/>
        </w:rPr>
        <w:t xml:space="preserve"> </w:t>
      </w:r>
      <w:r w:rsidRPr="00276391">
        <w:rPr>
          <w:lang w:eastAsia="en-AU"/>
        </w:rPr>
        <w:t>them</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therefore</w:t>
      </w:r>
      <w:r w:rsidR="005D5532" w:rsidRPr="00276391">
        <w:rPr>
          <w:lang w:eastAsia="en-AU"/>
        </w:rPr>
        <w:t xml:space="preserve"> </w:t>
      </w:r>
      <w:r w:rsidRPr="00276391">
        <w:rPr>
          <w:lang w:eastAsia="en-AU"/>
        </w:rPr>
        <w:t>encourages</w:t>
      </w:r>
      <w:r w:rsidR="005D5532" w:rsidRPr="00276391">
        <w:rPr>
          <w:lang w:eastAsia="en-AU"/>
        </w:rPr>
        <w:t xml:space="preserve"> </w:t>
      </w:r>
      <w:r w:rsidRPr="00276391">
        <w:rPr>
          <w:lang w:eastAsia="en-AU"/>
        </w:rPr>
        <w:t>transparent</w:t>
      </w:r>
      <w:r w:rsidR="005D5532" w:rsidRPr="00276391">
        <w:rPr>
          <w:lang w:eastAsia="en-AU"/>
        </w:rPr>
        <w:t xml:space="preserve"> </w:t>
      </w:r>
      <w:r w:rsidRPr="00276391">
        <w:rPr>
          <w:lang w:eastAsia="en-AU"/>
        </w:rPr>
        <w:t>feedback</w:t>
      </w:r>
      <w:r w:rsidR="005D5532" w:rsidRPr="00276391">
        <w:rPr>
          <w:lang w:eastAsia="en-AU"/>
        </w:rPr>
        <w:t xml:space="preserve"> </w:t>
      </w:r>
      <w:r w:rsidRPr="00276391">
        <w:rPr>
          <w:lang w:eastAsia="en-AU"/>
        </w:rPr>
        <w:t>processes.</w:t>
      </w:r>
    </w:p>
    <w:p w14:paraId="35DB4877" w14:textId="77777777" w:rsidR="00236748" w:rsidRPr="00276391" w:rsidRDefault="00236748" w:rsidP="00E10786">
      <w:pPr>
        <w:pStyle w:val="Heading4"/>
        <w:rPr>
          <w:lang w:eastAsia="en-AU"/>
        </w:rPr>
      </w:pPr>
      <w:bookmarkStart w:id="690" w:name="_Toc478991995"/>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690"/>
    </w:p>
    <w:p w14:paraId="3877D665"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specifically</w:t>
      </w:r>
      <w:r w:rsidR="005D5532" w:rsidRPr="00B24C02">
        <w:rPr>
          <w:rFonts w:cs="Arial"/>
          <w:color w:val="000000"/>
          <w:szCs w:val="19"/>
          <w:lang w:eastAsia="en-AU"/>
        </w:rPr>
        <w:t xml:space="preserve"> </w:t>
      </w:r>
      <w:r w:rsidRPr="00B24C02">
        <w:rPr>
          <w:rFonts w:cs="Arial"/>
          <w:color w:val="000000"/>
          <w:szCs w:val="19"/>
          <w:lang w:eastAsia="en-AU"/>
        </w:rPr>
        <w:t>designed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p>
    <w:p w14:paraId="6868C05F" w14:textId="77777777" w:rsidR="00236748" w:rsidRPr="00276391" w:rsidRDefault="00236748" w:rsidP="00E10786">
      <w:pPr>
        <w:pStyle w:val="Heading4"/>
        <w:rPr>
          <w:lang w:eastAsia="en-AU"/>
        </w:rPr>
      </w:pPr>
      <w:bookmarkStart w:id="691" w:name="_Toc478991996"/>
      <w:r w:rsidRPr="00276391">
        <w:rPr>
          <w:lang w:eastAsia="en-AU"/>
        </w:rPr>
        <w:t>Policy</w:t>
      </w:r>
      <w:r w:rsidR="005D5532" w:rsidRPr="00276391">
        <w:rPr>
          <w:lang w:eastAsia="en-AU"/>
        </w:rPr>
        <w:t xml:space="preserve"> </w:t>
      </w:r>
      <w:r w:rsidRPr="00276391">
        <w:rPr>
          <w:lang w:eastAsia="en-AU"/>
        </w:rPr>
        <w:t>purpose</w:t>
      </w:r>
      <w:bookmarkEnd w:id="691"/>
    </w:p>
    <w:p w14:paraId="15A8FAFE"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assist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establishing</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reviewing</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existing</w:t>
      </w:r>
      <w:r w:rsidR="005D5532" w:rsidRPr="00B24C02">
        <w:rPr>
          <w:rFonts w:cs="Arial"/>
          <w:color w:val="000000"/>
          <w:szCs w:val="19"/>
          <w:lang w:eastAsia="en-AU"/>
        </w:rPr>
        <w:t xml:space="preserve"> </w:t>
      </w:r>
      <w:r w:rsidRPr="00B24C02">
        <w:rPr>
          <w:rFonts w:cs="Arial"/>
          <w:color w:val="000000"/>
          <w:szCs w:val="19"/>
          <w:lang w:eastAsia="en-AU"/>
        </w:rPr>
        <w:t>practical</w:t>
      </w:r>
      <w:r w:rsidR="005D5532" w:rsidRPr="00B24C02">
        <w:rPr>
          <w:rFonts w:cs="Arial"/>
          <w:color w:val="000000"/>
          <w:szCs w:val="19"/>
          <w:lang w:eastAsia="en-AU"/>
        </w:rPr>
        <w:t xml:space="preserve"> </w:t>
      </w:r>
      <w:r w:rsidRPr="00B24C02">
        <w:rPr>
          <w:rFonts w:cs="Arial"/>
          <w:color w:val="000000"/>
          <w:szCs w:val="19"/>
          <w:lang w:eastAsia="en-AU"/>
        </w:rPr>
        <w:t>frameworks</w:t>
      </w:r>
      <w:r w:rsidR="005D5532" w:rsidRPr="00B24C02">
        <w:rPr>
          <w:rFonts w:cs="Arial"/>
          <w:color w:val="000000"/>
          <w:szCs w:val="19"/>
          <w:lang w:eastAsia="en-AU"/>
        </w:rPr>
        <w:t xml:space="preserve"> </w:t>
      </w:r>
      <w:r w:rsidRPr="00B24C02">
        <w:rPr>
          <w:rFonts w:cs="Arial"/>
          <w:color w:val="000000"/>
          <w:szCs w:val="19"/>
          <w:lang w:eastAsia="en-AU"/>
        </w:rPr>
        <w:t>relating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forms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feedback.</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adapt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sample</w:t>
      </w:r>
      <w:r w:rsidR="005D5532" w:rsidRPr="00B24C02">
        <w:rPr>
          <w:rFonts w:cs="Arial"/>
          <w:color w:val="000000"/>
          <w:szCs w:val="19"/>
          <w:lang w:eastAsia="en-AU"/>
        </w:rPr>
        <w:t xml:space="preserve"> </w:t>
      </w:r>
      <w:r w:rsidRPr="00B24C02">
        <w:rPr>
          <w:rFonts w:cs="Arial"/>
          <w:color w:val="000000"/>
          <w:szCs w:val="19"/>
          <w:lang w:eastAsia="en-AU"/>
        </w:rPr>
        <w:t>compliment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document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needs.</w:t>
      </w:r>
    </w:p>
    <w:p w14:paraId="0EB1AD21" w14:textId="77777777" w:rsidR="00236748" w:rsidRPr="00276391" w:rsidRDefault="00236748" w:rsidP="00E10786">
      <w:pPr>
        <w:pStyle w:val="Heading4"/>
        <w:rPr>
          <w:lang w:eastAsia="en-AU"/>
        </w:rPr>
      </w:pPr>
      <w:bookmarkStart w:id="692" w:name="_Toc478991997"/>
      <w:r w:rsidRPr="00276391">
        <w:rPr>
          <w:lang w:eastAsia="en-AU"/>
        </w:rPr>
        <w:t>Legislation</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regulation</w:t>
      </w:r>
      <w:bookmarkEnd w:id="692"/>
    </w:p>
    <w:p w14:paraId="514B9012" w14:textId="77777777" w:rsidR="00236748" w:rsidRPr="00276391" w:rsidRDefault="00236748" w:rsidP="00276391">
      <w:pPr>
        <w:pStyle w:val="DHHSbody"/>
        <w:rPr>
          <w:lang w:eastAsia="en-AU"/>
        </w:rPr>
      </w:pPr>
      <w:r w:rsidRPr="00B24C02">
        <w:rPr>
          <w:rFonts w:cs="Arial"/>
          <w:color w:val="000000"/>
          <w:szCs w:val="19"/>
          <w:lang w:eastAsia="en-AU"/>
        </w:rPr>
        <w:t>Some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subject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legislative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frameworks</w:t>
      </w:r>
      <w:r w:rsidR="005D5532" w:rsidRPr="00B24C02">
        <w:rPr>
          <w:rFonts w:cs="Arial"/>
          <w:color w:val="000000"/>
          <w:szCs w:val="19"/>
          <w:lang w:eastAsia="en-AU"/>
        </w:rPr>
        <w:t xml:space="preserve"> </w:t>
      </w:r>
      <w:r w:rsidRPr="00B24C02">
        <w:rPr>
          <w:rFonts w:cs="Arial"/>
          <w:color w:val="000000"/>
          <w:szCs w:val="19"/>
          <w:lang w:eastAsia="en-AU"/>
        </w:rPr>
        <w:t>governing</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approach</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1914F5">
        <w:rPr>
          <w:rFonts w:cs="Arial"/>
          <w:i/>
          <w:color w:val="000000"/>
          <w:szCs w:val="19"/>
          <w:lang w:eastAsia="en-AU"/>
        </w:rPr>
        <w:t>Disability</w:t>
      </w:r>
      <w:r w:rsidR="005D5532" w:rsidRPr="001914F5">
        <w:rPr>
          <w:rFonts w:cs="Arial"/>
          <w:i/>
          <w:color w:val="000000"/>
          <w:szCs w:val="19"/>
          <w:lang w:eastAsia="en-AU"/>
        </w:rPr>
        <w:t xml:space="preserve"> </w:t>
      </w:r>
      <w:r w:rsidRPr="001914F5">
        <w:rPr>
          <w:rFonts w:cs="Arial"/>
          <w:i/>
          <w:color w:val="000000"/>
          <w:szCs w:val="19"/>
          <w:lang w:eastAsia="en-AU"/>
        </w:rPr>
        <w:t>Act</w:t>
      </w:r>
      <w:r w:rsidR="005D5532" w:rsidRPr="001914F5">
        <w:rPr>
          <w:rFonts w:cs="Arial"/>
          <w:i/>
          <w:color w:val="000000"/>
          <w:szCs w:val="19"/>
          <w:lang w:eastAsia="en-AU"/>
        </w:rPr>
        <w:t xml:space="preserve"> </w:t>
      </w:r>
      <w:r w:rsidRPr="001914F5">
        <w:rPr>
          <w:rFonts w:cs="Arial"/>
          <w:i/>
          <w:color w:val="000000"/>
          <w:szCs w:val="19"/>
          <w:lang w:eastAsia="en-AU"/>
        </w:rPr>
        <w:t>2006</w:t>
      </w:r>
      <w:r w:rsidRPr="00B24C02">
        <w:rPr>
          <w:rFonts w:cs="Arial"/>
          <w:color w:val="000000"/>
          <w:szCs w:val="19"/>
          <w:lang w:eastAsia="en-AU"/>
        </w:rPr>
        <w:t>,</w:t>
      </w:r>
      <w:r w:rsidR="005D5532" w:rsidRPr="00B24C02">
        <w:rPr>
          <w:rFonts w:cs="Arial"/>
          <w:color w:val="000000"/>
          <w:szCs w:val="19"/>
          <w:lang w:eastAsia="en-AU"/>
        </w:rPr>
        <w:t xml:space="preserve"> </w:t>
      </w:r>
      <w:r w:rsidRPr="001914F5">
        <w:rPr>
          <w:rFonts w:cs="Arial"/>
          <w:i/>
          <w:color w:val="000000"/>
          <w:szCs w:val="19"/>
          <w:lang w:eastAsia="en-AU"/>
        </w:rPr>
        <w:lastRenderedPageBreak/>
        <w:t>Mental</w:t>
      </w:r>
      <w:r w:rsidR="005D5532" w:rsidRPr="001914F5">
        <w:rPr>
          <w:rFonts w:cs="Arial"/>
          <w:i/>
          <w:color w:val="000000"/>
          <w:szCs w:val="19"/>
          <w:lang w:eastAsia="en-AU"/>
        </w:rPr>
        <w:t xml:space="preserve"> </w:t>
      </w:r>
      <w:r w:rsidRPr="001914F5">
        <w:rPr>
          <w:rFonts w:cs="Arial"/>
          <w:i/>
          <w:color w:val="000000"/>
          <w:szCs w:val="19"/>
          <w:lang w:eastAsia="en-AU"/>
        </w:rPr>
        <w:t>Health</w:t>
      </w:r>
      <w:r w:rsidR="005D5532" w:rsidRPr="001914F5">
        <w:rPr>
          <w:rFonts w:cs="Arial"/>
          <w:i/>
          <w:color w:val="000000"/>
          <w:szCs w:val="19"/>
          <w:lang w:eastAsia="en-AU"/>
        </w:rPr>
        <w:t xml:space="preserve"> </w:t>
      </w:r>
      <w:r w:rsidRPr="001914F5">
        <w:rPr>
          <w:rFonts w:cs="Arial"/>
          <w:i/>
          <w:color w:val="000000"/>
          <w:szCs w:val="19"/>
          <w:lang w:eastAsia="en-AU"/>
        </w:rPr>
        <w:t>Act</w:t>
      </w:r>
      <w:r w:rsidR="005D5532" w:rsidRPr="001914F5">
        <w:rPr>
          <w:rFonts w:cs="Arial"/>
          <w:i/>
          <w:color w:val="000000"/>
          <w:szCs w:val="19"/>
          <w:lang w:eastAsia="en-AU"/>
        </w:rPr>
        <w:t xml:space="preserve"> </w:t>
      </w:r>
      <w:r w:rsidRPr="001914F5">
        <w:rPr>
          <w:rFonts w:cs="Arial"/>
          <w:i/>
          <w:color w:val="000000"/>
          <w:szCs w:val="19"/>
          <w:lang w:eastAsia="en-AU"/>
        </w:rPr>
        <w:t>2014</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National</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Quality</w:t>
      </w:r>
      <w:r w:rsidR="005D5532" w:rsidRPr="00B24C02">
        <w:rPr>
          <w:rFonts w:cs="Arial"/>
          <w:color w:val="000000"/>
          <w:szCs w:val="19"/>
          <w:lang w:eastAsia="en-AU"/>
        </w:rPr>
        <w:t xml:space="preserve"> </w:t>
      </w:r>
      <w:r w:rsidRPr="00B24C02">
        <w:rPr>
          <w:rFonts w:cs="Arial"/>
          <w:color w:val="000000"/>
          <w:szCs w:val="19"/>
          <w:lang w:eastAsia="en-AU"/>
        </w:rPr>
        <w:t>Standards.</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fully</w:t>
      </w:r>
      <w:r w:rsidR="005D5532" w:rsidRPr="00B24C02">
        <w:rPr>
          <w:rFonts w:cs="Arial"/>
          <w:color w:val="000000"/>
          <w:szCs w:val="19"/>
          <w:lang w:eastAsia="en-AU"/>
        </w:rPr>
        <w:t xml:space="preserve"> </w:t>
      </w:r>
      <w:r w:rsidRPr="00B24C02">
        <w:rPr>
          <w:rFonts w:cs="Arial"/>
          <w:color w:val="000000"/>
          <w:szCs w:val="19"/>
          <w:lang w:eastAsia="en-AU"/>
        </w:rPr>
        <w:t>informed</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they</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them.</w:t>
      </w:r>
    </w:p>
    <w:p w14:paraId="5AE2EE82" w14:textId="77777777" w:rsidR="00236748" w:rsidRPr="00276391" w:rsidRDefault="00236748" w:rsidP="00E10786">
      <w:pPr>
        <w:pStyle w:val="Heading4"/>
        <w:rPr>
          <w:lang w:eastAsia="en-AU"/>
        </w:rPr>
      </w:pPr>
      <w:bookmarkStart w:id="693" w:name="_Toc478991998"/>
      <w:r w:rsidRPr="00276391">
        <w:rPr>
          <w:lang w:eastAsia="en-AU"/>
        </w:rPr>
        <w:t>Client</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Charter</w:t>
      </w:r>
      <w:bookmarkEnd w:id="693"/>
    </w:p>
    <w:p w14:paraId="4EE4E79D" w14:textId="11E78F9C"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additional</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brochure,</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199" w:tgtFrame="_blank" w:history="1">
        <w:r w:rsidRPr="00BD263B">
          <w:rPr>
            <w:rStyle w:val="Hyperlink"/>
            <w:rFonts w:cs="Arial"/>
            <w:szCs w:val="19"/>
            <w:lang w:eastAsia="en-AU"/>
          </w:rPr>
          <w:t>department's</w:t>
        </w:r>
        <w:r w:rsidR="005D5532" w:rsidRPr="00BD263B">
          <w:rPr>
            <w:rStyle w:val="Hyperlink"/>
            <w:rFonts w:cs="Arial"/>
            <w:szCs w:val="19"/>
            <w:lang w:eastAsia="en-AU"/>
          </w:rPr>
          <w:t xml:space="preserve"> </w:t>
        </w:r>
        <w:r w:rsidRPr="00BD263B">
          <w:rPr>
            <w:rStyle w:val="Hyperlink"/>
          </w:rPr>
          <w:t>Client</w:t>
        </w:r>
        <w:r w:rsidR="005D5532" w:rsidRPr="00BD263B">
          <w:rPr>
            <w:rStyle w:val="Hyperlink"/>
          </w:rPr>
          <w:t xml:space="preserve"> </w:t>
        </w:r>
        <w:r w:rsidRPr="00BD263B">
          <w:rPr>
            <w:rStyle w:val="Hyperlink"/>
          </w:rPr>
          <w:t>Services</w:t>
        </w:r>
        <w:r w:rsidR="005D5532" w:rsidRPr="00BD263B">
          <w:rPr>
            <w:rStyle w:val="Hyperlink"/>
          </w:rPr>
          <w:t xml:space="preserve"> </w:t>
        </w:r>
        <w:r w:rsidRPr="00BD263B">
          <w:rPr>
            <w:rStyle w:val="Hyperlink"/>
          </w:rPr>
          <w:t>Charter</w:t>
        </w:r>
      </w:hyperlink>
      <w:r w:rsidR="005D5532" w:rsidRPr="00B24C02">
        <w:rPr>
          <w:rFonts w:cs="Arial"/>
          <w:color w:val="000000"/>
          <w:szCs w:val="19"/>
          <w:lang w:eastAsia="en-AU"/>
        </w:rPr>
        <w:t xml:space="preserve"> </w:t>
      </w:r>
      <w:r w:rsidR="00C3600A">
        <w:rPr>
          <w:rFonts w:cs="Arial"/>
          <w:color w:val="000000"/>
          <w:szCs w:val="19"/>
          <w:lang w:eastAsia="en-AU"/>
        </w:rPr>
        <w:t>&lt;</w:t>
      </w:r>
      <w:r w:rsidR="00BD263B" w:rsidRPr="00BD263B">
        <w:rPr>
          <w:rFonts w:cs="Arial"/>
          <w:color w:val="000000"/>
          <w:szCs w:val="19"/>
          <w:lang w:eastAsia="en-AU"/>
        </w:rPr>
        <w:t>https://dhhs.vic.gov.au/publications/client-services-charter</w:t>
      </w:r>
      <w:r w:rsidR="00C3600A">
        <w:rPr>
          <w:rFonts w:cs="Arial"/>
          <w:color w:val="000000"/>
          <w:szCs w:val="19"/>
          <w:lang w:eastAsia="en-AU"/>
        </w:rPr>
        <w:t>&gt;</w:t>
      </w:r>
      <w:r w:rsidR="00C3600A" w:rsidRPr="00C3600A">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web</w:t>
      </w:r>
      <w:r w:rsidR="005D5532" w:rsidRPr="00B24C02">
        <w:rPr>
          <w:rFonts w:cs="Arial"/>
          <w:color w:val="000000"/>
          <w:szCs w:val="19"/>
          <w:lang w:eastAsia="en-AU"/>
        </w:rPr>
        <w:t xml:space="preserve"> </w:t>
      </w:r>
      <w:r w:rsidRPr="00B24C02">
        <w:rPr>
          <w:rFonts w:cs="Arial"/>
          <w:color w:val="000000"/>
          <w:szCs w:val="19"/>
          <w:lang w:eastAsia="en-AU"/>
        </w:rPr>
        <w:t>page.</w:t>
      </w:r>
      <w:r w:rsidR="006250C7">
        <w:rPr>
          <w:rFonts w:cs="Arial"/>
          <w:color w:val="000000"/>
          <w:szCs w:val="19"/>
          <w:lang w:eastAsia="en-AU"/>
        </w:rPr>
        <w:t xml:space="preserve"> </w:t>
      </w:r>
    </w:p>
    <w:p w14:paraId="3E964B93" w14:textId="77777777" w:rsidR="00236748" w:rsidRPr="00276391" w:rsidRDefault="00236748" w:rsidP="00E10786">
      <w:pPr>
        <w:pStyle w:val="Heading4"/>
        <w:rPr>
          <w:lang w:eastAsia="en-AU"/>
        </w:rPr>
      </w:pPr>
      <w:bookmarkStart w:id="694" w:name="_Toc478991999"/>
      <w:r w:rsidRPr="00276391">
        <w:rPr>
          <w:lang w:eastAsia="en-AU"/>
        </w:rPr>
        <w:t>Organisation</w:t>
      </w:r>
      <w:r w:rsidR="005D5532" w:rsidRPr="00276391">
        <w:rPr>
          <w:lang w:eastAsia="en-AU"/>
        </w:rPr>
        <w:t xml:space="preserve"> </w:t>
      </w:r>
      <w:r w:rsidRPr="00276391">
        <w:rPr>
          <w:lang w:eastAsia="en-AU"/>
        </w:rPr>
        <w:t>requirements</w:t>
      </w:r>
      <w:bookmarkEnd w:id="694"/>
    </w:p>
    <w:p w14:paraId="26DE2291" w14:textId="4789B553" w:rsidR="00236748" w:rsidRPr="00276391" w:rsidRDefault="00236748" w:rsidP="00276391">
      <w:pPr>
        <w:pStyle w:val="DHHSbody"/>
        <w:rPr>
          <w:lang w:eastAsia="en-AU"/>
        </w:rPr>
      </w:pP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important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compliments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managed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line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4D0219">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guiding</w:t>
      </w:r>
      <w:r w:rsidR="005D5532" w:rsidRPr="00B24C02">
        <w:rPr>
          <w:rFonts w:cs="Arial"/>
          <w:color w:val="000000"/>
          <w:szCs w:val="19"/>
          <w:lang w:eastAsia="en-AU"/>
        </w:rPr>
        <w:t xml:space="preserve"> </w:t>
      </w:r>
      <w:r w:rsidRPr="00B24C02">
        <w:rPr>
          <w:rFonts w:cs="Arial"/>
          <w:color w:val="000000"/>
          <w:szCs w:val="19"/>
          <w:lang w:eastAsia="en-AU"/>
        </w:rPr>
        <w:t>principles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visibility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accessibility,</w:t>
      </w:r>
      <w:r w:rsidR="005D5532" w:rsidRPr="00B24C02">
        <w:rPr>
          <w:rFonts w:cs="Arial"/>
          <w:color w:val="000000"/>
          <w:szCs w:val="19"/>
          <w:lang w:eastAsia="en-AU"/>
        </w:rPr>
        <w:t xml:space="preserve"> </w:t>
      </w:r>
      <w:r w:rsidRPr="00B24C02">
        <w:rPr>
          <w:rFonts w:cs="Arial"/>
          <w:color w:val="000000"/>
          <w:szCs w:val="19"/>
          <w:lang w:eastAsia="en-AU"/>
        </w:rPr>
        <w:t>responsiveness,</w:t>
      </w:r>
      <w:r w:rsidR="005D5532" w:rsidRPr="00B24C02">
        <w:rPr>
          <w:rFonts w:cs="Arial"/>
          <w:color w:val="000000"/>
          <w:szCs w:val="19"/>
          <w:lang w:eastAsia="en-AU"/>
        </w:rPr>
        <w:t xml:space="preserve"> </w:t>
      </w:r>
      <w:r w:rsidRPr="00B24C02">
        <w:rPr>
          <w:rFonts w:cs="Arial"/>
          <w:color w:val="000000"/>
          <w:szCs w:val="19"/>
          <w:lang w:eastAsia="en-AU"/>
        </w:rPr>
        <w:t>assessment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investigation,</w:t>
      </w:r>
      <w:r w:rsidR="005D5532" w:rsidRPr="00B24C02">
        <w:rPr>
          <w:rFonts w:cs="Arial"/>
          <w:color w:val="000000"/>
          <w:szCs w:val="19"/>
          <w:lang w:eastAsia="en-AU"/>
        </w:rPr>
        <w:t xml:space="preserve"> </w:t>
      </w:r>
      <w:r w:rsidRPr="00B24C02">
        <w:rPr>
          <w:rFonts w:cs="Arial"/>
          <w:color w:val="000000"/>
          <w:szCs w:val="19"/>
          <w:lang w:eastAsia="en-AU"/>
        </w:rPr>
        <w:t>feedback,</w:t>
      </w:r>
      <w:r w:rsidR="005D5532" w:rsidRPr="00B24C02">
        <w:rPr>
          <w:rFonts w:cs="Arial"/>
          <w:color w:val="000000"/>
          <w:szCs w:val="19"/>
          <w:lang w:eastAsia="en-AU"/>
        </w:rPr>
        <w:t xml:space="preserve"> </w:t>
      </w:r>
      <w:r w:rsidRPr="00B24C02">
        <w:rPr>
          <w:rFonts w:cs="Arial"/>
          <w:color w:val="000000"/>
          <w:szCs w:val="19"/>
          <w:lang w:eastAsia="en-AU"/>
        </w:rPr>
        <w:t>improvement</w:t>
      </w:r>
      <w:r w:rsidR="005D5532" w:rsidRPr="00B24C02">
        <w:rPr>
          <w:rFonts w:cs="Arial"/>
          <w:color w:val="000000"/>
          <w:szCs w:val="19"/>
          <w:lang w:eastAsia="en-AU"/>
        </w:rPr>
        <w:t xml:space="preserve"> </w:t>
      </w:r>
      <w:r w:rsidRPr="00B24C02">
        <w:rPr>
          <w:rFonts w:cs="Arial"/>
          <w:color w:val="000000"/>
          <w:szCs w:val="19"/>
          <w:lang w:eastAsia="en-AU"/>
        </w:rPr>
        <w:t>focussed</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excellence.</w:t>
      </w:r>
    </w:p>
    <w:p w14:paraId="32E0D830" w14:textId="77777777" w:rsidR="00236748" w:rsidRPr="00276391" w:rsidRDefault="00236748" w:rsidP="00276391">
      <w:pPr>
        <w:pStyle w:val="DHHSbody"/>
        <w:rPr>
          <w:lang w:eastAsia="en-AU"/>
        </w:rPr>
      </w:pPr>
      <w:r w:rsidRPr="00276391">
        <w:rPr>
          <w:lang w:eastAsia="en-AU"/>
        </w:rPr>
        <w:t>Compliments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handled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instance.</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accessible,</w:t>
      </w:r>
      <w:r w:rsidR="005D5532" w:rsidRPr="00276391">
        <w:rPr>
          <w:lang w:eastAsia="en-AU"/>
        </w:rPr>
        <w:t xml:space="preserve"> </w:t>
      </w:r>
      <w:r w:rsidRPr="00276391">
        <w:rPr>
          <w:lang w:eastAsia="en-AU"/>
        </w:rPr>
        <w:t>responsive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transparent</w:t>
      </w:r>
      <w:r w:rsidR="005D5532" w:rsidRPr="00276391">
        <w:rPr>
          <w:lang w:eastAsia="en-AU"/>
        </w:rPr>
        <w:t xml:space="preserve"> </w:t>
      </w:r>
      <w:r w:rsidRPr="00276391">
        <w:rPr>
          <w:lang w:eastAsia="en-AU"/>
        </w:rPr>
        <w:t>compliments,</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feedback</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continuous</w:t>
      </w:r>
      <w:r w:rsidR="005D5532" w:rsidRPr="00276391">
        <w:rPr>
          <w:lang w:eastAsia="en-AU"/>
        </w:rPr>
        <w:t xml:space="preserve"> </w:t>
      </w:r>
      <w:r w:rsidRPr="00276391">
        <w:rPr>
          <w:lang w:eastAsia="en-AU"/>
        </w:rPr>
        <w:t>improvement.</w:t>
      </w:r>
    </w:p>
    <w:p w14:paraId="76D27629" w14:textId="61362466" w:rsidR="00236748" w:rsidRPr="00276391" w:rsidRDefault="00236748" w:rsidP="00276391">
      <w:pPr>
        <w:pStyle w:val="DHHSbody"/>
        <w:rPr>
          <w:lang w:eastAsia="en-AU"/>
        </w:rPr>
      </w:pPr>
      <w:r w:rsidRPr="00276391">
        <w:rPr>
          <w:lang w:eastAsia="en-AU"/>
        </w:rPr>
        <w:t>Each</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decide</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compliments,</w:t>
      </w:r>
      <w:r w:rsidR="005D5532" w:rsidRPr="00276391">
        <w:rPr>
          <w:lang w:eastAsia="en-AU"/>
        </w:rPr>
        <w:t xml:space="preserve"> </w:t>
      </w:r>
      <w:r w:rsidRPr="00276391">
        <w:rPr>
          <w:lang w:eastAsia="en-AU"/>
        </w:rPr>
        <w:t>complaints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feedback</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most</w:t>
      </w:r>
      <w:r w:rsidR="005D5532" w:rsidRPr="00276391">
        <w:rPr>
          <w:lang w:eastAsia="en-AU"/>
        </w:rPr>
        <w:t xml:space="preserve"> </w:t>
      </w:r>
      <w:r w:rsidRPr="00276391">
        <w:rPr>
          <w:lang w:eastAsia="en-AU"/>
        </w:rPr>
        <w:t>effectively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context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while</w:t>
      </w:r>
      <w:r w:rsidR="005D5532" w:rsidRPr="00276391">
        <w:rPr>
          <w:lang w:eastAsia="en-AU"/>
        </w:rPr>
        <w:t xml:space="preserve"> </w:t>
      </w:r>
      <w:r w:rsidRPr="00276391">
        <w:rPr>
          <w:lang w:eastAsia="en-AU"/>
        </w:rPr>
        <w:t>adhering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4D0219">
        <w:rPr>
          <w:lang w:eastAsia="en-AU"/>
        </w:rPr>
        <w:t>department’s</w:t>
      </w:r>
      <w:r w:rsidR="005D5532" w:rsidRPr="00276391">
        <w:rPr>
          <w:lang w:eastAsia="en-AU"/>
        </w:rPr>
        <w:t xml:space="preserve"> </w:t>
      </w:r>
      <w:r w:rsidRPr="00276391">
        <w:rPr>
          <w:lang w:eastAsia="en-AU"/>
        </w:rPr>
        <w:t>principles.</w:t>
      </w:r>
    </w:p>
    <w:p w14:paraId="030C031A" w14:textId="77777777" w:rsidR="00236748" w:rsidRPr="00276391" w:rsidRDefault="00236748" w:rsidP="001A0795">
      <w:pPr>
        <w:pStyle w:val="Heading4"/>
        <w:rPr>
          <w:lang w:eastAsia="en-AU"/>
        </w:rPr>
      </w:pPr>
      <w:bookmarkStart w:id="695" w:name="_Toc478992000"/>
      <w:r w:rsidRPr="00276391">
        <w:rPr>
          <w:lang w:eastAsia="en-AU"/>
        </w:rPr>
        <w:t>What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complaint?</w:t>
      </w:r>
      <w:bookmarkEnd w:id="695"/>
    </w:p>
    <w:p w14:paraId="7EDFA7D3" w14:textId="36436382"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4D0219">
        <w:rPr>
          <w:rFonts w:cs="Arial"/>
          <w:color w:val="000000"/>
          <w:szCs w:val="19"/>
          <w:lang w:eastAsia="en-AU"/>
        </w:rPr>
        <w:t>’s</w:t>
      </w:r>
      <w:r w:rsidR="005D5532" w:rsidRPr="00B24C02">
        <w:rPr>
          <w:rFonts w:cs="Arial"/>
          <w:color w:val="000000"/>
          <w:szCs w:val="19"/>
          <w:lang w:eastAsia="en-AU"/>
        </w:rPr>
        <w:t xml:space="preserve"> </w:t>
      </w:r>
      <w:r w:rsidRPr="00B24C02">
        <w:rPr>
          <w:rFonts w:cs="Arial"/>
          <w:color w:val="000000"/>
          <w:szCs w:val="19"/>
          <w:lang w:eastAsia="en-AU"/>
        </w:rPr>
        <w:t>definition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taken</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Australian</w:t>
      </w:r>
      <w:r w:rsidR="005D5532" w:rsidRPr="00B24C02">
        <w:rPr>
          <w:rFonts w:cs="Arial"/>
          <w:color w:val="000000"/>
          <w:szCs w:val="19"/>
          <w:lang w:eastAsia="en-AU"/>
        </w:rPr>
        <w:t xml:space="preserve"> </w:t>
      </w:r>
      <w:r w:rsidRPr="00B24C02">
        <w:rPr>
          <w:rFonts w:cs="Arial"/>
          <w:color w:val="000000"/>
          <w:szCs w:val="19"/>
          <w:lang w:eastAsia="en-AU"/>
        </w:rPr>
        <w:t>Standard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ISO</w:t>
      </w:r>
      <w:r w:rsidR="005D5532" w:rsidRPr="00B24C02">
        <w:rPr>
          <w:rFonts w:cs="Arial"/>
          <w:color w:val="000000"/>
          <w:szCs w:val="19"/>
          <w:lang w:eastAsia="en-AU"/>
        </w:rPr>
        <w:t xml:space="preserve"> </w:t>
      </w:r>
      <w:r w:rsidRPr="00B24C02">
        <w:rPr>
          <w:rFonts w:cs="Arial"/>
          <w:color w:val="000000"/>
          <w:szCs w:val="19"/>
          <w:lang w:eastAsia="en-AU"/>
        </w:rPr>
        <w:t>10002-2014</w:t>
      </w:r>
      <w:r w:rsidR="005D5532" w:rsidRPr="00B24C02">
        <w:rPr>
          <w:rFonts w:cs="Arial"/>
          <w:color w:val="000000"/>
          <w:szCs w:val="19"/>
          <w:lang w:eastAsia="en-AU"/>
        </w:rPr>
        <w:t xml:space="preserve"> </w:t>
      </w:r>
      <w:r w:rsidRPr="00B24C02">
        <w:rPr>
          <w:rFonts w:cs="Arial"/>
          <w:color w:val="000000"/>
          <w:szCs w:val="19"/>
          <w:lang w:eastAsia="en-AU"/>
        </w:rPr>
        <w:t>Customer</w:t>
      </w:r>
      <w:r w:rsidR="005D5532" w:rsidRPr="00B24C02">
        <w:rPr>
          <w:rFonts w:cs="Arial"/>
          <w:color w:val="000000"/>
          <w:szCs w:val="19"/>
          <w:lang w:eastAsia="en-AU"/>
        </w:rPr>
        <w:t xml:space="preserve"> </w:t>
      </w:r>
      <w:r w:rsidRPr="00B24C02">
        <w:rPr>
          <w:rFonts w:cs="Arial"/>
          <w:color w:val="000000"/>
          <w:szCs w:val="19"/>
          <w:lang w:eastAsia="en-AU"/>
        </w:rPr>
        <w:t>Satisfaction</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Guidelines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defined</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expression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dissatisfaction</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related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products,</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where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response</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resolution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explicitly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implicitly</w:t>
      </w:r>
      <w:r w:rsidR="005D5532" w:rsidRPr="00B24C02">
        <w:rPr>
          <w:rFonts w:cs="Arial"/>
          <w:color w:val="000000"/>
          <w:szCs w:val="19"/>
          <w:lang w:eastAsia="en-AU"/>
        </w:rPr>
        <w:t xml:space="preserve"> </w:t>
      </w:r>
      <w:r w:rsidRPr="00B24C02">
        <w:rPr>
          <w:rFonts w:cs="Arial"/>
          <w:color w:val="000000"/>
          <w:szCs w:val="19"/>
          <w:lang w:eastAsia="en-AU"/>
        </w:rPr>
        <w:t>expected’.</w:t>
      </w:r>
    </w:p>
    <w:p w14:paraId="65365060" w14:textId="77777777" w:rsidR="00236748" w:rsidRPr="00276391" w:rsidRDefault="00236748" w:rsidP="001A0795">
      <w:pPr>
        <w:pStyle w:val="Heading4"/>
        <w:rPr>
          <w:lang w:eastAsia="en-AU"/>
        </w:rPr>
      </w:pPr>
      <w:bookmarkStart w:id="696" w:name="_Toc478992001"/>
      <w:r w:rsidRPr="00276391">
        <w:rPr>
          <w:lang w:eastAsia="en-AU"/>
        </w:rPr>
        <w:t>What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compliment?</w:t>
      </w:r>
      <w:bookmarkEnd w:id="696"/>
    </w:p>
    <w:p w14:paraId="6FB6540E"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compliment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expression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praise,</w:t>
      </w:r>
      <w:r w:rsidR="005D5532" w:rsidRPr="00B24C02">
        <w:rPr>
          <w:rFonts w:cs="Arial"/>
          <w:color w:val="000000"/>
          <w:szCs w:val="19"/>
          <w:lang w:eastAsia="en-AU"/>
        </w:rPr>
        <w:t xml:space="preserve"> </w:t>
      </w:r>
      <w:r w:rsidRPr="00B24C02">
        <w:rPr>
          <w:rFonts w:cs="Arial"/>
          <w:color w:val="000000"/>
          <w:szCs w:val="19"/>
          <w:lang w:eastAsia="en-AU"/>
        </w:rPr>
        <w:t>encouragement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gratitude</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regulated</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individual</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member,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team</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service.</w:t>
      </w:r>
    </w:p>
    <w:p w14:paraId="40C38D7B" w14:textId="77777777" w:rsidR="00236748" w:rsidRPr="00276391" w:rsidRDefault="00236748" w:rsidP="001A0795">
      <w:pPr>
        <w:pStyle w:val="Heading4"/>
        <w:rPr>
          <w:lang w:eastAsia="en-AU"/>
        </w:rPr>
      </w:pPr>
      <w:bookmarkStart w:id="697" w:name="_Toc478992002"/>
      <w:r w:rsidRPr="00276391">
        <w:rPr>
          <w:lang w:eastAsia="en-AU"/>
        </w:rPr>
        <w:t>Sample</w:t>
      </w:r>
      <w:r w:rsidR="005D5532" w:rsidRPr="00276391">
        <w:rPr>
          <w:lang w:eastAsia="en-AU"/>
        </w:rPr>
        <w:t xml:space="preserve"> </w:t>
      </w:r>
      <w:r w:rsidRPr="00276391">
        <w:rPr>
          <w:lang w:eastAsia="en-AU"/>
        </w:rPr>
        <w:t>compliment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complaint</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policy</w:t>
      </w:r>
      <w:bookmarkEnd w:id="697"/>
    </w:p>
    <w:p w14:paraId="09EEB01B" w14:textId="73ED6F82" w:rsidR="007F0574" w:rsidRPr="00017D93" w:rsidRDefault="00236748" w:rsidP="007F0574">
      <w:pPr>
        <w:pStyle w:val="DHHSbody"/>
        <w:rPr>
          <w:rFonts w:cs="Arial"/>
          <w:color w:val="000000"/>
          <w:szCs w:val="19"/>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generic</w:t>
      </w:r>
      <w:r w:rsidR="005D5532" w:rsidRPr="00B24C02">
        <w:rPr>
          <w:rFonts w:cs="Arial"/>
          <w:color w:val="000000"/>
          <w:szCs w:val="19"/>
          <w:lang w:eastAsia="en-AU"/>
        </w:rPr>
        <w:t xml:space="preserve"> </w:t>
      </w:r>
      <w:r w:rsidRPr="00B24C02">
        <w:rPr>
          <w:rFonts w:cs="Arial"/>
          <w:color w:val="000000"/>
          <w:szCs w:val="19"/>
          <w:lang w:eastAsia="en-AU"/>
        </w:rPr>
        <w:t>sample</w:t>
      </w:r>
      <w:r w:rsidR="005D5532" w:rsidRPr="00B24C02">
        <w:rPr>
          <w:rFonts w:cs="Arial"/>
          <w:color w:val="000000"/>
          <w:szCs w:val="19"/>
          <w:lang w:eastAsia="en-AU"/>
        </w:rPr>
        <w:t xml:space="preserve"> </w:t>
      </w:r>
      <w:r w:rsidRPr="00B24C02">
        <w:rPr>
          <w:rFonts w:cs="Arial"/>
          <w:color w:val="000000"/>
          <w:szCs w:val="19"/>
          <w:lang w:eastAsia="en-AU"/>
        </w:rPr>
        <w:t>compliment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document</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specifically</w:t>
      </w:r>
      <w:r w:rsidR="005D5532" w:rsidRPr="00B24C02">
        <w:rPr>
          <w:rFonts w:cs="Arial"/>
          <w:color w:val="000000"/>
          <w:szCs w:val="19"/>
          <w:lang w:eastAsia="en-AU"/>
        </w:rPr>
        <w:t xml:space="preserve"> </w:t>
      </w:r>
      <w:r w:rsidRPr="00B24C02">
        <w:rPr>
          <w:rFonts w:cs="Arial"/>
          <w:color w:val="000000"/>
          <w:szCs w:val="19"/>
          <w:lang w:eastAsia="en-AU"/>
        </w:rPr>
        <w:t>designed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assist</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establishing</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reviewing</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existing</w:t>
      </w:r>
      <w:r w:rsidR="005D5532" w:rsidRPr="00B24C02">
        <w:rPr>
          <w:rFonts w:cs="Arial"/>
          <w:color w:val="000000"/>
          <w:szCs w:val="19"/>
          <w:lang w:eastAsia="en-AU"/>
        </w:rPr>
        <w:t xml:space="preserve"> </w:t>
      </w:r>
      <w:r w:rsidRPr="00B24C02">
        <w:rPr>
          <w:rFonts w:cs="Arial"/>
          <w:color w:val="000000"/>
          <w:szCs w:val="19"/>
          <w:lang w:eastAsia="en-AU"/>
        </w:rPr>
        <w:t>practical</w:t>
      </w:r>
      <w:r w:rsidR="005D5532" w:rsidRPr="00B24C02">
        <w:rPr>
          <w:rFonts w:cs="Arial"/>
          <w:color w:val="000000"/>
          <w:szCs w:val="19"/>
          <w:lang w:eastAsia="en-AU"/>
        </w:rPr>
        <w:t xml:space="preserve"> </w:t>
      </w:r>
      <w:r w:rsidRPr="00B24C02">
        <w:rPr>
          <w:rFonts w:cs="Arial"/>
          <w:color w:val="000000"/>
          <w:szCs w:val="19"/>
          <w:lang w:eastAsia="en-AU"/>
        </w:rPr>
        <w:t>frameworks</w:t>
      </w:r>
      <w:r w:rsidR="005D5532" w:rsidRPr="00B24C02">
        <w:rPr>
          <w:rFonts w:cs="Arial"/>
          <w:color w:val="000000"/>
          <w:szCs w:val="19"/>
          <w:lang w:eastAsia="en-AU"/>
        </w:rPr>
        <w:t xml:space="preserve"> </w:t>
      </w:r>
      <w:r w:rsidRPr="00B24C02">
        <w:rPr>
          <w:rFonts w:cs="Arial"/>
          <w:color w:val="000000"/>
          <w:szCs w:val="19"/>
          <w:lang w:eastAsia="en-AU"/>
        </w:rPr>
        <w:t>relating</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compliments,</w:t>
      </w:r>
      <w:r w:rsidR="005D5532" w:rsidRPr="00B24C02">
        <w:rPr>
          <w:rFonts w:cs="Arial"/>
          <w:color w:val="000000"/>
          <w:szCs w:val="19"/>
          <w:lang w:eastAsia="en-AU"/>
        </w:rPr>
        <w:t xml:space="preserve"> </w:t>
      </w:r>
      <w:r w:rsidRPr="00B24C02">
        <w:rPr>
          <w:rFonts w:cs="Arial"/>
          <w:color w:val="000000"/>
          <w:szCs w:val="19"/>
          <w:lang w:eastAsia="en-AU"/>
        </w:rPr>
        <w:t>complaints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other</w:t>
      </w:r>
      <w:r w:rsidR="005D5532" w:rsidRPr="00B24C02">
        <w:rPr>
          <w:rFonts w:cs="Arial"/>
          <w:color w:val="000000"/>
          <w:szCs w:val="19"/>
          <w:lang w:eastAsia="en-AU"/>
        </w:rPr>
        <w:t xml:space="preserve"> </w:t>
      </w:r>
      <w:r w:rsidRPr="00B24C02">
        <w:rPr>
          <w:rFonts w:cs="Arial"/>
          <w:color w:val="000000"/>
          <w:szCs w:val="19"/>
          <w:lang w:eastAsia="en-AU"/>
        </w:rPr>
        <w:t>forms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feedback.</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adapt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sample</w:t>
      </w:r>
      <w:r w:rsidR="005D5532" w:rsidRPr="00B24C02">
        <w:rPr>
          <w:rFonts w:cs="Arial"/>
          <w:color w:val="000000"/>
          <w:szCs w:val="19"/>
          <w:lang w:eastAsia="en-AU"/>
        </w:rPr>
        <w:t xml:space="preserve"> </w:t>
      </w:r>
      <w:r w:rsidRPr="00B24C02">
        <w:rPr>
          <w:rFonts w:cs="Arial"/>
          <w:color w:val="000000"/>
          <w:szCs w:val="19"/>
          <w:lang w:eastAsia="en-AU"/>
        </w:rPr>
        <w:t>compliment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complaint</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document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meet</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needs.</w:t>
      </w:r>
      <w:r w:rsidR="005D5532" w:rsidRPr="00B24C02">
        <w:rPr>
          <w:rFonts w:cs="Arial"/>
          <w:color w:val="000000"/>
          <w:szCs w:val="19"/>
          <w:lang w:eastAsia="en-AU"/>
        </w:rPr>
        <w:t xml:space="preserve"> </w:t>
      </w:r>
      <w:r w:rsidR="007F0574" w:rsidRPr="00B24C02">
        <w:rPr>
          <w:rFonts w:cs="Arial"/>
          <w:color w:val="000000"/>
          <w:szCs w:val="19"/>
          <w:lang w:eastAsia="en-AU"/>
        </w:rPr>
        <w:t xml:space="preserve">The sample and template documents </w:t>
      </w:r>
      <w:r w:rsidR="007F0574">
        <w:rPr>
          <w:rFonts w:cs="Arial"/>
          <w:color w:val="000000"/>
          <w:szCs w:val="19"/>
          <w:lang w:eastAsia="en-AU"/>
        </w:rPr>
        <w:t xml:space="preserve">are available </w:t>
      </w:r>
      <w:r w:rsidR="005E47A5">
        <w:rPr>
          <w:rFonts w:cs="Arial"/>
          <w:color w:val="000000"/>
          <w:szCs w:val="19"/>
          <w:lang w:eastAsia="en-AU"/>
        </w:rPr>
        <w:t xml:space="preserve">in the Complaints section of: </w:t>
      </w:r>
      <w:hyperlink r:id="rId200" w:history="1">
        <w:r w:rsidR="005E47A5" w:rsidRPr="00F424F1">
          <w:rPr>
            <w:rStyle w:val="Hyperlink"/>
            <w:lang w:eastAsia="en-AU"/>
          </w:rPr>
          <w:t>https://fac.dhhs.vic.gov.au/policies-and-procedures</w:t>
        </w:r>
      </w:hyperlink>
      <w:r w:rsidR="00F424F1" w:rsidRPr="00F424F1">
        <w:rPr>
          <w:lang w:eastAsia="en-AU"/>
        </w:rPr>
        <w:t>.</w:t>
      </w:r>
    </w:p>
    <w:p w14:paraId="0AFE9D68" w14:textId="77777777" w:rsidR="00BE18FD" w:rsidRDefault="00BE18FD" w:rsidP="00BE18FD">
      <w:pPr>
        <w:pStyle w:val="Heading4"/>
        <w:rPr>
          <w:lang w:eastAsia="en-AU"/>
        </w:rPr>
      </w:pPr>
      <w:bookmarkStart w:id="698" w:name="_Toc478992003"/>
      <w:bookmarkStart w:id="699" w:name="_Toc478992004"/>
      <w:bookmarkStart w:id="700" w:name="_Toc478992473"/>
      <w:r>
        <w:rPr>
          <w:lang w:eastAsia="en-AU"/>
        </w:rPr>
        <w:t>Other Contacts</w:t>
      </w:r>
    </w:p>
    <w:p w14:paraId="64E965E3" w14:textId="77777777" w:rsidR="00BE18FD" w:rsidRDefault="00BE18FD" w:rsidP="00BE18FD">
      <w:pPr>
        <w:pStyle w:val="Heading4"/>
        <w:rPr>
          <w:b w:val="0"/>
          <w:lang w:eastAsia="en-AU"/>
        </w:rPr>
      </w:pPr>
      <w:r w:rsidRPr="00E20042">
        <w:rPr>
          <w:b w:val="0"/>
          <w:lang w:eastAsia="en-AU"/>
        </w:rPr>
        <w:t>Complainants should always be advised of their option to take their complaint to an external oversight body at any stage of the complaints process</w:t>
      </w:r>
      <w:r>
        <w:rPr>
          <w:b w:val="0"/>
          <w:lang w:eastAsia="en-AU"/>
        </w:rPr>
        <w:t>. Complainants may also wish to contact:</w:t>
      </w:r>
    </w:p>
    <w:p w14:paraId="68F69DC3" w14:textId="77777777" w:rsidR="00BE18FD" w:rsidRPr="00E20042" w:rsidRDefault="00BE18FD" w:rsidP="00BE18FD">
      <w:pPr>
        <w:pStyle w:val="Heading4"/>
        <w:rPr>
          <w:lang w:eastAsia="en-AU"/>
        </w:rPr>
      </w:pPr>
      <w:r w:rsidRPr="00E20042">
        <w:rPr>
          <w:lang w:eastAsia="en-AU"/>
        </w:rPr>
        <w:t>Disability Services Commissioner</w:t>
      </w:r>
    </w:p>
    <w:p w14:paraId="580F3C0C" w14:textId="77777777" w:rsidR="00BE18FD" w:rsidRPr="00A30025" w:rsidRDefault="00BE18FD" w:rsidP="00BE18FD">
      <w:pPr>
        <w:pStyle w:val="DHHSbody"/>
      </w:pPr>
      <w:r w:rsidRPr="001858A6">
        <w:t>The Disability Services Commissioner works with people with a disability, and disability services to resolve complaints.</w:t>
      </w:r>
    </w:p>
    <w:p w14:paraId="5B7F7C03" w14:textId="77777777" w:rsidR="00BE18FD" w:rsidRPr="001858A6" w:rsidRDefault="00BE18FD" w:rsidP="00BE18FD">
      <w:pPr>
        <w:pStyle w:val="DHHSbody"/>
      </w:pPr>
      <w:r w:rsidRPr="001858A6">
        <w:t>Telephone: 1800 677 342 (free call)</w:t>
      </w:r>
    </w:p>
    <w:p w14:paraId="44C56F42" w14:textId="77777777" w:rsidR="00BE18FD" w:rsidRPr="001858A6" w:rsidRDefault="00BE18FD" w:rsidP="00BE18FD">
      <w:pPr>
        <w:pStyle w:val="DHHSbody"/>
      </w:pPr>
      <w:r w:rsidRPr="001858A6">
        <w:t>TTY service for people with hearing or speech difficulties: 1300 726 563</w:t>
      </w:r>
    </w:p>
    <w:p w14:paraId="654A0D97" w14:textId="1754E40A" w:rsidR="00BE18FD" w:rsidRPr="001858A6" w:rsidRDefault="0016341D" w:rsidP="00BE18FD">
      <w:pPr>
        <w:pStyle w:val="DHHSbody"/>
      </w:pPr>
      <w:hyperlink r:id="rId201" w:history="1">
        <w:r w:rsidR="00BE18FD" w:rsidRPr="001858A6">
          <w:rPr>
            <w:rStyle w:val="Hyperlink"/>
          </w:rPr>
          <w:t>Disability Services Commissioner website</w:t>
        </w:r>
      </w:hyperlink>
      <w:r w:rsidR="00BE18FD" w:rsidRPr="001858A6">
        <w:t xml:space="preserve"> &lt;http://www.odsc.vic.gov.au/&gt;</w:t>
      </w:r>
      <w:r w:rsidR="004D0219">
        <w:t xml:space="preserve"> </w:t>
      </w:r>
      <w:r w:rsidR="004D0219" w:rsidRPr="00B24C02">
        <w:rPr>
          <w:rFonts w:cs="Arial"/>
          <w:color w:val="000000"/>
          <w:szCs w:val="19"/>
          <w:lang w:eastAsia="en-AU"/>
        </w:rPr>
        <w:t>(external link, opens in a new window)</w:t>
      </w:r>
    </w:p>
    <w:p w14:paraId="64F85928" w14:textId="77777777" w:rsidR="00BE18FD" w:rsidRPr="00E20042" w:rsidRDefault="00BE18FD" w:rsidP="00BE18FD">
      <w:pPr>
        <w:pStyle w:val="Heading4"/>
        <w:rPr>
          <w:lang w:eastAsia="en-AU"/>
        </w:rPr>
      </w:pPr>
      <w:r w:rsidRPr="00E20042">
        <w:rPr>
          <w:lang w:eastAsia="en-AU"/>
        </w:rPr>
        <w:t>Health Complaints Commissioner</w:t>
      </w:r>
    </w:p>
    <w:p w14:paraId="268144AD" w14:textId="77777777" w:rsidR="00BE18FD" w:rsidRPr="00A30025" w:rsidRDefault="00BE18FD" w:rsidP="00BE18FD">
      <w:pPr>
        <w:pStyle w:val="DHHSbody"/>
      </w:pPr>
      <w:r w:rsidRPr="001858A6">
        <w:t xml:space="preserve">The Health Complaints Commissioner receives </w:t>
      </w:r>
      <w:r w:rsidRPr="001858A6">
        <w:rPr>
          <w:spacing w:val="-3"/>
        </w:rPr>
        <w:t xml:space="preserve">and resolves complaints about healthcare and the </w:t>
      </w:r>
      <w:r w:rsidRPr="00A30025">
        <w:t>handling of health information in Victoria.</w:t>
      </w:r>
    </w:p>
    <w:p w14:paraId="48345EF7" w14:textId="77777777" w:rsidR="00BE18FD" w:rsidRPr="001858A6" w:rsidRDefault="00BE18FD" w:rsidP="00BE18FD">
      <w:pPr>
        <w:pStyle w:val="DHHSbody"/>
      </w:pPr>
      <w:r w:rsidRPr="001858A6">
        <w:t xml:space="preserve">Telephone: 1300 582 113 </w:t>
      </w:r>
    </w:p>
    <w:p w14:paraId="1C2BF376" w14:textId="5A616E59" w:rsidR="00BE18FD" w:rsidRPr="001858A6" w:rsidRDefault="0016341D" w:rsidP="00BE18FD">
      <w:pPr>
        <w:pStyle w:val="DHHSbody"/>
      </w:pPr>
      <w:hyperlink r:id="rId202" w:history="1">
        <w:r w:rsidR="00BE18FD" w:rsidRPr="001858A6">
          <w:rPr>
            <w:rStyle w:val="Hyperlink"/>
          </w:rPr>
          <w:t>Health Complaints Commissioner website</w:t>
        </w:r>
      </w:hyperlink>
      <w:r w:rsidR="00BE18FD" w:rsidRPr="001858A6">
        <w:t xml:space="preserve"> &lt;https://www.hcc.vic.gov.au/&gt;</w:t>
      </w:r>
      <w:r w:rsidR="004D0219">
        <w:t xml:space="preserve"> </w:t>
      </w:r>
      <w:r w:rsidR="004D0219" w:rsidRPr="00B24C02">
        <w:rPr>
          <w:rFonts w:cs="Arial"/>
          <w:color w:val="000000"/>
          <w:szCs w:val="19"/>
          <w:lang w:eastAsia="en-AU"/>
        </w:rPr>
        <w:t>(external link, opens in a new window)</w:t>
      </w:r>
    </w:p>
    <w:p w14:paraId="5D27C584" w14:textId="77777777" w:rsidR="00BE18FD" w:rsidRPr="00E20042" w:rsidRDefault="00BE18FD" w:rsidP="00BE18FD">
      <w:pPr>
        <w:pStyle w:val="Heading4"/>
        <w:rPr>
          <w:lang w:eastAsia="en-AU"/>
        </w:rPr>
      </w:pPr>
      <w:r w:rsidRPr="00E20042">
        <w:rPr>
          <w:lang w:eastAsia="en-AU"/>
        </w:rPr>
        <w:t>Mental Health Complaints Commissioner</w:t>
      </w:r>
    </w:p>
    <w:p w14:paraId="59D13603" w14:textId="77777777" w:rsidR="00BE18FD" w:rsidRPr="00A30025" w:rsidRDefault="00BE18FD" w:rsidP="00BE18FD">
      <w:pPr>
        <w:pStyle w:val="DHHSbody"/>
      </w:pPr>
      <w:r w:rsidRPr="001858A6">
        <w:t>The Mental Health Complaints Commissioner can assist you if your complaint is about a public mental health service in Victoria.</w:t>
      </w:r>
    </w:p>
    <w:p w14:paraId="4A1201DB" w14:textId="77777777" w:rsidR="00BE18FD" w:rsidRPr="001858A6" w:rsidRDefault="00BE18FD" w:rsidP="00BE18FD">
      <w:pPr>
        <w:pStyle w:val="DHHSbody"/>
      </w:pPr>
      <w:r w:rsidRPr="001858A6">
        <w:t>Telephone: 1800 246 054</w:t>
      </w:r>
    </w:p>
    <w:p w14:paraId="2FDE168F" w14:textId="24C14F9E" w:rsidR="00BE18FD" w:rsidRPr="001858A6" w:rsidRDefault="0016341D" w:rsidP="00BE18FD">
      <w:pPr>
        <w:pStyle w:val="DHHSbody"/>
      </w:pPr>
      <w:hyperlink r:id="rId203" w:history="1">
        <w:r w:rsidR="00BE18FD" w:rsidRPr="001858A6">
          <w:rPr>
            <w:rStyle w:val="Hyperlink"/>
          </w:rPr>
          <w:t>Mental Health Complaints Commissioner website</w:t>
        </w:r>
      </w:hyperlink>
      <w:r w:rsidR="00BE18FD" w:rsidRPr="001858A6">
        <w:t xml:space="preserve"> &lt;http://www.mhcc.vic.gov.au/&gt;</w:t>
      </w:r>
      <w:r w:rsidR="004D0219">
        <w:t xml:space="preserve"> </w:t>
      </w:r>
      <w:r w:rsidR="004D0219" w:rsidRPr="00B24C02">
        <w:rPr>
          <w:rFonts w:cs="Arial"/>
          <w:color w:val="000000"/>
          <w:szCs w:val="19"/>
          <w:lang w:eastAsia="en-AU"/>
        </w:rPr>
        <w:t>(external link, opens in a new window)</w:t>
      </w:r>
    </w:p>
    <w:p w14:paraId="76144A48" w14:textId="77777777" w:rsidR="00BE18FD" w:rsidRPr="00E20042" w:rsidRDefault="00BE18FD" w:rsidP="00BE18FD">
      <w:pPr>
        <w:pStyle w:val="Heading4"/>
        <w:rPr>
          <w:lang w:eastAsia="en-AU"/>
        </w:rPr>
      </w:pPr>
      <w:r>
        <w:rPr>
          <w:lang w:eastAsia="en-AU"/>
        </w:rPr>
        <w:t>Victorian Ombudsman</w:t>
      </w:r>
    </w:p>
    <w:p w14:paraId="0372A04D" w14:textId="77777777" w:rsidR="00BE18FD" w:rsidRPr="00A30025" w:rsidRDefault="00BE18FD" w:rsidP="00BE18FD">
      <w:pPr>
        <w:pStyle w:val="DHHSbody"/>
      </w:pPr>
      <w:r w:rsidRPr="001858A6">
        <w:t>The Ombudsman has the power to investigate complaints about State and local government authorities. The Ombudsman investigates complaints made about decisions, actions or inaction by these bodies.</w:t>
      </w:r>
    </w:p>
    <w:p w14:paraId="5F7C4BEA" w14:textId="77777777" w:rsidR="00BE18FD" w:rsidRPr="001858A6" w:rsidRDefault="00BE18FD" w:rsidP="00BE18FD">
      <w:pPr>
        <w:pStyle w:val="DHHSbody"/>
      </w:pPr>
      <w:r w:rsidRPr="001858A6">
        <w:t>Telephone: 9613 6222 Regional: 1800 806 314</w:t>
      </w:r>
    </w:p>
    <w:p w14:paraId="3E7934B6" w14:textId="32E94F4A" w:rsidR="00BE18FD" w:rsidRPr="001858A6" w:rsidRDefault="0016341D" w:rsidP="00BE18FD">
      <w:pPr>
        <w:pStyle w:val="DHHSbody"/>
      </w:pPr>
      <w:hyperlink r:id="rId204" w:history="1">
        <w:r w:rsidR="00BE18FD" w:rsidRPr="001858A6">
          <w:rPr>
            <w:rStyle w:val="Hyperlink"/>
          </w:rPr>
          <w:t>Ombusdman Victoria website</w:t>
        </w:r>
      </w:hyperlink>
      <w:r w:rsidR="00BE18FD" w:rsidRPr="001858A6">
        <w:t xml:space="preserve"> &lt;https://www.ombudsman.vic.gov.au/&gt;</w:t>
      </w:r>
      <w:r w:rsidR="004D0219">
        <w:t xml:space="preserve"> </w:t>
      </w:r>
      <w:r w:rsidR="004D0219" w:rsidRPr="00B24C02">
        <w:rPr>
          <w:rFonts w:cs="Arial"/>
          <w:color w:val="000000"/>
          <w:szCs w:val="19"/>
          <w:lang w:eastAsia="en-AU"/>
        </w:rPr>
        <w:t>(external link, opens in a new window)</w:t>
      </w:r>
    </w:p>
    <w:p w14:paraId="4AE808C0" w14:textId="77777777" w:rsidR="00BE18FD" w:rsidRPr="00E20042" w:rsidRDefault="00BE18FD" w:rsidP="00BE18FD">
      <w:pPr>
        <w:pStyle w:val="Heading4"/>
        <w:rPr>
          <w:lang w:eastAsia="en-AU"/>
        </w:rPr>
      </w:pPr>
      <w:r w:rsidRPr="00E20042">
        <w:rPr>
          <w:lang w:eastAsia="en-AU"/>
        </w:rPr>
        <w:t>Office of the Commissioner for Privacy and Data Protection</w:t>
      </w:r>
    </w:p>
    <w:p w14:paraId="42A49766" w14:textId="77777777" w:rsidR="00BE18FD" w:rsidRPr="00A30025" w:rsidRDefault="00BE18FD" w:rsidP="00BE18FD">
      <w:pPr>
        <w:pStyle w:val="DHHSbody"/>
      </w:pPr>
      <w:r w:rsidRPr="001858A6">
        <w:t>The Privacy and Data Protection Commissioner will investigate complaints about a Victorian Government agency or local council’s failure to comply with one or more of the Information Privacy Principles.</w:t>
      </w:r>
    </w:p>
    <w:p w14:paraId="3F51023D" w14:textId="77777777" w:rsidR="00BE18FD" w:rsidRDefault="00BE18FD" w:rsidP="00BE18FD">
      <w:pPr>
        <w:pStyle w:val="DHHSbody"/>
      </w:pPr>
      <w:r w:rsidRPr="001858A6">
        <w:t>Telephone: 1300 666 444</w:t>
      </w:r>
    </w:p>
    <w:p w14:paraId="3AACF455" w14:textId="64D89384" w:rsidR="00BE18FD" w:rsidRPr="001858A6" w:rsidRDefault="0016341D" w:rsidP="00BE18FD">
      <w:pPr>
        <w:pStyle w:val="DHHSbody"/>
      </w:pPr>
      <w:hyperlink r:id="rId205" w:history="1">
        <w:r w:rsidR="00BE18FD" w:rsidRPr="001858A6">
          <w:rPr>
            <w:rStyle w:val="Hyperlink"/>
          </w:rPr>
          <w:t>O</w:t>
        </w:r>
        <w:r w:rsidR="00BE18FD">
          <w:rPr>
            <w:rStyle w:val="Hyperlink"/>
          </w:rPr>
          <w:t>ffice</w:t>
        </w:r>
      </w:hyperlink>
      <w:r w:rsidR="00BE18FD">
        <w:rPr>
          <w:rStyle w:val="Hyperlink"/>
        </w:rPr>
        <w:t xml:space="preserve"> of the Commissioner for Privacy and Data Protection </w:t>
      </w:r>
      <w:r w:rsidR="00BE18FD" w:rsidRPr="001858A6">
        <w:t>&lt;</w:t>
      </w:r>
      <w:r w:rsidR="00BE18FD" w:rsidRPr="001D58EB">
        <w:t>https://www.cpdp.vic.gov.au/</w:t>
      </w:r>
      <w:r w:rsidR="00BE18FD" w:rsidRPr="001858A6">
        <w:t>&gt;</w:t>
      </w:r>
      <w:r w:rsidR="004D0219">
        <w:t xml:space="preserve"> </w:t>
      </w:r>
      <w:r w:rsidR="004D0219" w:rsidRPr="00B24C02">
        <w:rPr>
          <w:rFonts w:cs="Arial"/>
          <w:color w:val="000000"/>
          <w:szCs w:val="19"/>
          <w:lang w:eastAsia="en-AU"/>
        </w:rPr>
        <w:t>(external link, opens in a new window)</w:t>
      </w:r>
    </w:p>
    <w:p w14:paraId="182644D6" w14:textId="77777777" w:rsidR="00BE18FD" w:rsidRPr="00276391" w:rsidRDefault="00BE18FD" w:rsidP="00BE18FD">
      <w:pPr>
        <w:pStyle w:val="Heading4"/>
        <w:rPr>
          <w:lang w:eastAsia="en-AU"/>
        </w:rPr>
      </w:pPr>
      <w:r w:rsidRPr="00276391">
        <w:rPr>
          <w:lang w:eastAsia="en-AU"/>
        </w:rPr>
        <w:t>For further information</w:t>
      </w:r>
    </w:p>
    <w:p w14:paraId="0F2B850F" w14:textId="77777777" w:rsidR="00BE18FD" w:rsidRPr="00276391" w:rsidRDefault="00BE18FD" w:rsidP="00BE18FD">
      <w:pPr>
        <w:pStyle w:val="DHHSbody"/>
        <w:rPr>
          <w:lang w:eastAsia="en-AU"/>
        </w:rPr>
      </w:pPr>
      <w:r w:rsidRPr="00B24C02">
        <w:rPr>
          <w:rFonts w:cs="Arial"/>
          <w:color w:val="000000"/>
          <w:szCs w:val="19"/>
          <w:lang w:eastAsia="en-AU"/>
        </w:rPr>
        <w:t>The Department of Health and Human Services, Complaints</w:t>
      </w:r>
      <w:r>
        <w:rPr>
          <w:rFonts w:cs="Arial"/>
          <w:color w:val="000000"/>
          <w:szCs w:val="19"/>
          <w:lang w:eastAsia="en-AU"/>
        </w:rPr>
        <w:t xml:space="preserve"> Unit </w:t>
      </w:r>
      <w:r w:rsidRPr="00B24C02">
        <w:rPr>
          <w:rFonts w:cs="Arial"/>
          <w:color w:val="000000"/>
          <w:szCs w:val="19"/>
          <w:lang w:eastAsia="en-AU"/>
        </w:rPr>
        <w:t>provide</w:t>
      </w:r>
      <w:r>
        <w:rPr>
          <w:rFonts w:cs="Arial"/>
          <w:color w:val="000000"/>
          <w:szCs w:val="19"/>
          <w:lang w:eastAsia="en-AU"/>
        </w:rPr>
        <w:t>s</w:t>
      </w:r>
      <w:r w:rsidRPr="00B24C02">
        <w:rPr>
          <w:rFonts w:cs="Arial"/>
          <w:color w:val="000000"/>
          <w:szCs w:val="19"/>
          <w:lang w:eastAsia="en-AU"/>
        </w:rPr>
        <w:t xml:space="preserve"> support and assistance in the management and development of complaints policies, guidelines and processes. </w:t>
      </w:r>
    </w:p>
    <w:p w14:paraId="139C5696" w14:textId="77777777" w:rsidR="00BE18FD" w:rsidRPr="00276391" w:rsidRDefault="00BE18FD" w:rsidP="00BE18FD">
      <w:pPr>
        <w:pStyle w:val="DHHSbody"/>
        <w:rPr>
          <w:lang w:eastAsia="en-AU"/>
        </w:rPr>
      </w:pPr>
      <w:r w:rsidRPr="00276391">
        <w:rPr>
          <w:lang w:eastAsia="en-AU"/>
        </w:rPr>
        <w:t>The Complaints Unit provides a complaints line for departmental staff, clients and members of the public to register their feedback and complaints.</w:t>
      </w:r>
    </w:p>
    <w:p w14:paraId="6FB26C91" w14:textId="77777777" w:rsidR="00BE18FD" w:rsidRPr="00276391" w:rsidRDefault="00BE18FD" w:rsidP="00BE18FD">
      <w:pPr>
        <w:pStyle w:val="DHHSbody"/>
        <w:rPr>
          <w:lang w:eastAsia="en-AU"/>
        </w:rPr>
      </w:pPr>
      <w:r w:rsidRPr="00276391">
        <w:rPr>
          <w:lang w:eastAsia="en-AU"/>
        </w:rPr>
        <w:t>Complaints line: 1300 884 706</w:t>
      </w:r>
      <w:r w:rsidRPr="00276391">
        <w:rPr>
          <w:lang w:eastAsia="en-AU"/>
        </w:rPr>
        <w:br/>
        <w:t xml:space="preserve">Email: </w:t>
      </w:r>
      <w:hyperlink r:id="rId206" w:history="1">
        <w:r w:rsidRPr="00986D1E">
          <w:rPr>
            <w:rStyle w:val="Hyperlink"/>
          </w:rPr>
          <w:t>complaints.reception@dhhs.vic.gov.au</w:t>
        </w:r>
      </w:hyperlink>
      <w:r w:rsidRPr="00276391">
        <w:rPr>
          <w:lang w:eastAsia="en-AU"/>
        </w:rPr>
        <w:br/>
        <w:t>Complaints Unit</w:t>
      </w:r>
      <w:r w:rsidRPr="00276391">
        <w:rPr>
          <w:lang w:eastAsia="en-AU"/>
        </w:rPr>
        <w:br/>
        <w:t>GPO Box 4057</w:t>
      </w:r>
      <w:r w:rsidRPr="00276391">
        <w:rPr>
          <w:lang w:eastAsia="en-AU"/>
        </w:rPr>
        <w:br/>
        <w:t>Melbourne VIC 3001</w:t>
      </w:r>
    </w:p>
    <w:p w14:paraId="2AFBD9BC" w14:textId="781788BC" w:rsidR="00BE18FD" w:rsidRPr="00276391" w:rsidRDefault="00BE18FD" w:rsidP="00BE18FD">
      <w:pPr>
        <w:pStyle w:val="DHHSbody"/>
        <w:rPr>
          <w:lang w:eastAsia="en-AU"/>
        </w:rPr>
      </w:pPr>
      <w:r w:rsidRPr="00276391">
        <w:rPr>
          <w:lang w:eastAsia="en-AU"/>
        </w:rPr>
        <w:t xml:space="preserve">The department's website includes a guide to </w:t>
      </w:r>
      <w:hyperlink r:id="rId207" w:tgtFrame="_blank" w:history="1">
        <w:r w:rsidRPr="00986D1E">
          <w:rPr>
            <w:rStyle w:val="Hyperlink"/>
          </w:rPr>
          <w:t>Making a complaint to the Department of Health and Human Services</w:t>
        </w:r>
      </w:hyperlink>
      <w:r w:rsidRPr="00276391">
        <w:rPr>
          <w:lang w:eastAsia="en-AU"/>
        </w:rPr>
        <w:t xml:space="preserve"> </w:t>
      </w:r>
      <w:r>
        <w:rPr>
          <w:lang w:eastAsia="en-AU"/>
        </w:rPr>
        <w:t>&lt;</w:t>
      </w:r>
      <w:r w:rsidRPr="004B53D6">
        <w:rPr>
          <w:lang w:eastAsia="en-AU"/>
        </w:rPr>
        <w:t>https://dhhs.vic.gov.au/making-complaint</w:t>
      </w:r>
      <w:r>
        <w:rPr>
          <w:lang w:eastAsia="en-AU"/>
        </w:rPr>
        <w:t>&gt;</w:t>
      </w:r>
      <w:r w:rsidR="004D0219">
        <w:rPr>
          <w:lang w:eastAsia="en-AU"/>
        </w:rPr>
        <w:t xml:space="preserve"> </w:t>
      </w:r>
      <w:r w:rsidR="004D0219" w:rsidRPr="00B24C02">
        <w:rPr>
          <w:rFonts w:cs="Arial"/>
          <w:color w:val="000000"/>
          <w:szCs w:val="19"/>
          <w:lang w:eastAsia="en-AU"/>
        </w:rPr>
        <w:t>(external link, opens in a new window)</w:t>
      </w:r>
    </w:p>
    <w:p w14:paraId="5C1DB557" w14:textId="77777777" w:rsidR="007E5806" w:rsidRPr="00276391" w:rsidRDefault="007E5806" w:rsidP="007E5806">
      <w:pPr>
        <w:pStyle w:val="Heading2"/>
        <w:rPr>
          <w:rFonts w:cs="Arial"/>
          <w:lang w:eastAsia="en-AU"/>
        </w:rPr>
      </w:pPr>
      <w:bookmarkStart w:id="701" w:name="_Toc478992012"/>
      <w:bookmarkStart w:id="702" w:name="_Toc478992474"/>
      <w:bookmarkStart w:id="703" w:name="_Toc478992919"/>
      <w:bookmarkStart w:id="704" w:name="_Toc4142125"/>
      <w:bookmarkStart w:id="705" w:name="_Toc478992058"/>
      <w:bookmarkStart w:id="706" w:name="_Toc478992477"/>
      <w:bookmarkStart w:id="707" w:name="_Toc478992920"/>
      <w:bookmarkEnd w:id="698"/>
      <w:bookmarkEnd w:id="699"/>
      <w:bookmarkEnd w:id="700"/>
      <w:r>
        <w:rPr>
          <w:rFonts w:cs="Arial"/>
          <w:lang w:eastAsia="en-AU"/>
        </w:rPr>
        <w:lastRenderedPageBreak/>
        <w:t>4.5</w:t>
      </w:r>
      <w:r w:rsidRPr="00276391">
        <w:rPr>
          <w:rFonts w:cs="Arial"/>
          <w:lang w:eastAsia="en-AU"/>
        </w:rPr>
        <w:t xml:space="preserve"> Safety screening for funded organisations</w:t>
      </w:r>
      <w:bookmarkEnd w:id="701"/>
      <w:bookmarkEnd w:id="702"/>
      <w:bookmarkEnd w:id="703"/>
      <w:bookmarkEnd w:id="704"/>
    </w:p>
    <w:p w14:paraId="7AC2AD22" w14:textId="77777777" w:rsidR="007E5806" w:rsidRPr="00276391" w:rsidRDefault="007E5806" w:rsidP="007E5806">
      <w:pPr>
        <w:pStyle w:val="Heading4"/>
        <w:rPr>
          <w:lang w:eastAsia="en-AU"/>
        </w:rPr>
      </w:pPr>
      <w:bookmarkStart w:id="708" w:name="_Toc478992014"/>
      <w:bookmarkStart w:id="709" w:name="_Toc478992018"/>
      <w:r w:rsidRPr="00276391">
        <w:rPr>
          <w:lang w:eastAsia="en-AU"/>
        </w:rPr>
        <w:t>Who does this policy apply to?</w:t>
      </w:r>
      <w:bookmarkEnd w:id="708"/>
    </w:p>
    <w:p w14:paraId="1978EC16" w14:textId="77777777" w:rsidR="007E5806" w:rsidRPr="004529C1" w:rsidRDefault="007E5806" w:rsidP="007E5806">
      <w:pPr>
        <w:pStyle w:val="DHHSbody"/>
        <w:rPr>
          <w:lang w:eastAsia="en-AU"/>
        </w:rPr>
      </w:pPr>
      <w:r w:rsidRPr="004529C1">
        <w:rPr>
          <w:lang w:eastAsia="en-AU"/>
        </w:rPr>
        <w:t>The sections immediately below (unless stated otherwise) are for organisations which receive funding from the former Department of Human Services and</w:t>
      </w:r>
      <w:r>
        <w:rPr>
          <w:lang w:eastAsia="en-AU"/>
        </w:rPr>
        <w:t>/or the former</w:t>
      </w:r>
      <w:r w:rsidRPr="004529C1">
        <w:rPr>
          <w:lang w:eastAsia="en-AU"/>
        </w:rPr>
        <w:t xml:space="preserve"> Department of Health which ha</w:t>
      </w:r>
      <w:r>
        <w:rPr>
          <w:lang w:eastAsia="en-AU"/>
        </w:rPr>
        <w:t xml:space="preserve">ve </w:t>
      </w:r>
      <w:r w:rsidRPr="004529C1">
        <w:rPr>
          <w:lang w:eastAsia="en-AU"/>
        </w:rPr>
        <w:t xml:space="preserve">now merged into the Department of </w:t>
      </w:r>
      <w:r>
        <w:rPr>
          <w:lang w:eastAsia="en-AU"/>
        </w:rPr>
        <w:t>Health and Human Services</w:t>
      </w:r>
      <w:r w:rsidRPr="004529C1">
        <w:rPr>
          <w:lang w:eastAsia="en-AU"/>
        </w:rPr>
        <w:t>.</w:t>
      </w:r>
    </w:p>
    <w:p w14:paraId="4F05CFB3" w14:textId="77777777" w:rsidR="007E5806" w:rsidRDefault="007E5806" w:rsidP="007E5806">
      <w:pPr>
        <w:pStyle w:val="DHHSbody"/>
        <w:rPr>
          <w:b/>
          <w:bCs/>
          <w:lang w:eastAsia="en-AU"/>
        </w:rPr>
      </w:pPr>
      <w:r w:rsidRPr="004529C1">
        <w:rPr>
          <w:lang w:eastAsia="en-AU"/>
        </w:rPr>
        <w:t>Note: Further updates may be required for this document. Always refer to this document online to ensure you have the most current version.</w:t>
      </w:r>
    </w:p>
    <w:p w14:paraId="2CFDD959" w14:textId="77777777" w:rsidR="007E5806" w:rsidRPr="00276391" w:rsidRDefault="007E5806" w:rsidP="007E5806">
      <w:pPr>
        <w:pStyle w:val="Heading4"/>
        <w:rPr>
          <w:lang w:eastAsia="en-AU"/>
        </w:rPr>
      </w:pPr>
      <w:r w:rsidRPr="00276391">
        <w:rPr>
          <w:lang w:eastAsia="en-AU"/>
        </w:rPr>
        <w:t>Policy purpose</w:t>
      </w:r>
    </w:p>
    <w:p w14:paraId="21880493" w14:textId="77777777" w:rsidR="007E5806" w:rsidRPr="004529C1" w:rsidRDefault="007E5806" w:rsidP="007E5806">
      <w:pPr>
        <w:pStyle w:val="DHHSbody"/>
        <w:rPr>
          <w:lang w:eastAsia="en-AU"/>
        </w:rPr>
      </w:pPr>
      <w:r w:rsidRPr="004529C1">
        <w:rPr>
          <w:lang w:eastAsia="en-AU"/>
        </w:rPr>
        <w:t>Safety screening incorporates referee checks and the police record check. It may also include a Working with Children Check (if relevant to the role), a check against the Disability Worker Exclusion List (DWEL), a Disqualified Carer Check, Employment History Check (including disciplinary action disclosure and checks of qualification and training).</w:t>
      </w:r>
    </w:p>
    <w:p w14:paraId="7A243BB0" w14:textId="77777777" w:rsidR="007E5806" w:rsidRDefault="007E5806" w:rsidP="007E5806">
      <w:pPr>
        <w:pStyle w:val="DHHSbody"/>
        <w:rPr>
          <w:b/>
          <w:bCs/>
          <w:lang w:eastAsia="en-AU"/>
        </w:rPr>
      </w:pPr>
      <w:r w:rsidRPr="004529C1">
        <w:rPr>
          <w:lang w:eastAsia="en-AU"/>
        </w:rPr>
        <w:t>Safety screening plays an important role in providing a safer service delivery for people who receive support from community services organisations funded or registered by various departments within Victoria. The overarching imperative of the policy is to strengthen the protections and safeguards for people through a rigorous approach to managing employment safety screening.</w:t>
      </w:r>
    </w:p>
    <w:p w14:paraId="5B12C94B" w14:textId="77777777" w:rsidR="007E5806" w:rsidRPr="00276391" w:rsidRDefault="007E5806" w:rsidP="007E5806">
      <w:pPr>
        <w:pStyle w:val="Heading4"/>
        <w:rPr>
          <w:lang w:eastAsia="en-AU"/>
        </w:rPr>
      </w:pPr>
      <w:r w:rsidRPr="00276391">
        <w:rPr>
          <w:lang w:eastAsia="en-AU"/>
        </w:rPr>
        <w:t>Legislation and /or regulation</w:t>
      </w:r>
    </w:p>
    <w:p w14:paraId="7AC133E9" w14:textId="77777777" w:rsidR="007E5806" w:rsidRPr="00276391" w:rsidRDefault="007E5806" w:rsidP="007E5806">
      <w:pPr>
        <w:pStyle w:val="DHHSbody"/>
        <w:rPr>
          <w:lang w:eastAsia="en-AU"/>
        </w:rPr>
      </w:pPr>
      <w:r w:rsidRPr="00B24C02">
        <w:rPr>
          <w:rFonts w:cs="Arial"/>
          <w:color w:val="000000"/>
          <w:szCs w:val="19"/>
          <w:lang w:eastAsia="en-AU"/>
        </w:rPr>
        <w:t xml:space="preserve">Relevant legislation is flagged in the pertinent sections of the policy. </w:t>
      </w:r>
    </w:p>
    <w:p w14:paraId="60F16089" w14:textId="77777777" w:rsidR="007E5806" w:rsidRPr="00276391" w:rsidRDefault="007E5806" w:rsidP="007E5806">
      <w:pPr>
        <w:pStyle w:val="Heading4"/>
        <w:rPr>
          <w:lang w:eastAsia="en-AU"/>
        </w:rPr>
      </w:pPr>
      <w:bookmarkStart w:id="710" w:name="_Toc478992017"/>
      <w:r w:rsidRPr="00276391">
        <w:rPr>
          <w:lang w:eastAsia="en-AU"/>
        </w:rPr>
        <w:t>Overview of safety screening</w:t>
      </w:r>
      <w:bookmarkEnd w:id="710"/>
    </w:p>
    <w:p w14:paraId="27116161" w14:textId="77777777" w:rsidR="007E5806" w:rsidRPr="004529C1" w:rsidRDefault="007E5806" w:rsidP="007E5806">
      <w:pPr>
        <w:pStyle w:val="DHHSbody"/>
        <w:rPr>
          <w:lang w:eastAsia="en-AU"/>
        </w:rPr>
      </w:pPr>
      <w:r w:rsidRPr="004529C1">
        <w:rPr>
          <w:lang w:eastAsia="en-AU"/>
        </w:rPr>
        <w:t>Safety screening is not a means of precluding people with an adverse history from employment within funded or registered organisations. The relevance of any adverse history is assessed strictly in relation to the work environment and job role. All of these checks are undertaken in strict compliance with the privacy and confidentiality principles as required by relevant legislation.</w:t>
      </w:r>
    </w:p>
    <w:p w14:paraId="60D19882" w14:textId="77777777" w:rsidR="007E5806" w:rsidRPr="004529C1" w:rsidRDefault="007E5806" w:rsidP="007E5806">
      <w:pPr>
        <w:pStyle w:val="DHHSbody"/>
        <w:rPr>
          <w:lang w:eastAsia="en-AU"/>
        </w:rPr>
      </w:pPr>
      <w:r w:rsidRPr="004529C1">
        <w:rPr>
          <w:lang w:eastAsia="en-AU"/>
        </w:rPr>
        <w:t>Safety screening does not completely eliminate the risk of employing unsuitable staff, however, it is designed to minimise that risk on the basis of available, relevant information. Employment safety screening will not detect ‘unsuitable’ employees unless the employee has a police record or if referees know of their background.</w:t>
      </w:r>
    </w:p>
    <w:p w14:paraId="63D49DFF" w14:textId="77777777" w:rsidR="007E5806" w:rsidRPr="004529C1" w:rsidRDefault="007E5806" w:rsidP="007E5806">
      <w:pPr>
        <w:pStyle w:val="DHHSbody"/>
        <w:rPr>
          <w:lang w:eastAsia="en-AU"/>
        </w:rPr>
      </w:pPr>
      <w:r w:rsidRPr="00A16869">
        <w:rPr>
          <w:b/>
          <w:lang w:eastAsia="en-AU"/>
        </w:rPr>
        <w:t>Note</w:t>
      </w:r>
      <w:r w:rsidRPr="004529C1">
        <w:rPr>
          <w:lang w:eastAsia="en-AU"/>
        </w:rPr>
        <w:t xml:space="preserve">: Future risks are not mitigated by one-off safety screening at recruitment </w:t>
      </w:r>
      <w:r>
        <w:rPr>
          <w:lang w:eastAsia="en-AU"/>
        </w:rPr>
        <w:t xml:space="preserve">and it is prudent for </w:t>
      </w:r>
      <w:r w:rsidRPr="004529C1">
        <w:rPr>
          <w:lang w:eastAsia="en-AU"/>
        </w:rPr>
        <w:t>funded or registered organisations and authorised agencies</w:t>
      </w:r>
      <w:r>
        <w:rPr>
          <w:lang w:eastAsia="en-AU"/>
        </w:rPr>
        <w:t>*</w:t>
      </w:r>
      <w:r w:rsidRPr="004529C1">
        <w:rPr>
          <w:lang w:eastAsia="en-AU"/>
        </w:rPr>
        <w:t xml:space="preserve"> </w:t>
      </w:r>
      <w:r>
        <w:rPr>
          <w:lang w:eastAsia="en-AU"/>
        </w:rPr>
        <w:t xml:space="preserve">should </w:t>
      </w:r>
      <w:r w:rsidRPr="004529C1">
        <w:rPr>
          <w:lang w:eastAsia="en-AU"/>
        </w:rPr>
        <w:t>incorporate a statement in their employment agreements confirming that all staff are obligated to:</w:t>
      </w:r>
    </w:p>
    <w:p w14:paraId="6EBE399E" w14:textId="77777777" w:rsidR="007E5806" w:rsidRPr="004529C1" w:rsidRDefault="007E5806" w:rsidP="007E5806">
      <w:pPr>
        <w:pStyle w:val="DHHSbullet1lastline"/>
        <w:numPr>
          <w:ilvl w:val="1"/>
          <w:numId w:val="14"/>
        </w:numPr>
      </w:pPr>
      <w:r w:rsidRPr="004529C1">
        <w:t>advise their manager if they are charged with a criminal offence which is punishable by imprisonment or, if found guilty, could reasonably affect their ability to meet the inherent</w:t>
      </w:r>
      <w:r>
        <w:t xml:space="preserve"> requirements of their job</w:t>
      </w:r>
    </w:p>
    <w:p w14:paraId="12B55784" w14:textId="77777777" w:rsidR="007E5806" w:rsidRDefault="007E5806" w:rsidP="007E5806">
      <w:pPr>
        <w:pStyle w:val="DHHSbullet1lastline"/>
        <w:numPr>
          <w:ilvl w:val="1"/>
          <w:numId w:val="14"/>
        </w:numPr>
      </w:pPr>
      <w:r w:rsidRPr="004529C1">
        <w:t>disclose any formal disciplinary action taken against them by any current or former employer (many staff have multiple employers). This includes any finding of improper or unprofessional conduct by any Court or Tribunal of any kind and any investigations that the staff member has been subject of by an employer, law enforcement agency or any integrity body or similar in Australia or in another country</w:t>
      </w:r>
    </w:p>
    <w:p w14:paraId="51EB12D5" w14:textId="77777777" w:rsidR="007E5806" w:rsidRPr="004529C1" w:rsidRDefault="007E5806" w:rsidP="007E5806">
      <w:pPr>
        <w:pStyle w:val="DHHSbullet1lastline"/>
        <w:numPr>
          <w:ilvl w:val="1"/>
          <w:numId w:val="14"/>
        </w:numPr>
      </w:pPr>
      <w:r>
        <w:t>report any new criminal charges and/or disciplinary actions during their employment/engagement.</w:t>
      </w:r>
    </w:p>
    <w:p w14:paraId="423E51D7" w14:textId="77777777" w:rsidR="007E5806" w:rsidRDefault="007E5806" w:rsidP="007E5806">
      <w:pPr>
        <w:pStyle w:val="DHHSbody"/>
        <w:rPr>
          <w:lang w:val="en"/>
        </w:rPr>
      </w:pPr>
      <w:r>
        <w:rPr>
          <w:lang w:eastAsia="en-AU"/>
        </w:rPr>
        <w:t xml:space="preserve">*For an explanation of authorised agencies, </w:t>
      </w:r>
      <w:r w:rsidRPr="004529C1">
        <w:rPr>
          <w:lang w:eastAsia="en-AU"/>
        </w:rPr>
        <w:t xml:space="preserve">refer to </w:t>
      </w:r>
      <w:hyperlink r:id="rId208" w:history="1">
        <w:r w:rsidRPr="00A16869">
          <w:rPr>
            <w:rStyle w:val="Hyperlink"/>
            <w:lang w:eastAsia="en-AU"/>
          </w:rPr>
          <w:t>Disability Worker Exclusion Scheme</w:t>
        </w:r>
      </w:hyperlink>
      <w:r w:rsidRPr="004529C1">
        <w:rPr>
          <w:lang w:eastAsia="en-AU"/>
        </w:rPr>
        <w:t xml:space="preserve"> &lt;https://providers.dhhs.vic.gov.au/disability-worker-exclusion-scheme&gt; (externa</w:t>
      </w:r>
      <w:r>
        <w:rPr>
          <w:lang w:eastAsia="en-AU"/>
        </w:rPr>
        <w:t xml:space="preserve">l link, opens in a new window) </w:t>
      </w:r>
      <w:r w:rsidRPr="004529C1">
        <w:rPr>
          <w:lang w:eastAsia="en-AU"/>
        </w:rPr>
        <w:t xml:space="preserve"> </w:t>
      </w:r>
    </w:p>
    <w:p w14:paraId="6BD6847D" w14:textId="77777777" w:rsidR="007E5806" w:rsidRPr="004309CB" w:rsidRDefault="007E5806" w:rsidP="007E5806">
      <w:pPr>
        <w:pStyle w:val="DHHSbody"/>
        <w:rPr>
          <w:lang w:val="en"/>
        </w:rPr>
      </w:pPr>
      <w:r>
        <w:rPr>
          <w:lang w:val="en"/>
        </w:rPr>
        <w:t>It is also prudent for f</w:t>
      </w:r>
      <w:r w:rsidRPr="004309CB">
        <w:rPr>
          <w:lang w:val="en"/>
        </w:rPr>
        <w:t xml:space="preserve">unded or registered </w:t>
      </w:r>
      <w:proofErr w:type="spellStart"/>
      <w:r w:rsidRPr="004309CB">
        <w:rPr>
          <w:lang w:val="en"/>
        </w:rPr>
        <w:t>organisations</w:t>
      </w:r>
      <w:proofErr w:type="spellEnd"/>
      <w:r w:rsidRPr="004309CB">
        <w:rPr>
          <w:lang w:val="en"/>
        </w:rPr>
        <w:t xml:space="preserve"> and </w:t>
      </w:r>
      <w:proofErr w:type="spellStart"/>
      <w:r w:rsidRPr="004309CB">
        <w:rPr>
          <w:lang w:val="en"/>
        </w:rPr>
        <w:t>authorised</w:t>
      </w:r>
      <w:proofErr w:type="spellEnd"/>
      <w:r w:rsidRPr="004309CB">
        <w:rPr>
          <w:lang w:val="en"/>
        </w:rPr>
        <w:t xml:space="preserve"> agencies </w:t>
      </w:r>
      <w:r>
        <w:rPr>
          <w:lang w:val="en"/>
        </w:rPr>
        <w:t>to</w:t>
      </w:r>
      <w:r w:rsidRPr="004309CB">
        <w:rPr>
          <w:lang w:val="en"/>
        </w:rPr>
        <w:t xml:space="preserve"> ask prospective workers to sign a statutory declaration with the content below stating that they have fully disclosed to </w:t>
      </w:r>
      <w:r w:rsidRPr="004309CB">
        <w:rPr>
          <w:lang w:val="en"/>
        </w:rPr>
        <w:lastRenderedPageBreak/>
        <w:t xml:space="preserve">their prospective employer, all relevant information regarding their criminal record and employment history. </w:t>
      </w:r>
      <w:r w:rsidRPr="004309CB">
        <w:rPr>
          <w:lang w:eastAsia="en-AU"/>
        </w:rPr>
        <w:t xml:space="preserve">See the </w:t>
      </w:r>
      <w:hyperlink r:id="rId209" w:history="1">
        <w:r w:rsidRPr="000761EB">
          <w:rPr>
            <w:rStyle w:val="Hyperlink"/>
            <w:lang w:eastAsia="en-AU"/>
          </w:rPr>
          <w:t>statutory declaration</w:t>
        </w:r>
      </w:hyperlink>
      <w:r>
        <w:rPr>
          <w:lang w:eastAsia="en-AU"/>
        </w:rPr>
        <w:t xml:space="preserve"> &lt;</w:t>
      </w:r>
      <w:hyperlink r:id="rId210" w:history="1">
        <w:r w:rsidRPr="0028078D">
          <w:rPr>
            <w:lang w:val="en"/>
          </w:rPr>
          <w:t>https://fac.dhhs.vic.gov.au/safety-screening-statutory-declaration</w:t>
        </w:r>
      </w:hyperlink>
      <w:r w:rsidRPr="0028078D">
        <w:rPr>
          <w:lang w:val="en"/>
        </w:rPr>
        <w:t>&gt; (external link, opens in a new window).</w:t>
      </w:r>
    </w:p>
    <w:p w14:paraId="1FA59205" w14:textId="77777777" w:rsidR="007E5806" w:rsidRPr="004309CB" w:rsidRDefault="007E5806" w:rsidP="007E5806">
      <w:pPr>
        <w:pStyle w:val="DHHSbody"/>
        <w:rPr>
          <w:lang w:val="en"/>
        </w:rPr>
      </w:pPr>
      <w:r w:rsidRPr="004309CB">
        <w:rPr>
          <w:lang w:val="en"/>
        </w:rPr>
        <w:t xml:space="preserve">By way of this statutory declaration, they are declaring that they have fully disclosed in writing to the </w:t>
      </w:r>
      <w:proofErr w:type="spellStart"/>
      <w:r w:rsidRPr="004309CB">
        <w:rPr>
          <w:lang w:val="en"/>
        </w:rPr>
        <w:t>organisation</w:t>
      </w:r>
      <w:proofErr w:type="spellEnd"/>
      <w:r w:rsidRPr="004309CB">
        <w:rPr>
          <w:lang w:val="en"/>
        </w:rPr>
        <w:t>, all details of:</w:t>
      </w:r>
    </w:p>
    <w:p w14:paraId="2DDF7ECB" w14:textId="77777777" w:rsidR="007E5806" w:rsidRPr="004309CB" w:rsidRDefault="007E5806" w:rsidP="007E5806">
      <w:pPr>
        <w:pStyle w:val="DHHSbullet1lastline"/>
        <w:numPr>
          <w:ilvl w:val="1"/>
          <w:numId w:val="14"/>
        </w:numPr>
        <w:rPr>
          <w:lang w:val="en"/>
        </w:rPr>
      </w:pPr>
      <w:r w:rsidRPr="004309CB">
        <w:rPr>
          <w:lang w:val="en"/>
        </w:rPr>
        <w:t>any charges laid against them by police concerning any offence committed in Australia or in another country in the past</w:t>
      </w:r>
    </w:p>
    <w:p w14:paraId="720FF554" w14:textId="77777777" w:rsidR="007E5806" w:rsidRPr="004309CB" w:rsidRDefault="007E5806" w:rsidP="007E5806">
      <w:pPr>
        <w:pStyle w:val="DHHSbullet1lastline"/>
        <w:numPr>
          <w:ilvl w:val="1"/>
          <w:numId w:val="14"/>
        </w:numPr>
        <w:rPr>
          <w:lang w:val="en"/>
        </w:rPr>
      </w:pPr>
      <w:r w:rsidRPr="004309CB">
        <w:rPr>
          <w:lang w:val="en"/>
        </w:rPr>
        <w:t>any offence of which they have been found guilty, committed in Australia or in another country in the past</w:t>
      </w:r>
    </w:p>
    <w:p w14:paraId="69439192" w14:textId="77777777" w:rsidR="007E5806" w:rsidRPr="004309CB" w:rsidRDefault="007E5806" w:rsidP="007E5806">
      <w:pPr>
        <w:pStyle w:val="DHHSbullet1lastline"/>
        <w:numPr>
          <w:ilvl w:val="1"/>
          <w:numId w:val="14"/>
        </w:numPr>
        <w:rPr>
          <w:lang w:val="en"/>
        </w:rPr>
      </w:pPr>
      <w:r w:rsidRPr="004309CB">
        <w:rPr>
          <w:lang w:val="en"/>
        </w:rPr>
        <w:t>any formal disciplinary action taken against them by any current or former employer</w:t>
      </w:r>
    </w:p>
    <w:p w14:paraId="60348A32" w14:textId="77777777" w:rsidR="007E5806" w:rsidRPr="004309CB" w:rsidRDefault="007E5806" w:rsidP="007E5806">
      <w:pPr>
        <w:pStyle w:val="DHHSbullet1lastline"/>
        <w:numPr>
          <w:ilvl w:val="1"/>
          <w:numId w:val="14"/>
        </w:numPr>
        <w:rPr>
          <w:lang w:val="en"/>
        </w:rPr>
      </w:pPr>
      <w:r w:rsidRPr="004309CB">
        <w:rPr>
          <w:lang w:val="en"/>
        </w:rPr>
        <w:t>any finding of improper or unprofessional conduct by them by any Court or Tribunal of any kind</w:t>
      </w:r>
    </w:p>
    <w:p w14:paraId="5AA6792D" w14:textId="77777777" w:rsidR="007E5806" w:rsidRPr="004309CB" w:rsidRDefault="007E5806" w:rsidP="007E5806">
      <w:pPr>
        <w:pStyle w:val="DHHSbullet1lastline"/>
        <w:numPr>
          <w:ilvl w:val="1"/>
          <w:numId w:val="14"/>
        </w:numPr>
        <w:rPr>
          <w:lang w:val="en"/>
        </w:rPr>
      </w:pPr>
      <w:r w:rsidRPr="004309CB">
        <w:rPr>
          <w:lang w:val="en"/>
        </w:rPr>
        <w:t>any investigations they have been the subject of by an employer, law enforcement agency or any integrity body or similar in Australia or in another country.</w:t>
      </w:r>
    </w:p>
    <w:p w14:paraId="3F83AB75" w14:textId="77777777" w:rsidR="007E5806" w:rsidRPr="004309CB" w:rsidRDefault="007E5806" w:rsidP="007E5806">
      <w:pPr>
        <w:pStyle w:val="DHHSbody"/>
        <w:rPr>
          <w:lang w:val="en"/>
        </w:rPr>
      </w:pPr>
      <w:r w:rsidRPr="004309CB">
        <w:rPr>
          <w:lang w:val="en"/>
        </w:rPr>
        <w:t xml:space="preserve">They should also ensure that a copy of their responses to the above issues (which they provided to the </w:t>
      </w:r>
      <w:proofErr w:type="spellStart"/>
      <w:r w:rsidRPr="004309CB">
        <w:rPr>
          <w:lang w:val="en"/>
        </w:rPr>
        <w:t>organisation</w:t>
      </w:r>
      <w:proofErr w:type="spellEnd"/>
      <w:r w:rsidRPr="004309CB">
        <w:rPr>
          <w:lang w:val="en"/>
        </w:rPr>
        <w:t xml:space="preserve"> as part of the recruitment process to a position within the </w:t>
      </w:r>
      <w:proofErr w:type="spellStart"/>
      <w:r w:rsidRPr="004309CB">
        <w:rPr>
          <w:lang w:val="en"/>
        </w:rPr>
        <w:t>organisation</w:t>
      </w:r>
      <w:proofErr w:type="spellEnd"/>
      <w:r w:rsidRPr="004309CB">
        <w:rPr>
          <w:lang w:val="en"/>
        </w:rPr>
        <w:t>) is attached.</w:t>
      </w:r>
    </w:p>
    <w:p w14:paraId="395587DD" w14:textId="77777777" w:rsidR="007E5806" w:rsidRPr="004309CB" w:rsidRDefault="007E5806" w:rsidP="007E5806">
      <w:pPr>
        <w:pStyle w:val="DHHSbody"/>
        <w:rPr>
          <w:lang w:val="en"/>
        </w:rPr>
      </w:pPr>
      <w:r>
        <w:rPr>
          <w:lang w:val="en"/>
        </w:rPr>
        <w:t xml:space="preserve">A </w:t>
      </w:r>
      <w:r w:rsidRPr="004309CB">
        <w:rPr>
          <w:lang w:val="en"/>
        </w:rPr>
        <w:t xml:space="preserve">statement to this effect </w:t>
      </w:r>
      <w:r>
        <w:rPr>
          <w:lang w:val="en"/>
        </w:rPr>
        <w:t>sh</w:t>
      </w:r>
      <w:r w:rsidRPr="004309CB">
        <w:rPr>
          <w:lang w:val="en"/>
        </w:rPr>
        <w:t>ould be included in the contract of employment paperwork.</w:t>
      </w:r>
    </w:p>
    <w:p w14:paraId="2149F364" w14:textId="77777777" w:rsidR="007E5806" w:rsidRPr="00276391" w:rsidRDefault="007E5806" w:rsidP="007E5806">
      <w:pPr>
        <w:pStyle w:val="Heading4"/>
        <w:rPr>
          <w:lang w:eastAsia="en-AU"/>
        </w:rPr>
      </w:pPr>
      <w:r w:rsidRPr="00276391">
        <w:rPr>
          <w:lang w:eastAsia="en-AU"/>
        </w:rPr>
        <w:t>When to apply this policy</w:t>
      </w:r>
      <w:bookmarkEnd w:id="709"/>
    </w:p>
    <w:p w14:paraId="2D0B0F75" w14:textId="77777777" w:rsidR="007E5806" w:rsidRPr="007C6ADE" w:rsidRDefault="007E5806" w:rsidP="007E5806">
      <w:pPr>
        <w:pStyle w:val="DHHSbody"/>
      </w:pPr>
      <w:bookmarkStart w:id="711" w:name="_Toc478992019"/>
      <w:r w:rsidRPr="007C6ADE">
        <w:t xml:space="preserve">As employer, regulator and funder, the department is committed to providing quality services to vulnerable clients in a safe environment. The department requires that funded organisations include safety screening pre-employment/pre-placement police record checks in their recruitment processes to minimise the risk of employing </w:t>
      </w:r>
      <w:r>
        <w:t xml:space="preserve">or engaging </w:t>
      </w:r>
      <w:r w:rsidRPr="007C6ADE">
        <w:t>unsuitable people. Safety screening may also include conducting checks against the DWEL or a Working with Children Check, where relevant, please refer to the relevant section within this policy.</w:t>
      </w:r>
    </w:p>
    <w:p w14:paraId="1C5CC3F6" w14:textId="77777777" w:rsidR="007E5806" w:rsidRPr="007C6ADE" w:rsidRDefault="007E5806" w:rsidP="007E5806">
      <w:pPr>
        <w:pStyle w:val="DHHSbody"/>
      </w:pPr>
      <w:r w:rsidRPr="00A16869">
        <w:rPr>
          <w:b/>
        </w:rPr>
        <w:t>Note</w:t>
      </w:r>
      <w:r w:rsidRPr="007C6ADE">
        <w:t xml:space="preserve">: An offer of employment or placement cannot occur until the </w:t>
      </w:r>
      <w:r>
        <w:t xml:space="preserve">safety screening processes have been </w:t>
      </w:r>
      <w:r w:rsidRPr="007C6ADE">
        <w:t xml:space="preserve">completed </w:t>
      </w:r>
      <w:r>
        <w:t xml:space="preserve">including the </w:t>
      </w:r>
      <w:r w:rsidRPr="007C6ADE">
        <w:t xml:space="preserve">police record check and any </w:t>
      </w:r>
      <w:r>
        <w:t xml:space="preserve">issues </w:t>
      </w:r>
      <w:r w:rsidRPr="007C6ADE">
        <w:t>have been assessed by the funded organisation.</w:t>
      </w:r>
    </w:p>
    <w:p w14:paraId="2DD680A5" w14:textId="77777777" w:rsidR="007E5806" w:rsidRPr="007C6ADE" w:rsidRDefault="007E5806" w:rsidP="007E5806">
      <w:pPr>
        <w:pStyle w:val="DHHSbody"/>
        <w:rPr>
          <w:lang w:eastAsia="en-AU"/>
        </w:rPr>
      </w:pPr>
      <w:r w:rsidRPr="007C6ADE">
        <w:rPr>
          <w:lang w:eastAsia="en-AU"/>
        </w:rPr>
        <w:t>All funded organisations and all authorised agencies that provide services to client</w:t>
      </w:r>
      <w:r>
        <w:rPr>
          <w:lang w:eastAsia="en-AU"/>
        </w:rPr>
        <w:t>s and/or patients</w:t>
      </w:r>
      <w:r w:rsidRPr="007C6ADE">
        <w:rPr>
          <w:lang w:eastAsia="en-AU"/>
        </w:rPr>
        <w:t xml:space="preserve"> categories for </w:t>
      </w:r>
      <w:r>
        <w:rPr>
          <w:lang w:eastAsia="en-AU"/>
        </w:rPr>
        <w:t>the department</w:t>
      </w:r>
      <w:r w:rsidRPr="007C6ADE">
        <w:rPr>
          <w:lang w:eastAsia="en-AU"/>
        </w:rPr>
        <w:t xml:space="preserve"> are required to comply with this policy (see Use of Labour Hire Staff for additional related information):</w:t>
      </w:r>
    </w:p>
    <w:p w14:paraId="19121056" w14:textId="77777777" w:rsidR="007E5806" w:rsidRPr="00276391" w:rsidRDefault="007E5806" w:rsidP="007E5806">
      <w:pPr>
        <w:pStyle w:val="Heading4"/>
        <w:rPr>
          <w:lang w:eastAsia="en-AU"/>
        </w:rPr>
      </w:pPr>
      <w:bookmarkStart w:id="712" w:name="_Toc478992020"/>
      <w:bookmarkEnd w:id="711"/>
      <w:r w:rsidRPr="00276391">
        <w:rPr>
          <w:lang w:eastAsia="en-AU"/>
        </w:rPr>
        <w:t>Pre-employment safety screening checks</w:t>
      </w:r>
      <w:bookmarkEnd w:id="712"/>
    </w:p>
    <w:p w14:paraId="65097746" w14:textId="77777777" w:rsidR="007E5806" w:rsidRPr="004309CB" w:rsidRDefault="007E5806" w:rsidP="007E5806">
      <w:pPr>
        <w:pStyle w:val="DHHSbody"/>
        <w:rPr>
          <w:lang w:val="en"/>
        </w:rPr>
      </w:pPr>
      <w:bookmarkStart w:id="713" w:name="_Toc478992021"/>
      <w:r w:rsidRPr="004309CB">
        <w:rPr>
          <w:lang w:val="en"/>
        </w:rPr>
        <w:t>Pre-employment safety screening checks involves the following tasks:</w:t>
      </w:r>
    </w:p>
    <w:p w14:paraId="3731B5EF" w14:textId="77777777" w:rsidR="007E5806" w:rsidRPr="004309CB" w:rsidRDefault="007E5806" w:rsidP="007E5806">
      <w:pPr>
        <w:pStyle w:val="DHHSbullet1"/>
        <w:numPr>
          <w:ilvl w:val="0"/>
          <w:numId w:val="14"/>
        </w:numPr>
        <w:rPr>
          <w:lang w:val="en"/>
        </w:rPr>
      </w:pPr>
      <w:r w:rsidRPr="004309CB">
        <w:rPr>
          <w:lang w:val="en"/>
        </w:rPr>
        <w:t>Disability Worker Exclusion List check (applicable to all disability services) (if required) </w:t>
      </w:r>
    </w:p>
    <w:p w14:paraId="091D752F" w14:textId="77777777" w:rsidR="007E5806" w:rsidRPr="004309CB" w:rsidRDefault="007E5806" w:rsidP="007E5806">
      <w:pPr>
        <w:pStyle w:val="DHHSbullet1"/>
        <w:numPr>
          <w:ilvl w:val="0"/>
          <w:numId w:val="14"/>
        </w:numPr>
        <w:rPr>
          <w:lang w:val="en"/>
        </w:rPr>
      </w:pPr>
      <w:r w:rsidRPr="004309CB">
        <w:rPr>
          <w:lang w:val="en"/>
        </w:rPr>
        <w:t xml:space="preserve">Disqualified </w:t>
      </w:r>
      <w:proofErr w:type="spellStart"/>
      <w:r w:rsidRPr="004309CB">
        <w:rPr>
          <w:lang w:val="en"/>
        </w:rPr>
        <w:t>Carer</w:t>
      </w:r>
      <w:proofErr w:type="spellEnd"/>
      <w:r w:rsidRPr="004309CB">
        <w:rPr>
          <w:lang w:val="en"/>
        </w:rPr>
        <w:t xml:space="preserve"> check (also known as </w:t>
      </w:r>
      <w:proofErr w:type="spellStart"/>
      <w:r w:rsidRPr="004309CB">
        <w:rPr>
          <w:lang w:val="en"/>
        </w:rPr>
        <w:t>Carers’</w:t>
      </w:r>
      <w:proofErr w:type="spellEnd"/>
      <w:r w:rsidRPr="004309CB">
        <w:rPr>
          <w:lang w:val="en"/>
        </w:rPr>
        <w:t xml:space="preserve"> Register – applicable to out-of-home-care of children)</w:t>
      </w:r>
      <w:r>
        <w:rPr>
          <w:lang w:val="en"/>
        </w:rPr>
        <w:t xml:space="preserve"> </w:t>
      </w:r>
      <w:r w:rsidRPr="004309CB">
        <w:rPr>
          <w:lang w:val="en"/>
        </w:rPr>
        <w:t>(if required) </w:t>
      </w:r>
    </w:p>
    <w:p w14:paraId="4A253A01" w14:textId="77777777" w:rsidR="007E5806" w:rsidRPr="004309CB" w:rsidRDefault="007E5806" w:rsidP="007E5806">
      <w:pPr>
        <w:pStyle w:val="DHHSbullet1"/>
        <w:numPr>
          <w:ilvl w:val="0"/>
          <w:numId w:val="14"/>
        </w:numPr>
        <w:rPr>
          <w:lang w:val="en"/>
        </w:rPr>
      </w:pPr>
      <w:r w:rsidRPr="004309CB">
        <w:rPr>
          <w:lang w:val="en"/>
        </w:rPr>
        <w:t>Employment history including disciplinary action disclosure </w:t>
      </w:r>
    </w:p>
    <w:p w14:paraId="112F1F78" w14:textId="77777777" w:rsidR="007E5806" w:rsidRPr="004309CB" w:rsidRDefault="007E5806" w:rsidP="007E5806">
      <w:pPr>
        <w:pStyle w:val="DHHSbullet1"/>
        <w:numPr>
          <w:ilvl w:val="0"/>
          <w:numId w:val="14"/>
        </w:numPr>
        <w:rPr>
          <w:lang w:val="en"/>
        </w:rPr>
      </w:pPr>
      <w:r w:rsidRPr="004309CB">
        <w:rPr>
          <w:lang w:val="en"/>
        </w:rPr>
        <w:t>Police record check (including Proof of identity check) </w:t>
      </w:r>
    </w:p>
    <w:p w14:paraId="57D6EFAC" w14:textId="77777777" w:rsidR="007E5806" w:rsidRPr="004309CB" w:rsidRDefault="007E5806" w:rsidP="007E5806">
      <w:pPr>
        <w:pStyle w:val="DHHSbullet1"/>
        <w:numPr>
          <w:ilvl w:val="0"/>
          <w:numId w:val="14"/>
        </w:numPr>
        <w:rPr>
          <w:lang w:val="en"/>
        </w:rPr>
      </w:pPr>
      <w:r w:rsidRPr="004309CB">
        <w:rPr>
          <w:lang w:val="en"/>
        </w:rPr>
        <w:t>Qualification check (if relevant) </w:t>
      </w:r>
    </w:p>
    <w:p w14:paraId="6BB57259" w14:textId="77777777" w:rsidR="007E5806" w:rsidRPr="00F90A81" w:rsidRDefault="007E5806" w:rsidP="007E5806">
      <w:pPr>
        <w:pStyle w:val="DHHSbullet1"/>
        <w:numPr>
          <w:ilvl w:val="0"/>
          <w:numId w:val="14"/>
        </w:numPr>
        <w:rPr>
          <w:lang w:val="en"/>
        </w:rPr>
      </w:pPr>
      <w:r w:rsidRPr="00F90A81">
        <w:rPr>
          <w:lang w:val="en"/>
        </w:rPr>
        <w:t xml:space="preserve">Confirmation of a Working </w:t>
      </w:r>
      <w:proofErr w:type="gramStart"/>
      <w:r w:rsidRPr="00F90A81">
        <w:rPr>
          <w:lang w:val="en"/>
        </w:rPr>
        <w:t>With</w:t>
      </w:r>
      <w:proofErr w:type="gramEnd"/>
      <w:r w:rsidRPr="00F90A81">
        <w:rPr>
          <w:lang w:val="en"/>
        </w:rPr>
        <w:t xml:space="preserve"> Children Check (WWCC) receipt followed by sighting the WWCC card Referee Checks</w:t>
      </w:r>
      <w:r>
        <w:rPr>
          <w:lang w:val="en"/>
        </w:rPr>
        <w:t>.</w:t>
      </w:r>
    </w:p>
    <w:p w14:paraId="2AF0AA82" w14:textId="77777777" w:rsidR="007E5806" w:rsidRDefault="007E5806" w:rsidP="007E5806">
      <w:pPr>
        <w:pStyle w:val="DHHSbody"/>
        <w:rPr>
          <w:lang w:val="en"/>
        </w:rPr>
      </w:pPr>
      <w:r w:rsidRPr="004309CB">
        <w:rPr>
          <w:lang w:val="en"/>
        </w:rPr>
        <w:t>See below for specific information relating to the above tasks. The information required for pre-employment safety screening is collected with an applicant’s informed consent.</w:t>
      </w:r>
    </w:p>
    <w:p w14:paraId="6DC9FF89" w14:textId="77777777" w:rsidR="007E5806" w:rsidRPr="00726BCB" w:rsidRDefault="007E5806" w:rsidP="007E5806">
      <w:pPr>
        <w:pStyle w:val="DHHSbody"/>
        <w:rPr>
          <w:lang w:val="en"/>
        </w:rPr>
      </w:pPr>
      <w:r w:rsidRPr="00726BCB">
        <w:rPr>
          <w:lang w:val="en"/>
        </w:rPr>
        <w:t xml:space="preserve">A pre-employment </w:t>
      </w:r>
      <w:hyperlink r:id="rId211" w:history="1">
        <w:r w:rsidRPr="000761EB">
          <w:rPr>
            <w:rStyle w:val="Hyperlink"/>
            <w:lang w:val="en"/>
          </w:rPr>
          <w:t>safety screening statutory declaration</w:t>
        </w:r>
      </w:hyperlink>
      <w:r>
        <w:rPr>
          <w:lang w:val="en"/>
        </w:rPr>
        <w:t xml:space="preserve"> &lt;</w:t>
      </w:r>
      <w:hyperlink r:id="rId212" w:history="1">
        <w:r w:rsidRPr="0028078D">
          <w:rPr>
            <w:lang w:val="en"/>
          </w:rPr>
          <w:t>https://fac.dhhs.vic.gov.au/safety-screening-statutory-declaration</w:t>
        </w:r>
      </w:hyperlink>
      <w:r>
        <w:rPr>
          <w:lang w:val="en"/>
        </w:rPr>
        <w:t>&gt; (external link, opens in a new window)</w:t>
      </w:r>
      <w:r w:rsidRPr="00726BCB">
        <w:rPr>
          <w:lang w:val="en"/>
        </w:rPr>
        <w:t xml:space="preserve"> is available</w:t>
      </w:r>
      <w:r>
        <w:rPr>
          <w:lang w:val="en"/>
        </w:rPr>
        <w:t xml:space="preserve">. </w:t>
      </w:r>
    </w:p>
    <w:p w14:paraId="795D2174" w14:textId="77777777" w:rsidR="007E5806" w:rsidRPr="00276391" w:rsidRDefault="007E5806" w:rsidP="007E5806">
      <w:pPr>
        <w:pStyle w:val="Heading4"/>
        <w:rPr>
          <w:lang w:eastAsia="en-AU"/>
        </w:rPr>
      </w:pPr>
      <w:bookmarkStart w:id="714" w:name="_Toc478992044"/>
      <w:bookmarkStart w:id="715" w:name="_Toc478992476"/>
      <w:bookmarkEnd w:id="713"/>
      <w:r w:rsidRPr="00276391">
        <w:rPr>
          <w:lang w:eastAsia="en-AU"/>
        </w:rPr>
        <w:lastRenderedPageBreak/>
        <w:t>Disability Worker Exclusion List check</w:t>
      </w:r>
    </w:p>
    <w:p w14:paraId="04D9548F" w14:textId="77777777" w:rsidR="007E5806" w:rsidRPr="007C6ADE" w:rsidRDefault="007E5806" w:rsidP="007E5806">
      <w:pPr>
        <w:pStyle w:val="DHHSbody"/>
        <w:rPr>
          <w:lang w:eastAsia="en-AU"/>
        </w:rPr>
      </w:pPr>
      <w:bookmarkStart w:id="716" w:name="_Toc478992022"/>
      <w:r w:rsidRPr="007C6ADE">
        <w:rPr>
          <w:lang w:eastAsia="en-AU"/>
        </w:rPr>
        <w:t xml:space="preserve">The </w:t>
      </w:r>
      <w:hyperlink r:id="rId213" w:history="1">
        <w:r w:rsidRPr="00FD1B3B">
          <w:rPr>
            <w:rStyle w:val="Hyperlink"/>
            <w:lang w:eastAsia="en-AU"/>
          </w:rPr>
          <w:t>Disability Worker Exclusion Scheme (DWES)</w:t>
        </w:r>
      </w:hyperlink>
      <w:r w:rsidRPr="007C6ADE">
        <w:rPr>
          <w:lang w:eastAsia="en-AU"/>
        </w:rPr>
        <w:t xml:space="preserve"> &lt;https://providers.dhhs.vic.gov.au/disability-worker-exclusion-scheme&gt; (external link, opens in a new window) is a Victorian Government initiative designed to further protect the safety and wellbeing of Victorians with a disability accessing disability services.</w:t>
      </w:r>
    </w:p>
    <w:p w14:paraId="208D9757" w14:textId="77777777" w:rsidR="007E5806" w:rsidRPr="007C6ADE" w:rsidRDefault="007E5806" w:rsidP="007E5806">
      <w:pPr>
        <w:pStyle w:val="DHHSbody"/>
        <w:rPr>
          <w:lang w:eastAsia="en-AU"/>
        </w:rPr>
      </w:pPr>
      <w:r w:rsidRPr="007C6ADE">
        <w:rPr>
          <w:lang w:eastAsia="en-AU"/>
        </w:rPr>
        <w:t>Disability service providers providing disability services within the meaning of the Disability Act 2006 and authorised agencies are required to comply with the DWES.</w:t>
      </w:r>
    </w:p>
    <w:p w14:paraId="72F3B094" w14:textId="77777777" w:rsidR="007E5806" w:rsidRPr="007C6ADE" w:rsidRDefault="007E5806" w:rsidP="007E5806">
      <w:pPr>
        <w:pStyle w:val="DHHSbody"/>
        <w:rPr>
          <w:lang w:eastAsia="en-AU"/>
        </w:rPr>
      </w:pPr>
      <w:r w:rsidRPr="007C6ADE">
        <w:rPr>
          <w:lang w:eastAsia="en-AU"/>
        </w:rPr>
        <w:t>The DWES provides a mechanism to collect, store and use information about people who are unsuitable to work with clients in disability services. People who are found to be unsuitable are placed on the Disability Worker Exclusion List (DWEL) and prevented from engag</w:t>
      </w:r>
      <w:r>
        <w:rPr>
          <w:lang w:eastAsia="en-AU"/>
        </w:rPr>
        <w:t>ing</w:t>
      </w:r>
      <w:r w:rsidRPr="007C6ADE">
        <w:rPr>
          <w:lang w:eastAsia="en-AU"/>
        </w:rPr>
        <w:t xml:space="preserve"> </w:t>
      </w:r>
      <w:r>
        <w:rPr>
          <w:lang w:eastAsia="en-AU"/>
        </w:rPr>
        <w:t>with</w:t>
      </w:r>
      <w:r w:rsidRPr="007C6ADE">
        <w:rPr>
          <w:lang w:eastAsia="en-AU"/>
        </w:rPr>
        <w:t xml:space="preserve"> a disability service provider as a disability worker or </w:t>
      </w:r>
      <w:r>
        <w:rPr>
          <w:lang w:eastAsia="en-AU"/>
        </w:rPr>
        <w:t xml:space="preserve">being involved with </w:t>
      </w:r>
      <w:r w:rsidRPr="007C6ADE">
        <w:rPr>
          <w:lang w:eastAsia="en-AU"/>
        </w:rPr>
        <w:t xml:space="preserve">work </w:t>
      </w:r>
      <w:r>
        <w:rPr>
          <w:lang w:eastAsia="en-AU"/>
        </w:rPr>
        <w:t>with</w:t>
      </w:r>
      <w:r w:rsidRPr="007C6ADE">
        <w:rPr>
          <w:lang w:eastAsia="en-AU"/>
        </w:rPr>
        <w:t xml:space="preserve"> regular direct contact with access to a person with a disability.</w:t>
      </w:r>
    </w:p>
    <w:p w14:paraId="09CA2504" w14:textId="77777777" w:rsidR="007E5806" w:rsidRPr="007C6ADE" w:rsidRDefault="007E5806" w:rsidP="007E5806">
      <w:pPr>
        <w:pStyle w:val="DHHSbody"/>
        <w:rPr>
          <w:lang w:eastAsia="en-AU"/>
        </w:rPr>
      </w:pPr>
      <w:r w:rsidRPr="007C6ADE">
        <w:rPr>
          <w:lang w:eastAsia="en-AU"/>
        </w:rPr>
        <w:t xml:space="preserve">Refer </w:t>
      </w:r>
      <w:r>
        <w:rPr>
          <w:lang w:eastAsia="en-AU"/>
        </w:rPr>
        <w:t xml:space="preserve">to the </w:t>
      </w:r>
      <w:hyperlink r:id="rId214" w:history="1">
        <w:r w:rsidRPr="004A741A">
          <w:rPr>
            <w:rStyle w:val="Hyperlink"/>
            <w:lang w:eastAsia="en-AU"/>
          </w:rPr>
          <w:t>Disability Worker Exclusion Scheme Instruction (October 2017)</w:t>
        </w:r>
      </w:hyperlink>
      <w:r>
        <w:rPr>
          <w:lang w:eastAsia="en-AU"/>
        </w:rPr>
        <w:t xml:space="preserve"> </w:t>
      </w:r>
      <w:r w:rsidRPr="007C6ADE">
        <w:rPr>
          <w:lang w:eastAsia="en-AU"/>
        </w:rPr>
        <w:t>&lt;https://providers.dhhs.vic.gov.au/disability-worker-exclusion-scheme&gt; (external link, opens in a new window)</w:t>
      </w:r>
      <w:r>
        <w:rPr>
          <w:lang w:eastAsia="en-AU"/>
        </w:rPr>
        <w:t xml:space="preserve"> </w:t>
      </w:r>
      <w:r w:rsidRPr="007C6ADE">
        <w:rPr>
          <w:lang w:eastAsia="en-AU"/>
        </w:rPr>
        <w:t xml:space="preserve">for further information about the operation of the scheme. </w:t>
      </w:r>
      <w:hyperlink r:id="rId215" w:history="1">
        <w:r w:rsidRPr="0028078D">
          <w:rPr>
            <w:rStyle w:val="Hyperlink"/>
            <w:lang w:eastAsia="en-AU"/>
          </w:rPr>
          <w:t>The pre-employment statutory declaration form</w:t>
        </w:r>
      </w:hyperlink>
      <w:r>
        <w:rPr>
          <w:lang w:eastAsia="en-AU"/>
        </w:rPr>
        <w:t xml:space="preserve"> &lt;</w:t>
      </w:r>
      <w:r w:rsidRPr="0028078D">
        <w:rPr>
          <w:lang w:eastAsia="en-AU"/>
        </w:rPr>
        <w:t>http://providers.dhhs.vic.gov.au/statutory-declaration-pre-employment-screening-disability-workers-dwes-word</w:t>
      </w:r>
      <w:r>
        <w:rPr>
          <w:lang w:eastAsia="en-AU"/>
        </w:rPr>
        <w:t>&gt;</w:t>
      </w:r>
      <w:r w:rsidRPr="007C6ADE">
        <w:rPr>
          <w:lang w:eastAsia="en-AU"/>
        </w:rPr>
        <w:t xml:space="preserve"> </w:t>
      </w:r>
      <w:r>
        <w:rPr>
          <w:lang w:eastAsia="en-AU"/>
        </w:rPr>
        <w:t xml:space="preserve"> </w:t>
      </w:r>
      <w:r w:rsidRPr="007C6ADE">
        <w:rPr>
          <w:lang w:eastAsia="en-AU"/>
        </w:rPr>
        <w:t>and standard letters can be also found on the site.</w:t>
      </w:r>
    </w:p>
    <w:p w14:paraId="2AFAB8AF" w14:textId="77777777" w:rsidR="007E5806" w:rsidRPr="007C6ADE" w:rsidRDefault="007E5806" w:rsidP="007E5806">
      <w:pPr>
        <w:pStyle w:val="DHHSbody"/>
        <w:rPr>
          <w:lang w:eastAsia="en-AU"/>
        </w:rPr>
      </w:pPr>
      <w:r w:rsidRPr="004A741A">
        <w:rPr>
          <w:b/>
          <w:lang w:eastAsia="en-AU"/>
        </w:rPr>
        <w:t>Note</w:t>
      </w:r>
      <w:r w:rsidRPr="007C6ADE">
        <w:rPr>
          <w:lang w:eastAsia="en-AU"/>
        </w:rPr>
        <w:t xml:space="preserve">: Funded or registered organisations are required to provide </w:t>
      </w:r>
      <w:r>
        <w:rPr>
          <w:lang w:eastAsia="en-AU"/>
        </w:rPr>
        <w:t>the department</w:t>
      </w:r>
      <w:r w:rsidRPr="007C6ADE">
        <w:rPr>
          <w:lang w:eastAsia="en-AU"/>
        </w:rPr>
        <w:t xml:space="preserve"> with notifications in respect of staff provided by labour hire agencies if they become aware that a worker may satisfy the criteria for placement on the DWEL. In addition, when giving notice to the DWES unit, the funded or registered organisation should also give notice of the notification to the employing labour hire agency.</w:t>
      </w:r>
    </w:p>
    <w:p w14:paraId="6F8BEE2F" w14:textId="77777777" w:rsidR="007E5806" w:rsidRPr="007C6ADE" w:rsidRDefault="007E5806" w:rsidP="007E5806">
      <w:pPr>
        <w:pStyle w:val="DHHSbody"/>
        <w:rPr>
          <w:lang w:eastAsia="en-AU"/>
        </w:rPr>
      </w:pPr>
      <w:r w:rsidRPr="007C6ADE">
        <w:rPr>
          <w:lang w:eastAsia="en-AU"/>
        </w:rPr>
        <w:t>Also, note that ‘authorised’ labour hire agencies are those agencies that have been authorised to conduct checks against the Disability Worker Exclusion List and are not preferred providers of the department. The department does not endorse the use of ‘authorised’ agencies over other labour hire agencies.</w:t>
      </w:r>
    </w:p>
    <w:p w14:paraId="663D6E65" w14:textId="77777777" w:rsidR="007E5806" w:rsidRDefault="007E5806" w:rsidP="007E5806">
      <w:pPr>
        <w:pStyle w:val="DHHSbody"/>
        <w:rPr>
          <w:b/>
          <w:bCs/>
          <w:lang w:eastAsia="en-AU"/>
        </w:rPr>
      </w:pPr>
      <w:r w:rsidRPr="007C6ADE">
        <w:rPr>
          <w:lang w:eastAsia="en-AU"/>
        </w:rPr>
        <w:t>Authorised agencies are required to comply with the requirements of the DWES incl</w:t>
      </w:r>
      <w:r>
        <w:rPr>
          <w:lang w:eastAsia="en-AU"/>
        </w:rPr>
        <w:t xml:space="preserve">uding, but not limited to, the </w:t>
      </w:r>
      <w:hyperlink r:id="rId216" w:history="1">
        <w:r w:rsidRPr="004A741A">
          <w:rPr>
            <w:rStyle w:val="Hyperlink"/>
            <w:lang w:eastAsia="en-AU"/>
          </w:rPr>
          <w:t>Disability Worker Exclusion Scheme Instruction (October 2017)</w:t>
        </w:r>
      </w:hyperlink>
      <w:r w:rsidRPr="007C6ADE">
        <w:rPr>
          <w:lang w:eastAsia="en-AU"/>
        </w:rPr>
        <w:t xml:space="preserve"> &lt;https://providers.dhhs.vic.gov.au/disability-worker-exclusion-scheme&gt; (external link, opens in a new window). This includes conducting annual checks of labour hire agency staff against the Disability Worker Exclusion List (see Use of Labour Hire Staff).</w:t>
      </w:r>
    </w:p>
    <w:p w14:paraId="5DC0F321" w14:textId="77777777" w:rsidR="007E5806" w:rsidRPr="00276391" w:rsidRDefault="007E5806" w:rsidP="007E5806">
      <w:pPr>
        <w:pStyle w:val="Heading4"/>
        <w:rPr>
          <w:lang w:eastAsia="en-AU"/>
        </w:rPr>
      </w:pPr>
      <w:r w:rsidRPr="00276391">
        <w:rPr>
          <w:lang w:eastAsia="en-AU"/>
        </w:rPr>
        <w:t>Use of Labour Hire Staff</w:t>
      </w:r>
      <w:bookmarkEnd w:id="716"/>
    </w:p>
    <w:p w14:paraId="4E3C1C0B" w14:textId="77777777" w:rsidR="007E5806" w:rsidRPr="003F52B3" w:rsidRDefault="007E5806" w:rsidP="007E5806">
      <w:pPr>
        <w:pStyle w:val="DHHSbody"/>
        <w:rPr>
          <w:lang w:eastAsia="en-AU"/>
        </w:rPr>
      </w:pPr>
      <w:bookmarkStart w:id="717" w:name="_Toc478992023"/>
      <w:r w:rsidRPr="003F52B3">
        <w:rPr>
          <w:b/>
          <w:lang w:eastAsia="en-AU"/>
        </w:rPr>
        <w:t>Specific to Department of Health and Human Services</w:t>
      </w:r>
      <w:bookmarkEnd w:id="717"/>
    </w:p>
    <w:p w14:paraId="730CB0C7" w14:textId="77777777" w:rsidR="007E5806" w:rsidRPr="004309CB" w:rsidRDefault="007E5806" w:rsidP="007E5806">
      <w:pPr>
        <w:pStyle w:val="DHHSbody"/>
        <w:rPr>
          <w:lang w:val="en"/>
        </w:rPr>
      </w:pPr>
      <w:bookmarkStart w:id="718" w:name="_Toc478992024"/>
      <w:r w:rsidRPr="004309CB">
        <w:rPr>
          <w:lang w:val="en"/>
        </w:rPr>
        <w:t xml:space="preserve">All </w:t>
      </w:r>
      <w:proofErr w:type="spellStart"/>
      <w:r w:rsidRPr="004309CB">
        <w:rPr>
          <w:lang w:val="en"/>
        </w:rPr>
        <w:t>organisations</w:t>
      </w:r>
      <w:proofErr w:type="spellEnd"/>
      <w:r w:rsidRPr="004309CB">
        <w:rPr>
          <w:lang w:val="en"/>
        </w:rPr>
        <w:t xml:space="preserve"> that are funded or registered by the </w:t>
      </w:r>
      <w:r>
        <w:rPr>
          <w:lang w:val="en"/>
        </w:rPr>
        <w:t>department</w:t>
      </w:r>
      <w:r w:rsidRPr="004309CB">
        <w:rPr>
          <w:lang w:val="en"/>
        </w:rPr>
        <w:t xml:space="preserve"> must ensure that any </w:t>
      </w:r>
      <w:proofErr w:type="spellStart"/>
      <w:r w:rsidRPr="004309CB">
        <w:rPr>
          <w:lang w:val="en"/>
        </w:rPr>
        <w:t>labour</w:t>
      </w:r>
      <w:proofErr w:type="spellEnd"/>
      <w:r w:rsidRPr="004309CB">
        <w:rPr>
          <w:lang w:val="en"/>
        </w:rPr>
        <w:t xml:space="preserve"> hire agency staff (</w:t>
      </w:r>
      <w:proofErr w:type="spellStart"/>
      <w:r w:rsidRPr="004309CB">
        <w:rPr>
          <w:lang w:val="en"/>
        </w:rPr>
        <w:t>labour</w:t>
      </w:r>
      <w:proofErr w:type="spellEnd"/>
      <w:r w:rsidRPr="004309CB">
        <w:rPr>
          <w:lang w:val="en"/>
        </w:rPr>
        <w:t xml:space="preserve"> hire) engaged to work in their </w:t>
      </w:r>
      <w:proofErr w:type="spellStart"/>
      <w:r w:rsidRPr="004309CB">
        <w:rPr>
          <w:lang w:val="en"/>
        </w:rPr>
        <w:t>organisation</w:t>
      </w:r>
      <w:proofErr w:type="spellEnd"/>
      <w:r w:rsidRPr="004309CB">
        <w:rPr>
          <w:lang w:val="en"/>
        </w:rPr>
        <w:t xml:space="preserve"> have undergone the necessary safety screening checks outlined in this policy prior to the commencement of work regardless of their employment status.</w:t>
      </w:r>
    </w:p>
    <w:p w14:paraId="48E6B9E1" w14:textId="77777777" w:rsidR="007E5806" w:rsidRPr="004309CB" w:rsidRDefault="007E5806" w:rsidP="007E5806">
      <w:pPr>
        <w:pStyle w:val="DHHSbody"/>
        <w:rPr>
          <w:lang w:val="en"/>
        </w:rPr>
      </w:pPr>
      <w:r w:rsidRPr="004309CB">
        <w:rPr>
          <w:lang w:val="en"/>
        </w:rPr>
        <w:t xml:space="preserve">The department </w:t>
      </w:r>
      <w:proofErr w:type="spellStart"/>
      <w:r w:rsidRPr="004309CB">
        <w:rPr>
          <w:lang w:val="en"/>
        </w:rPr>
        <w:t>recognises</w:t>
      </w:r>
      <w:proofErr w:type="spellEnd"/>
      <w:r w:rsidRPr="004309CB">
        <w:rPr>
          <w:lang w:val="en"/>
        </w:rPr>
        <w:t xml:space="preserve"> that </w:t>
      </w:r>
      <w:r w:rsidRPr="009B7FD8">
        <w:t xml:space="preserve">labour </w:t>
      </w:r>
      <w:r w:rsidRPr="004309CB">
        <w:rPr>
          <w:lang w:val="en"/>
        </w:rPr>
        <w:t xml:space="preserve">hire agency staff are often employed in circumstances where conducting </w:t>
      </w:r>
      <w:proofErr w:type="gramStart"/>
      <w:r w:rsidRPr="004309CB">
        <w:rPr>
          <w:lang w:val="en"/>
        </w:rPr>
        <w:t>all of</w:t>
      </w:r>
      <w:proofErr w:type="gramEnd"/>
      <w:r w:rsidRPr="004309CB">
        <w:rPr>
          <w:lang w:val="en"/>
        </w:rPr>
        <w:t xml:space="preserve"> the necessary safety screening requirements may be difficult or impractical, for example, when there are last minute staff shortages. In order to meet the obligations under this policy funded or registered </w:t>
      </w:r>
      <w:proofErr w:type="spellStart"/>
      <w:r w:rsidRPr="004309CB">
        <w:rPr>
          <w:lang w:val="en"/>
        </w:rPr>
        <w:t>organisations</w:t>
      </w:r>
      <w:proofErr w:type="spellEnd"/>
      <w:r w:rsidRPr="004309CB">
        <w:rPr>
          <w:lang w:val="en"/>
        </w:rPr>
        <w:t xml:space="preserve"> can apply one of the following options when engaging </w:t>
      </w:r>
      <w:proofErr w:type="spellStart"/>
      <w:r w:rsidRPr="004309CB">
        <w:rPr>
          <w:lang w:val="en"/>
        </w:rPr>
        <w:t>labour</w:t>
      </w:r>
      <w:proofErr w:type="spellEnd"/>
      <w:r w:rsidRPr="004309CB">
        <w:rPr>
          <w:lang w:val="en"/>
        </w:rPr>
        <w:t xml:space="preserve"> hires.</w:t>
      </w:r>
    </w:p>
    <w:p w14:paraId="5675C2AE" w14:textId="77777777" w:rsidR="007E5806" w:rsidRPr="004309CB" w:rsidRDefault="007E5806" w:rsidP="007E5806">
      <w:pPr>
        <w:pStyle w:val="DHHSbody"/>
        <w:rPr>
          <w:lang w:val="en"/>
        </w:rPr>
      </w:pPr>
      <w:r w:rsidRPr="004309CB">
        <w:rPr>
          <w:b/>
          <w:bCs/>
          <w:lang w:val="en"/>
        </w:rPr>
        <w:t>Option 1:</w:t>
      </w:r>
      <w:r w:rsidRPr="004309CB">
        <w:rPr>
          <w:lang w:val="en"/>
        </w:rPr>
        <w:t xml:space="preserve"> Undertake their own checks in respect of </w:t>
      </w:r>
      <w:proofErr w:type="spellStart"/>
      <w:r w:rsidRPr="004309CB">
        <w:rPr>
          <w:lang w:val="en"/>
        </w:rPr>
        <w:t>labour</w:t>
      </w:r>
      <w:proofErr w:type="spellEnd"/>
      <w:r w:rsidRPr="004309CB">
        <w:rPr>
          <w:lang w:val="en"/>
        </w:rPr>
        <w:t xml:space="preserve"> hires. Checks of </w:t>
      </w:r>
      <w:proofErr w:type="spellStart"/>
      <w:r w:rsidRPr="004309CB">
        <w:rPr>
          <w:lang w:val="en"/>
        </w:rPr>
        <w:t>labour</w:t>
      </w:r>
      <w:proofErr w:type="spellEnd"/>
      <w:r w:rsidRPr="004309CB">
        <w:rPr>
          <w:lang w:val="en"/>
        </w:rPr>
        <w:t xml:space="preserve"> hires against the Disability Worker Exclusion List (if required) must be conducted once every 12 months.</w:t>
      </w:r>
    </w:p>
    <w:p w14:paraId="7EBA7429" w14:textId="77777777" w:rsidR="007E5806" w:rsidRPr="004309CB" w:rsidRDefault="007E5806" w:rsidP="007E5806">
      <w:pPr>
        <w:pStyle w:val="DHHSbody"/>
        <w:rPr>
          <w:lang w:val="en"/>
        </w:rPr>
      </w:pPr>
      <w:r w:rsidRPr="004309CB">
        <w:rPr>
          <w:b/>
          <w:bCs/>
          <w:lang w:val="en"/>
        </w:rPr>
        <w:t>Option 2:</w:t>
      </w:r>
      <w:r w:rsidRPr="004309CB">
        <w:rPr>
          <w:lang w:val="en"/>
        </w:rPr>
        <w:t xml:space="preserve"> Use an </w:t>
      </w:r>
      <w:proofErr w:type="spellStart"/>
      <w:r w:rsidRPr="004309CB">
        <w:rPr>
          <w:lang w:val="en"/>
        </w:rPr>
        <w:t>authorised</w:t>
      </w:r>
      <w:proofErr w:type="spellEnd"/>
      <w:r w:rsidRPr="004309CB">
        <w:rPr>
          <w:lang w:val="en"/>
        </w:rPr>
        <w:t xml:space="preserve"> </w:t>
      </w:r>
      <w:proofErr w:type="spellStart"/>
      <w:r w:rsidRPr="004309CB">
        <w:rPr>
          <w:lang w:val="en"/>
        </w:rPr>
        <w:t>labour</w:t>
      </w:r>
      <w:proofErr w:type="spellEnd"/>
      <w:r w:rsidRPr="004309CB">
        <w:rPr>
          <w:lang w:val="en"/>
        </w:rPr>
        <w:t xml:space="preserve"> hire agency that complies with the safety screening requirements outlined in this policy and undertakes </w:t>
      </w:r>
      <w:proofErr w:type="gramStart"/>
      <w:r w:rsidRPr="004309CB">
        <w:rPr>
          <w:lang w:val="en"/>
        </w:rPr>
        <w:t>all of</w:t>
      </w:r>
      <w:proofErr w:type="gramEnd"/>
      <w:r w:rsidRPr="004309CB">
        <w:rPr>
          <w:lang w:val="en"/>
        </w:rPr>
        <w:t xml:space="preserve"> the relevant safety screening checks of workers as outlined in this policy.</w:t>
      </w:r>
    </w:p>
    <w:p w14:paraId="520738C3" w14:textId="77777777" w:rsidR="007E5806" w:rsidRPr="004309CB" w:rsidRDefault="007E5806" w:rsidP="007E5806">
      <w:pPr>
        <w:pStyle w:val="DHHSbody"/>
        <w:rPr>
          <w:rFonts w:cs="Arial"/>
          <w:b/>
        </w:rPr>
      </w:pPr>
      <w:r w:rsidRPr="004309CB">
        <w:rPr>
          <w:rFonts w:cs="Arial"/>
          <w:b/>
        </w:rPr>
        <w:t>Use of Labour hire staff for Disability Services</w:t>
      </w:r>
    </w:p>
    <w:p w14:paraId="7A197205" w14:textId="77777777" w:rsidR="007E5806" w:rsidRPr="004309CB" w:rsidRDefault="007E5806" w:rsidP="007E5806">
      <w:pPr>
        <w:pStyle w:val="DHHSbody"/>
        <w:rPr>
          <w:rFonts w:cs="Arial"/>
        </w:rPr>
      </w:pPr>
      <w:r w:rsidRPr="004309CB">
        <w:rPr>
          <w:rFonts w:cs="Arial"/>
        </w:rPr>
        <w:lastRenderedPageBreak/>
        <w:t>Labour hire agencies that are used by a disability service provider may apply to become authorised labour hire agencies. Generally, this will involve the agency satisfying the department</w:t>
      </w:r>
      <w:r>
        <w:rPr>
          <w:rFonts w:cs="Arial"/>
        </w:rPr>
        <w:t xml:space="preserve"> </w:t>
      </w:r>
      <w:r w:rsidRPr="004309CB">
        <w:rPr>
          <w:rFonts w:cs="Arial"/>
        </w:rPr>
        <w:t xml:space="preserve">that </w:t>
      </w:r>
      <w:r>
        <w:rPr>
          <w:rFonts w:cs="Arial"/>
        </w:rPr>
        <w:t>they are aware of and understand the requirements of the Scheme;</w:t>
      </w:r>
      <w:r w:rsidRPr="004309CB">
        <w:rPr>
          <w:rFonts w:cs="Arial"/>
        </w:rPr>
        <w:t xml:space="preserve"> and will implement the requirements of the Scheme.</w:t>
      </w:r>
    </w:p>
    <w:p w14:paraId="3D381A36" w14:textId="77777777" w:rsidR="007E5806" w:rsidRPr="004309CB" w:rsidRDefault="007E5806" w:rsidP="007E5806">
      <w:pPr>
        <w:pStyle w:val="DHHSbody"/>
        <w:rPr>
          <w:rFonts w:cs="Arial"/>
        </w:rPr>
      </w:pPr>
      <w:r w:rsidRPr="004309CB">
        <w:rPr>
          <w:rFonts w:cs="Arial"/>
        </w:rPr>
        <w:t xml:space="preserve">If the department is satisfied that an agency is </w:t>
      </w:r>
      <w:r>
        <w:rPr>
          <w:rFonts w:cs="Arial"/>
        </w:rPr>
        <w:t>able to meet these requirements;</w:t>
      </w:r>
      <w:r w:rsidRPr="004309CB">
        <w:rPr>
          <w:rFonts w:cs="Arial"/>
        </w:rPr>
        <w:t xml:space="preserve"> </w:t>
      </w:r>
      <w:r>
        <w:rPr>
          <w:rFonts w:cs="Arial"/>
        </w:rPr>
        <w:t>the</w:t>
      </w:r>
      <w:r w:rsidRPr="004309CB">
        <w:rPr>
          <w:rFonts w:cs="Arial"/>
        </w:rPr>
        <w:t xml:space="preserve"> agency will be asked to enter into an agreement with the department.</w:t>
      </w:r>
    </w:p>
    <w:p w14:paraId="2C524EC7" w14:textId="77777777" w:rsidR="007E5806" w:rsidRPr="004309CB" w:rsidRDefault="007E5806" w:rsidP="007E5806">
      <w:pPr>
        <w:pStyle w:val="DHHSbody"/>
        <w:rPr>
          <w:rFonts w:cs="Arial"/>
        </w:rPr>
      </w:pPr>
      <w:r w:rsidRPr="004309CB">
        <w:rPr>
          <w:rFonts w:cs="Arial"/>
        </w:rPr>
        <w:t xml:space="preserve">There are a number of labour hire agencies that have agreed to comply with the requirements of the Scheme. A disability service provider may engage a </w:t>
      </w:r>
      <w:r>
        <w:rPr>
          <w:rFonts w:cs="Arial"/>
        </w:rPr>
        <w:t>d</w:t>
      </w:r>
      <w:r w:rsidRPr="004309CB">
        <w:rPr>
          <w:rFonts w:cs="Arial"/>
        </w:rPr>
        <w:t xml:space="preserve">isability </w:t>
      </w:r>
      <w:r>
        <w:rPr>
          <w:rFonts w:cs="Arial"/>
        </w:rPr>
        <w:t>w</w:t>
      </w:r>
      <w:r w:rsidRPr="004309CB">
        <w:rPr>
          <w:rFonts w:cs="Arial"/>
        </w:rPr>
        <w:t xml:space="preserve">orker from such an agency in a disability service, and rely upon checks undertaken by these agencies in respect of that prospective </w:t>
      </w:r>
      <w:r>
        <w:rPr>
          <w:rFonts w:cs="Arial"/>
        </w:rPr>
        <w:t>d</w:t>
      </w:r>
      <w:r w:rsidRPr="004309CB">
        <w:rPr>
          <w:rFonts w:cs="Arial"/>
        </w:rPr>
        <w:t xml:space="preserve">isability </w:t>
      </w:r>
      <w:r>
        <w:rPr>
          <w:rFonts w:cs="Arial"/>
        </w:rPr>
        <w:t>w</w:t>
      </w:r>
      <w:r w:rsidRPr="004309CB">
        <w:rPr>
          <w:rFonts w:cs="Arial"/>
        </w:rPr>
        <w:t>orker, provided that the following applies:</w:t>
      </w:r>
    </w:p>
    <w:p w14:paraId="6CA4F4DE" w14:textId="77777777" w:rsidR="007E5806" w:rsidRPr="004309CB" w:rsidRDefault="007E5806" w:rsidP="007E5806">
      <w:pPr>
        <w:pStyle w:val="DHHSbullet1"/>
        <w:numPr>
          <w:ilvl w:val="0"/>
          <w:numId w:val="7"/>
        </w:numPr>
        <w:spacing w:after="40"/>
        <w:contextualSpacing w:val="0"/>
        <w:rPr>
          <w:rFonts w:cs="Arial"/>
        </w:rPr>
      </w:pPr>
      <w:r w:rsidRPr="004309CB">
        <w:rPr>
          <w:rFonts w:cs="Arial"/>
        </w:rPr>
        <w:t xml:space="preserve">The labour hire agency must be named as being an authorised labour hire agency see </w:t>
      </w:r>
      <w:hyperlink r:id="rId217" w:history="1">
        <w:r w:rsidRPr="004309CB">
          <w:rPr>
            <w:rStyle w:val="Hyperlink"/>
            <w:rFonts w:cs="Arial"/>
          </w:rPr>
          <w:t>Disability Workers Exclusion Scheme</w:t>
        </w:r>
      </w:hyperlink>
      <w:r w:rsidRPr="004309CB">
        <w:rPr>
          <w:rFonts w:cs="Arial"/>
        </w:rPr>
        <w:t xml:space="preserve"> &lt;https://providers.dhhs.vic.gov.au/disability-worker-exclusion-s</w:t>
      </w:r>
      <w:r>
        <w:rPr>
          <w:rFonts w:cs="Arial"/>
        </w:rPr>
        <w:t xml:space="preserve">cheme&gt; </w:t>
      </w:r>
      <w:r w:rsidRPr="00B24C02">
        <w:rPr>
          <w:rFonts w:cs="Arial"/>
          <w:color w:val="000000"/>
          <w:szCs w:val="19"/>
          <w:lang w:eastAsia="en-AU"/>
        </w:rPr>
        <w:t xml:space="preserve">(external link, opens in a new window) </w:t>
      </w:r>
      <w:r>
        <w:rPr>
          <w:rFonts w:cs="Arial"/>
        </w:rPr>
        <w:t>at the time of placement.</w:t>
      </w:r>
    </w:p>
    <w:p w14:paraId="0F52DAEB" w14:textId="77777777" w:rsidR="007E5806" w:rsidRPr="004309CB" w:rsidRDefault="007E5806" w:rsidP="007E5806">
      <w:pPr>
        <w:pStyle w:val="DHHSbullet1"/>
        <w:numPr>
          <w:ilvl w:val="0"/>
          <w:numId w:val="7"/>
        </w:numPr>
        <w:spacing w:after="40"/>
        <w:contextualSpacing w:val="0"/>
        <w:rPr>
          <w:rFonts w:cs="Arial"/>
        </w:rPr>
      </w:pPr>
      <w:r w:rsidRPr="004309CB">
        <w:rPr>
          <w:rFonts w:cs="Arial"/>
        </w:rPr>
        <w:t xml:space="preserve">The disability service provider must receive written confirmation from the authorised labour hire agency prior to the first occasion that the </w:t>
      </w:r>
      <w:r>
        <w:rPr>
          <w:rFonts w:cs="Arial"/>
        </w:rPr>
        <w:t>d</w:t>
      </w:r>
      <w:r w:rsidRPr="004309CB">
        <w:rPr>
          <w:rFonts w:cs="Arial"/>
        </w:rPr>
        <w:t xml:space="preserve">isability </w:t>
      </w:r>
      <w:r>
        <w:rPr>
          <w:rFonts w:cs="Arial"/>
        </w:rPr>
        <w:t>w</w:t>
      </w:r>
      <w:r w:rsidRPr="004309CB">
        <w:rPr>
          <w:rFonts w:cs="Arial"/>
        </w:rPr>
        <w:t>orker is placed with the disability service provider specifying:</w:t>
      </w:r>
    </w:p>
    <w:p w14:paraId="78A51CFE" w14:textId="77777777" w:rsidR="007E5806" w:rsidRPr="004309CB" w:rsidRDefault="007E5806" w:rsidP="007E5806">
      <w:pPr>
        <w:pStyle w:val="DHHSbullet2"/>
        <w:numPr>
          <w:ilvl w:val="2"/>
          <w:numId w:val="7"/>
        </w:numPr>
        <w:spacing w:after="40"/>
        <w:ind w:left="993" w:hanging="426"/>
        <w:contextualSpacing w:val="0"/>
        <w:rPr>
          <w:rFonts w:cs="Arial"/>
        </w:rPr>
      </w:pPr>
      <w:r w:rsidRPr="004309CB">
        <w:rPr>
          <w:rFonts w:cs="Arial"/>
        </w:rPr>
        <w:t xml:space="preserve">that the </w:t>
      </w:r>
      <w:r>
        <w:rPr>
          <w:rFonts w:cs="Arial"/>
        </w:rPr>
        <w:t>d</w:t>
      </w:r>
      <w:r w:rsidRPr="004309CB">
        <w:rPr>
          <w:rFonts w:cs="Arial"/>
        </w:rPr>
        <w:t xml:space="preserve">isability </w:t>
      </w:r>
      <w:r>
        <w:rPr>
          <w:rFonts w:cs="Arial"/>
        </w:rPr>
        <w:t>w</w:t>
      </w:r>
      <w:r w:rsidRPr="004309CB">
        <w:rPr>
          <w:rFonts w:cs="Arial"/>
        </w:rPr>
        <w:t>orker is aware of and agrees to be bound by the operation of the Scheme</w:t>
      </w:r>
    </w:p>
    <w:p w14:paraId="7156423E" w14:textId="77777777" w:rsidR="007E5806" w:rsidRPr="004309CB" w:rsidRDefault="007E5806" w:rsidP="007E5806">
      <w:pPr>
        <w:pStyle w:val="DHHSbullet2"/>
        <w:numPr>
          <w:ilvl w:val="2"/>
          <w:numId w:val="7"/>
        </w:numPr>
        <w:spacing w:after="40"/>
        <w:ind w:left="993" w:hanging="426"/>
        <w:contextualSpacing w:val="0"/>
        <w:rPr>
          <w:rFonts w:cs="Arial"/>
        </w:rPr>
      </w:pPr>
      <w:r w:rsidRPr="004309CB">
        <w:rPr>
          <w:rFonts w:cs="Arial"/>
        </w:rPr>
        <w:t xml:space="preserve">the date when the name of the </w:t>
      </w:r>
      <w:r>
        <w:rPr>
          <w:rFonts w:cs="Arial"/>
        </w:rPr>
        <w:t>d</w:t>
      </w:r>
      <w:r w:rsidRPr="004309CB">
        <w:rPr>
          <w:rFonts w:cs="Arial"/>
        </w:rPr>
        <w:t xml:space="preserve">isability </w:t>
      </w:r>
      <w:r>
        <w:rPr>
          <w:rFonts w:cs="Arial"/>
        </w:rPr>
        <w:t>w</w:t>
      </w:r>
      <w:r w:rsidRPr="004309CB">
        <w:rPr>
          <w:rFonts w:cs="Arial"/>
        </w:rPr>
        <w:t xml:space="preserve">orker was checked against the List and confirmation was received from the DWES Unit that the name of </w:t>
      </w:r>
      <w:r>
        <w:rPr>
          <w:rFonts w:cs="Arial"/>
        </w:rPr>
        <w:t>d</w:t>
      </w:r>
      <w:r w:rsidRPr="004309CB">
        <w:rPr>
          <w:rFonts w:cs="Arial"/>
        </w:rPr>
        <w:t xml:space="preserve">isability </w:t>
      </w:r>
      <w:r>
        <w:rPr>
          <w:rFonts w:cs="Arial"/>
        </w:rPr>
        <w:t>worker was not on the List (</w:t>
      </w:r>
      <w:r w:rsidRPr="004309CB">
        <w:rPr>
          <w:rFonts w:cs="Arial"/>
        </w:rPr>
        <w:t>if applicable</w:t>
      </w:r>
      <w:r>
        <w:rPr>
          <w:rFonts w:cs="Arial"/>
        </w:rPr>
        <w:t>)</w:t>
      </w:r>
    </w:p>
    <w:p w14:paraId="15383C09" w14:textId="77777777" w:rsidR="007E5806" w:rsidRPr="004309CB" w:rsidRDefault="007E5806" w:rsidP="007E5806">
      <w:pPr>
        <w:pStyle w:val="DHHSbullet2"/>
        <w:numPr>
          <w:ilvl w:val="2"/>
          <w:numId w:val="7"/>
        </w:numPr>
        <w:spacing w:after="40"/>
        <w:ind w:left="993" w:hanging="426"/>
        <w:contextualSpacing w:val="0"/>
        <w:rPr>
          <w:rFonts w:cs="Arial"/>
        </w:rPr>
      </w:pPr>
      <w:r w:rsidRPr="004309CB">
        <w:rPr>
          <w:rFonts w:cs="Arial"/>
        </w:rPr>
        <w:t xml:space="preserve">that the requirements of the department’s screening policies have been met and the date when screening took place, including when the results of a police record check were received, and the outcome of that check for the </w:t>
      </w:r>
      <w:r>
        <w:rPr>
          <w:rFonts w:cs="Arial"/>
        </w:rPr>
        <w:t>d</w:t>
      </w:r>
      <w:r w:rsidRPr="004309CB">
        <w:rPr>
          <w:rFonts w:cs="Arial"/>
        </w:rPr>
        <w:t xml:space="preserve">isability </w:t>
      </w:r>
      <w:r>
        <w:rPr>
          <w:rFonts w:cs="Arial"/>
        </w:rPr>
        <w:t>worker</w:t>
      </w:r>
    </w:p>
    <w:p w14:paraId="2963F452" w14:textId="77777777" w:rsidR="007E5806" w:rsidRPr="004309CB" w:rsidRDefault="007E5806" w:rsidP="007E5806">
      <w:pPr>
        <w:pStyle w:val="DHHSbullet2lastline"/>
        <w:numPr>
          <w:ilvl w:val="3"/>
          <w:numId w:val="7"/>
        </w:numPr>
        <w:ind w:left="993" w:hanging="426"/>
        <w:contextualSpacing w:val="0"/>
        <w:rPr>
          <w:rFonts w:cs="Arial"/>
        </w:rPr>
      </w:pPr>
      <w:r w:rsidRPr="004309CB">
        <w:rPr>
          <w:rFonts w:cs="Arial"/>
        </w:rPr>
        <w:t xml:space="preserve">that the authorised labour hire agency is not aware of any </w:t>
      </w:r>
      <w:r>
        <w:rPr>
          <w:rFonts w:cs="Arial"/>
        </w:rPr>
        <w:t>n</w:t>
      </w:r>
      <w:r w:rsidRPr="004309CB">
        <w:rPr>
          <w:rFonts w:cs="Arial"/>
        </w:rPr>
        <w:t xml:space="preserve">otifications in respect of the </w:t>
      </w:r>
      <w:r>
        <w:rPr>
          <w:rFonts w:cs="Arial"/>
        </w:rPr>
        <w:t>d</w:t>
      </w:r>
      <w:r w:rsidRPr="004309CB">
        <w:rPr>
          <w:rFonts w:cs="Arial"/>
        </w:rPr>
        <w:t xml:space="preserve">isability </w:t>
      </w:r>
      <w:r>
        <w:rPr>
          <w:rFonts w:cs="Arial"/>
        </w:rPr>
        <w:t>w</w:t>
      </w:r>
      <w:r w:rsidRPr="004309CB">
        <w:rPr>
          <w:rFonts w:cs="Arial"/>
        </w:rPr>
        <w:t xml:space="preserve">orker and that the authorised labour hire agency consents, and the </w:t>
      </w:r>
      <w:r>
        <w:rPr>
          <w:rFonts w:cs="Arial"/>
        </w:rPr>
        <w:t>d</w:t>
      </w:r>
      <w:r w:rsidRPr="004309CB">
        <w:rPr>
          <w:rFonts w:cs="Arial"/>
        </w:rPr>
        <w:t xml:space="preserve">isability </w:t>
      </w:r>
      <w:r>
        <w:rPr>
          <w:rFonts w:cs="Arial"/>
        </w:rPr>
        <w:t xml:space="preserve">worker has given their consent </w:t>
      </w:r>
      <w:r w:rsidRPr="004309CB">
        <w:rPr>
          <w:rFonts w:cs="Arial"/>
        </w:rPr>
        <w:t xml:space="preserve">to the disability service provider notifying the DWES Unit in respect of the </w:t>
      </w:r>
      <w:r>
        <w:rPr>
          <w:rFonts w:cs="Arial"/>
        </w:rPr>
        <w:t>d</w:t>
      </w:r>
      <w:r w:rsidRPr="004309CB">
        <w:rPr>
          <w:rFonts w:cs="Arial"/>
        </w:rPr>
        <w:t xml:space="preserve">isability </w:t>
      </w:r>
      <w:r>
        <w:rPr>
          <w:rFonts w:cs="Arial"/>
        </w:rPr>
        <w:t>w</w:t>
      </w:r>
      <w:r w:rsidRPr="004309CB">
        <w:rPr>
          <w:rFonts w:cs="Arial"/>
        </w:rPr>
        <w:t xml:space="preserve">orker if they become aware of circumstances requiring Notification under the Scheme. </w:t>
      </w:r>
    </w:p>
    <w:p w14:paraId="7AA0B977" w14:textId="77777777" w:rsidR="007E5806" w:rsidRPr="004309CB" w:rsidRDefault="007E5806" w:rsidP="007E5806">
      <w:pPr>
        <w:pStyle w:val="DHHSbody"/>
        <w:rPr>
          <w:rFonts w:cs="Arial"/>
        </w:rPr>
      </w:pPr>
      <w:r>
        <w:rPr>
          <w:rFonts w:cs="Arial"/>
        </w:rPr>
        <w:t>For a copy of the suggested pro</w:t>
      </w:r>
      <w:r w:rsidRPr="004309CB">
        <w:rPr>
          <w:rFonts w:cs="Arial"/>
        </w:rPr>
        <w:t>forma confirmation that a disability service provider should receive from an authorised labour hire agency</w:t>
      </w:r>
      <w:r>
        <w:rPr>
          <w:rFonts w:cs="Arial"/>
        </w:rPr>
        <w:t>, refer to</w:t>
      </w:r>
      <w:r w:rsidRPr="004309CB">
        <w:rPr>
          <w:rFonts w:cs="Arial"/>
        </w:rPr>
        <w:t xml:space="preserve"> </w:t>
      </w:r>
      <w:hyperlink r:id="rId218" w:history="1">
        <w:r w:rsidRPr="000761EB">
          <w:rPr>
            <w:rStyle w:val="Hyperlink"/>
            <w:rFonts w:cs="Arial"/>
          </w:rPr>
          <w:t>Disability Workers Exclusion Scheme</w:t>
        </w:r>
      </w:hyperlink>
      <w:r w:rsidRPr="004309CB">
        <w:rPr>
          <w:rFonts w:cs="Arial"/>
        </w:rPr>
        <w:t xml:space="preserve"> &lt;https://providers.dhhs.vic.gov.au/disability-worker-exclusion-scheme&gt;</w:t>
      </w:r>
      <w:r>
        <w:rPr>
          <w:rFonts w:cs="Arial"/>
        </w:rPr>
        <w:t xml:space="preserve"> </w:t>
      </w:r>
      <w:r w:rsidRPr="00B24C02">
        <w:rPr>
          <w:rFonts w:cs="Arial"/>
          <w:color w:val="000000"/>
          <w:szCs w:val="19"/>
          <w:lang w:eastAsia="en-AU"/>
        </w:rPr>
        <w:t>(external link, opens in a new window)</w:t>
      </w:r>
      <w:r w:rsidRPr="004309CB">
        <w:rPr>
          <w:rFonts w:cs="Arial"/>
        </w:rPr>
        <w:t>. A copy of the confirmation received should be retained by a disability service provider for a minimum period of seven years.</w:t>
      </w:r>
    </w:p>
    <w:p w14:paraId="02F7F59B" w14:textId="77777777" w:rsidR="007E5806" w:rsidRPr="004309CB" w:rsidRDefault="007E5806" w:rsidP="007E5806">
      <w:pPr>
        <w:pStyle w:val="DHHSbody"/>
        <w:rPr>
          <w:rFonts w:cs="Arial"/>
        </w:rPr>
      </w:pPr>
      <w:r w:rsidRPr="004309CB">
        <w:rPr>
          <w:rFonts w:cs="Arial"/>
        </w:rPr>
        <w:t xml:space="preserve">A disability service provider who engages a </w:t>
      </w:r>
      <w:r>
        <w:rPr>
          <w:rFonts w:cs="Arial"/>
        </w:rPr>
        <w:t>d</w:t>
      </w:r>
      <w:r w:rsidRPr="004309CB">
        <w:rPr>
          <w:rFonts w:cs="Arial"/>
        </w:rPr>
        <w:t xml:space="preserve">isability </w:t>
      </w:r>
      <w:r>
        <w:rPr>
          <w:rFonts w:cs="Arial"/>
        </w:rPr>
        <w:t>w</w:t>
      </w:r>
      <w:r w:rsidRPr="004309CB">
        <w:rPr>
          <w:rFonts w:cs="Arial"/>
        </w:rPr>
        <w:t>orker through an authorised labour hire agency is encouraged to ensure that they have agreements in place with that authorised labour hire agency requiring the authorised labour hire agency to fully cooperate with any investigation undertaken for the purpose of compliance with the Scheme. This includes any investigation for the purpose of determining whether or not a person should be placed on the List.</w:t>
      </w:r>
    </w:p>
    <w:p w14:paraId="7D95FA05" w14:textId="77777777" w:rsidR="007E5806" w:rsidRPr="004309CB" w:rsidRDefault="007E5806" w:rsidP="007E5806">
      <w:pPr>
        <w:pStyle w:val="DHHSbody"/>
        <w:rPr>
          <w:rFonts w:cs="Arial"/>
        </w:rPr>
      </w:pPr>
      <w:r w:rsidRPr="004309CB">
        <w:rPr>
          <w:rFonts w:cs="Arial"/>
        </w:rPr>
        <w:t xml:space="preserve">A disability service provider must therefore check to ensure that an authorised labour hire agency’s authorisation remains current at the time of placement. As set out above, authorised labour hire agencies are listed on the </w:t>
      </w:r>
      <w:hyperlink r:id="rId219" w:history="1">
        <w:r w:rsidRPr="005B4BD1">
          <w:rPr>
            <w:rStyle w:val="Hyperlink"/>
            <w:rFonts w:cs="Arial"/>
          </w:rPr>
          <w:t>Disability Workers Exclusion Scheme page on the Providers website</w:t>
        </w:r>
      </w:hyperlink>
      <w:r w:rsidRPr="004309CB">
        <w:rPr>
          <w:rFonts w:cs="Arial"/>
        </w:rPr>
        <w:t xml:space="preserve"> &lt;https://providers.dhhs.vic.gov.au/disability-worker-exclusion-scheme&gt;</w:t>
      </w:r>
      <w:r>
        <w:rPr>
          <w:rFonts w:cs="Arial"/>
        </w:rPr>
        <w:t xml:space="preserve"> </w:t>
      </w:r>
      <w:r w:rsidRPr="00B24C02">
        <w:rPr>
          <w:rFonts w:cs="Arial"/>
          <w:color w:val="000000"/>
          <w:szCs w:val="19"/>
          <w:lang w:eastAsia="en-AU"/>
        </w:rPr>
        <w:t>(external link, opens in a new window)</w:t>
      </w:r>
      <w:r w:rsidRPr="004309CB">
        <w:rPr>
          <w:rFonts w:cs="Arial"/>
        </w:rPr>
        <w:t>.</w:t>
      </w:r>
    </w:p>
    <w:p w14:paraId="7DA5934B" w14:textId="77777777" w:rsidR="007E5806" w:rsidRPr="003F52B3" w:rsidRDefault="007E5806" w:rsidP="007E5806">
      <w:pPr>
        <w:pStyle w:val="DHHSbody"/>
        <w:rPr>
          <w:lang w:eastAsia="en-AU"/>
        </w:rPr>
      </w:pPr>
      <w:r w:rsidRPr="003F52B3">
        <w:rPr>
          <w:b/>
          <w:lang w:eastAsia="en-AU"/>
        </w:rPr>
        <w:t>Use of Labour Hire Staff for Residential Care Services for children and young people</w:t>
      </w:r>
      <w:bookmarkEnd w:id="718"/>
    </w:p>
    <w:p w14:paraId="54109038" w14:textId="77777777" w:rsidR="007E5806" w:rsidRPr="00726BCB" w:rsidRDefault="007E5806" w:rsidP="007E5806">
      <w:pPr>
        <w:pStyle w:val="DHHSbody"/>
        <w:rPr>
          <w:lang w:val="en"/>
        </w:rPr>
      </w:pPr>
      <w:r w:rsidRPr="00726BCB">
        <w:rPr>
          <w:lang w:val="en"/>
        </w:rPr>
        <w:t xml:space="preserve">Funded </w:t>
      </w:r>
      <w:proofErr w:type="spellStart"/>
      <w:r w:rsidRPr="00726BCB">
        <w:rPr>
          <w:lang w:val="en"/>
        </w:rPr>
        <w:t>organisations</w:t>
      </w:r>
      <w:proofErr w:type="spellEnd"/>
      <w:r w:rsidRPr="00726BCB">
        <w:rPr>
          <w:lang w:val="en"/>
        </w:rPr>
        <w:t xml:space="preserve"> engaging </w:t>
      </w:r>
      <w:proofErr w:type="spellStart"/>
      <w:r w:rsidRPr="00726BCB">
        <w:rPr>
          <w:lang w:val="en"/>
        </w:rPr>
        <w:t>labour</w:t>
      </w:r>
      <w:proofErr w:type="spellEnd"/>
      <w:r w:rsidRPr="00726BCB">
        <w:rPr>
          <w:lang w:val="en"/>
        </w:rPr>
        <w:t xml:space="preserve"> hires for residential care services for children and young people must ensure that the interview panel chairperson conducts referee checks on competitive </w:t>
      </w:r>
      <w:proofErr w:type="spellStart"/>
      <w:r w:rsidRPr="00726BCB">
        <w:rPr>
          <w:lang w:val="en"/>
        </w:rPr>
        <w:t>labour</w:t>
      </w:r>
      <w:proofErr w:type="spellEnd"/>
      <w:r w:rsidRPr="00726BCB">
        <w:rPr>
          <w:lang w:val="en"/>
        </w:rPr>
        <w:t xml:space="preserve"> hire applicants after interviews have been conducted.</w:t>
      </w:r>
      <w:r>
        <w:rPr>
          <w:lang w:val="en"/>
        </w:rPr>
        <w:t xml:space="preserve"> </w:t>
      </w:r>
      <w:r w:rsidRPr="00726BCB">
        <w:rPr>
          <w:lang w:val="en"/>
        </w:rPr>
        <w:t xml:space="preserve">The funded </w:t>
      </w:r>
      <w:proofErr w:type="spellStart"/>
      <w:r w:rsidRPr="00726BCB">
        <w:rPr>
          <w:lang w:val="en"/>
        </w:rPr>
        <w:t>organisation</w:t>
      </w:r>
      <w:proofErr w:type="spellEnd"/>
      <w:r w:rsidRPr="00726BCB">
        <w:rPr>
          <w:lang w:val="en"/>
        </w:rPr>
        <w:t xml:space="preserve"> must ask all referees to </w:t>
      </w:r>
      <w:r w:rsidRPr="00726BCB">
        <w:rPr>
          <w:lang w:val="en"/>
        </w:rPr>
        <w:lastRenderedPageBreak/>
        <w:t>provide comments on the suitability of the applicant to work directly with children, including the possibility of the applicant working alone with one or more children.</w:t>
      </w:r>
    </w:p>
    <w:p w14:paraId="1A798472" w14:textId="77777777" w:rsidR="007E5806" w:rsidRPr="00726BCB" w:rsidRDefault="007E5806" w:rsidP="007E5806">
      <w:pPr>
        <w:pStyle w:val="DHHSbody"/>
        <w:rPr>
          <w:lang w:val="en"/>
        </w:rPr>
      </w:pPr>
      <w:r w:rsidRPr="00726BCB">
        <w:rPr>
          <w:lang w:val="en"/>
        </w:rPr>
        <w:t xml:space="preserve">The funded </w:t>
      </w:r>
      <w:proofErr w:type="spellStart"/>
      <w:r w:rsidRPr="00726BCB">
        <w:rPr>
          <w:lang w:val="en"/>
        </w:rPr>
        <w:t>organisation</w:t>
      </w:r>
      <w:proofErr w:type="spellEnd"/>
      <w:r w:rsidRPr="00726BCB">
        <w:rPr>
          <w:lang w:val="en"/>
        </w:rPr>
        <w:t xml:space="preserve"> must complete the following pre-employment check process before the </w:t>
      </w:r>
      <w:proofErr w:type="spellStart"/>
      <w:r w:rsidRPr="00726BCB">
        <w:rPr>
          <w:lang w:val="en"/>
        </w:rPr>
        <w:t>labour</w:t>
      </w:r>
      <w:proofErr w:type="spellEnd"/>
      <w:r w:rsidRPr="00726BCB">
        <w:rPr>
          <w:lang w:val="en"/>
        </w:rPr>
        <w:t xml:space="preserve"> hire commences providing residential care services for them:</w:t>
      </w:r>
    </w:p>
    <w:p w14:paraId="42DAC38F" w14:textId="77777777" w:rsidR="007E5806" w:rsidRPr="00276391" w:rsidRDefault="007E5806" w:rsidP="007E5806">
      <w:pPr>
        <w:pStyle w:val="DHHSbullet1"/>
        <w:numPr>
          <w:ilvl w:val="0"/>
          <w:numId w:val="5"/>
        </w:numPr>
        <w:rPr>
          <w:lang w:eastAsia="en-AU"/>
        </w:rPr>
      </w:pPr>
      <w:r w:rsidRPr="00276391">
        <w:rPr>
          <w:lang w:eastAsia="en-AU"/>
        </w:rPr>
        <w:t>obtain and make copies of the following documents relating to the labour hire:</w:t>
      </w:r>
    </w:p>
    <w:p w14:paraId="5D8D1CFD" w14:textId="77777777" w:rsidR="007E5806" w:rsidRDefault="007E5806" w:rsidP="007E5806">
      <w:pPr>
        <w:pStyle w:val="DHHSbullet2"/>
        <w:numPr>
          <w:ilvl w:val="2"/>
          <w:numId w:val="14"/>
        </w:numPr>
        <w:rPr>
          <w:lang w:eastAsia="en-AU"/>
        </w:rPr>
      </w:pPr>
      <w:r>
        <w:rPr>
          <w:lang w:eastAsia="en-AU"/>
        </w:rPr>
        <w:t>current Australian Drivers Licence (cite licence number and expiry date)</w:t>
      </w:r>
    </w:p>
    <w:p w14:paraId="099E002A" w14:textId="77777777" w:rsidR="007E5806" w:rsidRDefault="007E5806" w:rsidP="007E5806">
      <w:pPr>
        <w:pStyle w:val="DHHSbullet2"/>
        <w:numPr>
          <w:ilvl w:val="2"/>
          <w:numId w:val="14"/>
        </w:numPr>
        <w:rPr>
          <w:lang w:eastAsia="en-AU"/>
        </w:rPr>
      </w:pPr>
      <w:r>
        <w:rPr>
          <w:lang w:eastAsia="en-AU"/>
        </w:rPr>
        <w:t>a current Working with Children Check (cite number and expiry date)</w:t>
      </w:r>
    </w:p>
    <w:p w14:paraId="0D78EE1A" w14:textId="77777777" w:rsidR="007E5806" w:rsidRDefault="007E5806" w:rsidP="007E5806">
      <w:pPr>
        <w:pStyle w:val="DHHSbullet2"/>
        <w:numPr>
          <w:ilvl w:val="2"/>
          <w:numId w:val="14"/>
        </w:numPr>
        <w:rPr>
          <w:lang w:eastAsia="en-AU"/>
        </w:rPr>
      </w:pPr>
      <w:r>
        <w:rPr>
          <w:lang w:eastAsia="en-AU"/>
        </w:rPr>
        <w:t>a national Police Check (current within the past 12 months) compliant with the requirements of this policy including evidence that a conversation has taken place with the relevant departmental Area Director regarding the employment or engagement of the labour hire where the Police Check reveals a disclosable record</w:t>
      </w:r>
    </w:p>
    <w:p w14:paraId="735320AD" w14:textId="77777777" w:rsidR="007E5806" w:rsidRDefault="007E5806" w:rsidP="007E5806">
      <w:pPr>
        <w:pStyle w:val="DHHSbullet2"/>
        <w:numPr>
          <w:ilvl w:val="2"/>
          <w:numId w:val="14"/>
        </w:numPr>
        <w:rPr>
          <w:lang w:eastAsia="en-AU"/>
        </w:rPr>
      </w:pPr>
      <w:r>
        <w:rPr>
          <w:lang w:eastAsia="en-AU"/>
        </w:rPr>
        <w:t>a current International Police Check where required.</w:t>
      </w:r>
    </w:p>
    <w:p w14:paraId="571986C1" w14:textId="77777777" w:rsidR="007E5806" w:rsidRPr="00726BCB" w:rsidRDefault="007E5806" w:rsidP="007E5806">
      <w:pPr>
        <w:pStyle w:val="DHHSbullet1"/>
        <w:numPr>
          <w:ilvl w:val="0"/>
          <w:numId w:val="5"/>
        </w:numPr>
        <w:rPr>
          <w:lang w:eastAsia="en-AU"/>
        </w:rPr>
      </w:pPr>
      <w:r w:rsidRPr="004309CB">
        <w:rPr>
          <w:rFonts w:cs="Arial"/>
          <w:lang w:val="en"/>
        </w:rPr>
        <w:t xml:space="preserve">obtain from the </w:t>
      </w:r>
      <w:proofErr w:type="spellStart"/>
      <w:r w:rsidRPr="004309CB">
        <w:rPr>
          <w:rFonts w:cs="Arial"/>
          <w:lang w:val="en"/>
        </w:rPr>
        <w:t>labour</w:t>
      </w:r>
      <w:proofErr w:type="spellEnd"/>
      <w:r w:rsidRPr="004309CB">
        <w:rPr>
          <w:rFonts w:cs="Arial"/>
          <w:lang w:val="en"/>
        </w:rPr>
        <w:t xml:space="preserve"> hire a current signed original pre-existing injury or disease declaration in accordance with section 82(7) of </w:t>
      </w:r>
      <w:r w:rsidRPr="00F30F62">
        <w:rPr>
          <w:rFonts w:cs="Arial"/>
          <w:lang w:val="en"/>
        </w:rPr>
        <w:t xml:space="preserve">the </w:t>
      </w:r>
      <w:r w:rsidRPr="00F30F62">
        <w:rPr>
          <w:rFonts w:cs="Arial"/>
          <w:bCs/>
          <w:i/>
          <w:lang w:val="en"/>
        </w:rPr>
        <w:t>Accident Compensation Act 1985</w:t>
      </w:r>
      <w:r w:rsidRPr="00F30F62">
        <w:rPr>
          <w:rFonts w:cs="Arial"/>
          <w:i/>
          <w:lang w:val="en"/>
        </w:rPr>
        <w:t xml:space="preserve"> (Vic),</w:t>
      </w:r>
      <w:r w:rsidRPr="004309CB">
        <w:rPr>
          <w:rFonts w:cs="Arial"/>
          <w:lang w:val="en"/>
        </w:rPr>
        <w:t xml:space="preserve"> to be held on file by the funded </w:t>
      </w:r>
      <w:proofErr w:type="spellStart"/>
      <w:r w:rsidRPr="004309CB">
        <w:rPr>
          <w:rFonts w:cs="Arial"/>
          <w:lang w:val="en"/>
        </w:rPr>
        <w:t>organisation</w:t>
      </w:r>
      <w:proofErr w:type="spellEnd"/>
    </w:p>
    <w:p w14:paraId="09538856" w14:textId="77777777" w:rsidR="007E5806" w:rsidRDefault="007E5806" w:rsidP="007E5806">
      <w:pPr>
        <w:pStyle w:val="DHHSbullet1"/>
        <w:numPr>
          <w:ilvl w:val="0"/>
          <w:numId w:val="5"/>
        </w:numPr>
        <w:rPr>
          <w:lang w:eastAsia="en-AU"/>
        </w:rPr>
      </w:pPr>
      <w:r w:rsidRPr="00726BCB">
        <w:rPr>
          <w:rFonts w:cs="Arial"/>
          <w:lang w:val="en"/>
        </w:rPr>
        <w:t>having</w:t>
      </w:r>
      <w:r>
        <w:rPr>
          <w:lang w:eastAsia="en-AU"/>
        </w:rPr>
        <w:t xml:space="preserve"> obtained from the labour hire a fully informed signed written declaration granting permission for such disclosure, provide to the Program Manager of the funded organisation:</w:t>
      </w:r>
    </w:p>
    <w:p w14:paraId="64A20622" w14:textId="77777777" w:rsidR="007E5806" w:rsidRDefault="007E5806" w:rsidP="007E5806">
      <w:pPr>
        <w:pStyle w:val="DHHSbulletindent"/>
        <w:numPr>
          <w:ilvl w:val="4"/>
          <w:numId w:val="14"/>
        </w:numPr>
        <w:rPr>
          <w:lang w:eastAsia="en-AU"/>
        </w:rPr>
      </w:pPr>
      <w:r>
        <w:rPr>
          <w:lang w:eastAsia="en-AU"/>
        </w:rPr>
        <w:t>details of any quality of care concerns known to the funded organisation regarding the conduct of the labour hire; and</w:t>
      </w:r>
    </w:p>
    <w:p w14:paraId="36D23DB7" w14:textId="77777777" w:rsidR="007E5806" w:rsidRDefault="007E5806" w:rsidP="007E5806">
      <w:pPr>
        <w:pStyle w:val="DHHSbulletindent"/>
        <w:numPr>
          <w:ilvl w:val="4"/>
          <w:numId w:val="14"/>
        </w:numPr>
        <w:rPr>
          <w:lang w:eastAsia="en-AU"/>
        </w:rPr>
      </w:pPr>
      <w:r>
        <w:rPr>
          <w:lang w:eastAsia="en-AU"/>
        </w:rPr>
        <w:t>the following details of the labour hire as required to complete an out-of-home-care Disqualified Carer Check and update the department’s register of out-of-home carers:</w:t>
      </w:r>
    </w:p>
    <w:p w14:paraId="3A965685" w14:textId="77777777" w:rsidR="007E5806" w:rsidRPr="00276391" w:rsidRDefault="007E5806" w:rsidP="007E5806">
      <w:pPr>
        <w:pStyle w:val="DHHSbullet2lastline"/>
        <w:numPr>
          <w:ilvl w:val="3"/>
          <w:numId w:val="14"/>
        </w:numPr>
        <w:ind w:left="993"/>
        <w:rPr>
          <w:lang w:eastAsia="en-AU"/>
        </w:rPr>
      </w:pPr>
      <w:r w:rsidRPr="00276391">
        <w:rPr>
          <w:lang w:eastAsia="en-AU"/>
        </w:rPr>
        <w:t xml:space="preserve">name (including maiden names, aliases and any other names the labour hire has been known </w:t>
      </w:r>
      <w:r>
        <w:rPr>
          <w:lang w:eastAsia="en-AU"/>
        </w:rPr>
        <w:t>by)</w:t>
      </w:r>
    </w:p>
    <w:p w14:paraId="3481F945" w14:textId="77777777" w:rsidR="007E5806" w:rsidRPr="00276391" w:rsidRDefault="007E5806" w:rsidP="007E5806">
      <w:pPr>
        <w:pStyle w:val="DHHSbullet2lastline"/>
        <w:numPr>
          <w:ilvl w:val="3"/>
          <w:numId w:val="14"/>
        </w:numPr>
        <w:ind w:left="993"/>
        <w:rPr>
          <w:lang w:eastAsia="en-AU"/>
        </w:rPr>
      </w:pPr>
      <w:r w:rsidRPr="00276391">
        <w:rPr>
          <w:lang w:eastAsia="en-AU"/>
        </w:rPr>
        <w:t xml:space="preserve">date of </w:t>
      </w:r>
      <w:r>
        <w:rPr>
          <w:lang w:eastAsia="en-AU"/>
        </w:rPr>
        <w:t>birth</w:t>
      </w:r>
    </w:p>
    <w:p w14:paraId="79449472" w14:textId="77777777" w:rsidR="007E5806" w:rsidRPr="00276391" w:rsidRDefault="007E5806" w:rsidP="007E5806">
      <w:pPr>
        <w:pStyle w:val="DHHSbullet2lastline"/>
        <w:numPr>
          <w:ilvl w:val="3"/>
          <w:numId w:val="14"/>
        </w:numPr>
        <w:ind w:left="993"/>
        <w:rPr>
          <w:lang w:eastAsia="en-AU"/>
        </w:rPr>
      </w:pPr>
      <w:r w:rsidRPr="00276391">
        <w:rPr>
          <w:lang w:eastAsia="en-AU"/>
        </w:rPr>
        <w:t xml:space="preserve">current </w:t>
      </w:r>
      <w:r>
        <w:rPr>
          <w:lang w:eastAsia="en-AU"/>
        </w:rPr>
        <w:t>address</w:t>
      </w:r>
    </w:p>
    <w:p w14:paraId="56FFC516" w14:textId="77777777" w:rsidR="007E5806" w:rsidRPr="00276391" w:rsidRDefault="007E5806" w:rsidP="007E5806">
      <w:pPr>
        <w:pStyle w:val="DHHSbullet2lastline"/>
        <w:numPr>
          <w:ilvl w:val="3"/>
          <w:numId w:val="14"/>
        </w:numPr>
        <w:ind w:left="993"/>
        <w:rPr>
          <w:lang w:eastAsia="en-AU"/>
        </w:rPr>
      </w:pPr>
      <w:r w:rsidRPr="00276391">
        <w:rPr>
          <w:lang w:eastAsia="en-AU"/>
        </w:rPr>
        <w:t xml:space="preserve">whether the labour hire is of Aboriginal or Torres Strait Islander </w:t>
      </w:r>
      <w:r>
        <w:rPr>
          <w:lang w:eastAsia="en-AU"/>
        </w:rPr>
        <w:t>descent</w:t>
      </w:r>
    </w:p>
    <w:p w14:paraId="2D38B795" w14:textId="77777777" w:rsidR="007E5806" w:rsidRPr="00276391" w:rsidRDefault="007E5806" w:rsidP="007E5806">
      <w:pPr>
        <w:pStyle w:val="DHHSbullet2lastline"/>
        <w:numPr>
          <w:ilvl w:val="3"/>
          <w:numId w:val="14"/>
        </w:numPr>
        <w:ind w:left="993"/>
        <w:rPr>
          <w:lang w:eastAsia="en-AU"/>
        </w:rPr>
      </w:pPr>
      <w:r w:rsidRPr="00276391">
        <w:rPr>
          <w:lang w:eastAsia="en-AU"/>
        </w:rPr>
        <w:t xml:space="preserve">gender. </w:t>
      </w:r>
    </w:p>
    <w:p w14:paraId="73E799C1" w14:textId="77777777" w:rsidR="007E5806" w:rsidRDefault="007E5806" w:rsidP="007E5806">
      <w:pPr>
        <w:pStyle w:val="DHHSbody"/>
        <w:rPr>
          <w:rStyle w:val="Hyperlink"/>
          <w:rFonts w:cs="Arial"/>
          <w:lang w:val="en"/>
        </w:rPr>
      </w:pPr>
      <w:r w:rsidRPr="004309CB">
        <w:rPr>
          <w:rFonts w:cs="Arial"/>
          <w:lang w:val="en"/>
        </w:rPr>
        <w:t xml:space="preserve">The funded </w:t>
      </w:r>
      <w:proofErr w:type="spellStart"/>
      <w:r w:rsidRPr="004309CB">
        <w:rPr>
          <w:rFonts w:cs="Arial"/>
          <w:lang w:val="en"/>
        </w:rPr>
        <w:t>organisation</w:t>
      </w:r>
      <w:proofErr w:type="spellEnd"/>
      <w:r w:rsidRPr="004309CB">
        <w:rPr>
          <w:rFonts w:cs="Arial"/>
          <w:lang w:val="en"/>
        </w:rPr>
        <w:t xml:space="preserve"> will maintain securely stored records on these matters for each </w:t>
      </w:r>
      <w:proofErr w:type="spellStart"/>
      <w:r w:rsidRPr="004309CB">
        <w:rPr>
          <w:rFonts w:cs="Arial"/>
          <w:lang w:val="en"/>
        </w:rPr>
        <w:t>Labour</w:t>
      </w:r>
      <w:proofErr w:type="spellEnd"/>
      <w:r w:rsidRPr="004309CB">
        <w:rPr>
          <w:rFonts w:cs="Arial"/>
          <w:lang w:val="en"/>
        </w:rPr>
        <w:t xml:space="preserve"> Hire Contract Worker to be engaged to provide residential care services for their </w:t>
      </w:r>
      <w:proofErr w:type="spellStart"/>
      <w:r w:rsidRPr="004309CB">
        <w:rPr>
          <w:rFonts w:cs="Arial"/>
          <w:lang w:val="en"/>
        </w:rPr>
        <w:t>organisation</w:t>
      </w:r>
      <w:proofErr w:type="spellEnd"/>
      <w:r w:rsidRPr="004309CB">
        <w:rPr>
          <w:rFonts w:cs="Arial"/>
          <w:lang w:val="en"/>
        </w:rPr>
        <w:t xml:space="preserve"> (see Appendix 6 </w:t>
      </w:r>
      <w:r>
        <w:rPr>
          <w:rFonts w:cs="Arial"/>
          <w:lang w:val="en"/>
        </w:rPr>
        <w:t>Record storage and destruction)</w:t>
      </w:r>
    </w:p>
    <w:p w14:paraId="17027E06" w14:textId="77777777" w:rsidR="007E5806" w:rsidRPr="00276391" w:rsidRDefault="007E5806" w:rsidP="007E5806">
      <w:pPr>
        <w:pStyle w:val="Heading4"/>
        <w:rPr>
          <w:lang w:eastAsia="en-AU"/>
        </w:rPr>
      </w:pPr>
      <w:bookmarkStart w:id="719" w:name="_Toc478992025"/>
      <w:r w:rsidRPr="00276391">
        <w:rPr>
          <w:lang w:eastAsia="en-AU"/>
        </w:rPr>
        <w:t>Out-of-Home Care Disqualified Carer Check and Carer Registration</w:t>
      </w:r>
      <w:bookmarkEnd w:id="719"/>
    </w:p>
    <w:p w14:paraId="55A957DD" w14:textId="77777777" w:rsidR="007E5806" w:rsidRPr="004309CB" w:rsidRDefault="007E5806" w:rsidP="007E5806">
      <w:pPr>
        <w:pStyle w:val="DHHSbody"/>
        <w:rPr>
          <w:lang w:val="en"/>
        </w:rPr>
      </w:pPr>
      <w:r w:rsidRPr="004309CB">
        <w:rPr>
          <w:lang w:val="en"/>
        </w:rPr>
        <w:t xml:space="preserve">The </w:t>
      </w:r>
      <w:r w:rsidRPr="005C050E">
        <w:rPr>
          <w:bCs/>
          <w:i/>
          <w:lang w:val="en"/>
        </w:rPr>
        <w:t>Children, Youth and Families Act 2005</w:t>
      </w:r>
      <w:r w:rsidRPr="004309CB">
        <w:rPr>
          <w:lang w:val="en"/>
        </w:rPr>
        <w:t xml:space="preserve"> (the Act) aims to increase protection for children in out-of-home care. The Act also requires the department to keep a register (the </w:t>
      </w:r>
      <w:proofErr w:type="spellStart"/>
      <w:r w:rsidRPr="004309CB">
        <w:rPr>
          <w:lang w:val="en"/>
        </w:rPr>
        <w:t>Carer</w:t>
      </w:r>
      <w:proofErr w:type="spellEnd"/>
      <w:r w:rsidRPr="004309CB">
        <w:rPr>
          <w:lang w:val="en"/>
        </w:rPr>
        <w:t xml:space="preserve"> Register) of all foster </w:t>
      </w:r>
      <w:proofErr w:type="spellStart"/>
      <w:r w:rsidRPr="004309CB">
        <w:rPr>
          <w:lang w:val="en"/>
        </w:rPr>
        <w:t>carers</w:t>
      </w:r>
      <w:proofErr w:type="spellEnd"/>
      <w:r w:rsidRPr="004309CB">
        <w:rPr>
          <w:lang w:val="en"/>
        </w:rPr>
        <w:t xml:space="preserve">, residential </w:t>
      </w:r>
      <w:proofErr w:type="spellStart"/>
      <w:r w:rsidRPr="004309CB">
        <w:rPr>
          <w:lang w:val="en"/>
        </w:rPr>
        <w:t>carers</w:t>
      </w:r>
      <w:proofErr w:type="spellEnd"/>
      <w:r w:rsidRPr="004309CB">
        <w:rPr>
          <w:lang w:val="en"/>
        </w:rPr>
        <w:t xml:space="preserve"> (including permanent, part-time, casual and temporary agency staff) and providers of services to children at an out-of-home residence. Registered out-of-home care services have </w:t>
      </w:r>
      <w:proofErr w:type="spellStart"/>
      <w:r w:rsidRPr="004309CB">
        <w:rPr>
          <w:lang w:val="en"/>
        </w:rPr>
        <w:t>authorised</w:t>
      </w:r>
      <w:proofErr w:type="spellEnd"/>
      <w:r w:rsidRPr="004309CB">
        <w:rPr>
          <w:lang w:val="en"/>
        </w:rPr>
        <w:t xml:space="preserve"> access to the </w:t>
      </w:r>
      <w:proofErr w:type="spellStart"/>
      <w:r w:rsidRPr="004309CB">
        <w:rPr>
          <w:lang w:val="en"/>
        </w:rPr>
        <w:t>Carer</w:t>
      </w:r>
      <w:proofErr w:type="spellEnd"/>
      <w:r w:rsidRPr="004309CB">
        <w:rPr>
          <w:lang w:val="en"/>
        </w:rPr>
        <w:t xml:space="preserve"> Register.</w:t>
      </w:r>
    </w:p>
    <w:p w14:paraId="5C9C8F27" w14:textId="77777777" w:rsidR="007E5806" w:rsidRPr="004309CB" w:rsidRDefault="007E5806" w:rsidP="007E5806">
      <w:pPr>
        <w:pStyle w:val="DHHSbody"/>
        <w:rPr>
          <w:lang w:val="en"/>
        </w:rPr>
      </w:pPr>
      <w:r w:rsidRPr="004309CB">
        <w:rPr>
          <w:lang w:val="en"/>
        </w:rPr>
        <w:t xml:space="preserve">The Act requires that a Disqualified </w:t>
      </w:r>
      <w:proofErr w:type="spellStart"/>
      <w:r w:rsidRPr="004309CB">
        <w:rPr>
          <w:lang w:val="en"/>
        </w:rPr>
        <w:t>Carer</w:t>
      </w:r>
      <w:proofErr w:type="spellEnd"/>
      <w:r w:rsidRPr="004309CB">
        <w:rPr>
          <w:lang w:val="en"/>
        </w:rPr>
        <w:t xml:space="preserve"> Check </w:t>
      </w:r>
      <w:r w:rsidRPr="004309CB">
        <w:rPr>
          <w:b/>
          <w:bCs/>
          <w:lang w:val="en"/>
        </w:rPr>
        <w:t>must</w:t>
      </w:r>
      <w:r w:rsidRPr="004309CB">
        <w:rPr>
          <w:lang w:val="en"/>
        </w:rPr>
        <w:t xml:space="preserve"> be conducted and cleared </w:t>
      </w:r>
      <w:r w:rsidRPr="004309CB">
        <w:rPr>
          <w:b/>
          <w:bCs/>
          <w:lang w:val="en"/>
        </w:rPr>
        <w:t>prior</w:t>
      </w:r>
      <w:r w:rsidRPr="004309CB">
        <w:rPr>
          <w:lang w:val="en"/>
        </w:rPr>
        <w:t xml:space="preserve"> to an out-of-home </w:t>
      </w:r>
      <w:proofErr w:type="spellStart"/>
      <w:r w:rsidRPr="004309CB">
        <w:rPr>
          <w:lang w:val="en"/>
        </w:rPr>
        <w:t>carer</w:t>
      </w:r>
      <w:proofErr w:type="spellEnd"/>
      <w:r w:rsidRPr="004309CB">
        <w:rPr>
          <w:lang w:val="en"/>
        </w:rPr>
        <w:t xml:space="preserve"> being approved, employed or engaged by an out-of-home care service. The service </w:t>
      </w:r>
      <w:r w:rsidRPr="004309CB">
        <w:rPr>
          <w:b/>
          <w:bCs/>
          <w:lang w:val="en"/>
        </w:rPr>
        <w:t>must</w:t>
      </w:r>
      <w:r w:rsidRPr="004309CB">
        <w:rPr>
          <w:lang w:val="en"/>
        </w:rPr>
        <w:t xml:space="preserve"> then register the out-of-home </w:t>
      </w:r>
      <w:proofErr w:type="spellStart"/>
      <w:r w:rsidRPr="004309CB">
        <w:rPr>
          <w:lang w:val="en"/>
        </w:rPr>
        <w:t>carer</w:t>
      </w:r>
      <w:proofErr w:type="spellEnd"/>
      <w:r w:rsidRPr="004309CB">
        <w:rPr>
          <w:lang w:val="en"/>
        </w:rPr>
        <w:t xml:space="preserve"> on the </w:t>
      </w:r>
      <w:proofErr w:type="spellStart"/>
      <w:r w:rsidRPr="004309CB">
        <w:rPr>
          <w:lang w:val="en"/>
        </w:rPr>
        <w:t>Carer</w:t>
      </w:r>
      <w:proofErr w:type="spellEnd"/>
      <w:r w:rsidRPr="004309CB">
        <w:rPr>
          <w:lang w:val="en"/>
        </w:rPr>
        <w:t xml:space="preserve"> Register within 14 days. The Act allows for penalties to be applied if the Disqualified </w:t>
      </w:r>
      <w:proofErr w:type="spellStart"/>
      <w:r w:rsidRPr="004309CB">
        <w:rPr>
          <w:lang w:val="en"/>
        </w:rPr>
        <w:t>Carer</w:t>
      </w:r>
      <w:proofErr w:type="spellEnd"/>
      <w:r w:rsidRPr="004309CB">
        <w:rPr>
          <w:lang w:val="en"/>
        </w:rPr>
        <w:t xml:space="preserve"> Check process is not followed.</w:t>
      </w:r>
    </w:p>
    <w:p w14:paraId="7D2CAB26" w14:textId="77777777" w:rsidR="007E5806" w:rsidRPr="00A7206F" w:rsidRDefault="007E5806" w:rsidP="007E5806">
      <w:pPr>
        <w:pStyle w:val="DHHSbody"/>
        <w:rPr>
          <w:rFonts w:cs="Arial"/>
          <w:color w:val="3366FF"/>
          <w:u w:val="dotted"/>
          <w:lang w:val="en"/>
        </w:rPr>
      </w:pPr>
      <w:bookmarkStart w:id="720" w:name="_Toc478992026"/>
      <w:r w:rsidRPr="004309CB">
        <w:rPr>
          <w:lang w:val="en"/>
        </w:rPr>
        <w:t xml:space="preserve">Funded or registered </w:t>
      </w:r>
      <w:proofErr w:type="spellStart"/>
      <w:r w:rsidRPr="004309CB">
        <w:rPr>
          <w:lang w:val="en"/>
        </w:rPr>
        <w:t>organisations</w:t>
      </w:r>
      <w:proofErr w:type="spellEnd"/>
      <w:r w:rsidRPr="004309CB">
        <w:rPr>
          <w:lang w:val="en"/>
        </w:rPr>
        <w:t xml:space="preserve"> must compl</w:t>
      </w:r>
      <w:r>
        <w:rPr>
          <w:lang w:val="en"/>
        </w:rPr>
        <w:t xml:space="preserve">y with the departmental policy </w:t>
      </w:r>
      <w:hyperlink r:id="rId220" w:history="1">
        <w:r w:rsidRPr="00A7206F">
          <w:rPr>
            <w:rStyle w:val="Hyperlink"/>
            <w:lang w:val="en"/>
          </w:rPr>
          <w:t>Engaging labour hire residential care staff in out-of-home care services</w:t>
        </w:r>
      </w:hyperlink>
      <w:r w:rsidRPr="004309CB">
        <w:rPr>
          <w:lang w:val="en"/>
        </w:rPr>
        <w:t>'</w:t>
      </w:r>
      <w:r>
        <w:rPr>
          <w:lang w:val="en"/>
        </w:rPr>
        <w:t>.&lt;</w:t>
      </w:r>
      <w:r w:rsidRPr="00A7206F">
        <w:rPr>
          <w:lang w:val="en"/>
        </w:rPr>
        <w:t>https://dhhs.vic.gov.au/labour-hire-procedures-residential-services-victoria</w:t>
      </w:r>
      <w:r>
        <w:rPr>
          <w:lang w:val="en"/>
        </w:rPr>
        <w:t>&gt; (external link, opens in a new window).</w:t>
      </w:r>
    </w:p>
    <w:p w14:paraId="35AEC4CB" w14:textId="77777777" w:rsidR="007E5806" w:rsidRPr="004309CB" w:rsidRDefault="007E5806" w:rsidP="007E5806">
      <w:pPr>
        <w:pStyle w:val="DHHSbody"/>
        <w:rPr>
          <w:lang w:val="en"/>
        </w:rPr>
      </w:pPr>
      <w:r w:rsidRPr="004309CB">
        <w:rPr>
          <w:lang w:val="en"/>
        </w:rPr>
        <w:t xml:space="preserve">These procedures specify roles and responsibilities to be adopted by funded or registered </w:t>
      </w:r>
      <w:proofErr w:type="spellStart"/>
      <w:r w:rsidRPr="004309CB">
        <w:rPr>
          <w:lang w:val="en"/>
        </w:rPr>
        <w:t>organisations</w:t>
      </w:r>
      <w:proofErr w:type="spellEnd"/>
      <w:r w:rsidRPr="004309CB">
        <w:rPr>
          <w:lang w:val="en"/>
        </w:rPr>
        <w:t xml:space="preserve"> and the </w:t>
      </w:r>
      <w:proofErr w:type="spellStart"/>
      <w:r w:rsidRPr="004309CB">
        <w:rPr>
          <w:lang w:val="en"/>
        </w:rPr>
        <w:t>labour</w:t>
      </w:r>
      <w:proofErr w:type="spellEnd"/>
      <w:r w:rsidRPr="004309CB">
        <w:rPr>
          <w:lang w:val="en"/>
        </w:rPr>
        <w:t xml:space="preserve"> hire agencies they engage in order to implement relevant legislation, regulations, policies </w:t>
      </w:r>
      <w:r w:rsidRPr="004309CB">
        <w:rPr>
          <w:lang w:val="en"/>
        </w:rPr>
        <w:lastRenderedPageBreak/>
        <w:t xml:space="preserve">and practices in Victoria for recruiting and selecting contract workers, their registration as </w:t>
      </w:r>
      <w:proofErr w:type="spellStart"/>
      <w:r w:rsidRPr="004309CB">
        <w:rPr>
          <w:lang w:val="en"/>
        </w:rPr>
        <w:t>carers</w:t>
      </w:r>
      <w:proofErr w:type="spellEnd"/>
      <w:r w:rsidRPr="004309CB">
        <w:rPr>
          <w:lang w:val="en"/>
        </w:rPr>
        <w:t>, and their engagement in out-of-home residential care services for children and young people.</w:t>
      </w:r>
    </w:p>
    <w:p w14:paraId="0CC0807B" w14:textId="77777777" w:rsidR="007E5806" w:rsidRPr="005C050E" w:rsidRDefault="007E5806" w:rsidP="007E5806">
      <w:pPr>
        <w:pStyle w:val="DHHSbody"/>
        <w:rPr>
          <w:b/>
          <w:lang w:val="en"/>
        </w:rPr>
      </w:pPr>
      <w:r>
        <w:rPr>
          <w:b/>
          <w:lang w:val="en"/>
        </w:rPr>
        <w:t>For further information</w:t>
      </w:r>
    </w:p>
    <w:p w14:paraId="500DB544" w14:textId="77777777" w:rsidR="007E5806" w:rsidRPr="004309CB" w:rsidRDefault="007E5806" w:rsidP="007E5806">
      <w:pPr>
        <w:pStyle w:val="DHHSbody"/>
        <w:rPr>
          <w:lang w:val="en"/>
        </w:rPr>
      </w:pPr>
      <w:r w:rsidRPr="004309CB">
        <w:rPr>
          <w:lang w:val="en"/>
        </w:rPr>
        <w:t xml:space="preserve">For further information about the Disqualified </w:t>
      </w:r>
      <w:proofErr w:type="spellStart"/>
      <w:r w:rsidRPr="004309CB">
        <w:rPr>
          <w:lang w:val="en"/>
        </w:rPr>
        <w:t>Carer</w:t>
      </w:r>
      <w:proofErr w:type="spellEnd"/>
      <w:r w:rsidRPr="004309CB">
        <w:rPr>
          <w:lang w:val="en"/>
        </w:rPr>
        <w:t xml:space="preserve"> Check process or the </w:t>
      </w:r>
      <w:proofErr w:type="spellStart"/>
      <w:r w:rsidRPr="004309CB">
        <w:rPr>
          <w:lang w:val="en"/>
        </w:rPr>
        <w:t>Carer</w:t>
      </w:r>
      <w:proofErr w:type="spellEnd"/>
      <w:r w:rsidRPr="004309CB">
        <w:rPr>
          <w:lang w:val="en"/>
        </w:rPr>
        <w:t xml:space="preserve"> Register, email the Department of Health and Human Services' Service Outcomes Unit </w:t>
      </w:r>
      <w:hyperlink r:id="rId221" w:history="1">
        <w:r w:rsidRPr="004309CB">
          <w:rPr>
            <w:rStyle w:val="Hyperlink"/>
            <w:rFonts w:cs="Arial"/>
            <w:lang w:val="en"/>
          </w:rPr>
          <w:t>Carer.Register@dhhs.vic.gov.au</w:t>
        </w:r>
      </w:hyperlink>
      <w:r w:rsidRPr="004309CB">
        <w:rPr>
          <w:lang w:val="en"/>
        </w:rPr>
        <w:t> </w:t>
      </w:r>
    </w:p>
    <w:bookmarkEnd w:id="720"/>
    <w:p w14:paraId="38EFCF97" w14:textId="77777777" w:rsidR="007E5806" w:rsidRPr="004309CB" w:rsidRDefault="007E5806" w:rsidP="007E5806">
      <w:pPr>
        <w:pStyle w:val="Heading4"/>
        <w:rPr>
          <w:lang w:val="en"/>
        </w:rPr>
      </w:pPr>
      <w:r w:rsidRPr="004309CB">
        <w:rPr>
          <w:lang w:val="en"/>
        </w:rPr>
        <w:t>Employment History (including disciplinary action disclosure)</w:t>
      </w:r>
    </w:p>
    <w:p w14:paraId="62FB9E2F" w14:textId="77777777" w:rsidR="007E5806" w:rsidRPr="004309CB" w:rsidRDefault="007E5806" w:rsidP="007E5806">
      <w:pPr>
        <w:pStyle w:val="DHHSbody"/>
        <w:rPr>
          <w:lang w:val="en"/>
        </w:rPr>
      </w:pPr>
      <w:r w:rsidRPr="004309CB">
        <w:rPr>
          <w:lang w:val="en"/>
        </w:rPr>
        <w:t>It is prudent to require prospective employees to disclose any formal disciplinary action taken against them by any current or former employer (many workers have multiple employers). This includes any finding of improper or unprofessional conduct by any Court or Tribunal of any kind and any investigations that the prospective employee has been subject of by an employer, law enforcement agency or any integrity body or similar in Australia or in another country.</w:t>
      </w:r>
    </w:p>
    <w:p w14:paraId="69F0521B" w14:textId="77777777" w:rsidR="007E5806" w:rsidRPr="004309CB" w:rsidRDefault="007E5806" w:rsidP="007E5806">
      <w:pPr>
        <w:pStyle w:val="Heading4"/>
        <w:rPr>
          <w:lang w:val="en"/>
        </w:rPr>
      </w:pPr>
      <w:r w:rsidRPr="004309CB">
        <w:rPr>
          <w:lang w:val="en"/>
        </w:rPr>
        <w:t>Police record check (including Proof of Identity)</w:t>
      </w:r>
    </w:p>
    <w:p w14:paraId="438AB844" w14:textId="77777777" w:rsidR="007E5806" w:rsidRPr="004309CB" w:rsidRDefault="007E5806" w:rsidP="007E5806">
      <w:pPr>
        <w:pStyle w:val="DHHSbody"/>
        <w:rPr>
          <w:lang w:val="en"/>
        </w:rPr>
      </w:pPr>
      <w:r w:rsidRPr="004309CB">
        <w:rPr>
          <w:lang w:val="en"/>
        </w:rPr>
        <w:t>Police record checks (sometimes referred to as criminal record checks), identify and release relevant criminal history information, at a point in time, using information held by police in Victoria and other states and territories relating to convictions, findings of guilt or pending court proceedings.</w:t>
      </w:r>
    </w:p>
    <w:p w14:paraId="3BCBD61B" w14:textId="77777777" w:rsidR="007E5806" w:rsidRPr="004309CB" w:rsidRDefault="007E5806" w:rsidP="007E5806">
      <w:pPr>
        <w:pStyle w:val="DHHSbody"/>
        <w:rPr>
          <w:lang w:val="en"/>
        </w:rPr>
      </w:pPr>
      <w:r w:rsidRPr="004309CB">
        <w:rPr>
          <w:lang w:val="en"/>
        </w:rPr>
        <w:t xml:space="preserve">Establishing the identity of an applicant is critical to ensuring any police history information identified through a police record check belongs to the correct person. Therefore, the applicant must complete a police check form giving their consent to have their police history checked. This form also contains the </w:t>
      </w:r>
      <w:r>
        <w:rPr>
          <w:lang w:val="en"/>
        </w:rPr>
        <w:t>p</w:t>
      </w:r>
      <w:r w:rsidRPr="004309CB">
        <w:rPr>
          <w:lang w:val="en"/>
        </w:rPr>
        <w:t>roof of identity check.</w:t>
      </w:r>
    </w:p>
    <w:p w14:paraId="15E195A4" w14:textId="77777777" w:rsidR="007E5806" w:rsidRPr="004309CB" w:rsidRDefault="007E5806" w:rsidP="007E5806">
      <w:pPr>
        <w:pStyle w:val="DHHSbody"/>
        <w:rPr>
          <w:lang w:val="en"/>
        </w:rPr>
      </w:pPr>
      <w:r w:rsidRPr="004309CB">
        <w:rPr>
          <w:lang w:val="en"/>
        </w:rPr>
        <w:t>It is prudent to establish proof of identity when the applicant presents for interview to streamline and expedite the process. Applicants should be advised that their documentation will be processed where they are deemed competitive but will be otherwise destroyed.</w:t>
      </w:r>
    </w:p>
    <w:p w14:paraId="0A36612A" w14:textId="77777777" w:rsidR="007E5806" w:rsidRPr="004309CB" w:rsidRDefault="007E5806" w:rsidP="007E5806">
      <w:pPr>
        <w:pStyle w:val="DHHSbody"/>
        <w:rPr>
          <w:lang w:val="en"/>
        </w:rPr>
      </w:pPr>
      <w:r w:rsidRPr="004309CB">
        <w:rPr>
          <w:lang w:val="en"/>
        </w:rPr>
        <w:t xml:space="preserve">Police record checks are not required for persons aged sixteen years or younger; </w:t>
      </w:r>
      <w:proofErr w:type="gramStart"/>
      <w:r w:rsidRPr="004309CB">
        <w:rPr>
          <w:lang w:val="en"/>
        </w:rPr>
        <w:t>however</w:t>
      </w:r>
      <w:proofErr w:type="gramEnd"/>
      <w:r w:rsidRPr="004309CB">
        <w:rPr>
          <w:lang w:val="en"/>
        </w:rPr>
        <w:t xml:space="preserve"> referee checks should be conducted. Teachers, parents and others who personally know the individual should act as referees and the credentials of any referees should be verified.</w:t>
      </w:r>
    </w:p>
    <w:p w14:paraId="633A3EA7" w14:textId="77777777" w:rsidR="007E5806" w:rsidRPr="004309CB" w:rsidRDefault="007E5806" w:rsidP="007E5806">
      <w:pPr>
        <w:pStyle w:val="Heading4"/>
        <w:rPr>
          <w:lang w:val="en"/>
        </w:rPr>
      </w:pPr>
      <w:r w:rsidRPr="004309CB">
        <w:rPr>
          <w:lang w:val="en"/>
        </w:rPr>
        <w:t xml:space="preserve">Recurrent </w:t>
      </w:r>
      <w:r>
        <w:rPr>
          <w:lang w:val="en"/>
        </w:rPr>
        <w:t xml:space="preserve">national </w:t>
      </w:r>
      <w:r w:rsidRPr="004309CB">
        <w:rPr>
          <w:lang w:val="en"/>
        </w:rPr>
        <w:t>police checks</w:t>
      </w:r>
      <w:r>
        <w:rPr>
          <w:lang w:val="en"/>
        </w:rPr>
        <w:t xml:space="preserve"> – residential care for child protection clients</w:t>
      </w:r>
    </w:p>
    <w:p w14:paraId="4C8287ED" w14:textId="77777777" w:rsidR="007E5806" w:rsidRDefault="007E5806" w:rsidP="007E5806">
      <w:pPr>
        <w:pStyle w:val="DHHSbody"/>
        <w:rPr>
          <w:lang w:val="en"/>
        </w:rPr>
      </w:pPr>
      <w:r>
        <w:rPr>
          <w:lang w:val="en"/>
        </w:rPr>
        <w:t xml:space="preserve">An individual providing residential care for child protection clients must undergo </w:t>
      </w:r>
      <w:proofErr w:type="gramStart"/>
      <w:r>
        <w:rPr>
          <w:lang w:val="en"/>
        </w:rPr>
        <w:t>a national police</w:t>
      </w:r>
      <w:proofErr w:type="gramEnd"/>
      <w:r>
        <w:rPr>
          <w:lang w:val="en"/>
        </w:rPr>
        <w:t xml:space="preserve"> check prior to any offer of engagement or employment being made and a new national police check must be undertaken not less than once during each period of three years.</w:t>
      </w:r>
    </w:p>
    <w:p w14:paraId="46A56138" w14:textId="77777777" w:rsidR="007E5806" w:rsidRPr="0042733F" w:rsidRDefault="007E5806" w:rsidP="007E5806">
      <w:pPr>
        <w:pStyle w:val="DHHSbody"/>
        <w:rPr>
          <w:b/>
          <w:lang w:val="en"/>
        </w:rPr>
      </w:pPr>
      <w:r w:rsidRPr="0042733F">
        <w:rPr>
          <w:b/>
          <w:lang w:val="en"/>
        </w:rPr>
        <w:t>Recurrent national police checks – foster care and lead tenants</w:t>
      </w:r>
    </w:p>
    <w:p w14:paraId="518F7E2E" w14:textId="77777777" w:rsidR="007E5806" w:rsidRDefault="007E5806" w:rsidP="007E5806">
      <w:pPr>
        <w:pStyle w:val="DHHSbody"/>
        <w:rPr>
          <w:lang w:val="en"/>
        </w:rPr>
      </w:pPr>
      <w:r>
        <w:rPr>
          <w:lang w:val="en"/>
        </w:rPr>
        <w:t xml:space="preserve">A foster </w:t>
      </w:r>
      <w:proofErr w:type="spellStart"/>
      <w:r>
        <w:rPr>
          <w:lang w:val="en"/>
        </w:rPr>
        <w:t>carer</w:t>
      </w:r>
      <w:proofErr w:type="spellEnd"/>
      <w:r>
        <w:rPr>
          <w:lang w:val="en"/>
        </w:rPr>
        <w:t xml:space="preserve"> or lead tenant must undergo </w:t>
      </w:r>
      <w:proofErr w:type="gramStart"/>
      <w:r>
        <w:rPr>
          <w:lang w:val="en"/>
        </w:rPr>
        <w:t>a national police</w:t>
      </w:r>
      <w:proofErr w:type="gramEnd"/>
      <w:r>
        <w:rPr>
          <w:lang w:val="en"/>
        </w:rPr>
        <w:t xml:space="preserve"> check prior to being approved to care and new national police check must be undertaken not less than once during each period of three years</w:t>
      </w:r>
    </w:p>
    <w:p w14:paraId="08E88694" w14:textId="77777777" w:rsidR="007E5806" w:rsidRDefault="007E5806" w:rsidP="007E5806">
      <w:pPr>
        <w:pStyle w:val="DHHSbody"/>
        <w:rPr>
          <w:lang w:val="en"/>
        </w:rPr>
      </w:pPr>
      <w:r>
        <w:rPr>
          <w:lang w:val="en"/>
        </w:rPr>
        <w:t xml:space="preserve">Usual members of the household in home-based settings (including spouses/partners, children aged 18 and older and persons who regularly stay overnight) must undergo </w:t>
      </w:r>
      <w:proofErr w:type="gramStart"/>
      <w:r>
        <w:rPr>
          <w:lang w:val="en"/>
        </w:rPr>
        <w:t>a national police</w:t>
      </w:r>
      <w:proofErr w:type="gramEnd"/>
      <w:r>
        <w:rPr>
          <w:lang w:val="en"/>
        </w:rPr>
        <w:t xml:space="preserve"> check prior to any child being placed and a new national police check must be undertaken not less than once during each period of three years</w:t>
      </w:r>
    </w:p>
    <w:p w14:paraId="5B7F8367" w14:textId="77777777" w:rsidR="007E5806" w:rsidRDefault="007E5806" w:rsidP="007E5806">
      <w:pPr>
        <w:pStyle w:val="DHHSbody"/>
        <w:rPr>
          <w:lang w:val="en"/>
        </w:rPr>
      </w:pPr>
      <w:r>
        <w:rPr>
          <w:lang w:val="en"/>
        </w:rPr>
        <w:t xml:space="preserve">A foster </w:t>
      </w:r>
      <w:proofErr w:type="spellStart"/>
      <w:r>
        <w:rPr>
          <w:lang w:val="en"/>
        </w:rPr>
        <w:t>carer</w:t>
      </w:r>
      <w:proofErr w:type="spellEnd"/>
      <w:r>
        <w:rPr>
          <w:lang w:val="en"/>
        </w:rPr>
        <w:t xml:space="preserve"> or lead tenant applying for accreditation with another </w:t>
      </w:r>
      <w:proofErr w:type="spellStart"/>
      <w:r>
        <w:rPr>
          <w:lang w:val="en"/>
        </w:rPr>
        <w:t>organisation</w:t>
      </w:r>
      <w:proofErr w:type="spellEnd"/>
      <w:r>
        <w:rPr>
          <w:lang w:val="en"/>
        </w:rPr>
        <w:t xml:space="preserve"> requires a new national police check. This requirement also applies to the usual members of the household in home-based settings.</w:t>
      </w:r>
    </w:p>
    <w:p w14:paraId="45E0E3A1" w14:textId="77777777" w:rsidR="007E5806" w:rsidRDefault="007E5806" w:rsidP="007E5806">
      <w:pPr>
        <w:pStyle w:val="DHHSbody"/>
        <w:rPr>
          <w:lang w:val="en"/>
        </w:rPr>
      </w:pPr>
      <w:r>
        <w:rPr>
          <w:lang w:val="en"/>
        </w:rPr>
        <w:t>Where a person refuses consent to a national police check, they cannot be approved to remain in the home and the matter must be referred to the CSO senior program manager and immediately brought to the attention of the department’s divisional Deputy Secretary and divisional Director, Client Outcomes and Service Improvement (COSI).</w:t>
      </w:r>
    </w:p>
    <w:p w14:paraId="5F896FD4" w14:textId="77777777" w:rsidR="007E5806" w:rsidRDefault="007E5806" w:rsidP="007E5806">
      <w:pPr>
        <w:pStyle w:val="DHHSbody"/>
        <w:rPr>
          <w:lang w:val="en"/>
        </w:rPr>
      </w:pPr>
      <w:r>
        <w:rPr>
          <w:lang w:val="en"/>
        </w:rPr>
        <w:lastRenderedPageBreak/>
        <w:t>In the event of a disclosable court outcome, refer to the section ‘Results of the police check – disclosable court outcome’ below.</w:t>
      </w:r>
    </w:p>
    <w:p w14:paraId="3693F7C6" w14:textId="77777777" w:rsidR="007E5806" w:rsidRPr="004309CB" w:rsidRDefault="007E5806" w:rsidP="007E5806">
      <w:pPr>
        <w:pStyle w:val="Heading4"/>
        <w:rPr>
          <w:lang w:val="en"/>
        </w:rPr>
      </w:pPr>
      <w:r w:rsidRPr="004309CB">
        <w:rPr>
          <w:lang w:val="en"/>
        </w:rPr>
        <w:t>Student placements</w:t>
      </w:r>
    </w:p>
    <w:p w14:paraId="65954603" w14:textId="77777777" w:rsidR="007E5806" w:rsidRPr="004309CB" w:rsidRDefault="007E5806" w:rsidP="007E5806">
      <w:pPr>
        <w:pStyle w:val="DHHSbody"/>
        <w:rPr>
          <w:lang w:val="en"/>
        </w:rPr>
      </w:pPr>
      <w:r w:rsidRPr="004309CB">
        <w:rPr>
          <w:lang w:val="en"/>
        </w:rPr>
        <w:t xml:space="preserve">For students aged 17 years or younger, police checks are not required, however referee checks with teachers, parents or other adults who personally know the students must be undertaken. A referee’s credentials can be verified by sighting official letterhead stationery or an email containing an official signature block or sent from an </w:t>
      </w:r>
      <w:proofErr w:type="spellStart"/>
      <w:r w:rsidRPr="004309CB">
        <w:rPr>
          <w:lang w:val="en"/>
        </w:rPr>
        <w:t>organisation’s</w:t>
      </w:r>
      <w:proofErr w:type="spellEnd"/>
      <w:r w:rsidRPr="004309CB">
        <w:rPr>
          <w:lang w:val="en"/>
        </w:rPr>
        <w:t xml:space="preserve"> server.</w:t>
      </w:r>
    </w:p>
    <w:p w14:paraId="2AABCE30" w14:textId="77777777" w:rsidR="007E5806" w:rsidRPr="004309CB" w:rsidRDefault="007E5806" w:rsidP="007E5806">
      <w:pPr>
        <w:pStyle w:val="DHHSbody"/>
        <w:rPr>
          <w:lang w:val="en"/>
        </w:rPr>
      </w:pPr>
      <w:r w:rsidRPr="004309CB">
        <w:rPr>
          <w:lang w:val="en"/>
        </w:rPr>
        <w:t xml:space="preserve">A police check is required for students aged 18 years and older. These checks are administered by the relevant course coordinator in the educational institute or the student can obtain a police check through </w:t>
      </w:r>
      <w:hyperlink r:id="rId222" w:history="1">
        <w:r w:rsidRPr="005C050E">
          <w:rPr>
            <w:rStyle w:val="Hyperlink"/>
            <w:lang w:val="en"/>
          </w:rPr>
          <w:t>Victoria Police</w:t>
        </w:r>
      </w:hyperlink>
      <w:r>
        <w:rPr>
          <w:lang w:val="en"/>
        </w:rPr>
        <w:t xml:space="preserve"> &lt;</w:t>
      </w:r>
      <w:r w:rsidRPr="005C050E">
        <w:rPr>
          <w:lang w:val="en"/>
        </w:rPr>
        <w:t>http://www.police.vic.gov.au/content.asp?Document_ID=274</w:t>
      </w:r>
      <w:r>
        <w:rPr>
          <w:lang w:val="en"/>
        </w:rPr>
        <w:t>&gt; (external link, opens in a new window)</w:t>
      </w:r>
      <w:r w:rsidRPr="004309CB">
        <w:rPr>
          <w:lang w:val="en"/>
        </w:rPr>
        <w:t xml:space="preserve">. Police record checks should be undertaken prior to the confirmation of the first placement and in each subsequent year of study. The student has the responsibility to notify the educational institution and the </w:t>
      </w:r>
      <w:proofErr w:type="spellStart"/>
      <w:r w:rsidRPr="004309CB">
        <w:rPr>
          <w:lang w:val="en"/>
        </w:rPr>
        <w:t>organisation</w:t>
      </w:r>
      <w:proofErr w:type="spellEnd"/>
      <w:r w:rsidRPr="004309CB">
        <w:rPr>
          <w:lang w:val="en"/>
        </w:rPr>
        <w:t xml:space="preserve"> of any change to the student's police record check status during the course year.</w:t>
      </w:r>
    </w:p>
    <w:p w14:paraId="1C11CCE6" w14:textId="77777777" w:rsidR="007E5806" w:rsidRPr="004309CB" w:rsidRDefault="007E5806" w:rsidP="007E5806">
      <w:pPr>
        <w:pStyle w:val="DHHSbody"/>
        <w:rPr>
          <w:lang w:val="en"/>
        </w:rPr>
      </w:pPr>
      <w:r w:rsidRPr="004309CB">
        <w:rPr>
          <w:lang w:val="en"/>
        </w:rPr>
        <w:t xml:space="preserve">The educational institution's course coordinator must ensure that students are notified of the </w:t>
      </w:r>
      <w:r>
        <w:rPr>
          <w:lang w:val="en"/>
        </w:rPr>
        <w:t>department’s</w:t>
      </w:r>
      <w:r w:rsidRPr="004309CB">
        <w:rPr>
          <w:lang w:val="en"/>
        </w:rPr>
        <w:t xml:space="preserve"> information collection requirements. The course coordinator must also explain the implications of consenting to a police record check and that refusal to undergo a police record check will mean that a placement cannot proceed.</w:t>
      </w:r>
    </w:p>
    <w:p w14:paraId="71EE55A4" w14:textId="77777777" w:rsidR="007E5806" w:rsidRDefault="007E5806" w:rsidP="007E5806">
      <w:pPr>
        <w:pStyle w:val="DHHSbody"/>
        <w:rPr>
          <w:lang w:val="en"/>
        </w:rPr>
      </w:pPr>
      <w:r w:rsidRPr="004309CB">
        <w:rPr>
          <w:lang w:val="en"/>
        </w:rPr>
        <w:t>For international students or students who have resided in an overseas country for 12 months or more in the last ten years, as they are only here for a short period, the usual requirement for obtaining an international police check is waived. However, they must complete a Statutory Declaration</w:t>
      </w:r>
      <w:r>
        <w:rPr>
          <w:lang w:val="en"/>
        </w:rPr>
        <w:t xml:space="preserve">. </w:t>
      </w:r>
      <w:r w:rsidRPr="004309CB">
        <w:rPr>
          <w:lang w:val="en"/>
        </w:rPr>
        <w:t xml:space="preserve">By way of this </w:t>
      </w:r>
      <w:hyperlink r:id="rId223" w:history="1">
        <w:r w:rsidRPr="0023150C">
          <w:rPr>
            <w:rStyle w:val="Hyperlink"/>
            <w:lang w:val="en"/>
          </w:rPr>
          <w:t>statutory declaration</w:t>
        </w:r>
      </w:hyperlink>
      <w:r>
        <w:rPr>
          <w:lang w:val="en"/>
        </w:rPr>
        <w:t xml:space="preserve"> &lt;</w:t>
      </w:r>
      <w:r w:rsidRPr="0028078D">
        <w:rPr>
          <w:lang w:val="en"/>
        </w:rPr>
        <w:t>https://fac.dhhs.vic.gov.au/student-placement-safety-screening-statutory-declaration</w:t>
      </w:r>
      <w:r w:rsidRPr="0023150C">
        <w:rPr>
          <w:lang w:val="en"/>
        </w:rPr>
        <w:t>&gt;</w:t>
      </w:r>
      <w:r>
        <w:rPr>
          <w:lang w:val="en"/>
        </w:rPr>
        <w:t>.</w:t>
      </w:r>
      <w:r w:rsidRPr="0023150C">
        <w:rPr>
          <w:lang w:val="en"/>
        </w:rPr>
        <w:t xml:space="preserve"> </w:t>
      </w:r>
    </w:p>
    <w:p w14:paraId="5F58565C" w14:textId="77777777" w:rsidR="007E5806" w:rsidRPr="004309CB" w:rsidRDefault="007E5806" w:rsidP="007E5806">
      <w:pPr>
        <w:pStyle w:val="DHHSbody"/>
        <w:rPr>
          <w:lang w:val="en"/>
        </w:rPr>
      </w:pPr>
      <w:r w:rsidRPr="004309CB">
        <w:rPr>
          <w:lang w:val="en"/>
        </w:rPr>
        <w:t>By way of this statutory declaration, they are declaring that they do not have:</w:t>
      </w:r>
    </w:p>
    <w:p w14:paraId="5AF5E2E8" w14:textId="77777777" w:rsidR="007E5806" w:rsidRPr="004309CB" w:rsidRDefault="007E5806" w:rsidP="007E5806">
      <w:pPr>
        <w:pStyle w:val="DHHSbullet1"/>
        <w:numPr>
          <w:ilvl w:val="0"/>
          <w:numId w:val="14"/>
        </w:numPr>
        <w:rPr>
          <w:lang w:val="en"/>
        </w:rPr>
      </w:pPr>
      <w:bookmarkStart w:id="721" w:name="_Toc478992030"/>
      <w:r w:rsidRPr="004309CB">
        <w:rPr>
          <w:lang w:val="en"/>
        </w:rPr>
        <w:t>any charges laid against them by police concerning any offence committed in Australia or in another country in the past</w:t>
      </w:r>
    </w:p>
    <w:p w14:paraId="260ED62B" w14:textId="77777777" w:rsidR="007E5806" w:rsidRPr="004309CB" w:rsidRDefault="007E5806" w:rsidP="007E5806">
      <w:pPr>
        <w:pStyle w:val="DHHSbullet1"/>
        <w:numPr>
          <w:ilvl w:val="0"/>
          <w:numId w:val="14"/>
        </w:numPr>
        <w:rPr>
          <w:lang w:val="en"/>
        </w:rPr>
      </w:pPr>
      <w:r w:rsidRPr="004309CB">
        <w:rPr>
          <w:lang w:val="en"/>
        </w:rPr>
        <w:t>any offence of which they have been found guilty, committed in Australia or in another country in the past.</w:t>
      </w:r>
    </w:p>
    <w:bookmarkEnd w:id="721"/>
    <w:p w14:paraId="223AFB13" w14:textId="77777777" w:rsidR="007E5806" w:rsidRPr="00FD72A1" w:rsidRDefault="007E5806" w:rsidP="007E5806">
      <w:pPr>
        <w:pStyle w:val="DHHSbody"/>
        <w:rPr>
          <w:lang w:val="en"/>
        </w:rPr>
      </w:pPr>
      <w:r w:rsidRPr="00FD72A1">
        <w:rPr>
          <w:lang w:val="en"/>
        </w:rPr>
        <w:t>International police checks</w:t>
      </w:r>
    </w:p>
    <w:p w14:paraId="4BBEDE5F" w14:textId="77777777" w:rsidR="007E5806" w:rsidRPr="00FD72A1" w:rsidRDefault="007E5806" w:rsidP="007E5806">
      <w:pPr>
        <w:pStyle w:val="DHHSbody"/>
        <w:rPr>
          <w:lang w:val="en"/>
        </w:rPr>
      </w:pPr>
      <w:r w:rsidRPr="00FD72A1">
        <w:rPr>
          <w:lang w:val="en"/>
        </w:rPr>
        <w:t xml:space="preserve">Applicants must be informed at the beginning of the recruitment processes that if they have resided continuously in an overseas country for 12 months or more in the last ten years, they should contact the relevant overseas police force to obtain a criminal or police record check. This is not applicable if they were travelling through, for example, backpacking and only staying in some countries for very short periods. Victoria Police and </w:t>
      </w:r>
      <w:r>
        <w:rPr>
          <w:lang w:val="en"/>
        </w:rPr>
        <w:t>ACIC</w:t>
      </w:r>
      <w:r w:rsidRPr="00FD72A1">
        <w:rPr>
          <w:lang w:val="en"/>
        </w:rPr>
        <w:t xml:space="preserve"> do not conduct international police checks, although some </w:t>
      </w:r>
      <w:r>
        <w:rPr>
          <w:lang w:val="en"/>
        </w:rPr>
        <w:t xml:space="preserve">ACIC </w:t>
      </w:r>
      <w:r w:rsidRPr="00FD72A1">
        <w:rPr>
          <w:lang w:val="en"/>
        </w:rPr>
        <w:t>accredited broker agencies may do so. If they were a minor when they were overseas, they do not require an international police check.</w:t>
      </w:r>
    </w:p>
    <w:p w14:paraId="7465AD83" w14:textId="77777777" w:rsidR="007E5806" w:rsidRPr="00FD72A1" w:rsidRDefault="007E5806" w:rsidP="007E5806">
      <w:pPr>
        <w:pStyle w:val="DHHSbody"/>
        <w:rPr>
          <w:lang w:val="en"/>
        </w:rPr>
      </w:pPr>
      <w:r w:rsidRPr="00FD72A1">
        <w:rPr>
          <w:lang w:val="en"/>
        </w:rPr>
        <w:t xml:space="preserve">Some countries will not release information regarding an individual for personal or </w:t>
      </w:r>
      <w:proofErr w:type="gramStart"/>
      <w:r w:rsidRPr="00FD72A1">
        <w:rPr>
          <w:lang w:val="en"/>
        </w:rPr>
        <w:t>third party</w:t>
      </w:r>
      <w:proofErr w:type="gramEnd"/>
      <w:r w:rsidRPr="00FD72A1">
        <w:rPr>
          <w:lang w:val="en"/>
        </w:rPr>
        <w:t xml:space="preserve"> purposes. In these extenuating cases, where an international police records check cannot be obtained, a statutory declaration and character reference checks must be conducted with at least two individuals who personally knew the individual while they were residing in the other country. This should be undertaken as a very last resort if the international police check is </w:t>
      </w:r>
      <w:proofErr w:type="gramStart"/>
      <w:r w:rsidRPr="00FD72A1">
        <w:rPr>
          <w:lang w:val="en"/>
        </w:rPr>
        <w:t>actually unavailable</w:t>
      </w:r>
      <w:proofErr w:type="gramEnd"/>
      <w:r w:rsidRPr="00FD72A1">
        <w:rPr>
          <w:lang w:val="en"/>
        </w:rPr>
        <w:t xml:space="preserve"> and cannot be obtained.</w:t>
      </w:r>
    </w:p>
    <w:p w14:paraId="7BBE73F8" w14:textId="77777777" w:rsidR="007E5806" w:rsidRPr="00FD72A1" w:rsidRDefault="007E5806" w:rsidP="007E5806">
      <w:pPr>
        <w:pStyle w:val="DHHSbody"/>
        <w:rPr>
          <w:lang w:val="en"/>
        </w:rPr>
      </w:pPr>
      <w:r w:rsidRPr="00FD72A1">
        <w:rPr>
          <w:lang w:val="en"/>
        </w:rPr>
        <w:t>The applicant must be informed that referees will be asked whether they have knowledge or information concerning the applicant, which would adversely affect the applicant from performing the job, including any relevant criminal offences. The credentials of persons acting as referees must be verified and can include previous employers, government officials and family members.</w:t>
      </w:r>
    </w:p>
    <w:p w14:paraId="5473FB30" w14:textId="77777777" w:rsidR="007E5806" w:rsidRPr="00FD72A1" w:rsidRDefault="007E5806" w:rsidP="007E5806">
      <w:pPr>
        <w:pStyle w:val="DHHSbody"/>
        <w:rPr>
          <w:lang w:val="en"/>
        </w:rPr>
      </w:pPr>
      <w:r w:rsidRPr="00FD72A1">
        <w:rPr>
          <w:lang w:val="en"/>
        </w:rPr>
        <w:lastRenderedPageBreak/>
        <w:t xml:space="preserve">Overseas applicants should not commence employment until this process is satisfactorily completed and this decision should be signed off by the relevant funded </w:t>
      </w:r>
      <w:proofErr w:type="spellStart"/>
      <w:r w:rsidRPr="00FD72A1">
        <w:rPr>
          <w:lang w:val="en"/>
        </w:rPr>
        <w:t>organisation</w:t>
      </w:r>
      <w:proofErr w:type="spellEnd"/>
      <w:r w:rsidRPr="00FD72A1">
        <w:rPr>
          <w:lang w:val="en"/>
        </w:rPr>
        <w:t xml:space="preserve"> manager.</w:t>
      </w:r>
    </w:p>
    <w:p w14:paraId="0078314A" w14:textId="77777777" w:rsidR="007E5806" w:rsidRPr="00276391" w:rsidRDefault="007E5806" w:rsidP="007E5806">
      <w:pPr>
        <w:pStyle w:val="DHHSbody"/>
        <w:rPr>
          <w:lang w:eastAsia="en-AU"/>
        </w:rPr>
      </w:pPr>
      <w:r w:rsidRPr="00FD72A1">
        <w:rPr>
          <w:lang w:val="en"/>
        </w:rPr>
        <w:t>In the case of asylum seekers and refugees who may be unable to provide character references to accompany a statutory declaration, the statutory declaration will suffice with proof of status.</w:t>
      </w:r>
      <w:r>
        <w:rPr>
          <w:lang w:val="en"/>
        </w:rPr>
        <w:t xml:space="preserve"> </w:t>
      </w:r>
      <w:r w:rsidRPr="00FD72A1">
        <w:rPr>
          <w:lang w:val="en"/>
        </w:rPr>
        <w:t xml:space="preserve">However, eligibility to work should be confirmed as part of the recruitment process by the funded </w:t>
      </w:r>
      <w:proofErr w:type="spellStart"/>
      <w:r w:rsidRPr="00FD72A1">
        <w:rPr>
          <w:lang w:val="en"/>
        </w:rPr>
        <w:t>organisation</w:t>
      </w:r>
      <w:proofErr w:type="spellEnd"/>
      <w:r w:rsidRPr="00FD72A1">
        <w:rPr>
          <w:lang w:val="en"/>
        </w:rPr>
        <w:t xml:space="preserve"> using the Department of Immigration </w:t>
      </w:r>
      <w:r>
        <w:rPr>
          <w:lang w:val="en"/>
        </w:rPr>
        <w:t>and</w:t>
      </w:r>
      <w:r w:rsidRPr="00FD72A1">
        <w:rPr>
          <w:lang w:val="en"/>
        </w:rPr>
        <w:t xml:space="preserve"> Border Protection’s Visa Entitlement Verification Online (VEVO) checking system at </w:t>
      </w:r>
      <w:hyperlink r:id="rId224" w:history="1">
        <w:r w:rsidRPr="0050747A">
          <w:rPr>
            <w:rStyle w:val="Hyperlink"/>
            <w:lang w:eastAsia="en-AU"/>
          </w:rPr>
          <w:t>Department of Immigration and Border Protection’s Visa Entitlement Verification Online (VEVO) checking system</w:t>
        </w:r>
      </w:hyperlink>
      <w:r w:rsidRPr="00276391">
        <w:rPr>
          <w:lang w:eastAsia="en-AU"/>
        </w:rPr>
        <w:t xml:space="preserve"> </w:t>
      </w:r>
      <w:r>
        <w:rPr>
          <w:lang w:eastAsia="en-AU"/>
        </w:rPr>
        <w:t>&lt;</w:t>
      </w:r>
      <w:r w:rsidRPr="009F5F3B">
        <w:t>http://www.border.gov.au/Busi/Visa</w:t>
      </w:r>
      <w:r>
        <w:t>&gt;</w:t>
      </w:r>
      <w:r w:rsidRPr="00276391">
        <w:rPr>
          <w:lang w:eastAsia="en-AU"/>
        </w:rPr>
        <w:t xml:space="preserve"> (external link, opens in a new window) or their faxback service.</w:t>
      </w:r>
    </w:p>
    <w:p w14:paraId="1E0796FC" w14:textId="77777777" w:rsidR="007E5806" w:rsidRPr="003F52B3" w:rsidRDefault="007E5806" w:rsidP="007E5806">
      <w:pPr>
        <w:pStyle w:val="DHHSbody"/>
        <w:rPr>
          <w:lang w:eastAsia="en-AU"/>
        </w:rPr>
      </w:pPr>
      <w:bookmarkStart w:id="722" w:name="_Toc478992031"/>
      <w:r w:rsidRPr="003F52B3">
        <w:rPr>
          <w:b/>
          <w:lang w:eastAsia="en-AU"/>
        </w:rPr>
        <w:t>Obtaining a police check</w:t>
      </w:r>
      <w:bookmarkEnd w:id="722"/>
    </w:p>
    <w:p w14:paraId="243816BE" w14:textId="77777777" w:rsidR="007E5806" w:rsidRPr="00276391" w:rsidRDefault="007E5806" w:rsidP="007E5806">
      <w:pPr>
        <w:pStyle w:val="DHHSbody"/>
        <w:rPr>
          <w:lang w:eastAsia="en-AU"/>
        </w:rPr>
      </w:pPr>
      <w:r>
        <w:rPr>
          <w:rFonts w:cs="Arial"/>
          <w:color w:val="000000"/>
          <w:szCs w:val="19"/>
          <w:lang w:eastAsia="en-AU"/>
        </w:rPr>
        <w:t>The department</w:t>
      </w:r>
      <w:r w:rsidRPr="00B24C02">
        <w:rPr>
          <w:rFonts w:cs="Arial"/>
          <w:color w:val="000000"/>
          <w:szCs w:val="19"/>
          <w:lang w:eastAsia="en-AU"/>
        </w:rPr>
        <w:t xml:space="preserve"> does not organise police record checks for funded/registered organisations (except in emergency situations</w:t>
      </w:r>
      <w:r>
        <w:rPr>
          <w:rFonts w:cs="Arial"/>
          <w:color w:val="000000"/>
          <w:szCs w:val="19"/>
          <w:lang w:eastAsia="en-AU"/>
        </w:rPr>
        <w:t>)</w:t>
      </w:r>
      <w:r w:rsidRPr="00B24C02">
        <w:rPr>
          <w:rFonts w:cs="Arial"/>
          <w:color w:val="000000"/>
          <w:szCs w:val="19"/>
          <w:lang w:eastAsia="en-AU"/>
        </w:rPr>
        <w:t>.</w:t>
      </w:r>
    </w:p>
    <w:p w14:paraId="16CD4A29" w14:textId="77777777" w:rsidR="007E5806" w:rsidRPr="00276391" w:rsidRDefault="007E5806" w:rsidP="007E5806">
      <w:pPr>
        <w:pStyle w:val="DHHSbody"/>
        <w:rPr>
          <w:lang w:eastAsia="en-AU"/>
        </w:rPr>
      </w:pPr>
      <w:r w:rsidRPr="00276391">
        <w:rPr>
          <w:lang w:eastAsia="en-AU"/>
        </w:rPr>
        <w:t xml:space="preserve">Police record checks can be obtained directly from </w:t>
      </w:r>
      <w:hyperlink r:id="rId225" w:history="1">
        <w:r w:rsidRPr="005C050E">
          <w:rPr>
            <w:rStyle w:val="Hyperlink"/>
            <w:lang w:val="en"/>
          </w:rPr>
          <w:t>Victoria Police</w:t>
        </w:r>
      </w:hyperlink>
      <w:r>
        <w:rPr>
          <w:lang w:val="en"/>
        </w:rPr>
        <w:t xml:space="preserve"> &lt;</w:t>
      </w:r>
      <w:r w:rsidRPr="005C050E">
        <w:rPr>
          <w:lang w:val="en"/>
        </w:rPr>
        <w:t>http://www.police.vic.gov.au/content.asp?Document_ID=274</w:t>
      </w:r>
      <w:r>
        <w:rPr>
          <w:lang w:val="en"/>
        </w:rPr>
        <w:t>&gt; (external link, opens in a new window)</w:t>
      </w:r>
      <w:r w:rsidRPr="00276391">
        <w:rPr>
          <w:lang w:eastAsia="en-AU"/>
        </w:rPr>
        <w:t xml:space="preserve"> </w:t>
      </w:r>
      <w:r w:rsidRPr="004309CB">
        <w:rPr>
          <w:rFonts w:cs="Arial"/>
          <w:lang w:val="en"/>
        </w:rPr>
        <w:t xml:space="preserve">or through an </w:t>
      </w:r>
      <w:proofErr w:type="spellStart"/>
      <w:r w:rsidRPr="004309CB">
        <w:rPr>
          <w:rFonts w:cs="Arial"/>
          <w:lang w:val="en"/>
        </w:rPr>
        <w:t>authorised</w:t>
      </w:r>
      <w:proofErr w:type="spellEnd"/>
      <w:r w:rsidRPr="004309CB">
        <w:rPr>
          <w:rFonts w:cs="Arial"/>
          <w:lang w:val="en"/>
        </w:rPr>
        <w:t xml:space="preserve"> service or agency accredited by </w:t>
      </w:r>
      <w:r>
        <w:rPr>
          <w:rFonts w:cs="Arial"/>
          <w:lang w:val="en"/>
        </w:rPr>
        <w:t xml:space="preserve">the Australian Criminal Intelligence Commission (ACIC, formerly known as </w:t>
      </w:r>
      <w:proofErr w:type="spellStart"/>
      <w:r>
        <w:rPr>
          <w:rFonts w:cs="Arial"/>
          <w:lang w:val="en"/>
        </w:rPr>
        <w:t>CrimTrac</w:t>
      </w:r>
      <w:proofErr w:type="spellEnd"/>
      <w:r>
        <w:rPr>
          <w:rFonts w:cs="Arial"/>
          <w:lang w:val="en"/>
        </w:rPr>
        <w:t xml:space="preserve">). ACIC </w:t>
      </w:r>
      <w:r w:rsidRPr="004309CB">
        <w:rPr>
          <w:rFonts w:cs="Arial"/>
          <w:lang w:val="en"/>
        </w:rPr>
        <w:t>is the national information sharing service for Australia's police, law enforcement and national security agencies.</w:t>
      </w:r>
      <w:r>
        <w:rPr>
          <w:rFonts w:cs="Arial"/>
          <w:lang w:val="en"/>
        </w:rPr>
        <w:t xml:space="preserve"> ACIC provides a</w:t>
      </w:r>
      <w:r w:rsidRPr="004309CB">
        <w:rPr>
          <w:rFonts w:cs="Arial"/>
          <w:lang w:val="en"/>
        </w:rPr>
        <w:t xml:space="preserve"> list of </w:t>
      </w:r>
      <w:hyperlink r:id="rId226" w:anchor="accordion-1" w:history="1">
        <w:r w:rsidRPr="00E86569">
          <w:rPr>
            <w:rStyle w:val="Hyperlink"/>
            <w:rFonts w:cs="Arial"/>
            <w:lang w:val="en"/>
          </w:rPr>
          <w:t>accredited agencies</w:t>
        </w:r>
      </w:hyperlink>
      <w:r w:rsidRPr="004309CB">
        <w:rPr>
          <w:rFonts w:cs="Arial"/>
          <w:lang w:val="en"/>
        </w:rPr>
        <w:t xml:space="preserve"> </w:t>
      </w:r>
      <w:bookmarkStart w:id="723" w:name="_Toc478992032"/>
      <w:r>
        <w:rPr>
          <w:lang w:eastAsia="en-AU"/>
        </w:rPr>
        <w:t>&lt;</w:t>
      </w:r>
      <w:r w:rsidRPr="000B39B7">
        <w:rPr>
          <w:lang w:eastAsia="en-AU"/>
        </w:rPr>
        <w:t>https://www.acic.gov.au/our-services/national-police-checking-service/find-out-more-information/accredited-bodies#accordion-1</w:t>
      </w:r>
      <w:r>
        <w:rPr>
          <w:lang w:eastAsia="en-AU"/>
        </w:rPr>
        <w:t xml:space="preserve">&gt; </w:t>
      </w:r>
      <w:r w:rsidRPr="00396595">
        <w:rPr>
          <w:lang w:eastAsia="en-AU"/>
        </w:rPr>
        <w:t>(</w:t>
      </w:r>
      <w:r w:rsidRPr="00E86569">
        <w:rPr>
          <w:lang w:eastAsia="en-AU"/>
        </w:rPr>
        <w:t xml:space="preserve">external link, opens in a </w:t>
      </w:r>
      <w:r w:rsidRPr="00396595">
        <w:rPr>
          <w:lang w:eastAsia="en-AU"/>
        </w:rPr>
        <w:t>new window).</w:t>
      </w:r>
    </w:p>
    <w:p w14:paraId="5CA2BB88" w14:textId="77777777" w:rsidR="007E5806" w:rsidRPr="003F52B3" w:rsidRDefault="007E5806" w:rsidP="007E5806">
      <w:pPr>
        <w:pStyle w:val="DHHSbody"/>
        <w:rPr>
          <w:lang w:eastAsia="en-AU"/>
        </w:rPr>
      </w:pPr>
      <w:r w:rsidRPr="003F52B3">
        <w:rPr>
          <w:b/>
          <w:lang w:eastAsia="en-AU"/>
        </w:rPr>
        <w:t>Cost of police record checks</w:t>
      </w:r>
      <w:bookmarkEnd w:id="723"/>
    </w:p>
    <w:p w14:paraId="6A012E2D" w14:textId="77777777" w:rsidR="007E5806" w:rsidRPr="00276391" w:rsidRDefault="007E5806" w:rsidP="007E5806">
      <w:pPr>
        <w:pStyle w:val="DHHSbody"/>
        <w:rPr>
          <w:lang w:eastAsia="en-AU"/>
        </w:rPr>
      </w:pPr>
      <w:r w:rsidRPr="00B24C02">
        <w:rPr>
          <w:rFonts w:cs="Arial"/>
          <w:color w:val="000000"/>
          <w:szCs w:val="19"/>
          <w:lang w:eastAsia="en-AU"/>
        </w:rPr>
        <w:t xml:space="preserve">Current information on the cost of obtaining a police record check </w:t>
      </w:r>
      <w:hyperlink r:id="rId227" w:history="1">
        <w:r w:rsidRPr="005C050E">
          <w:rPr>
            <w:rStyle w:val="Hyperlink"/>
            <w:lang w:val="en"/>
          </w:rPr>
          <w:t>Victoria Police</w:t>
        </w:r>
      </w:hyperlink>
      <w:r>
        <w:rPr>
          <w:lang w:val="en"/>
        </w:rPr>
        <w:t xml:space="preserve"> &lt;</w:t>
      </w:r>
      <w:r w:rsidRPr="005C050E">
        <w:rPr>
          <w:lang w:val="en"/>
        </w:rPr>
        <w:t>http://www.police.vic.gov.au/content.asp?Document_ID=274</w:t>
      </w:r>
      <w:r>
        <w:rPr>
          <w:lang w:val="en"/>
        </w:rPr>
        <w:t>&gt; (external link, opens in a new window)</w:t>
      </w:r>
      <w:r w:rsidRPr="00B24C02">
        <w:rPr>
          <w:rFonts w:cs="Arial"/>
          <w:color w:val="000000"/>
          <w:szCs w:val="19"/>
          <w:lang w:eastAsia="en-AU"/>
        </w:rPr>
        <w:t xml:space="preserve">. Applicants and organisations conducting police record checks may be able to access reduced fees for checks on volunteers and students on placement. </w:t>
      </w:r>
    </w:p>
    <w:p w14:paraId="4A556DCE" w14:textId="77777777" w:rsidR="007E5806" w:rsidRPr="00995F91" w:rsidRDefault="007E5806" w:rsidP="007E5806">
      <w:pPr>
        <w:pStyle w:val="DHHSbody"/>
        <w:rPr>
          <w:lang w:eastAsia="en-AU"/>
        </w:rPr>
      </w:pPr>
      <w:proofErr w:type="gramStart"/>
      <w:r w:rsidRPr="00276391">
        <w:rPr>
          <w:lang w:eastAsia="en-AU"/>
        </w:rPr>
        <w:t>Some authorised service providers,</w:t>
      </w:r>
      <w:proofErr w:type="gramEnd"/>
      <w:r w:rsidRPr="00276391">
        <w:rPr>
          <w:lang w:eastAsia="en-AU"/>
        </w:rPr>
        <w:t xml:space="preserve"> may also offer reduced fees for volunteers</w:t>
      </w:r>
      <w:r>
        <w:rPr>
          <w:lang w:eastAsia="en-AU"/>
        </w:rPr>
        <w:t xml:space="preserve">. </w:t>
      </w:r>
      <w:r w:rsidRPr="00E86569">
        <w:rPr>
          <w:lang w:eastAsia="en-AU"/>
        </w:rPr>
        <w:t>For more information refer to</w:t>
      </w:r>
      <w:hyperlink r:id="rId228" w:history="1">
        <w:r w:rsidRPr="0004467A">
          <w:rPr>
            <w:rStyle w:val="Hyperlink"/>
            <w:lang w:eastAsia="en-AU"/>
          </w:rPr>
          <w:t xml:space="preserve"> ACIC</w:t>
        </w:r>
      </w:hyperlink>
      <w:r>
        <w:rPr>
          <w:lang w:eastAsia="en-AU"/>
        </w:rPr>
        <w:t xml:space="preserve"> &lt;</w:t>
      </w:r>
      <w:r w:rsidRPr="00995F91">
        <w:rPr>
          <w:lang w:eastAsia="en-AU"/>
        </w:rPr>
        <w:t>https://www.acic.gov.au/our-services/national-police-checks</w:t>
      </w:r>
      <w:r>
        <w:rPr>
          <w:lang w:eastAsia="en-AU"/>
        </w:rPr>
        <w:t>&gt; (external link, opens in a new window).</w:t>
      </w:r>
    </w:p>
    <w:p w14:paraId="4A626289" w14:textId="77777777" w:rsidR="007E5806" w:rsidRPr="003F52B3" w:rsidRDefault="007E5806" w:rsidP="007E5806">
      <w:pPr>
        <w:pStyle w:val="DHHSbody"/>
        <w:rPr>
          <w:lang w:eastAsia="en-AU"/>
        </w:rPr>
      </w:pPr>
      <w:bookmarkStart w:id="724" w:name="_Toc478992033"/>
      <w:r w:rsidRPr="003F52B3">
        <w:rPr>
          <w:b/>
          <w:lang w:eastAsia="en-AU"/>
        </w:rPr>
        <w:t>Prior to lodging a police record check</w:t>
      </w:r>
      <w:bookmarkEnd w:id="724"/>
    </w:p>
    <w:p w14:paraId="3B6AEE6C" w14:textId="77777777" w:rsidR="007E5806" w:rsidRPr="004309CB" w:rsidRDefault="007E5806" w:rsidP="007E5806">
      <w:pPr>
        <w:pStyle w:val="DHHSbody"/>
        <w:rPr>
          <w:lang w:val="en"/>
        </w:rPr>
      </w:pPr>
      <w:bookmarkStart w:id="725" w:name="_Toc478992034"/>
      <w:r w:rsidRPr="004309CB">
        <w:rPr>
          <w:lang w:val="en"/>
        </w:rPr>
        <w:t xml:space="preserve">Funded or registered </w:t>
      </w:r>
      <w:proofErr w:type="spellStart"/>
      <w:r w:rsidRPr="004309CB">
        <w:rPr>
          <w:lang w:val="en"/>
        </w:rPr>
        <w:t>organisations</w:t>
      </w:r>
      <w:proofErr w:type="spellEnd"/>
      <w:r w:rsidRPr="004309CB">
        <w:rPr>
          <w:lang w:val="en"/>
        </w:rPr>
        <w:t xml:space="preserve"> and </w:t>
      </w:r>
      <w:proofErr w:type="spellStart"/>
      <w:r w:rsidRPr="004309CB">
        <w:rPr>
          <w:lang w:val="en"/>
        </w:rPr>
        <w:t>authorised</w:t>
      </w:r>
      <w:proofErr w:type="spellEnd"/>
      <w:r w:rsidRPr="004309CB">
        <w:rPr>
          <w:lang w:val="en"/>
        </w:rPr>
        <w:t xml:space="preserve"> agencies must inform applicants that a police record check will be conducted if the applicant is competitive.</w:t>
      </w:r>
    </w:p>
    <w:p w14:paraId="1049781C" w14:textId="77777777" w:rsidR="007E5806" w:rsidRPr="004309CB" w:rsidRDefault="007E5806" w:rsidP="007E5806">
      <w:pPr>
        <w:pStyle w:val="DHHSbody"/>
        <w:rPr>
          <w:lang w:val="en"/>
        </w:rPr>
      </w:pPr>
      <w:r w:rsidRPr="004309CB">
        <w:rPr>
          <w:lang w:val="en"/>
        </w:rPr>
        <w:t xml:space="preserve">Requests for police record checks can only be submitted if the individual's written consent has been obtained. Written consent is obtained when the individual completes the relevant consent form provided by Victoria Police or the </w:t>
      </w:r>
      <w:proofErr w:type="spellStart"/>
      <w:r w:rsidRPr="004309CB">
        <w:rPr>
          <w:lang w:val="en"/>
        </w:rPr>
        <w:t>CrimTrac</w:t>
      </w:r>
      <w:proofErr w:type="spellEnd"/>
      <w:r w:rsidRPr="004309CB">
        <w:rPr>
          <w:lang w:val="en"/>
        </w:rPr>
        <w:t xml:space="preserve"> accredited agency.</w:t>
      </w:r>
    </w:p>
    <w:p w14:paraId="6D917999" w14:textId="77777777" w:rsidR="007E5806" w:rsidRPr="004309CB" w:rsidRDefault="007E5806" w:rsidP="007E5806">
      <w:pPr>
        <w:pStyle w:val="DHHSbody"/>
        <w:rPr>
          <w:lang w:val="en"/>
        </w:rPr>
      </w:pPr>
      <w:r w:rsidRPr="004309CB">
        <w:rPr>
          <w:lang w:val="en"/>
        </w:rPr>
        <w:t xml:space="preserve">If the </w:t>
      </w:r>
      <w:proofErr w:type="spellStart"/>
      <w:r w:rsidRPr="004309CB">
        <w:rPr>
          <w:lang w:val="en"/>
        </w:rPr>
        <w:t>organisation</w:t>
      </w:r>
      <w:proofErr w:type="spellEnd"/>
      <w:r w:rsidRPr="004309CB">
        <w:rPr>
          <w:lang w:val="en"/>
        </w:rPr>
        <w:t xml:space="preserve"> is conducting police record checks through a</w:t>
      </w:r>
      <w:r>
        <w:rPr>
          <w:lang w:val="en"/>
        </w:rPr>
        <w:t xml:space="preserve">n ACIC </w:t>
      </w:r>
      <w:r w:rsidRPr="004309CB">
        <w:rPr>
          <w:lang w:val="en"/>
        </w:rPr>
        <w:t xml:space="preserve">accredited agency, the funded/registered </w:t>
      </w:r>
      <w:proofErr w:type="spellStart"/>
      <w:r w:rsidRPr="004309CB">
        <w:rPr>
          <w:lang w:val="en"/>
        </w:rPr>
        <w:t>organisation</w:t>
      </w:r>
      <w:proofErr w:type="spellEnd"/>
      <w:r w:rsidRPr="004309CB">
        <w:rPr>
          <w:lang w:val="en"/>
        </w:rPr>
        <w:t xml:space="preserve"> should ensure that they provide applicants with relevant information as outlined by the accredited agency.</w:t>
      </w:r>
    </w:p>
    <w:p w14:paraId="00F2E1F7" w14:textId="77777777" w:rsidR="007E5806" w:rsidRPr="003F52B3" w:rsidRDefault="007E5806" w:rsidP="007E5806">
      <w:pPr>
        <w:pStyle w:val="DHHSbody"/>
        <w:rPr>
          <w:lang w:eastAsia="en-AU"/>
        </w:rPr>
      </w:pPr>
      <w:r w:rsidRPr="003F52B3">
        <w:rPr>
          <w:b/>
          <w:lang w:eastAsia="en-AU"/>
        </w:rPr>
        <w:t>Lodging a police check</w:t>
      </w:r>
      <w:bookmarkEnd w:id="725"/>
    </w:p>
    <w:p w14:paraId="00D36C1E" w14:textId="77777777" w:rsidR="007E5806" w:rsidRPr="00276391" w:rsidRDefault="007E5806" w:rsidP="007E5806">
      <w:pPr>
        <w:pStyle w:val="DHHSbody"/>
        <w:rPr>
          <w:lang w:eastAsia="en-AU"/>
        </w:rPr>
      </w:pPr>
      <w:r w:rsidRPr="00B24C02">
        <w:rPr>
          <w:rFonts w:cs="Arial"/>
          <w:color w:val="000000"/>
          <w:szCs w:val="19"/>
          <w:lang w:eastAsia="en-AU"/>
        </w:rPr>
        <w:t xml:space="preserve">Procedures for lodging a police record check can be obtained from </w:t>
      </w:r>
      <w:hyperlink r:id="rId229" w:history="1">
        <w:r w:rsidRPr="005C050E">
          <w:rPr>
            <w:rStyle w:val="Hyperlink"/>
            <w:lang w:val="en"/>
          </w:rPr>
          <w:t>Victoria Police</w:t>
        </w:r>
      </w:hyperlink>
      <w:r>
        <w:rPr>
          <w:lang w:val="en"/>
        </w:rPr>
        <w:t xml:space="preserve"> &lt;</w:t>
      </w:r>
      <w:r w:rsidRPr="005C050E">
        <w:rPr>
          <w:lang w:val="en"/>
        </w:rPr>
        <w:t>http://www.police.vic.gov.au/content.asp?Document_ID=274</w:t>
      </w:r>
      <w:r>
        <w:rPr>
          <w:lang w:val="en"/>
        </w:rPr>
        <w:t>&gt; (external link, opens in a new window)</w:t>
      </w:r>
      <w:r w:rsidRPr="00B24C02">
        <w:rPr>
          <w:rFonts w:cs="Arial"/>
          <w:color w:val="000000"/>
          <w:szCs w:val="19"/>
          <w:lang w:eastAsia="en-AU"/>
        </w:rPr>
        <w:t xml:space="preserve"> or the </w:t>
      </w:r>
      <w:r>
        <w:rPr>
          <w:rFonts w:cs="Arial"/>
          <w:color w:val="000000"/>
          <w:szCs w:val="19"/>
          <w:lang w:eastAsia="en-AU"/>
        </w:rPr>
        <w:t xml:space="preserve">ACIC </w:t>
      </w:r>
      <w:r w:rsidRPr="00B24C02">
        <w:rPr>
          <w:rFonts w:cs="Arial"/>
          <w:color w:val="000000"/>
          <w:szCs w:val="19"/>
          <w:lang w:eastAsia="en-AU"/>
        </w:rPr>
        <w:t>accredited agency providing the police record check service.</w:t>
      </w:r>
    </w:p>
    <w:p w14:paraId="49E774E5" w14:textId="77777777" w:rsidR="007E5806" w:rsidRPr="003F52B3" w:rsidRDefault="007E5806" w:rsidP="007E5806">
      <w:pPr>
        <w:pStyle w:val="DHHSbody"/>
        <w:rPr>
          <w:lang w:eastAsia="en-AU"/>
        </w:rPr>
      </w:pPr>
      <w:bookmarkStart w:id="726" w:name="_Toc478992035"/>
      <w:r w:rsidRPr="003F52B3">
        <w:rPr>
          <w:b/>
          <w:lang w:eastAsia="en-AU"/>
        </w:rPr>
        <w:t>Emergency police record checks</w:t>
      </w:r>
      <w:bookmarkEnd w:id="726"/>
    </w:p>
    <w:p w14:paraId="4F7C4ACB" w14:textId="77777777" w:rsidR="007E5806" w:rsidRPr="00276391" w:rsidRDefault="007E5806" w:rsidP="007E5806">
      <w:pPr>
        <w:pStyle w:val="DHHSbody"/>
        <w:rPr>
          <w:lang w:eastAsia="en-AU"/>
        </w:rPr>
      </w:pPr>
      <w:r>
        <w:rPr>
          <w:lang w:eastAsia="en-AU"/>
        </w:rPr>
        <w:t>The department</w:t>
      </w:r>
      <w:r w:rsidRPr="00B24C02">
        <w:rPr>
          <w:lang w:eastAsia="en-AU"/>
        </w:rPr>
        <w:t xml:space="preserve"> will conduct police record checks for funded/registered organisations only in emergency situations.</w:t>
      </w:r>
    </w:p>
    <w:p w14:paraId="6E4E37EB" w14:textId="77777777" w:rsidR="007E5806" w:rsidRPr="004309CB" w:rsidRDefault="007E5806" w:rsidP="007E5806">
      <w:pPr>
        <w:pStyle w:val="DHHSbody"/>
        <w:rPr>
          <w:lang w:val="en"/>
        </w:rPr>
      </w:pPr>
      <w:bookmarkStart w:id="727" w:name="_Toc478992036"/>
      <w:r w:rsidRPr="004309CB">
        <w:rPr>
          <w:lang w:val="en"/>
        </w:rPr>
        <w:lastRenderedPageBreak/>
        <w:t>Emergency situations include those where client or patient contact is an immediate urgent issue (such as short term, emergency placement of children with extended family members or friends or for assessing volunteers being used in strike situations). The emergency check process should only be used in genuine emergencies and not as a solution to the late submission of police record check requests as there are limits on the number of emergency checks that can be conducted.</w:t>
      </w:r>
    </w:p>
    <w:p w14:paraId="49C41AF9" w14:textId="77777777" w:rsidR="007E5806" w:rsidRPr="004309CB" w:rsidRDefault="007E5806" w:rsidP="007E5806">
      <w:pPr>
        <w:pStyle w:val="DHHSbody"/>
        <w:rPr>
          <w:lang w:val="en"/>
        </w:rPr>
      </w:pPr>
      <w:r w:rsidRPr="006D13AA">
        <w:rPr>
          <w:lang w:val="en"/>
        </w:rPr>
        <w:t>The emergency checks are to be arranged through the relevant Department of Health and Human Services' Regional Employment Police Record Checks Coordinator.</w:t>
      </w:r>
      <w:r w:rsidRPr="004309CB">
        <w:rPr>
          <w:lang w:val="en"/>
        </w:rPr>
        <w:t xml:space="preserve"> The department will invoice </w:t>
      </w:r>
      <w:proofErr w:type="spellStart"/>
      <w:r w:rsidRPr="004309CB">
        <w:rPr>
          <w:lang w:val="en"/>
        </w:rPr>
        <w:t>organisations</w:t>
      </w:r>
      <w:proofErr w:type="spellEnd"/>
      <w:r w:rsidRPr="004309CB">
        <w:rPr>
          <w:lang w:val="en"/>
        </w:rPr>
        <w:t xml:space="preserve"> for any emergency checks conducted on their behalf, except where the department would normally reimburse these costs.</w:t>
      </w:r>
    </w:p>
    <w:p w14:paraId="034B8BD1" w14:textId="77777777" w:rsidR="007E5806" w:rsidRPr="003F52B3" w:rsidRDefault="007E5806" w:rsidP="007E5806">
      <w:pPr>
        <w:pStyle w:val="DHHSbody"/>
        <w:rPr>
          <w:lang w:eastAsia="en-AU"/>
        </w:rPr>
      </w:pPr>
      <w:r w:rsidRPr="003F52B3">
        <w:rPr>
          <w:b/>
          <w:lang w:eastAsia="en-AU"/>
        </w:rPr>
        <w:t>Results of the police record check</w:t>
      </w:r>
      <w:bookmarkEnd w:id="727"/>
    </w:p>
    <w:p w14:paraId="043F7DBD" w14:textId="77777777" w:rsidR="007E5806" w:rsidRPr="00276391" w:rsidRDefault="007E5806" w:rsidP="007E5806">
      <w:pPr>
        <w:pStyle w:val="DHHSbody"/>
        <w:rPr>
          <w:lang w:eastAsia="en-AU"/>
        </w:rPr>
      </w:pPr>
      <w:r w:rsidRPr="00B24C02">
        <w:rPr>
          <w:rFonts w:cs="Arial"/>
          <w:color w:val="000000"/>
          <w:szCs w:val="19"/>
          <w:lang w:eastAsia="en-AU"/>
        </w:rPr>
        <w:t>Information released as part of a police record check is restricted according to the relevant legislation or release policies operating in the specific police jurisdiction. Refer to the Victoria Police website for more information</w:t>
      </w:r>
      <w:r>
        <w:rPr>
          <w:rFonts w:cs="Arial"/>
          <w:color w:val="000000"/>
          <w:szCs w:val="19"/>
          <w:lang w:eastAsia="en-AU"/>
        </w:rPr>
        <w:t xml:space="preserve"> go to the</w:t>
      </w:r>
      <w:r w:rsidRPr="00B24C02">
        <w:rPr>
          <w:rFonts w:cs="Arial"/>
          <w:color w:val="000000"/>
          <w:szCs w:val="19"/>
          <w:lang w:eastAsia="en-AU"/>
        </w:rPr>
        <w:t xml:space="preserve"> </w:t>
      </w:r>
      <w:hyperlink r:id="rId230" w:history="1">
        <w:r w:rsidRPr="00AA0937">
          <w:rPr>
            <w:rStyle w:val="Hyperlink"/>
            <w:rFonts w:cs="Arial"/>
            <w:szCs w:val="19"/>
            <w:lang w:eastAsia="en-AU"/>
          </w:rPr>
          <w:t>Victoria Police</w:t>
        </w:r>
      </w:hyperlink>
      <w:r>
        <w:rPr>
          <w:rStyle w:val="Hyperlink"/>
          <w:rFonts w:cs="Arial"/>
          <w:szCs w:val="19"/>
          <w:lang w:eastAsia="en-AU"/>
        </w:rPr>
        <w:t xml:space="preserve"> website</w:t>
      </w:r>
      <w:r w:rsidRPr="00B24C02">
        <w:rPr>
          <w:rFonts w:cs="Arial"/>
          <w:color w:val="000000"/>
          <w:szCs w:val="19"/>
          <w:lang w:eastAsia="en-AU"/>
        </w:rPr>
        <w:t xml:space="preserve"> </w:t>
      </w:r>
      <w:r>
        <w:rPr>
          <w:rFonts w:cs="Arial"/>
          <w:color w:val="000000"/>
          <w:szCs w:val="19"/>
          <w:lang w:eastAsia="en-AU"/>
        </w:rPr>
        <w:t>&lt;</w:t>
      </w:r>
      <w:r w:rsidRPr="00AA0937">
        <w:t>http://www.police.vic.gov.au</w:t>
      </w:r>
      <w:r>
        <w:t>&gt;</w:t>
      </w:r>
      <w:r>
        <w:rPr>
          <w:rFonts w:cs="Arial"/>
          <w:color w:val="000000"/>
          <w:szCs w:val="19"/>
          <w:lang w:eastAsia="en-AU"/>
        </w:rPr>
        <w:t xml:space="preserve"> </w:t>
      </w:r>
      <w:r w:rsidRPr="00B24C02">
        <w:rPr>
          <w:rFonts w:cs="Arial"/>
          <w:color w:val="000000"/>
          <w:szCs w:val="19"/>
          <w:lang w:eastAsia="en-AU"/>
        </w:rPr>
        <w:t>(external link, opens in a new window).</w:t>
      </w:r>
    </w:p>
    <w:p w14:paraId="12C7609B" w14:textId="77777777" w:rsidR="007E5806" w:rsidRPr="003F52B3" w:rsidRDefault="007E5806" w:rsidP="007E5806">
      <w:pPr>
        <w:pStyle w:val="DHHSbody"/>
        <w:rPr>
          <w:lang w:eastAsia="en-AU"/>
        </w:rPr>
      </w:pPr>
      <w:bookmarkStart w:id="728" w:name="_Toc478992037"/>
      <w:r w:rsidRPr="003F52B3">
        <w:rPr>
          <w:b/>
          <w:lang w:eastAsia="en-AU"/>
        </w:rPr>
        <w:t>Results of the police record check - no disclosable court outcome</w:t>
      </w:r>
      <w:bookmarkEnd w:id="728"/>
    </w:p>
    <w:p w14:paraId="05D1D37A" w14:textId="77777777" w:rsidR="007E5806" w:rsidRPr="004309CB" w:rsidRDefault="007E5806" w:rsidP="007E5806">
      <w:pPr>
        <w:pStyle w:val="DHHSbody"/>
        <w:rPr>
          <w:lang w:val="en"/>
        </w:rPr>
      </w:pPr>
      <w:bookmarkStart w:id="729" w:name="_Toc478992038"/>
      <w:r w:rsidRPr="004309CB">
        <w:rPr>
          <w:lang w:val="en"/>
        </w:rPr>
        <w:t>Where the police record check of the competitive applicant, volunteer or student reveals no disclosable court outcomes, outstanding charges or other matters the appointment may be confirmed (an offer of employment or placement can be made).</w:t>
      </w:r>
    </w:p>
    <w:p w14:paraId="5DAAB1E0" w14:textId="77777777" w:rsidR="007E5806" w:rsidRPr="003F52B3" w:rsidRDefault="007E5806" w:rsidP="007E5806">
      <w:pPr>
        <w:pStyle w:val="DHHSbody"/>
        <w:rPr>
          <w:lang w:eastAsia="en-AU"/>
        </w:rPr>
      </w:pPr>
      <w:r w:rsidRPr="003F52B3">
        <w:rPr>
          <w:b/>
          <w:lang w:eastAsia="en-AU"/>
        </w:rPr>
        <w:t>Results of the police record check - disclosable court outcome</w:t>
      </w:r>
      <w:bookmarkEnd w:id="729"/>
    </w:p>
    <w:p w14:paraId="7876BBC0" w14:textId="77777777" w:rsidR="007E5806" w:rsidRPr="004309CB" w:rsidRDefault="007E5806" w:rsidP="007E5806">
      <w:pPr>
        <w:pStyle w:val="DHHSbody"/>
        <w:rPr>
          <w:lang w:val="en"/>
        </w:rPr>
      </w:pPr>
      <w:r w:rsidRPr="004309CB">
        <w:rPr>
          <w:lang w:val="en"/>
        </w:rPr>
        <w:t xml:space="preserve">An applicant should not automatically be precluded from a job or placement </w:t>
      </w:r>
      <w:proofErr w:type="gramStart"/>
      <w:r w:rsidRPr="004309CB">
        <w:rPr>
          <w:lang w:val="en"/>
        </w:rPr>
        <w:t>on the basis of</w:t>
      </w:r>
      <w:proofErr w:type="gramEnd"/>
      <w:r w:rsidRPr="004309CB">
        <w:rPr>
          <w:lang w:val="en"/>
        </w:rPr>
        <w:t xml:space="preserve"> having a police record.</w:t>
      </w:r>
    </w:p>
    <w:p w14:paraId="7E0DB985" w14:textId="77777777" w:rsidR="007E5806" w:rsidRPr="004309CB" w:rsidRDefault="007E5806" w:rsidP="007E5806">
      <w:pPr>
        <w:pStyle w:val="DHHSbody"/>
        <w:rPr>
          <w:lang w:val="en"/>
        </w:rPr>
      </w:pPr>
      <w:r w:rsidRPr="004309CB">
        <w:rPr>
          <w:lang w:val="en"/>
        </w:rPr>
        <w:t>However, in line with Victorian Department of Health and Human Serv</w:t>
      </w:r>
      <w:r>
        <w:rPr>
          <w:lang w:val="en"/>
        </w:rPr>
        <w:t>ices’</w:t>
      </w:r>
      <w:r w:rsidRPr="004309CB">
        <w:rPr>
          <w:lang w:val="en"/>
        </w:rPr>
        <w:t xml:space="preserve"> Child Protection Manual, </w:t>
      </w:r>
      <w:r>
        <w:rPr>
          <w:lang w:val="en"/>
        </w:rPr>
        <w:t xml:space="preserve">for roles which will involve caring for child protection clients, </w:t>
      </w:r>
      <w:r w:rsidRPr="004309CB">
        <w:rPr>
          <w:lang w:val="en"/>
        </w:rPr>
        <w:t xml:space="preserve">if a person’s national police history includes a Category A offence, further steps </w:t>
      </w:r>
      <w:r>
        <w:rPr>
          <w:lang w:val="en"/>
        </w:rPr>
        <w:t>need</w:t>
      </w:r>
      <w:r w:rsidRPr="004309CB">
        <w:rPr>
          <w:lang w:val="en"/>
        </w:rPr>
        <w:t xml:space="preserve"> to be taken. The individual should not be engaged in any client contact role if their criminal history includes a Category A offence without the written approval of the Director of the Office of Professional Practice (located at the department’s head office, 50 Lonsdale Street, Melbourne) and the Divisional Deputy Secretary.</w:t>
      </w:r>
    </w:p>
    <w:p w14:paraId="6F931E6C" w14:textId="77777777" w:rsidR="007E5806" w:rsidRPr="004309CB" w:rsidRDefault="007E5806" w:rsidP="007E5806">
      <w:pPr>
        <w:pStyle w:val="DHHSbody"/>
        <w:rPr>
          <w:lang w:val="en"/>
        </w:rPr>
      </w:pPr>
      <w:r w:rsidRPr="004309CB">
        <w:rPr>
          <w:lang w:val="en"/>
        </w:rPr>
        <w:t>A person whose criminal history includes a Category A offence must not be permitted to enter or remain within the household while a child protection client is placed there unless written endorsement has been obtained from the Director of the Office of Professional Practice (located at the department’s head office, 50 Lonsdale Street, Melbourne).</w:t>
      </w:r>
    </w:p>
    <w:p w14:paraId="7A02FFDB" w14:textId="77777777" w:rsidR="007E5806" w:rsidRPr="00276391" w:rsidRDefault="007E5806" w:rsidP="007E5806">
      <w:pPr>
        <w:pStyle w:val="DHHSbody"/>
        <w:rPr>
          <w:lang w:eastAsia="en-AU"/>
        </w:rPr>
      </w:pPr>
      <w:r w:rsidRPr="00276391">
        <w:rPr>
          <w:lang w:eastAsia="en-AU"/>
        </w:rPr>
        <w:t xml:space="preserve">In all other cases, </w:t>
      </w:r>
      <w:r>
        <w:rPr>
          <w:lang w:eastAsia="en-AU"/>
        </w:rPr>
        <w:t xml:space="preserve">for roles which do not involve caring for child protection clients, </w:t>
      </w:r>
      <w:r w:rsidRPr="00276391">
        <w:rPr>
          <w:lang w:eastAsia="en-AU"/>
        </w:rPr>
        <w:t>the relevant manager in the funded/registered organisation will manage the assessment process in order to determine the applicant's suitability for employment or placement (</w:t>
      </w:r>
      <w:r>
        <w:rPr>
          <w:lang w:eastAsia="en-AU"/>
        </w:rPr>
        <w:t>see</w:t>
      </w:r>
      <w:r w:rsidRPr="00276391">
        <w:rPr>
          <w:lang w:eastAsia="en-AU"/>
        </w:rPr>
        <w:t xml:space="preserve"> </w:t>
      </w:r>
      <w:hyperlink r:id="rId231" w:history="1">
        <w:r w:rsidRPr="00F1239C">
          <w:rPr>
            <w:rStyle w:val="Hyperlink"/>
          </w:rPr>
          <w:t>Safety screening assessment instructions and form</w:t>
        </w:r>
      </w:hyperlink>
      <w:r>
        <w:rPr>
          <w:lang w:eastAsia="en-AU"/>
        </w:rPr>
        <w:t>) &lt;</w:t>
      </w:r>
      <w:r w:rsidRPr="00F1239C">
        <w:rPr>
          <w:lang w:eastAsia="en-AU"/>
        </w:rPr>
        <w:t>https://fac.dhhs.vic.gov.au/safety-screening-assessment-instructions-and-form</w:t>
      </w:r>
      <w:r>
        <w:rPr>
          <w:lang w:eastAsia="en-AU"/>
        </w:rPr>
        <w:t>&gt;</w:t>
      </w:r>
      <w:r w:rsidRPr="00BD1266">
        <w:rPr>
          <w:lang w:eastAsia="en-AU"/>
        </w:rPr>
        <w:t xml:space="preserve"> </w:t>
      </w:r>
      <w:r>
        <w:rPr>
          <w:lang w:eastAsia="en-AU"/>
        </w:rPr>
        <w:t xml:space="preserve">(external link, </w:t>
      </w:r>
      <w:r w:rsidRPr="00276391">
        <w:rPr>
          <w:lang w:eastAsia="en-AU"/>
        </w:rPr>
        <w:t>op</w:t>
      </w:r>
      <w:r>
        <w:rPr>
          <w:lang w:eastAsia="en-AU"/>
        </w:rPr>
        <w:t>ens in a new window</w:t>
      </w:r>
      <w:r w:rsidRPr="00276391">
        <w:rPr>
          <w:lang w:eastAsia="en-AU"/>
        </w:rPr>
        <w:t>).</w:t>
      </w:r>
    </w:p>
    <w:p w14:paraId="601E60AE" w14:textId="77777777" w:rsidR="007E5806" w:rsidRPr="00276391" w:rsidRDefault="007E5806" w:rsidP="007E5806">
      <w:pPr>
        <w:pStyle w:val="DHHSbody"/>
        <w:rPr>
          <w:lang w:eastAsia="en-AU"/>
        </w:rPr>
      </w:pPr>
      <w:r w:rsidRPr="00276391">
        <w:rPr>
          <w:lang w:eastAsia="en-AU"/>
        </w:rPr>
        <w:t>The funded/registered organisation manager will ensure that:</w:t>
      </w:r>
    </w:p>
    <w:p w14:paraId="086FD140" w14:textId="77777777" w:rsidR="007E5806" w:rsidRPr="00504168" w:rsidRDefault="007E5806" w:rsidP="007E5806">
      <w:pPr>
        <w:pStyle w:val="DHHSbullet1"/>
        <w:numPr>
          <w:ilvl w:val="0"/>
          <w:numId w:val="6"/>
        </w:numPr>
        <w:rPr>
          <w:lang w:eastAsia="en-AU"/>
        </w:rPr>
      </w:pPr>
      <w:r w:rsidRPr="004309CB">
        <w:rPr>
          <w:rFonts w:cs="Arial"/>
          <w:lang w:val="en"/>
        </w:rPr>
        <w:t>the applicant, student or volunteer confirms that the details of the disclosable record are correct (if there is a dispute, refer to the Victoria Police website and search for Criminal History Information Dispute process);</w:t>
      </w:r>
    </w:p>
    <w:p w14:paraId="44BB3627" w14:textId="77777777" w:rsidR="007E5806" w:rsidRPr="00504168" w:rsidRDefault="007E5806" w:rsidP="007E5806">
      <w:pPr>
        <w:pStyle w:val="ListParagraph"/>
        <w:numPr>
          <w:ilvl w:val="0"/>
          <w:numId w:val="6"/>
        </w:numPr>
        <w:rPr>
          <w:rFonts w:ascii="Arial" w:hAnsi="Arial" w:cs="Arial"/>
          <w:lang w:val="en"/>
        </w:rPr>
      </w:pPr>
      <w:r w:rsidRPr="00504168">
        <w:rPr>
          <w:rFonts w:ascii="Arial" w:hAnsi="Arial" w:cs="Arial"/>
          <w:lang w:val="en"/>
        </w:rPr>
        <w:t>assessment of the disclosable record of the applicant, volunteer or student is made in accordance with the assessment criteria detailed below. N.B. there should be no mention of the actual offence in the assessment form;</w:t>
      </w:r>
    </w:p>
    <w:p w14:paraId="5D194EF5" w14:textId="77777777" w:rsidR="007E5806" w:rsidRPr="00276391" w:rsidRDefault="007E5806" w:rsidP="007E5806">
      <w:pPr>
        <w:pStyle w:val="DHHSbullet1"/>
        <w:numPr>
          <w:ilvl w:val="0"/>
          <w:numId w:val="6"/>
        </w:numPr>
        <w:rPr>
          <w:lang w:eastAsia="en-AU"/>
        </w:rPr>
      </w:pPr>
      <w:r w:rsidRPr="004309CB">
        <w:rPr>
          <w:rFonts w:cs="Arial"/>
          <w:lang w:val="en"/>
        </w:rPr>
        <w:t xml:space="preserve">before employment is formally offered, a discussion occurs with the relevant </w:t>
      </w:r>
      <w:r>
        <w:rPr>
          <w:rFonts w:cs="Arial"/>
          <w:lang w:val="en"/>
        </w:rPr>
        <w:t>department</w:t>
      </w:r>
      <w:r w:rsidRPr="004309CB">
        <w:rPr>
          <w:rFonts w:cs="Arial"/>
          <w:lang w:val="en"/>
        </w:rPr>
        <w:t xml:space="preserve"> Area Director/regional senior program manager about the intention to employ an individual with such a record. The departmental representative cannot direct or make the decision to </w:t>
      </w:r>
      <w:proofErr w:type="gramStart"/>
      <w:r w:rsidRPr="004309CB">
        <w:rPr>
          <w:rFonts w:cs="Arial"/>
          <w:lang w:val="en"/>
        </w:rPr>
        <w:t>employ, but</w:t>
      </w:r>
      <w:proofErr w:type="gramEnd"/>
      <w:r w:rsidRPr="004309CB">
        <w:rPr>
          <w:rFonts w:cs="Arial"/>
          <w:lang w:val="en"/>
        </w:rPr>
        <w:t xml:space="preserve"> should </w:t>
      </w:r>
      <w:r w:rsidRPr="004309CB">
        <w:rPr>
          <w:rFonts w:cs="Arial"/>
          <w:lang w:val="en"/>
        </w:rPr>
        <w:lastRenderedPageBreak/>
        <w:t xml:space="preserve">provide their opinion regarding any decision the </w:t>
      </w:r>
      <w:proofErr w:type="spellStart"/>
      <w:r w:rsidRPr="004309CB">
        <w:rPr>
          <w:rFonts w:cs="Arial"/>
          <w:lang w:val="en"/>
        </w:rPr>
        <w:t>organisation</w:t>
      </w:r>
      <w:proofErr w:type="spellEnd"/>
      <w:r w:rsidRPr="004309CB">
        <w:rPr>
          <w:rFonts w:cs="Arial"/>
          <w:lang w:val="en"/>
        </w:rPr>
        <w:t xml:space="preserve"> makes (in line with principles outlined). A list of relevant </w:t>
      </w:r>
      <w:r>
        <w:rPr>
          <w:rFonts w:cs="Arial"/>
          <w:lang w:val="en"/>
        </w:rPr>
        <w:t>department</w:t>
      </w:r>
      <w:r w:rsidRPr="004309CB">
        <w:rPr>
          <w:rFonts w:cs="Arial"/>
          <w:lang w:val="en"/>
        </w:rPr>
        <w:t xml:space="preserve"> Area Directors is available on the</w:t>
      </w:r>
      <w:r w:rsidRPr="00276391">
        <w:rPr>
          <w:lang w:eastAsia="en-AU"/>
        </w:rPr>
        <w:t xml:space="preserve"> </w:t>
      </w:r>
      <w:hyperlink r:id="rId232" w:history="1">
        <w:r>
          <w:rPr>
            <w:rStyle w:val="Hyperlink"/>
            <w:lang w:eastAsia="en-AU"/>
          </w:rPr>
          <w:t>Funded agency channel</w:t>
        </w:r>
      </w:hyperlink>
      <w:r w:rsidRPr="00276391">
        <w:rPr>
          <w:lang w:eastAsia="en-AU"/>
        </w:rPr>
        <w:t xml:space="preserve"> </w:t>
      </w:r>
      <w:r>
        <w:rPr>
          <w:lang w:eastAsia="en-AU"/>
        </w:rPr>
        <w:t>&lt;</w:t>
      </w:r>
      <w:r w:rsidRPr="005753AB">
        <w:t>https://fac.dhhs.vic.gov.au/useful-links</w:t>
      </w:r>
      <w:r>
        <w:t>&gt;</w:t>
      </w:r>
      <w:r w:rsidRPr="00276391">
        <w:rPr>
          <w:lang w:eastAsia="en-AU"/>
        </w:rPr>
        <w:t xml:space="preserve"> (external link, opens in a new window).</w:t>
      </w:r>
    </w:p>
    <w:p w14:paraId="2EF6F036" w14:textId="77777777" w:rsidR="007E5806" w:rsidRPr="00504168" w:rsidRDefault="007E5806" w:rsidP="007E5806">
      <w:pPr>
        <w:pStyle w:val="ListParagraph"/>
        <w:numPr>
          <w:ilvl w:val="0"/>
          <w:numId w:val="6"/>
        </w:numPr>
        <w:rPr>
          <w:rFonts w:ascii="Arial" w:hAnsi="Arial" w:cs="Arial"/>
          <w:lang w:val="en"/>
        </w:rPr>
      </w:pPr>
      <w:r w:rsidRPr="00504168">
        <w:rPr>
          <w:rFonts w:ascii="Arial" w:hAnsi="Arial" w:cs="Arial"/>
          <w:lang w:val="en"/>
        </w:rPr>
        <w:t xml:space="preserve">following the discussion, the </w:t>
      </w:r>
      <w:r>
        <w:rPr>
          <w:rFonts w:ascii="Arial" w:hAnsi="Arial" w:cs="Arial"/>
          <w:lang w:val="en"/>
        </w:rPr>
        <w:t>department</w:t>
      </w:r>
      <w:r w:rsidRPr="00504168">
        <w:rPr>
          <w:rFonts w:ascii="Arial" w:hAnsi="Arial" w:cs="Arial"/>
          <w:lang w:val="en"/>
        </w:rPr>
        <w:t xml:space="preserve"> Area Director should send an email to the manager of the funded/registered </w:t>
      </w:r>
      <w:proofErr w:type="spellStart"/>
      <w:r w:rsidRPr="00504168">
        <w:rPr>
          <w:rStyle w:val="DHHSbodyChar"/>
          <w:lang w:val="en"/>
        </w:rPr>
        <w:t>organisation</w:t>
      </w:r>
      <w:proofErr w:type="spellEnd"/>
      <w:r w:rsidRPr="00504168">
        <w:rPr>
          <w:rStyle w:val="DHHSbodyChar"/>
          <w:lang w:val="en"/>
        </w:rPr>
        <w:t xml:space="preserve"> to confirm the outcome of the discussion, including the funded </w:t>
      </w:r>
      <w:proofErr w:type="spellStart"/>
      <w:r w:rsidRPr="00504168">
        <w:rPr>
          <w:rStyle w:val="DHHSbodyChar"/>
          <w:lang w:val="en"/>
        </w:rPr>
        <w:t>organisation</w:t>
      </w:r>
      <w:proofErr w:type="spellEnd"/>
      <w:r w:rsidRPr="00504168">
        <w:rPr>
          <w:rStyle w:val="DHHSbodyChar"/>
          <w:lang w:val="en"/>
        </w:rPr>
        <w:t xml:space="preserve"> manager's decision to either employ or not employ the individual (without reference to the details of the disclosable record); and</w:t>
      </w:r>
    </w:p>
    <w:p w14:paraId="526A0DF9" w14:textId="77777777" w:rsidR="007E5806" w:rsidRPr="00276391" w:rsidRDefault="007E5806" w:rsidP="007E5806">
      <w:pPr>
        <w:pStyle w:val="DHHSbullet1"/>
        <w:numPr>
          <w:ilvl w:val="0"/>
          <w:numId w:val="6"/>
        </w:numPr>
        <w:rPr>
          <w:lang w:eastAsia="en-AU"/>
        </w:rPr>
      </w:pPr>
      <w:r w:rsidRPr="00276391">
        <w:rPr>
          <w:lang w:eastAsia="en-AU"/>
        </w:rPr>
        <w:t>any decision made for or against a person is able to be justified and is fully documented.</w:t>
      </w:r>
    </w:p>
    <w:p w14:paraId="49A6F8CD" w14:textId="77777777" w:rsidR="007E5806" w:rsidRPr="00DE7247" w:rsidRDefault="007E5806" w:rsidP="007E5806">
      <w:pPr>
        <w:pStyle w:val="DHHSbody"/>
        <w:rPr>
          <w:lang w:val="en"/>
        </w:rPr>
      </w:pPr>
      <w:r w:rsidRPr="00DE7247">
        <w:rPr>
          <w:lang w:val="en"/>
        </w:rPr>
        <w:t xml:space="preserve">The funded/registered </w:t>
      </w:r>
      <w:proofErr w:type="spellStart"/>
      <w:r w:rsidRPr="00DE7247">
        <w:rPr>
          <w:lang w:val="en"/>
        </w:rPr>
        <w:t>organisation</w:t>
      </w:r>
      <w:proofErr w:type="spellEnd"/>
      <w:r w:rsidRPr="00DE7247">
        <w:rPr>
          <w:lang w:val="en"/>
        </w:rPr>
        <w:t xml:space="preserve"> manager should </w:t>
      </w:r>
      <w:proofErr w:type="gramStart"/>
      <w:r w:rsidRPr="00DE7247">
        <w:rPr>
          <w:lang w:val="en"/>
        </w:rPr>
        <w:t>give consideration to</w:t>
      </w:r>
      <w:proofErr w:type="gramEnd"/>
      <w:r w:rsidRPr="00DE7247">
        <w:rPr>
          <w:lang w:val="en"/>
        </w:rPr>
        <w:t xml:space="preserve"> the following assessment criteria:</w:t>
      </w:r>
    </w:p>
    <w:p w14:paraId="25A3A72B" w14:textId="77777777" w:rsidR="007E5806" w:rsidRDefault="007E5806" w:rsidP="007E5806">
      <w:pPr>
        <w:pStyle w:val="DHHSbullet1lastline"/>
        <w:numPr>
          <w:ilvl w:val="1"/>
          <w:numId w:val="14"/>
        </w:numPr>
        <w:rPr>
          <w:lang w:eastAsia="en-AU"/>
        </w:rPr>
      </w:pPr>
      <w:r>
        <w:rPr>
          <w:lang w:eastAsia="en-AU"/>
        </w:rPr>
        <w:t>the relevance of the criminal offence, in relation to the job or placement</w:t>
      </w:r>
    </w:p>
    <w:p w14:paraId="1250D62B" w14:textId="77777777" w:rsidR="007E5806" w:rsidRDefault="007E5806" w:rsidP="007E5806">
      <w:pPr>
        <w:pStyle w:val="DHHSbullet1lastline"/>
        <w:numPr>
          <w:ilvl w:val="1"/>
          <w:numId w:val="14"/>
        </w:numPr>
        <w:rPr>
          <w:lang w:eastAsia="en-AU"/>
        </w:rPr>
      </w:pPr>
      <w:r>
        <w:rPr>
          <w:lang w:eastAsia="en-AU"/>
        </w:rPr>
        <w:t>the nature of the offence and the relationship of the offence to the particular job or placement for which the applicant is being considered</w:t>
      </w:r>
    </w:p>
    <w:p w14:paraId="4234F647" w14:textId="77777777" w:rsidR="007E5806" w:rsidRDefault="007E5806" w:rsidP="007E5806">
      <w:pPr>
        <w:pStyle w:val="DHHSbullet1lastline"/>
        <w:numPr>
          <w:ilvl w:val="1"/>
          <w:numId w:val="14"/>
        </w:numPr>
        <w:rPr>
          <w:lang w:eastAsia="en-AU"/>
        </w:rPr>
      </w:pPr>
      <w:r>
        <w:rPr>
          <w:lang w:eastAsia="en-AU"/>
        </w:rPr>
        <w:t>the length of time since the offence took place</w:t>
      </w:r>
    </w:p>
    <w:p w14:paraId="04D8E6A6" w14:textId="77777777" w:rsidR="007E5806" w:rsidRDefault="007E5806" w:rsidP="007E5806">
      <w:pPr>
        <w:pStyle w:val="DHHSbullet1lastline"/>
        <w:numPr>
          <w:ilvl w:val="1"/>
          <w:numId w:val="14"/>
        </w:numPr>
        <w:rPr>
          <w:lang w:eastAsia="en-AU"/>
        </w:rPr>
      </w:pPr>
      <w:r>
        <w:rPr>
          <w:lang w:eastAsia="en-AU"/>
        </w:rPr>
        <w:t>whether the person was convicted or found guilty and placed on a bond</w:t>
      </w:r>
    </w:p>
    <w:p w14:paraId="10153484" w14:textId="77777777" w:rsidR="007E5806" w:rsidRDefault="007E5806" w:rsidP="007E5806">
      <w:pPr>
        <w:pStyle w:val="DHHSbullet1lastline"/>
        <w:numPr>
          <w:ilvl w:val="1"/>
          <w:numId w:val="14"/>
        </w:numPr>
        <w:rPr>
          <w:lang w:eastAsia="en-AU"/>
        </w:rPr>
      </w:pPr>
      <w:r>
        <w:rPr>
          <w:lang w:eastAsia="en-AU"/>
        </w:rPr>
        <w:t>whether there is evidence of an extended police record</w:t>
      </w:r>
    </w:p>
    <w:p w14:paraId="188C6700" w14:textId="77777777" w:rsidR="007E5806" w:rsidRDefault="007E5806" w:rsidP="007E5806">
      <w:pPr>
        <w:pStyle w:val="DHHSbullet1lastline"/>
        <w:numPr>
          <w:ilvl w:val="1"/>
          <w:numId w:val="14"/>
        </w:numPr>
        <w:rPr>
          <w:lang w:eastAsia="en-AU"/>
        </w:rPr>
      </w:pPr>
      <w:r>
        <w:rPr>
          <w:lang w:eastAsia="en-AU"/>
        </w:rPr>
        <w:t>the number of offences committed which may establish a pattern of behaviour which renders the applicant unsuitable</w:t>
      </w:r>
    </w:p>
    <w:p w14:paraId="5D582392" w14:textId="77777777" w:rsidR="007E5806" w:rsidRDefault="007E5806" w:rsidP="007E5806">
      <w:pPr>
        <w:pStyle w:val="DHHSbullet1lastline"/>
        <w:numPr>
          <w:ilvl w:val="1"/>
          <w:numId w:val="14"/>
        </w:numPr>
        <w:rPr>
          <w:lang w:eastAsia="en-AU"/>
        </w:rPr>
      </w:pPr>
      <w:r>
        <w:rPr>
          <w:lang w:eastAsia="en-AU"/>
        </w:rPr>
        <w:t>whether the offence was committed as an adult or a juvenile</w:t>
      </w:r>
    </w:p>
    <w:p w14:paraId="19597733" w14:textId="77777777" w:rsidR="007E5806" w:rsidRDefault="007E5806" w:rsidP="007E5806">
      <w:pPr>
        <w:pStyle w:val="DHHSbullet1lastline"/>
        <w:numPr>
          <w:ilvl w:val="1"/>
          <w:numId w:val="14"/>
        </w:numPr>
        <w:rPr>
          <w:lang w:eastAsia="en-AU"/>
        </w:rPr>
      </w:pPr>
      <w:r>
        <w:rPr>
          <w:lang w:eastAsia="en-AU"/>
        </w:rPr>
        <w:t>the severity of punishment imposed</w:t>
      </w:r>
    </w:p>
    <w:p w14:paraId="183EAD3B" w14:textId="77777777" w:rsidR="007E5806" w:rsidRDefault="007E5806" w:rsidP="007E5806">
      <w:pPr>
        <w:pStyle w:val="DHHSbullet1lastline"/>
        <w:numPr>
          <w:ilvl w:val="1"/>
          <w:numId w:val="14"/>
        </w:numPr>
        <w:rPr>
          <w:lang w:eastAsia="en-AU"/>
        </w:rPr>
      </w:pPr>
      <w:r>
        <w:rPr>
          <w:lang w:eastAsia="en-AU"/>
        </w:rPr>
        <w:t>whether the offence is still a crime, that is, has the offence now been decriminalised</w:t>
      </w:r>
    </w:p>
    <w:p w14:paraId="378871C6" w14:textId="77777777" w:rsidR="007E5806" w:rsidRDefault="007E5806" w:rsidP="007E5806">
      <w:pPr>
        <w:pStyle w:val="DHHSbullet1lastline"/>
        <w:numPr>
          <w:ilvl w:val="1"/>
          <w:numId w:val="14"/>
        </w:numPr>
        <w:rPr>
          <w:lang w:eastAsia="en-AU"/>
        </w:rPr>
      </w:pPr>
      <w:r>
        <w:rPr>
          <w:lang w:eastAsia="en-AU"/>
        </w:rPr>
        <w:t>whether there are other factors that may be relevant for consideration, and</w:t>
      </w:r>
    </w:p>
    <w:p w14:paraId="08817B65" w14:textId="77777777" w:rsidR="007E5806" w:rsidRDefault="007E5806" w:rsidP="007E5806">
      <w:pPr>
        <w:pStyle w:val="DHHSbullet1lastline"/>
        <w:numPr>
          <w:ilvl w:val="1"/>
          <w:numId w:val="14"/>
        </w:numPr>
        <w:rPr>
          <w:lang w:eastAsia="en-AU"/>
        </w:rPr>
      </w:pPr>
      <w:r>
        <w:rPr>
          <w:lang w:eastAsia="en-AU"/>
        </w:rPr>
        <w:t>the person's general character since the offence was committed.</w:t>
      </w:r>
    </w:p>
    <w:p w14:paraId="6A678996" w14:textId="77777777" w:rsidR="007E5806" w:rsidRPr="00DE7247" w:rsidRDefault="007E5806" w:rsidP="007E5806">
      <w:pPr>
        <w:pStyle w:val="DHHSbody"/>
        <w:rPr>
          <w:lang w:val="en"/>
        </w:rPr>
      </w:pPr>
      <w:r w:rsidRPr="00DE7247">
        <w:rPr>
          <w:lang w:val="en"/>
        </w:rPr>
        <w:t xml:space="preserve">Where a funded/registered </w:t>
      </w:r>
      <w:proofErr w:type="spellStart"/>
      <w:r w:rsidRPr="00DE7247">
        <w:rPr>
          <w:lang w:val="en"/>
        </w:rPr>
        <w:t>organisation's</w:t>
      </w:r>
      <w:proofErr w:type="spellEnd"/>
      <w:r w:rsidRPr="00DE7247">
        <w:rPr>
          <w:lang w:val="en"/>
        </w:rPr>
        <w:t xml:space="preserve"> manager makes the decision not to take on an applicant, volunteer or student with a disclosable record, the funded/registered </w:t>
      </w:r>
      <w:proofErr w:type="spellStart"/>
      <w:r w:rsidRPr="00DE7247">
        <w:rPr>
          <w:lang w:val="en"/>
        </w:rPr>
        <w:t>organisation</w:t>
      </w:r>
      <w:proofErr w:type="spellEnd"/>
      <w:r w:rsidRPr="00DE7247">
        <w:rPr>
          <w:lang w:val="en"/>
        </w:rPr>
        <w:t xml:space="preserve"> manager must:</w:t>
      </w:r>
    </w:p>
    <w:p w14:paraId="21162CAA" w14:textId="77777777" w:rsidR="007E5806" w:rsidRPr="004309CB" w:rsidRDefault="007E5806" w:rsidP="007E5806">
      <w:pPr>
        <w:pStyle w:val="DHHSbullet1"/>
        <w:numPr>
          <w:ilvl w:val="0"/>
          <w:numId w:val="14"/>
        </w:numPr>
        <w:rPr>
          <w:lang w:val="en"/>
        </w:rPr>
      </w:pPr>
      <w:r w:rsidRPr="004309CB">
        <w:rPr>
          <w:lang w:val="en"/>
        </w:rPr>
        <w:t>inform the unsuccessful applicant of the decision and its rationale</w:t>
      </w:r>
    </w:p>
    <w:p w14:paraId="6ABC422F" w14:textId="77777777" w:rsidR="007E5806" w:rsidRPr="004309CB" w:rsidRDefault="007E5806" w:rsidP="007E5806">
      <w:pPr>
        <w:pStyle w:val="DHHSbullet1"/>
        <w:numPr>
          <w:ilvl w:val="0"/>
          <w:numId w:val="14"/>
        </w:numPr>
        <w:rPr>
          <w:lang w:val="en"/>
        </w:rPr>
      </w:pPr>
      <w:r w:rsidRPr="004309CB">
        <w:rPr>
          <w:lang w:val="en"/>
        </w:rPr>
        <w:t>provide an opportunity for the unsuccessful applicant to discuss the results, and</w:t>
      </w:r>
    </w:p>
    <w:p w14:paraId="5343E967" w14:textId="77777777" w:rsidR="007E5806" w:rsidRPr="004309CB" w:rsidRDefault="007E5806" w:rsidP="007E5806">
      <w:pPr>
        <w:pStyle w:val="DHHSbullet1"/>
        <w:numPr>
          <w:ilvl w:val="0"/>
          <w:numId w:val="14"/>
        </w:numPr>
        <w:rPr>
          <w:lang w:val="en"/>
        </w:rPr>
      </w:pPr>
      <w:r w:rsidRPr="004309CB">
        <w:rPr>
          <w:lang w:val="en"/>
        </w:rPr>
        <w:t>inform the unsuccessful applicant of the opportunity for the decision to be reviewed.</w:t>
      </w:r>
    </w:p>
    <w:p w14:paraId="6F5DF692" w14:textId="77777777" w:rsidR="007E5806" w:rsidRPr="00276391" w:rsidRDefault="007E5806" w:rsidP="007E5806">
      <w:pPr>
        <w:pStyle w:val="DHHSbody"/>
        <w:rPr>
          <w:lang w:eastAsia="en-AU"/>
        </w:rPr>
      </w:pPr>
      <w:r w:rsidRPr="00B24C02">
        <w:rPr>
          <w:rFonts w:cs="Arial"/>
          <w:color w:val="000000"/>
          <w:szCs w:val="19"/>
          <w:lang w:eastAsia="en-AU"/>
        </w:rPr>
        <w:t xml:space="preserve">Where a check demonstrates that a person has a disclosable record, a funded/registered organisation may also have obligations to report that outcome to the Disability Worker Exclusion Scheme Unit. </w:t>
      </w:r>
      <w:r>
        <w:rPr>
          <w:rFonts w:cs="Arial"/>
          <w:color w:val="000000"/>
          <w:szCs w:val="19"/>
          <w:lang w:eastAsia="en-AU"/>
        </w:rPr>
        <w:t>F</w:t>
      </w:r>
      <w:r w:rsidRPr="00B24C02">
        <w:rPr>
          <w:rFonts w:cs="Arial"/>
          <w:color w:val="000000"/>
          <w:szCs w:val="19"/>
          <w:lang w:eastAsia="en-AU"/>
        </w:rPr>
        <w:t>or further information about this process</w:t>
      </w:r>
      <w:r>
        <w:rPr>
          <w:rFonts w:cs="Arial"/>
          <w:color w:val="000000"/>
          <w:szCs w:val="19"/>
          <w:lang w:eastAsia="en-AU"/>
        </w:rPr>
        <w:t>,</w:t>
      </w:r>
      <w:r w:rsidRPr="00AA507E">
        <w:rPr>
          <w:lang w:val="en"/>
        </w:rPr>
        <w:t xml:space="preserve"> </w:t>
      </w:r>
      <w:r>
        <w:rPr>
          <w:lang w:val="en"/>
        </w:rPr>
        <w:t>r</w:t>
      </w:r>
      <w:r w:rsidRPr="00AA507E">
        <w:rPr>
          <w:lang w:val="en"/>
        </w:rPr>
        <w:t xml:space="preserve">efer to the </w:t>
      </w:r>
      <w:r w:rsidRPr="0030463F">
        <w:rPr>
          <w:bCs/>
          <w:i/>
          <w:lang w:val="en"/>
        </w:rPr>
        <w:t>Disability Worker Exclusion Scheme Instruction (October 2017)</w:t>
      </w:r>
      <w:r>
        <w:rPr>
          <w:rFonts w:cs="Arial"/>
          <w:b/>
          <w:bCs/>
          <w:color w:val="000000"/>
          <w:szCs w:val="19"/>
          <w:lang w:eastAsia="en-AU"/>
        </w:rPr>
        <w:t xml:space="preserve"> </w:t>
      </w:r>
      <w:r w:rsidRPr="00B24C02">
        <w:rPr>
          <w:rFonts w:cs="Arial"/>
          <w:color w:val="000000"/>
          <w:szCs w:val="19"/>
          <w:lang w:eastAsia="en-AU"/>
        </w:rPr>
        <w:t xml:space="preserve">available on the </w:t>
      </w:r>
      <w:hyperlink r:id="rId233" w:history="1">
        <w:r w:rsidRPr="00314CD0">
          <w:rPr>
            <w:rStyle w:val="Hyperlink"/>
          </w:rPr>
          <w:t>Disability Worker Exclusion Scheme</w:t>
        </w:r>
        <w:r w:rsidRPr="00314CD0">
          <w:rPr>
            <w:rStyle w:val="Hyperlink"/>
            <w:rFonts w:cs="Arial"/>
            <w:szCs w:val="19"/>
            <w:lang w:eastAsia="en-AU"/>
          </w:rPr>
          <w:t xml:space="preserve"> web page</w:t>
        </w:r>
      </w:hyperlink>
      <w:r>
        <w:rPr>
          <w:rFonts w:cs="Arial"/>
          <w:color w:val="000000"/>
          <w:szCs w:val="19"/>
          <w:lang w:eastAsia="en-AU"/>
        </w:rPr>
        <w:t xml:space="preserve"> &lt;</w:t>
      </w:r>
      <w:r w:rsidRPr="008C73CC">
        <w:rPr>
          <w:rFonts w:cs="Arial"/>
          <w:color w:val="000000"/>
          <w:szCs w:val="19"/>
          <w:lang w:eastAsia="en-AU"/>
        </w:rPr>
        <w:t>https://providers.dhhs.vic.gov.au/dis</w:t>
      </w:r>
      <w:r>
        <w:rPr>
          <w:rFonts w:cs="Arial"/>
          <w:color w:val="000000"/>
          <w:szCs w:val="19"/>
          <w:lang w:eastAsia="en-AU"/>
        </w:rPr>
        <w:t>ability-worker-exclusion-scheme&gt;</w:t>
      </w:r>
      <w:r w:rsidRPr="00C9046F">
        <w:rPr>
          <w:rFonts w:cs="Arial"/>
          <w:color w:val="000000"/>
          <w:szCs w:val="19"/>
          <w:lang w:eastAsia="en-AU"/>
        </w:rPr>
        <w:t xml:space="preserve"> </w:t>
      </w:r>
      <w:r w:rsidRPr="00B24C02">
        <w:rPr>
          <w:rFonts w:cs="Arial"/>
          <w:color w:val="000000"/>
          <w:szCs w:val="19"/>
          <w:lang w:eastAsia="en-AU"/>
        </w:rPr>
        <w:t>(external link, opens in a new window).</w:t>
      </w:r>
    </w:p>
    <w:p w14:paraId="02C93D4C" w14:textId="77777777" w:rsidR="007E5806" w:rsidRPr="00276391" w:rsidRDefault="007E5806" w:rsidP="007E5806">
      <w:pPr>
        <w:pStyle w:val="Heading4"/>
        <w:rPr>
          <w:lang w:eastAsia="en-AU"/>
        </w:rPr>
      </w:pPr>
      <w:bookmarkStart w:id="730" w:name="_Toc478992039"/>
      <w:r w:rsidRPr="00276391">
        <w:rPr>
          <w:lang w:eastAsia="en-AU"/>
        </w:rPr>
        <w:t>Qualification check</w:t>
      </w:r>
      <w:bookmarkEnd w:id="730"/>
    </w:p>
    <w:p w14:paraId="7D4142A1" w14:textId="77777777" w:rsidR="007E5806" w:rsidRPr="004309CB" w:rsidRDefault="007E5806" w:rsidP="007E5806">
      <w:pPr>
        <w:pStyle w:val="DHHSbody"/>
        <w:rPr>
          <w:lang w:val="en"/>
        </w:rPr>
      </w:pPr>
      <w:bookmarkStart w:id="731" w:name="_Toc478992040"/>
      <w:r w:rsidRPr="004309CB">
        <w:rPr>
          <w:lang w:val="en"/>
        </w:rPr>
        <w:t>If qualifications are a mandatory requirement of the role, original qualifications must be copied, certified as being a true copy of the original and dated by the relevant delegate then returned to the applicant.</w:t>
      </w:r>
    </w:p>
    <w:p w14:paraId="4BA61945" w14:textId="77777777" w:rsidR="007E5806" w:rsidRPr="004309CB" w:rsidRDefault="007E5806" w:rsidP="007E5806">
      <w:pPr>
        <w:pStyle w:val="DHHSbody"/>
        <w:rPr>
          <w:lang w:val="en"/>
        </w:rPr>
      </w:pPr>
      <w:r w:rsidRPr="004309CB">
        <w:rPr>
          <w:lang w:val="en"/>
        </w:rPr>
        <w:t xml:space="preserve">If there are doubts about the qualification, the </w:t>
      </w:r>
      <w:proofErr w:type="spellStart"/>
      <w:r w:rsidRPr="004309CB">
        <w:rPr>
          <w:lang w:val="en"/>
        </w:rPr>
        <w:t>organisation</w:t>
      </w:r>
      <w:proofErr w:type="spellEnd"/>
      <w:r w:rsidRPr="004309CB">
        <w:rPr>
          <w:lang w:val="en"/>
        </w:rPr>
        <w:t xml:space="preserve"> or </w:t>
      </w:r>
      <w:proofErr w:type="spellStart"/>
      <w:r w:rsidRPr="004309CB">
        <w:rPr>
          <w:lang w:val="en"/>
        </w:rPr>
        <w:t>authorised</w:t>
      </w:r>
      <w:proofErr w:type="spellEnd"/>
      <w:r w:rsidRPr="004309CB">
        <w:rPr>
          <w:lang w:val="en"/>
        </w:rPr>
        <w:t xml:space="preserve"> agency should undertake an online check to verify that the qualification was awarded to the applicant. If an online check is not possible, the applicant should provide a letter from the registrar of the relevant institution confirming that the qualification was in fact awarded to the applicant. If there are any concerns about the authenticity of the qualification as presented, the issuing institution must be contacted directly to verify that the </w:t>
      </w:r>
      <w:proofErr w:type="gramStart"/>
      <w:r w:rsidRPr="004309CB">
        <w:rPr>
          <w:lang w:val="en"/>
        </w:rPr>
        <w:t>particular qualification</w:t>
      </w:r>
      <w:proofErr w:type="gramEnd"/>
      <w:r w:rsidRPr="004309CB">
        <w:rPr>
          <w:lang w:val="en"/>
        </w:rPr>
        <w:t xml:space="preserve"> was completed and issued to the relevant applicant on the date specified.</w:t>
      </w:r>
    </w:p>
    <w:p w14:paraId="3E24435C" w14:textId="77777777" w:rsidR="007E5806" w:rsidRPr="00276391" w:rsidRDefault="007E5806" w:rsidP="007E5806">
      <w:pPr>
        <w:pStyle w:val="Heading4"/>
        <w:rPr>
          <w:lang w:eastAsia="en-AU"/>
        </w:rPr>
      </w:pPr>
      <w:r w:rsidRPr="00276391">
        <w:rPr>
          <w:lang w:eastAsia="en-AU"/>
        </w:rPr>
        <w:t>Working with Children Check</w:t>
      </w:r>
      <w:bookmarkEnd w:id="731"/>
    </w:p>
    <w:p w14:paraId="1038EB5A" w14:textId="77777777" w:rsidR="007E5806" w:rsidRPr="00DE7247" w:rsidRDefault="007E5806" w:rsidP="007E5806">
      <w:pPr>
        <w:pStyle w:val="DHHSbody"/>
        <w:rPr>
          <w:lang w:val="en"/>
        </w:rPr>
      </w:pPr>
      <w:r w:rsidRPr="00DE7247">
        <w:rPr>
          <w:lang w:val="en"/>
        </w:rPr>
        <w:t xml:space="preserve">In 2006, the Victorian Government introduced a checking system which affects some people who work or volunteer with children. The Working with Children Check </w:t>
      </w:r>
      <w:r>
        <w:rPr>
          <w:lang w:val="en"/>
        </w:rPr>
        <w:t xml:space="preserve">(WWCC) </w:t>
      </w:r>
      <w:r w:rsidRPr="00DE7247">
        <w:rPr>
          <w:lang w:val="en"/>
        </w:rPr>
        <w:t xml:space="preserve">helps to protect children from sexual </w:t>
      </w:r>
      <w:r w:rsidRPr="00DE7247">
        <w:rPr>
          <w:lang w:val="en"/>
        </w:rPr>
        <w:lastRenderedPageBreak/>
        <w:t>or physical harm by checking a person's criminal history for serious sexual, violence or drug offences and findings from professional disciplinary bodies. The introduction of the WWC</w:t>
      </w:r>
      <w:r>
        <w:rPr>
          <w:lang w:val="en"/>
        </w:rPr>
        <w:t xml:space="preserve">C </w:t>
      </w:r>
      <w:r w:rsidRPr="00DE7247">
        <w:rPr>
          <w:lang w:val="en"/>
        </w:rPr>
        <w:t xml:space="preserve">creates a mandatory minimum checking standard across Victoria. </w:t>
      </w:r>
      <w:r w:rsidRPr="00DE7247">
        <w:rPr>
          <w:b/>
          <w:bCs/>
          <w:lang w:val="en"/>
        </w:rPr>
        <w:t>Note</w:t>
      </w:r>
      <w:r w:rsidRPr="00DE7247">
        <w:rPr>
          <w:lang w:val="en"/>
        </w:rPr>
        <w:t>: Each state has their own process, they are not transferable interstate.</w:t>
      </w:r>
      <w:r>
        <w:rPr>
          <w:lang w:val="en"/>
        </w:rPr>
        <w:t xml:space="preserve"> </w:t>
      </w:r>
      <w:r w:rsidRPr="00DE7247">
        <w:rPr>
          <w:lang w:val="en"/>
        </w:rPr>
        <w:t>In Victoria</w:t>
      </w:r>
      <w:r>
        <w:rPr>
          <w:lang w:val="en"/>
        </w:rPr>
        <w:t>,</w:t>
      </w:r>
      <w:r w:rsidRPr="00DE7247">
        <w:rPr>
          <w:lang w:val="en"/>
        </w:rPr>
        <w:t xml:space="preserve"> a Victorian WWC</w:t>
      </w:r>
      <w:r>
        <w:rPr>
          <w:lang w:val="en"/>
        </w:rPr>
        <w:t xml:space="preserve">C </w:t>
      </w:r>
      <w:r w:rsidRPr="00DE7247">
        <w:rPr>
          <w:lang w:val="en"/>
        </w:rPr>
        <w:t>is required.</w:t>
      </w:r>
    </w:p>
    <w:p w14:paraId="72A9A7BF" w14:textId="77777777" w:rsidR="007E5806" w:rsidRDefault="007E5806" w:rsidP="007E5806">
      <w:pPr>
        <w:pStyle w:val="DHHSbody"/>
        <w:rPr>
          <w:lang w:val="en"/>
        </w:rPr>
      </w:pPr>
      <w:r w:rsidRPr="00DE7247">
        <w:rPr>
          <w:lang w:val="en"/>
        </w:rPr>
        <w:t xml:space="preserve">Employers, self-employed persons, employees and volunteers all have obligations and responsibilities under the </w:t>
      </w:r>
      <w:r w:rsidRPr="0030463F">
        <w:rPr>
          <w:bCs/>
          <w:i/>
          <w:lang w:val="en"/>
        </w:rPr>
        <w:t>Working with Children Act 2005</w:t>
      </w:r>
      <w:r w:rsidRPr="00DE7247">
        <w:rPr>
          <w:lang w:val="en"/>
        </w:rPr>
        <w:t>. By fulfilling these obligations, Victoria's children will be made safer through the effective operation of the WWC</w:t>
      </w:r>
      <w:r>
        <w:rPr>
          <w:lang w:val="en"/>
        </w:rPr>
        <w:t>C</w:t>
      </w:r>
      <w:r w:rsidRPr="00DE7247">
        <w:rPr>
          <w:lang w:val="en"/>
        </w:rPr>
        <w:t>.</w:t>
      </w:r>
      <w:r w:rsidRPr="00DE7247">
        <w:rPr>
          <w:lang w:val="en"/>
        </w:rPr>
        <w:br/>
        <w:t xml:space="preserve">Funded and registered </w:t>
      </w:r>
      <w:proofErr w:type="spellStart"/>
      <w:r w:rsidRPr="00DE7247">
        <w:rPr>
          <w:lang w:val="en"/>
        </w:rPr>
        <w:t>organisations</w:t>
      </w:r>
      <w:proofErr w:type="spellEnd"/>
      <w:r w:rsidRPr="00DE7247">
        <w:rPr>
          <w:lang w:val="en"/>
        </w:rPr>
        <w:t xml:space="preserve"> are responsible for ensuring that their </w:t>
      </w:r>
      <w:proofErr w:type="spellStart"/>
      <w:r w:rsidRPr="00DE7247">
        <w:rPr>
          <w:lang w:val="en"/>
        </w:rPr>
        <w:t>organisations</w:t>
      </w:r>
      <w:proofErr w:type="spellEnd"/>
      <w:r w:rsidRPr="00DE7247">
        <w:rPr>
          <w:lang w:val="en"/>
        </w:rPr>
        <w:t xml:space="preserve"> comply with this legislation and, </w:t>
      </w:r>
      <w:proofErr w:type="gramStart"/>
      <w:r w:rsidRPr="00DE7247">
        <w:rPr>
          <w:lang w:val="en"/>
        </w:rPr>
        <w:t>in particular that</w:t>
      </w:r>
      <w:proofErr w:type="gramEnd"/>
      <w:r w:rsidRPr="00DE7247">
        <w:rPr>
          <w:lang w:val="en"/>
        </w:rPr>
        <w:t>:</w:t>
      </w:r>
    </w:p>
    <w:p w14:paraId="7195323C" w14:textId="77777777" w:rsidR="007E5806" w:rsidRPr="004309CB" w:rsidRDefault="007E5806" w:rsidP="007E5806">
      <w:pPr>
        <w:pStyle w:val="DHHSbullet1"/>
        <w:numPr>
          <w:ilvl w:val="0"/>
          <w:numId w:val="14"/>
        </w:numPr>
        <w:rPr>
          <w:lang w:val="en"/>
        </w:rPr>
      </w:pPr>
      <w:r w:rsidRPr="004309CB">
        <w:rPr>
          <w:lang w:val="en"/>
        </w:rPr>
        <w:t xml:space="preserve">all employees, </w:t>
      </w:r>
      <w:proofErr w:type="spellStart"/>
      <w:r w:rsidRPr="004309CB">
        <w:rPr>
          <w:lang w:val="en"/>
        </w:rPr>
        <w:t>labour</w:t>
      </w:r>
      <w:proofErr w:type="spellEnd"/>
      <w:r w:rsidRPr="004309CB">
        <w:rPr>
          <w:lang w:val="en"/>
        </w:rPr>
        <w:t xml:space="preserve"> hires, volunteers or students 18 years or over who are required to obtain a WWC</w:t>
      </w:r>
      <w:r>
        <w:rPr>
          <w:lang w:val="en"/>
        </w:rPr>
        <w:t>C</w:t>
      </w:r>
      <w:r w:rsidRPr="004309CB">
        <w:rPr>
          <w:lang w:val="en"/>
        </w:rPr>
        <w:t>, do so</w:t>
      </w:r>
    </w:p>
    <w:p w14:paraId="03B51E90" w14:textId="77777777" w:rsidR="007E5806" w:rsidRPr="004309CB" w:rsidRDefault="007E5806" w:rsidP="007E5806">
      <w:pPr>
        <w:pStyle w:val="DHHSbullet1"/>
        <w:numPr>
          <w:ilvl w:val="0"/>
          <w:numId w:val="14"/>
        </w:numPr>
        <w:rPr>
          <w:lang w:val="en"/>
        </w:rPr>
      </w:pPr>
      <w:r w:rsidRPr="004309CB">
        <w:rPr>
          <w:lang w:val="en"/>
        </w:rPr>
        <w:t xml:space="preserve">employees or volunteers issued with a Negative Notice do not undertake child-related work as defined by the </w:t>
      </w:r>
      <w:r w:rsidRPr="0030463F">
        <w:rPr>
          <w:i/>
          <w:lang w:val="en"/>
        </w:rPr>
        <w:t xml:space="preserve">Working </w:t>
      </w:r>
      <w:proofErr w:type="gramStart"/>
      <w:r w:rsidRPr="0030463F">
        <w:rPr>
          <w:i/>
          <w:lang w:val="en"/>
        </w:rPr>
        <w:t>With</w:t>
      </w:r>
      <w:proofErr w:type="gramEnd"/>
      <w:r w:rsidRPr="0030463F">
        <w:rPr>
          <w:i/>
          <w:lang w:val="en"/>
        </w:rPr>
        <w:t xml:space="preserve"> Children Act 2005</w:t>
      </w:r>
    </w:p>
    <w:p w14:paraId="56622A0A" w14:textId="77777777" w:rsidR="007E5806" w:rsidRPr="004309CB" w:rsidRDefault="007E5806" w:rsidP="007E5806">
      <w:pPr>
        <w:pStyle w:val="DHHSbullet1"/>
        <w:numPr>
          <w:ilvl w:val="0"/>
          <w:numId w:val="14"/>
        </w:numPr>
        <w:rPr>
          <w:lang w:val="en"/>
        </w:rPr>
      </w:pPr>
      <w:r w:rsidRPr="004309CB">
        <w:rPr>
          <w:lang w:val="en"/>
        </w:rPr>
        <w:t>periodically go to the Department of Justice WWC Check website and check the status of all employees and volunteers with WWC Check cards using Check Status function.</w:t>
      </w:r>
    </w:p>
    <w:p w14:paraId="0EF3B686" w14:textId="77777777" w:rsidR="007E5806" w:rsidRPr="00DE7247" w:rsidRDefault="007E5806" w:rsidP="007E5806">
      <w:pPr>
        <w:pStyle w:val="DHHSbody"/>
        <w:rPr>
          <w:lang w:val="en"/>
        </w:rPr>
      </w:pPr>
      <w:r w:rsidRPr="00DE7247">
        <w:rPr>
          <w:lang w:val="en"/>
        </w:rPr>
        <w:t xml:space="preserve">If the employees and volunteers of funded/registered </w:t>
      </w:r>
      <w:proofErr w:type="spellStart"/>
      <w:r w:rsidRPr="00DE7247">
        <w:rPr>
          <w:lang w:val="en"/>
        </w:rPr>
        <w:t>organisations</w:t>
      </w:r>
      <w:proofErr w:type="spellEnd"/>
      <w:r w:rsidRPr="00DE7247">
        <w:rPr>
          <w:lang w:val="en"/>
        </w:rPr>
        <w:t xml:space="preserve"> require a WWC</w:t>
      </w:r>
      <w:r>
        <w:rPr>
          <w:lang w:val="en"/>
        </w:rPr>
        <w:t>C</w:t>
      </w:r>
      <w:r w:rsidRPr="00DE7247">
        <w:rPr>
          <w:lang w:val="en"/>
        </w:rPr>
        <w:t>, they must:</w:t>
      </w:r>
    </w:p>
    <w:p w14:paraId="36ADF3F1" w14:textId="77777777" w:rsidR="007E5806" w:rsidRPr="004309CB" w:rsidRDefault="007E5806" w:rsidP="007E5806">
      <w:pPr>
        <w:pStyle w:val="DHHSbullet1"/>
        <w:numPr>
          <w:ilvl w:val="0"/>
          <w:numId w:val="14"/>
        </w:numPr>
        <w:rPr>
          <w:lang w:val="en"/>
        </w:rPr>
      </w:pPr>
      <w:r w:rsidRPr="004309CB">
        <w:rPr>
          <w:lang w:val="en"/>
        </w:rPr>
        <w:t xml:space="preserve">show their Application Receipt to their employer or volunteer </w:t>
      </w:r>
      <w:proofErr w:type="spellStart"/>
      <w:r w:rsidRPr="004309CB">
        <w:rPr>
          <w:lang w:val="en"/>
        </w:rPr>
        <w:t>organisation</w:t>
      </w:r>
      <w:proofErr w:type="spellEnd"/>
      <w:r w:rsidRPr="004309CB">
        <w:rPr>
          <w:lang w:val="en"/>
        </w:rPr>
        <w:t xml:space="preserve"> upon request as evidence that they have </w:t>
      </w:r>
      <w:proofErr w:type="gramStart"/>
      <w:r w:rsidRPr="004309CB">
        <w:rPr>
          <w:lang w:val="en"/>
        </w:rPr>
        <w:t>submitted an application</w:t>
      </w:r>
      <w:proofErr w:type="gramEnd"/>
    </w:p>
    <w:p w14:paraId="4A744668" w14:textId="77777777" w:rsidR="007E5806" w:rsidRPr="004309CB" w:rsidRDefault="007E5806" w:rsidP="007E5806">
      <w:pPr>
        <w:pStyle w:val="DHHSbullet1"/>
        <w:numPr>
          <w:ilvl w:val="0"/>
          <w:numId w:val="14"/>
        </w:numPr>
        <w:rPr>
          <w:lang w:val="en"/>
        </w:rPr>
      </w:pPr>
      <w:r w:rsidRPr="004309CB">
        <w:rPr>
          <w:lang w:val="en"/>
        </w:rPr>
        <w:t>present their WWC</w:t>
      </w:r>
      <w:r>
        <w:rPr>
          <w:lang w:val="en"/>
        </w:rPr>
        <w:t>C</w:t>
      </w:r>
      <w:r w:rsidRPr="004309CB">
        <w:rPr>
          <w:lang w:val="en"/>
        </w:rPr>
        <w:t xml:space="preserve"> card to their employer or volunteer </w:t>
      </w:r>
      <w:proofErr w:type="spellStart"/>
      <w:r w:rsidRPr="004309CB">
        <w:rPr>
          <w:lang w:val="en"/>
        </w:rPr>
        <w:t>organisation</w:t>
      </w:r>
      <w:proofErr w:type="spellEnd"/>
      <w:r w:rsidRPr="004309CB">
        <w:rPr>
          <w:lang w:val="en"/>
        </w:rPr>
        <w:t xml:space="preserve"> on request or when applying for child-related work</w:t>
      </w:r>
    </w:p>
    <w:p w14:paraId="69BDE629" w14:textId="77777777" w:rsidR="007E5806" w:rsidRPr="004309CB" w:rsidRDefault="007E5806" w:rsidP="007E5806">
      <w:pPr>
        <w:pStyle w:val="DHHSbullet1"/>
        <w:numPr>
          <w:ilvl w:val="0"/>
          <w:numId w:val="14"/>
        </w:numPr>
        <w:rPr>
          <w:lang w:val="en"/>
        </w:rPr>
      </w:pPr>
      <w:r w:rsidRPr="004309CB">
        <w:rPr>
          <w:lang w:val="en"/>
        </w:rPr>
        <w:t xml:space="preserve">inform their employer or volunteer </w:t>
      </w:r>
      <w:proofErr w:type="spellStart"/>
      <w:r w:rsidRPr="004309CB">
        <w:rPr>
          <w:lang w:val="en"/>
        </w:rPr>
        <w:t>organisation</w:t>
      </w:r>
      <w:proofErr w:type="spellEnd"/>
      <w:r w:rsidRPr="004309CB">
        <w:rPr>
          <w:lang w:val="en"/>
        </w:rPr>
        <w:t xml:space="preserve"> within seven days if they have been issued with an Interim Negative Notice or Negative Notice, or if they have a relevant change in circumstances</w:t>
      </w:r>
    </w:p>
    <w:p w14:paraId="35339FB1" w14:textId="77777777" w:rsidR="007E5806" w:rsidRPr="004309CB" w:rsidRDefault="007E5806" w:rsidP="007E5806">
      <w:pPr>
        <w:pStyle w:val="DHHSbullet1"/>
        <w:numPr>
          <w:ilvl w:val="0"/>
          <w:numId w:val="14"/>
        </w:numPr>
        <w:rPr>
          <w:lang w:val="en"/>
        </w:rPr>
      </w:pPr>
      <w:r w:rsidRPr="004309CB">
        <w:rPr>
          <w:lang w:val="en"/>
        </w:rPr>
        <w:t>not engage in child-related work if they have been issued with a Negative Notice</w:t>
      </w:r>
    </w:p>
    <w:p w14:paraId="18821941" w14:textId="77777777" w:rsidR="007E5806" w:rsidRPr="004309CB" w:rsidRDefault="007E5806" w:rsidP="007E5806">
      <w:pPr>
        <w:pStyle w:val="DHHSbullet1"/>
        <w:numPr>
          <w:ilvl w:val="0"/>
          <w:numId w:val="14"/>
        </w:numPr>
        <w:rPr>
          <w:lang w:val="en"/>
        </w:rPr>
      </w:pPr>
      <w:r w:rsidRPr="004309CB">
        <w:rPr>
          <w:lang w:val="en"/>
        </w:rPr>
        <w:t xml:space="preserve">ensure the accuracy of their personal details and employer or volunteer </w:t>
      </w:r>
      <w:proofErr w:type="spellStart"/>
      <w:r w:rsidRPr="004309CB">
        <w:rPr>
          <w:lang w:val="en"/>
        </w:rPr>
        <w:t>organisation</w:t>
      </w:r>
      <w:proofErr w:type="spellEnd"/>
      <w:r w:rsidRPr="004309CB">
        <w:rPr>
          <w:lang w:val="en"/>
        </w:rPr>
        <w:t xml:space="preserve"> information </w:t>
      </w:r>
      <w:proofErr w:type="gramStart"/>
      <w:r w:rsidRPr="004309CB">
        <w:rPr>
          <w:lang w:val="en"/>
        </w:rPr>
        <w:t>through the use of</w:t>
      </w:r>
      <w:proofErr w:type="gramEnd"/>
      <w:r w:rsidRPr="004309CB">
        <w:rPr>
          <w:lang w:val="en"/>
        </w:rPr>
        <w:t xml:space="preserve"> the online </w:t>
      </w:r>
      <w:proofErr w:type="spellStart"/>
      <w:r w:rsidRPr="004309CB">
        <w:rPr>
          <w:lang w:val="en"/>
        </w:rPr>
        <w:t>MyCheck</w:t>
      </w:r>
      <w:proofErr w:type="spellEnd"/>
      <w:r w:rsidRPr="004309CB">
        <w:rPr>
          <w:lang w:val="en"/>
        </w:rPr>
        <w:t xml:space="preserve">/Change of Details function on the Department of Justice </w:t>
      </w:r>
      <w:r>
        <w:rPr>
          <w:lang w:val="en"/>
        </w:rPr>
        <w:t xml:space="preserve">and Regulation </w:t>
      </w:r>
      <w:r w:rsidRPr="004309CB">
        <w:rPr>
          <w:lang w:val="en"/>
        </w:rPr>
        <w:t>WWCC website.</w:t>
      </w:r>
    </w:p>
    <w:p w14:paraId="520F7ED2" w14:textId="77777777" w:rsidR="007E5806" w:rsidRPr="00276391" w:rsidRDefault="007E5806" w:rsidP="007E5806">
      <w:pPr>
        <w:pStyle w:val="DHHSbody"/>
        <w:rPr>
          <w:lang w:eastAsia="en-AU"/>
        </w:rPr>
      </w:pPr>
      <w:r w:rsidRPr="00B24C02">
        <w:rPr>
          <w:rFonts w:cs="Arial"/>
          <w:color w:val="000000"/>
          <w:szCs w:val="19"/>
          <w:lang w:eastAsia="en-AU"/>
        </w:rPr>
        <w:t xml:space="preserve">For a full and complete list of all obligations or for further information refer to the </w:t>
      </w:r>
      <w:hyperlink r:id="rId234" w:history="1">
        <w:r w:rsidRPr="00C9046F">
          <w:rPr>
            <w:rStyle w:val="Hyperlink"/>
            <w:rFonts w:cs="Arial"/>
            <w:szCs w:val="19"/>
            <w:lang w:eastAsia="en-AU"/>
          </w:rPr>
          <w:t>Working with Children website</w:t>
        </w:r>
      </w:hyperlink>
      <w:r w:rsidRPr="00B24C02">
        <w:rPr>
          <w:rFonts w:cs="Arial"/>
          <w:color w:val="000000"/>
          <w:szCs w:val="19"/>
          <w:lang w:eastAsia="en-AU"/>
        </w:rPr>
        <w:t xml:space="preserve"> </w:t>
      </w:r>
      <w:r>
        <w:rPr>
          <w:rFonts w:cs="Arial"/>
          <w:color w:val="000000"/>
          <w:szCs w:val="19"/>
          <w:lang w:eastAsia="en-AU"/>
        </w:rPr>
        <w:t>&lt;</w:t>
      </w:r>
      <w:r w:rsidRPr="00C9046F">
        <w:t>www.justice.vic.gov.au/workingwithchildren</w:t>
      </w:r>
      <w:r>
        <w:t>&gt;</w:t>
      </w:r>
      <w:r w:rsidRPr="00B24C02">
        <w:rPr>
          <w:rFonts w:cs="Arial"/>
          <w:color w:val="000000"/>
          <w:szCs w:val="19"/>
          <w:lang w:eastAsia="en-AU"/>
        </w:rPr>
        <w:t xml:space="preserve"> (external link, opens in a new window).</w:t>
      </w:r>
    </w:p>
    <w:p w14:paraId="37811E93" w14:textId="77777777" w:rsidR="007E5806" w:rsidRDefault="007E5806" w:rsidP="007E5806">
      <w:pPr>
        <w:pStyle w:val="DHHSbody"/>
        <w:rPr>
          <w:lang w:val="en"/>
        </w:rPr>
      </w:pPr>
      <w:bookmarkStart w:id="732" w:name="_Toc478992041"/>
      <w:r w:rsidRPr="004309CB">
        <w:rPr>
          <w:lang w:val="en"/>
        </w:rPr>
        <w:t xml:space="preserve">From 1 July 2006, </w:t>
      </w:r>
      <w:proofErr w:type="spellStart"/>
      <w:r w:rsidRPr="004309CB">
        <w:rPr>
          <w:lang w:val="en"/>
        </w:rPr>
        <w:t>organisations</w:t>
      </w:r>
      <w:proofErr w:type="spellEnd"/>
      <w:r w:rsidRPr="004309CB">
        <w:rPr>
          <w:lang w:val="en"/>
        </w:rPr>
        <w:t xml:space="preserve"> receiving funding from the </w:t>
      </w:r>
      <w:r>
        <w:rPr>
          <w:lang w:val="en"/>
        </w:rPr>
        <w:t>department</w:t>
      </w:r>
      <w:r w:rsidRPr="004309CB">
        <w:rPr>
          <w:lang w:val="en"/>
        </w:rPr>
        <w:t xml:space="preserve"> are responsible for ensuring that employees or volunteers undergo a Working with Children Check if required. Section 9 of the Working with Children Act 2005 identifies which employees or volunteers require a WWC</w:t>
      </w:r>
      <w:r>
        <w:rPr>
          <w:lang w:val="en"/>
        </w:rPr>
        <w:t>C</w:t>
      </w:r>
      <w:r w:rsidRPr="004309CB">
        <w:rPr>
          <w:lang w:val="en"/>
        </w:rPr>
        <w:t xml:space="preserve">. </w:t>
      </w:r>
      <w:r>
        <w:rPr>
          <w:lang w:val="en"/>
        </w:rPr>
        <w:t xml:space="preserve">Employees and volunteers must ensure that the contact details for any </w:t>
      </w:r>
      <w:r w:rsidRPr="004309CB">
        <w:rPr>
          <w:lang w:val="en"/>
        </w:rPr>
        <w:t xml:space="preserve">funded/registered </w:t>
      </w:r>
      <w:proofErr w:type="spellStart"/>
      <w:r w:rsidRPr="004309CB">
        <w:rPr>
          <w:lang w:val="en"/>
        </w:rPr>
        <w:t>organisation</w:t>
      </w:r>
      <w:r>
        <w:rPr>
          <w:lang w:val="en"/>
        </w:rPr>
        <w:t>s</w:t>
      </w:r>
      <w:proofErr w:type="spellEnd"/>
      <w:r>
        <w:rPr>
          <w:lang w:val="en"/>
        </w:rPr>
        <w:t xml:space="preserve"> for whom they work/volunteer </w:t>
      </w:r>
      <w:r w:rsidRPr="004309CB">
        <w:rPr>
          <w:lang w:val="en"/>
        </w:rPr>
        <w:t>should be in the employer section in the WWC</w:t>
      </w:r>
      <w:r>
        <w:rPr>
          <w:lang w:val="en"/>
        </w:rPr>
        <w:t>C</w:t>
      </w:r>
      <w:r w:rsidRPr="004309CB">
        <w:rPr>
          <w:lang w:val="en"/>
        </w:rPr>
        <w:t xml:space="preserve"> application form.</w:t>
      </w:r>
    </w:p>
    <w:p w14:paraId="6F7EB089" w14:textId="77777777" w:rsidR="007E5806" w:rsidRPr="00DE40B9" w:rsidRDefault="007E5806" w:rsidP="007E5806">
      <w:pPr>
        <w:pStyle w:val="DHHSbody"/>
        <w:rPr>
          <w:rFonts w:cs="Arial"/>
          <w:color w:val="065A7D"/>
          <w:lang w:val="en" w:eastAsia="en-AU"/>
        </w:rPr>
      </w:pPr>
      <w:r>
        <w:rPr>
          <w:lang w:val="en"/>
        </w:rPr>
        <w:t xml:space="preserve"> </w:t>
      </w:r>
      <w:r>
        <w:rPr>
          <w:rFonts w:cs="Arial"/>
          <w:color w:val="000000"/>
          <w:szCs w:val="19"/>
          <w:lang w:eastAsia="en-AU"/>
        </w:rPr>
        <w:t xml:space="preserve">All organisations receiving funding from the department must visit the Working </w:t>
      </w:r>
      <w:proofErr w:type="gramStart"/>
      <w:r>
        <w:rPr>
          <w:rFonts w:cs="Arial"/>
          <w:color w:val="000000"/>
          <w:szCs w:val="19"/>
          <w:lang w:eastAsia="en-AU"/>
        </w:rPr>
        <w:t>With</w:t>
      </w:r>
      <w:proofErr w:type="gramEnd"/>
      <w:r>
        <w:rPr>
          <w:rFonts w:cs="Arial"/>
          <w:color w:val="000000"/>
          <w:szCs w:val="19"/>
          <w:lang w:eastAsia="en-AU"/>
        </w:rPr>
        <w:t xml:space="preserve"> Children website in order to understand their obligations in full, in particular </w:t>
      </w:r>
      <w:r w:rsidRPr="00995F91">
        <w:rPr>
          <w:rFonts w:cs="Arial"/>
          <w:szCs w:val="19"/>
          <w:lang w:eastAsia="en-AU"/>
        </w:rPr>
        <w:t xml:space="preserve">the </w:t>
      </w:r>
      <w:r w:rsidRPr="00995F91">
        <w:rPr>
          <w:lang w:val="en"/>
        </w:rPr>
        <w:t>a</w:t>
      </w:r>
      <w:r w:rsidRPr="00995F91">
        <w:rPr>
          <w:rFonts w:cs="Arial"/>
          <w:lang w:val="en" w:eastAsia="en-AU"/>
        </w:rPr>
        <w:t>mendments to the </w:t>
      </w:r>
      <w:r w:rsidRPr="00995F91">
        <w:rPr>
          <w:rFonts w:cs="Arial"/>
          <w:i/>
          <w:iCs/>
          <w:lang w:val="en" w:eastAsia="en-AU"/>
        </w:rPr>
        <w:t>Working with Children Act 2005</w:t>
      </w:r>
      <w:r w:rsidRPr="00995F91">
        <w:rPr>
          <w:rFonts w:cs="Arial"/>
          <w:lang w:val="en" w:eastAsia="en-AU"/>
        </w:rPr>
        <w:t> (the Act) which came into effect on 1 August 2017</w:t>
      </w:r>
      <w:r>
        <w:rPr>
          <w:rFonts w:cs="Arial"/>
          <w:lang w:val="en" w:eastAsia="en-AU"/>
        </w:rPr>
        <w:t>.</w:t>
      </w:r>
    </w:p>
    <w:p w14:paraId="6A476E61" w14:textId="77777777" w:rsidR="007E5806" w:rsidRPr="00DE40B9" w:rsidRDefault="007E5806" w:rsidP="007E5806">
      <w:pPr>
        <w:spacing w:before="120" w:after="120"/>
        <w:rPr>
          <w:rFonts w:ascii="Arial" w:hAnsi="Arial" w:cs="Arial"/>
          <w:color w:val="000000"/>
          <w:lang w:val="en" w:eastAsia="en-AU"/>
        </w:rPr>
      </w:pPr>
      <w:r w:rsidRPr="00DE40B9">
        <w:rPr>
          <w:rFonts w:ascii="Arial" w:hAnsi="Arial" w:cs="Arial"/>
          <w:color w:val="000000"/>
          <w:lang w:val="en" w:eastAsia="en-AU"/>
        </w:rPr>
        <w:t>The Royal Commission into Institutional Responses to Child Sexual Abuse made several recommendations aimed at strengthening the protection children receive through Working with Children Checks. The following amendments to the Act implement these recommendations:</w:t>
      </w:r>
    </w:p>
    <w:p w14:paraId="51626DC2" w14:textId="77777777" w:rsidR="007E5806" w:rsidRPr="00DE40B9" w:rsidRDefault="007E5806" w:rsidP="007E5806">
      <w:pPr>
        <w:numPr>
          <w:ilvl w:val="0"/>
          <w:numId w:val="21"/>
        </w:numPr>
        <w:spacing w:before="100" w:beforeAutospacing="1" w:after="100" w:afterAutospacing="1"/>
        <w:ind w:left="375"/>
        <w:rPr>
          <w:rFonts w:ascii="Arial" w:hAnsi="Arial" w:cs="Arial"/>
          <w:color w:val="000000"/>
          <w:lang w:val="en" w:eastAsia="en-AU"/>
        </w:rPr>
      </w:pPr>
      <w:r w:rsidRPr="00DE40B9">
        <w:rPr>
          <w:rFonts w:ascii="Arial" w:hAnsi="Arial" w:cs="Arial"/>
          <w:color w:val="000000"/>
          <w:lang w:val="en" w:eastAsia="en-AU"/>
        </w:rPr>
        <w:t>Expand</w:t>
      </w:r>
      <w:r>
        <w:rPr>
          <w:rFonts w:ascii="Arial" w:hAnsi="Arial" w:cs="Arial"/>
          <w:color w:val="000000"/>
          <w:lang w:val="en" w:eastAsia="en-AU"/>
        </w:rPr>
        <w:t>ing</w:t>
      </w:r>
      <w:r w:rsidRPr="00DE40B9">
        <w:rPr>
          <w:rFonts w:ascii="Arial" w:hAnsi="Arial" w:cs="Arial"/>
          <w:color w:val="000000"/>
          <w:lang w:val="en" w:eastAsia="en-AU"/>
        </w:rPr>
        <w:t xml:space="preserve"> the definition of ‘</w:t>
      </w:r>
      <w:r w:rsidRPr="00DE40B9">
        <w:rPr>
          <w:rFonts w:ascii="Arial" w:hAnsi="Arial" w:cs="Arial"/>
          <w:b/>
          <w:bCs/>
          <w:color w:val="000000"/>
          <w:lang w:val="en" w:eastAsia="en-AU"/>
        </w:rPr>
        <w:t>direct contact</w:t>
      </w:r>
      <w:r w:rsidRPr="00DE40B9">
        <w:rPr>
          <w:rFonts w:ascii="Arial" w:hAnsi="Arial" w:cs="Arial"/>
          <w:color w:val="000000"/>
          <w:lang w:val="en" w:eastAsia="en-AU"/>
        </w:rPr>
        <w:t>’ in the Act. The definition of direct contact now includes oral, written or electronic communication as well as face-to-face and physical contact.</w:t>
      </w:r>
    </w:p>
    <w:p w14:paraId="4819823E" w14:textId="77777777" w:rsidR="007E5806" w:rsidRPr="00DE40B9" w:rsidRDefault="007E5806" w:rsidP="007E5806">
      <w:pPr>
        <w:numPr>
          <w:ilvl w:val="0"/>
          <w:numId w:val="21"/>
        </w:numPr>
        <w:spacing w:before="100" w:beforeAutospacing="1" w:after="100" w:afterAutospacing="1"/>
        <w:ind w:left="375"/>
        <w:rPr>
          <w:rFonts w:ascii="Arial" w:hAnsi="Arial" w:cs="Arial"/>
          <w:color w:val="000000"/>
          <w:lang w:val="en" w:eastAsia="en-AU"/>
        </w:rPr>
      </w:pPr>
      <w:r w:rsidRPr="00DE40B9">
        <w:rPr>
          <w:rFonts w:ascii="Arial" w:hAnsi="Arial" w:cs="Arial"/>
          <w:color w:val="000000"/>
          <w:lang w:val="en" w:eastAsia="en-AU"/>
        </w:rPr>
        <w:t>Remov</w:t>
      </w:r>
      <w:r>
        <w:rPr>
          <w:rFonts w:ascii="Arial" w:hAnsi="Arial" w:cs="Arial"/>
          <w:color w:val="000000"/>
          <w:lang w:val="en" w:eastAsia="en-AU"/>
        </w:rPr>
        <w:t xml:space="preserve">ing </w:t>
      </w:r>
      <w:r w:rsidRPr="00DE40B9">
        <w:rPr>
          <w:rFonts w:ascii="Arial" w:hAnsi="Arial" w:cs="Arial"/>
          <w:color w:val="000000"/>
          <w:lang w:val="en" w:eastAsia="en-AU"/>
        </w:rPr>
        <w:t>references to ‘</w:t>
      </w:r>
      <w:r w:rsidRPr="00DE40B9">
        <w:rPr>
          <w:rFonts w:ascii="Arial" w:hAnsi="Arial" w:cs="Arial"/>
          <w:b/>
          <w:bCs/>
          <w:color w:val="000000"/>
          <w:lang w:val="en" w:eastAsia="en-AU"/>
        </w:rPr>
        <w:t>supervision</w:t>
      </w:r>
      <w:r w:rsidRPr="00DE40B9">
        <w:rPr>
          <w:rFonts w:ascii="Arial" w:hAnsi="Arial" w:cs="Arial"/>
          <w:color w:val="000000"/>
          <w:lang w:val="en" w:eastAsia="en-AU"/>
        </w:rPr>
        <w:t xml:space="preserve">’ from the Act. This means that even if a person’s contact with children as part of their child-related work is supervised by another person, they will still need to apply for a </w:t>
      </w:r>
      <w:r>
        <w:rPr>
          <w:rFonts w:ascii="Arial" w:hAnsi="Arial" w:cs="Arial"/>
          <w:color w:val="000000"/>
          <w:lang w:val="en" w:eastAsia="en-AU"/>
        </w:rPr>
        <w:t>WWCC.</w:t>
      </w:r>
    </w:p>
    <w:p w14:paraId="15A66B67" w14:textId="77777777" w:rsidR="007E5806" w:rsidRPr="00DE40B9" w:rsidRDefault="007E5806" w:rsidP="007E5806">
      <w:pPr>
        <w:numPr>
          <w:ilvl w:val="0"/>
          <w:numId w:val="21"/>
        </w:numPr>
        <w:spacing w:before="100" w:beforeAutospacing="1" w:after="100" w:afterAutospacing="1"/>
        <w:ind w:left="375"/>
        <w:rPr>
          <w:rFonts w:ascii="Arial" w:hAnsi="Arial" w:cs="Arial"/>
          <w:color w:val="000000"/>
          <w:lang w:val="en" w:eastAsia="en-AU"/>
        </w:rPr>
      </w:pPr>
      <w:r w:rsidRPr="00DE40B9">
        <w:rPr>
          <w:rFonts w:ascii="Arial" w:hAnsi="Arial" w:cs="Arial"/>
          <w:color w:val="000000"/>
          <w:lang w:val="en" w:eastAsia="en-AU"/>
        </w:rPr>
        <w:t>Creat</w:t>
      </w:r>
      <w:r>
        <w:rPr>
          <w:rFonts w:ascii="Arial" w:hAnsi="Arial" w:cs="Arial"/>
          <w:color w:val="000000"/>
          <w:lang w:val="en" w:eastAsia="en-AU"/>
        </w:rPr>
        <w:t xml:space="preserve">ing </w:t>
      </w:r>
      <w:r w:rsidRPr="00DE40B9">
        <w:rPr>
          <w:rFonts w:ascii="Arial" w:hAnsi="Arial" w:cs="Arial"/>
          <w:color w:val="000000"/>
          <w:lang w:val="en" w:eastAsia="en-AU"/>
        </w:rPr>
        <w:t xml:space="preserve">a new occupational category of ‘child-related work’, known as ‘kinship care’. Family members or other persons of significance caring for a child placed by Child Protection under the </w:t>
      </w:r>
      <w:r w:rsidRPr="00DE40B9">
        <w:rPr>
          <w:rFonts w:ascii="Arial" w:hAnsi="Arial" w:cs="Arial"/>
          <w:i/>
          <w:iCs/>
          <w:color w:val="000000"/>
          <w:lang w:val="en" w:eastAsia="en-AU"/>
        </w:rPr>
        <w:t>Children, Youth and Families Act 2005</w:t>
      </w:r>
      <w:r w:rsidRPr="00DE40B9">
        <w:rPr>
          <w:rFonts w:ascii="Arial" w:hAnsi="Arial" w:cs="Arial"/>
          <w:color w:val="000000"/>
          <w:lang w:val="en" w:eastAsia="en-AU"/>
        </w:rPr>
        <w:t xml:space="preserve"> are required to obtain a Check.</w:t>
      </w:r>
    </w:p>
    <w:p w14:paraId="2C7310F5" w14:textId="77777777" w:rsidR="007E5806" w:rsidRPr="00DE40B9" w:rsidRDefault="007E5806" w:rsidP="007E5806">
      <w:pPr>
        <w:numPr>
          <w:ilvl w:val="0"/>
          <w:numId w:val="21"/>
        </w:numPr>
        <w:spacing w:before="100" w:beforeAutospacing="1" w:after="100" w:afterAutospacing="1"/>
        <w:ind w:left="375"/>
        <w:rPr>
          <w:rFonts w:ascii="Arial" w:hAnsi="Arial" w:cs="Arial"/>
          <w:color w:val="000000"/>
          <w:lang w:val="en" w:eastAsia="en-AU"/>
        </w:rPr>
      </w:pPr>
      <w:r w:rsidRPr="00DE40B9">
        <w:rPr>
          <w:rFonts w:ascii="Arial" w:hAnsi="Arial" w:cs="Arial"/>
          <w:color w:val="000000"/>
          <w:lang w:val="en" w:eastAsia="en-AU"/>
        </w:rPr>
        <w:lastRenderedPageBreak/>
        <w:t>Ensur</w:t>
      </w:r>
      <w:r>
        <w:rPr>
          <w:rFonts w:ascii="Arial" w:hAnsi="Arial" w:cs="Arial"/>
          <w:color w:val="000000"/>
          <w:lang w:val="en" w:eastAsia="en-AU"/>
        </w:rPr>
        <w:t xml:space="preserve">ing </w:t>
      </w:r>
      <w:r w:rsidRPr="00DE40B9">
        <w:rPr>
          <w:rFonts w:ascii="Arial" w:hAnsi="Arial" w:cs="Arial"/>
          <w:color w:val="000000"/>
          <w:lang w:val="en" w:eastAsia="en-AU"/>
        </w:rPr>
        <w:t>that non-conviction charges (charges that have been finally dealt with other than by a conviction or finding of guilt) for serious sexual, violent or drug offences are considered as part of Check assessments and re-assessments.</w:t>
      </w:r>
    </w:p>
    <w:p w14:paraId="555E45DE" w14:textId="77777777" w:rsidR="007E5806" w:rsidRPr="00DE40B9" w:rsidRDefault="007E5806" w:rsidP="007E5806">
      <w:pPr>
        <w:numPr>
          <w:ilvl w:val="0"/>
          <w:numId w:val="21"/>
        </w:numPr>
        <w:spacing w:before="100" w:beforeAutospacing="1" w:after="100" w:afterAutospacing="1"/>
        <w:ind w:left="375"/>
        <w:rPr>
          <w:rFonts w:ascii="Arial" w:hAnsi="Arial" w:cs="Arial"/>
          <w:color w:val="000000"/>
          <w:lang w:val="en" w:eastAsia="en-AU"/>
        </w:rPr>
      </w:pPr>
      <w:r w:rsidRPr="00DE40B9">
        <w:rPr>
          <w:rFonts w:ascii="Arial" w:hAnsi="Arial" w:cs="Arial"/>
          <w:color w:val="000000"/>
          <w:lang w:val="en" w:eastAsia="en-AU"/>
        </w:rPr>
        <w:t>Enabl</w:t>
      </w:r>
      <w:r>
        <w:rPr>
          <w:rFonts w:ascii="Arial" w:hAnsi="Arial" w:cs="Arial"/>
          <w:color w:val="000000"/>
          <w:lang w:val="en" w:eastAsia="en-AU"/>
        </w:rPr>
        <w:t>ing</w:t>
      </w:r>
      <w:r w:rsidRPr="00DE40B9">
        <w:rPr>
          <w:rFonts w:ascii="Arial" w:hAnsi="Arial" w:cs="Arial"/>
          <w:color w:val="000000"/>
          <w:lang w:val="en" w:eastAsia="en-AU"/>
        </w:rPr>
        <w:t xml:space="preserve"> the Secretary to the Department of Justice and Regulation to compel the production of certain information for the purposes of compliance monitoring.</w:t>
      </w:r>
    </w:p>
    <w:p w14:paraId="1CAB3EB3" w14:textId="060EE762" w:rsidR="007E5806" w:rsidRPr="00276391" w:rsidRDefault="007E5806" w:rsidP="007E5806">
      <w:pPr>
        <w:pStyle w:val="DHHSbody"/>
        <w:rPr>
          <w:lang w:eastAsia="en-AU"/>
        </w:rPr>
      </w:pPr>
      <w:proofErr w:type="spellStart"/>
      <w:r w:rsidRPr="00F42804">
        <w:rPr>
          <w:rFonts w:cs="Arial"/>
          <w:color w:val="000000"/>
          <w:lang w:val="en"/>
        </w:rPr>
        <w:t>Organisations</w:t>
      </w:r>
      <w:proofErr w:type="spellEnd"/>
      <w:r w:rsidRPr="00F42804">
        <w:rPr>
          <w:rFonts w:cs="Arial"/>
          <w:color w:val="000000"/>
          <w:lang w:val="en"/>
        </w:rPr>
        <w:t xml:space="preserve"> must comply with the </w:t>
      </w:r>
      <w:hyperlink r:id="rId235" w:tgtFrame="_blank" w:tooltip="External link, opens in a new window" w:history="1">
        <w:r w:rsidRPr="00A5052C">
          <w:rPr>
            <w:rStyle w:val="Hyperlink"/>
          </w:rPr>
          <w:t>Child Safe Standards</w:t>
        </w:r>
      </w:hyperlink>
      <w:r w:rsidRPr="00F42804">
        <w:rPr>
          <w:rFonts w:cs="Arial"/>
          <w:color w:val="000000"/>
          <w:lang w:val="en"/>
        </w:rPr>
        <w:t> </w:t>
      </w:r>
      <w:r>
        <w:rPr>
          <w:rFonts w:cs="Arial"/>
          <w:color w:val="000000"/>
          <w:lang w:val="en"/>
        </w:rPr>
        <w:t>&lt;</w:t>
      </w:r>
      <w:hyperlink r:id="rId236" w:history="1">
        <w:r w:rsidRPr="00F56CD3">
          <w:rPr>
            <w:rStyle w:val="Hyperlink"/>
            <w:rFonts w:cs="Arial"/>
            <w:color w:val="000000" w:themeColor="text1"/>
            <w:lang w:val="en"/>
          </w:rPr>
          <w:t>https://ccyp.vic.gov.au/child-safety/being-a-child-safe-organisation/the-child-safe-standards/</w:t>
        </w:r>
      </w:hyperlink>
      <w:r>
        <w:rPr>
          <w:rStyle w:val="Hyperlink"/>
          <w:rFonts w:cs="Arial"/>
          <w:color w:val="000000" w:themeColor="text1"/>
          <w:lang w:val="en"/>
        </w:rPr>
        <w:t>&gt;</w:t>
      </w:r>
      <w:r>
        <w:rPr>
          <w:rFonts w:cs="Arial"/>
          <w:color w:val="000000"/>
          <w:lang w:val="en"/>
        </w:rPr>
        <w:t xml:space="preserve"> (external link, opens in a new window) </w:t>
      </w:r>
      <w:r w:rsidRPr="00F42804">
        <w:rPr>
          <w:rFonts w:cs="Arial"/>
          <w:color w:val="000000"/>
          <w:lang w:val="en"/>
        </w:rPr>
        <w:t>that have been introduced as part of the Victorian Government's response to the </w:t>
      </w:r>
      <w:hyperlink r:id="rId237" w:tgtFrame="_blank" w:tooltip="External link, opens in a new window" w:history="1">
        <w:r w:rsidRPr="00A5052C">
          <w:rPr>
            <w:rStyle w:val="Hyperlink"/>
          </w:rPr>
          <w:t>Betrayal of Trust Inquiry</w:t>
        </w:r>
      </w:hyperlink>
      <w:r>
        <w:rPr>
          <w:rFonts w:cs="Arial"/>
          <w:color w:val="000000"/>
          <w:lang w:val="en"/>
        </w:rPr>
        <w:t xml:space="preserve"> &lt;</w:t>
      </w:r>
      <w:r w:rsidRPr="004E4F7C">
        <w:rPr>
          <w:rFonts w:cs="Arial"/>
          <w:color w:val="000000"/>
          <w:lang w:val="en"/>
        </w:rPr>
        <w:t>https://www.parliament.vic.gov.au/fcdc/article/1788</w:t>
      </w:r>
      <w:r>
        <w:rPr>
          <w:rFonts w:cs="Arial"/>
          <w:color w:val="000000"/>
          <w:lang w:val="en"/>
        </w:rPr>
        <w:t>&gt; (external link, opens in a new window)</w:t>
      </w:r>
      <w:r w:rsidRPr="00F42804">
        <w:rPr>
          <w:rFonts w:cs="Arial"/>
          <w:color w:val="000000"/>
          <w:lang w:val="en"/>
        </w:rPr>
        <w:t>. These are compulsory minimum standards under the </w:t>
      </w:r>
      <w:r w:rsidRPr="00F42804">
        <w:rPr>
          <w:rStyle w:val="Emphasis"/>
          <w:rFonts w:cs="Arial"/>
          <w:color w:val="000000"/>
          <w:lang w:val="en"/>
        </w:rPr>
        <w:t>Child Wellbeing and Safety Act 2005</w:t>
      </w:r>
      <w:r w:rsidRPr="00F42804">
        <w:rPr>
          <w:rFonts w:cs="Arial"/>
          <w:color w:val="000000"/>
          <w:lang w:val="en"/>
        </w:rPr>
        <w:t xml:space="preserve"> that apply to </w:t>
      </w:r>
      <w:proofErr w:type="spellStart"/>
      <w:r w:rsidRPr="00F42804">
        <w:rPr>
          <w:rFonts w:cs="Arial"/>
          <w:color w:val="000000"/>
          <w:lang w:val="en"/>
        </w:rPr>
        <w:t>organisations</w:t>
      </w:r>
      <w:proofErr w:type="spellEnd"/>
      <w:r w:rsidRPr="00F42804">
        <w:rPr>
          <w:rFonts w:cs="Arial"/>
          <w:color w:val="000000"/>
          <w:lang w:val="en"/>
        </w:rPr>
        <w:t xml:space="preserve"> that provide services for children. The standards help ensure the safety of children. </w:t>
      </w:r>
      <w:proofErr w:type="spellStart"/>
      <w:r w:rsidRPr="00F42804">
        <w:rPr>
          <w:rFonts w:cs="Arial"/>
          <w:color w:val="000000"/>
          <w:lang w:val="en"/>
        </w:rPr>
        <w:t>Organisations</w:t>
      </w:r>
      <w:proofErr w:type="spellEnd"/>
      <w:r w:rsidRPr="00F42804">
        <w:rPr>
          <w:rFonts w:cs="Arial"/>
          <w:color w:val="000000"/>
          <w:lang w:val="en"/>
        </w:rPr>
        <w:t xml:space="preserve"> must also comply with the </w:t>
      </w:r>
      <w:hyperlink r:id="rId238" w:tgtFrame="_blank" w:tooltip="External link, opens in a new window" w:history="1">
        <w:r w:rsidRPr="00A5052C">
          <w:rPr>
            <w:rStyle w:val="Hyperlink"/>
          </w:rPr>
          <w:t>Reportable conduct scheme</w:t>
        </w:r>
      </w:hyperlink>
      <w:r w:rsidRPr="00F42804">
        <w:rPr>
          <w:rFonts w:cs="Arial"/>
          <w:color w:val="000000"/>
          <w:lang w:val="en"/>
        </w:rPr>
        <w:t> </w:t>
      </w:r>
      <w:r>
        <w:rPr>
          <w:rFonts w:cs="Arial"/>
          <w:color w:val="000000"/>
          <w:lang w:val="en"/>
        </w:rPr>
        <w:t>&lt;</w:t>
      </w:r>
      <w:r w:rsidRPr="00F56CD3">
        <w:rPr>
          <w:rFonts w:cs="Arial"/>
          <w:color w:val="000000"/>
          <w:lang w:val="en"/>
        </w:rPr>
        <w:t>https://ccyp.vic.gov.au/reportable-conduct-scheme/</w:t>
      </w:r>
      <w:r>
        <w:rPr>
          <w:rFonts w:cs="Arial"/>
          <w:color w:val="000000"/>
          <w:lang w:val="en"/>
        </w:rPr>
        <w:t xml:space="preserve">&gt; (external link, opens in a new window) </w:t>
      </w:r>
      <w:r w:rsidRPr="00F42804">
        <w:rPr>
          <w:rFonts w:cs="Arial"/>
          <w:color w:val="000000"/>
          <w:lang w:val="en"/>
        </w:rPr>
        <w:t xml:space="preserve">requirements that came into effect on 1 July 2017. </w:t>
      </w:r>
      <w:r w:rsidRPr="00276391">
        <w:rPr>
          <w:lang w:eastAsia="en-AU"/>
        </w:rPr>
        <w:t xml:space="preserve">Further information on the </w:t>
      </w:r>
      <w:r>
        <w:rPr>
          <w:lang w:eastAsia="en-AU"/>
        </w:rPr>
        <w:t>Reportable conduct scheme is included in</w:t>
      </w:r>
      <w:r w:rsidRPr="00276391">
        <w:rPr>
          <w:lang w:eastAsia="en-AU"/>
        </w:rPr>
        <w:t xml:space="preserve"> </w:t>
      </w:r>
      <w:hyperlink w:anchor="_4.26_Reportable_Conduct" w:history="1">
        <w:r>
          <w:rPr>
            <w:rStyle w:val="Hyperlink"/>
          </w:rPr>
          <w:t>C</w:t>
        </w:r>
        <w:r w:rsidRPr="00476A7E">
          <w:rPr>
            <w:rStyle w:val="Hyperlink"/>
          </w:rPr>
          <w:t>hapter 4.26</w:t>
        </w:r>
      </w:hyperlink>
    </w:p>
    <w:p w14:paraId="709125D4" w14:textId="5BC5D4C8" w:rsidR="007E5806" w:rsidRPr="004309CB" w:rsidRDefault="007E5806" w:rsidP="007E5806">
      <w:pPr>
        <w:pStyle w:val="DHHSbody"/>
        <w:rPr>
          <w:lang w:val="en"/>
        </w:rPr>
      </w:pPr>
      <w:r w:rsidRPr="00F42804">
        <w:rPr>
          <w:rFonts w:cs="Arial"/>
          <w:color w:val="000000"/>
          <w:lang w:val="en"/>
        </w:rPr>
        <w:t>For more information go to </w:t>
      </w:r>
      <w:hyperlink r:id="rId239" w:tgtFrame="_blank" w:tooltip="External link, opens in a new window" w:history="1">
        <w:r w:rsidRPr="00A5052C">
          <w:rPr>
            <w:rStyle w:val="Hyperlink"/>
          </w:rPr>
          <w:t>Commission for Children and Young People</w:t>
        </w:r>
      </w:hyperlink>
      <w:r>
        <w:rPr>
          <w:rFonts w:cs="Arial"/>
          <w:color w:val="000000"/>
          <w:lang w:val="en"/>
        </w:rPr>
        <w:t xml:space="preserve"> &lt;</w:t>
      </w:r>
      <w:r w:rsidRPr="00A5052C">
        <w:rPr>
          <w:rFonts w:cs="Arial"/>
          <w:lang w:val="en"/>
        </w:rPr>
        <w:t>https://ccyp.vic.gov.au/</w:t>
      </w:r>
      <w:r>
        <w:rPr>
          <w:rFonts w:cs="Arial"/>
          <w:color w:val="000000"/>
          <w:lang w:val="en"/>
        </w:rPr>
        <w:t>&gt; (external link, opens in a new window)</w:t>
      </w:r>
      <w:r>
        <w:rPr>
          <w:rFonts w:ascii="Open Sans" w:hAnsi="Open Sans"/>
          <w:color w:val="000000"/>
          <w:sz w:val="19"/>
          <w:szCs w:val="19"/>
          <w:lang w:val="en"/>
        </w:rPr>
        <w:t>.</w:t>
      </w:r>
    </w:p>
    <w:p w14:paraId="0B6516D4" w14:textId="77777777" w:rsidR="007E5806" w:rsidRPr="00276391" w:rsidRDefault="007E5806" w:rsidP="007E5806">
      <w:pPr>
        <w:pStyle w:val="Heading4"/>
        <w:rPr>
          <w:lang w:eastAsia="en-AU"/>
        </w:rPr>
      </w:pPr>
      <w:r w:rsidRPr="00276391">
        <w:rPr>
          <w:lang w:eastAsia="en-AU"/>
        </w:rPr>
        <w:t>Referee checks</w:t>
      </w:r>
      <w:bookmarkEnd w:id="732"/>
    </w:p>
    <w:p w14:paraId="40296A34" w14:textId="77777777" w:rsidR="007E5806" w:rsidRPr="00135F58" w:rsidRDefault="007E5806" w:rsidP="007E5806">
      <w:pPr>
        <w:pStyle w:val="DHHSbody"/>
        <w:rPr>
          <w:rFonts w:cs="Arial"/>
          <w:lang w:val="en"/>
        </w:rPr>
      </w:pPr>
      <w:r w:rsidRPr="004309CB">
        <w:rPr>
          <w:rFonts w:cs="Arial"/>
          <w:lang w:val="en"/>
        </w:rPr>
        <w:t xml:space="preserve">Referee checks are a mandatory component of recruitment as they provide the best opportunity to discover past </w:t>
      </w:r>
      <w:proofErr w:type="spellStart"/>
      <w:r w:rsidRPr="004309CB">
        <w:rPr>
          <w:rFonts w:cs="Arial"/>
          <w:lang w:val="en"/>
        </w:rPr>
        <w:t>behaviours</w:t>
      </w:r>
      <w:proofErr w:type="spellEnd"/>
      <w:r w:rsidRPr="004309CB">
        <w:rPr>
          <w:rFonts w:cs="Arial"/>
          <w:lang w:val="en"/>
        </w:rPr>
        <w:t xml:space="preserve"> and predict future </w:t>
      </w:r>
      <w:proofErr w:type="spellStart"/>
      <w:r w:rsidRPr="004309CB">
        <w:rPr>
          <w:rFonts w:cs="Arial"/>
          <w:lang w:val="en"/>
        </w:rPr>
        <w:t>behaviour</w:t>
      </w:r>
      <w:proofErr w:type="spellEnd"/>
      <w:r w:rsidRPr="004309CB">
        <w:rPr>
          <w:rFonts w:cs="Arial"/>
          <w:lang w:val="en"/>
        </w:rPr>
        <w:t xml:space="preserve"> in the workplace. They are an important part of the safety screening process. A minimum of two checks should be carried out to confirm the applicant's suitability, including contact with their most recent employer. </w:t>
      </w:r>
      <w:r w:rsidRPr="00B24C02">
        <w:rPr>
          <w:rFonts w:cs="Arial"/>
          <w:color w:val="000000"/>
          <w:szCs w:val="19"/>
          <w:lang w:eastAsia="en-AU"/>
        </w:rPr>
        <w:t xml:space="preserve">Refer to the template example </w:t>
      </w:r>
      <w:hyperlink r:id="rId240" w:history="1">
        <w:r w:rsidRPr="00986D1E">
          <w:rPr>
            <w:rStyle w:val="Hyperlink"/>
          </w:rPr>
          <w:t>Safety screening referee check template</w:t>
        </w:r>
      </w:hyperlink>
      <w:r w:rsidRPr="00B24C02">
        <w:rPr>
          <w:rFonts w:cs="Arial"/>
          <w:color w:val="000000"/>
          <w:szCs w:val="19"/>
          <w:lang w:eastAsia="en-AU"/>
        </w:rPr>
        <w:t xml:space="preserve"> </w:t>
      </w:r>
      <w:r>
        <w:rPr>
          <w:rFonts w:cs="Arial"/>
          <w:color w:val="000000"/>
          <w:szCs w:val="19"/>
          <w:lang w:eastAsia="en-AU"/>
        </w:rPr>
        <w:t>&lt;</w:t>
      </w:r>
      <w:r w:rsidRPr="00135F58">
        <w:rPr>
          <w:rFonts w:cs="Arial"/>
          <w:lang w:val="en"/>
        </w:rPr>
        <w:t>https://fac.dhhs.vic.gov.au/safety-screening-referee-check &gt; (external link, opens in a new window).</w:t>
      </w:r>
    </w:p>
    <w:p w14:paraId="0FDC26A8" w14:textId="77777777" w:rsidR="007E5806" w:rsidRPr="00276391" w:rsidRDefault="007E5806" w:rsidP="007E5806">
      <w:pPr>
        <w:pStyle w:val="DHHSbody"/>
        <w:rPr>
          <w:lang w:eastAsia="en-AU"/>
        </w:rPr>
      </w:pPr>
      <w:r w:rsidRPr="004309CB">
        <w:rPr>
          <w:rFonts w:cs="Arial"/>
          <w:lang w:val="en"/>
        </w:rPr>
        <w:t xml:space="preserve">Funded or registered </w:t>
      </w:r>
      <w:proofErr w:type="spellStart"/>
      <w:r w:rsidRPr="004309CB">
        <w:rPr>
          <w:rFonts w:cs="Arial"/>
          <w:lang w:val="en"/>
        </w:rPr>
        <w:t>organisations</w:t>
      </w:r>
      <w:proofErr w:type="spellEnd"/>
      <w:r w:rsidRPr="004309CB">
        <w:rPr>
          <w:rFonts w:cs="Arial"/>
          <w:lang w:val="en"/>
        </w:rPr>
        <w:t xml:space="preserve"> and </w:t>
      </w:r>
      <w:proofErr w:type="spellStart"/>
      <w:r w:rsidRPr="004309CB">
        <w:rPr>
          <w:rFonts w:cs="Arial"/>
          <w:lang w:val="en"/>
        </w:rPr>
        <w:t>authorised</w:t>
      </w:r>
      <w:proofErr w:type="spellEnd"/>
      <w:r w:rsidRPr="004309CB">
        <w:rPr>
          <w:rFonts w:cs="Arial"/>
          <w:lang w:val="en"/>
        </w:rPr>
        <w:t xml:space="preserve"> agencies may also have obligations to report the outcome of a referee check to the Disability Worker Exclus</w:t>
      </w:r>
      <w:r>
        <w:rPr>
          <w:rFonts w:cs="Arial"/>
          <w:lang w:val="en"/>
        </w:rPr>
        <w:t xml:space="preserve">ion Scheme Unit. </w:t>
      </w:r>
      <w:r>
        <w:rPr>
          <w:lang w:eastAsia="en-AU"/>
        </w:rPr>
        <w:t>F</w:t>
      </w:r>
      <w:r w:rsidRPr="00276391">
        <w:rPr>
          <w:lang w:eastAsia="en-AU"/>
        </w:rPr>
        <w:t>or further information about this process</w:t>
      </w:r>
      <w:r>
        <w:rPr>
          <w:rFonts w:cs="Arial"/>
          <w:lang w:val="en"/>
        </w:rPr>
        <w:t xml:space="preserve">, refer to the </w:t>
      </w:r>
      <w:r w:rsidRPr="0030463F">
        <w:rPr>
          <w:rFonts w:cs="Arial"/>
          <w:i/>
          <w:lang w:val="en"/>
        </w:rPr>
        <w:t>Disability Worker Exclusion Scheme Instruction (October 2017)</w:t>
      </w:r>
      <w:r w:rsidRPr="004309CB">
        <w:rPr>
          <w:rFonts w:cs="Arial"/>
          <w:lang w:val="en"/>
        </w:rPr>
        <w:t xml:space="preserve"> available on the </w:t>
      </w:r>
      <w:hyperlink r:id="rId241" w:history="1">
        <w:r w:rsidRPr="00C9046F">
          <w:rPr>
            <w:rStyle w:val="Hyperlink"/>
          </w:rPr>
          <w:t>Disability Worker Exclusion Scheme</w:t>
        </w:r>
        <w:r w:rsidRPr="00C9046F">
          <w:rPr>
            <w:rStyle w:val="Hyperlink"/>
            <w:lang w:eastAsia="en-AU"/>
          </w:rPr>
          <w:t xml:space="preserve"> webpage</w:t>
        </w:r>
      </w:hyperlink>
      <w:r w:rsidRPr="00276391">
        <w:rPr>
          <w:lang w:eastAsia="en-AU"/>
        </w:rPr>
        <w:t xml:space="preserve"> </w:t>
      </w:r>
      <w:r>
        <w:rPr>
          <w:lang w:eastAsia="en-AU"/>
        </w:rPr>
        <w:t>&lt;</w:t>
      </w:r>
      <w:r w:rsidRPr="008C73CC">
        <w:rPr>
          <w:lang w:eastAsia="en-AU"/>
        </w:rPr>
        <w:t>https://providers.dhhs.vic.gov.au/disability-worker-exclusion-scheme</w:t>
      </w:r>
      <w:r>
        <w:rPr>
          <w:lang w:eastAsia="en-AU"/>
        </w:rPr>
        <w:t>&gt;</w:t>
      </w:r>
      <w:r w:rsidRPr="00C9046F">
        <w:rPr>
          <w:lang w:eastAsia="en-AU"/>
        </w:rPr>
        <w:t xml:space="preserve"> </w:t>
      </w:r>
      <w:r>
        <w:rPr>
          <w:rFonts w:cs="Arial"/>
          <w:color w:val="000000"/>
          <w:lang w:val="en"/>
        </w:rPr>
        <w:t>(external link, opens in a new window).</w:t>
      </w:r>
    </w:p>
    <w:p w14:paraId="0BC3C5BD" w14:textId="77777777" w:rsidR="007E5806" w:rsidRPr="003A4450" w:rsidRDefault="007E5806" w:rsidP="007E5806">
      <w:pPr>
        <w:pStyle w:val="DHHSbodyBold"/>
        <w:rPr>
          <w:rFonts w:cs="Arial"/>
          <w:b w:val="0"/>
          <w:lang w:val="en"/>
        </w:rPr>
      </w:pPr>
      <w:bookmarkStart w:id="733" w:name="_Toc478992042"/>
      <w:r w:rsidRPr="004309CB">
        <w:rPr>
          <w:rFonts w:cs="Arial"/>
          <w:bCs/>
          <w:lang w:val="en"/>
        </w:rPr>
        <w:t>Note</w:t>
      </w:r>
      <w:r w:rsidRPr="003A4450">
        <w:rPr>
          <w:rFonts w:cs="Arial"/>
          <w:b w:val="0"/>
          <w:bCs/>
          <w:lang w:val="en"/>
        </w:rPr>
        <w:t xml:space="preserve">: An </w:t>
      </w:r>
      <w:r w:rsidRPr="003A4450">
        <w:rPr>
          <w:b w:val="0"/>
        </w:rPr>
        <w:t>offer of employment or placement cannot occur until the completed police record check and any referee checks have been assessed by the funded/registered</w:t>
      </w:r>
      <w:r w:rsidRPr="003A4450">
        <w:rPr>
          <w:rFonts w:cs="Arial"/>
          <w:b w:val="0"/>
          <w:bCs/>
          <w:lang w:val="en"/>
        </w:rPr>
        <w:t xml:space="preserve"> </w:t>
      </w:r>
      <w:proofErr w:type="spellStart"/>
      <w:r w:rsidRPr="003A4450">
        <w:rPr>
          <w:rFonts w:cs="Arial"/>
          <w:b w:val="0"/>
          <w:bCs/>
          <w:lang w:val="en"/>
        </w:rPr>
        <w:t>organisation</w:t>
      </w:r>
      <w:proofErr w:type="spellEnd"/>
      <w:r w:rsidRPr="003A4450">
        <w:rPr>
          <w:rFonts w:cs="Arial"/>
          <w:b w:val="0"/>
          <w:bCs/>
          <w:lang w:val="en"/>
        </w:rPr>
        <w:t>.</w:t>
      </w:r>
    </w:p>
    <w:p w14:paraId="70859ACE" w14:textId="77777777" w:rsidR="007E5806" w:rsidRPr="00276391" w:rsidRDefault="007E5806" w:rsidP="007E5806">
      <w:pPr>
        <w:pStyle w:val="Heading4"/>
        <w:rPr>
          <w:lang w:eastAsia="en-AU"/>
        </w:rPr>
      </w:pPr>
      <w:r w:rsidRPr="00276391">
        <w:rPr>
          <w:lang w:eastAsia="en-AU"/>
        </w:rPr>
        <w:t>Storage of documentation and confidentiality</w:t>
      </w:r>
      <w:bookmarkEnd w:id="733"/>
    </w:p>
    <w:p w14:paraId="5090C50D" w14:textId="77777777" w:rsidR="007E5806" w:rsidRPr="00135F58" w:rsidRDefault="007E5806" w:rsidP="007E5806">
      <w:pPr>
        <w:pStyle w:val="DHHSbody"/>
        <w:rPr>
          <w:rFonts w:cs="Arial"/>
          <w:lang w:val="en"/>
        </w:rPr>
      </w:pPr>
      <w:r>
        <w:rPr>
          <w:rFonts w:cs="Arial"/>
          <w:lang w:val="en"/>
        </w:rPr>
        <w:t xml:space="preserve">National police check information and other data </w:t>
      </w:r>
      <w:r w:rsidRPr="004309CB">
        <w:rPr>
          <w:rFonts w:cs="Arial"/>
          <w:lang w:val="en"/>
        </w:rPr>
        <w:t xml:space="preserve">obtained as part of the safety screening process must be treated with the highest level of confidentiality and privacy </w:t>
      </w:r>
      <w:r>
        <w:rPr>
          <w:rFonts w:cs="Arial"/>
          <w:lang w:val="en"/>
        </w:rPr>
        <w:t xml:space="preserve">and should be handled </w:t>
      </w:r>
      <w:r w:rsidRPr="004309CB">
        <w:rPr>
          <w:rFonts w:cs="Arial"/>
          <w:lang w:val="en"/>
        </w:rPr>
        <w:t xml:space="preserve">in </w:t>
      </w:r>
      <w:r>
        <w:rPr>
          <w:rFonts w:cs="Arial"/>
          <w:lang w:val="en"/>
        </w:rPr>
        <w:t xml:space="preserve">a manner which safeguards it from </w:t>
      </w:r>
      <w:proofErr w:type="spellStart"/>
      <w:r>
        <w:rPr>
          <w:rFonts w:cs="Arial"/>
          <w:lang w:val="en"/>
        </w:rPr>
        <w:t>unauthorised</w:t>
      </w:r>
      <w:proofErr w:type="spellEnd"/>
      <w:r>
        <w:rPr>
          <w:rFonts w:cs="Arial"/>
          <w:lang w:val="en"/>
        </w:rPr>
        <w:t xml:space="preserve"> access. Documentation (consent forms, proof of identity information documentation and information provided about an individual’s national police check history) should be used and stored in </w:t>
      </w:r>
      <w:r w:rsidRPr="004309CB">
        <w:rPr>
          <w:rFonts w:cs="Arial"/>
          <w:lang w:val="en"/>
        </w:rPr>
        <w:t xml:space="preserve">accordance with the </w:t>
      </w:r>
      <w:r w:rsidRPr="0030463F">
        <w:rPr>
          <w:rFonts w:cs="Arial"/>
          <w:i/>
          <w:lang w:val="en"/>
        </w:rPr>
        <w:t>Privacy and Data Protection Act 2014</w:t>
      </w:r>
      <w:r>
        <w:rPr>
          <w:rFonts w:cs="Arial"/>
          <w:lang w:val="en"/>
        </w:rPr>
        <w:t xml:space="preserve"> and any contractual requirements with the ACIC accredited agency. </w:t>
      </w:r>
      <w:r w:rsidRPr="00B24C02">
        <w:rPr>
          <w:rFonts w:cs="Arial"/>
          <w:color w:val="000000"/>
          <w:szCs w:val="19"/>
          <w:lang w:eastAsia="en-AU"/>
        </w:rPr>
        <w:t xml:space="preserve">Refer to </w:t>
      </w:r>
      <w:hyperlink r:id="rId242" w:history="1">
        <w:r w:rsidRPr="00135F58">
          <w:rPr>
            <w:rStyle w:val="Hyperlink"/>
          </w:rPr>
          <w:t>Appendix 6 Record Storage and Destruction</w:t>
        </w:r>
      </w:hyperlink>
      <w:r w:rsidRPr="00B24C02">
        <w:rPr>
          <w:rFonts w:cs="Arial"/>
          <w:color w:val="000000"/>
          <w:szCs w:val="19"/>
          <w:lang w:eastAsia="en-AU"/>
        </w:rPr>
        <w:t xml:space="preserve"> </w:t>
      </w:r>
      <w:r>
        <w:rPr>
          <w:rFonts w:cs="Arial"/>
          <w:color w:val="000000"/>
          <w:szCs w:val="19"/>
          <w:lang w:eastAsia="en-AU"/>
        </w:rPr>
        <w:t>&lt;</w:t>
      </w:r>
      <w:r w:rsidRPr="00135F58">
        <w:rPr>
          <w:rFonts w:cs="Arial"/>
          <w:lang w:val="en"/>
        </w:rPr>
        <w:t>https://fac.dhhs.vic.gov.au/record-storage-and-destruction&gt; (Word 85 KB, opens in a new window) for details.</w:t>
      </w:r>
    </w:p>
    <w:p w14:paraId="5CE45312" w14:textId="77777777" w:rsidR="007E5806" w:rsidRDefault="007E5806" w:rsidP="00B62BBF">
      <w:pPr>
        <w:pStyle w:val="DHHSbody"/>
        <w:rPr>
          <w:lang w:eastAsia="en-AU"/>
        </w:rPr>
      </w:pPr>
      <w:bookmarkStart w:id="734" w:name="_Toc478992043"/>
      <w:r>
        <w:rPr>
          <w:lang w:eastAsia="en-AU"/>
        </w:rPr>
        <w:t>If a national police check discloses a criminal history, funded/registered organisations should have a standardised method of recording and storing this information, in line with Appendix 6 and this method should be known and understood by all program staff.</w:t>
      </w:r>
    </w:p>
    <w:p w14:paraId="3E53C117" w14:textId="77777777" w:rsidR="007E5806" w:rsidRPr="00276391" w:rsidRDefault="007E5806" w:rsidP="007E5806">
      <w:pPr>
        <w:pStyle w:val="Heading4"/>
        <w:rPr>
          <w:lang w:eastAsia="en-AU"/>
        </w:rPr>
      </w:pPr>
      <w:r w:rsidRPr="00276391">
        <w:rPr>
          <w:lang w:eastAsia="en-AU"/>
        </w:rPr>
        <w:t>For further information</w:t>
      </w:r>
      <w:bookmarkEnd w:id="734"/>
    </w:p>
    <w:p w14:paraId="1FAFB307" w14:textId="3273D99A" w:rsidR="007E5806" w:rsidRDefault="007E5806" w:rsidP="007E5806">
      <w:pPr>
        <w:pStyle w:val="DHHSbody"/>
        <w:rPr>
          <w:lang w:eastAsia="en-AU"/>
        </w:rPr>
      </w:pPr>
      <w:r w:rsidRPr="00B24C02">
        <w:rPr>
          <w:rFonts w:cs="Arial"/>
          <w:color w:val="000000"/>
          <w:szCs w:val="19"/>
          <w:lang w:eastAsia="en-AU"/>
        </w:rPr>
        <w:t xml:space="preserve">Karen </w:t>
      </w:r>
      <w:proofErr w:type="spellStart"/>
      <w:r w:rsidRPr="00B24C02">
        <w:rPr>
          <w:rFonts w:cs="Arial"/>
          <w:color w:val="000000"/>
          <w:szCs w:val="19"/>
          <w:lang w:eastAsia="en-AU"/>
        </w:rPr>
        <w:t>Heusner</w:t>
      </w:r>
      <w:proofErr w:type="spellEnd"/>
      <w:r w:rsidRPr="00B24C02">
        <w:rPr>
          <w:rFonts w:cs="Arial"/>
          <w:color w:val="000000"/>
          <w:szCs w:val="19"/>
          <w:lang w:eastAsia="en-AU"/>
        </w:rPr>
        <w:t>, S</w:t>
      </w:r>
      <w:r>
        <w:rPr>
          <w:rFonts w:cs="Arial"/>
          <w:color w:val="000000"/>
          <w:szCs w:val="19"/>
          <w:lang w:eastAsia="en-AU"/>
        </w:rPr>
        <w:t xml:space="preserve">afety Screening Coordinator, </w:t>
      </w:r>
      <w:r w:rsidRPr="00B24C02">
        <w:rPr>
          <w:rFonts w:cs="Arial"/>
          <w:color w:val="000000"/>
          <w:szCs w:val="19"/>
          <w:lang w:eastAsia="en-AU"/>
        </w:rPr>
        <w:t>People and Culture Branch</w:t>
      </w:r>
      <w:r>
        <w:rPr>
          <w:rFonts w:cs="Arial"/>
          <w:color w:val="000000"/>
          <w:szCs w:val="19"/>
          <w:lang w:eastAsia="en-AU"/>
        </w:rPr>
        <w:t>, Department of Health and Human Services</w:t>
      </w:r>
      <w:r w:rsidRPr="00B24C02">
        <w:rPr>
          <w:rFonts w:cs="Arial"/>
          <w:color w:val="000000"/>
          <w:szCs w:val="19"/>
          <w:lang w:eastAsia="en-AU"/>
        </w:rPr>
        <w:br/>
      </w:r>
      <w:r w:rsidRPr="00B24C02">
        <w:rPr>
          <w:rFonts w:cs="Arial"/>
          <w:color w:val="000000"/>
          <w:szCs w:val="19"/>
          <w:lang w:eastAsia="en-AU"/>
        </w:rPr>
        <w:lastRenderedPageBreak/>
        <w:t>Telephone: (03) 9096 2575</w:t>
      </w:r>
      <w:r w:rsidRPr="00B24C02">
        <w:rPr>
          <w:rFonts w:cs="Arial"/>
          <w:color w:val="000000"/>
          <w:szCs w:val="19"/>
          <w:lang w:eastAsia="en-AU"/>
        </w:rPr>
        <w:br/>
        <w:t xml:space="preserve">Email: </w:t>
      </w:r>
      <w:hyperlink r:id="rId243" w:history="1">
        <w:r w:rsidRPr="00986D1E">
          <w:rPr>
            <w:rStyle w:val="Hyperlink"/>
          </w:rPr>
          <w:t>safety.screening@dhhs.vic.gov.au</w:t>
        </w:r>
      </w:hyperlink>
      <w:bookmarkEnd w:id="714"/>
      <w:bookmarkEnd w:id="715"/>
    </w:p>
    <w:p w14:paraId="015BCB2B" w14:textId="495B2DD3" w:rsidR="00236748" w:rsidRPr="00276391" w:rsidRDefault="00FF406D" w:rsidP="009B2351">
      <w:pPr>
        <w:pStyle w:val="Heading2"/>
        <w:rPr>
          <w:rFonts w:cs="Arial"/>
          <w:lang w:eastAsia="en-AU"/>
        </w:rPr>
      </w:pPr>
      <w:bookmarkStart w:id="735" w:name="_Toc4142126"/>
      <w:r>
        <w:rPr>
          <w:rFonts w:cs="Arial"/>
          <w:lang w:eastAsia="en-AU"/>
        </w:rPr>
        <w:t>4.6</w:t>
      </w:r>
      <w:r w:rsidR="009B2351" w:rsidRPr="00276391">
        <w:rPr>
          <w:rFonts w:cs="Arial"/>
          <w:lang w:eastAsia="en-AU"/>
        </w:rPr>
        <w:t xml:space="preserve"> </w:t>
      </w:r>
      <w:r w:rsidR="00236748" w:rsidRPr="00276391">
        <w:rPr>
          <w:rFonts w:cs="Arial"/>
          <w:lang w:eastAsia="en-AU"/>
        </w:rPr>
        <w:t>Occupational</w:t>
      </w:r>
      <w:r w:rsidR="009B2351" w:rsidRPr="00276391">
        <w:rPr>
          <w:rFonts w:cs="Arial"/>
          <w:lang w:eastAsia="en-AU"/>
        </w:rPr>
        <w:t xml:space="preserve"> </w:t>
      </w:r>
      <w:r w:rsidR="00236748" w:rsidRPr="00276391">
        <w:rPr>
          <w:rFonts w:cs="Arial"/>
          <w:lang w:eastAsia="en-AU"/>
        </w:rPr>
        <w:t>health</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safety</w:t>
      </w:r>
      <w:bookmarkEnd w:id="705"/>
      <w:bookmarkEnd w:id="706"/>
      <w:bookmarkEnd w:id="707"/>
      <w:bookmarkEnd w:id="735"/>
    </w:p>
    <w:p w14:paraId="131B48C4" w14:textId="77777777" w:rsidR="00236748" w:rsidRPr="00276391" w:rsidRDefault="00236748" w:rsidP="001A0795">
      <w:pPr>
        <w:pStyle w:val="Heading4"/>
        <w:rPr>
          <w:lang w:eastAsia="en-AU"/>
        </w:rPr>
      </w:pPr>
      <w:bookmarkStart w:id="736" w:name="_Toc478992060"/>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736"/>
    </w:p>
    <w:p w14:paraId="18C3525C" w14:textId="77777777"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p>
    <w:p w14:paraId="183B4E05" w14:textId="77777777" w:rsidR="00236748" w:rsidRPr="00276391" w:rsidRDefault="00236748" w:rsidP="001A0795">
      <w:pPr>
        <w:pStyle w:val="Heading4"/>
        <w:rPr>
          <w:lang w:eastAsia="en-AU"/>
        </w:rPr>
      </w:pPr>
      <w:bookmarkStart w:id="737" w:name="_Toc478992061"/>
      <w:r w:rsidRPr="00276391">
        <w:rPr>
          <w:lang w:eastAsia="en-AU"/>
        </w:rPr>
        <w:t>Policy</w:t>
      </w:r>
      <w:r w:rsidR="005D5532" w:rsidRPr="00276391">
        <w:rPr>
          <w:lang w:eastAsia="en-AU"/>
        </w:rPr>
        <w:t xml:space="preserve"> </w:t>
      </w:r>
      <w:r w:rsidRPr="00276391">
        <w:rPr>
          <w:lang w:eastAsia="en-AU"/>
        </w:rPr>
        <w:t>purpose</w:t>
      </w:r>
      <w:bookmarkEnd w:id="737"/>
    </w:p>
    <w:p w14:paraId="362CCAF1" w14:textId="77777777"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Victorian</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laws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regulations.</w:t>
      </w:r>
    </w:p>
    <w:p w14:paraId="6F725112" w14:textId="77777777" w:rsidR="00236748" w:rsidRPr="00276391" w:rsidRDefault="00236748" w:rsidP="001A0795">
      <w:pPr>
        <w:pStyle w:val="Heading4"/>
        <w:rPr>
          <w:lang w:eastAsia="en-AU"/>
        </w:rPr>
      </w:pPr>
      <w:bookmarkStart w:id="738" w:name="_Toc478992062"/>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738"/>
    </w:p>
    <w:p w14:paraId="1284F285" w14:textId="77777777" w:rsidR="001B33A9" w:rsidRPr="001B33A9" w:rsidRDefault="0016341D" w:rsidP="00C14965">
      <w:pPr>
        <w:pStyle w:val="DHHSbullet1"/>
        <w:rPr>
          <w:rFonts w:cs="Arial"/>
          <w:lang w:eastAsia="en-AU"/>
        </w:rPr>
      </w:pPr>
      <w:hyperlink r:id="rId244" w:tgtFrame="_blank" w:history="1">
        <w:r w:rsidR="001B33A9" w:rsidRPr="00986D1E">
          <w:rPr>
            <w:rStyle w:val="Hyperlink"/>
          </w:rPr>
          <w:t xml:space="preserve">Occupational Health </w:t>
        </w:r>
        <w:r w:rsidR="001B33A9">
          <w:rPr>
            <w:rStyle w:val="Hyperlink"/>
          </w:rPr>
          <w:t>and</w:t>
        </w:r>
        <w:r w:rsidR="001B33A9" w:rsidRPr="00986D1E">
          <w:rPr>
            <w:rStyle w:val="Hyperlink"/>
          </w:rPr>
          <w:t xml:space="preserve"> Safety Act 2004</w:t>
        </w:r>
      </w:hyperlink>
      <w:r w:rsidR="001B33A9" w:rsidRPr="001A0795">
        <w:rPr>
          <w:lang w:eastAsia="en-AU"/>
        </w:rPr>
        <w:t xml:space="preserve"> </w:t>
      </w:r>
      <w:r w:rsidR="001B33A9">
        <w:rPr>
          <w:lang w:eastAsia="en-AU"/>
        </w:rPr>
        <w:t>&lt;</w:t>
      </w:r>
      <w:r w:rsidR="001B33A9" w:rsidRPr="00EA74AB">
        <w:rPr>
          <w:lang w:eastAsia="en-AU"/>
        </w:rPr>
        <w:t>http://www6.austlii.edu.au/cgi-bin/viewdb/au/legis/vic/consol_act/ohasa2004273/</w:t>
      </w:r>
      <w:r w:rsidR="001B33A9">
        <w:rPr>
          <w:lang w:eastAsia="en-AU"/>
        </w:rPr>
        <w:t>&gt;</w:t>
      </w:r>
      <w:r w:rsidR="001B33A9" w:rsidRPr="00884CEC">
        <w:rPr>
          <w:lang w:eastAsia="en-AU"/>
        </w:rPr>
        <w:t xml:space="preserve"> </w:t>
      </w:r>
      <w:r w:rsidR="001B33A9" w:rsidRPr="001A0795">
        <w:rPr>
          <w:lang w:eastAsia="en-AU"/>
        </w:rPr>
        <w:t>(external link</w:t>
      </w:r>
      <w:r w:rsidR="001B33A9">
        <w:rPr>
          <w:lang w:eastAsia="en-AU"/>
        </w:rPr>
        <w:t>,</w:t>
      </w:r>
      <w:r w:rsidR="001B33A9" w:rsidRPr="001A0795">
        <w:rPr>
          <w:lang w:eastAsia="en-AU"/>
        </w:rPr>
        <w:t xml:space="preserve"> opens in a new window)</w:t>
      </w:r>
    </w:p>
    <w:bookmarkStart w:id="739" w:name="_Toc478992063"/>
    <w:p w14:paraId="2FDB66F4" w14:textId="6F38CF80" w:rsidR="001B33A9" w:rsidRPr="000D4996" w:rsidRDefault="001B33A9" w:rsidP="001B33A9">
      <w:pPr>
        <w:pStyle w:val="DHHSbullet1"/>
        <w:rPr>
          <w:rFonts w:cs="Arial"/>
          <w:lang w:eastAsia="en-AU"/>
        </w:rPr>
      </w:pPr>
      <w:r>
        <w:fldChar w:fldCharType="begin"/>
      </w:r>
      <w:r>
        <w:instrText>HYPERLINK "http://www.legislation.vic.gov.au/Domino/Web_Notes/LDMS/PubStatbook.nsf/b05145073fa2a882ca256da4001bc4e7/05C39981B52D9E0FCA25810E0021D052/$FILE/17-022sra%20authorised.pdf" \t "_blank"</w:instrText>
      </w:r>
      <w:r>
        <w:fldChar w:fldCharType="separate"/>
      </w:r>
      <w:r w:rsidRPr="00986D1E">
        <w:rPr>
          <w:rStyle w:val="Hyperlink"/>
        </w:rPr>
        <w:t xml:space="preserve">Occupational Health and Safety Regulations </w:t>
      </w:r>
      <w:r>
        <w:rPr>
          <w:rStyle w:val="Hyperlink"/>
        </w:rPr>
        <w:t>201</w:t>
      </w:r>
      <w:r w:rsidRPr="00986D1E">
        <w:rPr>
          <w:rStyle w:val="Hyperlink"/>
        </w:rPr>
        <w:t>7</w:t>
      </w:r>
      <w:r>
        <w:rPr>
          <w:rStyle w:val="Hyperlink"/>
        </w:rPr>
        <w:fldChar w:fldCharType="end"/>
      </w:r>
      <w:r w:rsidRPr="000D4996">
        <w:rPr>
          <w:rFonts w:cs="Arial"/>
          <w:lang w:eastAsia="en-AU"/>
        </w:rPr>
        <w:t xml:space="preserve"> &lt;http://www.legislation.vic.gov.au/Domino/Web_Notes/LDMS/PubStatbook.nsf/b05145073fa2a882ca256da4001bc4e7/05C39981B52D9E0FCA25810E0021D052/$FILE/17-022sra%20authorised.pdf&gt;</w:t>
      </w:r>
      <w:r w:rsidR="006250C7">
        <w:rPr>
          <w:rFonts w:cs="Arial"/>
          <w:lang w:eastAsia="en-AU"/>
        </w:rPr>
        <w:t xml:space="preserve"> </w:t>
      </w:r>
      <w:r w:rsidRPr="000D4996">
        <w:rPr>
          <w:rFonts w:cs="Arial"/>
          <w:lang w:eastAsia="en-AU"/>
        </w:rPr>
        <w:t xml:space="preserve">(external link, opens in a new window) </w:t>
      </w:r>
    </w:p>
    <w:p w14:paraId="6BAF8D45" w14:textId="77777777" w:rsidR="00236748" w:rsidRPr="00276391" w:rsidRDefault="00236748" w:rsidP="001A0795">
      <w:pPr>
        <w:pStyle w:val="Heading4"/>
        <w:rPr>
          <w:lang w:eastAsia="en-AU"/>
        </w:rPr>
      </w:pPr>
      <w:r w:rsidRPr="00276391">
        <w:rPr>
          <w:lang w:eastAsia="en-AU"/>
        </w:rPr>
        <w:t>Organisation</w:t>
      </w:r>
      <w:r w:rsidR="005D5532" w:rsidRPr="00276391">
        <w:rPr>
          <w:lang w:eastAsia="en-AU"/>
        </w:rPr>
        <w:t xml:space="preserve"> </w:t>
      </w:r>
      <w:r w:rsidRPr="00276391">
        <w:rPr>
          <w:lang w:eastAsia="en-AU"/>
        </w:rPr>
        <w:t>requirements</w:t>
      </w:r>
      <w:bookmarkEnd w:id="739"/>
    </w:p>
    <w:p w14:paraId="48CB742C" w14:textId="77777777" w:rsidR="00236748" w:rsidRPr="00276391" w:rsidRDefault="00236748" w:rsidP="00276391">
      <w:pPr>
        <w:pStyle w:val="DHHSbullet1"/>
        <w:rPr>
          <w:rFonts w:cs="Arial"/>
          <w:lang w:eastAsia="en-AU"/>
        </w:rPr>
      </w:pPr>
      <w:r w:rsidRPr="00276391">
        <w:rPr>
          <w:rFonts w:cs="Arial"/>
          <w:lang w:eastAsia="en-AU"/>
        </w:rPr>
        <w:t>Maintain</w:t>
      </w:r>
      <w:r w:rsidR="005D5532" w:rsidRPr="00276391">
        <w:rPr>
          <w:rFonts w:cs="Arial"/>
          <w:lang w:eastAsia="en-AU"/>
        </w:rPr>
        <w:t xml:space="preserve"> </w:t>
      </w:r>
      <w:r w:rsidRPr="00276391">
        <w:rPr>
          <w:rFonts w:cs="Arial"/>
          <w:lang w:eastAsia="en-AU"/>
        </w:rPr>
        <w:t>a</w:t>
      </w:r>
      <w:r w:rsidR="005D5532" w:rsidRPr="00276391">
        <w:rPr>
          <w:rFonts w:cs="Arial"/>
          <w:lang w:eastAsia="en-AU"/>
        </w:rPr>
        <w:t xml:space="preserve"> </w:t>
      </w:r>
      <w:r w:rsidRPr="00276391">
        <w:rPr>
          <w:rFonts w:cs="Arial"/>
          <w:lang w:eastAsia="en-AU"/>
        </w:rPr>
        <w:t>safe</w:t>
      </w:r>
      <w:r w:rsidR="005D5532" w:rsidRPr="00276391">
        <w:rPr>
          <w:rFonts w:cs="Arial"/>
          <w:lang w:eastAsia="en-AU"/>
        </w:rPr>
        <w:t xml:space="preserve"> </w:t>
      </w:r>
      <w:r w:rsidRPr="00276391">
        <w:rPr>
          <w:rFonts w:cs="Arial"/>
          <w:lang w:eastAsia="en-AU"/>
        </w:rPr>
        <w:t>workplace</w:t>
      </w:r>
      <w:r w:rsidR="005D5532" w:rsidRPr="00276391">
        <w:rPr>
          <w:rFonts w:cs="Arial"/>
          <w:lang w:eastAsia="en-AU"/>
        </w:rPr>
        <w:t xml:space="preserve"> </w:t>
      </w:r>
    </w:p>
    <w:p w14:paraId="4034893C" w14:textId="77777777" w:rsidR="00236748" w:rsidRPr="00276391" w:rsidRDefault="00236748" w:rsidP="00276391">
      <w:pPr>
        <w:pStyle w:val="DHHSbullet1"/>
        <w:rPr>
          <w:rFonts w:cs="Arial"/>
          <w:lang w:eastAsia="en-AU"/>
        </w:rPr>
      </w:pPr>
      <w:r w:rsidRPr="00276391">
        <w:rPr>
          <w:rFonts w:cs="Arial"/>
          <w:lang w:eastAsia="en-AU"/>
        </w:rPr>
        <w:t>Eliminate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minimise</w:t>
      </w:r>
      <w:r w:rsidR="005D5532" w:rsidRPr="00276391">
        <w:rPr>
          <w:rFonts w:cs="Arial"/>
          <w:lang w:eastAsia="en-AU"/>
        </w:rPr>
        <w:t xml:space="preserve"> </w:t>
      </w:r>
      <w:r w:rsidRPr="00276391">
        <w:rPr>
          <w:rFonts w:cs="Arial"/>
          <w:lang w:eastAsia="en-AU"/>
        </w:rPr>
        <w:t>workplace</w:t>
      </w:r>
      <w:r w:rsidR="005D5532" w:rsidRPr="00276391">
        <w:rPr>
          <w:rFonts w:cs="Arial"/>
          <w:lang w:eastAsia="en-AU"/>
        </w:rPr>
        <w:t xml:space="preserve"> </w:t>
      </w:r>
      <w:r w:rsidRPr="00276391">
        <w:rPr>
          <w:rFonts w:cs="Arial"/>
          <w:lang w:eastAsia="en-AU"/>
        </w:rPr>
        <w:t>hazards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associated</w:t>
      </w:r>
      <w:r w:rsidR="005D5532" w:rsidRPr="00276391">
        <w:rPr>
          <w:rFonts w:cs="Arial"/>
          <w:lang w:eastAsia="en-AU"/>
        </w:rPr>
        <w:t xml:space="preserve"> </w:t>
      </w:r>
      <w:r w:rsidRPr="00276391">
        <w:rPr>
          <w:rFonts w:cs="Arial"/>
          <w:lang w:eastAsia="en-AU"/>
        </w:rPr>
        <w:t>with</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hazards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p>
    <w:p w14:paraId="3A81A70D" w14:textId="77777777"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maintain</w:t>
      </w:r>
      <w:r w:rsidR="005D5532" w:rsidRPr="00276391">
        <w:rPr>
          <w:rFonts w:cs="Arial"/>
          <w:lang w:eastAsia="en-AU"/>
        </w:rPr>
        <w:t xml:space="preserve"> </w:t>
      </w:r>
      <w:r w:rsidRPr="00276391">
        <w:rPr>
          <w:rFonts w:cs="Arial"/>
          <w:lang w:eastAsia="en-AU"/>
        </w:rPr>
        <w:t>safe</w:t>
      </w:r>
      <w:r w:rsidR="005D5532" w:rsidRPr="00276391">
        <w:rPr>
          <w:rFonts w:cs="Arial"/>
          <w:lang w:eastAsia="en-AU"/>
        </w:rPr>
        <w:t xml:space="preserve"> </w:t>
      </w:r>
      <w:r w:rsidRPr="00276391">
        <w:rPr>
          <w:rFonts w:cs="Arial"/>
          <w:lang w:eastAsia="en-AU"/>
        </w:rPr>
        <w:t>systems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work</w:t>
      </w:r>
      <w:r w:rsidR="005D5532" w:rsidRPr="00276391">
        <w:rPr>
          <w:rFonts w:cs="Arial"/>
          <w:lang w:eastAsia="en-AU"/>
        </w:rPr>
        <w:t xml:space="preserve"> </w:t>
      </w:r>
    </w:p>
    <w:p w14:paraId="1AF278EA" w14:textId="77777777"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adequate</w:t>
      </w:r>
      <w:r w:rsidR="005D5532" w:rsidRPr="00276391">
        <w:rPr>
          <w:rFonts w:cs="Arial"/>
          <w:lang w:eastAsia="en-AU"/>
        </w:rPr>
        <w:t xml:space="preserve"> </w:t>
      </w:r>
      <w:r w:rsidRPr="00276391">
        <w:rPr>
          <w:rFonts w:cs="Arial"/>
          <w:lang w:eastAsia="en-AU"/>
        </w:rPr>
        <w:t>facilities</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welfare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employees</w:t>
      </w:r>
      <w:r w:rsidR="005D5532" w:rsidRPr="00276391">
        <w:rPr>
          <w:rFonts w:cs="Arial"/>
          <w:lang w:eastAsia="en-AU"/>
        </w:rPr>
        <w:t xml:space="preserve"> </w:t>
      </w:r>
    </w:p>
    <w:p w14:paraId="63155EA8" w14:textId="77777777" w:rsidR="00236748" w:rsidRPr="00276391" w:rsidRDefault="00236748" w:rsidP="00276391">
      <w:pPr>
        <w:pStyle w:val="DHHSbullet1"/>
        <w:rPr>
          <w:rFonts w:cs="Arial"/>
          <w:lang w:eastAsia="en-AU"/>
        </w:rPr>
      </w:pPr>
      <w:r w:rsidRPr="00276391">
        <w:rPr>
          <w:rFonts w:cs="Arial"/>
          <w:lang w:eastAsia="en-AU"/>
        </w:rPr>
        <w:t>Monitor</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employees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conditions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working</w:t>
      </w:r>
      <w:r w:rsidR="005D5532" w:rsidRPr="00276391">
        <w:rPr>
          <w:rFonts w:cs="Arial"/>
          <w:lang w:eastAsia="en-AU"/>
        </w:rPr>
        <w:t xml:space="preserve"> </w:t>
      </w:r>
      <w:r w:rsidRPr="00276391">
        <w:rPr>
          <w:rFonts w:cs="Arial"/>
          <w:lang w:eastAsia="en-AU"/>
        </w:rPr>
        <w:t>environment</w:t>
      </w:r>
      <w:r w:rsidR="005D5532" w:rsidRPr="00276391">
        <w:rPr>
          <w:rFonts w:cs="Arial"/>
          <w:lang w:eastAsia="en-AU"/>
        </w:rPr>
        <w:t xml:space="preserve"> </w:t>
      </w:r>
    </w:p>
    <w:p w14:paraId="45DD2EF8" w14:textId="77777777" w:rsidR="00236748" w:rsidRPr="00276391" w:rsidRDefault="00236748" w:rsidP="00276391">
      <w:pPr>
        <w:pStyle w:val="DHHSbullet1"/>
        <w:rPr>
          <w:rFonts w:cs="Arial"/>
          <w:lang w:eastAsia="en-AU"/>
        </w:rPr>
      </w:pPr>
      <w:r w:rsidRPr="00276391">
        <w:rPr>
          <w:rFonts w:cs="Arial"/>
          <w:lang w:eastAsia="en-AU"/>
        </w:rPr>
        <w:t>Provide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instruction,</w:t>
      </w:r>
      <w:r w:rsidR="005D5532" w:rsidRPr="00276391">
        <w:rPr>
          <w:rFonts w:cs="Arial"/>
          <w:lang w:eastAsia="en-AU"/>
        </w:rPr>
        <w:t xml:space="preserve"> </w:t>
      </w:r>
      <w:r w:rsidRPr="00276391">
        <w:rPr>
          <w:rFonts w:cs="Arial"/>
          <w:lang w:eastAsia="en-AU"/>
        </w:rPr>
        <w:t>training</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supervision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enable</w:t>
      </w:r>
      <w:r w:rsidR="005D5532" w:rsidRPr="00276391">
        <w:rPr>
          <w:rFonts w:cs="Arial"/>
          <w:lang w:eastAsia="en-AU"/>
        </w:rPr>
        <w:t xml:space="preserve"> </w:t>
      </w:r>
      <w:r w:rsidRPr="00276391">
        <w:rPr>
          <w:rFonts w:cs="Arial"/>
          <w:lang w:eastAsia="en-AU"/>
        </w:rPr>
        <w:t>work</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performed</w:t>
      </w:r>
      <w:r w:rsidR="005D5532" w:rsidRPr="00276391">
        <w:rPr>
          <w:rFonts w:cs="Arial"/>
          <w:lang w:eastAsia="en-AU"/>
        </w:rPr>
        <w:t xml:space="preserve"> </w:t>
      </w:r>
      <w:r w:rsidRPr="00276391">
        <w:rPr>
          <w:rFonts w:cs="Arial"/>
          <w:lang w:eastAsia="en-AU"/>
        </w:rPr>
        <w:t>safely</w:t>
      </w:r>
      <w:r w:rsidR="005D5532" w:rsidRPr="00276391">
        <w:rPr>
          <w:rFonts w:cs="Arial"/>
          <w:lang w:eastAsia="en-AU"/>
        </w:rPr>
        <w:t xml:space="preserve"> </w:t>
      </w:r>
    </w:p>
    <w:p w14:paraId="515FB510" w14:textId="6DC7C1C3"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entering</w:t>
      </w:r>
      <w:r w:rsidR="005D5532" w:rsidRPr="00B24C02">
        <w:rPr>
          <w:rFonts w:cs="Arial"/>
          <w:color w:val="000000"/>
          <w:szCs w:val="19"/>
          <w:lang w:eastAsia="en-AU"/>
        </w:rPr>
        <w:t xml:space="preserve"> </w:t>
      </w:r>
      <w:r w:rsidRPr="00B24C02">
        <w:rPr>
          <w:rFonts w:cs="Arial"/>
          <w:color w:val="000000"/>
          <w:szCs w:val="19"/>
          <w:lang w:eastAsia="en-AU"/>
        </w:rPr>
        <w:t>into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aware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able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provide</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appropriate</w:t>
      </w:r>
      <w:r w:rsidR="005D5532" w:rsidRPr="00B24C02">
        <w:rPr>
          <w:rFonts w:cs="Arial"/>
          <w:color w:val="000000"/>
          <w:szCs w:val="19"/>
          <w:lang w:eastAsia="en-AU"/>
        </w:rPr>
        <w:t xml:space="preserve"> </w:t>
      </w:r>
      <w:r w:rsidRPr="00B24C02">
        <w:rPr>
          <w:rFonts w:cs="Arial"/>
          <w:color w:val="000000"/>
          <w:szCs w:val="19"/>
          <w:lang w:eastAsia="en-AU"/>
        </w:rPr>
        <w:t>documented</w:t>
      </w:r>
      <w:r w:rsidR="005D5532" w:rsidRPr="00B24C02">
        <w:rPr>
          <w:rFonts w:cs="Arial"/>
          <w:color w:val="000000"/>
          <w:szCs w:val="19"/>
          <w:lang w:eastAsia="en-AU"/>
        </w:rPr>
        <w:t xml:space="preserve"> </w:t>
      </w:r>
      <w:r w:rsidRPr="00B24C02">
        <w:rPr>
          <w:rFonts w:cs="Arial"/>
          <w:color w:val="000000"/>
          <w:szCs w:val="19"/>
          <w:lang w:eastAsia="en-AU"/>
        </w:rPr>
        <w:t>system</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demonstrate</w:t>
      </w:r>
      <w:r w:rsidR="005D5532" w:rsidRPr="00B24C02">
        <w:rPr>
          <w:rFonts w:cs="Arial"/>
          <w:color w:val="000000"/>
          <w:szCs w:val="19"/>
          <w:lang w:eastAsia="en-AU"/>
        </w:rPr>
        <w:t xml:space="preserve"> </w:t>
      </w:r>
      <w:r w:rsidRPr="00B24C02">
        <w:rPr>
          <w:rFonts w:cs="Arial"/>
          <w:color w:val="000000"/>
          <w:szCs w:val="19"/>
          <w:lang w:eastAsia="en-AU"/>
        </w:rPr>
        <w:t>compliance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occupational</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employers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Federal</w:t>
      </w:r>
      <w:r w:rsidR="005D5532" w:rsidRPr="00B24C02">
        <w:rPr>
          <w:rFonts w:cs="Arial"/>
          <w:color w:val="000000"/>
          <w:szCs w:val="19"/>
          <w:lang w:eastAsia="en-AU"/>
        </w:rPr>
        <w:t xml:space="preserve"> </w:t>
      </w:r>
      <w:r w:rsidRPr="00B24C02">
        <w:rPr>
          <w:rFonts w:cs="Arial"/>
          <w:color w:val="000000"/>
          <w:szCs w:val="19"/>
          <w:lang w:eastAsia="en-AU"/>
        </w:rPr>
        <w:t>law,</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1B33A9">
        <w:rPr>
          <w:rFonts w:cs="Arial"/>
          <w:bCs/>
          <w:i/>
          <w:color w:val="000000"/>
          <w:szCs w:val="19"/>
          <w:lang w:eastAsia="en-AU"/>
        </w:rPr>
        <w:t>Occupational</w:t>
      </w:r>
      <w:r w:rsidR="005D5532" w:rsidRPr="001B33A9">
        <w:rPr>
          <w:rFonts w:cs="Arial"/>
          <w:bCs/>
          <w:i/>
          <w:color w:val="000000"/>
          <w:szCs w:val="19"/>
          <w:lang w:eastAsia="en-AU"/>
        </w:rPr>
        <w:t xml:space="preserve"> </w:t>
      </w:r>
      <w:r w:rsidRPr="001B33A9">
        <w:rPr>
          <w:rFonts w:cs="Arial"/>
          <w:bCs/>
          <w:i/>
          <w:color w:val="000000"/>
          <w:szCs w:val="19"/>
          <w:lang w:eastAsia="en-AU"/>
        </w:rPr>
        <w:t>Health</w:t>
      </w:r>
      <w:r w:rsidR="005D5532" w:rsidRPr="001B33A9">
        <w:rPr>
          <w:rFonts w:cs="Arial"/>
          <w:bCs/>
          <w:i/>
          <w:color w:val="000000"/>
          <w:szCs w:val="19"/>
          <w:lang w:eastAsia="en-AU"/>
        </w:rPr>
        <w:t xml:space="preserve"> </w:t>
      </w:r>
      <w:r w:rsidRPr="001B33A9">
        <w:rPr>
          <w:rFonts w:cs="Arial"/>
          <w:bCs/>
          <w:i/>
          <w:color w:val="000000"/>
          <w:szCs w:val="19"/>
          <w:lang w:eastAsia="en-AU"/>
        </w:rPr>
        <w:t>and</w:t>
      </w:r>
      <w:r w:rsidR="005D5532" w:rsidRPr="001B33A9">
        <w:rPr>
          <w:rFonts w:cs="Arial"/>
          <w:bCs/>
          <w:i/>
          <w:color w:val="000000"/>
          <w:szCs w:val="19"/>
          <w:lang w:eastAsia="en-AU"/>
        </w:rPr>
        <w:t xml:space="preserve"> </w:t>
      </w:r>
      <w:r w:rsidRPr="001B33A9">
        <w:rPr>
          <w:rFonts w:cs="Arial"/>
          <w:bCs/>
          <w:i/>
          <w:color w:val="000000"/>
          <w:szCs w:val="19"/>
          <w:lang w:eastAsia="en-AU"/>
        </w:rPr>
        <w:t>Safety</w:t>
      </w:r>
      <w:r w:rsidR="005D5532" w:rsidRPr="001B33A9">
        <w:rPr>
          <w:rFonts w:cs="Arial"/>
          <w:bCs/>
          <w:i/>
          <w:color w:val="000000"/>
          <w:szCs w:val="19"/>
          <w:lang w:eastAsia="en-AU"/>
        </w:rPr>
        <w:t xml:space="preserve"> </w:t>
      </w:r>
      <w:r w:rsidRPr="001B33A9">
        <w:rPr>
          <w:rFonts w:cs="Arial"/>
          <w:bCs/>
          <w:i/>
          <w:color w:val="000000"/>
          <w:szCs w:val="19"/>
          <w:lang w:eastAsia="en-AU"/>
        </w:rPr>
        <w:t>Act</w:t>
      </w:r>
      <w:r w:rsidR="005D5532" w:rsidRPr="001B33A9">
        <w:rPr>
          <w:rFonts w:cs="Arial"/>
          <w:bCs/>
          <w:i/>
          <w:color w:val="000000"/>
          <w:szCs w:val="19"/>
          <w:lang w:eastAsia="en-AU"/>
        </w:rPr>
        <w:t xml:space="preserve"> </w:t>
      </w:r>
      <w:r w:rsidRPr="001B33A9">
        <w:rPr>
          <w:rFonts w:cs="Arial"/>
          <w:bCs/>
          <w:i/>
          <w:color w:val="000000"/>
          <w:szCs w:val="19"/>
          <w:lang w:eastAsia="en-AU"/>
        </w:rPr>
        <w:t>2004</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particular</w:t>
      </w:r>
      <w:r w:rsidR="005D5532" w:rsidRPr="00B24C02">
        <w:rPr>
          <w:rFonts w:cs="Arial"/>
          <w:color w:val="000000"/>
          <w:szCs w:val="19"/>
          <w:lang w:eastAsia="en-AU"/>
        </w:rPr>
        <w:t xml:space="preserve"> </w:t>
      </w:r>
      <w:r w:rsidRPr="00B24C02">
        <w:rPr>
          <w:rFonts w:cs="Arial"/>
          <w:color w:val="000000"/>
          <w:szCs w:val="19"/>
          <w:lang w:eastAsia="en-AU"/>
        </w:rPr>
        <w:t>note</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sections</w:t>
      </w:r>
      <w:r w:rsidR="005D5532" w:rsidRPr="00B24C02">
        <w:rPr>
          <w:rFonts w:cs="Arial"/>
          <w:color w:val="000000"/>
          <w:szCs w:val="19"/>
          <w:lang w:eastAsia="en-AU"/>
        </w:rPr>
        <w:t xml:space="preserve"> </w:t>
      </w:r>
      <w:r w:rsidRPr="00B24C02">
        <w:rPr>
          <w:rFonts w:cs="Arial"/>
          <w:color w:val="000000"/>
          <w:szCs w:val="19"/>
          <w:lang w:eastAsia="en-AU"/>
        </w:rPr>
        <w:t>21(1),</w:t>
      </w:r>
      <w:r w:rsidR="005D5532" w:rsidRPr="00B24C02">
        <w:rPr>
          <w:rFonts w:cs="Arial"/>
          <w:color w:val="000000"/>
          <w:szCs w:val="19"/>
          <w:lang w:eastAsia="en-AU"/>
        </w:rPr>
        <w:t xml:space="preserve"> </w:t>
      </w:r>
      <w:r w:rsidRPr="00B24C02">
        <w:rPr>
          <w:rFonts w:cs="Arial"/>
          <w:color w:val="000000"/>
          <w:szCs w:val="19"/>
          <w:lang w:eastAsia="en-AU"/>
        </w:rPr>
        <w:t>21(2),</w:t>
      </w:r>
      <w:r w:rsidR="005D5532" w:rsidRPr="00B24C02">
        <w:rPr>
          <w:rFonts w:cs="Arial"/>
          <w:color w:val="000000"/>
          <w:szCs w:val="19"/>
          <w:lang w:eastAsia="en-AU"/>
        </w:rPr>
        <w:t xml:space="preserve"> </w:t>
      </w:r>
      <w:r w:rsidRPr="00B24C02">
        <w:rPr>
          <w:rFonts w:cs="Arial"/>
          <w:color w:val="000000"/>
          <w:szCs w:val="19"/>
          <w:lang w:eastAsia="en-AU"/>
        </w:rPr>
        <w:t>21(3),</w:t>
      </w:r>
      <w:r w:rsidR="005D5532" w:rsidRPr="00B24C02">
        <w:rPr>
          <w:rFonts w:cs="Arial"/>
          <w:color w:val="000000"/>
          <w:szCs w:val="19"/>
          <w:lang w:eastAsia="en-AU"/>
        </w:rPr>
        <w:t xml:space="preserve"> </w:t>
      </w:r>
      <w:r w:rsidRPr="00B24C02">
        <w:rPr>
          <w:rFonts w:cs="Arial"/>
          <w:color w:val="000000"/>
          <w:szCs w:val="19"/>
          <w:lang w:eastAsia="en-AU"/>
        </w:rPr>
        <w:t>22</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23</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p>
    <w:p w14:paraId="5FB1FFE7" w14:textId="77777777" w:rsidR="00236748" w:rsidRPr="00276391" w:rsidRDefault="00236748" w:rsidP="00276391">
      <w:pPr>
        <w:pStyle w:val="DHHSbody"/>
        <w:rPr>
          <w:lang w:eastAsia="en-AU"/>
        </w:rPr>
      </w:pPr>
      <w:r w:rsidRPr="00276391">
        <w:rPr>
          <w:lang w:eastAsia="en-AU"/>
        </w:rPr>
        <w:t>Key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safe</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applying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principles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are:</w:t>
      </w:r>
    </w:p>
    <w:p w14:paraId="4AB319A2" w14:textId="77777777" w:rsidR="00236748" w:rsidRPr="00276391" w:rsidRDefault="00236748" w:rsidP="00276391">
      <w:pPr>
        <w:pStyle w:val="DHHSbullet1"/>
        <w:rPr>
          <w:rFonts w:cs="Arial"/>
          <w:lang w:eastAsia="en-AU"/>
        </w:rPr>
      </w:pPr>
      <w:r w:rsidRPr="00276391">
        <w:rPr>
          <w:rFonts w:cs="Arial"/>
          <w:lang w:eastAsia="en-AU"/>
        </w:rPr>
        <w:t>The</w:t>
      </w:r>
      <w:r w:rsidR="005D5532" w:rsidRPr="00276391">
        <w:rPr>
          <w:rFonts w:cs="Arial"/>
          <w:lang w:eastAsia="en-AU"/>
        </w:rPr>
        <w:t xml:space="preserve"> </w:t>
      </w:r>
      <w:r w:rsidRPr="00276391">
        <w:rPr>
          <w:rFonts w:cs="Arial"/>
          <w:lang w:eastAsia="en-AU"/>
        </w:rPr>
        <w:t>importance</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requires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employees,</w:t>
      </w:r>
      <w:r w:rsidR="005D5532" w:rsidRPr="00276391">
        <w:rPr>
          <w:rFonts w:cs="Arial"/>
          <w:lang w:eastAsia="en-AU"/>
        </w:rPr>
        <w:t xml:space="preserve"> </w:t>
      </w:r>
      <w:r w:rsidRPr="00276391">
        <w:rPr>
          <w:rFonts w:cs="Arial"/>
          <w:lang w:eastAsia="en-AU"/>
        </w:rPr>
        <w:t>other</w:t>
      </w:r>
      <w:r w:rsidR="005D5532" w:rsidRPr="00276391">
        <w:rPr>
          <w:rFonts w:cs="Arial"/>
          <w:lang w:eastAsia="en-AU"/>
        </w:rPr>
        <w:t xml:space="preserve"> </w:t>
      </w:r>
      <w:r w:rsidRPr="00276391">
        <w:rPr>
          <w:rFonts w:cs="Arial"/>
          <w:lang w:eastAsia="en-AU"/>
        </w:rPr>
        <w:t>persons</w:t>
      </w:r>
      <w:r w:rsidR="005D5532" w:rsidRPr="00276391">
        <w:rPr>
          <w:rFonts w:cs="Arial"/>
          <w:lang w:eastAsia="en-AU"/>
        </w:rPr>
        <w:t xml:space="preserve"> </w:t>
      </w:r>
      <w:r w:rsidRPr="00276391">
        <w:rPr>
          <w:rFonts w:cs="Arial"/>
          <w:lang w:eastAsia="en-AU"/>
        </w:rPr>
        <w:t>at</w:t>
      </w:r>
      <w:r w:rsidR="005D5532" w:rsidRPr="00276391">
        <w:rPr>
          <w:rFonts w:cs="Arial"/>
          <w:lang w:eastAsia="en-AU"/>
        </w:rPr>
        <w:t xml:space="preserve"> </w:t>
      </w:r>
      <w:r w:rsidRPr="00276391">
        <w:rPr>
          <w:rFonts w:cs="Arial"/>
          <w:lang w:eastAsia="en-AU"/>
        </w:rPr>
        <w:t>work</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members</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public</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given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highest</w:t>
      </w:r>
      <w:r w:rsidR="005D5532" w:rsidRPr="00276391">
        <w:rPr>
          <w:rFonts w:cs="Arial"/>
          <w:lang w:eastAsia="en-AU"/>
        </w:rPr>
        <w:t xml:space="preserve"> </w:t>
      </w:r>
      <w:r w:rsidRPr="00276391">
        <w:rPr>
          <w:rFonts w:cs="Arial"/>
          <w:lang w:eastAsia="en-AU"/>
        </w:rPr>
        <w:t>level</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protection</w:t>
      </w:r>
      <w:r w:rsidR="005D5532" w:rsidRPr="00276391">
        <w:rPr>
          <w:rFonts w:cs="Arial"/>
          <w:lang w:eastAsia="en-AU"/>
        </w:rPr>
        <w:t xml:space="preserve"> </w:t>
      </w:r>
      <w:r w:rsidRPr="00276391">
        <w:rPr>
          <w:rFonts w:cs="Arial"/>
          <w:lang w:eastAsia="en-AU"/>
        </w:rPr>
        <w:t>against</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their</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practicable</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circumstances.</w:t>
      </w:r>
      <w:r w:rsidR="005D5532" w:rsidRPr="00276391">
        <w:rPr>
          <w:rFonts w:cs="Arial"/>
          <w:lang w:eastAsia="en-AU"/>
        </w:rPr>
        <w:t xml:space="preserve"> </w:t>
      </w:r>
    </w:p>
    <w:p w14:paraId="53EB3816" w14:textId="77777777" w:rsidR="00236748" w:rsidRPr="00276391" w:rsidRDefault="00236748" w:rsidP="00276391">
      <w:pPr>
        <w:pStyle w:val="DHHSbullet1"/>
        <w:rPr>
          <w:rFonts w:cs="Arial"/>
          <w:lang w:eastAsia="en-AU"/>
        </w:rPr>
      </w:pPr>
      <w:r w:rsidRPr="00276391">
        <w:rPr>
          <w:rFonts w:cs="Arial"/>
          <w:lang w:eastAsia="en-AU"/>
        </w:rPr>
        <w:t>Persons</w:t>
      </w:r>
      <w:r w:rsidR="005D5532" w:rsidRPr="00276391">
        <w:rPr>
          <w:rFonts w:cs="Arial"/>
          <w:lang w:eastAsia="en-AU"/>
        </w:rPr>
        <w:t xml:space="preserve"> </w:t>
      </w:r>
      <w:r w:rsidRPr="00276391">
        <w:rPr>
          <w:rFonts w:cs="Arial"/>
          <w:lang w:eastAsia="en-AU"/>
        </w:rPr>
        <w:t>who</w:t>
      </w:r>
      <w:r w:rsidR="005D5532" w:rsidRPr="00276391">
        <w:rPr>
          <w:rFonts w:cs="Arial"/>
          <w:lang w:eastAsia="en-AU"/>
        </w:rPr>
        <w:t xml:space="preserve"> </w:t>
      </w:r>
      <w:r w:rsidRPr="00276391">
        <w:rPr>
          <w:rFonts w:cs="Arial"/>
          <w:lang w:eastAsia="en-AU"/>
        </w:rPr>
        <w:t>control</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manage</w:t>
      </w:r>
      <w:r w:rsidR="005D5532" w:rsidRPr="00276391">
        <w:rPr>
          <w:rFonts w:cs="Arial"/>
          <w:lang w:eastAsia="en-AU"/>
        </w:rPr>
        <w:t xml:space="preserve"> </w:t>
      </w:r>
      <w:r w:rsidRPr="00276391">
        <w:rPr>
          <w:rFonts w:cs="Arial"/>
          <w:lang w:eastAsia="en-AU"/>
        </w:rPr>
        <w:t>matters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give</w:t>
      </w:r>
      <w:r w:rsidR="005D5532" w:rsidRPr="00276391">
        <w:rPr>
          <w:rFonts w:cs="Arial"/>
          <w:lang w:eastAsia="en-AU"/>
        </w:rPr>
        <w:t xml:space="preserve"> </w:t>
      </w:r>
      <w:r w:rsidRPr="00276391">
        <w:rPr>
          <w:rFonts w:cs="Arial"/>
          <w:lang w:eastAsia="en-AU"/>
        </w:rPr>
        <w:t>rise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may</w:t>
      </w:r>
      <w:r w:rsidR="005D5532" w:rsidRPr="00276391">
        <w:rPr>
          <w:rFonts w:cs="Arial"/>
          <w:lang w:eastAsia="en-AU"/>
        </w:rPr>
        <w:t xml:space="preserve"> </w:t>
      </w:r>
      <w:r w:rsidRPr="00276391">
        <w:rPr>
          <w:rFonts w:cs="Arial"/>
          <w:lang w:eastAsia="en-AU"/>
        </w:rPr>
        <w:t>give</w:t>
      </w:r>
      <w:r w:rsidR="005D5532" w:rsidRPr="00276391">
        <w:rPr>
          <w:rFonts w:cs="Arial"/>
          <w:lang w:eastAsia="en-AU"/>
        </w:rPr>
        <w:t xml:space="preserve"> </w:t>
      </w:r>
      <w:r w:rsidRPr="00276391">
        <w:rPr>
          <w:rFonts w:cs="Arial"/>
          <w:lang w:eastAsia="en-AU"/>
        </w:rPr>
        <w:t>rise</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responsible</w:t>
      </w:r>
      <w:r w:rsidR="005D5532" w:rsidRPr="00276391">
        <w:rPr>
          <w:rFonts w:cs="Arial"/>
          <w:lang w:eastAsia="en-AU"/>
        </w:rPr>
        <w:t xml:space="preserve"> </w:t>
      </w:r>
      <w:r w:rsidRPr="00276391">
        <w:rPr>
          <w:rFonts w:cs="Arial"/>
          <w:lang w:eastAsia="en-AU"/>
        </w:rPr>
        <w:t>for</w:t>
      </w:r>
      <w:r w:rsidR="005D5532" w:rsidRPr="00276391">
        <w:rPr>
          <w:rFonts w:cs="Arial"/>
          <w:lang w:eastAsia="en-AU"/>
        </w:rPr>
        <w:t xml:space="preserve"> </w:t>
      </w:r>
      <w:r w:rsidRPr="00276391">
        <w:rPr>
          <w:rFonts w:cs="Arial"/>
          <w:lang w:eastAsia="en-AU"/>
        </w:rPr>
        <w:t>eliminating</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reducing</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so</w:t>
      </w:r>
      <w:r w:rsidR="005D5532" w:rsidRPr="00276391">
        <w:rPr>
          <w:rFonts w:cs="Arial"/>
          <w:lang w:eastAsia="en-AU"/>
        </w:rPr>
        <w:t xml:space="preserve"> </w:t>
      </w:r>
      <w:r w:rsidRPr="00276391">
        <w:rPr>
          <w:rFonts w:cs="Arial"/>
          <w:lang w:eastAsia="en-AU"/>
        </w:rPr>
        <w:t>far</w:t>
      </w:r>
      <w:r w:rsidR="005D5532" w:rsidRPr="00276391">
        <w:rPr>
          <w:rFonts w:cs="Arial"/>
          <w:lang w:eastAsia="en-AU"/>
        </w:rPr>
        <w:t xml:space="preserve"> </w:t>
      </w:r>
      <w:r w:rsidRPr="00276391">
        <w:rPr>
          <w:rFonts w:cs="Arial"/>
          <w:lang w:eastAsia="en-AU"/>
        </w:rPr>
        <w:t>as</w:t>
      </w:r>
      <w:r w:rsidR="005D5532" w:rsidRPr="00276391">
        <w:rPr>
          <w:rFonts w:cs="Arial"/>
          <w:lang w:eastAsia="en-AU"/>
        </w:rPr>
        <w:t xml:space="preserve"> </w:t>
      </w:r>
      <w:r w:rsidRPr="00276391">
        <w:rPr>
          <w:rFonts w:cs="Arial"/>
          <w:lang w:eastAsia="en-AU"/>
        </w:rPr>
        <w:t>is</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practicable.</w:t>
      </w:r>
      <w:r w:rsidR="005D5532" w:rsidRPr="00276391">
        <w:rPr>
          <w:rFonts w:cs="Arial"/>
          <w:lang w:eastAsia="en-AU"/>
        </w:rPr>
        <w:t xml:space="preserve"> </w:t>
      </w:r>
    </w:p>
    <w:p w14:paraId="01D394D7" w14:textId="77777777" w:rsidR="00236748" w:rsidRPr="00276391" w:rsidRDefault="00236748" w:rsidP="00276391">
      <w:pPr>
        <w:pStyle w:val="DHHSbullet1"/>
        <w:rPr>
          <w:rFonts w:cs="Arial"/>
          <w:lang w:eastAsia="en-AU"/>
        </w:rPr>
      </w:pPr>
      <w:r w:rsidRPr="00276391">
        <w:rPr>
          <w:rFonts w:cs="Arial"/>
          <w:lang w:eastAsia="en-AU"/>
        </w:rPr>
        <w:t>Employers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self-employed</w:t>
      </w:r>
      <w:r w:rsidR="005D5532" w:rsidRPr="00276391">
        <w:rPr>
          <w:rFonts w:cs="Arial"/>
          <w:lang w:eastAsia="en-AU"/>
        </w:rPr>
        <w:t xml:space="preserve"> </w:t>
      </w:r>
      <w:r w:rsidRPr="00276391">
        <w:rPr>
          <w:rFonts w:cs="Arial"/>
          <w:lang w:eastAsia="en-AU"/>
        </w:rPr>
        <w:t>persons</w:t>
      </w:r>
      <w:r w:rsidR="005D5532" w:rsidRPr="00276391">
        <w:rPr>
          <w:rFonts w:cs="Arial"/>
          <w:lang w:eastAsia="en-AU"/>
        </w:rPr>
        <w:t xml:space="preserve"> </w:t>
      </w:r>
      <w:r w:rsidRPr="00276391">
        <w:rPr>
          <w:rFonts w:cs="Arial"/>
          <w:lang w:eastAsia="en-AU"/>
        </w:rPr>
        <w:t>should</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proofErr w:type="gramStart"/>
      <w:r w:rsidRPr="00276391">
        <w:rPr>
          <w:rFonts w:cs="Arial"/>
          <w:lang w:eastAsia="en-AU"/>
        </w:rPr>
        <w:t>proactive,</w:t>
      </w:r>
      <w:r w:rsidR="005D5532" w:rsidRPr="00276391">
        <w:rPr>
          <w:rFonts w:cs="Arial"/>
          <w:lang w:eastAsia="en-AU"/>
        </w:rPr>
        <w:t xml:space="preserve"> </w:t>
      </w:r>
      <w:r w:rsidRPr="00276391">
        <w:rPr>
          <w:rFonts w:cs="Arial"/>
          <w:lang w:eastAsia="en-AU"/>
        </w:rPr>
        <w:t>and</w:t>
      </w:r>
      <w:proofErr w:type="gramEnd"/>
      <w:r w:rsidR="005D5532" w:rsidRPr="00276391">
        <w:rPr>
          <w:rFonts w:cs="Arial"/>
          <w:lang w:eastAsia="en-AU"/>
        </w:rPr>
        <w:t xml:space="preserve"> </w:t>
      </w:r>
      <w:r w:rsidRPr="00276391">
        <w:rPr>
          <w:rFonts w:cs="Arial"/>
          <w:lang w:eastAsia="en-AU"/>
        </w:rPr>
        <w:t>take</w:t>
      </w:r>
      <w:r w:rsidR="005D5532" w:rsidRPr="00276391">
        <w:rPr>
          <w:rFonts w:cs="Arial"/>
          <w:lang w:eastAsia="en-AU"/>
        </w:rPr>
        <w:t xml:space="preserve"> </w:t>
      </w:r>
      <w:r w:rsidRPr="00276391">
        <w:rPr>
          <w:rFonts w:cs="Arial"/>
          <w:lang w:eastAsia="en-AU"/>
        </w:rPr>
        <w:t>all</w:t>
      </w:r>
      <w:r w:rsidR="005D5532" w:rsidRPr="00276391">
        <w:rPr>
          <w:rFonts w:cs="Arial"/>
          <w:lang w:eastAsia="en-AU"/>
        </w:rPr>
        <w:t xml:space="preserve"> </w:t>
      </w:r>
      <w:r w:rsidRPr="00276391">
        <w:rPr>
          <w:rFonts w:cs="Arial"/>
          <w:lang w:eastAsia="en-AU"/>
        </w:rPr>
        <w:t>reasonably</w:t>
      </w:r>
      <w:r w:rsidR="005D5532" w:rsidRPr="00276391">
        <w:rPr>
          <w:rFonts w:cs="Arial"/>
          <w:lang w:eastAsia="en-AU"/>
        </w:rPr>
        <w:t xml:space="preserve"> </w:t>
      </w:r>
      <w:r w:rsidRPr="00276391">
        <w:rPr>
          <w:rFonts w:cs="Arial"/>
          <w:lang w:eastAsia="en-AU"/>
        </w:rPr>
        <w:t>practicable</w:t>
      </w:r>
      <w:r w:rsidR="005D5532" w:rsidRPr="00276391">
        <w:rPr>
          <w:rFonts w:cs="Arial"/>
          <w:lang w:eastAsia="en-AU"/>
        </w:rPr>
        <w:t xml:space="preserve"> </w:t>
      </w:r>
      <w:r w:rsidRPr="00276391">
        <w:rPr>
          <w:rFonts w:cs="Arial"/>
          <w:lang w:eastAsia="en-AU"/>
        </w:rPr>
        <w:t>measures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ensure</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at</w:t>
      </w:r>
      <w:r w:rsidR="005D5532" w:rsidRPr="00276391">
        <w:rPr>
          <w:rFonts w:cs="Arial"/>
          <w:lang w:eastAsia="en-AU"/>
        </w:rPr>
        <w:t xml:space="preserve"> </w:t>
      </w:r>
      <w:r w:rsidRPr="00276391">
        <w:rPr>
          <w:rFonts w:cs="Arial"/>
          <w:lang w:eastAsia="en-AU"/>
        </w:rPr>
        <w:t>workplaces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the</w:t>
      </w:r>
      <w:r w:rsidR="005D5532" w:rsidRPr="00276391">
        <w:rPr>
          <w:rFonts w:cs="Arial"/>
          <w:lang w:eastAsia="en-AU"/>
        </w:rPr>
        <w:t xml:space="preserve"> </w:t>
      </w:r>
      <w:r w:rsidRPr="00276391">
        <w:rPr>
          <w:rFonts w:cs="Arial"/>
          <w:lang w:eastAsia="en-AU"/>
        </w:rPr>
        <w:t>conduct</w:t>
      </w:r>
      <w:r w:rsidR="005D5532" w:rsidRPr="00276391">
        <w:rPr>
          <w:rFonts w:cs="Arial"/>
          <w:lang w:eastAsia="en-AU"/>
        </w:rPr>
        <w:t xml:space="preserve"> </w:t>
      </w:r>
      <w:r w:rsidRPr="00276391">
        <w:rPr>
          <w:rFonts w:cs="Arial"/>
          <w:lang w:eastAsia="en-AU"/>
        </w:rPr>
        <w:t>of</w:t>
      </w:r>
      <w:r w:rsidR="005D5532" w:rsidRPr="00276391">
        <w:rPr>
          <w:rFonts w:cs="Arial"/>
          <w:lang w:eastAsia="en-AU"/>
        </w:rPr>
        <w:t xml:space="preserve"> </w:t>
      </w:r>
      <w:r w:rsidRPr="00276391">
        <w:rPr>
          <w:rFonts w:cs="Arial"/>
          <w:lang w:eastAsia="en-AU"/>
        </w:rPr>
        <w:t>undertakings.</w:t>
      </w:r>
      <w:r w:rsidR="005D5532" w:rsidRPr="00276391">
        <w:rPr>
          <w:rFonts w:cs="Arial"/>
          <w:lang w:eastAsia="en-AU"/>
        </w:rPr>
        <w:t xml:space="preserve"> </w:t>
      </w:r>
    </w:p>
    <w:p w14:paraId="2D019E59" w14:textId="77777777" w:rsidR="00236748" w:rsidRPr="00276391" w:rsidRDefault="00236748" w:rsidP="00276391">
      <w:pPr>
        <w:pStyle w:val="DHHSbullet1"/>
        <w:rPr>
          <w:rFonts w:cs="Arial"/>
          <w:lang w:eastAsia="en-AU"/>
        </w:rPr>
      </w:pPr>
      <w:r w:rsidRPr="00276391">
        <w:rPr>
          <w:rFonts w:cs="Arial"/>
          <w:lang w:eastAsia="en-AU"/>
        </w:rPr>
        <w:t>Employers</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employees</w:t>
      </w:r>
      <w:r w:rsidR="005D5532" w:rsidRPr="00276391">
        <w:rPr>
          <w:rFonts w:cs="Arial"/>
          <w:lang w:eastAsia="en-AU"/>
        </w:rPr>
        <w:t xml:space="preserve"> </w:t>
      </w:r>
      <w:r w:rsidRPr="00276391">
        <w:rPr>
          <w:rFonts w:cs="Arial"/>
          <w:lang w:eastAsia="en-AU"/>
        </w:rPr>
        <w:t>should</w:t>
      </w:r>
      <w:r w:rsidR="005D5532" w:rsidRPr="00276391">
        <w:rPr>
          <w:rFonts w:cs="Arial"/>
          <w:lang w:eastAsia="en-AU"/>
        </w:rPr>
        <w:t xml:space="preserve"> </w:t>
      </w:r>
      <w:r w:rsidRPr="00276391">
        <w:rPr>
          <w:rFonts w:cs="Arial"/>
          <w:lang w:eastAsia="en-AU"/>
        </w:rPr>
        <w:t>exchange</w:t>
      </w:r>
      <w:r w:rsidR="005D5532" w:rsidRPr="00276391">
        <w:rPr>
          <w:rFonts w:cs="Arial"/>
          <w:lang w:eastAsia="en-AU"/>
        </w:rPr>
        <w:t xml:space="preserve"> </w:t>
      </w:r>
      <w:r w:rsidRPr="00276391">
        <w:rPr>
          <w:rFonts w:cs="Arial"/>
          <w:lang w:eastAsia="en-AU"/>
        </w:rPr>
        <w:t>information</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ideas</w:t>
      </w:r>
      <w:r w:rsidR="005D5532" w:rsidRPr="00276391">
        <w:rPr>
          <w:rFonts w:cs="Arial"/>
          <w:lang w:eastAsia="en-AU"/>
        </w:rPr>
        <w:t xml:space="preserve"> </w:t>
      </w:r>
      <w:r w:rsidRPr="00276391">
        <w:rPr>
          <w:rFonts w:cs="Arial"/>
          <w:lang w:eastAsia="en-AU"/>
        </w:rPr>
        <w:t>about</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measures</w:t>
      </w:r>
      <w:r w:rsidR="005D5532" w:rsidRPr="00276391">
        <w:rPr>
          <w:rFonts w:cs="Arial"/>
          <w:lang w:eastAsia="en-AU"/>
        </w:rPr>
        <w:t xml:space="preserve"> </w:t>
      </w:r>
      <w:r w:rsidRPr="00276391">
        <w:rPr>
          <w:rFonts w:cs="Arial"/>
          <w:lang w:eastAsia="en-AU"/>
        </w:rPr>
        <w:t>that</w:t>
      </w:r>
      <w:r w:rsidR="005D5532" w:rsidRPr="00276391">
        <w:rPr>
          <w:rFonts w:cs="Arial"/>
          <w:lang w:eastAsia="en-AU"/>
        </w:rPr>
        <w:t xml:space="preserve"> </w:t>
      </w:r>
      <w:r w:rsidRPr="00276391">
        <w:rPr>
          <w:rFonts w:cs="Arial"/>
          <w:lang w:eastAsia="en-AU"/>
        </w:rPr>
        <w:t>can</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taken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eliminate</w:t>
      </w:r>
      <w:r w:rsidR="005D5532" w:rsidRPr="00276391">
        <w:rPr>
          <w:rFonts w:cs="Arial"/>
          <w:lang w:eastAsia="en-AU"/>
        </w:rPr>
        <w:t xml:space="preserve"> </w:t>
      </w:r>
      <w:r w:rsidRPr="00276391">
        <w:rPr>
          <w:rFonts w:cs="Arial"/>
          <w:lang w:eastAsia="en-AU"/>
        </w:rPr>
        <w:t>or</w:t>
      </w:r>
      <w:r w:rsidR="005D5532" w:rsidRPr="00276391">
        <w:rPr>
          <w:rFonts w:cs="Arial"/>
          <w:lang w:eastAsia="en-AU"/>
        </w:rPr>
        <w:t xml:space="preserve"> </w:t>
      </w:r>
      <w:r w:rsidRPr="00276391">
        <w:rPr>
          <w:rFonts w:cs="Arial"/>
          <w:lang w:eastAsia="en-AU"/>
        </w:rPr>
        <w:t>reduce</w:t>
      </w:r>
      <w:r w:rsidR="005D5532" w:rsidRPr="00276391">
        <w:rPr>
          <w:rFonts w:cs="Arial"/>
          <w:lang w:eastAsia="en-AU"/>
        </w:rPr>
        <w:t xml:space="preserve"> </w:t>
      </w:r>
      <w:r w:rsidRPr="00276391">
        <w:rPr>
          <w:rFonts w:cs="Arial"/>
          <w:lang w:eastAsia="en-AU"/>
        </w:rPr>
        <w:t>those</w:t>
      </w:r>
      <w:r w:rsidR="005D5532" w:rsidRPr="00276391">
        <w:rPr>
          <w:rFonts w:cs="Arial"/>
          <w:lang w:eastAsia="en-AU"/>
        </w:rPr>
        <w:t xml:space="preserve"> </w:t>
      </w:r>
      <w:r w:rsidRPr="00276391">
        <w:rPr>
          <w:rFonts w:cs="Arial"/>
          <w:lang w:eastAsia="en-AU"/>
        </w:rPr>
        <w:t>risks.</w:t>
      </w:r>
      <w:r w:rsidR="005D5532" w:rsidRPr="00276391">
        <w:rPr>
          <w:rFonts w:cs="Arial"/>
          <w:lang w:eastAsia="en-AU"/>
        </w:rPr>
        <w:t xml:space="preserve"> </w:t>
      </w:r>
    </w:p>
    <w:p w14:paraId="3224968D" w14:textId="77777777" w:rsidR="00236748" w:rsidRPr="00276391" w:rsidRDefault="00236748" w:rsidP="00276391">
      <w:pPr>
        <w:pStyle w:val="DHHSbullet1"/>
        <w:rPr>
          <w:rFonts w:cs="Arial"/>
          <w:lang w:eastAsia="en-AU"/>
        </w:rPr>
      </w:pPr>
      <w:r w:rsidRPr="00276391">
        <w:rPr>
          <w:rFonts w:cs="Arial"/>
          <w:lang w:eastAsia="en-AU"/>
        </w:rPr>
        <w:t>Employees</w:t>
      </w:r>
      <w:r w:rsidR="005D5532" w:rsidRPr="00276391">
        <w:rPr>
          <w:rFonts w:cs="Arial"/>
          <w:lang w:eastAsia="en-AU"/>
        </w:rPr>
        <w:t xml:space="preserve"> </w:t>
      </w:r>
      <w:r w:rsidRPr="00276391">
        <w:rPr>
          <w:rFonts w:cs="Arial"/>
          <w:lang w:eastAsia="en-AU"/>
        </w:rPr>
        <w:t>are</w:t>
      </w:r>
      <w:r w:rsidR="005D5532" w:rsidRPr="00276391">
        <w:rPr>
          <w:rFonts w:cs="Arial"/>
          <w:lang w:eastAsia="en-AU"/>
        </w:rPr>
        <w:t xml:space="preserve"> </w:t>
      </w:r>
      <w:r w:rsidRPr="00276391">
        <w:rPr>
          <w:rFonts w:cs="Arial"/>
          <w:lang w:eastAsia="en-AU"/>
        </w:rPr>
        <w:t>entitled,</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should</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encouraged,</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be</w:t>
      </w:r>
      <w:r w:rsidR="005D5532" w:rsidRPr="00276391">
        <w:rPr>
          <w:rFonts w:cs="Arial"/>
          <w:lang w:eastAsia="en-AU"/>
        </w:rPr>
        <w:t xml:space="preserve"> </w:t>
      </w:r>
      <w:r w:rsidRPr="00276391">
        <w:rPr>
          <w:rFonts w:cs="Arial"/>
          <w:lang w:eastAsia="en-AU"/>
        </w:rPr>
        <w:t>represented</w:t>
      </w:r>
      <w:r w:rsidR="005D5532" w:rsidRPr="00276391">
        <w:rPr>
          <w:rFonts w:cs="Arial"/>
          <w:lang w:eastAsia="en-AU"/>
        </w:rPr>
        <w:t xml:space="preserve"> </w:t>
      </w:r>
      <w:r w:rsidRPr="00276391">
        <w:rPr>
          <w:rFonts w:cs="Arial"/>
          <w:lang w:eastAsia="en-AU"/>
        </w:rPr>
        <w:t>in</w:t>
      </w:r>
      <w:r w:rsidR="005D5532" w:rsidRPr="00276391">
        <w:rPr>
          <w:rFonts w:cs="Arial"/>
          <w:lang w:eastAsia="en-AU"/>
        </w:rPr>
        <w:t xml:space="preserve"> </w:t>
      </w:r>
      <w:r w:rsidRPr="00276391">
        <w:rPr>
          <w:rFonts w:cs="Arial"/>
          <w:lang w:eastAsia="en-AU"/>
        </w:rPr>
        <w:t>relation</w:t>
      </w:r>
      <w:r w:rsidR="005D5532" w:rsidRPr="00276391">
        <w:rPr>
          <w:rFonts w:cs="Arial"/>
          <w:lang w:eastAsia="en-AU"/>
        </w:rPr>
        <w:t xml:space="preserve"> </w:t>
      </w:r>
      <w:r w:rsidRPr="00276391">
        <w:rPr>
          <w:rFonts w:cs="Arial"/>
          <w:lang w:eastAsia="en-AU"/>
        </w:rPr>
        <w:t>to</w:t>
      </w:r>
      <w:r w:rsidR="005D5532" w:rsidRPr="00276391">
        <w:rPr>
          <w:rFonts w:cs="Arial"/>
          <w:lang w:eastAsia="en-AU"/>
        </w:rPr>
        <w:t xml:space="preserve"> </w:t>
      </w:r>
      <w:r w:rsidRPr="00276391">
        <w:rPr>
          <w:rFonts w:cs="Arial"/>
          <w:lang w:eastAsia="en-AU"/>
        </w:rPr>
        <w:t>health</w:t>
      </w:r>
      <w:r w:rsidR="005D5532" w:rsidRPr="00276391">
        <w:rPr>
          <w:rFonts w:cs="Arial"/>
          <w:lang w:eastAsia="en-AU"/>
        </w:rPr>
        <w:t xml:space="preserve"> </w:t>
      </w:r>
      <w:r w:rsidRPr="00276391">
        <w:rPr>
          <w:rFonts w:cs="Arial"/>
          <w:lang w:eastAsia="en-AU"/>
        </w:rPr>
        <w:t>and</w:t>
      </w:r>
      <w:r w:rsidR="005D5532" w:rsidRPr="00276391">
        <w:rPr>
          <w:rFonts w:cs="Arial"/>
          <w:lang w:eastAsia="en-AU"/>
        </w:rPr>
        <w:t xml:space="preserve"> </w:t>
      </w:r>
      <w:r w:rsidRPr="00276391">
        <w:rPr>
          <w:rFonts w:cs="Arial"/>
          <w:lang w:eastAsia="en-AU"/>
        </w:rPr>
        <w:t>safety</w:t>
      </w:r>
      <w:r w:rsidR="005D5532" w:rsidRPr="00276391">
        <w:rPr>
          <w:rFonts w:cs="Arial"/>
          <w:lang w:eastAsia="en-AU"/>
        </w:rPr>
        <w:t xml:space="preserve"> </w:t>
      </w:r>
      <w:r w:rsidRPr="00276391">
        <w:rPr>
          <w:rFonts w:cs="Arial"/>
          <w:lang w:eastAsia="en-AU"/>
        </w:rPr>
        <w:t>issues.</w:t>
      </w:r>
    </w:p>
    <w:p w14:paraId="40B05E03" w14:textId="634F2DDE" w:rsidR="00236748" w:rsidRPr="00276391" w:rsidRDefault="00236748" w:rsidP="00276391">
      <w:pPr>
        <w:pStyle w:val="DHHSbody"/>
        <w:rPr>
          <w:lang w:eastAsia="en-AU"/>
        </w:rPr>
      </w:pP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1</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sets</w:t>
      </w:r>
      <w:r w:rsidR="005D5532" w:rsidRPr="00B24C02">
        <w:rPr>
          <w:rFonts w:cs="Arial"/>
          <w:color w:val="000000"/>
          <w:szCs w:val="19"/>
          <w:lang w:eastAsia="en-AU"/>
        </w:rPr>
        <w:t xml:space="preserve"> </w:t>
      </w:r>
      <w:r w:rsidRPr="00B24C02">
        <w:rPr>
          <w:rFonts w:cs="Arial"/>
          <w:color w:val="000000"/>
          <w:szCs w:val="19"/>
          <w:lang w:eastAsia="en-AU"/>
        </w:rPr>
        <w:t>out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comply</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State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Federal</w:t>
      </w:r>
      <w:r w:rsidR="005D5532" w:rsidRPr="00B24C02">
        <w:rPr>
          <w:rFonts w:cs="Arial"/>
          <w:color w:val="000000"/>
          <w:szCs w:val="19"/>
          <w:lang w:eastAsia="en-AU"/>
        </w:rPr>
        <w:t xml:space="preserve"> </w:t>
      </w:r>
      <w:r w:rsidRPr="00B24C02">
        <w:rPr>
          <w:rFonts w:cs="Arial"/>
          <w:color w:val="000000"/>
          <w:szCs w:val="19"/>
          <w:lang w:eastAsia="en-AU"/>
        </w:rPr>
        <w:t>law</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its</w:t>
      </w:r>
      <w:r w:rsidR="005D5532" w:rsidRPr="00B24C02">
        <w:rPr>
          <w:rFonts w:cs="Arial"/>
          <w:color w:val="000000"/>
          <w:szCs w:val="19"/>
          <w:lang w:eastAsia="en-AU"/>
        </w:rPr>
        <w:t xml:space="preserve"> </w:t>
      </w:r>
      <w:r w:rsidRPr="00B24C02">
        <w:rPr>
          <w:rFonts w:cs="Arial"/>
          <w:color w:val="000000"/>
          <w:szCs w:val="19"/>
          <w:lang w:eastAsia="en-AU"/>
        </w:rPr>
        <w:t>operation.</w:t>
      </w:r>
    </w:p>
    <w:p w14:paraId="49137B2C" w14:textId="77777777" w:rsidR="00236748" w:rsidRPr="00276391" w:rsidRDefault="00236748" w:rsidP="001A0795">
      <w:pPr>
        <w:pStyle w:val="Heading4"/>
        <w:rPr>
          <w:lang w:eastAsia="en-AU"/>
        </w:rPr>
      </w:pPr>
      <w:bookmarkStart w:id="740" w:name="_Toc478992064"/>
      <w:r w:rsidRPr="00276391">
        <w:rPr>
          <w:lang w:eastAsia="en-AU"/>
        </w:rPr>
        <w:lastRenderedPageBreak/>
        <w:t>Information</w:t>
      </w:r>
      <w:r w:rsidR="005D5532" w:rsidRPr="00276391">
        <w:rPr>
          <w:lang w:eastAsia="en-AU"/>
        </w:rPr>
        <w:t xml:space="preserve"> </w:t>
      </w:r>
      <w:r w:rsidRPr="00276391">
        <w:rPr>
          <w:lang w:eastAsia="en-AU"/>
        </w:rPr>
        <w:t>sheet</w:t>
      </w:r>
      <w:bookmarkEnd w:id="740"/>
    </w:p>
    <w:p w14:paraId="0B6917E9"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systems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place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manage</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duty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care</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organisational</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system</w:t>
      </w:r>
      <w:r w:rsidR="005D5532" w:rsidRPr="00B24C02">
        <w:rPr>
          <w:rFonts w:cs="Arial"/>
          <w:color w:val="000000"/>
          <w:szCs w:val="19"/>
          <w:lang w:eastAsia="en-AU"/>
        </w:rPr>
        <w:t xml:space="preserve"> </w:t>
      </w:r>
      <w:r w:rsidRPr="00B24C02">
        <w:rPr>
          <w:rFonts w:cs="Arial"/>
          <w:color w:val="000000"/>
          <w:szCs w:val="19"/>
          <w:lang w:eastAsia="en-AU"/>
        </w:rPr>
        <w:t>must</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auditable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compliance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p>
    <w:p w14:paraId="59C6FFB6"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items</w:t>
      </w:r>
      <w:r w:rsidR="005D5532" w:rsidRPr="00276391">
        <w:rPr>
          <w:lang w:eastAsia="en-AU"/>
        </w:rPr>
        <w:t xml:space="preserve"> </w:t>
      </w:r>
      <w:r w:rsidRPr="00276391">
        <w:rPr>
          <w:lang w:eastAsia="en-AU"/>
        </w:rPr>
        <w:t>list</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references</w:t>
      </w:r>
      <w:r w:rsidR="005D5532" w:rsidRPr="00276391">
        <w:rPr>
          <w:lang w:eastAsia="en-AU"/>
        </w:rPr>
        <w:t xml:space="preserve"> </w:t>
      </w:r>
      <w:r w:rsidRPr="00276391">
        <w:rPr>
          <w:lang w:eastAsia="en-AU"/>
        </w:rPr>
        <w:t>regarding</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w:t>
      </w:r>
      <w:r w:rsidR="005D5532" w:rsidRPr="00276391">
        <w:rPr>
          <w:lang w:eastAsia="en-AU"/>
        </w:rPr>
        <w:t xml:space="preserve"> </w:t>
      </w:r>
    </w:p>
    <w:p w14:paraId="424CE08E" w14:textId="77777777" w:rsidR="00236748" w:rsidRPr="00276391" w:rsidRDefault="00236748" w:rsidP="001A0795">
      <w:pPr>
        <w:pStyle w:val="Heading4"/>
        <w:rPr>
          <w:lang w:eastAsia="en-AU"/>
        </w:rPr>
      </w:pPr>
      <w:bookmarkStart w:id="741" w:name="_Toc478992065"/>
      <w:r w:rsidRPr="00276391">
        <w:rPr>
          <w:lang w:eastAsia="en-AU"/>
        </w:rPr>
        <w:t>Employer</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(Sections</w:t>
      </w:r>
      <w:r w:rsidR="005D5532" w:rsidRPr="00276391">
        <w:rPr>
          <w:lang w:eastAsia="en-AU"/>
        </w:rPr>
        <w:t xml:space="preserve"> </w:t>
      </w:r>
      <w:r w:rsidRPr="00276391">
        <w:rPr>
          <w:lang w:eastAsia="en-AU"/>
        </w:rPr>
        <w:t>21,</w:t>
      </w:r>
      <w:r w:rsidR="005D5532" w:rsidRPr="00276391">
        <w:rPr>
          <w:lang w:eastAsia="en-AU"/>
        </w:rPr>
        <w:t xml:space="preserve"> </w:t>
      </w:r>
      <w:r w:rsidRPr="00276391">
        <w:rPr>
          <w:lang w:eastAsia="en-AU"/>
        </w:rPr>
        <w:t>22</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23</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Employers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Employees)</w:t>
      </w:r>
      <w:bookmarkEnd w:id="741"/>
    </w:p>
    <w:p w14:paraId="1A4F6F98" w14:textId="77777777" w:rsidR="00236748" w:rsidRPr="00276391" w:rsidRDefault="00236748" w:rsidP="00276391">
      <w:pPr>
        <w:pStyle w:val="DHHSbody"/>
        <w:rPr>
          <w:lang w:eastAsia="en-AU"/>
        </w:rPr>
      </w:pPr>
      <w:r w:rsidRPr="00B24C02">
        <w:rPr>
          <w:rFonts w:cs="Arial"/>
          <w:b/>
          <w:bCs/>
          <w:color w:val="000000"/>
          <w:szCs w:val="19"/>
          <w:lang w:eastAsia="en-AU"/>
        </w:rPr>
        <w:t>Section</w:t>
      </w:r>
      <w:r w:rsidR="005D5532" w:rsidRPr="00B24C02">
        <w:rPr>
          <w:rFonts w:cs="Arial"/>
          <w:b/>
          <w:bCs/>
          <w:color w:val="000000"/>
          <w:szCs w:val="19"/>
          <w:lang w:eastAsia="en-AU"/>
        </w:rPr>
        <w:t xml:space="preserve"> </w:t>
      </w:r>
      <w:r w:rsidRPr="00B24C02">
        <w:rPr>
          <w:rFonts w:cs="Arial"/>
          <w:b/>
          <w:bCs/>
          <w:color w:val="000000"/>
          <w:szCs w:val="19"/>
          <w:lang w:eastAsia="en-AU"/>
        </w:rPr>
        <w:t>21</w:t>
      </w:r>
      <w:r w:rsidR="005D5532" w:rsidRPr="00B24C02">
        <w:rPr>
          <w:rFonts w:cs="Arial"/>
          <w:color w:val="000000"/>
          <w:szCs w:val="19"/>
          <w:lang w:eastAsia="en-AU"/>
        </w:rPr>
        <w:t xml:space="preserve"> </w:t>
      </w:r>
      <w:r w:rsidRPr="00B24C02">
        <w:rPr>
          <w:rFonts w:cs="Arial"/>
          <w:color w:val="000000"/>
          <w:szCs w:val="19"/>
          <w:lang w:eastAsia="en-AU"/>
        </w:rPr>
        <w:t>covers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duties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employers</w:t>
      </w:r>
      <w:r w:rsidR="005D5532" w:rsidRPr="00B24C02">
        <w:rPr>
          <w:rFonts w:cs="Arial"/>
          <w:color w:val="000000"/>
          <w:szCs w:val="19"/>
          <w:lang w:eastAsia="en-AU"/>
        </w:rPr>
        <w:t xml:space="preserve"> </w:t>
      </w:r>
      <w:r w:rsidRPr="00B24C02">
        <w:rPr>
          <w:rFonts w:cs="Arial"/>
          <w:color w:val="000000"/>
          <w:szCs w:val="19"/>
          <w:lang w:eastAsia="en-AU"/>
        </w:rPr>
        <w:t>toward</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p>
    <w:p w14:paraId="7478E30C" w14:textId="77777777" w:rsidR="00236748" w:rsidRPr="00276391" w:rsidRDefault="00236748" w:rsidP="00276391">
      <w:pPr>
        <w:pStyle w:val="DHHSbody"/>
        <w:rPr>
          <w:lang w:eastAsia="en-AU"/>
        </w:rPr>
      </w:pPr>
      <w:r w:rsidRPr="00276391">
        <w:rPr>
          <w:b/>
          <w:bCs/>
          <w:lang w:eastAsia="en-AU"/>
        </w:rPr>
        <w:t>Section</w:t>
      </w:r>
      <w:r w:rsidR="005D5532" w:rsidRPr="00276391">
        <w:rPr>
          <w:b/>
          <w:bCs/>
          <w:lang w:eastAsia="en-AU"/>
        </w:rPr>
        <w:t xml:space="preserve"> </w:t>
      </w:r>
      <w:r w:rsidRPr="00276391">
        <w:rPr>
          <w:b/>
          <w:bCs/>
          <w:lang w:eastAsia="en-AU"/>
        </w:rPr>
        <w:t>21</w:t>
      </w:r>
      <w:r w:rsidR="005D5532" w:rsidRPr="00276391">
        <w:rPr>
          <w:b/>
          <w:bCs/>
          <w:lang w:eastAsia="en-AU"/>
        </w:rPr>
        <w:t xml:space="preserve"> </w:t>
      </w:r>
      <w:r w:rsidRPr="00276391">
        <w:rPr>
          <w:b/>
          <w:bCs/>
          <w:lang w:eastAsia="en-AU"/>
        </w:rPr>
        <w:t>(1)</w:t>
      </w:r>
      <w:r w:rsidR="005D5532" w:rsidRPr="00276391">
        <w:rPr>
          <w:lang w:eastAsia="en-AU"/>
        </w:rPr>
        <w:t xml:space="preserve"> </w:t>
      </w:r>
      <w:r w:rsidRPr="00276391">
        <w:rPr>
          <w:lang w:eastAsia="en-AU"/>
        </w:rPr>
        <w:t>requires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maintain,</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far</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reasonably</w:t>
      </w:r>
      <w:r w:rsidR="005D5532" w:rsidRPr="00276391">
        <w:rPr>
          <w:lang w:eastAsia="en-AU"/>
        </w:rPr>
        <w:t xml:space="preserve"> </w:t>
      </w:r>
      <w:r w:rsidRPr="00276391">
        <w:rPr>
          <w:lang w:eastAsia="en-AU"/>
        </w:rPr>
        <w:t>practicable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working</w:t>
      </w:r>
      <w:r w:rsidR="005D5532" w:rsidRPr="00276391">
        <w:rPr>
          <w:lang w:eastAsia="en-AU"/>
        </w:rPr>
        <w:t xml:space="preserve"> </w:t>
      </w:r>
      <w:r w:rsidRPr="00276391">
        <w:rPr>
          <w:lang w:eastAsia="en-AU"/>
        </w:rPr>
        <w:t>environment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safe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without</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health.</w:t>
      </w:r>
      <w:r w:rsidR="005D5532" w:rsidRPr="00276391">
        <w:rPr>
          <w:lang w:eastAsia="en-AU"/>
        </w:rPr>
        <w:t xml:space="preserve"> </w:t>
      </w:r>
    </w:p>
    <w:p w14:paraId="5CAB327A" w14:textId="77777777" w:rsidR="00236748" w:rsidRPr="00276391" w:rsidRDefault="00236748" w:rsidP="00276391">
      <w:pPr>
        <w:pStyle w:val="DHHSbody"/>
        <w:rPr>
          <w:lang w:eastAsia="en-AU"/>
        </w:rPr>
      </w:pPr>
      <w:r w:rsidRPr="00276391">
        <w:rPr>
          <w:b/>
          <w:bCs/>
          <w:lang w:eastAsia="en-AU"/>
        </w:rPr>
        <w:t>Section</w:t>
      </w:r>
      <w:r w:rsidR="005D5532" w:rsidRPr="00276391">
        <w:rPr>
          <w:b/>
          <w:bCs/>
          <w:lang w:eastAsia="en-AU"/>
        </w:rPr>
        <w:t xml:space="preserve"> </w:t>
      </w:r>
      <w:r w:rsidRPr="00276391">
        <w:rPr>
          <w:b/>
          <w:bCs/>
          <w:lang w:eastAsia="en-AU"/>
        </w:rPr>
        <w:t>21</w:t>
      </w:r>
      <w:r w:rsidR="005D5532" w:rsidRPr="00276391">
        <w:rPr>
          <w:b/>
          <w:bCs/>
          <w:lang w:eastAsia="en-AU"/>
        </w:rPr>
        <w:t xml:space="preserve"> </w:t>
      </w:r>
      <w:r w:rsidRPr="00276391">
        <w:rPr>
          <w:b/>
          <w:bCs/>
          <w:lang w:eastAsia="en-AU"/>
        </w:rPr>
        <w:t>(2)</w:t>
      </w:r>
      <w:r w:rsidR="005D5532" w:rsidRPr="00276391">
        <w:rPr>
          <w:lang w:eastAsia="en-AU"/>
        </w:rPr>
        <w:t xml:space="preserve"> </w:t>
      </w:r>
      <w:r w:rsidRPr="00276391">
        <w:rPr>
          <w:lang w:eastAsia="en-AU"/>
        </w:rPr>
        <w:t>sets</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examples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what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necessary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duty.</w:t>
      </w:r>
      <w:r w:rsidR="005D5532" w:rsidRPr="00276391">
        <w:rPr>
          <w:lang w:eastAsia="en-AU"/>
        </w:rPr>
        <w:t xml:space="preserve"> </w:t>
      </w:r>
    </w:p>
    <w:p w14:paraId="2EBC5A8C" w14:textId="77777777" w:rsidR="00236748" w:rsidRPr="00276391" w:rsidRDefault="00236748" w:rsidP="00276391">
      <w:pPr>
        <w:pStyle w:val="DHHSbody"/>
        <w:rPr>
          <w:lang w:eastAsia="en-AU"/>
        </w:rPr>
      </w:pPr>
      <w:r w:rsidRPr="00276391">
        <w:rPr>
          <w:b/>
          <w:bCs/>
          <w:lang w:eastAsia="en-AU"/>
        </w:rPr>
        <w:t>Section</w:t>
      </w:r>
      <w:r w:rsidR="005D5532" w:rsidRPr="00276391">
        <w:rPr>
          <w:b/>
          <w:bCs/>
          <w:lang w:eastAsia="en-AU"/>
        </w:rPr>
        <w:t xml:space="preserve"> </w:t>
      </w:r>
      <w:r w:rsidRPr="00276391">
        <w:rPr>
          <w:b/>
          <w:bCs/>
          <w:lang w:eastAsia="en-AU"/>
        </w:rPr>
        <w:t>21</w:t>
      </w:r>
      <w:r w:rsidR="005D5532" w:rsidRPr="00276391">
        <w:rPr>
          <w:b/>
          <w:bCs/>
          <w:lang w:eastAsia="en-AU"/>
        </w:rPr>
        <w:t xml:space="preserve"> </w:t>
      </w:r>
      <w:r w:rsidRPr="00276391">
        <w:rPr>
          <w:b/>
          <w:bCs/>
          <w:lang w:eastAsia="en-AU"/>
        </w:rPr>
        <w:t>(3)</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employers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contractors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limited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matters</w:t>
      </w:r>
      <w:r w:rsidR="005D5532" w:rsidRPr="00276391">
        <w:rPr>
          <w:lang w:eastAsia="en-AU"/>
        </w:rPr>
        <w:t xml:space="preserve"> </w:t>
      </w:r>
      <w:r w:rsidRPr="00276391">
        <w:rPr>
          <w:lang w:eastAsia="en-AU"/>
        </w:rPr>
        <w:t>over</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would</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had</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but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independent</w:t>
      </w:r>
      <w:r w:rsidR="005D5532" w:rsidRPr="00276391">
        <w:rPr>
          <w:lang w:eastAsia="en-AU"/>
        </w:rPr>
        <w:t xml:space="preserve"> </w:t>
      </w:r>
      <w:r w:rsidRPr="00276391">
        <w:rPr>
          <w:lang w:eastAsia="en-AU"/>
        </w:rPr>
        <w:t>contractor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contrary.</w:t>
      </w:r>
      <w:r w:rsidR="005D5532" w:rsidRPr="00276391">
        <w:rPr>
          <w:lang w:eastAsia="en-AU"/>
        </w:rPr>
        <w:t xml:space="preserve"> </w:t>
      </w:r>
    </w:p>
    <w:p w14:paraId="0AEA79BD" w14:textId="77777777" w:rsidR="00236748" w:rsidRPr="00276391" w:rsidRDefault="00236748" w:rsidP="00276391">
      <w:pPr>
        <w:pStyle w:val="DHHSbody"/>
        <w:rPr>
          <w:lang w:eastAsia="en-AU"/>
        </w:rPr>
      </w:pPr>
      <w:r w:rsidRPr="00276391">
        <w:rPr>
          <w:b/>
          <w:bCs/>
          <w:lang w:eastAsia="en-AU"/>
        </w:rPr>
        <w:t>Section</w:t>
      </w:r>
      <w:r w:rsidR="005D5532" w:rsidRPr="00276391">
        <w:rPr>
          <w:b/>
          <w:bCs/>
          <w:lang w:eastAsia="en-AU"/>
        </w:rPr>
        <w:t xml:space="preserve"> </w:t>
      </w:r>
      <w:r w:rsidRPr="00276391">
        <w:rPr>
          <w:b/>
          <w:bCs/>
          <w:lang w:eastAsia="en-AU"/>
        </w:rPr>
        <w:t>22</w:t>
      </w:r>
      <w:r w:rsidR="005D5532" w:rsidRPr="00276391">
        <w:rPr>
          <w:lang w:eastAsia="en-AU"/>
        </w:rPr>
        <w:t xml:space="preserve"> </w:t>
      </w:r>
      <w:r w:rsidRPr="00276391">
        <w:rPr>
          <w:lang w:eastAsia="en-AU"/>
        </w:rPr>
        <w:t>describes</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employers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monitor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conditions.</w:t>
      </w:r>
      <w:r w:rsidR="005D5532" w:rsidRPr="00276391">
        <w:rPr>
          <w:lang w:eastAsia="en-AU"/>
        </w:rPr>
        <w:t xml:space="preserve"> </w:t>
      </w:r>
    </w:p>
    <w:p w14:paraId="604D0912" w14:textId="77777777" w:rsidR="00236748" w:rsidRPr="00276391" w:rsidRDefault="00236748" w:rsidP="00276391">
      <w:pPr>
        <w:pStyle w:val="DHHSbody"/>
        <w:rPr>
          <w:lang w:eastAsia="en-AU"/>
        </w:rPr>
      </w:pPr>
      <w:r w:rsidRPr="00276391">
        <w:rPr>
          <w:b/>
          <w:bCs/>
          <w:lang w:eastAsia="en-AU"/>
        </w:rPr>
        <w:t>Section</w:t>
      </w:r>
      <w:r w:rsidR="005D5532" w:rsidRPr="00276391">
        <w:rPr>
          <w:b/>
          <w:bCs/>
          <w:lang w:eastAsia="en-AU"/>
        </w:rPr>
        <w:t xml:space="preserve"> </w:t>
      </w:r>
      <w:r w:rsidRPr="00276391">
        <w:rPr>
          <w:b/>
          <w:bCs/>
          <w:lang w:eastAsia="en-AU"/>
        </w:rPr>
        <w:t>23</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so</w:t>
      </w:r>
      <w:r w:rsidR="005D5532" w:rsidRPr="00276391">
        <w:rPr>
          <w:lang w:eastAsia="en-AU"/>
        </w:rPr>
        <w:t xml:space="preserve"> </w:t>
      </w:r>
      <w:r w:rsidRPr="00276391">
        <w:rPr>
          <w:lang w:eastAsia="en-AU"/>
        </w:rPr>
        <w:t>far</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reasonably</w:t>
      </w:r>
      <w:r w:rsidR="005D5532" w:rsidRPr="00276391">
        <w:rPr>
          <w:lang w:eastAsia="en-AU"/>
        </w:rPr>
        <w:t xml:space="preserve"> </w:t>
      </w:r>
      <w:r w:rsidRPr="00276391">
        <w:rPr>
          <w:lang w:eastAsia="en-AU"/>
        </w:rPr>
        <w:t>practicable,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persons</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than</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exposed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arising</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conduct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undertaking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employer.</w:t>
      </w:r>
      <w:r w:rsidR="005D5532" w:rsidRPr="00276391">
        <w:rPr>
          <w:lang w:eastAsia="en-AU"/>
        </w:rPr>
        <w:t xml:space="preserve"> </w:t>
      </w:r>
    </w:p>
    <w:p w14:paraId="0661E756" w14:textId="77777777" w:rsidR="00236748" w:rsidRPr="00276391" w:rsidRDefault="00236748" w:rsidP="001A0795">
      <w:pPr>
        <w:pStyle w:val="Heading4"/>
        <w:rPr>
          <w:lang w:eastAsia="en-AU"/>
        </w:rPr>
      </w:pPr>
      <w:bookmarkStart w:id="742" w:name="_Toc478992066"/>
      <w:r w:rsidRPr="00276391">
        <w:rPr>
          <w:lang w:eastAsia="en-AU"/>
        </w:rPr>
        <w:t>Employee</w:t>
      </w:r>
      <w:r w:rsidR="005D5532" w:rsidRPr="00276391">
        <w:rPr>
          <w:lang w:eastAsia="en-AU"/>
        </w:rPr>
        <w:t xml:space="preserve"> </w:t>
      </w:r>
      <w:r w:rsidRPr="00276391">
        <w:rPr>
          <w:lang w:eastAsia="en-AU"/>
        </w:rPr>
        <w:t>obligations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25)</w:t>
      </w:r>
      <w:bookmarkEnd w:id="742"/>
    </w:p>
    <w:p w14:paraId="74F48204" w14:textId="77777777" w:rsidR="00236748" w:rsidRPr="00276391" w:rsidRDefault="00236748" w:rsidP="00276391">
      <w:pPr>
        <w:pStyle w:val="DHHSbody"/>
        <w:rPr>
          <w:lang w:eastAsia="en-AU"/>
        </w:rPr>
      </w:pPr>
      <w:r w:rsidRPr="00B24C02">
        <w:rPr>
          <w:rFonts w:cs="Arial"/>
          <w:color w:val="000000"/>
          <w:szCs w:val="19"/>
          <w:lang w:eastAsia="en-AU"/>
        </w:rPr>
        <w:t>Employee</w:t>
      </w:r>
      <w:r w:rsidR="005D5532" w:rsidRPr="00B24C02">
        <w:rPr>
          <w:rFonts w:cs="Arial"/>
          <w:color w:val="000000"/>
          <w:szCs w:val="19"/>
          <w:lang w:eastAsia="en-AU"/>
        </w:rPr>
        <w:t xml:space="preserve"> </w:t>
      </w:r>
      <w:r w:rsidRPr="00B24C02">
        <w:rPr>
          <w:rFonts w:cs="Arial"/>
          <w:color w:val="000000"/>
          <w:szCs w:val="19"/>
          <w:lang w:eastAsia="en-AU"/>
        </w:rPr>
        <w:t>obligations</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covered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section</w:t>
      </w:r>
      <w:r w:rsidR="005D5532" w:rsidRPr="00B24C02">
        <w:rPr>
          <w:rFonts w:cs="Arial"/>
          <w:color w:val="000000"/>
          <w:szCs w:val="19"/>
          <w:lang w:eastAsia="en-AU"/>
        </w:rPr>
        <w:t xml:space="preserve"> </w:t>
      </w:r>
      <w:r w:rsidRPr="00B24C02">
        <w:rPr>
          <w:rFonts w:cs="Arial"/>
          <w:color w:val="000000"/>
          <w:szCs w:val="19"/>
          <w:lang w:eastAsia="en-AU"/>
        </w:rPr>
        <w:t>25.</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that:</w:t>
      </w:r>
    </w:p>
    <w:p w14:paraId="632CC0FF" w14:textId="77777777" w:rsidR="00236748" w:rsidRPr="00276391" w:rsidRDefault="00236748" w:rsidP="00276391">
      <w:pPr>
        <w:pStyle w:val="DHHSbody"/>
        <w:rPr>
          <w:lang w:eastAsia="en-AU"/>
        </w:rPr>
      </w:pPr>
      <w:r w:rsidRPr="00276391">
        <w:rPr>
          <w:lang w:eastAsia="en-AU"/>
        </w:rPr>
        <w:t>An</w:t>
      </w:r>
      <w:r w:rsidR="005D5532" w:rsidRPr="00276391">
        <w:rPr>
          <w:lang w:eastAsia="en-AU"/>
        </w:rPr>
        <w:t xml:space="preserve"> </w:t>
      </w:r>
      <w:r w:rsidRPr="00276391">
        <w:rPr>
          <w:lang w:eastAsia="en-AU"/>
        </w:rPr>
        <w:t>employee</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reasonable</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his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her</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anyone</w:t>
      </w:r>
      <w:r w:rsidR="005D5532" w:rsidRPr="00276391">
        <w:rPr>
          <w:lang w:eastAsia="en-AU"/>
        </w:rPr>
        <w:t xml:space="preserve"> </w:t>
      </w:r>
      <w:r w:rsidRPr="00276391">
        <w:rPr>
          <w:lang w:eastAsia="en-AU"/>
        </w:rPr>
        <w:t>else</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affected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his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her</w:t>
      </w:r>
      <w:r w:rsidR="005D5532" w:rsidRPr="00276391">
        <w:rPr>
          <w:lang w:eastAsia="en-AU"/>
        </w:rPr>
        <w:t xml:space="preserve"> </w:t>
      </w:r>
      <w:r w:rsidRPr="00276391">
        <w:rPr>
          <w:lang w:eastAsia="en-AU"/>
        </w:rPr>
        <w:t>acts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omissions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workplace,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cooperate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his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her</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respect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action</w:t>
      </w:r>
      <w:r w:rsidR="005D5532" w:rsidRPr="00276391">
        <w:rPr>
          <w:lang w:eastAsia="en-AU"/>
        </w:rPr>
        <w:t xml:space="preserve"> </w:t>
      </w:r>
      <w:r w:rsidRPr="00276391">
        <w:rPr>
          <w:lang w:eastAsia="en-AU"/>
        </w:rPr>
        <w:t>taken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employer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imposed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addition,</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w:t>
      </w:r>
      <w:r w:rsidR="005D5532" w:rsidRPr="00276391">
        <w:rPr>
          <w:lang w:eastAsia="en-AU"/>
        </w:rPr>
        <w:t xml:space="preserve"> </w:t>
      </w:r>
      <w:r w:rsidR="00B2387B" w:rsidRPr="00276391">
        <w:rPr>
          <w:lang w:eastAsia="en-AU"/>
        </w:rPr>
        <w:t>wilfully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recklessly</w:t>
      </w:r>
      <w:r w:rsidR="005D5532" w:rsidRPr="00276391">
        <w:rPr>
          <w:lang w:eastAsia="en-AU"/>
        </w:rPr>
        <w:t xml:space="preserve"> </w:t>
      </w:r>
      <w:r w:rsidRPr="00276391">
        <w:rPr>
          <w:lang w:eastAsia="en-AU"/>
        </w:rPr>
        <w:t>interfere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misuse</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equipment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They</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not</w:t>
      </w:r>
      <w:r w:rsidR="005D5532" w:rsidRPr="00276391">
        <w:rPr>
          <w:lang w:eastAsia="en-AU"/>
        </w:rPr>
        <w:t xml:space="preserve"> </w:t>
      </w:r>
      <w:r w:rsidR="00B2387B" w:rsidRPr="00276391">
        <w:rPr>
          <w:lang w:eastAsia="en-AU"/>
        </w:rPr>
        <w:t>wilfully</w:t>
      </w:r>
      <w:r w:rsidR="005D5532" w:rsidRPr="00276391">
        <w:rPr>
          <w:lang w:eastAsia="en-AU"/>
        </w:rPr>
        <w:t xml:space="preserve"> </w:t>
      </w:r>
      <w:r w:rsidRPr="00276391">
        <w:rPr>
          <w:lang w:eastAsia="en-AU"/>
        </w:rPr>
        <w:t>put</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others.</w:t>
      </w:r>
      <w:r w:rsidR="005D5532" w:rsidRPr="00276391">
        <w:rPr>
          <w:lang w:eastAsia="en-AU"/>
        </w:rPr>
        <w:t xml:space="preserve"> </w:t>
      </w:r>
    </w:p>
    <w:p w14:paraId="46F4E60E" w14:textId="77777777" w:rsidR="00236748" w:rsidRPr="00276391" w:rsidRDefault="00236748" w:rsidP="001A0795">
      <w:pPr>
        <w:pStyle w:val="Heading4"/>
        <w:rPr>
          <w:lang w:eastAsia="en-AU"/>
        </w:rPr>
      </w:pPr>
      <w:bookmarkStart w:id="743" w:name="_Toc478992067"/>
      <w:r w:rsidRPr="00276391">
        <w:rPr>
          <w:lang w:eastAsia="en-AU"/>
        </w:rPr>
        <w:t>Consultation</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4:</w:t>
      </w:r>
      <w:r w:rsidR="005D5532" w:rsidRPr="00276391">
        <w:rPr>
          <w:lang w:eastAsia="en-AU"/>
        </w:rPr>
        <w:t xml:space="preserve"> </w:t>
      </w:r>
      <w:r w:rsidRPr="00276391">
        <w:rPr>
          <w:lang w:eastAsia="en-AU"/>
        </w:rPr>
        <w:t>Sections</w:t>
      </w:r>
      <w:r w:rsidR="005D5532" w:rsidRPr="00276391">
        <w:rPr>
          <w:lang w:eastAsia="en-AU"/>
        </w:rPr>
        <w:t xml:space="preserve"> </w:t>
      </w:r>
      <w:r w:rsidRPr="00276391">
        <w:rPr>
          <w:lang w:eastAsia="en-AU"/>
        </w:rPr>
        <w:t>35</w:t>
      </w:r>
      <w:r w:rsidR="005D5532" w:rsidRPr="00276391">
        <w:rPr>
          <w:lang w:eastAsia="en-AU"/>
        </w:rPr>
        <w:t xml:space="preserve"> </w:t>
      </w:r>
      <w:r w:rsidRPr="00276391">
        <w:rPr>
          <w:lang w:eastAsia="en-AU"/>
        </w:rPr>
        <w:t>(1</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36</w:t>
      </w:r>
      <w:r w:rsidR="005D5532" w:rsidRPr="00276391">
        <w:rPr>
          <w:lang w:eastAsia="en-AU"/>
        </w:rPr>
        <w:t xml:space="preserve"> </w:t>
      </w:r>
      <w:r w:rsidRPr="00276391">
        <w:rPr>
          <w:lang w:eastAsia="en-AU"/>
        </w:rPr>
        <w:t>(1,2</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w:t>
      </w:r>
      <w:bookmarkEnd w:id="743"/>
    </w:p>
    <w:p w14:paraId="3C2A84BF"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clearly</w:t>
      </w:r>
      <w:r w:rsidR="005D5532" w:rsidRPr="00B24C02">
        <w:rPr>
          <w:rFonts w:cs="Arial"/>
          <w:color w:val="000000"/>
          <w:szCs w:val="19"/>
          <w:lang w:eastAsia="en-AU"/>
        </w:rPr>
        <w:t xml:space="preserve"> </w:t>
      </w:r>
      <w:r w:rsidRPr="00B24C02">
        <w:rPr>
          <w:rFonts w:cs="Arial"/>
          <w:color w:val="000000"/>
          <w:szCs w:val="19"/>
          <w:lang w:eastAsia="en-AU"/>
        </w:rPr>
        <w:t>defines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duty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employers</w:t>
      </w:r>
      <w:r w:rsidR="005D5532" w:rsidRPr="00B24C02">
        <w:rPr>
          <w:rFonts w:cs="Arial"/>
          <w:color w:val="000000"/>
          <w:szCs w:val="19"/>
          <w:lang w:eastAsia="en-AU"/>
        </w:rPr>
        <w:t xml:space="preserve"> </w:t>
      </w:r>
      <w:r w:rsidRPr="00B24C02">
        <w:rPr>
          <w:rFonts w:cs="Arial"/>
          <w:color w:val="000000"/>
          <w:szCs w:val="19"/>
          <w:lang w:eastAsia="en-AU"/>
        </w:rPr>
        <w:t>have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consult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representatives</w:t>
      </w:r>
      <w:r w:rsidR="005D5532" w:rsidRPr="00B24C02">
        <w:rPr>
          <w:rFonts w:cs="Arial"/>
          <w:color w:val="000000"/>
          <w:szCs w:val="19"/>
          <w:lang w:eastAsia="en-AU"/>
        </w:rPr>
        <w:t xml:space="preserve"> </w:t>
      </w:r>
      <w:r w:rsidRPr="00B24C02">
        <w:rPr>
          <w:rFonts w:cs="Arial"/>
          <w:color w:val="000000"/>
          <w:szCs w:val="19"/>
          <w:lang w:eastAsia="en-AU"/>
        </w:rPr>
        <w:t>and/or</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range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OHS</w:t>
      </w:r>
      <w:r w:rsidR="005D5532" w:rsidRPr="00B24C02">
        <w:rPr>
          <w:rFonts w:cs="Arial"/>
          <w:color w:val="000000"/>
          <w:szCs w:val="19"/>
          <w:lang w:eastAsia="en-AU"/>
        </w:rPr>
        <w:t xml:space="preserve"> </w:t>
      </w:r>
      <w:r w:rsidRPr="00B24C02">
        <w:rPr>
          <w:rFonts w:cs="Arial"/>
          <w:color w:val="000000"/>
          <w:szCs w:val="19"/>
          <w:lang w:eastAsia="en-AU"/>
        </w:rPr>
        <w:t>issues,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making</w:t>
      </w:r>
      <w:r w:rsidR="005D5532" w:rsidRPr="00B24C02">
        <w:rPr>
          <w:rFonts w:cs="Arial"/>
          <w:color w:val="000000"/>
          <w:szCs w:val="19"/>
          <w:lang w:eastAsia="en-AU"/>
        </w:rPr>
        <w:t xml:space="preserve"> </w:t>
      </w:r>
      <w:r w:rsidRPr="00B24C02">
        <w:rPr>
          <w:rFonts w:cs="Arial"/>
          <w:color w:val="000000"/>
          <w:szCs w:val="19"/>
          <w:lang w:eastAsia="en-AU"/>
        </w:rPr>
        <w:t>decisions</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controls,</w:t>
      </w:r>
      <w:r w:rsidR="005D5532" w:rsidRPr="00B24C02">
        <w:rPr>
          <w:rFonts w:cs="Arial"/>
          <w:color w:val="000000"/>
          <w:szCs w:val="19"/>
          <w:lang w:eastAsia="en-AU"/>
        </w:rPr>
        <w:t xml:space="preserve"> </w:t>
      </w:r>
      <w:r w:rsidRPr="00B24C02">
        <w:rPr>
          <w:rFonts w:cs="Arial"/>
          <w:color w:val="000000"/>
          <w:szCs w:val="19"/>
          <w:lang w:eastAsia="en-AU"/>
        </w:rPr>
        <w:t>adequacy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facilities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any</w:t>
      </w:r>
      <w:r w:rsidR="005D5532" w:rsidRPr="00B24C02">
        <w:rPr>
          <w:rFonts w:cs="Arial"/>
          <w:color w:val="000000"/>
          <w:szCs w:val="19"/>
          <w:lang w:eastAsia="en-AU"/>
        </w:rPr>
        <w:t xml:space="preserve"> </w:t>
      </w:r>
      <w:r w:rsidRPr="00B24C02">
        <w:rPr>
          <w:rFonts w:cs="Arial"/>
          <w:color w:val="000000"/>
          <w:szCs w:val="19"/>
          <w:lang w:eastAsia="en-AU"/>
        </w:rPr>
        <w:t>changes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workplace,</w:t>
      </w:r>
      <w:r w:rsidR="005D5532" w:rsidRPr="00B24C02">
        <w:rPr>
          <w:rFonts w:cs="Arial"/>
          <w:color w:val="000000"/>
          <w:szCs w:val="19"/>
          <w:lang w:eastAsia="en-AU"/>
        </w:rPr>
        <w:t xml:space="preserve"> </w:t>
      </w:r>
      <w:r w:rsidRPr="00B24C02">
        <w:rPr>
          <w:rFonts w:cs="Arial"/>
          <w:color w:val="000000"/>
          <w:szCs w:val="19"/>
          <w:lang w:eastAsia="en-AU"/>
        </w:rPr>
        <w:t>plant</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conduct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work</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may</w:t>
      </w:r>
      <w:r w:rsidR="005D5532" w:rsidRPr="00B24C02">
        <w:rPr>
          <w:rFonts w:cs="Arial"/>
          <w:color w:val="000000"/>
          <w:szCs w:val="19"/>
          <w:lang w:eastAsia="en-AU"/>
        </w:rPr>
        <w:t xml:space="preserve"> </w:t>
      </w:r>
      <w:r w:rsidRPr="00B24C02">
        <w:rPr>
          <w:rFonts w:cs="Arial"/>
          <w:color w:val="000000"/>
          <w:szCs w:val="19"/>
          <w:lang w:eastAsia="en-AU"/>
        </w:rPr>
        <w:t>directly</w:t>
      </w:r>
      <w:r w:rsidR="005D5532" w:rsidRPr="00B24C02">
        <w:rPr>
          <w:rFonts w:cs="Arial"/>
          <w:color w:val="000000"/>
          <w:szCs w:val="19"/>
          <w:lang w:eastAsia="en-AU"/>
        </w:rPr>
        <w:t xml:space="preserve"> </w:t>
      </w:r>
      <w:r w:rsidRPr="00B24C02">
        <w:rPr>
          <w:rFonts w:cs="Arial"/>
          <w:color w:val="000000"/>
          <w:szCs w:val="19"/>
          <w:lang w:eastAsia="en-AU"/>
        </w:rPr>
        <w:t>impact</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employees.</w:t>
      </w:r>
    </w:p>
    <w:p w14:paraId="46336F2C" w14:textId="77777777" w:rsidR="00236748" w:rsidRPr="00276391" w:rsidRDefault="00236748" w:rsidP="001A0795">
      <w:pPr>
        <w:pStyle w:val="Heading4"/>
        <w:rPr>
          <w:lang w:eastAsia="en-AU"/>
        </w:rPr>
      </w:pPr>
      <w:bookmarkStart w:id="744" w:name="_Toc478992068"/>
      <w:r w:rsidRPr="00276391">
        <w:rPr>
          <w:lang w:eastAsia="en-AU"/>
        </w:rPr>
        <w:t>Issue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73)</w:t>
      </w:r>
      <w:bookmarkEnd w:id="744"/>
    </w:p>
    <w:p w14:paraId="3E3CD861" w14:textId="77777777" w:rsidR="00236748" w:rsidRPr="00276391" w:rsidRDefault="00236748" w:rsidP="00276391">
      <w:pPr>
        <w:pStyle w:val="DHHSbody"/>
        <w:rPr>
          <w:lang w:eastAsia="en-AU"/>
        </w:rPr>
      </w:pPr>
      <w:r w:rsidRPr="00B24C02">
        <w:rPr>
          <w:rFonts w:cs="Arial"/>
          <w:color w:val="000000"/>
          <w:szCs w:val="19"/>
          <w:lang w:eastAsia="en-AU"/>
        </w:rPr>
        <w:t>Section</w:t>
      </w:r>
      <w:r w:rsidR="005D5532" w:rsidRPr="00B24C02">
        <w:rPr>
          <w:rFonts w:cs="Arial"/>
          <w:color w:val="000000"/>
          <w:szCs w:val="19"/>
          <w:lang w:eastAsia="en-AU"/>
        </w:rPr>
        <w:t xml:space="preserve"> </w:t>
      </w:r>
      <w:r w:rsidRPr="00B24C02">
        <w:rPr>
          <w:rFonts w:cs="Arial"/>
          <w:color w:val="000000"/>
          <w:szCs w:val="19"/>
          <w:lang w:eastAsia="en-AU"/>
        </w:rPr>
        <w:t>73</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requires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employer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representative,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r w:rsidRPr="00B24C02">
        <w:rPr>
          <w:rFonts w:cs="Arial"/>
          <w:color w:val="000000"/>
          <w:szCs w:val="19"/>
          <w:lang w:eastAsia="en-AU"/>
        </w:rPr>
        <w:t>affected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issue,</w:t>
      </w:r>
      <w:r w:rsidR="005D5532" w:rsidRPr="00B24C02">
        <w:rPr>
          <w:rFonts w:cs="Arial"/>
          <w:color w:val="000000"/>
          <w:szCs w:val="19"/>
          <w:lang w:eastAsia="en-AU"/>
        </w:rPr>
        <w:t xml:space="preserve"> </w:t>
      </w:r>
      <w:r w:rsidRPr="00B24C02">
        <w:rPr>
          <w:rFonts w:cs="Arial"/>
          <w:color w:val="000000"/>
          <w:szCs w:val="19"/>
          <w:lang w:eastAsia="en-AU"/>
        </w:rPr>
        <w:t>and/or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designated</w:t>
      </w:r>
      <w:r w:rsidR="005D5532" w:rsidRPr="00B24C02">
        <w:rPr>
          <w:rFonts w:cs="Arial"/>
          <w:color w:val="000000"/>
          <w:szCs w:val="19"/>
          <w:lang w:eastAsia="en-AU"/>
        </w:rPr>
        <w:t xml:space="preserve"> </w:t>
      </w:r>
      <w:r w:rsidRPr="00B24C02">
        <w:rPr>
          <w:rFonts w:cs="Arial"/>
          <w:color w:val="000000"/>
          <w:szCs w:val="19"/>
          <w:lang w:eastAsia="en-AU"/>
        </w:rPr>
        <w:t>work</w:t>
      </w:r>
      <w:r w:rsidR="005D5532" w:rsidRPr="00B24C02">
        <w:rPr>
          <w:rFonts w:cs="Arial"/>
          <w:color w:val="000000"/>
          <w:szCs w:val="19"/>
          <w:lang w:eastAsia="en-AU"/>
        </w:rPr>
        <w:t xml:space="preserve"> </w:t>
      </w:r>
      <w:r w:rsidRPr="00B24C02">
        <w:rPr>
          <w:rFonts w:cs="Arial"/>
          <w:color w:val="000000"/>
          <w:szCs w:val="19"/>
          <w:lang w:eastAsia="en-AU"/>
        </w:rPr>
        <w:t>group</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relation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issue</w:t>
      </w:r>
      <w:r w:rsidR="005D5532" w:rsidRPr="00B24C02">
        <w:rPr>
          <w:rFonts w:cs="Arial"/>
          <w:color w:val="000000"/>
          <w:szCs w:val="19"/>
          <w:lang w:eastAsia="en-AU"/>
        </w:rPr>
        <w:t xml:space="preserve"> </w:t>
      </w:r>
      <w:r w:rsidRPr="00B24C02">
        <w:rPr>
          <w:rFonts w:cs="Arial"/>
          <w:color w:val="000000"/>
          <w:szCs w:val="19"/>
          <w:lang w:eastAsia="en-AU"/>
        </w:rPr>
        <w:t>has</w:t>
      </w:r>
      <w:r w:rsidR="005D5532" w:rsidRPr="00B24C02">
        <w:rPr>
          <w:rFonts w:cs="Arial"/>
          <w:color w:val="000000"/>
          <w:szCs w:val="19"/>
          <w:lang w:eastAsia="en-AU"/>
        </w:rPr>
        <w:t xml:space="preserve"> </w:t>
      </w:r>
      <w:r w:rsidRPr="00B24C02">
        <w:rPr>
          <w:rFonts w:cs="Arial"/>
          <w:color w:val="000000"/>
          <w:szCs w:val="19"/>
          <w:lang w:eastAsia="en-AU"/>
        </w:rPr>
        <w:t>arisen,</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work</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resolve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issues</w:t>
      </w:r>
      <w:r w:rsidR="005D5532" w:rsidRPr="00B24C02">
        <w:rPr>
          <w:rFonts w:cs="Arial"/>
          <w:color w:val="000000"/>
          <w:szCs w:val="19"/>
          <w:lang w:eastAsia="en-AU"/>
        </w:rPr>
        <w:t xml:space="preserve"> </w:t>
      </w:r>
      <w:r w:rsidRPr="00B24C02">
        <w:rPr>
          <w:rFonts w:cs="Arial"/>
          <w:color w:val="000000"/>
          <w:szCs w:val="19"/>
          <w:lang w:eastAsia="en-AU"/>
        </w:rPr>
        <w:t>at</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workplace.</w:t>
      </w:r>
    </w:p>
    <w:p w14:paraId="3F45E292" w14:textId="20348CE1"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30463F">
        <w:rPr>
          <w:bCs/>
          <w:i/>
          <w:lang w:eastAsia="en-AU"/>
        </w:rPr>
        <w:t>Occupational</w:t>
      </w:r>
      <w:r w:rsidR="005D5532" w:rsidRPr="0030463F">
        <w:rPr>
          <w:bCs/>
          <w:i/>
          <w:lang w:eastAsia="en-AU"/>
        </w:rPr>
        <w:t xml:space="preserve"> </w:t>
      </w:r>
      <w:r w:rsidRPr="0030463F">
        <w:rPr>
          <w:bCs/>
          <w:i/>
          <w:lang w:eastAsia="en-AU"/>
        </w:rPr>
        <w:t>Health</w:t>
      </w:r>
      <w:r w:rsidR="005D5532" w:rsidRPr="0030463F">
        <w:rPr>
          <w:bCs/>
          <w:i/>
          <w:lang w:eastAsia="en-AU"/>
        </w:rPr>
        <w:t xml:space="preserve"> </w:t>
      </w:r>
      <w:r w:rsidRPr="0030463F">
        <w:rPr>
          <w:bCs/>
          <w:i/>
          <w:lang w:eastAsia="en-AU"/>
        </w:rPr>
        <w:t>and</w:t>
      </w:r>
      <w:r w:rsidR="005D5532" w:rsidRPr="0030463F">
        <w:rPr>
          <w:bCs/>
          <w:i/>
          <w:lang w:eastAsia="en-AU"/>
        </w:rPr>
        <w:t xml:space="preserve"> </w:t>
      </w:r>
      <w:r w:rsidRPr="0030463F">
        <w:rPr>
          <w:bCs/>
          <w:i/>
          <w:lang w:eastAsia="en-AU"/>
        </w:rPr>
        <w:t>Safety</w:t>
      </w:r>
      <w:r w:rsidR="005D5532" w:rsidRPr="0030463F">
        <w:rPr>
          <w:bCs/>
          <w:i/>
          <w:lang w:eastAsia="en-AU"/>
        </w:rPr>
        <w:t xml:space="preserve"> </w:t>
      </w:r>
      <w:r w:rsidRPr="0030463F">
        <w:rPr>
          <w:bCs/>
          <w:i/>
          <w:lang w:eastAsia="en-AU"/>
        </w:rPr>
        <w:t>Regulations</w:t>
      </w:r>
      <w:r w:rsidR="005D5532" w:rsidRPr="00276391">
        <w:rPr>
          <w:b/>
          <w:bCs/>
          <w:lang w:eastAsia="en-AU"/>
        </w:rPr>
        <w:t xml:space="preserve"> </w:t>
      </w:r>
      <w:r w:rsidRPr="0030463F">
        <w:rPr>
          <w:bCs/>
          <w:i/>
          <w:lang w:eastAsia="en-AU"/>
        </w:rPr>
        <w:t>2007</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2.2</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detail</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parties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resolving</w:t>
      </w:r>
      <w:r w:rsidR="005D5532" w:rsidRPr="00276391">
        <w:rPr>
          <w:lang w:eastAsia="en-AU"/>
        </w:rPr>
        <w:t xml:space="preserve"> </w:t>
      </w:r>
      <w:r w:rsidRPr="00276391">
        <w:rPr>
          <w:lang w:eastAsia="en-AU"/>
        </w:rPr>
        <w:t>issues.</w:t>
      </w:r>
    </w:p>
    <w:p w14:paraId="7711D300" w14:textId="77777777" w:rsidR="00236748" w:rsidRDefault="00236748" w:rsidP="00276391">
      <w:pPr>
        <w:pStyle w:val="DHHSbody"/>
        <w:rPr>
          <w:lang w:eastAsia="en-AU"/>
        </w:rPr>
      </w:pPr>
      <w:r w:rsidRPr="00276391">
        <w:rPr>
          <w:lang w:eastAsia="en-AU"/>
        </w:rPr>
        <w:t>A</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any:</w:t>
      </w:r>
    </w:p>
    <w:p w14:paraId="15261401" w14:textId="77777777" w:rsidR="00302BAD" w:rsidRDefault="00236748" w:rsidP="00302BAD">
      <w:pPr>
        <w:pStyle w:val="DHHSbullet1"/>
        <w:rPr>
          <w:lang w:eastAsia="en-AU"/>
        </w:rPr>
      </w:pPr>
      <w:r w:rsidRPr="00276391">
        <w:rPr>
          <w:lang w:eastAsia="en-AU"/>
        </w:rPr>
        <w:t>item</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duties</w:t>
      </w:r>
      <w:r w:rsidR="005D5532" w:rsidRPr="00276391">
        <w:rPr>
          <w:lang w:eastAsia="en-AU"/>
        </w:rPr>
        <w:t xml:space="preserve"> </w:t>
      </w:r>
      <w:r w:rsidRPr="00276391">
        <w:rPr>
          <w:lang w:eastAsia="en-AU"/>
        </w:rPr>
        <w:t>section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w:t>
      </w:r>
      <w:r w:rsidR="005D5532" w:rsidRPr="00276391">
        <w:rPr>
          <w:lang w:eastAsia="en-AU"/>
        </w:rPr>
        <w:t xml:space="preserve"> </w:t>
      </w:r>
    </w:p>
    <w:p w14:paraId="07554DFC" w14:textId="77777777" w:rsidR="00302BAD" w:rsidRDefault="00236748" w:rsidP="00302BAD">
      <w:pPr>
        <w:pStyle w:val="DHHSbullet1"/>
        <w:rPr>
          <w:lang w:eastAsia="en-AU"/>
        </w:rPr>
      </w:pPr>
      <w:r w:rsidRPr="00276391">
        <w:rPr>
          <w:lang w:eastAsia="en-AU"/>
        </w:rPr>
        <w:t>hazard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potential</w:t>
      </w:r>
      <w:r w:rsidR="005D5532" w:rsidRPr="00276391">
        <w:rPr>
          <w:lang w:eastAsia="en-AU"/>
        </w:rPr>
        <w:t xml:space="preserve"> </w:t>
      </w:r>
      <w:r w:rsidRPr="00276391">
        <w:rPr>
          <w:lang w:eastAsia="en-AU"/>
        </w:rPr>
        <w:t>hazard,</w:t>
      </w:r>
      <w:r w:rsidR="005D5532" w:rsidRPr="00276391">
        <w:rPr>
          <w:lang w:eastAsia="en-AU"/>
        </w:rPr>
        <w:t xml:space="preserve"> </w:t>
      </w:r>
      <w:r w:rsidRPr="00276391">
        <w:rPr>
          <w:lang w:eastAsia="en-AU"/>
        </w:rPr>
        <w:t>and</w:t>
      </w:r>
      <w:r w:rsidR="005D5532" w:rsidRPr="00276391">
        <w:rPr>
          <w:lang w:eastAsia="en-AU"/>
        </w:rPr>
        <w:t xml:space="preserve"> </w:t>
      </w:r>
    </w:p>
    <w:p w14:paraId="46D836CC" w14:textId="6E9D61EF" w:rsidR="00236748" w:rsidRPr="00276391" w:rsidRDefault="00236748" w:rsidP="00302BAD">
      <w:pPr>
        <w:pStyle w:val="DHHSbullet1"/>
        <w:rPr>
          <w:lang w:eastAsia="en-AU"/>
        </w:rPr>
      </w:pPr>
      <w:r w:rsidRPr="00276391">
        <w:rPr>
          <w:lang w:eastAsia="en-AU"/>
        </w:rPr>
        <w:lastRenderedPageBreak/>
        <w:t>procedural</w:t>
      </w:r>
      <w:r w:rsidR="005D5532" w:rsidRPr="00276391">
        <w:rPr>
          <w:lang w:eastAsia="en-AU"/>
        </w:rPr>
        <w:t xml:space="preserve"> </w:t>
      </w:r>
      <w:r w:rsidRPr="00276391">
        <w:rPr>
          <w:lang w:eastAsia="en-AU"/>
        </w:rPr>
        <w:t>issue</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necessarily</w:t>
      </w:r>
      <w:r w:rsidR="005D5532" w:rsidRPr="00276391">
        <w:rPr>
          <w:lang w:eastAsia="en-AU"/>
        </w:rPr>
        <w:t xml:space="preserve"> </w:t>
      </w:r>
      <w:r w:rsidRPr="00276391">
        <w:rPr>
          <w:lang w:eastAsia="en-AU"/>
        </w:rPr>
        <w:t>imply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existence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dispute.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resolved</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prescribed</w:t>
      </w:r>
      <w:r w:rsidR="005D5532" w:rsidRPr="00276391">
        <w:rPr>
          <w:lang w:eastAsia="en-AU"/>
        </w:rPr>
        <w:t xml:space="preserve"> </w:t>
      </w:r>
      <w:r w:rsidRPr="00276391">
        <w:rPr>
          <w:lang w:eastAsia="en-AU"/>
        </w:rPr>
        <w:t>procedure</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out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OHS</w:t>
      </w:r>
      <w:r w:rsidR="005D5532" w:rsidRPr="00276391">
        <w:rPr>
          <w:lang w:eastAsia="en-AU"/>
        </w:rPr>
        <w:t xml:space="preserve"> </w:t>
      </w:r>
      <w:r w:rsidRPr="00276391">
        <w:rPr>
          <w:lang w:eastAsia="en-AU"/>
        </w:rPr>
        <w:t>Regulations</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2.2,</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agreed</w:t>
      </w:r>
      <w:r w:rsidR="005D5532" w:rsidRPr="00276391">
        <w:rPr>
          <w:lang w:eastAsia="en-AU"/>
        </w:rPr>
        <w:t xml:space="preserve"> </w:t>
      </w:r>
      <w:r w:rsidRPr="00276391">
        <w:rPr>
          <w:lang w:eastAsia="en-AU"/>
        </w:rPr>
        <w:t>procedure,</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step-by-step</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enable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speedy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resolution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issues.</w:t>
      </w:r>
      <w:r w:rsidR="005D5532" w:rsidRPr="00276391">
        <w:rPr>
          <w:lang w:eastAsia="en-AU"/>
        </w:rPr>
        <w:t xml:space="preserve"> </w:t>
      </w:r>
    </w:p>
    <w:p w14:paraId="6FBB1A21" w14:textId="77777777" w:rsidR="00236748" w:rsidRPr="00276391" w:rsidRDefault="00236748" w:rsidP="001A0795">
      <w:pPr>
        <w:pStyle w:val="Heading4"/>
        <w:rPr>
          <w:lang w:eastAsia="en-AU"/>
        </w:rPr>
      </w:pPr>
      <w:bookmarkStart w:id="745" w:name="_Toc478992069"/>
      <w:r w:rsidRPr="00276391">
        <w:rPr>
          <w:lang w:eastAsia="en-AU"/>
        </w:rPr>
        <w:t>Manual</w:t>
      </w:r>
      <w:r w:rsidR="005D5532" w:rsidRPr="00276391">
        <w:rPr>
          <w:lang w:eastAsia="en-AU"/>
        </w:rPr>
        <w:t xml:space="preserve"> </w:t>
      </w:r>
      <w:r w:rsidRPr="00276391">
        <w:rPr>
          <w:lang w:eastAsia="en-AU"/>
        </w:rPr>
        <w:t>handling</w:t>
      </w:r>
      <w:bookmarkEnd w:id="745"/>
    </w:p>
    <w:p w14:paraId="77E66503" w14:textId="1AE1905B"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7D6F3D">
        <w:rPr>
          <w:rFonts w:cs="Arial"/>
          <w:i/>
          <w:color w:val="000000"/>
          <w:szCs w:val="19"/>
          <w:lang w:eastAsia="en-AU"/>
        </w:rPr>
        <w:t>Occupational</w:t>
      </w:r>
      <w:r w:rsidR="005D5532" w:rsidRPr="007D6F3D">
        <w:rPr>
          <w:rFonts w:cs="Arial"/>
          <w:i/>
          <w:color w:val="000000"/>
          <w:szCs w:val="19"/>
          <w:lang w:eastAsia="en-AU"/>
        </w:rPr>
        <w:t xml:space="preserve"> </w:t>
      </w:r>
      <w:r w:rsidRPr="007D6F3D">
        <w:rPr>
          <w:rFonts w:cs="Arial"/>
          <w:i/>
          <w:color w:val="000000"/>
          <w:szCs w:val="19"/>
          <w:lang w:eastAsia="en-AU"/>
        </w:rPr>
        <w:t>Health</w:t>
      </w:r>
      <w:r w:rsidR="005D5532" w:rsidRPr="007D6F3D">
        <w:rPr>
          <w:rFonts w:cs="Arial"/>
          <w:i/>
          <w:color w:val="000000"/>
          <w:szCs w:val="19"/>
          <w:lang w:eastAsia="en-AU"/>
        </w:rPr>
        <w:t xml:space="preserve"> </w:t>
      </w:r>
      <w:r w:rsidRPr="007D6F3D">
        <w:rPr>
          <w:rFonts w:cs="Arial"/>
          <w:i/>
          <w:color w:val="000000"/>
          <w:szCs w:val="19"/>
          <w:lang w:eastAsia="en-AU"/>
        </w:rPr>
        <w:t>and</w:t>
      </w:r>
      <w:r w:rsidR="005D5532" w:rsidRPr="007D6F3D">
        <w:rPr>
          <w:rFonts w:cs="Arial"/>
          <w:i/>
          <w:color w:val="000000"/>
          <w:szCs w:val="19"/>
          <w:lang w:eastAsia="en-AU"/>
        </w:rPr>
        <w:t xml:space="preserve"> </w:t>
      </w:r>
      <w:r w:rsidRPr="007D6F3D">
        <w:rPr>
          <w:rFonts w:cs="Arial"/>
          <w:i/>
          <w:color w:val="000000"/>
          <w:szCs w:val="19"/>
          <w:lang w:eastAsia="en-AU"/>
        </w:rPr>
        <w:t>Safety</w:t>
      </w:r>
      <w:r w:rsidR="005D5532" w:rsidRPr="007D6F3D">
        <w:rPr>
          <w:rFonts w:cs="Arial"/>
          <w:i/>
          <w:color w:val="000000"/>
          <w:szCs w:val="19"/>
          <w:lang w:eastAsia="en-AU"/>
        </w:rPr>
        <w:t xml:space="preserve"> </w:t>
      </w:r>
      <w:r w:rsidRPr="007D6F3D">
        <w:rPr>
          <w:rFonts w:cs="Arial"/>
          <w:i/>
          <w:color w:val="000000"/>
          <w:szCs w:val="19"/>
          <w:lang w:eastAsia="en-AU"/>
        </w:rPr>
        <w:t>Regulations</w:t>
      </w:r>
      <w:r w:rsidR="005D5532" w:rsidRPr="007D6F3D">
        <w:rPr>
          <w:rFonts w:cs="Arial"/>
          <w:i/>
          <w:color w:val="000000"/>
          <w:szCs w:val="19"/>
          <w:lang w:eastAsia="en-AU"/>
        </w:rPr>
        <w:t xml:space="preserve"> </w:t>
      </w:r>
      <w:r w:rsidR="0030463F" w:rsidRPr="007D6F3D">
        <w:rPr>
          <w:rFonts w:cs="Arial"/>
          <w:i/>
          <w:color w:val="000000"/>
          <w:szCs w:val="19"/>
          <w:lang w:eastAsia="en-AU"/>
        </w:rPr>
        <w:t>2007</w:t>
      </w:r>
      <w:r w:rsidR="0030463F">
        <w:rPr>
          <w:rFonts w:cs="Arial"/>
          <w:color w:val="000000"/>
          <w:szCs w:val="19"/>
          <w:lang w:eastAsia="en-AU"/>
        </w:rPr>
        <w:t xml:space="preserve"> </w:t>
      </w: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3.1</w:t>
      </w:r>
      <w:r w:rsidR="005D5532" w:rsidRPr="00B24C02">
        <w:rPr>
          <w:rFonts w:cs="Arial"/>
          <w:color w:val="000000"/>
          <w:szCs w:val="19"/>
          <w:lang w:eastAsia="en-AU"/>
        </w:rPr>
        <w:t xml:space="preserve"> </w:t>
      </w:r>
      <w:r w:rsidRPr="00B24C02">
        <w:rPr>
          <w:rFonts w:cs="Arial"/>
          <w:color w:val="000000"/>
          <w:szCs w:val="19"/>
          <w:lang w:eastAsia="en-AU"/>
        </w:rPr>
        <w:t>Manual</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emphasise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identification,</w:t>
      </w:r>
      <w:r w:rsidR="005D5532" w:rsidRPr="00B24C02">
        <w:rPr>
          <w:rFonts w:cs="Arial"/>
          <w:color w:val="000000"/>
          <w:szCs w:val="19"/>
          <w:lang w:eastAsia="en-AU"/>
        </w:rPr>
        <w:t xml:space="preserve"> </w:t>
      </w:r>
      <w:r w:rsidRPr="00B24C02">
        <w:rPr>
          <w:rFonts w:cs="Arial"/>
          <w:color w:val="000000"/>
          <w:szCs w:val="19"/>
          <w:lang w:eastAsia="en-AU"/>
        </w:rPr>
        <w:t>assessment,</w:t>
      </w:r>
      <w:r w:rsidR="005D5532" w:rsidRPr="00B24C02">
        <w:rPr>
          <w:rFonts w:cs="Arial"/>
          <w:color w:val="000000"/>
          <w:szCs w:val="19"/>
          <w:lang w:eastAsia="en-AU"/>
        </w:rPr>
        <w:t xml:space="preserve"> </w:t>
      </w:r>
      <w:r w:rsidRPr="00B24C02">
        <w:rPr>
          <w:rFonts w:cs="Arial"/>
          <w:color w:val="000000"/>
          <w:szCs w:val="19"/>
          <w:lang w:eastAsia="en-AU"/>
        </w:rPr>
        <w:t>control</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review</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manual</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risks.</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address</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manual</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issues</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minimum)</w:t>
      </w:r>
      <w:r w:rsidR="005D5532" w:rsidRPr="00B24C02">
        <w:rPr>
          <w:rFonts w:cs="Arial"/>
          <w:color w:val="000000"/>
          <w:szCs w:val="19"/>
          <w:lang w:eastAsia="en-AU"/>
        </w:rPr>
        <w:t xml:space="preserve"> </w:t>
      </w:r>
      <w:r w:rsidRPr="00B24C02">
        <w:rPr>
          <w:rFonts w:cs="Arial"/>
          <w:color w:val="000000"/>
          <w:szCs w:val="19"/>
          <w:lang w:eastAsia="en-AU"/>
        </w:rPr>
        <w:t>ensuring</w:t>
      </w:r>
      <w:r w:rsidR="005D5532" w:rsidRPr="00B24C02">
        <w:rPr>
          <w:rFonts w:cs="Arial"/>
          <w:color w:val="000000"/>
          <w:szCs w:val="19"/>
          <w:lang w:eastAsia="en-AU"/>
        </w:rPr>
        <w:t xml:space="preserve"> </w:t>
      </w:r>
      <w:r w:rsidRPr="00B24C02">
        <w:rPr>
          <w:rFonts w:cs="Arial"/>
          <w:color w:val="000000"/>
          <w:szCs w:val="19"/>
          <w:lang w:eastAsia="en-AU"/>
        </w:rPr>
        <w:t>compliance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regulations.</w:t>
      </w:r>
    </w:p>
    <w:p w14:paraId="5CBE1C33" w14:textId="77777777" w:rsidR="00236748" w:rsidRPr="00276391" w:rsidRDefault="00236748" w:rsidP="00276391">
      <w:pPr>
        <w:pStyle w:val="DHHSbody"/>
        <w:rPr>
          <w:lang w:eastAsia="en-AU"/>
        </w:rPr>
      </w:pPr>
      <w:r w:rsidRPr="00276391">
        <w:rPr>
          <w:lang w:eastAsia="en-AU"/>
        </w:rPr>
        <w:t>Manual</w:t>
      </w:r>
      <w:r w:rsidR="005D5532" w:rsidRPr="00276391">
        <w:rPr>
          <w:lang w:eastAsia="en-AU"/>
        </w:rPr>
        <w:t xml:space="preserve"> </w:t>
      </w:r>
      <w:r w:rsidRPr="00276391">
        <w:rPr>
          <w:lang w:eastAsia="en-AU"/>
        </w:rPr>
        <w:t>handling</w:t>
      </w:r>
      <w:r w:rsidR="005D5532" w:rsidRPr="00276391">
        <w:rPr>
          <w:lang w:eastAsia="en-AU"/>
        </w:rPr>
        <w:t xml:space="preserve"> </w:t>
      </w:r>
      <w:r w:rsidRPr="00276391">
        <w:rPr>
          <w:lang w:eastAsia="en-AU"/>
        </w:rPr>
        <w:t>covers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wide</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lifting,</w:t>
      </w:r>
      <w:r w:rsidR="005D5532" w:rsidRPr="00276391">
        <w:rPr>
          <w:lang w:eastAsia="en-AU"/>
        </w:rPr>
        <w:t xml:space="preserve"> </w:t>
      </w:r>
      <w:r w:rsidRPr="00276391">
        <w:rPr>
          <w:lang w:eastAsia="en-AU"/>
        </w:rPr>
        <w:t>pushing,</w:t>
      </w:r>
      <w:r w:rsidR="005D5532" w:rsidRPr="00276391">
        <w:rPr>
          <w:lang w:eastAsia="en-AU"/>
        </w:rPr>
        <w:t xml:space="preserve"> </w:t>
      </w:r>
      <w:r w:rsidRPr="00276391">
        <w:rPr>
          <w:lang w:eastAsia="en-AU"/>
        </w:rPr>
        <w:t>pulling,</w:t>
      </w:r>
      <w:r w:rsidR="005D5532" w:rsidRPr="00276391">
        <w:rPr>
          <w:lang w:eastAsia="en-AU"/>
        </w:rPr>
        <w:t xml:space="preserve"> </w:t>
      </w:r>
      <w:r w:rsidRPr="00276391">
        <w:rPr>
          <w:lang w:eastAsia="en-AU"/>
        </w:rPr>
        <w:t>holding,</w:t>
      </w:r>
      <w:r w:rsidR="005D5532" w:rsidRPr="00276391">
        <w:rPr>
          <w:lang w:eastAsia="en-AU"/>
        </w:rPr>
        <w:t xml:space="preserve"> </w:t>
      </w:r>
      <w:r w:rsidRPr="00276391">
        <w:rPr>
          <w:lang w:eastAsia="en-AU"/>
        </w:rPr>
        <w:t>throwing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carrying.</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includes</w:t>
      </w:r>
      <w:r w:rsidR="005D5532" w:rsidRPr="00276391">
        <w:rPr>
          <w:lang w:eastAsia="en-AU"/>
        </w:rPr>
        <w:t xml:space="preserve"> </w:t>
      </w:r>
      <w:r w:rsidRPr="00276391">
        <w:rPr>
          <w:lang w:eastAsia="en-AU"/>
        </w:rPr>
        <w:t>repetitive</w:t>
      </w:r>
      <w:r w:rsidR="005D5532" w:rsidRPr="00276391">
        <w:rPr>
          <w:lang w:eastAsia="en-AU"/>
        </w:rPr>
        <w:t xml:space="preserve"> </w:t>
      </w:r>
      <w:r w:rsidRPr="00276391">
        <w:rPr>
          <w:lang w:eastAsia="en-AU"/>
        </w:rPr>
        <w:t>tasks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packing,</w:t>
      </w:r>
      <w:r w:rsidR="005D5532" w:rsidRPr="00276391">
        <w:rPr>
          <w:lang w:eastAsia="en-AU"/>
        </w:rPr>
        <w:t xml:space="preserve"> </w:t>
      </w:r>
      <w:r w:rsidRPr="00276391">
        <w:rPr>
          <w:lang w:eastAsia="en-AU"/>
        </w:rPr>
        <w:t>typing,</w:t>
      </w:r>
      <w:r w:rsidR="005D5532" w:rsidRPr="00276391">
        <w:rPr>
          <w:lang w:eastAsia="en-AU"/>
        </w:rPr>
        <w:t xml:space="preserve"> </w:t>
      </w:r>
      <w:r w:rsidRPr="00276391">
        <w:rPr>
          <w:lang w:eastAsia="en-AU"/>
        </w:rPr>
        <w:t>assembling,</w:t>
      </w:r>
      <w:r w:rsidR="005D5532" w:rsidRPr="00276391">
        <w:rPr>
          <w:lang w:eastAsia="en-AU"/>
        </w:rPr>
        <w:t xml:space="preserve"> </w:t>
      </w:r>
      <w:r w:rsidRPr="00276391">
        <w:rPr>
          <w:lang w:eastAsia="en-AU"/>
        </w:rPr>
        <w:t>cleaning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sorting,</w:t>
      </w:r>
      <w:r w:rsidR="005D5532" w:rsidRPr="00276391">
        <w:rPr>
          <w:lang w:eastAsia="en-AU"/>
        </w:rPr>
        <w:t xml:space="preserve"> </w:t>
      </w:r>
      <w:r w:rsidRPr="00276391">
        <w:rPr>
          <w:lang w:eastAsia="en-AU"/>
        </w:rPr>
        <w:t>using</w:t>
      </w:r>
      <w:r w:rsidR="005D5532" w:rsidRPr="00276391">
        <w:rPr>
          <w:lang w:eastAsia="en-AU"/>
        </w:rPr>
        <w:t xml:space="preserve"> </w:t>
      </w:r>
      <w:r w:rsidRPr="00276391">
        <w:rPr>
          <w:lang w:eastAsia="en-AU"/>
        </w:rPr>
        <w:t>hand-tools,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operating</w:t>
      </w:r>
      <w:r w:rsidR="005D5532" w:rsidRPr="00276391">
        <w:rPr>
          <w:lang w:eastAsia="en-AU"/>
        </w:rPr>
        <w:t xml:space="preserve"> </w:t>
      </w:r>
      <w:r w:rsidRPr="00276391">
        <w:rPr>
          <w:lang w:eastAsia="en-AU"/>
        </w:rPr>
        <w:t>machinery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equipment.</w:t>
      </w:r>
    </w:p>
    <w:p w14:paraId="044CB0F7" w14:textId="77777777" w:rsidR="00236748" w:rsidRPr="00276391" w:rsidRDefault="00236748" w:rsidP="001A0795">
      <w:pPr>
        <w:pStyle w:val="Heading4"/>
        <w:rPr>
          <w:lang w:eastAsia="en-AU"/>
        </w:rPr>
      </w:pPr>
      <w:bookmarkStart w:id="746" w:name="_Toc478992070"/>
      <w:r w:rsidRPr="00276391">
        <w:rPr>
          <w:lang w:eastAsia="en-AU"/>
        </w:rPr>
        <w:t>Effective</w:t>
      </w:r>
      <w:r w:rsidR="005D5532" w:rsidRPr="00276391">
        <w:rPr>
          <w:lang w:eastAsia="en-AU"/>
        </w:rPr>
        <w:t xml:space="preserve"> </w:t>
      </w:r>
      <w:r w:rsidRPr="00276391">
        <w:rPr>
          <w:lang w:eastAsia="en-AU"/>
        </w:rPr>
        <w:t>occupational</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management</w:t>
      </w:r>
      <w:bookmarkEnd w:id="746"/>
    </w:p>
    <w:p w14:paraId="0D2D9E71" w14:textId="77777777" w:rsidR="00236748" w:rsidRPr="00276391" w:rsidRDefault="00236748" w:rsidP="00276391">
      <w:pPr>
        <w:pStyle w:val="DHHSbody"/>
        <w:rPr>
          <w:lang w:eastAsia="en-AU"/>
        </w:rPr>
      </w:pP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effective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will</w:t>
      </w:r>
      <w:r w:rsidR="005D5532" w:rsidRPr="00B24C02">
        <w:rPr>
          <w:rFonts w:cs="Arial"/>
          <w:color w:val="000000"/>
          <w:szCs w:val="19"/>
          <w:lang w:eastAsia="en-AU"/>
        </w:rPr>
        <w:t xml:space="preserve"> </w:t>
      </w:r>
      <w:r w:rsidRPr="00B24C02">
        <w:rPr>
          <w:rFonts w:cs="Arial"/>
          <w:color w:val="000000"/>
          <w:szCs w:val="19"/>
          <w:lang w:eastAsia="en-AU"/>
        </w:rPr>
        <w:t>include</w:t>
      </w:r>
      <w:r w:rsidR="005D5532" w:rsidRPr="00B24C02">
        <w:rPr>
          <w:rFonts w:cs="Arial"/>
          <w:color w:val="000000"/>
          <w:szCs w:val="19"/>
          <w:lang w:eastAsia="en-AU"/>
        </w:rPr>
        <w:t xml:space="preserve"> </w:t>
      </w:r>
      <w:r w:rsidRPr="00B24C02">
        <w:rPr>
          <w:rFonts w:cs="Arial"/>
          <w:color w:val="000000"/>
          <w:szCs w:val="19"/>
          <w:lang w:eastAsia="en-AU"/>
        </w:rPr>
        <w:t>managing</w:t>
      </w:r>
      <w:r w:rsidR="005D5532" w:rsidRPr="00B24C02">
        <w:rPr>
          <w:rFonts w:cs="Arial"/>
          <w:color w:val="000000"/>
          <w:szCs w:val="19"/>
          <w:lang w:eastAsia="en-AU"/>
        </w:rPr>
        <w:t xml:space="preserve"> </w:t>
      </w:r>
      <w:r w:rsidRPr="00B24C02">
        <w:rPr>
          <w:rFonts w:cs="Arial"/>
          <w:color w:val="000000"/>
          <w:szCs w:val="19"/>
          <w:lang w:eastAsia="en-AU"/>
        </w:rPr>
        <w:t>key</w:t>
      </w:r>
      <w:r w:rsidR="005D5532" w:rsidRPr="00B24C02">
        <w:rPr>
          <w:rFonts w:cs="Arial"/>
          <w:color w:val="000000"/>
          <w:szCs w:val="19"/>
          <w:lang w:eastAsia="en-AU"/>
        </w:rPr>
        <w:t xml:space="preserve"> </w:t>
      </w:r>
      <w:r w:rsidRPr="00B24C02">
        <w:rPr>
          <w:rFonts w:cs="Arial"/>
          <w:color w:val="000000"/>
          <w:szCs w:val="19"/>
          <w:lang w:eastAsia="en-AU"/>
        </w:rPr>
        <w:t>sector</w:t>
      </w:r>
      <w:r w:rsidR="005D5532" w:rsidRPr="00B24C02">
        <w:rPr>
          <w:rFonts w:cs="Arial"/>
          <w:color w:val="000000"/>
          <w:szCs w:val="19"/>
          <w:lang w:eastAsia="en-AU"/>
        </w:rPr>
        <w:t xml:space="preserve"> </w:t>
      </w:r>
      <w:r w:rsidRPr="00B24C02">
        <w:rPr>
          <w:rFonts w:cs="Arial"/>
          <w:color w:val="000000"/>
          <w:szCs w:val="19"/>
          <w:lang w:eastAsia="en-AU"/>
        </w:rPr>
        <w:t>risks</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manual</w:t>
      </w:r>
      <w:r w:rsidR="005D5532" w:rsidRPr="00B24C02">
        <w:rPr>
          <w:rFonts w:cs="Arial"/>
          <w:color w:val="000000"/>
          <w:szCs w:val="19"/>
          <w:lang w:eastAsia="en-AU"/>
        </w:rPr>
        <w:t xml:space="preserve"> </w:t>
      </w:r>
      <w:r w:rsidRPr="00B24C02">
        <w:rPr>
          <w:rFonts w:cs="Arial"/>
          <w:color w:val="000000"/>
          <w:szCs w:val="19"/>
          <w:lang w:eastAsia="en-AU"/>
        </w:rPr>
        <w:t>handling,</w:t>
      </w:r>
      <w:r w:rsidR="005D5532" w:rsidRPr="00B24C02">
        <w:rPr>
          <w:rFonts w:cs="Arial"/>
          <w:color w:val="000000"/>
          <w:szCs w:val="19"/>
          <w:lang w:eastAsia="en-AU"/>
        </w:rPr>
        <w:t xml:space="preserve"> </w:t>
      </w:r>
      <w:r w:rsidRPr="00B24C02">
        <w:rPr>
          <w:rFonts w:cs="Arial"/>
          <w:color w:val="000000"/>
          <w:szCs w:val="19"/>
          <w:lang w:eastAsia="en-AU"/>
        </w:rPr>
        <w:t>occupational</w:t>
      </w:r>
      <w:r w:rsidR="005D5532" w:rsidRPr="00B24C02">
        <w:rPr>
          <w:rFonts w:cs="Arial"/>
          <w:color w:val="000000"/>
          <w:szCs w:val="19"/>
          <w:lang w:eastAsia="en-AU"/>
        </w:rPr>
        <w:t xml:space="preserve"> </w:t>
      </w:r>
      <w:r w:rsidRPr="00B24C02">
        <w:rPr>
          <w:rFonts w:cs="Arial"/>
          <w:color w:val="000000"/>
          <w:szCs w:val="19"/>
          <w:lang w:eastAsia="en-AU"/>
        </w:rPr>
        <w:t>assault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stress.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minimum,</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should</w:t>
      </w:r>
      <w:r w:rsidR="005D5532" w:rsidRPr="00B24C02">
        <w:rPr>
          <w:rFonts w:cs="Arial"/>
          <w:color w:val="000000"/>
          <w:szCs w:val="19"/>
          <w:lang w:eastAsia="en-AU"/>
        </w:rPr>
        <w:t xml:space="preserve"> </w:t>
      </w:r>
      <w:r w:rsidRPr="00B24C02">
        <w:rPr>
          <w:rFonts w:cs="Arial"/>
          <w:color w:val="000000"/>
          <w:szCs w:val="19"/>
          <w:lang w:eastAsia="en-AU"/>
        </w:rPr>
        <w:t>contain:</w:t>
      </w:r>
    </w:p>
    <w:p w14:paraId="2A241D0F" w14:textId="77777777" w:rsidR="00236748" w:rsidRPr="00276391" w:rsidRDefault="00236748" w:rsidP="00B2387B">
      <w:pPr>
        <w:pStyle w:val="DHHSbullet1"/>
        <w:rPr>
          <w:lang w:eastAsia="en-AU"/>
        </w:rPr>
      </w:pPr>
      <w:proofErr w:type="gramStart"/>
      <w:r w:rsidRPr="00276391">
        <w:rPr>
          <w:lang w:eastAsia="en-AU"/>
        </w:rPr>
        <w:t>specifically</w:t>
      </w:r>
      <w:proofErr w:type="gramEnd"/>
      <w:r w:rsidR="005D5532" w:rsidRPr="00276391">
        <w:rPr>
          <w:lang w:eastAsia="en-AU"/>
        </w:rPr>
        <w:t xml:space="preserve"> </w:t>
      </w:r>
      <w:r w:rsidRPr="00276391">
        <w:rPr>
          <w:lang w:eastAsia="en-AU"/>
        </w:rPr>
        <w:t>designated</w:t>
      </w:r>
      <w:r w:rsidR="005D5532" w:rsidRPr="00276391">
        <w:rPr>
          <w:lang w:eastAsia="en-AU"/>
        </w:rPr>
        <w:t xml:space="preserve"> </w:t>
      </w:r>
      <w:r w:rsidRPr="00276391">
        <w:rPr>
          <w:lang w:eastAsia="en-AU"/>
        </w:rPr>
        <w:t>personnel</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responsible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occupational</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functions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activities</w:t>
      </w:r>
      <w:r w:rsidR="005D5532" w:rsidRPr="00276391">
        <w:rPr>
          <w:lang w:eastAsia="en-AU"/>
        </w:rPr>
        <w:t xml:space="preserve"> </w:t>
      </w:r>
    </w:p>
    <w:p w14:paraId="467B9148" w14:textId="77777777" w:rsidR="00236748" w:rsidRPr="00276391" w:rsidRDefault="00236748" w:rsidP="00B2387B">
      <w:pPr>
        <w:pStyle w:val="DHHSbullet1"/>
        <w:rPr>
          <w:lang w:eastAsia="en-AU"/>
        </w:rPr>
      </w:pPr>
      <w:r w:rsidRPr="00276391">
        <w:rPr>
          <w:lang w:eastAsia="en-AU"/>
        </w:rPr>
        <w:t>documented</w:t>
      </w:r>
      <w:r w:rsidR="005D5532" w:rsidRPr="00276391">
        <w:rPr>
          <w:lang w:eastAsia="en-AU"/>
        </w:rPr>
        <w:t xml:space="preserve"> </w:t>
      </w:r>
      <w:r w:rsidRPr="00276391">
        <w:rPr>
          <w:lang w:eastAsia="en-AU"/>
        </w:rPr>
        <w:t>occupational</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safe</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emergency</w:t>
      </w:r>
      <w:r w:rsidR="005D5532" w:rsidRPr="00276391">
        <w:rPr>
          <w:lang w:eastAsia="en-AU"/>
        </w:rPr>
        <w:t xml:space="preserve"> </w:t>
      </w:r>
      <w:r w:rsidRPr="00276391">
        <w:rPr>
          <w:lang w:eastAsia="en-AU"/>
        </w:rPr>
        <w:t>procedures</w:t>
      </w:r>
      <w:r w:rsidR="005D5532" w:rsidRPr="00276391">
        <w:rPr>
          <w:lang w:eastAsia="en-AU"/>
        </w:rPr>
        <w:t xml:space="preserve"> </w:t>
      </w:r>
    </w:p>
    <w:p w14:paraId="0D813FEA" w14:textId="77777777" w:rsidR="00236748" w:rsidRPr="00276391" w:rsidRDefault="00236748" w:rsidP="00B2387B">
      <w:pPr>
        <w:pStyle w:val="DHHSbullet1"/>
        <w:rPr>
          <w:lang w:eastAsia="en-AU"/>
        </w:rPr>
      </w:pPr>
      <w:r w:rsidRPr="00276391">
        <w:rPr>
          <w:lang w:eastAsia="en-AU"/>
        </w:rPr>
        <w:t>appropriate</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staff</w:t>
      </w:r>
      <w:r w:rsidR="005D5532" w:rsidRPr="00276391">
        <w:rPr>
          <w:lang w:eastAsia="en-AU"/>
        </w:rPr>
        <w:t xml:space="preserve"> </w:t>
      </w:r>
    </w:p>
    <w:p w14:paraId="327DB5CC" w14:textId="77777777" w:rsidR="00236748" w:rsidRPr="00276391" w:rsidRDefault="00236748" w:rsidP="00B2387B">
      <w:pPr>
        <w:pStyle w:val="DHHSbullet1"/>
        <w:rPr>
          <w:lang w:eastAsia="en-AU"/>
        </w:rPr>
      </w:pPr>
      <w:r w:rsidRPr="00276391">
        <w:rPr>
          <w:lang w:eastAsia="en-AU"/>
        </w:rPr>
        <w:t>an</w:t>
      </w:r>
      <w:r w:rsidR="005D5532" w:rsidRPr="00276391">
        <w:rPr>
          <w:lang w:eastAsia="en-AU"/>
        </w:rPr>
        <w:t xml:space="preserve"> </w:t>
      </w:r>
      <w:r w:rsidRPr="00276391">
        <w:rPr>
          <w:lang w:eastAsia="en-AU"/>
        </w:rPr>
        <w:t>established</w:t>
      </w:r>
      <w:r w:rsidR="005D5532" w:rsidRPr="00276391">
        <w:rPr>
          <w:lang w:eastAsia="en-AU"/>
        </w:rPr>
        <w:t xml:space="preserve"> </w:t>
      </w:r>
      <w:r w:rsidRPr="00276391">
        <w:rPr>
          <w:lang w:eastAsia="en-AU"/>
        </w:rPr>
        <w:t>incident</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investigation</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hazard</w:t>
      </w:r>
      <w:r w:rsidR="005D5532" w:rsidRPr="00276391">
        <w:rPr>
          <w:lang w:eastAsia="en-AU"/>
        </w:rPr>
        <w:t xml:space="preserve"> </w:t>
      </w:r>
      <w:r w:rsidRPr="00276391">
        <w:rPr>
          <w:lang w:eastAsia="en-AU"/>
        </w:rPr>
        <w:t>identification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control</w:t>
      </w:r>
      <w:r w:rsidR="005D5532" w:rsidRPr="00276391">
        <w:rPr>
          <w:lang w:eastAsia="en-AU"/>
        </w:rPr>
        <w:t xml:space="preserve"> </w:t>
      </w:r>
      <w:r w:rsidRPr="00276391">
        <w:rPr>
          <w:lang w:eastAsia="en-AU"/>
        </w:rPr>
        <w:t>mechanisms</w:t>
      </w:r>
      <w:r w:rsidR="005D5532" w:rsidRPr="00276391">
        <w:rPr>
          <w:lang w:eastAsia="en-AU"/>
        </w:rPr>
        <w:t xml:space="preserve"> </w:t>
      </w:r>
    </w:p>
    <w:p w14:paraId="1BB41905" w14:textId="77777777" w:rsidR="00236748" w:rsidRPr="00276391" w:rsidRDefault="00236748" w:rsidP="00B2387B">
      <w:pPr>
        <w:pStyle w:val="DHHSbullet1"/>
        <w:rPr>
          <w:lang w:eastAsia="en-AU"/>
        </w:rPr>
      </w:pPr>
      <w:r w:rsidRPr="00276391">
        <w:rPr>
          <w:lang w:eastAsia="en-AU"/>
        </w:rPr>
        <w:t>appropriate</w:t>
      </w:r>
      <w:r w:rsidR="005D5532" w:rsidRPr="00276391">
        <w:rPr>
          <w:lang w:eastAsia="en-AU"/>
        </w:rPr>
        <w:t xml:space="preserve"> </w:t>
      </w:r>
      <w:r w:rsidRPr="00276391">
        <w:rPr>
          <w:lang w:eastAsia="en-AU"/>
        </w:rPr>
        <w:t>consultative</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and</w:t>
      </w:r>
      <w:r w:rsidR="005D5532" w:rsidRPr="00276391">
        <w:rPr>
          <w:lang w:eastAsia="en-AU"/>
        </w:rPr>
        <w:t xml:space="preserve"> </w:t>
      </w:r>
    </w:p>
    <w:p w14:paraId="67309A59" w14:textId="77777777" w:rsidR="00236748" w:rsidRPr="00276391" w:rsidRDefault="00236748" w:rsidP="00B2387B">
      <w:pPr>
        <w:pStyle w:val="DHHSbullet1"/>
        <w:rPr>
          <w:lang w:eastAsia="en-AU"/>
        </w:rPr>
      </w:pPr>
      <w:r w:rsidRPr="00276391">
        <w:rPr>
          <w:lang w:eastAsia="en-AU"/>
        </w:rPr>
        <w:t>monitoring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processes.</w:t>
      </w:r>
      <w:r w:rsidR="005D5532" w:rsidRPr="00276391">
        <w:rPr>
          <w:lang w:eastAsia="en-AU"/>
        </w:rPr>
        <w:t xml:space="preserve"> </w:t>
      </w:r>
    </w:p>
    <w:p w14:paraId="4E9E37C0" w14:textId="77777777" w:rsidR="00236748" w:rsidRPr="00276391" w:rsidRDefault="00236748" w:rsidP="00B2387B">
      <w:pPr>
        <w:pStyle w:val="DHHSbody"/>
        <w:spacing w:before="240"/>
        <w:rPr>
          <w:lang w:eastAsia="en-AU"/>
        </w:rPr>
      </w:pPr>
      <w:r w:rsidRPr="00276391">
        <w:rPr>
          <w:lang w:eastAsia="en-AU"/>
        </w:rPr>
        <w:t>When</w:t>
      </w:r>
      <w:r w:rsidR="005D5532" w:rsidRPr="00276391">
        <w:rPr>
          <w:lang w:eastAsia="en-AU"/>
        </w:rPr>
        <w:t xml:space="preserve"> </w:t>
      </w:r>
      <w:r w:rsidRPr="00276391">
        <w:rPr>
          <w:lang w:eastAsia="en-AU"/>
        </w:rPr>
        <w:t>developing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occupational</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refer</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AS4801</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AS4804.</w:t>
      </w:r>
    </w:p>
    <w:p w14:paraId="26CD9E6A" w14:textId="77777777" w:rsidR="00236748" w:rsidRPr="00276391" w:rsidRDefault="00236748" w:rsidP="001A0795">
      <w:pPr>
        <w:pStyle w:val="Heading4"/>
        <w:rPr>
          <w:lang w:eastAsia="en-AU"/>
        </w:rPr>
      </w:pPr>
      <w:bookmarkStart w:id="747" w:name="_Toc478992071"/>
      <w:r w:rsidRPr="00276391">
        <w:rPr>
          <w:lang w:eastAsia="en-AU"/>
        </w:rPr>
        <w:t>Duties</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incidents</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incidents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WorkSafe</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(sections</w:t>
      </w:r>
      <w:r w:rsidR="005D5532" w:rsidRPr="00276391">
        <w:rPr>
          <w:lang w:eastAsia="en-AU"/>
        </w:rPr>
        <w:t xml:space="preserve"> </w:t>
      </w:r>
      <w:r w:rsidRPr="00276391">
        <w:rPr>
          <w:lang w:eastAsia="en-AU"/>
        </w:rPr>
        <w:t>37,</w:t>
      </w:r>
      <w:r w:rsidR="005D5532" w:rsidRPr="00276391">
        <w:rPr>
          <w:lang w:eastAsia="en-AU"/>
        </w:rPr>
        <w:t xml:space="preserve"> </w:t>
      </w:r>
      <w:r w:rsidRPr="00276391">
        <w:rPr>
          <w:lang w:eastAsia="en-AU"/>
        </w:rPr>
        <w:t>38</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39)</w:t>
      </w:r>
      <w:bookmarkEnd w:id="747"/>
    </w:p>
    <w:p w14:paraId="3942FDEF" w14:textId="77777777" w:rsidR="00236748" w:rsidRPr="00276391" w:rsidRDefault="00236748" w:rsidP="00276391">
      <w:pPr>
        <w:pStyle w:val="DHHSbody"/>
        <w:rPr>
          <w:lang w:eastAsia="en-AU"/>
        </w:rPr>
      </w:pPr>
      <w:r w:rsidRPr="00B24C02">
        <w:rPr>
          <w:rFonts w:cs="Arial"/>
          <w:color w:val="000000"/>
          <w:szCs w:val="19"/>
          <w:lang w:eastAsia="en-AU"/>
        </w:rPr>
        <w:t>Part</w:t>
      </w:r>
      <w:r w:rsidR="005D5532" w:rsidRPr="00B24C02">
        <w:rPr>
          <w:rFonts w:cs="Arial"/>
          <w:color w:val="000000"/>
          <w:szCs w:val="19"/>
          <w:lang w:eastAsia="en-AU"/>
        </w:rPr>
        <w:t xml:space="preserve"> </w:t>
      </w:r>
      <w:r w:rsidRPr="00B24C02">
        <w:rPr>
          <w:rFonts w:cs="Arial"/>
          <w:color w:val="000000"/>
          <w:szCs w:val="19"/>
          <w:lang w:eastAsia="en-AU"/>
        </w:rPr>
        <w:t>5</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Act</w:t>
      </w:r>
      <w:r w:rsidR="005D5532" w:rsidRPr="00B24C02">
        <w:rPr>
          <w:rFonts w:cs="Arial"/>
          <w:color w:val="000000"/>
          <w:szCs w:val="19"/>
          <w:lang w:eastAsia="en-AU"/>
        </w:rPr>
        <w:t xml:space="preserve"> </w:t>
      </w:r>
      <w:r w:rsidRPr="00B24C02">
        <w:rPr>
          <w:rFonts w:cs="Arial"/>
          <w:color w:val="000000"/>
          <w:szCs w:val="19"/>
          <w:lang w:eastAsia="en-AU"/>
        </w:rPr>
        <w:t>refers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notification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incidents:</w:t>
      </w:r>
    </w:p>
    <w:p w14:paraId="5A1480DB" w14:textId="77777777" w:rsidR="00236748" w:rsidRPr="00276391" w:rsidRDefault="00236748" w:rsidP="00276391">
      <w:pPr>
        <w:pStyle w:val="DHHSbody"/>
        <w:rPr>
          <w:lang w:eastAsia="en-AU"/>
        </w:rPr>
      </w:pPr>
      <w:r w:rsidRPr="00276391">
        <w:rPr>
          <w:lang w:eastAsia="en-AU"/>
        </w:rPr>
        <w:t>Section</w:t>
      </w:r>
      <w:r w:rsidR="005D5532" w:rsidRPr="00276391">
        <w:rPr>
          <w:lang w:eastAsia="en-AU"/>
        </w:rPr>
        <w:t xml:space="preserve"> </w:t>
      </w:r>
      <w:r w:rsidRPr="00276391">
        <w:rPr>
          <w:lang w:eastAsia="en-AU"/>
        </w:rPr>
        <w:t>37</w:t>
      </w:r>
      <w:r w:rsidR="005D5532" w:rsidRPr="00276391">
        <w:rPr>
          <w:lang w:eastAsia="en-AU"/>
        </w:rPr>
        <w:t xml:space="preserve"> </w:t>
      </w:r>
      <w:r w:rsidRPr="00276391">
        <w:rPr>
          <w:lang w:eastAsia="en-AU"/>
        </w:rPr>
        <w:t>defines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incidents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part</w:t>
      </w:r>
      <w:r w:rsidR="005D5532" w:rsidRPr="00276391">
        <w:rPr>
          <w:lang w:eastAsia="en-AU"/>
        </w:rPr>
        <w:t xml:space="preserve"> </w:t>
      </w:r>
      <w:r w:rsidRPr="00276391">
        <w:rPr>
          <w:lang w:eastAsia="en-AU"/>
        </w:rPr>
        <w:t>5</w:t>
      </w:r>
      <w:r w:rsidR="005D5532" w:rsidRPr="00276391">
        <w:rPr>
          <w:lang w:eastAsia="en-AU"/>
        </w:rPr>
        <w:t xml:space="preserve"> </w:t>
      </w:r>
      <w:r w:rsidRPr="00276391">
        <w:rPr>
          <w:lang w:eastAsia="en-AU"/>
        </w:rPr>
        <w:t>applies</w:t>
      </w:r>
      <w:r w:rsidR="005D5532" w:rsidRPr="00276391">
        <w:rPr>
          <w:lang w:eastAsia="en-AU"/>
        </w:rPr>
        <w:t xml:space="preserve"> </w:t>
      </w:r>
    </w:p>
    <w:p w14:paraId="5FA032E4" w14:textId="77777777" w:rsidR="00236748" w:rsidRPr="00276391" w:rsidRDefault="00236748" w:rsidP="00276391">
      <w:pPr>
        <w:pStyle w:val="DHHSbody"/>
        <w:rPr>
          <w:lang w:eastAsia="en-AU"/>
        </w:rPr>
      </w:pPr>
      <w:r w:rsidRPr="00276391">
        <w:rPr>
          <w:lang w:eastAsia="en-AU"/>
        </w:rPr>
        <w:t>Section</w:t>
      </w:r>
      <w:r w:rsidR="005D5532" w:rsidRPr="00276391">
        <w:rPr>
          <w:lang w:eastAsia="en-AU"/>
        </w:rPr>
        <w:t xml:space="preserve"> </w:t>
      </w:r>
      <w:r w:rsidRPr="00276391">
        <w:rPr>
          <w:lang w:eastAsia="en-AU"/>
        </w:rPr>
        <w:t>38</w:t>
      </w:r>
      <w:r w:rsidR="005D5532" w:rsidRPr="00276391">
        <w:rPr>
          <w:lang w:eastAsia="en-AU"/>
        </w:rPr>
        <w:t xml:space="preserve"> </w:t>
      </w:r>
      <w:r w:rsidRPr="00276391">
        <w:rPr>
          <w:lang w:eastAsia="en-AU"/>
        </w:rPr>
        <w:t>explains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'Duty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notify',</w:t>
      </w:r>
      <w:r w:rsidR="005D5532" w:rsidRPr="00276391">
        <w:rPr>
          <w:lang w:eastAsia="en-AU"/>
        </w:rPr>
        <w:t xml:space="preserve"> </w:t>
      </w:r>
      <w:r w:rsidRPr="00276391">
        <w:rPr>
          <w:lang w:eastAsia="en-AU"/>
        </w:rPr>
        <w:t>and</w:t>
      </w:r>
      <w:r w:rsidR="005D5532" w:rsidRPr="00276391">
        <w:rPr>
          <w:lang w:eastAsia="en-AU"/>
        </w:rPr>
        <w:t xml:space="preserve"> </w:t>
      </w:r>
    </w:p>
    <w:p w14:paraId="1FCD2CCC" w14:textId="77777777" w:rsidR="00236748" w:rsidRPr="00276391" w:rsidRDefault="00236748" w:rsidP="00276391">
      <w:pPr>
        <w:pStyle w:val="DHHSbody"/>
        <w:rPr>
          <w:lang w:eastAsia="en-AU"/>
        </w:rPr>
      </w:pPr>
      <w:r w:rsidRPr="00276391">
        <w:rPr>
          <w:lang w:eastAsia="en-AU"/>
        </w:rPr>
        <w:t>Section</w:t>
      </w:r>
      <w:r w:rsidR="005D5532" w:rsidRPr="00276391">
        <w:rPr>
          <w:lang w:eastAsia="en-AU"/>
        </w:rPr>
        <w:t xml:space="preserve"> </w:t>
      </w:r>
      <w:r w:rsidRPr="00276391">
        <w:rPr>
          <w:lang w:eastAsia="en-AU"/>
        </w:rPr>
        <w:t>39</w:t>
      </w:r>
      <w:r w:rsidR="005D5532" w:rsidRPr="00276391">
        <w:rPr>
          <w:lang w:eastAsia="en-AU"/>
        </w:rPr>
        <w:t xml:space="preserve"> </w:t>
      </w:r>
      <w:r w:rsidRPr="00276391">
        <w:rPr>
          <w:lang w:eastAsia="en-AU"/>
        </w:rPr>
        <w:t>describes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requirement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preserve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site.</w:t>
      </w:r>
    </w:p>
    <w:p w14:paraId="1D3C4B07" w14:textId="77777777" w:rsidR="00236748" w:rsidRPr="00276391" w:rsidRDefault="00236748" w:rsidP="00276391">
      <w:pPr>
        <w:pStyle w:val="DHHSbody"/>
        <w:rPr>
          <w:lang w:eastAsia="en-AU"/>
        </w:rPr>
      </w:pPr>
      <w:r w:rsidRPr="00276391">
        <w:rPr>
          <w:lang w:eastAsia="en-AU"/>
        </w:rPr>
        <w:t>Note:</w:t>
      </w:r>
      <w:r w:rsidR="005D5532" w:rsidRPr="00276391">
        <w:rPr>
          <w:lang w:eastAsia="en-AU"/>
        </w:rPr>
        <w:t xml:space="preserve"> </w:t>
      </w:r>
      <w:r w:rsidRPr="00276391">
        <w:rPr>
          <w:lang w:eastAsia="en-AU"/>
        </w:rPr>
        <w:t>Relevant</w:t>
      </w:r>
      <w:r w:rsidR="005D5532" w:rsidRPr="00276391">
        <w:rPr>
          <w:lang w:eastAsia="en-AU"/>
        </w:rPr>
        <w:t xml:space="preserve"> </w:t>
      </w:r>
      <w:r w:rsidRPr="00276391">
        <w:rPr>
          <w:lang w:eastAsia="en-AU"/>
        </w:rPr>
        <w:t>incident(s)</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reported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WorkSafe</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calling</w:t>
      </w:r>
      <w:r w:rsidR="005D5532" w:rsidRPr="00276391">
        <w:rPr>
          <w:lang w:eastAsia="en-AU"/>
        </w:rPr>
        <w:t xml:space="preserve"> </w:t>
      </w:r>
      <w:r w:rsidRPr="00276391">
        <w:rPr>
          <w:lang w:eastAsia="en-AU"/>
        </w:rPr>
        <w:t>132</w:t>
      </w:r>
      <w:r w:rsidR="005D5532" w:rsidRPr="00276391">
        <w:rPr>
          <w:lang w:eastAsia="en-AU"/>
        </w:rPr>
        <w:t xml:space="preserve"> </w:t>
      </w:r>
      <w:r w:rsidRPr="00276391">
        <w:rPr>
          <w:lang w:eastAsia="en-AU"/>
        </w:rPr>
        <w:t>360,</w:t>
      </w:r>
      <w:r w:rsidR="005D5532" w:rsidRPr="00276391">
        <w:rPr>
          <w:lang w:eastAsia="en-AU"/>
        </w:rPr>
        <w:t xml:space="preserve"> </w:t>
      </w:r>
      <w:r w:rsidRPr="00276391">
        <w:rPr>
          <w:lang w:eastAsia="en-AU"/>
        </w:rPr>
        <w:t>immediately</w:t>
      </w:r>
      <w:r w:rsidR="005D5532" w:rsidRPr="00276391">
        <w:rPr>
          <w:lang w:eastAsia="en-AU"/>
        </w:rPr>
        <w:t xml:space="preserve"> </w:t>
      </w:r>
      <w:r w:rsidRPr="00276391">
        <w:rPr>
          <w:lang w:eastAsia="en-AU"/>
        </w:rPr>
        <w:t>after</w:t>
      </w:r>
      <w:r w:rsidR="005D5532" w:rsidRPr="00276391">
        <w:rPr>
          <w:lang w:eastAsia="en-AU"/>
        </w:rPr>
        <w:t xml:space="preserve"> </w:t>
      </w:r>
      <w:r w:rsidRPr="00276391">
        <w:rPr>
          <w:lang w:eastAsia="en-AU"/>
        </w:rPr>
        <w:t>becoming</w:t>
      </w:r>
      <w:r w:rsidR="005D5532" w:rsidRPr="00276391">
        <w:rPr>
          <w:lang w:eastAsia="en-AU"/>
        </w:rPr>
        <w:t xml:space="preserve"> </w:t>
      </w:r>
      <w:r w:rsidRPr="00276391">
        <w:rPr>
          <w:lang w:eastAsia="en-AU"/>
        </w:rPr>
        <w:t>aware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incident.</w:t>
      </w:r>
      <w:r w:rsidR="005D5532" w:rsidRPr="00276391">
        <w:rPr>
          <w:lang w:eastAsia="en-AU"/>
        </w:rPr>
        <w:t xml:space="preserve"> </w:t>
      </w:r>
      <w:r w:rsidRPr="00276391">
        <w:rPr>
          <w:lang w:eastAsia="en-AU"/>
        </w:rPr>
        <w:t>Written</w:t>
      </w:r>
      <w:r w:rsidR="005D5532" w:rsidRPr="00276391">
        <w:rPr>
          <w:lang w:eastAsia="en-AU"/>
        </w:rPr>
        <w:t xml:space="preserve"> </w:t>
      </w:r>
      <w:r w:rsidRPr="00276391">
        <w:rPr>
          <w:lang w:eastAsia="en-AU"/>
        </w:rPr>
        <w:t>notification</w:t>
      </w:r>
      <w:r w:rsidR="005D5532" w:rsidRPr="00276391">
        <w:rPr>
          <w:lang w:eastAsia="en-AU"/>
        </w:rPr>
        <w:t xml:space="preserve"> </w:t>
      </w:r>
      <w:r w:rsidRPr="00276391">
        <w:rPr>
          <w:lang w:eastAsia="en-AU"/>
        </w:rPr>
        <w:t>must</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WorkSafe</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48</w:t>
      </w:r>
      <w:r w:rsidR="005D5532" w:rsidRPr="00276391">
        <w:rPr>
          <w:lang w:eastAsia="en-AU"/>
        </w:rPr>
        <w:t xml:space="preserve"> </w:t>
      </w:r>
      <w:r w:rsidRPr="00276391">
        <w:rPr>
          <w:lang w:eastAsia="en-AU"/>
        </w:rPr>
        <w:t>hours.</w:t>
      </w:r>
    </w:p>
    <w:p w14:paraId="2D1718DF" w14:textId="77777777" w:rsidR="00236748" w:rsidRPr="00276391" w:rsidRDefault="00236748" w:rsidP="001A0795">
      <w:pPr>
        <w:pStyle w:val="Heading4"/>
        <w:rPr>
          <w:lang w:eastAsia="en-AU"/>
        </w:rPr>
      </w:pPr>
      <w:bookmarkStart w:id="748" w:name="_Toc478992072"/>
      <w:r w:rsidRPr="00276391">
        <w:rPr>
          <w:lang w:eastAsia="en-AU"/>
        </w:rPr>
        <w:t>A</w:t>
      </w:r>
      <w:r w:rsidR="005D5532" w:rsidRPr="00276391">
        <w:rPr>
          <w:lang w:eastAsia="en-AU"/>
        </w:rPr>
        <w:t xml:space="preserve"> </w:t>
      </w:r>
      <w:r w:rsidRPr="00276391">
        <w:rPr>
          <w:lang w:eastAsia="en-AU"/>
        </w:rPr>
        <w:t>guide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advice</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WorkSafe</w:t>
      </w:r>
      <w:r w:rsidR="005D5532" w:rsidRPr="00276391">
        <w:rPr>
          <w:lang w:eastAsia="en-AU"/>
        </w:rPr>
        <w:t xml:space="preserve"> </w:t>
      </w:r>
      <w:r w:rsidRPr="00276391">
        <w:rPr>
          <w:lang w:eastAsia="en-AU"/>
        </w:rPr>
        <w:t>Victoria</w:t>
      </w:r>
      <w:bookmarkEnd w:id="748"/>
    </w:p>
    <w:p w14:paraId="6A21E7DE" w14:textId="77777777" w:rsidR="00236748" w:rsidRPr="00276391" w:rsidRDefault="00236748" w:rsidP="00276391">
      <w:pPr>
        <w:pStyle w:val="DHHSbody"/>
        <w:rPr>
          <w:lang w:eastAsia="en-AU"/>
        </w:rPr>
      </w:pPr>
      <w:r w:rsidRPr="00B24C02">
        <w:rPr>
          <w:rFonts w:cs="Arial"/>
          <w:color w:val="000000"/>
          <w:szCs w:val="19"/>
          <w:lang w:eastAsia="en-AU"/>
        </w:rPr>
        <w:t>A</w:t>
      </w:r>
      <w:r w:rsidR="005D5532" w:rsidRPr="00B24C02">
        <w:rPr>
          <w:rFonts w:cs="Arial"/>
          <w:color w:val="000000"/>
          <w:szCs w:val="19"/>
          <w:lang w:eastAsia="en-AU"/>
        </w:rPr>
        <w:t xml:space="preserve"> </w:t>
      </w:r>
      <w:r w:rsidRPr="007D6F3D">
        <w:rPr>
          <w:rFonts w:cs="Arial"/>
          <w:i/>
          <w:color w:val="000000"/>
          <w:szCs w:val="19"/>
          <w:lang w:eastAsia="en-AU"/>
        </w:rPr>
        <w:t>Guide</w:t>
      </w:r>
      <w:r w:rsidR="005D5532" w:rsidRPr="007D6F3D">
        <w:rPr>
          <w:rFonts w:cs="Arial"/>
          <w:i/>
          <w:color w:val="000000"/>
          <w:szCs w:val="19"/>
          <w:lang w:eastAsia="en-AU"/>
        </w:rPr>
        <w:t xml:space="preserve"> </w:t>
      </w:r>
      <w:r w:rsidRPr="007D6F3D">
        <w:rPr>
          <w:rFonts w:cs="Arial"/>
          <w:i/>
          <w:color w:val="000000"/>
          <w:szCs w:val="19"/>
          <w:lang w:eastAsia="en-AU"/>
        </w:rPr>
        <w:t>to</w:t>
      </w:r>
      <w:r w:rsidR="005D5532" w:rsidRPr="007D6F3D">
        <w:rPr>
          <w:rFonts w:cs="Arial"/>
          <w:i/>
          <w:color w:val="000000"/>
          <w:szCs w:val="19"/>
          <w:lang w:eastAsia="en-AU"/>
        </w:rPr>
        <w:t xml:space="preserve"> </w:t>
      </w:r>
      <w:r w:rsidRPr="007D6F3D">
        <w:rPr>
          <w:rFonts w:cs="Arial"/>
          <w:i/>
          <w:color w:val="000000"/>
          <w:szCs w:val="19"/>
          <w:lang w:eastAsia="en-AU"/>
        </w:rPr>
        <w:t>the</w:t>
      </w:r>
      <w:r w:rsidR="005D5532" w:rsidRPr="007D6F3D">
        <w:rPr>
          <w:rFonts w:cs="Arial"/>
          <w:i/>
          <w:color w:val="000000"/>
          <w:szCs w:val="19"/>
          <w:lang w:eastAsia="en-AU"/>
        </w:rPr>
        <w:t xml:space="preserve"> </w:t>
      </w:r>
      <w:r w:rsidRPr="007D6F3D">
        <w:rPr>
          <w:rFonts w:cs="Arial"/>
          <w:i/>
          <w:color w:val="000000"/>
          <w:szCs w:val="19"/>
          <w:lang w:eastAsia="en-AU"/>
        </w:rPr>
        <w:t>Occupational</w:t>
      </w:r>
      <w:r w:rsidR="005D5532" w:rsidRPr="007D6F3D">
        <w:rPr>
          <w:rFonts w:cs="Arial"/>
          <w:i/>
          <w:color w:val="000000"/>
          <w:szCs w:val="19"/>
          <w:lang w:eastAsia="en-AU"/>
        </w:rPr>
        <w:t xml:space="preserve"> </w:t>
      </w:r>
      <w:r w:rsidRPr="007D6F3D">
        <w:rPr>
          <w:rFonts w:cs="Arial"/>
          <w:i/>
          <w:color w:val="000000"/>
          <w:szCs w:val="19"/>
          <w:lang w:eastAsia="en-AU"/>
        </w:rPr>
        <w:t>Health</w:t>
      </w:r>
      <w:r w:rsidR="005D5532" w:rsidRPr="007D6F3D">
        <w:rPr>
          <w:rFonts w:cs="Arial"/>
          <w:i/>
          <w:color w:val="000000"/>
          <w:szCs w:val="19"/>
          <w:lang w:eastAsia="en-AU"/>
        </w:rPr>
        <w:t xml:space="preserve"> </w:t>
      </w:r>
      <w:r w:rsidRPr="007D6F3D">
        <w:rPr>
          <w:rFonts w:cs="Arial"/>
          <w:i/>
          <w:color w:val="000000"/>
          <w:szCs w:val="19"/>
          <w:lang w:eastAsia="en-AU"/>
        </w:rPr>
        <w:t>and</w:t>
      </w:r>
      <w:r w:rsidR="005D5532" w:rsidRPr="007D6F3D">
        <w:rPr>
          <w:rFonts w:cs="Arial"/>
          <w:i/>
          <w:color w:val="000000"/>
          <w:szCs w:val="19"/>
          <w:lang w:eastAsia="en-AU"/>
        </w:rPr>
        <w:t xml:space="preserve"> </w:t>
      </w:r>
      <w:r w:rsidRPr="007D6F3D">
        <w:rPr>
          <w:rFonts w:cs="Arial"/>
          <w:i/>
          <w:color w:val="000000"/>
          <w:szCs w:val="19"/>
          <w:lang w:eastAsia="en-AU"/>
        </w:rPr>
        <w:t>Safety</w:t>
      </w:r>
      <w:r w:rsidR="005D5532" w:rsidRPr="007D6F3D">
        <w:rPr>
          <w:rFonts w:cs="Arial"/>
          <w:i/>
          <w:color w:val="000000"/>
          <w:szCs w:val="19"/>
          <w:lang w:eastAsia="en-AU"/>
        </w:rPr>
        <w:t xml:space="preserve"> </w:t>
      </w:r>
      <w:r w:rsidRPr="007D6F3D">
        <w:rPr>
          <w:rFonts w:cs="Arial"/>
          <w:i/>
          <w:color w:val="000000"/>
          <w:szCs w:val="19"/>
          <w:lang w:eastAsia="en-AU"/>
        </w:rPr>
        <w:t>Act</w:t>
      </w:r>
      <w:r w:rsidR="005D5532" w:rsidRPr="007D6F3D">
        <w:rPr>
          <w:rFonts w:cs="Arial"/>
          <w:i/>
          <w:color w:val="000000"/>
          <w:szCs w:val="19"/>
          <w:lang w:eastAsia="en-AU"/>
        </w:rPr>
        <w:t xml:space="preserve"> </w:t>
      </w:r>
      <w:r w:rsidRPr="007D6F3D">
        <w:rPr>
          <w:rFonts w:cs="Arial"/>
          <w:i/>
          <w:color w:val="000000"/>
          <w:szCs w:val="19"/>
          <w:lang w:eastAsia="en-AU"/>
        </w:rPr>
        <w:t>2004</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obtained</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local</w:t>
      </w:r>
      <w:r w:rsidR="005D5532" w:rsidRPr="00B24C02">
        <w:rPr>
          <w:rFonts w:cs="Arial"/>
          <w:color w:val="000000"/>
          <w:szCs w:val="19"/>
          <w:lang w:eastAsia="en-AU"/>
        </w:rPr>
        <w:t xml:space="preserve"> </w:t>
      </w:r>
      <w:r w:rsidRPr="00B24C02">
        <w:rPr>
          <w:rFonts w:cs="Arial"/>
          <w:color w:val="000000"/>
          <w:szCs w:val="19"/>
          <w:lang w:eastAsia="en-AU"/>
        </w:rPr>
        <w:t>WorkSafe</w:t>
      </w:r>
      <w:r w:rsidR="005D5532" w:rsidRPr="00B24C02">
        <w:rPr>
          <w:rFonts w:cs="Arial"/>
          <w:color w:val="000000"/>
          <w:szCs w:val="19"/>
          <w:lang w:eastAsia="en-AU"/>
        </w:rPr>
        <w:t xml:space="preserve"> </w:t>
      </w:r>
      <w:r w:rsidRPr="00B24C02">
        <w:rPr>
          <w:rFonts w:cs="Arial"/>
          <w:color w:val="000000"/>
          <w:szCs w:val="19"/>
          <w:lang w:eastAsia="en-AU"/>
        </w:rPr>
        <w:t>Victoria</w:t>
      </w:r>
      <w:r w:rsidR="005D5532" w:rsidRPr="00B24C02">
        <w:rPr>
          <w:rFonts w:cs="Arial"/>
          <w:color w:val="000000"/>
          <w:szCs w:val="19"/>
          <w:lang w:eastAsia="en-AU"/>
        </w:rPr>
        <w:t xml:space="preserve"> </w:t>
      </w:r>
      <w:r w:rsidRPr="00B24C02">
        <w:rPr>
          <w:rFonts w:cs="Arial"/>
          <w:color w:val="000000"/>
          <w:szCs w:val="19"/>
          <w:lang w:eastAsia="en-AU"/>
        </w:rPr>
        <w:t>office.</w:t>
      </w:r>
      <w:r w:rsidR="005D5532" w:rsidRPr="00B24C02">
        <w:rPr>
          <w:rFonts w:cs="Arial"/>
          <w:color w:val="000000"/>
          <w:szCs w:val="19"/>
          <w:lang w:eastAsia="en-AU"/>
        </w:rPr>
        <w:t xml:space="preserve"> </w:t>
      </w:r>
      <w:r w:rsidRPr="00B24C02">
        <w:rPr>
          <w:rFonts w:cs="Arial"/>
          <w:color w:val="000000"/>
          <w:szCs w:val="19"/>
          <w:lang w:eastAsia="en-AU"/>
        </w:rPr>
        <w:t>WorkSafe</w:t>
      </w:r>
      <w:r w:rsidR="005D5532" w:rsidRPr="00B24C02">
        <w:rPr>
          <w:rFonts w:cs="Arial"/>
          <w:color w:val="000000"/>
          <w:szCs w:val="19"/>
          <w:lang w:eastAsia="en-AU"/>
        </w:rPr>
        <w:t xml:space="preserve"> </w:t>
      </w:r>
      <w:r w:rsidRPr="00B24C02">
        <w:rPr>
          <w:rFonts w:cs="Arial"/>
          <w:color w:val="000000"/>
          <w:szCs w:val="19"/>
          <w:lang w:eastAsia="en-AU"/>
        </w:rPr>
        <w:t>Victoria</w:t>
      </w:r>
      <w:r w:rsidR="005D5532" w:rsidRPr="00B24C02">
        <w:rPr>
          <w:rFonts w:cs="Arial"/>
          <w:color w:val="000000"/>
          <w:szCs w:val="19"/>
          <w:lang w:eastAsia="en-AU"/>
        </w:rPr>
        <w:t xml:space="preserve"> </w:t>
      </w:r>
      <w:r w:rsidRPr="00B24C02">
        <w:rPr>
          <w:rFonts w:cs="Arial"/>
          <w:color w:val="000000"/>
          <w:szCs w:val="19"/>
          <w:lang w:eastAsia="en-AU"/>
        </w:rPr>
        <w:t>also</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advice</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workplace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issues.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contact</w:t>
      </w:r>
      <w:r w:rsidR="005D5532" w:rsidRPr="00B24C02">
        <w:rPr>
          <w:rFonts w:cs="Arial"/>
          <w:color w:val="000000"/>
          <w:szCs w:val="19"/>
          <w:lang w:eastAsia="en-AU"/>
        </w:rPr>
        <w:t xml:space="preserve"> </w:t>
      </w:r>
      <w:r w:rsidRPr="00B24C02">
        <w:rPr>
          <w:rFonts w:cs="Arial"/>
          <w:color w:val="000000"/>
          <w:szCs w:val="19"/>
          <w:lang w:eastAsia="en-AU"/>
        </w:rPr>
        <w:t>telephone</w:t>
      </w:r>
      <w:r w:rsidR="005D5532" w:rsidRPr="00B24C02">
        <w:rPr>
          <w:rFonts w:cs="Arial"/>
          <w:color w:val="000000"/>
          <w:szCs w:val="19"/>
          <w:lang w:eastAsia="en-AU"/>
        </w:rPr>
        <w:t xml:space="preserve"> </w:t>
      </w:r>
      <w:r w:rsidRPr="00B24C02">
        <w:rPr>
          <w:rFonts w:cs="Arial"/>
          <w:color w:val="000000"/>
          <w:szCs w:val="19"/>
          <w:lang w:eastAsia="en-AU"/>
        </w:rPr>
        <w:t>number</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(03)</w:t>
      </w:r>
      <w:r w:rsidR="005D5532" w:rsidRPr="00B24C02">
        <w:rPr>
          <w:rFonts w:cs="Arial"/>
          <w:color w:val="000000"/>
          <w:szCs w:val="19"/>
          <w:lang w:eastAsia="en-AU"/>
        </w:rPr>
        <w:t xml:space="preserve"> </w:t>
      </w:r>
      <w:r w:rsidRPr="00B24C02">
        <w:rPr>
          <w:rFonts w:cs="Arial"/>
          <w:color w:val="000000"/>
          <w:szCs w:val="19"/>
          <w:lang w:eastAsia="en-AU"/>
        </w:rPr>
        <w:t>9641</w:t>
      </w:r>
      <w:r w:rsidR="005D5532" w:rsidRPr="00B24C02">
        <w:rPr>
          <w:rFonts w:cs="Arial"/>
          <w:color w:val="000000"/>
          <w:szCs w:val="19"/>
          <w:lang w:eastAsia="en-AU"/>
        </w:rPr>
        <w:t xml:space="preserve"> </w:t>
      </w:r>
      <w:r w:rsidRPr="00B24C02">
        <w:rPr>
          <w:rFonts w:cs="Arial"/>
          <w:color w:val="000000"/>
          <w:szCs w:val="19"/>
          <w:lang w:eastAsia="en-AU"/>
        </w:rPr>
        <w:t>1444.</w:t>
      </w:r>
      <w:r w:rsidR="005D5532" w:rsidRPr="00B24C02">
        <w:rPr>
          <w:rFonts w:cs="Arial"/>
          <w:color w:val="000000"/>
          <w:szCs w:val="19"/>
          <w:lang w:eastAsia="en-AU"/>
        </w:rPr>
        <w:t xml:space="preserve"> </w:t>
      </w:r>
      <w:r w:rsidRPr="00B24C02">
        <w:rPr>
          <w:rFonts w:cs="Arial"/>
          <w:color w:val="000000"/>
          <w:szCs w:val="19"/>
          <w:lang w:eastAsia="en-AU"/>
        </w:rPr>
        <w:t>Toll</w:t>
      </w:r>
      <w:r w:rsidR="005D5532" w:rsidRPr="00B24C02">
        <w:rPr>
          <w:rFonts w:cs="Arial"/>
          <w:color w:val="000000"/>
          <w:szCs w:val="19"/>
          <w:lang w:eastAsia="en-AU"/>
        </w:rPr>
        <w:t xml:space="preserve"> </w:t>
      </w:r>
      <w:r w:rsidRPr="00B24C02">
        <w:rPr>
          <w:rFonts w:cs="Arial"/>
          <w:color w:val="000000"/>
          <w:szCs w:val="19"/>
          <w:lang w:eastAsia="en-AU"/>
        </w:rPr>
        <w:t>free</w:t>
      </w:r>
      <w:r w:rsidR="005D5532" w:rsidRPr="00B24C02">
        <w:rPr>
          <w:rFonts w:cs="Arial"/>
          <w:color w:val="000000"/>
          <w:szCs w:val="19"/>
          <w:lang w:eastAsia="en-AU"/>
        </w:rPr>
        <w:t xml:space="preserve"> </w:t>
      </w:r>
      <w:r w:rsidRPr="00B24C02">
        <w:rPr>
          <w:rFonts w:cs="Arial"/>
          <w:color w:val="000000"/>
          <w:szCs w:val="19"/>
          <w:lang w:eastAsia="en-AU"/>
        </w:rPr>
        <w:t>1800</w:t>
      </w:r>
      <w:r w:rsidR="005D5532" w:rsidRPr="00B24C02">
        <w:rPr>
          <w:rFonts w:cs="Arial"/>
          <w:color w:val="000000"/>
          <w:szCs w:val="19"/>
          <w:lang w:eastAsia="en-AU"/>
        </w:rPr>
        <w:t xml:space="preserve"> </w:t>
      </w:r>
      <w:r w:rsidRPr="00B24C02">
        <w:rPr>
          <w:rFonts w:cs="Arial"/>
          <w:color w:val="000000"/>
          <w:szCs w:val="19"/>
          <w:lang w:eastAsia="en-AU"/>
        </w:rPr>
        <w:t>136</w:t>
      </w:r>
      <w:r w:rsidR="005D5532" w:rsidRPr="00B24C02">
        <w:rPr>
          <w:rFonts w:cs="Arial"/>
          <w:color w:val="000000"/>
          <w:szCs w:val="19"/>
          <w:lang w:eastAsia="en-AU"/>
        </w:rPr>
        <w:t xml:space="preserve"> </w:t>
      </w:r>
      <w:r w:rsidRPr="00B24C02">
        <w:rPr>
          <w:rFonts w:cs="Arial"/>
          <w:color w:val="000000"/>
          <w:szCs w:val="19"/>
          <w:lang w:eastAsia="en-AU"/>
        </w:rPr>
        <w:t>089.</w:t>
      </w:r>
    </w:p>
    <w:p w14:paraId="31C92D14" w14:textId="77777777" w:rsidR="00236748" w:rsidRPr="00276391" w:rsidRDefault="00236748" w:rsidP="00276391">
      <w:pPr>
        <w:pStyle w:val="DHHSbody"/>
        <w:rPr>
          <w:lang w:eastAsia="en-AU"/>
        </w:rPr>
      </w:pPr>
      <w:r w:rsidRPr="00276391">
        <w:rPr>
          <w:lang w:eastAsia="en-AU"/>
        </w:rPr>
        <w:t>WorkSafe</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website:</w:t>
      </w:r>
      <w:r w:rsidR="005D5532" w:rsidRPr="00276391">
        <w:rPr>
          <w:lang w:eastAsia="en-AU"/>
        </w:rPr>
        <w:t xml:space="preserve"> </w:t>
      </w:r>
      <w:hyperlink r:id="rId245" w:tgtFrame="_blank" w:history="1">
        <w:r w:rsidRPr="00986D1E">
          <w:rPr>
            <w:rStyle w:val="Hyperlink"/>
          </w:rPr>
          <w:t>www.worksafe.vic.gov.au/home</w:t>
        </w:r>
      </w:hyperlink>
      <w:r w:rsidR="005D5532" w:rsidRPr="00276391">
        <w:rPr>
          <w:lang w:eastAsia="en-AU"/>
        </w:rPr>
        <w:t xml:space="preserve"> </w:t>
      </w:r>
      <w:r w:rsidR="004B636F">
        <w:rPr>
          <w:lang w:eastAsia="en-AU"/>
        </w:rPr>
        <w:t>&lt;</w:t>
      </w:r>
      <w:r w:rsidR="004B636F" w:rsidRPr="004B636F">
        <w:rPr>
          <w:lang w:eastAsia="en-AU"/>
        </w:rPr>
        <w:t>http://www.worksafe.vic.gov.au/home</w:t>
      </w:r>
      <w:r w:rsidR="004B636F">
        <w:rPr>
          <w:lang w:eastAsia="en-AU"/>
        </w:rPr>
        <w:t>&gt;</w:t>
      </w:r>
      <w:r w:rsidR="004B636F" w:rsidRPr="004B636F">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4B636F">
        <w:rPr>
          <w:lang w:eastAsia="en-AU"/>
        </w:rPr>
        <w:t>.</w:t>
      </w:r>
    </w:p>
    <w:p w14:paraId="0DD334A8" w14:textId="77777777" w:rsidR="00236748" w:rsidRPr="00276391" w:rsidRDefault="00236748" w:rsidP="00276391">
      <w:pPr>
        <w:pStyle w:val="DHHSbody"/>
        <w:rPr>
          <w:lang w:eastAsia="en-AU"/>
        </w:rPr>
      </w:pPr>
      <w:r w:rsidRPr="00276391">
        <w:rPr>
          <w:lang w:eastAsia="en-AU"/>
        </w:rPr>
        <w:t>Copies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Acts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Regulations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purchased</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Victoria</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1300</w:t>
      </w:r>
      <w:r w:rsidR="005D5532" w:rsidRPr="00276391">
        <w:rPr>
          <w:lang w:eastAsia="en-AU"/>
        </w:rPr>
        <w:t xml:space="preserve"> </w:t>
      </w:r>
      <w:r w:rsidRPr="00276391">
        <w:rPr>
          <w:lang w:eastAsia="en-AU"/>
        </w:rPr>
        <w:t>366</w:t>
      </w:r>
      <w:r w:rsidR="005D5532" w:rsidRPr="00276391">
        <w:rPr>
          <w:lang w:eastAsia="en-AU"/>
        </w:rPr>
        <w:t xml:space="preserve"> </w:t>
      </w:r>
      <w:r w:rsidRPr="00276391">
        <w:rPr>
          <w:lang w:eastAsia="en-AU"/>
        </w:rPr>
        <w:t>356.</w:t>
      </w:r>
    </w:p>
    <w:p w14:paraId="7A97C315" w14:textId="77777777" w:rsidR="00236748" w:rsidRPr="00276391" w:rsidRDefault="00236748" w:rsidP="001A0795">
      <w:pPr>
        <w:pStyle w:val="Heading4"/>
        <w:rPr>
          <w:lang w:eastAsia="en-AU"/>
        </w:rPr>
      </w:pPr>
      <w:bookmarkStart w:id="749" w:name="_Toc478992073"/>
      <w:r w:rsidRPr="00276391">
        <w:rPr>
          <w:lang w:eastAsia="en-AU"/>
        </w:rPr>
        <w:lastRenderedPageBreak/>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749"/>
    </w:p>
    <w:p w14:paraId="2B23E35B" w14:textId="347EBB3C" w:rsidR="00236748" w:rsidRPr="00276391" w:rsidRDefault="00236748" w:rsidP="00276391">
      <w:pPr>
        <w:pStyle w:val="DHHSbody"/>
        <w:rPr>
          <w:lang w:eastAsia="en-AU"/>
        </w:rPr>
      </w:pPr>
      <w:r w:rsidRPr="00B24C02">
        <w:rPr>
          <w:rFonts w:cs="Arial"/>
          <w:color w:val="000000"/>
          <w:szCs w:val="19"/>
          <w:lang w:eastAsia="en-AU"/>
        </w:rPr>
        <w:t>Geoff</w:t>
      </w:r>
      <w:r w:rsidR="005D5532" w:rsidRPr="00B24C02">
        <w:rPr>
          <w:rFonts w:cs="Arial"/>
          <w:color w:val="000000"/>
          <w:szCs w:val="19"/>
          <w:lang w:eastAsia="en-AU"/>
        </w:rPr>
        <w:t xml:space="preserve"> </w:t>
      </w:r>
      <w:proofErr w:type="spellStart"/>
      <w:r w:rsidRPr="00B24C02">
        <w:rPr>
          <w:rFonts w:cs="Arial"/>
          <w:color w:val="000000"/>
          <w:szCs w:val="19"/>
          <w:lang w:eastAsia="en-AU"/>
        </w:rPr>
        <w:t>Reany</w:t>
      </w:r>
      <w:proofErr w:type="spellEnd"/>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Manager,</w:t>
      </w:r>
      <w:r w:rsidR="005D5532" w:rsidRPr="00B24C02">
        <w:rPr>
          <w:rFonts w:cs="Arial"/>
          <w:color w:val="000000"/>
          <w:szCs w:val="19"/>
          <w:lang w:eastAsia="en-AU"/>
        </w:rPr>
        <w:t xml:space="preserve"> </w:t>
      </w:r>
      <w:r w:rsidR="00AE3610">
        <w:rPr>
          <w:rFonts w:cs="Arial"/>
          <w:color w:val="000000"/>
          <w:szCs w:val="19"/>
          <w:lang w:eastAsia="en-AU"/>
        </w:rPr>
        <w:t>Health Safety and Wellbeing Operations</w:t>
      </w:r>
      <w:r w:rsidRPr="00B24C02">
        <w:rPr>
          <w:rFonts w:cs="Arial"/>
          <w:color w:val="000000"/>
          <w:szCs w:val="19"/>
          <w:lang w:eastAsia="en-AU"/>
        </w:rPr>
        <w:br/>
        <w:t>Telephone:</w:t>
      </w:r>
      <w:r w:rsidR="005D5532" w:rsidRPr="00B24C02">
        <w:rPr>
          <w:rFonts w:cs="Arial"/>
          <w:color w:val="000000"/>
          <w:szCs w:val="19"/>
          <w:lang w:eastAsia="en-AU"/>
        </w:rPr>
        <w:t xml:space="preserve"> </w:t>
      </w:r>
      <w:r w:rsidRPr="00B24C02">
        <w:rPr>
          <w:rFonts w:cs="Arial"/>
          <w:color w:val="000000"/>
          <w:szCs w:val="19"/>
          <w:lang w:eastAsia="en-AU"/>
        </w:rPr>
        <w:t>(03)</w:t>
      </w:r>
      <w:r w:rsidR="005D5532" w:rsidRPr="00B24C02">
        <w:rPr>
          <w:rFonts w:cs="Arial"/>
          <w:color w:val="000000"/>
          <w:szCs w:val="19"/>
          <w:lang w:eastAsia="en-AU"/>
        </w:rPr>
        <w:t xml:space="preserve"> </w:t>
      </w:r>
      <w:r w:rsidRPr="00B24C02">
        <w:rPr>
          <w:rFonts w:cs="Arial"/>
          <w:color w:val="000000"/>
          <w:szCs w:val="19"/>
          <w:lang w:eastAsia="en-AU"/>
        </w:rPr>
        <w:t>9096</w:t>
      </w:r>
      <w:r w:rsidR="005D5532" w:rsidRPr="00B24C02">
        <w:rPr>
          <w:rFonts w:cs="Arial"/>
          <w:color w:val="000000"/>
          <w:szCs w:val="19"/>
          <w:lang w:eastAsia="en-AU"/>
        </w:rPr>
        <w:t xml:space="preserve"> </w:t>
      </w:r>
      <w:r w:rsidRPr="00B24C02">
        <w:rPr>
          <w:rFonts w:cs="Arial"/>
          <w:color w:val="000000"/>
          <w:szCs w:val="19"/>
          <w:lang w:eastAsia="en-AU"/>
        </w:rPr>
        <w:t>7575</w:t>
      </w:r>
      <w:r w:rsidRPr="00B24C02">
        <w:rPr>
          <w:rFonts w:cs="Arial"/>
          <w:color w:val="000000"/>
          <w:szCs w:val="19"/>
          <w:lang w:eastAsia="en-AU"/>
        </w:rPr>
        <w:br/>
        <w:t>Email:</w:t>
      </w:r>
      <w:r w:rsidR="006316EE">
        <w:rPr>
          <w:rFonts w:cs="Arial"/>
          <w:color w:val="000000"/>
          <w:szCs w:val="19"/>
          <w:lang w:eastAsia="en-AU"/>
        </w:rPr>
        <w:t xml:space="preserve"> </w:t>
      </w:r>
      <w:hyperlink r:id="rId246" w:history="1">
        <w:r w:rsidRPr="00986D1E">
          <w:rPr>
            <w:rStyle w:val="Hyperlink"/>
          </w:rPr>
          <w:t>geoff.reany@dhhs.vic.gov.au</w:t>
        </w:r>
      </w:hyperlink>
    </w:p>
    <w:p w14:paraId="75F2EDE0" w14:textId="7FA9548F" w:rsidR="00B81721" w:rsidRPr="00276391" w:rsidRDefault="00FF406D" w:rsidP="00B81721">
      <w:pPr>
        <w:pStyle w:val="Heading2"/>
        <w:rPr>
          <w:lang w:eastAsia="en-AU"/>
        </w:rPr>
      </w:pPr>
      <w:bookmarkStart w:id="750" w:name="_Toc478992088"/>
      <w:bookmarkStart w:id="751" w:name="_Toc478992480"/>
      <w:bookmarkStart w:id="752" w:name="_Toc478992921"/>
      <w:bookmarkStart w:id="753" w:name="_Toc4142127"/>
      <w:bookmarkStart w:id="754" w:name="_Toc478992096"/>
      <w:bookmarkStart w:id="755" w:name="_Toc478992482"/>
      <w:r>
        <w:rPr>
          <w:lang w:eastAsia="en-AU"/>
        </w:rPr>
        <w:t>4.7</w:t>
      </w:r>
      <w:r w:rsidR="00B81721" w:rsidRPr="00276391">
        <w:rPr>
          <w:lang w:eastAsia="en-AU"/>
        </w:rPr>
        <w:t xml:space="preserve"> Work</w:t>
      </w:r>
      <w:bookmarkEnd w:id="750"/>
      <w:bookmarkEnd w:id="751"/>
      <w:bookmarkEnd w:id="752"/>
      <w:r w:rsidR="00B81721">
        <w:rPr>
          <w:lang w:eastAsia="en-AU"/>
        </w:rPr>
        <w:t>ers Compensation</w:t>
      </w:r>
      <w:bookmarkEnd w:id="753"/>
    </w:p>
    <w:p w14:paraId="2AEFD108" w14:textId="77777777" w:rsidR="00B81721" w:rsidRPr="00276391" w:rsidRDefault="00B81721" w:rsidP="00B81721">
      <w:pPr>
        <w:pStyle w:val="Heading4"/>
        <w:rPr>
          <w:lang w:eastAsia="en-AU"/>
        </w:rPr>
      </w:pPr>
      <w:bookmarkStart w:id="756" w:name="_Toc478992090"/>
      <w:r w:rsidRPr="00276391">
        <w:rPr>
          <w:lang w:eastAsia="en-AU"/>
        </w:rPr>
        <w:t>Who does this policy apply to?</w:t>
      </w:r>
      <w:bookmarkEnd w:id="756"/>
    </w:p>
    <w:p w14:paraId="4D32FC11" w14:textId="77777777" w:rsidR="00B81721" w:rsidRPr="00276391" w:rsidRDefault="00B81721" w:rsidP="00B81721">
      <w:pPr>
        <w:pStyle w:val="DHHSbody"/>
        <w:rPr>
          <w:lang w:eastAsia="en-AU"/>
        </w:rPr>
      </w:pPr>
      <w:r w:rsidRPr="00B24C02">
        <w:rPr>
          <w:rFonts w:cs="Arial"/>
          <w:color w:val="000000"/>
          <w:szCs w:val="19"/>
          <w:lang w:eastAsia="en-AU"/>
        </w:rPr>
        <w:t>This policy applies to organisations funded by the Department of Health and Human Services.</w:t>
      </w:r>
    </w:p>
    <w:p w14:paraId="37FD020D" w14:textId="77777777" w:rsidR="00B81721" w:rsidRPr="00276391" w:rsidRDefault="00B81721" w:rsidP="00B81721">
      <w:pPr>
        <w:pStyle w:val="Heading4"/>
        <w:rPr>
          <w:lang w:eastAsia="en-AU"/>
        </w:rPr>
      </w:pPr>
      <w:bookmarkStart w:id="757" w:name="_Toc478992091"/>
      <w:r w:rsidRPr="00276391">
        <w:rPr>
          <w:lang w:eastAsia="en-AU"/>
        </w:rPr>
        <w:t>Policy purpose</w:t>
      </w:r>
      <w:bookmarkEnd w:id="757"/>
    </w:p>
    <w:p w14:paraId="00447974" w14:textId="77777777" w:rsidR="00B81721" w:rsidRPr="00276391" w:rsidRDefault="00B81721" w:rsidP="00B81721">
      <w:pPr>
        <w:pStyle w:val="DHHSbody"/>
        <w:rPr>
          <w:lang w:eastAsia="en-AU"/>
        </w:rPr>
      </w:pPr>
      <w:r w:rsidRPr="00B24C02">
        <w:rPr>
          <w:rFonts w:cs="Arial"/>
          <w:color w:val="000000"/>
          <w:szCs w:val="19"/>
          <w:lang w:eastAsia="en-AU"/>
        </w:rPr>
        <w:t>To ensure organisations funded by the department comply with WorkCover requirements, and are aware of the support the department may provide to assist with accessing premium discounts.</w:t>
      </w:r>
    </w:p>
    <w:p w14:paraId="5DF40A9D" w14:textId="77777777" w:rsidR="00B81721" w:rsidRPr="00276391" w:rsidRDefault="00B81721" w:rsidP="00B81721">
      <w:pPr>
        <w:pStyle w:val="Heading4"/>
        <w:rPr>
          <w:lang w:eastAsia="en-AU"/>
        </w:rPr>
      </w:pPr>
      <w:bookmarkStart w:id="758" w:name="_Toc478992092"/>
      <w:r w:rsidRPr="00276391">
        <w:rPr>
          <w:lang w:eastAsia="en-AU"/>
        </w:rPr>
        <w:t>Legislation and /or regulation</w:t>
      </w:r>
      <w:bookmarkEnd w:id="758"/>
    </w:p>
    <w:p w14:paraId="76482112" w14:textId="77777777" w:rsidR="00B81721" w:rsidRPr="00276391" w:rsidRDefault="0016341D" w:rsidP="00B81721">
      <w:pPr>
        <w:pStyle w:val="DHHSbody"/>
        <w:rPr>
          <w:lang w:eastAsia="en-AU"/>
        </w:rPr>
      </w:pPr>
      <w:hyperlink r:id="rId247" w:history="1">
        <w:r w:rsidR="00B81721" w:rsidRPr="0096305A">
          <w:rPr>
            <w:rStyle w:val="Hyperlink"/>
            <w:i/>
          </w:rPr>
          <w:t>Workplace Injury Rehabilitation and Compensation Act 2013</w:t>
        </w:r>
      </w:hyperlink>
      <w:r w:rsidR="00B81721" w:rsidRPr="0096305A">
        <w:rPr>
          <w:rFonts w:cs="Arial"/>
          <w:i/>
          <w:color w:val="000000"/>
          <w:szCs w:val="19"/>
          <w:lang w:eastAsia="en-AU"/>
        </w:rPr>
        <w:t xml:space="preserve"> </w:t>
      </w:r>
      <w:r w:rsidR="00B81721">
        <w:rPr>
          <w:rFonts w:cs="Arial"/>
          <w:color w:val="000000"/>
          <w:szCs w:val="19"/>
          <w:lang w:eastAsia="en-AU"/>
        </w:rPr>
        <w:t>&lt;</w:t>
      </w:r>
      <w:r w:rsidR="00B81721" w:rsidRPr="00215493">
        <w:rPr>
          <w:rFonts w:cs="Arial"/>
          <w:color w:val="000000"/>
          <w:szCs w:val="19"/>
          <w:lang w:eastAsia="en-AU"/>
        </w:rPr>
        <w:t>http://www.austlii.edu.au/au/legis/vic/num_act/wiraca201367o2013530/</w:t>
      </w:r>
      <w:r w:rsidR="00B81721">
        <w:rPr>
          <w:rFonts w:cs="Arial"/>
          <w:color w:val="000000"/>
          <w:szCs w:val="19"/>
          <w:lang w:eastAsia="en-AU"/>
        </w:rPr>
        <w:t>&gt;</w:t>
      </w:r>
      <w:r w:rsidR="00B81721" w:rsidRPr="00215493">
        <w:rPr>
          <w:rFonts w:cs="Arial"/>
          <w:color w:val="000000"/>
          <w:szCs w:val="19"/>
          <w:lang w:eastAsia="en-AU"/>
        </w:rPr>
        <w:t xml:space="preserve"> </w:t>
      </w:r>
      <w:r w:rsidR="00B81721" w:rsidRPr="00B24C02">
        <w:rPr>
          <w:rFonts w:cs="Arial"/>
          <w:color w:val="000000"/>
          <w:szCs w:val="19"/>
          <w:lang w:eastAsia="en-AU"/>
        </w:rPr>
        <w:t xml:space="preserve">(external link, opens in a new window) </w:t>
      </w:r>
    </w:p>
    <w:p w14:paraId="48299751" w14:textId="77777777" w:rsidR="00B81721" w:rsidRPr="00276391" w:rsidRDefault="0016341D" w:rsidP="00B81721">
      <w:pPr>
        <w:pStyle w:val="DHHSbody"/>
        <w:rPr>
          <w:lang w:eastAsia="en-AU"/>
        </w:rPr>
      </w:pPr>
      <w:hyperlink r:id="rId248" w:history="1">
        <w:r w:rsidR="00B81721" w:rsidRPr="00986D1E">
          <w:rPr>
            <w:rStyle w:val="Hyperlink"/>
          </w:rPr>
          <w:t>Compliance code 1 Providing employment, planning and consultation about return to work</w:t>
        </w:r>
      </w:hyperlink>
      <w:r w:rsidR="00B81721" w:rsidRPr="00276391">
        <w:rPr>
          <w:lang w:eastAsia="en-AU"/>
        </w:rPr>
        <w:t xml:space="preserve"> </w:t>
      </w:r>
      <w:r w:rsidR="00B81721">
        <w:rPr>
          <w:lang w:eastAsia="en-AU"/>
        </w:rPr>
        <w:t>&lt;</w:t>
      </w:r>
      <w:r w:rsidR="00B81721" w:rsidRPr="00215493">
        <w:rPr>
          <w:lang w:eastAsia="en-AU"/>
        </w:rPr>
        <w:t>http://www.worksafe.vic.gov.au/forms-and-publications/forms-and-publications/return-to-work-compliance-code-1-of-4</w:t>
      </w:r>
      <w:r w:rsidR="00B81721">
        <w:rPr>
          <w:lang w:eastAsia="en-AU"/>
        </w:rPr>
        <w:t>&gt;</w:t>
      </w:r>
      <w:r w:rsidR="00B81721" w:rsidRPr="00215493">
        <w:rPr>
          <w:lang w:eastAsia="en-AU"/>
        </w:rPr>
        <w:t xml:space="preserve"> </w:t>
      </w:r>
      <w:r w:rsidR="00B81721" w:rsidRPr="00276391">
        <w:rPr>
          <w:lang w:eastAsia="en-AU"/>
        </w:rPr>
        <w:t xml:space="preserve">(external link, opens in a new window) </w:t>
      </w:r>
    </w:p>
    <w:p w14:paraId="7E9EC7ED" w14:textId="77777777" w:rsidR="00B81721" w:rsidRPr="00276391" w:rsidRDefault="0016341D" w:rsidP="00B81721">
      <w:pPr>
        <w:pStyle w:val="DHHSbody"/>
        <w:rPr>
          <w:lang w:eastAsia="en-AU"/>
        </w:rPr>
      </w:pPr>
      <w:hyperlink r:id="rId249" w:history="1">
        <w:r w:rsidR="00B81721" w:rsidRPr="00986D1E">
          <w:rPr>
            <w:rStyle w:val="Hyperlink"/>
          </w:rPr>
          <w:t>Compliance code 2 Return to work coordinators</w:t>
        </w:r>
      </w:hyperlink>
      <w:r w:rsidR="00B81721" w:rsidRPr="00276391">
        <w:rPr>
          <w:lang w:eastAsia="en-AU"/>
        </w:rPr>
        <w:t xml:space="preserve"> </w:t>
      </w:r>
      <w:r w:rsidR="00B81721">
        <w:rPr>
          <w:lang w:eastAsia="en-AU"/>
        </w:rPr>
        <w:t>&lt;</w:t>
      </w:r>
      <w:r w:rsidR="00B81721" w:rsidRPr="00215493">
        <w:rPr>
          <w:lang w:eastAsia="en-AU"/>
        </w:rPr>
        <w:t>http://www.worksafe.vic.gov.au/forms-and-publications/forms-and-publications/return-to-work-compliance-code-2-of-4</w:t>
      </w:r>
      <w:r w:rsidR="00B81721">
        <w:rPr>
          <w:lang w:eastAsia="en-AU"/>
        </w:rPr>
        <w:t>&gt;</w:t>
      </w:r>
      <w:r w:rsidR="00B81721" w:rsidRPr="00215493">
        <w:rPr>
          <w:lang w:eastAsia="en-AU"/>
        </w:rPr>
        <w:t xml:space="preserve"> </w:t>
      </w:r>
      <w:r w:rsidR="00B81721" w:rsidRPr="00276391">
        <w:rPr>
          <w:lang w:eastAsia="en-AU"/>
        </w:rPr>
        <w:t xml:space="preserve">(external link, opens in a new window) </w:t>
      </w:r>
    </w:p>
    <w:p w14:paraId="2C68D692" w14:textId="77777777" w:rsidR="00B81721" w:rsidRPr="00276391" w:rsidRDefault="0016341D" w:rsidP="00B81721">
      <w:pPr>
        <w:pStyle w:val="DHHSbody"/>
        <w:rPr>
          <w:lang w:eastAsia="en-AU"/>
        </w:rPr>
      </w:pPr>
      <w:hyperlink r:id="rId250" w:history="1">
        <w:r w:rsidR="00B81721" w:rsidRPr="00986D1E">
          <w:rPr>
            <w:rStyle w:val="Hyperlink"/>
          </w:rPr>
          <w:t>Compliance code 3 Return to work information</w:t>
        </w:r>
      </w:hyperlink>
      <w:r w:rsidR="00B81721" w:rsidRPr="00276391">
        <w:rPr>
          <w:lang w:eastAsia="en-AU"/>
        </w:rPr>
        <w:t xml:space="preserve"> </w:t>
      </w:r>
      <w:r w:rsidR="00B81721">
        <w:rPr>
          <w:lang w:eastAsia="en-AU"/>
        </w:rPr>
        <w:t>&lt;</w:t>
      </w:r>
      <w:r w:rsidR="00B81721" w:rsidRPr="00215493">
        <w:rPr>
          <w:lang w:eastAsia="en-AU"/>
        </w:rPr>
        <w:t>http://www.worksafe.vic.gov.au/forms-and-publications/forms-and-publications/return-to-work-compliance-code-3-of-4</w:t>
      </w:r>
      <w:r w:rsidR="00B81721">
        <w:rPr>
          <w:lang w:eastAsia="en-AU"/>
        </w:rPr>
        <w:t>&gt;</w:t>
      </w:r>
      <w:r w:rsidR="00B81721" w:rsidRPr="00215493">
        <w:rPr>
          <w:lang w:eastAsia="en-AU"/>
        </w:rPr>
        <w:t xml:space="preserve"> </w:t>
      </w:r>
      <w:r w:rsidR="00B81721" w:rsidRPr="00276391">
        <w:rPr>
          <w:lang w:eastAsia="en-AU"/>
        </w:rPr>
        <w:t xml:space="preserve">(external link, opens in a new window) </w:t>
      </w:r>
    </w:p>
    <w:p w14:paraId="4CFC6219" w14:textId="77777777" w:rsidR="00B81721" w:rsidRPr="00276391" w:rsidRDefault="0016341D" w:rsidP="00B81721">
      <w:pPr>
        <w:pStyle w:val="DHHSbody"/>
        <w:rPr>
          <w:lang w:eastAsia="en-AU"/>
        </w:rPr>
      </w:pPr>
      <w:hyperlink r:id="rId251" w:history="1">
        <w:r w:rsidR="00B81721" w:rsidRPr="00986D1E">
          <w:rPr>
            <w:rStyle w:val="Hyperlink"/>
          </w:rPr>
          <w:t>Compliance code 4 Cooperating with labour hire employers about return to work</w:t>
        </w:r>
      </w:hyperlink>
      <w:r w:rsidR="00B81721" w:rsidRPr="00276391">
        <w:rPr>
          <w:lang w:eastAsia="en-AU"/>
        </w:rPr>
        <w:t xml:space="preserve"> </w:t>
      </w:r>
      <w:r w:rsidR="00B81721">
        <w:rPr>
          <w:lang w:eastAsia="en-AU"/>
        </w:rPr>
        <w:t>&lt;</w:t>
      </w:r>
      <w:r w:rsidR="00B81721" w:rsidRPr="00215493">
        <w:rPr>
          <w:lang w:eastAsia="en-AU"/>
        </w:rPr>
        <w:t>http://www.worksafe.vic.gov.au/forms-and-publications/forms-and-publications/return-to-work-compliance-code-4-of-4</w:t>
      </w:r>
      <w:r w:rsidR="00B81721">
        <w:rPr>
          <w:lang w:eastAsia="en-AU"/>
        </w:rPr>
        <w:t>&gt;</w:t>
      </w:r>
      <w:r w:rsidR="00B81721" w:rsidRPr="00215493">
        <w:rPr>
          <w:lang w:eastAsia="en-AU"/>
        </w:rPr>
        <w:t xml:space="preserve"> </w:t>
      </w:r>
      <w:r w:rsidR="00B81721" w:rsidRPr="00276391">
        <w:rPr>
          <w:lang w:eastAsia="en-AU"/>
        </w:rPr>
        <w:t xml:space="preserve">(external link, opens in a new window) </w:t>
      </w:r>
    </w:p>
    <w:p w14:paraId="094C48BB" w14:textId="77777777" w:rsidR="00B81721" w:rsidRPr="00276391" w:rsidRDefault="00B81721" w:rsidP="00B81721">
      <w:pPr>
        <w:pStyle w:val="Heading4"/>
        <w:rPr>
          <w:lang w:eastAsia="en-AU"/>
        </w:rPr>
      </w:pPr>
      <w:bookmarkStart w:id="759" w:name="_Toc478992093"/>
      <w:r w:rsidRPr="00276391">
        <w:rPr>
          <w:lang w:eastAsia="en-AU"/>
        </w:rPr>
        <w:t>Organisation requirements</w:t>
      </w:r>
      <w:bookmarkEnd w:id="759"/>
    </w:p>
    <w:p w14:paraId="4E8ED3C6" w14:textId="2A88A792" w:rsidR="00B81721" w:rsidRPr="00276391" w:rsidRDefault="00B81721" w:rsidP="00B81721">
      <w:pPr>
        <w:pStyle w:val="DHHSbody"/>
        <w:rPr>
          <w:lang w:eastAsia="en-AU"/>
        </w:rPr>
      </w:pPr>
      <w:r w:rsidRPr="00B24C02">
        <w:rPr>
          <w:rFonts w:cs="Arial"/>
          <w:color w:val="000000"/>
          <w:szCs w:val="19"/>
          <w:lang w:eastAsia="en-AU"/>
        </w:rPr>
        <w:t xml:space="preserve">Under the </w:t>
      </w:r>
      <w:r w:rsidRPr="007D6F3D">
        <w:rPr>
          <w:rFonts w:cs="Arial"/>
          <w:bCs/>
          <w:color w:val="000000"/>
          <w:szCs w:val="19"/>
          <w:lang w:eastAsia="en-AU"/>
        </w:rPr>
        <w:t>Workplace Injury Rehabilitation and Compensation Act 2013</w:t>
      </w:r>
      <w:r w:rsidRPr="00B24C02">
        <w:rPr>
          <w:rFonts w:cs="Arial"/>
          <w:color w:val="000000"/>
          <w:szCs w:val="19"/>
          <w:lang w:eastAsia="en-AU"/>
        </w:rPr>
        <w:t xml:space="preserve"> (the Act), organisations with a rateable remuneration level in excess of $7,500 are required to have a WorkCover policy with a WorkSafe authorised agent (insurer). A list of agents is available on the </w:t>
      </w:r>
      <w:hyperlink r:id="rId252"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10228A">
        <w:rPr>
          <w:rFonts w:cs="Arial"/>
          <w:color w:val="000000"/>
          <w:szCs w:val="19"/>
          <w:lang w:eastAsia="en-AU"/>
        </w:rPr>
        <w:t xml:space="preserve"> </w:t>
      </w:r>
      <w:r w:rsidRPr="00B24C02">
        <w:rPr>
          <w:rFonts w:cs="Arial"/>
          <w:color w:val="000000"/>
          <w:szCs w:val="19"/>
          <w:lang w:eastAsia="en-AU"/>
        </w:rPr>
        <w:t xml:space="preserve">(external link, </w:t>
      </w:r>
      <w:r w:rsidR="00EA74AB">
        <w:rPr>
          <w:rFonts w:cs="Arial"/>
          <w:color w:val="000000"/>
          <w:szCs w:val="19"/>
          <w:lang w:eastAsia="en-AU"/>
        </w:rPr>
        <w:t xml:space="preserve">opens in </w:t>
      </w:r>
      <w:r w:rsidR="00C62565">
        <w:rPr>
          <w:rFonts w:cs="Arial"/>
          <w:color w:val="000000"/>
          <w:szCs w:val="19"/>
          <w:lang w:eastAsia="en-AU"/>
        </w:rPr>
        <w:t>a new window</w:t>
      </w:r>
      <w:r w:rsidRPr="00B24C02">
        <w:rPr>
          <w:rFonts w:cs="Arial"/>
          <w:color w:val="000000"/>
          <w:szCs w:val="19"/>
          <w:lang w:eastAsia="en-AU"/>
        </w:rPr>
        <w:t>).</w:t>
      </w:r>
    </w:p>
    <w:p w14:paraId="585F225A" w14:textId="77777777" w:rsidR="00B81721" w:rsidRPr="00276391" w:rsidRDefault="00B81721" w:rsidP="00B81721">
      <w:pPr>
        <w:pStyle w:val="DHHSbody"/>
        <w:rPr>
          <w:lang w:eastAsia="en-AU"/>
        </w:rPr>
      </w:pPr>
      <w:r w:rsidRPr="00276391">
        <w:rPr>
          <w:lang w:eastAsia="en-AU"/>
        </w:rPr>
        <w:t>Under the Act employers have the following obligations:</w:t>
      </w:r>
    </w:p>
    <w:p w14:paraId="54B5C537" w14:textId="77777777" w:rsidR="00B81721" w:rsidRPr="00276391" w:rsidRDefault="00B81721" w:rsidP="00B81721">
      <w:pPr>
        <w:pStyle w:val="DHHSbullet1"/>
        <w:rPr>
          <w:lang w:eastAsia="en-AU"/>
        </w:rPr>
      </w:pPr>
      <w:r w:rsidRPr="00276391">
        <w:rPr>
          <w:lang w:eastAsia="en-AU"/>
        </w:rPr>
        <w:t xml:space="preserve">where the employer is liable for a claim, the employer must pay compensation in respect of an injury arising out of or in the course of any employment determined in accordance with the Act </w:t>
      </w:r>
    </w:p>
    <w:p w14:paraId="5C5BA5BF" w14:textId="77777777" w:rsidR="00B81721" w:rsidRPr="00276391" w:rsidRDefault="00B81721" w:rsidP="00B81721">
      <w:pPr>
        <w:pStyle w:val="DHHSbullet1"/>
        <w:rPr>
          <w:lang w:eastAsia="en-AU"/>
        </w:rPr>
      </w:pPr>
      <w:r w:rsidRPr="00276391">
        <w:rPr>
          <w:lang w:eastAsia="en-AU"/>
        </w:rPr>
        <w:t xml:space="preserve">must provide information relevant to a claim for compensation in accordance with </w:t>
      </w:r>
      <w:r>
        <w:rPr>
          <w:lang w:eastAsia="en-AU"/>
        </w:rPr>
        <w:t>S</w:t>
      </w:r>
      <w:r w:rsidRPr="00276391">
        <w:rPr>
          <w:lang w:eastAsia="en-AU"/>
        </w:rPr>
        <w:t xml:space="preserve">ection 9 Access to information </w:t>
      </w:r>
    </w:p>
    <w:p w14:paraId="42F27743" w14:textId="77777777" w:rsidR="00B81721" w:rsidRPr="00276391" w:rsidRDefault="00B81721" w:rsidP="00B81721">
      <w:pPr>
        <w:pStyle w:val="DHHSbullet1"/>
        <w:rPr>
          <w:lang w:eastAsia="en-AU"/>
        </w:rPr>
      </w:pPr>
      <w:r w:rsidRPr="00276391">
        <w:rPr>
          <w:lang w:eastAsia="en-AU"/>
        </w:rPr>
        <w:t xml:space="preserve">must comply with the obligations of an employer specified in: </w:t>
      </w:r>
    </w:p>
    <w:p w14:paraId="6AD62E3D" w14:textId="77777777" w:rsidR="00B81721" w:rsidRPr="00276391" w:rsidRDefault="00B81721" w:rsidP="00B81721">
      <w:pPr>
        <w:pStyle w:val="DHHSbullet1"/>
        <w:rPr>
          <w:lang w:eastAsia="en-AU"/>
        </w:rPr>
      </w:pPr>
      <w:r w:rsidRPr="00276391">
        <w:rPr>
          <w:lang w:eastAsia="en-AU"/>
        </w:rPr>
        <w:t>Part 4 Division 2—Obligations of employers</w:t>
      </w:r>
      <w:r w:rsidRPr="00276391">
        <w:rPr>
          <w:lang w:eastAsia="en-AU"/>
        </w:rPr>
        <w:br/>
        <w:t>103 Provide employment</w:t>
      </w:r>
      <w:r w:rsidRPr="00276391">
        <w:rPr>
          <w:lang w:eastAsia="en-AU"/>
        </w:rPr>
        <w:br/>
        <w:t>104 Plan return to work</w:t>
      </w:r>
      <w:r w:rsidRPr="00276391">
        <w:rPr>
          <w:lang w:eastAsia="en-AU"/>
        </w:rPr>
        <w:br/>
        <w:t>105 Consult about the return to work of a worker</w:t>
      </w:r>
      <w:r w:rsidRPr="00276391">
        <w:rPr>
          <w:lang w:eastAsia="en-AU"/>
        </w:rPr>
        <w:br/>
        <w:t>106 Return to work co-ordinator to be appointed</w:t>
      </w:r>
      <w:r w:rsidRPr="00276391">
        <w:rPr>
          <w:lang w:eastAsia="en-AU"/>
        </w:rPr>
        <w:br/>
      </w:r>
      <w:r w:rsidRPr="00276391">
        <w:rPr>
          <w:lang w:eastAsia="en-AU"/>
        </w:rPr>
        <w:lastRenderedPageBreak/>
        <w:t>107 Make return to work information available</w:t>
      </w:r>
      <w:r w:rsidRPr="00276391">
        <w:rPr>
          <w:lang w:eastAsia="en-AU"/>
        </w:rPr>
        <w:br/>
        <w:t>108 Employer to notify Authority of return to work of worker</w:t>
      </w:r>
      <w:r w:rsidRPr="00276391">
        <w:rPr>
          <w:lang w:eastAsia="en-AU"/>
        </w:rPr>
        <w:br/>
        <w:t xml:space="preserve">109 Host to co-operate with labour hire employer </w:t>
      </w:r>
    </w:p>
    <w:p w14:paraId="35B8BF64" w14:textId="77777777" w:rsidR="00B81721" w:rsidRPr="00276391" w:rsidRDefault="00B81721" w:rsidP="00B81721">
      <w:pPr>
        <w:pStyle w:val="DHHSbullet1"/>
        <w:rPr>
          <w:lang w:eastAsia="en-AU"/>
        </w:rPr>
      </w:pPr>
      <w:r w:rsidRPr="00276391">
        <w:rPr>
          <w:lang w:eastAsia="en-AU"/>
        </w:rPr>
        <w:t xml:space="preserve">Part 7 Actions and proceedings for damages </w:t>
      </w:r>
    </w:p>
    <w:p w14:paraId="0B932218" w14:textId="041EC607" w:rsidR="00B81721" w:rsidRPr="00276391" w:rsidRDefault="00B81721" w:rsidP="00B81721">
      <w:pPr>
        <w:pStyle w:val="DHHSbullet1"/>
        <w:rPr>
          <w:lang w:eastAsia="en-AU"/>
        </w:rPr>
      </w:pPr>
      <w:r w:rsidRPr="00276391">
        <w:rPr>
          <w:lang w:eastAsia="en-AU"/>
        </w:rPr>
        <w:t>Part 10 Premium</w:t>
      </w:r>
      <w:r w:rsidR="00842C48">
        <w:rPr>
          <w:lang w:eastAsia="en-AU"/>
        </w:rPr>
        <w:t>s and registration of employers.</w:t>
      </w:r>
    </w:p>
    <w:p w14:paraId="268FA021" w14:textId="77777777" w:rsidR="00B81721" w:rsidRPr="00276391" w:rsidRDefault="00B81721" w:rsidP="00B81721">
      <w:pPr>
        <w:pStyle w:val="DHHSbody"/>
        <w:spacing w:before="240"/>
        <w:rPr>
          <w:lang w:eastAsia="en-AU"/>
        </w:rPr>
      </w:pPr>
      <w:r w:rsidRPr="00276391">
        <w:rPr>
          <w:lang w:eastAsia="en-AU"/>
        </w:rPr>
        <w:t>Employers are required to meet these obligations (provide suitable employment, plan and consult about return to work, host employers supporting for return to work) ‘to the extent that it is reasonable to do so’.</w:t>
      </w:r>
    </w:p>
    <w:p w14:paraId="6EFEC84F" w14:textId="77777777" w:rsidR="00B81721" w:rsidRPr="00276391" w:rsidRDefault="00B81721" w:rsidP="00B81721">
      <w:pPr>
        <w:pStyle w:val="DHHSbody"/>
        <w:rPr>
          <w:lang w:eastAsia="en-AU"/>
        </w:rPr>
      </w:pPr>
      <w:r w:rsidRPr="00276391">
        <w:rPr>
          <w:lang w:eastAsia="en-AU"/>
        </w:rPr>
        <w:t>WorkSafe can impose penalties when employers fail to meet their responsibilities under the Act.</w:t>
      </w:r>
    </w:p>
    <w:p w14:paraId="3F5772FD" w14:textId="5028B5CE" w:rsidR="00B81721" w:rsidRPr="00276391" w:rsidRDefault="00B81721" w:rsidP="00B81721">
      <w:pPr>
        <w:pStyle w:val="DHHSbody"/>
        <w:rPr>
          <w:lang w:eastAsia="en-AU"/>
        </w:rPr>
      </w:pPr>
      <w:r w:rsidRPr="00276391">
        <w:rPr>
          <w:lang w:eastAsia="en-AU"/>
        </w:rPr>
        <w:t xml:space="preserve">Guidelines for implementing WorkCover obligations are available on the </w:t>
      </w:r>
      <w:hyperlink r:id="rId253"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276391">
        <w:rPr>
          <w:lang w:eastAsia="en-AU"/>
        </w:rPr>
        <w:t xml:space="preserve"> (external link, </w:t>
      </w:r>
      <w:r w:rsidR="00EA74AB">
        <w:rPr>
          <w:lang w:eastAsia="en-AU"/>
        </w:rPr>
        <w:t xml:space="preserve">opens in </w:t>
      </w:r>
      <w:r w:rsidR="00C62565">
        <w:rPr>
          <w:lang w:eastAsia="en-AU"/>
        </w:rPr>
        <w:t>a new window</w:t>
      </w:r>
      <w:r w:rsidRPr="00276391">
        <w:rPr>
          <w:lang w:eastAsia="en-AU"/>
        </w:rPr>
        <w:t>) and from authorised WorkCover agents. The WorkSafe Advisory Service can be contacted on (03) 9641 1444.</w:t>
      </w:r>
    </w:p>
    <w:p w14:paraId="18E32A28" w14:textId="77777777" w:rsidR="00B81721" w:rsidRPr="00276391" w:rsidRDefault="00B81721" w:rsidP="00B81721">
      <w:pPr>
        <w:pStyle w:val="DHHSbody"/>
        <w:rPr>
          <w:lang w:eastAsia="en-AU"/>
        </w:rPr>
      </w:pPr>
      <w:r w:rsidRPr="00276391">
        <w:rPr>
          <w:lang w:eastAsia="en-AU"/>
        </w:rPr>
        <w:t>Note: An organisation's employees are not covered by the department's WorkCover policy.</w:t>
      </w:r>
    </w:p>
    <w:p w14:paraId="5DD4F6A1" w14:textId="77777777" w:rsidR="00B81721" w:rsidRPr="00276391" w:rsidRDefault="00B81721" w:rsidP="00B81721">
      <w:pPr>
        <w:pStyle w:val="Heading4"/>
        <w:rPr>
          <w:lang w:eastAsia="en-AU"/>
        </w:rPr>
      </w:pPr>
      <w:bookmarkStart w:id="760" w:name="_Toc478992094"/>
      <w:r w:rsidRPr="00276391">
        <w:rPr>
          <w:lang w:eastAsia="en-AU"/>
        </w:rPr>
        <w:t>Premium discount</w:t>
      </w:r>
      <w:bookmarkEnd w:id="760"/>
    </w:p>
    <w:p w14:paraId="4E065DDF" w14:textId="77777777" w:rsidR="00B81721" w:rsidRPr="00276391" w:rsidRDefault="00B81721" w:rsidP="00B81721">
      <w:pPr>
        <w:pStyle w:val="DHHSbody"/>
        <w:rPr>
          <w:lang w:eastAsia="en-AU"/>
        </w:rPr>
      </w:pPr>
      <w:r w:rsidRPr="00B24C02">
        <w:rPr>
          <w:rFonts w:cs="Arial"/>
          <w:color w:val="000000"/>
          <w:szCs w:val="19"/>
          <w:lang w:eastAsia="en-AU"/>
        </w:rPr>
        <w:t>WorkSafe offers:</w:t>
      </w:r>
    </w:p>
    <w:p w14:paraId="654C169E" w14:textId="77777777" w:rsidR="00B81721" w:rsidRPr="00276391" w:rsidRDefault="00B81721" w:rsidP="00B81721">
      <w:pPr>
        <w:pStyle w:val="DHHSbullet1"/>
        <w:rPr>
          <w:lang w:eastAsia="en-AU"/>
        </w:rPr>
      </w:pPr>
      <w:r w:rsidRPr="00276391">
        <w:rPr>
          <w:lang w:eastAsia="en-AU"/>
        </w:rPr>
        <w:t xml:space="preserve">a five per cent discount to eligible organisations where the full WorkCover premium is paid by </w:t>
      </w:r>
      <w:r>
        <w:rPr>
          <w:lang w:eastAsia="en-AU"/>
        </w:rPr>
        <w:t>early</w:t>
      </w:r>
      <w:r w:rsidRPr="00276391">
        <w:rPr>
          <w:lang w:eastAsia="en-AU"/>
        </w:rPr>
        <w:t xml:space="preserve"> August </w:t>
      </w:r>
      <w:r>
        <w:rPr>
          <w:lang w:eastAsia="en-AU"/>
        </w:rPr>
        <w:t xml:space="preserve">(date changes each year) </w:t>
      </w:r>
      <w:r w:rsidRPr="00276391">
        <w:rPr>
          <w:lang w:eastAsia="en-AU"/>
        </w:rPr>
        <w:t xml:space="preserve">as a lump sum instead of by instalments </w:t>
      </w:r>
    </w:p>
    <w:p w14:paraId="330C86BD" w14:textId="77777777" w:rsidR="00B81721" w:rsidRPr="00276391" w:rsidRDefault="00B81721" w:rsidP="00B81721">
      <w:pPr>
        <w:pStyle w:val="DHHSbullet1lastline"/>
        <w:rPr>
          <w:lang w:eastAsia="en-AU"/>
        </w:rPr>
      </w:pPr>
      <w:r w:rsidRPr="00276391">
        <w:rPr>
          <w:lang w:eastAsia="en-AU"/>
        </w:rPr>
        <w:t xml:space="preserve">a three per cent discount to eligible organisations where the full WorkCover premium is paid by 1 October as a lump sum instead of by instalments. </w:t>
      </w:r>
    </w:p>
    <w:p w14:paraId="0299C440" w14:textId="5843F3B4" w:rsidR="00B81721" w:rsidRPr="00276391" w:rsidRDefault="00B81721" w:rsidP="00B81721">
      <w:pPr>
        <w:pStyle w:val="DHHSbody"/>
        <w:rPr>
          <w:lang w:eastAsia="en-AU"/>
        </w:rPr>
      </w:pPr>
      <w:r w:rsidRPr="00276391">
        <w:rPr>
          <w:lang w:eastAsia="en-AU"/>
        </w:rPr>
        <w:t xml:space="preserve">The department may advance </w:t>
      </w:r>
      <w:r w:rsidR="009B3052">
        <w:rPr>
          <w:lang w:eastAsia="en-AU"/>
        </w:rPr>
        <w:t>Service agreement</w:t>
      </w:r>
      <w:r w:rsidRPr="00276391">
        <w:rPr>
          <w:lang w:eastAsia="en-AU"/>
        </w:rPr>
        <w:t xml:space="preserve"> funding to facilitate non-government organisations accessing the WorkCover premium discount. Where the department is a substantial income source and provides 80 per cent or more of the organisation's total income, this test will be met. Where the percentage of income provided by the department is less than 80 per cent, it will be considered on a case by case basis.</w:t>
      </w:r>
    </w:p>
    <w:p w14:paraId="600A7894" w14:textId="50C7890A" w:rsidR="00B81721" w:rsidRPr="009A46A9" w:rsidRDefault="00B81721" w:rsidP="00B81721">
      <w:pPr>
        <w:pStyle w:val="DHHSbody"/>
        <w:rPr>
          <w:lang w:eastAsia="en-AU"/>
        </w:rPr>
      </w:pPr>
      <w:r w:rsidRPr="009A46A9">
        <w:rPr>
          <w:lang w:eastAsia="en-AU"/>
        </w:rPr>
        <w:t xml:space="preserve">Organisations whose funding is transferring to the National Disability Insurance Scheme should consider the cash flow implications of any advance in </w:t>
      </w:r>
      <w:r w:rsidR="009B3052">
        <w:rPr>
          <w:lang w:eastAsia="en-AU"/>
        </w:rPr>
        <w:t>Service agreement</w:t>
      </w:r>
      <w:r w:rsidRPr="009A46A9">
        <w:rPr>
          <w:lang w:eastAsia="en-AU"/>
        </w:rPr>
        <w:t xml:space="preserve"> funding. If an organisation’s </w:t>
      </w:r>
      <w:r w:rsidR="009B3052">
        <w:rPr>
          <w:lang w:eastAsia="en-AU"/>
        </w:rPr>
        <w:t>Service agreement</w:t>
      </w:r>
      <w:r w:rsidRPr="009A46A9">
        <w:rPr>
          <w:lang w:eastAsia="en-AU"/>
        </w:rPr>
        <w:t xml:space="preserve"> funding is to be transitioned to the National Disability Insurance Authority during the current financial year, the organisation will need to repay any outstanding cash flow advancement to the department.</w:t>
      </w:r>
    </w:p>
    <w:p w14:paraId="0CC0C1DA" w14:textId="77777777" w:rsidR="00B81721" w:rsidRPr="00276391" w:rsidRDefault="00B81721" w:rsidP="00B81721">
      <w:pPr>
        <w:pStyle w:val="DHHSbody"/>
        <w:rPr>
          <w:lang w:eastAsia="en-AU"/>
        </w:rPr>
      </w:pPr>
      <w:r w:rsidRPr="00276391">
        <w:rPr>
          <w:lang w:eastAsia="en-AU"/>
        </w:rPr>
        <w:t>Organisations are to put their request for adjustments to funding cash flow in writing and address it to their departmental contact. The request is to include the following:</w:t>
      </w:r>
    </w:p>
    <w:p w14:paraId="59D98AE1" w14:textId="77777777" w:rsidR="00B81721" w:rsidRPr="00276391" w:rsidRDefault="00B81721" w:rsidP="00842C48">
      <w:pPr>
        <w:pStyle w:val="DHHSbullet1"/>
        <w:spacing w:after="0"/>
        <w:rPr>
          <w:lang w:eastAsia="en-AU"/>
        </w:rPr>
      </w:pPr>
      <w:r w:rsidRPr="00276391">
        <w:rPr>
          <w:lang w:eastAsia="en-AU"/>
        </w:rPr>
        <w:t xml:space="preserve">amount requested (up to the discounted premium total) </w:t>
      </w:r>
    </w:p>
    <w:p w14:paraId="09B1CCE8" w14:textId="77777777" w:rsidR="00B81721" w:rsidRPr="00276391" w:rsidRDefault="00B81721" w:rsidP="00842C48">
      <w:pPr>
        <w:pStyle w:val="DHHSbullet1"/>
        <w:spacing w:after="0"/>
        <w:rPr>
          <w:lang w:eastAsia="en-AU"/>
        </w:rPr>
      </w:pPr>
      <w:r w:rsidRPr="00276391">
        <w:rPr>
          <w:lang w:eastAsia="en-AU"/>
        </w:rPr>
        <w:t xml:space="preserve">confirmation that the advanced cash flow is requested to obtain the discount </w:t>
      </w:r>
    </w:p>
    <w:p w14:paraId="050E9ABB" w14:textId="77777777" w:rsidR="00B81721" w:rsidRPr="00276391" w:rsidRDefault="00B81721" w:rsidP="00842C48">
      <w:pPr>
        <w:pStyle w:val="DHHSbullet1lastline"/>
        <w:spacing w:after="0"/>
        <w:rPr>
          <w:lang w:eastAsia="en-AU"/>
        </w:rPr>
      </w:pPr>
      <w:r w:rsidRPr="00276391">
        <w:rPr>
          <w:lang w:eastAsia="en-AU"/>
        </w:rPr>
        <w:t xml:space="preserve">copy of the WorkCover premium statement. </w:t>
      </w:r>
    </w:p>
    <w:p w14:paraId="671CDE2A" w14:textId="77777777" w:rsidR="00842C48" w:rsidRDefault="00842C48" w:rsidP="00B81721">
      <w:pPr>
        <w:pStyle w:val="DHHSbody"/>
        <w:rPr>
          <w:lang w:eastAsia="en-AU"/>
        </w:rPr>
      </w:pPr>
    </w:p>
    <w:p w14:paraId="1C529F20" w14:textId="44D38DC1" w:rsidR="00B81721" w:rsidRPr="00276391" w:rsidRDefault="00B81721" w:rsidP="00B81721">
      <w:pPr>
        <w:pStyle w:val="DHHSbody"/>
        <w:rPr>
          <w:lang w:eastAsia="en-AU"/>
        </w:rPr>
      </w:pPr>
      <w:r w:rsidRPr="00276391">
        <w:rPr>
          <w:lang w:eastAsia="en-AU"/>
        </w:rPr>
        <w:t xml:space="preserve">Further information on the premium discount is available from the </w:t>
      </w:r>
      <w:hyperlink r:id="rId254"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276391">
        <w:rPr>
          <w:lang w:eastAsia="en-AU"/>
        </w:rPr>
        <w:t xml:space="preserve"> (external link, </w:t>
      </w:r>
      <w:r w:rsidR="00EA74AB">
        <w:rPr>
          <w:lang w:eastAsia="en-AU"/>
        </w:rPr>
        <w:t xml:space="preserve">opens in </w:t>
      </w:r>
      <w:r w:rsidR="00C62565">
        <w:rPr>
          <w:lang w:eastAsia="en-AU"/>
        </w:rPr>
        <w:t>a new window</w:t>
      </w:r>
      <w:r w:rsidRPr="00276391">
        <w:rPr>
          <w:lang w:eastAsia="en-AU"/>
        </w:rPr>
        <w:t>).</w:t>
      </w:r>
    </w:p>
    <w:p w14:paraId="28AF4207" w14:textId="77777777" w:rsidR="00B81721" w:rsidRPr="00276391" w:rsidRDefault="00B81721" w:rsidP="00B81721">
      <w:pPr>
        <w:pStyle w:val="Heading4"/>
        <w:rPr>
          <w:lang w:eastAsia="en-AU"/>
        </w:rPr>
      </w:pPr>
      <w:bookmarkStart w:id="761" w:name="_Toc478992095"/>
      <w:r w:rsidRPr="00276391">
        <w:rPr>
          <w:lang w:eastAsia="en-AU"/>
        </w:rPr>
        <w:t>For further information</w:t>
      </w:r>
      <w:bookmarkEnd w:id="761"/>
    </w:p>
    <w:p w14:paraId="6684D13F" w14:textId="77777777" w:rsidR="00B81721" w:rsidRPr="00276391" w:rsidRDefault="00B81721" w:rsidP="00B81721">
      <w:pPr>
        <w:pStyle w:val="DHHSbody"/>
        <w:rPr>
          <w:lang w:eastAsia="en-AU"/>
        </w:rPr>
      </w:pPr>
      <w:r>
        <w:rPr>
          <w:rFonts w:cs="Arial"/>
          <w:color w:val="000000"/>
          <w:szCs w:val="19"/>
          <w:lang w:eastAsia="en-AU"/>
        </w:rPr>
        <w:t>Carli Moerth</w:t>
      </w:r>
      <w:r w:rsidRPr="00B24C02">
        <w:rPr>
          <w:rFonts w:cs="Arial"/>
          <w:color w:val="000000"/>
          <w:szCs w:val="19"/>
          <w:lang w:eastAsia="en-AU"/>
        </w:rPr>
        <w:t>, Manager, Workers Compensation and Injury Management</w:t>
      </w:r>
      <w:r w:rsidRPr="00B24C02">
        <w:rPr>
          <w:rFonts w:cs="Arial"/>
          <w:color w:val="000000"/>
          <w:szCs w:val="19"/>
          <w:lang w:eastAsia="en-AU"/>
        </w:rPr>
        <w:br/>
        <w:t>Telephone:(03) 9096 25</w:t>
      </w:r>
      <w:r>
        <w:rPr>
          <w:rFonts w:cs="Arial"/>
          <w:color w:val="000000"/>
          <w:szCs w:val="19"/>
          <w:lang w:eastAsia="en-AU"/>
        </w:rPr>
        <w:t>80</w:t>
      </w:r>
      <w:r w:rsidRPr="00B24C02">
        <w:rPr>
          <w:rFonts w:cs="Arial"/>
          <w:color w:val="000000"/>
          <w:szCs w:val="19"/>
          <w:lang w:eastAsia="en-AU"/>
        </w:rPr>
        <w:br/>
        <w:t>Email:</w:t>
      </w:r>
      <w:r>
        <w:rPr>
          <w:rFonts w:cs="Arial"/>
          <w:color w:val="000000"/>
          <w:szCs w:val="19"/>
          <w:lang w:eastAsia="en-AU"/>
        </w:rPr>
        <w:t xml:space="preserve"> </w:t>
      </w:r>
      <w:hyperlink r:id="rId255" w:history="1">
        <w:r w:rsidRPr="001B5732">
          <w:rPr>
            <w:rStyle w:val="Hyperlink"/>
            <w:rFonts w:cs="Arial"/>
            <w:szCs w:val="19"/>
            <w:lang w:eastAsia="en-AU"/>
          </w:rPr>
          <w:t>carli.moerth@dhhs.vic.gov.au</w:t>
        </w:r>
      </w:hyperlink>
      <w:r w:rsidRPr="00B24C02">
        <w:rPr>
          <w:rFonts w:cs="Arial"/>
          <w:color w:val="000000"/>
          <w:szCs w:val="19"/>
          <w:lang w:eastAsia="en-AU"/>
        </w:rPr>
        <w:t xml:space="preserve"> </w:t>
      </w:r>
    </w:p>
    <w:p w14:paraId="1EF20BAF" w14:textId="10FE2834" w:rsidR="00236748" w:rsidRPr="00276391" w:rsidRDefault="00FF406D" w:rsidP="009B2351">
      <w:pPr>
        <w:pStyle w:val="Heading2"/>
        <w:rPr>
          <w:rFonts w:cs="Arial"/>
          <w:lang w:eastAsia="en-AU"/>
        </w:rPr>
      </w:pPr>
      <w:bookmarkStart w:id="762" w:name="_Toc478992099"/>
      <w:bookmarkStart w:id="763" w:name="_Toc478992483"/>
      <w:bookmarkStart w:id="764" w:name="_Toc478992922"/>
      <w:bookmarkStart w:id="765" w:name="_Toc4142128"/>
      <w:bookmarkEnd w:id="754"/>
      <w:bookmarkEnd w:id="755"/>
      <w:r>
        <w:rPr>
          <w:rFonts w:cs="Arial"/>
          <w:lang w:eastAsia="en-AU"/>
        </w:rPr>
        <w:lastRenderedPageBreak/>
        <w:t>4.8</w:t>
      </w:r>
      <w:r w:rsidR="009B2351" w:rsidRPr="00276391">
        <w:rPr>
          <w:rFonts w:cs="Arial"/>
          <w:lang w:eastAsia="en-AU"/>
        </w:rPr>
        <w:t xml:space="preserve"> </w:t>
      </w:r>
      <w:r w:rsidR="00236748" w:rsidRPr="00276391">
        <w:rPr>
          <w:rFonts w:cs="Arial"/>
          <w:lang w:eastAsia="en-AU"/>
        </w:rPr>
        <w:t>Victorian</w:t>
      </w:r>
      <w:r w:rsidR="009B2351" w:rsidRPr="00276391">
        <w:rPr>
          <w:rFonts w:cs="Arial"/>
          <w:lang w:eastAsia="en-AU"/>
        </w:rPr>
        <w:t xml:space="preserve"> </w:t>
      </w:r>
      <w:r w:rsidR="00236748" w:rsidRPr="00276391">
        <w:rPr>
          <w:rFonts w:cs="Arial"/>
          <w:lang w:eastAsia="en-AU"/>
        </w:rPr>
        <w:t>Charter</w:t>
      </w:r>
      <w:r w:rsidR="009B2351" w:rsidRPr="00276391">
        <w:rPr>
          <w:rFonts w:cs="Arial"/>
          <w:lang w:eastAsia="en-AU"/>
        </w:rPr>
        <w:t xml:space="preserve"> </w:t>
      </w:r>
      <w:r w:rsidR="00236748" w:rsidRPr="00276391">
        <w:rPr>
          <w:rFonts w:cs="Arial"/>
          <w:lang w:eastAsia="en-AU"/>
        </w:rPr>
        <w:t>of</w:t>
      </w:r>
      <w:r w:rsidR="009B2351" w:rsidRPr="00276391">
        <w:rPr>
          <w:rFonts w:cs="Arial"/>
          <w:lang w:eastAsia="en-AU"/>
        </w:rPr>
        <w:t xml:space="preserve"> </w:t>
      </w:r>
      <w:r w:rsidR="00236748" w:rsidRPr="00276391">
        <w:rPr>
          <w:rFonts w:cs="Arial"/>
          <w:lang w:eastAsia="en-AU"/>
        </w:rPr>
        <w:t>Human</w:t>
      </w:r>
      <w:r w:rsidR="009B2351" w:rsidRPr="00276391">
        <w:rPr>
          <w:rFonts w:cs="Arial"/>
          <w:lang w:eastAsia="en-AU"/>
        </w:rPr>
        <w:t xml:space="preserve"> </w:t>
      </w:r>
      <w:r w:rsidR="00236748" w:rsidRPr="00276391">
        <w:rPr>
          <w:rFonts w:cs="Arial"/>
          <w:lang w:eastAsia="en-AU"/>
        </w:rPr>
        <w:t>Rights</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Responsibilities</w:t>
      </w:r>
      <w:bookmarkEnd w:id="762"/>
      <w:bookmarkEnd w:id="763"/>
      <w:bookmarkEnd w:id="764"/>
      <w:bookmarkEnd w:id="765"/>
    </w:p>
    <w:p w14:paraId="412ADF6C" w14:textId="77777777" w:rsidR="004750BD" w:rsidRPr="00276391" w:rsidRDefault="004750BD" w:rsidP="004750BD">
      <w:pPr>
        <w:pStyle w:val="Heading4"/>
        <w:rPr>
          <w:lang w:eastAsia="en-AU"/>
        </w:rPr>
      </w:pPr>
      <w:bookmarkStart w:id="766" w:name="_Toc478992101"/>
      <w:r w:rsidRPr="00276391">
        <w:rPr>
          <w:lang w:eastAsia="en-AU"/>
        </w:rPr>
        <w:t>Who does this policy apply to?</w:t>
      </w:r>
    </w:p>
    <w:p w14:paraId="24C9F7D8" w14:textId="77777777" w:rsidR="004750BD" w:rsidRPr="00276391" w:rsidRDefault="004750BD" w:rsidP="004750BD">
      <w:pPr>
        <w:pStyle w:val="DHHSbody"/>
        <w:rPr>
          <w:lang w:eastAsia="en-AU"/>
        </w:rPr>
      </w:pPr>
      <w:r w:rsidRPr="00B24C02">
        <w:rPr>
          <w:rFonts w:cs="Arial"/>
          <w:color w:val="000000"/>
          <w:szCs w:val="19"/>
          <w:lang w:eastAsia="en-AU"/>
        </w:rPr>
        <w:t>This policy applies to individuals or organisations funded by the Department of Health and Human Services and the Department of Education and Training.</w:t>
      </w:r>
    </w:p>
    <w:p w14:paraId="7335E97D" w14:textId="77777777" w:rsidR="004750BD" w:rsidRPr="00276391" w:rsidRDefault="004750BD" w:rsidP="004750BD">
      <w:pPr>
        <w:pStyle w:val="Heading4"/>
        <w:rPr>
          <w:lang w:eastAsia="en-AU"/>
        </w:rPr>
      </w:pPr>
      <w:r w:rsidRPr="00276391">
        <w:rPr>
          <w:lang w:eastAsia="en-AU"/>
        </w:rPr>
        <w:t>Policy purpose</w:t>
      </w:r>
    </w:p>
    <w:p w14:paraId="764B604F" w14:textId="77777777" w:rsidR="004750BD" w:rsidRPr="00276391" w:rsidRDefault="004750BD" w:rsidP="004750BD">
      <w:pPr>
        <w:pStyle w:val="DHHSbody"/>
        <w:rPr>
          <w:lang w:eastAsia="en-AU"/>
        </w:rPr>
      </w:pPr>
      <w:r w:rsidRPr="00B24C02">
        <w:rPr>
          <w:rFonts w:cs="Arial"/>
          <w:color w:val="000000"/>
          <w:szCs w:val="19"/>
          <w:lang w:eastAsia="en-AU"/>
        </w:rPr>
        <w:t xml:space="preserve">To ensure organisations funded by the departments are aware of human rights which are relevant to their </w:t>
      </w:r>
      <w:proofErr w:type="gramStart"/>
      <w:r w:rsidRPr="00B24C02">
        <w:rPr>
          <w:rFonts w:cs="Arial"/>
          <w:color w:val="000000"/>
          <w:szCs w:val="19"/>
          <w:lang w:eastAsia="en-AU"/>
        </w:rPr>
        <w:t>work, and</w:t>
      </w:r>
      <w:proofErr w:type="gramEnd"/>
      <w:r w:rsidRPr="00B24C02">
        <w:rPr>
          <w:rFonts w:cs="Arial"/>
          <w:color w:val="000000"/>
          <w:szCs w:val="19"/>
          <w:lang w:eastAsia="en-AU"/>
        </w:rPr>
        <w:t xml:space="preserve"> comply with their obligations under the Charter of Human Rights and Responsibilities, particularly when performing functions of a public nature on behalf of the State or another public authority.</w:t>
      </w:r>
    </w:p>
    <w:p w14:paraId="44BAB94D" w14:textId="77777777" w:rsidR="004750BD" w:rsidRPr="00276391" w:rsidRDefault="004750BD" w:rsidP="004750BD">
      <w:pPr>
        <w:pStyle w:val="Heading4"/>
        <w:rPr>
          <w:lang w:eastAsia="en-AU"/>
        </w:rPr>
      </w:pPr>
      <w:r w:rsidRPr="00276391">
        <w:rPr>
          <w:lang w:eastAsia="en-AU"/>
        </w:rPr>
        <w:t>Legislation and /or regulation</w:t>
      </w:r>
    </w:p>
    <w:p w14:paraId="16553314" w14:textId="1CAA7FDB" w:rsidR="004750BD" w:rsidRDefault="0016341D" w:rsidP="004750BD">
      <w:pPr>
        <w:pStyle w:val="DHHSbody"/>
        <w:rPr>
          <w:lang w:eastAsia="en-AU"/>
        </w:rPr>
      </w:pPr>
      <w:hyperlink r:id="rId256" w:history="1">
        <w:r w:rsidR="004750BD" w:rsidRPr="00986D1E">
          <w:rPr>
            <w:rStyle w:val="Hyperlink"/>
          </w:rPr>
          <w:t>Charter of Human Rights and Responsibilities Act 2006</w:t>
        </w:r>
      </w:hyperlink>
      <w:r w:rsidR="004750BD" w:rsidRPr="00B24C02">
        <w:rPr>
          <w:rFonts w:cs="Arial"/>
          <w:color w:val="000000"/>
          <w:szCs w:val="19"/>
          <w:lang w:eastAsia="en-AU"/>
        </w:rPr>
        <w:t xml:space="preserve"> </w:t>
      </w:r>
      <w:r w:rsidR="004750BD">
        <w:rPr>
          <w:rFonts w:cs="Arial"/>
          <w:color w:val="000000"/>
          <w:szCs w:val="19"/>
          <w:lang w:eastAsia="en-AU"/>
        </w:rPr>
        <w:t>&lt;</w:t>
      </w:r>
      <w:r w:rsidR="004750BD" w:rsidRPr="00124241">
        <w:rPr>
          <w:rFonts w:cs="Arial"/>
          <w:color w:val="000000"/>
          <w:szCs w:val="19"/>
          <w:lang w:eastAsia="en-AU"/>
        </w:rPr>
        <w:t>http://www.austlii.edu.au/au/legis/vic/consol_act/cohrara2006433/</w:t>
      </w:r>
      <w:r w:rsidR="004750BD">
        <w:rPr>
          <w:rFonts w:cs="Arial"/>
          <w:color w:val="000000"/>
          <w:szCs w:val="19"/>
          <w:lang w:eastAsia="en-AU"/>
        </w:rPr>
        <w:t>&gt;</w:t>
      </w:r>
      <w:r w:rsidR="004750BD" w:rsidRPr="00124241">
        <w:rPr>
          <w:rFonts w:cs="Arial"/>
          <w:color w:val="000000"/>
          <w:szCs w:val="19"/>
          <w:lang w:eastAsia="en-AU"/>
        </w:rPr>
        <w:t xml:space="preserve"> </w:t>
      </w:r>
      <w:r w:rsidR="004750BD" w:rsidRPr="00B24C02">
        <w:rPr>
          <w:rFonts w:cs="Arial"/>
          <w:color w:val="000000"/>
          <w:szCs w:val="19"/>
          <w:lang w:eastAsia="en-AU"/>
        </w:rPr>
        <w:t>(external link, opens in a new window)</w:t>
      </w:r>
    </w:p>
    <w:p w14:paraId="5D9545BA" w14:textId="77777777" w:rsidR="004750BD" w:rsidRPr="00276391" w:rsidRDefault="004750BD" w:rsidP="004750BD">
      <w:pPr>
        <w:pStyle w:val="Heading4"/>
        <w:rPr>
          <w:lang w:eastAsia="en-AU"/>
        </w:rPr>
      </w:pPr>
      <w:r w:rsidRPr="00276391">
        <w:rPr>
          <w:lang w:eastAsia="en-AU"/>
        </w:rPr>
        <w:t>What is the Charter?</w:t>
      </w:r>
    </w:p>
    <w:p w14:paraId="42A0EB01" w14:textId="77777777" w:rsidR="004750BD" w:rsidRPr="00276391" w:rsidRDefault="004750BD" w:rsidP="004750BD">
      <w:pPr>
        <w:pStyle w:val="DHHSbody"/>
        <w:rPr>
          <w:lang w:eastAsia="en-AU"/>
        </w:rPr>
      </w:pPr>
      <w:r w:rsidRPr="00B24C02">
        <w:rPr>
          <w:rFonts w:cs="Arial"/>
          <w:color w:val="000000"/>
          <w:szCs w:val="19"/>
          <w:lang w:eastAsia="en-AU"/>
        </w:rPr>
        <w:t xml:space="preserve">The </w:t>
      </w:r>
      <w:r w:rsidRPr="004750BD">
        <w:rPr>
          <w:rFonts w:cs="Arial"/>
          <w:bCs/>
          <w:i/>
          <w:color w:val="000000"/>
          <w:szCs w:val="19"/>
          <w:lang w:eastAsia="en-AU"/>
        </w:rPr>
        <w:t>Charter of Human Rights and Responsibilities Act 2006</w:t>
      </w:r>
      <w:r w:rsidRPr="00B24C02">
        <w:rPr>
          <w:rFonts w:cs="Arial"/>
          <w:color w:val="000000"/>
          <w:szCs w:val="19"/>
          <w:lang w:eastAsia="en-AU"/>
        </w:rPr>
        <w:t xml:space="preserve"> (Charter) is a Victorian Act of Parliament that protects and promotes 20 civil and political rights including but not limited to the right to vote, the right to privacy and the right to be free from discrimination. The Charter is based on the United Nations treaty, the International Covenant on Civil and Political Rights to which Australia is a signatory. The Charter is available on the </w:t>
      </w:r>
      <w:hyperlink r:id="rId257" w:history="1">
        <w:r>
          <w:rPr>
            <w:rStyle w:val="Hyperlink"/>
            <w:rFonts w:cs="Arial"/>
            <w:szCs w:val="19"/>
            <w:lang w:eastAsia="en-AU"/>
          </w:rPr>
          <w:t>Victorian Legislation and Parliamentary Documents website</w:t>
        </w:r>
      </w:hyperlink>
      <w:r w:rsidRPr="00B24C02">
        <w:rPr>
          <w:rFonts w:cs="Arial"/>
          <w:color w:val="000000"/>
          <w:szCs w:val="19"/>
          <w:lang w:eastAsia="en-AU"/>
        </w:rPr>
        <w:t xml:space="preserve"> </w:t>
      </w:r>
      <w:r>
        <w:rPr>
          <w:rFonts w:cs="Arial"/>
          <w:color w:val="000000"/>
          <w:szCs w:val="19"/>
          <w:lang w:eastAsia="en-AU"/>
        </w:rPr>
        <w:t>&lt;</w:t>
      </w:r>
      <w:r w:rsidRPr="00124241">
        <w:t>http://www.legislation.vic.gov.au/</w:t>
      </w:r>
      <w:r>
        <w:t>&gt;</w:t>
      </w:r>
      <w:r w:rsidRPr="00B24C02">
        <w:rPr>
          <w:rFonts w:cs="Arial"/>
          <w:color w:val="000000"/>
          <w:szCs w:val="19"/>
          <w:lang w:eastAsia="en-AU"/>
        </w:rPr>
        <w:t xml:space="preserve"> (external link, opens in a new window).</w:t>
      </w:r>
    </w:p>
    <w:p w14:paraId="32645790" w14:textId="77777777" w:rsidR="004750BD" w:rsidRPr="00276391" w:rsidRDefault="004750BD" w:rsidP="004750BD">
      <w:pPr>
        <w:pStyle w:val="DHHSbody"/>
        <w:rPr>
          <w:lang w:eastAsia="en-AU"/>
        </w:rPr>
      </w:pPr>
      <w:r w:rsidRPr="00276391">
        <w:rPr>
          <w:lang w:eastAsia="en-AU"/>
        </w:rPr>
        <w:t>The Charter seeks to protect and promote basic human rights by ensuring that public powers and functions are exercised in a principled way and that public power is not misused. It complements a number of other pieces of legislation that are aimed at regulating the relationship between individuals and the State.</w:t>
      </w:r>
    </w:p>
    <w:p w14:paraId="679FCF9D" w14:textId="77777777" w:rsidR="004750BD" w:rsidRPr="00276391" w:rsidRDefault="004750BD" w:rsidP="004750BD">
      <w:pPr>
        <w:pStyle w:val="Heading4"/>
        <w:rPr>
          <w:lang w:eastAsia="en-AU"/>
        </w:rPr>
      </w:pPr>
      <w:r w:rsidRPr="00276391">
        <w:rPr>
          <w:lang w:eastAsia="en-AU"/>
        </w:rPr>
        <w:t>Organisation requirements</w:t>
      </w:r>
    </w:p>
    <w:p w14:paraId="78ECB67D" w14:textId="4ACB9FB0" w:rsidR="004750BD" w:rsidRPr="00276391" w:rsidRDefault="004750BD" w:rsidP="004750BD">
      <w:pPr>
        <w:pStyle w:val="DHHSbody"/>
        <w:rPr>
          <w:lang w:eastAsia="en-AU"/>
        </w:rPr>
      </w:pPr>
      <w:r w:rsidRPr="00B24C02">
        <w:rPr>
          <w:rFonts w:cs="Arial"/>
          <w:color w:val="000000"/>
          <w:szCs w:val="19"/>
          <w:lang w:eastAsia="en-AU"/>
        </w:rPr>
        <w:t xml:space="preserve">The </w:t>
      </w:r>
      <w:r>
        <w:rPr>
          <w:rFonts w:cs="Arial"/>
          <w:color w:val="000000"/>
          <w:szCs w:val="19"/>
          <w:lang w:eastAsia="en-AU"/>
        </w:rPr>
        <w:t>Charter</w:t>
      </w:r>
      <w:r w:rsidRPr="00B24C02">
        <w:rPr>
          <w:rFonts w:cs="Arial"/>
          <w:color w:val="000000"/>
          <w:szCs w:val="19"/>
          <w:lang w:eastAsia="en-AU"/>
        </w:rPr>
        <w:t xml:space="preserve"> requires an organisation </w:t>
      </w:r>
      <w:r>
        <w:rPr>
          <w:rFonts w:cs="Arial"/>
          <w:color w:val="000000"/>
          <w:szCs w:val="19"/>
          <w:lang w:eastAsia="en-AU"/>
        </w:rPr>
        <w:t xml:space="preserve">or an individual </w:t>
      </w:r>
      <w:r w:rsidRPr="00B24C02">
        <w:rPr>
          <w:rFonts w:cs="Arial"/>
          <w:color w:val="000000"/>
          <w:szCs w:val="19"/>
          <w:lang w:eastAsia="en-AU"/>
        </w:rPr>
        <w:t>which is</w:t>
      </w:r>
      <w:r>
        <w:rPr>
          <w:rFonts w:cs="Arial"/>
          <w:color w:val="000000"/>
          <w:szCs w:val="19"/>
          <w:lang w:eastAsia="en-AU"/>
        </w:rPr>
        <w:t xml:space="preserve"> a ‘public authority’, including when</w:t>
      </w:r>
      <w:r w:rsidRPr="00B24C02">
        <w:rPr>
          <w:rFonts w:cs="Arial"/>
          <w:color w:val="000000"/>
          <w:szCs w:val="19"/>
          <w:lang w:eastAsia="en-AU"/>
        </w:rPr>
        <w:t xml:space="preserve"> </w:t>
      </w:r>
      <w:r>
        <w:rPr>
          <w:rFonts w:cs="Arial"/>
          <w:color w:val="000000"/>
          <w:szCs w:val="19"/>
          <w:lang w:eastAsia="en-AU"/>
        </w:rPr>
        <w:t>exercising functions of a public nature</w:t>
      </w:r>
      <w:r w:rsidRPr="00B24C02">
        <w:rPr>
          <w:rFonts w:cs="Arial"/>
          <w:color w:val="000000"/>
          <w:szCs w:val="19"/>
          <w:lang w:eastAsia="en-AU"/>
        </w:rPr>
        <w:t xml:space="preserve"> on behalf of a public authority:</w:t>
      </w:r>
    </w:p>
    <w:p w14:paraId="2C21CE4D" w14:textId="67AAD6B3" w:rsidR="004750BD" w:rsidRPr="00276391" w:rsidRDefault="004750BD" w:rsidP="004750BD">
      <w:pPr>
        <w:pStyle w:val="DHHSbullet1"/>
        <w:rPr>
          <w:lang w:eastAsia="en-AU"/>
        </w:rPr>
      </w:pPr>
      <w:r w:rsidRPr="00276391">
        <w:rPr>
          <w:lang w:eastAsia="en-AU"/>
        </w:rPr>
        <w:t xml:space="preserve">to consider relevant human rights protected by the Charter and act compatibly with those rights, when it makes any decision or takes any action that affects another individual's </w:t>
      </w:r>
      <w:r w:rsidR="00842C48">
        <w:rPr>
          <w:lang w:eastAsia="en-AU"/>
        </w:rPr>
        <w:t>human rights under the Charter</w:t>
      </w:r>
    </w:p>
    <w:p w14:paraId="27F4213D" w14:textId="0FAC0982" w:rsidR="004750BD" w:rsidRPr="00276391" w:rsidRDefault="004750BD" w:rsidP="004750BD">
      <w:pPr>
        <w:pStyle w:val="DHHSbullet1"/>
        <w:rPr>
          <w:lang w:eastAsia="en-AU"/>
        </w:rPr>
      </w:pPr>
      <w:r w:rsidRPr="00276391">
        <w:rPr>
          <w:lang w:eastAsia="en-AU"/>
        </w:rPr>
        <w:t>to consider human rights protected by the Charter when developing and implementing polic</w:t>
      </w:r>
      <w:r w:rsidR="00842C48">
        <w:rPr>
          <w:lang w:eastAsia="en-AU"/>
        </w:rPr>
        <w:t>ies and providing services</w:t>
      </w:r>
    </w:p>
    <w:p w14:paraId="5BABDCA7" w14:textId="2A50440A" w:rsidR="004750BD" w:rsidRPr="00276391" w:rsidRDefault="004750BD" w:rsidP="004750BD">
      <w:pPr>
        <w:pStyle w:val="DHHSbullet1"/>
        <w:rPr>
          <w:lang w:eastAsia="en-AU"/>
        </w:rPr>
      </w:pPr>
      <w:r w:rsidRPr="00276391">
        <w:rPr>
          <w:lang w:eastAsia="en-AU"/>
        </w:rPr>
        <w:t xml:space="preserve">to only limit the human rights protected by the Charter where the limitation is reasonable in the circumstances, based on the standards in a free and democratic society, including human dignity, equality and freedom. </w:t>
      </w:r>
    </w:p>
    <w:p w14:paraId="0D448142" w14:textId="77777777" w:rsidR="004750BD" w:rsidRPr="00276391" w:rsidRDefault="004750BD" w:rsidP="004750BD">
      <w:pPr>
        <w:pStyle w:val="Heading4"/>
        <w:rPr>
          <w:lang w:eastAsia="en-AU"/>
        </w:rPr>
      </w:pPr>
      <w:r w:rsidRPr="00276391">
        <w:rPr>
          <w:lang w:eastAsia="en-AU"/>
        </w:rPr>
        <w:t>Do the departments and funded organisations have obligations under the Charter?</w:t>
      </w:r>
    </w:p>
    <w:p w14:paraId="181F7AE6" w14:textId="77777777" w:rsidR="004750BD" w:rsidRPr="00276391" w:rsidRDefault="004750BD" w:rsidP="004750BD">
      <w:pPr>
        <w:pStyle w:val="DHHSbody"/>
        <w:rPr>
          <w:lang w:eastAsia="en-AU"/>
        </w:rPr>
      </w:pPr>
      <w:r w:rsidRPr="00B24C02">
        <w:rPr>
          <w:rFonts w:cs="Arial"/>
          <w:color w:val="000000"/>
          <w:szCs w:val="19"/>
          <w:lang w:eastAsia="en-AU"/>
        </w:rPr>
        <w:t>One important way the Charter protects rights is by placing obligations on public authorities. The department is a public authority, but so too are other organisations, including some of the organisations funded by the department. Outlined below are criteria to determine whether your organisation is a public authority, and the obligations of public authorities.</w:t>
      </w:r>
    </w:p>
    <w:p w14:paraId="0ABA8CB2" w14:textId="77777777" w:rsidR="004750BD" w:rsidRPr="00276391" w:rsidRDefault="004750BD" w:rsidP="004750BD">
      <w:pPr>
        <w:pStyle w:val="Heading4"/>
        <w:rPr>
          <w:lang w:eastAsia="en-AU"/>
        </w:rPr>
      </w:pPr>
      <w:r w:rsidRPr="00276391">
        <w:rPr>
          <w:lang w:eastAsia="en-AU"/>
        </w:rPr>
        <w:lastRenderedPageBreak/>
        <w:t>What is a Public Authority?</w:t>
      </w:r>
    </w:p>
    <w:p w14:paraId="31B4328D" w14:textId="77777777" w:rsidR="004750BD" w:rsidRPr="00276391" w:rsidRDefault="004750BD" w:rsidP="004750BD">
      <w:pPr>
        <w:pStyle w:val="DHHSbody"/>
        <w:rPr>
          <w:lang w:eastAsia="en-AU"/>
        </w:rPr>
      </w:pPr>
      <w:r w:rsidRPr="00B24C02">
        <w:rPr>
          <w:rFonts w:cs="Arial"/>
          <w:color w:val="000000"/>
          <w:szCs w:val="19"/>
          <w:lang w:eastAsia="en-AU"/>
        </w:rPr>
        <w:t>The Charter identifies three categories of organisations or individuals defined as public authorities which have obligations under the Charter:</w:t>
      </w:r>
    </w:p>
    <w:p w14:paraId="6904134D" w14:textId="77777777" w:rsidR="004750BD" w:rsidRPr="00276391" w:rsidRDefault="004750BD" w:rsidP="004750BD">
      <w:pPr>
        <w:pStyle w:val="DHHSbody"/>
        <w:rPr>
          <w:lang w:eastAsia="en-AU"/>
        </w:rPr>
      </w:pPr>
      <w:r w:rsidRPr="00276391">
        <w:rPr>
          <w:lang w:eastAsia="en-AU"/>
        </w:rPr>
        <w:t xml:space="preserve">Bodies or individuals listed in the Charter including among others: </w:t>
      </w:r>
    </w:p>
    <w:p w14:paraId="5C656722" w14:textId="44C92D89" w:rsidR="004750BD" w:rsidRPr="00276391" w:rsidRDefault="00842C48" w:rsidP="00842C48">
      <w:pPr>
        <w:pStyle w:val="DHHSbullet1"/>
        <w:spacing w:after="0"/>
        <w:rPr>
          <w:lang w:eastAsia="en-AU"/>
        </w:rPr>
      </w:pPr>
      <w:r>
        <w:rPr>
          <w:lang w:eastAsia="en-AU"/>
        </w:rPr>
        <w:t>public servants</w:t>
      </w:r>
      <w:r w:rsidR="004750BD" w:rsidRPr="00276391">
        <w:rPr>
          <w:lang w:eastAsia="en-AU"/>
        </w:rPr>
        <w:t xml:space="preserve"> </w:t>
      </w:r>
    </w:p>
    <w:p w14:paraId="39326E5A" w14:textId="07281537" w:rsidR="004750BD" w:rsidRPr="00276391" w:rsidRDefault="00842C48" w:rsidP="00842C48">
      <w:pPr>
        <w:pStyle w:val="DHHSbullet1"/>
        <w:spacing w:after="0"/>
        <w:rPr>
          <w:lang w:eastAsia="en-AU"/>
        </w:rPr>
      </w:pPr>
      <w:r>
        <w:rPr>
          <w:lang w:eastAsia="en-AU"/>
        </w:rPr>
        <w:t>local councils</w:t>
      </w:r>
      <w:r w:rsidR="004750BD" w:rsidRPr="00276391">
        <w:rPr>
          <w:lang w:eastAsia="en-AU"/>
        </w:rPr>
        <w:t xml:space="preserve"> </w:t>
      </w:r>
    </w:p>
    <w:p w14:paraId="5EC034DB" w14:textId="0EB1E6EE" w:rsidR="004750BD" w:rsidRPr="00276391" w:rsidRDefault="00842C48" w:rsidP="00842C48">
      <w:pPr>
        <w:pStyle w:val="DHHSbullet1"/>
        <w:spacing w:after="0"/>
        <w:rPr>
          <w:lang w:eastAsia="en-AU"/>
        </w:rPr>
      </w:pPr>
      <w:r>
        <w:rPr>
          <w:lang w:eastAsia="en-AU"/>
        </w:rPr>
        <w:t>Victoria Police</w:t>
      </w:r>
      <w:r w:rsidR="004750BD" w:rsidRPr="00276391">
        <w:rPr>
          <w:lang w:eastAsia="en-AU"/>
        </w:rPr>
        <w:t xml:space="preserve"> </w:t>
      </w:r>
    </w:p>
    <w:p w14:paraId="0EB89E50" w14:textId="77777777" w:rsidR="004750BD" w:rsidRPr="00276391" w:rsidRDefault="004750BD" w:rsidP="00842C48">
      <w:pPr>
        <w:pStyle w:val="DHHSbullet1lastline"/>
        <w:spacing w:after="0"/>
        <w:rPr>
          <w:lang w:eastAsia="en-AU"/>
        </w:rPr>
      </w:pPr>
      <w:r w:rsidRPr="00276391">
        <w:rPr>
          <w:lang w:eastAsia="en-AU"/>
        </w:rPr>
        <w:t xml:space="preserve">organisations listed in regulations made under the Charter. </w:t>
      </w:r>
    </w:p>
    <w:p w14:paraId="5B9E13FD" w14:textId="77777777" w:rsidR="004750BD" w:rsidRPr="00276391" w:rsidRDefault="004750BD" w:rsidP="00B62BBF">
      <w:pPr>
        <w:pStyle w:val="DHHSbody"/>
        <w:spacing w:before="240"/>
        <w:rPr>
          <w:lang w:eastAsia="en-AU"/>
        </w:rPr>
      </w:pPr>
      <w:r w:rsidRPr="00276391">
        <w:rPr>
          <w:lang w:eastAsia="en-AU"/>
        </w:rPr>
        <w:t xml:space="preserve">Entities established under legislation that perform functions of a public nature such as: </w:t>
      </w:r>
    </w:p>
    <w:p w14:paraId="5A71C233" w14:textId="4A0FA8FA" w:rsidR="004750BD" w:rsidRPr="00276391" w:rsidRDefault="00842C48" w:rsidP="004750BD">
      <w:pPr>
        <w:pStyle w:val="DHHSbullet1"/>
        <w:rPr>
          <w:lang w:eastAsia="en-AU"/>
        </w:rPr>
      </w:pPr>
      <w:r>
        <w:rPr>
          <w:lang w:eastAsia="en-AU"/>
        </w:rPr>
        <w:t>public hospitals</w:t>
      </w:r>
      <w:r w:rsidR="004750BD" w:rsidRPr="00276391">
        <w:rPr>
          <w:lang w:eastAsia="en-AU"/>
        </w:rPr>
        <w:t xml:space="preserve"> </w:t>
      </w:r>
    </w:p>
    <w:p w14:paraId="593410F1" w14:textId="2F435B37" w:rsidR="004750BD" w:rsidRPr="00276391" w:rsidRDefault="00842C48" w:rsidP="004750BD">
      <w:pPr>
        <w:pStyle w:val="DHHSbullet1"/>
        <w:rPr>
          <w:lang w:eastAsia="en-AU"/>
        </w:rPr>
      </w:pPr>
      <w:r>
        <w:rPr>
          <w:lang w:eastAsia="en-AU"/>
        </w:rPr>
        <w:t>cemetery trusts</w:t>
      </w:r>
      <w:r w:rsidR="004750BD" w:rsidRPr="00276391">
        <w:rPr>
          <w:lang w:eastAsia="en-AU"/>
        </w:rPr>
        <w:t xml:space="preserve"> </w:t>
      </w:r>
    </w:p>
    <w:p w14:paraId="3D7AD567" w14:textId="2A51F3AA" w:rsidR="004750BD" w:rsidRPr="00276391" w:rsidRDefault="00842C48" w:rsidP="00842C48">
      <w:pPr>
        <w:pStyle w:val="DHHSbullet1"/>
        <w:spacing w:after="0"/>
        <w:rPr>
          <w:lang w:eastAsia="en-AU"/>
        </w:rPr>
      </w:pPr>
      <w:r>
        <w:rPr>
          <w:lang w:eastAsia="en-AU"/>
        </w:rPr>
        <w:t>Child Safety Commissioner</w:t>
      </w:r>
      <w:r w:rsidR="004750BD" w:rsidRPr="00276391">
        <w:rPr>
          <w:lang w:eastAsia="en-AU"/>
        </w:rPr>
        <w:t xml:space="preserve"> </w:t>
      </w:r>
    </w:p>
    <w:p w14:paraId="2C59A0D1" w14:textId="77777777" w:rsidR="004750BD" w:rsidRPr="00276391" w:rsidRDefault="004750BD" w:rsidP="00842C48">
      <w:pPr>
        <w:pStyle w:val="DHHSbullet1lastline"/>
        <w:spacing w:after="0"/>
        <w:rPr>
          <w:lang w:eastAsia="en-AU"/>
        </w:rPr>
      </w:pPr>
      <w:r w:rsidRPr="00276391">
        <w:rPr>
          <w:lang w:eastAsia="en-AU"/>
        </w:rPr>
        <w:t xml:space="preserve">Infertility Treatment Authority. </w:t>
      </w:r>
    </w:p>
    <w:p w14:paraId="057B47F3" w14:textId="77777777" w:rsidR="004750BD" w:rsidRPr="00276391" w:rsidRDefault="004750BD" w:rsidP="00B62BBF">
      <w:pPr>
        <w:pStyle w:val="DHHSbody"/>
        <w:spacing w:before="240"/>
        <w:rPr>
          <w:lang w:eastAsia="en-AU"/>
        </w:rPr>
      </w:pPr>
      <w:r w:rsidRPr="00276391">
        <w:rPr>
          <w:lang w:eastAsia="en-AU"/>
        </w:rPr>
        <w:t xml:space="preserve">Entities that exercise functions of a public nature on behalf of the State or another public authority, whether under contract or otherwise. </w:t>
      </w:r>
    </w:p>
    <w:p w14:paraId="6583D678" w14:textId="77777777" w:rsidR="004750BD" w:rsidRPr="00276391" w:rsidRDefault="004750BD" w:rsidP="004750BD">
      <w:pPr>
        <w:pStyle w:val="DHHSbody"/>
        <w:rPr>
          <w:lang w:eastAsia="en-AU"/>
        </w:rPr>
      </w:pPr>
      <w:r w:rsidRPr="00276391">
        <w:rPr>
          <w:lang w:eastAsia="en-AU"/>
        </w:rPr>
        <w:t>A body or individual which is a public authority must comply with the Charter in carrying out functions of a public nature. Organisations or individuals who perform a number of functions may only have obligations under the Charter with respect to those functions which are of a public nature. However, as a matter of best practice, they may choose to comply with the Charter in respect of all activities that affect human rights.</w:t>
      </w:r>
    </w:p>
    <w:p w14:paraId="0DC7A558" w14:textId="77777777" w:rsidR="004750BD" w:rsidRPr="00276391" w:rsidRDefault="004750BD" w:rsidP="004750BD">
      <w:pPr>
        <w:pStyle w:val="Heading4"/>
        <w:rPr>
          <w:lang w:eastAsia="en-AU"/>
        </w:rPr>
      </w:pPr>
      <w:r w:rsidRPr="00276391">
        <w:rPr>
          <w:lang w:eastAsia="en-AU"/>
        </w:rPr>
        <w:t>How do you know if you are performing functions of a public nature?</w:t>
      </w:r>
    </w:p>
    <w:p w14:paraId="3F1EDC16" w14:textId="77777777" w:rsidR="004750BD" w:rsidRPr="00276391" w:rsidRDefault="004750BD" w:rsidP="004750BD">
      <w:pPr>
        <w:pStyle w:val="DHHSbody"/>
        <w:rPr>
          <w:lang w:eastAsia="en-AU"/>
        </w:rPr>
      </w:pPr>
      <w:r w:rsidRPr="00B24C02">
        <w:rPr>
          <w:rFonts w:cs="Arial"/>
          <w:color w:val="000000"/>
          <w:szCs w:val="19"/>
          <w:lang w:eastAsia="en-AU"/>
        </w:rPr>
        <w:t>It may not always be clear whether organisations or individuals that perform functions of a public nature constitute a public authority. The following questions may assist in clarifying whether their functions are of a public nature:</w:t>
      </w:r>
    </w:p>
    <w:p w14:paraId="1DEE1DE6" w14:textId="77777777" w:rsidR="004750BD" w:rsidRPr="00276391" w:rsidRDefault="004750BD" w:rsidP="004750BD">
      <w:pPr>
        <w:pStyle w:val="DHHSbullet1"/>
        <w:rPr>
          <w:rFonts w:cs="Arial"/>
          <w:lang w:eastAsia="en-AU"/>
        </w:rPr>
      </w:pPr>
      <w:r w:rsidRPr="00276391">
        <w:rPr>
          <w:rFonts w:cs="Arial"/>
          <w:lang w:eastAsia="en-AU"/>
        </w:rPr>
        <w:t xml:space="preserve">Does legislation give the organisation or individual that function? For example, regulations impose certain obligations on </w:t>
      </w:r>
      <w:proofErr w:type="spellStart"/>
      <w:r w:rsidRPr="00276391">
        <w:rPr>
          <w:rFonts w:cs="Arial"/>
          <w:lang w:eastAsia="en-AU"/>
        </w:rPr>
        <w:t>BreastScreen</w:t>
      </w:r>
      <w:proofErr w:type="spellEnd"/>
      <w:r w:rsidRPr="00276391">
        <w:rPr>
          <w:rFonts w:cs="Arial"/>
          <w:lang w:eastAsia="en-AU"/>
        </w:rPr>
        <w:t xml:space="preserve"> Victoria Inc in relation to keeping a register. </w:t>
      </w:r>
    </w:p>
    <w:p w14:paraId="52FDB53A" w14:textId="77777777" w:rsidR="004750BD" w:rsidRPr="00276391" w:rsidRDefault="004750BD" w:rsidP="004750BD">
      <w:pPr>
        <w:pStyle w:val="DHHSbullet1"/>
        <w:rPr>
          <w:rFonts w:cs="Arial"/>
          <w:lang w:eastAsia="en-AU"/>
        </w:rPr>
      </w:pPr>
      <w:r w:rsidRPr="00276391">
        <w:rPr>
          <w:rFonts w:cs="Arial"/>
          <w:lang w:eastAsia="en-AU"/>
        </w:rPr>
        <w:t xml:space="preserve">Is the function one that is usually connected to or generally identified with functions of government? For example, the provision of public hospital services. </w:t>
      </w:r>
    </w:p>
    <w:p w14:paraId="6A1E6682" w14:textId="77777777" w:rsidR="004750BD" w:rsidRPr="00276391" w:rsidRDefault="004750BD" w:rsidP="004750BD">
      <w:pPr>
        <w:pStyle w:val="DHHSbullet1"/>
        <w:rPr>
          <w:rFonts w:cs="Arial"/>
          <w:lang w:eastAsia="en-AU"/>
        </w:rPr>
      </w:pPr>
      <w:r w:rsidRPr="00276391">
        <w:rPr>
          <w:rFonts w:cs="Arial"/>
          <w:lang w:eastAsia="en-AU"/>
        </w:rPr>
        <w:t xml:space="preserve">Is the organisation or individual funded by a public authority to perform that function? Examples include out of home care services for children, community-based child and family services and disability services. </w:t>
      </w:r>
    </w:p>
    <w:p w14:paraId="2B4F6D68" w14:textId="77777777" w:rsidR="004750BD" w:rsidRPr="00276391" w:rsidRDefault="004750BD" w:rsidP="00842C48">
      <w:pPr>
        <w:pStyle w:val="DHHSbullet1"/>
        <w:spacing w:after="0"/>
        <w:rPr>
          <w:rFonts w:cs="Arial"/>
          <w:lang w:eastAsia="en-AU"/>
        </w:rPr>
      </w:pPr>
      <w:r w:rsidRPr="00276391">
        <w:rPr>
          <w:rFonts w:cs="Arial"/>
          <w:lang w:eastAsia="en-AU"/>
        </w:rPr>
        <w:t xml:space="preserve">Is the function one of a regulatory nature, such as regulating a profession? </w:t>
      </w:r>
    </w:p>
    <w:p w14:paraId="21250301" w14:textId="77777777" w:rsidR="004750BD" w:rsidRPr="00276391" w:rsidRDefault="004750BD" w:rsidP="00842C48">
      <w:pPr>
        <w:pStyle w:val="DHHSbullet1lastline"/>
        <w:spacing w:after="0"/>
        <w:rPr>
          <w:lang w:eastAsia="en-AU"/>
        </w:rPr>
      </w:pPr>
      <w:r w:rsidRPr="00276391">
        <w:rPr>
          <w:lang w:eastAsia="en-AU"/>
        </w:rPr>
        <w:t xml:space="preserve">Is the organisation or individual performing the functions on behalf of the State, a department, or another public authority? </w:t>
      </w:r>
    </w:p>
    <w:p w14:paraId="23F0F723" w14:textId="77777777" w:rsidR="004750BD" w:rsidRPr="00276391" w:rsidRDefault="004750BD" w:rsidP="00B62BBF">
      <w:pPr>
        <w:pStyle w:val="DHHSbody"/>
        <w:spacing w:before="240"/>
        <w:rPr>
          <w:lang w:eastAsia="en-AU"/>
        </w:rPr>
      </w:pPr>
      <w:r w:rsidRPr="00B62BBF">
        <w:rPr>
          <w:lang w:eastAsia="en-AU"/>
        </w:rPr>
        <w:t>In many cases, it is clear when a function is being performed for the State or another public authority. Examples include provision of public hospital services and out of home care services for children. Often it will depend on the circumstances of each case. However, the Charter specifies that:</w:t>
      </w:r>
    </w:p>
    <w:p w14:paraId="6E45AEE9" w14:textId="5BDBA67F" w:rsidR="004750BD" w:rsidRPr="00276391" w:rsidRDefault="004750BD" w:rsidP="00842C48">
      <w:pPr>
        <w:pStyle w:val="DHHSbullet1"/>
        <w:spacing w:after="0"/>
        <w:rPr>
          <w:lang w:eastAsia="en-AU"/>
        </w:rPr>
      </w:pPr>
      <w:r w:rsidRPr="00276391">
        <w:rPr>
          <w:lang w:eastAsia="en-AU"/>
        </w:rPr>
        <w:t>the fact that an organisation is publicly funded to perform a function does not necessarily mean that the organisation is performing the f</w:t>
      </w:r>
      <w:r w:rsidR="00842C48">
        <w:rPr>
          <w:lang w:eastAsia="en-AU"/>
        </w:rPr>
        <w:t>unction on behalf of the State</w:t>
      </w:r>
    </w:p>
    <w:p w14:paraId="02541F81" w14:textId="77777777" w:rsidR="004750BD" w:rsidRPr="00276391" w:rsidRDefault="004750BD" w:rsidP="00842C48">
      <w:pPr>
        <w:pStyle w:val="DHHSbullet1lastline"/>
        <w:spacing w:after="0"/>
        <w:rPr>
          <w:lang w:eastAsia="en-AU"/>
        </w:rPr>
      </w:pPr>
      <w:r w:rsidRPr="00276391">
        <w:rPr>
          <w:lang w:eastAsia="en-AU"/>
        </w:rPr>
        <w:t xml:space="preserve">an organisation does not have to be an agent of the State to be acting on behalf of the State. </w:t>
      </w:r>
    </w:p>
    <w:p w14:paraId="704938E7" w14:textId="77777777" w:rsidR="004750BD" w:rsidRPr="00276391" w:rsidRDefault="004750BD" w:rsidP="00B62BBF">
      <w:pPr>
        <w:pStyle w:val="DHHSbody"/>
        <w:spacing w:before="240"/>
        <w:rPr>
          <w:lang w:eastAsia="en-AU"/>
        </w:rPr>
      </w:pPr>
      <w:r w:rsidRPr="00276391">
        <w:rPr>
          <w:lang w:eastAsia="en-AU"/>
        </w:rPr>
        <w:t>These factors are not exhaustive or conclusive. Some of the factors may be present when an organisation or individual is performing a function that is not of a public nature.</w:t>
      </w:r>
    </w:p>
    <w:p w14:paraId="4418FA18" w14:textId="77777777" w:rsidR="004750BD" w:rsidRPr="00276391" w:rsidRDefault="004750BD" w:rsidP="004750BD">
      <w:pPr>
        <w:pStyle w:val="DHHSbody"/>
        <w:rPr>
          <w:lang w:eastAsia="en-AU"/>
        </w:rPr>
      </w:pPr>
      <w:r w:rsidRPr="00276391">
        <w:rPr>
          <w:lang w:eastAsia="en-AU"/>
        </w:rPr>
        <w:lastRenderedPageBreak/>
        <w:t>If an organisation or individual is unclear as to whether they are a public authority for the purposes of the Charter, they may choose to seek further legal advice or act compatibly with the Charter in the exercise of their functions as a matter of best practice.</w:t>
      </w:r>
    </w:p>
    <w:p w14:paraId="0D3F4503" w14:textId="77777777" w:rsidR="004750BD" w:rsidRPr="00276391" w:rsidRDefault="004750BD" w:rsidP="004750BD">
      <w:pPr>
        <w:pStyle w:val="Heading4"/>
        <w:rPr>
          <w:lang w:eastAsia="en-AU"/>
        </w:rPr>
      </w:pPr>
      <w:r w:rsidRPr="00276391">
        <w:rPr>
          <w:lang w:eastAsia="en-AU"/>
        </w:rPr>
        <w:t>What obligations do you or your organisation have as a public authority?</w:t>
      </w:r>
    </w:p>
    <w:p w14:paraId="4F4732D8" w14:textId="77777777" w:rsidR="004750BD" w:rsidRPr="00276391" w:rsidRDefault="004750BD" w:rsidP="004750BD">
      <w:pPr>
        <w:pStyle w:val="DHHSbody"/>
        <w:rPr>
          <w:lang w:eastAsia="en-AU"/>
        </w:rPr>
      </w:pPr>
      <w:r w:rsidRPr="00B24C02">
        <w:rPr>
          <w:rFonts w:cs="Arial"/>
          <w:color w:val="000000"/>
          <w:szCs w:val="19"/>
          <w:lang w:eastAsia="en-AU"/>
        </w:rPr>
        <w:t>If an organisation or individual which is a public authority acts or makes any decision that affects another individual's rights as set out in the Charter, it must consider the relevant human rights in the Charter and act compatibly with those rights. This means that public authorities must consider the rights protected by the Charter when they make decisions, set policies and provide services.</w:t>
      </w:r>
    </w:p>
    <w:p w14:paraId="79766F7E" w14:textId="77777777" w:rsidR="004750BD" w:rsidRPr="00276391" w:rsidRDefault="004750BD" w:rsidP="004750BD">
      <w:pPr>
        <w:pStyle w:val="DHHSbody"/>
        <w:rPr>
          <w:lang w:eastAsia="en-AU"/>
        </w:rPr>
      </w:pPr>
      <w:r w:rsidRPr="00276391">
        <w:rPr>
          <w:lang w:eastAsia="en-AU"/>
        </w:rPr>
        <w:t>There are steps that organisations and individuals can follow to ensure that they comply with these obligations including:</w:t>
      </w:r>
    </w:p>
    <w:p w14:paraId="4FA02B9C" w14:textId="66CD48A0" w:rsidR="004750BD" w:rsidRPr="00276391" w:rsidRDefault="004750BD" w:rsidP="004750BD">
      <w:pPr>
        <w:pStyle w:val="DHHSbullet1"/>
        <w:rPr>
          <w:lang w:eastAsia="en-AU"/>
        </w:rPr>
      </w:pPr>
      <w:r w:rsidRPr="00276391">
        <w:rPr>
          <w:lang w:eastAsia="en-AU"/>
        </w:rPr>
        <w:t>thinking about where human rights are relevant to their activitie</w:t>
      </w:r>
      <w:r w:rsidR="00842C48">
        <w:rPr>
          <w:lang w:eastAsia="en-AU"/>
        </w:rPr>
        <w:t>s and decisions that they make</w:t>
      </w:r>
    </w:p>
    <w:p w14:paraId="4EB5DCA8" w14:textId="358A8FDD" w:rsidR="004750BD" w:rsidRPr="00276391" w:rsidRDefault="004750BD" w:rsidP="004750BD">
      <w:pPr>
        <w:pStyle w:val="DHHSbullet1"/>
        <w:rPr>
          <w:lang w:eastAsia="en-AU"/>
        </w:rPr>
      </w:pPr>
      <w:r w:rsidRPr="00276391">
        <w:rPr>
          <w:lang w:eastAsia="en-AU"/>
        </w:rPr>
        <w:t>where rights are relevant to the decision or action, consider whether or not the decision or action is limiting a</w:t>
      </w:r>
      <w:r w:rsidR="00842C48">
        <w:rPr>
          <w:lang w:eastAsia="en-AU"/>
        </w:rPr>
        <w:t xml:space="preserve"> human right in the Charter</w:t>
      </w:r>
      <w:r w:rsidRPr="00276391">
        <w:rPr>
          <w:lang w:eastAsia="en-AU"/>
        </w:rPr>
        <w:t xml:space="preserve"> </w:t>
      </w:r>
    </w:p>
    <w:p w14:paraId="31DF02D5" w14:textId="77777777" w:rsidR="004750BD" w:rsidRPr="00276391" w:rsidRDefault="004750BD" w:rsidP="004750BD">
      <w:pPr>
        <w:pStyle w:val="DHHSbullet1"/>
        <w:rPr>
          <w:lang w:eastAsia="en-AU"/>
        </w:rPr>
      </w:pPr>
      <w:r w:rsidRPr="00276391">
        <w:rPr>
          <w:lang w:eastAsia="en-AU"/>
        </w:rPr>
        <w:t xml:space="preserve">being able to demonstrate that any limitation on a human right is reasonable and to consider whether the limitation is lawful, necessary, and proportionate in the circumstances. </w:t>
      </w:r>
    </w:p>
    <w:p w14:paraId="537C6B23" w14:textId="77777777" w:rsidR="004750BD" w:rsidRPr="00276391" w:rsidRDefault="004750BD" w:rsidP="004750BD">
      <w:pPr>
        <w:pStyle w:val="DHHSbody"/>
        <w:rPr>
          <w:lang w:eastAsia="en-AU"/>
        </w:rPr>
      </w:pPr>
      <w:r w:rsidRPr="00276391">
        <w:rPr>
          <w:lang w:eastAsia="en-AU"/>
        </w:rPr>
        <w:t>It is important to understand that the Charter permits the reasonable limitation of human rights in particular circumstances.</w:t>
      </w:r>
    </w:p>
    <w:p w14:paraId="6726FBAC" w14:textId="77777777" w:rsidR="004750BD" w:rsidRPr="00276391" w:rsidRDefault="004750BD" w:rsidP="004750BD">
      <w:pPr>
        <w:pStyle w:val="DHHSbody"/>
        <w:rPr>
          <w:lang w:eastAsia="en-AU"/>
        </w:rPr>
      </w:pPr>
      <w:r w:rsidRPr="00276391">
        <w:rPr>
          <w:lang w:eastAsia="en-AU"/>
        </w:rPr>
        <w:t>Entities will make decisions and apply procedures that impact on an individual's human rights. This action is still compatible with the Charter as long as it can be demonstrated that the limitation on the right is reasonable.</w:t>
      </w:r>
    </w:p>
    <w:p w14:paraId="5D91ED25" w14:textId="77777777" w:rsidR="004750BD" w:rsidRPr="00276391" w:rsidRDefault="004750BD" w:rsidP="004750BD">
      <w:pPr>
        <w:pStyle w:val="DHHSbody"/>
        <w:rPr>
          <w:lang w:eastAsia="en-AU"/>
        </w:rPr>
      </w:pPr>
      <w:r w:rsidRPr="00276391">
        <w:rPr>
          <w:lang w:eastAsia="en-AU"/>
        </w:rPr>
        <w:t xml:space="preserve">A ‘reasonable’ limitation is determined based on the standards in a free and democratic society including human dignity, equality and freedom and </w:t>
      </w:r>
      <w:proofErr w:type="gramStart"/>
      <w:r w:rsidRPr="00276391">
        <w:rPr>
          <w:lang w:eastAsia="en-AU"/>
        </w:rPr>
        <w:t>taking into account</w:t>
      </w:r>
      <w:proofErr w:type="gramEnd"/>
      <w:r w:rsidRPr="00276391">
        <w:rPr>
          <w:lang w:eastAsia="en-AU"/>
        </w:rPr>
        <w:t>:</w:t>
      </w:r>
    </w:p>
    <w:p w14:paraId="4243815A" w14:textId="04D53C91" w:rsidR="004750BD" w:rsidRPr="00276391" w:rsidRDefault="00842C48" w:rsidP="004750BD">
      <w:pPr>
        <w:pStyle w:val="DHHSbullet1"/>
        <w:rPr>
          <w:lang w:eastAsia="en-AU"/>
        </w:rPr>
      </w:pPr>
      <w:r>
        <w:rPr>
          <w:lang w:eastAsia="en-AU"/>
        </w:rPr>
        <w:t>the nature of the right</w:t>
      </w:r>
    </w:p>
    <w:p w14:paraId="32C63C87" w14:textId="03640034" w:rsidR="004750BD" w:rsidRPr="00276391" w:rsidRDefault="004750BD" w:rsidP="004750BD">
      <w:pPr>
        <w:pStyle w:val="DHHSbullet1"/>
        <w:rPr>
          <w:lang w:eastAsia="en-AU"/>
        </w:rPr>
      </w:pPr>
      <w:r w:rsidRPr="00276391">
        <w:rPr>
          <w:lang w:eastAsia="en-AU"/>
        </w:rPr>
        <w:t>the importance</w:t>
      </w:r>
      <w:r w:rsidR="00842C48">
        <w:rPr>
          <w:lang w:eastAsia="en-AU"/>
        </w:rPr>
        <w:t xml:space="preserve"> and purpose of the limitation</w:t>
      </w:r>
    </w:p>
    <w:p w14:paraId="7A0CD0EB" w14:textId="0CC69CB1" w:rsidR="004750BD" w:rsidRPr="00276391" w:rsidRDefault="004750BD" w:rsidP="004750BD">
      <w:pPr>
        <w:pStyle w:val="DHHSbullet1"/>
        <w:rPr>
          <w:lang w:eastAsia="en-AU"/>
        </w:rPr>
      </w:pPr>
      <w:r w:rsidRPr="00276391">
        <w:rPr>
          <w:lang w:eastAsia="en-AU"/>
        </w:rPr>
        <w:t>the natu</w:t>
      </w:r>
      <w:r w:rsidR="00842C48">
        <w:rPr>
          <w:lang w:eastAsia="en-AU"/>
        </w:rPr>
        <w:t>re and extent of the limitation</w:t>
      </w:r>
      <w:r w:rsidRPr="00276391">
        <w:rPr>
          <w:lang w:eastAsia="en-AU"/>
        </w:rPr>
        <w:t xml:space="preserve"> </w:t>
      </w:r>
    </w:p>
    <w:p w14:paraId="58B7CB52" w14:textId="2BBFD688" w:rsidR="004750BD" w:rsidRPr="00276391" w:rsidRDefault="004750BD" w:rsidP="004750BD">
      <w:pPr>
        <w:pStyle w:val="DHHSbullet1"/>
        <w:rPr>
          <w:lang w:eastAsia="en-AU"/>
        </w:rPr>
      </w:pPr>
      <w:r w:rsidRPr="00276391">
        <w:rPr>
          <w:lang w:eastAsia="en-AU"/>
        </w:rPr>
        <w:t xml:space="preserve">the relationship between the </w:t>
      </w:r>
      <w:r w:rsidR="00842C48">
        <w:rPr>
          <w:lang w:eastAsia="en-AU"/>
        </w:rPr>
        <w:t>limitation and its purpose</w:t>
      </w:r>
    </w:p>
    <w:p w14:paraId="1DFFDDAF" w14:textId="77777777" w:rsidR="004750BD" w:rsidRPr="00276391" w:rsidRDefault="004750BD" w:rsidP="004750BD">
      <w:pPr>
        <w:pStyle w:val="DHHSbullet1"/>
        <w:rPr>
          <w:lang w:eastAsia="en-AU"/>
        </w:rPr>
      </w:pPr>
      <w:r w:rsidRPr="00276391">
        <w:rPr>
          <w:lang w:eastAsia="en-AU"/>
        </w:rPr>
        <w:t xml:space="preserve">whether there is any less restrictive means reasonably available to achieve the purpose that the limitation seeks to achieve. </w:t>
      </w:r>
    </w:p>
    <w:p w14:paraId="7BE854B1" w14:textId="77777777" w:rsidR="004750BD" w:rsidRPr="00276391" w:rsidRDefault="004750BD" w:rsidP="004750BD">
      <w:pPr>
        <w:pStyle w:val="Heading4"/>
        <w:rPr>
          <w:lang w:eastAsia="en-AU"/>
        </w:rPr>
      </w:pPr>
      <w:r w:rsidRPr="00276391">
        <w:rPr>
          <w:lang w:eastAsia="en-AU"/>
        </w:rPr>
        <w:t>Exceptions from the obligation to comply with the Charter</w:t>
      </w:r>
    </w:p>
    <w:p w14:paraId="1B060D81" w14:textId="77777777" w:rsidR="004750BD" w:rsidRPr="00276391" w:rsidRDefault="004750BD" w:rsidP="004750BD">
      <w:pPr>
        <w:pStyle w:val="DHHSbullet1"/>
        <w:numPr>
          <w:ilvl w:val="0"/>
          <w:numId w:val="0"/>
        </w:numPr>
        <w:rPr>
          <w:lang w:eastAsia="en-AU"/>
        </w:rPr>
      </w:pPr>
      <w:r w:rsidRPr="00B24C02">
        <w:rPr>
          <w:lang w:eastAsia="en-AU"/>
        </w:rPr>
        <w:t>A public authority is not obliged to comply with the Charter where:</w:t>
      </w:r>
    </w:p>
    <w:p w14:paraId="5240C370" w14:textId="19ACAFC5" w:rsidR="004750BD" w:rsidRPr="00276391" w:rsidRDefault="004750BD" w:rsidP="004750BD">
      <w:pPr>
        <w:pStyle w:val="DHHSbullet1"/>
        <w:rPr>
          <w:lang w:eastAsia="en-AU"/>
        </w:rPr>
      </w:pPr>
      <w:r w:rsidRPr="00276391">
        <w:rPr>
          <w:lang w:eastAsia="en-AU"/>
        </w:rPr>
        <w:t xml:space="preserve">a Victorian law or a Commonwealth law means that the </w:t>
      </w:r>
      <w:r w:rsidR="00842C48">
        <w:rPr>
          <w:lang w:eastAsia="en-AU"/>
        </w:rPr>
        <w:t>public authority cannot comply</w:t>
      </w:r>
    </w:p>
    <w:p w14:paraId="199674A9" w14:textId="11763CA0" w:rsidR="004750BD" w:rsidRPr="00276391" w:rsidRDefault="004750BD" w:rsidP="004750BD">
      <w:pPr>
        <w:pStyle w:val="DHHSbullet1"/>
        <w:rPr>
          <w:lang w:eastAsia="en-AU"/>
        </w:rPr>
      </w:pPr>
      <w:r w:rsidRPr="00276391">
        <w:rPr>
          <w:lang w:eastAsia="en-AU"/>
        </w:rPr>
        <w:t>the act or decis</w:t>
      </w:r>
      <w:r w:rsidR="00842C48">
        <w:rPr>
          <w:lang w:eastAsia="en-AU"/>
        </w:rPr>
        <w:t>ion is of a private nature</w:t>
      </w:r>
    </w:p>
    <w:p w14:paraId="3C062A1F" w14:textId="77777777" w:rsidR="004750BD" w:rsidRPr="00276391" w:rsidRDefault="004750BD" w:rsidP="004750BD">
      <w:pPr>
        <w:pStyle w:val="DHHSbullet1"/>
        <w:rPr>
          <w:lang w:eastAsia="en-AU"/>
        </w:rPr>
      </w:pPr>
      <w:r w:rsidRPr="00276391">
        <w:rPr>
          <w:lang w:eastAsia="en-AU"/>
        </w:rPr>
        <w:t xml:space="preserve">compliance with the Charter would prevent a religious body (including the public authority itself if it is a religious body) from conforming with the religious doctrines, beliefs or principles in accordance with which the religious body operates. </w:t>
      </w:r>
    </w:p>
    <w:p w14:paraId="538ABFFA" w14:textId="77777777" w:rsidR="004750BD" w:rsidRPr="00276391" w:rsidRDefault="004750BD" w:rsidP="004750BD">
      <w:pPr>
        <w:pStyle w:val="Heading4"/>
        <w:rPr>
          <w:lang w:eastAsia="en-AU"/>
        </w:rPr>
      </w:pPr>
      <w:r w:rsidRPr="00276391">
        <w:rPr>
          <w:lang w:eastAsia="en-AU"/>
        </w:rPr>
        <w:t>Breaches of human rights</w:t>
      </w:r>
    </w:p>
    <w:p w14:paraId="0CF3B60F" w14:textId="77777777" w:rsidR="004750BD" w:rsidRPr="00276391" w:rsidRDefault="004750BD" w:rsidP="004750BD">
      <w:pPr>
        <w:pStyle w:val="DHHSbody"/>
        <w:rPr>
          <w:lang w:eastAsia="en-AU"/>
        </w:rPr>
      </w:pPr>
      <w:r w:rsidRPr="00B24C02">
        <w:rPr>
          <w:rFonts w:cs="Arial"/>
          <w:color w:val="000000"/>
          <w:szCs w:val="19"/>
          <w:lang w:eastAsia="en-AU"/>
        </w:rPr>
        <w:t>An individual cannot take legal action if his or her sole reason is based on a breach of an obligation under the Charter. However, the Charter allows a person to raise a human rights argument in a court or tribunal in a case involving a claim that a decision or act of a public authority is unlawful on non-Charter grounds. The Ombudsman also has the power to investigate whether any administrative action is incompatible with a human right set out in the Charter.</w:t>
      </w:r>
    </w:p>
    <w:p w14:paraId="7C9C27ED" w14:textId="77777777" w:rsidR="004750BD" w:rsidRPr="00276391" w:rsidRDefault="004750BD" w:rsidP="004750BD">
      <w:pPr>
        <w:pStyle w:val="DHHSbody"/>
        <w:rPr>
          <w:lang w:eastAsia="en-AU"/>
        </w:rPr>
      </w:pPr>
      <w:r w:rsidRPr="00276391">
        <w:rPr>
          <w:lang w:eastAsia="en-AU"/>
        </w:rPr>
        <w:t>The Charter does not provide for compensation for a breach of Charter rights.</w:t>
      </w:r>
    </w:p>
    <w:p w14:paraId="0DB49E12" w14:textId="77777777" w:rsidR="004750BD" w:rsidRPr="00276391" w:rsidRDefault="004750BD" w:rsidP="004750BD">
      <w:pPr>
        <w:pStyle w:val="Heading4"/>
        <w:rPr>
          <w:lang w:eastAsia="en-AU"/>
        </w:rPr>
      </w:pPr>
      <w:r w:rsidRPr="00276391">
        <w:rPr>
          <w:lang w:eastAsia="en-AU"/>
        </w:rPr>
        <w:lastRenderedPageBreak/>
        <w:t>List of human rights protected by the Charter</w:t>
      </w:r>
    </w:p>
    <w:p w14:paraId="6520CC76" w14:textId="77777777" w:rsidR="004750BD" w:rsidRPr="00276391" w:rsidRDefault="004750BD" w:rsidP="004750BD">
      <w:pPr>
        <w:pStyle w:val="DHHSbullet1"/>
        <w:numPr>
          <w:ilvl w:val="0"/>
          <w:numId w:val="0"/>
        </w:numPr>
        <w:rPr>
          <w:lang w:eastAsia="en-AU"/>
        </w:rPr>
      </w:pPr>
      <w:r w:rsidRPr="00B24C02">
        <w:rPr>
          <w:lang w:eastAsia="en-AU"/>
        </w:rPr>
        <w:t>The Charter protects the following human rights:</w:t>
      </w:r>
    </w:p>
    <w:p w14:paraId="3650C65A" w14:textId="4ABD01F4" w:rsidR="004750BD" w:rsidRPr="00276391" w:rsidRDefault="004750BD" w:rsidP="004750BD">
      <w:pPr>
        <w:pStyle w:val="DHHSbullet1"/>
        <w:rPr>
          <w:lang w:eastAsia="en-AU"/>
        </w:rPr>
      </w:pPr>
      <w:r w:rsidRPr="00276391">
        <w:rPr>
          <w:lang w:eastAsia="en-AU"/>
        </w:rPr>
        <w:t>recognition as a person and equality before the law, and to pr</w:t>
      </w:r>
      <w:r w:rsidR="00842C48">
        <w:rPr>
          <w:lang w:eastAsia="en-AU"/>
        </w:rPr>
        <w:t>otection against discrimination</w:t>
      </w:r>
      <w:r w:rsidRPr="00276391">
        <w:rPr>
          <w:lang w:eastAsia="en-AU"/>
        </w:rPr>
        <w:t xml:space="preserve"> </w:t>
      </w:r>
    </w:p>
    <w:p w14:paraId="53D62B5C" w14:textId="74399DDF" w:rsidR="004750BD" w:rsidRPr="00276391" w:rsidRDefault="00842C48" w:rsidP="004750BD">
      <w:pPr>
        <w:pStyle w:val="DHHSbullet1"/>
        <w:rPr>
          <w:lang w:eastAsia="en-AU"/>
        </w:rPr>
      </w:pPr>
      <w:r>
        <w:rPr>
          <w:lang w:eastAsia="en-AU"/>
        </w:rPr>
        <w:t>right to life</w:t>
      </w:r>
    </w:p>
    <w:p w14:paraId="5A4A38E5" w14:textId="19540796" w:rsidR="004750BD" w:rsidRPr="00276391" w:rsidRDefault="004750BD" w:rsidP="004750BD">
      <w:pPr>
        <w:pStyle w:val="DHHSbullet1"/>
        <w:rPr>
          <w:lang w:eastAsia="en-AU"/>
        </w:rPr>
      </w:pPr>
      <w:r w:rsidRPr="00276391">
        <w:rPr>
          <w:lang w:eastAsia="en-AU"/>
        </w:rPr>
        <w:t>protection from torture and cruel, inhuman and degrading treatment, and not to be subject to medical or scientific experimentatio</w:t>
      </w:r>
      <w:r w:rsidR="00842C48">
        <w:rPr>
          <w:lang w:eastAsia="en-AU"/>
        </w:rPr>
        <w:t>n or treatment without consent</w:t>
      </w:r>
    </w:p>
    <w:p w14:paraId="6C75862D" w14:textId="0DEE153D" w:rsidR="004750BD" w:rsidRPr="00276391" w:rsidRDefault="004750BD" w:rsidP="004750BD">
      <w:pPr>
        <w:pStyle w:val="DHHSbullet1"/>
        <w:rPr>
          <w:lang w:eastAsia="en-AU"/>
        </w:rPr>
      </w:pPr>
      <w:r w:rsidRPr="00276391">
        <w:rPr>
          <w:lang w:eastAsia="en-AU"/>
        </w:rPr>
        <w:t>freed</w:t>
      </w:r>
      <w:r w:rsidR="00842C48">
        <w:rPr>
          <w:lang w:eastAsia="en-AU"/>
        </w:rPr>
        <w:t>om from slavery or forced work</w:t>
      </w:r>
    </w:p>
    <w:p w14:paraId="73A95625" w14:textId="0874E3D6" w:rsidR="004750BD" w:rsidRPr="00276391" w:rsidRDefault="00842C48" w:rsidP="004750BD">
      <w:pPr>
        <w:pStyle w:val="DHHSbullet1"/>
        <w:rPr>
          <w:lang w:eastAsia="en-AU"/>
        </w:rPr>
      </w:pPr>
      <w:r>
        <w:rPr>
          <w:lang w:eastAsia="en-AU"/>
        </w:rPr>
        <w:t>freedom of movement</w:t>
      </w:r>
    </w:p>
    <w:p w14:paraId="425AB590" w14:textId="1DE5D1E8" w:rsidR="004750BD" w:rsidRPr="00276391" w:rsidRDefault="004750BD" w:rsidP="004750BD">
      <w:pPr>
        <w:pStyle w:val="DHHSbullet1"/>
        <w:rPr>
          <w:lang w:eastAsia="en-AU"/>
        </w:rPr>
      </w:pPr>
      <w:r w:rsidRPr="00276391">
        <w:rPr>
          <w:lang w:eastAsia="en-AU"/>
        </w:rPr>
        <w:t>right to not have one’s privacy, family, home or correspondence arbitrarily or unlawfully interfered with, and one’s</w:t>
      </w:r>
      <w:r w:rsidR="00842C48">
        <w:rPr>
          <w:lang w:eastAsia="en-AU"/>
        </w:rPr>
        <w:t xml:space="preserve"> reputation unlawfully attacked</w:t>
      </w:r>
      <w:r w:rsidRPr="00276391">
        <w:rPr>
          <w:lang w:eastAsia="en-AU"/>
        </w:rPr>
        <w:t xml:space="preserve"> </w:t>
      </w:r>
    </w:p>
    <w:p w14:paraId="2CF43359" w14:textId="5E2072ED" w:rsidR="004750BD" w:rsidRPr="00276391" w:rsidRDefault="004750BD" w:rsidP="004750BD">
      <w:pPr>
        <w:pStyle w:val="DHHSbullet1"/>
        <w:rPr>
          <w:lang w:eastAsia="en-AU"/>
        </w:rPr>
      </w:pPr>
      <w:r w:rsidRPr="00276391">
        <w:rPr>
          <w:lang w:eastAsia="en-AU"/>
        </w:rPr>
        <w:t>freedom of thought, c</w:t>
      </w:r>
      <w:r w:rsidR="00842C48">
        <w:rPr>
          <w:lang w:eastAsia="en-AU"/>
        </w:rPr>
        <w:t>onscience, religion and belief</w:t>
      </w:r>
    </w:p>
    <w:p w14:paraId="2F62B599" w14:textId="63EDFDB6" w:rsidR="004750BD" w:rsidRPr="00276391" w:rsidRDefault="00842C48" w:rsidP="004750BD">
      <w:pPr>
        <w:pStyle w:val="DHHSbullet1"/>
        <w:rPr>
          <w:lang w:eastAsia="en-AU"/>
        </w:rPr>
      </w:pPr>
      <w:r>
        <w:rPr>
          <w:lang w:eastAsia="en-AU"/>
        </w:rPr>
        <w:t>freedom of expression</w:t>
      </w:r>
    </w:p>
    <w:p w14:paraId="78DD875E" w14:textId="4719C482" w:rsidR="004750BD" w:rsidRPr="00276391" w:rsidRDefault="004750BD" w:rsidP="004750BD">
      <w:pPr>
        <w:pStyle w:val="DHHSbullet1"/>
        <w:rPr>
          <w:lang w:eastAsia="en-AU"/>
        </w:rPr>
      </w:pPr>
      <w:r w:rsidRPr="00276391">
        <w:rPr>
          <w:lang w:eastAsia="en-AU"/>
        </w:rPr>
        <w:t>peaceful asse</w:t>
      </w:r>
      <w:r w:rsidR="00842C48">
        <w:rPr>
          <w:lang w:eastAsia="en-AU"/>
        </w:rPr>
        <w:t>mbly and freedom of association</w:t>
      </w:r>
    </w:p>
    <w:p w14:paraId="659F2AB7" w14:textId="60D85A17" w:rsidR="004750BD" w:rsidRPr="00276391" w:rsidRDefault="004750BD" w:rsidP="004750BD">
      <w:pPr>
        <w:pStyle w:val="DHHSbullet1"/>
        <w:rPr>
          <w:lang w:eastAsia="en-AU"/>
        </w:rPr>
      </w:pPr>
      <w:r w:rsidRPr="00276391">
        <w:rPr>
          <w:lang w:eastAsia="en-AU"/>
        </w:rPr>
        <w:t>protection of families and ch</w:t>
      </w:r>
      <w:r w:rsidR="00842C48">
        <w:rPr>
          <w:lang w:eastAsia="en-AU"/>
        </w:rPr>
        <w:t>ildren by society and the State</w:t>
      </w:r>
      <w:r w:rsidRPr="00276391">
        <w:rPr>
          <w:lang w:eastAsia="en-AU"/>
        </w:rPr>
        <w:t xml:space="preserve"> </w:t>
      </w:r>
    </w:p>
    <w:p w14:paraId="26369B34" w14:textId="452B06C2" w:rsidR="004750BD" w:rsidRPr="00276391" w:rsidRDefault="004750BD" w:rsidP="004750BD">
      <w:pPr>
        <w:pStyle w:val="DHHSbullet1"/>
        <w:rPr>
          <w:lang w:eastAsia="en-AU"/>
        </w:rPr>
      </w:pPr>
      <w:r w:rsidRPr="00276391">
        <w:rPr>
          <w:lang w:eastAsia="en-AU"/>
        </w:rPr>
        <w:t>right to take part in public lif</w:t>
      </w:r>
      <w:r w:rsidR="00842C48">
        <w:rPr>
          <w:lang w:eastAsia="en-AU"/>
        </w:rPr>
        <w:t>e</w:t>
      </w:r>
    </w:p>
    <w:p w14:paraId="17ECE2E0" w14:textId="3CFEF934" w:rsidR="004750BD" w:rsidRPr="00276391" w:rsidRDefault="004750BD" w:rsidP="004750BD">
      <w:pPr>
        <w:pStyle w:val="DHHSbullet1"/>
        <w:rPr>
          <w:lang w:eastAsia="en-AU"/>
        </w:rPr>
      </w:pPr>
      <w:r w:rsidRPr="00276391">
        <w:rPr>
          <w:lang w:eastAsia="en-AU"/>
        </w:rPr>
        <w:t>practice and enjoy</w:t>
      </w:r>
      <w:r w:rsidR="00842C48">
        <w:rPr>
          <w:lang w:eastAsia="en-AU"/>
        </w:rPr>
        <w:t xml:space="preserve"> culture, religion and language</w:t>
      </w:r>
      <w:r w:rsidRPr="00276391">
        <w:rPr>
          <w:lang w:eastAsia="en-AU"/>
        </w:rPr>
        <w:t xml:space="preserve"> </w:t>
      </w:r>
    </w:p>
    <w:p w14:paraId="75C85BB3" w14:textId="38EC372B" w:rsidR="004750BD" w:rsidRPr="00276391" w:rsidRDefault="004750BD" w:rsidP="004750BD">
      <w:pPr>
        <w:pStyle w:val="DHHSbullet1"/>
        <w:rPr>
          <w:lang w:eastAsia="en-AU"/>
        </w:rPr>
      </w:pPr>
      <w:r w:rsidRPr="00276391">
        <w:rPr>
          <w:lang w:eastAsia="en-AU"/>
        </w:rPr>
        <w:t>to not be deprived of property ot</w:t>
      </w:r>
      <w:r w:rsidR="00842C48">
        <w:rPr>
          <w:lang w:eastAsia="en-AU"/>
        </w:rPr>
        <w:t>her than in accordance with law</w:t>
      </w:r>
      <w:r w:rsidRPr="00276391">
        <w:rPr>
          <w:lang w:eastAsia="en-AU"/>
        </w:rPr>
        <w:t xml:space="preserve"> </w:t>
      </w:r>
    </w:p>
    <w:p w14:paraId="2272E84D" w14:textId="6B2F2ACB" w:rsidR="004750BD" w:rsidRPr="00276391" w:rsidRDefault="00842C48" w:rsidP="004750BD">
      <w:pPr>
        <w:pStyle w:val="DHHSbullet1"/>
        <w:rPr>
          <w:lang w:eastAsia="en-AU"/>
        </w:rPr>
      </w:pPr>
      <w:r>
        <w:rPr>
          <w:lang w:eastAsia="en-AU"/>
        </w:rPr>
        <w:t>liberty and security of person</w:t>
      </w:r>
      <w:r w:rsidR="004750BD" w:rsidRPr="00276391">
        <w:rPr>
          <w:lang w:eastAsia="en-AU"/>
        </w:rPr>
        <w:t xml:space="preserve"> </w:t>
      </w:r>
    </w:p>
    <w:p w14:paraId="2D4698A2" w14:textId="6AA02DB4" w:rsidR="004750BD" w:rsidRPr="00276391" w:rsidRDefault="004750BD" w:rsidP="004750BD">
      <w:pPr>
        <w:pStyle w:val="DHHSbullet1"/>
        <w:rPr>
          <w:lang w:eastAsia="en-AU"/>
        </w:rPr>
      </w:pPr>
      <w:r w:rsidRPr="00276391">
        <w:rPr>
          <w:lang w:eastAsia="en-AU"/>
        </w:rPr>
        <w:t>humane tre</w:t>
      </w:r>
      <w:r w:rsidR="00842C48">
        <w:rPr>
          <w:lang w:eastAsia="en-AU"/>
        </w:rPr>
        <w:t>atment when deprived of liberty</w:t>
      </w:r>
      <w:r w:rsidRPr="00276391">
        <w:rPr>
          <w:lang w:eastAsia="en-AU"/>
        </w:rPr>
        <w:t xml:space="preserve"> </w:t>
      </w:r>
    </w:p>
    <w:p w14:paraId="085A3D58" w14:textId="72E64B09" w:rsidR="004750BD" w:rsidRPr="00276391" w:rsidRDefault="004750BD" w:rsidP="004750BD">
      <w:pPr>
        <w:pStyle w:val="DHHSbullet1"/>
        <w:rPr>
          <w:lang w:eastAsia="en-AU"/>
        </w:rPr>
      </w:pPr>
      <w:r w:rsidRPr="00276391">
        <w:rPr>
          <w:lang w:eastAsia="en-AU"/>
        </w:rPr>
        <w:t xml:space="preserve">detained child to be </w:t>
      </w:r>
      <w:r w:rsidR="00842C48">
        <w:rPr>
          <w:lang w:eastAsia="en-AU"/>
        </w:rPr>
        <w:t>segregated from detained adults</w:t>
      </w:r>
      <w:r w:rsidRPr="00276391">
        <w:rPr>
          <w:lang w:eastAsia="en-AU"/>
        </w:rPr>
        <w:t xml:space="preserve"> </w:t>
      </w:r>
    </w:p>
    <w:p w14:paraId="08F01F2E" w14:textId="3803949E" w:rsidR="004750BD" w:rsidRPr="00276391" w:rsidRDefault="004750BD" w:rsidP="004750BD">
      <w:pPr>
        <w:pStyle w:val="DHHSbullet1"/>
        <w:rPr>
          <w:lang w:eastAsia="en-AU"/>
        </w:rPr>
      </w:pPr>
      <w:r w:rsidRPr="00276391">
        <w:rPr>
          <w:lang w:eastAsia="en-AU"/>
        </w:rPr>
        <w:t>f</w:t>
      </w:r>
      <w:r w:rsidR="00842C48">
        <w:rPr>
          <w:lang w:eastAsia="en-AU"/>
        </w:rPr>
        <w:t>air hearing</w:t>
      </w:r>
    </w:p>
    <w:p w14:paraId="7EE8E2C0" w14:textId="1EFBE739" w:rsidR="004750BD" w:rsidRPr="00276391" w:rsidRDefault="004750BD" w:rsidP="004750BD">
      <w:pPr>
        <w:pStyle w:val="DHHSbullet1"/>
        <w:rPr>
          <w:lang w:eastAsia="en-AU"/>
        </w:rPr>
      </w:pPr>
      <w:r w:rsidRPr="00276391">
        <w:rPr>
          <w:lang w:eastAsia="en-AU"/>
        </w:rPr>
        <w:t>presumption of innocence when c</w:t>
      </w:r>
      <w:r w:rsidR="00842C48">
        <w:rPr>
          <w:lang w:eastAsia="en-AU"/>
        </w:rPr>
        <w:t>harged with a criminal offence</w:t>
      </w:r>
    </w:p>
    <w:p w14:paraId="474FE50C" w14:textId="01C44A0F" w:rsidR="004750BD" w:rsidRPr="00276391" w:rsidRDefault="004750BD" w:rsidP="004750BD">
      <w:pPr>
        <w:pStyle w:val="DHHSbullet1"/>
        <w:rPr>
          <w:lang w:eastAsia="en-AU"/>
        </w:rPr>
      </w:pPr>
      <w:r w:rsidRPr="00276391">
        <w:rPr>
          <w:lang w:eastAsia="en-AU"/>
        </w:rPr>
        <w:t xml:space="preserve">not to be tried or punished more than once for an offence </w:t>
      </w:r>
      <w:r>
        <w:rPr>
          <w:lang w:eastAsia="en-AU"/>
        </w:rPr>
        <w:t xml:space="preserve">in which a </w:t>
      </w:r>
      <w:r w:rsidRPr="00276391">
        <w:rPr>
          <w:lang w:eastAsia="en-AU"/>
        </w:rPr>
        <w:t>final convict</w:t>
      </w:r>
      <w:r>
        <w:rPr>
          <w:lang w:eastAsia="en-AU"/>
        </w:rPr>
        <w:t>ion</w:t>
      </w:r>
      <w:r w:rsidRPr="00276391">
        <w:rPr>
          <w:lang w:eastAsia="en-AU"/>
        </w:rPr>
        <w:t xml:space="preserve"> or acquitt</w:t>
      </w:r>
      <w:r>
        <w:rPr>
          <w:lang w:eastAsia="en-AU"/>
        </w:rPr>
        <w:t>al has been made</w:t>
      </w:r>
      <w:r w:rsidR="00842C48">
        <w:rPr>
          <w:lang w:eastAsia="en-AU"/>
        </w:rPr>
        <w:t xml:space="preserve"> in accordance with the law</w:t>
      </w:r>
      <w:r w:rsidRPr="00276391">
        <w:rPr>
          <w:lang w:eastAsia="en-AU"/>
        </w:rPr>
        <w:t xml:space="preserve"> </w:t>
      </w:r>
    </w:p>
    <w:p w14:paraId="5F12DC97" w14:textId="77777777" w:rsidR="004750BD" w:rsidRPr="00276391" w:rsidRDefault="004750BD" w:rsidP="004750BD">
      <w:pPr>
        <w:pStyle w:val="DHHSbullet1"/>
        <w:rPr>
          <w:lang w:eastAsia="en-AU"/>
        </w:rPr>
      </w:pPr>
      <w:r w:rsidRPr="00276391">
        <w:rPr>
          <w:lang w:eastAsia="en-AU"/>
        </w:rPr>
        <w:t xml:space="preserve">with respect to the operation of certain retrospective criminal laws. </w:t>
      </w:r>
    </w:p>
    <w:p w14:paraId="71A587E3" w14:textId="77777777" w:rsidR="004750BD" w:rsidRPr="00276391" w:rsidRDefault="004750BD" w:rsidP="004750BD">
      <w:pPr>
        <w:pStyle w:val="Heading4"/>
        <w:rPr>
          <w:lang w:eastAsia="en-AU"/>
        </w:rPr>
      </w:pPr>
      <w:r w:rsidRPr="00276391">
        <w:rPr>
          <w:lang w:eastAsia="en-AU"/>
        </w:rPr>
        <w:t>For further information</w:t>
      </w:r>
    </w:p>
    <w:p w14:paraId="765AF30B" w14:textId="77777777" w:rsidR="004750BD" w:rsidRPr="00276391" w:rsidRDefault="0016341D" w:rsidP="004750BD">
      <w:pPr>
        <w:pStyle w:val="DHHSbody"/>
        <w:rPr>
          <w:lang w:eastAsia="en-AU"/>
        </w:rPr>
      </w:pPr>
      <w:hyperlink r:id="rId258" w:history="1">
        <w:r w:rsidR="004750BD" w:rsidRPr="00124241">
          <w:rPr>
            <w:rStyle w:val="Hyperlink"/>
            <w:rFonts w:cs="Arial"/>
            <w:szCs w:val="19"/>
            <w:lang w:eastAsia="en-AU"/>
          </w:rPr>
          <w:t>Department of Justice and Regulation website</w:t>
        </w:r>
      </w:hyperlink>
      <w:r w:rsidR="004750BD" w:rsidRPr="00B24C02">
        <w:rPr>
          <w:rFonts w:cs="Arial"/>
          <w:color w:val="000000"/>
          <w:szCs w:val="19"/>
          <w:lang w:eastAsia="en-AU"/>
        </w:rPr>
        <w:t xml:space="preserve"> </w:t>
      </w:r>
      <w:r w:rsidR="004750BD">
        <w:rPr>
          <w:rFonts w:cs="Arial"/>
          <w:color w:val="000000"/>
          <w:szCs w:val="19"/>
          <w:lang w:eastAsia="en-AU"/>
        </w:rPr>
        <w:t>&lt;</w:t>
      </w:r>
      <w:r w:rsidR="004750BD" w:rsidRPr="00124241">
        <w:t>http://www.justice.vic.gov.au/</w:t>
      </w:r>
      <w:r w:rsidR="004750BD">
        <w:t>&gt;</w:t>
      </w:r>
      <w:r w:rsidR="004750BD" w:rsidRPr="00B24C02">
        <w:rPr>
          <w:rFonts w:cs="Arial"/>
          <w:color w:val="000000"/>
          <w:szCs w:val="19"/>
          <w:lang w:eastAsia="en-AU"/>
        </w:rPr>
        <w:t xml:space="preserve"> (external link, opens in a new window) </w:t>
      </w:r>
    </w:p>
    <w:p w14:paraId="1A2AD646" w14:textId="77777777" w:rsidR="004750BD" w:rsidRPr="00276391" w:rsidRDefault="0016341D" w:rsidP="004750BD">
      <w:pPr>
        <w:pStyle w:val="DHHSbody"/>
        <w:rPr>
          <w:lang w:eastAsia="en-AU"/>
        </w:rPr>
      </w:pPr>
      <w:hyperlink r:id="rId259" w:history="1">
        <w:r w:rsidR="004750BD" w:rsidRPr="00120E64">
          <w:rPr>
            <w:rStyle w:val="Hyperlink"/>
            <w:lang w:eastAsia="en-AU"/>
          </w:rPr>
          <w:t>Victorian Equal Opportunity and Human Rights Commission website</w:t>
        </w:r>
      </w:hyperlink>
      <w:r w:rsidR="004750BD" w:rsidRPr="00124241">
        <w:rPr>
          <w:lang w:eastAsia="en-AU"/>
        </w:rPr>
        <w:t xml:space="preserve"> </w:t>
      </w:r>
      <w:r w:rsidR="004750BD">
        <w:rPr>
          <w:lang w:eastAsia="en-AU"/>
        </w:rPr>
        <w:t>&lt;</w:t>
      </w:r>
      <w:r w:rsidR="004750BD" w:rsidRPr="00120E64">
        <w:t>http://www.humanrightscommission.vic.gov.au</w:t>
      </w:r>
      <w:r w:rsidR="004750BD">
        <w:t>&gt;</w:t>
      </w:r>
      <w:r w:rsidR="004750BD" w:rsidRPr="00276391">
        <w:rPr>
          <w:lang w:eastAsia="en-AU"/>
        </w:rPr>
        <w:t xml:space="preserve"> (external link, opens in a new window) </w:t>
      </w:r>
    </w:p>
    <w:p w14:paraId="7F21724D" w14:textId="644F08D3" w:rsidR="004750BD" w:rsidRDefault="0016341D" w:rsidP="004750BD">
      <w:pPr>
        <w:pStyle w:val="DHHSbody"/>
        <w:rPr>
          <w:lang w:eastAsia="en-AU"/>
        </w:rPr>
      </w:pPr>
      <w:hyperlink r:id="rId260" w:history="1">
        <w:r w:rsidR="004750BD">
          <w:rPr>
            <w:rStyle w:val="Hyperlink"/>
            <w:lang w:eastAsia="en-AU"/>
          </w:rPr>
          <w:t>Funded agency channel</w:t>
        </w:r>
      </w:hyperlink>
      <w:r w:rsidR="004750BD" w:rsidRPr="00276391">
        <w:rPr>
          <w:lang w:eastAsia="en-AU"/>
        </w:rPr>
        <w:t xml:space="preserve"> </w:t>
      </w:r>
      <w:r w:rsidR="004750BD">
        <w:rPr>
          <w:lang w:eastAsia="en-AU"/>
        </w:rPr>
        <w:t>&lt;</w:t>
      </w:r>
      <w:r w:rsidR="004750BD" w:rsidRPr="006B3125">
        <w:t>https://fac.dhhs.vic.gov.au</w:t>
      </w:r>
      <w:r w:rsidR="004750BD">
        <w:t>&gt;</w:t>
      </w:r>
      <w:r w:rsidR="004750BD" w:rsidRPr="00276391">
        <w:rPr>
          <w:lang w:eastAsia="en-AU"/>
        </w:rPr>
        <w:t xml:space="preserve"> (external link, opens in a new window) </w:t>
      </w:r>
    </w:p>
    <w:p w14:paraId="0F48109E" w14:textId="0CA00F35" w:rsidR="00236748" w:rsidRPr="00276391" w:rsidRDefault="00FF406D" w:rsidP="009B2351">
      <w:pPr>
        <w:pStyle w:val="Heading2"/>
        <w:rPr>
          <w:rFonts w:cs="Arial"/>
          <w:lang w:eastAsia="en-AU"/>
        </w:rPr>
      </w:pPr>
      <w:bookmarkStart w:id="767" w:name="_4.10_Funded_Organisation"/>
      <w:bookmarkStart w:id="768" w:name="_Toc478992126"/>
      <w:bookmarkStart w:id="769" w:name="_Toc478992486"/>
      <w:bookmarkStart w:id="770" w:name="_Toc478992923"/>
      <w:bookmarkStart w:id="771" w:name="_Toc4142129"/>
      <w:bookmarkEnd w:id="766"/>
      <w:bookmarkEnd w:id="767"/>
      <w:r>
        <w:rPr>
          <w:rFonts w:cs="Arial"/>
          <w:lang w:eastAsia="en-AU"/>
        </w:rPr>
        <w:t>4.9</w:t>
      </w:r>
      <w:r w:rsidR="009B2351" w:rsidRPr="00276391">
        <w:rPr>
          <w:rFonts w:cs="Arial"/>
          <w:lang w:eastAsia="en-AU"/>
        </w:rPr>
        <w:t xml:space="preserve"> </w:t>
      </w:r>
      <w:r w:rsidR="00236748" w:rsidRPr="00276391">
        <w:rPr>
          <w:rFonts w:cs="Arial"/>
          <w:lang w:eastAsia="en-AU"/>
        </w:rPr>
        <w:t>Funded</w:t>
      </w:r>
      <w:r w:rsidR="009B2351" w:rsidRPr="00276391">
        <w:rPr>
          <w:rFonts w:cs="Arial"/>
          <w:lang w:eastAsia="en-AU"/>
        </w:rPr>
        <w:t xml:space="preserve"> </w:t>
      </w:r>
      <w:r w:rsidR="00236748" w:rsidRPr="00276391">
        <w:rPr>
          <w:rFonts w:cs="Arial"/>
          <w:lang w:eastAsia="en-AU"/>
        </w:rPr>
        <w:t>Organisation</w:t>
      </w:r>
      <w:r w:rsidR="009B2351" w:rsidRPr="00276391">
        <w:rPr>
          <w:rFonts w:cs="Arial"/>
          <w:lang w:eastAsia="en-AU"/>
        </w:rPr>
        <w:t xml:space="preserve"> </w:t>
      </w:r>
      <w:r w:rsidR="00236748" w:rsidRPr="00276391">
        <w:rPr>
          <w:rFonts w:cs="Arial"/>
          <w:lang w:eastAsia="en-AU"/>
        </w:rPr>
        <w:t>Performance</w:t>
      </w:r>
      <w:r w:rsidR="009B2351" w:rsidRPr="00276391">
        <w:rPr>
          <w:rFonts w:cs="Arial"/>
          <w:lang w:eastAsia="en-AU"/>
        </w:rPr>
        <w:t xml:space="preserve"> </w:t>
      </w:r>
      <w:r w:rsidR="00236748" w:rsidRPr="00276391">
        <w:rPr>
          <w:rFonts w:cs="Arial"/>
          <w:lang w:eastAsia="en-AU"/>
        </w:rPr>
        <w:t>Monitoring</w:t>
      </w:r>
      <w:r w:rsidR="009B2351" w:rsidRPr="00276391">
        <w:rPr>
          <w:rFonts w:cs="Arial"/>
          <w:lang w:eastAsia="en-AU"/>
        </w:rPr>
        <w:t xml:space="preserve"> </w:t>
      </w:r>
      <w:r w:rsidR="00236748" w:rsidRPr="00276391">
        <w:rPr>
          <w:rFonts w:cs="Arial"/>
          <w:lang w:eastAsia="en-AU"/>
        </w:rPr>
        <w:t>Framework</w:t>
      </w:r>
      <w:bookmarkEnd w:id="768"/>
      <w:bookmarkEnd w:id="769"/>
      <w:bookmarkEnd w:id="770"/>
      <w:bookmarkEnd w:id="771"/>
    </w:p>
    <w:p w14:paraId="048D8A92" w14:textId="77777777" w:rsidR="00236748" w:rsidRPr="00276391" w:rsidRDefault="00236748" w:rsidP="001A0795">
      <w:pPr>
        <w:pStyle w:val="Heading4"/>
        <w:rPr>
          <w:lang w:eastAsia="en-AU"/>
        </w:rPr>
      </w:pPr>
      <w:bookmarkStart w:id="772" w:name="_Toc478992128"/>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772"/>
    </w:p>
    <w:p w14:paraId="4509C487" w14:textId="2A5BC761"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007D6F3D">
        <w:rPr>
          <w:rFonts w:cs="Arial"/>
          <w:color w:val="000000"/>
          <w:szCs w:val="19"/>
          <w:lang w:eastAsia="en-AU"/>
        </w:rPr>
        <w:t>(</w:t>
      </w:r>
      <w:r w:rsidRPr="00B24C02">
        <w:rPr>
          <w:rFonts w:cs="Arial"/>
          <w:color w:val="000000"/>
          <w:szCs w:val="19"/>
          <w:lang w:eastAsia="en-AU"/>
        </w:rPr>
        <w:t>monitoring</w:t>
      </w:r>
      <w:r w:rsidR="005D5532" w:rsidRPr="00B24C02">
        <w:rPr>
          <w:rFonts w:cs="Arial"/>
          <w:color w:val="000000"/>
          <w:szCs w:val="19"/>
          <w:lang w:eastAsia="en-AU"/>
        </w:rPr>
        <w:t xml:space="preserve"> </w:t>
      </w:r>
      <w:r w:rsidR="007D6F3D">
        <w:rPr>
          <w:rFonts w:cs="Arial"/>
          <w:color w:val="000000"/>
          <w:szCs w:val="19"/>
          <w:lang w:eastAsia="en-AU"/>
        </w:rPr>
        <w:t>framework</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7D6F3D">
        <w:rPr>
          <w:rFonts w:cs="Arial"/>
          <w:color w:val="000000"/>
          <w:szCs w:val="19"/>
          <w:lang w:eastAsia="en-AU"/>
        </w:rPr>
        <w:t>d</w:t>
      </w:r>
      <w:r w:rsidRPr="00B24C02">
        <w:rPr>
          <w:rFonts w:cs="Arial"/>
          <w:color w:val="000000"/>
          <w:szCs w:val="19"/>
          <w:lang w:eastAsia="en-AU"/>
        </w:rPr>
        <w:t>epartment.</w:t>
      </w:r>
      <w:r w:rsidR="005D5532" w:rsidRPr="00B24C02">
        <w:rPr>
          <w:rFonts w:cs="Arial"/>
          <w:color w:val="000000"/>
          <w:szCs w:val="19"/>
          <w:lang w:eastAsia="en-AU"/>
        </w:rPr>
        <w:t xml:space="preserve"> </w:t>
      </w:r>
    </w:p>
    <w:p w14:paraId="22C53F71"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non-for-profits,</w:t>
      </w:r>
      <w:r w:rsidR="005D5532" w:rsidRPr="00276391">
        <w:rPr>
          <w:lang w:eastAsia="en-AU"/>
        </w:rPr>
        <w:t xml:space="preserve"> </w:t>
      </w:r>
      <w:r w:rsidRPr="00276391">
        <w:rPr>
          <w:lang w:eastAsia="en-AU"/>
        </w:rPr>
        <w:t>for-profits,</w:t>
      </w:r>
      <w:r w:rsidR="005D5532" w:rsidRPr="00276391">
        <w:rPr>
          <w:lang w:eastAsia="en-AU"/>
        </w:rPr>
        <w:t xml:space="preserve"> </w:t>
      </w:r>
      <w:r w:rsidRPr="00276391">
        <w:rPr>
          <w:lang w:eastAsia="en-AU"/>
        </w:rPr>
        <w:t>universities,</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public/private</w:t>
      </w:r>
      <w:r w:rsidR="005D5532" w:rsidRPr="00276391">
        <w:rPr>
          <w:lang w:eastAsia="en-AU"/>
        </w:rPr>
        <w:t xml:space="preserve"> </w:t>
      </w:r>
      <w:r w:rsidRPr="00276391">
        <w:rPr>
          <w:lang w:eastAsia="en-AU"/>
        </w:rPr>
        <w:t>hospitals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non-acute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arrangement.</w:t>
      </w:r>
      <w:r w:rsidR="005D5532" w:rsidRPr="00276391">
        <w:rPr>
          <w:lang w:eastAsia="en-AU"/>
        </w:rPr>
        <w:t xml:space="preserve"> </w:t>
      </w:r>
    </w:p>
    <w:p w14:paraId="041FA813" w14:textId="23EC51AD"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Desktop</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components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hospitals,</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National</w:t>
      </w:r>
      <w:r w:rsidR="005D5532" w:rsidRPr="00276391">
        <w:rPr>
          <w:lang w:eastAsia="en-AU"/>
        </w:rPr>
        <w:t xml:space="preserve"> </w:t>
      </w:r>
      <w:r w:rsidRPr="00276391">
        <w:rPr>
          <w:lang w:eastAsia="en-AU"/>
        </w:rPr>
        <w:t>Disability</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Scheme</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currently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universities,</w:t>
      </w:r>
      <w:r w:rsidR="005D5532" w:rsidRPr="00276391">
        <w:rPr>
          <w:lang w:eastAsia="en-AU"/>
        </w:rPr>
        <w:t xml:space="preserve"> </w:t>
      </w:r>
      <w:r w:rsidRPr="00276391">
        <w:rPr>
          <w:lang w:eastAsia="en-AU"/>
        </w:rPr>
        <w:t>TAFEs,</w:t>
      </w:r>
      <w:r w:rsidR="005D5532" w:rsidRPr="00276391">
        <w:rPr>
          <w:lang w:eastAsia="en-AU"/>
        </w:rPr>
        <w:t xml:space="preserve"> </w:t>
      </w:r>
      <w:r w:rsidRPr="00276391">
        <w:rPr>
          <w:lang w:eastAsia="en-AU"/>
        </w:rPr>
        <w:t>schools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specific</w:t>
      </w:r>
      <w:r w:rsidR="005D5532" w:rsidRPr="00276391">
        <w:rPr>
          <w:lang w:eastAsia="en-AU"/>
        </w:rPr>
        <w:t xml:space="preserve"> </w:t>
      </w:r>
      <w:r w:rsidR="007D6F3D">
        <w:rPr>
          <w:lang w:eastAsia="en-AU"/>
        </w:rPr>
        <w:t xml:space="preserve">community participation and </w:t>
      </w:r>
      <w:r w:rsidRPr="00276391">
        <w:rPr>
          <w:lang w:eastAsia="en-AU"/>
        </w:rPr>
        <w:t>D</w:t>
      </w:r>
      <w:r w:rsidR="007D6F3D">
        <w:rPr>
          <w:lang w:eastAsia="en-AU"/>
        </w:rPr>
        <w:t>epartment Education and Training</w:t>
      </w:r>
      <w:r w:rsidRPr="00276391">
        <w:rPr>
          <w:lang w:eastAsia="en-AU"/>
        </w:rPr>
        <w:t>.</w:t>
      </w:r>
      <w:r w:rsidR="005D5532" w:rsidRPr="00276391">
        <w:rPr>
          <w:lang w:eastAsia="en-AU"/>
        </w:rPr>
        <w:t xml:space="preserve"> </w:t>
      </w:r>
    </w:p>
    <w:p w14:paraId="4D7F8218" w14:textId="78D70E2C"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hospitals.</w:t>
      </w:r>
      <w:r w:rsidR="005D5532" w:rsidRPr="00276391">
        <w:rPr>
          <w:lang w:eastAsia="en-AU"/>
        </w:rPr>
        <w:t xml:space="preserve"> </w:t>
      </w:r>
    </w:p>
    <w:p w14:paraId="2FAEBE78" w14:textId="77777777" w:rsidR="00236748" w:rsidRPr="00276391" w:rsidRDefault="00236748" w:rsidP="001A0795">
      <w:pPr>
        <w:pStyle w:val="Heading4"/>
        <w:rPr>
          <w:lang w:eastAsia="en-AU"/>
        </w:rPr>
      </w:pPr>
      <w:bookmarkStart w:id="773" w:name="_Toc478992129"/>
      <w:r w:rsidRPr="00276391">
        <w:rPr>
          <w:lang w:eastAsia="en-AU"/>
        </w:rPr>
        <w:lastRenderedPageBreak/>
        <w:t>Policy</w:t>
      </w:r>
      <w:r w:rsidR="005D5532" w:rsidRPr="00276391">
        <w:rPr>
          <w:lang w:eastAsia="en-AU"/>
        </w:rPr>
        <w:t xml:space="preserve"> </w:t>
      </w:r>
      <w:r w:rsidRPr="00276391">
        <w:rPr>
          <w:lang w:eastAsia="en-AU"/>
        </w:rPr>
        <w:t>purpose</w:t>
      </w:r>
      <w:bookmarkEnd w:id="773"/>
    </w:p>
    <w:p w14:paraId="5DCDBCB6"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key</w:t>
      </w:r>
      <w:r w:rsidR="005D5532" w:rsidRPr="00B24C02">
        <w:rPr>
          <w:rFonts w:cs="Arial"/>
          <w:color w:val="000000"/>
          <w:szCs w:val="19"/>
          <w:lang w:eastAsia="en-AU"/>
        </w:rPr>
        <w:t xml:space="preserve"> </w:t>
      </w:r>
      <w:r w:rsidRPr="00B24C02">
        <w:rPr>
          <w:rFonts w:cs="Arial"/>
          <w:color w:val="000000"/>
          <w:szCs w:val="19"/>
          <w:lang w:eastAsia="en-AU"/>
        </w:rPr>
        <w:t>instrument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demonstrate</w:t>
      </w:r>
      <w:r w:rsidR="005D5532" w:rsidRPr="00B24C02">
        <w:rPr>
          <w:rFonts w:cs="Arial"/>
          <w:color w:val="000000"/>
          <w:szCs w:val="19"/>
          <w:lang w:eastAsia="en-AU"/>
        </w:rPr>
        <w:t xml:space="preserve"> </w:t>
      </w:r>
      <w:r w:rsidRPr="00B24C02">
        <w:rPr>
          <w:rFonts w:cs="Arial"/>
          <w:color w:val="000000"/>
          <w:szCs w:val="19"/>
          <w:lang w:eastAsia="en-AU"/>
        </w:rPr>
        <w:t>accountability</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effective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efficient</w:t>
      </w:r>
      <w:r w:rsidR="005D5532" w:rsidRPr="00B24C02">
        <w:rPr>
          <w:rFonts w:cs="Arial"/>
          <w:color w:val="000000"/>
          <w:szCs w:val="19"/>
          <w:lang w:eastAsia="en-AU"/>
        </w:rPr>
        <w:t xml:space="preserve"> </w:t>
      </w:r>
      <w:r w:rsidRPr="00B24C02">
        <w:rPr>
          <w:rFonts w:cs="Arial"/>
          <w:color w:val="000000"/>
          <w:szCs w:val="19"/>
          <w:lang w:eastAsia="en-AU"/>
        </w:rPr>
        <w:t>expenditure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benefit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users.</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focuses</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mitigating</w:t>
      </w:r>
      <w:r w:rsidR="005D5532" w:rsidRPr="00B24C02">
        <w:rPr>
          <w:rFonts w:cs="Arial"/>
          <w:color w:val="000000"/>
          <w:szCs w:val="19"/>
          <w:lang w:eastAsia="en-AU"/>
        </w:rPr>
        <w:t xml:space="preserve"> </w:t>
      </w:r>
      <w:r w:rsidRPr="00B24C02">
        <w:rPr>
          <w:rFonts w:cs="Arial"/>
          <w:color w:val="000000"/>
          <w:szCs w:val="19"/>
          <w:lang w:eastAsia="en-AU"/>
        </w:rPr>
        <w:t>risk</w:t>
      </w:r>
      <w:r w:rsidR="005D5532" w:rsidRPr="00B24C02">
        <w:rPr>
          <w:rFonts w:cs="Arial"/>
          <w:color w:val="000000"/>
          <w:szCs w:val="19"/>
          <w:lang w:eastAsia="en-AU"/>
        </w:rPr>
        <w:t xml:space="preserve"> </w:t>
      </w:r>
      <w:r w:rsidRPr="00B24C02">
        <w:rPr>
          <w:rFonts w:cs="Arial"/>
          <w:color w:val="000000"/>
          <w:szCs w:val="19"/>
          <w:lang w:eastAsia="en-AU"/>
        </w:rPr>
        <w:t>while</w:t>
      </w:r>
      <w:r w:rsidR="005D5532" w:rsidRPr="00B24C02">
        <w:rPr>
          <w:rFonts w:cs="Arial"/>
          <w:color w:val="000000"/>
          <w:szCs w:val="19"/>
          <w:lang w:eastAsia="en-AU"/>
        </w:rPr>
        <w:t xml:space="preserve"> </w:t>
      </w:r>
      <w:r w:rsidRPr="00B24C02">
        <w:rPr>
          <w:rFonts w:cs="Arial"/>
          <w:color w:val="000000"/>
          <w:szCs w:val="19"/>
          <w:lang w:eastAsia="en-AU"/>
        </w:rPr>
        <w:t>managing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reporting</w:t>
      </w:r>
      <w:r w:rsidR="005D5532" w:rsidRPr="00B24C02">
        <w:rPr>
          <w:rFonts w:cs="Arial"/>
          <w:color w:val="000000"/>
          <w:szCs w:val="19"/>
          <w:lang w:eastAsia="en-AU"/>
        </w:rPr>
        <w:t xml:space="preserve"> </w:t>
      </w:r>
      <w:r w:rsidRPr="00B24C02">
        <w:rPr>
          <w:rFonts w:cs="Arial"/>
          <w:color w:val="000000"/>
          <w:szCs w:val="19"/>
          <w:lang w:eastAsia="en-AU"/>
        </w:rPr>
        <w:t>burden.</w:t>
      </w:r>
      <w:r w:rsidR="005D5532" w:rsidRPr="00B24C02">
        <w:rPr>
          <w:rFonts w:cs="Arial"/>
          <w:color w:val="000000"/>
          <w:szCs w:val="19"/>
          <w:lang w:eastAsia="en-AU"/>
        </w:rPr>
        <w:t xml:space="preserve"> </w:t>
      </w:r>
    </w:p>
    <w:p w14:paraId="38CD7805" w14:textId="713A4175" w:rsidR="00236748" w:rsidRPr="00276391" w:rsidRDefault="00236748" w:rsidP="00276391">
      <w:pPr>
        <w:pStyle w:val="DHHSbody"/>
        <w:rPr>
          <w:lang w:eastAsia="en-AU"/>
        </w:rPr>
      </w:pPr>
      <w:r w:rsidRPr="00276391">
        <w:rPr>
          <w:lang w:eastAsia="en-AU"/>
        </w:rPr>
        <w:t>It</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uniform</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tools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represented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transparent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approach</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monitoring.</w:t>
      </w:r>
      <w:r w:rsidR="005D5532" w:rsidRPr="00276391">
        <w:rPr>
          <w:lang w:eastAsia="en-AU"/>
        </w:rPr>
        <w:t xml:space="preserve"> </w:t>
      </w:r>
    </w:p>
    <w:p w14:paraId="3D8232DB"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Royal</w:t>
      </w:r>
      <w:r w:rsidR="005D5532" w:rsidRPr="00276391">
        <w:rPr>
          <w:lang w:eastAsia="en-AU"/>
        </w:rPr>
        <w:t xml:space="preserve"> </w:t>
      </w:r>
      <w:r w:rsidRPr="00276391">
        <w:rPr>
          <w:lang w:eastAsia="en-AU"/>
        </w:rPr>
        <w:t>Commission</w:t>
      </w:r>
      <w:r w:rsidR="005D5532" w:rsidRPr="00276391">
        <w:rPr>
          <w:lang w:eastAsia="en-AU"/>
        </w:rPr>
        <w:t xml:space="preserve"> </w:t>
      </w:r>
      <w:r w:rsidRPr="00276391">
        <w:rPr>
          <w:lang w:eastAsia="en-AU"/>
        </w:rPr>
        <w:t>into</w:t>
      </w:r>
      <w:r w:rsidR="005D5532" w:rsidRPr="00276391">
        <w:rPr>
          <w:lang w:eastAsia="en-AU"/>
        </w:rPr>
        <w:t xml:space="preserve"> </w:t>
      </w:r>
      <w:r w:rsidRPr="00276391">
        <w:rPr>
          <w:lang w:eastAsia="en-AU"/>
        </w:rPr>
        <w:t>Child</w:t>
      </w:r>
      <w:r w:rsidR="005D5532" w:rsidRPr="00276391">
        <w:rPr>
          <w:lang w:eastAsia="en-AU"/>
        </w:rPr>
        <w:t xml:space="preserve"> </w:t>
      </w:r>
      <w:r w:rsidRPr="00276391">
        <w:rPr>
          <w:lang w:eastAsia="en-AU"/>
        </w:rPr>
        <w:t>Sexual</w:t>
      </w:r>
      <w:r w:rsidR="005D5532" w:rsidRPr="00276391">
        <w:rPr>
          <w:lang w:eastAsia="en-AU"/>
        </w:rPr>
        <w:t xml:space="preserve"> </w:t>
      </w:r>
      <w:r w:rsidRPr="00276391">
        <w:rPr>
          <w:lang w:eastAsia="en-AU"/>
        </w:rPr>
        <w:t>Abuse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Institutional</w:t>
      </w:r>
      <w:r w:rsidR="005D5532" w:rsidRPr="00276391">
        <w:rPr>
          <w:lang w:eastAsia="en-AU"/>
        </w:rPr>
        <w:t xml:space="preserve"> </w:t>
      </w:r>
      <w:r w:rsidRPr="00276391">
        <w:rPr>
          <w:lang w:eastAsia="en-AU"/>
        </w:rPr>
        <w:t>Settings</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highlighted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oversight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areas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management.</w:t>
      </w:r>
      <w:r w:rsidR="005D5532" w:rsidRPr="00276391">
        <w:rPr>
          <w:lang w:eastAsia="en-AU"/>
        </w:rPr>
        <w:t xml:space="preserve"> </w:t>
      </w:r>
    </w:p>
    <w:p w14:paraId="46E5C9A2" w14:textId="656E5F65"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seeks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confirm</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requirement,</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ensures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users</w:t>
      </w:r>
      <w:r w:rsidR="005D5532" w:rsidRPr="00276391">
        <w:rPr>
          <w:lang w:eastAsia="en-AU"/>
        </w:rPr>
        <w:t xml:space="preserve"> </w:t>
      </w:r>
      <w:r w:rsidRPr="00276391">
        <w:rPr>
          <w:lang w:eastAsia="en-AU"/>
        </w:rPr>
        <w:t>receive</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meet</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expectations.</w:t>
      </w:r>
      <w:r w:rsidR="005D5532" w:rsidRPr="00276391">
        <w:rPr>
          <w:lang w:eastAsia="en-AU"/>
        </w:rPr>
        <w:t xml:space="preserve"> </w:t>
      </w:r>
    </w:p>
    <w:p w14:paraId="78753007" w14:textId="77777777" w:rsidR="00236748" w:rsidRPr="00276391" w:rsidRDefault="00236748" w:rsidP="001A0795">
      <w:pPr>
        <w:pStyle w:val="Heading4"/>
        <w:rPr>
          <w:lang w:eastAsia="en-AU"/>
        </w:rPr>
      </w:pPr>
      <w:bookmarkStart w:id="774" w:name="_Toc478992130"/>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774"/>
    </w:p>
    <w:p w14:paraId="42C07720" w14:textId="77777777" w:rsidR="00236748" w:rsidRPr="00276391" w:rsidRDefault="00236748" w:rsidP="00276391">
      <w:pPr>
        <w:pStyle w:val="DHHSbody"/>
        <w:rPr>
          <w:lang w:eastAsia="en-AU"/>
        </w:rPr>
      </w:pPr>
      <w:r w:rsidRPr="00B24C02">
        <w:rPr>
          <w:rFonts w:cs="Arial"/>
          <w:color w:val="000000"/>
          <w:szCs w:val="19"/>
          <w:lang w:eastAsia="en-AU"/>
        </w:rPr>
        <w:t>Various</w:t>
      </w:r>
      <w:r w:rsidR="005D5532" w:rsidRPr="00B24C02">
        <w:rPr>
          <w:rFonts w:cs="Arial"/>
          <w:color w:val="000000"/>
          <w:szCs w:val="19"/>
          <w:lang w:eastAsia="en-AU"/>
        </w:rPr>
        <w:t xml:space="preserve"> </w:t>
      </w:r>
      <w:r w:rsidRPr="00B24C02">
        <w:rPr>
          <w:rFonts w:cs="Arial"/>
          <w:color w:val="000000"/>
          <w:szCs w:val="19"/>
          <w:lang w:eastAsia="en-AU"/>
        </w:rPr>
        <w:t>legislation</w:t>
      </w:r>
      <w:r w:rsidR="005D5532" w:rsidRPr="00B24C02">
        <w:rPr>
          <w:rFonts w:cs="Arial"/>
          <w:color w:val="000000"/>
          <w:szCs w:val="19"/>
          <w:lang w:eastAsia="en-AU"/>
        </w:rPr>
        <w:t xml:space="preserve"> </w:t>
      </w:r>
      <w:r w:rsidRPr="00B24C02">
        <w:rPr>
          <w:rFonts w:cs="Arial"/>
          <w:color w:val="000000"/>
          <w:szCs w:val="19"/>
          <w:lang w:eastAsia="en-AU"/>
        </w:rPr>
        <w:t>about</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entity</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example</w:t>
      </w:r>
      <w:r w:rsidR="005D5532" w:rsidRPr="00B24C02">
        <w:rPr>
          <w:rFonts w:cs="Arial"/>
          <w:color w:val="000000"/>
          <w:szCs w:val="19"/>
          <w:lang w:eastAsia="en-AU"/>
        </w:rPr>
        <w:t xml:space="preserve"> </w:t>
      </w:r>
      <w:r w:rsidRPr="007D6F3D">
        <w:rPr>
          <w:rFonts w:cs="Arial"/>
          <w:i/>
          <w:color w:val="000000"/>
          <w:szCs w:val="19"/>
          <w:lang w:eastAsia="en-AU"/>
        </w:rPr>
        <w:t>Companies</w:t>
      </w:r>
      <w:r w:rsidR="005D5532" w:rsidRPr="007D6F3D">
        <w:rPr>
          <w:rFonts w:cs="Arial"/>
          <w:i/>
          <w:color w:val="000000"/>
          <w:szCs w:val="19"/>
          <w:lang w:eastAsia="en-AU"/>
        </w:rPr>
        <w:t xml:space="preserve"> </w:t>
      </w:r>
      <w:r w:rsidRPr="007D6F3D">
        <w:rPr>
          <w:rFonts w:cs="Arial"/>
          <w:i/>
          <w:color w:val="000000"/>
          <w:szCs w:val="19"/>
          <w:lang w:eastAsia="en-AU"/>
        </w:rPr>
        <w:t>Act</w:t>
      </w:r>
      <w:r w:rsidRPr="00B24C02">
        <w:rPr>
          <w:rFonts w:cs="Arial"/>
          <w:color w:val="000000"/>
          <w:szCs w:val="19"/>
          <w:lang w:eastAsia="en-AU"/>
        </w:rPr>
        <w:t>;</w:t>
      </w:r>
      <w:r w:rsidR="005D5532" w:rsidRPr="00B24C02">
        <w:rPr>
          <w:rFonts w:cs="Arial"/>
          <w:color w:val="000000"/>
          <w:szCs w:val="19"/>
          <w:lang w:eastAsia="en-AU"/>
        </w:rPr>
        <w:t xml:space="preserve"> </w:t>
      </w:r>
      <w:r w:rsidRPr="007D6F3D">
        <w:rPr>
          <w:rFonts w:cs="Arial"/>
          <w:i/>
          <w:color w:val="000000"/>
          <w:szCs w:val="19"/>
          <w:lang w:eastAsia="en-AU"/>
        </w:rPr>
        <w:t>Disability</w:t>
      </w:r>
      <w:r w:rsidR="005D5532" w:rsidRPr="007D6F3D">
        <w:rPr>
          <w:rFonts w:cs="Arial"/>
          <w:i/>
          <w:color w:val="000000"/>
          <w:szCs w:val="19"/>
          <w:lang w:eastAsia="en-AU"/>
        </w:rPr>
        <w:t xml:space="preserve"> </w:t>
      </w:r>
      <w:r w:rsidRPr="007D6F3D">
        <w:rPr>
          <w:rFonts w:cs="Arial"/>
          <w:i/>
          <w:color w:val="000000"/>
          <w:szCs w:val="19"/>
          <w:lang w:eastAsia="en-AU"/>
        </w:rPr>
        <w:t>Act</w:t>
      </w:r>
      <w:r w:rsidR="005D5532" w:rsidRPr="007D6F3D">
        <w:rPr>
          <w:rFonts w:cs="Arial"/>
          <w:i/>
          <w:color w:val="000000"/>
          <w:szCs w:val="19"/>
          <w:lang w:eastAsia="en-AU"/>
        </w:rPr>
        <w:t xml:space="preserve"> </w:t>
      </w:r>
      <w:r w:rsidRPr="007D6F3D">
        <w:rPr>
          <w:rFonts w:cs="Arial"/>
          <w:i/>
          <w:color w:val="000000"/>
          <w:szCs w:val="19"/>
          <w:lang w:eastAsia="en-AU"/>
        </w:rPr>
        <w:t>2006</w:t>
      </w:r>
      <w:r w:rsidRPr="00B24C02">
        <w:rPr>
          <w:rFonts w:cs="Arial"/>
          <w:color w:val="000000"/>
          <w:szCs w:val="19"/>
          <w:lang w:eastAsia="en-AU"/>
        </w:rPr>
        <w:t>;</w:t>
      </w:r>
      <w:r w:rsidR="005D5532" w:rsidRPr="00B24C02">
        <w:rPr>
          <w:rFonts w:cs="Arial"/>
          <w:color w:val="000000"/>
          <w:szCs w:val="19"/>
          <w:lang w:eastAsia="en-AU"/>
        </w:rPr>
        <w:t xml:space="preserve"> </w:t>
      </w:r>
      <w:r w:rsidRPr="007D6F3D">
        <w:rPr>
          <w:rFonts w:cs="Arial"/>
          <w:i/>
          <w:color w:val="000000"/>
          <w:szCs w:val="19"/>
          <w:lang w:eastAsia="en-AU"/>
        </w:rPr>
        <w:t>Children</w:t>
      </w:r>
      <w:r w:rsidR="005D5532" w:rsidRPr="007D6F3D">
        <w:rPr>
          <w:rFonts w:cs="Arial"/>
          <w:i/>
          <w:color w:val="000000"/>
          <w:szCs w:val="19"/>
          <w:lang w:eastAsia="en-AU"/>
        </w:rPr>
        <w:t xml:space="preserve"> </w:t>
      </w:r>
      <w:r w:rsidRPr="007D6F3D">
        <w:rPr>
          <w:rFonts w:cs="Arial"/>
          <w:i/>
          <w:color w:val="000000"/>
          <w:szCs w:val="19"/>
          <w:lang w:eastAsia="en-AU"/>
        </w:rPr>
        <w:t>Youth</w:t>
      </w:r>
      <w:r w:rsidR="005D5532" w:rsidRPr="007D6F3D">
        <w:rPr>
          <w:rFonts w:cs="Arial"/>
          <w:i/>
          <w:color w:val="000000"/>
          <w:szCs w:val="19"/>
          <w:lang w:eastAsia="en-AU"/>
        </w:rPr>
        <w:t xml:space="preserve"> </w:t>
      </w:r>
      <w:r w:rsidRPr="007D6F3D">
        <w:rPr>
          <w:rFonts w:cs="Arial"/>
          <w:i/>
          <w:color w:val="000000"/>
          <w:szCs w:val="19"/>
          <w:lang w:eastAsia="en-AU"/>
        </w:rPr>
        <w:t>and</w:t>
      </w:r>
      <w:r w:rsidR="005D5532" w:rsidRPr="007D6F3D">
        <w:rPr>
          <w:rFonts w:cs="Arial"/>
          <w:i/>
          <w:color w:val="000000"/>
          <w:szCs w:val="19"/>
          <w:lang w:eastAsia="en-AU"/>
        </w:rPr>
        <w:t xml:space="preserve"> </w:t>
      </w:r>
      <w:r w:rsidRPr="007D6F3D">
        <w:rPr>
          <w:rFonts w:cs="Arial"/>
          <w:i/>
          <w:color w:val="000000"/>
          <w:szCs w:val="19"/>
          <w:lang w:eastAsia="en-AU"/>
        </w:rPr>
        <w:t>Families</w:t>
      </w:r>
      <w:r w:rsidR="005D5532" w:rsidRPr="007D6F3D">
        <w:rPr>
          <w:rFonts w:cs="Arial"/>
          <w:i/>
          <w:color w:val="000000"/>
          <w:szCs w:val="19"/>
          <w:lang w:eastAsia="en-AU"/>
        </w:rPr>
        <w:t xml:space="preserve"> </w:t>
      </w:r>
      <w:r w:rsidRPr="007D6F3D">
        <w:rPr>
          <w:rFonts w:cs="Arial"/>
          <w:i/>
          <w:color w:val="000000"/>
          <w:szCs w:val="19"/>
          <w:lang w:eastAsia="en-AU"/>
        </w:rPr>
        <w:t>Act</w:t>
      </w:r>
      <w:r w:rsidR="005D5532" w:rsidRPr="007D6F3D">
        <w:rPr>
          <w:rFonts w:cs="Arial"/>
          <w:i/>
          <w:color w:val="000000"/>
          <w:szCs w:val="19"/>
          <w:lang w:eastAsia="en-AU"/>
        </w:rPr>
        <w:t xml:space="preserve"> </w:t>
      </w:r>
      <w:r w:rsidRPr="007D6F3D">
        <w:rPr>
          <w:rFonts w:cs="Arial"/>
          <w:i/>
          <w:color w:val="000000"/>
          <w:szCs w:val="19"/>
          <w:lang w:eastAsia="en-AU"/>
        </w:rPr>
        <w:t>2005</w:t>
      </w:r>
      <w:r w:rsidRPr="00B24C02">
        <w:rPr>
          <w:rFonts w:cs="Arial"/>
          <w:color w:val="000000"/>
          <w:szCs w:val="19"/>
          <w:lang w:eastAsia="en-AU"/>
        </w:rPr>
        <w:t>;</w:t>
      </w:r>
      <w:r w:rsidR="005D5532" w:rsidRPr="00B24C02">
        <w:rPr>
          <w:rFonts w:cs="Arial"/>
          <w:color w:val="000000"/>
          <w:szCs w:val="19"/>
          <w:lang w:eastAsia="en-AU"/>
        </w:rPr>
        <w:t xml:space="preserve"> </w:t>
      </w:r>
      <w:r w:rsidRPr="007D6F3D">
        <w:rPr>
          <w:rFonts w:cs="Arial"/>
          <w:i/>
          <w:color w:val="000000"/>
          <w:szCs w:val="19"/>
          <w:lang w:eastAsia="en-AU"/>
        </w:rPr>
        <w:t>Educational</w:t>
      </w:r>
      <w:r w:rsidR="005D5532" w:rsidRPr="007D6F3D">
        <w:rPr>
          <w:rFonts w:cs="Arial"/>
          <w:i/>
          <w:color w:val="000000"/>
          <w:szCs w:val="19"/>
          <w:lang w:eastAsia="en-AU"/>
        </w:rPr>
        <w:t xml:space="preserve"> </w:t>
      </w:r>
      <w:r w:rsidRPr="007D6F3D">
        <w:rPr>
          <w:rFonts w:cs="Arial"/>
          <w:i/>
          <w:color w:val="000000"/>
          <w:szCs w:val="19"/>
          <w:lang w:eastAsia="en-AU"/>
        </w:rPr>
        <w:t>and</w:t>
      </w:r>
      <w:r w:rsidR="005D5532" w:rsidRPr="007D6F3D">
        <w:rPr>
          <w:rFonts w:cs="Arial"/>
          <w:i/>
          <w:color w:val="000000"/>
          <w:szCs w:val="19"/>
          <w:lang w:eastAsia="en-AU"/>
        </w:rPr>
        <w:t xml:space="preserve"> </w:t>
      </w:r>
      <w:r w:rsidRPr="007D6F3D">
        <w:rPr>
          <w:rFonts w:cs="Arial"/>
          <w:i/>
          <w:color w:val="000000"/>
          <w:szCs w:val="19"/>
          <w:lang w:eastAsia="en-AU"/>
        </w:rPr>
        <w:t>Care</w:t>
      </w:r>
      <w:r w:rsidR="005D5532" w:rsidRPr="007D6F3D">
        <w:rPr>
          <w:rFonts w:cs="Arial"/>
          <w:i/>
          <w:color w:val="000000"/>
          <w:szCs w:val="19"/>
          <w:lang w:eastAsia="en-AU"/>
        </w:rPr>
        <w:t xml:space="preserve"> </w:t>
      </w:r>
      <w:r w:rsidRPr="007D6F3D">
        <w:rPr>
          <w:rFonts w:cs="Arial"/>
          <w:i/>
          <w:color w:val="000000"/>
          <w:szCs w:val="19"/>
          <w:lang w:eastAsia="en-AU"/>
        </w:rPr>
        <w:t>Services</w:t>
      </w:r>
      <w:r w:rsidR="005D5532" w:rsidRPr="007D6F3D">
        <w:rPr>
          <w:rFonts w:cs="Arial"/>
          <w:i/>
          <w:color w:val="000000"/>
          <w:szCs w:val="19"/>
          <w:lang w:eastAsia="en-AU"/>
        </w:rPr>
        <w:t xml:space="preserve"> </w:t>
      </w:r>
      <w:r w:rsidRPr="007D6F3D">
        <w:rPr>
          <w:rFonts w:cs="Arial"/>
          <w:i/>
          <w:color w:val="000000"/>
          <w:szCs w:val="19"/>
          <w:lang w:eastAsia="en-AU"/>
        </w:rPr>
        <w:t>National</w:t>
      </w:r>
      <w:r w:rsidR="005D5532" w:rsidRPr="007D6F3D">
        <w:rPr>
          <w:rFonts w:cs="Arial"/>
          <w:i/>
          <w:color w:val="000000"/>
          <w:szCs w:val="19"/>
          <w:lang w:eastAsia="en-AU"/>
        </w:rPr>
        <w:t xml:space="preserve"> </w:t>
      </w:r>
      <w:r w:rsidRPr="007D6F3D">
        <w:rPr>
          <w:rFonts w:cs="Arial"/>
          <w:i/>
          <w:color w:val="000000"/>
          <w:szCs w:val="19"/>
          <w:lang w:eastAsia="en-AU"/>
        </w:rPr>
        <w:t>Law</w:t>
      </w:r>
      <w:r w:rsidR="005D5532" w:rsidRPr="007D6F3D">
        <w:rPr>
          <w:rFonts w:cs="Arial"/>
          <w:i/>
          <w:color w:val="000000"/>
          <w:szCs w:val="19"/>
          <w:lang w:eastAsia="en-AU"/>
        </w:rPr>
        <w:t xml:space="preserve"> </w:t>
      </w:r>
      <w:r w:rsidRPr="007D6F3D">
        <w:rPr>
          <w:rFonts w:cs="Arial"/>
          <w:i/>
          <w:color w:val="000000"/>
          <w:szCs w:val="19"/>
          <w:lang w:eastAsia="en-AU"/>
        </w:rPr>
        <w:t>Act</w:t>
      </w:r>
      <w:r w:rsidR="005D5532" w:rsidRPr="007D6F3D">
        <w:rPr>
          <w:rFonts w:cs="Arial"/>
          <w:i/>
          <w:color w:val="000000"/>
          <w:szCs w:val="19"/>
          <w:lang w:eastAsia="en-AU"/>
        </w:rPr>
        <w:t xml:space="preserve"> </w:t>
      </w:r>
      <w:r w:rsidRPr="007D6F3D">
        <w:rPr>
          <w:rFonts w:cs="Arial"/>
          <w:i/>
          <w:color w:val="000000"/>
          <w:szCs w:val="19"/>
          <w:lang w:eastAsia="en-AU"/>
        </w:rPr>
        <w:t>2010</w:t>
      </w:r>
      <w:r w:rsidRPr="00B24C02">
        <w:rPr>
          <w:rFonts w:cs="Arial"/>
          <w:color w:val="000000"/>
          <w:szCs w:val="19"/>
          <w:lang w:eastAsia="en-AU"/>
        </w:rPr>
        <w:t>.</w:t>
      </w:r>
      <w:r w:rsidR="005D5532" w:rsidRPr="00B24C02">
        <w:rPr>
          <w:rFonts w:cs="Arial"/>
          <w:color w:val="000000"/>
          <w:szCs w:val="19"/>
          <w:lang w:eastAsia="en-AU"/>
        </w:rPr>
        <w:t xml:space="preserve"> </w:t>
      </w:r>
    </w:p>
    <w:p w14:paraId="6CA6E6C1" w14:textId="1FE64EE5"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Pr="00276391">
        <w:rPr>
          <w:lang w:eastAsia="en-AU"/>
        </w:rPr>
        <w:t>’s</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clauses</w:t>
      </w:r>
      <w:r w:rsidR="005D5532" w:rsidRPr="00276391">
        <w:rPr>
          <w:lang w:eastAsia="en-AU"/>
        </w:rPr>
        <w:t xml:space="preserve"> </w:t>
      </w:r>
      <w:r w:rsidRPr="00276391">
        <w:rPr>
          <w:lang w:eastAsia="en-AU"/>
        </w:rPr>
        <w:t>says</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Laws</w:t>
      </w:r>
      <w:r w:rsidR="005D5532" w:rsidRPr="00276391">
        <w:rPr>
          <w:lang w:eastAsia="en-AU"/>
        </w:rPr>
        <w:t xml:space="preserve"> </w:t>
      </w:r>
      <w:r w:rsidRPr="00276391">
        <w:rPr>
          <w:lang w:eastAsia="en-AU"/>
        </w:rPr>
        <w:t>relating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fire</w:t>
      </w:r>
      <w:r w:rsidR="005D5532" w:rsidRPr="00276391">
        <w:rPr>
          <w:lang w:eastAsia="en-AU"/>
        </w:rPr>
        <w:t xml:space="preserve"> </w:t>
      </w:r>
      <w:r w:rsidRPr="00276391">
        <w:rPr>
          <w:lang w:eastAsia="en-AU"/>
        </w:rPr>
        <w:t>protection,</w:t>
      </w:r>
      <w:r w:rsidR="005D5532" w:rsidRPr="00276391">
        <w:rPr>
          <w:lang w:eastAsia="en-AU"/>
        </w:rPr>
        <w:t xml:space="preserve"> </w:t>
      </w:r>
      <w:r w:rsidRPr="00276391">
        <w:rPr>
          <w:lang w:eastAsia="en-AU"/>
        </w:rPr>
        <w:t>industrial</w:t>
      </w:r>
      <w:r w:rsidR="005D5532" w:rsidRPr="00276391">
        <w:rPr>
          <w:lang w:eastAsia="en-AU"/>
        </w:rPr>
        <w:t xml:space="preserve"> </w:t>
      </w:r>
      <w:r w:rsidRPr="00276391">
        <w:rPr>
          <w:lang w:eastAsia="en-AU"/>
        </w:rPr>
        <w:t>relations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employment,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general</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taxation.'.</w:t>
      </w:r>
      <w:r w:rsidR="005D5532" w:rsidRPr="00276391">
        <w:rPr>
          <w:lang w:eastAsia="en-AU"/>
        </w:rPr>
        <w:t xml:space="preserve"> </w:t>
      </w:r>
    </w:p>
    <w:p w14:paraId="59EF7C0A" w14:textId="77777777" w:rsidR="00236748" w:rsidRPr="00276391" w:rsidRDefault="00236748" w:rsidP="001A0795">
      <w:pPr>
        <w:pStyle w:val="Heading4"/>
        <w:rPr>
          <w:lang w:eastAsia="en-AU"/>
        </w:rPr>
      </w:pPr>
      <w:bookmarkStart w:id="775" w:name="_Toc478992131"/>
      <w:r w:rsidRPr="00276391">
        <w:rPr>
          <w:lang w:eastAsia="en-AU"/>
        </w:rPr>
        <w:t>Organisation</w:t>
      </w:r>
      <w:r w:rsidR="005D5532" w:rsidRPr="00276391">
        <w:rPr>
          <w:lang w:eastAsia="en-AU"/>
        </w:rPr>
        <w:t xml:space="preserve"> </w:t>
      </w:r>
      <w:r w:rsidRPr="00276391">
        <w:rPr>
          <w:lang w:eastAsia="en-AU"/>
        </w:rPr>
        <w:t>requirements</w:t>
      </w:r>
      <w:bookmarkEnd w:id="775"/>
    </w:p>
    <w:p w14:paraId="53766446" w14:textId="3DC2E6B2" w:rsidR="00236748" w:rsidRPr="00276391" w:rsidRDefault="00236748" w:rsidP="00276391">
      <w:pPr>
        <w:pStyle w:val="DHHSbody"/>
        <w:rPr>
          <w:lang w:eastAsia="en-AU"/>
        </w:rPr>
      </w:pPr>
      <w:r w:rsidRPr="00B24C02">
        <w:rPr>
          <w:rFonts w:cs="Arial"/>
          <w:color w:val="000000"/>
          <w:szCs w:val="19"/>
          <w:lang w:eastAsia="en-AU"/>
        </w:rPr>
        <w:t>Understanding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policies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standards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defined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1</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p>
    <w:p w14:paraId="7FF1A6B2" w14:textId="51291690" w:rsidR="00236748" w:rsidRPr="00276391" w:rsidRDefault="00236748" w:rsidP="00276391">
      <w:pPr>
        <w:pStyle w:val="DHHSbody"/>
        <w:rPr>
          <w:lang w:eastAsia="en-AU"/>
        </w:rPr>
      </w:pPr>
      <w:r w:rsidRPr="00276391">
        <w:rPr>
          <w:lang w:eastAsia="en-AU"/>
        </w:rPr>
        <w:t>Providing</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requested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regarding</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relation</w:t>
      </w:r>
      <w:r w:rsidR="005D5532" w:rsidRPr="00276391">
        <w:rPr>
          <w:lang w:eastAsia="en-AU"/>
        </w:rPr>
        <w:t xml:space="preserve"> </w:t>
      </w:r>
      <w:r w:rsidRPr="00276391">
        <w:rPr>
          <w:lang w:eastAsia="en-AU"/>
        </w:rPr>
        <w:t>to</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targets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policies.</w:t>
      </w:r>
      <w:r w:rsidR="005D5532" w:rsidRPr="00276391">
        <w:rPr>
          <w:lang w:eastAsia="en-AU"/>
        </w:rPr>
        <w:t xml:space="preserve"> </w:t>
      </w:r>
    </w:p>
    <w:p w14:paraId="7494EFA0" w14:textId="77777777" w:rsidR="00236748" w:rsidRPr="00276391" w:rsidRDefault="00236748" w:rsidP="00276391">
      <w:pPr>
        <w:pStyle w:val="DHHSbody"/>
        <w:rPr>
          <w:lang w:eastAsia="en-AU"/>
        </w:rPr>
      </w:pPr>
      <w:r w:rsidRPr="00276391">
        <w:rPr>
          <w:lang w:eastAsia="en-AU"/>
        </w:rPr>
        <w:t>Confirm</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p>
    <w:p w14:paraId="10B9BBCC" w14:textId="77777777" w:rsidR="00236748" w:rsidRPr="00276391" w:rsidRDefault="00236748" w:rsidP="00276391">
      <w:pPr>
        <w:pStyle w:val="DHHSbody"/>
        <w:rPr>
          <w:lang w:eastAsia="en-AU"/>
        </w:rPr>
      </w:pPr>
      <w:r w:rsidRPr="00276391">
        <w:rPr>
          <w:lang w:eastAsia="en-AU"/>
        </w:rPr>
        <w:t>Work</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collaboration</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develop</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implement</w:t>
      </w:r>
      <w:r w:rsidR="005D5532" w:rsidRPr="00276391">
        <w:rPr>
          <w:lang w:eastAsia="en-AU"/>
        </w:rPr>
        <w:t xml:space="preserve"> </w:t>
      </w:r>
      <w:r w:rsidRPr="00276391">
        <w:rPr>
          <w:lang w:eastAsia="en-AU"/>
        </w:rPr>
        <w:t>appropriate</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risks.</w:t>
      </w:r>
      <w:r w:rsidR="005D5532" w:rsidRPr="00276391">
        <w:rPr>
          <w:lang w:eastAsia="en-AU"/>
        </w:rPr>
        <w:t xml:space="preserve"> </w:t>
      </w:r>
    </w:p>
    <w:p w14:paraId="40663F86" w14:textId="77777777" w:rsidR="00236748" w:rsidRPr="00276391" w:rsidRDefault="00236748" w:rsidP="00276391">
      <w:pPr>
        <w:pStyle w:val="DHHSbody"/>
        <w:rPr>
          <w:lang w:eastAsia="en-AU"/>
        </w:rPr>
      </w:pPr>
      <w:r w:rsidRPr="00276391">
        <w:rPr>
          <w:lang w:eastAsia="en-AU"/>
        </w:rPr>
        <w:t>Participation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reviews</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required.</w:t>
      </w:r>
      <w:r w:rsidR="005D5532" w:rsidRPr="00276391">
        <w:rPr>
          <w:lang w:eastAsia="en-AU"/>
        </w:rPr>
        <w:t xml:space="preserve"> </w:t>
      </w:r>
    </w:p>
    <w:p w14:paraId="2D9FDD49" w14:textId="77777777" w:rsidR="00236748" w:rsidRPr="00276391" w:rsidRDefault="00236748" w:rsidP="001A0795">
      <w:pPr>
        <w:pStyle w:val="Heading4"/>
        <w:rPr>
          <w:lang w:eastAsia="en-AU"/>
        </w:rPr>
      </w:pPr>
      <w:bookmarkStart w:id="776" w:name="_Toc478992132"/>
      <w:r w:rsidRPr="00276391">
        <w:rPr>
          <w:lang w:eastAsia="en-AU"/>
        </w:rPr>
        <w:t>Introduction</w:t>
      </w:r>
      <w:bookmarkEnd w:id="776"/>
    </w:p>
    <w:p w14:paraId="68F8F8AF" w14:textId="0B4C2723"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monitor</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receiving</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undertaken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ongoing</w:t>
      </w:r>
      <w:r w:rsidR="005D5532" w:rsidRPr="00B24C02">
        <w:rPr>
          <w:rFonts w:cs="Arial"/>
          <w:color w:val="000000"/>
          <w:szCs w:val="19"/>
          <w:lang w:eastAsia="en-AU"/>
        </w:rPr>
        <w:t xml:space="preserve"> </w:t>
      </w:r>
      <w:r w:rsidRPr="00B24C02">
        <w:rPr>
          <w:rFonts w:cs="Arial"/>
          <w:color w:val="000000"/>
          <w:szCs w:val="19"/>
          <w:lang w:eastAsia="en-AU"/>
        </w:rPr>
        <w:t>basis</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collection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regular</w:t>
      </w:r>
      <w:r w:rsidR="005D5532" w:rsidRPr="00B24C02">
        <w:rPr>
          <w:rFonts w:cs="Arial"/>
          <w:color w:val="000000"/>
          <w:szCs w:val="19"/>
          <w:lang w:eastAsia="en-AU"/>
        </w:rPr>
        <w:t xml:space="preserve"> </w:t>
      </w:r>
      <w:r w:rsidRPr="00B24C02">
        <w:rPr>
          <w:rFonts w:cs="Arial"/>
          <w:color w:val="000000"/>
          <w:szCs w:val="19"/>
          <w:lang w:eastAsia="en-AU"/>
        </w:rPr>
        <w:t>engagement</w:t>
      </w:r>
      <w:r w:rsidR="005D5532" w:rsidRPr="00B24C02">
        <w:rPr>
          <w:rFonts w:cs="Arial"/>
          <w:color w:val="000000"/>
          <w:szCs w:val="19"/>
          <w:lang w:eastAsia="en-AU"/>
        </w:rPr>
        <w:t xml:space="preserve"> </w:t>
      </w:r>
      <w:r w:rsidRPr="00B24C02">
        <w:rPr>
          <w:rFonts w:cs="Arial"/>
          <w:color w:val="000000"/>
          <w:szCs w:val="19"/>
          <w:lang w:eastAsia="en-AU"/>
        </w:rPr>
        <w:t>between</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organisations.</w:t>
      </w:r>
    </w:p>
    <w:p w14:paraId="32693023" w14:textId="4B76AE55"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end-to-end</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confirms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operational</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applied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outlines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common</w:t>
      </w:r>
      <w:r w:rsidR="005D5532" w:rsidRPr="00276391">
        <w:rPr>
          <w:lang w:eastAsia="en-AU"/>
        </w:rPr>
        <w:t xml:space="preserve"> </w:t>
      </w:r>
      <w:r w:rsidRPr="00276391">
        <w:rPr>
          <w:lang w:eastAsia="en-AU"/>
        </w:rPr>
        <w:t>set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tools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assess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ensuring</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across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state</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engaged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manner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assessed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areas.</w:t>
      </w:r>
    </w:p>
    <w:p w14:paraId="08686B09"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objectives:</w:t>
      </w:r>
    </w:p>
    <w:p w14:paraId="28DEF437" w14:textId="73871C0B" w:rsidR="00236748" w:rsidRPr="00276391" w:rsidRDefault="00236748" w:rsidP="00612764">
      <w:pPr>
        <w:pStyle w:val="DHHSbullet1"/>
        <w:rPr>
          <w:lang w:eastAsia="en-AU"/>
        </w:rPr>
      </w:pPr>
      <w:r w:rsidRPr="00276391">
        <w:rPr>
          <w:lang w:eastAsia="en-AU"/>
        </w:rPr>
        <w:t>ensures</w:t>
      </w:r>
      <w:r w:rsidR="005D5532" w:rsidRPr="00276391">
        <w:rPr>
          <w:lang w:eastAsia="en-AU"/>
        </w:rPr>
        <w:t xml:space="preserve"> </w:t>
      </w:r>
      <w:r w:rsidRPr="00276391">
        <w:rPr>
          <w:lang w:eastAsia="en-AU"/>
        </w:rPr>
        <w:t>that</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reflects</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expectations</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client</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wellbeing</w:t>
      </w:r>
      <w:r w:rsidR="005D5532" w:rsidRPr="00276391">
        <w:rPr>
          <w:lang w:eastAsia="en-AU"/>
        </w:rPr>
        <w:t xml:space="preserve"> </w:t>
      </w:r>
    </w:p>
    <w:p w14:paraId="0C4BA173" w14:textId="77777777" w:rsidR="00236748" w:rsidRPr="00276391" w:rsidRDefault="00236748" w:rsidP="00612764">
      <w:pPr>
        <w:pStyle w:val="DHHSbullet1"/>
        <w:rPr>
          <w:lang w:eastAsia="en-AU"/>
        </w:rPr>
      </w:pPr>
      <w:r w:rsidRPr="00276391">
        <w:rPr>
          <w:lang w:eastAsia="en-AU"/>
        </w:rPr>
        <w:t>promotes</w:t>
      </w:r>
      <w:r w:rsidR="005D5532" w:rsidRPr="00276391">
        <w:rPr>
          <w:lang w:eastAsia="en-AU"/>
        </w:rPr>
        <w:t xml:space="preserve"> </w:t>
      </w:r>
      <w:r w:rsidRPr="00276391">
        <w:rPr>
          <w:lang w:eastAsia="en-AU"/>
        </w:rPr>
        <w:t>greater</w:t>
      </w:r>
      <w:r w:rsidR="005D5532" w:rsidRPr="00276391">
        <w:rPr>
          <w:lang w:eastAsia="en-AU"/>
        </w:rPr>
        <w:t xml:space="preserve"> </w:t>
      </w:r>
      <w:r w:rsidRPr="00276391">
        <w:rPr>
          <w:lang w:eastAsia="en-AU"/>
        </w:rPr>
        <w:t>collaboration</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identification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risk</w:t>
      </w:r>
      <w:r w:rsidR="005D5532" w:rsidRPr="00276391">
        <w:rPr>
          <w:lang w:eastAsia="en-AU"/>
        </w:rPr>
        <w:t xml:space="preserve"> </w:t>
      </w:r>
    </w:p>
    <w:p w14:paraId="4C7D667C" w14:textId="77777777" w:rsidR="00236748" w:rsidRPr="00276391" w:rsidRDefault="00236748" w:rsidP="00612764">
      <w:pPr>
        <w:pStyle w:val="DHHSbullet1"/>
        <w:rPr>
          <w:lang w:eastAsia="en-AU"/>
        </w:rPr>
      </w:pPr>
      <w:r w:rsidRPr="00276391">
        <w:rPr>
          <w:lang w:eastAsia="en-AU"/>
        </w:rPr>
        <w:lastRenderedPageBreak/>
        <w:t>fosters</w:t>
      </w:r>
      <w:r w:rsidR="005D5532" w:rsidRPr="00276391">
        <w:rPr>
          <w:lang w:eastAsia="en-AU"/>
        </w:rPr>
        <w:t xml:space="preserve"> </w:t>
      </w:r>
      <w:r w:rsidRPr="00276391">
        <w:rPr>
          <w:lang w:eastAsia="en-AU"/>
        </w:rPr>
        <w:t>greater</w:t>
      </w:r>
      <w:r w:rsidR="005D5532" w:rsidRPr="00276391">
        <w:rPr>
          <w:lang w:eastAsia="en-AU"/>
        </w:rPr>
        <w:t xml:space="preserve"> </w:t>
      </w:r>
      <w:r w:rsidRPr="00276391">
        <w:rPr>
          <w:lang w:eastAsia="en-AU"/>
        </w:rPr>
        <w:t>understanding</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accountabilities</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agreement</w:t>
      </w:r>
      <w:r w:rsidR="005D5532" w:rsidRPr="00276391">
        <w:rPr>
          <w:lang w:eastAsia="en-AU"/>
        </w:rPr>
        <w:t xml:space="preserve"> </w:t>
      </w:r>
    </w:p>
    <w:p w14:paraId="01D1753F" w14:textId="77777777" w:rsidR="00236748" w:rsidRPr="00276391" w:rsidRDefault="00236748" w:rsidP="00612764">
      <w:pPr>
        <w:pStyle w:val="DHHSbullet1"/>
        <w:rPr>
          <w:lang w:eastAsia="en-AU"/>
        </w:rPr>
      </w:pPr>
      <w:r w:rsidRPr="00276391">
        <w:rPr>
          <w:lang w:eastAsia="en-AU"/>
        </w:rPr>
        <w:t>provides</w:t>
      </w:r>
      <w:r w:rsidR="005D5532" w:rsidRPr="00276391">
        <w:rPr>
          <w:lang w:eastAsia="en-AU"/>
        </w:rPr>
        <w:t xml:space="preserve"> </w:t>
      </w:r>
      <w:r w:rsidRPr="00276391">
        <w:rPr>
          <w:lang w:eastAsia="en-AU"/>
        </w:rPr>
        <w:t>improved</w:t>
      </w:r>
      <w:r w:rsidR="005D5532" w:rsidRPr="00276391">
        <w:rPr>
          <w:lang w:eastAsia="en-AU"/>
        </w:rPr>
        <w:t xml:space="preserve"> </w:t>
      </w:r>
      <w:r w:rsidRPr="00276391">
        <w:rPr>
          <w:lang w:eastAsia="en-AU"/>
        </w:rPr>
        <w:t>transparency,</w:t>
      </w:r>
      <w:r w:rsidR="005D5532" w:rsidRPr="00276391">
        <w:rPr>
          <w:lang w:eastAsia="en-AU"/>
        </w:rPr>
        <w:t xml:space="preserve"> </w:t>
      </w:r>
      <w:r w:rsidRPr="00276391">
        <w:rPr>
          <w:lang w:eastAsia="en-AU"/>
        </w:rPr>
        <w:t>efficiency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consistency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responses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p>
    <w:p w14:paraId="5B8BAF54" w14:textId="77777777" w:rsidR="00236748" w:rsidRPr="00276391" w:rsidRDefault="00236748" w:rsidP="00612764">
      <w:pPr>
        <w:pStyle w:val="DHHSbullet1"/>
        <w:rPr>
          <w:lang w:eastAsia="en-AU"/>
        </w:rPr>
      </w:pPr>
      <w:r w:rsidRPr="00276391">
        <w:rPr>
          <w:lang w:eastAsia="en-AU"/>
        </w:rPr>
        <w:t>provides</w:t>
      </w:r>
      <w:r w:rsidR="005D5532" w:rsidRPr="00276391">
        <w:rPr>
          <w:lang w:eastAsia="en-AU"/>
        </w:rPr>
        <w:t xml:space="preserve"> </w:t>
      </w:r>
      <w:r w:rsidRPr="00276391">
        <w:rPr>
          <w:lang w:eastAsia="en-AU"/>
        </w:rPr>
        <w:t>improved</w:t>
      </w:r>
      <w:r w:rsidR="005D5532" w:rsidRPr="00276391">
        <w:rPr>
          <w:lang w:eastAsia="en-AU"/>
        </w:rPr>
        <w:t xml:space="preserve"> </w:t>
      </w:r>
      <w:r w:rsidRPr="00276391">
        <w:rPr>
          <w:lang w:eastAsia="en-AU"/>
        </w:rPr>
        <w:t>access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information</w:t>
      </w:r>
      <w:r w:rsidR="005D5532" w:rsidRPr="00276391">
        <w:rPr>
          <w:lang w:eastAsia="en-AU"/>
        </w:rPr>
        <w:t xml:space="preserve"> </w:t>
      </w:r>
    </w:p>
    <w:p w14:paraId="18D20143" w14:textId="77777777" w:rsidR="00236748" w:rsidRPr="00276391" w:rsidRDefault="00236748" w:rsidP="00612764">
      <w:pPr>
        <w:pStyle w:val="DHHSbullet1"/>
        <w:rPr>
          <w:lang w:eastAsia="en-AU"/>
        </w:rPr>
      </w:pPr>
      <w:r w:rsidRPr="00276391">
        <w:rPr>
          <w:lang w:eastAsia="en-AU"/>
        </w:rPr>
        <w:t>embeds</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systems</w:t>
      </w:r>
      <w:r w:rsidR="005D5532" w:rsidRPr="00276391">
        <w:rPr>
          <w:lang w:eastAsia="en-AU"/>
        </w:rPr>
        <w:t xml:space="preserve"> </w:t>
      </w:r>
    </w:p>
    <w:p w14:paraId="4B87265B" w14:textId="77777777" w:rsidR="00236748" w:rsidRPr="00276391" w:rsidRDefault="00236748" w:rsidP="00612764">
      <w:pPr>
        <w:pStyle w:val="DHHSbullet1"/>
        <w:rPr>
          <w:lang w:eastAsia="en-AU"/>
        </w:rPr>
      </w:pPr>
      <w:r w:rsidRPr="00276391">
        <w:rPr>
          <w:lang w:eastAsia="en-AU"/>
        </w:rPr>
        <w:t>prioritises</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pose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greatest</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addressed</w:t>
      </w:r>
      <w:r w:rsidR="005D5532" w:rsidRPr="00276391">
        <w:rPr>
          <w:lang w:eastAsia="en-AU"/>
        </w:rPr>
        <w:t xml:space="preserve"> </w:t>
      </w:r>
      <w:r w:rsidRPr="00276391">
        <w:rPr>
          <w:lang w:eastAsia="en-AU"/>
        </w:rPr>
        <w:t>first</w:t>
      </w:r>
      <w:r w:rsidR="005D5532" w:rsidRPr="00276391">
        <w:rPr>
          <w:lang w:eastAsia="en-AU"/>
        </w:rPr>
        <w:t xml:space="preserve"> </w:t>
      </w:r>
    </w:p>
    <w:p w14:paraId="1AD741AF" w14:textId="77777777" w:rsidR="00236748" w:rsidRPr="00276391" w:rsidRDefault="00236748" w:rsidP="00612764">
      <w:pPr>
        <w:pStyle w:val="DHHSbullet1"/>
        <w:rPr>
          <w:lang w:eastAsia="en-AU"/>
        </w:rPr>
      </w:pPr>
      <w:r w:rsidRPr="00276391">
        <w:rPr>
          <w:lang w:eastAsia="en-AU"/>
        </w:rPr>
        <w:t>improves</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analysis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inform</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sector</w:t>
      </w:r>
      <w:r w:rsidR="005D5532" w:rsidRPr="00276391">
        <w:rPr>
          <w:lang w:eastAsia="en-AU"/>
        </w:rPr>
        <w:t xml:space="preserve"> </w:t>
      </w:r>
      <w:r w:rsidRPr="00276391">
        <w:rPr>
          <w:lang w:eastAsia="en-AU"/>
        </w:rPr>
        <w:t>capacity</w:t>
      </w:r>
      <w:r w:rsidR="005D5532" w:rsidRPr="00276391">
        <w:rPr>
          <w:lang w:eastAsia="en-AU"/>
        </w:rPr>
        <w:t xml:space="preserve"> </w:t>
      </w:r>
      <w:r w:rsidRPr="00276391">
        <w:rPr>
          <w:lang w:eastAsia="en-AU"/>
        </w:rPr>
        <w:t>building</w:t>
      </w:r>
      <w:r w:rsidR="005D5532" w:rsidRPr="00276391">
        <w:rPr>
          <w:lang w:eastAsia="en-AU"/>
        </w:rPr>
        <w:t xml:space="preserve"> </w:t>
      </w:r>
      <w:r w:rsidRPr="00276391">
        <w:rPr>
          <w:lang w:eastAsia="en-AU"/>
        </w:rPr>
        <w:t>initiatives,</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continuous</w:t>
      </w:r>
      <w:r w:rsidR="005D5532" w:rsidRPr="00276391">
        <w:rPr>
          <w:lang w:eastAsia="en-AU"/>
        </w:rPr>
        <w:t xml:space="preserve"> </w:t>
      </w:r>
      <w:r w:rsidRPr="00276391">
        <w:rPr>
          <w:lang w:eastAsia="en-AU"/>
        </w:rPr>
        <w:t>improvement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systems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tools</w:t>
      </w:r>
      <w:r w:rsidR="005D5532" w:rsidRPr="00276391">
        <w:rPr>
          <w:lang w:eastAsia="en-AU"/>
        </w:rPr>
        <w:t xml:space="preserve"> </w:t>
      </w:r>
    </w:p>
    <w:p w14:paraId="4EFF9B22" w14:textId="519E3F47" w:rsidR="00236748" w:rsidRPr="00276391" w:rsidRDefault="00236748" w:rsidP="00612764">
      <w:pPr>
        <w:pStyle w:val="DHHSbullet1"/>
        <w:rPr>
          <w:lang w:eastAsia="en-AU"/>
        </w:rPr>
      </w:pPr>
      <w:r w:rsidRPr="00276391">
        <w:rPr>
          <w:lang w:eastAsia="en-AU"/>
        </w:rPr>
        <w:t>reduces</w:t>
      </w:r>
      <w:r w:rsidR="005D5532" w:rsidRPr="00276391">
        <w:rPr>
          <w:lang w:eastAsia="en-AU"/>
        </w:rPr>
        <w:t xml:space="preserve"> </w:t>
      </w:r>
      <w:r w:rsidRPr="00276391">
        <w:rPr>
          <w:lang w:eastAsia="en-AU"/>
        </w:rPr>
        <w:t>administrative</w:t>
      </w:r>
      <w:r w:rsidR="005D5532" w:rsidRPr="00276391">
        <w:rPr>
          <w:lang w:eastAsia="en-AU"/>
        </w:rPr>
        <w:t xml:space="preserve"> </w:t>
      </w:r>
      <w:r w:rsidRPr="00276391">
        <w:rPr>
          <w:lang w:eastAsia="en-AU"/>
        </w:rPr>
        <w:t>burdens</w:t>
      </w:r>
      <w:r w:rsidR="005D5532" w:rsidRPr="00276391">
        <w:rPr>
          <w:lang w:eastAsia="en-AU"/>
        </w:rPr>
        <w:t xml:space="preserve"> </w:t>
      </w:r>
      <w:r w:rsidRPr="00276391">
        <w:rPr>
          <w:lang w:eastAsia="en-AU"/>
        </w:rPr>
        <w:t>for</w:t>
      </w:r>
      <w:r w:rsidR="005D5532" w:rsidRPr="00276391">
        <w:rPr>
          <w:lang w:eastAsia="en-AU"/>
        </w:rPr>
        <w:t xml:space="preserve"> </w:t>
      </w:r>
      <w:r w:rsidR="007D6F3D">
        <w:rPr>
          <w:lang w:eastAsia="en-AU"/>
        </w:rPr>
        <w:t>d</w:t>
      </w:r>
      <w:r w:rsidRPr="00276391">
        <w:rPr>
          <w:lang w:eastAsia="en-AU"/>
        </w:rPr>
        <w:t>epartment</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p>
    <w:p w14:paraId="3EEF48E9" w14:textId="77777777" w:rsidR="00236748" w:rsidRPr="00276391" w:rsidRDefault="00236748" w:rsidP="001A0795">
      <w:pPr>
        <w:pStyle w:val="Heading4"/>
        <w:rPr>
          <w:lang w:eastAsia="en-AU"/>
        </w:rPr>
      </w:pPr>
      <w:bookmarkStart w:id="777" w:name="_Toc478992133"/>
      <w:r w:rsidRPr="00276391">
        <w:rPr>
          <w:lang w:eastAsia="en-AU"/>
        </w:rPr>
        <w:t>Scope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bookmarkEnd w:id="777"/>
    </w:p>
    <w:p w14:paraId="7CCCD926" w14:textId="730B5472"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through</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Education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Training.</w:t>
      </w:r>
    </w:p>
    <w:p w14:paraId="59B38415" w14:textId="4FA32315"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Education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Training</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applying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in</w:t>
      </w:r>
      <w:r w:rsidR="005D5532" w:rsidRPr="00276391">
        <w:rPr>
          <w:lang w:eastAsia="en-AU"/>
        </w:rPr>
        <w:t xml:space="preserve"> </w:t>
      </w:r>
      <w:r w:rsidR="007D6F3D">
        <w:rPr>
          <w:lang w:eastAsia="en-AU"/>
        </w:rPr>
        <w:t>2016 and</w:t>
      </w:r>
      <w:r w:rsidR="005D5532" w:rsidRPr="00276391">
        <w:rPr>
          <w:lang w:eastAsia="en-AU"/>
        </w:rPr>
        <w:t xml:space="preserve"> </w:t>
      </w:r>
      <w:r w:rsidRPr="00276391">
        <w:rPr>
          <w:lang w:eastAsia="en-AU"/>
        </w:rPr>
        <w:t>advise</w:t>
      </w:r>
      <w:r w:rsidR="007D6F3D">
        <w:rPr>
          <w:lang w:eastAsia="en-AU"/>
        </w:rPr>
        <w:t xml:space="preserve"> 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commencement</w:t>
      </w:r>
      <w:r w:rsidR="005D5532" w:rsidRPr="00276391">
        <w:rPr>
          <w:lang w:eastAsia="en-AU"/>
        </w:rPr>
        <w:t xml:space="preserve"> </w:t>
      </w:r>
      <w:r w:rsidRPr="00276391">
        <w:rPr>
          <w:lang w:eastAsia="en-AU"/>
        </w:rPr>
        <w:t>date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tools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processes.</w:t>
      </w:r>
    </w:p>
    <w:p w14:paraId="56DF0E71" w14:textId="7777777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scope</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non-for-profits,</w:t>
      </w:r>
      <w:r w:rsidR="005D5532" w:rsidRPr="00276391">
        <w:rPr>
          <w:lang w:eastAsia="en-AU"/>
        </w:rPr>
        <w:t xml:space="preserve"> </w:t>
      </w:r>
      <w:r w:rsidRPr="00276391">
        <w:rPr>
          <w:lang w:eastAsia="en-AU"/>
        </w:rPr>
        <w:t>for-profits,</w:t>
      </w:r>
      <w:r w:rsidR="005D5532" w:rsidRPr="00276391">
        <w:rPr>
          <w:lang w:eastAsia="en-AU"/>
        </w:rPr>
        <w:t xml:space="preserve"> </w:t>
      </w:r>
      <w:r w:rsidRPr="00276391">
        <w:rPr>
          <w:lang w:eastAsia="en-AU"/>
        </w:rPr>
        <w:t>universities,</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public/private</w:t>
      </w:r>
      <w:r w:rsidR="005D5532" w:rsidRPr="00276391">
        <w:rPr>
          <w:lang w:eastAsia="en-AU"/>
        </w:rPr>
        <w:t xml:space="preserve"> </w:t>
      </w:r>
      <w:r w:rsidRPr="00276391">
        <w:rPr>
          <w:lang w:eastAsia="en-AU"/>
        </w:rPr>
        <w:t>hospitals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non-acute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consortium</w:t>
      </w:r>
      <w:r w:rsidR="005D5532" w:rsidRPr="00276391">
        <w:rPr>
          <w:lang w:eastAsia="en-AU"/>
        </w:rPr>
        <w:t xml:space="preserve"> </w:t>
      </w:r>
      <w:r w:rsidRPr="00276391">
        <w:rPr>
          <w:lang w:eastAsia="en-AU"/>
        </w:rPr>
        <w:t>arrangement.</w:t>
      </w:r>
    </w:p>
    <w:p w14:paraId="4639E5B5"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Desktop</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components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r w:rsidR="005D5532" w:rsidRPr="00276391">
        <w:rPr>
          <w:lang w:eastAsia="en-AU"/>
        </w:rPr>
        <w:t xml:space="preserve"> </w:t>
      </w:r>
      <w:r w:rsidRPr="00276391">
        <w:rPr>
          <w:lang w:eastAsia="en-AU"/>
        </w:rPr>
        <w:t>do</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hospitals,</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under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National</w:t>
      </w:r>
      <w:r w:rsidR="005D5532" w:rsidRPr="00276391">
        <w:rPr>
          <w:lang w:eastAsia="en-AU"/>
        </w:rPr>
        <w:t xml:space="preserve"> </w:t>
      </w:r>
      <w:r w:rsidRPr="00276391">
        <w:rPr>
          <w:lang w:eastAsia="en-AU"/>
        </w:rPr>
        <w:t>Disability</w:t>
      </w:r>
      <w:r w:rsidR="005D5532" w:rsidRPr="00276391">
        <w:rPr>
          <w:lang w:eastAsia="en-AU"/>
        </w:rPr>
        <w:t xml:space="preserve"> </w:t>
      </w:r>
      <w:r w:rsidRPr="00276391">
        <w:rPr>
          <w:lang w:eastAsia="en-AU"/>
        </w:rPr>
        <w:t>Insurance</w:t>
      </w:r>
      <w:r w:rsidR="005D5532" w:rsidRPr="00276391">
        <w:rPr>
          <w:lang w:eastAsia="en-AU"/>
        </w:rPr>
        <w:t xml:space="preserve"> </w:t>
      </w:r>
      <w:r w:rsidRPr="00276391">
        <w:rPr>
          <w:lang w:eastAsia="en-AU"/>
        </w:rPr>
        <w:t>Scheme</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currently</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universities,</w:t>
      </w:r>
      <w:r w:rsidR="005D5532" w:rsidRPr="00276391">
        <w:rPr>
          <w:lang w:eastAsia="en-AU"/>
        </w:rPr>
        <w:t xml:space="preserve"> </w:t>
      </w:r>
      <w:r w:rsidRPr="00276391">
        <w:rPr>
          <w:lang w:eastAsia="en-AU"/>
        </w:rPr>
        <w:t>TAFEs,</w:t>
      </w:r>
      <w:r w:rsidR="005D5532" w:rsidRPr="00276391">
        <w:rPr>
          <w:lang w:eastAsia="en-AU"/>
        </w:rPr>
        <w:t xml:space="preserve"> </w:t>
      </w:r>
      <w:r w:rsidRPr="00276391">
        <w:rPr>
          <w:lang w:eastAsia="en-AU"/>
        </w:rPr>
        <w:t>schools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DET/community</w:t>
      </w:r>
      <w:r w:rsidR="005D5532" w:rsidRPr="00276391">
        <w:rPr>
          <w:lang w:eastAsia="en-AU"/>
        </w:rPr>
        <w:t xml:space="preserve"> </w:t>
      </w:r>
      <w:r w:rsidRPr="00276391">
        <w:rPr>
          <w:lang w:eastAsia="en-AU"/>
        </w:rPr>
        <w:t>participation</w:t>
      </w:r>
      <w:r w:rsidR="005D5532" w:rsidRPr="00276391">
        <w:rPr>
          <w:lang w:eastAsia="en-AU"/>
        </w:rPr>
        <w:t xml:space="preserve"> </w:t>
      </w:r>
      <w:r w:rsidRPr="00276391">
        <w:rPr>
          <w:lang w:eastAsia="en-AU"/>
        </w:rPr>
        <w:t>activities.</w:t>
      </w:r>
    </w:p>
    <w:p w14:paraId="362E36BB" w14:textId="48AEB8DB"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Compliance</w:t>
      </w:r>
      <w:r w:rsidR="005D5532" w:rsidRPr="00276391">
        <w:rPr>
          <w:lang w:eastAsia="en-AU"/>
        </w:rPr>
        <w:t xml:space="preserve"> </w:t>
      </w:r>
      <w:r w:rsidRPr="00276391">
        <w:rPr>
          <w:lang w:eastAsia="en-AU"/>
        </w:rPr>
        <w:t>Certification</w:t>
      </w:r>
      <w:r w:rsidR="005D5532" w:rsidRPr="00276391">
        <w:rPr>
          <w:lang w:eastAsia="en-AU"/>
        </w:rPr>
        <w:t xml:space="preserve"> </w:t>
      </w:r>
      <w:r w:rsidRPr="00276391">
        <w:rPr>
          <w:lang w:eastAsia="en-AU"/>
        </w:rPr>
        <w:t>(SACC)</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hospitals.</w:t>
      </w:r>
    </w:p>
    <w:p w14:paraId="25F685F1" w14:textId="297B94A9"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joint</w:t>
      </w:r>
      <w:r w:rsidR="005D5532" w:rsidRPr="00276391">
        <w:rPr>
          <w:lang w:eastAsia="en-AU"/>
        </w:rPr>
        <w:t xml:space="preserve"> </w:t>
      </w:r>
      <w:r w:rsidRPr="00276391">
        <w:rPr>
          <w:lang w:eastAsia="en-AU"/>
        </w:rPr>
        <w:t>responsibility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detect</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problems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impact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user</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wellbeing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ongoing</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sustainable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course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administering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FOPMF,</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become</w:t>
      </w:r>
      <w:r w:rsidR="005D5532" w:rsidRPr="00276391">
        <w:rPr>
          <w:lang w:eastAsia="en-AU"/>
        </w:rPr>
        <w:t xml:space="preserve"> </w:t>
      </w:r>
      <w:r w:rsidRPr="00276391">
        <w:rPr>
          <w:lang w:eastAsia="en-AU"/>
        </w:rPr>
        <w:t>aware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allegation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fraud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corruption</w:t>
      </w:r>
      <w:r w:rsidR="005D5532" w:rsidRPr="00276391">
        <w:rPr>
          <w:lang w:eastAsia="en-AU"/>
        </w:rPr>
        <w:t xml:space="preserve"> </w:t>
      </w:r>
      <w:r w:rsidRPr="00276391">
        <w:rPr>
          <w:lang w:eastAsia="en-AU"/>
        </w:rPr>
        <w:t>within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occurs,</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advise</w:t>
      </w:r>
      <w:r w:rsidR="005D5532" w:rsidRPr="00276391">
        <w:rPr>
          <w:lang w:eastAsia="en-AU"/>
        </w:rPr>
        <w:t xml:space="preserve"> </w:t>
      </w:r>
      <w:r w:rsidR="001914F5">
        <w:rPr>
          <w:lang w:eastAsia="en-AU"/>
        </w:rPr>
        <w:t>the department’s</w:t>
      </w:r>
      <w:r w:rsidR="005D5532" w:rsidRPr="00276391">
        <w:rPr>
          <w:lang w:eastAsia="en-AU"/>
        </w:rPr>
        <w:t xml:space="preserve"> </w:t>
      </w:r>
      <w:r w:rsidRPr="00276391">
        <w:rPr>
          <w:lang w:eastAsia="en-AU"/>
        </w:rPr>
        <w:t>Corporate</w:t>
      </w:r>
      <w:r w:rsidR="005D5532" w:rsidRPr="00276391">
        <w:rPr>
          <w:lang w:eastAsia="en-AU"/>
        </w:rPr>
        <w:t xml:space="preserve"> </w:t>
      </w:r>
      <w:r w:rsidRPr="00276391">
        <w:rPr>
          <w:lang w:eastAsia="en-AU"/>
        </w:rPr>
        <w:t>Integrity</w:t>
      </w:r>
      <w:r w:rsidR="005D5532" w:rsidRPr="00276391">
        <w:rPr>
          <w:lang w:eastAsia="en-AU"/>
        </w:rPr>
        <w:t xml:space="preserve"> </w:t>
      </w:r>
      <w:r w:rsidRPr="00276391">
        <w:rPr>
          <w:lang w:eastAsia="en-AU"/>
        </w:rPr>
        <w:t>Unit.</w:t>
      </w:r>
      <w:r w:rsidR="005D5532" w:rsidRPr="00276391">
        <w:rPr>
          <w:lang w:eastAsia="en-AU"/>
        </w:rPr>
        <w:t xml:space="preserve"> </w:t>
      </w:r>
      <w:r w:rsidR="001914F5">
        <w:rPr>
          <w:lang w:eastAsia="en-AU"/>
        </w:rPr>
        <w:t>The department’s</w:t>
      </w:r>
      <w:r w:rsidR="005D5532" w:rsidRPr="00276391">
        <w:rPr>
          <w:lang w:eastAsia="en-AU"/>
        </w:rPr>
        <w:t xml:space="preserve"> </w:t>
      </w:r>
      <w:r w:rsidRPr="00276391">
        <w:rPr>
          <w:lang w:eastAsia="en-AU"/>
        </w:rPr>
        <w:t>Corporate</w:t>
      </w:r>
      <w:r w:rsidR="005D5532" w:rsidRPr="00276391">
        <w:rPr>
          <w:lang w:eastAsia="en-AU"/>
        </w:rPr>
        <w:t xml:space="preserve"> </w:t>
      </w:r>
      <w:r w:rsidRPr="00276391">
        <w:rPr>
          <w:lang w:eastAsia="en-AU"/>
        </w:rPr>
        <w:t>Integrity</w:t>
      </w:r>
      <w:r w:rsidR="005D5532" w:rsidRPr="00276391">
        <w:rPr>
          <w:lang w:eastAsia="en-AU"/>
        </w:rPr>
        <w:t xml:space="preserve"> </w:t>
      </w:r>
      <w:r w:rsidRPr="00276391">
        <w:rPr>
          <w:lang w:eastAsia="en-AU"/>
        </w:rPr>
        <w:t>Unit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to</w:t>
      </w:r>
      <w:r w:rsidR="005D5532" w:rsidRPr="00276391">
        <w:rPr>
          <w:lang w:eastAsia="en-AU"/>
        </w:rPr>
        <w:t xml:space="preserve"> </w:t>
      </w:r>
      <w:proofErr w:type="gramStart"/>
      <w:r w:rsidRPr="00276391">
        <w:rPr>
          <w:lang w:eastAsia="en-AU"/>
        </w:rPr>
        <w:t>make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assessment</w:t>
      </w:r>
      <w:r w:rsidR="005D5532" w:rsidRPr="00276391">
        <w:rPr>
          <w:lang w:eastAsia="en-AU"/>
        </w:rPr>
        <w:t xml:space="preserve"> </w:t>
      </w:r>
      <w:r w:rsidRPr="00276391">
        <w:rPr>
          <w:lang w:eastAsia="en-AU"/>
        </w:rPr>
        <w:t>of</w:t>
      </w:r>
      <w:proofErr w:type="gramEnd"/>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identified</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next</w:t>
      </w:r>
      <w:r w:rsidR="005D5532" w:rsidRPr="00276391">
        <w:rPr>
          <w:lang w:eastAsia="en-AU"/>
        </w:rPr>
        <w:t xml:space="preserve"> </w:t>
      </w:r>
      <w:r w:rsidRPr="00276391">
        <w:rPr>
          <w:lang w:eastAsia="en-AU"/>
        </w:rPr>
        <w:t>steps.</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seek</w:t>
      </w:r>
      <w:r w:rsidR="005D5532" w:rsidRPr="00276391">
        <w:rPr>
          <w:lang w:eastAsia="en-AU"/>
        </w:rPr>
        <w:t xml:space="preserve"> </w:t>
      </w:r>
      <w:r w:rsidRPr="00276391">
        <w:rPr>
          <w:lang w:eastAsia="en-AU"/>
        </w:rPr>
        <w:t>advice</w:t>
      </w:r>
      <w:r w:rsidR="005D5532" w:rsidRPr="00276391">
        <w:rPr>
          <w:lang w:eastAsia="en-AU"/>
        </w:rPr>
        <w:t xml:space="preserve"> </w:t>
      </w:r>
      <w:r w:rsidRPr="00276391">
        <w:rPr>
          <w:lang w:eastAsia="en-AU"/>
        </w:rPr>
        <w:t>from</w:t>
      </w:r>
      <w:r w:rsidR="005D5532" w:rsidRPr="00276391">
        <w:rPr>
          <w:lang w:eastAsia="en-AU"/>
        </w:rPr>
        <w:t xml:space="preserve"> </w:t>
      </w:r>
      <w:r w:rsidR="001914F5">
        <w:rPr>
          <w:lang w:eastAsia="en-AU"/>
        </w:rPr>
        <w:t>the department’s</w:t>
      </w:r>
      <w:r w:rsidR="005D5532" w:rsidRPr="00276391">
        <w:rPr>
          <w:lang w:eastAsia="en-AU"/>
        </w:rPr>
        <w:t xml:space="preserve"> </w:t>
      </w:r>
      <w:r w:rsidRPr="00276391">
        <w:rPr>
          <w:lang w:eastAsia="en-AU"/>
        </w:rPr>
        <w:t>Corporate</w:t>
      </w:r>
      <w:r w:rsidR="005D5532" w:rsidRPr="00276391">
        <w:rPr>
          <w:lang w:eastAsia="en-AU"/>
        </w:rPr>
        <w:t xml:space="preserve"> </w:t>
      </w:r>
      <w:r w:rsidRPr="00276391">
        <w:rPr>
          <w:lang w:eastAsia="en-AU"/>
        </w:rPr>
        <w:t>Integrity</w:t>
      </w:r>
      <w:r w:rsidR="005D5532" w:rsidRPr="00276391">
        <w:rPr>
          <w:lang w:eastAsia="en-AU"/>
        </w:rPr>
        <w:t xml:space="preserve"> </w:t>
      </w:r>
      <w:r w:rsidRPr="00276391">
        <w:rPr>
          <w:lang w:eastAsia="en-AU"/>
        </w:rPr>
        <w:t>Unit</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allegation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fraud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corruption</w:t>
      </w:r>
      <w:r w:rsidR="005D5532" w:rsidRPr="00276391">
        <w:rPr>
          <w:lang w:eastAsia="en-AU"/>
        </w:rPr>
        <w:t xml:space="preserve"> </w:t>
      </w:r>
      <w:r w:rsidRPr="00276391">
        <w:rPr>
          <w:lang w:eastAsia="en-AU"/>
        </w:rPr>
        <w:t>even</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managing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situation</w:t>
      </w:r>
      <w:r w:rsidR="005D5532" w:rsidRPr="00276391">
        <w:rPr>
          <w:lang w:eastAsia="en-AU"/>
        </w:rPr>
        <w:t xml:space="preserve"> </w:t>
      </w:r>
      <w:r w:rsidRPr="00276391">
        <w:rPr>
          <w:lang w:eastAsia="en-AU"/>
        </w:rPr>
        <w:t>internally.</w:t>
      </w:r>
    </w:p>
    <w:p w14:paraId="7D7D3880" w14:textId="77777777" w:rsidR="00236748" w:rsidRPr="00276391" w:rsidRDefault="00236748" w:rsidP="001A0795">
      <w:pPr>
        <w:pStyle w:val="Heading4"/>
        <w:rPr>
          <w:lang w:eastAsia="en-AU"/>
        </w:rPr>
      </w:pPr>
      <w:bookmarkStart w:id="778" w:name="_Toc478992134"/>
      <w:r w:rsidRPr="00276391">
        <w:rPr>
          <w:lang w:eastAsia="en-AU"/>
        </w:rPr>
        <w:t>Components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framework</w:t>
      </w:r>
      <w:bookmarkEnd w:id="778"/>
    </w:p>
    <w:p w14:paraId="47ED916B" w14:textId="18E51430"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consists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three</w:t>
      </w:r>
      <w:r w:rsidR="005D5532" w:rsidRPr="00B24C02">
        <w:rPr>
          <w:rFonts w:cs="Arial"/>
          <w:color w:val="000000"/>
          <w:szCs w:val="19"/>
          <w:lang w:eastAsia="en-AU"/>
        </w:rPr>
        <w:t xml:space="preserve"> </w:t>
      </w:r>
      <w:r w:rsidRPr="00B24C02">
        <w:rPr>
          <w:rFonts w:cs="Arial"/>
          <w:color w:val="000000"/>
          <w:szCs w:val="19"/>
          <w:lang w:eastAsia="en-AU"/>
        </w:rPr>
        <w:t>components</w:t>
      </w:r>
      <w:r w:rsidR="005D5532" w:rsidRPr="00B24C02">
        <w:rPr>
          <w:rFonts w:cs="Arial"/>
          <w:color w:val="000000"/>
          <w:szCs w:val="19"/>
          <w:lang w:eastAsia="en-AU"/>
        </w:rPr>
        <w:t xml:space="preserve"> </w:t>
      </w:r>
      <w:r w:rsidRPr="00B24C02">
        <w:rPr>
          <w:rFonts w:cs="Arial"/>
          <w:color w:val="000000"/>
          <w:szCs w:val="19"/>
          <w:lang w:eastAsia="en-AU"/>
        </w:rPr>
        <w:t>involving</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use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tools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processes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assess</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performance</w:t>
      </w:r>
      <w:r w:rsidR="005D5532" w:rsidRPr="00B24C02">
        <w:rPr>
          <w:rFonts w:cs="Arial"/>
          <w:color w:val="000000"/>
          <w:szCs w:val="19"/>
          <w:lang w:eastAsia="en-AU"/>
        </w:rPr>
        <w:t xml:space="preserve"> </w:t>
      </w:r>
      <w:r w:rsidRPr="00B24C02">
        <w:rPr>
          <w:rFonts w:cs="Arial"/>
          <w:color w:val="000000"/>
          <w:szCs w:val="19"/>
          <w:lang w:eastAsia="en-AU"/>
        </w:rPr>
        <w:t>against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components</w:t>
      </w:r>
      <w:r w:rsidR="005D5532" w:rsidRPr="00B24C02">
        <w:rPr>
          <w:rFonts w:cs="Arial"/>
          <w:color w:val="000000"/>
          <w:szCs w:val="19"/>
          <w:lang w:eastAsia="en-AU"/>
        </w:rPr>
        <w:t xml:space="preserve"> </w:t>
      </w:r>
      <w:r w:rsidRPr="00B24C02">
        <w:rPr>
          <w:rFonts w:cs="Arial"/>
          <w:color w:val="000000"/>
          <w:szCs w:val="19"/>
          <w:lang w:eastAsia="en-AU"/>
        </w:rPr>
        <w:t>are:</w:t>
      </w:r>
    </w:p>
    <w:p w14:paraId="7FF086B7" w14:textId="116050CA" w:rsidR="00236748" w:rsidRPr="00276391" w:rsidRDefault="009B3052" w:rsidP="00276391">
      <w:pPr>
        <w:pStyle w:val="DHHSbody"/>
        <w:rPr>
          <w:lang w:eastAsia="en-AU"/>
        </w:rPr>
      </w:pPr>
      <w:r>
        <w:rPr>
          <w:b/>
          <w:bCs/>
          <w:lang w:eastAsia="en-AU"/>
        </w:rPr>
        <w:t>Service agreement</w:t>
      </w:r>
      <w:r w:rsidR="005D5532" w:rsidRPr="00276391">
        <w:rPr>
          <w:b/>
          <w:bCs/>
          <w:lang w:eastAsia="en-AU"/>
        </w:rPr>
        <w:t xml:space="preserve"> </w:t>
      </w:r>
      <w:r w:rsidR="00236748" w:rsidRPr="00276391">
        <w:rPr>
          <w:b/>
          <w:bCs/>
          <w:lang w:eastAsia="en-AU"/>
        </w:rPr>
        <w:t>Monitoring</w:t>
      </w:r>
      <w:r w:rsidR="005D5532" w:rsidRPr="00276391">
        <w:rPr>
          <w:lang w:eastAsia="en-AU"/>
        </w:rPr>
        <w:t xml:space="preserve"> </w:t>
      </w:r>
      <w:r w:rsidR="00236748" w:rsidRPr="00276391">
        <w:rPr>
          <w:lang w:eastAsia="en-AU"/>
        </w:rPr>
        <w:t>undertaken</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an</w:t>
      </w:r>
      <w:r w:rsidR="005D5532" w:rsidRPr="00276391">
        <w:rPr>
          <w:lang w:eastAsia="en-AU"/>
        </w:rPr>
        <w:t xml:space="preserve"> </w:t>
      </w:r>
      <w:r w:rsidR="00236748" w:rsidRPr="00276391">
        <w:rPr>
          <w:lang w:eastAsia="en-AU"/>
        </w:rPr>
        <w:t>ongoing</w:t>
      </w:r>
      <w:r w:rsidR="005D5532" w:rsidRPr="00276391">
        <w:rPr>
          <w:lang w:eastAsia="en-AU"/>
        </w:rPr>
        <w:t xml:space="preserve"> </w:t>
      </w:r>
      <w:r w:rsidR="00236748" w:rsidRPr="00276391">
        <w:rPr>
          <w:lang w:eastAsia="en-AU"/>
        </w:rPr>
        <w:t>basis</w:t>
      </w:r>
      <w:r w:rsidR="005D5532" w:rsidRPr="00276391">
        <w:rPr>
          <w:lang w:eastAsia="en-AU"/>
        </w:rPr>
        <w:t xml:space="preserve"> </w:t>
      </w:r>
      <w:r w:rsidR="00236748" w:rsidRPr="00276391">
        <w:rPr>
          <w:lang w:eastAsia="en-AU"/>
        </w:rPr>
        <w:t>through</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collection</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information</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regular</w:t>
      </w:r>
      <w:r w:rsidR="005D5532" w:rsidRPr="00276391">
        <w:rPr>
          <w:lang w:eastAsia="en-AU"/>
        </w:rPr>
        <w:t xml:space="preserve"> </w:t>
      </w:r>
      <w:r w:rsidR="00236748" w:rsidRPr="00276391">
        <w:rPr>
          <w:lang w:eastAsia="en-AU"/>
        </w:rPr>
        <w:t>engagement</w:t>
      </w:r>
      <w:r w:rsidR="005D5532" w:rsidRPr="00276391">
        <w:rPr>
          <w:lang w:eastAsia="en-AU"/>
        </w:rPr>
        <w:t xml:space="preserve"> </w:t>
      </w:r>
      <w:r w:rsidR="00236748" w:rsidRPr="00276391">
        <w:rPr>
          <w:lang w:eastAsia="en-AU"/>
        </w:rPr>
        <w:t>between</w:t>
      </w:r>
      <w:r w:rsidR="005D5532" w:rsidRPr="00276391">
        <w:rPr>
          <w:lang w:eastAsia="en-AU"/>
        </w:rPr>
        <w:t xml:space="preserve"> </w:t>
      </w:r>
      <w:r w:rsidR="00236748" w:rsidRPr="00276391">
        <w:rPr>
          <w:lang w:eastAsia="en-AU"/>
        </w:rPr>
        <w:t>departmental</w:t>
      </w:r>
      <w:r w:rsidR="005D5532" w:rsidRPr="00276391">
        <w:rPr>
          <w:lang w:eastAsia="en-AU"/>
        </w:rPr>
        <w:t xml:space="preserve"> </w:t>
      </w:r>
      <w:r w:rsidR="00236748" w:rsidRPr="00276391">
        <w:rPr>
          <w:lang w:eastAsia="en-AU"/>
        </w:rPr>
        <w:t>staff</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organisations.</w:t>
      </w:r>
    </w:p>
    <w:p w14:paraId="496D1A4F" w14:textId="77777777" w:rsidR="00236748" w:rsidRPr="00276391" w:rsidRDefault="00236748" w:rsidP="00276391">
      <w:pPr>
        <w:pStyle w:val="DHHSbody"/>
        <w:rPr>
          <w:lang w:eastAsia="en-AU"/>
        </w:rPr>
      </w:pPr>
      <w:r w:rsidRPr="00276391">
        <w:rPr>
          <w:lang w:eastAsia="en-AU"/>
        </w:rPr>
        <w:t>Monitoring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focused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assessing</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areas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governance,</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involves</w:t>
      </w:r>
      <w:r w:rsidR="005D5532" w:rsidRPr="00276391">
        <w:rPr>
          <w:lang w:eastAsia="en-AU"/>
        </w:rPr>
        <w:t xml:space="preserve"> </w:t>
      </w:r>
      <w:r w:rsidRPr="00276391">
        <w:rPr>
          <w:lang w:eastAsia="en-AU"/>
        </w:rPr>
        <w:t>evidence</w:t>
      </w:r>
      <w:r w:rsidR="005D5532" w:rsidRPr="00276391">
        <w:rPr>
          <w:lang w:eastAsia="en-AU"/>
        </w:rPr>
        <w:t xml:space="preserve"> </w:t>
      </w:r>
      <w:r w:rsidRPr="00276391">
        <w:rPr>
          <w:lang w:eastAsia="en-AU"/>
        </w:rPr>
        <w:t>gathering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tracking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documenting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outcomes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achievements.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core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determining</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capacity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user</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wellbeing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innovation.</w:t>
      </w:r>
    </w:p>
    <w:p w14:paraId="79971E0A" w14:textId="4D596E4A" w:rsidR="00236748" w:rsidRPr="00276391" w:rsidRDefault="00236748" w:rsidP="00276391">
      <w:pPr>
        <w:pStyle w:val="DHHSbody"/>
        <w:rPr>
          <w:lang w:eastAsia="en-AU"/>
        </w:rPr>
      </w:pPr>
      <w:r w:rsidRPr="00276391">
        <w:rPr>
          <w:b/>
          <w:bCs/>
          <w:lang w:eastAsia="en-AU"/>
        </w:rPr>
        <w:t>Risk</w:t>
      </w:r>
      <w:r w:rsidR="005D5532" w:rsidRPr="00276391">
        <w:rPr>
          <w:b/>
          <w:bCs/>
          <w:lang w:eastAsia="en-AU"/>
        </w:rPr>
        <w:t xml:space="preserve"> </w:t>
      </w:r>
      <w:r w:rsidRPr="00276391">
        <w:rPr>
          <w:b/>
          <w:bCs/>
          <w:lang w:eastAsia="en-AU"/>
        </w:rPr>
        <w:t>assessment</w:t>
      </w:r>
      <w:r w:rsidR="005D5532" w:rsidRPr="00276391">
        <w:rPr>
          <w:b/>
          <w:bCs/>
          <w:lang w:eastAsia="en-AU"/>
        </w:rPr>
        <w:t xml:space="preserve"> </w:t>
      </w:r>
      <w:r w:rsidRPr="00276391">
        <w:rPr>
          <w:b/>
          <w:bCs/>
          <w:lang w:eastAsia="en-AU"/>
        </w:rPr>
        <w:t>of</w:t>
      </w:r>
      <w:r w:rsidR="005D5532" w:rsidRPr="00276391">
        <w:rPr>
          <w:b/>
          <w:bCs/>
          <w:lang w:eastAsia="en-AU"/>
        </w:rPr>
        <w:t xml:space="preserve"> </w:t>
      </w:r>
      <w:r w:rsidRPr="00276391">
        <w:rPr>
          <w:b/>
          <w:bCs/>
          <w:lang w:eastAsia="en-AU"/>
        </w:rPr>
        <w:t>identified</w:t>
      </w:r>
      <w:r w:rsidR="005D5532" w:rsidRPr="00276391">
        <w:rPr>
          <w:b/>
          <w:bCs/>
          <w:lang w:eastAsia="en-AU"/>
        </w:rPr>
        <w:t xml:space="preserve"> </w:t>
      </w:r>
      <w:r w:rsidRPr="00276391">
        <w:rPr>
          <w:b/>
          <w:bCs/>
          <w:lang w:eastAsia="en-AU"/>
        </w:rPr>
        <w:t>performance</w:t>
      </w:r>
      <w:r w:rsidR="005D5532" w:rsidRPr="00276391">
        <w:rPr>
          <w:b/>
          <w:bCs/>
          <w:lang w:eastAsia="en-AU"/>
        </w:rPr>
        <w:t xml:space="preserve"> </w:t>
      </w:r>
      <w:r w:rsidRPr="00276391">
        <w:rPr>
          <w:b/>
          <w:bCs/>
          <w:lang w:eastAsia="en-AU"/>
        </w:rPr>
        <w:t>issues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assessment</w:t>
      </w:r>
      <w:r w:rsidR="005D5532" w:rsidRPr="00276391">
        <w:rPr>
          <w:lang w:eastAsia="en-AU"/>
        </w:rPr>
        <w:t xml:space="preserve"> </w:t>
      </w:r>
      <w:r w:rsidRPr="00276391">
        <w:rPr>
          <w:lang w:eastAsia="en-AU"/>
        </w:rPr>
        <w:t>undertaken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using</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assessment</w:t>
      </w:r>
      <w:r w:rsidR="005D5532" w:rsidRPr="00276391">
        <w:rPr>
          <w:lang w:eastAsia="en-AU"/>
        </w:rPr>
        <w:t xml:space="preserve"> </w:t>
      </w:r>
      <w:r w:rsidRPr="00276391">
        <w:rPr>
          <w:lang w:eastAsia="en-AU"/>
        </w:rPr>
        <w:t>guidelines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assess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severity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identified</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lastRenderedPageBreak/>
        <w:t>process</w:t>
      </w:r>
      <w:r w:rsidR="005D5532" w:rsidRPr="00276391">
        <w:rPr>
          <w:lang w:eastAsia="en-AU"/>
        </w:rPr>
        <w:t xml:space="preserve"> </w:t>
      </w:r>
      <w:r w:rsidRPr="00276391">
        <w:rPr>
          <w:lang w:eastAsia="en-AU"/>
        </w:rPr>
        <w:t>supports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consistently</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level</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risk</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develop</w:t>
      </w:r>
      <w:r w:rsidR="005D5532" w:rsidRPr="00276391">
        <w:rPr>
          <w:lang w:eastAsia="en-AU"/>
        </w:rPr>
        <w:t xml:space="preserve"> </w:t>
      </w:r>
      <w:r w:rsidRPr="00276391">
        <w:rPr>
          <w:lang w:eastAsia="en-AU"/>
        </w:rPr>
        <w:t>effective</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remediation.</w:t>
      </w:r>
    </w:p>
    <w:p w14:paraId="35686191" w14:textId="51F6CF40" w:rsidR="00236748" w:rsidRPr="00276391" w:rsidRDefault="00236748" w:rsidP="00276391">
      <w:pPr>
        <w:pStyle w:val="DHHSbody"/>
        <w:rPr>
          <w:lang w:eastAsia="en-AU"/>
        </w:rPr>
      </w:pPr>
      <w:r w:rsidRPr="00276391">
        <w:rPr>
          <w:b/>
          <w:bCs/>
          <w:lang w:eastAsia="en-AU"/>
        </w:rPr>
        <w:t>Responses</w:t>
      </w:r>
      <w:r w:rsidR="005D5532" w:rsidRPr="00276391">
        <w:rPr>
          <w:b/>
          <w:bCs/>
          <w:lang w:eastAsia="en-AU"/>
        </w:rPr>
        <w:t xml:space="preserve"> </w:t>
      </w:r>
      <w:r w:rsidRPr="00276391">
        <w:rPr>
          <w:b/>
          <w:bCs/>
          <w:lang w:eastAsia="en-AU"/>
        </w:rPr>
        <w:t>to</w:t>
      </w:r>
      <w:r w:rsidR="005D5532" w:rsidRPr="00276391">
        <w:rPr>
          <w:b/>
          <w:bCs/>
          <w:lang w:eastAsia="en-AU"/>
        </w:rPr>
        <w:t xml:space="preserve"> </w:t>
      </w:r>
      <w:r w:rsidRPr="00276391">
        <w:rPr>
          <w:b/>
          <w:bCs/>
          <w:lang w:eastAsia="en-AU"/>
        </w:rPr>
        <w:t>performance</w:t>
      </w:r>
      <w:r w:rsidR="005D5532" w:rsidRPr="00276391">
        <w:rPr>
          <w:b/>
          <w:bCs/>
          <w:lang w:eastAsia="en-AU"/>
        </w:rPr>
        <w:t xml:space="preserve"> </w:t>
      </w:r>
      <w:r w:rsidRPr="00276391">
        <w:rPr>
          <w:b/>
          <w:bCs/>
          <w:lang w:eastAsia="en-AU"/>
        </w:rPr>
        <w:t>issues</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identified</w:t>
      </w:r>
      <w:r w:rsidR="005D5532" w:rsidRPr="00276391">
        <w:rPr>
          <w:lang w:eastAsia="en-AU"/>
        </w:rPr>
        <w:t xml:space="preserve"> </w:t>
      </w:r>
      <w:r w:rsidRPr="00276391">
        <w:rPr>
          <w:lang w:eastAsia="en-AU"/>
        </w:rPr>
        <w:t>through</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through</w:t>
      </w:r>
      <w:r w:rsidR="005D5532" w:rsidRPr="00276391">
        <w:rPr>
          <w:lang w:eastAsia="en-AU"/>
        </w:rPr>
        <w:t xml:space="preserve"> </w:t>
      </w:r>
      <w:r w:rsidRPr="00276391">
        <w:rPr>
          <w:lang w:eastAsia="en-AU"/>
        </w:rPr>
        <w:t>how</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managed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remediated.</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respond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issues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remedial</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review.</w:t>
      </w:r>
    </w:p>
    <w:p w14:paraId="0073BBF1" w14:textId="733B25E6" w:rsidR="00236748" w:rsidRPr="00276391" w:rsidRDefault="00236748" w:rsidP="00276391">
      <w:pPr>
        <w:pStyle w:val="DHHSbody"/>
        <w:rPr>
          <w:lang w:eastAsia="en-AU"/>
        </w:rPr>
      </w:pPr>
      <w:r w:rsidRPr="00276391">
        <w:rPr>
          <w:lang w:eastAsia="en-AU"/>
        </w:rPr>
        <w:t>In</w:t>
      </w:r>
      <w:r w:rsidR="005D5532" w:rsidRPr="00276391">
        <w:rPr>
          <w:lang w:eastAsia="en-AU"/>
        </w:rPr>
        <w:t xml:space="preserve"> </w:t>
      </w:r>
      <w:r w:rsidRPr="00276391">
        <w:rPr>
          <w:lang w:eastAsia="en-AU"/>
        </w:rPr>
        <w:t>rare</w:t>
      </w:r>
      <w:r w:rsidR="005D5532" w:rsidRPr="00276391">
        <w:rPr>
          <w:lang w:eastAsia="en-AU"/>
        </w:rPr>
        <w:t xml:space="preserve"> </w:t>
      </w:r>
      <w:r w:rsidRPr="00276391">
        <w:rPr>
          <w:lang w:eastAsia="en-AU"/>
        </w:rPr>
        <w:t>cases</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serious</w:t>
      </w:r>
      <w:r w:rsidR="005D5532" w:rsidRPr="00276391">
        <w:rPr>
          <w:lang w:eastAsia="en-AU"/>
        </w:rPr>
        <w:t xml:space="preserve"> </w:t>
      </w:r>
      <w:r w:rsidRPr="00276391">
        <w:rPr>
          <w:lang w:eastAsia="en-AU"/>
        </w:rPr>
        <w:t>allegations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evidence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has</w:t>
      </w:r>
      <w:r w:rsidR="005D5532" w:rsidRPr="00276391">
        <w:rPr>
          <w:lang w:eastAsia="en-AU"/>
        </w:rPr>
        <w:t xml:space="preserve"> </w:t>
      </w:r>
      <w:r w:rsidRPr="00276391">
        <w:rPr>
          <w:lang w:eastAsia="en-AU"/>
        </w:rPr>
        <w:t>significantly</w:t>
      </w:r>
      <w:r w:rsidR="005D5532" w:rsidRPr="00276391">
        <w:rPr>
          <w:lang w:eastAsia="en-AU"/>
        </w:rPr>
        <w:t xml:space="preserve"> </w:t>
      </w:r>
      <w:r w:rsidRPr="00276391">
        <w:rPr>
          <w:lang w:eastAsia="en-AU"/>
        </w:rPr>
        <w:t>breached</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undertaken</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determine</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remedial</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put</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if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needs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wellbeing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users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services.</w:t>
      </w:r>
    </w:p>
    <w:p w14:paraId="72FDABDE" w14:textId="77777777" w:rsidR="00236748" w:rsidRPr="00276391" w:rsidRDefault="00236748" w:rsidP="001A0795">
      <w:pPr>
        <w:pStyle w:val="Heading4"/>
        <w:rPr>
          <w:lang w:eastAsia="en-AU"/>
        </w:rPr>
      </w:pPr>
      <w:bookmarkStart w:id="779" w:name="_Toc478992135"/>
      <w:r w:rsidRPr="00276391">
        <w:rPr>
          <w:lang w:eastAsia="en-AU"/>
        </w:rPr>
        <w:t>Key</w:t>
      </w:r>
      <w:r w:rsidR="005D5532" w:rsidRPr="00276391">
        <w:rPr>
          <w:lang w:eastAsia="en-AU"/>
        </w:rPr>
        <w:t xml:space="preserve"> </w:t>
      </w:r>
      <w:r w:rsidRPr="00276391">
        <w:rPr>
          <w:lang w:eastAsia="en-AU"/>
        </w:rPr>
        <w:t>tools</w:t>
      </w:r>
      <w:bookmarkEnd w:id="779"/>
    </w:p>
    <w:p w14:paraId="08B76102"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following</w:t>
      </w:r>
      <w:r w:rsidR="005D5532" w:rsidRPr="00B24C02">
        <w:rPr>
          <w:rFonts w:cs="Arial"/>
          <w:color w:val="000000"/>
          <w:szCs w:val="19"/>
          <w:lang w:eastAsia="en-AU"/>
        </w:rPr>
        <w:t xml:space="preserve"> </w:t>
      </w:r>
      <w:r w:rsidRPr="00B24C02">
        <w:rPr>
          <w:rFonts w:cs="Arial"/>
          <w:color w:val="000000"/>
          <w:szCs w:val="19"/>
          <w:lang w:eastAsia="en-AU"/>
        </w:rPr>
        <w:t>tools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used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departmental</w:t>
      </w:r>
      <w:r w:rsidR="005D5532" w:rsidRPr="00B24C02">
        <w:rPr>
          <w:rFonts w:cs="Arial"/>
          <w:color w:val="000000"/>
          <w:szCs w:val="19"/>
          <w:lang w:eastAsia="en-AU"/>
        </w:rPr>
        <w:t xml:space="preserve"> </w:t>
      </w:r>
      <w:r w:rsidRPr="00B24C02">
        <w:rPr>
          <w:rFonts w:cs="Arial"/>
          <w:color w:val="000000"/>
          <w:szCs w:val="19"/>
          <w:lang w:eastAsia="en-AU"/>
        </w:rPr>
        <w:t>staff</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consistent</w:t>
      </w:r>
      <w:r w:rsidR="005D5532" w:rsidRPr="00B24C02">
        <w:rPr>
          <w:rFonts w:cs="Arial"/>
          <w:color w:val="000000"/>
          <w:szCs w:val="19"/>
          <w:lang w:eastAsia="en-AU"/>
        </w:rPr>
        <w:t xml:space="preserve"> </w:t>
      </w:r>
      <w:r w:rsidRPr="00B24C02">
        <w:rPr>
          <w:rFonts w:cs="Arial"/>
          <w:color w:val="000000"/>
          <w:szCs w:val="19"/>
          <w:lang w:eastAsia="en-AU"/>
        </w:rPr>
        <w:t>monitoring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p>
    <w:p w14:paraId="7E114464" w14:textId="70F29E12" w:rsidR="00236748" w:rsidRPr="00276391" w:rsidRDefault="009B3052" w:rsidP="00276391">
      <w:pPr>
        <w:pStyle w:val="DHHSbody"/>
        <w:rPr>
          <w:lang w:eastAsia="en-AU"/>
        </w:rPr>
      </w:pPr>
      <w:r>
        <w:rPr>
          <w:b/>
          <w:bCs/>
          <w:lang w:eastAsia="en-AU"/>
        </w:rPr>
        <w:t>Service agreement</w:t>
      </w:r>
      <w:r w:rsidR="005D5532" w:rsidRPr="00276391">
        <w:rPr>
          <w:b/>
          <w:bCs/>
          <w:lang w:eastAsia="en-AU"/>
        </w:rPr>
        <w:t xml:space="preserve"> </w:t>
      </w:r>
      <w:r w:rsidR="00081CD7">
        <w:rPr>
          <w:b/>
          <w:bCs/>
          <w:lang w:eastAsia="en-AU"/>
        </w:rPr>
        <w:t>m</w:t>
      </w:r>
      <w:r w:rsidR="00236748" w:rsidRPr="00276391">
        <w:rPr>
          <w:b/>
          <w:bCs/>
          <w:lang w:eastAsia="en-AU"/>
        </w:rPr>
        <w:t>onitoring</w:t>
      </w:r>
      <w:r w:rsidR="005D5532" w:rsidRPr="00276391">
        <w:rPr>
          <w:b/>
          <w:bCs/>
          <w:lang w:eastAsia="en-AU"/>
        </w:rPr>
        <w:t xml:space="preserve"> </w:t>
      </w:r>
      <w:r w:rsidR="00081CD7">
        <w:rPr>
          <w:b/>
          <w:bCs/>
          <w:lang w:eastAsia="en-AU"/>
        </w:rPr>
        <w:t>c</w:t>
      </w:r>
      <w:r w:rsidR="00236748" w:rsidRPr="00276391">
        <w:rPr>
          <w:b/>
          <w:bCs/>
          <w:lang w:eastAsia="en-AU"/>
        </w:rPr>
        <w:t>hecklist</w:t>
      </w:r>
      <w:r w:rsidR="004D668F">
        <w:rPr>
          <w:b/>
          <w:bCs/>
          <w:lang w:eastAsia="en-AU"/>
        </w:rPr>
        <w:t>s</w:t>
      </w:r>
      <w:r w:rsidR="005D5532" w:rsidRPr="00276391">
        <w:rPr>
          <w:lang w:eastAsia="en-AU"/>
        </w:rPr>
        <w:t xml:space="preserve"> </w:t>
      </w:r>
      <w:r w:rsidR="004D668F">
        <w:rPr>
          <w:lang w:eastAsia="en-AU"/>
        </w:rPr>
        <w:t>are</w:t>
      </w:r>
      <w:r w:rsidR="005D5532" w:rsidRPr="00276391">
        <w:rPr>
          <w:lang w:eastAsia="en-AU"/>
        </w:rPr>
        <w:t xml:space="preserve"> </w:t>
      </w:r>
      <w:r w:rsidR="00236748" w:rsidRPr="00276391">
        <w:rPr>
          <w:lang w:eastAsia="en-AU"/>
        </w:rPr>
        <w:t>used</w:t>
      </w:r>
      <w:r w:rsidR="005D5532" w:rsidRPr="00276391">
        <w:rPr>
          <w:lang w:eastAsia="en-AU"/>
        </w:rPr>
        <w:t xml:space="preserve"> </w:t>
      </w:r>
      <w:r w:rsidR="00236748" w:rsidRPr="00276391">
        <w:rPr>
          <w:lang w:eastAsia="en-AU"/>
        </w:rPr>
        <w:t>throughout</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year</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ensure</w:t>
      </w:r>
      <w:r w:rsidR="005D5532" w:rsidRPr="00276391">
        <w:rPr>
          <w:lang w:eastAsia="en-AU"/>
        </w:rPr>
        <w:t xml:space="preserve"> </w:t>
      </w:r>
      <w:r w:rsidR="00236748" w:rsidRPr="00276391">
        <w:rPr>
          <w:lang w:eastAsia="en-AU"/>
        </w:rPr>
        <w:t>evidence</w:t>
      </w:r>
      <w:r w:rsidR="005D5532" w:rsidRPr="00276391">
        <w:rPr>
          <w:lang w:eastAsia="en-AU"/>
        </w:rPr>
        <w:t xml:space="preserve"> </w:t>
      </w:r>
      <w:r w:rsidR="00236748" w:rsidRPr="00276391">
        <w:rPr>
          <w:lang w:eastAsia="en-AU"/>
        </w:rPr>
        <w:t>gathering</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discussions</w:t>
      </w:r>
      <w:r w:rsidR="005D5532" w:rsidRPr="00276391">
        <w:rPr>
          <w:lang w:eastAsia="en-AU"/>
        </w:rPr>
        <w:t xml:space="preserve"> </w:t>
      </w:r>
      <w:r w:rsidR="00236748" w:rsidRPr="00276391">
        <w:rPr>
          <w:lang w:eastAsia="en-AU"/>
        </w:rPr>
        <w:t>with</w:t>
      </w:r>
      <w:r w:rsidR="005D5532" w:rsidRPr="00276391">
        <w:rPr>
          <w:lang w:eastAsia="en-AU"/>
        </w:rPr>
        <w:t xml:space="preserve"> </w:t>
      </w:r>
      <w:r w:rsidR="00236748" w:rsidRPr="00276391">
        <w:rPr>
          <w:lang w:eastAsia="en-AU"/>
        </w:rPr>
        <w:t>funded</w:t>
      </w:r>
      <w:r w:rsidR="005D5532" w:rsidRPr="00276391">
        <w:rPr>
          <w:lang w:eastAsia="en-AU"/>
        </w:rPr>
        <w:t xml:space="preserve"> </w:t>
      </w:r>
      <w:r w:rsidR="00236748" w:rsidRPr="00276391">
        <w:rPr>
          <w:lang w:eastAsia="en-AU"/>
        </w:rPr>
        <w:t>organisations</w:t>
      </w:r>
      <w:r w:rsidR="005D5532" w:rsidRPr="00276391">
        <w:rPr>
          <w:lang w:eastAsia="en-AU"/>
        </w:rPr>
        <w:t xml:space="preserve"> </w:t>
      </w:r>
      <w:r w:rsidR="00236748" w:rsidRPr="00276391">
        <w:rPr>
          <w:lang w:eastAsia="en-AU"/>
        </w:rPr>
        <w:t>address</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requirements</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the</w:t>
      </w:r>
      <w:r w:rsidR="005D5532" w:rsidRPr="00276391">
        <w:rPr>
          <w:lang w:eastAsia="en-AU"/>
        </w:rPr>
        <w:t xml:space="preserve"> </w:t>
      </w:r>
      <w:r>
        <w:rPr>
          <w:lang w:eastAsia="en-AU"/>
        </w:rPr>
        <w:t>Service agreement</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have</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focus</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key</w:t>
      </w:r>
      <w:r w:rsidR="005D5532" w:rsidRPr="00276391">
        <w:rPr>
          <w:lang w:eastAsia="en-AU"/>
        </w:rPr>
        <w:t xml:space="preserve"> </w:t>
      </w:r>
      <w:r w:rsidR="00236748" w:rsidRPr="00276391">
        <w:rPr>
          <w:lang w:eastAsia="en-AU"/>
        </w:rPr>
        <w:t>risk</w:t>
      </w:r>
      <w:r w:rsidR="005D5532" w:rsidRPr="00276391">
        <w:rPr>
          <w:lang w:eastAsia="en-AU"/>
        </w:rPr>
        <w:t xml:space="preserve"> </w:t>
      </w:r>
      <w:r w:rsidR="00236748" w:rsidRPr="00276391">
        <w:rPr>
          <w:lang w:eastAsia="en-AU"/>
        </w:rPr>
        <w:t>areas.</w:t>
      </w:r>
    </w:p>
    <w:p w14:paraId="7779B925" w14:textId="72984C56" w:rsidR="00236748" w:rsidRPr="00276391" w:rsidRDefault="00236748" w:rsidP="00276391">
      <w:pPr>
        <w:pStyle w:val="DHHSbody"/>
        <w:rPr>
          <w:lang w:eastAsia="en-AU"/>
        </w:rPr>
      </w:pPr>
      <w:r w:rsidRPr="00276391">
        <w:rPr>
          <w:b/>
          <w:bCs/>
          <w:lang w:eastAsia="en-AU"/>
        </w:rPr>
        <w:t>Desktop</w:t>
      </w:r>
      <w:r w:rsidR="005D5532" w:rsidRPr="00276391">
        <w:rPr>
          <w:b/>
          <w:bCs/>
          <w:lang w:eastAsia="en-AU"/>
        </w:rPr>
        <w:t xml:space="preserve"> </w:t>
      </w:r>
      <w:r w:rsidR="004D668F">
        <w:rPr>
          <w:b/>
          <w:bCs/>
          <w:lang w:eastAsia="en-AU"/>
        </w:rPr>
        <w:t>r</w:t>
      </w:r>
      <w:r w:rsidRPr="00276391">
        <w:rPr>
          <w:b/>
          <w:bCs/>
          <w:lang w:eastAsia="en-AU"/>
        </w:rPr>
        <w:t>eview</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annual</w:t>
      </w:r>
      <w:r w:rsidR="005D5532" w:rsidRPr="00276391">
        <w:rPr>
          <w:lang w:eastAsia="en-AU"/>
        </w:rPr>
        <w:t xml:space="preserve"> </w:t>
      </w:r>
      <w:r w:rsidRPr="00276391">
        <w:rPr>
          <w:lang w:eastAsia="en-AU"/>
        </w:rPr>
        <w:t>assessment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whole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collected</w:t>
      </w:r>
      <w:r w:rsidR="005D5532" w:rsidRPr="00276391">
        <w:rPr>
          <w:lang w:eastAsia="en-AU"/>
        </w:rPr>
        <w:t xml:space="preserve"> </w:t>
      </w:r>
      <w:r w:rsidRPr="00276391">
        <w:rPr>
          <w:lang w:eastAsia="en-AU"/>
        </w:rPr>
        <w:t>throughout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year.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Desktop</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Report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shared</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p>
    <w:p w14:paraId="13C0B45C" w14:textId="046EE533" w:rsidR="00236748" w:rsidRPr="00276391" w:rsidRDefault="009B3052" w:rsidP="00276391">
      <w:pPr>
        <w:pStyle w:val="DHHSbody"/>
        <w:rPr>
          <w:lang w:eastAsia="en-AU"/>
        </w:rPr>
      </w:pPr>
      <w:r>
        <w:rPr>
          <w:b/>
          <w:bCs/>
          <w:lang w:eastAsia="en-AU"/>
        </w:rPr>
        <w:t>Service agreement</w:t>
      </w:r>
      <w:r w:rsidR="005D5532" w:rsidRPr="00276391">
        <w:rPr>
          <w:b/>
          <w:bCs/>
          <w:lang w:eastAsia="en-AU"/>
        </w:rPr>
        <w:t xml:space="preserve"> </w:t>
      </w:r>
      <w:r w:rsidR="004D668F">
        <w:rPr>
          <w:b/>
          <w:bCs/>
          <w:lang w:eastAsia="en-AU"/>
        </w:rPr>
        <w:t>c</w:t>
      </w:r>
      <w:r w:rsidR="00236748" w:rsidRPr="00276391">
        <w:rPr>
          <w:b/>
          <w:bCs/>
          <w:lang w:eastAsia="en-AU"/>
        </w:rPr>
        <w:t>ompliance</w:t>
      </w:r>
      <w:r w:rsidR="005D5532" w:rsidRPr="00276391">
        <w:rPr>
          <w:b/>
          <w:bCs/>
          <w:lang w:eastAsia="en-AU"/>
        </w:rPr>
        <w:t xml:space="preserve"> </w:t>
      </w:r>
      <w:r w:rsidR="004D668F">
        <w:rPr>
          <w:b/>
          <w:bCs/>
          <w:lang w:eastAsia="en-AU"/>
        </w:rPr>
        <w:t>c</w:t>
      </w:r>
      <w:r w:rsidR="00236748" w:rsidRPr="00276391">
        <w:rPr>
          <w:b/>
          <w:bCs/>
          <w:lang w:eastAsia="en-AU"/>
        </w:rPr>
        <w:t>ertification</w:t>
      </w:r>
      <w:r w:rsidR="005D5532" w:rsidRPr="00276391">
        <w:rPr>
          <w:lang w:eastAsia="en-AU"/>
        </w:rPr>
        <w:t xml:space="preserve"> </w:t>
      </w:r>
      <w:r w:rsidR="00236748" w:rsidRPr="00276391">
        <w:rPr>
          <w:lang w:eastAsia="en-AU"/>
        </w:rPr>
        <w:t>requires</w:t>
      </w:r>
      <w:r w:rsidR="005D5532" w:rsidRPr="00276391">
        <w:rPr>
          <w:lang w:eastAsia="en-AU"/>
        </w:rPr>
        <w:t xml:space="preserve"> </w:t>
      </w:r>
      <w:r w:rsidR="00236748" w:rsidRPr="00276391">
        <w:rPr>
          <w:lang w:eastAsia="en-AU"/>
        </w:rPr>
        <w:t>funded</w:t>
      </w:r>
      <w:r w:rsidR="005D5532" w:rsidRPr="00276391">
        <w:rPr>
          <w:lang w:eastAsia="en-AU"/>
        </w:rPr>
        <w:t xml:space="preserve"> </w:t>
      </w:r>
      <w:r w:rsidR="00236748" w:rsidRPr="00276391">
        <w:rPr>
          <w:lang w:eastAsia="en-AU"/>
        </w:rPr>
        <w:t>organisations</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certify</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department</w:t>
      </w:r>
      <w:r w:rsidR="005D5532" w:rsidRPr="00276391">
        <w:rPr>
          <w:lang w:eastAsia="en-AU"/>
        </w:rPr>
        <w:t xml:space="preserve"> </w:t>
      </w:r>
      <w:r w:rsidR="00236748" w:rsidRPr="00276391">
        <w:rPr>
          <w:lang w:eastAsia="en-AU"/>
        </w:rPr>
        <w:t>that</w:t>
      </w:r>
      <w:r w:rsidR="005D5532" w:rsidRPr="00276391">
        <w:rPr>
          <w:lang w:eastAsia="en-AU"/>
        </w:rPr>
        <w:t xml:space="preserve"> </w:t>
      </w:r>
      <w:r w:rsidR="00236748" w:rsidRPr="00276391">
        <w:rPr>
          <w:lang w:eastAsia="en-AU"/>
        </w:rPr>
        <w:t>they</w:t>
      </w:r>
      <w:r w:rsidR="005D5532" w:rsidRPr="00276391">
        <w:rPr>
          <w:lang w:eastAsia="en-AU"/>
        </w:rPr>
        <w:t xml:space="preserve"> </w:t>
      </w:r>
      <w:r w:rsidR="00236748" w:rsidRPr="00276391">
        <w:rPr>
          <w:lang w:eastAsia="en-AU"/>
        </w:rPr>
        <w:t>are</w:t>
      </w:r>
      <w:r w:rsidR="005D5532" w:rsidRPr="00276391">
        <w:rPr>
          <w:lang w:eastAsia="en-AU"/>
        </w:rPr>
        <w:t xml:space="preserve"> </w:t>
      </w:r>
      <w:r w:rsidR="00236748" w:rsidRPr="00276391">
        <w:rPr>
          <w:lang w:eastAsia="en-AU"/>
        </w:rPr>
        <w:t>compliant</w:t>
      </w:r>
      <w:r w:rsidR="005D5532" w:rsidRPr="00276391">
        <w:rPr>
          <w:lang w:eastAsia="en-AU"/>
        </w:rPr>
        <w:t xml:space="preserve"> </w:t>
      </w:r>
      <w:r w:rsidR="00236748" w:rsidRPr="00276391">
        <w:rPr>
          <w:lang w:eastAsia="en-AU"/>
        </w:rPr>
        <w:t>with</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requirements</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defined</w:t>
      </w:r>
      <w:r w:rsidR="005D5532" w:rsidRPr="00276391">
        <w:rPr>
          <w:lang w:eastAsia="en-AU"/>
        </w:rPr>
        <w:t xml:space="preserve"> </w:t>
      </w:r>
      <w:r w:rsidR="00236748" w:rsidRPr="00276391">
        <w:rPr>
          <w:lang w:eastAsia="en-AU"/>
        </w:rPr>
        <w:t>clause</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policies</w:t>
      </w:r>
      <w:r w:rsidR="005D5532" w:rsidRPr="00276391">
        <w:rPr>
          <w:lang w:eastAsia="en-AU"/>
        </w:rPr>
        <w:t xml:space="preserve"> </w:t>
      </w:r>
      <w:r w:rsidR="00236748" w:rsidRPr="00276391">
        <w:rPr>
          <w:lang w:eastAsia="en-AU"/>
        </w:rPr>
        <w:t>outlined</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the</w:t>
      </w:r>
      <w:r w:rsidR="005D5532" w:rsidRPr="00276391">
        <w:rPr>
          <w:lang w:eastAsia="en-AU"/>
        </w:rPr>
        <w:t xml:space="preserve"> </w:t>
      </w:r>
      <w:r>
        <w:rPr>
          <w:lang w:eastAsia="en-AU"/>
        </w:rPr>
        <w:t>Service agreement</w:t>
      </w:r>
      <w:r w:rsidR="00236748" w:rsidRPr="00276391">
        <w:rPr>
          <w:lang w:eastAsia="en-AU"/>
        </w:rPr>
        <w:t>.</w:t>
      </w:r>
    </w:p>
    <w:p w14:paraId="62D3E0E5" w14:textId="2BD49AD7" w:rsidR="00236748" w:rsidRPr="00276391" w:rsidRDefault="00236748" w:rsidP="00276391">
      <w:pPr>
        <w:pStyle w:val="DHHSbody"/>
        <w:rPr>
          <w:lang w:eastAsia="en-AU"/>
        </w:rPr>
      </w:pPr>
      <w:r w:rsidRPr="00276391">
        <w:rPr>
          <w:b/>
          <w:bCs/>
          <w:lang w:eastAsia="en-AU"/>
        </w:rPr>
        <w:t>Specialist</w:t>
      </w:r>
      <w:r w:rsidR="005D5532" w:rsidRPr="00276391">
        <w:rPr>
          <w:b/>
          <w:bCs/>
          <w:lang w:eastAsia="en-AU"/>
        </w:rPr>
        <w:t xml:space="preserve"> </w:t>
      </w:r>
      <w:r w:rsidR="004D668F">
        <w:rPr>
          <w:b/>
          <w:bCs/>
          <w:lang w:eastAsia="en-AU"/>
        </w:rPr>
        <w:t>c</w:t>
      </w:r>
      <w:r w:rsidRPr="00276391">
        <w:rPr>
          <w:b/>
          <w:bCs/>
          <w:lang w:eastAsia="en-AU"/>
        </w:rPr>
        <w:t>hecklists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departmental</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addressing</w:t>
      </w:r>
      <w:r w:rsidR="005D5532" w:rsidRPr="00276391">
        <w:rPr>
          <w:lang w:eastAsia="en-AU"/>
        </w:rPr>
        <w:t xml:space="preserve"> </w:t>
      </w:r>
      <w:r w:rsidRPr="00276391">
        <w:rPr>
          <w:lang w:eastAsia="en-AU"/>
        </w:rPr>
        <w:t>defined</w:t>
      </w:r>
      <w:r w:rsidR="005D5532" w:rsidRPr="00276391">
        <w:rPr>
          <w:lang w:eastAsia="en-AU"/>
        </w:rPr>
        <w:t xml:space="preserve"> </w:t>
      </w:r>
      <w:r w:rsidRPr="00276391">
        <w:rPr>
          <w:lang w:eastAsia="en-AU"/>
        </w:rPr>
        <w:t>policy/program</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Current</w:t>
      </w:r>
      <w:r w:rsidR="005D5532" w:rsidRPr="00276391">
        <w:rPr>
          <w:lang w:eastAsia="en-AU"/>
        </w:rPr>
        <w:t xml:space="preserve"> </w:t>
      </w:r>
      <w:r w:rsidRPr="00276391">
        <w:rPr>
          <w:lang w:eastAsia="en-AU"/>
        </w:rPr>
        <w:t>specialist</w:t>
      </w:r>
      <w:r w:rsidR="005D5532" w:rsidRPr="00276391">
        <w:rPr>
          <w:lang w:eastAsia="en-AU"/>
        </w:rPr>
        <w:t xml:space="preserve"> </w:t>
      </w:r>
      <w:r w:rsidRPr="00276391">
        <w:rPr>
          <w:lang w:eastAsia="en-AU"/>
        </w:rPr>
        <w:t>checklist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focused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quality</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young</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living</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residential</w:t>
      </w:r>
      <w:r w:rsidR="005D5532" w:rsidRPr="00276391">
        <w:rPr>
          <w:lang w:eastAsia="en-AU"/>
        </w:rPr>
        <w:t xml:space="preserve"> </w:t>
      </w:r>
      <w:r w:rsidRPr="00276391">
        <w:rPr>
          <w:lang w:eastAsia="en-AU"/>
        </w:rPr>
        <w:t>facilities.</w:t>
      </w:r>
    </w:p>
    <w:p w14:paraId="7567A939" w14:textId="77777777" w:rsidR="00236748" w:rsidRPr="00276391" w:rsidRDefault="00236748" w:rsidP="001A0795">
      <w:pPr>
        <w:pStyle w:val="Heading4"/>
        <w:rPr>
          <w:lang w:eastAsia="en-AU"/>
        </w:rPr>
      </w:pPr>
      <w:bookmarkStart w:id="780" w:name="_Toc478992136"/>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780"/>
    </w:p>
    <w:p w14:paraId="24D3EF76" w14:textId="0D573D51" w:rsidR="00236748" w:rsidRPr="001F4F23" w:rsidRDefault="00236748" w:rsidP="00276391">
      <w:pPr>
        <w:pStyle w:val="DHHSbody"/>
        <w:rPr>
          <w:rFonts w:cs="Arial"/>
          <w:color w:val="000000"/>
          <w:szCs w:val="19"/>
          <w:lang w:eastAsia="en-AU"/>
        </w:rPr>
      </w:pPr>
      <w:r w:rsidRPr="00F373A1">
        <w:rPr>
          <w:rFonts w:cs="Arial"/>
          <w:color w:val="000000"/>
          <w:szCs w:val="19"/>
          <w:lang w:eastAsia="en-AU"/>
        </w:rPr>
        <w:t>The</w:t>
      </w:r>
      <w:r w:rsidR="005D5532" w:rsidRPr="00F373A1">
        <w:rPr>
          <w:rFonts w:cs="Arial"/>
          <w:color w:val="000000"/>
          <w:szCs w:val="19"/>
          <w:lang w:eastAsia="en-AU"/>
        </w:rPr>
        <w:t xml:space="preserve"> </w:t>
      </w:r>
      <w:hyperlink r:id="rId261" w:history="1">
        <w:r w:rsidR="001F4F23" w:rsidRPr="00DB3486">
          <w:rPr>
            <w:rStyle w:val="Hyperlink"/>
            <w:rFonts w:cs="Arial"/>
            <w:szCs w:val="19"/>
            <w:lang w:eastAsia="en-AU"/>
          </w:rPr>
          <w:t>Funded Organisation Performance Monitoring Framework: overview for the funded sector</w:t>
        </w:r>
      </w:hyperlink>
      <w:r w:rsidR="00DB3486">
        <w:rPr>
          <w:rFonts w:cs="Arial"/>
          <w:color w:val="000000"/>
          <w:szCs w:val="19"/>
          <w:lang w:eastAsia="en-AU"/>
        </w:rPr>
        <w:t xml:space="preserve"> &lt;</w:t>
      </w:r>
      <w:r w:rsidR="00DB3486" w:rsidRPr="00DB3486">
        <w:rPr>
          <w:rFonts w:cs="Arial"/>
          <w:color w:val="000000"/>
          <w:szCs w:val="19"/>
          <w:lang w:eastAsia="en-AU"/>
        </w:rPr>
        <w:t>https://fac.dhhs.vic.gov.au/policies-and-procedures</w:t>
      </w:r>
      <w:r w:rsidR="00DB3486">
        <w:rPr>
          <w:rFonts w:cs="Arial"/>
          <w:color w:val="000000"/>
          <w:szCs w:val="19"/>
          <w:lang w:eastAsia="en-AU"/>
        </w:rPr>
        <w:t>&gt; (external link, opens in a new window)</w:t>
      </w:r>
      <w:r w:rsidR="001F4F23">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further</w:t>
      </w:r>
      <w:r w:rsidR="005D5532" w:rsidRPr="00B24C02">
        <w:rPr>
          <w:rFonts w:cs="Arial"/>
          <w:color w:val="000000"/>
          <w:szCs w:val="19"/>
          <w:lang w:eastAsia="en-AU"/>
        </w:rPr>
        <w:t xml:space="preserve"> </w:t>
      </w:r>
      <w:r w:rsidRPr="00B24C02">
        <w:rPr>
          <w:rFonts w:cs="Arial"/>
          <w:color w:val="000000"/>
          <w:szCs w:val="19"/>
          <w:lang w:eastAsia="en-AU"/>
        </w:rPr>
        <w:t>guidance</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key</w:t>
      </w:r>
      <w:r w:rsidR="005D5532" w:rsidRPr="00B24C02">
        <w:rPr>
          <w:rFonts w:cs="Arial"/>
          <w:color w:val="000000"/>
          <w:szCs w:val="19"/>
          <w:lang w:eastAsia="en-AU"/>
        </w:rPr>
        <w:t xml:space="preserve"> </w:t>
      </w:r>
      <w:r w:rsidRPr="00B24C02">
        <w:rPr>
          <w:rFonts w:cs="Arial"/>
          <w:color w:val="000000"/>
          <w:szCs w:val="19"/>
          <w:lang w:eastAsia="en-AU"/>
        </w:rPr>
        <w:t>components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process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framework.</w:t>
      </w:r>
    </w:p>
    <w:p w14:paraId="7196502A" w14:textId="2DC33A09" w:rsidR="00236748" w:rsidRPr="00276391" w:rsidRDefault="00236748" w:rsidP="00276391">
      <w:pPr>
        <w:pStyle w:val="DHHSbody"/>
        <w:rPr>
          <w:lang w:eastAsia="en-AU"/>
        </w:rPr>
      </w:pPr>
      <w:r w:rsidRPr="00276391">
        <w:rPr>
          <w:lang w:eastAsia="en-AU"/>
        </w:rPr>
        <w:t>Email:</w:t>
      </w:r>
      <w:r w:rsidR="005D5532" w:rsidRPr="00276391">
        <w:rPr>
          <w:lang w:eastAsia="en-AU"/>
        </w:rPr>
        <w:t xml:space="preserve"> </w:t>
      </w:r>
      <w:hyperlink r:id="rId262" w:history="1">
        <w:r w:rsidR="00E475B7" w:rsidRPr="00E475B7">
          <w:rPr>
            <w:rFonts w:cs="Arial"/>
            <w:color w:val="0000FF"/>
            <w:u w:val="single"/>
            <w:lang w:eastAsia="en-AU"/>
          </w:rPr>
          <w:t>monitoring.framework.helpdesk@dhhs.vic.gov.au</w:t>
        </w:r>
      </w:hyperlink>
    </w:p>
    <w:p w14:paraId="76FC9FDD" w14:textId="7945A66A" w:rsidR="00236748" w:rsidRPr="00276391" w:rsidRDefault="00FF406D" w:rsidP="009B2351">
      <w:pPr>
        <w:pStyle w:val="Heading2"/>
        <w:rPr>
          <w:rFonts w:cs="Arial"/>
          <w:lang w:eastAsia="en-AU"/>
        </w:rPr>
      </w:pPr>
      <w:bookmarkStart w:id="781" w:name="_Toc478992143"/>
      <w:bookmarkStart w:id="782" w:name="_Toc478992489"/>
      <w:bookmarkStart w:id="783" w:name="_Toc478992924"/>
      <w:bookmarkStart w:id="784" w:name="_Toc4142130"/>
      <w:r>
        <w:rPr>
          <w:rFonts w:cs="Arial"/>
          <w:lang w:eastAsia="en-AU"/>
        </w:rPr>
        <w:t>4.10</w:t>
      </w:r>
      <w:r w:rsidR="009B2351" w:rsidRPr="00276391">
        <w:rPr>
          <w:rFonts w:cs="Arial"/>
          <w:lang w:eastAsia="en-AU"/>
        </w:rPr>
        <w:t xml:space="preserve"> </w:t>
      </w:r>
      <w:r w:rsidR="00236748" w:rsidRPr="00276391">
        <w:rPr>
          <w:rFonts w:cs="Arial"/>
          <w:lang w:eastAsia="en-AU"/>
        </w:rPr>
        <w:t>Pandemic</w:t>
      </w:r>
      <w:r w:rsidR="009B2351" w:rsidRPr="00276391">
        <w:rPr>
          <w:rFonts w:cs="Arial"/>
          <w:lang w:eastAsia="en-AU"/>
        </w:rPr>
        <w:t xml:space="preserve"> </w:t>
      </w:r>
      <w:r w:rsidR="00236748" w:rsidRPr="00276391">
        <w:rPr>
          <w:rFonts w:cs="Arial"/>
          <w:lang w:eastAsia="en-AU"/>
        </w:rPr>
        <w:t>business</w:t>
      </w:r>
      <w:r w:rsidR="009B2351" w:rsidRPr="00276391">
        <w:rPr>
          <w:rFonts w:cs="Arial"/>
          <w:lang w:eastAsia="en-AU"/>
        </w:rPr>
        <w:t xml:space="preserve"> </w:t>
      </w:r>
      <w:r w:rsidR="00236748" w:rsidRPr="00276391">
        <w:rPr>
          <w:rFonts w:cs="Arial"/>
          <w:lang w:eastAsia="en-AU"/>
        </w:rPr>
        <w:t>continuity</w:t>
      </w:r>
      <w:r w:rsidR="009B2351" w:rsidRPr="00276391">
        <w:rPr>
          <w:rFonts w:cs="Arial"/>
          <w:lang w:eastAsia="en-AU"/>
        </w:rPr>
        <w:t xml:space="preserve"> </w:t>
      </w:r>
      <w:r w:rsidR="00236748" w:rsidRPr="00276391">
        <w:rPr>
          <w:rFonts w:cs="Arial"/>
          <w:lang w:eastAsia="en-AU"/>
        </w:rPr>
        <w:t>planning</w:t>
      </w:r>
      <w:bookmarkEnd w:id="781"/>
      <w:bookmarkEnd w:id="782"/>
      <w:bookmarkEnd w:id="783"/>
      <w:bookmarkEnd w:id="784"/>
    </w:p>
    <w:p w14:paraId="50C52611" w14:textId="77777777" w:rsidR="00236748" w:rsidRPr="00276391" w:rsidRDefault="00236748" w:rsidP="001A0795">
      <w:pPr>
        <w:pStyle w:val="Heading4"/>
        <w:rPr>
          <w:lang w:eastAsia="en-AU"/>
        </w:rPr>
      </w:pPr>
      <w:bookmarkStart w:id="785" w:name="_Toc478992146"/>
      <w:r w:rsidRPr="00276391">
        <w:rPr>
          <w:lang w:eastAsia="en-AU"/>
        </w:rPr>
        <w:t>Pandemic</w:t>
      </w:r>
      <w:r w:rsidR="005D5532" w:rsidRPr="00276391">
        <w:rPr>
          <w:lang w:eastAsia="en-AU"/>
        </w:rPr>
        <w:t xml:space="preserve"> </w:t>
      </w:r>
      <w:r w:rsidRPr="00276391">
        <w:rPr>
          <w:lang w:eastAsia="en-AU"/>
        </w:rPr>
        <w:t>planning</w:t>
      </w:r>
      <w:bookmarkEnd w:id="785"/>
    </w:p>
    <w:p w14:paraId="365237FD" w14:textId="77777777" w:rsidR="00236748" w:rsidRPr="00276391" w:rsidRDefault="00236748" w:rsidP="00276391">
      <w:pPr>
        <w:pStyle w:val="DHHSbody"/>
        <w:rPr>
          <w:lang w:eastAsia="en-AU"/>
        </w:rPr>
      </w:pPr>
      <w:r w:rsidRPr="00B24C02">
        <w:rPr>
          <w:rFonts w:cs="Arial"/>
          <w:color w:val="000000"/>
          <w:szCs w:val="19"/>
          <w:lang w:eastAsia="en-AU"/>
        </w:rPr>
        <w:t>Pandemic</w:t>
      </w:r>
      <w:r w:rsidR="005D5532" w:rsidRPr="00B24C02">
        <w:rPr>
          <w:rFonts w:cs="Arial"/>
          <w:color w:val="000000"/>
          <w:szCs w:val="19"/>
          <w:lang w:eastAsia="en-AU"/>
        </w:rPr>
        <w:t xml:space="preserve"> </w:t>
      </w:r>
      <w:r w:rsidRPr="00B24C02">
        <w:rPr>
          <w:rFonts w:cs="Arial"/>
          <w:color w:val="000000"/>
          <w:szCs w:val="19"/>
          <w:lang w:eastAsia="en-AU"/>
        </w:rPr>
        <w:t>events</w:t>
      </w:r>
      <w:r w:rsidR="005D5532" w:rsidRPr="00B24C02">
        <w:rPr>
          <w:rFonts w:cs="Arial"/>
          <w:color w:val="000000"/>
          <w:szCs w:val="19"/>
          <w:lang w:eastAsia="en-AU"/>
        </w:rPr>
        <w:t xml:space="preserve"> </w:t>
      </w:r>
      <w:r w:rsidRPr="00B24C02">
        <w:rPr>
          <w:rFonts w:cs="Arial"/>
          <w:color w:val="000000"/>
          <w:szCs w:val="19"/>
          <w:lang w:eastAsia="en-AU"/>
        </w:rPr>
        <w:t>pose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challenge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continued</w:t>
      </w:r>
      <w:r w:rsidR="005D5532" w:rsidRPr="00B24C02">
        <w:rPr>
          <w:rFonts w:cs="Arial"/>
          <w:color w:val="000000"/>
          <w:szCs w:val="19"/>
          <w:lang w:eastAsia="en-AU"/>
        </w:rPr>
        <w:t xml:space="preserve"> </w:t>
      </w:r>
      <w:r w:rsidRPr="00B24C02">
        <w:rPr>
          <w:rFonts w:cs="Arial"/>
          <w:color w:val="000000"/>
          <w:szCs w:val="19"/>
          <w:lang w:eastAsia="en-AU"/>
        </w:rPr>
        <w:t>provision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exercise</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duty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care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protect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wellbeing</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employees,</w:t>
      </w:r>
      <w:r w:rsidR="005D5532" w:rsidRPr="00B24C02">
        <w:rPr>
          <w:rFonts w:cs="Arial"/>
          <w:color w:val="000000"/>
          <w:szCs w:val="19"/>
          <w:lang w:eastAsia="en-AU"/>
        </w:rPr>
        <w:t xml:space="preserve"> </w:t>
      </w:r>
      <w:r w:rsidRPr="00B24C02">
        <w:rPr>
          <w:rFonts w:cs="Arial"/>
          <w:color w:val="000000"/>
          <w:szCs w:val="19"/>
          <w:lang w:eastAsia="en-AU"/>
        </w:rPr>
        <w:t>contractors,</w:t>
      </w:r>
      <w:r w:rsidR="005D5532" w:rsidRPr="00B24C02">
        <w:rPr>
          <w:rFonts w:cs="Arial"/>
          <w:color w:val="000000"/>
          <w:szCs w:val="19"/>
          <w:lang w:eastAsia="en-AU"/>
        </w:rPr>
        <w:t xml:space="preserve"> </w:t>
      </w:r>
      <w:r w:rsidRPr="00B24C02">
        <w:rPr>
          <w:rFonts w:cs="Arial"/>
          <w:color w:val="000000"/>
          <w:szCs w:val="19"/>
          <w:lang w:eastAsia="en-AU"/>
        </w:rPr>
        <w:t>visitors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customers</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families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children).</w:t>
      </w:r>
      <w:r w:rsidR="005D5532" w:rsidRPr="00B24C02">
        <w:rPr>
          <w:rFonts w:cs="Arial"/>
          <w:color w:val="000000"/>
          <w:szCs w:val="19"/>
          <w:lang w:eastAsia="en-AU"/>
        </w:rPr>
        <w:t xml:space="preserve"> </w:t>
      </w:r>
      <w:r w:rsidRPr="00B24C02">
        <w:rPr>
          <w:rFonts w:cs="Arial"/>
          <w:color w:val="000000"/>
          <w:szCs w:val="19"/>
          <w:lang w:eastAsia="en-AU"/>
        </w:rPr>
        <w:t>Accordingly,</w:t>
      </w:r>
      <w:r w:rsidR="005D5532" w:rsidRPr="00B24C02">
        <w:rPr>
          <w:rFonts w:cs="Arial"/>
          <w:color w:val="000000"/>
          <w:szCs w:val="19"/>
          <w:lang w:eastAsia="en-AU"/>
        </w:rPr>
        <w:t xml:space="preserve"> </w:t>
      </w:r>
      <w:r w:rsidRPr="00B24C02">
        <w:rPr>
          <w:rFonts w:cs="Arial"/>
          <w:color w:val="000000"/>
          <w:szCs w:val="19"/>
          <w:lang w:eastAsia="en-AU"/>
        </w:rPr>
        <w:t>adequate</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continuity</w:t>
      </w:r>
      <w:r w:rsidR="005D5532" w:rsidRPr="00B24C02">
        <w:rPr>
          <w:rFonts w:cs="Arial"/>
          <w:color w:val="000000"/>
          <w:szCs w:val="19"/>
          <w:lang w:eastAsia="en-AU"/>
        </w:rPr>
        <w:t xml:space="preserve"> </w:t>
      </w:r>
      <w:r w:rsidRPr="00B24C02">
        <w:rPr>
          <w:rFonts w:cs="Arial"/>
          <w:color w:val="000000"/>
          <w:szCs w:val="19"/>
          <w:lang w:eastAsia="en-AU"/>
        </w:rPr>
        <w:t>planning,</w:t>
      </w:r>
      <w:r w:rsidR="005D5532" w:rsidRPr="00B24C02">
        <w:rPr>
          <w:rFonts w:cs="Arial"/>
          <w:color w:val="000000"/>
          <w:szCs w:val="19"/>
          <w:lang w:eastAsia="en-AU"/>
        </w:rPr>
        <w:t xml:space="preserve"> </w:t>
      </w:r>
      <w:r w:rsidRPr="00B24C02">
        <w:rPr>
          <w:rFonts w:cs="Arial"/>
          <w:color w:val="000000"/>
          <w:szCs w:val="19"/>
          <w:lang w:eastAsia="en-AU"/>
        </w:rPr>
        <w:t>including</w:t>
      </w:r>
      <w:r w:rsidR="005D5532" w:rsidRPr="00B24C02">
        <w:rPr>
          <w:rFonts w:cs="Arial"/>
          <w:color w:val="000000"/>
          <w:szCs w:val="19"/>
          <w:lang w:eastAsia="en-AU"/>
        </w:rPr>
        <w:t xml:space="preserve"> </w:t>
      </w:r>
      <w:r w:rsidRPr="00B24C02">
        <w:rPr>
          <w:rFonts w:cs="Arial"/>
          <w:color w:val="000000"/>
          <w:szCs w:val="19"/>
          <w:lang w:eastAsia="en-AU"/>
        </w:rPr>
        <w:t>pandemic</w:t>
      </w:r>
      <w:r w:rsidR="005D5532" w:rsidRPr="00B24C02">
        <w:rPr>
          <w:rFonts w:cs="Arial"/>
          <w:color w:val="000000"/>
          <w:szCs w:val="19"/>
          <w:lang w:eastAsia="en-AU"/>
        </w:rPr>
        <w:t xml:space="preserve"> </w:t>
      </w:r>
      <w:r w:rsidRPr="00B24C02">
        <w:rPr>
          <w:rFonts w:cs="Arial"/>
          <w:color w:val="000000"/>
          <w:szCs w:val="19"/>
          <w:lang w:eastAsia="en-AU"/>
        </w:rPr>
        <w:t>planning,</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required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enable</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continue</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deliver</w:t>
      </w:r>
      <w:r w:rsidR="005D5532" w:rsidRPr="00B24C02">
        <w:rPr>
          <w:rFonts w:cs="Arial"/>
          <w:color w:val="000000"/>
          <w:szCs w:val="19"/>
          <w:lang w:eastAsia="en-AU"/>
        </w:rPr>
        <w:t xml:space="preserve"> </w:t>
      </w:r>
      <w:r w:rsidRPr="00B24C02">
        <w:rPr>
          <w:rFonts w:cs="Arial"/>
          <w:color w:val="000000"/>
          <w:szCs w:val="19"/>
          <w:lang w:eastAsia="en-AU"/>
        </w:rPr>
        <w:t>their</w:t>
      </w:r>
      <w:r w:rsidR="005D5532" w:rsidRPr="00B24C02">
        <w:rPr>
          <w:rFonts w:cs="Arial"/>
          <w:color w:val="000000"/>
          <w:szCs w:val="19"/>
          <w:lang w:eastAsia="en-AU"/>
        </w:rPr>
        <w:t xml:space="preserve"> </w:t>
      </w:r>
      <w:r w:rsidRPr="00B24C02">
        <w:rPr>
          <w:rFonts w:cs="Arial"/>
          <w:color w:val="000000"/>
          <w:szCs w:val="19"/>
          <w:lang w:eastAsia="en-AU"/>
        </w:rPr>
        <w:t>key</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community.</w:t>
      </w:r>
    </w:p>
    <w:p w14:paraId="0B3AA846" w14:textId="77777777" w:rsidR="00236748" w:rsidRPr="00276391" w:rsidRDefault="00236748" w:rsidP="00276391">
      <w:pPr>
        <w:pStyle w:val="DHHSbody"/>
        <w:rPr>
          <w:lang w:eastAsia="en-AU"/>
        </w:rPr>
      </w:pP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expected</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would</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closely</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authorities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manage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consequences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events.</w:t>
      </w:r>
    </w:p>
    <w:p w14:paraId="64564438" w14:textId="77777777" w:rsidR="00236748" w:rsidRPr="00276391" w:rsidRDefault="00236748" w:rsidP="00F373A1">
      <w:pPr>
        <w:pStyle w:val="Heading4"/>
        <w:rPr>
          <w:lang w:eastAsia="en-AU"/>
        </w:rPr>
      </w:pPr>
      <w:bookmarkStart w:id="786" w:name="_Toc478992147"/>
      <w:r w:rsidRPr="00276391">
        <w:rPr>
          <w:lang w:eastAsia="en-AU"/>
        </w:rPr>
        <w:lastRenderedPageBreak/>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planning</w:t>
      </w:r>
      <w:bookmarkEnd w:id="786"/>
    </w:p>
    <w:p w14:paraId="5C83FA6C" w14:textId="77777777" w:rsidR="00236748" w:rsidRPr="00276391" w:rsidRDefault="00236748" w:rsidP="00276391">
      <w:pPr>
        <w:pStyle w:val="DHHSbody"/>
        <w:rPr>
          <w:lang w:eastAsia="en-AU"/>
        </w:rPr>
      </w:pP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required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plans</w:t>
      </w:r>
      <w:r w:rsidR="005D5532" w:rsidRPr="00276391">
        <w:rPr>
          <w:lang w:eastAsia="en-AU"/>
        </w:rPr>
        <w:t xml:space="preserve"> </w:t>
      </w:r>
      <w:r w:rsidRPr="00276391">
        <w:rPr>
          <w:lang w:eastAsia="en-AU"/>
        </w:rPr>
        <w:t>(BCPs)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deliver</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Conversely,</w:t>
      </w:r>
      <w:r w:rsidR="005D5532" w:rsidRPr="00276391">
        <w:rPr>
          <w:lang w:eastAsia="en-AU"/>
        </w:rPr>
        <w:t xml:space="preserve"> </w:t>
      </w:r>
      <w:r w:rsidRPr="00276391">
        <w:rPr>
          <w:lang w:eastAsia="en-AU"/>
        </w:rPr>
        <w:t>you</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scaling</w:t>
      </w:r>
      <w:r w:rsidR="005D5532" w:rsidRPr="00276391">
        <w:rPr>
          <w:lang w:eastAsia="en-AU"/>
        </w:rPr>
        <w:t xml:space="preserve"> </w:t>
      </w:r>
      <w:r w:rsidRPr="00276391">
        <w:rPr>
          <w:lang w:eastAsia="en-AU"/>
        </w:rPr>
        <w:t>down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standing</w:t>
      </w:r>
      <w:r w:rsidR="005D5532" w:rsidRPr="00276391">
        <w:rPr>
          <w:lang w:eastAsia="en-AU"/>
        </w:rPr>
        <w:t xml:space="preserve"> </w:t>
      </w:r>
      <w:r w:rsidRPr="00276391">
        <w:rPr>
          <w:lang w:eastAsia="en-AU"/>
        </w:rPr>
        <w:t>down</w:t>
      </w:r>
      <w:r w:rsidR="005D5532" w:rsidRPr="00276391">
        <w:rPr>
          <w:lang w:eastAsia="en-AU"/>
        </w:rPr>
        <w:t xml:space="preserve"> </w:t>
      </w:r>
      <w:r w:rsidRPr="00276391">
        <w:rPr>
          <w:lang w:eastAsia="en-AU"/>
        </w:rPr>
        <w:t>non-essential</w:t>
      </w:r>
      <w:r w:rsidR="005D5532" w:rsidRPr="00276391">
        <w:rPr>
          <w:lang w:eastAsia="en-AU"/>
        </w:rPr>
        <w:t xml:space="preserve"> </w:t>
      </w:r>
      <w:r w:rsidRPr="00276391">
        <w:rPr>
          <w:lang w:eastAsia="en-AU"/>
        </w:rPr>
        <w:t>services.</w:t>
      </w:r>
    </w:p>
    <w:p w14:paraId="4E2AF885" w14:textId="77777777" w:rsidR="00236748" w:rsidRPr="00276391" w:rsidRDefault="00236748" w:rsidP="00276391">
      <w:pPr>
        <w:pStyle w:val="DHHSbody"/>
        <w:rPr>
          <w:lang w:eastAsia="en-AU"/>
        </w:rPr>
      </w:pP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process</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usual</w:t>
      </w:r>
      <w:r w:rsidR="005D5532" w:rsidRPr="00276391">
        <w:rPr>
          <w:lang w:eastAsia="en-AU"/>
        </w:rPr>
        <w:t xml:space="preserve"> </w:t>
      </w:r>
      <w:r w:rsidRPr="00276391">
        <w:rPr>
          <w:lang w:eastAsia="en-AU"/>
        </w:rPr>
        <w:t>operations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maintained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critical</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operate</w:t>
      </w:r>
      <w:r w:rsidR="005D5532" w:rsidRPr="00276391">
        <w:rPr>
          <w:lang w:eastAsia="en-AU"/>
        </w:rPr>
        <w:t xml:space="preserve"> </w:t>
      </w:r>
      <w:r w:rsidRPr="00276391">
        <w:rPr>
          <w:lang w:eastAsia="en-AU"/>
        </w:rPr>
        <w:t>effectively,</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disruption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improves</w:t>
      </w:r>
      <w:r w:rsidR="005D5532" w:rsidRPr="00276391">
        <w:rPr>
          <w:lang w:eastAsia="en-AU"/>
        </w:rPr>
        <w:t xml:space="preserve"> </w:t>
      </w:r>
      <w:r w:rsidRPr="00276391">
        <w:rPr>
          <w:lang w:eastAsia="en-AU"/>
        </w:rPr>
        <w:t>organisational</w:t>
      </w:r>
      <w:r w:rsidR="005D5532" w:rsidRPr="00276391">
        <w:rPr>
          <w:lang w:eastAsia="en-AU"/>
        </w:rPr>
        <w:t xml:space="preserve"> </w:t>
      </w:r>
      <w:r w:rsidRPr="00276391">
        <w:rPr>
          <w:lang w:eastAsia="en-AU"/>
        </w:rPr>
        <w:t>resilience</w:t>
      </w:r>
      <w:r w:rsidR="005D5532" w:rsidRPr="00276391">
        <w:rPr>
          <w:lang w:eastAsia="en-AU"/>
        </w:rPr>
        <w:t xml:space="preserve"> </w:t>
      </w:r>
      <w:r w:rsidRPr="00276391">
        <w:rPr>
          <w:lang w:eastAsia="en-AU"/>
        </w:rPr>
        <w:t>whilst</w:t>
      </w:r>
      <w:r w:rsidR="005D5532" w:rsidRPr="00276391">
        <w:rPr>
          <w:lang w:eastAsia="en-AU"/>
        </w:rPr>
        <w:t xml:space="preserve"> </w:t>
      </w:r>
      <w:r w:rsidRPr="00276391">
        <w:rPr>
          <w:lang w:eastAsia="en-AU"/>
        </w:rPr>
        <w:t>minimising</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financial,</w:t>
      </w:r>
      <w:r w:rsidR="005D5532" w:rsidRPr="00276391">
        <w:rPr>
          <w:lang w:eastAsia="en-AU"/>
        </w:rPr>
        <w:t xml:space="preserve"> </w:t>
      </w:r>
      <w:r w:rsidRPr="00276391">
        <w:rPr>
          <w:lang w:eastAsia="en-AU"/>
        </w:rPr>
        <w:t>operational,</w:t>
      </w:r>
      <w:r w:rsidR="005D5532" w:rsidRPr="00276391">
        <w:rPr>
          <w:lang w:eastAsia="en-AU"/>
        </w:rPr>
        <w:t xml:space="preserve"> </w:t>
      </w:r>
      <w:r w:rsidRPr="00276391">
        <w:rPr>
          <w:lang w:eastAsia="en-AU"/>
        </w:rPr>
        <w:t>reputational</w:t>
      </w:r>
      <w:r w:rsidR="005D5532" w:rsidRPr="00276391">
        <w:rPr>
          <w:lang w:eastAsia="en-AU"/>
        </w:rPr>
        <w:t xml:space="preserve"> </w:t>
      </w:r>
      <w:r w:rsidRPr="00276391">
        <w:rPr>
          <w:lang w:eastAsia="en-AU"/>
        </w:rPr>
        <w:t>risks</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damaging</w:t>
      </w:r>
      <w:r w:rsidR="005D5532" w:rsidRPr="00276391">
        <w:rPr>
          <w:lang w:eastAsia="en-AU"/>
        </w:rPr>
        <w:t xml:space="preserve"> </w:t>
      </w:r>
      <w:r w:rsidRPr="00276391">
        <w:rPr>
          <w:lang w:eastAsia="en-AU"/>
        </w:rPr>
        <w:t>consequences.</w:t>
      </w:r>
    </w:p>
    <w:p w14:paraId="618CE6BF" w14:textId="77777777" w:rsidR="00236748" w:rsidRPr="00276391" w:rsidRDefault="00236748" w:rsidP="00276391">
      <w:pPr>
        <w:pStyle w:val="DHHSbody"/>
        <w:rPr>
          <w:lang w:eastAsia="en-AU"/>
        </w:rPr>
      </w:pPr>
      <w:r w:rsidRPr="00276391">
        <w:rPr>
          <w:lang w:eastAsia="en-AU"/>
        </w:rPr>
        <w:t>BCPs</w:t>
      </w:r>
      <w:r w:rsidR="005D5532" w:rsidRPr="00276391">
        <w:rPr>
          <w:lang w:eastAsia="en-AU"/>
        </w:rPr>
        <w:t xml:space="preserve"> </w:t>
      </w:r>
      <w:r w:rsidRPr="00276391">
        <w:rPr>
          <w:lang w:eastAsia="en-AU"/>
        </w:rPr>
        <w:t>outline</w:t>
      </w:r>
      <w:r w:rsidR="005D5532" w:rsidRPr="00276391">
        <w:rPr>
          <w:lang w:eastAsia="en-AU"/>
        </w:rPr>
        <w:t xml:space="preserve"> </w:t>
      </w:r>
      <w:r w:rsidRPr="00276391">
        <w:rPr>
          <w:lang w:eastAsia="en-AU"/>
        </w:rPr>
        <w:t>workaround</w:t>
      </w:r>
      <w:r w:rsidR="005D5532" w:rsidRPr="00276391">
        <w:rPr>
          <w:lang w:eastAsia="en-AU"/>
        </w:rPr>
        <w:t xml:space="preserve"> </w:t>
      </w:r>
      <w:r w:rsidRPr="00276391">
        <w:rPr>
          <w:lang w:eastAsia="en-AU"/>
        </w:rPr>
        <w:t>strategies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would</w:t>
      </w:r>
      <w:r w:rsidR="005D5532" w:rsidRPr="00276391">
        <w:rPr>
          <w:lang w:eastAsia="en-AU"/>
        </w:rPr>
        <w:t xml:space="preserve"> </w:t>
      </w:r>
      <w:r w:rsidRPr="00276391">
        <w:rPr>
          <w:lang w:eastAsia="en-AU"/>
        </w:rPr>
        <w:t>invoke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case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disruption.</w:t>
      </w:r>
      <w:r w:rsidR="005D5532" w:rsidRPr="00276391">
        <w:rPr>
          <w:lang w:eastAsia="en-AU"/>
        </w:rPr>
        <w:t xml:space="preserve"> </w:t>
      </w:r>
      <w:r w:rsidRPr="00276391">
        <w:rPr>
          <w:lang w:eastAsia="en-AU"/>
        </w:rPr>
        <w:t>Invoking</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BCPs</w:t>
      </w:r>
      <w:r w:rsidR="005D5532" w:rsidRPr="00276391">
        <w:rPr>
          <w:lang w:eastAsia="en-AU"/>
        </w:rPr>
        <w:t xml:space="preserve"> </w:t>
      </w:r>
      <w:r w:rsidRPr="00276391">
        <w:rPr>
          <w:lang w:eastAsia="en-AU"/>
        </w:rPr>
        <w:t>assists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recovery</w:t>
      </w:r>
      <w:r w:rsidR="005D5532" w:rsidRPr="00276391">
        <w:rPr>
          <w:lang w:eastAsia="en-AU"/>
        </w:rPr>
        <w:t xml:space="preserve"> </w:t>
      </w:r>
      <w:r w:rsidRPr="00276391">
        <w:rPr>
          <w:lang w:eastAsia="en-AU"/>
        </w:rPr>
        <w:t>efforts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ensure</w:t>
      </w:r>
      <w:r w:rsidR="005D5532" w:rsidRPr="00276391">
        <w:rPr>
          <w:lang w:eastAsia="en-AU"/>
        </w:rPr>
        <w:t xml:space="preserve"> </w:t>
      </w:r>
      <w:r w:rsidRPr="00276391">
        <w:rPr>
          <w:lang w:eastAsia="en-AU"/>
        </w:rPr>
        <w:t>critical</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continue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operate.</w:t>
      </w:r>
    </w:p>
    <w:p w14:paraId="757D24D2" w14:textId="77777777" w:rsidR="00236748" w:rsidRPr="00276391" w:rsidRDefault="00236748" w:rsidP="00276391">
      <w:pPr>
        <w:pStyle w:val="DHHSbody"/>
        <w:rPr>
          <w:lang w:eastAsia="en-AU"/>
        </w:rPr>
      </w:pPr>
      <w:r w:rsidRPr="00276391">
        <w:rPr>
          <w:lang w:eastAsia="en-AU"/>
        </w:rPr>
        <w:t>Every</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benefit</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having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BCP</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place.</w:t>
      </w:r>
      <w:r w:rsidR="005D5532" w:rsidRPr="00276391">
        <w:rPr>
          <w:lang w:eastAsia="en-AU"/>
        </w:rPr>
        <w:t xml:space="preserve"> </w:t>
      </w:r>
      <w:r w:rsidRPr="00276391">
        <w:rPr>
          <w:lang w:eastAsia="en-AU"/>
        </w:rPr>
        <w:t>BCPs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disruption</w:t>
      </w:r>
      <w:r w:rsidR="005D5532" w:rsidRPr="00276391">
        <w:rPr>
          <w:lang w:eastAsia="en-AU"/>
        </w:rPr>
        <w:t xml:space="preserve"> </w:t>
      </w:r>
      <w:r w:rsidRPr="00276391">
        <w:rPr>
          <w:lang w:eastAsia="en-AU"/>
        </w:rPr>
        <w:t>scenarios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loss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building,</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supplier(s)</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opportunity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respond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recover</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vast</w:t>
      </w:r>
      <w:r w:rsidR="005D5532" w:rsidRPr="00276391">
        <w:rPr>
          <w:lang w:eastAsia="en-AU"/>
        </w:rPr>
        <w:t xml:space="preserve"> </w:t>
      </w:r>
      <w:r w:rsidRPr="00276391">
        <w:rPr>
          <w:lang w:eastAsia="en-AU"/>
        </w:rPr>
        <w:t>array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disruptions</w:t>
      </w:r>
      <w:r w:rsidR="005D5532" w:rsidRPr="00276391">
        <w:rPr>
          <w:lang w:eastAsia="en-AU"/>
        </w:rPr>
        <w:t xml:space="preserve"> </w:t>
      </w:r>
      <w:r w:rsidRPr="00276391">
        <w:rPr>
          <w:lang w:eastAsia="en-AU"/>
        </w:rPr>
        <w:t>events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pandemics,</w:t>
      </w:r>
      <w:r w:rsidR="005D5532" w:rsidRPr="00276391">
        <w:rPr>
          <w:lang w:eastAsia="en-AU"/>
        </w:rPr>
        <w:t xml:space="preserve"> </w:t>
      </w:r>
      <w:r w:rsidRPr="00276391">
        <w:rPr>
          <w:lang w:eastAsia="en-AU"/>
        </w:rPr>
        <w:t>floods,</w:t>
      </w:r>
      <w:r w:rsidR="005D5532" w:rsidRPr="00276391">
        <w:rPr>
          <w:lang w:eastAsia="en-AU"/>
        </w:rPr>
        <w:t xml:space="preserve"> </w:t>
      </w:r>
      <w:r w:rsidRPr="00276391">
        <w:rPr>
          <w:lang w:eastAsia="en-AU"/>
        </w:rPr>
        <w:t>fires</w:t>
      </w:r>
      <w:r w:rsidR="005D5532" w:rsidRPr="00276391">
        <w:rPr>
          <w:lang w:eastAsia="en-AU"/>
        </w:rPr>
        <w:t xml:space="preserve"> </w:t>
      </w:r>
      <w:r w:rsidRPr="00276391">
        <w:rPr>
          <w:lang w:eastAsia="en-AU"/>
        </w:rPr>
        <w:t>etc.</w:t>
      </w:r>
    </w:p>
    <w:p w14:paraId="5CFA7AA8" w14:textId="302540B2" w:rsidR="00236748" w:rsidRPr="00276391" w:rsidRDefault="00236748" w:rsidP="00276391">
      <w:pPr>
        <w:pStyle w:val="DHHSbody"/>
        <w:rPr>
          <w:lang w:eastAsia="en-AU"/>
        </w:rPr>
      </w:pPr>
      <w:r w:rsidRPr="00276391">
        <w:rPr>
          <w:lang w:eastAsia="en-AU"/>
        </w:rPr>
        <w:t>During</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events,</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strategies</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loss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loss</w:t>
      </w:r>
      <w:r w:rsidR="005D5532" w:rsidRPr="00276391">
        <w:rPr>
          <w:lang w:eastAsia="en-AU"/>
        </w:rPr>
        <w:t xml:space="preserve"> </w:t>
      </w:r>
      <w:r w:rsidRPr="00276391">
        <w:rPr>
          <w:lang w:eastAsia="en-AU"/>
        </w:rPr>
        <w:t>of</w:t>
      </w:r>
      <w:r w:rsidR="005D5532" w:rsidRPr="00276391">
        <w:rPr>
          <w:lang w:eastAsia="en-AU"/>
        </w:rPr>
        <w:t xml:space="preserve"> </w:t>
      </w:r>
      <w:r w:rsidR="004C6434">
        <w:rPr>
          <w:lang w:eastAsia="en-AU"/>
        </w:rPr>
        <w:t>suppliers</w:t>
      </w:r>
      <w:r w:rsidR="005D5532" w:rsidRPr="00276391">
        <w:rPr>
          <w:lang w:eastAsia="en-AU"/>
        </w:rPr>
        <w:t xml:space="preserve"> </w:t>
      </w:r>
      <w:r w:rsidRPr="00276391">
        <w:rPr>
          <w:lang w:eastAsia="en-AU"/>
        </w:rPr>
        <w:t>need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consider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absenteeism</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employees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significant</w:t>
      </w:r>
      <w:r w:rsidR="005D5532" w:rsidRPr="00276391">
        <w:rPr>
          <w:lang w:eastAsia="en-AU"/>
        </w:rPr>
        <w:t xml:space="preserve"> </w:t>
      </w:r>
      <w:r w:rsidRPr="00276391">
        <w:rPr>
          <w:lang w:eastAsia="en-AU"/>
        </w:rPr>
        <w:t>interruptions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supplies.</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particularly</w:t>
      </w:r>
      <w:r w:rsidR="005D5532" w:rsidRPr="00276391">
        <w:rPr>
          <w:lang w:eastAsia="en-AU"/>
        </w:rPr>
        <w:t xml:space="preserve"> </w:t>
      </w:r>
      <w:r w:rsidRPr="00276391">
        <w:rPr>
          <w:lang w:eastAsia="en-AU"/>
        </w:rPr>
        <w:t>important</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small</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limited</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prepare</w:t>
      </w:r>
      <w:r w:rsidR="005D5532" w:rsidRPr="00276391">
        <w:rPr>
          <w:lang w:eastAsia="en-AU"/>
        </w:rPr>
        <w:t xml:space="preserve"> </w:t>
      </w:r>
      <w:r w:rsidRPr="00276391">
        <w:rPr>
          <w:lang w:eastAsia="en-AU"/>
        </w:rPr>
        <w:t>carefully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reduce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impact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service.</w:t>
      </w:r>
    </w:p>
    <w:p w14:paraId="10406E4E" w14:textId="77777777" w:rsidR="00236748" w:rsidRPr="00276391" w:rsidRDefault="00236748" w:rsidP="00276391">
      <w:pPr>
        <w:pStyle w:val="DHHSbody"/>
        <w:rPr>
          <w:lang w:eastAsia="en-AU"/>
        </w:rPr>
      </w:pPr>
      <w:r w:rsidRPr="00276391">
        <w:rPr>
          <w:lang w:eastAsia="en-AU"/>
        </w:rPr>
        <w:t>During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disruption,</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likely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concerned</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well-being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well-being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families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customers.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example,</w:t>
      </w:r>
      <w:r w:rsidR="005D5532" w:rsidRPr="00276391">
        <w:rPr>
          <w:lang w:eastAsia="en-AU"/>
        </w:rPr>
        <w:t xml:space="preserve"> </w:t>
      </w:r>
      <w:r w:rsidRPr="00276391">
        <w:rPr>
          <w:lang w:eastAsia="en-AU"/>
        </w:rPr>
        <w:t>during</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30</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50</w:t>
      </w:r>
      <w:r w:rsidR="005D5532" w:rsidRPr="00276391">
        <w:rPr>
          <w:lang w:eastAsia="en-AU"/>
        </w:rPr>
        <w:t xml:space="preserve"> </w:t>
      </w:r>
      <w:r w:rsidRPr="00276391">
        <w:rPr>
          <w:lang w:eastAsia="en-AU"/>
        </w:rPr>
        <w:t>per</w:t>
      </w:r>
      <w:r w:rsidR="005D5532" w:rsidRPr="00276391">
        <w:rPr>
          <w:lang w:eastAsia="en-AU"/>
        </w:rPr>
        <w:t xml:space="preserve"> </w:t>
      </w:r>
      <w:r w:rsidRPr="00276391">
        <w:rPr>
          <w:lang w:eastAsia="en-AU"/>
        </w:rPr>
        <w:t>cent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become</w:t>
      </w:r>
      <w:r w:rsidR="005D5532" w:rsidRPr="00276391">
        <w:rPr>
          <w:lang w:eastAsia="en-AU"/>
        </w:rPr>
        <w:t xml:space="preserve"> </w:t>
      </w:r>
      <w:r w:rsidRPr="00276391">
        <w:rPr>
          <w:lang w:eastAsia="en-AU"/>
        </w:rPr>
        <w:t>ill,</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could</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significant</w:t>
      </w:r>
      <w:r w:rsidR="005D5532" w:rsidRPr="00276391">
        <w:rPr>
          <w:lang w:eastAsia="en-AU"/>
        </w:rPr>
        <w:t xml:space="preserve"> </w:t>
      </w:r>
      <w:r w:rsidRPr="00276391">
        <w:rPr>
          <w:lang w:eastAsia="en-AU"/>
        </w:rPr>
        <w:t>impact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remaining</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affected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show</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commitment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your</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pandemic</w:t>
      </w:r>
      <w:r w:rsidR="005D5532" w:rsidRPr="00276391">
        <w:rPr>
          <w:lang w:eastAsia="en-AU"/>
        </w:rPr>
        <w:t xml:space="preserve"> </w:t>
      </w:r>
      <w:r w:rsidRPr="00276391">
        <w:rPr>
          <w:lang w:eastAsia="en-AU"/>
        </w:rPr>
        <w:t>business</w:t>
      </w:r>
      <w:r w:rsidR="005D5532" w:rsidRPr="00276391">
        <w:rPr>
          <w:lang w:eastAsia="en-AU"/>
        </w:rPr>
        <w:t xml:space="preserve"> </w:t>
      </w:r>
      <w:r w:rsidRPr="00276391">
        <w:rPr>
          <w:lang w:eastAsia="en-AU"/>
        </w:rPr>
        <w:t>continuity</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likely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assure</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volunteers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you</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ahead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doing</w:t>
      </w:r>
      <w:r w:rsidR="005D5532" w:rsidRPr="00276391">
        <w:rPr>
          <w:lang w:eastAsia="en-AU"/>
        </w:rPr>
        <w:t xml:space="preserve"> </w:t>
      </w:r>
      <w:r w:rsidRPr="00276391">
        <w:rPr>
          <w:lang w:eastAsia="en-AU"/>
        </w:rPr>
        <w:t>your</w:t>
      </w:r>
      <w:r w:rsidR="005D5532" w:rsidRPr="00276391">
        <w:rPr>
          <w:lang w:eastAsia="en-AU"/>
        </w:rPr>
        <w:t xml:space="preserve"> </w:t>
      </w:r>
      <w:r w:rsidRPr="00276391">
        <w:rPr>
          <w:lang w:eastAsia="en-AU"/>
        </w:rPr>
        <w:t>best.</w:t>
      </w:r>
    </w:p>
    <w:p w14:paraId="12D44FB3" w14:textId="77777777" w:rsidR="00236748" w:rsidRPr="00276391" w:rsidRDefault="00236748" w:rsidP="001A0795">
      <w:pPr>
        <w:pStyle w:val="Heading4"/>
        <w:rPr>
          <w:lang w:eastAsia="en-AU"/>
        </w:rPr>
      </w:pPr>
      <w:bookmarkStart w:id="787" w:name="_Toc478992148"/>
      <w:r w:rsidRPr="00276391">
        <w:rPr>
          <w:lang w:eastAsia="en-AU"/>
        </w:rPr>
        <w:t>Resources</w:t>
      </w:r>
      <w:bookmarkEnd w:id="787"/>
    </w:p>
    <w:p w14:paraId="760243B1" w14:textId="353634CB" w:rsidR="00236748" w:rsidRPr="00276391" w:rsidRDefault="00236748" w:rsidP="00276391">
      <w:pPr>
        <w:pStyle w:val="DHHSbody"/>
        <w:rPr>
          <w:lang w:eastAsia="en-AU"/>
        </w:rPr>
      </w:pPr>
      <w:r w:rsidRPr="00B24C02">
        <w:rPr>
          <w:rFonts w:cs="Arial"/>
          <w:color w:val="000000"/>
          <w:szCs w:val="19"/>
          <w:lang w:eastAsia="en-AU"/>
        </w:rPr>
        <w:t>Australian</w:t>
      </w:r>
      <w:r w:rsidR="005D5532" w:rsidRPr="00B24C02">
        <w:rPr>
          <w:rFonts w:cs="Arial"/>
          <w:color w:val="000000"/>
          <w:szCs w:val="19"/>
          <w:lang w:eastAsia="en-AU"/>
        </w:rPr>
        <w:t xml:space="preserve"> </w:t>
      </w:r>
      <w:r w:rsidRPr="00B24C02">
        <w:rPr>
          <w:rFonts w:cs="Arial"/>
          <w:color w:val="000000"/>
          <w:szCs w:val="19"/>
          <w:lang w:eastAsia="en-AU"/>
        </w:rPr>
        <w:t>National</w:t>
      </w:r>
      <w:r w:rsidR="005D5532" w:rsidRPr="00B24C02">
        <w:rPr>
          <w:rFonts w:cs="Arial"/>
          <w:color w:val="000000"/>
          <w:szCs w:val="19"/>
          <w:lang w:eastAsia="en-AU"/>
        </w:rPr>
        <w:t xml:space="preserve"> </w:t>
      </w:r>
      <w:r w:rsidRPr="00B24C02">
        <w:rPr>
          <w:rFonts w:cs="Arial"/>
          <w:color w:val="000000"/>
          <w:szCs w:val="19"/>
          <w:lang w:eastAsia="en-AU"/>
        </w:rPr>
        <w:t>Audit</w:t>
      </w:r>
      <w:r w:rsidR="005D5532" w:rsidRPr="00B24C02">
        <w:rPr>
          <w:rFonts w:cs="Arial"/>
          <w:color w:val="000000"/>
          <w:szCs w:val="19"/>
          <w:lang w:eastAsia="en-AU"/>
        </w:rPr>
        <w:t xml:space="preserve"> </w:t>
      </w:r>
      <w:r w:rsidRPr="00B24C02">
        <w:rPr>
          <w:rFonts w:cs="Arial"/>
          <w:color w:val="000000"/>
          <w:szCs w:val="19"/>
          <w:lang w:eastAsia="en-AU"/>
        </w:rPr>
        <w:t>Office:</w:t>
      </w:r>
      <w:r w:rsidR="005D5532" w:rsidRPr="00B24C02">
        <w:rPr>
          <w:rFonts w:cs="Arial"/>
          <w:color w:val="000000"/>
          <w:szCs w:val="19"/>
          <w:lang w:eastAsia="en-AU"/>
        </w:rPr>
        <w:t xml:space="preserve"> </w:t>
      </w:r>
      <w:hyperlink r:id="rId263" w:history="1">
        <w:r w:rsidRPr="00986D1E">
          <w:rPr>
            <w:rStyle w:val="Hyperlink"/>
          </w:rPr>
          <w:t>Business</w:t>
        </w:r>
        <w:r w:rsidR="005D5532" w:rsidRPr="00986D1E">
          <w:rPr>
            <w:rStyle w:val="Hyperlink"/>
          </w:rPr>
          <w:t xml:space="preserve"> </w:t>
        </w:r>
        <w:r w:rsidRPr="00986D1E">
          <w:rPr>
            <w:rStyle w:val="Hyperlink"/>
          </w:rPr>
          <w:t>Continuity</w:t>
        </w:r>
        <w:r w:rsidR="005D5532" w:rsidRPr="00986D1E">
          <w:rPr>
            <w:rStyle w:val="Hyperlink"/>
          </w:rPr>
          <w:t xml:space="preserve"> </w:t>
        </w:r>
        <w:r w:rsidRPr="00986D1E">
          <w:rPr>
            <w:rStyle w:val="Hyperlink"/>
          </w:rPr>
          <w:t>Management:</w:t>
        </w:r>
        <w:r w:rsidR="005D5532" w:rsidRPr="00986D1E">
          <w:rPr>
            <w:rStyle w:val="Hyperlink"/>
          </w:rPr>
          <w:t xml:space="preserve"> </w:t>
        </w:r>
        <w:r w:rsidRPr="00986D1E">
          <w:rPr>
            <w:rStyle w:val="Hyperlink"/>
          </w:rPr>
          <w:t>Building</w:t>
        </w:r>
        <w:r w:rsidR="005D5532" w:rsidRPr="00986D1E">
          <w:rPr>
            <w:rStyle w:val="Hyperlink"/>
          </w:rPr>
          <w:t xml:space="preserve"> </w:t>
        </w:r>
        <w:r w:rsidRPr="00986D1E">
          <w:rPr>
            <w:rStyle w:val="Hyperlink"/>
          </w:rPr>
          <w:t>resilience</w:t>
        </w:r>
        <w:r w:rsidR="005D5532" w:rsidRPr="00986D1E">
          <w:rPr>
            <w:rStyle w:val="Hyperlink"/>
          </w:rPr>
          <w:t xml:space="preserve"> </w:t>
        </w:r>
        <w:r w:rsidRPr="00986D1E">
          <w:rPr>
            <w:rStyle w:val="Hyperlink"/>
          </w:rPr>
          <w:t>in</w:t>
        </w:r>
        <w:r w:rsidR="005D5532" w:rsidRPr="00986D1E">
          <w:rPr>
            <w:rStyle w:val="Hyperlink"/>
          </w:rPr>
          <w:t xml:space="preserve"> </w:t>
        </w:r>
        <w:r w:rsidRPr="00986D1E">
          <w:rPr>
            <w:rStyle w:val="Hyperlink"/>
          </w:rPr>
          <w:t>public</w:t>
        </w:r>
        <w:r w:rsidR="005D5532" w:rsidRPr="00986D1E">
          <w:rPr>
            <w:rStyle w:val="Hyperlink"/>
          </w:rPr>
          <w:t xml:space="preserve"> </w:t>
        </w:r>
        <w:r w:rsidRPr="00986D1E">
          <w:rPr>
            <w:rStyle w:val="Hyperlink"/>
          </w:rPr>
          <w:t>sector</w:t>
        </w:r>
        <w:r w:rsidR="005D5532" w:rsidRPr="00986D1E">
          <w:rPr>
            <w:rStyle w:val="Hyperlink"/>
          </w:rPr>
          <w:t xml:space="preserve"> </w:t>
        </w:r>
        <w:r w:rsidRPr="00986D1E">
          <w:rPr>
            <w:rStyle w:val="Hyperlink"/>
          </w:rPr>
          <w:t>entities</w:t>
        </w:r>
      </w:hyperlink>
      <w:r w:rsidR="005D5532" w:rsidRPr="00B24C02">
        <w:rPr>
          <w:rFonts w:cs="Arial"/>
          <w:color w:val="000000"/>
          <w:szCs w:val="19"/>
          <w:lang w:eastAsia="en-AU"/>
        </w:rPr>
        <w:t xml:space="preserve"> </w:t>
      </w:r>
      <w:r w:rsidR="00F60523">
        <w:rPr>
          <w:rFonts w:cs="Arial"/>
          <w:color w:val="000000"/>
          <w:szCs w:val="19"/>
          <w:lang w:eastAsia="en-AU"/>
        </w:rPr>
        <w:t>&lt;</w:t>
      </w:r>
      <w:r w:rsidR="00F60523" w:rsidRPr="00F60523">
        <w:rPr>
          <w:rFonts w:cs="Arial"/>
          <w:color w:val="000000"/>
          <w:szCs w:val="19"/>
          <w:lang w:eastAsia="en-AU"/>
        </w:rPr>
        <w:t>https://www.anao.gov.au/search/site/media Better Practice Guides Business Continuity Management Business continuity management</w:t>
      </w:r>
      <w:r w:rsidR="00F60523">
        <w:rPr>
          <w:rFonts w:cs="Arial"/>
          <w:color w:val="000000"/>
          <w:szCs w:val="19"/>
          <w:lang w:eastAsia="en-AU"/>
        </w:rPr>
        <w:t>&gt;</w:t>
      </w:r>
      <w:r w:rsidR="00F60523" w:rsidRPr="00F60523">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Appendix</w:t>
      </w:r>
      <w:r w:rsidR="005D5532" w:rsidRPr="00B24C02">
        <w:rPr>
          <w:rFonts w:cs="Arial"/>
          <w:color w:val="000000"/>
          <w:szCs w:val="19"/>
          <w:lang w:eastAsia="en-AU"/>
        </w:rPr>
        <w:t xml:space="preserve"> </w:t>
      </w:r>
      <w:r w:rsidRPr="00B24C02">
        <w:rPr>
          <w:rFonts w:cs="Arial"/>
          <w:color w:val="000000"/>
          <w:szCs w:val="19"/>
          <w:lang w:eastAsia="en-AU"/>
        </w:rPr>
        <w:t>IV</w:t>
      </w:r>
      <w:r w:rsidR="005D5532" w:rsidRPr="00B24C02">
        <w:rPr>
          <w:rFonts w:cs="Arial"/>
          <w:color w:val="000000"/>
          <w:szCs w:val="19"/>
          <w:lang w:eastAsia="en-AU"/>
        </w:rPr>
        <w:t xml:space="preserve"> </w:t>
      </w:r>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Pandemics</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business</w:t>
      </w:r>
      <w:r w:rsidR="005D5532" w:rsidRPr="00B24C02">
        <w:rPr>
          <w:rFonts w:cs="Arial"/>
          <w:color w:val="000000"/>
          <w:szCs w:val="19"/>
          <w:lang w:eastAsia="en-AU"/>
        </w:rPr>
        <w:t xml:space="preserve"> </w:t>
      </w:r>
      <w:r w:rsidRPr="00B24C02">
        <w:rPr>
          <w:rFonts w:cs="Arial"/>
          <w:color w:val="000000"/>
          <w:szCs w:val="19"/>
          <w:lang w:eastAsia="en-AU"/>
        </w:rPr>
        <w:t>continuity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pandemic</w:t>
      </w:r>
      <w:r w:rsidR="005D5532" w:rsidRPr="00B24C02">
        <w:rPr>
          <w:rFonts w:cs="Arial"/>
          <w:color w:val="000000"/>
          <w:szCs w:val="19"/>
          <w:lang w:eastAsia="en-AU"/>
        </w:rPr>
        <w:t xml:space="preserve"> </w:t>
      </w:r>
      <w:r w:rsidRPr="00B24C02">
        <w:rPr>
          <w:rFonts w:cs="Arial"/>
          <w:color w:val="000000"/>
          <w:szCs w:val="19"/>
          <w:lang w:eastAsia="en-AU"/>
        </w:rPr>
        <w:t>plans</w:t>
      </w:r>
      <w:r w:rsidR="005D5532" w:rsidRPr="00B24C02">
        <w:rPr>
          <w:rFonts w:cs="Arial"/>
          <w:color w:val="000000"/>
          <w:szCs w:val="19"/>
          <w:lang w:eastAsia="en-AU"/>
        </w:rPr>
        <w:t xml:space="preserve"> </w:t>
      </w:r>
    </w:p>
    <w:p w14:paraId="4FEBC9F2" w14:textId="6DE9CFF5" w:rsidR="00236748" w:rsidRPr="00276391" w:rsidRDefault="00236748" w:rsidP="00276391">
      <w:pPr>
        <w:pStyle w:val="DHHSbody"/>
        <w:rPr>
          <w:lang w:eastAsia="en-AU"/>
        </w:rPr>
      </w:pP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00296DCA">
        <w:rPr>
          <w:lang w:eastAsia="en-AU"/>
        </w:rPr>
        <w:t>Funded agency channel</w:t>
      </w:r>
      <w:r w:rsidRPr="00276391">
        <w:rPr>
          <w:lang w:eastAsia="en-AU"/>
        </w:rPr>
        <w:t>:</w:t>
      </w:r>
      <w:r w:rsidR="005D5532" w:rsidRPr="00276391">
        <w:rPr>
          <w:lang w:eastAsia="en-AU"/>
        </w:rPr>
        <w:t xml:space="preserve"> </w:t>
      </w:r>
      <w:hyperlink r:id="rId264" w:history="1">
        <w:r w:rsidRPr="00986D1E">
          <w:rPr>
            <w:rStyle w:val="Hyperlink"/>
          </w:rPr>
          <w:t>Business</w:t>
        </w:r>
        <w:r w:rsidR="005D5532" w:rsidRPr="00986D1E">
          <w:rPr>
            <w:rStyle w:val="Hyperlink"/>
          </w:rPr>
          <w:t xml:space="preserve"> </w:t>
        </w:r>
        <w:r w:rsidRPr="00986D1E">
          <w:rPr>
            <w:rStyle w:val="Hyperlink"/>
          </w:rPr>
          <w:t>continuity</w:t>
        </w:r>
        <w:r w:rsidR="005D5532" w:rsidRPr="00986D1E">
          <w:rPr>
            <w:rStyle w:val="Hyperlink"/>
          </w:rPr>
          <w:t xml:space="preserve"> </w:t>
        </w:r>
        <w:r w:rsidRPr="00986D1E">
          <w:rPr>
            <w:rStyle w:val="Hyperlink"/>
          </w:rPr>
          <w:t>management</w:t>
        </w:r>
      </w:hyperlink>
      <w:r w:rsidR="005D5532" w:rsidRPr="00276391">
        <w:rPr>
          <w:lang w:eastAsia="en-AU"/>
        </w:rPr>
        <w:t xml:space="preserve"> </w:t>
      </w:r>
      <w:r w:rsidR="000E7604" w:rsidRPr="000E7604">
        <w:rPr>
          <w:u w:val="dotted"/>
          <w:lang w:eastAsia="en-AU"/>
        </w:rPr>
        <w:t>&lt;</w:t>
      </w:r>
      <w:r w:rsidR="001C487F" w:rsidRPr="001C487F">
        <w:rPr>
          <w:u w:val="dotted"/>
          <w:lang w:eastAsia="en-AU"/>
        </w:rPr>
        <w:t>https://fac.dhhs.vic.gov.au/policies-and-procedures</w:t>
      </w:r>
      <w:r w:rsidR="000E7604" w:rsidRPr="000E7604">
        <w:rPr>
          <w:u w:val="dotted"/>
          <w:lang w:eastAsia="en-AU"/>
        </w:rPr>
        <w:t>&gt;</w:t>
      </w:r>
      <w:r w:rsidR="000E7604"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p>
    <w:p w14:paraId="23AF3171" w14:textId="5C4295D0" w:rsidR="00236748" w:rsidRPr="00276391" w:rsidRDefault="00236748" w:rsidP="00276391">
      <w:pPr>
        <w:pStyle w:val="DHHSbody"/>
        <w:rPr>
          <w:lang w:eastAsia="en-AU"/>
        </w:rPr>
      </w:pPr>
      <w:r w:rsidRPr="00276391">
        <w:rPr>
          <w:lang w:eastAsia="en-AU"/>
        </w:rPr>
        <w:t>Department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Victoria:</w:t>
      </w:r>
      <w:r w:rsidR="005D5532" w:rsidRPr="00276391">
        <w:rPr>
          <w:lang w:eastAsia="en-AU"/>
        </w:rPr>
        <w:t xml:space="preserve"> </w:t>
      </w:r>
      <w:hyperlink r:id="rId265" w:history="1">
        <w:r w:rsidRPr="00986D1E">
          <w:rPr>
            <w:rStyle w:val="Hyperlink"/>
          </w:rPr>
          <w:t>Victorian</w:t>
        </w:r>
        <w:r w:rsidR="005D5532" w:rsidRPr="00986D1E">
          <w:rPr>
            <w:rStyle w:val="Hyperlink"/>
          </w:rPr>
          <w:t xml:space="preserve"> </w:t>
        </w:r>
        <w:r w:rsidRPr="00986D1E">
          <w:rPr>
            <w:rStyle w:val="Hyperlink"/>
          </w:rPr>
          <w:t>action</w:t>
        </w:r>
        <w:r w:rsidR="005D5532" w:rsidRPr="00986D1E">
          <w:rPr>
            <w:rStyle w:val="Hyperlink"/>
          </w:rPr>
          <w:t xml:space="preserve"> </w:t>
        </w:r>
        <w:r w:rsidRPr="00986D1E">
          <w:rPr>
            <w:rStyle w:val="Hyperlink"/>
          </w:rPr>
          <w:t>plan</w:t>
        </w:r>
        <w:r w:rsidR="005D5532" w:rsidRPr="00986D1E">
          <w:rPr>
            <w:rStyle w:val="Hyperlink"/>
          </w:rPr>
          <w:t xml:space="preserve"> </w:t>
        </w:r>
        <w:r w:rsidRPr="00986D1E">
          <w:rPr>
            <w:rStyle w:val="Hyperlink"/>
          </w:rPr>
          <w:t>for</w:t>
        </w:r>
        <w:r w:rsidR="005D5532" w:rsidRPr="00986D1E">
          <w:rPr>
            <w:rStyle w:val="Hyperlink"/>
          </w:rPr>
          <w:t xml:space="preserve"> </w:t>
        </w:r>
        <w:r w:rsidRPr="00986D1E">
          <w:rPr>
            <w:rStyle w:val="Hyperlink"/>
          </w:rPr>
          <w:t>pandemic</w:t>
        </w:r>
        <w:r w:rsidR="005D5532" w:rsidRPr="00986D1E">
          <w:rPr>
            <w:rStyle w:val="Hyperlink"/>
          </w:rPr>
          <w:t xml:space="preserve"> </w:t>
        </w:r>
        <w:r w:rsidRPr="00986D1E">
          <w:rPr>
            <w:rStyle w:val="Hyperlink"/>
          </w:rPr>
          <w:t>influenza</w:t>
        </w:r>
      </w:hyperlink>
      <w:r w:rsidR="005D5532" w:rsidRPr="00276391">
        <w:rPr>
          <w:lang w:eastAsia="en-AU"/>
        </w:rPr>
        <w:t xml:space="preserve"> </w:t>
      </w:r>
      <w:r w:rsidR="000E7604">
        <w:rPr>
          <w:lang w:eastAsia="en-AU"/>
        </w:rPr>
        <w:t>&lt;</w:t>
      </w:r>
      <w:r w:rsidR="000E7604" w:rsidRPr="000E7604">
        <w:rPr>
          <w:lang w:eastAsia="en-AU"/>
        </w:rPr>
        <w:t>https://www2.health.vic.gov.au/emergencies/emergency-type/infectious-diseases/pandemic-influenza</w:t>
      </w:r>
      <w:r w:rsidR="000E7604">
        <w:rPr>
          <w:lang w:eastAsia="en-AU"/>
        </w:rPr>
        <w:t>&gt;</w:t>
      </w:r>
      <w:r w:rsidR="000E7604" w:rsidRPr="000E7604">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p>
    <w:p w14:paraId="1487FB2B" w14:textId="3B612870" w:rsidR="00236748" w:rsidRPr="0067173B" w:rsidRDefault="00236748" w:rsidP="0067173B">
      <w:pPr>
        <w:pStyle w:val="Heading2"/>
        <w:rPr>
          <w:rFonts w:cs="Arial"/>
          <w:lang w:eastAsia="en-AU"/>
        </w:rPr>
      </w:pPr>
      <w:bookmarkStart w:id="788" w:name="_Toc478992150"/>
      <w:bookmarkStart w:id="789" w:name="_Toc478992492"/>
      <w:bookmarkStart w:id="790" w:name="_Toc478992925"/>
      <w:bookmarkStart w:id="791" w:name="_Toc4142131"/>
      <w:r w:rsidRPr="00276391">
        <w:rPr>
          <w:rFonts w:cs="Arial"/>
          <w:lang w:eastAsia="en-AU"/>
        </w:rPr>
        <w:t>4.1</w:t>
      </w:r>
      <w:r w:rsidR="00FF406D">
        <w:rPr>
          <w:rFonts w:cs="Arial"/>
          <w:lang w:eastAsia="en-AU"/>
        </w:rPr>
        <w:t>1</w:t>
      </w:r>
      <w:r w:rsidR="009B2351" w:rsidRPr="00276391">
        <w:rPr>
          <w:rFonts w:cs="Arial"/>
          <w:lang w:eastAsia="en-AU"/>
        </w:rPr>
        <w:t xml:space="preserve"> </w:t>
      </w:r>
      <w:r w:rsidRPr="00276391">
        <w:rPr>
          <w:rFonts w:cs="Arial"/>
          <w:lang w:eastAsia="en-AU"/>
        </w:rPr>
        <w:t>Climate</w:t>
      </w:r>
      <w:r w:rsidR="009B2351" w:rsidRPr="00276391">
        <w:rPr>
          <w:rFonts w:cs="Arial"/>
          <w:lang w:eastAsia="en-AU"/>
        </w:rPr>
        <w:t xml:space="preserve"> </w:t>
      </w:r>
      <w:r w:rsidRPr="00276391">
        <w:rPr>
          <w:rFonts w:cs="Arial"/>
          <w:lang w:eastAsia="en-AU"/>
        </w:rPr>
        <w:t>change</w:t>
      </w:r>
      <w:r w:rsidR="009B2351" w:rsidRPr="00276391">
        <w:rPr>
          <w:rFonts w:cs="Arial"/>
          <w:lang w:eastAsia="en-AU"/>
        </w:rPr>
        <w:t xml:space="preserve"> </w:t>
      </w:r>
      <w:r w:rsidRPr="00276391">
        <w:rPr>
          <w:rFonts w:cs="Arial"/>
          <w:lang w:eastAsia="en-AU"/>
        </w:rPr>
        <w:t>adaptation</w:t>
      </w:r>
      <w:r w:rsidR="009B2351" w:rsidRPr="00276391">
        <w:rPr>
          <w:rFonts w:cs="Arial"/>
          <w:lang w:eastAsia="en-AU"/>
        </w:rPr>
        <w:t xml:space="preserve"> </w:t>
      </w:r>
      <w:r w:rsidRPr="00276391">
        <w:rPr>
          <w:rFonts w:cs="Arial"/>
          <w:lang w:eastAsia="en-AU"/>
        </w:rPr>
        <w:t>and</w:t>
      </w:r>
      <w:r w:rsidR="009B2351" w:rsidRPr="00276391">
        <w:rPr>
          <w:rFonts w:cs="Arial"/>
          <w:lang w:eastAsia="en-AU"/>
        </w:rPr>
        <w:t xml:space="preserve"> </w:t>
      </w:r>
      <w:r w:rsidRPr="00276391">
        <w:rPr>
          <w:rFonts w:cs="Arial"/>
          <w:lang w:eastAsia="en-AU"/>
        </w:rPr>
        <w:t>environmental</w:t>
      </w:r>
      <w:r w:rsidR="009B2351" w:rsidRPr="00276391">
        <w:rPr>
          <w:rFonts w:cs="Arial"/>
          <w:lang w:eastAsia="en-AU"/>
        </w:rPr>
        <w:t xml:space="preserve"> </w:t>
      </w:r>
      <w:r w:rsidRPr="00276391">
        <w:rPr>
          <w:rFonts w:cs="Arial"/>
          <w:lang w:eastAsia="en-AU"/>
        </w:rPr>
        <w:t>sustainability</w:t>
      </w:r>
      <w:bookmarkEnd w:id="788"/>
      <w:bookmarkEnd w:id="789"/>
      <w:bookmarkEnd w:id="790"/>
      <w:bookmarkEnd w:id="791"/>
    </w:p>
    <w:p w14:paraId="3FBB682E" w14:textId="77777777" w:rsidR="00236748" w:rsidRPr="00276391" w:rsidRDefault="00236748" w:rsidP="001A0795">
      <w:pPr>
        <w:pStyle w:val="Heading4"/>
        <w:rPr>
          <w:lang w:eastAsia="en-AU"/>
        </w:rPr>
      </w:pPr>
      <w:bookmarkStart w:id="792" w:name="_Toc478992152"/>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792"/>
    </w:p>
    <w:p w14:paraId="13987219" w14:textId="77777777"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p>
    <w:p w14:paraId="5A5DE433" w14:textId="77777777" w:rsidR="00236748" w:rsidRPr="00276391" w:rsidRDefault="00236748" w:rsidP="001A0795">
      <w:pPr>
        <w:pStyle w:val="Heading4"/>
        <w:rPr>
          <w:lang w:eastAsia="en-AU"/>
        </w:rPr>
      </w:pPr>
      <w:bookmarkStart w:id="793" w:name="_Toc478992153"/>
      <w:r w:rsidRPr="00276391">
        <w:rPr>
          <w:lang w:eastAsia="en-AU"/>
        </w:rPr>
        <w:t>Policy</w:t>
      </w:r>
      <w:r w:rsidR="005D5532" w:rsidRPr="00276391">
        <w:rPr>
          <w:lang w:eastAsia="en-AU"/>
        </w:rPr>
        <w:t xml:space="preserve"> </w:t>
      </w:r>
      <w:r w:rsidRPr="00276391">
        <w:rPr>
          <w:lang w:eastAsia="en-AU"/>
        </w:rPr>
        <w:t>purpose</w:t>
      </w:r>
      <w:bookmarkEnd w:id="793"/>
    </w:p>
    <w:p w14:paraId="5F085E6E" w14:textId="77777777" w:rsidR="00236748" w:rsidRPr="00276391" w:rsidRDefault="00236748" w:rsidP="00276391">
      <w:pPr>
        <w:pStyle w:val="DHHSbody"/>
        <w:rPr>
          <w:lang w:eastAsia="en-AU"/>
        </w:rPr>
      </w:pP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encourage</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understand</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respond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climate</w:t>
      </w:r>
      <w:r w:rsidR="005D5532" w:rsidRPr="00B24C02">
        <w:rPr>
          <w:rFonts w:cs="Arial"/>
          <w:color w:val="000000"/>
          <w:szCs w:val="19"/>
          <w:lang w:eastAsia="en-AU"/>
        </w:rPr>
        <w:t xml:space="preserve"> </w:t>
      </w:r>
      <w:r w:rsidRPr="00B24C02">
        <w:rPr>
          <w:rFonts w:cs="Arial"/>
          <w:color w:val="000000"/>
          <w:szCs w:val="19"/>
          <w:lang w:eastAsia="en-AU"/>
        </w:rPr>
        <w:t>change</w:t>
      </w:r>
      <w:r w:rsidR="005D5532" w:rsidRPr="00B24C02">
        <w:rPr>
          <w:rFonts w:cs="Arial"/>
          <w:color w:val="000000"/>
          <w:szCs w:val="19"/>
          <w:lang w:eastAsia="en-AU"/>
        </w:rPr>
        <w:t xml:space="preserve"> </w:t>
      </w:r>
      <w:r w:rsidRPr="00B24C02">
        <w:rPr>
          <w:rFonts w:cs="Arial"/>
          <w:color w:val="000000"/>
          <w:szCs w:val="19"/>
          <w:lang w:eastAsia="en-AU"/>
        </w:rPr>
        <w:t>risks,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reduce</w:t>
      </w:r>
      <w:r w:rsidR="005D5532" w:rsidRPr="00B24C02">
        <w:rPr>
          <w:rFonts w:cs="Arial"/>
          <w:color w:val="000000"/>
          <w:szCs w:val="19"/>
          <w:lang w:eastAsia="en-AU"/>
        </w:rPr>
        <w:t xml:space="preserve"> </w:t>
      </w:r>
      <w:r w:rsidRPr="00B24C02">
        <w:rPr>
          <w:rFonts w:cs="Arial"/>
          <w:color w:val="000000"/>
          <w:szCs w:val="19"/>
          <w:lang w:eastAsia="en-AU"/>
        </w:rPr>
        <w:t>greenhouse</w:t>
      </w:r>
      <w:r w:rsidR="005D5532" w:rsidRPr="00B24C02">
        <w:rPr>
          <w:rFonts w:cs="Arial"/>
          <w:color w:val="000000"/>
          <w:szCs w:val="19"/>
          <w:lang w:eastAsia="en-AU"/>
        </w:rPr>
        <w:t xml:space="preserve"> </w:t>
      </w:r>
      <w:r w:rsidRPr="00B24C02">
        <w:rPr>
          <w:rFonts w:cs="Arial"/>
          <w:color w:val="000000"/>
          <w:szCs w:val="19"/>
          <w:lang w:eastAsia="en-AU"/>
        </w:rPr>
        <w:t>gas</w:t>
      </w:r>
      <w:r w:rsidR="005D5532" w:rsidRPr="00B24C02">
        <w:rPr>
          <w:rFonts w:cs="Arial"/>
          <w:color w:val="000000"/>
          <w:szCs w:val="19"/>
          <w:lang w:eastAsia="en-AU"/>
        </w:rPr>
        <w:t xml:space="preserve"> </w:t>
      </w:r>
      <w:r w:rsidRPr="00B24C02">
        <w:rPr>
          <w:rFonts w:cs="Arial"/>
          <w:color w:val="000000"/>
          <w:szCs w:val="19"/>
          <w:lang w:eastAsia="en-AU"/>
        </w:rPr>
        <w:t>emissions,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implement</w:t>
      </w:r>
      <w:r w:rsidR="005D5532" w:rsidRPr="00B24C02">
        <w:rPr>
          <w:rFonts w:cs="Arial"/>
          <w:color w:val="000000"/>
          <w:szCs w:val="19"/>
          <w:lang w:eastAsia="en-AU"/>
        </w:rPr>
        <w:t xml:space="preserve"> </w:t>
      </w:r>
      <w:r w:rsidRPr="00B24C02">
        <w:rPr>
          <w:rFonts w:cs="Arial"/>
          <w:color w:val="000000"/>
          <w:szCs w:val="19"/>
          <w:lang w:eastAsia="en-AU"/>
        </w:rPr>
        <w:t>resource</w:t>
      </w:r>
      <w:r w:rsidR="005D5532" w:rsidRPr="00B24C02">
        <w:rPr>
          <w:rFonts w:cs="Arial"/>
          <w:color w:val="000000"/>
          <w:szCs w:val="19"/>
          <w:lang w:eastAsia="en-AU"/>
        </w:rPr>
        <w:t xml:space="preserve"> </w:t>
      </w:r>
      <w:r w:rsidRPr="00B24C02">
        <w:rPr>
          <w:rFonts w:cs="Arial"/>
          <w:color w:val="000000"/>
          <w:szCs w:val="19"/>
          <w:lang w:eastAsia="en-AU"/>
        </w:rPr>
        <w:t>efficiency</w:t>
      </w:r>
      <w:r w:rsidR="005D5532" w:rsidRPr="00B24C02">
        <w:rPr>
          <w:rFonts w:cs="Arial"/>
          <w:color w:val="000000"/>
          <w:szCs w:val="19"/>
          <w:lang w:eastAsia="en-AU"/>
        </w:rPr>
        <w:t xml:space="preserve"> </w:t>
      </w:r>
      <w:r w:rsidRPr="00B24C02">
        <w:rPr>
          <w:rFonts w:cs="Arial"/>
          <w:color w:val="000000"/>
          <w:szCs w:val="19"/>
          <w:lang w:eastAsia="en-AU"/>
        </w:rPr>
        <w:t>programs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reduce</w:t>
      </w:r>
      <w:r w:rsidR="005D5532" w:rsidRPr="00B24C02">
        <w:rPr>
          <w:rFonts w:cs="Arial"/>
          <w:color w:val="000000"/>
          <w:szCs w:val="19"/>
          <w:lang w:eastAsia="en-AU"/>
        </w:rPr>
        <w:t xml:space="preserve"> </w:t>
      </w:r>
      <w:r w:rsidRPr="00B24C02">
        <w:rPr>
          <w:rFonts w:cs="Arial"/>
          <w:color w:val="000000"/>
          <w:szCs w:val="19"/>
          <w:lang w:eastAsia="en-AU"/>
        </w:rPr>
        <w:t>operational</w:t>
      </w:r>
      <w:r w:rsidR="005D5532" w:rsidRPr="00B24C02">
        <w:rPr>
          <w:rFonts w:cs="Arial"/>
          <w:color w:val="000000"/>
          <w:szCs w:val="19"/>
          <w:lang w:eastAsia="en-AU"/>
        </w:rPr>
        <w:t xml:space="preserve"> </w:t>
      </w:r>
      <w:r w:rsidRPr="00B24C02">
        <w:rPr>
          <w:rFonts w:cs="Arial"/>
          <w:color w:val="000000"/>
          <w:szCs w:val="19"/>
          <w:lang w:eastAsia="en-AU"/>
        </w:rPr>
        <w:t>costs.</w:t>
      </w:r>
      <w:r w:rsidR="005D5532" w:rsidRPr="00B24C02">
        <w:rPr>
          <w:rFonts w:cs="Arial"/>
          <w:color w:val="000000"/>
          <w:szCs w:val="19"/>
          <w:lang w:eastAsia="en-AU"/>
        </w:rPr>
        <w:t xml:space="preserve"> </w:t>
      </w:r>
    </w:p>
    <w:p w14:paraId="5F1B7CFF" w14:textId="77777777" w:rsidR="00236748" w:rsidRPr="00276391" w:rsidRDefault="00236748" w:rsidP="001A0795">
      <w:pPr>
        <w:pStyle w:val="Heading4"/>
        <w:rPr>
          <w:lang w:eastAsia="en-AU"/>
        </w:rPr>
      </w:pPr>
      <w:bookmarkStart w:id="794" w:name="_Toc478992154"/>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794"/>
    </w:p>
    <w:p w14:paraId="3C973713" w14:textId="77777777" w:rsidR="00236748" w:rsidRPr="00276391" w:rsidRDefault="00236748" w:rsidP="00276391">
      <w:pPr>
        <w:pStyle w:val="DHHSbody"/>
        <w:rPr>
          <w:lang w:eastAsia="en-AU"/>
        </w:rPr>
      </w:pP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applicable</w:t>
      </w:r>
    </w:p>
    <w:p w14:paraId="1028B816" w14:textId="77777777" w:rsidR="00236748" w:rsidRPr="00276391" w:rsidRDefault="00236748" w:rsidP="001A0795">
      <w:pPr>
        <w:pStyle w:val="Heading4"/>
        <w:rPr>
          <w:lang w:eastAsia="en-AU"/>
        </w:rPr>
      </w:pPr>
      <w:bookmarkStart w:id="795" w:name="_Toc478992155"/>
      <w:r w:rsidRPr="00276391">
        <w:rPr>
          <w:lang w:eastAsia="en-AU"/>
        </w:rPr>
        <w:lastRenderedPageBreak/>
        <w:t>Organisation</w:t>
      </w:r>
      <w:r w:rsidR="005D5532" w:rsidRPr="00276391">
        <w:rPr>
          <w:lang w:eastAsia="en-AU"/>
        </w:rPr>
        <w:t xml:space="preserve"> </w:t>
      </w:r>
      <w:r w:rsidRPr="00276391">
        <w:rPr>
          <w:lang w:eastAsia="en-AU"/>
        </w:rPr>
        <w:t>requirements</w:t>
      </w:r>
      <w:bookmarkEnd w:id="795"/>
    </w:p>
    <w:p w14:paraId="052AD1DA" w14:textId="77777777" w:rsidR="00236748" w:rsidRPr="00276391" w:rsidRDefault="00236748" w:rsidP="00276391">
      <w:pPr>
        <w:pStyle w:val="DHHSbody"/>
        <w:rPr>
          <w:lang w:eastAsia="en-AU"/>
        </w:rPr>
      </w:pP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encouraged</w:t>
      </w:r>
      <w:r w:rsidR="005D5532" w:rsidRPr="00B24C02">
        <w:rPr>
          <w:rFonts w:cs="Arial"/>
          <w:color w:val="000000"/>
          <w:szCs w:val="19"/>
          <w:lang w:eastAsia="en-AU"/>
        </w:rPr>
        <w:t xml:space="preserve"> </w:t>
      </w:r>
      <w:r w:rsidRPr="00B24C02">
        <w:rPr>
          <w:rFonts w:cs="Arial"/>
          <w:color w:val="000000"/>
          <w:szCs w:val="19"/>
          <w:lang w:eastAsia="en-AU"/>
        </w:rPr>
        <w:t>to:</w:t>
      </w:r>
    </w:p>
    <w:p w14:paraId="56C151F7" w14:textId="77777777" w:rsidR="00236748" w:rsidRPr="00276391" w:rsidRDefault="00236748" w:rsidP="00276391">
      <w:pPr>
        <w:pStyle w:val="DHHSbody"/>
        <w:rPr>
          <w:lang w:eastAsia="en-AU"/>
        </w:rPr>
      </w:pPr>
      <w:r w:rsidRPr="00276391">
        <w:rPr>
          <w:b/>
          <w:bCs/>
          <w:lang w:eastAsia="en-AU"/>
        </w:rPr>
        <w:t>Climate</w:t>
      </w:r>
      <w:r w:rsidR="005D5532" w:rsidRPr="00276391">
        <w:rPr>
          <w:b/>
          <w:bCs/>
          <w:lang w:eastAsia="en-AU"/>
        </w:rPr>
        <w:t xml:space="preserve"> </w:t>
      </w:r>
      <w:r w:rsidRPr="00276391">
        <w:rPr>
          <w:b/>
          <w:bCs/>
          <w:lang w:eastAsia="en-AU"/>
        </w:rPr>
        <w:t>change</w:t>
      </w:r>
      <w:r w:rsidR="005D5532" w:rsidRPr="00276391">
        <w:rPr>
          <w:b/>
          <w:bCs/>
          <w:lang w:eastAsia="en-AU"/>
        </w:rPr>
        <w:t xml:space="preserve"> </w:t>
      </w:r>
      <w:r w:rsidRPr="00276391">
        <w:rPr>
          <w:b/>
          <w:bCs/>
          <w:lang w:eastAsia="en-AU"/>
        </w:rPr>
        <w:t>adaption</w:t>
      </w:r>
    </w:p>
    <w:p w14:paraId="58B23D8A" w14:textId="5F3CB8F1" w:rsidR="00E24544" w:rsidRPr="00276391" w:rsidRDefault="00E24544" w:rsidP="00E24544">
      <w:pPr>
        <w:pStyle w:val="DHHSbody"/>
        <w:rPr>
          <w:lang w:eastAsia="en-AU"/>
        </w:rPr>
      </w:pPr>
      <w:bookmarkStart w:id="796" w:name="_Toc478992156"/>
      <w:r w:rsidRPr="00276391">
        <w:rPr>
          <w:lang w:eastAsia="en-AU"/>
        </w:rPr>
        <w:t>Understand their climate change risks (</w:t>
      </w:r>
      <w:r>
        <w:rPr>
          <w:lang w:eastAsia="en-AU"/>
        </w:rPr>
        <w:t xml:space="preserve">to </w:t>
      </w:r>
      <w:r w:rsidRPr="00276391">
        <w:rPr>
          <w:lang w:eastAsia="en-AU"/>
        </w:rPr>
        <w:t>policy and program goals, assets, w</w:t>
      </w:r>
      <w:r w:rsidR="00666A00">
        <w:rPr>
          <w:lang w:eastAsia="en-AU"/>
        </w:rPr>
        <w:t>orkforce, services and clients).</w:t>
      </w:r>
    </w:p>
    <w:p w14:paraId="48EFC7F9" w14:textId="77777777" w:rsidR="00E24544" w:rsidRPr="00276391" w:rsidRDefault="00E24544" w:rsidP="00E24544">
      <w:pPr>
        <w:pStyle w:val="DHHSbody"/>
        <w:rPr>
          <w:lang w:eastAsia="en-AU"/>
        </w:rPr>
      </w:pPr>
      <w:r w:rsidRPr="00276391">
        <w:rPr>
          <w:lang w:eastAsia="en-AU"/>
        </w:rPr>
        <w:t xml:space="preserve">Develop and implement resilience plans </w:t>
      </w:r>
      <w:r>
        <w:rPr>
          <w:lang w:eastAsia="en-AU"/>
        </w:rPr>
        <w:t>detailing how</w:t>
      </w:r>
      <w:r w:rsidRPr="00276391">
        <w:rPr>
          <w:lang w:eastAsia="en-AU"/>
        </w:rPr>
        <w:t xml:space="preserve"> they will respond to </w:t>
      </w:r>
      <w:r>
        <w:rPr>
          <w:lang w:eastAsia="en-AU"/>
        </w:rPr>
        <w:t xml:space="preserve">increased risk of </w:t>
      </w:r>
      <w:r w:rsidRPr="00276391">
        <w:rPr>
          <w:lang w:eastAsia="en-AU"/>
        </w:rPr>
        <w:t xml:space="preserve">natural disasters and other effects of climate change. </w:t>
      </w:r>
    </w:p>
    <w:p w14:paraId="31D78A6D" w14:textId="38965FB5" w:rsidR="00E24544" w:rsidRPr="00276391" w:rsidRDefault="00E24544" w:rsidP="00E24544">
      <w:pPr>
        <w:pStyle w:val="DHHSbody"/>
        <w:rPr>
          <w:lang w:eastAsia="en-AU"/>
        </w:rPr>
      </w:pPr>
      <w:r w:rsidRPr="00276391">
        <w:rPr>
          <w:lang w:eastAsia="en-AU"/>
        </w:rPr>
        <w:t xml:space="preserve">A good basis for undertaking this work is participation in the </w:t>
      </w:r>
      <w:r>
        <w:rPr>
          <w:lang w:eastAsia="en-AU"/>
        </w:rPr>
        <w:t>Health and Human</w:t>
      </w:r>
      <w:r w:rsidRPr="00276391">
        <w:rPr>
          <w:lang w:eastAsia="en-AU"/>
        </w:rPr>
        <w:t xml:space="preserve"> Services </w:t>
      </w:r>
      <w:r>
        <w:rPr>
          <w:lang w:eastAsia="en-AU"/>
        </w:rPr>
        <w:t>Climate</w:t>
      </w:r>
      <w:r w:rsidRPr="00276391">
        <w:rPr>
          <w:lang w:eastAsia="en-AU"/>
        </w:rPr>
        <w:t xml:space="preserve"> Resilience Program. The program is open to organisations funded by the </w:t>
      </w:r>
      <w:r w:rsidR="003B73B8">
        <w:rPr>
          <w:lang w:eastAsia="en-AU"/>
        </w:rPr>
        <w:t>department</w:t>
      </w:r>
      <w:r w:rsidRPr="00276391">
        <w:rPr>
          <w:lang w:eastAsia="en-AU"/>
        </w:rPr>
        <w:t xml:space="preserve">. Its purpose is to assist organisations </w:t>
      </w:r>
      <w:r>
        <w:rPr>
          <w:lang w:eastAsia="en-AU"/>
        </w:rPr>
        <w:t xml:space="preserve">to </w:t>
      </w:r>
      <w:r w:rsidR="00666A00">
        <w:rPr>
          <w:lang w:eastAsia="en-AU"/>
        </w:rPr>
        <w:t xml:space="preserve">understand climate </w:t>
      </w:r>
      <w:r w:rsidRPr="00276391">
        <w:rPr>
          <w:lang w:eastAsia="en-AU"/>
        </w:rPr>
        <w:t xml:space="preserve">change risks and prepare for them. </w:t>
      </w:r>
      <w:r>
        <w:rPr>
          <w:lang w:eastAsia="en-AU"/>
        </w:rPr>
        <w:t xml:space="preserve">The program offers an expert facilitator to work with organisations to improve their climate resilience planning. </w:t>
      </w:r>
    </w:p>
    <w:p w14:paraId="34E651D0" w14:textId="77777777" w:rsidR="00E24544" w:rsidRPr="00276391" w:rsidRDefault="00E24544" w:rsidP="00E24544">
      <w:pPr>
        <w:pStyle w:val="DHHSbody"/>
        <w:rPr>
          <w:lang w:eastAsia="en-AU"/>
        </w:rPr>
      </w:pPr>
      <w:r w:rsidRPr="00276391">
        <w:rPr>
          <w:b/>
          <w:bCs/>
          <w:lang w:eastAsia="en-AU"/>
        </w:rPr>
        <w:t>Resource efficiency</w:t>
      </w:r>
    </w:p>
    <w:p w14:paraId="02DD66B7" w14:textId="77777777" w:rsidR="00E24544" w:rsidRPr="00276391" w:rsidRDefault="00E24544" w:rsidP="00E24544">
      <w:pPr>
        <w:pStyle w:val="DHHSbody"/>
        <w:rPr>
          <w:lang w:eastAsia="en-AU"/>
        </w:rPr>
      </w:pPr>
      <w:r w:rsidRPr="00276391">
        <w:rPr>
          <w:lang w:eastAsia="en-AU"/>
        </w:rPr>
        <w:t>Prepare and implement environmental management plans, track performance and report publicly on improvements in resource efficiency</w:t>
      </w:r>
      <w:r>
        <w:rPr>
          <w:lang w:eastAsia="en-AU"/>
        </w:rPr>
        <w:t>, such as energy, water, waste and greenhouse gas emissions</w:t>
      </w:r>
      <w:r w:rsidRPr="00276391">
        <w:rPr>
          <w:lang w:eastAsia="en-AU"/>
        </w:rPr>
        <w:t xml:space="preserve">. </w:t>
      </w:r>
    </w:p>
    <w:p w14:paraId="755A3904" w14:textId="77777777" w:rsidR="00236748" w:rsidRPr="00276391" w:rsidRDefault="00236748" w:rsidP="001A0795">
      <w:pPr>
        <w:pStyle w:val="Heading4"/>
        <w:rPr>
          <w:lang w:eastAsia="en-AU"/>
        </w:rPr>
      </w:pPr>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796"/>
    </w:p>
    <w:p w14:paraId="214A3422" w14:textId="2E9336ED" w:rsidR="00F373A1" w:rsidRDefault="00236748" w:rsidP="00276391">
      <w:pPr>
        <w:pStyle w:val="DHHSbody"/>
        <w:rPr>
          <w:rFonts w:cs="Arial"/>
          <w:color w:val="000000"/>
          <w:szCs w:val="19"/>
          <w:lang w:eastAsia="en-AU"/>
        </w:rPr>
      </w:pP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Human</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hyperlink r:id="rId266" w:history="1">
        <w:r w:rsidRPr="00986D1E">
          <w:rPr>
            <w:rStyle w:val="Hyperlink"/>
          </w:rPr>
          <w:t>Sustainability</w:t>
        </w:r>
        <w:r w:rsidR="005D5532" w:rsidRPr="00986D1E">
          <w:rPr>
            <w:rStyle w:val="Hyperlink"/>
          </w:rPr>
          <w:t xml:space="preserve"> </w:t>
        </w:r>
        <w:r w:rsidRPr="00986D1E">
          <w:rPr>
            <w:rStyle w:val="Hyperlink"/>
          </w:rPr>
          <w:t>in</w:t>
        </w:r>
        <w:r w:rsidR="005D5532" w:rsidRPr="00986D1E">
          <w:rPr>
            <w:rStyle w:val="Hyperlink"/>
          </w:rPr>
          <w:t xml:space="preserve"> </w:t>
        </w:r>
        <w:r w:rsidRPr="00986D1E">
          <w:rPr>
            <w:rStyle w:val="Hyperlink"/>
          </w:rPr>
          <w:t>healthcare</w:t>
        </w:r>
      </w:hyperlink>
      <w:r w:rsidR="005D5532" w:rsidRPr="00B24C02">
        <w:rPr>
          <w:rFonts w:cs="Arial"/>
          <w:color w:val="000000"/>
          <w:szCs w:val="19"/>
          <w:lang w:eastAsia="en-AU"/>
        </w:rPr>
        <w:t xml:space="preserve"> </w:t>
      </w:r>
      <w:r w:rsidR="00B016EC">
        <w:rPr>
          <w:rFonts w:cs="Arial"/>
          <w:color w:val="000000"/>
          <w:szCs w:val="19"/>
          <w:lang w:eastAsia="en-AU"/>
        </w:rPr>
        <w:t>&lt;</w:t>
      </w:r>
      <w:r w:rsidR="00993FE7" w:rsidRPr="00993FE7">
        <w:rPr>
          <w:rFonts w:cs="Arial"/>
          <w:color w:val="000000"/>
          <w:szCs w:val="19"/>
          <w:lang w:eastAsia="en-AU"/>
        </w:rPr>
        <w:t>https://www2.health.vic.gov.au/hospitals-and-health-services/planning-infrastructure/sustainability</w:t>
      </w:r>
      <w:r w:rsidR="00B016EC">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00F373A1">
        <w:rPr>
          <w:rFonts w:cs="Arial"/>
          <w:color w:val="000000"/>
          <w:szCs w:val="19"/>
          <w:lang w:eastAsia="en-AU"/>
        </w:rPr>
        <w:t>website</w:t>
      </w:r>
    </w:p>
    <w:p w14:paraId="03249E6C" w14:textId="2EDE37A1" w:rsidR="005E79E1" w:rsidRDefault="0016341D" w:rsidP="00276391">
      <w:pPr>
        <w:pStyle w:val="DHHSbody"/>
        <w:rPr>
          <w:rFonts w:cs="Arial"/>
          <w:color w:val="000000"/>
          <w:szCs w:val="19"/>
          <w:lang w:eastAsia="en-AU"/>
        </w:rPr>
      </w:pPr>
      <w:hyperlink r:id="rId267" w:history="1">
        <w:r w:rsidR="005E79E1" w:rsidRPr="008D343F">
          <w:rPr>
            <w:rStyle w:val="Hyperlink"/>
            <w:lang w:eastAsia="en-AU"/>
          </w:rPr>
          <w:t>Climate Resilience Program website</w:t>
        </w:r>
      </w:hyperlink>
      <w:r w:rsidR="005E79E1">
        <w:rPr>
          <w:lang w:eastAsia="en-AU"/>
        </w:rPr>
        <w:t xml:space="preserve"> &lt;</w:t>
      </w:r>
      <w:r w:rsidR="005E79E1" w:rsidRPr="008D343F">
        <w:t>https://www.communityresilience.com.au/</w:t>
      </w:r>
      <w:r w:rsidR="005E79E1">
        <w:t>&gt;</w:t>
      </w:r>
      <w:r w:rsidR="005E79E1" w:rsidRPr="00276391">
        <w:rPr>
          <w:lang w:eastAsia="en-AU"/>
        </w:rPr>
        <w:t xml:space="preserve"> (external link, opens in a new window)</w:t>
      </w:r>
    </w:p>
    <w:p w14:paraId="36BEC28F" w14:textId="77777777" w:rsidR="00236748" w:rsidRPr="00276391" w:rsidRDefault="00236748" w:rsidP="00276391">
      <w:pPr>
        <w:pStyle w:val="DHHSbody"/>
        <w:rPr>
          <w:lang w:eastAsia="en-AU"/>
        </w:rPr>
      </w:pPr>
      <w:r w:rsidRPr="00B24C02">
        <w:rPr>
          <w:rFonts w:cs="Arial"/>
          <w:color w:val="000000"/>
          <w:szCs w:val="19"/>
          <w:lang w:eastAsia="en-AU"/>
        </w:rPr>
        <w:t>Daniel</w:t>
      </w:r>
      <w:r w:rsidR="005D5532" w:rsidRPr="00B24C02">
        <w:rPr>
          <w:rFonts w:cs="Arial"/>
          <w:color w:val="000000"/>
          <w:szCs w:val="19"/>
          <w:lang w:eastAsia="en-AU"/>
        </w:rPr>
        <w:t xml:space="preserve"> </w:t>
      </w:r>
      <w:proofErr w:type="spellStart"/>
      <w:r w:rsidRPr="00B24C02">
        <w:rPr>
          <w:rFonts w:cs="Arial"/>
          <w:color w:val="000000"/>
          <w:szCs w:val="19"/>
          <w:lang w:eastAsia="en-AU"/>
        </w:rPr>
        <w:t>Voronoff</w:t>
      </w:r>
      <w:proofErr w:type="spellEnd"/>
      <w:r w:rsidRPr="00B24C02">
        <w:rPr>
          <w:rFonts w:cs="Arial"/>
          <w:color w:val="000000"/>
          <w:szCs w:val="19"/>
          <w:lang w:eastAsia="en-AU"/>
        </w:rPr>
        <w:t>,</w:t>
      </w:r>
      <w:r w:rsidR="005D5532" w:rsidRPr="00B24C02">
        <w:rPr>
          <w:rFonts w:cs="Arial"/>
          <w:color w:val="000000"/>
          <w:szCs w:val="19"/>
          <w:lang w:eastAsia="en-AU"/>
        </w:rPr>
        <w:t xml:space="preserve"> </w:t>
      </w:r>
      <w:r w:rsidRPr="00B24C02">
        <w:rPr>
          <w:rFonts w:cs="Arial"/>
          <w:color w:val="000000"/>
          <w:szCs w:val="19"/>
          <w:lang w:eastAsia="en-AU"/>
        </w:rPr>
        <w:t>Senior</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Officer,</w:t>
      </w:r>
      <w:r w:rsidR="005D5532" w:rsidRPr="00B24C02">
        <w:rPr>
          <w:rFonts w:cs="Arial"/>
          <w:color w:val="000000"/>
          <w:szCs w:val="19"/>
          <w:lang w:eastAsia="en-AU"/>
        </w:rPr>
        <w:t xml:space="preserve"> </w:t>
      </w:r>
      <w:r w:rsidRPr="00B24C02">
        <w:rPr>
          <w:rFonts w:cs="Arial"/>
          <w:color w:val="000000"/>
          <w:szCs w:val="19"/>
          <w:lang w:eastAsia="en-AU"/>
        </w:rPr>
        <w:t>Environmental</w:t>
      </w:r>
      <w:r w:rsidR="005D5532" w:rsidRPr="00B24C02">
        <w:rPr>
          <w:rFonts w:cs="Arial"/>
          <w:color w:val="000000"/>
          <w:szCs w:val="19"/>
          <w:lang w:eastAsia="en-AU"/>
        </w:rPr>
        <w:t xml:space="preserve"> </w:t>
      </w:r>
      <w:r w:rsidRPr="00B24C02">
        <w:rPr>
          <w:rFonts w:cs="Arial"/>
          <w:color w:val="000000"/>
          <w:szCs w:val="19"/>
          <w:lang w:eastAsia="en-AU"/>
        </w:rPr>
        <w:t>Management</w:t>
      </w:r>
      <w:r w:rsidRPr="00B24C02">
        <w:rPr>
          <w:rFonts w:cs="Arial"/>
          <w:color w:val="000000"/>
          <w:szCs w:val="19"/>
          <w:lang w:eastAsia="en-AU"/>
        </w:rPr>
        <w:br/>
        <w:t>Telephone:</w:t>
      </w:r>
      <w:r w:rsidR="005D5532" w:rsidRPr="00B24C02">
        <w:rPr>
          <w:rFonts w:cs="Arial"/>
          <w:color w:val="000000"/>
          <w:szCs w:val="19"/>
          <w:lang w:eastAsia="en-AU"/>
        </w:rPr>
        <w:t xml:space="preserve"> </w:t>
      </w:r>
      <w:r w:rsidRPr="00B24C02">
        <w:rPr>
          <w:rFonts w:cs="Arial"/>
          <w:color w:val="000000"/>
          <w:szCs w:val="19"/>
          <w:lang w:eastAsia="en-AU"/>
        </w:rPr>
        <w:t>(03)</w:t>
      </w:r>
      <w:r w:rsidR="005D5532" w:rsidRPr="00B24C02">
        <w:rPr>
          <w:rFonts w:cs="Arial"/>
          <w:color w:val="000000"/>
          <w:szCs w:val="19"/>
          <w:lang w:eastAsia="en-AU"/>
        </w:rPr>
        <w:t xml:space="preserve"> </w:t>
      </w:r>
      <w:r w:rsidRPr="00B24C02">
        <w:rPr>
          <w:rFonts w:cs="Arial"/>
          <w:color w:val="000000"/>
          <w:szCs w:val="19"/>
          <w:lang w:eastAsia="en-AU"/>
        </w:rPr>
        <w:t>9096</w:t>
      </w:r>
      <w:r w:rsidR="005D5532" w:rsidRPr="00B24C02">
        <w:rPr>
          <w:rFonts w:cs="Arial"/>
          <w:color w:val="000000"/>
          <w:szCs w:val="19"/>
          <w:lang w:eastAsia="en-AU"/>
        </w:rPr>
        <w:t xml:space="preserve"> </w:t>
      </w:r>
      <w:r w:rsidRPr="00B24C02">
        <w:rPr>
          <w:rFonts w:cs="Arial"/>
          <w:color w:val="000000"/>
          <w:szCs w:val="19"/>
          <w:lang w:eastAsia="en-AU"/>
        </w:rPr>
        <w:t>7173</w:t>
      </w:r>
      <w:r w:rsidRPr="00B24C02">
        <w:rPr>
          <w:rFonts w:cs="Arial"/>
          <w:color w:val="000000"/>
          <w:szCs w:val="19"/>
          <w:lang w:eastAsia="en-AU"/>
        </w:rPr>
        <w:br/>
        <w:t>Email:</w:t>
      </w:r>
      <w:r w:rsidR="005D5532" w:rsidRPr="00B24C02">
        <w:rPr>
          <w:rFonts w:cs="Arial"/>
          <w:color w:val="000000"/>
          <w:szCs w:val="19"/>
          <w:lang w:eastAsia="en-AU"/>
        </w:rPr>
        <w:t xml:space="preserve"> </w:t>
      </w:r>
      <w:hyperlink r:id="rId268" w:history="1">
        <w:r w:rsidRPr="00986D1E">
          <w:rPr>
            <w:rStyle w:val="Hyperlink"/>
          </w:rPr>
          <w:t>daniel.voronoff@dhhs.vic.gov.au</w:t>
        </w:r>
      </w:hyperlink>
    </w:p>
    <w:p w14:paraId="4F3AC95B" w14:textId="77777777" w:rsidR="00236748" w:rsidRPr="00276391" w:rsidRDefault="00236748" w:rsidP="00276391">
      <w:pPr>
        <w:pStyle w:val="DHHSbody"/>
        <w:rPr>
          <w:lang w:eastAsia="en-AU"/>
        </w:rPr>
      </w:pPr>
      <w:r w:rsidRPr="00276391">
        <w:rPr>
          <w:lang w:eastAsia="en-AU"/>
        </w:rPr>
        <w:t>Tiernan</w:t>
      </w:r>
      <w:r w:rsidR="005D5532" w:rsidRPr="00276391">
        <w:rPr>
          <w:lang w:eastAsia="en-AU"/>
        </w:rPr>
        <w:t xml:space="preserve"> </w:t>
      </w:r>
      <w:proofErr w:type="spellStart"/>
      <w:r w:rsidRPr="00276391">
        <w:rPr>
          <w:lang w:eastAsia="en-AU"/>
        </w:rPr>
        <w:t>Humphrys</w:t>
      </w:r>
      <w:proofErr w:type="spellEnd"/>
      <w:r w:rsidRPr="00276391">
        <w:rPr>
          <w:lang w:eastAsia="en-AU"/>
        </w:rPr>
        <w:t>,</w:t>
      </w:r>
      <w:r w:rsidR="005D5532" w:rsidRPr="00276391">
        <w:rPr>
          <w:lang w:eastAsia="en-AU"/>
        </w:rPr>
        <w:t xml:space="preserve"> </w:t>
      </w:r>
      <w:r w:rsidRPr="00276391">
        <w:rPr>
          <w:lang w:eastAsia="en-AU"/>
        </w:rPr>
        <w:t>Manager</w:t>
      </w:r>
      <w:r w:rsidR="005D5532" w:rsidRPr="00276391">
        <w:rPr>
          <w:lang w:eastAsia="en-AU"/>
        </w:rPr>
        <w:t xml:space="preserve"> </w:t>
      </w:r>
      <w:r w:rsidRPr="00276391">
        <w:rPr>
          <w:lang w:eastAsia="en-AU"/>
        </w:rPr>
        <w:t>Environmental</w:t>
      </w:r>
      <w:r w:rsidR="005D5532" w:rsidRPr="00276391">
        <w:rPr>
          <w:lang w:eastAsia="en-AU"/>
        </w:rPr>
        <w:t xml:space="preserve"> </w:t>
      </w:r>
      <w:r w:rsidRPr="00276391">
        <w:rPr>
          <w:lang w:eastAsia="en-AU"/>
        </w:rPr>
        <w:t>Sustainability</w:t>
      </w:r>
      <w:r w:rsidRPr="00276391">
        <w:rPr>
          <w:lang w:eastAsia="en-AU"/>
        </w:rPr>
        <w:br/>
        <w:t>Telephone:</w:t>
      </w:r>
      <w:r w:rsidR="005D5532" w:rsidRPr="00276391">
        <w:rPr>
          <w:lang w:eastAsia="en-AU"/>
        </w:rPr>
        <w:t xml:space="preserve"> </w:t>
      </w:r>
      <w:r w:rsidRPr="00276391">
        <w:rPr>
          <w:lang w:eastAsia="en-AU"/>
        </w:rPr>
        <w:t>(03)</w:t>
      </w:r>
      <w:r w:rsidR="005D5532" w:rsidRPr="00276391">
        <w:rPr>
          <w:lang w:eastAsia="en-AU"/>
        </w:rPr>
        <w:t xml:space="preserve"> </w:t>
      </w:r>
      <w:r w:rsidRPr="00276391">
        <w:rPr>
          <w:lang w:eastAsia="en-AU"/>
        </w:rPr>
        <w:t>9096</w:t>
      </w:r>
      <w:r w:rsidR="005D5532" w:rsidRPr="00276391">
        <w:rPr>
          <w:lang w:eastAsia="en-AU"/>
        </w:rPr>
        <w:t xml:space="preserve"> </w:t>
      </w:r>
      <w:r w:rsidRPr="00276391">
        <w:rPr>
          <w:lang w:eastAsia="en-AU"/>
        </w:rPr>
        <w:t>2057</w:t>
      </w:r>
      <w:r w:rsidRPr="00276391">
        <w:rPr>
          <w:lang w:eastAsia="en-AU"/>
        </w:rPr>
        <w:br/>
        <w:t>Email:</w:t>
      </w:r>
      <w:r w:rsidR="005D5532" w:rsidRPr="00276391">
        <w:rPr>
          <w:lang w:eastAsia="en-AU"/>
        </w:rPr>
        <w:t xml:space="preserve"> </w:t>
      </w:r>
      <w:hyperlink r:id="rId269" w:history="1">
        <w:r w:rsidRPr="00986D1E">
          <w:rPr>
            <w:rStyle w:val="Hyperlink"/>
          </w:rPr>
          <w:t>tiernan.humphrys@dhhs.vic.gov.au</w:t>
        </w:r>
      </w:hyperlink>
    </w:p>
    <w:p w14:paraId="5B0AF27C" w14:textId="442A40E7" w:rsidR="00236748" w:rsidRPr="00276391" w:rsidRDefault="00FF406D" w:rsidP="009B2351">
      <w:pPr>
        <w:pStyle w:val="Heading2"/>
        <w:rPr>
          <w:rFonts w:cs="Arial"/>
          <w:lang w:eastAsia="en-AU"/>
        </w:rPr>
      </w:pPr>
      <w:bookmarkStart w:id="797" w:name="_Toc478992160"/>
      <w:bookmarkStart w:id="798" w:name="_Toc478992495"/>
      <w:bookmarkStart w:id="799" w:name="_Toc478992926"/>
      <w:bookmarkStart w:id="800" w:name="_Toc4142132"/>
      <w:r>
        <w:rPr>
          <w:rFonts w:cs="Arial"/>
          <w:lang w:eastAsia="en-AU"/>
        </w:rPr>
        <w:t>4.12</w:t>
      </w:r>
      <w:r w:rsidR="009B2351" w:rsidRPr="00276391">
        <w:rPr>
          <w:rFonts w:cs="Arial"/>
          <w:lang w:eastAsia="en-AU"/>
        </w:rPr>
        <w:t xml:space="preserve"> </w:t>
      </w:r>
      <w:r w:rsidR="00236748" w:rsidRPr="00276391">
        <w:rPr>
          <w:rFonts w:cs="Arial"/>
          <w:lang w:eastAsia="en-AU"/>
        </w:rPr>
        <w:t>Language</w:t>
      </w:r>
      <w:r w:rsidR="009B2351" w:rsidRPr="00276391">
        <w:rPr>
          <w:rFonts w:cs="Arial"/>
          <w:lang w:eastAsia="en-AU"/>
        </w:rPr>
        <w:t xml:space="preserve"> </w:t>
      </w:r>
      <w:r w:rsidR="00236748" w:rsidRPr="00276391">
        <w:rPr>
          <w:rFonts w:cs="Arial"/>
          <w:lang w:eastAsia="en-AU"/>
        </w:rPr>
        <w:t>services</w:t>
      </w:r>
      <w:bookmarkEnd w:id="797"/>
      <w:bookmarkEnd w:id="798"/>
      <w:bookmarkEnd w:id="799"/>
      <w:bookmarkEnd w:id="800"/>
    </w:p>
    <w:p w14:paraId="0CD8C4C1" w14:textId="32E17A0D" w:rsidR="00F13250" w:rsidRPr="005E79E1" w:rsidRDefault="00F13250" w:rsidP="005E79E1">
      <w:pPr>
        <w:autoSpaceDE w:val="0"/>
        <w:autoSpaceDN w:val="0"/>
        <w:adjustRightInd w:val="0"/>
        <w:spacing w:after="120" w:line="276" w:lineRule="auto"/>
        <w:rPr>
          <w:rFonts w:ascii="Arial" w:eastAsia="Times" w:hAnsi="Arial"/>
          <w:lang w:eastAsia="en-AU"/>
        </w:rPr>
      </w:pPr>
      <w:r w:rsidRPr="005E79E1">
        <w:rPr>
          <w:rFonts w:ascii="Arial" w:eastAsia="Times" w:hAnsi="Arial"/>
          <w:lang w:eastAsia="en-AU"/>
        </w:rPr>
        <w:t xml:space="preserve">The </w:t>
      </w:r>
      <w:r w:rsidR="003B73B8">
        <w:rPr>
          <w:rFonts w:ascii="Arial" w:eastAsia="Times" w:hAnsi="Arial"/>
          <w:lang w:eastAsia="en-AU"/>
        </w:rPr>
        <w:t>department</w:t>
      </w:r>
      <w:r w:rsidRPr="005E79E1">
        <w:rPr>
          <w:rFonts w:ascii="Arial" w:eastAsia="Times" w:hAnsi="Arial"/>
          <w:lang w:eastAsia="en-AU"/>
        </w:rPr>
        <w:t xml:space="preserve"> plays an important role in supporting the health and wellbeing of Victorians from culturally diverse backgrounds.</w:t>
      </w:r>
    </w:p>
    <w:p w14:paraId="7300EA84" w14:textId="4B1CAB2B" w:rsidR="00F13250" w:rsidRPr="005E79E1" w:rsidRDefault="00F13250" w:rsidP="005E79E1">
      <w:pPr>
        <w:autoSpaceDE w:val="0"/>
        <w:autoSpaceDN w:val="0"/>
        <w:adjustRightInd w:val="0"/>
        <w:spacing w:before="120" w:after="120" w:line="276" w:lineRule="auto"/>
        <w:rPr>
          <w:rFonts w:ascii="Arial" w:eastAsia="Times" w:hAnsi="Arial"/>
          <w:lang w:eastAsia="en-AU"/>
        </w:rPr>
      </w:pPr>
      <w:r w:rsidRPr="005E79E1">
        <w:rPr>
          <w:rFonts w:ascii="Arial" w:eastAsia="Times" w:hAnsi="Arial"/>
          <w:lang w:eastAsia="en-AU"/>
        </w:rPr>
        <w:t xml:space="preserve">Language service provision is an important aspect of the department’s efforts to deliver accessible services that respond to the needs of our culturally and linguistically diverse (CALD) and deaf communities, and a significant contributor to achieving our strategic directions of </w:t>
      </w:r>
      <w:r w:rsidR="005E79E1">
        <w:rPr>
          <w:rFonts w:ascii="Arial" w:eastAsia="Times" w:hAnsi="Arial"/>
          <w:lang w:eastAsia="en-AU"/>
        </w:rPr>
        <w:t>person-centr</w:t>
      </w:r>
      <w:r w:rsidRPr="005E79E1">
        <w:rPr>
          <w:rFonts w:ascii="Arial" w:eastAsia="Times" w:hAnsi="Arial"/>
          <w:lang w:eastAsia="en-AU"/>
        </w:rPr>
        <w:t xml:space="preserve">ed services and care and advancing quality, safety and innovation. </w:t>
      </w:r>
    </w:p>
    <w:p w14:paraId="0531B1F5" w14:textId="3EDACCA6" w:rsidR="00F13250" w:rsidRPr="005E79E1" w:rsidRDefault="00F13250" w:rsidP="005E79E1">
      <w:pPr>
        <w:autoSpaceDE w:val="0"/>
        <w:autoSpaceDN w:val="0"/>
        <w:adjustRightInd w:val="0"/>
        <w:spacing w:line="276" w:lineRule="auto"/>
        <w:rPr>
          <w:rFonts w:ascii="Arial" w:eastAsia="Times" w:hAnsi="Arial"/>
          <w:lang w:eastAsia="en-AU"/>
        </w:rPr>
      </w:pPr>
      <w:r w:rsidRPr="005E79E1">
        <w:rPr>
          <w:rFonts w:ascii="Arial" w:eastAsia="Times" w:hAnsi="Arial"/>
          <w:lang w:eastAsia="en-AU"/>
        </w:rPr>
        <w:t xml:space="preserve">The department's Language Services Policy and accompanying guidelines, </w:t>
      </w:r>
      <w:proofErr w:type="gramStart"/>
      <w:r w:rsidRPr="005E79E1">
        <w:rPr>
          <w:rFonts w:ascii="Arial" w:eastAsia="Times" w:hAnsi="Arial"/>
          <w:lang w:eastAsia="en-AU"/>
        </w:rPr>
        <w:t>How</w:t>
      </w:r>
      <w:proofErr w:type="gramEnd"/>
      <w:r w:rsidRPr="005E79E1">
        <w:rPr>
          <w:rFonts w:ascii="Arial" w:eastAsia="Times" w:hAnsi="Arial"/>
          <w:lang w:eastAsia="en-AU"/>
        </w:rPr>
        <w:t xml:space="preserve"> to work with interpreters and translators, support the departmental and funded organisations in the planning and provision of language services. </w:t>
      </w:r>
    </w:p>
    <w:p w14:paraId="2BC43CE4" w14:textId="77777777" w:rsidR="00F13250" w:rsidRPr="005E79E1" w:rsidRDefault="00F13250" w:rsidP="005E79E1">
      <w:pPr>
        <w:autoSpaceDE w:val="0"/>
        <w:autoSpaceDN w:val="0"/>
        <w:adjustRightInd w:val="0"/>
        <w:spacing w:line="276" w:lineRule="auto"/>
        <w:rPr>
          <w:rFonts w:ascii="Arial" w:eastAsia="Times" w:hAnsi="Arial"/>
          <w:lang w:eastAsia="en-AU"/>
        </w:rPr>
      </w:pPr>
    </w:p>
    <w:p w14:paraId="2251F008" w14:textId="294D29A8" w:rsidR="00625D4D" w:rsidRPr="005E79E1" w:rsidRDefault="00F13250" w:rsidP="005E79E1">
      <w:pPr>
        <w:autoSpaceDE w:val="0"/>
        <w:autoSpaceDN w:val="0"/>
        <w:adjustRightInd w:val="0"/>
        <w:spacing w:line="276" w:lineRule="auto"/>
        <w:rPr>
          <w:rFonts w:ascii="Arial" w:eastAsia="Times" w:hAnsi="Arial"/>
          <w:lang w:eastAsia="en-AU"/>
        </w:rPr>
      </w:pPr>
      <w:r w:rsidRPr="005E79E1">
        <w:rPr>
          <w:rFonts w:ascii="Arial" w:eastAsia="Times" w:hAnsi="Arial"/>
          <w:lang w:eastAsia="en-AU"/>
        </w:rPr>
        <w:t xml:space="preserve">Department funded organisations and services are encouraged to develop local language services policies and procedures consistent with this policy. </w:t>
      </w:r>
    </w:p>
    <w:p w14:paraId="1F740DE0" w14:textId="77777777" w:rsidR="00236748" w:rsidRPr="00276391" w:rsidRDefault="00236748" w:rsidP="001A0795">
      <w:pPr>
        <w:pStyle w:val="Heading4"/>
        <w:rPr>
          <w:lang w:eastAsia="en-AU"/>
        </w:rPr>
      </w:pPr>
      <w:bookmarkStart w:id="801" w:name="_Toc478992162"/>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801"/>
    </w:p>
    <w:bookmarkStart w:id="802" w:name="_Toc478992163"/>
    <w:p w14:paraId="51A5308E" w14:textId="64DBD310" w:rsidR="00F13250" w:rsidRDefault="00110C69" w:rsidP="00F13250">
      <w:pPr>
        <w:pStyle w:val="DHHSbody"/>
        <w:rPr>
          <w:lang w:eastAsia="en-AU"/>
        </w:rPr>
      </w:pPr>
      <w:r>
        <w:rPr>
          <w:lang w:eastAsia="en-AU"/>
        </w:rPr>
        <w:fldChar w:fldCharType="begin"/>
      </w:r>
      <w:r w:rsidR="00F13250">
        <w:rPr>
          <w:lang w:eastAsia="en-AU"/>
        </w:rPr>
        <w:instrText>HYPERLINK "https://www.dhhs.vic.gov.au/publications/language-services-policy-and-guidelines"</w:instrText>
      </w:r>
      <w:r>
        <w:rPr>
          <w:lang w:eastAsia="en-AU"/>
        </w:rPr>
        <w:fldChar w:fldCharType="separate"/>
      </w:r>
      <w:r w:rsidR="001914F5">
        <w:rPr>
          <w:rStyle w:val="Hyperlink"/>
          <w:lang w:eastAsia="en-AU"/>
        </w:rPr>
        <w:t>L</w:t>
      </w:r>
      <w:r w:rsidR="00625D4D" w:rsidRPr="00110C69">
        <w:rPr>
          <w:rStyle w:val="Hyperlink"/>
          <w:lang w:eastAsia="en-AU"/>
        </w:rPr>
        <w:t>anguage service policy and guidelines</w:t>
      </w:r>
      <w:r>
        <w:rPr>
          <w:lang w:eastAsia="en-AU"/>
        </w:rPr>
        <w:fldChar w:fldCharType="end"/>
      </w:r>
      <w:r w:rsidR="00625D4D">
        <w:rPr>
          <w:lang w:eastAsia="en-AU"/>
        </w:rPr>
        <w:t xml:space="preserve"> &lt;</w:t>
      </w:r>
      <w:r w:rsidR="00F13250" w:rsidRPr="00F13250">
        <w:rPr>
          <w:lang w:eastAsia="en-AU"/>
        </w:rPr>
        <w:t>https://www.dhhs.vic.gov.au/publications/language</w:t>
      </w:r>
      <w:r w:rsidR="006E2F53">
        <w:rPr>
          <w:lang w:eastAsia="en-AU"/>
        </w:rPr>
        <w:t>-services-policy-and-guidelines</w:t>
      </w:r>
      <w:r w:rsidR="00625D4D">
        <w:rPr>
          <w:lang w:eastAsia="en-AU"/>
        </w:rPr>
        <w:t>&gt;</w:t>
      </w:r>
      <w:r w:rsidR="00F13250">
        <w:rPr>
          <w:lang w:eastAsia="en-AU"/>
        </w:rPr>
        <w:t xml:space="preserve"> (</w:t>
      </w:r>
      <w:r w:rsidR="001914F5">
        <w:rPr>
          <w:lang w:eastAsia="en-AU"/>
        </w:rPr>
        <w:t xml:space="preserve">external link, </w:t>
      </w:r>
      <w:r w:rsidR="00F13250">
        <w:rPr>
          <w:lang w:eastAsia="en-AU"/>
        </w:rPr>
        <w:t>opens in a new window)</w:t>
      </w:r>
      <w:r w:rsidR="00625D4D">
        <w:rPr>
          <w:lang w:eastAsia="en-AU"/>
        </w:rPr>
        <w:t>.</w:t>
      </w:r>
      <w:bookmarkStart w:id="803" w:name="_Toc478992165"/>
      <w:bookmarkStart w:id="804" w:name="_Toc478992497"/>
      <w:bookmarkEnd w:id="802"/>
    </w:p>
    <w:p w14:paraId="01398C8B" w14:textId="7C2D12E0" w:rsidR="00236748" w:rsidRPr="00276391" w:rsidRDefault="00FF406D" w:rsidP="009B2351">
      <w:pPr>
        <w:pStyle w:val="Heading2"/>
        <w:rPr>
          <w:rFonts w:cs="Arial"/>
          <w:lang w:eastAsia="en-AU"/>
        </w:rPr>
      </w:pPr>
      <w:bookmarkStart w:id="805" w:name="_Toc4142133"/>
      <w:bookmarkStart w:id="806" w:name="_Toc478992167"/>
      <w:bookmarkStart w:id="807" w:name="_Toc478992498"/>
      <w:bookmarkStart w:id="808" w:name="_Toc478992927"/>
      <w:bookmarkEnd w:id="803"/>
      <w:bookmarkEnd w:id="804"/>
      <w:r>
        <w:rPr>
          <w:rFonts w:cs="Arial"/>
          <w:lang w:eastAsia="en-AU"/>
        </w:rPr>
        <w:lastRenderedPageBreak/>
        <w:t>4.13</w:t>
      </w:r>
      <w:r w:rsidR="009B2351" w:rsidRPr="00276391">
        <w:rPr>
          <w:rFonts w:cs="Arial"/>
          <w:lang w:eastAsia="en-AU"/>
        </w:rPr>
        <w:t xml:space="preserve"> </w:t>
      </w:r>
      <w:r w:rsidR="00236748" w:rsidRPr="00276391">
        <w:rPr>
          <w:rFonts w:cs="Arial"/>
          <w:lang w:eastAsia="en-AU"/>
        </w:rPr>
        <w:t>Cultural</w:t>
      </w:r>
      <w:r w:rsidR="009B2351" w:rsidRPr="00276391">
        <w:rPr>
          <w:rFonts w:cs="Arial"/>
          <w:lang w:eastAsia="en-AU"/>
        </w:rPr>
        <w:t xml:space="preserve"> </w:t>
      </w:r>
      <w:r w:rsidR="00236748" w:rsidRPr="00276391">
        <w:rPr>
          <w:rFonts w:cs="Arial"/>
          <w:lang w:eastAsia="en-AU"/>
        </w:rPr>
        <w:t>diversity</w:t>
      </w:r>
      <w:r w:rsidR="009B2351" w:rsidRPr="00276391">
        <w:rPr>
          <w:rFonts w:cs="Arial"/>
          <w:lang w:eastAsia="en-AU"/>
        </w:rPr>
        <w:t xml:space="preserve"> </w:t>
      </w:r>
      <w:r w:rsidR="00F13250">
        <w:rPr>
          <w:rFonts w:cs="Arial"/>
          <w:lang w:eastAsia="en-AU"/>
        </w:rPr>
        <w:t>planning</w:t>
      </w:r>
      <w:bookmarkEnd w:id="805"/>
      <w:r w:rsidR="009B2351" w:rsidRPr="00276391">
        <w:rPr>
          <w:rFonts w:cs="Arial"/>
          <w:lang w:eastAsia="en-AU"/>
        </w:rPr>
        <w:t xml:space="preserve"> </w:t>
      </w:r>
      <w:bookmarkEnd w:id="806"/>
      <w:bookmarkEnd w:id="807"/>
      <w:bookmarkEnd w:id="808"/>
    </w:p>
    <w:p w14:paraId="3ECB83C7" w14:textId="70246E97" w:rsidR="00F13250" w:rsidRPr="003B19E9" w:rsidRDefault="003B19E9" w:rsidP="005E79E1">
      <w:pPr>
        <w:autoSpaceDE w:val="0"/>
        <w:autoSpaceDN w:val="0"/>
        <w:adjustRightInd w:val="0"/>
        <w:spacing w:line="276" w:lineRule="auto"/>
        <w:rPr>
          <w:rFonts w:ascii="Arial" w:hAnsi="Arial" w:cs="Arial"/>
          <w:color w:val="000000" w:themeColor="text1"/>
          <w:lang w:eastAsia="en-AU"/>
        </w:rPr>
      </w:pPr>
      <w:r w:rsidRPr="003B19E9">
        <w:rPr>
          <w:rFonts w:ascii="Arial" w:hAnsi="Arial" w:cs="Arial"/>
          <w:color w:val="000000" w:themeColor="text1"/>
          <w:lang w:eastAsia="en-AU"/>
        </w:rPr>
        <w:t>T</w:t>
      </w:r>
      <w:r>
        <w:rPr>
          <w:rFonts w:ascii="Arial" w:hAnsi="Arial" w:cs="Arial"/>
          <w:color w:val="000000" w:themeColor="text1"/>
          <w:lang w:eastAsia="en-AU"/>
        </w:rPr>
        <w:t>he departmen</w:t>
      </w:r>
      <w:r w:rsidRPr="003B19E9">
        <w:rPr>
          <w:rFonts w:ascii="Arial" w:hAnsi="Arial" w:cs="Arial"/>
          <w:color w:val="000000" w:themeColor="text1"/>
          <w:lang w:eastAsia="en-AU"/>
        </w:rPr>
        <w:t>t’s</w:t>
      </w:r>
      <w:r w:rsidR="00F13250" w:rsidRPr="003B19E9">
        <w:rPr>
          <w:rFonts w:ascii="Arial" w:hAnsi="Arial" w:cs="Arial"/>
          <w:color w:val="000000" w:themeColor="text1"/>
          <w:lang w:eastAsia="en-AU"/>
        </w:rPr>
        <w:t xml:space="preserve"> Cultural Diversity Plan, </w:t>
      </w:r>
      <w:hyperlink r:id="rId270" w:history="1">
        <w:r w:rsidR="00F13250" w:rsidRPr="003B19E9">
          <w:rPr>
            <w:rStyle w:val="Hyperlink"/>
            <w:rFonts w:ascii="Arial" w:hAnsi="Arial" w:cs="Arial"/>
            <w:i/>
            <w:iCs/>
            <w:lang w:eastAsia="en-AU"/>
          </w:rPr>
          <w:t>Delivering for Diversity 2016-2019</w:t>
        </w:r>
      </w:hyperlink>
      <w:r>
        <w:rPr>
          <w:rFonts w:ascii="Arial" w:hAnsi="Arial" w:cs="Arial"/>
          <w:i/>
          <w:iCs/>
          <w:color w:val="000000" w:themeColor="text1"/>
          <w:lang w:eastAsia="en-AU"/>
        </w:rPr>
        <w:t xml:space="preserve"> &lt;</w:t>
      </w:r>
      <w:r w:rsidRPr="001914F5">
        <w:rPr>
          <w:rFonts w:ascii="Arial" w:hAnsi="Arial" w:cs="Arial"/>
          <w:iCs/>
          <w:color w:val="000000" w:themeColor="text1"/>
          <w:lang w:eastAsia="en-AU"/>
        </w:rPr>
        <w:t>https://dhhs.vic.gov.au/publications/delivering-diversity-cultural-diversity-plan-2016-2019</w:t>
      </w:r>
      <w:r w:rsidR="005E79E1">
        <w:rPr>
          <w:rFonts w:ascii="Arial" w:hAnsi="Arial" w:cs="Arial"/>
          <w:i/>
          <w:iCs/>
          <w:color w:val="000000" w:themeColor="text1"/>
          <w:lang w:eastAsia="en-AU"/>
        </w:rPr>
        <w:t>&gt;</w:t>
      </w:r>
      <w:r w:rsidR="006250C7">
        <w:rPr>
          <w:rFonts w:ascii="Arial" w:hAnsi="Arial" w:cs="Arial"/>
          <w:i/>
          <w:iCs/>
          <w:color w:val="000000" w:themeColor="text1"/>
          <w:lang w:eastAsia="en-AU"/>
        </w:rPr>
        <w:t xml:space="preserve"> </w:t>
      </w:r>
      <w:r w:rsidRPr="005E79E1">
        <w:rPr>
          <w:rFonts w:ascii="Arial" w:hAnsi="Arial" w:cs="Arial"/>
          <w:iCs/>
          <w:color w:val="000000" w:themeColor="text1"/>
          <w:lang w:eastAsia="en-AU"/>
        </w:rPr>
        <w:t>(</w:t>
      </w:r>
      <w:r w:rsidR="003B73B8">
        <w:rPr>
          <w:rFonts w:ascii="Arial" w:hAnsi="Arial" w:cs="Arial"/>
          <w:iCs/>
          <w:color w:val="000000" w:themeColor="text1"/>
          <w:lang w:eastAsia="en-AU"/>
        </w:rPr>
        <w:t xml:space="preserve">external link, </w:t>
      </w:r>
      <w:r w:rsidRPr="005E79E1">
        <w:rPr>
          <w:rFonts w:ascii="Arial" w:hAnsi="Arial" w:cs="Arial"/>
          <w:iCs/>
          <w:color w:val="000000" w:themeColor="text1"/>
          <w:lang w:eastAsia="en-AU"/>
        </w:rPr>
        <w:t>opens in a new window)</w:t>
      </w:r>
      <w:r w:rsidR="00F13250" w:rsidRPr="005E79E1">
        <w:rPr>
          <w:rFonts w:ascii="Arial" w:hAnsi="Arial" w:cs="Arial"/>
          <w:iCs/>
          <w:color w:val="000000" w:themeColor="text1"/>
          <w:lang w:eastAsia="en-AU"/>
        </w:rPr>
        <w:t>,</w:t>
      </w:r>
      <w:r w:rsidR="00F13250" w:rsidRPr="003B19E9">
        <w:rPr>
          <w:rFonts w:ascii="Arial" w:hAnsi="Arial" w:cs="Arial"/>
          <w:i/>
          <w:iCs/>
          <w:color w:val="000000" w:themeColor="text1"/>
          <w:lang w:eastAsia="en-AU"/>
        </w:rPr>
        <w:t xml:space="preserve"> </w:t>
      </w:r>
      <w:r w:rsidR="00F13250" w:rsidRPr="003B19E9">
        <w:rPr>
          <w:rFonts w:ascii="Arial" w:hAnsi="Arial" w:cs="Arial"/>
          <w:color w:val="000000" w:themeColor="text1"/>
          <w:lang w:eastAsia="en-AU"/>
        </w:rPr>
        <w:t xml:space="preserve">is a framework to embed cultural diversity in all the department’s services, programs and policies. It builds on our wide-ranging efforts to improve services for culturally and linguistically diverse communities. These communities include those with a </w:t>
      </w:r>
      <w:proofErr w:type="gramStart"/>
      <w:r w:rsidR="00F13250" w:rsidRPr="003B19E9">
        <w:rPr>
          <w:rFonts w:ascii="Arial" w:hAnsi="Arial" w:cs="Arial"/>
          <w:color w:val="000000" w:themeColor="text1"/>
          <w:lang w:eastAsia="en-AU"/>
        </w:rPr>
        <w:t>long established</w:t>
      </w:r>
      <w:proofErr w:type="gramEnd"/>
      <w:r w:rsidR="00F13250" w:rsidRPr="003B19E9">
        <w:rPr>
          <w:rFonts w:ascii="Arial" w:hAnsi="Arial" w:cs="Arial"/>
          <w:color w:val="000000" w:themeColor="text1"/>
          <w:lang w:eastAsia="en-AU"/>
        </w:rPr>
        <w:t xml:space="preserve"> presence in Victoria, as well as recently arrived migrants, refugees and asylum seekers. Cultural diversity panning recognises that providing culturally responsive, competent, respectful and accessible services is a core responsibility of the department and the services it funds and delivers. </w:t>
      </w:r>
    </w:p>
    <w:p w14:paraId="208B2F5A" w14:textId="77777777" w:rsidR="00F13250" w:rsidRPr="003B19E9" w:rsidRDefault="00F13250" w:rsidP="005E79E1">
      <w:pPr>
        <w:autoSpaceDE w:val="0"/>
        <w:autoSpaceDN w:val="0"/>
        <w:adjustRightInd w:val="0"/>
        <w:spacing w:line="276" w:lineRule="auto"/>
        <w:rPr>
          <w:rFonts w:ascii="Arial" w:hAnsi="Arial" w:cs="Arial"/>
          <w:color w:val="000000" w:themeColor="text1"/>
          <w:lang w:eastAsia="en-AU"/>
        </w:rPr>
      </w:pPr>
    </w:p>
    <w:p w14:paraId="16A4632B" w14:textId="77777777" w:rsidR="00F13250" w:rsidRPr="003B19E9" w:rsidRDefault="00F13250" w:rsidP="005E79E1">
      <w:pPr>
        <w:autoSpaceDE w:val="0"/>
        <w:autoSpaceDN w:val="0"/>
        <w:adjustRightInd w:val="0"/>
        <w:spacing w:line="276" w:lineRule="auto"/>
        <w:rPr>
          <w:rFonts w:ascii="Arial" w:hAnsi="Arial" w:cs="Arial"/>
          <w:color w:val="000000" w:themeColor="text1"/>
          <w:lang w:eastAsia="en-AU"/>
        </w:rPr>
      </w:pPr>
      <w:r w:rsidRPr="003B19E9">
        <w:rPr>
          <w:rFonts w:ascii="Arial" w:hAnsi="Arial" w:cs="Arial"/>
          <w:color w:val="000000" w:themeColor="text1"/>
          <w:lang w:eastAsia="en-AU"/>
        </w:rPr>
        <w:t xml:space="preserve">Department funded organisations and services are encouraged to undertake their own cultural diversity planning process in order to meet Victoria’s multicultural objectives to: </w:t>
      </w:r>
    </w:p>
    <w:p w14:paraId="3B7D296F" w14:textId="77777777" w:rsidR="00F13250" w:rsidRPr="003B19E9" w:rsidRDefault="00F13250" w:rsidP="005E79E1">
      <w:pPr>
        <w:autoSpaceDE w:val="0"/>
        <w:autoSpaceDN w:val="0"/>
        <w:adjustRightInd w:val="0"/>
        <w:spacing w:line="276" w:lineRule="auto"/>
        <w:rPr>
          <w:rFonts w:ascii="Arial" w:hAnsi="Arial" w:cs="Arial"/>
          <w:color w:val="000000" w:themeColor="text1"/>
          <w:lang w:eastAsia="en-AU"/>
        </w:rPr>
      </w:pPr>
      <w:r w:rsidRPr="003B19E9">
        <w:rPr>
          <w:rFonts w:ascii="Arial" w:hAnsi="Arial" w:cs="Arial"/>
          <w:color w:val="000000" w:themeColor="text1"/>
          <w:lang w:eastAsia="en-AU"/>
        </w:rPr>
        <w:t xml:space="preserve">• maximise the benefits of our cultural diversity </w:t>
      </w:r>
    </w:p>
    <w:p w14:paraId="4BAB65BC" w14:textId="77777777" w:rsidR="00F13250" w:rsidRPr="003B19E9" w:rsidRDefault="00F13250" w:rsidP="005E79E1">
      <w:pPr>
        <w:autoSpaceDE w:val="0"/>
        <w:autoSpaceDN w:val="0"/>
        <w:adjustRightInd w:val="0"/>
        <w:spacing w:line="276" w:lineRule="auto"/>
        <w:rPr>
          <w:rFonts w:ascii="Arial" w:hAnsi="Arial" w:cs="Arial"/>
          <w:color w:val="000000" w:themeColor="text1"/>
          <w:lang w:eastAsia="en-AU"/>
        </w:rPr>
      </w:pPr>
      <w:r w:rsidRPr="003B19E9">
        <w:rPr>
          <w:rFonts w:ascii="Arial" w:hAnsi="Arial" w:cs="Arial"/>
          <w:color w:val="000000" w:themeColor="text1"/>
          <w:lang w:eastAsia="en-AU"/>
        </w:rPr>
        <w:t xml:space="preserve">• build the capacity of culturally and linguistically diverse communities </w:t>
      </w:r>
    </w:p>
    <w:p w14:paraId="096AB20B" w14:textId="77777777" w:rsidR="00F13250" w:rsidRPr="003B19E9" w:rsidRDefault="00F13250" w:rsidP="005E79E1">
      <w:pPr>
        <w:autoSpaceDE w:val="0"/>
        <w:autoSpaceDN w:val="0"/>
        <w:adjustRightInd w:val="0"/>
        <w:spacing w:line="276" w:lineRule="auto"/>
        <w:rPr>
          <w:rFonts w:ascii="Arial" w:hAnsi="Arial" w:cs="Arial"/>
          <w:color w:val="000000" w:themeColor="text1"/>
          <w:lang w:eastAsia="en-AU"/>
        </w:rPr>
      </w:pPr>
      <w:r w:rsidRPr="003B19E9">
        <w:rPr>
          <w:rFonts w:ascii="Arial" w:hAnsi="Arial" w:cs="Arial"/>
          <w:color w:val="000000" w:themeColor="text1"/>
          <w:lang w:eastAsia="en-AU"/>
        </w:rPr>
        <w:t>• promote social cohesion and community resilience</w:t>
      </w:r>
    </w:p>
    <w:p w14:paraId="629EC258" w14:textId="0A12005F" w:rsidR="00F13250" w:rsidRPr="005E79E1" w:rsidRDefault="00F13250" w:rsidP="005E79E1">
      <w:pPr>
        <w:autoSpaceDE w:val="0"/>
        <w:autoSpaceDN w:val="0"/>
        <w:adjustRightInd w:val="0"/>
        <w:spacing w:line="276" w:lineRule="auto"/>
        <w:rPr>
          <w:rFonts w:ascii="Arial" w:hAnsi="Arial" w:cs="Arial"/>
          <w:color w:val="FF0000"/>
          <w:lang w:eastAsia="en-AU"/>
        </w:rPr>
      </w:pPr>
      <w:r w:rsidRPr="003B19E9">
        <w:rPr>
          <w:rFonts w:ascii="Arial" w:hAnsi="Arial" w:cs="Arial"/>
          <w:color w:val="000000" w:themeColor="text1"/>
          <w:lang w:eastAsia="en-AU"/>
        </w:rPr>
        <w:t>• ensure our services and infrastructure respond to the cultural diversity of our state</w:t>
      </w:r>
      <w:r w:rsidR="0015719F">
        <w:rPr>
          <w:rFonts w:ascii="Arial" w:hAnsi="Arial" w:cs="Arial"/>
          <w:color w:val="FF0000"/>
          <w:lang w:eastAsia="en-AU"/>
        </w:rPr>
        <w:t>.</w:t>
      </w:r>
      <w:r>
        <w:rPr>
          <w:rFonts w:ascii="Arial" w:hAnsi="Arial" w:cs="Arial"/>
          <w:color w:val="FF0000"/>
          <w:lang w:eastAsia="en-AU"/>
        </w:rPr>
        <w:t xml:space="preserve"> </w:t>
      </w:r>
    </w:p>
    <w:p w14:paraId="59705C8C" w14:textId="682F8438" w:rsidR="00236748" w:rsidRPr="00276391" w:rsidRDefault="00FF406D" w:rsidP="009B2351">
      <w:pPr>
        <w:pStyle w:val="Heading2"/>
        <w:rPr>
          <w:rFonts w:cs="Arial"/>
          <w:lang w:eastAsia="en-AU"/>
        </w:rPr>
      </w:pPr>
      <w:bookmarkStart w:id="809" w:name="_Toc478992168"/>
      <w:bookmarkStart w:id="810" w:name="_Toc478992499"/>
      <w:bookmarkStart w:id="811" w:name="_Toc478992928"/>
      <w:bookmarkStart w:id="812" w:name="_Toc4142134"/>
      <w:r>
        <w:rPr>
          <w:rFonts w:cs="Arial"/>
          <w:lang w:eastAsia="en-AU"/>
        </w:rPr>
        <w:t>4.14</w:t>
      </w:r>
      <w:r w:rsidR="009B2351" w:rsidRPr="00276391">
        <w:rPr>
          <w:rFonts w:cs="Arial"/>
          <w:lang w:eastAsia="en-AU"/>
        </w:rPr>
        <w:t xml:space="preserve"> </w:t>
      </w:r>
      <w:r w:rsidR="00236748" w:rsidRPr="00276391">
        <w:rPr>
          <w:rFonts w:cs="Arial"/>
          <w:lang w:eastAsia="en-AU"/>
        </w:rPr>
        <w:t>Improving</w:t>
      </w:r>
      <w:r w:rsidR="009B2351" w:rsidRPr="00276391">
        <w:rPr>
          <w:rFonts w:cs="Arial"/>
          <w:lang w:eastAsia="en-AU"/>
        </w:rPr>
        <w:t xml:space="preserve"> </w:t>
      </w:r>
      <w:r w:rsidR="00236748" w:rsidRPr="00276391">
        <w:rPr>
          <w:rFonts w:cs="Arial"/>
          <w:lang w:eastAsia="en-AU"/>
        </w:rPr>
        <w:t>inclusion</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access</w:t>
      </w:r>
      <w:r w:rsidR="009B2351" w:rsidRPr="00276391">
        <w:rPr>
          <w:rFonts w:cs="Arial"/>
          <w:lang w:eastAsia="en-AU"/>
        </w:rPr>
        <w:t xml:space="preserve"> </w:t>
      </w:r>
      <w:r w:rsidR="00236748" w:rsidRPr="00276391">
        <w:rPr>
          <w:rFonts w:cs="Arial"/>
          <w:lang w:eastAsia="en-AU"/>
        </w:rPr>
        <w:t>for</w:t>
      </w:r>
      <w:r w:rsidR="009B2351" w:rsidRPr="00276391">
        <w:rPr>
          <w:rFonts w:cs="Arial"/>
          <w:lang w:eastAsia="en-AU"/>
        </w:rPr>
        <w:t xml:space="preserve"> </w:t>
      </w:r>
      <w:r w:rsidR="00236748" w:rsidRPr="00276391">
        <w:rPr>
          <w:rFonts w:cs="Arial"/>
          <w:lang w:eastAsia="en-AU"/>
        </w:rPr>
        <w:t>Aboriginal</w:t>
      </w:r>
      <w:r w:rsidR="009B2351" w:rsidRPr="00276391">
        <w:rPr>
          <w:rFonts w:cs="Arial"/>
          <w:lang w:eastAsia="en-AU"/>
        </w:rPr>
        <w:t xml:space="preserve"> </w:t>
      </w:r>
      <w:r w:rsidR="00236748" w:rsidRPr="00276391">
        <w:rPr>
          <w:rFonts w:cs="Arial"/>
          <w:lang w:eastAsia="en-AU"/>
        </w:rPr>
        <w:t>people</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communities</w:t>
      </w:r>
      <w:bookmarkEnd w:id="809"/>
      <w:bookmarkEnd w:id="810"/>
      <w:bookmarkEnd w:id="811"/>
      <w:bookmarkEnd w:id="812"/>
    </w:p>
    <w:p w14:paraId="70BE056D" w14:textId="77777777" w:rsidR="005E79E1" w:rsidRDefault="005E79E1" w:rsidP="005E79E1">
      <w:pPr>
        <w:pStyle w:val="DHHSbody"/>
        <w:rPr>
          <w:rFonts w:cs="Arial"/>
          <w:i/>
          <w:color w:val="000000"/>
          <w:szCs w:val="19"/>
          <w:lang w:eastAsia="en-AU"/>
        </w:rPr>
      </w:pPr>
      <w:bookmarkStart w:id="813" w:name="_Toc478992170"/>
      <w:r>
        <w:rPr>
          <w:rFonts w:cs="Arial"/>
          <w:color w:val="000000"/>
          <w:szCs w:val="19"/>
          <w:lang w:eastAsia="en-AU"/>
        </w:rPr>
        <w:t xml:space="preserve">All health and human services </w:t>
      </w:r>
      <w:proofErr w:type="gramStart"/>
      <w:r>
        <w:rPr>
          <w:rFonts w:cs="Arial"/>
          <w:color w:val="000000"/>
          <w:szCs w:val="19"/>
          <w:lang w:eastAsia="en-AU"/>
        </w:rPr>
        <w:t>has</w:t>
      </w:r>
      <w:proofErr w:type="gramEnd"/>
      <w:r>
        <w:rPr>
          <w:rFonts w:cs="Arial"/>
          <w:color w:val="000000"/>
          <w:szCs w:val="19"/>
          <w:lang w:eastAsia="en-AU"/>
        </w:rPr>
        <w:t xml:space="preserve"> a responsibility to deliver services that are culturally safe, culturally responsive and free of racism. The department’s new </w:t>
      </w:r>
      <w:r w:rsidRPr="00501D57">
        <w:rPr>
          <w:rFonts w:cs="Arial"/>
          <w:i/>
          <w:color w:val="000000"/>
          <w:szCs w:val="19"/>
          <w:lang w:eastAsia="en-AU"/>
        </w:rPr>
        <w:t>Aboriginal health, wellbeing and safety strategic plan 2017-2027</w:t>
      </w:r>
      <w:r>
        <w:rPr>
          <w:rFonts w:cs="Arial"/>
          <w:i/>
          <w:color w:val="000000"/>
          <w:szCs w:val="19"/>
          <w:lang w:eastAsia="en-AU"/>
        </w:rPr>
        <w:t xml:space="preserve">: </w:t>
      </w:r>
      <w:proofErr w:type="spellStart"/>
      <w:r>
        <w:rPr>
          <w:rFonts w:cs="Arial"/>
          <w:i/>
          <w:color w:val="000000"/>
          <w:szCs w:val="19"/>
          <w:lang w:eastAsia="en-AU"/>
        </w:rPr>
        <w:t>Korin</w:t>
      </w:r>
      <w:proofErr w:type="spellEnd"/>
      <w:r>
        <w:rPr>
          <w:rFonts w:cs="Arial"/>
          <w:i/>
          <w:color w:val="000000"/>
          <w:szCs w:val="19"/>
          <w:lang w:eastAsia="en-AU"/>
        </w:rPr>
        <w:t xml:space="preserve"> </w:t>
      </w:r>
      <w:proofErr w:type="spellStart"/>
      <w:r>
        <w:rPr>
          <w:rFonts w:cs="Arial"/>
          <w:i/>
          <w:color w:val="000000"/>
          <w:szCs w:val="19"/>
          <w:lang w:eastAsia="en-AU"/>
        </w:rPr>
        <w:t>Korin</w:t>
      </w:r>
      <w:proofErr w:type="spellEnd"/>
      <w:r>
        <w:rPr>
          <w:rFonts w:cs="Arial"/>
          <w:i/>
          <w:color w:val="000000"/>
          <w:szCs w:val="19"/>
          <w:lang w:eastAsia="en-AU"/>
        </w:rPr>
        <w:t xml:space="preserve"> </w:t>
      </w:r>
      <w:proofErr w:type="spellStart"/>
      <w:r>
        <w:rPr>
          <w:rFonts w:cs="Arial"/>
          <w:i/>
          <w:color w:val="000000"/>
          <w:szCs w:val="19"/>
          <w:lang w:eastAsia="en-AU"/>
        </w:rPr>
        <w:t>Balit-Djak</w:t>
      </w:r>
      <w:proofErr w:type="spellEnd"/>
      <w:r>
        <w:rPr>
          <w:rFonts w:cs="Arial"/>
          <w:i/>
          <w:color w:val="000000"/>
          <w:szCs w:val="19"/>
          <w:lang w:eastAsia="en-AU"/>
        </w:rPr>
        <w:t xml:space="preserve"> </w:t>
      </w:r>
      <w:r>
        <w:rPr>
          <w:rFonts w:cs="Arial"/>
          <w:color w:val="000000"/>
          <w:szCs w:val="19"/>
          <w:lang w:eastAsia="en-AU"/>
        </w:rPr>
        <w:t>promotes the importance of delivering culturally safe and responsive mainstream health and human services as essential to supporting Aboriginal self-determination and achieving equitable outcomes for Aboriginal people.</w:t>
      </w:r>
    </w:p>
    <w:p w14:paraId="44E311BF" w14:textId="77777777" w:rsidR="005E79E1" w:rsidRPr="00A521F9" w:rsidRDefault="005E79E1" w:rsidP="005E79E1">
      <w:pPr>
        <w:pStyle w:val="DHHSbody"/>
        <w:rPr>
          <w:rFonts w:cs="Arial"/>
          <w:i/>
          <w:color w:val="000000"/>
          <w:szCs w:val="19"/>
          <w:lang w:eastAsia="en-AU"/>
        </w:rPr>
      </w:pPr>
      <w:r>
        <w:rPr>
          <w:rFonts w:cs="Arial"/>
          <w:color w:val="000000"/>
          <w:szCs w:val="19"/>
          <w:lang w:eastAsia="en-AU"/>
        </w:rPr>
        <w:t xml:space="preserve">A </w:t>
      </w:r>
      <w:r>
        <w:t>culturally safe and racism-free health and human services system is one in which people feel safe, where there is no challenge or need for the denial of their identity, and where their needs are met. Non-Aboriginal people must take responsibility to understand the importance of culture, country and community to Aboriginal health, wellbeing and safety by working with Aboriginal communities to design and deliver culturally responsive services.</w:t>
      </w:r>
    </w:p>
    <w:p w14:paraId="562C9C7C" w14:textId="77777777" w:rsidR="005E79E1" w:rsidRDefault="005E79E1" w:rsidP="005E79E1">
      <w:pPr>
        <w:pStyle w:val="DHHSbody"/>
        <w:rPr>
          <w:rFonts w:cs="Arial"/>
          <w:color w:val="000000"/>
          <w:szCs w:val="19"/>
          <w:lang w:eastAsia="en-AU"/>
        </w:rPr>
      </w:pPr>
      <w:r w:rsidRPr="00672F56">
        <w:rPr>
          <w:rFonts w:cs="Arial"/>
          <w:color w:val="000000"/>
          <w:szCs w:val="19"/>
          <w:lang w:eastAsia="en-AU"/>
        </w:rPr>
        <w:t>The following resources provide guidelines for improved Aboriginal inclusion and access</w:t>
      </w:r>
      <w:r>
        <w:rPr>
          <w:rFonts w:cs="Arial"/>
          <w:color w:val="000000"/>
          <w:szCs w:val="19"/>
          <w:lang w:eastAsia="en-AU"/>
        </w:rPr>
        <w:t>:</w:t>
      </w:r>
    </w:p>
    <w:p w14:paraId="087C218F" w14:textId="77777777" w:rsidR="005E79E1" w:rsidRPr="00BA729B" w:rsidRDefault="005E79E1" w:rsidP="005E79E1">
      <w:pPr>
        <w:pStyle w:val="DHHSbody"/>
        <w:rPr>
          <w:rFonts w:cs="Arial"/>
          <w:b/>
          <w:color w:val="000000"/>
          <w:szCs w:val="19"/>
          <w:u w:val="single"/>
          <w:lang w:eastAsia="en-AU"/>
        </w:rPr>
      </w:pPr>
      <w:proofErr w:type="spellStart"/>
      <w:r w:rsidRPr="00BA729B">
        <w:rPr>
          <w:rFonts w:cs="Arial"/>
          <w:b/>
          <w:color w:val="000000"/>
          <w:szCs w:val="19"/>
          <w:u w:val="single"/>
          <w:lang w:eastAsia="en-AU"/>
        </w:rPr>
        <w:t>Korin</w:t>
      </w:r>
      <w:proofErr w:type="spellEnd"/>
      <w:r w:rsidRPr="00BA729B">
        <w:rPr>
          <w:rFonts w:cs="Arial"/>
          <w:b/>
          <w:color w:val="000000"/>
          <w:szCs w:val="19"/>
          <w:u w:val="single"/>
          <w:lang w:eastAsia="en-AU"/>
        </w:rPr>
        <w:t xml:space="preserve"> </w:t>
      </w:r>
      <w:proofErr w:type="spellStart"/>
      <w:r w:rsidRPr="00BA729B">
        <w:rPr>
          <w:rFonts w:cs="Arial"/>
          <w:b/>
          <w:color w:val="000000"/>
          <w:szCs w:val="19"/>
          <w:u w:val="single"/>
          <w:lang w:eastAsia="en-AU"/>
        </w:rPr>
        <w:t>Korin</w:t>
      </w:r>
      <w:proofErr w:type="spellEnd"/>
      <w:r w:rsidRPr="00BA729B">
        <w:rPr>
          <w:rFonts w:cs="Arial"/>
          <w:b/>
          <w:color w:val="000000"/>
          <w:szCs w:val="19"/>
          <w:u w:val="single"/>
          <w:lang w:eastAsia="en-AU"/>
        </w:rPr>
        <w:t xml:space="preserve"> </w:t>
      </w:r>
      <w:proofErr w:type="spellStart"/>
      <w:r w:rsidRPr="00BA729B">
        <w:rPr>
          <w:rFonts w:cs="Arial"/>
          <w:b/>
          <w:color w:val="000000"/>
          <w:szCs w:val="19"/>
          <w:u w:val="single"/>
          <w:lang w:eastAsia="en-AU"/>
        </w:rPr>
        <w:t>Balit-Djak</w:t>
      </w:r>
      <w:proofErr w:type="spellEnd"/>
      <w:r w:rsidRPr="00BA729B">
        <w:rPr>
          <w:rFonts w:cs="Arial"/>
          <w:b/>
          <w:color w:val="000000"/>
          <w:szCs w:val="19"/>
          <w:u w:val="single"/>
          <w:lang w:eastAsia="en-AU"/>
        </w:rPr>
        <w:t>: Aboriginal health, wellbeing and safety strategic plan 2017-2027</w:t>
      </w:r>
    </w:p>
    <w:p w14:paraId="1D201CA1" w14:textId="4FA6610E" w:rsidR="005E79E1" w:rsidRPr="00BA729B" w:rsidRDefault="005E79E1" w:rsidP="005E79E1">
      <w:pPr>
        <w:pStyle w:val="DHHSbody"/>
      </w:pPr>
      <w:r w:rsidRPr="00BA729B">
        <w:rPr>
          <w:rFonts w:cs="Arial"/>
          <w:color w:val="000000"/>
          <w:lang w:eastAsia="en-AU"/>
        </w:rPr>
        <w:t xml:space="preserve">The government launched </w:t>
      </w:r>
      <w:hyperlink r:id="rId271" w:history="1">
        <w:r w:rsidRPr="005A6A77">
          <w:rPr>
            <w:rStyle w:val="Hyperlink"/>
            <w:rFonts w:cs="Arial"/>
            <w:i/>
            <w:lang w:eastAsia="en-AU"/>
          </w:rPr>
          <w:t>Korin Korin Balit-Djak: Aboriginal health, wellbeing and safety strategic plan 2017-2027</w:t>
        </w:r>
      </w:hyperlink>
      <w:r w:rsidRPr="00BA729B">
        <w:rPr>
          <w:rFonts w:cs="Arial"/>
          <w:i/>
          <w:color w:val="000000"/>
          <w:lang w:eastAsia="en-AU"/>
        </w:rPr>
        <w:t xml:space="preserve"> </w:t>
      </w:r>
      <w:r w:rsidR="00E85BB9">
        <w:rPr>
          <w:rFonts w:cs="Arial"/>
          <w:i/>
          <w:color w:val="000000"/>
          <w:lang w:eastAsia="en-AU"/>
        </w:rPr>
        <w:t>&lt;</w:t>
      </w:r>
      <w:r w:rsidR="00E85BB9" w:rsidRPr="00E85BB9">
        <w:rPr>
          <w:rFonts w:cs="Arial"/>
          <w:i/>
          <w:color w:val="000000"/>
          <w:lang w:eastAsia="en-AU"/>
        </w:rPr>
        <w:t>https://www2.health.vic.gov.au/about/health-strategies/aboriginal-health/korin-korin-balit-djak</w:t>
      </w:r>
      <w:r w:rsidR="00E85BB9">
        <w:rPr>
          <w:rFonts w:cs="Arial"/>
          <w:i/>
          <w:color w:val="000000"/>
          <w:lang w:eastAsia="en-AU"/>
        </w:rPr>
        <w:t xml:space="preserve">&gt; </w:t>
      </w:r>
      <w:r w:rsidR="00E85BB9">
        <w:rPr>
          <w:rFonts w:cs="Arial"/>
          <w:color w:val="000000"/>
          <w:lang w:eastAsia="en-AU"/>
        </w:rPr>
        <w:t>(</w:t>
      </w:r>
      <w:r w:rsidR="00E85BB9" w:rsidRPr="00E85BB9">
        <w:rPr>
          <w:rFonts w:cs="Arial"/>
          <w:color w:val="000000"/>
          <w:lang w:eastAsia="en-AU"/>
        </w:rPr>
        <w:t>external link, opens in a new window</w:t>
      </w:r>
      <w:r w:rsidR="00E85BB9">
        <w:rPr>
          <w:rFonts w:cs="Arial"/>
          <w:i/>
          <w:color w:val="000000"/>
          <w:lang w:eastAsia="en-AU"/>
        </w:rPr>
        <w:t xml:space="preserve">) </w:t>
      </w:r>
      <w:r w:rsidRPr="00BA729B">
        <w:rPr>
          <w:rFonts w:cs="Arial"/>
          <w:color w:val="000000"/>
          <w:lang w:eastAsia="en-AU"/>
        </w:rPr>
        <w:t>in October 2017</w:t>
      </w:r>
      <w:r>
        <w:rPr>
          <w:rFonts w:cs="Arial"/>
          <w:color w:val="000000"/>
          <w:lang w:eastAsia="en-AU"/>
        </w:rPr>
        <w:t xml:space="preserve">. </w:t>
      </w:r>
      <w:proofErr w:type="spellStart"/>
      <w:r w:rsidRPr="004674DB">
        <w:rPr>
          <w:rFonts w:cs="Arial"/>
          <w:i/>
          <w:color w:val="000000"/>
          <w:lang w:eastAsia="en-AU"/>
        </w:rPr>
        <w:t>Korin</w:t>
      </w:r>
      <w:proofErr w:type="spellEnd"/>
      <w:r w:rsidRPr="004674DB">
        <w:rPr>
          <w:rFonts w:cs="Arial"/>
          <w:i/>
          <w:color w:val="000000"/>
          <w:lang w:eastAsia="en-AU"/>
        </w:rPr>
        <w:t xml:space="preserve"> </w:t>
      </w:r>
      <w:proofErr w:type="spellStart"/>
      <w:r w:rsidRPr="004674DB">
        <w:rPr>
          <w:rFonts w:cs="Arial"/>
          <w:i/>
          <w:color w:val="000000"/>
          <w:lang w:eastAsia="en-AU"/>
        </w:rPr>
        <w:t>Korin</w:t>
      </w:r>
      <w:proofErr w:type="spellEnd"/>
      <w:r w:rsidRPr="004674DB">
        <w:rPr>
          <w:rFonts w:cs="Arial"/>
          <w:i/>
          <w:color w:val="000000"/>
          <w:lang w:eastAsia="en-AU"/>
        </w:rPr>
        <w:t xml:space="preserve"> </w:t>
      </w:r>
      <w:proofErr w:type="spellStart"/>
      <w:r w:rsidRPr="004674DB">
        <w:rPr>
          <w:rFonts w:cs="Arial"/>
          <w:i/>
          <w:color w:val="000000"/>
          <w:lang w:eastAsia="en-AU"/>
        </w:rPr>
        <w:t>Balit-Djak</w:t>
      </w:r>
      <w:proofErr w:type="spellEnd"/>
      <w:r w:rsidRPr="00BA729B">
        <w:rPr>
          <w:rFonts w:cs="Arial"/>
          <w:color w:val="000000"/>
          <w:lang w:eastAsia="en-AU"/>
        </w:rPr>
        <w:t xml:space="preserve"> </w:t>
      </w:r>
      <w:r w:rsidRPr="00BA729B">
        <w:t xml:space="preserve">provides an overarching framework for action to </w:t>
      </w:r>
      <w:r>
        <w:t xml:space="preserve">advance self-determination and </w:t>
      </w:r>
      <w:r w:rsidRPr="00BA729B">
        <w:t xml:space="preserve">improve the health, wellbeing and safety of Aboriginal </w:t>
      </w:r>
      <w:r>
        <w:t>people and communities. Underpinned by the principle of self-determination with a focus on improving cul</w:t>
      </w:r>
      <w:r w:rsidR="003B73B8">
        <w:t xml:space="preserve">tural and social determinants, </w:t>
      </w:r>
      <w:proofErr w:type="spellStart"/>
      <w:r w:rsidRPr="004674DB">
        <w:rPr>
          <w:i/>
        </w:rPr>
        <w:t>Korin</w:t>
      </w:r>
      <w:proofErr w:type="spellEnd"/>
      <w:r w:rsidRPr="004674DB">
        <w:rPr>
          <w:i/>
        </w:rPr>
        <w:t xml:space="preserve"> </w:t>
      </w:r>
      <w:proofErr w:type="spellStart"/>
      <w:r w:rsidRPr="004674DB">
        <w:rPr>
          <w:i/>
        </w:rPr>
        <w:t>Korin</w:t>
      </w:r>
      <w:proofErr w:type="spellEnd"/>
      <w:r w:rsidRPr="004674DB">
        <w:rPr>
          <w:i/>
        </w:rPr>
        <w:t xml:space="preserve"> </w:t>
      </w:r>
      <w:proofErr w:type="spellStart"/>
      <w:r w:rsidRPr="004674DB">
        <w:rPr>
          <w:i/>
        </w:rPr>
        <w:t>Balit-Djak</w:t>
      </w:r>
      <w:proofErr w:type="spellEnd"/>
      <w:r>
        <w:t xml:space="preserve"> sets</w:t>
      </w:r>
      <w:r w:rsidRPr="00BA729B">
        <w:t xml:space="preserve"> the Victorian Government’s vision and direction for ensuring positive outcomes for Aboriginal Victorians across the breadth and depth of its activities. </w:t>
      </w:r>
      <w:proofErr w:type="spellStart"/>
      <w:r w:rsidRPr="004674DB">
        <w:rPr>
          <w:i/>
        </w:rPr>
        <w:t>Korin</w:t>
      </w:r>
      <w:proofErr w:type="spellEnd"/>
      <w:r w:rsidRPr="004674DB">
        <w:rPr>
          <w:i/>
        </w:rPr>
        <w:t xml:space="preserve"> </w:t>
      </w:r>
      <w:proofErr w:type="spellStart"/>
      <w:r w:rsidRPr="004674DB">
        <w:rPr>
          <w:i/>
        </w:rPr>
        <w:t>Korin</w:t>
      </w:r>
      <w:proofErr w:type="spellEnd"/>
      <w:r w:rsidRPr="004674DB">
        <w:rPr>
          <w:i/>
        </w:rPr>
        <w:t xml:space="preserve"> </w:t>
      </w:r>
      <w:proofErr w:type="spellStart"/>
      <w:r w:rsidRPr="004674DB">
        <w:rPr>
          <w:i/>
        </w:rPr>
        <w:t>Balit-Djak</w:t>
      </w:r>
      <w:proofErr w:type="spellEnd"/>
      <w:r w:rsidRPr="004674DB">
        <w:rPr>
          <w:i/>
        </w:rPr>
        <w:t xml:space="preserve"> </w:t>
      </w:r>
      <w:r>
        <w:t>is accompanied by</w:t>
      </w:r>
      <w:r w:rsidRPr="00BA729B">
        <w:t xml:space="preserve"> two other key initiatives to support the improved health, wellbeing and safety of Aboriginal Victorians: </w:t>
      </w:r>
      <w:proofErr w:type="spellStart"/>
      <w:r w:rsidRPr="00BA729B">
        <w:rPr>
          <w:i/>
        </w:rPr>
        <w:t>Balit</w:t>
      </w:r>
      <w:proofErr w:type="spellEnd"/>
      <w:r w:rsidRPr="00BA729B">
        <w:rPr>
          <w:i/>
        </w:rPr>
        <w:t xml:space="preserve"> </w:t>
      </w:r>
      <w:proofErr w:type="spellStart"/>
      <w:r w:rsidRPr="00BA729B">
        <w:rPr>
          <w:i/>
        </w:rPr>
        <w:t>Murrup</w:t>
      </w:r>
      <w:proofErr w:type="spellEnd"/>
      <w:r w:rsidRPr="00BA729B">
        <w:rPr>
          <w:i/>
        </w:rPr>
        <w:t>: Aboriginal social and emotional wellbeing framework</w:t>
      </w:r>
      <w:r w:rsidRPr="00BA729B">
        <w:t xml:space="preserve">, and the </w:t>
      </w:r>
      <w:r w:rsidRPr="00BA729B">
        <w:rPr>
          <w:i/>
        </w:rPr>
        <w:t>Aboriginal governance and accountability framework</w:t>
      </w:r>
      <w:r>
        <w:t xml:space="preserve">. </w:t>
      </w:r>
    </w:p>
    <w:p w14:paraId="73F7105F" w14:textId="77777777" w:rsidR="005E79E1" w:rsidRPr="00E130D5" w:rsidRDefault="005E79E1" w:rsidP="005E79E1">
      <w:pPr>
        <w:spacing w:after="120" w:line="270" w:lineRule="atLeast"/>
        <w:rPr>
          <w:rFonts w:ascii="Arial" w:eastAsia="Times" w:hAnsi="Arial" w:cs="Arial"/>
          <w:b/>
          <w:color w:val="000000"/>
          <w:szCs w:val="19"/>
          <w:u w:val="single"/>
          <w:lang w:eastAsia="en-AU"/>
        </w:rPr>
      </w:pPr>
      <w:proofErr w:type="spellStart"/>
      <w:r w:rsidRPr="00E130D5">
        <w:rPr>
          <w:rFonts w:ascii="Arial" w:eastAsia="Times" w:hAnsi="Arial" w:cs="Arial"/>
          <w:b/>
          <w:color w:val="000000"/>
          <w:szCs w:val="19"/>
          <w:u w:val="single"/>
          <w:lang w:eastAsia="en-AU"/>
        </w:rPr>
        <w:t>Balit</w:t>
      </w:r>
      <w:proofErr w:type="spellEnd"/>
      <w:r w:rsidRPr="00E130D5">
        <w:rPr>
          <w:rFonts w:ascii="Arial" w:eastAsia="Times" w:hAnsi="Arial" w:cs="Arial"/>
          <w:b/>
          <w:color w:val="000000"/>
          <w:szCs w:val="19"/>
          <w:u w:val="single"/>
          <w:lang w:eastAsia="en-AU"/>
        </w:rPr>
        <w:t xml:space="preserve"> </w:t>
      </w:r>
      <w:proofErr w:type="spellStart"/>
      <w:r w:rsidRPr="00E130D5">
        <w:rPr>
          <w:rFonts w:ascii="Arial" w:eastAsia="Times" w:hAnsi="Arial" w:cs="Arial"/>
          <w:b/>
          <w:color w:val="000000"/>
          <w:szCs w:val="19"/>
          <w:u w:val="single"/>
          <w:lang w:eastAsia="en-AU"/>
        </w:rPr>
        <w:t>Murrup</w:t>
      </w:r>
      <w:proofErr w:type="spellEnd"/>
      <w:r w:rsidRPr="00E130D5">
        <w:rPr>
          <w:rFonts w:ascii="Arial" w:eastAsia="Times" w:hAnsi="Arial" w:cs="Arial"/>
          <w:b/>
          <w:color w:val="000000"/>
          <w:szCs w:val="19"/>
          <w:u w:val="single"/>
          <w:lang w:eastAsia="en-AU"/>
        </w:rPr>
        <w:t>: Aboriginal social and emotional wellbeing framework 2017-2027</w:t>
      </w:r>
    </w:p>
    <w:p w14:paraId="683BFC14" w14:textId="02E40F87" w:rsidR="005E79E1" w:rsidRPr="00E130D5" w:rsidRDefault="0016341D" w:rsidP="005E79E1">
      <w:pPr>
        <w:spacing w:after="120" w:line="270" w:lineRule="atLeast"/>
        <w:rPr>
          <w:rFonts w:ascii="Arial" w:hAnsi="Arial" w:cs="Arial"/>
        </w:rPr>
      </w:pPr>
      <w:hyperlink r:id="rId272" w:history="1">
        <w:r w:rsidR="005E79E1" w:rsidRPr="005A6A77">
          <w:rPr>
            <w:rStyle w:val="Hyperlink"/>
            <w:rFonts w:ascii="Arial" w:hAnsi="Arial" w:cs="Arial"/>
            <w:i/>
          </w:rPr>
          <w:t>Balit Murrup: Aboriginal Social and Emotional Wellbeing Framework</w:t>
        </w:r>
        <w:r w:rsidR="005E79E1" w:rsidRPr="005A6A77">
          <w:rPr>
            <w:rStyle w:val="Hyperlink"/>
            <w:rFonts w:ascii="Arial" w:hAnsi="Arial" w:cs="Arial"/>
          </w:rPr>
          <w:t xml:space="preserve"> 2017-2027</w:t>
        </w:r>
      </w:hyperlink>
      <w:r w:rsidR="00E85BB9">
        <w:rPr>
          <w:rStyle w:val="Hyperlink"/>
          <w:rFonts w:ascii="Arial" w:hAnsi="Arial" w:cs="Arial"/>
        </w:rPr>
        <w:t xml:space="preserve"> </w:t>
      </w:r>
      <w:r w:rsidR="00E85BB9">
        <w:rPr>
          <w:rFonts w:ascii="Arial" w:hAnsi="Arial" w:cs="Arial"/>
        </w:rPr>
        <w:t>&lt;</w:t>
      </w:r>
      <w:r w:rsidR="00E85BB9" w:rsidRPr="00E85BB9">
        <w:rPr>
          <w:rFonts w:ascii="Arial" w:hAnsi="Arial" w:cs="Arial"/>
        </w:rPr>
        <w:t>https://www2.health.vic.gov.au/about/publications/policiesandguidelines/balit-murrup-aboriginal-social-emotional-wellbeing-framework-2017-2027</w:t>
      </w:r>
      <w:r w:rsidR="00E85BB9">
        <w:rPr>
          <w:rFonts w:ascii="Arial" w:hAnsi="Arial" w:cs="Arial"/>
        </w:rPr>
        <w:t xml:space="preserve">&gt; (external link, opens in a new window) </w:t>
      </w:r>
      <w:r w:rsidR="005E79E1" w:rsidRPr="00BA729B">
        <w:rPr>
          <w:rFonts w:ascii="Arial" w:hAnsi="Arial" w:cs="Arial"/>
        </w:rPr>
        <w:t>is one of the first three priorities in Victoria’s 10-year mental health plan, which outlines a long-term vision to improve mental health services and outcomes for Victorians with a mental illness.</w:t>
      </w:r>
      <w:r w:rsidR="005E79E1">
        <w:rPr>
          <w:rFonts w:ascii="Arial" w:hAnsi="Arial" w:cs="Arial"/>
        </w:rPr>
        <w:t xml:space="preserve"> </w:t>
      </w:r>
      <w:proofErr w:type="spellStart"/>
      <w:r w:rsidR="005E79E1" w:rsidRPr="006F56CD">
        <w:rPr>
          <w:rFonts w:ascii="Arial" w:hAnsi="Arial" w:cs="Arial"/>
          <w:i/>
        </w:rPr>
        <w:t>Balit</w:t>
      </w:r>
      <w:proofErr w:type="spellEnd"/>
      <w:r w:rsidR="005E79E1" w:rsidRPr="006F56CD">
        <w:rPr>
          <w:rFonts w:ascii="Arial" w:hAnsi="Arial" w:cs="Arial"/>
          <w:i/>
        </w:rPr>
        <w:t xml:space="preserve"> </w:t>
      </w:r>
      <w:proofErr w:type="spellStart"/>
      <w:r w:rsidR="005E79E1" w:rsidRPr="006F56CD">
        <w:rPr>
          <w:rFonts w:ascii="Arial" w:hAnsi="Arial" w:cs="Arial"/>
          <w:i/>
        </w:rPr>
        <w:t>Murrup</w:t>
      </w:r>
      <w:proofErr w:type="spellEnd"/>
      <w:r w:rsidR="005E79E1" w:rsidRPr="00BA729B">
        <w:rPr>
          <w:rFonts w:ascii="Arial" w:hAnsi="Arial" w:cs="Arial"/>
        </w:rPr>
        <w:t xml:space="preserve"> </w:t>
      </w:r>
      <w:r w:rsidR="005E79E1">
        <w:rPr>
          <w:rFonts w:ascii="Arial" w:hAnsi="Arial" w:cs="Arial"/>
        </w:rPr>
        <w:t xml:space="preserve">will </w:t>
      </w:r>
      <w:r w:rsidR="005E79E1" w:rsidRPr="006F56CD">
        <w:rPr>
          <w:rFonts w:ascii="Arial" w:hAnsi="Arial" w:cs="Arial"/>
        </w:rPr>
        <w:t xml:space="preserve">improve the social and emotional wellbeing of Victorian Aboriginal people and seeks to reduce the incidence, severity </w:t>
      </w:r>
      <w:r w:rsidR="005E79E1" w:rsidRPr="006F56CD">
        <w:rPr>
          <w:rFonts w:ascii="Arial" w:hAnsi="Arial" w:cs="Arial"/>
        </w:rPr>
        <w:lastRenderedPageBreak/>
        <w:t xml:space="preserve">and duration of mental illness, reduce suicide rates, and prevent and lessen the devastating impacts of family violence and alcohol and </w:t>
      </w:r>
      <w:proofErr w:type="gramStart"/>
      <w:r w:rsidR="005E79E1" w:rsidRPr="006F56CD">
        <w:rPr>
          <w:rFonts w:ascii="Arial" w:hAnsi="Arial" w:cs="Arial"/>
        </w:rPr>
        <w:t>ot</w:t>
      </w:r>
      <w:r w:rsidR="005E79E1">
        <w:rPr>
          <w:rFonts w:ascii="Arial" w:hAnsi="Arial" w:cs="Arial"/>
        </w:rPr>
        <w:t>her</w:t>
      </w:r>
      <w:proofErr w:type="gramEnd"/>
      <w:r w:rsidR="005E79E1">
        <w:rPr>
          <w:rFonts w:ascii="Arial" w:hAnsi="Arial" w:cs="Arial"/>
        </w:rPr>
        <w:t xml:space="preserve"> drug use</w:t>
      </w:r>
      <w:r w:rsidR="005E79E1" w:rsidRPr="00BA729B">
        <w:rPr>
          <w:rFonts w:ascii="Arial" w:hAnsi="Arial" w:cs="Arial"/>
        </w:rPr>
        <w:t>.</w:t>
      </w:r>
    </w:p>
    <w:p w14:paraId="604276F0" w14:textId="42ABC3BC" w:rsidR="005E79E1" w:rsidRPr="00BA729B" w:rsidRDefault="005E79E1" w:rsidP="005E79E1">
      <w:pPr>
        <w:spacing w:after="120" w:line="270" w:lineRule="atLeast"/>
        <w:rPr>
          <w:rFonts w:ascii="Arial" w:eastAsia="Times" w:hAnsi="Arial" w:cs="Arial"/>
          <w:color w:val="000000"/>
          <w:szCs w:val="19"/>
          <w:u w:val="single"/>
          <w:lang w:eastAsia="en-AU"/>
        </w:rPr>
      </w:pPr>
      <w:r w:rsidRPr="00BA729B">
        <w:rPr>
          <w:rFonts w:ascii="Arial" w:eastAsia="Times" w:hAnsi="Arial" w:cs="Arial"/>
          <w:b/>
          <w:color w:val="000000"/>
          <w:szCs w:val="19"/>
          <w:u w:val="single"/>
          <w:lang w:eastAsia="en-AU"/>
        </w:rPr>
        <w:t>Aboriginal governance and accountability framework</w:t>
      </w:r>
      <w:r w:rsidR="006250C7">
        <w:rPr>
          <w:rFonts w:ascii="Arial" w:eastAsia="Times" w:hAnsi="Arial" w:cs="Arial"/>
          <w:b/>
          <w:color w:val="000000"/>
          <w:szCs w:val="19"/>
          <w:u w:val="single"/>
          <w:lang w:eastAsia="en-AU"/>
        </w:rPr>
        <w:t xml:space="preserve"> </w:t>
      </w:r>
    </w:p>
    <w:p w14:paraId="70D9AFB3" w14:textId="281B6F5E" w:rsidR="005E79E1" w:rsidRPr="00E91960" w:rsidRDefault="005E79E1" w:rsidP="005E79E1">
      <w:pPr>
        <w:spacing w:after="120" w:line="270" w:lineRule="atLeast"/>
        <w:rPr>
          <w:rFonts w:ascii="Arial" w:hAnsi="Arial" w:cs="Arial"/>
          <w:bCs/>
          <w:color w:val="000000"/>
        </w:rPr>
      </w:pPr>
      <w:r w:rsidRPr="00E91960">
        <w:rPr>
          <w:rFonts w:ascii="Arial" w:hAnsi="Arial" w:cs="Arial"/>
          <w:bCs/>
          <w:color w:val="000000"/>
        </w:rPr>
        <w:t xml:space="preserve">The </w:t>
      </w:r>
      <w:hyperlink r:id="rId273" w:history="1">
        <w:r w:rsidRPr="005A6A77">
          <w:rPr>
            <w:rStyle w:val="Hyperlink"/>
            <w:rFonts w:ascii="Arial" w:hAnsi="Arial" w:cs="Arial"/>
            <w:bCs/>
            <w:i/>
          </w:rPr>
          <w:t>Aboriginal governance and accountability framework</w:t>
        </w:r>
      </w:hyperlink>
      <w:r w:rsidRPr="00E91960">
        <w:rPr>
          <w:rFonts w:ascii="Arial" w:hAnsi="Arial" w:cs="Arial"/>
          <w:bCs/>
          <w:color w:val="000000"/>
        </w:rPr>
        <w:t xml:space="preserve"> </w:t>
      </w:r>
      <w:r w:rsidR="00E85BB9">
        <w:rPr>
          <w:rFonts w:ascii="Arial" w:hAnsi="Arial" w:cs="Arial"/>
          <w:bCs/>
          <w:color w:val="000000"/>
        </w:rPr>
        <w:t>&lt;</w:t>
      </w:r>
      <w:r w:rsidR="00E85BB9" w:rsidRPr="00E85BB9">
        <w:rPr>
          <w:rFonts w:ascii="Arial" w:hAnsi="Arial" w:cs="Arial"/>
          <w:bCs/>
          <w:color w:val="000000"/>
        </w:rPr>
        <w:t>https://dhhs.vic.gov.au/publications/aboriginal-governance-and-accountability-framework</w:t>
      </w:r>
      <w:r w:rsidR="00E85BB9">
        <w:rPr>
          <w:rFonts w:ascii="Arial" w:hAnsi="Arial" w:cs="Arial"/>
          <w:bCs/>
          <w:color w:val="000000"/>
        </w:rPr>
        <w:t xml:space="preserve">&gt; (external link, opens in a new window) </w:t>
      </w:r>
      <w:r w:rsidRPr="00E91960">
        <w:rPr>
          <w:rFonts w:ascii="Arial" w:hAnsi="Arial" w:cs="Arial"/>
          <w:bCs/>
          <w:color w:val="000000"/>
        </w:rPr>
        <w:t>is a commitment to support and embed Aboriginal leadership and self-determination in health, wellbeing and safety.</w:t>
      </w:r>
    </w:p>
    <w:p w14:paraId="6A36500C" w14:textId="77777777" w:rsidR="005E79E1" w:rsidRPr="00E91960" w:rsidRDefault="005E79E1" w:rsidP="005E79E1">
      <w:pPr>
        <w:spacing w:after="120" w:line="270" w:lineRule="atLeast"/>
        <w:rPr>
          <w:rFonts w:ascii="Arial" w:hAnsi="Arial" w:cs="Arial"/>
          <w:color w:val="000000"/>
        </w:rPr>
      </w:pPr>
      <w:r w:rsidRPr="00E91960">
        <w:rPr>
          <w:rFonts w:ascii="Arial" w:hAnsi="Arial" w:cs="Arial"/>
          <w:color w:val="000000"/>
        </w:rPr>
        <w:t>Its purpose is to enshrine the rightful place of Aboriginal people and communities as central to achieving sustainable improvements in health, wellbeing and safety for Aboriginal Victorians.</w:t>
      </w:r>
    </w:p>
    <w:p w14:paraId="40A9DD76" w14:textId="77777777" w:rsidR="005E79E1" w:rsidRDefault="005E79E1" w:rsidP="005E79E1">
      <w:pPr>
        <w:pStyle w:val="DHHSbody"/>
      </w:pPr>
      <w:r>
        <w:t>The framework aims to:</w:t>
      </w:r>
    </w:p>
    <w:p w14:paraId="4FA1D06F" w14:textId="77777777" w:rsidR="005E79E1" w:rsidRDefault="005E79E1" w:rsidP="005E79E1">
      <w:pPr>
        <w:pStyle w:val="DHHSbullet1"/>
        <w:numPr>
          <w:ilvl w:val="0"/>
          <w:numId w:val="25"/>
        </w:numPr>
        <w:spacing w:after="40"/>
        <w:contextualSpacing w:val="0"/>
      </w:pPr>
      <w:r>
        <w:t>embed Aboriginal leadership and decision making at all levels of the department</w:t>
      </w:r>
    </w:p>
    <w:p w14:paraId="0DC600A1" w14:textId="77777777" w:rsidR="005E79E1" w:rsidRDefault="005E79E1" w:rsidP="005E79E1">
      <w:pPr>
        <w:pStyle w:val="DHHSbullet1"/>
        <w:numPr>
          <w:ilvl w:val="0"/>
          <w:numId w:val="25"/>
        </w:numPr>
        <w:spacing w:after="40"/>
        <w:contextualSpacing w:val="0"/>
      </w:pPr>
      <w:r>
        <w:t>strengthen accountability and transparency to the Aboriginal community</w:t>
      </w:r>
    </w:p>
    <w:p w14:paraId="0012CCDA" w14:textId="5ECE6BE7" w:rsidR="005E79E1" w:rsidRDefault="005E79E1" w:rsidP="005E79E1">
      <w:pPr>
        <w:pStyle w:val="DHHSbullet1lastline"/>
        <w:numPr>
          <w:ilvl w:val="1"/>
          <w:numId w:val="25"/>
        </w:numPr>
        <w:contextualSpacing w:val="0"/>
      </w:pPr>
      <w:r>
        <w:t>engage and promote the d</w:t>
      </w:r>
      <w:r w:rsidR="00D05F49">
        <w:t xml:space="preserve">iversity of Aboriginal voices, </w:t>
      </w:r>
      <w:r>
        <w:t>particularly from local communities.</w:t>
      </w:r>
    </w:p>
    <w:p w14:paraId="6C4968B0" w14:textId="77777777" w:rsidR="005E79E1" w:rsidRDefault="005E79E1" w:rsidP="005E79E1">
      <w:pPr>
        <w:spacing w:after="120" w:line="270" w:lineRule="atLeast"/>
        <w:rPr>
          <w:rFonts w:ascii="Arial" w:hAnsi="Arial" w:cs="Arial"/>
          <w:color w:val="000000"/>
        </w:rPr>
      </w:pPr>
      <w:r w:rsidRPr="00E91960">
        <w:rPr>
          <w:rFonts w:ascii="Arial" w:hAnsi="Arial" w:cs="Arial"/>
          <w:color w:val="000000"/>
        </w:rPr>
        <w:t xml:space="preserve">The framework will establish a set of robust and interconnected governance mechanisms that </w:t>
      </w:r>
      <w:r>
        <w:rPr>
          <w:rFonts w:ascii="Arial" w:hAnsi="Arial" w:cs="Arial"/>
          <w:color w:val="000000"/>
        </w:rPr>
        <w:t>extend across the department’s operational divisions and a</w:t>
      </w:r>
      <w:r w:rsidRPr="00E91960">
        <w:rPr>
          <w:rFonts w:ascii="Arial" w:hAnsi="Arial" w:cs="Arial"/>
          <w:color w:val="000000"/>
        </w:rPr>
        <w:t>reas. The governance mechanisms will facilitate joint leadership between Aboriginal communities and the department to guide and oversee all Aboriginal policies, programs and initiatives.</w:t>
      </w:r>
    </w:p>
    <w:p w14:paraId="57420932" w14:textId="7BA07724" w:rsidR="005E79E1" w:rsidRPr="00E91960" w:rsidRDefault="005E79E1" w:rsidP="005E79E1">
      <w:pPr>
        <w:spacing w:after="120" w:line="270" w:lineRule="atLeast"/>
        <w:rPr>
          <w:rFonts w:ascii="Arial" w:hAnsi="Arial" w:cs="Arial"/>
          <w:color w:val="000000"/>
        </w:rPr>
      </w:pPr>
      <w:r w:rsidRPr="006F56CD">
        <w:rPr>
          <w:rFonts w:ascii="Arial" w:hAnsi="Arial" w:cs="Arial"/>
          <w:i/>
          <w:color w:val="000000"/>
        </w:rPr>
        <w:t>The Aboriginal Governance and Accountability Framework</w:t>
      </w:r>
      <w:r w:rsidRPr="006F56CD">
        <w:rPr>
          <w:rFonts w:ascii="Arial" w:hAnsi="Arial" w:cs="Arial"/>
          <w:color w:val="000000"/>
        </w:rPr>
        <w:t xml:space="preserve"> will provide an Aboriginal-led mechanism for governance of implementation of </w:t>
      </w:r>
      <w:proofErr w:type="spellStart"/>
      <w:r w:rsidRPr="006F56CD">
        <w:rPr>
          <w:rFonts w:ascii="Arial" w:hAnsi="Arial" w:cs="Arial"/>
          <w:i/>
          <w:color w:val="000000"/>
        </w:rPr>
        <w:t>Korin</w:t>
      </w:r>
      <w:proofErr w:type="spellEnd"/>
      <w:r w:rsidRPr="006F56CD">
        <w:rPr>
          <w:rFonts w:ascii="Arial" w:hAnsi="Arial" w:cs="Arial"/>
          <w:i/>
          <w:color w:val="000000"/>
        </w:rPr>
        <w:t xml:space="preserve"> </w:t>
      </w:r>
      <w:proofErr w:type="spellStart"/>
      <w:r w:rsidRPr="006F56CD">
        <w:rPr>
          <w:rFonts w:ascii="Arial" w:hAnsi="Arial" w:cs="Arial"/>
          <w:i/>
          <w:color w:val="000000"/>
        </w:rPr>
        <w:t>Korin</w:t>
      </w:r>
      <w:proofErr w:type="spellEnd"/>
      <w:r w:rsidRPr="006F56CD">
        <w:rPr>
          <w:rFonts w:ascii="Arial" w:hAnsi="Arial" w:cs="Arial"/>
          <w:i/>
          <w:color w:val="000000"/>
        </w:rPr>
        <w:t xml:space="preserve"> </w:t>
      </w:r>
      <w:proofErr w:type="spellStart"/>
      <w:r w:rsidRPr="006F56CD">
        <w:rPr>
          <w:rFonts w:ascii="Arial" w:hAnsi="Arial" w:cs="Arial"/>
          <w:i/>
          <w:color w:val="000000"/>
        </w:rPr>
        <w:t>Balit-Djak</w:t>
      </w:r>
      <w:proofErr w:type="spellEnd"/>
      <w:r w:rsidRPr="006F56CD">
        <w:rPr>
          <w:rFonts w:ascii="Arial" w:hAnsi="Arial" w:cs="Arial"/>
          <w:color w:val="000000"/>
        </w:rPr>
        <w:t xml:space="preserve"> and, will provide oversight of </w:t>
      </w:r>
      <w:r w:rsidR="00D05F49">
        <w:rPr>
          <w:rFonts w:ascii="Arial" w:hAnsi="Arial" w:cs="Arial"/>
          <w:color w:val="000000"/>
        </w:rPr>
        <w:t xml:space="preserve">monitoring and accountability, </w:t>
      </w:r>
      <w:r w:rsidRPr="006F56CD">
        <w:rPr>
          <w:rFonts w:ascii="Arial" w:hAnsi="Arial" w:cs="Arial"/>
          <w:color w:val="000000"/>
        </w:rPr>
        <w:t>holding the department to account to improve outcomes in Aboriginal health, wellbeing and safety.</w:t>
      </w:r>
    </w:p>
    <w:p w14:paraId="1B67A1CD" w14:textId="77777777" w:rsidR="005E79E1" w:rsidRPr="00BA729B" w:rsidRDefault="005E79E1" w:rsidP="005E79E1">
      <w:pPr>
        <w:spacing w:after="120" w:line="270" w:lineRule="atLeast"/>
        <w:rPr>
          <w:rFonts w:ascii="Arial" w:eastAsia="Times" w:hAnsi="Arial" w:cs="Arial"/>
          <w:color w:val="000000"/>
          <w:szCs w:val="19"/>
          <w:u w:val="single"/>
          <w:lang w:eastAsia="en-AU"/>
        </w:rPr>
      </w:pPr>
      <w:r w:rsidRPr="00BA729B">
        <w:rPr>
          <w:rFonts w:ascii="Arial" w:eastAsia="Times" w:hAnsi="Arial" w:cs="Arial"/>
          <w:b/>
          <w:color w:val="000000"/>
          <w:szCs w:val="19"/>
          <w:u w:val="single"/>
          <w:lang w:eastAsia="en-AU"/>
        </w:rPr>
        <w:t>Supporting Aboriginal Self-Determination: Prioritising Funding to Aboriginal Organisation</w:t>
      </w:r>
      <w:r>
        <w:rPr>
          <w:rFonts w:ascii="Arial" w:eastAsia="Times" w:hAnsi="Arial" w:cs="Arial"/>
          <w:b/>
          <w:color w:val="000000"/>
          <w:szCs w:val="19"/>
          <w:u w:val="single"/>
          <w:lang w:eastAsia="en-AU"/>
        </w:rPr>
        <w:t>s</w:t>
      </w:r>
      <w:r w:rsidRPr="00BA729B">
        <w:rPr>
          <w:rFonts w:ascii="Arial" w:eastAsia="Times" w:hAnsi="Arial" w:cs="Arial"/>
          <w:b/>
          <w:color w:val="000000"/>
          <w:szCs w:val="19"/>
          <w:u w:val="single"/>
          <w:lang w:eastAsia="en-AU"/>
        </w:rPr>
        <w:t xml:space="preserve"> policy</w:t>
      </w:r>
    </w:p>
    <w:p w14:paraId="71B6F8C1" w14:textId="33154BE2" w:rsidR="005E79E1" w:rsidRDefault="005E79E1" w:rsidP="005E79E1">
      <w:pPr>
        <w:spacing w:after="120" w:line="270" w:lineRule="atLeast"/>
        <w:rPr>
          <w:rFonts w:ascii="Arial" w:hAnsi="Arial" w:cs="Arial"/>
          <w:i/>
          <w:iCs/>
          <w:color w:val="000000"/>
        </w:rPr>
      </w:pPr>
      <w:r>
        <w:rPr>
          <w:rFonts w:ascii="Arial" w:hAnsi="Arial" w:cs="Arial"/>
          <w:color w:val="000000"/>
        </w:rPr>
        <w:t xml:space="preserve">As a key direction to supporting self-determination and improving Aboriginal health, wellbeing and safety outcomes in Victoria, the department has launched the </w:t>
      </w:r>
      <w:hyperlink r:id="rId274" w:history="1">
        <w:r w:rsidRPr="00C5789C">
          <w:rPr>
            <w:rStyle w:val="Hyperlink"/>
            <w:rFonts w:ascii="Arial" w:hAnsi="Arial" w:cs="Arial"/>
            <w:i/>
            <w:iCs/>
          </w:rPr>
          <w:t>Supporting Aboriginal Self-Determination: Prioritising Funding to Aboriginal Organisations</w:t>
        </w:r>
      </w:hyperlink>
      <w:r>
        <w:rPr>
          <w:rFonts w:ascii="Arial" w:hAnsi="Arial" w:cs="Arial"/>
          <w:color w:val="000000"/>
        </w:rPr>
        <w:t xml:space="preserve"> </w:t>
      </w:r>
      <w:r w:rsidR="00A55415">
        <w:rPr>
          <w:rFonts w:ascii="Arial" w:hAnsi="Arial" w:cs="Arial"/>
          <w:color w:val="000000"/>
        </w:rPr>
        <w:t>&lt;</w:t>
      </w:r>
      <w:r w:rsidR="00A55415" w:rsidRPr="00A55415">
        <w:rPr>
          <w:rFonts w:ascii="Arial" w:hAnsi="Arial" w:cs="Arial"/>
          <w:color w:val="000000"/>
        </w:rPr>
        <w:t>https://www2.health.vic.gov.au/about/policy-and-funding-guidelines</w:t>
      </w:r>
      <w:r w:rsidR="00E85BB9">
        <w:rPr>
          <w:rFonts w:ascii="Arial" w:hAnsi="Arial" w:cs="Arial"/>
          <w:color w:val="000000"/>
        </w:rPr>
        <w:t>&gt;</w:t>
      </w:r>
      <w:r w:rsidR="006250C7">
        <w:rPr>
          <w:rFonts w:ascii="Arial" w:hAnsi="Arial" w:cs="Arial"/>
          <w:color w:val="000000"/>
        </w:rPr>
        <w:t xml:space="preserve"> </w:t>
      </w:r>
      <w:r w:rsidR="00E85BB9">
        <w:rPr>
          <w:rFonts w:ascii="Arial" w:hAnsi="Arial" w:cs="Arial"/>
          <w:color w:val="000000"/>
        </w:rPr>
        <w:t>(external link, opens in a new window) (refer to volumes 1 and 2</w:t>
      </w:r>
      <w:r>
        <w:rPr>
          <w:rFonts w:ascii="Arial" w:hAnsi="Arial" w:cs="Arial"/>
          <w:color w:val="000000"/>
        </w:rPr>
        <w:t xml:space="preserve">) as one of its key reforms within </w:t>
      </w:r>
      <w:proofErr w:type="spellStart"/>
      <w:r>
        <w:rPr>
          <w:rFonts w:ascii="Arial" w:hAnsi="Arial" w:cs="Arial"/>
          <w:i/>
          <w:iCs/>
          <w:color w:val="000000"/>
        </w:rPr>
        <w:t>Korin</w:t>
      </w:r>
      <w:proofErr w:type="spellEnd"/>
      <w:r>
        <w:rPr>
          <w:rFonts w:ascii="Arial" w:hAnsi="Arial" w:cs="Arial"/>
          <w:i/>
          <w:iCs/>
          <w:color w:val="000000"/>
        </w:rPr>
        <w:t xml:space="preserve"> </w:t>
      </w:r>
      <w:proofErr w:type="spellStart"/>
      <w:r>
        <w:rPr>
          <w:rFonts w:ascii="Arial" w:hAnsi="Arial" w:cs="Arial"/>
          <w:i/>
          <w:iCs/>
          <w:color w:val="000000"/>
        </w:rPr>
        <w:t>Korin</w:t>
      </w:r>
      <w:proofErr w:type="spellEnd"/>
      <w:r>
        <w:rPr>
          <w:rFonts w:ascii="Arial" w:hAnsi="Arial" w:cs="Arial"/>
          <w:i/>
          <w:iCs/>
          <w:color w:val="000000"/>
        </w:rPr>
        <w:t xml:space="preserve"> </w:t>
      </w:r>
      <w:proofErr w:type="spellStart"/>
      <w:r>
        <w:rPr>
          <w:rFonts w:ascii="Arial" w:hAnsi="Arial" w:cs="Arial"/>
          <w:i/>
          <w:iCs/>
          <w:color w:val="000000"/>
        </w:rPr>
        <w:t>Balit-Djak</w:t>
      </w:r>
      <w:proofErr w:type="spellEnd"/>
      <w:r>
        <w:rPr>
          <w:rFonts w:ascii="Arial" w:hAnsi="Arial" w:cs="Arial"/>
          <w:i/>
          <w:iCs/>
          <w:color w:val="000000"/>
        </w:rPr>
        <w:t xml:space="preserve">. </w:t>
      </w:r>
    </w:p>
    <w:p w14:paraId="137208AA" w14:textId="77777777" w:rsidR="005E79E1" w:rsidRPr="00C5789C" w:rsidRDefault="005E79E1" w:rsidP="005E79E1">
      <w:pPr>
        <w:spacing w:after="120" w:line="270" w:lineRule="atLeast"/>
        <w:rPr>
          <w:rFonts w:ascii="Arial" w:hAnsi="Arial" w:cs="Arial"/>
          <w:iCs/>
          <w:color w:val="000000"/>
        </w:rPr>
      </w:pPr>
      <w:r w:rsidRPr="00C5789C">
        <w:rPr>
          <w:rFonts w:ascii="Arial" w:hAnsi="Arial" w:cs="Arial"/>
          <w:iCs/>
          <w:color w:val="000000"/>
        </w:rPr>
        <w:t xml:space="preserve">The policy aims to: </w:t>
      </w:r>
    </w:p>
    <w:p w14:paraId="18C321AD" w14:textId="7805C862" w:rsidR="005E79E1" w:rsidRPr="00C5789C" w:rsidRDefault="005E79E1" w:rsidP="005E79E1">
      <w:pPr>
        <w:pStyle w:val="ListParagraph"/>
        <w:numPr>
          <w:ilvl w:val="0"/>
          <w:numId w:val="27"/>
        </w:numPr>
        <w:spacing w:after="120" w:line="270" w:lineRule="atLeast"/>
        <w:rPr>
          <w:rFonts w:ascii="Arial" w:hAnsi="Arial" w:cs="Arial"/>
          <w:iCs/>
          <w:color w:val="000000"/>
        </w:rPr>
      </w:pPr>
      <w:r>
        <w:rPr>
          <w:rFonts w:ascii="Arial" w:hAnsi="Arial" w:cs="Arial"/>
          <w:iCs/>
          <w:color w:val="000000"/>
        </w:rPr>
        <w:t>s</w:t>
      </w:r>
      <w:r w:rsidRPr="00C5789C">
        <w:rPr>
          <w:rFonts w:ascii="Arial" w:hAnsi="Arial" w:cs="Arial"/>
          <w:iCs/>
          <w:color w:val="000000"/>
        </w:rPr>
        <w:t>upport Aboriginal self-determination by prioritising Aboriginal-specific funding to Aboriginal organisations providing servic</w:t>
      </w:r>
      <w:r w:rsidR="004C6434">
        <w:rPr>
          <w:rFonts w:ascii="Arial" w:hAnsi="Arial" w:cs="Arial"/>
          <w:iCs/>
          <w:color w:val="000000"/>
        </w:rPr>
        <w:t>es that address their community’s</w:t>
      </w:r>
      <w:r w:rsidRPr="00C5789C">
        <w:rPr>
          <w:rFonts w:ascii="Arial" w:hAnsi="Arial" w:cs="Arial"/>
          <w:iCs/>
          <w:color w:val="000000"/>
        </w:rPr>
        <w:t xml:space="preserve"> health, wellbeing an</w:t>
      </w:r>
      <w:r>
        <w:rPr>
          <w:rFonts w:ascii="Arial" w:hAnsi="Arial" w:cs="Arial"/>
          <w:iCs/>
          <w:color w:val="000000"/>
        </w:rPr>
        <w:t>d safety needs and aspirations</w:t>
      </w:r>
    </w:p>
    <w:p w14:paraId="10EF9B01" w14:textId="77777777" w:rsidR="005E79E1" w:rsidRPr="00C5789C" w:rsidRDefault="005E79E1" w:rsidP="005E79E1">
      <w:pPr>
        <w:pStyle w:val="ListParagraph"/>
        <w:numPr>
          <w:ilvl w:val="0"/>
          <w:numId w:val="27"/>
        </w:numPr>
        <w:spacing w:after="120" w:line="270" w:lineRule="atLeast"/>
        <w:rPr>
          <w:rFonts w:ascii="Arial" w:hAnsi="Arial" w:cs="Arial"/>
          <w:iCs/>
          <w:color w:val="000000"/>
        </w:rPr>
      </w:pPr>
      <w:r w:rsidRPr="00C5789C">
        <w:rPr>
          <w:rFonts w:ascii="Arial" w:hAnsi="Arial" w:cs="Arial"/>
          <w:iCs/>
          <w:color w:val="000000"/>
        </w:rPr>
        <w:t>enable Aboriginal communities and organisations to work in partnership</w:t>
      </w:r>
      <w:r>
        <w:rPr>
          <w:rFonts w:ascii="Arial" w:hAnsi="Arial" w:cs="Arial"/>
          <w:iCs/>
          <w:color w:val="000000"/>
        </w:rPr>
        <w:t xml:space="preserve"> with mainstream organisations</w:t>
      </w:r>
    </w:p>
    <w:p w14:paraId="531A2ED5" w14:textId="77777777" w:rsidR="005E79E1" w:rsidRPr="00C5789C" w:rsidRDefault="005E79E1" w:rsidP="005E79E1">
      <w:pPr>
        <w:pStyle w:val="ListParagraph"/>
        <w:numPr>
          <w:ilvl w:val="0"/>
          <w:numId w:val="27"/>
        </w:numPr>
        <w:spacing w:after="120" w:line="270" w:lineRule="atLeast"/>
        <w:rPr>
          <w:rFonts w:ascii="Arial" w:hAnsi="Arial" w:cs="Arial"/>
          <w:iCs/>
          <w:color w:val="000000"/>
        </w:rPr>
      </w:pPr>
      <w:r w:rsidRPr="00C5789C">
        <w:rPr>
          <w:rFonts w:ascii="Arial" w:hAnsi="Arial" w:cs="Arial"/>
          <w:iCs/>
          <w:color w:val="000000"/>
        </w:rPr>
        <w:t>ensure prioritising funding to Aboriginal organisations works in conjunction with mainstream sector’s commitment to, and focus on, improving Aboriginal health,</w:t>
      </w:r>
      <w:r>
        <w:rPr>
          <w:rFonts w:ascii="Arial" w:hAnsi="Arial" w:cs="Arial"/>
          <w:iCs/>
          <w:color w:val="000000"/>
        </w:rPr>
        <w:t xml:space="preserve"> wellbeing and safety outcomes</w:t>
      </w:r>
    </w:p>
    <w:p w14:paraId="2E83876F" w14:textId="77777777" w:rsidR="005E79E1" w:rsidRPr="00C5789C" w:rsidRDefault="005E79E1" w:rsidP="005E79E1">
      <w:pPr>
        <w:pStyle w:val="ListParagraph"/>
        <w:numPr>
          <w:ilvl w:val="0"/>
          <w:numId w:val="27"/>
        </w:numPr>
        <w:spacing w:after="120" w:line="270" w:lineRule="atLeast"/>
        <w:rPr>
          <w:rFonts w:ascii="Arial" w:hAnsi="Arial" w:cs="Arial"/>
          <w:iCs/>
          <w:color w:val="000000"/>
        </w:rPr>
      </w:pPr>
      <w:r>
        <w:rPr>
          <w:rFonts w:ascii="Arial" w:hAnsi="Arial" w:cs="Arial"/>
          <w:iCs/>
          <w:color w:val="000000"/>
        </w:rPr>
        <w:t>s</w:t>
      </w:r>
      <w:r w:rsidRPr="00C5789C">
        <w:rPr>
          <w:rFonts w:ascii="Arial" w:hAnsi="Arial" w:cs="Arial"/>
          <w:iCs/>
          <w:color w:val="000000"/>
        </w:rPr>
        <w:t>upports the Aboriginal workforce through building organisational strength and capabilities, and increased workforce retention.</w:t>
      </w:r>
    </w:p>
    <w:p w14:paraId="06EF6FF0" w14:textId="77777777" w:rsidR="005E79E1" w:rsidRDefault="005E79E1" w:rsidP="005E79E1">
      <w:pPr>
        <w:spacing w:after="120" w:line="270" w:lineRule="atLeast"/>
        <w:rPr>
          <w:rFonts w:ascii="Arial" w:hAnsi="Arial" w:cs="Arial"/>
          <w:color w:val="000000"/>
        </w:rPr>
      </w:pPr>
      <w:r>
        <w:rPr>
          <w:rFonts w:ascii="Arial" w:hAnsi="Arial" w:cs="Arial"/>
          <w:color w:val="000000"/>
        </w:rPr>
        <w:t xml:space="preserve">Early transition to the new policy began </w:t>
      </w:r>
      <w:proofErr w:type="gramStart"/>
      <w:r>
        <w:rPr>
          <w:rFonts w:ascii="Arial" w:hAnsi="Arial" w:cs="Arial"/>
          <w:color w:val="000000"/>
        </w:rPr>
        <w:t>1 July 2017, and</w:t>
      </w:r>
      <w:proofErr w:type="gramEnd"/>
      <w:r>
        <w:rPr>
          <w:rFonts w:ascii="Arial" w:hAnsi="Arial" w:cs="Arial"/>
          <w:color w:val="000000"/>
        </w:rPr>
        <w:t xml:space="preserve"> applies to newly funded programs and initiatives from Aboriginal health and wellbeing funding (formerly known as </w:t>
      </w:r>
      <w:proofErr w:type="spellStart"/>
      <w:r>
        <w:rPr>
          <w:rFonts w:ascii="Arial" w:hAnsi="Arial" w:cs="Arial"/>
          <w:color w:val="000000"/>
        </w:rPr>
        <w:t>Koolin</w:t>
      </w:r>
      <w:proofErr w:type="spellEnd"/>
      <w:r>
        <w:rPr>
          <w:rFonts w:ascii="Arial" w:hAnsi="Arial" w:cs="Arial"/>
          <w:color w:val="000000"/>
        </w:rPr>
        <w:t xml:space="preserve"> </w:t>
      </w:r>
      <w:proofErr w:type="spellStart"/>
      <w:r>
        <w:rPr>
          <w:rFonts w:ascii="Arial" w:hAnsi="Arial" w:cs="Arial"/>
          <w:color w:val="000000"/>
        </w:rPr>
        <w:t>Balit</w:t>
      </w:r>
      <w:proofErr w:type="spellEnd"/>
      <w:r>
        <w:rPr>
          <w:rFonts w:ascii="Arial" w:hAnsi="Arial" w:cs="Arial"/>
          <w:color w:val="000000"/>
        </w:rPr>
        <w:t xml:space="preserve"> funding). </w:t>
      </w:r>
    </w:p>
    <w:p w14:paraId="2AA61006" w14:textId="77777777" w:rsidR="005E79E1" w:rsidRDefault="005E79E1" w:rsidP="005E79E1">
      <w:pPr>
        <w:spacing w:after="120" w:line="270" w:lineRule="atLeast"/>
        <w:rPr>
          <w:rFonts w:ascii="Arial" w:hAnsi="Arial" w:cs="Arial"/>
          <w:color w:val="000000"/>
        </w:rPr>
      </w:pPr>
      <w:r>
        <w:rPr>
          <w:rFonts w:ascii="Arial" w:hAnsi="Arial" w:cs="Arial"/>
          <w:color w:val="000000"/>
        </w:rPr>
        <w:t xml:space="preserve">The department is currently conducting a review of all funding that targets Aboriginal people and communities, in order to develop an implementation plan to transition funding. An implementation and communications plan will be released by April 2018. The first phase of implementation will </w:t>
      </w:r>
      <w:proofErr w:type="gramStart"/>
      <w:r>
        <w:rPr>
          <w:rFonts w:ascii="Arial" w:hAnsi="Arial" w:cs="Arial"/>
          <w:color w:val="000000"/>
        </w:rPr>
        <w:t>being</w:t>
      </w:r>
      <w:proofErr w:type="gramEnd"/>
      <w:r>
        <w:rPr>
          <w:rFonts w:ascii="Arial" w:hAnsi="Arial" w:cs="Arial"/>
          <w:color w:val="000000"/>
        </w:rPr>
        <w:t xml:space="preserve"> 1 July 2018 and will apply to all Aboriginal health and wellbeing funding. Further transition phases will be detailed in the implementation plan.</w:t>
      </w:r>
    </w:p>
    <w:p w14:paraId="3FC174BF" w14:textId="77777777" w:rsidR="005E79E1" w:rsidRPr="00BA729B" w:rsidRDefault="005E79E1" w:rsidP="005E79E1">
      <w:pPr>
        <w:keepNext/>
        <w:keepLines/>
        <w:spacing w:before="240" w:after="120" w:line="240" w:lineRule="atLeast"/>
        <w:outlineLvl w:val="3"/>
        <w:rPr>
          <w:rFonts w:ascii="Arial" w:eastAsia="MS Mincho" w:hAnsi="Arial"/>
          <w:b/>
          <w:bCs/>
          <w:u w:val="single"/>
          <w:lang w:eastAsia="en-AU"/>
        </w:rPr>
      </w:pPr>
      <w:r w:rsidRPr="00BA729B">
        <w:rPr>
          <w:rFonts w:ascii="Arial" w:eastAsia="MS Mincho" w:hAnsi="Arial"/>
          <w:b/>
          <w:bCs/>
          <w:u w:val="single"/>
          <w:lang w:eastAsia="en-AU"/>
        </w:rPr>
        <w:lastRenderedPageBreak/>
        <w:t>The Victorian Aboriginal Affairs Framework 2013-2018</w:t>
      </w:r>
    </w:p>
    <w:p w14:paraId="7BA8908F" w14:textId="77777777" w:rsidR="005E79E1" w:rsidRDefault="005E79E1" w:rsidP="005E79E1">
      <w:pPr>
        <w:spacing w:after="120" w:line="270" w:lineRule="atLeast"/>
        <w:rPr>
          <w:rFonts w:ascii="Arial" w:hAnsi="Arial" w:cs="Arial"/>
          <w:color w:val="000000"/>
        </w:rPr>
      </w:pPr>
      <w:r w:rsidRPr="005B6DDB">
        <w:rPr>
          <w:rFonts w:ascii="Arial" w:hAnsi="Arial" w:cs="Arial"/>
        </w:rPr>
        <w:t xml:space="preserve">The </w:t>
      </w:r>
      <w:r w:rsidRPr="005B6DDB">
        <w:rPr>
          <w:rFonts w:ascii="Arial" w:hAnsi="Arial" w:cs="Arial"/>
          <w:i/>
        </w:rPr>
        <w:t>Victorian Aboriginal Affairs Framework (VAAF)</w:t>
      </w:r>
      <w:r>
        <w:rPr>
          <w:rFonts w:ascii="Arial" w:hAnsi="Arial" w:cs="Arial"/>
        </w:rPr>
        <w:t xml:space="preserve"> is the Victorian G</w:t>
      </w:r>
      <w:r w:rsidRPr="005B6DDB">
        <w:rPr>
          <w:rFonts w:ascii="Arial" w:hAnsi="Arial" w:cs="Arial"/>
        </w:rPr>
        <w:t xml:space="preserve">overnment’s overarching framework that brings together government and Aboriginal community commitments and efforts to create a better </w:t>
      </w:r>
      <w:r w:rsidRPr="005B6DDB">
        <w:rPr>
          <w:rFonts w:ascii="Arial" w:hAnsi="Arial" w:cs="Arial"/>
          <w:color w:val="000000"/>
        </w:rPr>
        <w:t xml:space="preserve">future and improve outcomes for Aboriginal Victorians. </w:t>
      </w:r>
      <w:r>
        <w:rPr>
          <w:rFonts w:ascii="Arial" w:hAnsi="Arial" w:cs="Arial"/>
          <w:color w:val="000000"/>
        </w:rPr>
        <w:t>The VAAF</w:t>
      </w:r>
      <w:r w:rsidRPr="005B6DDB">
        <w:rPr>
          <w:rFonts w:ascii="Arial" w:hAnsi="Arial" w:cs="Arial"/>
          <w:color w:val="000000"/>
        </w:rPr>
        <w:t xml:space="preserve"> guide</w:t>
      </w:r>
      <w:r>
        <w:rPr>
          <w:rFonts w:ascii="Arial" w:hAnsi="Arial" w:cs="Arial"/>
          <w:color w:val="000000"/>
        </w:rPr>
        <w:t>s</w:t>
      </w:r>
      <w:r w:rsidRPr="005B6DDB">
        <w:rPr>
          <w:rFonts w:ascii="Arial" w:hAnsi="Arial" w:cs="Arial"/>
          <w:color w:val="000000"/>
        </w:rPr>
        <w:t xml:space="preserve"> policy and funding priorities in Aboriginal </w:t>
      </w:r>
      <w:proofErr w:type="gramStart"/>
      <w:r w:rsidRPr="005B6DDB">
        <w:rPr>
          <w:rFonts w:ascii="Arial" w:hAnsi="Arial" w:cs="Arial"/>
          <w:color w:val="000000"/>
        </w:rPr>
        <w:t>affairs, and</w:t>
      </w:r>
      <w:proofErr w:type="gramEnd"/>
      <w:r w:rsidRPr="005B6DDB">
        <w:rPr>
          <w:rFonts w:ascii="Arial" w:hAnsi="Arial" w:cs="Arial"/>
          <w:color w:val="000000"/>
        </w:rPr>
        <w:t xml:space="preserve"> set</w:t>
      </w:r>
      <w:r>
        <w:rPr>
          <w:rFonts w:ascii="Arial" w:hAnsi="Arial" w:cs="Arial"/>
          <w:color w:val="000000"/>
        </w:rPr>
        <w:t>s</w:t>
      </w:r>
      <w:r w:rsidRPr="005B6DDB">
        <w:rPr>
          <w:rFonts w:ascii="Arial" w:hAnsi="Arial" w:cs="Arial"/>
          <w:color w:val="000000"/>
        </w:rPr>
        <w:t xml:space="preserve"> out how government will be held accountable for achieving those priorities.</w:t>
      </w:r>
    </w:p>
    <w:p w14:paraId="0CBEC19A" w14:textId="77777777" w:rsidR="005E79E1" w:rsidRDefault="005E79E1" w:rsidP="005E79E1">
      <w:pPr>
        <w:spacing w:after="120" w:line="270" w:lineRule="atLeast"/>
        <w:rPr>
          <w:rFonts w:ascii="Arial" w:hAnsi="Arial" w:cs="Arial"/>
          <w:color w:val="000000"/>
        </w:rPr>
      </w:pPr>
      <w:r w:rsidRPr="005B6DDB">
        <w:rPr>
          <w:rFonts w:ascii="Arial" w:hAnsi="Arial" w:cs="Arial"/>
          <w:color w:val="000000"/>
        </w:rPr>
        <w:t>As the end of the</w:t>
      </w:r>
      <w:r>
        <w:rPr>
          <w:rFonts w:ascii="Arial" w:hAnsi="Arial" w:cs="Arial"/>
          <w:color w:val="000000"/>
        </w:rPr>
        <w:t xml:space="preserve"> current</w:t>
      </w:r>
      <w:r w:rsidRPr="005B6DDB">
        <w:rPr>
          <w:rFonts w:ascii="Arial" w:hAnsi="Arial" w:cs="Arial"/>
          <w:color w:val="000000"/>
        </w:rPr>
        <w:t xml:space="preserve"> VAAF term draws near, there is opportunity to reflect and build upon current indicators to recognise that strategic action is required across government to advance Aboriginal self-determination</w:t>
      </w:r>
      <w:r>
        <w:rPr>
          <w:rFonts w:ascii="Arial" w:hAnsi="Arial" w:cs="Arial"/>
          <w:color w:val="000000"/>
        </w:rPr>
        <w:t xml:space="preserve"> and improve outcomes</w:t>
      </w:r>
      <w:r w:rsidRPr="005B6DDB">
        <w:rPr>
          <w:rFonts w:ascii="Arial" w:hAnsi="Arial" w:cs="Arial"/>
          <w:color w:val="000000"/>
        </w:rPr>
        <w:t>.</w:t>
      </w:r>
      <w:r w:rsidRPr="007557D8">
        <w:t xml:space="preserve"> </w:t>
      </w:r>
      <w:r w:rsidRPr="007557D8">
        <w:rPr>
          <w:rFonts w:ascii="Arial" w:hAnsi="Arial" w:cs="Arial"/>
          <w:color w:val="000000"/>
        </w:rPr>
        <w:t xml:space="preserve">Broad community engagement is occurring throughout Victoria on what these agendas </w:t>
      </w:r>
      <w:r>
        <w:rPr>
          <w:rFonts w:ascii="Arial" w:hAnsi="Arial" w:cs="Arial"/>
          <w:color w:val="000000"/>
        </w:rPr>
        <w:t>should look like in the future.</w:t>
      </w:r>
      <w:r w:rsidRPr="005B6DDB">
        <w:rPr>
          <w:rFonts w:ascii="Arial" w:hAnsi="Arial" w:cs="Arial"/>
          <w:color w:val="000000"/>
        </w:rPr>
        <w:t xml:space="preserve"> </w:t>
      </w:r>
      <w:bookmarkStart w:id="814" w:name="_Toc504980182"/>
      <w:r>
        <w:rPr>
          <w:rFonts w:ascii="Arial" w:hAnsi="Arial" w:cs="Arial"/>
          <w:color w:val="000000"/>
        </w:rPr>
        <w:t>Adopting a self-determination agenda, t</w:t>
      </w:r>
      <w:r w:rsidRPr="007557D8">
        <w:rPr>
          <w:rFonts w:ascii="Arial" w:hAnsi="Arial" w:cs="Arial"/>
          <w:color w:val="000000"/>
        </w:rPr>
        <w:t>he Victorian Government will be led by Aboriginal Victorians around what the new Victorian Aboriginal Affairs framework should look like.</w:t>
      </w:r>
      <w:bookmarkEnd w:id="814"/>
    </w:p>
    <w:p w14:paraId="0D15E9F8" w14:textId="2FAD184A" w:rsidR="005E79E1" w:rsidRPr="007557D8" w:rsidRDefault="005E79E1" w:rsidP="005E79E1">
      <w:pPr>
        <w:spacing w:after="120" w:line="270" w:lineRule="atLeast"/>
        <w:rPr>
          <w:rFonts w:ascii="Arial" w:hAnsi="Arial" w:cs="Arial"/>
          <w:color w:val="000000"/>
        </w:rPr>
      </w:pPr>
      <w:r w:rsidRPr="005B6DDB">
        <w:rPr>
          <w:rFonts w:ascii="Arial" w:eastAsia="Times" w:hAnsi="Arial" w:cs="Arial"/>
          <w:lang w:eastAsia="en-AU"/>
        </w:rPr>
        <w:t xml:space="preserve">The publication is available on the </w:t>
      </w:r>
      <w:hyperlink r:id="rId275" w:history="1">
        <w:r w:rsidRPr="005B6DDB">
          <w:rPr>
            <w:rFonts w:ascii="Arial" w:eastAsia="Times" w:hAnsi="Arial" w:cs="Arial"/>
            <w:color w:val="3366FF"/>
            <w:u w:val="dotted"/>
            <w:lang w:eastAsia="en-AU"/>
          </w:rPr>
          <w:t>Aboriginal Victoria website</w:t>
        </w:r>
      </w:hyperlink>
      <w:r w:rsidRPr="005B6DDB">
        <w:rPr>
          <w:rFonts w:ascii="Arial" w:eastAsia="Times" w:hAnsi="Arial" w:cs="Arial"/>
          <w:lang w:eastAsia="en-AU"/>
        </w:rPr>
        <w:t xml:space="preserve"> &lt;</w:t>
      </w:r>
      <w:r w:rsidRPr="005B6DDB">
        <w:rPr>
          <w:rFonts w:ascii="Arial" w:eastAsia="Times" w:hAnsi="Arial" w:cs="Arial"/>
        </w:rPr>
        <w:t>http://www.dpc.vic. gov.au/index.php/aboriginal-affairs/aboriginal-affairs-policy/victorian-aboriginal-affairs-framework&gt;</w:t>
      </w:r>
      <w:r w:rsidRPr="005B6DDB">
        <w:rPr>
          <w:rFonts w:ascii="Arial" w:eastAsia="Times" w:hAnsi="Arial" w:cs="Arial"/>
          <w:lang w:eastAsia="en-AU"/>
        </w:rPr>
        <w:t xml:space="preserve"> (external link, opens in a new window).</w:t>
      </w:r>
      <w:r w:rsidR="006250C7">
        <w:rPr>
          <w:rFonts w:ascii="Arial" w:eastAsia="Times" w:hAnsi="Arial" w:cs="Arial"/>
          <w:lang w:eastAsia="en-AU"/>
        </w:rPr>
        <w:t xml:space="preserve"> </w:t>
      </w:r>
    </w:p>
    <w:p w14:paraId="1CBD8B57" w14:textId="77777777" w:rsidR="005E79E1" w:rsidRPr="005B6DDB" w:rsidRDefault="005E79E1" w:rsidP="005E79E1">
      <w:pPr>
        <w:keepNext/>
        <w:keepLines/>
        <w:spacing w:before="240" w:after="120" w:line="240" w:lineRule="atLeast"/>
        <w:outlineLvl w:val="3"/>
        <w:rPr>
          <w:rFonts w:ascii="Arial" w:eastAsia="MS Mincho" w:hAnsi="Arial" w:cs="Arial"/>
          <w:b/>
          <w:bCs/>
          <w:u w:val="single"/>
          <w:lang w:eastAsia="en-AU"/>
        </w:rPr>
      </w:pPr>
      <w:r w:rsidRPr="005B6DDB">
        <w:rPr>
          <w:rFonts w:ascii="Arial" w:eastAsia="MS Mincho" w:hAnsi="Arial" w:cs="Arial"/>
          <w:b/>
          <w:bCs/>
          <w:u w:val="single"/>
          <w:lang w:eastAsia="en-AU"/>
        </w:rPr>
        <w:t>Roadmap for reform: strong families, safe children</w:t>
      </w:r>
    </w:p>
    <w:p w14:paraId="2E973D95" w14:textId="388238DB" w:rsidR="005E79E1" w:rsidRPr="00B14F88" w:rsidRDefault="0016341D" w:rsidP="005E79E1">
      <w:pPr>
        <w:pStyle w:val="DHHSbody"/>
        <w:rPr>
          <w:rFonts w:cs="Arial"/>
        </w:rPr>
      </w:pPr>
      <w:hyperlink r:id="rId276" w:history="1">
        <w:r w:rsidR="005E79E1" w:rsidRPr="005B6DDB">
          <w:rPr>
            <w:rStyle w:val="Hyperlink"/>
            <w:rFonts w:cs="Arial"/>
          </w:rPr>
          <w:t>Roadmap for reform: strong families, safe children</w:t>
        </w:r>
      </w:hyperlink>
      <w:r w:rsidR="005E79E1" w:rsidRPr="005B6DDB">
        <w:rPr>
          <w:rFonts w:cs="Arial"/>
        </w:rPr>
        <w:t xml:space="preserve"> </w:t>
      </w:r>
      <w:r w:rsidR="00A55415">
        <w:rPr>
          <w:rFonts w:cs="Arial"/>
        </w:rPr>
        <w:t>&lt;</w:t>
      </w:r>
      <w:r w:rsidR="00A55415" w:rsidRPr="00A55415">
        <w:rPr>
          <w:rFonts w:cs="Arial"/>
        </w:rPr>
        <w:t>http://www.strongfamiliessafechildren.vic.gov.au/</w:t>
      </w:r>
      <w:r w:rsidR="00A55415">
        <w:rPr>
          <w:rFonts w:cs="Arial"/>
        </w:rPr>
        <w:t xml:space="preserve">&gt; (external link, opens in a new window) </w:t>
      </w:r>
      <w:r w:rsidR="005E79E1" w:rsidRPr="005B6DDB">
        <w:rPr>
          <w:rFonts w:cs="Arial"/>
        </w:rPr>
        <w:t>focuses on prevention and early intervention. Creating services that are coordinated and working together to meet the needs of vulnerable families and children in Victoria.</w:t>
      </w:r>
      <w:r w:rsidR="005E79E1" w:rsidRPr="00B14F88">
        <w:t xml:space="preserve"> </w:t>
      </w:r>
      <w:r w:rsidR="005E79E1" w:rsidRPr="00B14F88">
        <w:rPr>
          <w:rFonts w:cs="Arial"/>
        </w:rPr>
        <w:t>The Roadmap sets out once-in-a-generation changes designed to improve the lives of vulnerable Victorian children, young people and families</w:t>
      </w:r>
      <w:r w:rsidR="005E79E1">
        <w:rPr>
          <w:rFonts w:cs="Arial"/>
        </w:rPr>
        <w:t>.</w:t>
      </w:r>
      <w:r w:rsidR="005E79E1" w:rsidRPr="00B14F88">
        <w:t xml:space="preserve"> </w:t>
      </w:r>
      <w:r w:rsidR="005E79E1" w:rsidRPr="00B14F88">
        <w:rPr>
          <w:rFonts w:cs="Arial"/>
        </w:rPr>
        <w:t xml:space="preserve">The Roadmap aims </w:t>
      </w:r>
      <w:r w:rsidR="005E79E1">
        <w:rPr>
          <w:rFonts w:cs="Arial"/>
        </w:rPr>
        <w:t>to deliver a system focused on:</w:t>
      </w:r>
    </w:p>
    <w:p w14:paraId="7B2240B6" w14:textId="77777777" w:rsidR="005E79E1" w:rsidRPr="00B14F88" w:rsidRDefault="005E79E1" w:rsidP="005E79E1">
      <w:pPr>
        <w:pStyle w:val="ListParagraph"/>
        <w:numPr>
          <w:ilvl w:val="0"/>
          <w:numId w:val="27"/>
        </w:numPr>
        <w:spacing w:after="120" w:line="270" w:lineRule="atLeast"/>
        <w:rPr>
          <w:rFonts w:ascii="Arial" w:hAnsi="Arial" w:cs="Arial"/>
          <w:iCs/>
          <w:color w:val="000000"/>
        </w:rPr>
      </w:pPr>
      <w:r w:rsidRPr="00B14F88">
        <w:rPr>
          <w:rFonts w:ascii="Arial" w:hAnsi="Arial" w:cs="Arial"/>
          <w:iCs/>
          <w:color w:val="000000"/>
        </w:rPr>
        <w:t>strengthening communities to better prevent neglect and abuse</w:t>
      </w:r>
    </w:p>
    <w:p w14:paraId="6C19802C" w14:textId="77777777" w:rsidR="005E79E1" w:rsidRPr="00B14F88" w:rsidRDefault="005E79E1" w:rsidP="005E79E1">
      <w:pPr>
        <w:pStyle w:val="ListParagraph"/>
        <w:numPr>
          <w:ilvl w:val="0"/>
          <w:numId w:val="27"/>
        </w:numPr>
        <w:spacing w:after="120" w:line="270" w:lineRule="atLeast"/>
        <w:rPr>
          <w:rFonts w:ascii="Arial" w:hAnsi="Arial" w:cs="Arial"/>
          <w:iCs/>
          <w:color w:val="000000"/>
        </w:rPr>
      </w:pPr>
      <w:r w:rsidRPr="00B14F88">
        <w:rPr>
          <w:rFonts w:ascii="Arial" w:hAnsi="Arial" w:cs="Arial"/>
          <w:iCs/>
          <w:color w:val="000000"/>
        </w:rPr>
        <w:t>delivering early support to children and families at risk</w:t>
      </w:r>
    </w:p>
    <w:p w14:paraId="29571424" w14:textId="77777777" w:rsidR="005E79E1" w:rsidRPr="00B14F88" w:rsidRDefault="005E79E1" w:rsidP="005E79E1">
      <w:pPr>
        <w:pStyle w:val="ListParagraph"/>
        <w:numPr>
          <w:ilvl w:val="0"/>
          <w:numId w:val="27"/>
        </w:numPr>
        <w:spacing w:after="120" w:line="270" w:lineRule="atLeast"/>
        <w:rPr>
          <w:rFonts w:ascii="Arial" w:hAnsi="Arial" w:cs="Arial"/>
          <w:iCs/>
          <w:color w:val="000000"/>
        </w:rPr>
      </w:pPr>
      <w:r w:rsidRPr="00B14F88">
        <w:rPr>
          <w:rFonts w:ascii="Arial" w:hAnsi="Arial" w:cs="Arial"/>
          <w:iCs/>
          <w:color w:val="000000"/>
        </w:rPr>
        <w:t>keeping more families together through crisis</w:t>
      </w:r>
    </w:p>
    <w:p w14:paraId="0CAC822C" w14:textId="77777777" w:rsidR="005E79E1" w:rsidRPr="00B14F88" w:rsidRDefault="005E79E1" w:rsidP="005E79E1">
      <w:pPr>
        <w:pStyle w:val="ListParagraph"/>
        <w:numPr>
          <w:ilvl w:val="0"/>
          <w:numId w:val="27"/>
        </w:numPr>
        <w:spacing w:after="120" w:line="270" w:lineRule="atLeast"/>
        <w:rPr>
          <w:rFonts w:ascii="Arial" w:hAnsi="Arial" w:cs="Arial"/>
          <w:iCs/>
          <w:color w:val="000000"/>
        </w:rPr>
      </w:pPr>
      <w:r w:rsidRPr="00B14F88">
        <w:rPr>
          <w:rFonts w:ascii="Arial" w:hAnsi="Arial" w:cs="Arial"/>
          <w:iCs/>
          <w:color w:val="000000"/>
        </w:rPr>
        <w:t>securing a better future for children who cannot live at home.</w:t>
      </w:r>
    </w:p>
    <w:p w14:paraId="510A8456" w14:textId="77777777" w:rsidR="005E79E1" w:rsidRPr="005B6DDB" w:rsidRDefault="005E79E1" w:rsidP="005E79E1">
      <w:pPr>
        <w:pStyle w:val="DHHSbody"/>
        <w:rPr>
          <w:rFonts w:eastAsia="MS Mincho" w:cs="Arial"/>
          <w:b/>
          <w:bCs/>
          <w:u w:val="single"/>
          <w:lang w:eastAsia="en-AU"/>
        </w:rPr>
      </w:pPr>
      <w:r w:rsidRPr="005B6DDB">
        <w:rPr>
          <w:rFonts w:eastAsia="MS Mincho" w:cs="Arial"/>
          <w:b/>
          <w:bCs/>
          <w:u w:val="single"/>
          <w:lang w:eastAsia="en-AU"/>
        </w:rPr>
        <w:t>Health 2040: Ad</w:t>
      </w:r>
      <w:r>
        <w:rPr>
          <w:rFonts w:eastAsia="MS Mincho" w:cs="Arial"/>
          <w:b/>
          <w:bCs/>
          <w:u w:val="single"/>
          <w:lang w:eastAsia="en-AU"/>
        </w:rPr>
        <w:t>vancing health, access and care</w:t>
      </w:r>
    </w:p>
    <w:p w14:paraId="1B83B37B" w14:textId="432E12D7" w:rsidR="005E79E1" w:rsidRPr="005B6DDB" w:rsidRDefault="0016341D" w:rsidP="005E79E1">
      <w:pPr>
        <w:spacing w:before="100" w:beforeAutospacing="1" w:after="300"/>
        <w:rPr>
          <w:rFonts w:ascii="Arial" w:hAnsi="Arial" w:cs="Arial"/>
          <w:color w:val="000000" w:themeColor="text1"/>
          <w:lang w:val="en" w:eastAsia="en-AU"/>
        </w:rPr>
      </w:pPr>
      <w:hyperlink r:id="rId277" w:history="1">
        <w:r w:rsidR="005E79E1" w:rsidRPr="00A55415">
          <w:rPr>
            <w:rStyle w:val="Hyperlink"/>
            <w:rFonts w:ascii="Arial" w:hAnsi="Arial" w:cs="Arial"/>
            <w:i/>
            <w:iCs/>
            <w:lang w:val="en" w:eastAsia="en-AU"/>
          </w:rPr>
          <w:t>Health 2040: advancing health, access and care</w:t>
        </w:r>
      </w:hyperlink>
      <w:r w:rsidR="00A55415">
        <w:rPr>
          <w:rFonts w:ascii="Arial" w:hAnsi="Arial" w:cs="Arial"/>
          <w:lang w:val="en" w:eastAsia="en-AU"/>
        </w:rPr>
        <w:t xml:space="preserve"> </w:t>
      </w:r>
      <w:r w:rsidR="00A55415">
        <w:rPr>
          <w:rFonts w:ascii="Arial" w:hAnsi="Arial" w:cs="Arial"/>
          <w:color w:val="000000" w:themeColor="text1"/>
          <w:lang w:val="en" w:eastAsia="en-AU"/>
        </w:rPr>
        <w:t>&lt;</w:t>
      </w:r>
      <w:r w:rsidR="00A55415" w:rsidRPr="00A55415">
        <w:rPr>
          <w:rFonts w:ascii="Arial" w:hAnsi="Arial" w:cs="Arial"/>
          <w:color w:val="000000" w:themeColor="text1"/>
          <w:lang w:val="en" w:eastAsia="en-AU"/>
        </w:rPr>
        <w:t>https://www2.health.vic.gov.au/about/publications/policiesandguidelines/Health-2040-advancing-health-access-and-care</w:t>
      </w:r>
      <w:r w:rsidR="00A55415">
        <w:rPr>
          <w:rFonts w:ascii="Arial" w:hAnsi="Arial" w:cs="Arial"/>
          <w:color w:val="000000" w:themeColor="text1"/>
          <w:lang w:val="en" w:eastAsia="en-AU"/>
        </w:rPr>
        <w:t>&gt; (external link, opens in a new window) pr</w:t>
      </w:r>
      <w:r w:rsidR="005E79E1" w:rsidRPr="005B6DDB">
        <w:rPr>
          <w:rFonts w:ascii="Arial" w:hAnsi="Arial" w:cs="Arial"/>
          <w:color w:val="000000" w:themeColor="text1"/>
          <w:lang w:val="en" w:eastAsia="en-AU"/>
        </w:rPr>
        <w:t>esents a clear vision for the health and wellbeing of Victorians and for the Victorian healthcare system. Health 2040 is built around three pillars:</w:t>
      </w:r>
    </w:p>
    <w:p w14:paraId="2689402A" w14:textId="77777777" w:rsidR="005E79E1" w:rsidRPr="005B6DDB" w:rsidRDefault="005E79E1" w:rsidP="005E79E1">
      <w:pPr>
        <w:numPr>
          <w:ilvl w:val="0"/>
          <w:numId w:val="26"/>
        </w:numPr>
        <w:spacing w:before="100" w:beforeAutospacing="1" w:after="100" w:afterAutospacing="1"/>
        <w:rPr>
          <w:rFonts w:ascii="Arial" w:hAnsi="Arial" w:cs="Arial"/>
          <w:color w:val="000000" w:themeColor="text1"/>
          <w:lang w:val="en" w:eastAsia="en-AU"/>
        </w:rPr>
      </w:pPr>
      <w:r w:rsidRPr="005B6DDB">
        <w:rPr>
          <w:rFonts w:ascii="Arial" w:hAnsi="Arial" w:cs="Arial"/>
          <w:b/>
          <w:bCs/>
          <w:color w:val="000000" w:themeColor="text1"/>
          <w:lang w:val="en" w:eastAsia="en-AU"/>
        </w:rPr>
        <w:t>Better health</w:t>
      </w:r>
      <w:r w:rsidRPr="005B6DDB">
        <w:rPr>
          <w:rFonts w:ascii="Arial" w:hAnsi="Arial" w:cs="Arial"/>
          <w:color w:val="000000" w:themeColor="text1"/>
          <w:lang w:val="en" w:eastAsia="en-AU"/>
        </w:rPr>
        <w:t xml:space="preserve">: focuses on prevention, early intervention, community engagement and people's self-management to </w:t>
      </w:r>
      <w:proofErr w:type="spellStart"/>
      <w:r w:rsidRPr="005B6DDB">
        <w:rPr>
          <w:rFonts w:ascii="Arial" w:hAnsi="Arial" w:cs="Arial"/>
          <w:color w:val="000000" w:themeColor="text1"/>
          <w:lang w:val="en" w:eastAsia="en-AU"/>
        </w:rPr>
        <w:t>maximise</w:t>
      </w:r>
      <w:proofErr w:type="spellEnd"/>
      <w:r w:rsidRPr="005B6DDB">
        <w:rPr>
          <w:rFonts w:ascii="Arial" w:hAnsi="Arial" w:cs="Arial"/>
          <w:color w:val="000000" w:themeColor="text1"/>
          <w:lang w:val="en" w:eastAsia="en-AU"/>
        </w:rPr>
        <w:t xml:space="preserve"> the health and wellbeing of all Victorians.</w:t>
      </w:r>
    </w:p>
    <w:p w14:paraId="7A6F53DC" w14:textId="77777777" w:rsidR="005E79E1" w:rsidRPr="005B6DDB" w:rsidRDefault="005E79E1" w:rsidP="005E79E1">
      <w:pPr>
        <w:numPr>
          <w:ilvl w:val="0"/>
          <w:numId w:val="26"/>
        </w:numPr>
        <w:spacing w:before="100" w:beforeAutospacing="1" w:after="100" w:afterAutospacing="1"/>
        <w:rPr>
          <w:rFonts w:ascii="Arial" w:hAnsi="Arial" w:cs="Arial"/>
          <w:color w:val="000000" w:themeColor="text1"/>
          <w:lang w:val="en" w:eastAsia="en-AU"/>
        </w:rPr>
      </w:pPr>
      <w:r w:rsidRPr="005B6DDB">
        <w:rPr>
          <w:rFonts w:ascii="Arial" w:hAnsi="Arial" w:cs="Arial"/>
          <w:b/>
          <w:bCs/>
          <w:color w:val="000000" w:themeColor="text1"/>
          <w:lang w:val="en" w:eastAsia="en-AU"/>
        </w:rPr>
        <w:t>Better access</w:t>
      </w:r>
      <w:r w:rsidRPr="005B6DDB">
        <w:rPr>
          <w:rFonts w:ascii="Arial" w:hAnsi="Arial" w:cs="Arial"/>
          <w:color w:val="000000" w:themeColor="text1"/>
          <w:lang w:val="en" w:eastAsia="en-AU"/>
        </w:rPr>
        <w:t>: focuses on reducing waiting times and delivering equal access to care via statewide service planning, targeted investment, and unlocking innovation.</w:t>
      </w:r>
    </w:p>
    <w:p w14:paraId="1BF11F80" w14:textId="77777777" w:rsidR="005E79E1" w:rsidRPr="005B6DDB" w:rsidRDefault="005E79E1" w:rsidP="005E79E1">
      <w:pPr>
        <w:numPr>
          <w:ilvl w:val="0"/>
          <w:numId w:val="26"/>
        </w:numPr>
        <w:spacing w:before="100" w:beforeAutospacing="1" w:after="100" w:afterAutospacing="1"/>
        <w:rPr>
          <w:rFonts w:ascii="Arial" w:hAnsi="Arial" w:cs="Arial"/>
          <w:color w:val="000000" w:themeColor="text1"/>
          <w:lang w:val="en" w:eastAsia="en-AU"/>
        </w:rPr>
      </w:pPr>
      <w:r w:rsidRPr="005B6DDB">
        <w:rPr>
          <w:rFonts w:ascii="Arial" w:hAnsi="Arial" w:cs="Arial"/>
          <w:b/>
          <w:bCs/>
          <w:color w:val="000000" w:themeColor="text1"/>
          <w:lang w:val="en" w:eastAsia="en-AU"/>
        </w:rPr>
        <w:t>Better care</w:t>
      </w:r>
      <w:r w:rsidRPr="005B6DDB">
        <w:rPr>
          <w:rFonts w:ascii="Arial" w:hAnsi="Arial" w:cs="Arial"/>
          <w:color w:val="000000" w:themeColor="text1"/>
          <w:lang w:val="en" w:eastAsia="en-AU"/>
        </w:rPr>
        <w:t>: focuses on people's experience of care, improving quality and safety, ensuring accountability for achieving the best health outcomes, and supporting the workforce to deliver the best care.</w:t>
      </w:r>
    </w:p>
    <w:p w14:paraId="0C523FA7" w14:textId="77777777" w:rsidR="005E79E1" w:rsidRPr="005B6DDB" w:rsidRDefault="005E79E1" w:rsidP="005E79E1">
      <w:pPr>
        <w:spacing w:after="120" w:line="270" w:lineRule="atLeast"/>
        <w:rPr>
          <w:rFonts w:ascii="Arial" w:eastAsia="Times" w:hAnsi="Arial" w:cs="Arial"/>
          <w:b/>
          <w:color w:val="000000"/>
          <w:u w:val="single"/>
          <w:lang w:eastAsia="en-AU"/>
        </w:rPr>
      </w:pPr>
      <w:r w:rsidRPr="005B6DDB">
        <w:rPr>
          <w:rFonts w:ascii="Arial" w:eastAsia="Times" w:hAnsi="Arial" w:cs="Arial"/>
          <w:b/>
          <w:color w:val="000000"/>
          <w:u w:val="single"/>
          <w:lang w:eastAsia="en-AU"/>
        </w:rPr>
        <w:t>Victorian public healt</w:t>
      </w:r>
      <w:r>
        <w:rPr>
          <w:rFonts w:ascii="Arial" w:eastAsia="Times" w:hAnsi="Arial" w:cs="Arial"/>
          <w:b/>
          <w:color w:val="000000"/>
          <w:u w:val="single"/>
          <w:lang w:eastAsia="en-AU"/>
        </w:rPr>
        <w:t>h and wellbeing plan 2015–2019</w:t>
      </w:r>
    </w:p>
    <w:p w14:paraId="4A60AE74" w14:textId="20B902CA" w:rsidR="005E79E1" w:rsidRPr="005B6DDB" w:rsidRDefault="00A55415" w:rsidP="005E79E1">
      <w:pPr>
        <w:pStyle w:val="DHHSbody"/>
        <w:rPr>
          <w:rFonts w:cs="Arial"/>
        </w:rPr>
      </w:pPr>
      <w:r>
        <w:rPr>
          <w:rFonts w:cs="Arial"/>
        </w:rPr>
        <w:t xml:space="preserve">The </w:t>
      </w:r>
      <w:hyperlink r:id="rId278" w:history="1">
        <w:r w:rsidRPr="00A55415">
          <w:rPr>
            <w:rStyle w:val="Hyperlink"/>
            <w:rFonts w:cs="Arial"/>
          </w:rPr>
          <w:t>Victorian public health and wellbeing plan 2015-2019</w:t>
        </w:r>
      </w:hyperlink>
      <w:r>
        <w:rPr>
          <w:rFonts w:cs="Arial"/>
        </w:rPr>
        <w:t xml:space="preserve"> &lt;</w:t>
      </w:r>
      <w:r w:rsidRPr="00A55415">
        <w:rPr>
          <w:rFonts w:cs="Arial"/>
        </w:rPr>
        <w:t>https://www2.health.vic.gov.au/about/health-strategies/public-health-wellbeing-plan</w:t>
      </w:r>
      <w:r>
        <w:rPr>
          <w:rFonts w:cs="Arial"/>
        </w:rPr>
        <w:t>&gt;</w:t>
      </w:r>
      <w:r w:rsidR="006250C7">
        <w:rPr>
          <w:rFonts w:cs="Arial"/>
        </w:rPr>
        <w:t xml:space="preserve"> </w:t>
      </w:r>
      <w:r>
        <w:rPr>
          <w:rFonts w:cs="Arial"/>
        </w:rPr>
        <w:t>(external link, opens in a new widow)</w:t>
      </w:r>
      <w:r w:rsidRPr="005B6DDB">
        <w:rPr>
          <w:rFonts w:cs="Arial"/>
        </w:rPr>
        <w:t xml:space="preserve"> </w:t>
      </w:r>
      <w:r w:rsidR="005E79E1" w:rsidRPr="005B6DDB">
        <w:rPr>
          <w:rFonts w:cs="Arial"/>
        </w:rPr>
        <w:t>outlines the government’s key priorities to improve the health and wellbeing of Victorians, with a particular focus on addressing inequities in health outcomes. The release of the Victorian public health and wellbeing outcomes framework provides a new approach to monitoring and reporting on our collective efforts to improve health and wellbeing over the long term.</w:t>
      </w:r>
    </w:p>
    <w:p w14:paraId="7A11683C" w14:textId="77777777" w:rsidR="005E79E1" w:rsidRPr="005B6DDB" w:rsidRDefault="005E79E1" w:rsidP="005E79E1">
      <w:pPr>
        <w:spacing w:after="120" w:line="270" w:lineRule="atLeast"/>
        <w:rPr>
          <w:rFonts w:ascii="Arial" w:eastAsia="Times" w:hAnsi="Arial" w:cs="Arial"/>
          <w:b/>
          <w:color w:val="000000"/>
          <w:u w:val="single"/>
          <w:lang w:eastAsia="en-AU"/>
        </w:rPr>
      </w:pPr>
      <w:r w:rsidRPr="005B6DDB">
        <w:rPr>
          <w:rFonts w:ascii="Arial" w:eastAsia="Times" w:hAnsi="Arial" w:cs="Arial"/>
          <w:b/>
          <w:color w:val="000000"/>
          <w:u w:val="single"/>
          <w:lang w:eastAsia="en-AU"/>
        </w:rPr>
        <w:t>Absolutely everyone: State disability plan</w:t>
      </w:r>
      <w:r>
        <w:rPr>
          <w:rFonts w:ascii="Arial" w:eastAsia="Times" w:hAnsi="Arial" w:cs="Arial"/>
          <w:b/>
          <w:color w:val="000000"/>
          <w:u w:val="single"/>
          <w:lang w:eastAsia="en-AU"/>
        </w:rPr>
        <w:t xml:space="preserve"> 2017–2020</w:t>
      </w:r>
    </w:p>
    <w:p w14:paraId="08D8CCAC" w14:textId="1ADF165F" w:rsidR="005E79E1" w:rsidRPr="005B6DDB" w:rsidRDefault="00A55415" w:rsidP="005E79E1">
      <w:pPr>
        <w:shd w:val="clear" w:color="auto" w:fill="FFFFFF"/>
        <w:rPr>
          <w:rFonts w:ascii="Arial" w:hAnsi="Arial" w:cs="Arial"/>
        </w:rPr>
      </w:pPr>
      <w:r>
        <w:rPr>
          <w:rFonts w:ascii="Arial" w:hAnsi="Arial" w:cs="Arial"/>
        </w:rPr>
        <w:lastRenderedPageBreak/>
        <w:t xml:space="preserve">The </w:t>
      </w:r>
      <w:hyperlink r:id="rId279" w:history="1">
        <w:r w:rsidRPr="00E85BB9">
          <w:rPr>
            <w:rStyle w:val="Hyperlink"/>
            <w:rFonts w:ascii="Arial" w:hAnsi="Arial" w:cs="Arial"/>
          </w:rPr>
          <w:t>State disability plan 2017-2020</w:t>
        </w:r>
      </w:hyperlink>
      <w:r w:rsidR="005E79E1" w:rsidRPr="005B6DDB">
        <w:rPr>
          <w:rFonts w:ascii="Arial" w:hAnsi="Arial" w:cs="Arial"/>
        </w:rPr>
        <w:t xml:space="preserve"> </w:t>
      </w:r>
      <w:r w:rsidR="00E85BB9">
        <w:rPr>
          <w:rFonts w:ascii="Arial" w:hAnsi="Arial" w:cs="Arial"/>
        </w:rPr>
        <w:t>&lt;</w:t>
      </w:r>
      <w:r w:rsidR="00E85BB9" w:rsidRPr="00E85BB9">
        <w:rPr>
          <w:rFonts w:ascii="Arial" w:hAnsi="Arial" w:cs="Arial"/>
        </w:rPr>
        <w:t>http://www.statedisabilityplan.vic.gov.au</w:t>
      </w:r>
      <w:r w:rsidR="00E85BB9">
        <w:rPr>
          <w:rFonts w:ascii="Arial" w:hAnsi="Arial" w:cs="Arial"/>
        </w:rPr>
        <w:t>&gt;</w:t>
      </w:r>
      <w:r>
        <w:rPr>
          <w:rFonts w:ascii="Arial" w:hAnsi="Arial" w:cs="Arial"/>
        </w:rPr>
        <w:t xml:space="preserve"> (external link, opens in a new window) </w:t>
      </w:r>
      <w:r w:rsidR="005E79E1" w:rsidRPr="005B6DDB">
        <w:rPr>
          <w:rFonts w:ascii="Arial" w:hAnsi="Arial" w:cs="Arial"/>
        </w:rPr>
        <w:t>is the way the government is taking a lead on promoting the inclusion of Victorians with a disability. It is an opportunity to change the way we think about disability as we go about the major activities of government. We also know that working in partnership with business and communities is critical in changing attitudes and outcomes.</w:t>
      </w:r>
    </w:p>
    <w:p w14:paraId="0030942B" w14:textId="53CFCED1" w:rsidR="005E79E1" w:rsidRPr="005B6DDB" w:rsidRDefault="005E79E1" w:rsidP="00A55415">
      <w:pPr>
        <w:keepNext/>
        <w:keepLines/>
        <w:spacing w:before="240" w:after="240" w:line="276" w:lineRule="auto"/>
        <w:outlineLvl w:val="3"/>
        <w:rPr>
          <w:rFonts w:ascii="Arial" w:eastAsia="MS Mincho" w:hAnsi="Arial" w:cs="Arial"/>
          <w:b/>
          <w:bCs/>
          <w:color w:val="000000" w:themeColor="text1"/>
          <w:lang w:eastAsia="en-AU"/>
        </w:rPr>
      </w:pPr>
      <w:r w:rsidRPr="005B6DDB">
        <w:rPr>
          <w:rFonts w:ascii="Arial" w:eastAsia="MS Mincho" w:hAnsi="Arial" w:cs="Arial"/>
          <w:b/>
          <w:bCs/>
          <w:color w:val="000000" w:themeColor="text1"/>
          <w:lang w:eastAsia="en-AU"/>
        </w:rPr>
        <w:t>For further information</w:t>
      </w:r>
      <w:r w:rsidRPr="005B6DDB">
        <w:rPr>
          <w:rFonts w:ascii="Arial" w:eastAsia="Times" w:hAnsi="Arial" w:cs="Arial"/>
          <w:color w:val="000000" w:themeColor="text1"/>
          <w:lang w:eastAsia="en-AU"/>
        </w:rPr>
        <w:br/>
        <w:t>Aboriginal Health and Wellbeing</w:t>
      </w:r>
      <w:r w:rsidRPr="005B6DDB">
        <w:rPr>
          <w:rFonts w:ascii="Arial" w:eastAsia="Times" w:hAnsi="Arial" w:cs="Arial"/>
          <w:color w:val="000000" w:themeColor="text1"/>
          <w:lang w:eastAsia="en-AU"/>
        </w:rPr>
        <w:br/>
        <w:t xml:space="preserve">Telephone: (03) </w:t>
      </w:r>
      <w:r w:rsidRPr="005B6DDB">
        <w:rPr>
          <w:rStyle w:val="fntel"/>
          <w:rFonts w:ascii="Arial" w:hAnsi="Arial" w:cs="Arial"/>
          <w:lang w:val="en"/>
        </w:rPr>
        <w:t>9096 7242</w:t>
      </w:r>
      <w:r w:rsidRPr="005B6DDB">
        <w:rPr>
          <w:rFonts w:ascii="Arial" w:eastAsia="Times" w:hAnsi="Arial" w:cs="Arial"/>
          <w:color w:val="000000" w:themeColor="text1"/>
          <w:lang w:eastAsia="en-AU"/>
        </w:rPr>
        <w:br/>
      </w:r>
      <w:r w:rsidRPr="005B6DDB">
        <w:rPr>
          <w:rFonts w:ascii="Arial" w:eastAsia="MS Mincho" w:hAnsi="Arial" w:cs="Arial"/>
          <w:bCs/>
          <w:color w:val="000000" w:themeColor="text1"/>
          <w:lang w:eastAsia="en-AU"/>
        </w:rPr>
        <w:t xml:space="preserve">Email: </w:t>
      </w:r>
      <w:hyperlink r:id="rId280" w:history="1">
        <w:r w:rsidRPr="00A55415">
          <w:rPr>
            <w:rStyle w:val="Hyperlink"/>
            <w:rFonts w:ascii="Arial" w:eastAsia="MS Mincho" w:hAnsi="Arial" w:cs="Arial"/>
            <w:bCs/>
            <w:lang w:eastAsia="en-AU"/>
          </w:rPr>
          <w:t>aboriginalhealth@dhhs.vic.gov.au</w:t>
        </w:r>
      </w:hyperlink>
    </w:p>
    <w:p w14:paraId="5BAA9415" w14:textId="17F2FF2A" w:rsidR="00323520" w:rsidRPr="00276391" w:rsidRDefault="00323520" w:rsidP="00323520">
      <w:pPr>
        <w:pStyle w:val="Heading2"/>
        <w:rPr>
          <w:rFonts w:cs="Arial"/>
          <w:lang w:eastAsia="en-AU"/>
        </w:rPr>
      </w:pPr>
      <w:bookmarkStart w:id="815" w:name="_Toc478992173"/>
      <w:bookmarkStart w:id="816" w:name="_Toc478992502"/>
      <w:bookmarkStart w:id="817" w:name="_Toc478992929"/>
      <w:bookmarkStart w:id="818" w:name="_Toc4142135"/>
      <w:bookmarkStart w:id="819" w:name="_Toc478992180"/>
      <w:bookmarkStart w:id="820" w:name="_Toc478992504"/>
      <w:bookmarkStart w:id="821" w:name="_Toc478992930"/>
      <w:bookmarkEnd w:id="813"/>
      <w:r w:rsidRPr="00276391">
        <w:rPr>
          <w:rFonts w:cs="Arial"/>
          <w:lang w:eastAsia="en-AU"/>
        </w:rPr>
        <w:t>4.</w:t>
      </w:r>
      <w:r w:rsidR="00FF406D">
        <w:rPr>
          <w:rFonts w:cs="Arial"/>
          <w:lang w:eastAsia="en-AU"/>
        </w:rPr>
        <w:t>15</w:t>
      </w:r>
      <w:r w:rsidRPr="00276391">
        <w:rPr>
          <w:rFonts w:cs="Arial"/>
          <w:lang w:eastAsia="en-AU"/>
        </w:rPr>
        <w:t xml:space="preserve"> Multiple and complex needs initiative</w:t>
      </w:r>
      <w:bookmarkEnd w:id="815"/>
      <w:bookmarkEnd w:id="816"/>
      <w:bookmarkEnd w:id="817"/>
      <w:r>
        <w:rPr>
          <w:rFonts w:cs="Arial"/>
          <w:lang w:eastAsia="en-AU"/>
        </w:rPr>
        <w:t xml:space="preserve"> (MACNI)</w:t>
      </w:r>
      <w:bookmarkEnd w:id="818"/>
    </w:p>
    <w:p w14:paraId="2886CFE4" w14:textId="77777777" w:rsidR="00323520" w:rsidRPr="00276391" w:rsidRDefault="00323520" w:rsidP="00323520">
      <w:pPr>
        <w:pStyle w:val="Heading4"/>
        <w:rPr>
          <w:lang w:eastAsia="en-AU"/>
        </w:rPr>
      </w:pPr>
      <w:bookmarkStart w:id="822" w:name="_Toc478992175"/>
      <w:r w:rsidRPr="00276391">
        <w:rPr>
          <w:lang w:eastAsia="en-AU"/>
        </w:rPr>
        <w:t>Who does this policy apply to?</w:t>
      </w:r>
      <w:bookmarkEnd w:id="822"/>
    </w:p>
    <w:p w14:paraId="56E223CF" w14:textId="77777777" w:rsidR="00323520" w:rsidRPr="00276391" w:rsidRDefault="00323520" w:rsidP="00323520">
      <w:pPr>
        <w:pStyle w:val="DHHSbody"/>
        <w:rPr>
          <w:lang w:eastAsia="en-AU"/>
        </w:rPr>
      </w:pPr>
      <w:r w:rsidRPr="00B24C02">
        <w:rPr>
          <w:rFonts w:cs="Arial"/>
          <w:color w:val="000000"/>
          <w:szCs w:val="19"/>
          <w:lang w:eastAsia="en-AU"/>
        </w:rPr>
        <w:t xml:space="preserve">The </w:t>
      </w:r>
      <w:hyperlink r:id="rId281" w:history="1">
        <w:r w:rsidRPr="00986D1E">
          <w:rPr>
            <w:rStyle w:val="Hyperlink"/>
          </w:rPr>
          <w:t>Multiple and Complex Needs Initiative service provision framework</w:t>
        </w:r>
      </w:hyperlink>
      <w:r w:rsidRPr="00B24C02">
        <w:rPr>
          <w:rFonts w:cs="Arial"/>
          <w:color w:val="000000"/>
          <w:szCs w:val="19"/>
          <w:lang w:eastAsia="en-AU"/>
        </w:rPr>
        <w:t xml:space="preserve"> </w:t>
      </w:r>
      <w:r>
        <w:rPr>
          <w:rFonts w:cs="Arial"/>
          <w:color w:val="000000"/>
          <w:szCs w:val="19"/>
          <w:lang w:eastAsia="en-AU"/>
        </w:rPr>
        <w:t>&lt;</w:t>
      </w:r>
      <w:r w:rsidRPr="00800903">
        <w:rPr>
          <w:rFonts w:cs="Arial"/>
          <w:color w:val="000000"/>
          <w:szCs w:val="19"/>
          <w:lang w:eastAsia="en-AU"/>
        </w:rPr>
        <w:t>http://providers.dhhs.vic.gov.au/multiple-and-complex-needs-initiative</w:t>
      </w:r>
      <w:r>
        <w:rPr>
          <w:rFonts w:cs="Arial"/>
          <w:color w:val="000000"/>
          <w:szCs w:val="19"/>
          <w:lang w:eastAsia="en-AU"/>
        </w:rPr>
        <w:t>&gt;</w:t>
      </w:r>
      <w:r w:rsidRPr="009A60C6">
        <w:rPr>
          <w:rFonts w:cs="Arial"/>
          <w:color w:val="000000"/>
          <w:szCs w:val="19"/>
          <w:lang w:eastAsia="en-AU"/>
        </w:rPr>
        <w:t xml:space="preserve"> </w:t>
      </w:r>
      <w:r w:rsidRPr="00B24C02">
        <w:rPr>
          <w:rFonts w:cs="Arial"/>
          <w:color w:val="000000"/>
          <w:szCs w:val="19"/>
          <w:lang w:eastAsia="en-AU"/>
        </w:rPr>
        <w:t xml:space="preserve">(external link, opens in a new window) applies to programs and organisations funded by the Department of Health and Human Services to fulfil MACNI tasks. </w:t>
      </w:r>
    </w:p>
    <w:p w14:paraId="3C84AF11" w14:textId="77777777" w:rsidR="00323520" w:rsidRPr="00276391" w:rsidRDefault="00323520" w:rsidP="00323520">
      <w:pPr>
        <w:pStyle w:val="Heading4"/>
        <w:rPr>
          <w:lang w:eastAsia="en-AU"/>
        </w:rPr>
      </w:pPr>
      <w:bookmarkStart w:id="823" w:name="_Toc478992176"/>
      <w:r w:rsidRPr="00276391">
        <w:rPr>
          <w:lang w:eastAsia="en-AU"/>
        </w:rPr>
        <w:t>Policy purpose</w:t>
      </w:r>
      <w:bookmarkEnd w:id="823"/>
    </w:p>
    <w:p w14:paraId="493CE41C" w14:textId="77777777" w:rsidR="00323520" w:rsidRPr="00276391" w:rsidRDefault="00323520" w:rsidP="00323520">
      <w:pPr>
        <w:pStyle w:val="DHHSbody"/>
        <w:rPr>
          <w:lang w:eastAsia="en-AU"/>
        </w:rPr>
      </w:pPr>
      <w:r w:rsidRPr="00B24C02">
        <w:rPr>
          <w:rFonts w:cs="Arial"/>
          <w:color w:val="000000"/>
          <w:szCs w:val="19"/>
          <w:lang w:eastAsia="en-AU"/>
        </w:rPr>
        <w:t>To ensure programs and organisations funded to provide Multiple and Complex Needs Initiative (MACNI) services are aware of and comply with operational guidelines and relevant legislation.</w:t>
      </w:r>
    </w:p>
    <w:p w14:paraId="4007E435" w14:textId="77777777" w:rsidR="00323520" w:rsidRPr="00276391" w:rsidRDefault="00323520" w:rsidP="00323520">
      <w:pPr>
        <w:pStyle w:val="Heading4"/>
        <w:rPr>
          <w:lang w:eastAsia="en-AU"/>
        </w:rPr>
      </w:pPr>
      <w:bookmarkStart w:id="824" w:name="_Toc478992177"/>
      <w:r w:rsidRPr="00276391">
        <w:rPr>
          <w:lang w:eastAsia="en-AU"/>
        </w:rPr>
        <w:t>Legislation and /or regulation</w:t>
      </w:r>
      <w:bookmarkEnd w:id="824"/>
    </w:p>
    <w:p w14:paraId="09CA9D86" w14:textId="7E1C2C4E" w:rsidR="00323520" w:rsidRPr="00276391" w:rsidRDefault="0016341D" w:rsidP="00323520">
      <w:pPr>
        <w:pStyle w:val="DHHSbody"/>
        <w:rPr>
          <w:lang w:eastAsia="en-AU"/>
        </w:rPr>
      </w:pPr>
      <w:hyperlink r:id="rId282" w:history="1">
        <w:r w:rsidR="00323520" w:rsidRPr="00986D1E">
          <w:rPr>
            <w:rStyle w:val="Hyperlink"/>
          </w:rPr>
          <w:t>Human Services (Complex Needs) Act 2009</w:t>
        </w:r>
      </w:hyperlink>
      <w:r w:rsidR="00323520" w:rsidRPr="00B24C02">
        <w:rPr>
          <w:rFonts w:cs="Arial"/>
          <w:color w:val="000000"/>
          <w:szCs w:val="19"/>
          <w:lang w:eastAsia="en-AU"/>
        </w:rPr>
        <w:t xml:space="preserve"> </w:t>
      </w:r>
      <w:r w:rsidR="00323520">
        <w:rPr>
          <w:rFonts w:cs="Arial"/>
          <w:color w:val="000000"/>
          <w:szCs w:val="19"/>
          <w:lang w:eastAsia="en-AU"/>
        </w:rPr>
        <w:t>&lt;</w:t>
      </w:r>
      <w:r w:rsidR="0047643B" w:rsidRPr="0047643B">
        <w:rPr>
          <w:rFonts w:cs="Arial"/>
          <w:color w:val="000000"/>
          <w:szCs w:val="19"/>
          <w:lang w:eastAsia="en-AU"/>
        </w:rPr>
        <w:t>http://www8.austlii.edu.au/cgi-bin/viewdb/au/legis/vic/num_act/hsna200916o2009334/</w:t>
      </w:r>
      <w:r w:rsidR="00323520">
        <w:rPr>
          <w:rFonts w:cs="Arial"/>
          <w:color w:val="000000"/>
          <w:szCs w:val="19"/>
          <w:lang w:eastAsia="en-AU"/>
        </w:rPr>
        <w:t xml:space="preserve">&gt; </w:t>
      </w:r>
      <w:r w:rsidR="00323520" w:rsidRPr="00B24C02">
        <w:rPr>
          <w:rFonts w:cs="Arial"/>
          <w:color w:val="000000"/>
          <w:szCs w:val="19"/>
          <w:lang w:eastAsia="en-AU"/>
        </w:rPr>
        <w:t>(external link, opens in a new window)</w:t>
      </w:r>
    </w:p>
    <w:p w14:paraId="3D09D01B" w14:textId="77777777" w:rsidR="00323520" w:rsidRPr="00276391" w:rsidRDefault="00323520" w:rsidP="00323520">
      <w:pPr>
        <w:pStyle w:val="Heading4"/>
        <w:rPr>
          <w:lang w:eastAsia="en-AU"/>
        </w:rPr>
      </w:pPr>
      <w:bookmarkStart w:id="825" w:name="_Toc478992178"/>
      <w:r w:rsidRPr="00276391">
        <w:rPr>
          <w:lang w:eastAsia="en-AU"/>
        </w:rPr>
        <w:t>Organisation requirements</w:t>
      </w:r>
      <w:bookmarkEnd w:id="825"/>
    </w:p>
    <w:p w14:paraId="3C817F04" w14:textId="49662CC1" w:rsidR="00323520" w:rsidRPr="00276391" w:rsidRDefault="003B73B8" w:rsidP="00323520">
      <w:pPr>
        <w:pStyle w:val="DHHSbody"/>
        <w:rPr>
          <w:lang w:eastAsia="en-AU"/>
        </w:rPr>
      </w:pPr>
      <w:r>
        <w:rPr>
          <w:rFonts w:cs="Arial"/>
          <w:color w:val="000000"/>
          <w:szCs w:val="19"/>
          <w:lang w:eastAsia="en-AU"/>
        </w:rPr>
        <w:t>MACNI</w:t>
      </w:r>
      <w:r w:rsidR="00323520" w:rsidRPr="00B24C02">
        <w:rPr>
          <w:rFonts w:cs="Arial"/>
          <w:color w:val="000000"/>
          <w:szCs w:val="19"/>
          <w:lang w:eastAsia="en-AU"/>
        </w:rPr>
        <w:t xml:space="preserve"> is a joint initiative of the Department of Health and Human Services and the Department of Justice and Regulation. MACNI provides assessment, care plan coordination and brokerage funding for people with multiple and complex needs that challenge existing legislative frameworks and service systems.</w:t>
      </w:r>
    </w:p>
    <w:p w14:paraId="48912E8B" w14:textId="77777777" w:rsidR="00323520" w:rsidRPr="00276391" w:rsidRDefault="00323520" w:rsidP="00323520">
      <w:pPr>
        <w:pStyle w:val="DHHSbody"/>
        <w:rPr>
          <w:lang w:eastAsia="en-AU"/>
        </w:rPr>
      </w:pPr>
      <w:r w:rsidRPr="00276391">
        <w:rPr>
          <w:lang w:eastAsia="en-AU"/>
        </w:rPr>
        <w:t>MACNI promotes collaborative cross program planning and support at the local level. It provides a highly-targeted specialist intervention for eligible individuals that:</w:t>
      </w:r>
    </w:p>
    <w:p w14:paraId="04B36131" w14:textId="77777777" w:rsidR="00323520" w:rsidRPr="00276391" w:rsidRDefault="00323520" w:rsidP="00323520">
      <w:pPr>
        <w:pStyle w:val="DHHSbullet1"/>
        <w:rPr>
          <w:lang w:eastAsia="en-AU"/>
        </w:rPr>
      </w:pPr>
      <w:r w:rsidRPr="00276391">
        <w:rPr>
          <w:lang w:eastAsia="en-AU"/>
        </w:rPr>
        <w:t xml:space="preserve">stabilises housing, health, social connection and safety </w:t>
      </w:r>
    </w:p>
    <w:p w14:paraId="70A44E58" w14:textId="77777777" w:rsidR="00323520" w:rsidRPr="00276391" w:rsidRDefault="00323520" w:rsidP="00323520">
      <w:pPr>
        <w:pStyle w:val="DHHSbullet1"/>
        <w:rPr>
          <w:lang w:eastAsia="en-AU"/>
        </w:rPr>
      </w:pPr>
      <w:r w:rsidRPr="00276391">
        <w:rPr>
          <w:lang w:eastAsia="en-AU"/>
        </w:rPr>
        <w:t xml:space="preserve">provides a platform for long term engagement in the service system </w:t>
      </w:r>
    </w:p>
    <w:p w14:paraId="6A5E72FD" w14:textId="77777777" w:rsidR="00323520" w:rsidRPr="00276391" w:rsidRDefault="00323520" w:rsidP="00323520">
      <w:pPr>
        <w:pStyle w:val="DHHSbullet1lastline"/>
        <w:rPr>
          <w:lang w:eastAsia="en-AU"/>
        </w:rPr>
      </w:pPr>
      <w:r w:rsidRPr="00276391">
        <w:rPr>
          <w:lang w:eastAsia="en-AU"/>
        </w:rPr>
        <w:t xml:space="preserve">pursues planned and consistent therapeutic goals for each person. </w:t>
      </w:r>
    </w:p>
    <w:p w14:paraId="446E38D7" w14:textId="77777777" w:rsidR="00323520" w:rsidRPr="00276391" w:rsidRDefault="00323520" w:rsidP="00323520">
      <w:pPr>
        <w:pStyle w:val="DHHSbody"/>
        <w:rPr>
          <w:lang w:eastAsia="en-AU"/>
        </w:rPr>
      </w:pPr>
      <w:r w:rsidRPr="00276391">
        <w:rPr>
          <w:lang w:eastAsia="en-AU"/>
        </w:rPr>
        <w:t>MACNI is complementary to, and does not replace, existing services or systems of support for individuals with multiple and complex needs. Successful implementation of MACNI requires existing service providers to respond to the needs of people within the target group in accordance with the guiding principles of the Act.</w:t>
      </w:r>
    </w:p>
    <w:p w14:paraId="53875D48" w14:textId="6D374F09" w:rsidR="00323520" w:rsidRPr="00276391" w:rsidRDefault="00323520" w:rsidP="00323520">
      <w:pPr>
        <w:pStyle w:val="DHHSbody"/>
        <w:rPr>
          <w:lang w:eastAsia="en-AU"/>
        </w:rPr>
      </w:pPr>
      <w:r w:rsidRPr="00276391">
        <w:rPr>
          <w:lang w:eastAsia="en-AU"/>
        </w:rPr>
        <w:t xml:space="preserve">Access to MACNI is via consultation with the MACNI Divisional Coordinator appointed in each </w:t>
      </w:r>
      <w:r w:rsidR="003B73B8">
        <w:rPr>
          <w:lang w:eastAsia="en-AU"/>
        </w:rPr>
        <w:t>of the department’s operational divisions.</w:t>
      </w:r>
    </w:p>
    <w:p w14:paraId="0B127072" w14:textId="77777777" w:rsidR="00323520" w:rsidRPr="00276391" w:rsidRDefault="00323520" w:rsidP="00323520">
      <w:pPr>
        <w:pStyle w:val="Heading4"/>
        <w:rPr>
          <w:lang w:eastAsia="en-AU"/>
        </w:rPr>
      </w:pPr>
      <w:bookmarkStart w:id="826" w:name="_Toc478992179"/>
      <w:r w:rsidRPr="00276391">
        <w:rPr>
          <w:lang w:eastAsia="en-AU"/>
        </w:rPr>
        <w:t>For further information</w:t>
      </w:r>
      <w:bookmarkEnd w:id="826"/>
    </w:p>
    <w:p w14:paraId="4C8096DB" w14:textId="7DE000DB" w:rsidR="00323520" w:rsidRPr="00BE180B" w:rsidRDefault="00323520" w:rsidP="00323520">
      <w:pPr>
        <w:pStyle w:val="DHHSbody"/>
        <w:rPr>
          <w:rFonts w:cs="Arial"/>
          <w:color w:val="000000"/>
          <w:szCs w:val="19"/>
          <w:lang w:eastAsia="en-AU"/>
        </w:rPr>
      </w:pPr>
      <w:r w:rsidRPr="00B24C02">
        <w:rPr>
          <w:rFonts w:cs="Arial"/>
          <w:color w:val="000000"/>
          <w:szCs w:val="19"/>
          <w:lang w:eastAsia="en-AU"/>
        </w:rPr>
        <w:t>Shane Beaumont</w:t>
      </w:r>
      <w:r w:rsidR="00BE180B">
        <w:rPr>
          <w:rFonts w:cs="Arial"/>
          <w:color w:val="000000"/>
          <w:szCs w:val="19"/>
          <w:lang w:eastAsia="en-AU"/>
        </w:rPr>
        <w:t xml:space="preserve">, </w:t>
      </w:r>
      <w:r>
        <w:rPr>
          <w:rFonts w:cs="Arial"/>
          <w:color w:val="000000"/>
          <w:szCs w:val="19"/>
          <w:lang w:eastAsia="en-AU"/>
        </w:rPr>
        <w:t>Manager, Complex Support and Systemic Improvement</w:t>
      </w:r>
      <w:r w:rsidR="00BE180B">
        <w:rPr>
          <w:rFonts w:cs="Arial"/>
          <w:color w:val="000000"/>
          <w:szCs w:val="19"/>
          <w:lang w:eastAsia="en-AU"/>
        </w:rPr>
        <w:t xml:space="preserve">, </w:t>
      </w:r>
      <w:r>
        <w:rPr>
          <w:rFonts w:cs="Arial"/>
          <w:color w:val="000000"/>
          <w:szCs w:val="19"/>
          <w:lang w:eastAsia="en-AU"/>
        </w:rPr>
        <w:t>Service Implementation and Support</w:t>
      </w:r>
      <w:r w:rsidR="00BE180B">
        <w:rPr>
          <w:rFonts w:cs="Arial"/>
          <w:color w:val="000000"/>
          <w:szCs w:val="19"/>
          <w:lang w:eastAsia="en-AU"/>
        </w:rPr>
        <w:t>,</w:t>
      </w:r>
      <w:r w:rsidR="003B73B8">
        <w:rPr>
          <w:rFonts w:cs="Arial"/>
          <w:color w:val="000000"/>
          <w:szCs w:val="19"/>
          <w:lang w:eastAsia="en-AU"/>
        </w:rPr>
        <w:t xml:space="preserve"> </w:t>
      </w:r>
      <w:r>
        <w:rPr>
          <w:rFonts w:cs="Arial"/>
          <w:color w:val="000000"/>
          <w:szCs w:val="19"/>
          <w:lang w:eastAsia="en-AU"/>
        </w:rPr>
        <w:t>Children, Families, Disability and Operations Division</w:t>
      </w:r>
      <w:r w:rsidRPr="00B24C02">
        <w:rPr>
          <w:rFonts w:cs="Arial"/>
          <w:color w:val="000000"/>
          <w:szCs w:val="19"/>
          <w:lang w:eastAsia="en-AU"/>
        </w:rPr>
        <w:br/>
        <w:t>Telephone: (03) 9096 2523</w:t>
      </w:r>
      <w:r w:rsidRPr="00B24C02">
        <w:rPr>
          <w:rFonts w:cs="Arial"/>
          <w:color w:val="000000"/>
          <w:szCs w:val="19"/>
          <w:lang w:eastAsia="en-AU"/>
        </w:rPr>
        <w:br/>
        <w:t xml:space="preserve">Email: </w:t>
      </w:r>
      <w:hyperlink r:id="rId283" w:history="1">
        <w:r w:rsidRPr="00986D1E">
          <w:rPr>
            <w:rStyle w:val="Hyperlink"/>
          </w:rPr>
          <w:t>shane.beaumont@dhhs.vic.gov.au</w:t>
        </w:r>
      </w:hyperlink>
      <w:r w:rsidRPr="00B24C02">
        <w:rPr>
          <w:rFonts w:cs="Arial"/>
          <w:color w:val="000000"/>
          <w:szCs w:val="19"/>
          <w:lang w:eastAsia="en-AU"/>
        </w:rPr>
        <w:t xml:space="preserve"> </w:t>
      </w:r>
    </w:p>
    <w:p w14:paraId="0D3A092F" w14:textId="6D405EBD" w:rsidR="00236748" w:rsidRPr="00276391" w:rsidRDefault="00FF406D" w:rsidP="009B2351">
      <w:pPr>
        <w:pStyle w:val="Heading2"/>
        <w:rPr>
          <w:rFonts w:cs="Arial"/>
          <w:lang w:eastAsia="en-AU"/>
        </w:rPr>
      </w:pPr>
      <w:bookmarkStart w:id="827" w:name="_Toc4142136"/>
      <w:r>
        <w:rPr>
          <w:rFonts w:cs="Arial"/>
          <w:lang w:eastAsia="en-AU"/>
        </w:rPr>
        <w:lastRenderedPageBreak/>
        <w:t>4.16</w:t>
      </w:r>
      <w:r w:rsidR="009B2351" w:rsidRPr="00276391">
        <w:rPr>
          <w:rFonts w:cs="Arial"/>
          <w:lang w:eastAsia="en-AU"/>
        </w:rPr>
        <w:t xml:space="preserve"> </w:t>
      </w:r>
      <w:r w:rsidR="00236748" w:rsidRPr="00276391">
        <w:rPr>
          <w:rFonts w:cs="Arial"/>
          <w:lang w:eastAsia="en-AU"/>
        </w:rPr>
        <w:t>With</w:t>
      </w:r>
      <w:r w:rsidR="009B2351" w:rsidRPr="00276391">
        <w:rPr>
          <w:rFonts w:cs="Arial"/>
          <w:lang w:eastAsia="en-AU"/>
        </w:rPr>
        <w:t xml:space="preserve"> </w:t>
      </w:r>
      <w:r w:rsidR="00236748" w:rsidRPr="00276391">
        <w:rPr>
          <w:rFonts w:cs="Arial"/>
          <w:lang w:eastAsia="en-AU"/>
        </w:rPr>
        <w:t>respect</w:t>
      </w:r>
      <w:r w:rsidR="009B2351" w:rsidRPr="00276391">
        <w:rPr>
          <w:rFonts w:cs="Arial"/>
          <w:lang w:eastAsia="en-AU"/>
        </w:rPr>
        <w:t xml:space="preserve"> </w:t>
      </w:r>
      <w:r w:rsidR="00236748" w:rsidRPr="00276391">
        <w:rPr>
          <w:rFonts w:cs="Arial"/>
          <w:lang w:eastAsia="en-AU"/>
        </w:rPr>
        <w:t>to</w:t>
      </w:r>
      <w:r w:rsidR="009B2351" w:rsidRPr="00276391">
        <w:rPr>
          <w:rFonts w:cs="Arial"/>
          <w:lang w:eastAsia="en-AU"/>
        </w:rPr>
        <w:t xml:space="preserve"> </w:t>
      </w:r>
      <w:r w:rsidR="00236748" w:rsidRPr="00276391">
        <w:rPr>
          <w:rFonts w:cs="Arial"/>
          <w:lang w:eastAsia="en-AU"/>
        </w:rPr>
        <w:t>age</w:t>
      </w:r>
      <w:r w:rsidR="009B2351" w:rsidRPr="00276391">
        <w:rPr>
          <w:rFonts w:cs="Arial"/>
          <w:lang w:eastAsia="en-AU"/>
        </w:rPr>
        <w:t xml:space="preserve"> </w:t>
      </w:r>
      <w:r w:rsidR="00236748" w:rsidRPr="00276391">
        <w:rPr>
          <w:rFonts w:cs="Arial"/>
          <w:lang w:eastAsia="en-AU"/>
        </w:rPr>
        <w:t>-</w:t>
      </w:r>
      <w:r w:rsidR="009B2351" w:rsidRPr="00276391">
        <w:rPr>
          <w:rFonts w:cs="Arial"/>
          <w:lang w:eastAsia="en-AU"/>
        </w:rPr>
        <w:t xml:space="preserve"> </w:t>
      </w:r>
      <w:r w:rsidR="00236748" w:rsidRPr="00276391">
        <w:rPr>
          <w:rFonts w:cs="Arial"/>
          <w:lang w:eastAsia="en-AU"/>
        </w:rPr>
        <w:t>2009</w:t>
      </w:r>
      <w:r w:rsidR="009B2351" w:rsidRPr="00276391">
        <w:rPr>
          <w:rFonts w:cs="Arial"/>
          <w:lang w:eastAsia="en-AU"/>
        </w:rPr>
        <w:t xml:space="preserve"> </w:t>
      </w:r>
      <w:r w:rsidR="00236748" w:rsidRPr="00276391">
        <w:rPr>
          <w:rFonts w:cs="Arial"/>
          <w:lang w:eastAsia="en-AU"/>
        </w:rPr>
        <w:t>(elder</w:t>
      </w:r>
      <w:r w:rsidR="009B2351" w:rsidRPr="00276391">
        <w:rPr>
          <w:rFonts w:cs="Arial"/>
          <w:lang w:eastAsia="en-AU"/>
        </w:rPr>
        <w:t xml:space="preserve"> </w:t>
      </w:r>
      <w:r w:rsidR="00236748" w:rsidRPr="00276391">
        <w:rPr>
          <w:rFonts w:cs="Arial"/>
          <w:lang w:eastAsia="en-AU"/>
        </w:rPr>
        <w:t>abuse</w:t>
      </w:r>
      <w:r w:rsidR="009B2351" w:rsidRPr="00276391">
        <w:rPr>
          <w:rFonts w:cs="Arial"/>
          <w:lang w:eastAsia="en-AU"/>
        </w:rPr>
        <w:t xml:space="preserve"> </w:t>
      </w:r>
      <w:r w:rsidR="00236748" w:rsidRPr="00276391">
        <w:rPr>
          <w:rFonts w:cs="Arial"/>
          <w:lang w:eastAsia="en-AU"/>
        </w:rPr>
        <w:t>prevention</w:t>
      </w:r>
      <w:r w:rsidR="009B2351" w:rsidRPr="00276391">
        <w:rPr>
          <w:rFonts w:cs="Arial"/>
          <w:lang w:eastAsia="en-AU"/>
        </w:rPr>
        <w:t xml:space="preserve"> </w:t>
      </w:r>
      <w:r w:rsidR="00236748" w:rsidRPr="00276391">
        <w:rPr>
          <w:rFonts w:cs="Arial"/>
          <w:lang w:eastAsia="en-AU"/>
        </w:rPr>
        <w:t>practice</w:t>
      </w:r>
      <w:r w:rsidR="009B2351" w:rsidRPr="00276391">
        <w:rPr>
          <w:rFonts w:cs="Arial"/>
          <w:lang w:eastAsia="en-AU"/>
        </w:rPr>
        <w:t xml:space="preserve"> </w:t>
      </w:r>
      <w:r w:rsidR="00236748" w:rsidRPr="00276391">
        <w:rPr>
          <w:rFonts w:cs="Arial"/>
          <w:lang w:eastAsia="en-AU"/>
        </w:rPr>
        <w:t>guidelines)</w:t>
      </w:r>
      <w:bookmarkEnd w:id="819"/>
      <w:bookmarkEnd w:id="820"/>
      <w:bookmarkEnd w:id="821"/>
      <w:bookmarkEnd w:id="827"/>
    </w:p>
    <w:p w14:paraId="523F23D1" w14:textId="77777777" w:rsidR="00236748" w:rsidRPr="00276391" w:rsidRDefault="00236748" w:rsidP="001A0795">
      <w:pPr>
        <w:pStyle w:val="Heading4"/>
        <w:rPr>
          <w:lang w:eastAsia="en-AU"/>
        </w:rPr>
      </w:pPr>
      <w:bookmarkStart w:id="828" w:name="_Toc478992182"/>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828"/>
    </w:p>
    <w:p w14:paraId="5B4DE071" w14:textId="77777777"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guide</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manager/s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workers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support</w:t>
      </w:r>
      <w:r w:rsidR="005D5532" w:rsidRPr="00B24C02">
        <w:rPr>
          <w:rFonts w:cs="Arial"/>
          <w:color w:val="000000"/>
          <w:szCs w:val="19"/>
          <w:lang w:eastAsia="en-AU"/>
        </w:rPr>
        <w:t xml:space="preserve"> </w:t>
      </w:r>
      <w:r w:rsidRPr="00B24C02">
        <w:rPr>
          <w:rFonts w:cs="Arial"/>
          <w:color w:val="000000"/>
          <w:szCs w:val="19"/>
          <w:lang w:eastAsia="en-AU"/>
        </w:rPr>
        <w:t>older</w:t>
      </w:r>
      <w:r w:rsidR="005D5532" w:rsidRPr="00B24C02">
        <w:rPr>
          <w:rFonts w:cs="Arial"/>
          <w:color w:val="000000"/>
          <w:szCs w:val="19"/>
          <w:lang w:eastAsia="en-AU"/>
        </w:rPr>
        <w:t xml:space="preserve"> </w:t>
      </w:r>
      <w:r w:rsidRPr="00B24C02">
        <w:rPr>
          <w:rFonts w:cs="Arial"/>
          <w:color w:val="000000"/>
          <w:szCs w:val="19"/>
          <w:lang w:eastAsia="en-AU"/>
        </w:rPr>
        <w:t>people</w:t>
      </w:r>
      <w:r w:rsidR="005D5532" w:rsidRPr="00B24C02">
        <w:rPr>
          <w:rFonts w:cs="Arial"/>
          <w:color w:val="000000"/>
          <w:szCs w:val="19"/>
          <w:lang w:eastAsia="en-AU"/>
        </w:rPr>
        <w:t xml:space="preserve"> </w:t>
      </w:r>
      <w:r w:rsidRPr="00B24C02">
        <w:rPr>
          <w:rFonts w:cs="Arial"/>
          <w:color w:val="000000"/>
          <w:szCs w:val="19"/>
          <w:lang w:eastAsia="en-AU"/>
        </w:rPr>
        <w:t>in:</w:t>
      </w:r>
    </w:p>
    <w:p w14:paraId="55A82EE2" w14:textId="77777777" w:rsidR="00236748" w:rsidRPr="00276391" w:rsidRDefault="00236748" w:rsidP="00F373A1">
      <w:pPr>
        <w:pStyle w:val="DHHSbullet1"/>
        <w:rPr>
          <w:lang w:eastAsia="en-AU"/>
        </w:rPr>
      </w:pP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hospitals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emergency</w:t>
      </w:r>
      <w:r w:rsidR="005D5532" w:rsidRPr="00276391">
        <w:rPr>
          <w:lang w:eastAsia="en-AU"/>
        </w:rPr>
        <w:t xml:space="preserve"> </w:t>
      </w:r>
      <w:r w:rsidRPr="00276391">
        <w:rPr>
          <w:lang w:eastAsia="en-AU"/>
        </w:rPr>
        <w:t>departments);</w:t>
      </w:r>
      <w:r w:rsidR="005D5532" w:rsidRPr="00276391">
        <w:rPr>
          <w:lang w:eastAsia="en-AU"/>
        </w:rPr>
        <w:t xml:space="preserve"> </w:t>
      </w:r>
      <w:r w:rsidRPr="00276391">
        <w:rPr>
          <w:lang w:eastAsia="en-AU"/>
        </w:rPr>
        <w:t>rehabilitation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subacute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nursing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allied</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home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settings,</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p>
    <w:p w14:paraId="301B7A28" w14:textId="77777777" w:rsidR="00236748" w:rsidRPr="00276391" w:rsidRDefault="00236748" w:rsidP="00F373A1">
      <w:pPr>
        <w:pStyle w:val="DHHSbullet1"/>
        <w:rPr>
          <w:lang w:eastAsia="en-AU"/>
        </w:rPr>
      </w:pPr>
      <w:r w:rsidRPr="00276391">
        <w:rPr>
          <w:lang w:eastAsia="en-AU"/>
        </w:rPr>
        <w:t>community</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agencies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local</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not-for-profit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private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involved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provision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aged</w:t>
      </w:r>
      <w:r w:rsidR="005D5532" w:rsidRPr="00276391">
        <w:rPr>
          <w:lang w:eastAsia="en-AU"/>
        </w:rPr>
        <w:t xml:space="preserve"> </w:t>
      </w:r>
      <w:r w:rsidRPr="00276391">
        <w:rPr>
          <w:lang w:eastAsia="en-AU"/>
        </w:rPr>
        <w:t>care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Commonwealth</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respite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mental</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older</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legal</w:t>
      </w:r>
      <w:r w:rsidR="005D5532" w:rsidRPr="00276391">
        <w:rPr>
          <w:lang w:eastAsia="en-AU"/>
        </w:rPr>
        <w:t xml:space="preserve"> </w:t>
      </w:r>
      <w:r w:rsidRPr="00276391">
        <w:rPr>
          <w:lang w:eastAsia="en-AU"/>
        </w:rPr>
        <w:t>aid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family</w:t>
      </w:r>
      <w:r w:rsidR="005D5532" w:rsidRPr="00276391">
        <w:rPr>
          <w:lang w:eastAsia="en-AU"/>
        </w:rPr>
        <w:t xml:space="preserve"> </w:t>
      </w:r>
      <w:r w:rsidRPr="00276391">
        <w:rPr>
          <w:lang w:eastAsia="en-AU"/>
        </w:rPr>
        <w:t>violence</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indigenous</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culturally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linguistically</w:t>
      </w:r>
      <w:r w:rsidR="005D5532" w:rsidRPr="00276391">
        <w:rPr>
          <w:lang w:eastAsia="en-AU"/>
        </w:rPr>
        <w:t xml:space="preserve"> </w:t>
      </w:r>
      <w:r w:rsidRPr="00276391">
        <w:rPr>
          <w:lang w:eastAsia="en-AU"/>
        </w:rPr>
        <w:t>diverse</w:t>
      </w:r>
      <w:r w:rsidR="005D5532" w:rsidRPr="00276391">
        <w:rPr>
          <w:lang w:eastAsia="en-AU"/>
        </w:rPr>
        <w:t xml:space="preserve"> </w:t>
      </w:r>
      <w:r w:rsidRPr="00276391">
        <w:rPr>
          <w:lang w:eastAsia="en-AU"/>
        </w:rPr>
        <w:t>backgrounds.</w:t>
      </w:r>
      <w:r w:rsidR="005D5532" w:rsidRPr="00276391">
        <w:rPr>
          <w:lang w:eastAsia="en-AU"/>
        </w:rPr>
        <w:t xml:space="preserve"> </w:t>
      </w:r>
    </w:p>
    <w:p w14:paraId="292A1325" w14:textId="77777777" w:rsidR="00236748" w:rsidRPr="00276391" w:rsidRDefault="00236748" w:rsidP="001A0795">
      <w:pPr>
        <w:pStyle w:val="Heading4"/>
        <w:rPr>
          <w:lang w:eastAsia="en-AU"/>
        </w:rPr>
      </w:pPr>
      <w:bookmarkStart w:id="829" w:name="_Toc478992183"/>
      <w:r w:rsidRPr="00276391">
        <w:rPr>
          <w:lang w:eastAsia="en-AU"/>
        </w:rPr>
        <w:t>Policy</w:t>
      </w:r>
      <w:r w:rsidR="005D5532" w:rsidRPr="00276391">
        <w:rPr>
          <w:lang w:eastAsia="en-AU"/>
        </w:rPr>
        <w:t xml:space="preserve"> </w:t>
      </w:r>
      <w:r w:rsidRPr="00276391">
        <w:rPr>
          <w:lang w:eastAsia="en-AU"/>
        </w:rPr>
        <w:t>purpose</w:t>
      </w:r>
      <w:bookmarkEnd w:id="829"/>
    </w:p>
    <w:p w14:paraId="4E2D3846"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purpose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guide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p>
    <w:p w14:paraId="37D4BA5C" w14:textId="77777777" w:rsidR="00236748" w:rsidRPr="00276391" w:rsidRDefault="00236748" w:rsidP="00F373A1">
      <w:pPr>
        <w:pStyle w:val="DHHSbullet1"/>
        <w:rPr>
          <w:lang w:eastAsia="en-AU"/>
        </w:rPr>
      </w:pPr>
      <w:r w:rsidRPr="00276391">
        <w:rPr>
          <w:lang w:eastAsia="en-AU"/>
        </w:rPr>
        <w:t>outline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w:t>
      </w:r>
      <w:r w:rsidR="005D5532" w:rsidRPr="00276391">
        <w:rPr>
          <w:lang w:eastAsia="en-AU"/>
        </w:rPr>
        <w:t xml:space="preserve"> </w:t>
      </w:r>
      <w:r w:rsidRPr="00276391">
        <w:rPr>
          <w:lang w:eastAsia="en-AU"/>
        </w:rPr>
        <w:t>response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abuse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older</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who</w:t>
      </w:r>
      <w:r w:rsidR="005D5532" w:rsidRPr="00276391">
        <w:rPr>
          <w:lang w:eastAsia="en-AU"/>
        </w:rPr>
        <w:t xml:space="preserve"> </w:t>
      </w:r>
      <w:r w:rsidRPr="00276391">
        <w:rPr>
          <w:lang w:eastAsia="en-AU"/>
        </w:rPr>
        <w:t>live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home,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community</w:t>
      </w:r>
      <w:r w:rsidR="005D5532" w:rsidRPr="00276391">
        <w:rPr>
          <w:lang w:eastAsia="en-AU"/>
        </w:rPr>
        <w:t xml:space="preserve"> </w:t>
      </w:r>
    </w:p>
    <w:p w14:paraId="76FE2898" w14:textId="77777777" w:rsidR="00236748" w:rsidRPr="00276391" w:rsidRDefault="00236748" w:rsidP="00F373A1">
      <w:pPr>
        <w:pStyle w:val="DHHSbullet1"/>
        <w:rPr>
          <w:lang w:eastAsia="en-AU"/>
        </w:rPr>
      </w:pPr>
      <w:r w:rsidRPr="00276391">
        <w:rPr>
          <w:lang w:eastAsia="en-AU"/>
        </w:rPr>
        <w:t>provide</w:t>
      </w:r>
      <w:r w:rsidR="005D5532" w:rsidRPr="00276391">
        <w:rPr>
          <w:lang w:eastAsia="en-AU"/>
        </w:rPr>
        <w:t xml:space="preserve"> </w:t>
      </w:r>
      <w:r w:rsidRPr="00276391">
        <w:rPr>
          <w:lang w:eastAsia="en-AU"/>
        </w:rPr>
        <w:t>practical</w:t>
      </w:r>
      <w:r w:rsidR="005D5532" w:rsidRPr="00276391">
        <w:rPr>
          <w:lang w:eastAsia="en-AU"/>
        </w:rPr>
        <w:t xml:space="preserve"> </w:t>
      </w:r>
      <w:r w:rsidRPr="00276391">
        <w:rPr>
          <w:lang w:eastAsia="en-AU"/>
        </w:rPr>
        <w:t>guidance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develop</w:t>
      </w:r>
      <w:r w:rsidR="005D5532" w:rsidRPr="00276391">
        <w:rPr>
          <w:lang w:eastAsia="en-AU"/>
        </w:rPr>
        <w:t xml:space="preserve"> </w:t>
      </w:r>
      <w:r w:rsidRPr="00276391">
        <w:rPr>
          <w:lang w:eastAsia="en-AU"/>
        </w:rPr>
        <w:t>agency</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respond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suspicion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allegation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elder</w:t>
      </w:r>
      <w:r w:rsidR="005D5532" w:rsidRPr="00276391">
        <w:rPr>
          <w:lang w:eastAsia="en-AU"/>
        </w:rPr>
        <w:t xml:space="preserve"> </w:t>
      </w:r>
      <w:r w:rsidRPr="00276391">
        <w:rPr>
          <w:lang w:eastAsia="en-AU"/>
        </w:rPr>
        <w:t>abuse</w:t>
      </w:r>
      <w:r w:rsidR="005D5532" w:rsidRPr="00276391">
        <w:rPr>
          <w:lang w:eastAsia="en-AU"/>
        </w:rPr>
        <w:t xml:space="preserve"> </w:t>
      </w:r>
    </w:p>
    <w:p w14:paraId="0F6852DF" w14:textId="77777777" w:rsidR="00236748" w:rsidRPr="00276391" w:rsidRDefault="00236748" w:rsidP="00F373A1">
      <w:pPr>
        <w:pStyle w:val="DHHSbullet1"/>
        <w:rPr>
          <w:lang w:eastAsia="en-AU"/>
        </w:rPr>
      </w:pPr>
      <w:r w:rsidRPr="00276391">
        <w:rPr>
          <w:lang w:eastAsia="en-AU"/>
        </w:rPr>
        <w:t>support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development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interagency</w:t>
      </w:r>
      <w:r w:rsidR="005D5532" w:rsidRPr="00276391">
        <w:rPr>
          <w:lang w:eastAsia="en-AU"/>
        </w:rPr>
        <w:t xml:space="preserve"> </w:t>
      </w:r>
      <w:r w:rsidRPr="00276391">
        <w:rPr>
          <w:lang w:eastAsia="en-AU"/>
        </w:rPr>
        <w:t>protocols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enable</w:t>
      </w:r>
      <w:r w:rsidR="005D5532" w:rsidRPr="00276391">
        <w:rPr>
          <w:lang w:eastAsia="en-AU"/>
        </w:rPr>
        <w:t xml:space="preserve"> </w:t>
      </w:r>
      <w:r w:rsidRPr="00276391">
        <w:rPr>
          <w:lang w:eastAsia="en-AU"/>
        </w:rPr>
        <w:t>cooperation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responding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elder</w:t>
      </w:r>
      <w:r w:rsidR="005D5532" w:rsidRPr="00276391">
        <w:rPr>
          <w:lang w:eastAsia="en-AU"/>
        </w:rPr>
        <w:t xml:space="preserve"> </w:t>
      </w:r>
      <w:r w:rsidRPr="00276391">
        <w:rPr>
          <w:lang w:eastAsia="en-AU"/>
        </w:rPr>
        <w:t>abuse</w:t>
      </w:r>
      <w:r w:rsidR="005D5532" w:rsidRPr="00276391">
        <w:rPr>
          <w:lang w:eastAsia="en-AU"/>
        </w:rPr>
        <w:t xml:space="preserve"> </w:t>
      </w:r>
    </w:p>
    <w:p w14:paraId="303FEE09" w14:textId="77777777" w:rsidR="00236748" w:rsidRPr="00276391" w:rsidRDefault="00236748" w:rsidP="00F373A1">
      <w:pPr>
        <w:pStyle w:val="DHHSbullet1"/>
        <w:rPr>
          <w:lang w:eastAsia="en-AU"/>
        </w:rPr>
      </w:pPr>
      <w:r w:rsidRPr="00276391">
        <w:rPr>
          <w:lang w:eastAsia="en-AU"/>
        </w:rPr>
        <w:t>provide</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range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assist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reinforce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development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policies,</w:t>
      </w:r>
      <w:r w:rsidR="005D5532" w:rsidRPr="00276391">
        <w:rPr>
          <w:lang w:eastAsia="en-AU"/>
        </w:rPr>
        <w:t xml:space="preserve"> </w:t>
      </w:r>
      <w:r w:rsidRPr="00276391">
        <w:rPr>
          <w:lang w:eastAsia="en-AU"/>
        </w:rPr>
        <w:t>procedures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protocols</w:t>
      </w:r>
      <w:r w:rsidR="005D5532" w:rsidRPr="00276391">
        <w:rPr>
          <w:lang w:eastAsia="en-AU"/>
        </w:rPr>
        <w:t xml:space="preserve"> </w:t>
      </w:r>
    </w:p>
    <w:p w14:paraId="1F9B8B84" w14:textId="77777777" w:rsidR="00236748" w:rsidRPr="00276391" w:rsidRDefault="00236748" w:rsidP="00F373A1">
      <w:pPr>
        <w:pStyle w:val="DHHSbullet1"/>
        <w:rPr>
          <w:lang w:eastAsia="en-AU"/>
        </w:rPr>
      </w:pPr>
      <w:r w:rsidRPr="00276391">
        <w:rPr>
          <w:lang w:eastAsia="en-AU"/>
        </w:rPr>
        <w:t>strengthen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capacity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community</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respond</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confidence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prevent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address,</w:t>
      </w:r>
      <w:r w:rsidR="005D5532" w:rsidRPr="00276391">
        <w:rPr>
          <w:lang w:eastAsia="en-AU"/>
        </w:rPr>
        <w:t xml:space="preserve"> </w:t>
      </w:r>
      <w:r w:rsidRPr="00276391">
        <w:rPr>
          <w:lang w:eastAsia="en-AU"/>
        </w:rPr>
        <w:t>elder</w:t>
      </w:r>
      <w:r w:rsidR="005D5532" w:rsidRPr="00276391">
        <w:rPr>
          <w:lang w:eastAsia="en-AU"/>
        </w:rPr>
        <w:t xml:space="preserve"> </w:t>
      </w:r>
      <w:r w:rsidRPr="00276391">
        <w:rPr>
          <w:lang w:eastAsia="en-AU"/>
        </w:rPr>
        <w:t>abuse</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required.</w:t>
      </w:r>
      <w:r w:rsidR="005D5532" w:rsidRPr="00276391">
        <w:rPr>
          <w:lang w:eastAsia="en-AU"/>
        </w:rPr>
        <w:t xml:space="preserve"> </w:t>
      </w:r>
    </w:p>
    <w:p w14:paraId="2D43FBEE" w14:textId="77777777" w:rsidR="00236748" w:rsidRPr="00276391" w:rsidRDefault="00236748" w:rsidP="001A0795">
      <w:pPr>
        <w:pStyle w:val="Heading4"/>
        <w:rPr>
          <w:lang w:eastAsia="en-AU"/>
        </w:rPr>
      </w:pPr>
      <w:bookmarkStart w:id="830" w:name="_Toc478992184"/>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830"/>
    </w:p>
    <w:p w14:paraId="24249D0C" w14:textId="77777777"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guide</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bound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one</w:t>
      </w:r>
      <w:r w:rsidR="005D5532" w:rsidRPr="00B24C02">
        <w:rPr>
          <w:rFonts w:cs="Arial"/>
          <w:color w:val="000000"/>
          <w:szCs w:val="19"/>
          <w:lang w:eastAsia="en-AU"/>
        </w:rPr>
        <w:t xml:space="preserve"> </w:t>
      </w:r>
      <w:r w:rsidRPr="00B24C02">
        <w:rPr>
          <w:rFonts w:cs="Arial"/>
          <w:color w:val="000000"/>
          <w:szCs w:val="19"/>
          <w:lang w:eastAsia="en-AU"/>
        </w:rPr>
        <w:t>legislation</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regulation.</w:t>
      </w:r>
    </w:p>
    <w:p w14:paraId="2BA9A90E" w14:textId="77777777" w:rsidR="00236748" w:rsidRPr="00276391" w:rsidRDefault="00236748" w:rsidP="001A0795">
      <w:pPr>
        <w:pStyle w:val="Heading4"/>
        <w:rPr>
          <w:lang w:eastAsia="en-AU"/>
        </w:rPr>
      </w:pPr>
      <w:bookmarkStart w:id="831" w:name="_Toc478992185"/>
      <w:r w:rsidRPr="00276391">
        <w:rPr>
          <w:lang w:eastAsia="en-AU"/>
        </w:rPr>
        <w:t>Organisation</w:t>
      </w:r>
      <w:r w:rsidR="005D5532" w:rsidRPr="00276391">
        <w:rPr>
          <w:lang w:eastAsia="en-AU"/>
        </w:rPr>
        <w:t xml:space="preserve"> </w:t>
      </w:r>
      <w:r w:rsidRPr="00276391">
        <w:rPr>
          <w:lang w:eastAsia="en-AU"/>
        </w:rPr>
        <w:t>requirements</w:t>
      </w:r>
      <w:bookmarkEnd w:id="831"/>
    </w:p>
    <w:p w14:paraId="26C753CE" w14:textId="77777777" w:rsidR="00236748" w:rsidRPr="00276391" w:rsidRDefault="00236748" w:rsidP="00276391">
      <w:pPr>
        <w:pStyle w:val="DHHSbody"/>
        <w:rPr>
          <w:lang w:eastAsia="en-AU"/>
        </w:rPr>
      </w:pP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obliged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consider</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guidelines.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approach</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combination</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responses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legal</w:t>
      </w:r>
      <w:r w:rsidR="005D5532" w:rsidRPr="00B24C02">
        <w:rPr>
          <w:rFonts w:cs="Arial"/>
          <w:color w:val="000000"/>
          <w:szCs w:val="19"/>
          <w:lang w:eastAsia="en-AU"/>
        </w:rPr>
        <w:t xml:space="preserve"> </w:t>
      </w:r>
      <w:r w:rsidRPr="00B24C02">
        <w:rPr>
          <w:rFonts w:cs="Arial"/>
          <w:color w:val="000000"/>
          <w:szCs w:val="19"/>
          <w:lang w:eastAsia="en-AU"/>
        </w:rPr>
        <w:t>interventions</w:t>
      </w:r>
      <w:r w:rsidR="005D5532" w:rsidRPr="00B24C02">
        <w:rPr>
          <w:rFonts w:cs="Arial"/>
          <w:color w:val="000000"/>
          <w:szCs w:val="19"/>
          <w:lang w:eastAsia="en-AU"/>
        </w:rPr>
        <w:t xml:space="preserve"> </w:t>
      </w:r>
      <w:r w:rsidRPr="00B24C02">
        <w:rPr>
          <w:rFonts w:cs="Arial"/>
          <w:color w:val="000000"/>
          <w:szCs w:val="19"/>
          <w:lang w:eastAsia="en-AU"/>
        </w:rPr>
        <w:t>which</w:t>
      </w:r>
      <w:r w:rsidR="005D5532" w:rsidRPr="00B24C02">
        <w:rPr>
          <w:rFonts w:cs="Arial"/>
          <w:color w:val="000000"/>
          <w:szCs w:val="19"/>
          <w:lang w:eastAsia="en-AU"/>
        </w:rPr>
        <w:t xml:space="preserve"> </w:t>
      </w:r>
      <w:r w:rsidRPr="00B24C02">
        <w:rPr>
          <w:rFonts w:cs="Arial"/>
          <w:color w:val="000000"/>
          <w:szCs w:val="19"/>
          <w:lang w:eastAsia="en-AU"/>
        </w:rPr>
        <w:t>protect</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independence,</w:t>
      </w:r>
      <w:r w:rsidR="005D5532" w:rsidRPr="00B24C02">
        <w:rPr>
          <w:rFonts w:cs="Arial"/>
          <w:color w:val="000000"/>
          <w:szCs w:val="19"/>
          <w:lang w:eastAsia="en-AU"/>
        </w:rPr>
        <w:t xml:space="preserve"> </w:t>
      </w:r>
      <w:r w:rsidRPr="00B24C02">
        <w:rPr>
          <w:rFonts w:cs="Arial"/>
          <w:color w:val="000000"/>
          <w:szCs w:val="19"/>
          <w:lang w:eastAsia="en-AU"/>
        </w:rPr>
        <w:t>dignity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safety</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senior</w:t>
      </w:r>
      <w:r w:rsidR="005D5532" w:rsidRPr="00B24C02">
        <w:rPr>
          <w:rFonts w:cs="Arial"/>
          <w:color w:val="000000"/>
          <w:szCs w:val="19"/>
          <w:lang w:eastAsia="en-AU"/>
        </w:rPr>
        <w:t xml:space="preserve"> </w:t>
      </w:r>
      <w:r w:rsidRPr="00B24C02">
        <w:rPr>
          <w:rFonts w:cs="Arial"/>
          <w:color w:val="000000"/>
          <w:szCs w:val="19"/>
          <w:lang w:eastAsia="en-AU"/>
        </w:rPr>
        <w:t>Victorians.</w:t>
      </w:r>
    </w:p>
    <w:p w14:paraId="47E6D7E2"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Victorian</w:t>
      </w:r>
      <w:r w:rsidR="005D5532" w:rsidRPr="00276391">
        <w:rPr>
          <w:lang w:eastAsia="en-AU"/>
        </w:rPr>
        <w:t xml:space="preserve"> </w:t>
      </w:r>
      <w:r w:rsidRPr="00276391">
        <w:rPr>
          <w:lang w:eastAsia="en-AU"/>
        </w:rPr>
        <w:t>Government’s</w:t>
      </w:r>
      <w:r w:rsidR="005D5532" w:rsidRPr="00276391">
        <w:rPr>
          <w:lang w:eastAsia="en-AU"/>
        </w:rPr>
        <w:t xml:space="preserve"> </w:t>
      </w:r>
      <w:r w:rsidRPr="00276391">
        <w:rPr>
          <w:lang w:eastAsia="en-AU"/>
        </w:rPr>
        <w:t>approach</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empowering</w:t>
      </w:r>
      <w:r w:rsidR="005D5532" w:rsidRPr="00276391">
        <w:rPr>
          <w:lang w:eastAsia="en-AU"/>
        </w:rPr>
        <w:t xml:space="preserve"> </w:t>
      </w:r>
      <w:r w:rsidRPr="00276391">
        <w:rPr>
          <w:lang w:eastAsia="en-AU"/>
        </w:rPr>
        <w:t>older</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consistent</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universal</w:t>
      </w:r>
      <w:r w:rsidR="005D5532" w:rsidRPr="00276391">
        <w:rPr>
          <w:lang w:eastAsia="en-AU"/>
        </w:rPr>
        <w:t xml:space="preserve"> </w:t>
      </w:r>
      <w:r w:rsidRPr="00276391">
        <w:rPr>
          <w:lang w:eastAsia="en-AU"/>
        </w:rPr>
        <w:t>human</w:t>
      </w:r>
      <w:r w:rsidR="005D5532" w:rsidRPr="00276391">
        <w:rPr>
          <w:lang w:eastAsia="en-AU"/>
        </w:rPr>
        <w:t xml:space="preserve"> </w:t>
      </w:r>
      <w:r w:rsidRPr="00276391">
        <w:rPr>
          <w:lang w:eastAsia="en-AU"/>
        </w:rPr>
        <w:t>right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live</w:t>
      </w:r>
      <w:r w:rsidR="005D5532" w:rsidRPr="00276391">
        <w:rPr>
          <w:lang w:eastAsia="en-AU"/>
        </w:rPr>
        <w:t xml:space="preserve"> </w:t>
      </w:r>
      <w:r w:rsidRPr="00276391">
        <w:rPr>
          <w:lang w:eastAsia="en-AU"/>
        </w:rPr>
        <w:t>life</w:t>
      </w:r>
      <w:r w:rsidR="005D5532" w:rsidRPr="00276391">
        <w:rPr>
          <w:lang w:eastAsia="en-AU"/>
        </w:rPr>
        <w:t xml:space="preserve"> </w:t>
      </w:r>
      <w:r w:rsidRPr="00276391">
        <w:rPr>
          <w:lang w:eastAsia="en-AU"/>
        </w:rPr>
        <w:t>free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violence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abuse.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reflects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commitment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support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safety,</w:t>
      </w:r>
      <w:r w:rsidR="005D5532" w:rsidRPr="00276391">
        <w:rPr>
          <w:lang w:eastAsia="en-AU"/>
        </w:rPr>
        <w:t xml:space="preserve"> </w:t>
      </w:r>
      <w:r w:rsidRPr="00276391">
        <w:rPr>
          <w:lang w:eastAsia="en-AU"/>
        </w:rPr>
        <w:t>security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dignity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older</w:t>
      </w:r>
      <w:r w:rsidR="005D5532" w:rsidRPr="00276391">
        <w:rPr>
          <w:lang w:eastAsia="en-AU"/>
        </w:rPr>
        <w:t xml:space="preserve"> </w:t>
      </w:r>
      <w:r w:rsidRPr="00276391">
        <w:rPr>
          <w:lang w:eastAsia="en-AU"/>
        </w:rPr>
        <w:t>people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our</w:t>
      </w:r>
      <w:r w:rsidR="005D5532" w:rsidRPr="00276391">
        <w:rPr>
          <w:lang w:eastAsia="en-AU"/>
        </w:rPr>
        <w:t xml:space="preserve"> </w:t>
      </w:r>
      <w:r w:rsidRPr="00276391">
        <w:rPr>
          <w:lang w:eastAsia="en-AU"/>
        </w:rPr>
        <w:t>community.</w:t>
      </w:r>
    </w:p>
    <w:p w14:paraId="7DF4CEF7" w14:textId="217E8646"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3B73B8">
        <w:rPr>
          <w:bCs/>
          <w:i/>
          <w:lang w:eastAsia="en-AU"/>
        </w:rPr>
        <w:t>Victorian</w:t>
      </w:r>
      <w:r w:rsidR="005D5532" w:rsidRPr="003B73B8">
        <w:rPr>
          <w:bCs/>
          <w:i/>
          <w:lang w:eastAsia="en-AU"/>
        </w:rPr>
        <w:t xml:space="preserve"> </w:t>
      </w:r>
      <w:r w:rsidRPr="003B73B8">
        <w:rPr>
          <w:bCs/>
          <w:i/>
          <w:lang w:eastAsia="en-AU"/>
        </w:rPr>
        <w:t>Government</w:t>
      </w:r>
      <w:r w:rsidR="005D5532" w:rsidRPr="003B73B8">
        <w:rPr>
          <w:bCs/>
          <w:i/>
          <w:lang w:eastAsia="en-AU"/>
        </w:rPr>
        <w:t xml:space="preserve"> </w:t>
      </w:r>
      <w:r w:rsidRPr="003B73B8">
        <w:rPr>
          <w:bCs/>
          <w:i/>
          <w:lang w:eastAsia="en-AU"/>
        </w:rPr>
        <w:t>practice</w:t>
      </w:r>
      <w:r w:rsidR="005D5532" w:rsidRPr="003B73B8">
        <w:rPr>
          <w:bCs/>
          <w:i/>
          <w:lang w:eastAsia="en-AU"/>
        </w:rPr>
        <w:t xml:space="preserve"> </w:t>
      </w:r>
      <w:r w:rsidRPr="003B73B8">
        <w:rPr>
          <w:bCs/>
          <w:i/>
          <w:lang w:eastAsia="en-AU"/>
        </w:rPr>
        <w:t>guidelines</w:t>
      </w:r>
      <w:r w:rsidR="005D5532" w:rsidRPr="003B73B8">
        <w:rPr>
          <w:bCs/>
          <w:i/>
          <w:lang w:eastAsia="en-AU"/>
        </w:rPr>
        <w:t xml:space="preserve"> </w:t>
      </w:r>
      <w:r w:rsidRPr="003B73B8">
        <w:rPr>
          <w:bCs/>
          <w:i/>
          <w:lang w:eastAsia="en-AU"/>
        </w:rPr>
        <w:t>for</w:t>
      </w:r>
      <w:r w:rsidR="005D5532" w:rsidRPr="003B73B8">
        <w:rPr>
          <w:bCs/>
          <w:i/>
          <w:lang w:eastAsia="en-AU"/>
        </w:rPr>
        <w:t xml:space="preserve"> </w:t>
      </w:r>
      <w:r w:rsidRPr="003B73B8">
        <w:rPr>
          <w:bCs/>
          <w:i/>
          <w:lang w:eastAsia="en-AU"/>
        </w:rPr>
        <w:t>health</w:t>
      </w:r>
      <w:r w:rsidR="005D5532" w:rsidRPr="003B73B8">
        <w:rPr>
          <w:bCs/>
          <w:i/>
          <w:lang w:eastAsia="en-AU"/>
        </w:rPr>
        <w:t xml:space="preserve"> </w:t>
      </w:r>
      <w:r w:rsidRPr="003B73B8">
        <w:rPr>
          <w:bCs/>
          <w:i/>
          <w:lang w:eastAsia="en-AU"/>
        </w:rPr>
        <w:t>services</w:t>
      </w:r>
      <w:r w:rsidR="005D5532" w:rsidRPr="003B73B8">
        <w:rPr>
          <w:bCs/>
          <w:i/>
          <w:lang w:eastAsia="en-AU"/>
        </w:rPr>
        <w:t xml:space="preserve"> </w:t>
      </w:r>
      <w:r w:rsidRPr="003B73B8">
        <w:rPr>
          <w:bCs/>
          <w:i/>
          <w:lang w:eastAsia="en-AU"/>
        </w:rPr>
        <w:t>and</w:t>
      </w:r>
      <w:r w:rsidR="005D5532" w:rsidRPr="003B73B8">
        <w:rPr>
          <w:bCs/>
          <w:i/>
          <w:lang w:eastAsia="en-AU"/>
        </w:rPr>
        <w:t xml:space="preserve"> </w:t>
      </w:r>
      <w:r w:rsidRPr="003B73B8">
        <w:rPr>
          <w:bCs/>
          <w:i/>
          <w:lang w:eastAsia="en-AU"/>
        </w:rPr>
        <w:t>community</w:t>
      </w:r>
      <w:r w:rsidR="005D5532" w:rsidRPr="003B73B8">
        <w:rPr>
          <w:bCs/>
          <w:i/>
          <w:lang w:eastAsia="en-AU"/>
        </w:rPr>
        <w:t xml:space="preserve"> </w:t>
      </w:r>
      <w:r w:rsidRPr="003B73B8">
        <w:rPr>
          <w:bCs/>
          <w:i/>
          <w:lang w:eastAsia="en-AU"/>
        </w:rPr>
        <w:t>agencies</w:t>
      </w:r>
      <w:r w:rsidR="005D5532" w:rsidRPr="003B73B8">
        <w:rPr>
          <w:bCs/>
          <w:i/>
          <w:lang w:eastAsia="en-AU"/>
        </w:rPr>
        <w:t xml:space="preserve"> </w:t>
      </w:r>
      <w:r w:rsidRPr="003B73B8">
        <w:rPr>
          <w:bCs/>
          <w:i/>
          <w:lang w:eastAsia="en-AU"/>
        </w:rPr>
        <w:t>for</w:t>
      </w:r>
      <w:r w:rsidR="005D5532" w:rsidRPr="003B73B8">
        <w:rPr>
          <w:bCs/>
          <w:i/>
          <w:lang w:eastAsia="en-AU"/>
        </w:rPr>
        <w:t xml:space="preserve"> </w:t>
      </w:r>
      <w:r w:rsidRPr="003B73B8">
        <w:rPr>
          <w:bCs/>
          <w:i/>
          <w:lang w:eastAsia="en-AU"/>
        </w:rPr>
        <w:t>the</w:t>
      </w:r>
      <w:r w:rsidR="005D5532" w:rsidRPr="003B73B8">
        <w:rPr>
          <w:bCs/>
          <w:i/>
          <w:lang w:eastAsia="en-AU"/>
        </w:rPr>
        <w:t xml:space="preserve"> </w:t>
      </w:r>
      <w:r w:rsidRPr="003B73B8">
        <w:rPr>
          <w:bCs/>
          <w:i/>
          <w:lang w:eastAsia="en-AU"/>
        </w:rPr>
        <w:t>prevention</w:t>
      </w:r>
      <w:r w:rsidR="005D5532" w:rsidRPr="003B73B8">
        <w:rPr>
          <w:bCs/>
          <w:i/>
          <w:lang w:eastAsia="en-AU"/>
        </w:rPr>
        <w:t xml:space="preserve"> </w:t>
      </w:r>
      <w:r w:rsidRPr="003B73B8">
        <w:rPr>
          <w:bCs/>
          <w:i/>
          <w:lang w:eastAsia="en-AU"/>
        </w:rPr>
        <w:t>of</w:t>
      </w:r>
      <w:r w:rsidR="005D5532" w:rsidRPr="003B73B8">
        <w:rPr>
          <w:bCs/>
          <w:i/>
          <w:lang w:eastAsia="en-AU"/>
        </w:rPr>
        <w:t xml:space="preserve"> </w:t>
      </w:r>
      <w:r w:rsidRPr="003B73B8">
        <w:rPr>
          <w:bCs/>
          <w:i/>
          <w:lang w:eastAsia="en-AU"/>
        </w:rPr>
        <w:t>elder</w:t>
      </w:r>
      <w:r w:rsidR="005D5532" w:rsidRPr="003B73B8">
        <w:rPr>
          <w:bCs/>
          <w:i/>
          <w:lang w:eastAsia="en-AU"/>
        </w:rPr>
        <w:t xml:space="preserve"> </w:t>
      </w:r>
      <w:r w:rsidRPr="003B73B8">
        <w:rPr>
          <w:bCs/>
          <w:i/>
          <w:lang w:eastAsia="en-AU"/>
        </w:rPr>
        <w:t>abuse</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been</w:t>
      </w:r>
      <w:r w:rsidR="005D5532" w:rsidRPr="00276391">
        <w:rPr>
          <w:lang w:eastAsia="en-AU"/>
        </w:rPr>
        <w:t xml:space="preserve"> </w:t>
      </w:r>
      <w:r w:rsidRPr="00276391">
        <w:rPr>
          <w:lang w:eastAsia="en-AU"/>
        </w:rPr>
        <w:t>updated.</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practice</w:t>
      </w:r>
      <w:r w:rsidR="005D5532" w:rsidRPr="00276391">
        <w:rPr>
          <w:lang w:eastAsia="en-AU"/>
        </w:rPr>
        <w:t xml:space="preserve"> </w:t>
      </w:r>
      <w:r w:rsidRPr="00276391">
        <w:rPr>
          <w:lang w:eastAsia="en-AU"/>
        </w:rPr>
        <w:t>guidelines</w:t>
      </w:r>
      <w:r w:rsidR="005D5532" w:rsidRPr="00276391">
        <w:rPr>
          <w:lang w:eastAsia="en-AU"/>
        </w:rPr>
        <w:t xml:space="preserve"> </w:t>
      </w:r>
      <w:r w:rsidRPr="003B73B8">
        <w:rPr>
          <w:bCs/>
          <w:i/>
          <w:lang w:eastAsia="en-AU"/>
        </w:rPr>
        <w:t>With</w:t>
      </w:r>
      <w:r w:rsidR="005D5532" w:rsidRPr="003B73B8">
        <w:rPr>
          <w:bCs/>
          <w:i/>
          <w:lang w:eastAsia="en-AU"/>
        </w:rPr>
        <w:t xml:space="preserve"> </w:t>
      </w:r>
      <w:r w:rsidRPr="003B73B8">
        <w:rPr>
          <w:bCs/>
          <w:i/>
          <w:lang w:eastAsia="en-AU"/>
        </w:rPr>
        <w:t>respect</w:t>
      </w:r>
      <w:r w:rsidR="005D5532" w:rsidRPr="003B73B8">
        <w:rPr>
          <w:bCs/>
          <w:i/>
          <w:lang w:eastAsia="en-AU"/>
        </w:rPr>
        <w:t xml:space="preserve"> </w:t>
      </w:r>
      <w:r w:rsidRPr="003B73B8">
        <w:rPr>
          <w:bCs/>
          <w:i/>
          <w:lang w:eastAsia="en-AU"/>
        </w:rPr>
        <w:t>to</w:t>
      </w:r>
      <w:r w:rsidR="005D5532" w:rsidRPr="003B73B8">
        <w:rPr>
          <w:bCs/>
          <w:i/>
          <w:lang w:eastAsia="en-AU"/>
        </w:rPr>
        <w:t xml:space="preserve"> </w:t>
      </w:r>
      <w:r w:rsidRPr="003B73B8">
        <w:rPr>
          <w:bCs/>
          <w:i/>
          <w:lang w:eastAsia="en-AU"/>
        </w:rPr>
        <w:t>age</w:t>
      </w:r>
      <w:r w:rsidR="005D5532" w:rsidRPr="003B73B8">
        <w:rPr>
          <w:bCs/>
          <w:i/>
          <w:lang w:eastAsia="en-AU"/>
        </w:rPr>
        <w:t xml:space="preserve"> </w:t>
      </w:r>
      <w:r w:rsidR="003B73B8">
        <w:rPr>
          <w:bCs/>
          <w:i/>
          <w:lang w:eastAsia="en-AU"/>
        </w:rPr>
        <w:t>–</w:t>
      </w:r>
      <w:r w:rsidR="005D5532" w:rsidRPr="003B73B8">
        <w:rPr>
          <w:bCs/>
          <w:i/>
          <w:lang w:eastAsia="en-AU"/>
        </w:rPr>
        <w:t xml:space="preserve"> </w:t>
      </w:r>
      <w:r w:rsidRPr="003B73B8">
        <w:rPr>
          <w:bCs/>
          <w:i/>
          <w:lang w:eastAsia="en-AU"/>
        </w:rPr>
        <w:t>2009</w:t>
      </w:r>
      <w:r w:rsidR="006250C7">
        <w:rPr>
          <w:bCs/>
          <w:i/>
          <w:lang w:eastAsia="en-AU"/>
        </w:rPr>
        <w:t xml:space="preserve"> </w:t>
      </w:r>
      <w:r w:rsidRPr="00276391">
        <w:rPr>
          <w:lang w:eastAsia="en-AU"/>
        </w:rPr>
        <w:t>are</w:t>
      </w:r>
      <w:r w:rsidR="005D5532" w:rsidRPr="00276391">
        <w:rPr>
          <w:lang w:eastAsia="en-AU"/>
        </w:rPr>
        <w:t xml:space="preserve"> </w:t>
      </w:r>
      <w:r w:rsidRPr="00276391">
        <w:rPr>
          <w:lang w:eastAsia="en-AU"/>
        </w:rPr>
        <w:t>available</w:t>
      </w:r>
      <w:r w:rsidR="005D5532" w:rsidRPr="00276391">
        <w:rPr>
          <w:lang w:eastAsia="en-AU"/>
        </w:rPr>
        <w:t xml:space="preserve"> </w:t>
      </w:r>
      <w:r w:rsidR="009B2929">
        <w:rPr>
          <w:lang w:eastAsia="en-AU"/>
        </w:rPr>
        <w:t xml:space="preserve">at the </w:t>
      </w:r>
      <w:hyperlink r:id="rId284" w:history="1">
        <w:r w:rsidR="009B2929" w:rsidRPr="009B2929">
          <w:rPr>
            <w:rStyle w:val="Hyperlink"/>
            <w:lang w:eastAsia="en-AU"/>
          </w:rPr>
          <w:t>Health website</w:t>
        </w:r>
      </w:hyperlink>
      <w:r w:rsidR="005D5532" w:rsidRPr="00276391">
        <w:rPr>
          <w:lang w:eastAsia="en-AU"/>
        </w:rPr>
        <w:t xml:space="preserve"> </w:t>
      </w:r>
      <w:r w:rsidR="009B2929">
        <w:rPr>
          <w:lang w:eastAsia="en-AU"/>
        </w:rPr>
        <w:t>&lt;</w:t>
      </w:r>
      <w:r w:rsidRPr="009B2929">
        <w:t>https://www2.health.vic.gov.au/ageing-and-aged-care/wellbeing-and-participation/preventing-elder-abuse</w:t>
      </w:r>
      <w:r w:rsidR="009B2929" w:rsidRPr="009B2929">
        <w:t>&gt;</w:t>
      </w:r>
      <w:r w:rsidR="005D5532"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33B4E014" w14:textId="77777777" w:rsidR="00236748" w:rsidRPr="00276391" w:rsidRDefault="00236748" w:rsidP="001A0795">
      <w:pPr>
        <w:pStyle w:val="Heading4"/>
        <w:rPr>
          <w:lang w:eastAsia="en-AU"/>
        </w:rPr>
      </w:pPr>
      <w:bookmarkStart w:id="832" w:name="_Toc478992186"/>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832"/>
    </w:p>
    <w:p w14:paraId="3392839C" w14:textId="77777777" w:rsidR="003D283F" w:rsidRDefault="003D283F" w:rsidP="003D283F">
      <w:pPr>
        <w:autoSpaceDE w:val="0"/>
        <w:autoSpaceDN w:val="0"/>
        <w:adjustRightInd w:val="0"/>
        <w:rPr>
          <w:rFonts w:ascii="Helv" w:hAnsi="Helv" w:cs="Helv"/>
          <w:color w:val="000000"/>
          <w:lang w:eastAsia="en-AU"/>
        </w:rPr>
      </w:pPr>
      <w:r>
        <w:rPr>
          <w:rFonts w:ascii="Helv" w:hAnsi="Helv" w:cs="Helv"/>
          <w:color w:val="000000"/>
          <w:lang w:eastAsia="en-AU"/>
        </w:rPr>
        <w:t>Contact the Elder Abuse Prevention and Response Initiative</w:t>
      </w:r>
    </w:p>
    <w:p w14:paraId="3D052CF7" w14:textId="1853BEA8" w:rsidR="00236748" w:rsidRPr="00276391" w:rsidRDefault="003D283F" w:rsidP="003D283F">
      <w:pPr>
        <w:pStyle w:val="DHHSbody"/>
        <w:rPr>
          <w:lang w:eastAsia="en-AU"/>
        </w:rPr>
      </w:pPr>
      <w:r>
        <w:rPr>
          <w:rFonts w:ascii="Helv" w:hAnsi="Helv" w:cs="Helv"/>
          <w:color w:val="000000"/>
          <w:lang w:eastAsia="en-AU"/>
        </w:rPr>
        <w:t xml:space="preserve">email: </w:t>
      </w:r>
      <w:hyperlink r:id="rId285" w:history="1">
        <w:r w:rsidRPr="00786CE3">
          <w:rPr>
            <w:rStyle w:val="Hyperlink"/>
            <w:rFonts w:ascii="Helv" w:hAnsi="Helv" w:cs="Helv"/>
            <w:lang w:eastAsia="en-AU"/>
          </w:rPr>
          <w:t>elder.abuse@dhhs.vic.gov.au</w:t>
        </w:r>
      </w:hyperlink>
      <w:r w:rsidR="006250C7">
        <w:rPr>
          <w:rFonts w:ascii="Helv" w:hAnsi="Helv" w:cs="Helv"/>
          <w:color w:val="000000"/>
          <w:lang w:eastAsia="en-AU"/>
        </w:rPr>
        <w:t xml:space="preserve"> </w:t>
      </w:r>
    </w:p>
    <w:p w14:paraId="0A9AE76F" w14:textId="54CD1C97" w:rsidR="00236748" w:rsidRPr="00276391" w:rsidRDefault="00FF406D" w:rsidP="009B2351">
      <w:pPr>
        <w:pStyle w:val="Heading2"/>
        <w:rPr>
          <w:rFonts w:cs="Arial"/>
          <w:lang w:eastAsia="en-AU"/>
        </w:rPr>
      </w:pPr>
      <w:bookmarkStart w:id="833" w:name="_Toc478992187"/>
      <w:bookmarkStart w:id="834" w:name="_Toc478992506"/>
      <w:bookmarkStart w:id="835" w:name="_Toc478992931"/>
      <w:bookmarkStart w:id="836" w:name="_Toc4142137"/>
      <w:r>
        <w:rPr>
          <w:rFonts w:cs="Arial"/>
          <w:lang w:eastAsia="en-AU"/>
        </w:rPr>
        <w:lastRenderedPageBreak/>
        <w:t>4.17</w:t>
      </w:r>
      <w:r w:rsidR="009B2351" w:rsidRPr="00276391">
        <w:rPr>
          <w:rFonts w:cs="Arial"/>
          <w:lang w:eastAsia="en-AU"/>
        </w:rPr>
        <w:t xml:space="preserve"> </w:t>
      </w:r>
      <w:r w:rsidR="00236748" w:rsidRPr="00276391">
        <w:rPr>
          <w:rFonts w:cs="Arial"/>
          <w:lang w:eastAsia="en-AU"/>
        </w:rPr>
        <w:t>Vulnerable</w:t>
      </w:r>
      <w:r w:rsidR="009B2351" w:rsidRPr="00276391">
        <w:rPr>
          <w:rFonts w:cs="Arial"/>
          <w:lang w:eastAsia="en-AU"/>
        </w:rPr>
        <w:t xml:space="preserve"> </w:t>
      </w:r>
      <w:r w:rsidR="00236748" w:rsidRPr="00276391">
        <w:rPr>
          <w:rFonts w:cs="Arial"/>
          <w:lang w:eastAsia="en-AU"/>
        </w:rPr>
        <w:t>people</w:t>
      </w:r>
      <w:r w:rsidR="009B2351" w:rsidRPr="00276391">
        <w:rPr>
          <w:rFonts w:cs="Arial"/>
          <w:lang w:eastAsia="en-AU"/>
        </w:rPr>
        <w:t xml:space="preserve"> </w:t>
      </w:r>
      <w:r w:rsidR="00236748" w:rsidRPr="00276391">
        <w:rPr>
          <w:rFonts w:cs="Arial"/>
          <w:lang w:eastAsia="en-AU"/>
        </w:rPr>
        <w:t>in</w:t>
      </w:r>
      <w:r w:rsidR="009B2351" w:rsidRPr="00276391">
        <w:rPr>
          <w:rFonts w:cs="Arial"/>
          <w:lang w:eastAsia="en-AU"/>
        </w:rPr>
        <w:t xml:space="preserve"> </w:t>
      </w:r>
      <w:r w:rsidR="00236748" w:rsidRPr="00276391">
        <w:rPr>
          <w:rFonts w:cs="Arial"/>
          <w:lang w:eastAsia="en-AU"/>
        </w:rPr>
        <w:t>emergencies</w:t>
      </w:r>
      <w:bookmarkEnd w:id="833"/>
      <w:bookmarkEnd w:id="834"/>
      <w:bookmarkEnd w:id="835"/>
      <w:bookmarkEnd w:id="836"/>
    </w:p>
    <w:p w14:paraId="5BB067E6" w14:textId="77777777" w:rsidR="00527640" w:rsidRPr="00276391" w:rsidRDefault="00527640" w:rsidP="00527640">
      <w:pPr>
        <w:pStyle w:val="Heading4"/>
        <w:rPr>
          <w:lang w:eastAsia="en-AU"/>
        </w:rPr>
      </w:pPr>
      <w:bookmarkStart w:id="837" w:name="_Toc478992189"/>
      <w:bookmarkStart w:id="838" w:name="_Toc478992195"/>
      <w:bookmarkStart w:id="839" w:name="_Toc478992508"/>
      <w:bookmarkStart w:id="840" w:name="_Toc478992932"/>
      <w:r w:rsidRPr="00276391">
        <w:rPr>
          <w:lang w:eastAsia="en-AU"/>
        </w:rPr>
        <w:t>Who does this policy apply to?</w:t>
      </w:r>
      <w:bookmarkEnd w:id="837"/>
    </w:p>
    <w:p w14:paraId="198EBCD9" w14:textId="0C40BB20" w:rsidR="00527640" w:rsidRPr="00276391" w:rsidRDefault="00527640" w:rsidP="00527640">
      <w:pPr>
        <w:pStyle w:val="DHHSbody"/>
        <w:rPr>
          <w:lang w:eastAsia="en-AU"/>
        </w:rPr>
      </w:pPr>
      <w:r w:rsidRPr="00B24C02">
        <w:rPr>
          <w:rFonts w:cs="Arial"/>
          <w:color w:val="000000"/>
          <w:szCs w:val="19"/>
          <w:lang w:eastAsia="en-AU"/>
        </w:rPr>
        <w:t xml:space="preserve">The policy applies to organisations funded by the </w:t>
      </w:r>
      <w:r w:rsidR="00806C9A">
        <w:rPr>
          <w:rFonts w:cs="Arial"/>
          <w:color w:val="000000"/>
          <w:szCs w:val="19"/>
          <w:lang w:eastAsia="en-AU"/>
        </w:rPr>
        <w:t>department</w:t>
      </w:r>
      <w:r w:rsidRPr="00B24C02">
        <w:rPr>
          <w:rFonts w:cs="Arial"/>
          <w:color w:val="000000"/>
          <w:szCs w:val="19"/>
          <w:lang w:eastAsia="en-AU"/>
        </w:rPr>
        <w:t xml:space="preserve"> and any other organisations that provide personal care, support and/or case management services either in home or community settings, to clients living in the community, and to the municipal councils themselves, within the 64 municipal council areas wholly or partly covered by the Country Fire Authority.</w:t>
      </w:r>
    </w:p>
    <w:p w14:paraId="13EF7F97" w14:textId="77777777" w:rsidR="00527640" w:rsidRPr="00276391" w:rsidRDefault="00527640" w:rsidP="00527640">
      <w:pPr>
        <w:pStyle w:val="Heading4"/>
        <w:rPr>
          <w:lang w:eastAsia="en-AU"/>
        </w:rPr>
      </w:pPr>
      <w:bookmarkStart w:id="841" w:name="_Toc478992190"/>
      <w:r w:rsidRPr="00276391">
        <w:rPr>
          <w:lang w:eastAsia="en-AU"/>
        </w:rPr>
        <w:t>Policy purpose</w:t>
      </w:r>
      <w:bookmarkEnd w:id="841"/>
    </w:p>
    <w:p w14:paraId="65FE8484" w14:textId="77777777" w:rsidR="00527640" w:rsidRPr="00276391" w:rsidRDefault="00527640" w:rsidP="00527640">
      <w:pPr>
        <w:pStyle w:val="DHHSbody"/>
        <w:rPr>
          <w:lang w:eastAsia="en-AU"/>
        </w:rPr>
      </w:pPr>
      <w:r w:rsidRPr="00B24C02">
        <w:rPr>
          <w:rFonts w:cs="Arial"/>
          <w:color w:val="000000"/>
          <w:szCs w:val="19"/>
          <w:lang w:eastAsia="en-AU"/>
        </w:rPr>
        <w:t>The purpose of the policy is to improve the safety of vulnerable people in emergencies.</w:t>
      </w:r>
    </w:p>
    <w:p w14:paraId="702EB2C9" w14:textId="77777777" w:rsidR="00527640" w:rsidRPr="00276391" w:rsidRDefault="00527640" w:rsidP="00527640">
      <w:pPr>
        <w:pStyle w:val="Heading4"/>
        <w:rPr>
          <w:lang w:eastAsia="en-AU"/>
        </w:rPr>
      </w:pPr>
      <w:bookmarkStart w:id="842" w:name="_Toc478992191"/>
      <w:r w:rsidRPr="00276391">
        <w:rPr>
          <w:lang w:eastAsia="en-AU"/>
        </w:rPr>
        <w:t>Legislation and /or regulation</w:t>
      </w:r>
      <w:bookmarkEnd w:id="842"/>
    </w:p>
    <w:p w14:paraId="4A8DCC5E" w14:textId="77777777" w:rsidR="00527640" w:rsidRPr="00276391" w:rsidRDefault="00527640" w:rsidP="00527640">
      <w:pPr>
        <w:pStyle w:val="DHHSbody"/>
        <w:rPr>
          <w:lang w:eastAsia="en-AU"/>
        </w:rPr>
      </w:pPr>
      <w:r w:rsidRPr="00B24C02">
        <w:rPr>
          <w:rFonts w:cs="Arial"/>
          <w:color w:val="000000"/>
          <w:szCs w:val="19"/>
          <w:lang w:eastAsia="en-AU"/>
        </w:rPr>
        <w:t>Nil</w:t>
      </w:r>
    </w:p>
    <w:p w14:paraId="3CE61C06" w14:textId="77777777" w:rsidR="00527640" w:rsidRPr="00276391" w:rsidRDefault="00527640" w:rsidP="00527640">
      <w:pPr>
        <w:pStyle w:val="Heading4"/>
        <w:rPr>
          <w:lang w:eastAsia="en-AU"/>
        </w:rPr>
      </w:pPr>
      <w:bookmarkStart w:id="843" w:name="_Toc478992192"/>
      <w:r w:rsidRPr="00276391">
        <w:rPr>
          <w:lang w:eastAsia="en-AU"/>
        </w:rPr>
        <w:t>Organisation requirements</w:t>
      </w:r>
      <w:bookmarkEnd w:id="843"/>
    </w:p>
    <w:p w14:paraId="62CDDEE8" w14:textId="77777777" w:rsidR="00527640" w:rsidRPr="00276391" w:rsidRDefault="00527640" w:rsidP="00527640">
      <w:pPr>
        <w:pStyle w:val="DHHSbody"/>
        <w:rPr>
          <w:lang w:eastAsia="en-AU"/>
        </w:rPr>
      </w:pPr>
      <w:r w:rsidRPr="00B24C02">
        <w:rPr>
          <w:rFonts w:cs="Arial"/>
          <w:color w:val="000000"/>
          <w:szCs w:val="19"/>
          <w:lang w:eastAsia="en-AU"/>
        </w:rPr>
        <w:t>Organisations’ obligations under the policy are to:</w:t>
      </w:r>
    </w:p>
    <w:p w14:paraId="0EED4420" w14:textId="77777777" w:rsidR="00527640" w:rsidRPr="00276391" w:rsidRDefault="00527640" w:rsidP="0015719F">
      <w:pPr>
        <w:pStyle w:val="DHHSbullet1"/>
        <w:numPr>
          <w:ilvl w:val="0"/>
          <w:numId w:val="14"/>
        </w:numPr>
        <w:spacing w:after="0"/>
        <w:rPr>
          <w:lang w:eastAsia="en-AU"/>
        </w:rPr>
      </w:pPr>
      <w:r>
        <w:rPr>
          <w:lang w:eastAsia="en-AU"/>
        </w:rPr>
        <w:t>p</w:t>
      </w:r>
      <w:r w:rsidRPr="00276391">
        <w:rPr>
          <w:lang w:eastAsia="en-AU"/>
        </w:rPr>
        <w:t xml:space="preserve">articipate with councils in identifying and listing sites where vulnerable people are likely to be situated </w:t>
      </w:r>
    </w:p>
    <w:p w14:paraId="3F5B2AEF" w14:textId="77777777" w:rsidR="00527640" w:rsidRPr="00276391" w:rsidRDefault="00527640" w:rsidP="0015719F">
      <w:pPr>
        <w:pStyle w:val="DHHSbullet1"/>
        <w:numPr>
          <w:ilvl w:val="0"/>
          <w:numId w:val="14"/>
        </w:numPr>
        <w:spacing w:after="0"/>
        <w:rPr>
          <w:lang w:eastAsia="en-AU"/>
        </w:rPr>
      </w:pPr>
      <w:r w:rsidRPr="00276391">
        <w:rPr>
          <w:lang w:eastAsia="en-AU"/>
        </w:rPr>
        <w:t xml:space="preserve">appoint an agency coordinator for the Vulnerable Persons Register </w:t>
      </w:r>
    </w:p>
    <w:p w14:paraId="278AEC37" w14:textId="77777777" w:rsidR="00527640" w:rsidRPr="00276391" w:rsidRDefault="00527640" w:rsidP="0015719F">
      <w:pPr>
        <w:pStyle w:val="DHHSbullet1"/>
        <w:numPr>
          <w:ilvl w:val="0"/>
          <w:numId w:val="14"/>
        </w:numPr>
        <w:spacing w:after="0"/>
        <w:rPr>
          <w:lang w:eastAsia="en-AU"/>
        </w:rPr>
      </w:pPr>
      <w:r w:rsidRPr="00276391">
        <w:rPr>
          <w:lang w:eastAsia="en-AU"/>
        </w:rPr>
        <w:t xml:space="preserve">screen community-based clients using vulnerable persons criteria for personal emergency planning or consideration for inclusion on a </w:t>
      </w:r>
      <w:proofErr w:type="gramStart"/>
      <w:r w:rsidRPr="00276391">
        <w:rPr>
          <w:lang w:eastAsia="en-AU"/>
        </w:rPr>
        <w:t>vulnerable persons</w:t>
      </w:r>
      <w:proofErr w:type="gramEnd"/>
      <w:r w:rsidRPr="00276391">
        <w:rPr>
          <w:lang w:eastAsia="en-AU"/>
        </w:rPr>
        <w:t xml:space="preserve"> register </w:t>
      </w:r>
    </w:p>
    <w:p w14:paraId="1794C835" w14:textId="77777777" w:rsidR="00527640" w:rsidRPr="00276391" w:rsidRDefault="00527640" w:rsidP="0015719F">
      <w:pPr>
        <w:pStyle w:val="DHHSbullet1"/>
        <w:numPr>
          <w:ilvl w:val="0"/>
          <w:numId w:val="14"/>
        </w:numPr>
        <w:spacing w:after="0"/>
        <w:rPr>
          <w:lang w:eastAsia="en-AU"/>
        </w:rPr>
      </w:pPr>
      <w:r w:rsidRPr="00276391">
        <w:rPr>
          <w:lang w:eastAsia="en-AU"/>
        </w:rPr>
        <w:t xml:space="preserve">provide/arrange personal emergency planning for suitable vulnerable clients </w:t>
      </w:r>
    </w:p>
    <w:p w14:paraId="41D16502" w14:textId="0D78C0EF" w:rsidR="00527640" w:rsidRPr="00276391" w:rsidRDefault="00527640" w:rsidP="0015719F">
      <w:pPr>
        <w:pStyle w:val="DHHSbullet1lastline"/>
        <w:numPr>
          <w:ilvl w:val="1"/>
          <w:numId w:val="14"/>
        </w:numPr>
        <w:spacing w:after="0"/>
        <w:rPr>
          <w:lang w:eastAsia="en-AU"/>
        </w:rPr>
      </w:pPr>
      <w:r w:rsidRPr="00276391">
        <w:rPr>
          <w:lang w:eastAsia="en-AU"/>
        </w:rPr>
        <w:t>register and maintain client information on municipal Vulnerable Persons Register(s)</w:t>
      </w:r>
      <w:r w:rsidR="0015719F">
        <w:rPr>
          <w:lang w:eastAsia="en-AU"/>
        </w:rPr>
        <w:t>.</w:t>
      </w:r>
      <w:r w:rsidRPr="00276391">
        <w:rPr>
          <w:lang w:eastAsia="en-AU"/>
        </w:rPr>
        <w:t xml:space="preserve"> </w:t>
      </w:r>
    </w:p>
    <w:p w14:paraId="4A53D755" w14:textId="77777777" w:rsidR="0015719F" w:rsidRDefault="0015719F" w:rsidP="0015719F">
      <w:pPr>
        <w:pStyle w:val="DHHSbody"/>
        <w:spacing w:after="0"/>
        <w:rPr>
          <w:lang w:eastAsia="en-AU"/>
        </w:rPr>
      </w:pPr>
    </w:p>
    <w:p w14:paraId="191CC9B5" w14:textId="7BD90D6B" w:rsidR="00527640" w:rsidRPr="00276391" w:rsidRDefault="00527640" w:rsidP="00527640">
      <w:pPr>
        <w:pStyle w:val="DHHSbody"/>
        <w:rPr>
          <w:lang w:eastAsia="en-AU"/>
        </w:rPr>
      </w:pPr>
      <w:r w:rsidRPr="00276391">
        <w:rPr>
          <w:lang w:eastAsia="en-AU"/>
        </w:rPr>
        <w:t xml:space="preserve">The </w:t>
      </w:r>
      <w:r w:rsidR="00806C9A">
        <w:rPr>
          <w:lang w:eastAsia="en-AU"/>
        </w:rPr>
        <w:t xml:space="preserve">department is responsible for the </w:t>
      </w:r>
      <w:r w:rsidRPr="00806C9A">
        <w:rPr>
          <w:bCs/>
          <w:i/>
          <w:lang w:eastAsia="en-AU"/>
        </w:rPr>
        <w:t>Vulnerable people in emergencies policy - May 2015</w:t>
      </w:r>
      <w:r w:rsidRPr="00276391">
        <w:rPr>
          <w:lang w:eastAsia="en-AU"/>
        </w:rPr>
        <w:t xml:space="preserve"> (the policy). The policy responds to Recommendation 3 of the Victorian Bushfires Royal Commission Final Report, and related recommendations, and is developed to improve the safety of vulnerable people in emergencies, through supporting emergency planning with and for vulnerable people.</w:t>
      </w:r>
    </w:p>
    <w:p w14:paraId="0072DF47" w14:textId="77777777" w:rsidR="00527640" w:rsidRDefault="00527640" w:rsidP="00527640">
      <w:pPr>
        <w:pStyle w:val="DHHSbody"/>
        <w:rPr>
          <w:lang w:eastAsia="en-AU"/>
        </w:rPr>
      </w:pPr>
      <w:r w:rsidRPr="00276391">
        <w:rPr>
          <w:lang w:eastAsia="en-AU"/>
        </w:rPr>
        <w:t>The policy uses the existing relationships with funded organisations in supporting clients to improve their safety and resilience through promoting personal emergency planning. Policy requirements apply to organisations funded by the Department of Health and Human Services (not Department of Education and Training) to provide personal care, support and/or case management services either in home or community settings, to clients living in the community within the 64 municipal council areas wholly or partly covered by the Country Fire Authority districts. This includes health or community care services such as home and community care, personal care or disability day programs.</w:t>
      </w:r>
      <w:bookmarkStart w:id="844" w:name="_Toc478992193"/>
    </w:p>
    <w:p w14:paraId="51EC54F3" w14:textId="748A49C7" w:rsidR="00527640" w:rsidRPr="00276391" w:rsidRDefault="00527640" w:rsidP="00527640">
      <w:pPr>
        <w:pStyle w:val="DHHSbody"/>
        <w:rPr>
          <w:lang w:eastAsia="en-AU"/>
        </w:rPr>
      </w:pPr>
      <w:r w:rsidRPr="00276391">
        <w:rPr>
          <w:lang w:eastAsia="en-AU"/>
        </w:rPr>
        <w:t xml:space="preserve">The policy and other emergency management information is available on the </w:t>
      </w:r>
      <w:hyperlink r:id="rId286" w:history="1">
        <w:r w:rsidR="001914F5" w:rsidRPr="003D3A0F">
          <w:rPr>
            <w:rStyle w:val="Hyperlink"/>
          </w:rPr>
          <w:t>Provide</w:t>
        </w:r>
        <w:r w:rsidR="001914F5" w:rsidRPr="003D3A0F">
          <w:rPr>
            <w:rStyle w:val="Hyperlink"/>
          </w:rPr>
          <w:t>r</w:t>
        </w:r>
        <w:r w:rsidR="001914F5" w:rsidRPr="003D3A0F">
          <w:rPr>
            <w:rStyle w:val="Hyperlink"/>
          </w:rPr>
          <w:t>s website</w:t>
        </w:r>
      </w:hyperlink>
      <w:r w:rsidRPr="00276391">
        <w:rPr>
          <w:lang w:eastAsia="en-AU"/>
        </w:rPr>
        <w:t xml:space="preserve"> </w:t>
      </w:r>
      <w:r w:rsidRPr="00751D23">
        <w:rPr>
          <w:lang w:eastAsia="en-AU"/>
        </w:rPr>
        <w:t>&lt;https://providers.dhhs.vic.gov.au/emergency-preparedness</w:t>
      </w:r>
      <w:r>
        <w:rPr>
          <w:lang w:eastAsia="en-AU"/>
        </w:rPr>
        <w:t>&gt;</w:t>
      </w:r>
      <w:r w:rsidR="00FF406D">
        <w:rPr>
          <w:lang w:eastAsia="en-AU"/>
        </w:rPr>
        <w:t xml:space="preserve"> (external link, opens in a new window)</w:t>
      </w:r>
      <w:r w:rsidR="0015719F">
        <w:rPr>
          <w:lang w:eastAsia="en-AU"/>
        </w:rPr>
        <w:t>.</w:t>
      </w:r>
    </w:p>
    <w:p w14:paraId="7283C3EB" w14:textId="77777777" w:rsidR="00527640" w:rsidRPr="00276391" w:rsidRDefault="00527640" w:rsidP="00527640">
      <w:pPr>
        <w:pStyle w:val="Heading4"/>
        <w:rPr>
          <w:lang w:eastAsia="en-AU"/>
        </w:rPr>
      </w:pPr>
      <w:r w:rsidRPr="00276391">
        <w:rPr>
          <w:lang w:eastAsia="en-AU"/>
        </w:rPr>
        <w:t>For further information</w:t>
      </w:r>
      <w:bookmarkEnd w:id="844"/>
    </w:p>
    <w:p w14:paraId="44000B47" w14:textId="77777777" w:rsidR="00527640" w:rsidRPr="00276391" w:rsidRDefault="00527640" w:rsidP="00527640">
      <w:pPr>
        <w:pStyle w:val="Heading4"/>
        <w:rPr>
          <w:lang w:eastAsia="en-AU"/>
        </w:rPr>
      </w:pPr>
      <w:bookmarkStart w:id="845" w:name="_Toc478992194"/>
      <w:r w:rsidRPr="00276391">
        <w:rPr>
          <w:lang w:eastAsia="en-AU"/>
        </w:rPr>
        <w:t>Department of Health and Human Services</w:t>
      </w:r>
      <w:bookmarkEnd w:id="845"/>
    </w:p>
    <w:p w14:paraId="50BD74D7" w14:textId="295647E7" w:rsidR="00527640" w:rsidRDefault="00527640" w:rsidP="00527640">
      <w:pPr>
        <w:pStyle w:val="DHHSbody"/>
        <w:rPr>
          <w:rFonts w:ascii="Helv" w:hAnsi="Helv" w:cs="Helv"/>
          <w:color w:val="000000"/>
          <w:lang w:eastAsia="en-AU"/>
        </w:rPr>
      </w:pPr>
      <w:r w:rsidRPr="00B24C02">
        <w:rPr>
          <w:rFonts w:cs="Arial"/>
          <w:color w:val="000000"/>
          <w:szCs w:val="19"/>
          <w:lang w:eastAsia="en-AU"/>
        </w:rPr>
        <w:t xml:space="preserve">For further information, contact the </w:t>
      </w:r>
      <w:r w:rsidRPr="00FF406D">
        <w:rPr>
          <w:rFonts w:cs="Arial"/>
          <w:szCs w:val="19"/>
          <w:lang w:eastAsia="en-AU"/>
        </w:rPr>
        <w:t>Emergency Management Branch</w:t>
      </w:r>
      <w:r>
        <w:rPr>
          <w:rFonts w:cs="Arial"/>
          <w:color w:val="000000"/>
          <w:szCs w:val="19"/>
          <w:lang w:eastAsia="en-AU"/>
        </w:rPr>
        <w:t xml:space="preserve"> </w:t>
      </w:r>
      <w:hyperlink r:id="rId287" w:history="1">
        <w:r w:rsidRPr="00FF406D">
          <w:rPr>
            <w:rStyle w:val="Hyperlink"/>
            <w:rFonts w:ascii="Helv" w:hAnsi="Helv" w:cs="Helv"/>
            <w:lang w:eastAsia="en-AU"/>
          </w:rPr>
          <w:t>recovery@dhhs.vic.gov.au</w:t>
        </w:r>
      </w:hyperlink>
    </w:p>
    <w:p w14:paraId="7CBCF0C0" w14:textId="6E5AB7A4" w:rsidR="00236748" w:rsidRPr="00276391" w:rsidRDefault="00FF406D" w:rsidP="009B2351">
      <w:pPr>
        <w:pStyle w:val="Heading2"/>
        <w:rPr>
          <w:rFonts w:cs="Arial"/>
          <w:lang w:eastAsia="en-AU"/>
        </w:rPr>
      </w:pPr>
      <w:bookmarkStart w:id="846" w:name="_Toc4142138"/>
      <w:r>
        <w:rPr>
          <w:rFonts w:cs="Arial"/>
          <w:lang w:eastAsia="en-AU"/>
        </w:rPr>
        <w:t>4.18</w:t>
      </w:r>
      <w:r w:rsidR="009B2351" w:rsidRPr="00276391">
        <w:rPr>
          <w:rFonts w:cs="Arial"/>
          <w:lang w:eastAsia="en-AU"/>
        </w:rPr>
        <w:t xml:space="preserve"> </w:t>
      </w:r>
      <w:r w:rsidR="00236748" w:rsidRPr="00276391">
        <w:rPr>
          <w:rFonts w:cs="Arial"/>
          <w:lang w:eastAsia="en-AU"/>
        </w:rPr>
        <w:t>Emergency</w:t>
      </w:r>
      <w:r w:rsidR="009B2351" w:rsidRPr="00276391">
        <w:rPr>
          <w:rFonts w:cs="Arial"/>
          <w:lang w:eastAsia="en-AU"/>
        </w:rPr>
        <w:t xml:space="preserve"> </w:t>
      </w:r>
      <w:r w:rsidR="00236748" w:rsidRPr="00276391">
        <w:rPr>
          <w:rFonts w:cs="Arial"/>
          <w:lang w:eastAsia="en-AU"/>
        </w:rPr>
        <w:t>preparedness</w:t>
      </w:r>
      <w:r w:rsidR="009B2351" w:rsidRPr="00276391">
        <w:rPr>
          <w:rFonts w:cs="Arial"/>
          <w:lang w:eastAsia="en-AU"/>
        </w:rPr>
        <w:t xml:space="preserve"> </w:t>
      </w:r>
      <w:r w:rsidR="00236748" w:rsidRPr="00276391">
        <w:rPr>
          <w:rFonts w:cs="Arial"/>
          <w:lang w:eastAsia="en-AU"/>
        </w:rPr>
        <w:t>policy</w:t>
      </w:r>
      <w:bookmarkEnd w:id="846"/>
      <w:r w:rsidR="009B2351" w:rsidRPr="00276391">
        <w:rPr>
          <w:rFonts w:cs="Arial"/>
          <w:lang w:eastAsia="en-AU"/>
        </w:rPr>
        <w:t xml:space="preserve"> </w:t>
      </w:r>
      <w:bookmarkStart w:id="847" w:name="_GoBack"/>
      <w:bookmarkEnd w:id="838"/>
      <w:bookmarkEnd w:id="839"/>
      <w:bookmarkEnd w:id="840"/>
      <w:bookmarkEnd w:id="847"/>
    </w:p>
    <w:p w14:paraId="54F41505" w14:textId="77777777" w:rsidR="00527640" w:rsidRPr="00276391" w:rsidRDefault="00527640" w:rsidP="00527640">
      <w:pPr>
        <w:pStyle w:val="Heading4"/>
        <w:rPr>
          <w:lang w:eastAsia="en-AU"/>
        </w:rPr>
      </w:pPr>
      <w:bookmarkStart w:id="848" w:name="_Toc478992197"/>
      <w:bookmarkStart w:id="849" w:name="_Toc478992202"/>
      <w:bookmarkStart w:id="850" w:name="_Toc478992510"/>
      <w:r w:rsidRPr="00276391">
        <w:rPr>
          <w:lang w:eastAsia="en-AU"/>
        </w:rPr>
        <w:t>Who does this policy apply to?</w:t>
      </w:r>
      <w:bookmarkEnd w:id="848"/>
    </w:p>
    <w:p w14:paraId="32D75029" w14:textId="695927FA" w:rsidR="00527640" w:rsidRPr="00276391" w:rsidRDefault="00527640" w:rsidP="00527640">
      <w:pPr>
        <w:pStyle w:val="DHHSbody"/>
        <w:rPr>
          <w:lang w:eastAsia="en-AU"/>
        </w:rPr>
      </w:pPr>
      <w:r w:rsidRPr="00B24C02">
        <w:rPr>
          <w:rFonts w:cs="Arial"/>
          <w:color w:val="000000"/>
          <w:szCs w:val="19"/>
          <w:lang w:eastAsia="en-AU"/>
        </w:rPr>
        <w:t>Th</w:t>
      </w:r>
      <w:r w:rsidR="00752F62">
        <w:rPr>
          <w:rFonts w:cs="Arial"/>
          <w:color w:val="000000"/>
          <w:szCs w:val="19"/>
          <w:lang w:eastAsia="en-AU"/>
        </w:rPr>
        <w:t xml:space="preserve">e </w:t>
      </w:r>
      <w:r w:rsidR="00752F62" w:rsidRPr="00752F62">
        <w:rPr>
          <w:rFonts w:cs="Arial"/>
          <w:i/>
          <w:color w:val="000000"/>
          <w:szCs w:val="19"/>
          <w:lang w:eastAsia="en-AU"/>
        </w:rPr>
        <w:t>Health and human services sector emergency preparedness</w:t>
      </w:r>
      <w:r w:rsidRPr="00752F62">
        <w:rPr>
          <w:rFonts w:cs="Arial"/>
          <w:i/>
          <w:color w:val="000000"/>
          <w:szCs w:val="19"/>
          <w:lang w:eastAsia="en-AU"/>
        </w:rPr>
        <w:t xml:space="preserve"> policy</w:t>
      </w:r>
      <w:r w:rsidRPr="00B24C02">
        <w:rPr>
          <w:rFonts w:cs="Arial"/>
          <w:color w:val="000000"/>
          <w:szCs w:val="19"/>
          <w:lang w:eastAsia="en-AU"/>
        </w:rPr>
        <w:t xml:space="preserve"> applies to all types of client services that are regulated, delivered or funded by the </w:t>
      </w:r>
      <w:r w:rsidR="00806C9A">
        <w:rPr>
          <w:rFonts w:cs="Arial"/>
          <w:color w:val="000000"/>
          <w:szCs w:val="19"/>
          <w:lang w:eastAsia="en-AU"/>
        </w:rPr>
        <w:t>department</w:t>
      </w:r>
      <w:r w:rsidRPr="00B24C02">
        <w:rPr>
          <w:rFonts w:cs="Arial"/>
          <w:color w:val="000000"/>
          <w:szCs w:val="19"/>
          <w:lang w:eastAsia="en-AU"/>
        </w:rPr>
        <w:t>, and all services delivered from property that is owned or managed by the department.</w:t>
      </w:r>
    </w:p>
    <w:p w14:paraId="092B0B97" w14:textId="77777777" w:rsidR="00527640" w:rsidRPr="00276391" w:rsidRDefault="00527640" w:rsidP="00527640">
      <w:pPr>
        <w:pStyle w:val="Heading4"/>
        <w:rPr>
          <w:lang w:eastAsia="en-AU"/>
        </w:rPr>
      </w:pPr>
      <w:bookmarkStart w:id="851" w:name="_Toc478992198"/>
      <w:r w:rsidRPr="00276391">
        <w:rPr>
          <w:lang w:eastAsia="en-AU"/>
        </w:rPr>
        <w:lastRenderedPageBreak/>
        <w:t>Policy purpose</w:t>
      </w:r>
      <w:bookmarkEnd w:id="851"/>
    </w:p>
    <w:p w14:paraId="53685966" w14:textId="77777777" w:rsidR="00527640" w:rsidRPr="00276391" w:rsidRDefault="00527640" w:rsidP="00527640">
      <w:pPr>
        <w:pStyle w:val="DHHSbody"/>
        <w:rPr>
          <w:lang w:eastAsia="en-AU"/>
        </w:rPr>
      </w:pPr>
      <w:r w:rsidRPr="00B24C02">
        <w:rPr>
          <w:rFonts w:cs="Arial"/>
          <w:color w:val="000000"/>
          <w:szCs w:val="19"/>
          <w:lang w:eastAsia="en-AU"/>
        </w:rPr>
        <w:t>The purpose of the policy is to protect and enhance the health and safety of people accessing services from Victoria’s health and human services sector.</w:t>
      </w:r>
    </w:p>
    <w:p w14:paraId="653A8B13" w14:textId="77777777" w:rsidR="00527640" w:rsidRPr="00276391" w:rsidRDefault="00527640" w:rsidP="00527640">
      <w:pPr>
        <w:pStyle w:val="Heading4"/>
        <w:rPr>
          <w:lang w:eastAsia="en-AU"/>
        </w:rPr>
      </w:pPr>
      <w:bookmarkStart w:id="852" w:name="_Toc478992199"/>
      <w:r w:rsidRPr="00276391">
        <w:rPr>
          <w:lang w:eastAsia="en-AU"/>
        </w:rPr>
        <w:t>Legislation and /or regulation</w:t>
      </w:r>
      <w:bookmarkEnd w:id="852"/>
    </w:p>
    <w:p w14:paraId="11F63CC2" w14:textId="4690563E" w:rsidR="00527640" w:rsidRPr="00276391" w:rsidRDefault="0016341D" w:rsidP="00527640">
      <w:pPr>
        <w:pStyle w:val="DHHSbody"/>
        <w:rPr>
          <w:lang w:eastAsia="en-AU"/>
        </w:rPr>
      </w:pPr>
      <w:hyperlink r:id="rId288" w:history="1">
        <w:r w:rsidR="00527640" w:rsidRPr="00585652">
          <w:rPr>
            <w:rStyle w:val="Hyperlink"/>
          </w:rPr>
          <w:t>Disability Act 2006</w:t>
        </w:r>
        <w:r w:rsidR="00527640" w:rsidRPr="00585652">
          <w:rPr>
            <w:rStyle w:val="Hyperlink"/>
            <w:rFonts w:cs="Arial"/>
            <w:szCs w:val="19"/>
            <w:lang w:eastAsia="en-AU"/>
          </w:rPr>
          <w:t xml:space="preserve"> (Vic)</w:t>
        </w:r>
      </w:hyperlink>
      <w:r w:rsidR="00527640">
        <w:rPr>
          <w:rFonts w:cs="Arial"/>
          <w:color w:val="000000"/>
          <w:szCs w:val="19"/>
          <w:lang w:eastAsia="en-AU"/>
        </w:rPr>
        <w:t xml:space="preserve"> &lt;</w:t>
      </w:r>
      <w:r w:rsidR="00527640" w:rsidRPr="00585652">
        <w:rPr>
          <w:rFonts w:cs="Arial"/>
          <w:color w:val="000000"/>
          <w:szCs w:val="19"/>
          <w:lang w:eastAsia="en-AU"/>
        </w:rPr>
        <w:t>http://www.austlii.edu.au/au/legis/vic/consol_act/da2006121/</w:t>
      </w:r>
      <w:r w:rsidR="00527640">
        <w:rPr>
          <w:rFonts w:cs="Arial"/>
          <w:color w:val="000000"/>
          <w:szCs w:val="19"/>
          <w:lang w:eastAsia="en-AU"/>
        </w:rPr>
        <w:t>&gt;</w:t>
      </w:r>
      <w:r w:rsidR="006250C7">
        <w:rPr>
          <w:rFonts w:cs="Arial"/>
          <w:color w:val="000000"/>
          <w:szCs w:val="19"/>
          <w:lang w:eastAsia="en-AU"/>
        </w:rPr>
        <w:t xml:space="preserve"> </w:t>
      </w:r>
      <w:r w:rsidR="00FF406D">
        <w:rPr>
          <w:lang w:eastAsia="en-AU"/>
        </w:rPr>
        <w:t>(external link, opens in a new window)</w:t>
      </w:r>
    </w:p>
    <w:p w14:paraId="2E85A4B0" w14:textId="5D019370" w:rsidR="00527640" w:rsidRPr="00276391" w:rsidRDefault="0016341D" w:rsidP="00527640">
      <w:pPr>
        <w:pStyle w:val="DHHSbody"/>
        <w:rPr>
          <w:lang w:eastAsia="en-AU"/>
        </w:rPr>
      </w:pPr>
      <w:hyperlink r:id="rId289" w:history="1">
        <w:r w:rsidR="00527640" w:rsidRPr="00585652">
          <w:rPr>
            <w:rStyle w:val="Hyperlink"/>
          </w:rPr>
          <w:t>Children Youth and Families Act 2005</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http://www.austlii.edu.au/au/legis/vic/consol_act/cyafa2005252/</w:t>
      </w:r>
      <w:r w:rsidR="00527640">
        <w:rPr>
          <w:rFonts w:cs="Arial"/>
          <w:color w:val="000000"/>
          <w:szCs w:val="19"/>
          <w:lang w:eastAsia="en-AU"/>
        </w:rPr>
        <w:t>&gt;</w:t>
      </w:r>
      <w:r w:rsidR="006250C7">
        <w:rPr>
          <w:lang w:eastAsia="en-AU"/>
        </w:rPr>
        <w:t xml:space="preserve"> </w:t>
      </w:r>
      <w:r w:rsidR="00FF406D">
        <w:rPr>
          <w:lang w:eastAsia="en-AU"/>
        </w:rPr>
        <w:t>(external link, opens in a new window)</w:t>
      </w:r>
    </w:p>
    <w:p w14:paraId="580BAEFB" w14:textId="2ECEC1D8" w:rsidR="00527640" w:rsidRPr="00276391" w:rsidRDefault="0016341D" w:rsidP="00527640">
      <w:pPr>
        <w:pStyle w:val="DHHSbody"/>
        <w:rPr>
          <w:lang w:eastAsia="en-AU"/>
        </w:rPr>
      </w:pPr>
      <w:hyperlink r:id="rId290" w:history="1">
        <w:r w:rsidR="00527640" w:rsidRPr="00585652">
          <w:rPr>
            <w:rStyle w:val="Hyperlink"/>
          </w:rPr>
          <w:t>Residential Tenancies Act 1997</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http://www.austlii.edu.au/au/legis/vic/consol_act/rta1997207/</w:t>
      </w:r>
      <w:r w:rsidR="00527640">
        <w:rPr>
          <w:rFonts w:cs="Arial"/>
          <w:color w:val="000000"/>
          <w:szCs w:val="19"/>
          <w:lang w:eastAsia="en-AU"/>
        </w:rPr>
        <w:t>&gt;</w:t>
      </w:r>
      <w:r w:rsidR="00FF406D">
        <w:rPr>
          <w:lang w:eastAsia="en-AU"/>
        </w:rPr>
        <w:t xml:space="preserve"> (external link, opens in a new window)</w:t>
      </w:r>
    </w:p>
    <w:p w14:paraId="5344B21E" w14:textId="2FE7F207" w:rsidR="00527640" w:rsidRPr="00276391" w:rsidRDefault="0016341D" w:rsidP="00527640">
      <w:pPr>
        <w:pStyle w:val="DHHSbody"/>
        <w:rPr>
          <w:lang w:eastAsia="en-AU"/>
        </w:rPr>
      </w:pPr>
      <w:hyperlink r:id="rId291" w:history="1">
        <w:r w:rsidR="00527640" w:rsidRPr="00585652">
          <w:rPr>
            <w:rStyle w:val="Hyperlink"/>
          </w:rPr>
          <w:t>Aged Care Act 1997</w:t>
        </w:r>
        <w:r w:rsidR="00527640" w:rsidRPr="00585652">
          <w:rPr>
            <w:rStyle w:val="Hyperlink"/>
            <w:lang w:eastAsia="en-AU"/>
          </w:rPr>
          <w:t xml:space="preserve"> (Cth)</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http://www.austlii.edu.au/au/legis/cth/consol_act/aca199757/</w:t>
      </w:r>
      <w:r w:rsidR="00527640">
        <w:rPr>
          <w:rFonts w:cs="Arial"/>
          <w:color w:val="000000"/>
          <w:szCs w:val="19"/>
          <w:lang w:eastAsia="en-AU"/>
        </w:rPr>
        <w:t>&gt;</w:t>
      </w:r>
      <w:r w:rsidR="00FF406D">
        <w:rPr>
          <w:rFonts w:cs="Arial"/>
          <w:color w:val="000000"/>
          <w:szCs w:val="19"/>
          <w:lang w:eastAsia="en-AU"/>
        </w:rPr>
        <w:t xml:space="preserve"> </w:t>
      </w:r>
      <w:r w:rsidR="00FF406D">
        <w:rPr>
          <w:lang w:eastAsia="en-AU"/>
        </w:rPr>
        <w:t>(external link, opens in a new window)</w:t>
      </w:r>
    </w:p>
    <w:p w14:paraId="0D720810" w14:textId="34781770" w:rsidR="00527640" w:rsidRPr="00276391" w:rsidRDefault="0016341D" w:rsidP="00527640">
      <w:pPr>
        <w:pStyle w:val="DHHSbody"/>
        <w:rPr>
          <w:lang w:eastAsia="en-AU"/>
        </w:rPr>
      </w:pPr>
      <w:hyperlink r:id="rId292" w:history="1">
        <w:r w:rsidR="00527640" w:rsidRPr="00585652">
          <w:rPr>
            <w:rStyle w:val="Hyperlink"/>
          </w:rPr>
          <w:t>Mental Health Act 2014</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http://www.austlii.edu.au/au/legis/vic/num_act/mha201426o2014174/</w:t>
      </w:r>
      <w:r w:rsidR="00527640">
        <w:rPr>
          <w:rFonts w:cs="Arial"/>
          <w:color w:val="000000"/>
          <w:szCs w:val="19"/>
          <w:lang w:eastAsia="en-AU"/>
        </w:rPr>
        <w:t>&gt;</w:t>
      </w:r>
      <w:r w:rsidR="00FF406D">
        <w:rPr>
          <w:rFonts w:cs="Arial"/>
          <w:color w:val="000000"/>
          <w:szCs w:val="19"/>
          <w:lang w:eastAsia="en-AU"/>
        </w:rPr>
        <w:t xml:space="preserve"> </w:t>
      </w:r>
      <w:r w:rsidR="00FF406D">
        <w:rPr>
          <w:lang w:eastAsia="en-AU"/>
        </w:rPr>
        <w:t>(external link, opens in a new window)</w:t>
      </w:r>
      <w:r w:rsidR="00527640" w:rsidRPr="00276391">
        <w:rPr>
          <w:lang w:eastAsia="en-AU"/>
        </w:rPr>
        <w:t xml:space="preserve"> </w:t>
      </w:r>
    </w:p>
    <w:p w14:paraId="6AABF526" w14:textId="7E27FCD9" w:rsidR="00527640" w:rsidRPr="00276391" w:rsidRDefault="0016341D" w:rsidP="00527640">
      <w:pPr>
        <w:pStyle w:val="DHHSbody"/>
        <w:rPr>
          <w:lang w:eastAsia="en-AU"/>
        </w:rPr>
      </w:pPr>
      <w:hyperlink r:id="rId293" w:history="1">
        <w:r w:rsidR="00527640" w:rsidRPr="00585652">
          <w:rPr>
            <w:rStyle w:val="Hyperlink"/>
          </w:rPr>
          <w:t>Public Health and Wellbeing Act 2008</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http://www.austlii.edu.au/au/legis/vic/consol_act/phawa2008222/</w:t>
      </w:r>
      <w:r w:rsidR="00527640">
        <w:rPr>
          <w:rFonts w:cs="Arial"/>
          <w:color w:val="000000"/>
          <w:szCs w:val="19"/>
          <w:lang w:eastAsia="en-AU"/>
        </w:rPr>
        <w:t>&gt;</w:t>
      </w:r>
      <w:r w:rsidR="00527640">
        <w:rPr>
          <w:lang w:eastAsia="en-AU"/>
        </w:rPr>
        <w:t xml:space="preserve"> </w:t>
      </w:r>
      <w:r w:rsidR="00FF406D">
        <w:rPr>
          <w:lang w:eastAsia="en-AU"/>
        </w:rPr>
        <w:t>(external link, opens in a new window)</w:t>
      </w:r>
    </w:p>
    <w:p w14:paraId="61E89A81" w14:textId="5F1C16E1" w:rsidR="00527640" w:rsidRPr="00276391" w:rsidRDefault="0016341D" w:rsidP="00527640">
      <w:pPr>
        <w:pStyle w:val="DHHSbody"/>
        <w:rPr>
          <w:lang w:eastAsia="en-AU"/>
        </w:rPr>
      </w:pPr>
      <w:hyperlink r:id="rId294" w:history="1">
        <w:r w:rsidR="00527640" w:rsidRPr="00585652">
          <w:rPr>
            <w:rStyle w:val="Hyperlink"/>
          </w:rPr>
          <w:t>Health Services Act 1988</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http://www.legislation.vic.gov.au/domino/Web_notes/LDMS/PubLawToday.nsf/95c43dd4eac71a68ca256dde00056e7b/18b33f1d4d852609ca256f0200198528!OpenDocument</w:t>
      </w:r>
      <w:r w:rsidR="00527640">
        <w:rPr>
          <w:rFonts w:cs="Arial"/>
          <w:color w:val="000000"/>
          <w:szCs w:val="19"/>
          <w:lang w:eastAsia="en-AU"/>
        </w:rPr>
        <w:t>&gt;</w:t>
      </w:r>
      <w:r w:rsidR="00527640">
        <w:rPr>
          <w:lang w:eastAsia="en-AU"/>
        </w:rPr>
        <w:t xml:space="preserve"> </w:t>
      </w:r>
      <w:r w:rsidR="00FF406D">
        <w:rPr>
          <w:lang w:eastAsia="en-AU"/>
        </w:rPr>
        <w:t>(external link, opens in a new window)</w:t>
      </w:r>
    </w:p>
    <w:p w14:paraId="337C2FB0" w14:textId="2C021AFC" w:rsidR="00527640" w:rsidRPr="00276391" w:rsidRDefault="0016341D" w:rsidP="00527640">
      <w:pPr>
        <w:pStyle w:val="DHHSbody"/>
        <w:rPr>
          <w:lang w:eastAsia="en-AU"/>
        </w:rPr>
      </w:pPr>
      <w:hyperlink r:id="rId295" w:history="1">
        <w:r w:rsidR="00527640" w:rsidRPr="00585652">
          <w:rPr>
            <w:rStyle w:val="Hyperlink"/>
          </w:rPr>
          <w:t>Home and Community Care Act 1985</w:t>
        </w:r>
        <w:r w:rsidR="00527640" w:rsidRPr="00585652">
          <w:rPr>
            <w:rStyle w:val="Hyperlink"/>
            <w:lang w:eastAsia="en-AU"/>
          </w:rPr>
          <w:t xml:space="preserve"> (Cth)</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https://www.legislation.gov.au/Series/C2004A03223</w:t>
      </w:r>
      <w:r w:rsidR="00527640">
        <w:rPr>
          <w:rFonts w:cs="Arial"/>
          <w:color w:val="000000"/>
          <w:szCs w:val="19"/>
          <w:lang w:eastAsia="en-AU"/>
        </w:rPr>
        <w:t>&gt;</w:t>
      </w:r>
      <w:r w:rsidR="00FF406D">
        <w:rPr>
          <w:rFonts w:cs="Arial"/>
          <w:color w:val="000000"/>
          <w:szCs w:val="19"/>
          <w:lang w:eastAsia="en-AU"/>
        </w:rPr>
        <w:t xml:space="preserve"> </w:t>
      </w:r>
      <w:r w:rsidR="00FF406D">
        <w:rPr>
          <w:lang w:eastAsia="en-AU"/>
        </w:rPr>
        <w:t>(external link, opens in a new window)</w:t>
      </w:r>
      <w:r w:rsidR="00527640">
        <w:rPr>
          <w:lang w:eastAsia="en-AU"/>
        </w:rPr>
        <w:t xml:space="preserve"> </w:t>
      </w:r>
    </w:p>
    <w:p w14:paraId="3E3E5133" w14:textId="67D20A37" w:rsidR="00527640" w:rsidRPr="00276391" w:rsidRDefault="0016341D" w:rsidP="00527640">
      <w:pPr>
        <w:pStyle w:val="DHHSbody"/>
        <w:rPr>
          <w:lang w:eastAsia="en-AU"/>
        </w:rPr>
      </w:pPr>
      <w:hyperlink r:id="rId296" w:history="1">
        <w:r w:rsidR="00527640" w:rsidRPr="00585652">
          <w:rPr>
            <w:rStyle w:val="Hyperlink"/>
          </w:rPr>
          <w:t>Supported Residential Services (Private Proprietors) Act 2010</w:t>
        </w:r>
        <w:r w:rsidR="00527640" w:rsidRPr="00585652">
          <w:rPr>
            <w:rStyle w:val="Hyperlink"/>
            <w:lang w:eastAsia="en-AU"/>
          </w:rPr>
          <w:t xml:space="preserve"> (Vic)</w:t>
        </w:r>
      </w:hyperlink>
      <w:r w:rsidR="00527640">
        <w:rPr>
          <w:lang w:eastAsia="en-AU"/>
        </w:rPr>
        <w:t xml:space="preserve"> </w:t>
      </w:r>
      <w:r w:rsidR="00527640">
        <w:rPr>
          <w:rFonts w:cs="Arial"/>
          <w:color w:val="000000"/>
          <w:szCs w:val="19"/>
          <w:lang w:eastAsia="en-AU"/>
        </w:rPr>
        <w:t>&lt;</w:t>
      </w:r>
      <w:r w:rsidR="00527640" w:rsidRPr="00585652">
        <w:rPr>
          <w:rFonts w:cs="Arial"/>
          <w:color w:val="000000"/>
          <w:szCs w:val="19"/>
          <w:lang w:eastAsia="en-AU"/>
        </w:rPr>
        <w:t>http://www.austlii.edu.au/au/legis/vic/num_act/srspa201049o2010631/</w:t>
      </w:r>
      <w:r w:rsidR="00527640">
        <w:rPr>
          <w:rFonts w:cs="Arial"/>
          <w:color w:val="000000"/>
          <w:szCs w:val="19"/>
          <w:lang w:eastAsia="en-AU"/>
        </w:rPr>
        <w:t>&gt;</w:t>
      </w:r>
      <w:r w:rsidR="00527640">
        <w:rPr>
          <w:lang w:eastAsia="en-AU"/>
        </w:rPr>
        <w:t xml:space="preserve"> </w:t>
      </w:r>
      <w:r w:rsidR="00FF406D">
        <w:rPr>
          <w:lang w:eastAsia="en-AU"/>
        </w:rPr>
        <w:t>(external link, opens in a new window)</w:t>
      </w:r>
    </w:p>
    <w:p w14:paraId="77BDD855" w14:textId="77777777" w:rsidR="00527640" w:rsidRPr="00276391" w:rsidRDefault="00527640" w:rsidP="00527640">
      <w:pPr>
        <w:pStyle w:val="Heading4"/>
        <w:rPr>
          <w:lang w:eastAsia="en-AU"/>
        </w:rPr>
      </w:pPr>
      <w:bookmarkStart w:id="853" w:name="_Toc478992200"/>
      <w:r w:rsidRPr="00276391">
        <w:rPr>
          <w:lang w:eastAsia="en-AU"/>
        </w:rPr>
        <w:t>Organisation requirements</w:t>
      </w:r>
      <w:bookmarkEnd w:id="853"/>
    </w:p>
    <w:p w14:paraId="492127AB" w14:textId="7CE388D9" w:rsidR="00527640" w:rsidRPr="00276391" w:rsidRDefault="00527640" w:rsidP="00527640">
      <w:pPr>
        <w:pStyle w:val="DHHSbody"/>
        <w:rPr>
          <w:lang w:eastAsia="en-AU"/>
        </w:rPr>
      </w:pPr>
      <w:r w:rsidRPr="00B24C02">
        <w:rPr>
          <w:rFonts w:cs="Arial"/>
          <w:color w:val="000000"/>
          <w:szCs w:val="19"/>
          <w:lang w:eastAsia="en-AU"/>
        </w:rPr>
        <w:t xml:space="preserve">The department’s obligations require that service providers develop </w:t>
      </w:r>
      <w:r w:rsidR="005F1C1F">
        <w:rPr>
          <w:rFonts w:cs="Arial"/>
          <w:color w:val="000000"/>
          <w:szCs w:val="19"/>
          <w:lang w:eastAsia="en-AU"/>
        </w:rPr>
        <w:t xml:space="preserve">emergency management </w:t>
      </w:r>
      <w:r w:rsidRPr="00B24C02">
        <w:rPr>
          <w:rFonts w:cs="Arial"/>
          <w:color w:val="000000"/>
          <w:szCs w:val="19"/>
          <w:lang w:eastAsia="en-AU"/>
        </w:rPr>
        <w:t xml:space="preserve">plans to ensure the safety and wellbeing of clients and the staff who support them. </w:t>
      </w:r>
    </w:p>
    <w:p w14:paraId="17FBAF74" w14:textId="5F60AE04" w:rsidR="00527640" w:rsidRPr="00276391" w:rsidRDefault="00527640" w:rsidP="00527640">
      <w:pPr>
        <w:pStyle w:val="DHHSbody"/>
        <w:rPr>
          <w:lang w:eastAsia="en-AU"/>
        </w:rPr>
      </w:pPr>
      <w:r w:rsidRPr="00276391">
        <w:rPr>
          <w:lang w:eastAsia="en-AU"/>
        </w:rPr>
        <w:t>The policy provides general advice for emergency</w:t>
      </w:r>
      <w:r w:rsidR="005F1C1F">
        <w:rPr>
          <w:lang w:eastAsia="en-AU"/>
        </w:rPr>
        <w:t xml:space="preserve"> management</w:t>
      </w:r>
      <w:r w:rsidRPr="00276391">
        <w:rPr>
          <w:lang w:eastAsia="en-AU"/>
        </w:rPr>
        <w:t xml:space="preserve"> planning</w:t>
      </w:r>
      <w:r w:rsidR="005F1C1F">
        <w:rPr>
          <w:lang w:eastAsia="en-AU"/>
        </w:rPr>
        <w:t xml:space="preserve"> and preparedness as well as specific policy direction</w:t>
      </w:r>
      <w:r w:rsidRPr="00276391">
        <w:rPr>
          <w:lang w:eastAsia="en-AU"/>
        </w:rPr>
        <w:t xml:space="preserve"> for services areas where a higher level of planning is needed. </w:t>
      </w:r>
    </w:p>
    <w:p w14:paraId="2D86B0EF" w14:textId="77777777" w:rsidR="00527640" w:rsidRPr="00276391" w:rsidRDefault="00527640" w:rsidP="00527640">
      <w:pPr>
        <w:pStyle w:val="DHHSbody"/>
        <w:rPr>
          <w:lang w:eastAsia="en-AU"/>
        </w:rPr>
      </w:pPr>
      <w:r w:rsidRPr="00276391">
        <w:rPr>
          <w:lang w:eastAsia="en-AU"/>
        </w:rPr>
        <w:t>The policy assists the department and funded organisations to prepare for and respond to emergencies. It describes the sector’s responsibilities and considerations to prepare for and respond to all types of emergencies. It seeks to achieve a consistent sector-wide approach, taking into consideration the local environment, conditions and resources.</w:t>
      </w:r>
    </w:p>
    <w:p w14:paraId="233E98B8" w14:textId="26009EDC" w:rsidR="00527640" w:rsidRPr="00276391" w:rsidRDefault="00527640" w:rsidP="00527640">
      <w:pPr>
        <w:pStyle w:val="DHHSbody"/>
        <w:rPr>
          <w:lang w:eastAsia="en-AU"/>
        </w:rPr>
      </w:pPr>
      <w:r w:rsidRPr="00276391">
        <w:rPr>
          <w:lang w:eastAsia="en-AU"/>
        </w:rPr>
        <w:t xml:space="preserve">The policy and other emergency management information is available on the </w:t>
      </w:r>
      <w:hyperlink r:id="rId297" w:history="1">
        <w:r w:rsidR="001914F5" w:rsidRPr="003D3A0F">
          <w:rPr>
            <w:rStyle w:val="Hyperlink"/>
          </w:rPr>
          <w:t>Providers website</w:t>
        </w:r>
      </w:hyperlink>
      <w:r w:rsidRPr="00276391">
        <w:rPr>
          <w:lang w:eastAsia="en-AU"/>
        </w:rPr>
        <w:t xml:space="preserve"> </w:t>
      </w:r>
      <w:r w:rsidRPr="00751D23">
        <w:rPr>
          <w:lang w:eastAsia="en-AU"/>
        </w:rPr>
        <w:t xml:space="preserve">&lt;https://providers.dhhs.vic.gov.au/emergency-preparedness&gt; </w:t>
      </w:r>
      <w:r w:rsidR="00FF406D">
        <w:rPr>
          <w:lang w:eastAsia="en-AU"/>
        </w:rPr>
        <w:t>(external link, opens in a new window)</w:t>
      </w:r>
    </w:p>
    <w:p w14:paraId="337580CB" w14:textId="77777777" w:rsidR="00527640" w:rsidRPr="00276391" w:rsidRDefault="00527640" w:rsidP="00527640">
      <w:pPr>
        <w:pStyle w:val="Heading4"/>
        <w:rPr>
          <w:lang w:eastAsia="en-AU"/>
        </w:rPr>
      </w:pPr>
      <w:bookmarkStart w:id="854" w:name="_Toc478992201"/>
      <w:r w:rsidRPr="00276391">
        <w:rPr>
          <w:lang w:eastAsia="en-AU"/>
        </w:rPr>
        <w:t>For further information</w:t>
      </w:r>
      <w:bookmarkEnd w:id="854"/>
    </w:p>
    <w:p w14:paraId="0B98EBA7" w14:textId="2720D745" w:rsidR="00527640" w:rsidRPr="00F25A46" w:rsidRDefault="00806C9A" w:rsidP="00527640">
      <w:pPr>
        <w:pStyle w:val="DHHSbody"/>
        <w:rPr>
          <w:rFonts w:ascii="Helv" w:hAnsi="Helv" w:cs="Helv"/>
          <w:color w:val="000000"/>
          <w:lang w:eastAsia="en-AU"/>
        </w:rPr>
      </w:pPr>
      <w:r>
        <w:rPr>
          <w:rFonts w:cs="Arial"/>
          <w:color w:val="000000"/>
          <w:szCs w:val="19"/>
          <w:lang w:eastAsia="en-AU"/>
        </w:rPr>
        <w:t>Contact</w:t>
      </w:r>
      <w:r w:rsidR="00527640" w:rsidRPr="00B24C02">
        <w:rPr>
          <w:rFonts w:cs="Arial"/>
          <w:color w:val="000000"/>
          <w:szCs w:val="19"/>
          <w:lang w:eastAsia="en-AU"/>
        </w:rPr>
        <w:t xml:space="preserve"> the</w:t>
      </w:r>
      <w:r w:rsidR="00FF406D">
        <w:rPr>
          <w:rFonts w:cs="Arial"/>
          <w:color w:val="000000"/>
          <w:szCs w:val="19"/>
          <w:lang w:eastAsia="en-AU"/>
        </w:rPr>
        <w:t xml:space="preserve"> Emergency Management Branch </w:t>
      </w:r>
      <w:hyperlink r:id="rId298" w:history="1">
        <w:r w:rsidR="00527640" w:rsidRPr="00FF406D">
          <w:rPr>
            <w:rStyle w:val="Hyperlink"/>
            <w:rFonts w:ascii="Helv" w:hAnsi="Helv" w:cs="Helv"/>
            <w:lang w:eastAsia="en-AU"/>
          </w:rPr>
          <w:t>empolicy@dhhs.vic.gov.au</w:t>
        </w:r>
      </w:hyperlink>
    </w:p>
    <w:p w14:paraId="682286E7" w14:textId="42477149" w:rsidR="00236748" w:rsidRPr="00276391" w:rsidRDefault="00FF406D" w:rsidP="009B2351">
      <w:pPr>
        <w:pStyle w:val="Heading2"/>
        <w:rPr>
          <w:rFonts w:cs="Arial"/>
          <w:lang w:eastAsia="en-AU"/>
        </w:rPr>
      </w:pPr>
      <w:bookmarkStart w:id="855" w:name="_4.21_Asset_Management"/>
      <w:bookmarkStart w:id="856" w:name="_Toc478992215"/>
      <w:bookmarkStart w:id="857" w:name="_Toc478992514"/>
      <w:bookmarkStart w:id="858" w:name="_Toc478992934"/>
      <w:bookmarkStart w:id="859" w:name="_Toc4142139"/>
      <w:bookmarkEnd w:id="849"/>
      <w:bookmarkEnd w:id="850"/>
      <w:bookmarkEnd w:id="855"/>
      <w:r>
        <w:rPr>
          <w:rFonts w:cs="Arial"/>
          <w:lang w:eastAsia="en-AU"/>
        </w:rPr>
        <w:lastRenderedPageBreak/>
        <w:t>4.19</w:t>
      </w:r>
      <w:r w:rsidR="009B2351" w:rsidRPr="00276391">
        <w:rPr>
          <w:rFonts w:cs="Arial"/>
          <w:lang w:eastAsia="en-AU"/>
        </w:rPr>
        <w:t xml:space="preserve"> </w:t>
      </w:r>
      <w:r w:rsidR="00236748" w:rsidRPr="00276391">
        <w:rPr>
          <w:rFonts w:cs="Arial"/>
          <w:lang w:eastAsia="en-AU"/>
        </w:rPr>
        <w:t>Asset</w:t>
      </w:r>
      <w:r w:rsidR="009B2351" w:rsidRPr="00276391">
        <w:rPr>
          <w:rFonts w:cs="Arial"/>
          <w:lang w:eastAsia="en-AU"/>
        </w:rPr>
        <w:t xml:space="preserve"> </w:t>
      </w:r>
      <w:r w:rsidR="00DD3018">
        <w:rPr>
          <w:rFonts w:cs="Arial"/>
          <w:lang w:eastAsia="en-AU"/>
        </w:rPr>
        <w:t>m</w:t>
      </w:r>
      <w:r w:rsidR="00236748" w:rsidRPr="00276391">
        <w:rPr>
          <w:rFonts w:cs="Arial"/>
          <w:lang w:eastAsia="en-AU"/>
        </w:rPr>
        <w:t>anagement</w:t>
      </w:r>
      <w:r w:rsidR="009B2351" w:rsidRPr="00276391">
        <w:rPr>
          <w:rFonts w:cs="Arial"/>
          <w:lang w:eastAsia="en-AU"/>
        </w:rPr>
        <w:t xml:space="preserve"> </w:t>
      </w:r>
      <w:r w:rsidR="00DD3018">
        <w:rPr>
          <w:rFonts w:cs="Arial"/>
          <w:lang w:eastAsia="en-AU"/>
        </w:rPr>
        <w:t>a</w:t>
      </w:r>
      <w:r w:rsidR="00236748" w:rsidRPr="00276391">
        <w:rPr>
          <w:rFonts w:cs="Arial"/>
          <w:lang w:eastAsia="en-AU"/>
        </w:rPr>
        <w:t>ccountability</w:t>
      </w:r>
      <w:r w:rsidR="009B2351" w:rsidRPr="00276391">
        <w:rPr>
          <w:rFonts w:cs="Arial"/>
          <w:lang w:eastAsia="en-AU"/>
        </w:rPr>
        <w:t xml:space="preserve"> </w:t>
      </w:r>
      <w:r w:rsidR="00DD3018">
        <w:rPr>
          <w:rFonts w:cs="Arial"/>
          <w:lang w:eastAsia="en-AU"/>
        </w:rPr>
        <w:t>f</w:t>
      </w:r>
      <w:r w:rsidR="00236748" w:rsidRPr="00276391">
        <w:rPr>
          <w:rFonts w:cs="Arial"/>
          <w:lang w:eastAsia="en-AU"/>
        </w:rPr>
        <w:t>ramework</w:t>
      </w:r>
      <w:bookmarkEnd w:id="856"/>
      <w:bookmarkEnd w:id="857"/>
      <w:bookmarkEnd w:id="858"/>
      <w:bookmarkEnd w:id="859"/>
    </w:p>
    <w:p w14:paraId="45262697" w14:textId="77777777" w:rsidR="00236748" w:rsidRPr="00276391" w:rsidRDefault="00236748" w:rsidP="001A0795">
      <w:pPr>
        <w:pStyle w:val="Heading4"/>
        <w:rPr>
          <w:lang w:eastAsia="en-AU"/>
        </w:rPr>
      </w:pPr>
      <w:bookmarkStart w:id="860" w:name="_Toc478992217"/>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860"/>
    </w:p>
    <w:p w14:paraId="63A354D5" w14:textId="31EF39D9" w:rsidR="00236748" w:rsidRPr="00276391" w:rsidRDefault="00236748" w:rsidP="00276391">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policy</w:t>
      </w:r>
      <w:r w:rsidR="005D5532" w:rsidRPr="00B24C02">
        <w:rPr>
          <w:rFonts w:cs="Arial"/>
          <w:color w:val="000000"/>
          <w:szCs w:val="19"/>
          <w:lang w:eastAsia="en-AU"/>
        </w:rPr>
        <w:t xml:space="preserve"> </w:t>
      </w:r>
      <w:r w:rsidRPr="00B24C02">
        <w:rPr>
          <w:rFonts w:cs="Arial"/>
          <w:color w:val="000000"/>
          <w:szCs w:val="19"/>
          <w:lang w:eastAsia="en-AU"/>
        </w:rPr>
        <w:t>applies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public</w:t>
      </w:r>
      <w:r w:rsidR="005D5532" w:rsidRPr="00B24C02">
        <w:rPr>
          <w:rFonts w:cs="Arial"/>
          <w:color w:val="000000"/>
          <w:szCs w:val="19"/>
          <w:lang w:eastAsia="en-AU"/>
        </w:rPr>
        <w:t xml:space="preserve"> </w:t>
      </w:r>
      <w:r w:rsidRPr="00B24C02">
        <w:rPr>
          <w:rFonts w:cs="Arial"/>
          <w:color w:val="000000"/>
          <w:szCs w:val="19"/>
          <w:lang w:eastAsia="en-AU"/>
        </w:rPr>
        <w:t>bodies</w:t>
      </w:r>
      <w:r w:rsidR="005D5532" w:rsidRPr="00B24C02">
        <w:rPr>
          <w:rFonts w:cs="Arial"/>
          <w:color w:val="000000"/>
          <w:szCs w:val="19"/>
          <w:lang w:eastAsia="en-AU"/>
        </w:rPr>
        <w:t xml:space="preserve"> </w:t>
      </w:r>
      <w:r w:rsidRPr="00B24C02">
        <w:rPr>
          <w:rFonts w:cs="Arial"/>
          <w:color w:val="000000"/>
          <w:szCs w:val="19"/>
          <w:lang w:eastAsia="en-AU"/>
        </w:rPr>
        <w:t>such</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Health</w:t>
      </w:r>
      <w:r w:rsidR="005D5532" w:rsidRPr="00B24C02">
        <w:rPr>
          <w:rFonts w:cs="Arial"/>
          <w:color w:val="000000"/>
          <w:szCs w:val="19"/>
          <w:lang w:eastAsia="en-AU"/>
        </w:rPr>
        <w:t xml:space="preserve"> </w:t>
      </w:r>
      <w:r w:rsidRPr="00B24C02">
        <w:rPr>
          <w:rFonts w:cs="Arial"/>
          <w:color w:val="000000"/>
          <w:szCs w:val="19"/>
          <w:lang w:eastAsia="en-AU"/>
        </w:rPr>
        <w:t>Services</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subject</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806C9A">
        <w:rPr>
          <w:rFonts w:cs="Arial"/>
          <w:i/>
          <w:color w:val="000000"/>
          <w:szCs w:val="19"/>
          <w:lang w:eastAsia="en-AU"/>
        </w:rPr>
        <w:t>Financial</w:t>
      </w:r>
      <w:r w:rsidR="005D5532" w:rsidRPr="00806C9A">
        <w:rPr>
          <w:rFonts w:cs="Arial"/>
          <w:i/>
          <w:color w:val="000000"/>
          <w:szCs w:val="19"/>
          <w:lang w:eastAsia="en-AU"/>
        </w:rPr>
        <w:t xml:space="preserve"> </w:t>
      </w:r>
      <w:r w:rsidRPr="00806C9A">
        <w:rPr>
          <w:rFonts w:cs="Arial"/>
          <w:i/>
          <w:color w:val="000000"/>
          <w:szCs w:val="19"/>
          <w:lang w:eastAsia="en-AU"/>
        </w:rPr>
        <w:t>Management</w:t>
      </w:r>
      <w:r w:rsidR="005D5532" w:rsidRPr="00806C9A">
        <w:rPr>
          <w:rFonts w:cs="Arial"/>
          <w:i/>
          <w:color w:val="000000"/>
          <w:szCs w:val="19"/>
          <w:lang w:eastAsia="en-AU"/>
        </w:rPr>
        <w:t xml:space="preserve"> </w:t>
      </w:r>
      <w:r w:rsidRPr="00806C9A">
        <w:rPr>
          <w:rFonts w:cs="Arial"/>
          <w:i/>
          <w:color w:val="000000"/>
          <w:szCs w:val="19"/>
          <w:lang w:eastAsia="en-AU"/>
        </w:rPr>
        <w:t>Act</w:t>
      </w:r>
      <w:r w:rsidR="00806C9A" w:rsidRPr="00806C9A">
        <w:rPr>
          <w:rFonts w:cs="Arial"/>
          <w:i/>
          <w:color w:val="000000"/>
          <w:szCs w:val="19"/>
          <w:lang w:eastAsia="en-AU"/>
        </w:rPr>
        <w:t xml:space="preserve"> 1994</w:t>
      </w:r>
      <w:r w:rsidRPr="00806C9A">
        <w:rPr>
          <w:rFonts w:cs="Arial"/>
          <w:i/>
          <w:color w:val="000000"/>
          <w:szCs w:val="19"/>
          <w:lang w:eastAsia="en-AU"/>
        </w:rPr>
        <w:t>.</w:t>
      </w:r>
    </w:p>
    <w:p w14:paraId="0BFA5163" w14:textId="77777777" w:rsidR="00236748" w:rsidRPr="00276391" w:rsidRDefault="00236748" w:rsidP="001A0795">
      <w:pPr>
        <w:pStyle w:val="Heading4"/>
        <w:rPr>
          <w:lang w:eastAsia="en-AU"/>
        </w:rPr>
      </w:pPr>
      <w:bookmarkStart w:id="861" w:name="_Toc478992218"/>
      <w:r w:rsidRPr="00276391">
        <w:rPr>
          <w:lang w:eastAsia="en-AU"/>
        </w:rPr>
        <w:t>Policy</w:t>
      </w:r>
      <w:r w:rsidR="005D5532" w:rsidRPr="00276391">
        <w:rPr>
          <w:lang w:eastAsia="en-AU"/>
        </w:rPr>
        <w:t xml:space="preserve"> </w:t>
      </w:r>
      <w:r w:rsidRPr="00276391">
        <w:rPr>
          <w:lang w:eastAsia="en-AU"/>
        </w:rPr>
        <w:t>purpose</w:t>
      </w:r>
      <w:bookmarkEnd w:id="861"/>
    </w:p>
    <w:p w14:paraId="1D110CEC" w14:textId="6ADD0CAD"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00806C9A">
        <w:rPr>
          <w:rFonts w:cs="Arial"/>
          <w:color w:val="000000"/>
          <w:szCs w:val="19"/>
          <w:lang w:eastAsia="en-AU"/>
        </w:rPr>
        <w:t>m</w:t>
      </w:r>
      <w:r w:rsidRPr="00B24C02">
        <w:rPr>
          <w:rFonts w:cs="Arial"/>
          <w:color w:val="000000"/>
          <w:szCs w:val="19"/>
          <w:lang w:eastAsia="en-AU"/>
        </w:rPr>
        <w:t>anagement</w:t>
      </w:r>
      <w:r w:rsidR="005D5532" w:rsidRPr="00B24C02">
        <w:rPr>
          <w:rFonts w:cs="Arial"/>
          <w:color w:val="000000"/>
          <w:szCs w:val="19"/>
          <w:lang w:eastAsia="en-AU"/>
        </w:rPr>
        <w:t xml:space="preserve"> </w:t>
      </w:r>
      <w:r w:rsidR="00806C9A">
        <w:rPr>
          <w:rFonts w:cs="Arial"/>
          <w:color w:val="000000"/>
          <w:szCs w:val="19"/>
          <w:lang w:eastAsia="en-AU"/>
        </w:rPr>
        <w:t>a</w:t>
      </w:r>
      <w:r w:rsidRPr="00B24C02">
        <w:rPr>
          <w:rFonts w:cs="Arial"/>
          <w:color w:val="000000"/>
          <w:szCs w:val="19"/>
          <w:lang w:eastAsia="en-AU"/>
        </w:rPr>
        <w:t>ccountability</w:t>
      </w:r>
      <w:r w:rsidR="005D5532" w:rsidRPr="00B24C02">
        <w:rPr>
          <w:rFonts w:cs="Arial"/>
          <w:color w:val="000000"/>
          <w:szCs w:val="19"/>
          <w:lang w:eastAsia="en-AU"/>
        </w:rPr>
        <w:t xml:space="preserve"> </w:t>
      </w:r>
      <w:r w:rsidR="00806C9A">
        <w:rPr>
          <w:rFonts w:cs="Arial"/>
          <w:color w:val="000000"/>
          <w:szCs w:val="19"/>
          <w:lang w:eastAsia="en-AU"/>
        </w:rPr>
        <w:t>f</w:t>
      </w:r>
      <w:r w:rsidRPr="00B24C02">
        <w:rPr>
          <w:rFonts w:cs="Arial"/>
          <w:color w:val="000000"/>
          <w:szCs w:val="19"/>
          <w:lang w:eastAsia="en-AU"/>
        </w:rPr>
        <w:t>ramework</w:t>
      </w:r>
      <w:r w:rsidR="005D5532" w:rsidRPr="00B24C02">
        <w:rPr>
          <w:rFonts w:cs="Arial"/>
          <w:color w:val="000000"/>
          <w:szCs w:val="19"/>
          <w:lang w:eastAsia="en-AU"/>
        </w:rPr>
        <w:t xml:space="preserve"> </w:t>
      </w:r>
      <w:r w:rsidRPr="00B24C02">
        <w:rPr>
          <w:rFonts w:cs="Arial"/>
          <w:color w:val="000000"/>
          <w:szCs w:val="19"/>
          <w:lang w:eastAsia="en-AU"/>
        </w:rPr>
        <w:t>seeks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ensure</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managed</w:t>
      </w:r>
      <w:r w:rsidR="005D5532" w:rsidRPr="00B24C02">
        <w:rPr>
          <w:rFonts w:cs="Arial"/>
          <w:color w:val="000000"/>
          <w:szCs w:val="19"/>
          <w:lang w:eastAsia="en-AU"/>
        </w:rPr>
        <w:t xml:space="preserve"> </w:t>
      </w:r>
      <w:r w:rsidRPr="00B24C02">
        <w:rPr>
          <w:rFonts w:cs="Arial"/>
          <w:color w:val="000000"/>
          <w:szCs w:val="19"/>
          <w:lang w:eastAsia="en-AU"/>
        </w:rPr>
        <w:t>efficiently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effectively.</w:t>
      </w:r>
    </w:p>
    <w:p w14:paraId="322977ED" w14:textId="77777777" w:rsidR="00236748" w:rsidRPr="00276391" w:rsidRDefault="00236748" w:rsidP="001A0795">
      <w:pPr>
        <w:pStyle w:val="Heading4"/>
        <w:rPr>
          <w:lang w:eastAsia="en-AU"/>
        </w:rPr>
      </w:pPr>
      <w:bookmarkStart w:id="862" w:name="_Toc478992219"/>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862"/>
    </w:p>
    <w:p w14:paraId="7BEA8FCB" w14:textId="49C8EC21" w:rsidR="00236748" w:rsidRPr="00276391" w:rsidRDefault="00236748" w:rsidP="00276391">
      <w:pPr>
        <w:pStyle w:val="DHHSbody"/>
        <w:rPr>
          <w:lang w:eastAsia="en-AU"/>
        </w:rPr>
      </w:pPr>
      <w:r w:rsidRPr="00B24C02">
        <w:rPr>
          <w:rFonts w:cs="Arial"/>
          <w:color w:val="000000"/>
          <w:szCs w:val="19"/>
          <w:lang w:eastAsia="en-AU"/>
        </w:rPr>
        <w:t>Standing</w:t>
      </w:r>
      <w:r w:rsidR="005D5532" w:rsidRPr="00B24C02">
        <w:rPr>
          <w:rFonts w:cs="Arial"/>
          <w:color w:val="000000"/>
          <w:szCs w:val="19"/>
          <w:lang w:eastAsia="en-AU"/>
        </w:rPr>
        <w:t xml:space="preserve"> </w:t>
      </w:r>
      <w:r w:rsidRPr="00B24C02">
        <w:rPr>
          <w:rFonts w:cs="Arial"/>
          <w:color w:val="000000"/>
          <w:szCs w:val="19"/>
          <w:lang w:eastAsia="en-AU"/>
        </w:rPr>
        <w:t>Directions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Minister</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Finance</w:t>
      </w:r>
      <w:r w:rsidR="005D5532" w:rsidRPr="00B24C02">
        <w:rPr>
          <w:rFonts w:cs="Arial"/>
          <w:color w:val="000000"/>
          <w:szCs w:val="19"/>
          <w:lang w:eastAsia="en-AU"/>
        </w:rPr>
        <w:t xml:space="preserve"> </w:t>
      </w:r>
      <w:r w:rsidRPr="00B24C02">
        <w:rPr>
          <w:rFonts w:cs="Arial"/>
          <w:color w:val="000000"/>
          <w:szCs w:val="19"/>
          <w:lang w:eastAsia="en-AU"/>
        </w:rPr>
        <w:t>under</w:t>
      </w:r>
      <w:r w:rsidR="005D5532" w:rsidRPr="00B24C02">
        <w:rPr>
          <w:rFonts w:cs="Arial"/>
          <w:color w:val="000000"/>
          <w:szCs w:val="19"/>
          <w:lang w:eastAsia="en-AU"/>
        </w:rPr>
        <w:t xml:space="preserve"> </w:t>
      </w:r>
      <w:hyperlink r:id="rId299" w:history="1">
        <w:r w:rsidRPr="00FF406D">
          <w:rPr>
            <w:rStyle w:val="Hyperlink"/>
          </w:rPr>
          <w:t>Financial</w:t>
        </w:r>
        <w:r w:rsidR="005D5532" w:rsidRPr="00FF406D">
          <w:rPr>
            <w:rStyle w:val="Hyperlink"/>
          </w:rPr>
          <w:t xml:space="preserve"> </w:t>
        </w:r>
        <w:r w:rsidRPr="00FF406D">
          <w:rPr>
            <w:rStyle w:val="Hyperlink"/>
          </w:rPr>
          <w:t>Management</w:t>
        </w:r>
        <w:r w:rsidR="005D5532" w:rsidRPr="00FF406D">
          <w:rPr>
            <w:rStyle w:val="Hyperlink"/>
          </w:rPr>
          <w:t xml:space="preserve"> </w:t>
        </w:r>
        <w:r w:rsidRPr="00FF406D">
          <w:rPr>
            <w:rStyle w:val="Hyperlink"/>
          </w:rPr>
          <w:t>Act</w:t>
        </w:r>
        <w:r w:rsidR="005D5532" w:rsidRPr="00FF406D">
          <w:rPr>
            <w:rStyle w:val="Hyperlink"/>
          </w:rPr>
          <w:t xml:space="preserve"> </w:t>
        </w:r>
        <w:r w:rsidRPr="00FF406D">
          <w:rPr>
            <w:rStyle w:val="Hyperlink"/>
          </w:rPr>
          <w:t>1994</w:t>
        </w:r>
        <w:r w:rsidR="005D5532" w:rsidRPr="00FF406D">
          <w:rPr>
            <w:rStyle w:val="Hyperlink"/>
          </w:rPr>
          <w:t xml:space="preserve"> </w:t>
        </w:r>
        <w:r w:rsidRPr="00FF406D">
          <w:rPr>
            <w:rStyle w:val="Hyperlink"/>
          </w:rPr>
          <w:t>(Vic)</w:t>
        </w:r>
      </w:hyperlink>
      <w:r w:rsidR="00947963">
        <w:rPr>
          <w:rStyle w:val="Hyperlink"/>
        </w:rPr>
        <w:t xml:space="preserve"> </w:t>
      </w:r>
      <w:r w:rsidR="00947963" w:rsidRPr="00947963">
        <w:rPr>
          <w:rFonts w:cs="Arial"/>
          <w:color w:val="000000"/>
          <w:szCs w:val="19"/>
          <w:lang w:eastAsia="en-AU"/>
        </w:rPr>
        <w:t>&lt;</w:t>
      </w:r>
      <w:r w:rsidR="00FF406D" w:rsidRPr="00FF406D">
        <w:rPr>
          <w:rFonts w:cs="Arial"/>
          <w:color w:val="000000"/>
          <w:szCs w:val="19"/>
          <w:lang w:eastAsia="en-AU"/>
        </w:rPr>
        <w:t>http://www8.austlii.edu.au/cgi-bin/viewdb/au/l</w:t>
      </w:r>
      <w:r w:rsidR="00806C9A">
        <w:rPr>
          <w:rFonts w:cs="Arial"/>
          <w:color w:val="000000"/>
          <w:szCs w:val="19"/>
          <w:lang w:eastAsia="en-AU"/>
        </w:rPr>
        <w:t>egis/vic/consol_act/fma1994164/</w:t>
      </w:r>
      <w:r w:rsidR="00947963" w:rsidRPr="00947963">
        <w:rPr>
          <w:rFonts w:cs="Arial"/>
          <w:color w:val="000000"/>
          <w:szCs w:val="19"/>
          <w:lang w:eastAsia="en-AU"/>
        </w:rPr>
        <w:t xml:space="preserve">&gt;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p>
    <w:p w14:paraId="709B50A2" w14:textId="77777777" w:rsidR="00236748" w:rsidRPr="00276391" w:rsidRDefault="00236748" w:rsidP="001A0795">
      <w:pPr>
        <w:pStyle w:val="Heading4"/>
        <w:rPr>
          <w:lang w:eastAsia="en-AU"/>
        </w:rPr>
      </w:pPr>
      <w:bookmarkStart w:id="863" w:name="_Toc478992220"/>
      <w:r w:rsidRPr="00276391">
        <w:rPr>
          <w:lang w:eastAsia="en-AU"/>
        </w:rPr>
        <w:t>Organisation</w:t>
      </w:r>
      <w:r w:rsidR="005D5532" w:rsidRPr="00276391">
        <w:rPr>
          <w:lang w:eastAsia="en-AU"/>
        </w:rPr>
        <w:t xml:space="preserve"> </w:t>
      </w:r>
      <w:r w:rsidRPr="00276391">
        <w:rPr>
          <w:lang w:eastAsia="en-AU"/>
        </w:rPr>
        <w:t>requirements</w:t>
      </w:r>
      <w:bookmarkEnd w:id="863"/>
    </w:p>
    <w:p w14:paraId="11715AA7" w14:textId="77777777"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framework</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mandatory</w:t>
      </w:r>
      <w:r w:rsidR="005D5532" w:rsidRPr="00B24C02">
        <w:rPr>
          <w:rFonts w:cs="Arial"/>
          <w:color w:val="000000"/>
          <w:szCs w:val="19"/>
          <w:lang w:eastAsia="en-AU"/>
        </w:rPr>
        <w:t xml:space="preserve"> </w:t>
      </w:r>
      <w:r w:rsidRPr="00B24C02">
        <w:rPr>
          <w:rFonts w:cs="Arial"/>
          <w:color w:val="000000"/>
          <w:szCs w:val="19"/>
          <w:lang w:eastAsia="en-AU"/>
        </w:rPr>
        <w:t>asset</w:t>
      </w:r>
      <w:r w:rsidR="005D5532" w:rsidRPr="00B24C02">
        <w:rPr>
          <w:rFonts w:cs="Arial"/>
          <w:color w:val="000000"/>
          <w:szCs w:val="19"/>
          <w:lang w:eastAsia="en-AU"/>
        </w:rPr>
        <w:t xml:space="preserve"> </w:t>
      </w:r>
      <w:r w:rsidRPr="00B24C02">
        <w:rPr>
          <w:rFonts w:cs="Arial"/>
          <w:color w:val="000000"/>
          <w:szCs w:val="19"/>
          <w:lang w:eastAsia="en-AU"/>
        </w:rPr>
        <w:t>management</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well</w:t>
      </w:r>
      <w:r w:rsidR="005D5532" w:rsidRPr="00B24C02">
        <w:rPr>
          <w:rFonts w:cs="Arial"/>
          <w:color w:val="000000"/>
          <w:szCs w:val="19"/>
          <w:lang w:eastAsia="en-AU"/>
        </w:rPr>
        <w:t xml:space="preserve"> </w:t>
      </w:r>
      <w:r w:rsidRPr="00B24C02">
        <w:rPr>
          <w:rFonts w:cs="Arial"/>
          <w:color w:val="000000"/>
          <w:szCs w:val="19"/>
          <w:lang w:eastAsia="en-AU"/>
        </w:rPr>
        <w:t>as</w:t>
      </w:r>
      <w:r w:rsidR="005D5532" w:rsidRPr="00B24C02">
        <w:rPr>
          <w:rFonts w:cs="Arial"/>
          <w:color w:val="000000"/>
          <w:szCs w:val="19"/>
          <w:lang w:eastAsia="en-AU"/>
        </w:rPr>
        <w:t xml:space="preserve"> </w:t>
      </w:r>
      <w:r w:rsidRPr="00B24C02">
        <w:rPr>
          <w:rFonts w:cs="Arial"/>
          <w:color w:val="000000"/>
          <w:szCs w:val="19"/>
          <w:lang w:eastAsia="en-AU"/>
        </w:rPr>
        <w:t>general</w:t>
      </w:r>
      <w:r w:rsidR="005D5532" w:rsidRPr="00B24C02">
        <w:rPr>
          <w:rFonts w:cs="Arial"/>
          <w:color w:val="000000"/>
          <w:szCs w:val="19"/>
          <w:lang w:eastAsia="en-AU"/>
        </w:rPr>
        <w:t xml:space="preserve"> </w:t>
      </w:r>
      <w:r w:rsidRPr="00B24C02">
        <w:rPr>
          <w:rFonts w:cs="Arial"/>
          <w:color w:val="000000"/>
          <w:szCs w:val="19"/>
          <w:lang w:eastAsia="en-AU"/>
        </w:rPr>
        <w:t>guidance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agencies</w:t>
      </w:r>
      <w:r w:rsidR="005D5532" w:rsidRPr="00B24C02">
        <w:rPr>
          <w:rFonts w:cs="Arial"/>
          <w:color w:val="000000"/>
          <w:szCs w:val="19"/>
          <w:lang w:eastAsia="en-AU"/>
        </w:rPr>
        <w:t xml:space="preserve"> </w:t>
      </w:r>
      <w:r w:rsidRPr="00B24C02">
        <w:rPr>
          <w:rFonts w:cs="Arial"/>
          <w:color w:val="000000"/>
          <w:szCs w:val="19"/>
          <w:lang w:eastAsia="en-AU"/>
        </w:rPr>
        <w:t>responsible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managing</w:t>
      </w:r>
      <w:r w:rsidR="005D5532" w:rsidRPr="00B24C02">
        <w:rPr>
          <w:rFonts w:cs="Arial"/>
          <w:color w:val="000000"/>
          <w:szCs w:val="19"/>
          <w:lang w:eastAsia="en-AU"/>
        </w:rPr>
        <w:t xml:space="preserve"> </w:t>
      </w:r>
      <w:r w:rsidRPr="00B24C02">
        <w:rPr>
          <w:rFonts w:cs="Arial"/>
          <w:color w:val="000000"/>
          <w:szCs w:val="19"/>
          <w:lang w:eastAsia="en-AU"/>
        </w:rPr>
        <w:t>assets.</w:t>
      </w:r>
      <w:r w:rsidR="005D5532" w:rsidRPr="00B24C02">
        <w:rPr>
          <w:rFonts w:cs="Arial"/>
          <w:color w:val="000000"/>
          <w:szCs w:val="19"/>
          <w:lang w:eastAsia="en-AU"/>
        </w:rPr>
        <w:t xml:space="preserve"> </w:t>
      </w:r>
      <w:r w:rsidRPr="00B24C02">
        <w:rPr>
          <w:rFonts w:cs="Arial"/>
          <w:color w:val="000000"/>
          <w:szCs w:val="19"/>
          <w:lang w:eastAsia="en-AU"/>
        </w:rPr>
        <w:t>Mandatory</w:t>
      </w:r>
      <w:r w:rsidR="005D5532" w:rsidRPr="00B24C02">
        <w:rPr>
          <w:rFonts w:cs="Arial"/>
          <w:color w:val="000000"/>
          <w:szCs w:val="19"/>
          <w:lang w:eastAsia="en-AU"/>
        </w:rPr>
        <w:t xml:space="preserve"> </w:t>
      </w:r>
      <w:r w:rsidRPr="00B24C02">
        <w:rPr>
          <w:rFonts w:cs="Arial"/>
          <w:color w:val="000000"/>
          <w:szCs w:val="19"/>
          <w:lang w:eastAsia="en-AU"/>
        </w:rPr>
        <w:t>requirements</w:t>
      </w:r>
      <w:r w:rsidR="005D5532" w:rsidRPr="00B24C02">
        <w:rPr>
          <w:rFonts w:cs="Arial"/>
          <w:color w:val="000000"/>
          <w:szCs w:val="19"/>
          <w:lang w:eastAsia="en-AU"/>
        </w:rPr>
        <w:t xml:space="preserve"> </w:t>
      </w:r>
      <w:r w:rsidRPr="00B24C02">
        <w:rPr>
          <w:rFonts w:cs="Arial"/>
          <w:color w:val="000000"/>
          <w:szCs w:val="19"/>
          <w:lang w:eastAsia="en-AU"/>
        </w:rPr>
        <w:t>include</w:t>
      </w:r>
    </w:p>
    <w:p w14:paraId="44AF7FA0" w14:textId="77777777" w:rsidR="00236748" w:rsidRPr="00276391" w:rsidRDefault="00236748" w:rsidP="00F373A1">
      <w:pPr>
        <w:pStyle w:val="DHHSbullet1"/>
        <w:rPr>
          <w:lang w:eastAsia="en-AU"/>
        </w:rPr>
      </w:pPr>
      <w:r w:rsidRPr="00276391">
        <w:rPr>
          <w:lang w:eastAsia="en-AU"/>
        </w:rPr>
        <w:t>developing</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management</w:t>
      </w:r>
      <w:r w:rsidR="005D5532" w:rsidRPr="00276391">
        <w:rPr>
          <w:lang w:eastAsia="en-AU"/>
        </w:rPr>
        <w:t xml:space="preserve"> </w:t>
      </w:r>
      <w:r w:rsidRPr="00276391">
        <w:rPr>
          <w:lang w:eastAsia="en-AU"/>
        </w:rPr>
        <w:t>strategies,</w:t>
      </w:r>
      <w:r w:rsidR="005D5532" w:rsidRPr="00276391">
        <w:rPr>
          <w:lang w:eastAsia="en-AU"/>
        </w:rPr>
        <w:t xml:space="preserve"> </w:t>
      </w:r>
    </w:p>
    <w:p w14:paraId="1BBFF77E" w14:textId="77777777" w:rsidR="00236748" w:rsidRPr="00276391" w:rsidRDefault="00236748" w:rsidP="00F373A1">
      <w:pPr>
        <w:pStyle w:val="DHHSbullet1"/>
        <w:rPr>
          <w:lang w:eastAsia="en-AU"/>
        </w:rPr>
      </w:pPr>
      <w:r w:rsidRPr="00276391">
        <w:rPr>
          <w:lang w:eastAsia="en-AU"/>
        </w:rPr>
        <w:t>governance</w:t>
      </w:r>
      <w:r w:rsidR="005D5532" w:rsidRPr="00276391">
        <w:rPr>
          <w:lang w:eastAsia="en-AU"/>
        </w:rPr>
        <w:t xml:space="preserve"> </w:t>
      </w:r>
      <w:r w:rsidRPr="00276391">
        <w:rPr>
          <w:lang w:eastAsia="en-AU"/>
        </w:rPr>
        <w:t>frameworks,</w:t>
      </w:r>
      <w:r w:rsidR="005D5532" w:rsidRPr="00276391">
        <w:rPr>
          <w:lang w:eastAsia="en-AU"/>
        </w:rPr>
        <w:t xml:space="preserve"> </w:t>
      </w:r>
    </w:p>
    <w:p w14:paraId="2E865280" w14:textId="77777777" w:rsidR="00236748" w:rsidRPr="00276391" w:rsidRDefault="00236748" w:rsidP="00F373A1">
      <w:pPr>
        <w:pStyle w:val="DHHSbullet1"/>
        <w:rPr>
          <w:lang w:eastAsia="en-AU"/>
        </w:rPr>
      </w:pPr>
      <w:r w:rsidRPr="00276391">
        <w:rPr>
          <w:lang w:eastAsia="en-AU"/>
        </w:rPr>
        <w:t>performance</w:t>
      </w:r>
      <w:r w:rsidR="005D5532" w:rsidRPr="00276391">
        <w:rPr>
          <w:lang w:eastAsia="en-AU"/>
        </w:rPr>
        <w:t xml:space="preserve"> </w:t>
      </w:r>
      <w:r w:rsidRPr="00276391">
        <w:rPr>
          <w:lang w:eastAsia="en-AU"/>
        </w:rPr>
        <w:t>standards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processes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regularly</w:t>
      </w:r>
      <w:r w:rsidR="005D5532" w:rsidRPr="00276391">
        <w:rPr>
          <w:lang w:eastAsia="en-AU"/>
        </w:rPr>
        <w:t xml:space="preserve"> </w:t>
      </w:r>
      <w:r w:rsidRPr="00276391">
        <w:rPr>
          <w:lang w:eastAsia="en-AU"/>
        </w:rPr>
        <w:t>monitor</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improve</w:t>
      </w:r>
      <w:r w:rsidR="005D5532" w:rsidRPr="00276391">
        <w:rPr>
          <w:lang w:eastAsia="en-AU"/>
        </w:rPr>
        <w:t xml:space="preserve"> </w:t>
      </w:r>
      <w:r w:rsidRPr="00276391">
        <w:rPr>
          <w:lang w:eastAsia="en-AU"/>
        </w:rPr>
        <w:t>asset</w:t>
      </w:r>
      <w:r w:rsidR="005D5532" w:rsidRPr="00276391">
        <w:rPr>
          <w:lang w:eastAsia="en-AU"/>
        </w:rPr>
        <w:t xml:space="preserve"> </w:t>
      </w:r>
      <w:r w:rsidRPr="00276391">
        <w:rPr>
          <w:lang w:eastAsia="en-AU"/>
        </w:rPr>
        <w:t>management,</w:t>
      </w:r>
      <w:r w:rsidR="005D5532" w:rsidRPr="00276391">
        <w:rPr>
          <w:lang w:eastAsia="en-AU"/>
        </w:rPr>
        <w:t xml:space="preserve"> </w:t>
      </w:r>
    </w:p>
    <w:p w14:paraId="7217B50A" w14:textId="77777777" w:rsidR="00236748" w:rsidRPr="00276391" w:rsidRDefault="00236748" w:rsidP="00F373A1">
      <w:pPr>
        <w:pStyle w:val="DHHSbullet1"/>
        <w:rPr>
          <w:lang w:eastAsia="en-AU"/>
        </w:rPr>
      </w:pPr>
      <w:r w:rsidRPr="00276391">
        <w:rPr>
          <w:lang w:eastAsia="en-AU"/>
        </w:rPr>
        <w:t>establishing</w:t>
      </w:r>
      <w:r w:rsidR="005D5532" w:rsidRPr="00276391">
        <w:rPr>
          <w:lang w:eastAsia="en-AU"/>
        </w:rPr>
        <w:t xml:space="preserve"> </w:t>
      </w:r>
      <w:r w:rsidRPr="00276391">
        <w:rPr>
          <w:lang w:eastAsia="en-AU"/>
        </w:rPr>
        <w:t>systems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maintaining</w:t>
      </w:r>
      <w:r w:rsidR="005D5532" w:rsidRPr="00276391">
        <w:rPr>
          <w:lang w:eastAsia="en-AU"/>
        </w:rPr>
        <w:t xml:space="preserve"> </w:t>
      </w:r>
      <w:r w:rsidRPr="00276391">
        <w:rPr>
          <w:lang w:eastAsia="en-AU"/>
        </w:rPr>
        <w:t>assets</w:t>
      </w:r>
      <w:r w:rsidR="005D5532" w:rsidRPr="00276391">
        <w:rPr>
          <w:lang w:eastAsia="en-AU"/>
        </w:rPr>
        <w:t xml:space="preserve"> </w:t>
      </w:r>
      <w:r w:rsidRPr="00276391">
        <w:rPr>
          <w:lang w:eastAsia="en-AU"/>
        </w:rPr>
        <w:t>and</w:t>
      </w:r>
      <w:r w:rsidR="005D5532" w:rsidRPr="00276391">
        <w:rPr>
          <w:lang w:eastAsia="en-AU"/>
        </w:rPr>
        <w:t xml:space="preserve"> </w:t>
      </w:r>
    </w:p>
    <w:p w14:paraId="128937D9" w14:textId="77777777" w:rsidR="00236748" w:rsidRPr="00276391" w:rsidRDefault="00236748" w:rsidP="00F373A1">
      <w:pPr>
        <w:pStyle w:val="DHHSbullet1"/>
        <w:rPr>
          <w:lang w:eastAsia="en-AU"/>
        </w:rPr>
      </w:pPr>
      <w:r w:rsidRPr="00276391">
        <w:rPr>
          <w:lang w:eastAsia="en-AU"/>
        </w:rPr>
        <w:t>processes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identifying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addressing</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failures.</w:t>
      </w:r>
      <w:r w:rsidR="005D5532" w:rsidRPr="00276391">
        <w:rPr>
          <w:lang w:eastAsia="en-AU"/>
        </w:rPr>
        <w:t xml:space="preserve"> </w:t>
      </w:r>
    </w:p>
    <w:p w14:paraId="35303302" w14:textId="77777777" w:rsidR="00236748" w:rsidRPr="00276391" w:rsidRDefault="00236748" w:rsidP="001A0795">
      <w:pPr>
        <w:pStyle w:val="Heading4"/>
        <w:rPr>
          <w:lang w:eastAsia="en-AU"/>
        </w:rPr>
      </w:pPr>
      <w:bookmarkStart w:id="864" w:name="_Toc478992221"/>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864"/>
    </w:p>
    <w:p w14:paraId="1521AFE4" w14:textId="229E6415" w:rsidR="00236748" w:rsidRPr="00276391" w:rsidRDefault="00236748" w:rsidP="00276391">
      <w:pPr>
        <w:pStyle w:val="DHHSbody"/>
        <w:rPr>
          <w:lang w:eastAsia="en-AU"/>
        </w:rPr>
      </w:pP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hyperlink r:id="rId300" w:history="1">
        <w:r w:rsidRPr="00986D1E">
          <w:rPr>
            <w:rStyle w:val="Hyperlink"/>
          </w:rPr>
          <w:t>What</w:t>
        </w:r>
        <w:r w:rsidR="005D5532" w:rsidRPr="00986D1E">
          <w:rPr>
            <w:rStyle w:val="Hyperlink"/>
          </w:rPr>
          <w:t xml:space="preserve"> </w:t>
        </w:r>
        <w:r w:rsidRPr="00986D1E">
          <w:rPr>
            <w:rStyle w:val="Hyperlink"/>
          </w:rPr>
          <w:t>is</w:t>
        </w:r>
        <w:r w:rsidR="005D5532" w:rsidRPr="00986D1E">
          <w:rPr>
            <w:rStyle w:val="Hyperlink"/>
          </w:rPr>
          <w:t xml:space="preserve"> </w:t>
        </w:r>
        <w:r w:rsidRPr="00986D1E">
          <w:rPr>
            <w:rStyle w:val="Hyperlink"/>
          </w:rPr>
          <w:t>asset</w:t>
        </w:r>
        <w:r w:rsidR="005D5532" w:rsidRPr="00986D1E">
          <w:rPr>
            <w:rStyle w:val="Hyperlink"/>
          </w:rPr>
          <w:t xml:space="preserve"> </w:t>
        </w:r>
        <w:r w:rsidRPr="00986D1E">
          <w:rPr>
            <w:rStyle w:val="Hyperlink"/>
          </w:rPr>
          <w:t>management</w:t>
        </w:r>
      </w:hyperlink>
      <w:r w:rsidR="005D5532" w:rsidRPr="00B24C02">
        <w:rPr>
          <w:rFonts w:cs="Arial"/>
          <w:color w:val="000000"/>
          <w:szCs w:val="19"/>
          <w:lang w:eastAsia="en-AU"/>
        </w:rPr>
        <w:t xml:space="preserve"> </w:t>
      </w:r>
      <w:r w:rsidR="002D52CA">
        <w:rPr>
          <w:rFonts w:cs="Arial"/>
          <w:color w:val="000000"/>
          <w:szCs w:val="19"/>
          <w:lang w:eastAsia="en-AU"/>
        </w:rPr>
        <w:t>&lt;</w:t>
      </w:r>
      <w:r w:rsidR="002D52CA" w:rsidRPr="002D52CA">
        <w:rPr>
          <w:rFonts w:cs="Arial"/>
          <w:color w:val="000000"/>
          <w:szCs w:val="19"/>
          <w:lang w:eastAsia="en-AU"/>
        </w:rPr>
        <w:t>http://www.dtf.vic.gov.au/Investment-Planning-and-Evaluation/Understanding-investment-planning-and-review/What-is-asset-management</w:t>
      </w:r>
      <w:r w:rsidR="002D52CA">
        <w:rPr>
          <w:rFonts w:cs="Arial"/>
          <w:color w:val="000000"/>
          <w:szCs w:val="19"/>
          <w:lang w:eastAsia="en-AU"/>
        </w:rPr>
        <w:t>&gt;</w:t>
      </w:r>
      <w:r w:rsidR="002D52CA" w:rsidRPr="002D52CA">
        <w:rPr>
          <w:rFonts w:cs="Arial"/>
          <w:color w:val="000000"/>
          <w:szCs w:val="19"/>
          <w:lang w:eastAsia="en-AU"/>
        </w:rPr>
        <w:t xml:space="preserve"> </w:t>
      </w:r>
      <w:r w:rsidRPr="00B24C02">
        <w:rPr>
          <w:rFonts w:cs="Arial"/>
          <w:color w:val="000000"/>
          <w:szCs w:val="19"/>
          <w:lang w:eastAsia="en-AU"/>
        </w:rPr>
        <w:t>(external</w:t>
      </w:r>
      <w:r w:rsidR="005D5532" w:rsidRPr="00B24C02">
        <w:rPr>
          <w:rFonts w:cs="Arial"/>
          <w:color w:val="000000"/>
          <w:szCs w:val="19"/>
          <w:lang w:eastAsia="en-AU"/>
        </w:rPr>
        <w:t xml:space="preserve"> </w:t>
      </w:r>
      <w:r w:rsidRPr="00B24C02">
        <w:rPr>
          <w:rFonts w:cs="Arial"/>
          <w:color w:val="000000"/>
          <w:szCs w:val="19"/>
          <w:lang w:eastAsia="en-AU"/>
        </w:rPr>
        <w:t>link,</w:t>
      </w:r>
      <w:r w:rsidR="005D5532" w:rsidRPr="00B24C02">
        <w:rPr>
          <w:rFonts w:cs="Arial"/>
          <w:color w:val="000000"/>
          <w:szCs w:val="19"/>
          <w:lang w:eastAsia="en-AU"/>
        </w:rPr>
        <w:t xml:space="preserve"> </w:t>
      </w:r>
      <w:r w:rsidRPr="00B24C02">
        <w:rPr>
          <w:rFonts w:cs="Arial"/>
          <w:color w:val="000000"/>
          <w:szCs w:val="19"/>
          <w:lang w:eastAsia="en-AU"/>
        </w:rPr>
        <w:t>opens</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new</w:t>
      </w:r>
      <w:r w:rsidR="005D5532" w:rsidRPr="00B24C02">
        <w:rPr>
          <w:rFonts w:cs="Arial"/>
          <w:color w:val="000000"/>
          <w:szCs w:val="19"/>
          <w:lang w:eastAsia="en-AU"/>
        </w:rPr>
        <w:t xml:space="preserve"> </w:t>
      </w:r>
      <w:r w:rsidRPr="00B24C02">
        <w:rPr>
          <w:rFonts w:cs="Arial"/>
          <w:color w:val="000000"/>
          <w:szCs w:val="19"/>
          <w:lang w:eastAsia="en-AU"/>
        </w:rPr>
        <w:t>window)</w:t>
      </w:r>
      <w:r w:rsidR="005D5532" w:rsidRPr="00B24C02">
        <w:rPr>
          <w:rFonts w:cs="Arial"/>
          <w:color w:val="000000"/>
          <w:szCs w:val="19"/>
          <w:lang w:eastAsia="en-AU"/>
        </w:rPr>
        <w:t xml:space="preserve"> </w:t>
      </w:r>
      <w:r w:rsidRPr="00B24C02">
        <w:rPr>
          <w:rFonts w:cs="Arial"/>
          <w:color w:val="000000"/>
          <w:szCs w:val="19"/>
          <w:lang w:eastAsia="en-AU"/>
        </w:rPr>
        <w:t>web</w:t>
      </w:r>
      <w:r w:rsidR="005D5532" w:rsidRPr="00B24C02">
        <w:rPr>
          <w:rFonts w:cs="Arial"/>
          <w:color w:val="000000"/>
          <w:szCs w:val="19"/>
          <w:lang w:eastAsia="en-AU"/>
        </w:rPr>
        <w:t xml:space="preserve"> </w:t>
      </w:r>
      <w:r w:rsidRPr="00B24C02">
        <w:rPr>
          <w:rFonts w:cs="Arial"/>
          <w:color w:val="000000"/>
          <w:szCs w:val="19"/>
          <w:lang w:eastAsia="en-AU"/>
        </w:rPr>
        <w:t>page</w:t>
      </w:r>
      <w:r w:rsidR="005D5532" w:rsidRPr="00B24C02">
        <w:rPr>
          <w:rFonts w:cs="Arial"/>
          <w:color w:val="000000"/>
          <w:szCs w:val="19"/>
          <w:lang w:eastAsia="en-AU"/>
        </w:rPr>
        <w:t xml:space="preserve"> </w:t>
      </w:r>
      <w:r w:rsidRPr="00B24C02">
        <w:rPr>
          <w:rFonts w:cs="Arial"/>
          <w:color w:val="000000"/>
          <w:szCs w:val="19"/>
          <w:lang w:eastAsia="en-AU"/>
        </w:rPr>
        <w:t>on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Treasury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Finance's</w:t>
      </w:r>
      <w:r w:rsidR="005D5532" w:rsidRPr="00B24C02">
        <w:rPr>
          <w:rFonts w:cs="Arial"/>
          <w:color w:val="000000"/>
          <w:szCs w:val="19"/>
          <w:lang w:eastAsia="en-AU"/>
        </w:rPr>
        <w:t xml:space="preserve"> </w:t>
      </w:r>
      <w:r w:rsidRPr="00B24C02">
        <w:rPr>
          <w:rFonts w:cs="Arial"/>
          <w:color w:val="000000"/>
          <w:szCs w:val="19"/>
          <w:lang w:eastAsia="en-AU"/>
        </w:rPr>
        <w:t>website.</w:t>
      </w:r>
    </w:p>
    <w:p w14:paraId="48658157" w14:textId="77777777" w:rsidR="00236748" w:rsidRPr="00276391" w:rsidRDefault="00236748" w:rsidP="00276391">
      <w:pPr>
        <w:pStyle w:val="DHHSbody"/>
        <w:rPr>
          <w:lang w:eastAsia="en-AU"/>
        </w:rPr>
      </w:pPr>
      <w:r w:rsidRPr="00276391">
        <w:rPr>
          <w:lang w:eastAsia="en-AU"/>
        </w:rPr>
        <w:t>Liz</w:t>
      </w:r>
      <w:r w:rsidR="005D5532" w:rsidRPr="00276391">
        <w:rPr>
          <w:lang w:eastAsia="en-AU"/>
        </w:rPr>
        <w:t xml:space="preserve"> </w:t>
      </w:r>
      <w:r w:rsidRPr="00276391">
        <w:rPr>
          <w:lang w:eastAsia="en-AU"/>
        </w:rPr>
        <w:t>Stackhouse,</w:t>
      </w:r>
      <w:r w:rsidR="005D5532" w:rsidRPr="00276391">
        <w:rPr>
          <w:lang w:eastAsia="en-AU"/>
        </w:rPr>
        <w:t xml:space="preserve"> </w:t>
      </w:r>
      <w:r w:rsidRPr="00276391">
        <w:rPr>
          <w:lang w:eastAsia="en-AU"/>
        </w:rPr>
        <w:t>Assistant</w:t>
      </w:r>
      <w:r w:rsidR="005D5532" w:rsidRPr="00276391">
        <w:rPr>
          <w:lang w:eastAsia="en-AU"/>
        </w:rPr>
        <w:t xml:space="preserve"> </w:t>
      </w:r>
      <w:r w:rsidRPr="00276391">
        <w:rPr>
          <w:lang w:eastAsia="en-AU"/>
        </w:rPr>
        <w:t>Director,</w:t>
      </w:r>
      <w:r w:rsidR="005D5532" w:rsidRPr="00276391">
        <w:rPr>
          <w:lang w:eastAsia="en-AU"/>
        </w:rPr>
        <w:t xml:space="preserve"> </w:t>
      </w:r>
      <w:r w:rsidRPr="00276391">
        <w:rPr>
          <w:lang w:eastAsia="en-AU"/>
        </w:rPr>
        <w:t>Infrastructure</w:t>
      </w:r>
      <w:r w:rsidR="005D5532" w:rsidRPr="00276391">
        <w:rPr>
          <w:lang w:eastAsia="en-AU"/>
        </w:rPr>
        <w:t xml:space="preserve"> </w:t>
      </w:r>
      <w:r w:rsidRPr="00276391">
        <w:rPr>
          <w:lang w:eastAsia="en-AU"/>
        </w:rPr>
        <w:t>Planning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Delivery</w:t>
      </w:r>
      <w:r w:rsidRPr="00276391">
        <w:rPr>
          <w:lang w:eastAsia="en-AU"/>
        </w:rPr>
        <w:br/>
        <w:t>Telephone:</w:t>
      </w:r>
      <w:r w:rsidR="005D5532" w:rsidRPr="00276391">
        <w:rPr>
          <w:lang w:eastAsia="en-AU"/>
        </w:rPr>
        <w:t xml:space="preserve"> </w:t>
      </w:r>
      <w:r w:rsidRPr="00276391">
        <w:rPr>
          <w:lang w:eastAsia="en-AU"/>
        </w:rPr>
        <w:t>(03)</w:t>
      </w:r>
      <w:r w:rsidR="005D5532" w:rsidRPr="00276391">
        <w:rPr>
          <w:lang w:eastAsia="en-AU"/>
        </w:rPr>
        <w:t xml:space="preserve"> </w:t>
      </w:r>
      <w:r w:rsidRPr="00276391">
        <w:rPr>
          <w:lang w:eastAsia="en-AU"/>
        </w:rPr>
        <w:t>9096</w:t>
      </w:r>
      <w:r w:rsidR="005D5532" w:rsidRPr="00276391">
        <w:rPr>
          <w:lang w:eastAsia="en-AU"/>
        </w:rPr>
        <w:t xml:space="preserve"> </w:t>
      </w:r>
      <w:r w:rsidRPr="00276391">
        <w:rPr>
          <w:lang w:eastAsia="en-AU"/>
        </w:rPr>
        <w:t>1312</w:t>
      </w:r>
      <w:r w:rsidRPr="00276391">
        <w:rPr>
          <w:lang w:eastAsia="en-AU"/>
        </w:rPr>
        <w:br/>
        <w:t>Email:</w:t>
      </w:r>
      <w:r w:rsidR="005D5532" w:rsidRPr="00276391">
        <w:rPr>
          <w:lang w:eastAsia="en-AU"/>
        </w:rPr>
        <w:t xml:space="preserve"> </w:t>
      </w:r>
      <w:hyperlink r:id="rId301" w:history="1">
        <w:r w:rsidRPr="00986D1E">
          <w:rPr>
            <w:rStyle w:val="Hyperlink"/>
          </w:rPr>
          <w:t>Liz.Stackhouse@dhhs.vic.gov.au</w:t>
        </w:r>
      </w:hyperlink>
    </w:p>
    <w:p w14:paraId="00079783" w14:textId="09371EEB" w:rsidR="007370DB" w:rsidRPr="00276391" w:rsidRDefault="00FF406D" w:rsidP="007370DB">
      <w:pPr>
        <w:pStyle w:val="Heading2"/>
        <w:rPr>
          <w:rFonts w:cs="Arial"/>
          <w:lang w:eastAsia="en-AU"/>
        </w:rPr>
      </w:pPr>
      <w:bookmarkStart w:id="865" w:name="_Toc478992223"/>
      <w:bookmarkStart w:id="866" w:name="_Toc478992517"/>
      <w:bookmarkStart w:id="867" w:name="_Toc478992936"/>
      <w:bookmarkStart w:id="868" w:name="_Toc4142140"/>
      <w:bookmarkStart w:id="869" w:name="_Toc478992229"/>
      <w:bookmarkStart w:id="870" w:name="_Toc478992519"/>
      <w:bookmarkStart w:id="871" w:name="_Toc478992937"/>
      <w:r>
        <w:rPr>
          <w:rFonts w:cs="Arial"/>
          <w:lang w:eastAsia="en-AU"/>
        </w:rPr>
        <w:t>4.20</w:t>
      </w:r>
      <w:r w:rsidR="007370DB" w:rsidRPr="00276391">
        <w:rPr>
          <w:rFonts w:cs="Arial"/>
          <w:lang w:eastAsia="en-AU"/>
        </w:rPr>
        <w:t xml:space="preserve"> </w:t>
      </w:r>
      <w:r w:rsidR="007370DB">
        <w:rPr>
          <w:rFonts w:cs="Arial"/>
          <w:lang w:eastAsia="en-AU"/>
        </w:rPr>
        <w:t xml:space="preserve">Victorian </w:t>
      </w:r>
      <w:r w:rsidR="007370DB" w:rsidRPr="00276391">
        <w:rPr>
          <w:rFonts w:cs="Arial"/>
          <w:lang w:eastAsia="en-AU"/>
        </w:rPr>
        <w:t>Carers Recognition Act</w:t>
      </w:r>
      <w:bookmarkEnd w:id="865"/>
      <w:bookmarkEnd w:id="866"/>
      <w:bookmarkEnd w:id="867"/>
      <w:bookmarkEnd w:id="868"/>
    </w:p>
    <w:p w14:paraId="0CFC40EB" w14:textId="77777777" w:rsidR="007370DB" w:rsidRPr="00276391" w:rsidRDefault="007370DB" w:rsidP="007370DB">
      <w:pPr>
        <w:pStyle w:val="Heading4"/>
        <w:rPr>
          <w:lang w:eastAsia="en-AU"/>
        </w:rPr>
      </w:pPr>
      <w:bookmarkStart w:id="872" w:name="_Toc478992225"/>
      <w:r w:rsidRPr="00276391">
        <w:rPr>
          <w:lang w:eastAsia="en-AU"/>
        </w:rPr>
        <w:t>Who does this policy apply to?</w:t>
      </w:r>
      <w:bookmarkEnd w:id="872"/>
    </w:p>
    <w:p w14:paraId="445341ED" w14:textId="77777777" w:rsidR="007370DB" w:rsidRPr="00276391" w:rsidRDefault="007370DB" w:rsidP="007370DB">
      <w:pPr>
        <w:pStyle w:val="DHHSbody"/>
        <w:rPr>
          <w:lang w:eastAsia="en-AU"/>
        </w:rPr>
      </w:pPr>
      <w:r w:rsidRPr="00B24C02">
        <w:rPr>
          <w:rFonts w:cs="Arial"/>
          <w:color w:val="000000"/>
          <w:szCs w:val="19"/>
          <w:lang w:eastAsia="en-AU"/>
        </w:rPr>
        <w:t>The Act applies to organisations including state government departments, local councils and public service agencies and their sub-contractors</w:t>
      </w:r>
      <w:r>
        <w:rPr>
          <w:rFonts w:cs="Arial"/>
          <w:color w:val="000000"/>
          <w:szCs w:val="19"/>
          <w:lang w:eastAsia="en-AU"/>
        </w:rPr>
        <w:t>, including Victorian approved National Disability Insurance Scheme (NDIS) providers,</w:t>
      </w:r>
      <w:r w:rsidRPr="00B24C02">
        <w:rPr>
          <w:rFonts w:cs="Arial"/>
          <w:color w:val="000000"/>
          <w:szCs w:val="19"/>
          <w:lang w:eastAsia="en-AU"/>
        </w:rPr>
        <w:t xml:space="preserve"> that provide programs or services that affect people in care relationships.</w:t>
      </w:r>
      <w:r>
        <w:rPr>
          <w:rFonts w:cs="Arial"/>
          <w:color w:val="000000"/>
          <w:szCs w:val="19"/>
          <w:lang w:eastAsia="en-AU"/>
        </w:rPr>
        <w:fldChar w:fldCharType="begin"/>
      </w:r>
      <w:r>
        <w:rPr>
          <w:rFonts w:cs="Arial"/>
          <w:color w:val="000000"/>
          <w:szCs w:val="19"/>
          <w:lang w:eastAsia="en-AU"/>
        </w:rPr>
        <w:instrText xml:space="preserve"> FILENAME  \p  \* MERGEFORMAT </w:instrText>
      </w:r>
      <w:r>
        <w:rPr>
          <w:rFonts w:cs="Arial"/>
          <w:color w:val="000000"/>
          <w:szCs w:val="19"/>
          <w:lang w:eastAsia="en-AU"/>
        </w:rPr>
        <w:fldChar w:fldCharType="end"/>
      </w:r>
    </w:p>
    <w:p w14:paraId="4914F0AC" w14:textId="77777777" w:rsidR="007370DB" w:rsidRPr="00276391" w:rsidRDefault="007370DB" w:rsidP="007370DB">
      <w:pPr>
        <w:pStyle w:val="Heading4"/>
        <w:rPr>
          <w:lang w:eastAsia="en-AU"/>
        </w:rPr>
      </w:pPr>
      <w:bookmarkStart w:id="873" w:name="_Toc478992226"/>
      <w:r w:rsidRPr="00276391">
        <w:rPr>
          <w:lang w:eastAsia="en-AU"/>
        </w:rPr>
        <w:t>Policy purpose</w:t>
      </w:r>
      <w:bookmarkEnd w:id="873"/>
    </w:p>
    <w:p w14:paraId="4361CC94" w14:textId="77777777" w:rsidR="007370DB" w:rsidRPr="00276391" w:rsidRDefault="007370DB" w:rsidP="007370DB">
      <w:pPr>
        <w:pStyle w:val="DHHSbody"/>
        <w:rPr>
          <w:lang w:eastAsia="en-AU"/>
        </w:rPr>
      </w:pPr>
      <w:r w:rsidRPr="00B24C02">
        <w:rPr>
          <w:rFonts w:cs="Arial"/>
          <w:color w:val="000000"/>
          <w:szCs w:val="19"/>
          <w:lang w:eastAsia="en-AU"/>
        </w:rPr>
        <w:t>The purpose of the Act is to recognise, promote and value the role of people in care relationships. It formally acknowledges the important contribution that people in care relationships make to our community and the unique knowledge that carers hold of the person in their care.</w:t>
      </w:r>
    </w:p>
    <w:p w14:paraId="19F2184B" w14:textId="77777777" w:rsidR="007370DB" w:rsidRPr="00276391" w:rsidRDefault="007370DB" w:rsidP="007370DB">
      <w:pPr>
        <w:pStyle w:val="Heading4"/>
        <w:rPr>
          <w:lang w:eastAsia="en-AU"/>
        </w:rPr>
      </w:pPr>
      <w:bookmarkStart w:id="874" w:name="_Toc478992227"/>
      <w:r w:rsidRPr="00276391">
        <w:rPr>
          <w:lang w:eastAsia="en-AU"/>
        </w:rPr>
        <w:t>Legislation and /or regulation</w:t>
      </w:r>
      <w:bookmarkEnd w:id="874"/>
    </w:p>
    <w:p w14:paraId="779AB681" w14:textId="77777777" w:rsidR="007370DB" w:rsidRPr="00276391" w:rsidRDefault="007370DB" w:rsidP="007370DB">
      <w:pPr>
        <w:pStyle w:val="DHHSbody"/>
        <w:rPr>
          <w:lang w:eastAsia="en-AU"/>
        </w:rPr>
      </w:pPr>
      <w:r w:rsidRPr="00B24C02">
        <w:rPr>
          <w:rFonts w:cs="Arial"/>
          <w:color w:val="000000"/>
          <w:szCs w:val="19"/>
          <w:lang w:eastAsia="en-AU"/>
        </w:rPr>
        <w:t xml:space="preserve">A carer is anyone who provides care to another person in a care relationship including carers under the age of 18 years. </w:t>
      </w:r>
    </w:p>
    <w:p w14:paraId="05587B16" w14:textId="6D864467" w:rsidR="007370DB" w:rsidRDefault="007370DB" w:rsidP="007370DB">
      <w:pPr>
        <w:pStyle w:val="DHHSbody"/>
        <w:rPr>
          <w:lang w:eastAsia="en-AU"/>
        </w:rPr>
      </w:pPr>
      <w:r w:rsidRPr="00276391">
        <w:rPr>
          <w:lang w:eastAsia="en-AU"/>
        </w:rPr>
        <w:lastRenderedPageBreak/>
        <w:t xml:space="preserve">A care relationship exists where the person being cared for is an older person, or a person with a disability, a mental illness or an ongoing medical condition. The Act also includes situations where someone is being cared for under the </w:t>
      </w:r>
      <w:hyperlink r:id="rId302" w:tooltip="Link to Legislation.vic.gov.au " w:history="1">
        <w:r w:rsidRPr="00FF406D">
          <w:rPr>
            <w:rStyle w:val="Hyperlink"/>
          </w:rPr>
          <w:t>Children, Youth and Families Act 2005</w:t>
        </w:r>
      </w:hyperlink>
      <w:r w:rsidRPr="00276391">
        <w:rPr>
          <w:lang w:eastAsia="en-AU"/>
        </w:rPr>
        <w:t xml:space="preserve"> </w:t>
      </w:r>
      <w:r>
        <w:rPr>
          <w:lang w:eastAsia="en-AU"/>
        </w:rPr>
        <w:t>&lt;</w:t>
      </w:r>
      <w:r w:rsidR="00FF406D" w:rsidRPr="00FF406D">
        <w:rPr>
          <w:lang w:eastAsia="en-AU"/>
        </w:rPr>
        <w:t>http://www8.austlii.edu.au/cgi-bin/viewdb/au/leg</w:t>
      </w:r>
      <w:r w:rsidR="00806C9A">
        <w:rPr>
          <w:lang w:eastAsia="en-AU"/>
        </w:rPr>
        <w:t>is/vic/consol_act/cyafa2005252/</w:t>
      </w:r>
      <w:r>
        <w:rPr>
          <w:lang w:eastAsia="en-AU"/>
        </w:rPr>
        <w:t>&gt;</w:t>
      </w:r>
      <w:r w:rsidRPr="008F7562">
        <w:rPr>
          <w:lang w:eastAsia="en-AU"/>
        </w:rPr>
        <w:t xml:space="preserve"> </w:t>
      </w:r>
      <w:r w:rsidRPr="00276391">
        <w:rPr>
          <w:lang w:eastAsia="en-AU"/>
        </w:rPr>
        <w:t xml:space="preserve">(external link, opens in a new window), in a foster, kinship or permanent care arrangement. </w:t>
      </w:r>
    </w:p>
    <w:p w14:paraId="2E76B703" w14:textId="77777777" w:rsidR="007370DB" w:rsidRPr="00276391" w:rsidRDefault="007370DB" w:rsidP="007370DB">
      <w:pPr>
        <w:pStyle w:val="DHHSbody"/>
        <w:rPr>
          <w:lang w:eastAsia="en-AU"/>
        </w:rPr>
      </w:pPr>
      <w:r w:rsidRPr="00B24C02">
        <w:rPr>
          <w:rFonts w:cs="Arial"/>
          <w:color w:val="000000"/>
          <w:szCs w:val="19"/>
          <w:lang w:eastAsia="en-AU"/>
        </w:rPr>
        <w:t xml:space="preserve">The Act does not apply to </w:t>
      </w:r>
      <w:r>
        <w:rPr>
          <w:rFonts w:cs="Arial"/>
          <w:color w:val="000000"/>
          <w:szCs w:val="19"/>
          <w:lang w:eastAsia="en-AU"/>
        </w:rPr>
        <w:t xml:space="preserve">programs or services in which </w:t>
      </w:r>
      <w:r w:rsidRPr="00B24C02">
        <w:rPr>
          <w:rFonts w:cs="Arial"/>
          <w:color w:val="000000"/>
          <w:szCs w:val="19"/>
          <w:lang w:eastAsia="en-AU"/>
        </w:rPr>
        <w:t>people</w:t>
      </w:r>
      <w:r>
        <w:rPr>
          <w:rFonts w:cs="Arial"/>
          <w:color w:val="000000"/>
          <w:szCs w:val="19"/>
          <w:lang w:eastAsia="en-AU"/>
        </w:rPr>
        <w:t xml:space="preserve"> are</w:t>
      </w:r>
      <w:r w:rsidRPr="00B24C02">
        <w:rPr>
          <w:rFonts w:cs="Arial"/>
          <w:color w:val="000000"/>
          <w:szCs w:val="19"/>
          <w:lang w:eastAsia="en-AU"/>
        </w:rPr>
        <w:t xml:space="preserve"> employed to provide care services, people provide care as part of professional training or </w:t>
      </w:r>
      <w:r>
        <w:rPr>
          <w:rFonts w:cs="Arial"/>
          <w:color w:val="000000"/>
          <w:szCs w:val="19"/>
          <w:lang w:eastAsia="en-AU"/>
        </w:rPr>
        <w:t>people are</w:t>
      </w:r>
      <w:r w:rsidRPr="00B24C02">
        <w:rPr>
          <w:rFonts w:cs="Arial"/>
          <w:color w:val="000000"/>
          <w:szCs w:val="19"/>
          <w:lang w:eastAsia="en-AU"/>
        </w:rPr>
        <w:t xml:space="preserve"> volunteer</w:t>
      </w:r>
      <w:r>
        <w:rPr>
          <w:rFonts w:cs="Arial"/>
          <w:color w:val="000000"/>
          <w:szCs w:val="19"/>
          <w:lang w:eastAsia="en-AU"/>
        </w:rPr>
        <w:t>s</w:t>
      </w:r>
      <w:r w:rsidRPr="00B24C02">
        <w:rPr>
          <w:rFonts w:cs="Arial"/>
          <w:color w:val="000000"/>
          <w:szCs w:val="19"/>
          <w:lang w:eastAsia="en-AU"/>
        </w:rPr>
        <w:t xml:space="preserve"> for an organisation.</w:t>
      </w:r>
    </w:p>
    <w:p w14:paraId="1B57B486" w14:textId="77777777" w:rsidR="007370DB" w:rsidRPr="00276391" w:rsidRDefault="007370DB" w:rsidP="007370DB">
      <w:pPr>
        <w:pStyle w:val="Heading4"/>
        <w:rPr>
          <w:lang w:eastAsia="en-AU"/>
        </w:rPr>
      </w:pPr>
      <w:bookmarkStart w:id="875" w:name="_Toc478992228"/>
      <w:r w:rsidRPr="00276391">
        <w:rPr>
          <w:lang w:eastAsia="en-AU"/>
        </w:rPr>
        <w:t>Organisation requirements</w:t>
      </w:r>
      <w:bookmarkEnd w:id="875"/>
    </w:p>
    <w:p w14:paraId="0EB548A2" w14:textId="77777777" w:rsidR="007370DB" w:rsidRDefault="007370DB" w:rsidP="0015719F">
      <w:pPr>
        <w:pStyle w:val="DHHSbody"/>
        <w:spacing w:after="0"/>
        <w:rPr>
          <w:rFonts w:cs="Arial"/>
          <w:color w:val="000000"/>
          <w:szCs w:val="19"/>
          <w:lang w:eastAsia="en-AU"/>
        </w:rPr>
      </w:pPr>
      <w:r>
        <w:rPr>
          <w:rFonts w:cs="Arial"/>
          <w:color w:val="000000"/>
          <w:szCs w:val="19"/>
          <w:lang w:eastAsia="en-AU"/>
        </w:rPr>
        <w:t>O</w:t>
      </w:r>
      <w:r w:rsidRPr="00B24C02">
        <w:rPr>
          <w:rFonts w:cs="Arial"/>
          <w:color w:val="000000"/>
          <w:szCs w:val="19"/>
          <w:lang w:eastAsia="en-AU"/>
        </w:rPr>
        <w:t>rganisations</w:t>
      </w:r>
      <w:r>
        <w:rPr>
          <w:rFonts w:cs="Arial"/>
          <w:color w:val="000000"/>
          <w:szCs w:val="19"/>
          <w:lang w:eastAsia="en-AU"/>
        </w:rPr>
        <w:t xml:space="preserve"> </w:t>
      </w:r>
      <w:r w:rsidRPr="00B24C02">
        <w:rPr>
          <w:rFonts w:cs="Arial"/>
          <w:color w:val="000000"/>
          <w:szCs w:val="19"/>
          <w:lang w:eastAsia="en-AU"/>
        </w:rPr>
        <w:t>provid</w:t>
      </w:r>
      <w:r>
        <w:rPr>
          <w:rFonts w:cs="Arial"/>
          <w:color w:val="000000"/>
          <w:szCs w:val="19"/>
          <w:lang w:eastAsia="en-AU"/>
        </w:rPr>
        <w:t xml:space="preserve">ing </w:t>
      </w:r>
      <w:r w:rsidRPr="00B24C02">
        <w:rPr>
          <w:rFonts w:cs="Arial"/>
          <w:color w:val="000000"/>
          <w:szCs w:val="19"/>
          <w:lang w:eastAsia="en-AU"/>
        </w:rPr>
        <w:t>programs or services that affect people in care relationships are required to take all practical measures to comply with the care relationship principles in the Act and to reflect them when developing and implementing support for people in care relationships.</w:t>
      </w:r>
      <w:r w:rsidRPr="00B24C02">
        <w:rPr>
          <w:rFonts w:cs="Arial"/>
          <w:color w:val="000000"/>
          <w:szCs w:val="19"/>
          <w:lang w:eastAsia="en-AU"/>
        </w:rPr>
        <w:br/>
      </w:r>
    </w:p>
    <w:p w14:paraId="5BB01B0F" w14:textId="77777777" w:rsidR="007370DB" w:rsidRPr="00276391" w:rsidRDefault="007370DB" w:rsidP="007370DB">
      <w:pPr>
        <w:pStyle w:val="DHHSbody"/>
        <w:rPr>
          <w:lang w:eastAsia="en-AU"/>
        </w:rPr>
      </w:pPr>
      <w:r w:rsidRPr="00B24C02">
        <w:rPr>
          <w:rFonts w:cs="Arial"/>
          <w:color w:val="000000"/>
          <w:szCs w:val="19"/>
          <w:lang w:eastAsia="en-AU"/>
        </w:rPr>
        <w:t>Organisations must prepare a report on their compliance with the Act, to be included in their annual report. This may be as simple as a paragraph describing the activity undertaken over the year to comply with the Act.</w:t>
      </w:r>
    </w:p>
    <w:p w14:paraId="0E0AEEBC" w14:textId="6C58312E" w:rsidR="007370DB" w:rsidRPr="00276391" w:rsidRDefault="007370DB" w:rsidP="007370DB">
      <w:pPr>
        <w:pStyle w:val="DHHSbody"/>
        <w:rPr>
          <w:lang w:eastAsia="en-AU"/>
        </w:rPr>
      </w:pPr>
      <w:r w:rsidRPr="00276391">
        <w:rPr>
          <w:lang w:eastAsia="en-AU"/>
        </w:rPr>
        <w:t xml:space="preserve">The </w:t>
      </w:r>
      <w:hyperlink r:id="rId303" w:history="1">
        <w:r w:rsidRPr="00986D1E">
          <w:rPr>
            <w:rStyle w:val="Hyperlink"/>
          </w:rPr>
          <w:t>Carers Recognition Act 2012</w:t>
        </w:r>
      </w:hyperlink>
      <w:r>
        <w:rPr>
          <w:b/>
          <w:bCs/>
          <w:lang w:eastAsia="en-AU"/>
        </w:rPr>
        <w:t xml:space="preserve"> </w:t>
      </w:r>
      <w:r w:rsidRPr="008F7562">
        <w:rPr>
          <w:bCs/>
          <w:lang w:eastAsia="en-AU"/>
        </w:rPr>
        <w:t>&lt;</w:t>
      </w:r>
      <w:r w:rsidR="00FF406D" w:rsidRPr="00FF406D">
        <w:rPr>
          <w:bCs/>
          <w:lang w:eastAsia="en-AU"/>
        </w:rPr>
        <w:t>https://providers.dhhs.vic.gov.au/carers-recognition-act-2012</w:t>
      </w:r>
      <w:r w:rsidRPr="008F7562">
        <w:rPr>
          <w:bCs/>
          <w:lang w:eastAsia="en-AU"/>
        </w:rPr>
        <w:t xml:space="preserve">&gt; </w:t>
      </w:r>
      <w:r w:rsidRPr="008F7562">
        <w:rPr>
          <w:lang w:eastAsia="en-AU"/>
        </w:rPr>
        <w:t>(external link, opens in a new window) (the Act) came into effect on 1 July 2012. The purpose of the Act is to recognise, promote</w:t>
      </w:r>
      <w:r w:rsidRPr="00276391">
        <w:rPr>
          <w:lang w:eastAsia="en-AU"/>
        </w:rPr>
        <w:t xml:space="preserve"> and value the role of people in care relationships. It formally acknowledges the important contribution that people in care relationships make to our community and the unique knowledge that carers hold of the person in their care.</w:t>
      </w:r>
    </w:p>
    <w:p w14:paraId="5475656F" w14:textId="77777777" w:rsidR="007370DB" w:rsidRPr="00276391" w:rsidRDefault="007370DB" w:rsidP="007370DB">
      <w:pPr>
        <w:pStyle w:val="DHHSbody"/>
        <w:rPr>
          <w:lang w:eastAsia="en-AU"/>
        </w:rPr>
      </w:pPr>
      <w:r w:rsidRPr="00276391">
        <w:rPr>
          <w:lang w:eastAsia="en-AU"/>
        </w:rPr>
        <w:t xml:space="preserve">For the purposes of the Act, a care relationship exists where the person being cared for is an older person, or a person with a disability, a mental illness or an ongoing medical condition. The Act also includes situations where someone is being cared for under the </w:t>
      </w:r>
      <w:r w:rsidRPr="00276391">
        <w:rPr>
          <w:i/>
          <w:iCs/>
          <w:lang w:eastAsia="en-AU"/>
        </w:rPr>
        <w:t>Children, Youth and Families Act 2005</w:t>
      </w:r>
      <w:r w:rsidRPr="00276391">
        <w:rPr>
          <w:lang w:eastAsia="en-AU"/>
        </w:rPr>
        <w:t>, in a foster, kinship or permanent care arrangement.</w:t>
      </w:r>
    </w:p>
    <w:p w14:paraId="36C12393" w14:textId="77777777" w:rsidR="007370DB" w:rsidRPr="00276391" w:rsidRDefault="007370DB" w:rsidP="007370DB">
      <w:pPr>
        <w:pStyle w:val="DHHSbody"/>
        <w:rPr>
          <w:lang w:eastAsia="en-AU"/>
        </w:rPr>
      </w:pPr>
      <w:r>
        <w:rPr>
          <w:lang w:eastAsia="en-AU"/>
        </w:rPr>
        <w:t>O</w:t>
      </w:r>
      <w:r w:rsidRPr="00276391">
        <w:rPr>
          <w:lang w:eastAsia="en-AU"/>
        </w:rPr>
        <w:t>rganisations that must comply with the Act include state government departments, local councils and public service agencies and their sub-contractors</w:t>
      </w:r>
      <w:r>
        <w:rPr>
          <w:lang w:eastAsia="en-AU"/>
        </w:rPr>
        <w:t>, including Victorian approved NDIS providers,</w:t>
      </w:r>
      <w:r w:rsidRPr="00276391">
        <w:rPr>
          <w:lang w:eastAsia="en-AU"/>
        </w:rPr>
        <w:t xml:space="preserve"> that provide programs or services that affect people in care relationships. These organisations are required to take all practical measures to comply with the care relationship principles in the Act and to reflect them when developing and implementing support for people in care relationships.</w:t>
      </w:r>
    </w:p>
    <w:p w14:paraId="2A7E867C" w14:textId="607ED406" w:rsidR="007370DB" w:rsidRPr="00276391" w:rsidRDefault="007370DB" w:rsidP="007370DB">
      <w:pPr>
        <w:pStyle w:val="DHHSbody"/>
        <w:rPr>
          <w:lang w:eastAsia="en-AU"/>
        </w:rPr>
      </w:pPr>
      <w:r w:rsidRPr="00276391">
        <w:rPr>
          <w:lang w:eastAsia="en-AU"/>
        </w:rPr>
        <w:t xml:space="preserve">Examples of organisations funded by the </w:t>
      </w:r>
      <w:r w:rsidR="00806C9A">
        <w:rPr>
          <w:lang w:eastAsia="en-AU"/>
        </w:rPr>
        <w:t>department</w:t>
      </w:r>
      <w:r w:rsidRPr="00276391">
        <w:rPr>
          <w:lang w:eastAsia="en-AU"/>
        </w:rPr>
        <w:t xml:space="preserve"> that must comply with the Act include:</w:t>
      </w:r>
    </w:p>
    <w:p w14:paraId="52FA12D8" w14:textId="77777777" w:rsidR="007370DB" w:rsidRPr="00276391" w:rsidRDefault="007370DB" w:rsidP="007370DB">
      <w:pPr>
        <w:pStyle w:val="DHHSbullet1"/>
        <w:rPr>
          <w:lang w:eastAsia="en-AU"/>
        </w:rPr>
      </w:pPr>
      <w:r w:rsidRPr="00276391">
        <w:rPr>
          <w:lang w:eastAsia="en-AU"/>
        </w:rPr>
        <w:t xml:space="preserve">Registered Disability Services Organisations </w:t>
      </w:r>
    </w:p>
    <w:p w14:paraId="5EB1D377" w14:textId="77777777" w:rsidR="007370DB" w:rsidRPr="00276391" w:rsidRDefault="007370DB" w:rsidP="007370DB">
      <w:pPr>
        <w:pStyle w:val="DHHSbullet1"/>
        <w:rPr>
          <w:lang w:eastAsia="en-AU"/>
        </w:rPr>
      </w:pPr>
      <w:r w:rsidRPr="00276391">
        <w:rPr>
          <w:lang w:eastAsia="en-AU"/>
        </w:rPr>
        <w:t xml:space="preserve">Home based care providers including foster care, therapeutic foster care, kinship care and permanent care </w:t>
      </w:r>
    </w:p>
    <w:p w14:paraId="670A64C1" w14:textId="77777777" w:rsidR="007370DB" w:rsidRPr="00276391" w:rsidRDefault="007370DB" w:rsidP="007370DB">
      <w:pPr>
        <w:pStyle w:val="DHHSbullet1"/>
        <w:rPr>
          <w:lang w:eastAsia="en-AU"/>
        </w:rPr>
      </w:pPr>
      <w:r w:rsidRPr="00276391">
        <w:rPr>
          <w:lang w:eastAsia="en-AU"/>
        </w:rPr>
        <w:t xml:space="preserve">Support for Carers Program providers </w:t>
      </w:r>
    </w:p>
    <w:p w14:paraId="14C828DE" w14:textId="77777777" w:rsidR="007370DB" w:rsidRPr="00276391" w:rsidRDefault="007370DB" w:rsidP="007370DB">
      <w:pPr>
        <w:pStyle w:val="DHHSbullet1"/>
        <w:rPr>
          <w:lang w:eastAsia="en-AU"/>
        </w:rPr>
      </w:pPr>
      <w:r w:rsidRPr="00276391">
        <w:rPr>
          <w:lang w:eastAsia="en-AU"/>
        </w:rPr>
        <w:t xml:space="preserve">Home and Community Care Program </w:t>
      </w:r>
      <w:r>
        <w:rPr>
          <w:lang w:eastAsia="en-AU"/>
        </w:rPr>
        <w:t xml:space="preserve">for Younger People (HACC PYP) </w:t>
      </w:r>
      <w:r w:rsidRPr="00276391">
        <w:rPr>
          <w:lang w:eastAsia="en-AU"/>
        </w:rPr>
        <w:t xml:space="preserve">providers </w:t>
      </w:r>
    </w:p>
    <w:p w14:paraId="5DD47D93" w14:textId="77777777" w:rsidR="007370DB" w:rsidRPr="00276391" w:rsidRDefault="007370DB" w:rsidP="00806C9A">
      <w:pPr>
        <w:pStyle w:val="DHHSbullet1"/>
        <w:spacing w:after="0"/>
        <w:rPr>
          <w:lang w:eastAsia="en-AU"/>
        </w:rPr>
      </w:pPr>
      <w:r w:rsidRPr="00276391">
        <w:rPr>
          <w:lang w:eastAsia="en-AU"/>
        </w:rPr>
        <w:t xml:space="preserve">Public clinical mental health services, community managed mental health services and alcohol and drug service providers </w:t>
      </w:r>
    </w:p>
    <w:p w14:paraId="3BE261B2" w14:textId="77777777" w:rsidR="007370DB" w:rsidRPr="00276391" w:rsidRDefault="007370DB" w:rsidP="00806C9A">
      <w:pPr>
        <w:pStyle w:val="DHHSbullet1lastline"/>
        <w:spacing w:after="0"/>
        <w:rPr>
          <w:lang w:eastAsia="en-AU"/>
        </w:rPr>
      </w:pPr>
      <w:r w:rsidRPr="00276391">
        <w:rPr>
          <w:lang w:eastAsia="en-AU"/>
        </w:rPr>
        <w:t xml:space="preserve">Palliative Care service providers </w:t>
      </w:r>
    </w:p>
    <w:p w14:paraId="59AA1554" w14:textId="49108625" w:rsidR="007370DB" w:rsidRDefault="007370DB" w:rsidP="00806C9A">
      <w:pPr>
        <w:pStyle w:val="DHHSbullet1"/>
        <w:spacing w:after="0"/>
        <w:rPr>
          <w:lang w:eastAsia="en-AU"/>
        </w:rPr>
      </w:pPr>
      <w:r>
        <w:rPr>
          <w:lang w:eastAsia="en-AU"/>
        </w:rPr>
        <w:t>During transition to the NDIS, all Victorian approved NDIS providers must comply with the Act.</w:t>
      </w:r>
    </w:p>
    <w:p w14:paraId="008CF487" w14:textId="77777777" w:rsidR="00806C9A" w:rsidRDefault="00806C9A" w:rsidP="00806C9A">
      <w:pPr>
        <w:pStyle w:val="DHHSbody"/>
        <w:spacing w:after="0"/>
        <w:rPr>
          <w:lang w:eastAsia="en-AU"/>
        </w:rPr>
      </w:pPr>
    </w:p>
    <w:p w14:paraId="6D012E46" w14:textId="77777777" w:rsidR="007370DB" w:rsidRPr="00276391" w:rsidRDefault="007370DB" w:rsidP="007370DB">
      <w:pPr>
        <w:pStyle w:val="DHHSbody"/>
        <w:rPr>
          <w:lang w:eastAsia="en-AU"/>
        </w:rPr>
      </w:pPr>
      <w:r w:rsidRPr="00276391">
        <w:rPr>
          <w:lang w:eastAsia="en-AU"/>
        </w:rPr>
        <w:t>The Act also specifies that organisations must prepare a report on their compliance with the Act, to be included in their annual report. This may be as simple as a paragraph describing the activity undertaken over the year to comply with the Act.</w:t>
      </w:r>
    </w:p>
    <w:p w14:paraId="61592FCF" w14:textId="4DC273C6" w:rsidR="007370DB" w:rsidRPr="00276391" w:rsidRDefault="007370DB" w:rsidP="007370DB">
      <w:pPr>
        <w:pStyle w:val="DHHSbody"/>
        <w:rPr>
          <w:lang w:eastAsia="en-AU"/>
        </w:rPr>
      </w:pPr>
      <w:r w:rsidRPr="00276391">
        <w:rPr>
          <w:lang w:eastAsia="en-AU"/>
        </w:rPr>
        <w:t>Further information about the Act can be found at</w:t>
      </w:r>
      <w:r>
        <w:rPr>
          <w:lang w:eastAsia="en-AU"/>
        </w:rPr>
        <w:t xml:space="preserve"> </w:t>
      </w:r>
      <w:hyperlink r:id="rId304" w:history="1">
        <w:r w:rsidR="001914F5" w:rsidRPr="003D3A0F">
          <w:rPr>
            <w:rStyle w:val="Hyperlink"/>
            <w:lang w:eastAsia="en-AU"/>
          </w:rPr>
          <w:t>Providers website</w:t>
        </w:r>
      </w:hyperlink>
      <w:r w:rsidRPr="00276391">
        <w:rPr>
          <w:lang w:eastAsia="en-AU"/>
        </w:rPr>
        <w:t xml:space="preserve"> </w:t>
      </w:r>
      <w:r>
        <w:rPr>
          <w:lang w:eastAsia="en-AU"/>
        </w:rPr>
        <w:t>&lt;</w:t>
      </w:r>
      <w:r w:rsidRPr="00AE369E">
        <w:t>http://providers.dhhs.vic.gov.au/carers-recognition-act-2012</w:t>
      </w:r>
      <w:r>
        <w:t>&gt;</w:t>
      </w:r>
      <w:r w:rsidRPr="00276391">
        <w:rPr>
          <w:lang w:eastAsia="en-AU"/>
        </w:rPr>
        <w:t xml:space="preserve"> (external link, opens in a new window). The info</w:t>
      </w:r>
      <w:r w:rsidR="00806C9A">
        <w:rPr>
          <w:lang w:eastAsia="en-AU"/>
        </w:rPr>
        <w:t>rmation includes the fact sheet</w:t>
      </w:r>
      <w:r w:rsidRPr="00276391">
        <w:rPr>
          <w:lang w:eastAsia="en-AU"/>
        </w:rPr>
        <w:t xml:space="preserve"> </w:t>
      </w:r>
      <w:r w:rsidRPr="00806C9A">
        <w:rPr>
          <w:bCs/>
          <w:i/>
          <w:lang w:eastAsia="en-AU"/>
        </w:rPr>
        <w:t>Responsibilities and obligations of governments and organisations</w:t>
      </w:r>
      <w:r w:rsidRPr="00276391">
        <w:rPr>
          <w:lang w:eastAsia="en-AU"/>
        </w:rPr>
        <w:t xml:space="preserve"> which provides guidance for organisations bound by the Act.</w:t>
      </w:r>
    </w:p>
    <w:p w14:paraId="559FBB69" w14:textId="6F37F2D1" w:rsidR="00236748" w:rsidRPr="00276391" w:rsidRDefault="00631E12" w:rsidP="009B2351">
      <w:pPr>
        <w:pStyle w:val="Heading2"/>
        <w:rPr>
          <w:rFonts w:cs="Arial"/>
          <w:lang w:eastAsia="en-AU"/>
        </w:rPr>
      </w:pPr>
      <w:bookmarkStart w:id="876" w:name="_Toc4142141"/>
      <w:r>
        <w:rPr>
          <w:rFonts w:cs="Arial"/>
          <w:lang w:eastAsia="en-AU"/>
        </w:rPr>
        <w:lastRenderedPageBreak/>
        <w:t>4.21</w:t>
      </w:r>
      <w:r w:rsidR="009B2351" w:rsidRPr="00276391">
        <w:rPr>
          <w:rFonts w:cs="Arial"/>
          <w:lang w:eastAsia="en-AU"/>
        </w:rPr>
        <w:t xml:space="preserve"> </w:t>
      </w:r>
      <w:r w:rsidR="00236748" w:rsidRPr="00276391">
        <w:rPr>
          <w:rFonts w:cs="Arial"/>
          <w:lang w:eastAsia="en-AU"/>
        </w:rPr>
        <w:t>Hoarding</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squalor</w:t>
      </w:r>
      <w:r w:rsidR="009B2351" w:rsidRPr="00276391">
        <w:rPr>
          <w:rFonts w:cs="Arial"/>
          <w:lang w:eastAsia="en-AU"/>
        </w:rPr>
        <w:t xml:space="preserve"> </w:t>
      </w:r>
      <w:r w:rsidR="00236748" w:rsidRPr="00276391">
        <w:rPr>
          <w:rFonts w:cs="Arial"/>
          <w:lang w:eastAsia="en-AU"/>
        </w:rPr>
        <w:t>resources</w:t>
      </w:r>
      <w:bookmarkEnd w:id="869"/>
      <w:bookmarkEnd w:id="870"/>
      <w:bookmarkEnd w:id="871"/>
      <w:bookmarkEnd w:id="876"/>
    </w:p>
    <w:p w14:paraId="00E7F3B3" w14:textId="77777777" w:rsidR="00236748" w:rsidRPr="00276391" w:rsidRDefault="00236748" w:rsidP="001A0795">
      <w:pPr>
        <w:pStyle w:val="Heading4"/>
        <w:rPr>
          <w:lang w:eastAsia="en-AU"/>
        </w:rPr>
      </w:pPr>
      <w:bookmarkStart w:id="877" w:name="_Toc478992232"/>
      <w:r w:rsidRPr="00276391">
        <w:rPr>
          <w:lang w:eastAsia="en-AU"/>
        </w:rPr>
        <w:t>Who</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policy</w:t>
      </w:r>
      <w:r w:rsidR="005D5532" w:rsidRPr="00276391">
        <w:rPr>
          <w:lang w:eastAsia="en-AU"/>
        </w:rPr>
        <w:t xml:space="preserve"> </w:t>
      </w:r>
      <w:r w:rsidRPr="00276391">
        <w:rPr>
          <w:lang w:eastAsia="en-AU"/>
        </w:rPr>
        <w:t>apply</w:t>
      </w:r>
      <w:r w:rsidR="005D5532" w:rsidRPr="00276391">
        <w:rPr>
          <w:lang w:eastAsia="en-AU"/>
        </w:rPr>
        <w:t xml:space="preserve"> </w:t>
      </w:r>
      <w:r w:rsidRPr="00276391">
        <w:rPr>
          <w:lang w:eastAsia="en-AU"/>
        </w:rPr>
        <w:t>to?</w:t>
      </w:r>
      <w:bookmarkEnd w:id="877"/>
    </w:p>
    <w:p w14:paraId="5D7CD79E" w14:textId="75987E80"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00806C9A">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developed</w:t>
      </w:r>
      <w:r w:rsidR="005D5532" w:rsidRPr="00B24C02">
        <w:rPr>
          <w:rFonts w:cs="Arial"/>
          <w:color w:val="000000"/>
          <w:szCs w:val="19"/>
          <w:lang w:eastAsia="en-AU"/>
        </w:rPr>
        <w:t xml:space="preserve"> </w:t>
      </w:r>
      <w:r w:rsidRPr="00B24C02">
        <w:rPr>
          <w:rFonts w:cs="Arial"/>
          <w:color w:val="000000"/>
          <w:szCs w:val="19"/>
          <w:lang w:eastAsia="en-AU"/>
        </w:rPr>
        <w:t>these</w:t>
      </w:r>
      <w:r w:rsidR="005D5532" w:rsidRPr="00B24C02">
        <w:rPr>
          <w:rFonts w:cs="Arial"/>
          <w:color w:val="000000"/>
          <w:szCs w:val="19"/>
          <w:lang w:eastAsia="en-AU"/>
        </w:rPr>
        <w:t xml:space="preserve"> </w:t>
      </w:r>
      <w:r w:rsidRPr="00B24C02">
        <w:rPr>
          <w:rFonts w:cs="Arial"/>
          <w:color w:val="000000"/>
          <w:szCs w:val="19"/>
          <w:lang w:eastAsia="en-AU"/>
        </w:rPr>
        <w:t>practical</w:t>
      </w:r>
      <w:r w:rsidR="005D5532" w:rsidRPr="00B24C02">
        <w:rPr>
          <w:rFonts w:cs="Arial"/>
          <w:color w:val="000000"/>
          <w:szCs w:val="19"/>
          <w:lang w:eastAsia="en-AU"/>
        </w:rPr>
        <w:t xml:space="preserve"> </w:t>
      </w:r>
      <w:r w:rsidRPr="00B24C02">
        <w:rPr>
          <w:rFonts w:cs="Arial"/>
          <w:color w:val="000000"/>
          <w:szCs w:val="19"/>
          <w:lang w:eastAsia="en-AU"/>
        </w:rPr>
        <w:t>resources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assist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guide</w:t>
      </w:r>
      <w:r w:rsidR="005D5532" w:rsidRPr="00B24C02">
        <w:rPr>
          <w:rFonts w:cs="Arial"/>
          <w:color w:val="000000"/>
          <w:szCs w:val="19"/>
          <w:lang w:eastAsia="en-AU"/>
        </w:rPr>
        <w:t xml:space="preserve"> </w:t>
      </w:r>
      <w:r w:rsidRPr="00B24C02">
        <w:rPr>
          <w:rFonts w:cs="Arial"/>
          <w:color w:val="000000"/>
          <w:szCs w:val="19"/>
          <w:lang w:eastAsia="en-AU"/>
        </w:rPr>
        <w:t>multiple</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providers,</w:t>
      </w:r>
      <w:r w:rsidR="005D5532" w:rsidRPr="00B24C02">
        <w:rPr>
          <w:rFonts w:cs="Arial"/>
          <w:color w:val="000000"/>
          <w:szCs w:val="19"/>
          <w:lang w:eastAsia="en-AU"/>
        </w:rPr>
        <w:t xml:space="preserve"> </w:t>
      </w:r>
      <w:r w:rsidRPr="00B24C02">
        <w:rPr>
          <w:rFonts w:cs="Arial"/>
          <w:color w:val="000000"/>
          <w:szCs w:val="19"/>
          <w:lang w:eastAsia="en-AU"/>
        </w:rPr>
        <w:t>from</w:t>
      </w:r>
      <w:r w:rsidR="005D5532" w:rsidRPr="00B24C02">
        <w:rPr>
          <w:rFonts w:cs="Arial"/>
          <w:color w:val="000000"/>
          <w:szCs w:val="19"/>
          <w:lang w:eastAsia="en-AU"/>
        </w:rPr>
        <w:t xml:space="preserve"> </w:t>
      </w:r>
      <w:r w:rsidRPr="00B24C02">
        <w:rPr>
          <w:rFonts w:cs="Arial"/>
          <w:color w:val="000000"/>
          <w:szCs w:val="19"/>
          <w:lang w:eastAsia="en-AU"/>
        </w:rPr>
        <w:t>multiple</w:t>
      </w:r>
      <w:r w:rsidR="005D5532" w:rsidRPr="00B24C02">
        <w:rPr>
          <w:rFonts w:cs="Arial"/>
          <w:color w:val="000000"/>
          <w:szCs w:val="19"/>
          <w:lang w:eastAsia="en-AU"/>
        </w:rPr>
        <w:t xml:space="preserve"> </w:t>
      </w:r>
      <w:r w:rsidRPr="00B24C02">
        <w:rPr>
          <w:rFonts w:cs="Arial"/>
          <w:color w:val="000000"/>
          <w:szCs w:val="19"/>
          <w:lang w:eastAsia="en-AU"/>
        </w:rPr>
        <w:t>sectors,</w:t>
      </w:r>
      <w:r w:rsidR="005D5532" w:rsidRPr="00B24C02">
        <w:rPr>
          <w:rFonts w:cs="Arial"/>
          <w:color w:val="000000"/>
          <w:szCs w:val="19"/>
          <w:lang w:eastAsia="en-AU"/>
        </w:rPr>
        <w:t xml:space="preserve"> </w:t>
      </w:r>
      <w:r w:rsidRPr="00B24C02">
        <w:rPr>
          <w:rFonts w:cs="Arial"/>
          <w:color w:val="000000"/>
          <w:szCs w:val="19"/>
          <w:lang w:eastAsia="en-AU"/>
        </w:rPr>
        <w:t>supported</w:t>
      </w:r>
      <w:r w:rsidR="005D5532" w:rsidRPr="00B24C02">
        <w:rPr>
          <w:rFonts w:cs="Arial"/>
          <w:color w:val="000000"/>
          <w:szCs w:val="19"/>
          <w:lang w:eastAsia="en-AU"/>
        </w:rPr>
        <w:t xml:space="preserve"> </w:t>
      </w:r>
      <w:r w:rsidRPr="00B24C02">
        <w:rPr>
          <w:rFonts w:cs="Arial"/>
          <w:color w:val="000000"/>
          <w:szCs w:val="19"/>
          <w:lang w:eastAsia="en-AU"/>
        </w:rPr>
        <w:t>by</w:t>
      </w:r>
      <w:r w:rsidR="005D5532" w:rsidRPr="00B24C02">
        <w:rPr>
          <w:rFonts w:cs="Arial"/>
          <w:color w:val="000000"/>
          <w:szCs w:val="19"/>
          <w:lang w:eastAsia="en-AU"/>
        </w:rPr>
        <w:t xml:space="preserve"> </w:t>
      </w:r>
      <w:r w:rsidRPr="00B24C02">
        <w:rPr>
          <w:rFonts w:cs="Arial"/>
          <w:color w:val="000000"/>
          <w:szCs w:val="19"/>
          <w:lang w:eastAsia="en-AU"/>
        </w:rPr>
        <w:t>all</w:t>
      </w:r>
      <w:r w:rsidR="005D5532" w:rsidRPr="00B24C02">
        <w:rPr>
          <w:rFonts w:cs="Arial"/>
          <w:color w:val="000000"/>
          <w:szCs w:val="19"/>
          <w:lang w:eastAsia="en-AU"/>
        </w:rPr>
        <w:t xml:space="preserve"> </w:t>
      </w: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appropriately</w:t>
      </w:r>
      <w:r w:rsidR="005D5532" w:rsidRPr="00B24C02">
        <w:rPr>
          <w:rFonts w:cs="Arial"/>
          <w:color w:val="000000"/>
          <w:szCs w:val="19"/>
          <w:lang w:eastAsia="en-AU"/>
        </w:rPr>
        <w:t xml:space="preserve"> </w:t>
      </w:r>
      <w:r w:rsidRPr="00B24C02">
        <w:rPr>
          <w:rFonts w:cs="Arial"/>
          <w:color w:val="000000"/>
          <w:szCs w:val="19"/>
          <w:lang w:eastAsia="en-AU"/>
        </w:rPr>
        <w:t>respond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manage</w:t>
      </w:r>
      <w:r w:rsidR="005D5532" w:rsidRPr="00B24C02">
        <w:rPr>
          <w:rFonts w:cs="Arial"/>
          <w:color w:val="000000"/>
          <w:szCs w:val="19"/>
          <w:lang w:eastAsia="en-AU"/>
        </w:rPr>
        <w:t xml:space="preserve"> </w:t>
      </w:r>
      <w:r w:rsidRPr="00B24C02">
        <w:rPr>
          <w:rFonts w:cs="Arial"/>
          <w:color w:val="000000"/>
          <w:szCs w:val="19"/>
          <w:lang w:eastAsia="en-AU"/>
        </w:rPr>
        <w:t>situations</w:t>
      </w:r>
      <w:r w:rsidR="005D5532" w:rsidRPr="00B24C02">
        <w:rPr>
          <w:rFonts w:cs="Arial"/>
          <w:color w:val="000000"/>
          <w:szCs w:val="19"/>
          <w:lang w:eastAsia="en-AU"/>
        </w:rPr>
        <w:t xml:space="preserve"> </w:t>
      </w:r>
      <w:r w:rsidRPr="00B24C02">
        <w:rPr>
          <w:rFonts w:cs="Arial"/>
          <w:color w:val="000000"/>
          <w:szCs w:val="19"/>
          <w:lang w:eastAsia="en-AU"/>
        </w:rPr>
        <w:t>involving</w:t>
      </w:r>
      <w:r w:rsidR="005D5532" w:rsidRPr="00B24C02">
        <w:rPr>
          <w:rFonts w:cs="Arial"/>
          <w:color w:val="000000"/>
          <w:szCs w:val="19"/>
          <w:lang w:eastAsia="en-AU"/>
        </w:rPr>
        <w:t xml:space="preserve"> </w:t>
      </w:r>
      <w:r w:rsidRPr="00B24C02">
        <w:rPr>
          <w:rFonts w:cs="Arial"/>
          <w:color w:val="000000"/>
          <w:szCs w:val="19"/>
          <w:lang w:eastAsia="en-AU"/>
        </w:rPr>
        <w:t>people</w:t>
      </w:r>
      <w:r w:rsidR="005D5532" w:rsidRPr="00B24C02">
        <w:rPr>
          <w:rFonts w:cs="Arial"/>
          <w:color w:val="000000"/>
          <w:szCs w:val="19"/>
          <w:lang w:eastAsia="en-AU"/>
        </w:rPr>
        <w:t xml:space="preserve"> </w:t>
      </w:r>
      <w:r w:rsidRPr="00B24C02">
        <w:rPr>
          <w:rFonts w:cs="Arial"/>
          <w:color w:val="000000"/>
          <w:szCs w:val="19"/>
          <w:lang w:eastAsia="en-AU"/>
        </w:rPr>
        <w:t>with</w:t>
      </w:r>
      <w:r w:rsidR="005D5532" w:rsidRPr="00B24C02">
        <w:rPr>
          <w:rFonts w:cs="Arial"/>
          <w:color w:val="000000"/>
          <w:szCs w:val="19"/>
          <w:lang w:eastAsia="en-AU"/>
        </w:rPr>
        <w:t xml:space="preserve"> </w:t>
      </w:r>
      <w:r w:rsidRPr="00B24C02">
        <w:rPr>
          <w:rFonts w:cs="Arial"/>
          <w:color w:val="000000"/>
          <w:szCs w:val="19"/>
          <w:lang w:eastAsia="en-AU"/>
        </w:rPr>
        <w:t>hoarding</w:t>
      </w:r>
      <w:r w:rsidR="005D5532" w:rsidRPr="00B24C02">
        <w:rPr>
          <w:rFonts w:cs="Arial"/>
          <w:color w:val="000000"/>
          <w:szCs w:val="19"/>
          <w:lang w:eastAsia="en-AU"/>
        </w:rPr>
        <w:t xml:space="preserve"> </w:t>
      </w:r>
      <w:r w:rsidRPr="00B24C02">
        <w:rPr>
          <w:rFonts w:cs="Arial"/>
          <w:color w:val="000000"/>
          <w:szCs w:val="19"/>
          <w:lang w:eastAsia="en-AU"/>
        </w:rPr>
        <w:t>behaviour</w:t>
      </w:r>
      <w:r w:rsidR="005D5532" w:rsidRPr="00B24C02">
        <w:rPr>
          <w:rFonts w:cs="Arial"/>
          <w:color w:val="000000"/>
          <w:szCs w:val="19"/>
          <w:lang w:eastAsia="en-AU"/>
        </w:rPr>
        <w:t xml:space="preserve"> </w:t>
      </w:r>
      <w:r w:rsidRPr="00B24C02">
        <w:rPr>
          <w:rFonts w:cs="Arial"/>
          <w:color w:val="000000"/>
          <w:szCs w:val="19"/>
          <w:lang w:eastAsia="en-AU"/>
        </w:rPr>
        <w:t>or</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squalid</w:t>
      </w:r>
      <w:r w:rsidR="005D5532" w:rsidRPr="00B24C02">
        <w:rPr>
          <w:rFonts w:cs="Arial"/>
          <w:color w:val="000000"/>
          <w:szCs w:val="19"/>
          <w:lang w:eastAsia="en-AU"/>
        </w:rPr>
        <w:t xml:space="preserve"> </w:t>
      </w:r>
      <w:r w:rsidRPr="00B24C02">
        <w:rPr>
          <w:rFonts w:cs="Arial"/>
          <w:color w:val="000000"/>
          <w:szCs w:val="19"/>
          <w:lang w:eastAsia="en-AU"/>
        </w:rPr>
        <w:t>living</w:t>
      </w:r>
      <w:r w:rsidR="005D5532" w:rsidRPr="00B24C02">
        <w:rPr>
          <w:rFonts w:cs="Arial"/>
          <w:color w:val="000000"/>
          <w:szCs w:val="19"/>
          <w:lang w:eastAsia="en-AU"/>
        </w:rPr>
        <w:t xml:space="preserve"> </w:t>
      </w:r>
      <w:r w:rsidRPr="00B24C02">
        <w:rPr>
          <w:rFonts w:cs="Arial"/>
          <w:color w:val="000000"/>
          <w:szCs w:val="19"/>
          <w:lang w:eastAsia="en-AU"/>
        </w:rPr>
        <w:t>environment,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associated</w:t>
      </w:r>
      <w:r w:rsidR="005D5532" w:rsidRPr="00B24C02">
        <w:rPr>
          <w:rFonts w:cs="Arial"/>
          <w:color w:val="000000"/>
          <w:szCs w:val="19"/>
          <w:lang w:eastAsia="en-AU"/>
        </w:rPr>
        <w:t xml:space="preserve"> </w:t>
      </w:r>
      <w:r w:rsidRPr="00B24C02">
        <w:rPr>
          <w:rFonts w:cs="Arial"/>
          <w:color w:val="000000"/>
          <w:szCs w:val="19"/>
          <w:lang w:eastAsia="en-AU"/>
        </w:rPr>
        <w:t>circumstances.</w:t>
      </w:r>
    </w:p>
    <w:p w14:paraId="1968AE14" w14:textId="77777777" w:rsidR="00236748" w:rsidRPr="00276391" w:rsidRDefault="00236748" w:rsidP="001A0795">
      <w:pPr>
        <w:pStyle w:val="Heading4"/>
        <w:rPr>
          <w:lang w:eastAsia="en-AU"/>
        </w:rPr>
      </w:pPr>
      <w:bookmarkStart w:id="878" w:name="_Toc478992233"/>
      <w:r w:rsidRPr="00276391">
        <w:rPr>
          <w:lang w:eastAsia="en-AU"/>
        </w:rPr>
        <w:t>Policy</w:t>
      </w:r>
      <w:r w:rsidR="005D5532" w:rsidRPr="00276391">
        <w:rPr>
          <w:lang w:eastAsia="en-AU"/>
        </w:rPr>
        <w:t xml:space="preserve"> </w:t>
      </w:r>
      <w:r w:rsidRPr="00276391">
        <w:rPr>
          <w:lang w:eastAsia="en-AU"/>
        </w:rPr>
        <w:t>purpose</w:t>
      </w:r>
      <w:bookmarkEnd w:id="878"/>
    </w:p>
    <w:p w14:paraId="5FEB06DC" w14:textId="77777777" w:rsidR="00236748" w:rsidRPr="00276391" w:rsidRDefault="00236748" w:rsidP="00276391">
      <w:pPr>
        <w:pStyle w:val="DHHSbody"/>
        <w:rPr>
          <w:lang w:eastAsia="en-AU"/>
        </w:rPr>
      </w:pPr>
      <w:r w:rsidRPr="00B24C02">
        <w:rPr>
          <w:rFonts w:cs="Arial"/>
          <w:color w:val="000000"/>
          <w:szCs w:val="19"/>
          <w:lang w:eastAsia="en-AU"/>
        </w:rPr>
        <w:t>Life</w:t>
      </w:r>
      <w:r w:rsidR="005D5532" w:rsidRPr="00B24C02">
        <w:rPr>
          <w:rFonts w:cs="Arial"/>
          <w:color w:val="000000"/>
          <w:szCs w:val="19"/>
          <w:lang w:eastAsia="en-AU"/>
        </w:rPr>
        <w:t xml:space="preserve"> </w:t>
      </w:r>
      <w:r w:rsidRPr="00B24C02">
        <w:rPr>
          <w:rFonts w:cs="Arial"/>
          <w:color w:val="000000"/>
          <w:szCs w:val="19"/>
          <w:lang w:eastAsia="en-AU"/>
        </w:rPr>
        <w:t>situations</w:t>
      </w:r>
      <w:r w:rsidR="005D5532" w:rsidRPr="00B24C02">
        <w:rPr>
          <w:rFonts w:cs="Arial"/>
          <w:color w:val="000000"/>
          <w:szCs w:val="19"/>
          <w:lang w:eastAsia="en-AU"/>
        </w:rPr>
        <w:t xml:space="preserve"> </w:t>
      </w:r>
      <w:r w:rsidRPr="00B24C02">
        <w:rPr>
          <w:rFonts w:cs="Arial"/>
          <w:color w:val="000000"/>
          <w:szCs w:val="19"/>
          <w:lang w:eastAsia="en-AU"/>
        </w:rPr>
        <w:t>involving</w:t>
      </w:r>
      <w:r w:rsidR="005D5532" w:rsidRPr="00B24C02">
        <w:rPr>
          <w:rFonts w:cs="Arial"/>
          <w:color w:val="000000"/>
          <w:szCs w:val="19"/>
          <w:lang w:eastAsia="en-AU"/>
        </w:rPr>
        <w:t xml:space="preserve"> </w:t>
      </w:r>
      <w:r w:rsidRPr="00B24C02">
        <w:rPr>
          <w:rFonts w:cs="Arial"/>
          <w:color w:val="000000"/>
          <w:szCs w:val="19"/>
          <w:lang w:eastAsia="en-AU"/>
        </w:rPr>
        <w:t>hoarding</w:t>
      </w:r>
      <w:r w:rsidR="005D5532" w:rsidRPr="00B24C02">
        <w:rPr>
          <w:rFonts w:cs="Arial"/>
          <w:color w:val="000000"/>
          <w:szCs w:val="19"/>
          <w:lang w:eastAsia="en-AU"/>
        </w:rPr>
        <w:t xml:space="preserve"> </w:t>
      </w:r>
      <w:r w:rsidRPr="00B24C02">
        <w:rPr>
          <w:rFonts w:cs="Arial"/>
          <w:color w:val="000000"/>
          <w:szCs w:val="19"/>
          <w:lang w:eastAsia="en-AU"/>
        </w:rPr>
        <w:t>behaviour</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squalid</w:t>
      </w:r>
      <w:r w:rsidR="005D5532" w:rsidRPr="00B24C02">
        <w:rPr>
          <w:rFonts w:cs="Arial"/>
          <w:color w:val="000000"/>
          <w:szCs w:val="19"/>
          <w:lang w:eastAsia="en-AU"/>
        </w:rPr>
        <w:t xml:space="preserve"> </w:t>
      </w:r>
      <w:r w:rsidRPr="00B24C02">
        <w:rPr>
          <w:rFonts w:cs="Arial"/>
          <w:color w:val="000000"/>
          <w:szCs w:val="19"/>
          <w:lang w:eastAsia="en-AU"/>
        </w:rPr>
        <w:t>living</w:t>
      </w:r>
      <w:r w:rsidR="005D5532" w:rsidRPr="00B24C02">
        <w:rPr>
          <w:rFonts w:cs="Arial"/>
          <w:color w:val="000000"/>
          <w:szCs w:val="19"/>
          <w:lang w:eastAsia="en-AU"/>
        </w:rPr>
        <w:t xml:space="preserve"> </w:t>
      </w:r>
      <w:r w:rsidRPr="00B24C02">
        <w:rPr>
          <w:rFonts w:cs="Arial"/>
          <w:color w:val="000000"/>
          <w:szCs w:val="19"/>
          <w:lang w:eastAsia="en-AU"/>
        </w:rPr>
        <w:t>environments</w:t>
      </w:r>
      <w:r w:rsidR="005D5532" w:rsidRPr="00B24C02">
        <w:rPr>
          <w:rFonts w:cs="Arial"/>
          <w:color w:val="000000"/>
          <w:szCs w:val="19"/>
          <w:lang w:eastAsia="en-AU"/>
        </w:rPr>
        <w:t xml:space="preserve"> </w:t>
      </w:r>
      <w:r w:rsidRPr="00B24C02">
        <w:rPr>
          <w:rFonts w:cs="Arial"/>
          <w:color w:val="000000"/>
          <w:szCs w:val="19"/>
          <w:lang w:eastAsia="en-AU"/>
        </w:rPr>
        <w:t>are</w:t>
      </w:r>
      <w:r w:rsidR="005D5532" w:rsidRPr="00B24C02">
        <w:rPr>
          <w:rFonts w:cs="Arial"/>
          <w:color w:val="000000"/>
          <w:szCs w:val="19"/>
          <w:lang w:eastAsia="en-AU"/>
        </w:rPr>
        <w:t xml:space="preserve"> </w:t>
      </w:r>
      <w:r w:rsidRPr="00B24C02">
        <w:rPr>
          <w:rFonts w:cs="Arial"/>
          <w:color w:val="000000"/>
          <w:szCs w:val="19"/>
          <w:lang w:eastAsia="en-AU"/>
        </w:rPr>
        <w:t>complex</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generally</w:t>
      </w:r>
      <w:r w:rsidR="005D5532" w:rsidRPr="00B24C02">
        <w:rPr>
          <w:rFonts w:cs="Arial"/>
          <w:color w:val="000000"/>
          <w:szCs w:val="19"/>
          <w:lang w:eastAsia="en-AU"/>
        </w:rPr>
        <w:t xml:space="preserve"> </w:t>
      </w:r>
      <w:r w:rsidRPr="00B24C02">
        <w:rPr>
          <w:rFonts w:cs="Arial"/>
          <w:color w:val="000000"/>
          <w:szCs w:val="19"/>
          <w:lang w:eastAsia="en-AU"/>
        </w:rPr>
        <w:t>need</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involve</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broad</w:t>
      </w:r>
      <w:r w:rsidR="005D5532" w:rsidRPr="00B24C02">
        <w:rPr>
          <w:rFonts w:cs="Arial"/>
          <w:color w:val="000000"/>
          <w:szCs w:val="19"/>
          <w:lang w:eastAsia="en-AU"/>
        </w:rPr>
        <w:t xml:space="preserve"> </w:t>
      </w:r>
      <w:r w:rsidRPr="00B24C02">
        <w:rPr>
          <w:rFonts w:cs="Arial"/>
          <w:color w:val="000000"/>
          <w:szCs w:val="19"/>
          <w:lang w:eastAsia="en-AU"/>
        </w:rPr>
        <w:t>range</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providers.</w:t>
      </w:r>
      <w:r w:rsidR="005D5532" w:rsidRPr="00B24C02">
        <w:rPr>
          <w:rFonts w:cs="Arial"/>
          <w:color w:val="000000"/>
          <w:szCs w:val="19"/>
          <w:lang w:eastAsia="en-AU"/>
        </w:rPr>
        <w:t xml:space="preserve"> </w:t>
      </w:r>
    </w:p>
    <w:p w14:paraId="56731EB5" w14:textId="7777777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aim</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response,</w:t>
      </w:r>
      <w:r w:rsidR="005D5532" w:rsidRPr="00276391">
        <w:rPr>
          <w:lang w:eastAsia="en-AU"/>
        </w:rPr>
        <w:t xml:space="preserve"> </w:t>
      </w:r>
      <w:r w:rsidRPr="00276391">
        <w:rPr>
          <w:lang w:eastAsia="en-AU"/>
        </w:rPr>
        <w:t>particularly</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relates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complex</w:t>
      </w:r>
      <w:r w:rsidR="005D5532" w:rsidRPr="00276391">
        <w:rPr>
          <w:lang w:eastAsia="en-AU"/>
        </w:rPr>
        <w:t xml:space="preserve"> </w:t>
      </w:r>
      <w:r w:rsidRPr="00276391">
        <w:rPr>
          <w:lang w:eastAsia="en-AU"/>
        </w:rPr>
        <w:t>life</w:t>
      </w:r>
      <w:r w:rsidR="005D5532" w:rsidRPr="00276391">
        <w:rPr>
          <w:lang w:eastAsia="en-AU"/>
        </w:rPr>
        <w:t xml:space="preserve"> </w:t>
      </w:r>
      <w:r w:rsidRPr="00276391">
        <w:rPr>
          <w:lang w:eastAsia="en-AU"/>
        </w:rPr>
        <w:t>situations,</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enable</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empower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person</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act</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own</w:t>
      </w:r>
      <w:r w:rsidR="005D5532" w:rsidRPr="00276391">
        <w:rPr>
          <w:lang w:eastAsia="en-AU"/>
        </w:rPr>
        <w:t xml:space="preserve"> </w:t>
      </w:r>
      <w:r w:rsidRPr="00276391">
        <w:rPr>
          <w:lang w:eastAsia="en-AU"/>
        </w:rPr>
        <w:t>behalf,</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exercise</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rights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confident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assist</w:t>
      </w:r>
      <w:r w:rsidR="005D5532" w:rsidRPr="00276391">
        <w:rPr>
          <w:lang w:eastAsia="en-AU"/>
        </w:rPr>
        <w:t xml:space="preserve"> </w:t>
      </w:r>
      <w:r w:rsidRPr="00276391">
        <w:rPr>
          <w:lang w:eastAsia="en-AU"/>
        </w:rPr>
        <w:t>them.</w:t>
      </w:r>
      <w:r w:rsidR="005D5532" w:rsidRPr="00276391">
        <w:rPr>
          <w:lang w:eastAsia="en-AU"/>
        </w:rPr>
        <w:t xml:space="preserve"> </w:t>
      </w:r>
    </w:p>
    <w:p w14:paraId="196DD81A" w14:textId="77777777" w:rsidR="00236748" w:rsidRPr="00276391" w:rsidRDefault="00236748" w:rsidP="00276391">
      <w:pPr>
        <w:pStyle w:val="DHHSbody"/>
        <w:rPr>
          <w:lang w:eastAsia="en-AU"/>
        </w:rPr>
      </w:pPr>
      <w:r w:rsidRPr="00276391">
        <w:rPr>
          <w:lang w:eastAsia="en-AU"/>
        </w:rPr>
        <w:t>This</w:t>
      </w:r>
      <w:r w:rsidR="005D5532" w:rsidRPr="00276391">
        <w:rPr>
          <w:lang w:eastAsia="en-AU"/>
        </w:rPr>
        <w:t xml:space="preserve"> </w:t>
      </w:r>
      <w:r w:rsidRPr="00276391">
        <w:rPr>
          <w:lang w:eastAsia="en-AU"/>
        </w:rPr>
        <w:t>practical</w:t>
      </w:r>
      <w:r w:rsidR="005D5532" w:rsidRPr="00276391">
        <w:rPr>
          <w:lang w:eastAsia="en-AU"/>
        </w:rPr>
        <w:t xml:space="preserve"> </w:t>
      </w:r>
      <w:r w:rsidRPr="00276391">
        <w:rPr>
          <w:lang w:eastAsia="en-AU"/>
        </w:rPr>
        <w:t>resource</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attempt</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define</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aspect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diagnosis</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clinical</w:t>
      </w:r>
      <w:r w:rsidR="005D5532" w:rsidRPr="00276391">
        <w:rPr>
          <w:lang w:eastAsia="en-AU"/>
        </w:rPr>
        <w:t xml:space="preserve"> </w:t>
      </w:r>
      <w:r w:rsidRPr="00276391">
        <w:rPr>
          <w:lang w:eastAsia="en-AU"/>
        </w:rPr>
        <w:t>intervention,</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skill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responsibility</w:t>
      </w:r>
      <w:r w:rsidR="005D5532" w:rsidRPr="00276391">
        <w:rPr>
          <w:lang w:eastAsia="en-AU"/>
        </w:rPr>
        <w:t xml:space="preserve"> </w:t>
      </w:r>
      <w:r w:rsidRPr="00276391">
        <w:rPr>
          <w:lang w:eastAsia="en-AU"/>
        </w:rPr>
        <w:t>lies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professional</w:t>
      </w:r>
      <w:r w:rsidR="005D5532" w:rsidRPr="00276391">
        <w:rPr>
          <w:lang w:eastAsia="en-AU"/>
        </w:rPr>
        <w:t xml:space="preserve"> </w:t>
      </w:r>
      <w:r w:rsidRPr="00276391">
        <w:rPr>
          <w:lang w:eastAsia="en-AU"/>
        </w:rPr>
        <w:t>areas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psychology,</w:t>
      </w:r>
      <w:r w:rsidR="005D5532" w:rsidRPr="00276391">
        <w:rPr>
          <w:lang w:eastAsia="en-AU"/>
        </w:rPr>
        <w:t xml:space="preserve"> </w:t>
      </w:r>
      <w:r w:rsidRPr="00276391">
        <w:rPr>
          <w:lang w:eastAsia="en-AU"/>
        </w:rPr>
        <w:t>psychiatry,</w:t>
      </w:r>
      <w:r w:rsidR="005D5532" w:rsidRPr="00276391">
        <w:rPr>
          <w:lang w:eastAsia="en-AU"/>
        </w:rPr>
        <w:t xml:space="preserve"> </w:t>
      </w:r>
      <w:r w:rsidRPr="00276391">
        <w:rPr>
          <w:lang w:eastAsia="en-AU"/>
        </w:rPr>
        <w:t>psychogeriatrics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geriatrics,</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well</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broader</w:t>
      </w:r>
      <w:r w:rsidR="005D5532" w:rsidRPr="00276391">
        <w:rPr>
          <w:lang w:eastAsia="en-AU"/>
        </w:rPr>
        <w:t xml:space="preserve"> </w:t>
      </w:r>
      <w:r w:rsidRPr="00276391">
        <w:rPr>
          <w:lang w:eastAsia="en-AU"/>
        </w:rPr>
        <w:t>ambit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mental</w:t>
      </w:r>
      <w:r w:rsidR="005D5532" w:rsidRPr="00276391">
        <w:rPr>
          <w:lang w:eastAsia="en-AU"/>
        </w:rPr>
        <w:t xml:space="preserve"> </w:t>
      </w:r>
      <w:r w:rsidRPr="00276391">
        <w:rPr>
          <w:lang w:eastAsia="en-AU"/>
        </w:rPr>
        <w:t>health.</w:t>
      </w:r>
      <w:r w:rsidR="005D5532" w:rsidRPr="00276391">
        <w:rPr>
          <w:lang w:eastAsia="en-AU"/>
        </w:rPr>
        <w:t xml:space="preserve"> </w:t>
      </w:r>
    </w:p>
    <w:p w14:paraId="260828D3" w14:textId="77777777" w:rsidR="00236748" w:rsidRPr="00276391" w:rsidRDefault="00236748" w:rsidP="001A0795">
      <w:pPr>
        <w:pStyle w:val="Heading4"/>
        <w:rPr>
          <w:lang w:eastAsia="en-AU"/>
        </w:rPr>
      </w:pPr>
      <w:bookmarkStart w:id="879" w:name="_Toc478992234"/>
      <w:r w:rsidRPr="00276391">
        <w:rPr>
          <w:lang w:eastAsia="en-AU"/>
        </w:rPr>
        <w:t>Legislation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regulation</w:t>
      </w:r>
      <w:bookmarkEnd w:id="879"/>
    </w:p>
    <w:p w14:paraId="2212F627" w14:textId="77777777" w:rsidR="00236748" w:rsidRPr="00276391" w:rsidRDefault="00236748" w:rsidP="00276391">
      <w:pPr>
        <w:pStyle w:val="DHHSbody"/>
        <w:rPr>
          <w:lang w:eastAsia="en-AU"/>
        </w:rPr>
      </w:pPr>
      <w:r w:rsidRPr="00B24C02">
        <w:rPr>
          <w:rFonts w:cs="Arial"/>
          <w:color w:val="000000"/>
          <w:szCs w:val="19"/>
          <w:lang w:eastAsia="en-AU"/>
        </w:rPr>
        <w:t>Not</w:t>
      </w:r>
      <w:r w:rsidR="005D5532" w:rsidRPr="00B24C02">
        <w:rPr>
          <w:rFonts w:cs="Arial"/>
          <w:color w:val="000000"/>
          <w:szCs w:val="19"/>
          <w:lang w:eastAsia="en-AU"/>
        </w:rPr>
        <w:t xml:space="preserve"> </w:t>
      </w:r>
      <w:r w:rsidRPr="00B24C02">
        <w:rPr>
          <w:rFonts w:cs="Arial"/>
          <w:color w:val="000000"/>
          <w:szCs w:val="19"/>
          <w:lang w:eastAsia="en-AU"/>
        </w:rPr>
        <w:t>applicable</w:t>
      </w:r>
    </w:p>
    <w:p w14:paraId="4C7A054B" w14:textId="77777777" w:rsidR="00236748" w:rsidRPr="00276391" w:rsidRDefault="00236748" w:rsidP="001A0795">
      <w:pPr>
        <w:pStyle w:val="Heading4"/>
        <w:rPr>
          <w:lang w:eastAsia="en-AU"/>
        </w:rPr>
      </w:pPr>
      <w:bookmarkStart w:id="880" w:name="_Toc478992235"/>
      <w:r w:rsidRPr="00276391">
        <w:rPr>
          <w:lang w:eastAsia="en-AU"/>
        </w:rPr>
        <w:t>Organisation</w:t>
      </w:r>
      <w:r w:rsidR="005D5532" w:rsidRPr="00276391">
        <w:rPr>
          <w:lang w:eastAsia="en-AU"/>
        </w:rPr>
        <w:t xml:space="preserve"> </w:t>
      </w:r>
      <w:r w:rsidRPr="00276391">
        <w:rPr>
          <w:lang w:eastAsia="en-AU"/>
        </w:rPr>
        <w:t>requirements</w:t>
      </w:r>
      <w:bookmarkEnd w:id="880"/>
    </w:p>
    <w:p w14:paraId="0029E0E5" w14:textId="77777777" w:rsidR="00236748" w:rsidRPr="00276391" w:rsidRDefault="00236748" w:rsidP="00276391">
      <w:pPr>
        <w:pStyle w:val="DHHSbody"/>
        <w:rPr>
          <w:lang w:eastAsia="en-AU"/>
        </w:rPr>
      </w:pPr>
      <w:r w:rsidRPr="00B24C02">
        <w:rPr>
          <w:rFonts w:cs="Arial"/>
          <w:color w:val="000000"/>
          <w:szCs w:val="19"/>
          <w:lang w:eastAsia="en-AU"/>
        </w:rPr>
        <w:t>Government</w:t>
      </w:r>
      <w:r w:rsidR="005D5532" w:rsidRPr="00B24C02">
        <w:rPr>
          <w:rFonts w:cs="Arial"/>
          <w:color w:val="000000"/>
          <w:szCs w:val="19"/>
          <w:lang w:eastAsia="en-AU"/>
        </w:rPr>
        <w:t xml:space="preserve"> </w:t>
      </w:r>
      <w:r w:rsidRPr="00B24C02">
        <w:rPr>
          <w:rFonts w:cs="Arial"/>
          <w:color w:val="000000"/>
          <w:szCs w:val="19"/>
          <w:lang w:eastAsia="en-AU"/>
        </w:rPr>
        <w:t>funded</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businesses</w:t>
      </w:r>
      <w:r w:rsidR="005D5532" w:rsidRPr="00B24C02">
        <w:rPr>
          <w:rFonts w:cs="Arial"/>
          <w:color w:val="000000"/>
          <w:szCs w:val="19"/>
          <w:lang w:eastAsia="en-AU"/>
        </w:rPr>
        <w:t xml:space="preserve"> </w:t>
      </w:r>
      <w:r w:rsidRPr="00B24C02">
        <w:rPr>
          <w:rFonts w:cs="Arial"/>
          <w:color w:val="000000"/>
          <w:szCs w:val="19"/>
          <w:lang w:eastAsia="en-AU"/>
        </w:rPr>
        <w:t>can</w:t>
      </w:r>
      <w:r w:rsidR="005D5532" w:rsidRPr="00B24C02">
        <w:rPr>
          <w:rFonts w:cs="Arial"/>
          <w:color w:val="000000"/>
          <w:szCs w:val="19"/>
          <w:lang w:eastAsia="en-AU"/>
        </w:rPr>
        <w:t xml:space="preserve"> </w:t>
      </w:r>
      <w:r w:rsidRPr="00B24C02">
        <w:rPr>
          <w:rFonts w:cs="Arial"/>
          <w:color w:val="000000"/>
          <w:szCs w:val="19"/>
          <w:lang w:eastAsia="en-AU"/>
        </w:rPr>
        <w:t>refer</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best</w:t>
      </w:r>
      <w:r w:rsidR="005D5532" w:rsidRPr="00B24C02">
        <w:rPr>
          <w:rFonts w:cs="Arial"/>
          <w:color w:val="000000"/>
          <w:szCs w:val="19"/>
          <w:lang w:eastAsia="en-AU"/>
        </w:rPr>
        <w:t xml:space="preserve"> </w:t>
      </w:r>
      <w:r w:rsidRPr="00B24C02">
        <w:rPr>
          <w:rFonts w:cs="Arial"/>
          <w:color w:val="000000"/>
          <w:szCs w:val="19"/>
          <w:lang w:eastAsia="en-AU"/>
        </w:rPr>
        <w:t>practice</w:t>
      </w:r>
      <w:r w:rsidR="005D5532" w:rsidRPr="00B24C02">
        <w:rPr>
          <w:rFonts w:cs="Arial"/>
          <w:color w:val="000000"/>
          <w:szCs w:val="19"/>
          <w:lang w:eastAsia="en-AU"/>
        </w:rPr>
        <w:t xml:space="preserve"> </w:t>
      </w:r>
      <w:r w:rsidRPr="00B24C02">
        <w:rPr>
          <w:rFonts w:cs="Arial"/>
          <w:color w:val="000000"/>
          <w:szCs w:val="19"/>
          <w:lang w:eastAsia="en-AU"/>
        </w:rPr>
        <w:t>resource</w:t>
      </w:r>
      <w:r w:rsidR="005D5532" w:rsidRPr="00B24C02">
        <w:rPr>
          <w:rFonts w:cs="Arial"/>
          <w:color w:val="000000"/>
          <w:szCs w:val="19"/>
          <w:lang w:eastAsia="en-AU"/>
        </w:rPr>
        <w:t xml:space="preserve"> </w:t>
      </w:r>
      <w:r w:rsidRPr="00B24C02">
        <w:rPr>
          <w:rFonts w:cs="Arial"/>
          <w:color w:val="000000"/>
          <w:szCs w:val="19"/>
          <w:lang w:eastAsia="en-AU"/>
        </w:rPr>
        <w:t>to:</w:t>
      </w:r>
    </w:p>
    <w:p w14:paraId="61A57214" w14:textId="77777777" w:rsidR="00236748" w:rsidRPr="00276391" w:rsidRDefault="00236748" w:rsidP="0015719F">
      <w:pPr>
        <w:pStyle w:val="DHHSbullet1"/>
        <w:spacing w:after="0"/>
        <w:rPr>
          <w:lang w:eastAsia="en-AU"/>
        </w:rPr>
      </w:pPr>
      <w:r w:rsidRPr="00276391">
        <w:rPr>
          <w:lang w:eastAsia="en-AU"/>
        </w:rPr>
        <w:t>develop</w:t>
      </w:r>
      <w:r w:rsidR="005D5532" w:rsidRPr="00276391">
        <w:rPr>
          <w:lang w:eastAsia="en-AU"/>
        </w:rPr>
        <w:t xml:space="preserve"> </w:t>
      </w:r>
      <w:r w:rsidRPr="00276391">
        <w:rPr>
          <w:lang w:eastAsia="en-AU"/>
        </w:rPr>
        <w:t>capacity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work</w:t>
      </w:r>
      <w:r w:rsidR="005D5532" w:rsidRPr="00276391">
        <w:rPr>
          <w:lang w:eastAsia="en-AU"/>
        </w:rPr>
        <w:t xml:space="preserve"> </w:t>
      </w:r>
      <w:r w:rsidRPr="00276391">
        <w:rPr>
          <w:lang w:eastAsia="en-AU"/>
        </w:rPr>
        <w:t>together</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responding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situations</w:t>
      </w:r>
      <w:r w:rsidR="005D5532" w:rsidRPr="00276391">
        <w:rPr>
          <w:lang w:eastAsia="en-AU"/>
        </w:rPr>
        <w:t xml:space="preserve"> </w:t>
      </w:r>
      <w:r w:rsidRPr="00276391">
        <w:rPr>
          <w:lang w:eastAsia="en-AU"/>
        </w:rPr>
        <w:t>involving</w:t>
      </w:r>
      <w:r w:rsidR="005D5532" w:rsidRPr="00276391">
        <w:rPr>
          <w:lang w:eastAsia="en-AU"/>
        </w:rPr>
        <w:t xml:space="preserve"> </w:t>
      </w:r>
      <w:r w:rsidRPr="00276391">
        <w:rPr>
          <w:lang w:eastAsia="en-AU"/>
        </w:rPr>
        <w:t>hoarding</w:t>
      </w:r>
      <w:r w:rsidR="005D5532" w:rsidRPr="00276391">
        <w:rPr>
          <w:lang w:eastAsia="en-AU"/>
        </w:rPr>
        <w:t xml:space="preserve"> </w:t>
      </w:r>
      <w:r w:rsidRPr="00276391">
        <w:rPr>
          <w:lang w:eastAsia="en-AU"/>
        </w:rPr>
        <w:t>behaviour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squalid</w:t>
      </w:r>
      <w:r w:rsidR="005D5532" w:rsidRPr="00276391">
        <w:rPr>
          <w:lang w:eastAsia="en-AU"/>
        </w:rPr>
        <w:t xml:space="preserve"> </w:t>
      </w:r>
      <w:r w:rsidRPr="00276391">
        <w:rPr>
          <w:lang w:eastAsia="en-AU"/>
        </w:rPr>
        <w:t>living</w:t>
      </w:r>
      <w:r w:rsidR="005D5532" w:rsidRPr="00276391">
        <w:rPr>
          <w:lang w:eastAsia="en-AU"/>
        </w:rPr>
        <w:t xml:space="preserve"> </w:t>
      </w:r>
      <w:r w:rsidRPr="00276391">
        <w:rPr>
          <w:lang w:eastAsia="en-AU"/>
        </w:rPr>
        <w:t>conditions</w:t>
      </w:r>
      <w:r w:rsidR="005D5532" w:rsidRPr="00276391">
        <w:rPr>
          <w:lang w:eastAsia="en-AU"/>
        </w:rPr>
        <w:t xml:space="preserve"> </w:t>
      </w:r>
    </w:p>
    <w:p w14:paraId="23164EA6" w14:textId="77777777" w:rsidR="00236748" w:rsidRPr="00276391" w:rsidRDefault="00236748" w:rsidP="0015719F">
      <w:pPr>
        <w:pStyle w:val="DHHSbullet1"/>
        <w:spacing w:after="0"/>
        <w:rPr>
          <w:lang w:eastAsia="en-AU"/>
        </w:rPr>
      </w:pPr>
      <w:r w:rsidRPr="00276391">
        <w:rPr>
          <w:lang w:eastAsia="en-AU"/>
        </w:rPr>
        <w:t>better</w:t>
      </w:r>
      <w:r w:rsidR="005D5532" w:rsidRPr="00276391">
        <w:rPr>
          <w:lang w:eastAsia="en-AU"/>
        </w:rPr>
        <w:t xml:space="preserve"> </w:t>
      </w:r>
      <w:r w:rsidRPr="00276391">
        <w:rPr>
          <w:lang w:eastAsia="en-AU"/>
        </w:rPr>
        <w:t>understand</w:t>
      </w:r>
      <w:r w:rsidR="005D5532" w:rsidRPr="00276391">
        <w:rPr>
          <w:lang w:eastAsia="en-AU"/>
        </w:rPr>
        <w:t xml:space="preserve"> </w:t>
      </w:r>
      <w:r w:rsidRPr="00276391">
        <w:rPr>
          <w:lang w:eastAsia="en-AU"/>
        </w:rPr>
        <w:t>practical</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response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complex</w:t>
      </w:r>
      <w:r w:rsidR="005D5532" w:rsidRPr="00276391">
        <w:rPr>
          <w:lang w:eastAsia="en-AU"/>
        </w:rPr>
        <w:t xml:space="preserve"> </w:t>
      </w:r>
      <w:r w:rsidRPr="00276391">
        <w:rPr>
          <w:lang w:eastAsia="en-AU"/>
        </w:rPr>
        <w:t>life</w:t>
      </w:r>
      <w:r w:rsidR="005D5532" w:rsidRPr="00276391">
        <w:rPr>
          <w:lang w:eastAsia="en-AU"/>
        </w:rPr>
        <w:t xml:space="preserve"> </w:t>
      </w:r>
      <w:r w:rsidRPr="00276391">
        <w:rPr>
          <w:lang w:eastAsia="en-AU"/>
        </w:rPr>
        <w:t>situations</w:t>
      </w:r>
      <w:r w:rsidR="005D5532" w:rsidRPr="00276391">
        <w:rPr>
          <w:lang w:eastAsia="en-AU"/>
        </w:rPr>
        <w:t xml:space="preserve"> </w:t>
      </w:r>
    </w:p>
    <w:p w14:paraId="29D3EEF4" w14:textId="77777777" w:rsidR="00236748" w:rsidRPr="00276391" w:rsidRDefault="00236748" w:rsidP="0015719F">
      <w:pPr>
        <w:pStyle w:val="DHHSbullet1lastline"/>
        <w:spacing w:after="0"/>
        <w:rPr>
          <w:lang w:eastAsia="en-AU"/>
        </w:rPr>
      </w:pPr>
      <w:r w:rsidRPr="00276391">
        <w:rPr>
          <w:lang w:eastAsia="en-AU"/>
        </w:rPr>
        <w:t>to</w:t>
      </w:r>
      <w:r w:rsidR="005D5532" w:rsidRPr="00276391">
        <w:rPr>
          <w:lang w:eastAsia="en-AU"/>
        </w:rPr>
        <w:t xml:space="preserve"> </w:t>
      </w:r>
      <w:r w:rsidRPr="00276391">
        <w:rPr>
          <w:lang w:eastAsia="en-AU"/>
        </w:rPr>
        <w:t>actively</w:t>
      </w:r>
      <w:r w:rsidR="005D5532" w:rsidRPr="00276391">
        <w:rPr>
          <w:lang w:eastAsia="en-AU"/>
        </w:rPr>
        <w:t xml:space="preserve"> </w:t>
      </w:r>
      <w:r w:rsidRPr="00276391">
        <w:rPr>
          <w:lang w:eastAsia="en-AU"/>
        </w:rPr>
        <w:t>respond</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no</w:t>
      </w:r>
      <w:r w:rsidR="005D5532" w:rsidRPr="00276391">
        <w:rPr>
          <w:lang w:eastAsia="en-AU"/>
        </w:rPr>
        <w:t xml:space="preserve"> </w:t>
      </w:r>
      <w:r w:rsidRPr="00276391">
        <w:rPr>
          <w:lang w:eastAsia="en-AU"/>
        </w:rPr>
        <w:t>longer</w:t>
      </w:r>
      <w:r w:rsidR="005D5532" w:rsidRPr="00276391">
        <w:rPr>
          <w:lang w:eastAsia="en-AU"/>
        </w:rPr>
        <w:t xml:space="preserve"> </w:t>
      </w:r>
      <w:r w:rsidRPr="00276391">
        <w:rPr>
          <w:lang w:eastAsia="en-AU"/>
        </w:rPr>
        <w:t>ignore</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cases.</w:t>
      </w:r>
      <w:r w:rsidR="005D5532" w:rsidRPr="00276391">
        <w:rPr>
          <w:lang w:eastAsia="en-AU"/>
        </w:rPr>
        <w:t xml:space="preserve"> </w:t>
      </w:r>
    </w:p>
    <w:p w14:paraId="72586FDF" w14:textId="77777777" w:rsidR="0015719F" w:rsidRDefault="0015719F" w:rsidP="0015719F">
      <w:pPr>
        <w:pStyle w:val="DHHSbody"/>
        <w:spacing w:after="0"/>
        <w:rPr>
          <w:lang w:eastAsia="en-AU"/>
        </w:rPr>
      </w:pPr>
    </w:p>
    <w:p w14:paraId="4282C668" w14:textId="77777777" w:rsidR="00236748" w:rsidRPr="00276391" w:rsidRDefault="00236748" w:rsidP="00276391">
      <w:pPr>
        <w:pStyle w:val="DHHSbody"/>
        <w:rPr>
          <w:lang w:eastAsia="en-AU"/>
        </w:rPr>
      </w:pPr>
      <w:r w:rsidRPr="00276391">
        <w:rPr>
          <w:lang w:eastAsia="en-AU"/>
        </w:rPr>
        <w:t>People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all</w:t>
      </w:r>
      <w:r w:rsidR="005D5532" w:rsidRPr="00276391">
        <w:rPr>
          <w:lang w:eastAsia="en-AU"/>
        </w:rPr>
        <w:t xml:space="preserve"> </w:t>
      </w:r>
      <w:r w:rsidRPr="00276391">
        <w:rPr>
          <w:lang w:eastAsia="en-AU"/>
        </w:rPr>
        <w:t>ages,</w:t>
      </w:r>
      <w:r w:rsidR="005D5532" w:rsidRPr="00276391">
        <w:rPr>
          <w:lang w:eastAsia="en-AU"/>
        </w:rPr>
        <w:t xml:space="preserve"> </w:t>
      </w:r>
      <w:r w:rsidRPr="00276391">
        <w:rPr>
          <w:lang w:eastAsia="en-AU"/>
        </w:rPr>
        <w:t>including</w:t>
      </w:r>
      <w:r w:rsidR="005D5532" w:rsidRPr="00276391">
        <w:rPr>
          <w:lang w:eastAsia="en-AU"/>
        </w:rPr>
        <w:t xml:space="preserve"> </w:t>
      </w:r>
      <w:r w:rsidRPr="00276391">
        <w:rPr>
          <w:lang w:eastAsia="en-AU"/>
        </w:rPr>
        <w:t>children,</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display</w:t>
      </w:r>
      <w:r w:rsidR="005D5532" w:rsidRPr="00276391">
        <w:rPr>
          <w:lang w:eastAsia="en-AU"/>
        </w:rPr>
        <w:t xml:space="preserve"> </w:t>
      </w:r>
      <w:r w:rsidRPr="00276391">
        <w:rPr>
          <w:lang w:eastAsia="en-AU"/>
        </w:rPr>
        <w:t>hoarding</w:t>
      </w:r>
      <w:r w:rsidR="005D5532" w:rsidRPr="00276391">
        <w:rPr>
          <w:lang w:eastAsia="en-AU"/>
        </w:rPr>
        <w:t xml:space="preserve"> </w:t>
      </w:r>
      <w:r w:rsidRPr="00276391">
        <w:rPr>
          <w:lang w:eastAsia="en-AU"/>
        </w:rPr>
        <w:t>behaviour</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live</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squalor.</w:t>
      </w:r>
    </w:p>
    <w:p w14:paraId="2E024D5D" w14:textId="77777777" w:rsidR="00236748" w:rsidRPr="00276391" w:rsidRDefault="00236748" w:rsidP="00276391">
      <w:pPr>
        <w:pStyle w:val="DHHSbody"/>
        <w:rPr>
          <w:lang w:eastAsia="en-AU"/>
        </w:rPr>
      </w:pPr>
      <w:r w:rsidRPr="00276391">
        <w:rPr>
          <w:lang w:eastAsia="en-AU"/>
        </w:rPr>
        <w:t>These</w:t>
      </w:r>
      <w:r w:rsidR="005D5532" w:rsidRPr="00276391">
        <w:rPr>
          <w:lang w:eastAsia="en-AU"/>
        </w:rPr>
        <w:t xml:space="preserve"> </w:t>
      </w:r>
      <w:r w:rsidRPr="00276391">
        <w:rPr>
          <w:lang w:eastAsia="en-AU"/>
        </w:rPr>
        <w:t>two</w:t>
      </w:r>
      <w:r w:rsidR="005D5532" w:rsidRPr="00276391">
        <w:rPr>
          <w:lang w:eastAsia="en-AU"/>
        </w:rPr>
        <w:t xml:space="preserve"> </w:t>
      </w:r>
      <w:r w:rsidRPr="00276391">
        <w:rPr>
          <w:lang w:eastAsia="en-AU"/>
        </w:rPr>
        <w:t>publications</w:t>
      </w:r>
      <w:r w:rsidR="005D5532" w:rsidRPr="00276391">
        <w:rPr>
          <w:lang w:eastAsia="en-AU"/>
        </w:rPr>
        <w:t xml:space="preserve"> </w:t>
      </w:r>
      <w:r w:rsidRPr="00276391">
        <w:rPr>
          <w:lang w:eastAsia="en-AU"/>
        </w:rPr>
        <w:t>(June</w:t>
      </w:r>
      <w:r w:rsidR="005D5532" w:rsidRPr="00276391">
        <w:rPr>
          <w:lang w:eastAsia="en-AU"/>
        </w:rPr>
        <w:t xml:space="preserve"> </w:t>
      </w:r>
      <w:r w:rsidRPr="00276391">
        <w:rPr>
          <w:lang w:eastAsia="en-AU"/>
        </w:rPr>
        <w:t>2013),</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Hoarding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squalor</w:t>
      </w:r>
      <w:r w:rsidR="005D5532" w:rsidRPr="00276391">
        <w:rPr>
          <w:lang w:eastAsia="en-AU"/>
        </w:rPr>
        <w:t xml:space="preserve"> </w:t>
      </w:r>
      <w:r w:rsidRPr="00276391">
        <w:rPr>
          <w:lang w:eastAsia="en-AU"/>
        </w:rPr>
        <w:t>practical</w:t>
      </w:r>
      <w:r w:rsidR="005D5532" w:rsidRPr="00276391">
        <w:rPr>
          <w:lang w:eastAsia="en-AU"/>
        </w:rPr>
        <w:t xml:space="preserve"> </w:t>
      </w:r>
      <w:r w:rsidRPr="00276391">
        <w:rPr>
          <w:lang w:eastAsia="en-AU"/>
        </w:rPr>
        <w:t>resource</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providers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Responding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hoarding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squalor</w:t>
      </w:r>
      <w:r w:rsidR="005D5532" w:rsidRPr="00276391">
        <w:rPr>
          <w:lang w:eastAsia="en-AU"/>
        </w:rPr>
        <w:t xml:space="preserve"> </w:t>
      </w:r>
      <w:r w:rsidRPr="00276391">
        <w:rPr>
          <w:lang w:eastAsia="en-AU"/>
        </w:rPr>
        <w:t>–</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messages</w:t>
      </w:r>
      <w:r w:rsidR="005D5532" w:rsidRPr="00276391">
        <w:rPr>
          <w:lang w:eastAsia="en-AU"/>
        </w:rPr>
        <w:t xml:space="preserve"> </w:t>
      </w:r>
      <w:r w:rsidRPr="00276391">
        <w:rPr>
          <w:lang w:eastAsia="en-AU"/>
        </w:rPr>
        <w:t>statement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providers,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applicable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multiple</w:t>
      </w:r>
      <w:r w:rsidR="005D5532" w:rsidRPr="00276391">
        <w:rPr>
          <w:lang w:eastAsia="en-AU"/>
        </w:rPr>
        <w:t xml:space="preserve"> </w:t>
      </w:r>
      <w:r w:rsidRPr="00276391">
        <w:rPr>
          <w:lang w:eastAsia="en-AU"/>
        </w:rPr>
        <w:t>sectors,</w:t>
      </w:r>
      <w:r w:rsidR="005D5532" w:rsidRPr="00276391">
        <w:rPr>
          <w:lang w:eastAsia="en-AU"/>
        </w:rPr>
        <w:t xml:space="preserve"> </w:t>
      </w:r>
      <w:r w:rsidRPr="00276391">
        <w:rPr>
          <w:lang w:eastAsia="en-AU"/>
        </w:rPr>
        <w:t>programs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services.</w:t>
      </w:r>
    </w:p>
    <w:p w14:paraId="295EAA80" w14:textId="7936062F" w:rsidR="00236748" w:rsidRPr="00276391" w:rsidRDefault="00236748" w:rsidP="00276391">
      <w:pPr>
        <w:pStyle w:val="DHHSbody"/>
        <w:rPr>
          <w:lang w:eastAsia="en-AU"/>
        </w:rPr>
      </w:pPr>
      <w:r w:rsidRPr="00276391">
        <w:rPr>
          <w:lang w:eastAsia="en-AU"/>
        </w:rPr>
        <w:t>These</w:t>
      </w:r>
      <w:r w:rsidR="005D5532" w:rsidRPr="00276391">
        <w:rPr>
          <w:lang w:eastAsia="en-AU"/>
        </w:rPr>
        <w:t xml:space="preserve"> </w:t>
      </w:r>
      <w:r w:rsidRPr="00276391">
        <w:rPr>
          <w:lang w:eastAsia="en-AU"/>
        </w:rPr>
        <w:t>hoarding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squalor</w:t>
      </w:r>
      <w:r w:rsidR="005D5532" w:rsidRPr="00276391">
        <w:rPr>
          <w:lang w:eastAsia="en-AU"/>
        </w:rPr>
        <w:t xml:space="preserve"> </w:t>
      </w:r>
      <w:r w:rsidRPr="00276391">
        <w:rPr>
          <w:lang w:eastAsia="en-AU"/>
        </w:rPr>
        <w:t>resources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at</w:t>
      </w:r>
      <w:r w:rsidR="00215504">
        <w:rPr>
          <w:lang w:eastAsia="en-AU"/>
        </w:rPr>
        <w:t xml:space="preserve"> the </w:t>
      </w:r>
      <w:hyperlink r:id="rId305" w:history="1">
        <w:r w:rsidR="00215504" w:rsidRPr="00215504">
          <w:rPr>
            <w:rStyle w:val="Hyperlink"/>
            <w:lang w:eastAsia="en-AU"/>
          </w:rPr>
          <w:t>Health website</w:t>
        </w:r>
      </w:hyperlink>
      <w:r w:rsidR="005D5532" w:rsidRPr="00276391">
        <w:rPr>
          <w:lang w:eastAsia="en-AU"/>
        </w:rPr>
        <w:t xml:space="preserve"> </w:t>
      </w:r>
      <w:r w:rsidR="00215504">
        <w:rPr>
          <w:lang w:eastAsia="en-AU"/>
        </w:rPr>
        <w:t>&lt;</w:t>
      </w:r>
      <w:r w:rsidRPr="00215504">
        <w:t>https://www2.health.vic.gov.au/ageing-and-aged-care/wellbeing-and-participation/hoarding-and-squalor</w:t>
      </w:r>
      <w:r w:rsidR="00215504">
        <w:t>&gt;</w:t>
      </w:r>
      <w:r w:rsidR="005D5532" w:rsidRPr="00276391">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p>
    <w:p w14:paraId="2FBFAF71" w14:textId="77777777" w:rsidR="00236748" w:rsidRPr="00276391" w:rsidRDefault="00236748" w:rsidP="001A0795">
      <w:pPr>
        <w:pStyle w:val="Heading4"/>
        <w:rPr>
          <w:lang w:eastAsia="en-AU"/>
        </w:rPr>
      </w:pPr>
      <w:bookmarkStart w:id="881" w:name="_Toc478992236"/>
      <w:r w:rsidRPr="00276391">
        <w:rPr>
          <w:lang w:eastAsia="en-AU"/>
        </w:rPr>
        <w:t>For</w:t>
      </w:r>
      <w:r w:rsidR="005D5532" w:rsidRPr="00276391">
        <w:rPr>
          <w:lang w:eastAsia="en-AU"/>
        </w:rPr>
        <w:t xml:space="preserve"> </w:t>
      </w:r>
      <w:r w:rsidRPr="00276391">
        <w:rPr>
          <w:lang w:eastAsia="en-AU"/>
        </w:rPr>
        <w:t>further</w:t>
      </w:r>
      <w:r w:rsidR="005D5532" w:rsidRPr="00276391">
        <w:rPr>
          <w:lang w:eastAsia="en-AU"/>
        </w:rPr>
        <w:t xml:space="preserve"> </w:t>
      </w:r>
      <w:r w:rsidRPr="00276391">
        <w:rPr>
          <w:lang w:eastAsia="en-AU"/>
        </w:rPr>
        <w:t>information</w:t>
      </w:r>
      <w:bookmarkEnd w:id="881"/>
    </w:p>
    <w:p w14:paraId="67BA4BB4" w14:textId="76C07D52" w:rsidR="00236748" w:rsidRPr="00276391" w:rsidRDefault="00297B5F" w:rsidP="00276391">
      <w:pPr>
        <w:pStyle w:val="DHHSbody"/>
        <w:rPr>
          <w:lang w:eastAsia="en-AU"/>
        </w:rPr>
      </w:pPr>
      <w:r>
        <w:rPr>
          <w:rFonts w:cs="Arial"/>
          <w:color w:val="000000"/>
          <w:szCs w:val="19"/>
          <w:lang w:eastAsia="en-AU"/>
        </w:rPr>
        <w:t xml:space="preserve">The resources developed as a project for the former Ageing and Aged Care Branch with contributions from a wide range of stakeholders. The department does not itself have special expertise in </w:t>
      </w:r>
      <w:r w:rsidR="009D480F">
        <w:rPr>
          <w:rFonts w:cs="Arial"/>
          <w:color w:val="000000"/>
          <w:szCs w:val="19"/>
          <w:lang w:eastAsia="en-AU"/>
        </w:rPr>
        <w:t xml:space="preserve">these areas and is not able to provide advice beyond the material included in the resources above. </w:t>
      </w:r>
    </w:p>
    <w:p w14:paraId="70F7276F" w14:textId="7B651769" w:rsidR="00236748" w:rsidRPr="00276391" w:rsidRDefault="00631E12" w:rsidP="009B2351">
      <w:pPr>
        <w:pStyle w:val="Heading2"/>
        <w:rPr>
          <w:rFonts w:cs="Arial"/>
          <w:lang w:eastAsia="en-AU"/>
        </w:rPr>
      </w:pPr>
      <w:bookmarkStart w:id="882" w:name="_Toc478992237"/>
      <w:bookmarkStart w:id="883" w:name="_Toc478992522"/>
      <w:bookmarkStart w:id="884" w:name="_Toc478992938"/>
      <w:bookmarkStart w:id="885" w:name="_Toc4142142"/>
      <w:r>
        <w:rPr>
          <w:rFonts w:cs="Arial"/>
          <w:lang w:eastAsia="en-AU"/>
        </w:rPr>
        <w:t>4.22</w:t>
      </w:r>
      <w:r w:rsidR="009B2351" w:rsidRPr="00276391">
        <w:rPr>
          <w:rFonts w:cs="Arial"/>
          <w:lang w:eastAsia="en-AU"/>
        </w:rPr>
        <w:t xml:space="preserve"> </w:t>
      </w:r>
      <w:r w:rsidR="00236748" w:rsidRPr="00276391">
        <w:rPr>
          <w:rFonts w:cs="Arial"/>
          <w:lang w:eastAsia="en-AU"/>
        </w:rPr>
        <w:t>Child</w:t>
      </w:r>
      <w:r w:rsidR="009B2351" w:rsidRPr="00276391">
        <w:rPr>
          <w:rFonts w:cs="Arial"/>
          <w:lang w:eastAsia="en-AU"/>
        </w:rPr>
        <w:t xml:space="preserve"> </w:t>
      </w:r>
      <w:r w:rsidR="00DD3018">
        <w:rPr>
          <w:rFonts w:cs="Arial"/>
          <w:lang w:eastAsia="en-AU"/>
        </w:rPr>
        <w:t>s</w:t>
      </w:r>
      <w:r w:rsidR="00236748" w:rsidRPr="00276391">
        <w:rPr>
          <w:rFonts w:cs="Arial"/>
          <w:lang w:eastAsia="en-AU"/>
        </w:rPr>
        <w:t>afe</w:t>
      </w:r>
      <w:r w:rsidR="009B2351" w:rsidRPr="00276391">
        <w:rPr>
          <w:rFonts w:cs="Arial"/>
          <w:lang w:eastAsia="en-AU"/>
        </w:rPr>
        <w:t xml:space="preserve"> </w:t>
      </w:r>
      <w:r w:rsidR="00DD3018">
        <w:rPr>
          <w:rFonts w:cs="Arial"/>
          <w:lang w:eastAsia="en-AU"/>
        </w:rPr>
        <w:t>s</w:t>
      </w:r>
      <w:r w:rsidR="00236748" w:rsidRPr="00276391">
        <w:rPr>
          <w:rFonts w:cs="Arial"/>
          <w:lang w:eastAsia="en-AU"/>
        </w:rPr>
        <w:t>tandards</w:t>
      </w:r>
      <w:bookmarkEnd w:id="882"/>
      <w:bookmarkEnd w:id="883"/>
      <w:bookmarkEnd w:id="884"/>
      <w:bookmarkEnd w:id="885"/>
    </w:p>
    <w:p w14:paraId="56783CD1" w14:textId="39973BFD" w:rsidR="005D055A" w:rsidRPr="00276391" w:rsidRDefault="005D055A" w:rsidP="005D055A">
      <w:pPr>
        <w:pStyle w:val="DHHSbody"/>
        <w:rPr>
          <w:lang w:eastAsia="en-AU"/>
        </w:rPr>
      </w:pPr>
      <w:bookmarkStart w:id="886" w:name="_Toc478992255"/>
      <w:bookmarkStart w:id="887" w:name="_Toc478992525"/>
      <w:bookmarkStart w:id="888" w:name="_Toc478992939"/>
      <w:r w:rsidRPr="00B24C02">
        <w:rPr>
          <w:rFonts w:cs="Arial"/>
          <w:color w:val="000000"/>
          <w:szCs w:val="19"/>
          <w:lang w:eastAsia="en-AU"/>
        </w:rPr>
        <w:t xml:space="preserve">The Standards apply to organisations as a whole, not only the </w:t>
      </w:r>
      <w:r>
        <w:rPr>
          <w:rFonts w:cs="Arial"/>
          <w:color w:val="000000"/>
          <w:szCs w:val="19"/>
          <w:lang w:eastAsia="en-AU"/>
        </w:rPr>
        <w:t>business units</w:t>
      </w:r>
      <w:r w:rsidR="006250C7">
        <w:rPr>
          <w:rFonts w:cs="Arial"/>
          <w:color w:val="000000"/>
          <w:szCs w:val="19"/>
          <w:lang w:eastAsia="en-AU"/>
        </w:rPr>
        <w:t xml:space="preserve"> </w:t>
      </w:r>
      <w:r>
        <w:rPr>
          <w:rFonts w:cs="Arial"/>
          <w:color w:val="000000"/>
          <w:szCs w:val="19"/>
          <w:lang w:eastAsia="en-AU"/>
        </w:rPr>
        <w:t xml:space="preserve">which deliver services to </w:t>
      </w:r>
      <w:r w:rsidRPr="00B24C02">
        <w:rPr>
          <w:rFonts w:cs="Arial"/>
          <w:color w:val="000000"/>
          <w:szCs w:val="19"/>
          <w:lang w:eastAsia="en-AU"/>
        </w:rPr>
        <w:t>children.</w:t>
      </w:r>
    </w:p>
    <w:p w14:paraId="5DC1F4D7" w14:textId="6882854D" w:rsidR="005D055A" w:rsidRPr="00276391" w:rsidRDefault="005D055A" w:rsidP="005D055A">
      <w:pPr>
        <w:pStyle w:val="DHHSbody"/>
        <w:rPr>
          <w:lang w:eastAsia="en-AU"/>
        </w:rPr>
      </w:pPr>
      <w:r w:rsidRPr="00276391">
        <w:rPr>
          <w:lang w:eastAsia="en-AU"/>
        </w:rPr>
        <w:t xml:space="preserve">Organisations that provide services for children that are government funded and/or regulated </w:t>
      </w:r>
      <w:r>
        <w:rPr>
          <w:lang w:eastAsia="en-AU"/>
        </w:rPr>
        <w:t>came into scope of the Standards on</w:t>
      </w:r>
      <w:r w:rsidR="006250C7">
        <w:rPr>
          <w:lang w:eastAsia="en-AU"/>
        </w:rPr>
        <w:t xml:space="preserve"> </w:t>
      </w:r>
      <w:r w:rsidRPr="00276391">
        <w:rPr>
          <w:lang w:eastAsia="en-AU"/>
        </w:rPr>
        <w:t>1 January 2016</w:t>
      </w:r>
      <w:r>
        <w:rPr>
          <w:lang w:eastAsia="en-AU"/>
        </w:rPr>
        <w:t>.</w:t>
      </w:r>
      <w:r w:rsidRPr="00276391">
        <w:rPr>
          <w:lang w:eastAsia="en-AU"/>
        </w:rPr>
        <w:t xml:space="preserve"> These organisations include schools, out-of-home care providers, early childhood providers and health services.</w:t>
      </w:r>
    </w:p>
    <w:p w14:paraId="74DAD0EA" w14:textId="389BD345" w:rsidR="005D055A" w:rsidRPr="00276391" w:rsidRDefault="005D055A" w:rsidP="005D055A">
      <w:pPr>
        <w:pStyle w:val="DHHSbody"/>
        <w:rPr>
          <w:lang w:eastAsia="en-AU"/>
        </w:rPr>
      </w:pPr>
      <w:r>
        <w:rPr>
          <w:lang w:eastAsia="en-AU"/>
        </w:rPr>
        <w:lastRenderedPageBreak/>
        <w:t>O</w:t>
      </w:r>
      <w:r w:rsidRPr="00276391">
        <w:rPr>
          <w:lang w:eastAsia="en-AU"/>
        </w:rPr>
        <w:t>ther organisations that provide services for children</w:t>
      </w:r>
      <w:r>
        <w:rPr>
          <w:lang w:eastAsia="en-AU"/>
        </w:rPr>
        <w:t xml:space="preserve"> came into scope</w:t>
      </w:r>
      <w:r w:rsidRPr="00276391">
        <w:rPr>
          <w:lang w:eastAsia="en-AU"/>
        </w:rPr>
        <w:t xml:space="preserve"> </w:t>
      </w:r>
      <w:r>
        <w:rPr>
          <w:lang w:eastAsia="en-AU"/>
        </w:rPr>
        <w:t>on</w:t>
      </w:r>
      <w:r w:rsidR="006250C7">
        <w:rPr>
          <w:lang w:eastAsia="en-AU"/>
        </w:rPr>
        <w:t xml:space="preserve"> </w:t>
      </w:r>
      <w:r w:rsidRPr="00276391">
        <w:rPr>
          <w:lang w:eastAsia="en-AU"/>
        </w:rPr>
        <w:t>1 January 2017. These organisations include religious, sporting and volunteer organisations.</w:t>
      </w:r>
    </w:p>
    <w:p w14:paraId="098DA808" w14:textId="77777777" w:rsidR="005D055A" w:rsidRPr="00276391" w:rsidRDefault="005D055A" w:rsidP="005D055A">
      <w:pPr>
        <w:pStyle w:val="Heading4"/>
        <w:rPr>
          <w:lang w:eastAsia="en-AU"/>
        </w:rPr>
      </w:pPr>
      <w:bookmarkStart w:id="889" w:name="_Toc478992240"/>
      <w:r w:rsidRPr="00276391">
        <w:rPr>
          <w:lang w:eastAsia="en-AU"/>
        </w:rPr>
        <w:t>Policy purpose</w:t>
      </w:r>
      <w:bookmarkEnd w:id="889"/>
    </w:p>
    <w:p w14:paraId="1A73FA86" w14:textId="77777777" w:rsidR="005D055A" w:rsidRPr="00276391" w:rsidRDefault="005D055A" w:rsidP="005D055A">
      <w:pPr>
        <w:pStyle w:val="DHHSbody"/>
        <w:rPr>
          <w:lang w:eastAsia="en-AU"/>
        </w:rPr>
      </w:pPr>
      <w:r w:rsidRPr="00B24C02">
        <w:rPr>
          <w:rFonts w:cs="Arial"/>
          <w:color w:val="000000"/>
          <w:szCs w:val="19"/>
          <w:lang w:eastAsia="en-AU"/>
        </w:rPr>
        <w:t>The Child Safe Standards are designed to help protect children from all forms of abuse by setting compulsory minimum standards that apply to organisations that provide services for children.</w:t>
      </w:r>
    </w:p>
    <w:p w14:paraId="6E5EA252" w14:textId="77777777" w:rsidR="005D055A" w:rsidRPr="00276391" w:rsidRDefault="005D055A" w:rsidP="005D055A">
      <w:pPr>
        <w:pStyle w:val="Heading4"/>
        <w:rPr>
          <w:lang w:eastAsia="en-AU"/>
        </w:rPr>
      </w:pPr>
      <w:bookmarkStart w:id="890" w:name="_Toc478992241"/>
      <w:r w:rsidRPr="00276391">
        <w:rPr>
          <w:lang w:eastAsia="en-AU"/>
        </w:rPr>
        <w:t>Legislation and /or regulation</w:t>
      </w:r>
      <w:bookmarkEnd w:id="890"/>
    </w:p>
    <w:p w14:paraId="3F86141B" w14:textId="79210CCF" w:rsidR="005D055A" w:rsidRPr="00276391" w:rsidRDefault="005D055A" w:rsidP="005D055A">
      <w:pPr>
        <w:pStyle w:val="DHHSbody"/>
        <w:rPr>
          <w:lang w:eastAsia="en-AU"/>
        </w:rPr>
      </w:pPr>
      <w:r w:rsidRPr="00B24C02">
        <w:rPr>
          <w:rFonts w:cs="Arial"/>
          <w:color w:val="000000"/>
          <w:szCs w:val="19"/>
          <w:lang w:eastAsia="en-AU"/>
        </w:rPr>
        <w:t xml:space="preserve">The </w:t>
      </w:r>
      <w:hyperlink r:id="rId306" w:history="1">
        <w:r w:rsidRPr="00986D1E">
          <w:rPr>
            <w:rStyle w:val="Hyperlink"/>
          </w:rPr>
          <w:t>Child Wellbeing and Safety Amendment (Child Safe Standards) Act 2015</w:t>
        </w:r>
      </w:hyperlink>
      <w:r w:rsidR="006250C7">
        <w:rPr>
          <w:rFonts w:cs="Arial"/>
          <w:color w:val="000000"/>
          <w:szCs w:val="19"/>
          <w:lang w:eastAsia="en-AU"/>
        </w:rPr>
        <w:t xml:space="preserve"> &lt;</w:t>
      </w:r>
      <w:r w:rsidRPr="005D055A">
        <w:rPr>
          <w:rFonts w:cs="Arial"/>
          <w:color w:val="000000"/>
          <w:szCs w:val="19"/>
          <w:lang w:eastAsia="en-AU"/>
        </w:rPr>
        <w:t>http://www9.austlii.edu.au/cgi-bin/viewdb/au/legis/vic/num_act/cwasassa201563o2015493/</w:t>
      </w:r>
      <w:r>
        <w:rPr>
          <w:rFonts w:cs="Arial"/>
          <w:color w:val="000000"/>
          <w:szCs w:val="19"/>
          <w:lang w:eastAsia="en-AU"/>
        </w:rPr>
        <w:t xml:space="preserve">&gt; </w:t>
      </w:r>
      <w:r w:rsidRPr="00B24C02">
        <w:rPr>
          <w:rFonts w:cs="Arial"/>
          <w:color w:val="000000"/>
          <w:szCs w:val="19"/>
          <w:lang w:eastAsia="en-AU"/>
        </w:rPr>
        <w:t>(external link, opens in a new window) underpins the Standards and came into effect on 1 January 2016.</w:t>
      </w:r>
    </w:p>
    <w:p w14:paraId="15BE3471" w14:textId="77777777" w:rsidR="005D055A" w:rsidRPr="00276391" w:rsidRDefault="005D055A" w:rsidP="005D055A">
      <w:pPr>
        <w:pStyle w:val="Heading4"/>
        <w:rPr>
          <w:lang w:eastAsia="en-AU"/>
        </w:rPr>
      </w:pPr>
      <w:bookmarkStart w:id="891" w:name="_Toc478992242"/>
      <w:r w:rsidRPr="00276391">
        <w:rPr>
          <w:lang w:eastAsia="en-AU"/>
        </w:rPr>
        <w:t>Organisation requirements</w:t>
      </w:r>
      <w:bookmarkEnd w:id="891"/>
    </w:p>
    <w:p w14:paraId="3CEE845B" w14:textId="77777777" w:rsidR="005D055A" w:rsidRPr="00276391" w:rsidRDefault="005D055A" w:rsidP="005D055A">
      <w:pPr>
        <w:pStyle w:val="DHHSbody"/>
        <w:rPr>
          <w:lang w:eastAsia="en-AU"/>
        </w:rPr>
      </w:pPr>
      <w:r w:rsidRPr="00B24C02">
        <w:rPr>
          <w:rFonts w:cs="Arial"/>
          <w:color w:val="000000"/>
          <w:szCs w:val="19"/>
          <w:lang w:eastAsia="en-AU"/>
        </w:rPr>
        <w:t>The Child Safe Standards are compulsory for all organisations in scope, but not prescriptive to allow organisations flexibility in how they implement the Standards.</w:t>
      </w:r>
    </w:p>
    <w:p w14:paraId="25585E78" w14:textId="77777777" w:rsidR="005D055A" w:rsidRPr="00276391" w:rsidRDefault="005D055A" w:rsidP="005D055A">
      <w:pPr>
        <w:pStyle w:val="DHHSbody"/>
        <w:rPr>
          <w:lang w:eastAsia="en-AU"/>
        </w:rPr>
      </w:pPr>
      <w:r w:rsidRPr="00276391">
        <w:rPr>
          <w:lang w:eastAsia="en-AU"/>
        </w:rPr>
        <w:t xml:space="preserve">Organisations should review their existing policies and </w:t>
      </w:r>
      <w:r>
        <w:rPr>
          <w:lang w:eastAsia="en-AU"/>
        </w:rPr>
        <w:t xml:space="preserve">practice and </w:t>
      </w:r>
      <w:r w:rsidRPr="00276391">
        <w:rPr>
          <w:lang w:eastAsia="en-AU"/>
        </w:rPr>
        <w:t xml:space="preserve">identify where they need to take further action to comply with the Standards. A self-assessment tool is available </w:t>
      </w:r>
      <w:r>
        <w:rPr>
          <w:lang w:eastAsia="en-AU"/>
        </w:rPr>
        <w:t>at: &lt;</w:t>
      </w:r>
      <w:r w:rsidRPr="00AD3423">
        <w:rPr>
          <w:lang w:eastAsia="en-AU"/>
        </w:rPr>
        <w:t>http://providers.dhhs.vic.gov.au/self-audit-tool-child-safe-standards-word</w:t>
      </w:r>
      <w:r>
        <w:rPr>
          <w:lang w:eastAsia="en-AU"/>
        </w:rPr>
        <w:t>&gt;</w:t>
      </w:r>
      <w:r w:rsidRPr="00AD3423" w:rsidDel="00AD3423">
        <w:rPr>
          <w:lang w:eastAsia="en-AU"/>
        </w:rPr>
        <w:t xml:space="preserve"> </w:t>
      </w:r>
      <w:r w:rsidRPr="00276391">
        <w:rPr>
          <w:lang w:eastAsia="en-AU"/>
        </w:rPr>
        <w:t>(external link, opens in a new window)</w:t>
      </w:r>
      <w:r>
        <w:rPr>
          <w:lang w:eastAsia="en-AU"/>
        </w:rPr>
        <w:t xml:space="preserve">. </w:t>
      </w:r>
    </w:p>
    <w:p w14:paraId="4A2CD90A" w14:textId="77777777" w:rsidR="005D055A" w:rsidRPr="00276391" w:rsidRDefault="005D055A" w:rsidP="005D055A">
      <w:pPr>
        <w:pStyle w:val="Heading4"/>
        <w:rPr>
          <w:lang w:eastAsia="en-AU"/>
        </w:rPr>
      </w:pPr>
      <w:bookmarkStart w:id="892" w:name="_Toc478992243"/>
      <w:r w:rsidRPr="00276391">
        <w:rPr>
          <w:lang w:eastAsia="en-AU"/>
        </w:rPr>
        <w:t>Child Safe Standards</w:t>
      </w:r>
      <w:bookmarkEnd w:id="892"/>
    </w:p>
    <w:p w14:paraId="358F3E5C" w14:textId="77777777" w:rsidR="005D055A" w:rsidRPr="00276391" w:rsidRDefault="005D055A" w:rsidP="005D055A">
      <w:pPr>
        <w:pStyle w:val="DHHSbody"/>
        <w:rPr>
          <w:lang w:eastAsia="en-AU"/>
        </w:rPr>
      </w:pPr>
      <w:r w:rsidRPr="00B24C02">
        <w:rPr>
          <w:rFonts w:cs="Arial"/>
          <w:color w:val="000000"/>
          <w:szCs w:val="19"/>
          <w:lang w:eastAsia="en-AU"/>
        </w:rPr>
        <w:t>To help protect children from abuse, the Victorian Government has introduced compulsory minimum Child Safe Standards (the Standards) that apply to organisations that provide services for children.</w:t>
      </w:r>
    </w:p>
    <w:p w14:paraId="53580E36" w14:textId="77777777" w:rsidR="005D055A" w:rsidRPr="003F52B3" w:rsidRDefault="005D055A" w:rsidP="005D055A">
      <w:pPr>
        <w:pStyle w:val="DHHSbody"/>
        <w:rPr>
          <w:lang w:eastAsia="en-AU"/>
        </w:rPr>
      </w:pPr>
      <w:bookmarkStart w:id="893" w:name="_Toc478992244"/>
      <w:r w:rsidRPr="003F52B3">
        <w:rPr>
          <w:b/>
          <w:lang w:eastAsia="en-AU"/>
        </w:rPr>
        <w:t>Who do the Standards apply to?</w:t>
      </w:r>
      <w:bookmarkEnd w:id="893"/>
    </w:p>
    <w:p w14:paraId="74260FB2" w14:textId="3A195B59" w:rsidR="005D055A" w:rsidRPr="00276391" w:rsidRDefault="005D055A" w:rsidP="005D055A">
      <w:pPr>
        <w:pStyle w:val="DHHSbody"/>
        <w:rPr>
          <w:lang w:eastAsia="en-AU"/>
        </w:rPr>
      </w:pPr>
      <w:r w:rsidRPr="00B24C02">
        <w:rPr>
          <w:rFonts w:cs="Arial"/>
          <w:color w:val="000000"/>
          <w:szCs w:val="19"/>
          <w:lang w:eastAsia="en-AU"/>
        </w:rPr>
        <w:t>From 1 January 2016, the Standards apply to organisations that provide services for children that are government funded and/or regulated</w:t>
      </w:r>
      <w:r w:rsidR="00D05F49">
        <w:rPr>
          <w:rFonts w:cs="Arial"/>
          <w:color w:val="000000"/>
          <w:szCs w:val="19"/>
          <w:lang w:eastAsia="en-AU"/>
        </w:rPr>
        <w:t>.</w:t>
      </w:r>
      <w:r w:rsidRPr="00B24C02">
        <w:rPr>
          <w:rFonts w:cs="Arial"/>
          <w:color w:val="000000"/>
          <w:szCs w:val="19"/>
          <w:lang w:eastAsia="en-AU"/>
        </w:rPr>
        <w:t xml:space="preserve"> These organisations include schools, out-of-home care providers, early childhood providers and health services.</w:t>
      </w:r>
    </w:p>
    <w:p w14:paraId="733516F2" w14:textId="77777777" w:rsidR="005D055A" w:rsidRPr="003F52B3" w:rsidRDefault="005D055A" w:rsidP="005D055A">
      <w:pPr>
        <w:pStyle w:val="DHHSbody"/>
        <w:rPr>
          <w:lang w:eastAsia="en-AU"/>
        </w:rPr>
      </w:pPr>
      <w:bookmarkStart w:id="894" w:name="_Toc478992245"/>
      <w:r w:rsidRPr="003F52B3">
        <w:rPr>
          <w:b/>
          <w:lang w:eastAsia="en-AU"/>
        </w:rPr>
        <w:t>What are the Standards?</w:t>
      </w:r>
      <w:bookmarkEnd w:id="894"/>
    </w:p>
    <w:p w14:paraId="56BE48B6" w14:textId="77777777" w:rsidR="005D055A" w:rsidRPr="00276391" w:rsidRDefault="005D055A" w:rsidP="005D055A">
      <w:pPr>
        <w:pStyle w:val="DHHSbody"/>
        <w:rPr>
          <w:lang w:eastAsia="en-AU"/>
        </w:rPr>
      </w:pPr>
      <w:r w:rsidRPr="00B24C02">
        <w:rPr>
          <w:rFonts w:cs="Arial"/>
          <w:color w:val="000000"/>
          <w:szCs w:val="19"/>
          <w:lang w:eastAsia="en-AU"/>
        </w:rPr>
        <w:t>The Child Safe Standards are as follows:</w:t>
      </w:r>
    </w:p>
    <w:p w14:paraId="5CF83F43" w14:textId="77777777" w:rsidR="005D055A" w:rsidRPr="00276391" w:rsidRDefault="005D055A" w:rsidP="005D055A">
      <w:pPr>
        <w:pStyle w:val="DHHSbody"/>
        <w:rPr>
          <w:lang w:eastAsia="en-AU"/>
        </w:rPr>
      </w:pPr>
      <w:r w:rsidRPr="00276391">
        <w:rPr>
          <w:lang w:eastAsia="en-AU"/>
        </w:rPr>
        <w:t>To create and maintain a child safe organisation, an entity to which the Standards apply must have:</w:t>
      </w:r>
    </w:p>
    <w:p w14:paraId="3A9FE2AE" w14:textId="77777777" w:rsidR="005D055A" w:rsidRPr="00276391" w:rsidRDefault="005D055A" w:rsidP="005D055A">
      <w:pPr>
        <w:pStyle w:val="DHHSbody"/>
        <w:rPr>
          <w:lang w:eastAsia="en-AU"/>
        </w:rPr>
      </w:pPr>
      <w:r w:rsidRPr="00276391">
        <w:rPr>
          <w:b/>
          <w:bCs/>
          <w:lang w:eastAsia="en-AU"/>
        </w:rPr>
        <w:t>Standard 1</w:t>
      </w:r>
      <w:r w:rsidRPr="00276391">
        <w:rPr>
          <w:lang w:eastAsia="en-AU"/>
        </w:rPr>
        <w:t>: Strategies to embed an organisational culture of child safety, including through effective leadership arrangements</w:t>
      </w:r>
    </w:p>
    <w:p w14:paraId="22C7F1EC" w14:textId="77777777" w:rsidR="005D055A" w:rsidRPr="00276391" w:rsidRDefault="005D055A" w:rsidP="005D055A">
      <w:pPr>
        <w:pStyle w:val="DHHSbody"/>
        <w:rPr>
          <w:lang w:eastAsia="en-AU"/>
        </w:rPr>
      </w:pPr>
      <w:r w:rsidRPr="00276391">
        <w:rPr>
          <w:b/>
          <w:bCs/>
          <w:lang w:eastAsia="en-AU"/>
        </w:rPr>
        <w:t>Standard 2</w:t>
      </w:r>
      <w:r w:rsidRPr="00276391">
        <w:rPr>
          <w:lang w:eastAsia="en-AU"/>
        </w:rPr>
        <w:t>: A child safe policy or statement of commitment to child safety</w:t>
      </w:r>
    </w:p>
    <w:p w14:paraId="6B98B3DD" w14:textId="77777777" w:rsidR="005D055A" w:rsidRPr="00276391" w:rsidRDefault="005D055A" w:rsidP="005D055A">
      <w:pPr>
        <w:pStyle w:val="DHHSbody"/>
        <w:rPr>
          <w:lang w:eastAsia="en-AU"/>
        </w:rPr>
      </w:pPr>
      <w:r w:rsidRPr="00276391">
        <w:rPr>
          <w:b/>
          <w:bCs/>
          <w:lang w:eastAsia="en-AU"/>
        </w:rPr>
        <w:t>Standard 3</w:t>
      </w:r>
      <w:r w:rsidRPr="00276391">
        <w:rPr>
          <w:lang w:eastAsia="en-AU"/>
        </w:rPr>
        <w:t>: A code of conduct that establishes clear expectations for appropriate behaviour with children</w:t>
      </w:r>
    </w:p>
    <w:p w14:paraId="5C3909EA" w14:textId="77777777" w:rsidR="005D055A" w:rsidRPr="00276391" w:rsidRDefault="005D055A" w:rsidP="005D055A">
      <w:pPr>
        <w:pStyle w:val="DHHSbody"/>
        <w:rPr>
          <w:lang w:eastAsia="en-AU"/>
        </w:rPr>
      </w:pPr>
      <w:r w:rsidRPr="00276391">
        <w:rPr>
          <w:b/>
          <w:bCs/>
          <w:lang w:eastAsia="en-AU"/>
        </w:rPr>
        <w:t>Standard 4</w:t>
      </w:r>
      <w:r w:rsidRPr="00276391">
        <w:rPr>
          <w:lang w:eastAsia="en-AU"/>
        </w:rPr>
        <w:t>: Screening, supervision, training and other human resources practices that reduce the risk of child abuse by new and existing personnel</w:t>
      </w:r>
    </w:p>
    <w:p w14:paraId="133E2DC0" w14:textId="77777777" w:rsidR="005D055A" w:rsidRPr="00276391" w:rsidRDefault="005D055A" w:rsidP="005D055A">
      <w:pPr>
        <w:pStyle w:val="DHHSbody"/>
        <w:rPr>
          <w:lang w:eastAsia="en-AU"/>
        </w:rPr>
      </w:pPr>
      <w:r w:rsidRPr="00276391">
        <w:rPr>
          <w:b/>
          <w:bCs/>
          <w:lang w:eastAsia="en-AU"/>
        </w:rPr>
        <w:t>Standard 5</w:t>
      </w:r>
      <w:r w:rsidRPr="00276391">
        <w:rPr>
          <w:lang w:eastAsia="en-AU"/>
        </w:rPr>
        <w:t>: Processes for responding to and reporting suspected child abuse</w:t>
      </w:r>
    </w:p>
    <w:p w14:paraId="536DED20" w14:textId="77777777" w:rsidR="005D055A" w:rsidRPr="00276391" w:rsidRDefault="005D055A" w:rsidP="005D055A">
      <w:pPr>
        <w:pStyle w:val="DHHSbody"/>
        <w:rPr>
          <w:lang w:eastAsia="en-AU"/>
        </w:rPr>
      </w:pPr>
      <w:r w:rsidRPr="00276391">
        <w:rPr>
          <w:b/>
          <w:bCs/>
          <w:lang w:eastAsia="en-AU"/>
        </w:rPr>
        <w:t>Standard 6</w:t>
      </w:r>
      <w:r w:rsidRPr="00276391">
        <w:rPr>
          <w:lang w:eastAsia="en-AU"/>
        </w:rPr>
        <w:t>: Strategies to identify and reduce or remove risks of child abuse</w:t>
      </w:r>
    </w:p>
    <w:p w14:paraId="3B2EBE51" w14:textId="77777777" w:rsidR="005D055A" w:rsidRPr="00276391" w:rsidRDefault="005D055A" w:rsidP="005D055A">
      <w:pPr>
        <w:pStyle w:val="DHHSbody"/>
        <w:rPr>
          <w:lang w:eastAsia="en-AU"/>
        </w:rPr>
      </w:pPr>
      <w:r w:rsidRPr="00276391">
        <w:rPr>
          <w:b/>
          <w:bCs/>
          <w:lang w:eastAsia="en-AU"/>
        </w:rPr>
        <w:t>Standard 7</w:t>
      </w:r>
      <w:r w:rsidRPr="00276391">
        <w:rPr>
          <w:lang w:eastAsia="en-AU"/>
        </w:rPr>
        <w:t>: Strategies to promote the participation and empowerment of children.</w:t>
      </w:r>
    </w:p>
    <w:p w14:paraId="0B47ED2A" w14:textId="77777777" w:rsidR="005D055A" w:rsidRPr="00276391" w:rsidRDefault="005D055A" w:rsidP="005D055A">
      <w:pPr>
        <w:pStyle w:val="DHHSbody"/>
        <w:rPr>
          <w:lang w:eastAsia="en-AU"/>
        </w:rPr>
      </w:pPr>
      <w:r w:rsidRPr="00276391">
        <w:rPr>
          <w:lang w:eastAsia="en-AU"/>
        </w:rPr>
        <w:t>In complying with the Child Safe Standards, an entity to which the Standards apply must include the following principles as part of each Standard:</w:t>
      </w:r>
    </w:p>
    <w:p w14:paraId="61621F86" w14:textId="77777777" w:rsidR="005D055A" w:rsidRPr="00276391" w:rsidRDefault="005D055A" w:rsidP="005D055A">
      <w:pPr>
        <w:pStyle w:val="DHHSbullet1"/>
        <w:rPr>
          <w:lang w:eastAsia="en-AU"/>
        </w:rPr>
      </w:pPr>
      <w:r w:rsidRPr="00276391">
        <w:rPr>
          <w:lang w:eastAsia="en-AU"/>
        </w:rPr>
        <w:t xml:space="preserve">promoting the cultural safety of Aboriginal and Torres Strait Islander children </w:t>
      </w:r>
    </w:p>
    <w:p w14:paraId="0C604B86" w14:textId="77777777" w:rsidR="005D055A" w:rsidRPr="00276391" w:rsidRDefault="005D055A" w:rsidP="005D055A">
      <w:pPr>
        <w:pStyle w:val="DHHSbullet1"/>
        <w:rPr>
          <w:lang w:eastAsia="en-AU"/>
        </w:rPr>
      </w:pPr>
      <w:r w:rsidRPr="00276391">
        <w:rPr>
          <w:lang w:eastAsia="en-AU"/>
        </w:rPr>
        <w:t xml:space="preserve">promoting the cultural safety of children from culturally and/or linguistically diverse backgrounds </w:t>
      </w:r>
    </w:p>
    <w:p w14:paraId="653E001C" w14:textId="77777777" w:rsidR="005D055A" w:rsidRPr="00276391" w:rsidRDefault="005D055A" w:rsidP="005D055A">
      <w:pPr>
        <w:pStyle w:val="DHHSbullet1"/>
        <w:rPr>
          <w:lang w:eastAsia="en-AU"/>
        </w:rPr>
      </w:pPr>
      <w:r w:rsidRPr="00276391">
        <w:rPr>
          <w:lang w:eastAsia="en-AU"/>
        </w:rPr>
        <w:lastRenderedPageBreak/>
        <w:t xml:space="preserve">promoting the safety of children with a disability. </w:t>
      </w:r>
    </w:p>
    <w:p w14:paraId="1697275D" w14:textId="77777777" w:rsidR="005D055A" w:rsidRPr="003F52B3" w:rsidRDefault="005D055A" w:rsidP="005D055A">
      <w:pPr>
        <w:pStyle w:val="DHHSbody"/>
        <w:rPr>
          <w:lang w:eastAsia="en-AU"/>
        </w:rPr>
      </w:pPr>
      <w:bookmarkStart w:id="895" w:name="_Toc478992246"/>
      <w:r w:rsidRPr="003F52B3">
        <w:rPr>
          <w:b/>
          <w:lang w:eastAsia="en-AU"/>
        </w:rPr>
        <w:t>What are organisations required to do?</w:t>
      </w:r>
      <w:bookmarkEnd w:id="895"/>
    </w:p>
    <w:p w14:paraId="3FCDD18F" w14:textId="77777777" w:rsidR="005D055A" w:rsidRPr="00276391" w:rsidRDefault="005D055A" w:rsidP="005D055A">
      <w:pPr>
        <w:pStyle w:val="DHHSbody"/>
        <w:rPr>
          <w:lang w:eastAsia="en-AU"/>
        </w:rPr>
      </w:pPr>
      <w:r w:rsidRPr="00B24C02">
        <w:rPr>
          <w:rFonts w:cs="Arial"/>
          <w:color w:val="000000"/>
          <w:szCs w:val="19"/>
          <w:lang w:eastAsia="en-AU"/>
        </w:rPr>
        <w:t xml:space="preserve">The Standards are compulsory for all organisations in scope, but not prescriptive. This allows the diverse range of organisations in scope some flexibility in how they meet requirements of the Standards. </w:t>
      </w:r>
    </w:p>
    <w:p w14:paraId="55ED2C52" w14:textId="31DF30C7" w:rsidR="005D055A" w:rsidRPr="00276391" w:rsidRDefault="005D055A" w:rsidP="005D055A">
      <w:pPr>
        <w:pStyle w:val="DHHSbody"/>
        <w:rPr>
          <w:lang w:eastAsia="en-AU"/>
        </w:rPr>
      </w:pPr>
      <w:r w:rsidRPr="00801643">
        <w:t xml:space="preserve">An Overview for the Victorian </w:t>
      </w:r>
      <w:hyperlink r:id="rId307" w:history="1">
        <w:r w:rsidRPr="005D055A">
          <w:rPr>
            <w:rStyle w:val="Hyperlink"/>
          </w:rPr>
          <w:t>Child Safe Standards</w:t>
        </w:r>
      </w:hyperlink>
      <w:r w:rsidRPr="00276391">
        <w:rPr>
          <w:lang w:eastAsia="en-AU"/>
        </w:rPr>
        <w:t xml:space="preserve"> </w:t>
      </w:r>
      <w:r>
        <w:rPr>
          <w:lang w:eastAsia="en-AU"/>
        </w:rPr>
        <w:t>&lt;</w:t>
      </w:r>
      <w:r w:rsidRPr="005D055A">
        <w:rPr>
          <w:lang w:eastAsia="en-AU"/>
        </w:rPr>
        <w:t>http://providers.dhhs.vic.gov.au/overview-victorian-child-safe-standards-word</w:t>
      </w:r>
      <w:r>
        <w:rPr>
          <w:lang w:eastAsia="en-AU"/>
        </w:rPr>
        <w:t>&gt;</w:t>
      </w:r>
      <w:r w:rsidRPr="00C06436">
        <w:rPr>
          <w:lang w:eastAsia="en-AU"/>
        </w:rPr>
        <w:t xml:space="preserve"> </w:t>
      </w:r>
      <w:r w:rsidRPr="00276391">
        <w:rPr>
          <w:lang w:eastAsia="en-AU"/>
        </w:rPr>
        <w:t>(external link, opens in a new window)</w:t>
      </w:r>
      <w:r w:rsidRPr="00B52DC9" w:rsidDel="00571FCF">
        <w:rPr>
          <w:lang w:eastAsia="en-AU"/>
        </w:rPr>
        <w:t xml:space="preserve"> </w:t>
      </w:r>
      <w:r w:rsidRPr="00276391">
        <w:rPr>
          <w:lang w:eastAsia="en-AU"/>
        </w:rPr>
        <w:t>provides a non-exhaustive list of example measures that organisations could put in place to meet each of the Standards.</w:t>
      </w:r>
    </w:p>
    <w:p w14:paraId="06CA29AC" w14:textId="77777777" w:rsidR="005D055A" w:rsidRPr="003F52B3" w:rsidRDefault="005D055A" w:rsidP="005D055A">
      <w:pPr>
        <w:pStyle w:val="DHHSbody"/>
        <w:rPr>
          <w:lang w:eastAsia="en-AU"/>
        </w:rPr>
      </w:pPr>
      <w:bookmarkStart w:id="896" w:name="_Toc478992247"/>
      <w:r w:rsidRPr="003F52B3">
        <w:rPr>
          <w:b/>
          <w:lang w:eastAsia="en-AU"/>
        </w:rPr>
        <w:t>Further information</w:t>
      </w:r>
      <w:bookmarkEnd w:id="896"/>
    </w:p>
    <w:p w14:paraId="14AD63D5" w14:textId="0EF6EC98" w:rsidR="005D055A" w:rsidRPr="00276391" w:rsidRDefault="005D055A" w:rsidP="005D055A">
      <w:pPr>
        <w:pStyle w:val="DHHSbody"/>
        <w:spacing w:after="0" w:line="240" w:lineRule="auto"/>
        <w:rPr>
          <w:lang w:eastAsia="en-AU"/>
        </w:rPr>
      </w:pPr>
      <w:r>
        <w:rPr>
          <w:lang w:eastAsia="en-AU"/>
        </w:rPr>
        <w:t>O</w:t>
      </w:r>
      <w:r w:rsidRPr="00276391">
        <w:rPr>
          <w:lang w:eastAsia="en-AU"/>
        </w:rPr>
        <w:t xml:space="preserve">rganisations </w:t>
      </w:r>
      <w:r>
        <w:rPr>
          <w:lang w:eastAsia="en-AU"/>
        </w:rPr>
        <w:t xml:space="preserve">funded and/or regulated by </w:t>
      </w:r>
      <w:r w:rsidRPr="00276391">
        <w:rPr>
          <w:lang w:eastAsia="en-AU"/>
        </w:rPr>
        <w:t xml:space="preserve">the </w:t>
      </w:r>
      <w:r w:rsidR="00EC4C81">
        <w:rPr>
          <w:lang w:eastAsia="en-AU"/>
        </w:rPr>
        <w:t>department</w:t>
      </w:r>
      <w:r>
        <w:rPr>
          <w:lang w:eastAsia="en-AU"/>
        </w:rPr>
        <w:t xml:space="preserve"> can email </w:t>
      </w:r>
      <w:hyperlink r:id="rId308" w:history="1">
        <w:r w:rsidRPr="00824A50">
          <w:rPr>
            <w:rStyle w:val="Hyperlink"/>
          </w:rPr>
          <w:t>childsafeorgs</w:t>
        </w:r>
        <w:r w:rsidRPr="00B3744E">
          <w:rPr>
            <w:rStyle w:val="Hyperlink"/>
          </w:rPr>
          <w:t>@dhhs.vic.gov.au</w:t>
        </w:r>
      </w:hyperlink>
      <w:r>
        <w:t xml:space="preserve"> or telephone</w:t>
      </w:r>
      <w:r>
        <w:rPr>
          <w:lang w:eastAsia="en-AU"/>
        </w:rPr>
        <w:t xml:space="preserve"> </w:t>
      </w:r>
      <w:r w:rsidRPr="00276391">
        <w:rPr>
          <w:lang w:eastAsia="en-AU"/>
        </w:rPr>
        <w:t xml:space="preserve">(03) 9096 </w:t>
      </w:r>
      <w:r>
        <w:rPr>
          <w:lang w:eastAsia="en-AU"/>
        </w:rPr>
        <w:t>6160</w:t>
      </w:r>
      <w:r w:rsidRPr="00276391">
        <w:rPr>
          <w:lang w:eastAsia="en-AU"/>
        </w:rPr>
        <w:t>.</w:t>
      </w:r>
      <w:r w:rsidRPr="00276391">
        <w:rPr>
          <w:lang w:eastAsia="en-AU"/>
        </w:rPr>
        <w:br/>
      </w:r>
    </w:p>
    <w:p w14:paraId="5ADBACA2" w14:textId="77777777" w:rsidR="005D055A" w:rsidRPr="00276391" w:rsidRDefault="005D055A" w:rsidP="005D055A">
      <w:pPr>
        <w:pStyle w:val="DHHSbody"/>
        <w:rPr>
          <w:lang w:eastAsia="en-AU"/>
        </w:rPr>
      </w:pPr>
      <w:r>
        <w:rPr>
          <w:rFonts w:cs="Arial"/>
          <w:color w:val="000000"/>
          <w:szCs w:val="19"/>
          <w:lang w:eastAsia="en-AU"/>
        </w:rPr>
        <w:t>Other organisations providing services to children can contact t</w:t>
      </w:r>
      <w:r w:rsidRPr="00B24C02">
        <w:rPr>
          <w:rFonts w:cs="Arial"/>
          <w:color w:val="000000"/>
          <w:szCs w:val="19"/>
          <w:lang w:eastAsia="en-AU"/>
        </w:rPr>
        <w:t xml:space="preserve">he Commission for Children and Young </w:t>
      </w:r>
      <w:r>
        <w:rPr>
          <w:rFonts w:cs="Arial"/>
          <w:color w:val="000000"/>
          <w:szCs w:val="19"/>
          <w:lang w:eastAsia="en-AU"/>
        </w:rPr>
        <w:t xml:space="preserve">People </w:t>
      </w:r>
      <w:r w:rsidRPr="00B24C02">
        <w:rPr>
          <w:rFonts w:cs="Arial"/>
          <w:color w:val="000000"/>
          <w:szCs w:val="19"/>
          <w:lang w:eastAsia="en-AU"/>
        </w:rPr>
        <w:t xml:space="preserve">by email </w:t>
      </w:r>
      <w:hyperlink r:id="rId309" w:history="1">
        <w:r w:rsidRPr="00986D1E">
          <w:rPr>
            <w:rStyle w:val="Hyperlink"/>
          </w:rPr>
          <w:t>childsafestandards@ccyp.vic.gov.au</w:t>
        </w:r>
      </w:hyperlink>
      <w:r w:rsidRPr="00B24C02">
        <w:rPr>
          <w:rFonts w:cs="Arial"/>
          <w:color w:val="000000"/>
          <w:szCs w:val="19"/>
          <w:lang w:eastAsia="en-AU"/>
        </w:rPr>
        <w:t xml:space="preserve"> or telephone (03) 8601 </w:t>
      </w:r>
      <w:r>
        <w:rPr>
          <w:rFonts w:cs="Arial"/>
          <w:color w:val="000000"/>
          <w:szCs w:val="19"/>
          <w:lang w:eastAsia="en-AU"/>
        </w:rPr>
        <w:t>5281</w:t>
      </w:r>
      <w:r w:rsidRPr="00B24C02">
        <w:rPr>
          <w:rFonts w:cs="Arial"/>
          <w:color w:val="000000"/>
          <w:szCs w:val="19"/>
          <w:lang w:eastAsia="en-AU"/>
        </w:rPr>
        <w:t>.</w:t>
      </w:r>
    </w:p>
    <w:p w14:paraId="387A9CEB" w14:textId="77646110" w:rsidR="005D055A" w:rsidRPr="00276391" w:rsidRDefault="005D055A" w:rsidP="005D055A">
      <w:pPr>
        <w:pStyle w:val="DHHSbody"/>
        <w:rPr>
          <w:lang w:eastAsia="en-AU"/>
        </w:rPr>
      </w:pPr>
      <w:r w:rsidRPr="00276391">
        <w:rPr>
          <w:lang w:eastAsia="en-AU"/>
        </w:rPr>
        <w:t xml:space="preserve">Refer to the </w:t>
      </w:r>
      <w:hyperlink r:id="rId310" w:history="1">
        <w:r w:rsidRPr="00374538">
          <w:rPr>
            <w:rStyle w:val="Hyperlink"/>
          </w:rPr>
          <w:t>Department of Health and Human Services</w:t>
        </w:r>
        <w:r w:rsidRPr="00374538">
          <w:rPr>
            <w:rStyle w:val="Hyperlink"/>
            <w:lang w:eastAsia="en-AU"/>
          </w:rPr>
          <w:t xml:space="preserve"> website</w:t>
        </w:r>
      </w:hyperlink>
      <w:r w:rsidR="006250C7">
        <w:rPr>
          <w:lang w:eastAsia="en-AU"/>
        </w:rPr>
        <w:t xml:space="preserve"> &lt;</w:t>
      </w:r>
      <w:r w:rsidRPr="00AD4AD0">
        <w:rPr>
          <w:lang w:eastAsia="en-AU"/>
        </w:rPr>
        <w:t>https://dhhs.vic.gov.au/publications/child-safe-standards</w:t>
      </w:r>
      <w:r>
        <w:rPr>
          <w:lang w:eastAsia="en-AU"/>
        </w:rPr>
        <w:t>&gt;</w:t>
      </w:r>
      <w:r w:rsidRPr="00A00734">
        <w:rPr>
          <w:lang w:eastAsia="en-AU"/>
        </w:rPr>
        <w:t xml:space="preserve"> </w:t>
      </w:r>
      <w:r w:rsidRPr="00276391">
        <w:rPr>
          <w:lang w:eastAsia="en-AU"/>
        </w:rPr>
        <w:t xml:space="preserve">(external link, opens in a new window) for further information about the Standards. </w:t>
      </w:r>
    </w:p>
    <w:p w14:paraId="1C09FD38" w14:textId="3868BC92" w:rsidR="00C81690" w:rsidRDefault="00631E12" w:rsidP="009B2351">
      <w:pPr>
        <w:pStyle w:val="Heading2"/>
        <w:rPr>
          <w:rFonts w:cs="Arial"/>
          <w:lang w:eastAsia="en-AU"/>
        </w:rPr>
      </w:pPr>
      <w:bookmarkStart w:id="897" w:name="_4.26_Reportable_Conduct"/>
      <w:bookmarkStart w:id="898" w:name="_Toc4142143"/>
      <w:bookmarkEnd w:id="897"/>
      <w:r>
        <w:rPr>
          <w:rFonts w:cs="Arial"/>
          <w:lang w:eastAsia="en-AU"/>
        </w:rPr>
        <w:t>4.23</w:t>
      </w:r>
      <w:r w:rsidR="009B2351" w:rsidRPr="00276391">
        <w:rPr>
          <w:rFonts w:cs="Arial"/>
          <w:lang w:eastAsia="en-AU"/>
        </w:rPr>
        <w:t xml:space="preserve"> </w:t>
      </w:r>
      <w:r w:rsidR="00DD3018">
        <w:rPr>
          <w:rFonts w:cs="Arial"/>
          <w:lang w:eastAsia="en-AU"/>
        </w:rPr>
        <w:t>Reportable conduct s</w:t>
      </w:r>
      <w:r w:rsidR="00C81690">
        <w:rPr>
          <w:rFonts w:cs="Arial"/>
          <w:lang w:eastAsia="en-AU"/>
        </w:rPr>
        <w:t>cheme</w:t>
      </w:r>
      <w:bookmarkEnd w:id="898"/>
    </w:p>
    <w:p w14:paraId="1B0A8C00" w14:textId="77777777" w:rsidR="003156BC" w:rsidRPr="00C81690" w:rsidRDefault="003156BC" w:rsidP="003156BC">
      <w:pPr>
        <w:pStyle w:val="DHHSbody"/>
        <w:rPr>
          <w:rFonts w:cs="Arial"/>
        </w:rPr>
      </w:pPr>
      <w:r w:rsidRPr="00C81690">
        <w:rPr>
          <w:rFonts w:cs="Arial"/>
        </w:rPr>
        <w:t xml:space="preserve">The Victorian Government is continuing its commitment to make Victoria safer for all children by introducing a reportable conduct scheme from 1 July 2017. </w:t>
      </w:r>
    </w:p>
    <w:p w14:paraId="7EA9983D" w14:textId="68C17850" w:rsidR="003156BC" w:rsidRPr="00C81690" w:rsidRDefault="00EC4C81" w:rsidP="003156BC">
      <w:pPr>
        <w:pStyle w:val="DHHSbody"/>
        <w:rPr>
          <w:rFonts w:cs="Arial"/>
        </w:rPr>
      </w:pPr>
      <w:r>
        <w:rPr>
          <w:rFonts w:cs="Arial"/>
        </w:rPr>
        <w:t>The department</w:t>
      </w:r>
      <w:r w:rsidR="003156BC" w:rsidRPr="00C81690">
        <w:rPr>
          <w:rFonts w:cs="Arial"/>
        </w:rPr>
        <w:t xml:space="preserve"> as well as certain organisations funded by the department are included in the reportable conduct scheme. </w:t>
      </w:r>
    </w:p>
    <w:p w14:paraId="4B425DDC" w14:textId="77777777" w:rsidR="003156BC" w:rsidRPr="00C81690" w:rsidRDefault="003156BC" w:rsidP="003156BC">
      <w:pPr>
        <w:pStyle w:val="DHHSbullet14pt"/>
        <w:numPr>
          <w:ilvl w:val="0"/>
          <w:numId w:val="0"/>
        </w:numPr>
        <w:rPr>
          <w:rFonts w:ascii="Arial" w:hAnsi="Arial" w:cs="Arial"/>
          <w:sz w:val="20"/>
        </w:rPr>
      </w:pPr>
      <w:r w:rsidRPr="00C81690">
        <w:rPr>
          <w:rFonts w:ascii="Arial" w:hAnsi="Arial" w:cs="Arial"/>
          <w:sz w:val="20"/>
        </w:rPr>
        <w:t xml:space="preserve">The reportable conduct scheme requires organisations to respond to allegations of child abuse, thoroughly investigate the allegations and notify the Commission for Children and Young People of the investigation outcome. Where reportable conduct is substantiated, a person’s Working with Children Check can be reassessed. </w:t>
      </w:r>
    </w:p>
    <w:p w14:paraId="4C17AAF2" w14:textId="77777777" w:rsidR="003156BC" w:rsidRPr="00C81690" w:rsidRDefault="003156BC" w:rsidP="003156BC">
      <w:pPr>
        <w:pStyle w:val="DHHSbullet14pt"/>
        <w:numPr>
          <w:ilvl w:val="0"/>
          <w:numId w:val="0"/>
        </w:numPr>
        <w:rPr>
          <w:rFonts w:ascii="Arial" w:hAnsi="Arial" w:cs="Arial"/>
          <w:sz w:val="20"/>
        </w:rPr>
      </w:pPr>
      <w:r w:rsidRPr="00C81690">
        <w:rPr>
          <w:rFonts w:ascii="Arial" w:hAnsi="Arial" w:cs="Arial"/>
          <w:sz w:val="20"/>
        </w:rPr>
        <w:t>The Commission for Children and Young People oversees the reportable conduct scheme and is working with organisations to assist them to understand their obligations.</w:t>
      </w:r>
    </w:p>
    <w:p w14:paraId="4305E094" w14:textId="6320EBB3" w:rsidR="003156BC" w:rsidRPr="00C81690" w:rsidRDefault="003156BC" w:rsidP="003156BC">
      <w:pPr>
        <w:pStyle w:val="DHHSbullet14pt"/>
        <w:numPr>
          <w:ilvl w:val="0"/>
          <w:numId w:val="0"/>
        </w:numPr>
        <w:rPr>
          <w:rFonts w:ascii="Arial" w:hAnsi="Arial" w:cs="Arial"/>
          <w:sz w:val="20"/>
          <w:lang w:val="en" w:eastAsia="en-AU"/>
        </w:rPr>
      </w:pPr>
      <w:r w:rsidRPr="00C81690">
        <w:rPr>
          <w:rFonts w:ascii="Arial" w:hAnsi="Arial" w:cs="Arial"/>
          <w:sz w:val="20"/>
          <w:lang w:val="en" w:eastAsia="en-AU"/>
        </w:rPr>
        <w:t xml:space="preserve">Under the reportable conduct scheme, </w:t>
      </w:r>
      <w:proofErr w:type="spellStart"/>
      <w:r w:rsidRPr="00C81690">
        <w:rPr>
          <w:rFonts w:ascii="Arial" w:hAnsi="Arial" w:cs="Arial"/>
          <w:sz w:val="20"/>
          <w:lang w:val="en" w:eastAsia="en-AU"/>
        </w:rPr>
        <w:t>organisations</w:t>
      </w:r>
      <w:proofErr w:type="spellEnd"/>
      <w:r w:rsidRPr="00C81690">
        <w:rPr>
          <w:rFonts w:ascii="Arial" w:hAnsi="Arial" w:cs="Arial"/>
          <w:sz w:val="20"/>
          <w:lang w:val="en" w:eastAsia="en-AU"/>
        </w:rPr>
        <w:t xml:space="preserve"> with a high level of responsibility for children are required to notify the </w:t>
      </w:r>
      <w:hyperlink r:id="rId311" w:history="1">
        <w:r w:rsidRPr="00C81690">
          <w:rPr>
            <w:rFonts w:ascii="Arial" w:hAnsi="Arial" w:cs="Arial"/>
            <w:color w:val="0000FF"/>
            <w:sz w:val="20"/>
            <w:u w:val="single"/>
            <w:lang w:val="en" w:eastAsia="en-AU"/>
          </w:rPr>
          <w:t>Commission for Children and Young People (CCYP)</w:t>
        </w:r>
      </w:hyperlink>
      <w:r w:rsidRPr="00C81690">
        <w:rPr>
          <w:rFonts w:ascii="Arial" w:hAnsi="Arial" w:cs="Arial"/>
          <w:sz w:val="20"/>
          <w:lang w:val="en" w:eastAsia="en-AU"/>
        </w:rPr>
        <w:t xml:space="preserve"> </w:t>
      </w:r>
      <w:r w:rsidR="00EC4C81">
        <w:rPr>
          <w:rFonts w:ascii="Arial" w:hAnsi="Arial" w:cs="Arial"/>
          <w:sz w:val="20"/>
          <w:lang w:val="en" w:eastAsia="en-AU"/>
        </w:rPr>
        <w:t>&lt;</w:t>
      </w:r>
      <w:r w:rsidR="00EC4C81" w:rsidRPr="00EC4C81">
        <w:rPr>
          <w:rFonts w:ascii="Arial" w:hAnsi="Arial" w:cs="Arial"/>
          <w:sz w:val="20"/>
          <w:lang w:val="en" w:eastAsia="en-AU"/>
        </w:rPr>
        <w:t>https://ccyp.vic.gov.au/</w:t>
      </w:r>
      <w:r w:rsidR="00EC4C81">
        <w:rPr>
          <w:rFonts w:ascii="Arial" w:hAnsi="Arial" w:cs="Arial"/>
          <w:sz w:val="20"/>
          <w:lang w:val="en" w:eastAsia="en-AU"/>
        </w:rPr>
        <w:t xml:space="preserve">&gt; (external link, opens in a new window) </w:t>
      </w:r>
      <w:r w:rsidRPr="00C81690">
        <w:rPr>
          <w:rFonts w:ascii="Arial" w:hAnsi="Arial" w:cs="Arial"/>
          <w:sz w:val="20"/>
          <w:lang w:val="en" w:eastAsia="en-AU"/>
        </w:rPr>
        <w:t>of allegations that staff has engaged in 'reportable conduct' or 'misconduct that may involve reportable conduct'.</w:t>
      </w:r>
    </w:p>
    <w:p w14:paraId="53855F5D" w14:textId="77777777" w:rsidR="003156BC" w:rsidRPr="00C81690" w:rsidRDefault="003156BC" w:rsidP="003156BC">
      <w:pPr>
        <w:pStyle w:val="DHHSbullet14pt"/>
        <w:numPr>
          <w:ilvl w:val="0"/>
          <w:numId w:val="0"/>
        </w:numPr>
        <w:spacing w:before="200"/>
        <w:rPr>
          <w:rFonts w:ascii="Arial" w:hAnsi="Arial" w:cs="Arial"/>
          <w:b/>
          <w:sz w:val="20"/>
          <w:lang w:val="en" w:eastAsia="en-AU"/>
        </w:rPr>
      </w:pPr>
      <w:r w:rsidRPr="00C81690">
        <w:rPr>
          <w:rFonts w:ascii="Arial" w:hAnsi="Arial" w:cs="Arial"/>
          <w:b/>
          <w:sz w:val="20"/>
          <w:lang w:val="en" w:eastAsia="en-AU"/>
        </w:rPr>
        <w:t>What is reportable conduct?</w:t>
      </w:r>
    </w:p>
    <w:p w14:paraId="3EA84535" w14:textId="77777777" w:rsidR="003156BC" w:rsidRPr="00C81690" w:rsidRDefault="003156BC" w:rsidP="003156BC">
      <w:pPr>
        <w:spacing w:before="120"/>
        <w:rPr>
          <w:rFonts w:ascii="Arial" w:hAnsi="Arial" w:cs="Arial"/>
          <w:lang w:val="en" w:eastAsia="en-AU"/>
        </w:rPr>
      </w:pPr>
      <w:r w:rsidRPr="00C81690">
        <w:rPr>
          <w:rFonts w:ascii="Arial" w:hAnsi="Arial" w:cs="Arial"/>
          <w:lang w:val="en" w:eastAsia="en-AU"/>
        </w:rPr>
        <w:t xml:space="preserve">An allegation of reportable conduct means any information that leads a person to form a ‘reasonable belief’ that an 'employee' has committed reportable conduct or 'misconduct that may involve reportable conduct'. This includes information about something that is alleged to have occurred outside the course of the person’s employment or engagement by an </w:t>
      </w:r>
      <w:proofErr w:type="spellStart"/>
      <w:r w:rsidRPr="00C81690">
        <w:rPr>
          <w:rFonts w:ascii="Arial" w:hAnsi="Arial" w:cs="Arial"/>
          <w:lang w:val="en" w:eastAsia="en-AU"/>
        </w:rPr>
        <w:t>organisation</w:t>
      </w:r>
      <w:proofErr w:type="spellEnd"/>
      <w:r w:rsidRPr="00C81690">
        <w:rPr>
          <w:rFonts w:ascii="Arial" w:hAnsi="Arial" w:cs="Arial"/>
          <w:lang w:val="en" w:eastAsia="en-AU"/>
        </w:rPr>
        <w:t xml:space="preserve">. </w:t>
      </w:r>
    </w:p>
    <w:p w14:paraId="5873D499" w14:textId="77777777" w:rsidR="003156BC" w:rsidRPr="00C81690" w:rsidRDefault="003156BC" w:rsidP="003156BC">
      <w:pPr>
        <w:spacing w:before="120" w:after="80"/>
        <w:rPr>
          <w:rFonts w:ascii="Arial" w:hAnsi="Arial" w:cs="Arial"/>
          <w:lang w:val="en" w:eastAsia="en-AU"/>
        </w:rPr>
      </w:pPr>
      <w:r w:rsidRPr="00C81690">
        <w:rPr>
          <w:rFonts w:ascii="Arial" w:hAnsi="Arial" w:cs="Arial"/>
          <w:lang w:val="en" w:eastAsia="en-AU"/>
        </w:rPr>
        <w:t>There is an allegation of 'reportable conduct' where a person has a ‘reasonable belief’ that there has been:</w:t>
      </w:r>
    </w:p>
    <w:p w14:paraId="6EAFE352" w14:textId="77777777" w:rsidR="003156BC" w:rsidRPr="0015719F" w:rsidRDefault="003156BC" w:rsidP="0015719F">
      <w:pPr>
        <w:pStyle w:val="ListParagraph"/>
        <w:numPr>
          <w:ilvl w:val="0"/>
          <w:numId w:val="31"/>
        </w:numPr>
        <w:spacing w:after="80"/>
        <w:rPr>
          <w:rFonts w:ascii="Arial" w:hAnsi="Arial" w:cs="Arial"/>
          <w:lang w:val="en" w:eastAsia="en-AU"/>
        </w:rPr>
      </w:pPr>
      <w:r w:rsidRPr="0015719F">
        <w:rPr>
          <w:rFonts w:ascii="Arial" w:hAnsi="Arial" w:cs="Arial"/>
          <w:lang w:val="en" w:eastAsia="en-AU"/>
        </w:rPr>
        <w:t>a sexual offence (even prior to criminal proceedings commencing), sexual misconduct or physical violence committed against, with or in the presence of a child</w:t>
      </w:r>
    </w:p>
    <w:p w14:paraId="6CB0B6A6" w14:textId="77777777" w:rsidR="003156BC" w:rsidRPr="0015719F" w:rsidRDefault="003156BC" w:rsidP="0015719F">
      <w:pPr>
        <w:pStyle w:val="ListParagraph"/>
        <w:numPr>
          <w:ilvl w:val="0"/>
          <w:numId w:val="31"/>
        </w:numPr>
        <w:spacing w:after="80"/>
        <w:rPr>
          <w:rFonts w:ascii="Arial" w:hAnsi="Arial" w:cs="Arial"/>
          <w:lang w:val="en" w:eastAsia="en-AU"/>
        </w:rPr>
      </w:pPr>
      <w:proofErr w:type="spellStart"/>
      <w:r w:rsidRPr="0015719F">
        <w:rPr>
          <w:rFonts w:ascii="Arial" w:hAnsi="Arial" w:cs="Arial"/>
          <w:lang w:val="en" w:eastAsia="en-AU"/>
        </w:rPr>
        <w:t>behaviour</w:t>
      </w:r>
      <w:proofErr w:type="spellEnd"/>
      <w:r w:rsidRPr="0015719F">
        <w:rPr>
          <w:rFonts w:ascii="Arial" w:hAnsi="Arial" w:cs="Arial"/>
          <w:lang w:val="en" w:eastAsia="en-AU"/>
        </w:rPr>
        <w:t xml:space="preserve"> causing significant emotional or psychological harm</w:t>
      </w:r>
    </w:p>
    <w:p w14:paraId="525BF3DE" w14:textId="77777777" w:rsidR="003156BC" w:rsidRPr="0015719F" w:rsidRDefault="003156BC" w:rsidP="0015719F">
      <w:pPr>
        <w:pStyle w:val="ListParagraph"/>
        <w:numPr>
          <w:ilvl w:val="0"/>
          <w:numId w:val="31"/>
        </w:numPr>
        <w:spacing w:after="80"/>
        <w:rPr>
          <w:rFonts w:ascii="Arial" w:hAnsi="Arial" w:cs="Arial"/>
          <w:lang w:val="en" w:eastAsia="en-AU"/>
        </w:rPr>
      </w:pPr>
      <w:r w:rsidRPr="0015719F">
        <w:rPr>
          <w:rFonts w:ascii="Arial" w:hAnsi="Arial" w:cs="Arial"/>
          <w:lang w:val="en" w:eastAsia="en-AU"/>
        </w:rPr>
        <w:t>significant neglect of a child</w:t>
      </w:r>
    </w:p>
    <w:p w14:paraId="2CA76557" w14:textId="77777777" w:rsidR="003156BC" w:rsidRPr="0015719F" w:rsidRDefault="003156BC" w:rsidP="0015719F">
      <w:pPr>
        <w:pStyle w:val="ListParagraph"/>
        <w:numPr>
          <w:ilvl w:val="0"/>
          <w:numId w:val="31"/>
        </w:numPr>
        <w:rPr>
          <w:rFonts w:ascii="Arial" w:hAnsi="Arial" w:cs="Arial"/>
          <w:lang w:val="en" w:eastAsia="en-AU"/>
        </w:rPr>
      </w:pPr>
      <w:r w:rsidRPr="0015719F">
        <w:rPr>
          <w:rFonts w:ascii="Arial" w:hAnsi="Arial" w:cs="Arial"/>
          <w:lang w:val="en" w:eastAsia="en-AU"/>
        </w:rPr>
        <w:t>‘misconduct’ involving any of the above.</w:t>
      </w:r>
    </w:p>
    <w:p w14:paraId="2CE77E58" w14:textId="77777777" w:rsidR="003156BC" w:rsidRPr="00C81690" w:rsidRDefault="003156BC" w:rsidP="003156BC">
      <w:pPr>
        <w:spacing w:before="120"/>
        <w:rPr>
          <w:rFonts w:ascii="Arial" w:hAnsi="Arial" w:cs="Arial"/>
          <w:lang w:val="en" w:eastAsia="en-AU"/>
        </w:rPr>
      </w:pPr>
      <w:r w:rsidRPr="00C81690">
        <w:rPr>
          <w:rFonts w:ascii="Arial" w:hAnsi="Arial" w:cs="Arial"/>
          <w:lang w:val="en" w:eastAsia="en-AU"/>
        </w:rPr>
        <w:lastRenderedPageBreak/>
        <w:t>Reportable conduct extends to conduct occurring outside service delivery or the course of employment. This enables allegations of reportable conduct to be reported and responded to regardless of where the alleged conduct arises.</w:t>
      </w:r>
    </w:p>
    <w:p w14:paraId="47E6B13D" w14:textId="77777777" w:rsidR="003156BC" w:rsidRPr="00C81690" w:rsidRDefault="003156BC" w:rsidP="003156BC">
      <w:pPr>
        <w:spacing w:before="120"/>
        <w:rPr>
          <w:rFonts w:ascii="Arial" w:hAnsi="Arial" w:cs="Arial"/>
          <w:lang w:val="en" w:eastAsia="en-AU"/>
        </w:rPr>
      </w:pPr>
      <w:r w:rsidRPr="00C81690">
        <w:rPr>
          <w:rFonts w:ascii="Arial" w:hAnsi="Arial" w:cs="Arial"/>
          <w:lang w:val="en" w:eastAsia="en-AU"/>
        </w:rPr>
        <w:t>The scope of ‘reportable conduct’ is wide and is not limited to conduct that may be criminal.</w:t>
      </w:r>
    </w:p>
    <w:p w14:paraId="782A3EA2" w14:textId="1F84DD73" w:rsidR="003156BC" w:rsidRPr="00C81690" w:rsidRDefault="003156BC" w:rsidP="003156BC">
      <w:pPr>
        <w:spacing w:before="120"/>
        <w:rPr>
          <w:rFonts w:ascii="Arial" w:hAnsi="Arial" w:cs="Arial"/>
          <w:lang w:val="en" w:eastAsia="en-AU"/>
        </w:rPr>
      </w:pPr>
      <w:r w:rsidRPr="00C81690">
        <w:rPr>
          <w:rFonts w:ascii="Arial" w:hAnsi="Arial" w:cs="Arial"/>
          <w:lang w:val="en" w:eastAsia="en-AU"/>
        </w:rPr>
        <w:t xml:space="preserve">Information about what </w:t>
      </w:r>
      <w:proofErr w:type="spellStart"/>
      <w:r w:rsidRPr="00C81690">
        <w:rPr>
          <w:rFonts w:ascii="Arial" w:hAnsi="Arial" w:cs="Arial"/>
          <w:lang w:val="en" w:eastAsia="en-AU"/>
        </w:rPr>
        <w:t>behaviour</w:t>
      </w:r>
      <w:proofErr w:type="spellEnd"/>
      <w:r w:rsidRPr="00C81690">
        <w:rPr>
          <w:rFonts w:ascii="Arial" w:hAnsi="Arial" w:cs="Arial"/>
          <w:lang w:val="en" w:eastAsia="en-AU"/>
        </w:rPr>
        <w:t xml:space="preserve"> is considered to be reportable conduct is available </w:t>
      </w:r>
      <w:hyperlink r:id="rId312" w:history="1">
        <w:r w:rsidRPr="00C81690">
          <w:rPr>
            <w:rFonts w:ascii="Arial" w:hAnsi="Arial" w:cs="Arial"/>
            <w:color w:val="0000FF"/>
            <w:u w:val="single"/>
            <w:lang w:val="en" w:eastAsia="en-AU"/>
          </w:rPr>
          <w:t>CCYP website</w:t>
        </w:r>
      </w:hyperlink>
      <w:r w:rsidR="00EC4C81">
        <w:rPr>
          <w:rFonts w:ascii="Arial" w:hAnsi="Arial" w:cs="Arial"/>
          <w:color w:val="0000FF"/>
          <w:u w:val="single"/>
          <w:lang w:val="en" w:eastAsia="en-AU"/>
        </w:rPr>
        <w:t xml:space="preserve"> </w:t>
      </w:r>
      <w:r w:rsidR="005F0F99">
        <w:rPr>
          <w:rFonts w:ascii="Arial" w:hAnsi="Arial" w:cs="Arial"/>
          <w:lang w:val="en" w:eastAsia="en-AU"/>
        </w:rPr>
        <w:t>&lt;</w:t>
      </w:r>
      <w:r w:rsidR="005F0F99" w:rsidRPr="00EC4C81">
        <w:rPr>
          <w:rFonts w:ascii="Arial" w:hAnsi="Arial" w:cs="Arial"/>
          <w:lang w:val="en" w:eastAsia="en-AU"/>
        </w:rPr>
        <w:t>https://ccyp.vic.gov.au/</w:t>
      </w:r>
      <w:r w:rsidR="005F0F99">
        <w:rPr>
          <w:rFonts w:ascii="Arial" w:hAnsi="Arial" w:cs="Arial"/>
          <w:lang w:val="en" w:eastAsia="en-AU"/>
        </w:rPr>
        <w:t>&gt; (</w:t>
      </w:r>
      <w:r w:rsidR="00EC4C81">
        <w:rPr>
          <w:rFonts w:ascii="Arial" w:hAnsi="Arial" w:cs="Arial"/>
          <w:lang w:val="en" w:eastAsia="en-AU"/>
        </w:rPr>
        <w:t>external link, opens in a new window)</w:t>
      </w:r>
      <w:r w:rsidRPr="00C81690">
        <w:rPr>
          <w:rFonts w:ascii="Arial" w:hAnsi="Arial" w:cs="Arial"/>
          <w:lang w:val="en" w:eastAsia="en-AU"/>
        </w:rPr>
        <w:t>.</w:t>
      </w:r>
    </w:p>
    <w:p w14:paraId="07B1C604" w14:textId="77777777" w:rsidR="003156BC" w:rsidRPr="00C81690" w:rsidRDefault="003156BC" w:rsidP="003156BC">
      <w:pPr>
        <w:spacing w:before="120"/>
        <w:rPr>
          <w:rFonts w:ascii="Arial" w:hAnsi="Arial" w:cs="Arial"/>
          <w:color w:val="000000"/>
          <w:lang w:eastAsia="en-AU"/>
        </w:rPr>
      </w:pPr>
      <w:r w:rsidRPr="00C81690">
        <w:rPr>
          <w:rFonts w:ascii="Arial" w:hAnsi="Arial" w:cs="Arial"/>
          <w:color w:val="000000"/>
          <w:lang w:eastAsia="en-AU"/>
        </w:rPr>
        <w:t xml:space="preserve">The reportable conduct scheme maintains the primacy of an investigation by Victoria Police of any allegations of criminal misconduct and requires allegations of criminal conduct to be reported to Victoria Police. </w:t>
      </w:r>
    </w:p>
    <w:p w14:paraId="4A062FFD" w14:textId="77777777" w:rsidR="003156BC" w:rsidRPr="00C81690" w:rsidRDefault="003156BC" w:rsidP="003156BC">
      <w:pPr>
        <w:spacing w:before="120" w:after="120"/>
        <w:rPr>
          <w:rFonts w:ascii="Arial" w:hAnsi="Arial" w:cs="Arial"/>
          <w:color w:val="000000"/>
          <w:lang w:eastAsia="en-AU"/>
        </w:rPr>
      </w:pPr>
      <w:r w:rsidRPr="00C81690">
        <w:rPr>
          <w:rFonts w:ascii="Arial" w:hAnsi="Arial" w:cs="Arial"/>
          <w:color w:val="000000"/>
          <w:lang w:eastAsia="en-AU"/>
        </w:rPr>
        <w:t>Victoria’s reportable conduct scheme is being introduced in three phases:</w:t>
      </w:r>
    </w:p>
    <w:p w14:paraId="6A6BE103" w14:textId="77777777" w:rsidR="003156BC" w:rsidRPr="00B809EE" w:rsidRDefault="003156BC" w:rsidP="003156BC">
      <w:pPr>
        <w:rPr>
          <w:rFonts w:ascii="Arial" w:hAnsi="Arial" w:cs="Arial"/>
        </w:rPr>
      </w:pPr>
      <w:r w:rsidRPr="0072141F">
        <w:rPr>
          <w:rFonts w:cs="Arial"/>
          <w:noProof/>
          <w:sz w:val="24"/>
          <w:szCs w:val="24"/>
          <w:lang w:eastAsia="en-AU"/>
        </w:rPr>
        <w:drawing>
          <wp:inline distT="0" distB="0" distL="0" distR="0" wp14:anchorId="19044FB8" wp14:editId="5572F50C">
            <wp:extent cx="5730440" cy="2760785"/>
            <wp:effectExtent l="0" t="0" r="3810" b="1905"/>
            <wp:docPr id="3074" name="Picture 2" descr="The scheme will apply across three phases from 1 July 2017 to 1 January 2019. Please visit the CCYP website for the full list &lt;https://ccyp.vic.gov. au/reportable-conduct-scheme/ " title="Who does the scheme apply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he scheme will apply across three phases from 1 July 2017 to 1 January 2019. Please visit the CCYP website for the full list &lt;https://ccyp.vic.gov. au/reportable-conduct-scheme/ " title="Who does the scheme apply to?"/>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5731510" cy="2761301"/>
                    </a:xfrm>
                    <a:prstGeom prst="rect">
                      <a:avLst/>
                    </a:prstGeom>
                    <a:noFill/>
                    <a:ln>
                      <a:noFill/>
                    </a:ln>
                    <a:extLst/>
                  </pic:spPr>
                </pic:pic>
              </a:graphicData>
            </a:graphic>
          </wp:inline>
        </w:drawing>
      </w:r>
    </w:p>
    <w:p w14:paraId="47A423B4" w14:textId="77777777" w:rsidR="003156BC" w:rsidRPr="00C81690" w:rsidRDefault="003156BC" w:rsidP="003156BC">
      <w:pPr>
        <w:spacing w:before="100" w:beforeAutospacing="1" w:after="100" w:afterAutospacing="1"/>
        <w:rPr>
          <w:rFonts w:ascii="Arial" w:hAnsi="Arial" w:cs="Arial"/>
          <w:bCs/>
          <w:color w:val="000000"/>
        </w:rPr>
      </w:pPr>
      <w:r w:rsidRPr="00C81690">
        <w:rPr>
          <w:rFonts w:ascii="Arial" w:hAnsi="Arial" w:cs="Arial"/>
          <w:lang w:val="en" w:eastAsia="en-AU"/>
        </w:rPr>
        <w:t>The reportable conduct scheme complements the Child Safe Standards. More information about the Chi</w:t>
      </w:r>
      <w:r>
        <w:rPr>
          <w:rFonts w:ascii="Arial" w:hAnsi="Arial" w:cs="Arial"/>
          <w:lang w:val="en" w:eastAsia="en-AU"/>
        </w:rPr>
        <w:t>ld Safe Standards is available on the departmen</w:t>
      </w:r>
      <w:r w:rsidRPr="00C81690">
        <w:rPr>
          <w:rFonts w:ascii="Arial" w:hAnsi="Arial" w:cs="Arial"/>
          <w:lang w:val="en" w:eastAsia="en-AU"/>
        </w:rPr>
        <w:t>t</w:t>
      </w:r>
      <w:r>
        <w:rPr>
          <w:rFonts w:ascii="Arial" w:hAnsi="Arial" w:cs="Arial"/>
          <w:lang w:val="en" w:eastAsia="en-AU"/>
        </w:rPr>
        <w:t xml:space="preserve">’s </w:t>
      </w:r>
      <w:hyperlink r:id="rId314" w:history="1">
        <w:r w:rsidRPr="00725304">
          <w:rPr>
            <w:rStyle w:val="Hyperlink"/>
            <w:rFonts w:ascii="Arial" w:hAnsi="Arial" w:cs="Arial"/>
            <w:lang w:val="en" w:eastAsia="en-AU"/>
          </w:rPr>
          <w:t xml:space="preserve">Providers website </w:t>
        </w:r>
      </w:hyperlink>
      <w:r>
        <w:rPr>
          <w:rFonts w:ascii="Arial" w:hAnsi="Arial" w:cs="Arial"/>
          <w:lang w:val="en" w:eastAsia="en-AU"/>
        </w:rPr>
        <w:t>&lt;</w:t>
      </w:r>
      <w:r w:rsidRPr="00725304">
        <w:rPr>
          <w:rFonts w:ascii="Arial" w:hAnsi="Arial" w:cs="Arial"/>
          <w:lang w:val="en" w:eastAsia="en-AU"/>
        </w:rPr>
        <w:t>http://providers.dhhs.vic.gov.au/child-safe-standards</w:t>
      </w:r>
      <w:r>
        <w:rPr>
          <w:rFonts w:ascii="Arial" w:hAnsi="Arial" w:cs="Arial"/>
          <w:lang w:val="en" w:eastAsia="en-AU"/>
        </w:rPr>
        <w:t>&gt; (external link, opens in a new window).</w:t>
      </w:r>
      <w:r w:rsidRPr="00C81690">
        <w:rPr>
          <w:rFonts w:ascii="Arial" w:hAnsi="Arial" w:cs="Arial"/>
          <w:lang w:val="en" w:eastAsia="en-AU"/>
        </w:rPr>
        <w:t xml:space="preserve"> </w:t>
      </w:r>
    </w:p>
    <w:p w14:paraId="7EFA94A4" w14:textId="77777777" w:rsidR="003156BC" w:rsidRPr="00C81690" w:rsidRDefault="003156BC" w:rsidP="003156BC">
      <w:pPr>
        <w:spacing w:before="100" w:beforeAutospacing="1" w:after="120"/>
        <w:rPr>
          <w:rFonts w:ascii="Arial" w:hAnsi="Arial" w:cs="Arial"/>
          <w:b/>
          <w:lang w:val="en" w:eastAsia="en-AU"/>
        </w:rPr>
      </w:pPr>
      <w:proofErr w:type="spellStart"/>
      <w:r w:rsidRPr="00C81690">
        <w:rPr>
          <w:rFonts w:ascii="Arial" w:hAnsi="Arial" w:cs="Arial"/>
          <w:b/>
          <w:lang w:val="en" w:eastAsia="en-AU"/>
        </w:rPr>
        <w:t>Organisation</w:t>
      </w:r>
      <w:proofErr w:type="spellEnd"/>
      <w:r w:rsidRPr="00C81690">
        <w:rPr>
          <w:rFonts w:ascii="Arial" w:hAnsi="Arial" w:cs="Arial"/>
          <w:b/>
          <w:lang w:val="en" w:eastAsia="en-AU"/>
        </w:rPr>
        <w:t xml:space="preserve"> Requirements </w:t>
      </w:r>
    </w:p>
    <w:p w14:paraId="6E255920" w14:textId="4A551990" w:rsidR="003156BC" w:rsidRPr="00C81690" w:rsidRDefault="003156BC" w:rsidP="003156BC">
      <w:pPr>
        <w:pStyle w:val="DHHSbody"/>
        <w:rPr>
          <w:rFonts w:cs="Arial"/>
          <w:lang w:eastAsia="en-AU"/>
        </w:rPr>
      </w:pPr>
      <w:r w:rsidRPr="00C81690">
        <w:rPr>
          <w:rFonts w:cs="Arial"/>
          <w:color w:val="000000"/>
          <w:lang w:eastAsia="en-AU"/>
        </w:rPr>
        <w:t>The reportable conduct scheme is compulsory for all organisations in scope.</w:t>
      </w:r>
      <w:r w:rsidR="006250C7">
        <w:rPr>
          <w:rFonts w:cs="Arial"/>
          <w:color w:val="000000"/>
          <w:lang w:eastAsia="en-AU"/>
        </w:rPr>
        <w:t xml:space="preserve"> </w:t>
      </w:r>
    </w:p>
    <w:p w14:paraId="29D92314" w14:textId="77777777" w:rsidR="003156BC" w:rsidRPr="00C81690" w:rsidRDefault="003156BC" w:rsidP="003156BC">
      <w:pPr>
        <w:pStyle w:val="DHHSbody"/>
        <w:rPr>
          <w:rFonts w:cs="Arial"/>
          <w:b/>
          <w:lang w:val="en" w:eastAsia="en-AU"/>
        </w:rPr>
      </w:pPr>
      <w:r w:rsidRPr="00C81690">
        <w:rPr>
          <w:rFonts w:cs="Arial"/>
          <w:lang w:eastAsia="en-AU"/>
        </w:rPr>
        <w:t xml:space="preserve">Organisations should review their existing policies and identify where they need to take further action to comply with the reportable conduct scheme. </w:t>
      </w:r>
    </w:p>
    <w:p w14:paraId="0A2372E3" w14:textId="77777777" w:rsidR="003156BC" w:rsidRPr="00C81690" w:rsidRDefault="003156BC" w:rsidP="003156BC">
      <w:pPr>
        <w:spacing w:before="100" w:beforeAutospacing="1" w:after="120"/>
        <w:rPr>
          <w:rFonts w:ascii="Arial" w:hAnsi="Arial" w:cs="Arial"/>
          <w:b/>
          <w:lang w:val="en" w:eastAsia="en-AU"/>
        </w:rPr>
      </w:pPr>
      <w:r w:rsidRPr="00C81690">
        <w:rPr>
          <w:rFonts w:ascii="Arial" w:hAnsi="Arial" w:cs="Arial"/>
          <w:b/>
          <w:lang w:val="en" w:eastAsia="en-AU"/>
        </w:rPr>
        <w:t>Further Information</w:t>
      </w:r>
    </w:p>
    <w:p w14:paraId="0CFB1FEC" w14:textId="245D3413" w:rsidR="003156BC" w:rsidRPr="00C81690" w:rsidRDefault="003156BC" w:rsidP="003156BC">
      <w:pPr>
        <w:rPr>
          <w:rFonts w:ascii="Arial" w:hAnsi="Arial" w:cs="Arial"/>
        </w:rPr>
      </w:pPr>
      <w:r w:rsidRPr="00C81690">
        <w:rPr>
          <w:rFonts w:ascii="Arial" w:hAnsi="Arial" w:cs="Arial"/>
          <w:lang w:val="en" w:eastAsia="en-AU"/>
        </w:rPr>
        <w:t xml:space="preserve">More information about the reportable conduct scheme can be found on the </w:t>
      </w:r>
      <w:hyperlink r:id="rId315" w:history="1">
        <w:r w:rsidRPr="00C81690">
          <w:rPr>
            <w:rStyle w:val="Hyperlink"/>
            <w:rFonts w:ascii="Arial" w:hAnsi="Arial" w:cs="Arial"/>
            <w:lang w:val="en" w:eastAsia="en-AU"/>
          </w:rPr>
          <w:t>Com</w:t>
        </w:r>
        <w:r w:rsidRPr="00C81690">
          <w:rPr>
            <w:rStyle w:val="Hyperlink"/>
            <w:rFonts w:ascii="Arial" w:hAnsi="Arial" w:cs="Arial"/>
          </w:rPr>
          <w:t>mission for Children and Young People’s website</w:t>
        </w:r>
      </w:hyperlink>
      <w:r w:rsidRPr="00C81690">
        <w:rPr>
          <w:rFonts w:ascii="Arial" w:hAnsi="Arial" w:cs="Arial"/>
        </w:rPr>
        <w:t xml:space="preserve"> </w:t>
      </w:r>
      <w:r>
        <w:rPr>
          <w:rFonts w:ascii="Arial" w:hAnsi="Arial" w:cs="Arial"/>
        </w:rPr>
        <w:t>&lt;</w:t>
      </w:r>
      <w:r w:rsidRPr="00C81690">
        <w:rPr>
          <w:rFonts w:ascii="Arial" w:hAnsi="Arial" w:cs="Arial"/>
        </w:rPr>
        <w:t>https://ccyp.vic.gov.au/reportable-conduct-scheme/</w:t>
      </w:r>
      <w:r>
        <w:rPr>
          <w:rFonts w:ascii="Arial" w:hAnsi="Arial" w:cs="Arial"/>
        </w:rPr>
        <w:t xml:space="preserve">&gt; (external link, opens in </w:t>
      </w:r>
      <w:r w:rsidR="00C62565">
        <w:rPr>
          <w:rFonts w:ascii="Arial" w:hAnsi="Arial" w:cs="Arial"/>
        </w:rPr>
        <w:t>a new window</w:t>
      </w:r>
      <w:r>
        <w:rPr>
          <w:rFonts w:ascii="Arial" w:hAnsi="Arial" w:cs="Arial"/>
        </w:rPr>
        <w:t xml:space="preserve">) or on the </w:t>
      </w:r>
      <w:hyperlink r:id="rId316" w:history="1">
        <w:r w:rsidRPr="00725304">
          <w:rPr>
            <w:rStyle w:val="Hyperlink"/>
            <w:rFonts w:ascii="Arial" w:hAnsi="Arial" w:cs="Arial"/>
          </w:rPr>
          <w:t>Providers website</w:t>
        </w:r>
      </w:hyperlink>
      <w:r>
        <w:rPr>
          <w:rFonts w:ascii="Arial" w:hAnsi="Arial" w:cs="Arial"/>
        </w:rPr>
        <w:t xml:space="preserve"> &lt;</w:t>
      </w:r>
      <w:r w:rsidRPr="00725304">
        <w:rPr>
          <w:rFonts w:ascii="Arial" w:hAnsi="Arial" w:cs="Arial"/>
        </w:rPr>
        <w:t>http://providers.dhhs.vic.gov.au/reportable-conduct-scheme</w:t>
      </w:r>
      <w:r>
        <w:rPr>
          <w:rFonts w:ascii="Arial" w:hAnsi="Arial" w:cs="Arial"/>
        </w:rPr>
        <w:t>&gt; (external link, opens in a new window).</w:t>
      </w:r>
    </w:p>
    <w:p w14:paraId="2F906A98" w14:textId="2A907070" w:rsidR="00236748" w:rsidRPr="00276391" w:rsidRDefault="00631E12" w:rsidP="009B2351">
      <w:pPr>
        <w:pStyle w:val="Heading2"/>
        <w:rPr>
          <w:rFonts w:cs="Arial"/>
          <w:lang w:eastAsia="en-AU"/>
        </w:rPr>
      </w:pPr>
      <w:bookmarkStart w:id="899" w:name="_Toc4142144"/>
      <w:r>
        <w:rPr>
          <w:rFonts w:cs="Arial"/>
          <w:lang w:eastAsia="en-AU"/>
        </w:rPr>
        <w:t>4.24</w:t>
      </w:r>
      <w:r w:rsidR="00C81690">
        <w:rPr>
          <w:rFonts w:cs="Arial"/>
          <w:lang w:eastAsia="en-AU"/>
        </w:rPr>
        <w:t xml:space="preserve"> </w:t>
      </w:r>
      <w:r w:rsidR="00236748" w:rsidRPr="00276391">
        <w:rPr>
          <w:rFonts w:cs="Arial"/>
          <w:lang w:eastAsia="en-AU"/>
        </w:rPr>
        <w:t>Fraud</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DD3018">
        <w:rPr>
          <w:rFonts w:cs="Arial"/>
          <w:lang w:eastAsia="en-AU"/>
        </w:rPr>
        <w:t>c</w:t>
      </w:r>
      <w:r w:rsidR="00236748" w:rsidRPr="00276391">
        <w:rPr>
          <w:rFonts w:cs="Arial"/>
          <w:lang w:eastAsia="en-AU"/>
        </w:rPr>
        <w:t>orruption</w:t>
      </w:r>
      <w:r w:rsidR="009B2351" w:rsidRPr="00276391">
        <w:rPr>
          <w:rFonts w:cs="Arial"/>
          <w:lang w:eastAsia="en-AU"/>
        </w:rPr>
        <w:t xml:space="preserve"> </w:t>
      </w:r>
      <w:r w:rsidR="00DD3018">
        <w:rPr>
          <w:rFonts w:cs="Arial"/>
          <w:lang w:eastAsia="en-AU"/>
        </w:rPr>
        <w:t>c</w:t>
      </w:r>
      <w:r w:rsidR="00236748" w:rsidRPr="00276391">
        <w:rPr>
          <w:rFonts w:cs="Arial"/>
          <w:lang w:eastAsia="en-AU"/>
        </w:rPr>
        <w:t>ontrol</w:t>
      </w:r>
      <w:r w:rsidR="009B2351" w:rsidRPr="00276391">
        <w:rPr>
          <w:rFonts w:cs="Arial"/>
          <w:lang w:eastAsia="en-AU"/>
        </w:rPr>
        <w:t xml:space="preserve"> </w:t>
      </w:r>
      <w:r w:rsidR="00DD3018">
        <w:rPr>
          <w:rFonts w:cs="Arial"/>
          <w:lang w:eastAsia="en-AU"/>
        </w:rPr>
        <w:t>f</w:t>
      </w:r>
      <w:r w:rsidR="00236748" w:rsidRPr="00276391">
        <w:rPr>
          <w:rFonts w:cs="Arial"/>
          <w:lang w:eastAsia="en-AU"/>
        </w:rPr>
        <w:t>ramework</w:t>
      </w:r>
      <w:bookmarkEnd w:id="886"/>
      <w:bookmarkEnd w:id="887"/>
      <w:bookmarkEnd w:id="888"/>
      <w:bookmarkEnd w:id="899"/>
    </w:p>
    <w:p w14:paraId="3C9843FC" w14:textId="77777777" w:rsidR="00476BDB" w:rsidRPr="00276391" w:rsidRDefault="00476BDB" w:rsidP="00476BDB">
      <w:pPr>
        <w:pStyle w:val="Heading4"/>
        <w:rPr>
          <w:lang w:eastAsia="en-AU"/>
        </w:rPr>
      </w:pPr>
      <w:bookmarkStart w:id="900" w:name="_Toc478992257"/>
      <w:bookmarkStart w:id="901" w:name="_Toc478992262"/>
      <w:bookmarkStart w:id="902" w:name="_Toc478992527"/>
      <w:bookmarkStart w:id="903" w:name="_Toc478992940"/>
      <w:r w:rsidRPr="00276391">
        <w:rPr>
          <w:lang w:eastAsia="en-AU"/>
        </w:rPr>
        <w:t>Who does this policy apply to?</w:t>
      </w:r>
      <w:bookmarkEnd w:id="900"/>
    </w:p>
    <w:p w14:paraId="3874FE34" w14:textId="77777777" w:rsidR="00476BDB" w:rsidRPr="00276391" w:rsidRDefault="00476BDB" w:rsidP="00476BDB">
      <w:pPr>
        <w:pStyle w:val="DHHSbody"/>
        <w:rPr>
          <w:lang w:eastAsia="en-AU"/>
        </w:rPr>
      </w:pPr>
      <w:r w:rsidRPr="00B24C02">
        <w:rPr>
          <w:rFonts w:cs="Arial"/>
          <w:color w:val="000000"/>
          <w:szCs w:val="19"/>
          <w:lang w:eastAsia="en-AU"/>
        </w:rPr>
        <w:t>This policy applies to all department staff, executive officers, contractors, service providers, consultants and funded organisations.</w:t>
      </w:r>
    </w:p>
    <w:p w14:paraId="7B48DAB1" w14:textId="77777777" w:rsidR="00476BDB" w:rsidRPr="00276391" w:rsidRDefault="00476BDB" w:rsidP="00476BDB">
      <w:pPr>
        <w:pStyle w:val="Heading4"/>
        <w:rPr>
          <w:lang w:eastAsia="en-AU"/>
        </w:rPr>
      </w:pPr>
      <w:bookmarkStart w:id="904" w:name="_Toc478992258"/>
      <w:r w:rsidRPr="00276391">
        <w:rPr>
          <w:lang w:eastAsia="en-AU"/>
        </w:rPr>
        <w:lastRenderedPageBreak/>
        <w:t>Policy purpose</w:t>
      </w:r>
      <w:bookmarkEnd w:id="904"/>
    </w:p>
    <w:p w14:paraId="34FAB548" w14:textId="77777777" w:rsidR="00476BDB" w:rsidRPr="00276391" w:rsidRDefault="00476BDB" w:rsidP="00476BDB">
      <w:pPr>
        <w:pStyle w:val="DHHSbody"/>
        <w:rPr>
          <w:lang w:eastAsia="en-AU"/>
        </w:rPr>
      </w:pPr>
      <w:r w:rsidRPr="00B24C02">
        <w:rPr>
          <w:rFonts w:cs="Arial"/>
          <w:color w:val="000000"/>
          <w:szCs w:val="19"/>
          <w:lang w:eastAsia="en-AU"/>
        </w:rPr>
        <w:t>To provide guidance and support to funded organisations and to ensure they are pro-active in their reporting and management of reports of fraud and/or corruption.</w:t>
      </w:r>
    </w:p>
    <w:p w14:paraId="11096419" w14:textId="77777777" w:rsidR="00476BDB" w:rsidRPr="00276391" w:rsidRDefault="00476BDB" w:rsidP="00476BDB">
      <w:pPr>
        <w:pStyle w:val="Heading4"/>
        <w:rPr>
          <w:lang w:eastAsia="en-AU"/>
        </w:rPr>
      </w:pPr>
      <w:bookmarkStart w:id="905" w:name="_Toc478992259"/>
      <w:r w:rsidRPr="00276391">
        <w:rPr>
          <w:lang w:eastAsia="en-AU"/>
        </w:rPr>
        <w:t>Legislation and /or regulation</w:t>
      </w:r>
      <w:bookmarkEnd w:id="905"/>
    </w:p>
    <w:p w14:paraId="3051DDDD" w14:textId="0021753F" w:rsidR="00476BDB" w:rsidRPr="00276391" w:rsidRDefault="00476BDB" w:rsidP="00476BDB">
      <w:pPr>
        <w:pStyle w:val="DHHSbody"/>
        <w:rPr>
          <w:lang w:eastAsia="en-AU"/>
        </w:rPr>
      </w:pPr>
      <w:r w:rsidRPr="00B24C02">
        <w:rPr>
          <w:rFonts w:cs="Arial"/>
          <w:color w:val="000000"/>
          <w:szCs w:val="19"/>
          <w:lang w:eastAsia="en-AU"/>
        </w:rPr>
        <w:t xml:space="preserve">The Framework has been developed to ensure departmental compliance with the </w:t>
      </w:r>
      <w:hyperlink r:id="rId317" w:tooltip="Link to the Department of Treasury and Finance Standing Directions 2016 publications web page" w:history="1">
        <w:r w:rsidRPr="00986D1E">
          <w:rPr>
            <w:rStyle w:val="Hyperlink"/>
          </w:rPr>
          <w:t>Standing Directions of the Minister for Finance 2016</w:t>
        </w:r>
      </w:hyperlink>
      <w:r w:rsidRPr="00B24C02">
        <w:rPr>
          <w:rFonts w:cs="Arial"/>
          <w:color w:val="000000"/>
          <w:szCs w:val="19"/>
          <w:lang w:eastAsia="en-AU"/>
        </w:rPr>
        <w:t xml:space="preserve"> </w:t>
      </w:r>
      <w:r>
        <w:rPr>
          <w:rFonts w:cs="Arial"/>
          <w:color w:val="000000"/>
          <w:szCs w:val="19"/>
          <w:lang w:eastAsia="en-AU"/>
        </w:rPr>
        <w:t>&lt;</w:t>
      </w:r>
      <w:r w:rsidRPr="00374538">
        <w:rPr>
          <w:rFonts w:cs="Arial"/>
          <w:color w:val="000000"/>
          <w:szCs w:val="19"/>
          <w:lang w:eastAsia="en-AU"/>
        </w:rPr>
        <w:t>http://www.dtf.vic.gov.au/Publications/Government-Financial-Management-publications/Standing-Directions-of-the-Minister-for-Finance-2016/Standing-Directions-2016-publications</w:t>
      </w:r>
      <w:r>
        <w:rPr>
          <w:rFonts w:cs="Arial"/>
          <w:color w:val="000000"/>
          <w:szCs w:val="19"/>
          <w:lang w:eastAsia="en-AU"/>
        </w:rPr>
        <w:t>&gt;</w:t>
      </w:r>
      <w:r w:rsidRPr="00374538">
        <w:rPr>
          <w:rFonts w:cs="Arial"/>
          <w:color w:val="000000"/>
          <w:szCs w:val="19"/>
          <w:lang w:eastAsia="en-AU"/>
        </w:rPr>
        <w:t xml:space="preserve"> </w:t>
      </w:r>
      <w:r w:rsidRPr="00B24C02">
        <w:rPr>
          <w:rFonts w:cs="Arial"/>
          <w:color w:val="000000"/>
          <w:szCs w:val="19"/>
          <w:lang w:eastAsia="en-AU"/>
        </w:rPr>
        <w:t>(external</w:t>
      </w:r>
      <w:r w:rsidR="005F0F99">
        <w:rPr>
          <w:rFonts w:cs="Arial"/>
          <w:color w:val="000000"/>
          <w:szCs w:val="19"/>
          <w:lang w:eastAsia="en-AU"/>
        </w:rPr>
        <w:t xml:space="preserve"> link, opens in a new window) u</w:t>
      </w:r>
      <w:r w:rsidRPr="00B24C02">
        <w:rPr>
          <w:rFonts w:cs="Arial"/>
          <w:color w:val="000000"/>
          <w:szCs w:val="19"/>
          <w:lang w:eastAsia="en-AU"/>
        </w:rPr>
        <w:t>nder th</w:t>
      </w:r>
      <w:r w:rsidR="005F0F99">
        <w:rPr>
          <w:rFonts w:cs="Arial"/>
          <w:color w:val="000000"/>
          <w:szCs w:val="19"/>
          <w:lang w:eastAsia="en-AU"/>
        </w:rPr>
        <w:t xml:space="preserve">e </w:t>
      </w:r>
      <w:r w:rsidR="005F0F99" w:rsidRPr="005F0F99">
        <w:rPr>
          <w:rFonts w:cs="Arial"/>
          <w:i/>
          <w:color w:val="000000"/>
          <w:szCs w:val="19"/>
          <w:lang w:eastAsia="en-AU"/>
        </w:rPr>
        <w:t>Financial Management Act 1994</w:t>
      </w:r>
      <w:r w:rsidRPr="00B24C02">
        <w:rPr>
          <w:rFonts w:cs="Arial"/>
          <w:color w:val="000000"/>
          <w:szCs w:val="19"/>
          <w:lang w:eastAsia="en-AU"/>
        </w:rPr>
        <w:t xml:space="preserve"> sections:</w:t>
      </w:r>
    </w:p>
    <w:p w14:paraId="4FB92566" w14:textId="77777777" w:rsidR="00476BDB" w:rsidRPr="00276391" w:rsidRDefault="00476BDB" w:rsidP="00476BDB">
      <w:pPr>
        <w:pStyle w:val="DHHSbody"/>
        <w:rPr>
          <w:lang w:eastAsia="en-AU"/>
        </w:rPr>
      </w:pPr>
      <w:r w:rsidRPr="00276391">
        <w:rPr>
          <w:lang w:eastAsia="en-AU"/>
        </w:rPr>
        <w:t xml:space="preserve">3.5.3 Significant or Systemic Fraud </w:t>
      </w:r>
    </w:p>
    <w:p w14:paraId="0CDCAA27" w14:textId="77777777" w:rsidR="00476BDB" w:rsidRPr="00276391" w:rsidRDefault="00476BDB" w:rsidP="00476BDB">
      <w:pPr>
        <w:pStyle w:val="DHHSbody"/>
        <w:rPr>
          <w:lang w:eastAsia="en-AU"/>
        </w:rPr>
      </w:pPr>
      <w:r w:rsidRPr="00276391">
        <w:rPr>
          <w:lang w:eastAsia="en-AU"/>
        </w:rPr>
        <w:t xml:space="preserve">3.5.3 (a) Corruption and Other Losses. </w:t>
      </w:r>
    </w:p>
    <w:p w14:paraId="08784375" w14:textId="77777777" w:rsidR="00476BDB" w:rsidRPr="00276391" w:rsidRDefault="00476BDB" w:rsidP="00476BDB">
      <w:pPr>
        <w:pStyle w:val="DHHSbody"/>
        <w:rPr>
          <w:lang w:eastAsia="en-AU"/>
        </w:rPr>
      </w:pPr>
      <w:r w:rsidRPr="00276391">
        <w:rPr>
          <w:lang w:eastAsia="en-AU"/>
        </w:rPr>
        <w:t xml:space="preserve">The Standing Directions are made under the </w:t>
      </w:r>
      <w:r w:rsidRPr="005F0F99">
        <w:rPr>
          <w:i/>
          <w:lang w:eastAsia="en-AU"/>
        </w:rPr>
        <w:t>Financial Management Act 1994</w:t>
      </w:r>
      <w:r w:rsidRPr="00276391">
        <w:rPr>
          <w:lang w:eastAsia="en-AU"/>
        </w:rPr>
        <w:t xml:space="preserve"> and are to be read in conjunction with the Instructions that support the Standing Directions. Departmental compliance with legislative and/or regulatory requirements requires the establishment of processes and controls regarding oversight of fraud and corruption events involving public money.</w:t>
      </w:r>
    </w:p>
    <w:p w14:paraId="08C09635" w14:textId="77777777" w:rsidR="00476BDB" w:rsidRPr="00276391" w:rsidRDefault="00476BDB" w:rsidP="00476BDB">
      <w:pPr>
        <w:pStyle w:val="Heading4"/>
        <w:rPr>
          <w:lang w:eastAsia="en-AU"/>
        </w:rPr>
      </w:pPr>
      <w:bookmarkStart w:id="906" w:name="_Toc478992260"/>
      <w:r w:rsidRPr="00276391">
        <w:rPr>
          <w:lang w:eastAsia="en-AU"/>
        </w:rPr>
        <w:t>Organisation requirements</w:t>
      </w:r>
      <w:bookmarkEnd w:id="906"/>
    </w:p>
    <w:p w14:paraId="5F4F134B" w14:textId="040A8FC6" w:rsidR="00476BDB" w:rsidRPr="00276391" w:rsidRDefault="00476BDB" w:rsidP="00476BDB">
      <w:pPr>
        <w:pStyle w:val="DHHSbody"/>
        <w:rPr>
          <w:lang w:eastAsia="en-AU"/>
        </w:rPr>
      </w:pPr>
      <w:r w:rsidRPr="00B24C02">
        <w:rPr>
          <w:rFonts w:cs="Arial"/>
          <w:color w:val="000000"/>
          <w:szCs w:val="19"/>
          <w:lang w:eastAsia="en-AU"/>
        </w:rPr>
        <w:t xml:space="preserve">Paragraph 4.4.2. of the Fraud and Corruption Control Framework requires funded organisations to report suspected fraud and corruption within their organisation to the </w:t>
      </w:r>
      <w:r w:rsidR="005F0F99">
        <w:rPr>
          <w:rFonts w:cs="Arial"/>
          <w:color w:val="000000"/>
          <w:szCs w:val="19"/>
          <w:lang w:eastAsia="en-AU"/>
        </w:rPr>
        <w:t>department</w:t>
      </w:r>
      <w:r w:rsidRPr="00B24C02">
        <w:rPr>
          <w:rFonts w:cs="Arial"/>
          <w:color w:val="000000"/>
          <w:szCs w:val="19"/>
          <w:lang w:eastAsia="en-AU"/>
        </w:rPr>
        <w:t>. Funded organisations are, as part of governance arrangements with the department, required to have in place their own reporting, investigation and fraud risk management strategies.</w:t>
      </w:r>
    </w:p>
    <w:p w14:paraId="77A40C3E" w14:textId="77777777" w:rsidR="00476BDB" w:rsidRPr="00276391" w:rsidRDefault="00476BDB" w:rsidP="00476BDB">
      <w:pPr>
        <w:pStyle w:val="DHHSbody"/>
        <w:rPr>
          <w:lang w:eastAsia="en-AU"/>
        </w:rPr>
      </w:pPr>
      <w:r w:rsidRPr="00276391">
        <w:rPr>
          <w:lang w:eastAsia="en-AU"/>
        </w:rPr>
        <w:t>Part of the purpose of the Fraud and Corruption Control Framework is to provide clear guidance to funded organisations to ensure that they are pro-active in their reporting and management of reports of fraud and/or corruption.</w:t>
      </w:r>
    </w:p>
    <w:p w14:paraId="6B76AB38" w14:textId="77777777" w:rsidR="00476BDB" w:rsidRPr="00276391" w:rsidRDefault="00476BDB" w:rsidP="00476BDB">
      <w:pPr>
        <w:pStyle w:val="Heading4"/>
        <w:rPr>
          <w:lang w:eastAsia="en-AU"/>
        </w:rPr>
      </w:pPr>
      <w:bookmarkStart w:id="907" w:name="_Toc478992261"/>
      <w:r w:rsidRPr="00276391">
        <w:rPr>
          <w:lang w:eastAsia="en-AU"/>
        </w:rPr>
        <w:t>Fraud and Corruption Control Framework</w:t>
      </w:r>
      <w:bookmarkEnd w:id="907"/>
    </w:p>
    <w:p w14:paraId="4293778F" w14:textId="7CC26A80" w:rsidR="00476BDB" w:rsidRPr="00276391" w:rsidRDefault="0016341D" w:rsidP="00476BDB">
      <w:pPr>
        <w:pStyle w:val="DHHSbody"/>
        <w:rPr>
          <w:lang w:eastAsia="en-AU"/>
        </w:rPr>
      </w:pPr>
      <w:hyperlink r:id="rId318" w:tooltip="Link to the Fraud and Corruption Control Framework - Prevention, Reporting and Investigation Plan" w:history="1">
        <w:r w:rsidR="00476BDB" w:rsidRPr="00986D1E">
          <w:rPr>
            <w:rStyle w:val="Hyperlink"/>
          </w:rPr>
          <w:t>Fraud and Corruption Control Framework - Prevention, Reporting and Investigation Plan</w:t>
        </w:r>
      </w:hyperlink>
      <w:r w:rsidR="00476BDB" w:rsidRPr="00B24C02">
        <w:rPr>
          <w:rFonts w:cs="Arial"/>
          <w:color w:val="000000"/>
          <w:szCs w:val="19"/>
          <w:lang w:eastAsia="en-AU"/>
        </w:rPr>
        <w:t xml:space="preserve"> </w:t>
      </w:r>
      <w:r w:rsidR="00476BDB">
        <w:rPr>
          <w:rFonts w:cs="Arial"/>
          <w:color w:val="000000"/>
          <w:szCs w:val="19"/>
          <w:lang w:eastAsia="en-AU"/>
        </w:rPr>
        <w:t>&lt;</w:t>
      </w:r>
      <w:r w:rsidR="00476BDB" w:rsidRPr="00033F99">
        <w:rPr>
          <w:rFonts w:cs="Arial"/>
          <w:color w:val="000000"/>
          <w:szCs w:val="19"/>
          <w:lang w:eastAsia="en-AU"/>
        </w:rPr>
        <w:t>https://www.dhhs.vic.gov.au/publications/fraud-and-corruption-control-framework</w:t>
      </w:r>
      <w:r w:rsidR="00476BDB">
        <w:rPr>
          <w:rFonts w:cs="Arial"/>
          <w:color w:val="000000"/>
          <w:szCs w:val="19"/>
          <w:lang w:eastAsia="en-AU"/>
        </w:rPr>
        <w:t>&gt;</w:t>
      </w:r>
      <w:r w:rsidR="00476BDB" w:rsidRPr="00033F99">
        <w:rPr>
          <w:rFonts w:cs="Arial"/>
          <w:color w:val="000000"/>
          <w:szCs w:val="19"/>
          <w:lang w:eastAsia="en-AU"/>
        </w:rPr>
        <w:t xml:space="preserve"> </w:t>
      </w:r>
      <w:r w:rsidR="00476BDB" w:rsidRPr="00B24C02">
        <w:rPr>
          <w:rFonts w:cs="Arial"/>
          <w:color w:val="000000"/>
          <w:szCs w:val="19"/>
          <w:lang w:eastAsia="en-AU"/>
        </w:rPr>
        <w:t>(</w:t>
      </w:r>
      <w:r w:rsidR="00631E12">
        <w:rPr>
          <w:rFonts w:cs="Arial"/>
          <w:color w:val="000000"/>
          <w:szCs w:val="19"/>
          <w:lang w:eastAsia="en-AU"/>
        </w:rPr>
        <w:t xml:space="preserve">external link, </w:t>
      </w:r>
      <w:r w:rsidR="00476BDB" w:rsidRPr="00B24C02">
        <w:rPr>
          <w:rFonts w:cs="Arial"/>
          <w:color w:val="000000"/>
          <w:szCs w:val="19"/>
          <w:lang w:eastAsia="en-AU"/>
        </w:rPr>
        <w:t>op</w:t>
      </w:r>
      <w:r w:rsidR="00631E12">
        <w:rPr>
          <w:rFonts w:cs="Arial"/>
          <w:color w:val="000000"/>
          <w:szCs w:val="19"/>
          <w:lang w:eastAsia="en-AU"/>
        </w:rPr>
        <w:t>ens in a new window</w:t>
      </w:r>
      <w:r w:rsidR="00476BDB" w:rsidRPr="00B24C02">
        <w:rPr>
          <w:rFonts w:cs="Arial"/>
          <w:color w:val="000000"/>
          <w:szCs w:val="19"/>
          <w:lang w:eastAsia="en-AU"/>
        </w:rPr>
        <w:t>)</w:t>
      </w:r>
    </w:p>
    <w:p w14:paraId="2F4FF5B2" w14:textId="220A949B" w:rsidR="00236748" w:rsidRPr="00276391" w:rsidRDefault="00631E12" w:rsidP="009B2351">
      <w:pPr>
        <w:pStyle w:val="Heading2"/>
        <w:rPr>
          <w:rFonts w:cs="Arial"/>
          <w:lang w:eastAsia="en-AU"/>
        </w:rPr>
      </w:pPr>
      <w:bookmarkStart w:id="908" w:name="_Toc4142145"/>
      <w:r>
        <w:rPr>
          <w:rFonts w:cs="Arial"/>
          <w:lang w:eastAsia="en-AU"/>
        </w:rPr>
        <w:t>4.25</w:t>
      </w:r>
      <w:r w:rsidR="009B2351" w:rsidRPr="00276391">
        <w:rPr>
          <w:rFonts w:cs="Arial"/>
          <w:lang w:eastAsia="en-AU"/>
        </w:rPr>
        <w:t xml:space="preserve"> </w:t>
      </w:r>
      <w:r w:rsidR="00236748" w:rsidRPr="00276391">
        <w:rPr>
          <w:rFonts w:cs="Arial"/>
          <w:lang w:eastAsia="en-AU"/>
        </w:rPr>
        <w:t>Gifts,</w:t>
      </w:r>
      <w:r w:rsidR="009B2351" w:rsidRPr="00276391">
        <w:rPr>
          <w:rFonts w:cs="Arial"/>
          <w:lang w:eastAsia="en-AU"/>
        </w:rPr>
        <w:t xml:space="preserve"> </w:t>
      </w:r>
      <w:r w:rsidR="00DD3018">
        <w:rPr>
          <w:rFonts w:cs="Arial"/>
          <w:lang w:eastAsia="en-AU"/>
        </w:rPr>
        <w:t>b</w:t>
      </w:r>
      <w:r w:rsidR="00236748" w:rsidRPr="00276391">
        <w:rPr>
          <w:rFonts w:cs="Arial"/>
          <w:lang w:eastAsia="en-AU"/>
        </w:rPr>
        <w:t>enefits</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DD3018">
        <w:rPr>
          <w:rFonts w:cs="Arial"/>
          <w:lang w:eastAsia="en-AU"/>
        </w:rPr>
        <w:t>h</w:t>
      </w:r>
      <w:r w:rsidR="00236748" w:rsidRPr="00276391">
        <w:rPr>
          <w:rFonts w:cs="Arial"/>
          <w:lang w:eastAsia="en-AU"/>
        </w:rPr>
        <w:t>ospitality</w:t>
      </w:r>
      <w:r w:rsidR="009B2351" w:rsidRPr="00276391">
        <w:rPr>
          <w:rFonts w:cs="Arial"/>
          <w:lang w:eastAsia="en-AU"/>
        </w:rPr>
        <w:t xml:space="preserve"> </w:t>
      </w:r>
      <w:r w:rsidR="00DD3018">
        <w:rPr>
          <w:rFonts w:cs="Arial"/>
          <w:lang w:eastAsia="en-AU"/>
        </w:rPr>
        <w:t>p</w:t>
      </w:r>
      <w:r w:rsidR="00236748" w:rsidRPr="00276391">
        <w:rPr>
          <w:rFonts w:cs="Arial"/>
          <w:lang w:eastAsia="en-AU"/>
        </w:rPr>
        <w:t>olicy</w:t>
      </w:r>
      <w:bookmarkEnd w:id="901"/>
      <w:bookmarkEnd w:id="902"/>
      <w:bookmarkEnd w:id="903"/>
      <w:bookmarkEnd w:id="908"/>
    </w:p>
    <w:p w14:paraId="06DD3D85" w14:textId="77777777" w:rsidR="002E2CF4" w:rsidRPr="00276391" w:rsidRDefault="002E2CF4" w:rsidP="002E2CF4">
      <w:pPr>
        <w:pStyle w:val="Heading4"/>
        <w:rPr>
          <w:lang w:eastAsia="en-AU"/>
        </w:rPr>
      </w:pPr>
      <w:bookmarkStart w:id="909" w:name="_Chapter_5._Service"/>
      <w:bookmarkStart w:id="910" w:name="_Toc478992264"/>
      <w:bookmarkStart w:id="911" w:name="_Toc478992271"/>
      <w:bookmarkStart w:id="912" w:name="_Toc478992529"/>
      <w:bookmarkStart w:id="913" w:name="_Toc478992941"/>
      <w:bookmarkEnd w:id="909"/>
      <w:r w:rsidRPr="00276391">
        <w:rPr>
          <w:lang w:eastAsia="en-AU"/>
        </w:rPr>
        <w:t>Who does this policy apply to?</w:t>
      </w:r>
      <w:bookmarkEnd w:id="910"/>
    </w:p>
    <w:p w14:paraId="708DC4CC" w14:textId="77777777" w:rsidR="002E2CF4" w:rsidRPr="00276391" w:rsidRDefault="002E2CF4" w:rsidP="002E2CF4">
      <w:pPr>
        <w:pStyle w:val="DHHSbody"/>
        <w:rPr>
          <w:lang w:eastAsia="en-AU"/>
        </w:rPr>
      </w:pPr>
      <w:r w:rsidRPr="00B24C02">
        <w:rPr>
          <w:rFonts w:cs="Arial"/>
          <w:color w:val="000000"/>
          <w:szCs w:val="19"/>
          <w:lang w:eastAsia="en-AU"/>
        </w:rPr>
        <w:t>This policy applies to organisation funded by the Department of Health and Human Services.</w:t>
      </w:r>
    </w:p>
    <w:p w14:paraId="09C3A9C5" w14:textId="77777777" w:rsidR="002E2CF4" w:rsidRPr="00276391" w:rsidRDefault="002E2CF4" w:rsidP="002E2CF4">
      <w:pPr>
        <w:pStyle w:val="Heading4"/>
        <w:rPr>
          <w:lang w:eastAsia="en-AU"/>
        </w:rPr>
      </w:pPr>
      <w:bookmarkStart w:id="914" w:name="_Toc478992265"/>
      <w:r w:rsidRPr="00276391">
        <w:rPr>
          <w:lang w:eastAsia="en-AU"/>
        </w:rPr>
        <w:t>Policy purpose</w:t>
      </w:r>
      <w:bookmarkEnd w:id="914"/>
    </w:p>
    <w:p w14:paraId="32548E02" w14:textId="30A7F5E8" w:rsidR="002E2CF4" w:rsidRPr="00276391" w:rsidRDefault="002E2CF4" w:rsidP="002E2CF4">
      <w:pPr>
        <w:pStyle w:val="DHHSbody"/>
        <w:rPr>
          <w:lang w:eastAsia="en-AU"/>
        </w:rPr>
      </w:pPr>
      <w:r w:rsidRPr="00B24C02">
        <w:rPr>
          <w:rFonts w:cs="Arial"/>
          <w:color w:val="000000"/>
          <w:szCs w:val="19"/>
          <w:lang w:eastAsia="en-AU"/>
        </w:rPr>
        <w:t xml:space="preserve">To ensure that organisations funded by the </w:t>
      </w:r>
      <w:r w:rsidR="005F0F99">
        <w:rPr>
          <w:rFonts w:cs="Arial"/>
          <w:color w:val="000000"/>
          <w:szCs w:val="19"/>
          <w:lang w:eastAsia="en-AU"/>
        </w:rPr>
        <w:t>department</w:t>
      </w:r>
      <w:r w:rsidRPr="00B24C02">
        <w:rPr>
          <w:rFonts w:cs="Arial"/>
          <w:color w:val="000000"/>
          <w:szCs w:val="19"/>
          <w:lang w:eastAsia="en-AU"/>
        </w:rPr>
        <w:t xml:space="preserve"> are aware of the department’s expectations around funded organisations providing gifts, benefits and hospitality to department staff.</w:t>
      </w:r>
    </w:p>
    <w:p w14:paraId="70D8B957" w14:textId="77777777" w:rsidR="002E2CF4" w:rsidRPr="00276391" w:rsidRDefault="002E2CF4" w:rsidP="002E2CF4">
      <w:pPr>
        <w:pStyle w:val="Heading4"/>
        <w:rPr>
          <w:lang w:eastAsia="en-AU"/>
        </w:rPr>
      </w:pPr>
      <w:bookmarkStart w:id="915" w:name="_Toc478992266"/>
      <w:r w:rsidRPr="00276391">
        <w:rPr>
          <w:lang w:eastAsia="en-AU"/>
        </w:rPr>
        <w:t>Legislation and /or regulation</w:t>
      </w:r>
      <w:bookmarkEnd w:id="915"/>
    </w:p>
    <w:p w14:paraId="454B3DE9" w14:textId="77777777" w:rsidR="002E2CF4" w:rsidRPr="00276391" w:rsidRDefault="002E2CF4" w:rsidP="002E2CF4">
      <w:pPr>
        <w:pStyle w:val="DHHSbody"/>
        <w:rPr>
          <w:lang w:eastAsia="en-AU"/>
        </w:rPr>
      </w:pPr>
      <w:r w:rsidRPr="00B24C02">
        <w:rPr>
          <w:rFonts w:cs="Arial"/>
          <w:color w:val="000000"/>
          <w:szCs w:val="19"/>
          <w:lang w:eastAsia="en-AU"/>
        </w:rPr>
        <w:t>Standing Directions of the Minister for Finance 2016.</w:t>
      </w:r>
    </w:p>
    <w:p w14:paraId="7292DE7F" w14:textId="77777777" w:rsidR="002E2CF4" w:rsidRPr="00276391" w:rsidRDefault="002E2CF4" w:rsidP="002E2CF4">
      <w:pPr>
        <w:pStyle w:val="Heading4"/>
        <w:rPr>
          <w:lang w:eastAsia="en-AU"/>
        </w:rPr>
      </w:pPr>
      <w:bookmarkStart w:id="916" w:name="_Toc478992267"/>
      <w:r w:rsidRPr="00276391">
        <w:rPr>
          <w:lang w:eastAsia="en-AU"/>
        </w:rPr>
        <w:t>Organisation requirements</w:t>
      </w:r>
      <w:bookmarkEnd w:id="916"/>
    </w:p>
    <w:p w14:paraId="076E9996" w14:textId="77777777" w:rsidR="002E2CF4" w:rsidRPr="00276391" w:rsidRDefault="002E2CF4" w:rsidP="002E2CF4">
      <w:pPr>
        <w:pStyle w:val="DHHSbody"/>
        <w:rPr>
          <w:lang w:eastAsia="en-AU"/>
        </w:rPr>
      </w:pPr>
      <w:r w:rsidRPr="00B24C02">
        <w:rPr>
          <w:rFonts w:cs="Arial"/>
          <w:color w:val="000000"/>
          <w:szCs w:val="19"/>
          <w:lang w:eastAsia="en-AU"/>
        </w:rPr>
        <w:t>Organisations are expected not to:</w:t>
      </w:r>
    </w:p>
    <w:p w14:paraId="3906D51A" w14:textId="77777777" w:rsidR="002E2CF4" w:rsidRPr="00276391" w:rsidRDefault="002E2CF4" w:rsidP="002E2CF4">
      <w:pPr>
        <w:pStyle w:val="DHHSbody"/>
        <w:rPr>
          <w:lang w:eastAsia="en-AU"/>
        </w:rPr>
      </w:pPr>
      <w:r w:rsidRPr="00276391">
        <w:rPr>
          <w:lang w:eastAsia="en-AU"/>
        </w:rPr>
        <w:t xml:space="preserve">offer department staff gifts or benefits, either directly or indirectly, and offers of hospitality will be limited to token offers of basic courtesy (such as tea and coffee during a meeting); or </w:t>
      </w:r>
    </w:p>
    <w:p w14:paraId="562A1678" w14:textId="77777777" w:rsidR="002E2CF4" w:rsidRPr="00276391" w:rsidRDefault="002E2CF4" w:rsidP="002E2CF4">
      <w:pPr>
        <w:pStyle w:val="DHHSbody"/>
        <w:rPr>
          <w:lang w:eastAsia="en-AU"/>
        </w:rPr>
      </w:pPr>
      <w:r w:rsidRPr="00276391">
        <w:rPr>
          <w:lang w:eastAsia="en-AU"/>
        </w:rPr>
        <w:lastRenderedPageBreak/>
        <w:t xml:space="preserve">take any action in order to entice or obtain any unfair or improper advantage. </w:t>
      </w:r>
    </w:p>
    <w:p w14:paraId="27ACD323" w14:textId="77777777" w:rsidR="002E2CF4" w:rsidRPr="00276391" w:rsidRDefault="002E2CF4" w:rsidP="002E2CF4">
      <w:pPr>
        <w:pStyle w:val="Heading4"/>
        <w:rPr>
          <w:lang w:eastAsia="en-AU"/>
        </w:rPr>
      </w:pPr>
      <w:bookmarkStart w:id="917" w:name="_Toc478992268"/>
      <w:r w:rsidRPr="00276391">
        <w:rPr>
          <w:lang w:eastAsia="en-AU"/>
        </w:rPr>
        <w:t>Background</w:t>
      </w:r>
      <w:bookmarkEnd w:id="917"/>
    </w:p>
    <w:p w14:paraId="2C2C9B84" w14:textId="77777777" w:rsidR="002E2CF4" w:rsidRPr="00276391" w:rsidRDefault="002E2CF4" w:rsidP="002E2CF4">
      <w:pPr>
        <w:pStyle w:val="DHHSbody"/>
        <w:rPr>
          <w:lang w:eastAsia="en-AU"/>
        </w:rPr>
      </w:pPr>
      <w:r w:rsidRPr="00B24C02">
        <w:rPr>
          <w:rFonts w:cs="Arial"/>
          <w:color w:val="000000"/>
          <w:szCs w:val="19"/>
          <w:lang w:eastAsia="en-AU"/>
        </w:rPr>
        <w:t>According to the Standing Directions of the Minister for Finance 2016, Victorian government departments are required to develop and implement a gifts, benefits and hospitality policy applying prescribed minimum accountabilities. The minimum accountabilities can be summarised as:</w:t>
      </w:r>
    </w:p>
    <w:p w14:paraId="4656DA77" w14:textId="77777777" w:rsidR="002E2CF4" w:rsidRPr="00276391" w:rsidRDefault="002E2CF4" w:rsidP="002E2CF4">
      <w:pPr>
        <w:pStyle w:val="DHHSbullet1"/>
        <w:numPr>
          <w:ilvl w:val="0"/>
          <w:numId w:val="0"/>
        </w:numPr>
        <w:ind w:left="284" w:hanging="284"/>
        <w:rPr>
          <w:lang w:eastAsia="en-AU"/>
        </w:rPr>
      </w:pPr>
      <w:r w:rsidRPr="00276391">
        <w:rPr>
          <w:lang w:eastAsia="en-AU"/>
        </w:rPr>
        <w:t>Public officials offered gifts, benefits and hospitality:</w:t>
      </w:r>
    </w:p>
    <w:p w14:paraId="0D07D3F6" w14:textId="601E4B09" w:rsidR="002E2CF4" w:rsidRPr="00276391" w:rsidRDefault="002E2CF4" w:rsidP="002E2CF4">
      <w:pPr>
        <w:pStyle w:val="DHHSbullet1lastline"/>
        <w:rPr>
          <w:lang w:eastAsia="en-AU"/>
        </w:rPr>
      </w:pPr>
      <w:r w:rsidRPr="00276391">
        <w:rPr>
          <w:lang w:eastAsia="en-AU"/>
        </w:rPr>
        <w:t xml:space="preserve">do not, for themselves or others, seek or solicit gifts, benefits and hospitality </w:t>
      </w:r>
    </w:p>
    <w:p w14:paraId="005B37D9" w14:textId="77777777" w:rsidR="002E2CF4" w:rsidRPr="00276391" w:rsidRDefault="002E2CF4" w:rsidP="002E2CF4">
      <w:pPr>
        <w:pStyle w:val="DHHSbullet1lastline"/>
        <w:rPr>
          <w:lang w:eastAsia="en-AU"/>
        </w:rPr>
      </w:pPr>
      <w:r w:rsidRPr="00276391">
        <w:rPr>
          <w:lang w:eastAsia="en-AU"/>
        </w:rPr>
        <w:t xml:space="preserve">refuse all offers of gifts, benefits and hospitality that: </w:t>
      </w:r>
    </w:p>
    <w:p w14:paraId="467A2B24" w14:textId="77777777" w:rsidR="002E2CF4" w:rsidRPr="00276391" w:rsidRDefault="002E2CF4" w:rsidP="002E2CF4">
      <w:pPr>
        <w:pStyle w:val="DHHSbullet2lastline"/>
        <w:rPr>
          <w:lang w:eastAsia="en-AU"/>
        </w:rPr>
      </w:pPr>
      <w:r w:rsidRPr="00276391">
        <w:rPr>
          <w:lang w:eastAsia="en-AU"/>
        </w:rPr>
        <w:t xml:space="preserve">are money, items used in a similar way to money, or items easily converted to money; </w:t>
      </w:r>
    </w:p>
    <w:p w14:paraId="57D5DD78" w14:textId="77777777" w:rsidR="002E2CF4" w:rsidRPr="00276391" w:rsidRDefault="002E2CF4" w:rsidP="002E2CF4">
      <w:pPr>
        <w:pStyle w:val="DHHSbullet2lastline"/>
        <w:rPr>
          <w:lang w:eastAsia="en-AU"/>
        </w:rPr>
      </w:pPr>
      <w:r w:rsidRPr="00276391">
        <w:rPr>
          <w:lang w:eastAsia="en-AU"/>
        </w:rPr>
        <w:t xml:space="preserve">give rise to an actual, potential or perceived conflict of interest; </w:t>
      </w:r>
    </w:p>
    <w:p w14:paraId="57AE3D05" w14:textId="77777777" w:rsidR="005F0F99" w:rsidRDefault="002E2CF4" w:rsidP="005F0F99">
      <w:pPr>
        <w:pStyle w:val="DHHSbullet2lastline"/>
        <w:rPr>
          <w:lang w:eastAsia="en-AU"/>
        </w:rPr>
      </w:pPr>
      <w:r w:rsidRPr="00276391">
        <w:rPr>
          <w:lang w:eastAsia="en-AU"/>
        </w:rPr>
        <w:t xml:space="preserve">may adversely affect their standing as a public official or which may bring their public sector employer or of the public sector into disrepute; or </w:t>
      </w:r>
    </w:p>
    <w:p w14:paraId="476CB536" w14:textId="5267D490" w:rsidR="002E2CF4" w:rsidRPr="00276391" w:rsidRDefault="002E2CF4" w:rsidP="005F0F99">
      <w:pPr>
        <w:pStyle w:val="DHHSbullet2lastline"/>
        <w:rPr>
          <w:lang w:eastAsia="en-AU"/>
        </w:rPr>
      </w:pPr>
      <w:r w:rsidRPr="00276391">
        <w:rPr>
          <w:lang w:eastAsia="en-AU"/>
        </w:rPr>
        <w:t xml:space="preserve">are non-token offers without a legitimate business </w:t>
      </w:r>
      <w:proofErr w:type="gramStart"/>
      <w:r w:rsidRPr="00276391">
        <w:rPr>
          <w:lang w:eastAsia="en-AU"/>
        </w:rPr>
        <w:t>benefit.</w:t>
      </w:r>
      <w:proofErr w:type="gramEnd"/>
      <w:r w:rsidRPr="00276391">
        <w:rPr>
          <w:lang w:eastAsia="en-AU"/>
        </w:rPr>
        <w:t xml:space="preserve"> </w:t>
      </w:r>
    </w:p>
    <w:p w14:paraId="3070B2FB" w14:textId="77777777" w:rsidR="002E2CF4" w:rsidRPr="00276391" w:rsidRDefault="002E2CF4" w:rsidP="002E2CF4">
      <w:pPr>
        <w:pStyle w:val="DHHSbody"/>
        <w:rPr>
          <w:lang w:eastAsia="en-AU"/>
        </w:rPr>
      </w:pPr>
      <w:r w:rsidRPr="00276391">
        <w:rPr>
          <w:lang w:eastAsia="en-AU"/>
        </w:rPr>
        <w:t xml:space="preserve">Declare all non-token offers (valued at $50 or more) of gifts, benefits and hospitality (whether accepted or declined) on their organisation’s </w:t>
      </w:r>
      <w:proofErr w:type="gramStart"/>
      <w:r w:rsidRPr="00276391">
        <w:rPr>
          <w:lang w:eastAsia="en-AU"/>
        </w:rPr>
        <w:t>register, and</w:t>
      </w:r>
      <w:proofErr w:type="gramEnd"/>
      <w:r w:rsidRPr="00276391">
        <w:rPr>
          <w:lang w:eastAsia="en-AU"/>
        </w:rPr>
        <w:t xml:space="preserve"> seek written approval from their manager or organisational delegate to accept any non-token offer. </w:t>
      </w:r>
    </w:p>
    <w:p w14:paraId="6E8F2345" w14:textId="77777777" w:rsidR="002E2CF4" w:rsidRPr="00276391" w:rsidRDefault="002E2CF4" w:rsidP="002E2CF4">
      <w:pPr>
        <w:pStyle w:val="DHHSbody"/>
        <w:rPr>
          <w:lang w:eastAsia="en-AU"/>
        </w:rPr>
      </w:pPr>
      <w:r w:rsidRPr="00276391">
        <w:rPr>
          <w:lang w:eastAsia="en-AU"/>
        </w:rPr>
        <w:t>Refuse bribes or inducements and report inducements and bribery attempts to the head of the department or their delegate (who should report any criminal or corrupt conduct to Victoria Police or the Independent Broad-based Anti-</w:t>
      </w:r>
      <w:proofErr w:type="gramStart"/>
      <w:r w:rsidRPr="00276391">
        <w:rPr>
          <w:lang w:eastAsia="en-AU"/>
        </w:rPr>
        <w:t>corruption</w:t>
      </w:r>
      <w:proofErr w:type="gramEnd"/>
      <w:r w:rsidRPr="00276391">
        <w:rPr>
          <w:lang w:eastAsia="en-AU"/>
        </w:rPr>
        <w:t xml:space="preserve"> Commission). </w:t>
      </w:r>
    </w:p>
    <w:p w14:paraId="0448F0FA" w14:textId="77777777" w:rsidR="002E2CF4" w:rsidRPr="00276391" w:rsidRDefault="002E2CF4" w:rsidP="002E2CF4">
      <w:pPr>
        <w:pStyle w:val="Heading4"/>
        <w:rPr>
          <w:lang w:eastAsia="en-AU"/>
        </w:rPr>
      </w:pPr>
      <w:bookmarkStart w:id="918" w:name="_Toc478992269"/>
      <w:r w:rsidRPr="00276391">
        <w:rPr>
          <w:lang w:eastAsia="en-AU"/>
        </w:rPr>
        <w:t>Implementation</w:t>
      </w:r>
      <w:bookmarkEnd w:id="918"/>
    </w:p>
    <w:p w14:paraId="7D51514D" w14:textId="77777777" w:rsidR="002E2CF4" w:rsidRPr="00276391" w:rsidRDefault="002E2CF4" w:rsidP="002E2CF4">
      <w:pPr>
        <w:pStyle w:val="DHHSbody"/>
        <w:rPr>
          <w:lang w:eastAsia="en-AU"/>
        </w:rPr>
      </w:pPr>
      <w:r w:rsidRPr="00B24C02">
        <w:rPr>
          <w:rFonts w:cs="Arial"/>
          <w:color w:val="000000"/>
          <w:szCs w:val="19"/>
          <w:lang w:eastAsia="en-AU"/>
        </w:rPr>
        <w:t>To increase transparency, accountability and improve certainty regarding expectations of departmental staff and public officials the department has introduced a revised policy (in 2016) on gifts, benefits and hospitality.</w:t>
      </w:r>
    </w:p>
    <w:p w14:paraId="33A8F6CD" w14:textId="77777777" w:rsidR="002E2CF4" w:rsidRPr="00276391" w:rsidRDefault="002E2CF4" w:rsidP="002E2CF4">
      <w:pPr>
        <w:pStyle w:val="DHHSbody"/>
        <w:rPr>
          <w:lang w:eastAsia="en-AU"/>
        </w:rPr>
      </w:pPr>
      <w:r w:rsidRPr="00276391">
        <w:rPr>
          <w:lang w:eastAsia="en-AU"/>
        </w:rPr>
        <w:t>The policy embodies the minimum accountabilities. It states that employees must refuse all offers of gifts, benefits or hospitality from people or organisations about whom they are likely to make decisions involving; tender processes, including managing a contract once the tender process has ceased, procurement, enforcement, licensing, or regulation, awarding of grants, sponsorship or funding allocations to agencies or organisations.</w:t>
      </w:r>
    </w:p>
    <w:p w14:paraId="7410EBAA" w14:textId="77777777" w:rsidR="002E2CF4" w:rsidRPr="00276391" w:rsidRDefault="002E2CF4" w:rsidP="002E2CF4">
      <w:pPr>
        <w:pStyle w:val="DHHSbody"/>
        <w:rPr>
          <w:lang w:eastAsia="en-AU"/>
        </w:rPr>
      </w:pPr>
      <w:r w:rsidRPr="00276391">
        <w:rPr>
          <w:lang w:eastAsia="en-AU"/>
        </w:rPr>
        <w:t xml:space="preserve">In many instances offers from organisations will be required to be declined but may nevertheless trigger an internal administrative process for the department. In many circumstances the details of the offer will be required to be recorded on a </w:t>
      </w:r>
      <w:proofErr w:type="spellStart"/>
      <w:r w:rsidRPr="00276391">
        <w:rPr>
          <w:lang w:eastAsia="en-AU"/>
        </w:rPr>
        <w:t>publically</w:t>
      </w:r>
      <w:proofErr w:type="spellEnd"/>
      <w:r w:rsidRPr="00276391">
        <w:rPr>
          <w:lang w:eastAsia="en-AU"/>
        </w:rPr>
        <w:t xml:space="preserve"> available register regardless of whether they have been accepted or declined.</w:t>
      </w:r>
    </w:p>
    <w:p w14:paraId="482DC6C1" w14:textId="77777777" w:rsidR="002E2CF4" w:rsidRPr="00276391" w:rsidRDefault="002E2CF4" w:rsidP="002E2CF4">
      <w:pPr>
        <w:pStyle w:val="DHHSbody"/>
        <w:rPr>
          <w:lang w:eastAsia="en-AU"/>
        </w:rPr>
      </w:pPr>
      <w:r w:rsidRPr="00276391">
        <w:rPr>
          <w:lang w:eastAsia="en-AU"/>
        </w:rPr>
        <w:t>The policy embeds a culture of integrity to mitigate risks associated with the offering and receipt of gifts, benefits and hospitality.</w:t>
      </w:r>
    </w:p>
    <w:p w14:paraId="1F2EA678" w14:textId="77777777" w:rsidR="002E2CF4" w:rsidRPr="00276391" w:rsidRDefault="002E2CF4" w:rsidP="002E2CF4">
      <w:pPr>
        <w:pStyle w:val="DHHSbody"/>
        <w:rPr>
          <w:lang w:eastAsia="en-AU"/>
        </w:rPr>
      </w:pPr>
      <w:r w:rsidRPr="00276391">
        <w:rPr>
          <w:lang w:eastAsia="en-AU"/>
        </w:rPr>
        <w:t>To support the implementation of this policy, funded organisations are expected not to:</w:t>
      </w:r>
    </w:p>
    <w:p w14:paraId="0CFF528E" w14:textId="77777777" w:rsidR="005F0F99" w:rsidRDefault="002E2CF4" w:rsidP="005F0F99">
      <w:pPr>
        <w:pStyle w:val="DHHSbody"/>
        <w:numPr>
          <w:ilvl w:val="0"/>
          <w:numId w:val="23"/>
        </w:numPr>
        <w:spacing w:after="0"/>
        <w:rPr>
          <w:lang w:eastAsia="en-AU"/>
        </w:rPr>
      </w:pPr>
      <w:r w:rsidRPr="00276391">
        <w:rPr>
          <w:lang w:eastAsia="en-AU"/>
        </w:rPr>
        <w:t>offer department staff gifts or benefits, either directly or indirectly, and offers of hospitality will be limited to token offers of basic courtesy (such as tea a</w:t>
      </w:r>
      <w:r w:rsidR="005F0F99">
        <w:rPr>
          <w:lang w:eastAsia="en-AU"/>
        </w:rPr>
        <w:t>nd coffee during a meeting); or</w:t>
      </w:r>
    </w:p>
    <w:p w14:paraId="49E48722" w14:textId="3A0ED5EC" w:rsidR="002E2CF4" w:rsidRPr="00276391" w:rsidRDefault="002E2CF4" w:rsidP="005F0F99">
      <w:pPr>
        <w:pStyle w:val="DHHSbody"/>
        <w:numPr>
          <w:ilvl w:val="0"/>
          <w:numId w:val="23"/>
        </w:numPr>
        <w:spacing w:after="0"/>
        <w:rPr>
          <w:lang w:eastAsia="en-AU"/>
        </w:rPr>
      </w:pPr>
      <w:r w:rsidRPr="00276391">
        <w:rPr>
          <w:lang w:eastAsia="en-AU"/>
        </w:rPr>
        <w:t xml:space="preserve">take any action in order to entice or obtain any unfair or improper advantage. </w:t>
      </w:r>
    </w:p>
    <w:p w14:paraId="1E026027" w14:textId="77777777" w:rsidR="005F0F99" w:rsidRDefault="005F0F99" w:rsidP="002E2CF4">
      <w:pPr>
        <w:pStyle w:val="DHHSbody"/>
        <w:rPr>
          <w:b/>
          <w:lang w:eastAsia="en-AU"/>
        </w:rPr>
      </w:pPr>
    </w:p>
    <w:p w14:paraId="63B0B2BC" w14:textId="278114A9" w:rsidR="002E2CF4" w:rsidRPr="002E2CF4" w:rsidRDefault="005F0F99" w:rsidP="002E2CF4">
      <w:pPr>
        <w:pStyle w:val="DHHSbody"/>
        <w:rPr>
          <w:lang w:eastAsia="en-AU"/>
        </w:rPr>
      </w:pPr>
      <w:r>
        <w:rPr>
          <w:b/>
          <w:lang w:eastAsia="en-AU"/>
        </w:rPr>
        <w:t>For f</w:t>
      </w:r>
      <w:r w:rsidR="002E2CF4" w:rsidRPr="003F52B3">
        <w:rPr>
          <w:b/>
          <w:lang w:eastAsia="en-AU"/>
        </w:rPr>
        <w:t>urther information</w:t>
      </w:r>
    </w:p>
    <w:p w14:paraId="5F20FADE" w14:textId="77777777" w:rsidR="002E2CF4" w:rsidRPr="00276391" w:rsidRDefault="002E2CF4" w:rsidP="002E2CF4">
      <w:pPr>
        <w:pStyle w:val="DHHSbody"/>
        <w:rPr>
          <w:lang w:eastAsia="en-AU"/>
        </w:rPr>
      </w:pPr>
      <w:r w:rsidRPr="00B24C02">
        <w:rPr>
          <w:rFonts w:cs="Arial"/>
          <w:color w:val="000000"/>
          <w:szCs w:val="19"/>
          <w:lang w:eastAsia="en-AU"/>
        </w:rPr>
        <w:t xml:space="preserve">Email: </w:t>
      </w:r>
      <w:hyperlink r:id="rId319" w:history="1">
        <w:r w:rsidRPr="00986D1E">
          <w:rPr>
            <w:rStyle w:val="Hyperlink"/>
          </w:rPr>
          <w:t>corporate.integrity@dhhs.vic.gov.au</w:t>
        </w:r>
      </w:hyperlink>
    </w:p>
    <w:p w14:paraId="7EB42A59" w14:textId="1BC02824" w:rsidR="00856D53" w:rsidRPr="00276391" w:rsidRDefault="00856D53" w:rsidP="00856D53">
      <w:pPr>
        <w:pStyle w:val="Heading1"/>
        <w:rPr>
          <w:lang w:eastAsia="en-AU"/>
        </w:rPr>
      </w:pPr>
      <w:bookmarkStart w:id="919" w:name="_Chapter_5._Department"/>
      <w:bookmarkStart w:id="920" w:name="_Toc4142146"/>
      <w:bookmarkEnd w:id="919"/>
      <w:r w:rsidRPr="00276391">
        <w:rPr>
          <w:lang w:eastAsia="en-AU"/>
        </w:rPr>
        <w:lastRenderedPageBreak/>
        <w:t xml:space="preserve">Chapter </w:t>
      </w:r>
      <w:r>
        <w:rPr>
          <w:lang w:eastAsia="en-AU"/>
        </w:rPr>
        <w:t>5</w:t>
      </w:r>
      <w:r w:rsidRPr="00276391">
        <w:rPr>
          <w:lang w:eastAsia="en-AU"/>
        </w:rPr>
        <w:t xml:space="preserve">. </w:t>
      </w:r>
      <w:r>
        <w:rPr>
          <w:lang w:eastAsia="en-AU"/>
        </w:rPr>
        <w:t>Department of Education and Training</w:t>
      </w:r>
      <w:r w:rsidRPr="00276391">
        <w:rPr>
          <w:lang w:eastAsia="en-AU"/>
        </w:rPr>
        <w:t xml:space="preserve"> policies, procedures and initiatives</w:t>
      </w:r>
      <w:bookmarkEnd w:id="920"/>
    </w:p>
    <w:p w14:paraId="60C9996F" w14:textId="7E527A6E" w:rsidR="00856D53" w:rsidRPr="00276391" w:rsidRDefault="008B3F5D" w:rsidP="00856D53">
      <w:pPr>
        <w:pStyle w:val="Heading2"/>
        <w:rPr>
          <w:rFonts w:cs="Arial"/>
          <w:lang w:eastAsia="en-AU"/>
        </w:rPr>
      </w:pPr>
      <w:bookmarkStart w:id="921" w:name="_Toc4142147"/>
      <w:r>
        <w:rPr>
          <w:rFonts w:cs="Arial"/>
          <w:lang w:eastAsia="en-AU"/>
        </w:rPr>
        <w:t xml:space="preserve">5.1 </w:t>
      </w:r>
      <w:r w:rsidR="00856D53" w:rsidRPr="00276391">
        <w:rPr>
          <w:rFonts w:cs="Arial"/>
          <w:lang w:eastAsia="en-AU"/>
        </w:rPr>
        <w:t>Fire risk management</w:t>
      </w:r>
      <w:bookmarkEnd w:id="921"/>
      <w:r w:rsidR="00856D53" w:rsidRPr="00276391">
        <w:rPr>
          <w:rFonts w:cs="Arial"/>
          <w:lang w:eastAsia="en-AU"/>
        </w:rPr>
        <w:t xml:space="preserve"> </w:t>
      </w:r>
    </w:p>
    <w:p w14:paraId="3747BF31" w14:textId="77541619" w:rsidR="00856D53" w:rsidRPr="00856D53" w:rsidRDefault="00856D53" w:rsidP="00B270AB">
      <w:pPr>
        <w:pStyle w:val="Heading2"/>
        <w:spacing w:before="0" w:after="0" w:line="240" w:lineRule="auto"/>
        <w:rPr>
          <w:rFonts w:cs="Arial"/>
          <w:b w:val="0"/>
          <w:color w:val="000000"/>
          <w:sz w:val="20"/>
          <w:szCs w:val="20"/>
          <w:lang w:eastAsia="en-AU"/>
        </w:rPr>
      </w:pPr>
      <w:bookmarkStart w:id="922" w:name="_Toc4142148"/>
      <w:r>
        <w:rPr>
          <w:rFonts w:cs="Arial"/>
          <w:b w:val="0"/>
          <w:color w:val="000000"/>
          <w:sz w:val="20"/>
          <w:szCs w:val="20"/>
          <w:lang w:eastAsia="en-AU"/>
        </w:rPr>
        <w:t xml:space="preserve">Please contact your Performance and Planning Advisor for information about </w:t>
      </w:r>
      <w:r w:rsidR="005F0F99">
        <w:rPr>
          <w:rFonts w:cs="Arial"/>
          <w:b w:val="0"/>
          <w:color w:val="000000"/>
          <w:sz w:val="20"/>
          <w:szCs w:val="20"/>
          <w:lang w:eastAsia="en-AU"/>
        </w:rPr>
        <w:t xml:space="preserve">Department of Education and Training </w:t>
      </w:r>
      <w:r>
        <w:rPr>
          <w:rFonts w:cs="Arial"/>
          <w:b w:val="0"/>
          <w:color w:val="000000"/>
          <w:sz w:val="20"/>
          <w:szCs w:val="20"/>
          <w:lang w:eastAsia="en-AU"/>
        </w:rPr>
        <w:t xml:space="preserve">policies, procedures and initiatives </w:t>
      </w:r>
      <w:proofErr w:type="gramStart"/>
      <w:r w:rsidR="008B3F5D">
        <w:rPr>
          <w:rFonts w:cs="Arial"/>
          <w:b w:val="0"/>
          <w:color w:val="000000"/>
          <w:sz w:val="20"/>
          <w:szCs w:val="20"/>
          <w:lang w:eastAsia="en-AU"/>
        </w:rPr>
        <w:t>in regards to</w:t>
      </w:r>
      <w:proofErr w:type="gramEnd"/>
      <w:r w:rsidR="008B3F5D">
        <w:rPr>
          <w:rFonts w:cs="Arial"/>
          <w:b w:val="0"/>
          <w:color w:val="000000"/>
          <w:sz w:val="20"/>
          <w:szCs w:val="20"/>
          <w:lang w:eastAsia="en-AU"/>
        </w:rPr>
        <w:t xml:space="preserve"> this matter.</w:t>
      </w:r>
      <w:bookmarkEnd w:id="922"/>
    </w:p>
    <w:p w14:paraId="05B459A7" w14:textId="03F13299" w:rsidR="00856D53" w:rsidRPr="00276391" w:rsidRDefault="008B3F5D" w:rsidP="00856D53">
      <w:pPr>
        <w:pStyle w:val="Heading2"/>
        <w:rPr>
          <w:rFonts w:cs="Arial"/>
          <w:lang w:eastAsia="en-AU"/>
        </w:rPr>
      </w:pPr>
      <w:bookmarkStart w:id="923" w:name="_Toc4142149"/>
      <w:r>
        <w:rPr>
          <w:rFonts w:cs="Arial"/>
          <w:lang w:eastAsia="en-AU"/>
        </w:rPr>
        <w:t xml:space="preserve">5.2 </w:t>
      </w:r>
      <w:r w:rsidR="00856D53" w:rsidRPr="00276391">
        <w:rPr>
          <w:rFonts w:cs="Arial"/>
          <w:lang w:eastAsia="en-AU"/>
        </w:rPr>
        <w:t>Asbestos risk management guidelines</w:t>
      </w:r>
      <w:bookmarkEnd w:id="923"/>
    </w:p>
    <w:p w14:paraId="2B1CBF55" w14:textId="46AA177D" w:rsidR="00856D53" w:rsidRPr="00276391" w:rsidRDefault="00856D53" w:rsidP="00856D53">
      <w:pPr>
        <w:pStyle w:val="DHHSbody"/>
        <w:rPr>
          <w:lang w:eastAsia="en-AU"/>
        </w:rPr>
      </w:pPr>
      <w:r w:rsidRPr="00B24C02">
        <w:rPr>
          <w:rFonts w:cs="Arial"/>
          <w:color w:val="000000"/>
          <w:szCs w:val="19"/>
          <w:lang w:eastAsia="en-AU"/>
        </w:rPr>
        <w:t>Department of Education and Training funded organisations that manage any type of workplace are required to comply with the Occupational Health and Safety Act 2004 (the Act).</w:t>
      </w:r>
    </w:p>
    <w:p w14:paraId="08E4FC6B" w14:textId="77777777" w:rsidR="00856D53" w:rsidRPr="00276391" w:rsidRDefault="00856D53" w:rsidP="00856D53">
      <w:pPr>
        <w:pStyle w:val="DHHSbody"/>
        <w:rPr>
          <w:lang w:eastAsia="en-AU"/>
        </w:rPr>
      </w:pPr>
      <w:r w:rsidRPr="00276391">
        <w:rPr>
          <w:lang w:eastAsia="en-AU"/>
        </w:rPr>
        <w:t>The employer and any person who has the management or control of a workplace (onsite managers), are responsible for the occupational health and safety requirements relating to that workplace. Sections 21 and 23 of the Act require employers and onsite managers to ensure that the workplace is safe for clients, visitors, volunteers, contractors and subcontractors who may enter or work at the site.</w:t>
      </w:r>
    </w:p>
    <w:p w14:paraId="53B454DC" w14:textId="77777777" w:rsidR="00856D53" w:rsidRPr="00276391" w:rsidRDefault="00856D53" w:rsidP="00856D53">
      <w:pPr>
        <w:pStyle w:val="DHHSbody"/>
        <w:rPr>
          <w:lang w:eastAsia="en-AU"/>
        </w:rPr>
      </w:pPr>
      <w:r w:rsidRPr="00276391">
        <w:rPr>
          <w:lang w:eastAsia="en-AU"/>
        </w:rPr>
        <w:t>Part 4.3 of the Occupational Health and Safety Regulations 2007 (the OHS Regulations) requires employers and onsite managers to make reasonable efforts to identify any asbestos in the workplace. If asbestos is present, or is suspected to be present, both the employer and onsite manager must maintain an asbestos register. If practicable the asbestos must be removed, or alternatively enclosed and sealed, to reduce the risk associated with its presence.</w:t>
      </w:r>
    </w:p>
    <w:p w14:paraId="48285A68" w14:textId="77777777" w:rsidR="00856D53" w:rsidRPr="00276391" w:rsidRDefault="00856D53" w:rsidP="00856D53">
      <w:pPr>
        <w:pStyle w:val="DHHSbody"/>
        <w:rPr>
          <w:lang w:eastAsia="en-AU"/>
        </w:rPr>
      </w:pPr>
      <w:r w:rsidRPr="00276391">
        <w:rPr>
          <w:lang w:eastAsia="en-AU"/>
        </w:rPr>
        <w:t xml:space="preserve">Prior to the commencement of any demolition or refurbishment works, regulations 4.3.35 and 4.3.36 of the OHS Regulations require an employer and any other onsite manager to review and revise the asbestos register. The OHS Regulations also require reasonable efforts be made by the employer and onsite manager to remove asbestos before demolition (regulation 4.3.49) or during refurbishment works (regulation 4.3.40). </w:t>
      </w:r>
    </w:p>
    <w:p w14:paraId="4F21237E" w14:textId="77777777" w:rsidR="00856D53" w:rsidRPr="00276391" w:rsidRDefault="00856D53" w:rsidP="00856D53">
      <w:pPr>
        <w:pStyle w:val="DHHSbody"/>
        <w:rPr>
          <w:lang w:eastAsia="en-AU"/>
        </w:rPr>
      </w:pPr>
      <w:r w:rsidRPr="00276391">
        <w:rPr>
          <w:lang w:eastAsia="en-AU"/>
        </w:rPr>
        <w:t>It is the responsibility of the employer and the onsite manager to fully understand their legal obligations as per the requirements of the Act and Regulations.</w:t>
      </w:r>
    </w:p>
    <w:p w14:paraId="455B7F33" w14:textId="77777777" w:rsidR="00856D53" w:rsidRPr="00276391" w:rsidRDefault="00856D53" w:rsidP="00856D53">
      <w:pPr>
        <w:pStyle w:val="Heading4"/>
        <w:rPr>
          <w:lang w:eastAsia="en-AU"/>
        </w:rPr>
      </w:pPr>
      <w:r w:rsidRPr="00276391">
        <w:rPr>
          <w:lang w:eastAsia="en-AU"/>
        </w:rPr>
        <w:t>Resources</w:t>
      </w:r>
    </w:p>
    <w:p w14:paraId="622BACFA" w14:textId="77777777" w:rsidR="00856D53" w:rsidRPr="00276391" w:rsidRDefault="0016341D" w:rsidP="00856D53">
      <w:pPr>
        <w:pStyle w:val="DHHSbody"/>
        <w:rPr>
          <w:lang w:eastAsia="en-AU"/>
        </w:rPr>
      </w:pPr>
      <w:hyperlink r:id="rId320" w:history="1">
        <w:r w:rsidR="00856D53" w:rsidRPr="00187ADE">
          <w:rPr>
            <w:rStyle w:val="Hyperlink"/>
          </w:rPr>
          <w:t>Worksafe</w:t>
        </w:r>
      </w:hyperlink>
      <w:r w:rsidR="00856D53">
        <w:t xml:space="preserve"> &lt;</w:t>
      </w:r>
      <w:r w:rsidR="00856D53" w:rsidRPr="00187ADE">
        <w:t>http://www.worksafe.vic.gov.au/laws-and-regulations</w:t>
      </w:r>
      <w:r w:rsidR="00856D53">
        <w:t>&gt;</w:t>
      </w:r>
      <w:r w:rsidR="00856D53" w:rsidRPr="00B24C02">
        <w:rPr>
          <w:rFonts w:cs="Arial"/>
          <w:color w:val="000000"/>
          <w:szCs w:val="19"/>
          <w:lang w:eastAsia="en-AU"/>
        </w:rPr>
        <w:t xml:space="preserve"> (external link, opens in a new window)</w:t>
      </w:r>
    </w:p>
    <w:p w14:paraId="4097F0C6" w14:textId="77777777" w:rsidR="00856D53" w:rsidRPr="00276391" w:rsidRDefault="0016341D" w:rsidP="00856D53">
      <w:pPr>
        <w:pStyle w:val="DHHSbody"/>
        <w:rPr>
          <w:lang w:eastAsia="en-AU"/>
        </w:rPr>
      </w:pPr>
      <w:hyperlink r:id="rId321" w:history="1">
        <w:r w:rsidR="00856D53" w:rsidRPr="00324331">
          <w:rPr>
            <w:rStyle w:val="Hyperlink"/>
            <w:lang w:val="en"/>
          </w:rPr>
          <w:t>Asbestos in Victoria</w:t>
        </w:r>
      </w:hyperlink>
      <w:r w:rsidR="00856D53">
        <w:t xml:space="preserve"> &lt;</w:t>
      </w:r>
      <w:r w:rsidR="00856D53" w:rsidRPr="00324331">
        <w:t>http://www.asbestos.vic.gov.au/</w:t>
      </w:r>
      <w:r w:rsidR="00856D53">
        <w:t>&gt;</w:t>
      </w:r>
      <w:r w:rsidR="00856D53" w:rsidRPr="00B24C02">
        <w:rPr>
          <w:rFonts w:cs="Arial"/>
          <w:color w:val="000000"/>
          <w:szCs w:val="19"/>
          <w:lang w:eastAsia="en-AU"/>
        </w:rPr>
        <w:t xml:space="preserve"> (external link, opens in a new window)</w:t>
      </w:r>
    </w:p>
    <w:p w14:paraId="1FFCC2BC" w14:textId="77777777" w:rsidR="00856D53" w:rsidRPr="00276391" w:rsidRDefault="00856D53" w:rsidP="00856D53">
      <w:pPr>
        <w:pStyle w:val="Heading4"/>
        <w:rPr>
          <w:lang w:eastAsia="en-AU"/>
        </w:rPr>
      </w:pPr>
      <w:r w:rsidRPr="00276391">
        <w:rPr>
          <w:lang w:eastAsia="en-AU"/>
        </w:rPr>
        <w:t>For further information</w:t>
      </w:r>
    </w:p>
    <w:p w14:paraId="3EC761DE" w14:textId="77777777" w:rsidR="00856D53" w:rsidRPr="00276391" w:rsidRDefault="00856D53" w:rsidP="00856D53">
      <w:pPr>
        <w:pStyle w:val="DHHSbody"/>
        <w:rPr>
          <w:lang w:eastAsia="en-AU"/>
        </w:rPr>
      </w:pPr>
      <w:r w:rsidRPr="00B24C02">
        <w:rPr>
          <w:rFonts w:cs="Arial"/>
          <w:color w:val="000000"/>
          <w:szCs w:val="19"/>
          <w:lang w:eastAsia="en-AU"/>
        </w:rPr>
        <w:t>Andrew Major, Manager, Contracts and Procurement Unit, Standards and Planning Branch, Infrastructure and Sustainability, Infrastructure and Finance Services Group</w:t>
      </w:r>
      <w:r w:rsidRPr="00B24C02">
        <w:rPr>
          <w:rFonts w:cs="Arial"/>
          <w:color w:val="000000"/>
          <w:szCs w:val="19"/>
          <w:lang w:eastAsia="en-AU"/>
        </w:rPr>
        <w:br/>
        <w:t>Telephone: 03 9947 1836</w:t>
      </w:r>
      <w:r w:rsidRPr="00B24C02">
        <w:rPr>
          <w:rFonts w:cs="Arial"/>
          <w:color w:val="000000"/>
          <w:szCs w:val="19"/>
          <w:lang w:eastAsia="en-AU"/>
        </w:rPr>
        <w:br/>
        <w:t xml:space="preserve">Email: </w:t>
      </w:r>
      <w:hyperlink r:id="rId322" w:history="1">
        <w:r w:rsidRPr="00986D1E">
          <w:rPr>
            <w:rStyle w:val="Hyperlink"/>
          </w:rPr>
          <w:t>major.andrew.a@edumail.vic.gov.au</w:t>
        </w:r>
      </w:hyperlink>
    </w:p>
    <w:p w14:paraId="020244A3" w14:textId="5CD61BA1" w:rsidR="00856D53" w:rsidRPr="00276391" w:rsidRDefault="008B3F5D" w:rsidP="00856D53">
      <w:pPr>
        <w:pStyle w:val="Heading2"/>
        <w:rPr>
          <w:rFonts w:cs="Arial"/>
          <w:lang w:eastAsia="en-AU"/>
        </w:rPr>
      </w:pPr>
      <w:bookmarkStart w:id="924" w:name="_Toc4142150"/>
      <w:r>
        <w:rPr>
          <w:rFonts w:cs="Arial"/>
          <w:lang w:eastAsia="en-AU"/>
        </w:rPr>
        <w:t xml:space="preserve">5.3 </w:t>
      </w:r>
      <w:r w:rsidR="00856D53" w:rsidRPr="00276391">
        <w:rPr>
          <w:rFonts w:cs="Arial"/>
          <w:lang w:eastAsia="en-AU"/>
        </w:rPr>
        <w:t>Incident reporting</w:t>
      </w:r>
      <w:bookmarkEnd w:id="924"/>
    </w:p>
    <w:p w14:paraId="56305792" w14:textId="77777777" w:rsidR="00856D53" w:rsidRPr="00276391" w:rsidRDefault="00856D53" w:rsidP="00856D53">
      <w:pPr>
        <w:pStyle w:val="Heading4"/>
        <w:rPr>
          <w:lang w:eastAsia="en-AU"/>
        </w:rPr>
      </w:pPr>
      <w:r w:rsidRPr="00276391">
        <w:rPr>
          <w:lang w:eastAsia="en-AU"/>
        </w:rPr>
        <w:t>Approved child care and licensed children’s services</w:t>
      </w:r>
    </w:p>
    <w:p w14:paraId="179C70A1" w14:textId="77777777" w:rsidR="00856D53" w:rsidRPr="00276391" w:rsidRDefault="00856D53" w:rsidP="00856D53">
      <w:pPr>
        <w:pStyle w:val="DHHSbody"/>
        <w:rPr>
          <w:lang w:eastAsia="en-AU"/>
        </w:rPr>
      </w:pPr>
      <w:r w:rsidRPr="00B24C02">
        <w:rPr>
          <w:rFonts w:cs="Arial"/>
          <w:color w:val="000000"/>
          <w:szCs w:val="19"/>
          <w:lang w:eastAsia="en-AU"/>
        </w:rPr>
        <w:t>Licensed Children's Services are required to comply with incident reporting requirements as set out in the relevant Acts and Regulations.</w:t>
      </w:r>
    </w:p>
    <w:p w14:paraId="67999C3D" w14:textId="77777777" w:rsidR="00856D53" w:rsidRPr="00276391" w:rsidRDefault="00856D53" w:rsidP="00856D53">
      <w:pPr>
        <w:pStyle w:val="DHHSbody"/>
        <w:rPr>
          <w:lang w:eastAsia="en-AU"/>
        </w:rPr>
      </w:pPr>
      <w:r w:rsidRPr="00276391">
        <w:rPr>
          <w:lang w:eastAsia="en-AU"/>
        </w:rPr>
        <w:t>From 1 January 2012, the National Quality Framework applies to family day care, long day care, outside school hours care services and preschools (kindergartens) across Australia. These services must meet the requirements of the:</w:t>
      </w:r>
    </w:p>
    <w:p w14:paraId="0B0BC281" w14:textId="77777777" w:rsidR="00856D53" w:rsidRPr="00276391" w:rsidRDefault="00856D53" w:rsidP="00856D53">
      <w:pPr>
        <w:pStyle w:val="DHHSbullet1"/>
        <w:rPr>
          <w:rFonts w:cs="Arial"/>
          <w:lang w:eastAsia="en-AU"/>
        </w:rPr>
      </w:pPr>
      <w:r w:rsidRPr="00276391">
        <w:rPr>
          <w:rFonts w:cs="Arial"/>
          <w:lang w:eastAsia="en-AU"/>
        </w:rPr>
        <w:lastRenderedPageBreak/>
        <w:t xml:space="preserve">Education and Care Services National Law Act 2010 (National Law) </w:t>
      </w:r>
    </w:p>
    <w:p w14:paraId="5D318961" w14:textId="77777777" w:rsidR="00856D53" w:rsidRPr="00276391" w:rsidRDefault="00856D53" w:rsidP="00856D53">
      <w:pPr>
        <w:pStyle w:val="DHHSbullet1"/>
        <w:rPr>
          <w:rFonts w:cs="Arial"/>
          <w:lang w:eastAsia="en-AU"/>
        </w:rPr>
      </w:pPr>
      <w:r w:rsidRPr="00276391">
        <w:rPr>
          <w:rFonts w:cs="Arial"/>
          <w:lang w:eastAsia="en-AU"/>
        </w:rPr>
        <w:t xml:space="preserve">Education and Care Services National Regulations 2011 (National Regulations) </w:t>
      </w:r>
    </w:p>
    <w:p w14:paraId="5070491F" w14:textId="77777777" w:rsidR="00856D53" w:rsidRPr="00276391" w:rsidRDefault="00856D53" w:rsidP="00856D53">
      <w:pPr>
        <w:pStyle w:val="DHHSbody"/>
        <w:rPr>
          <w:lang w:eastAsia="en-AU"/>
        </w:rPr>
      </w:pPr>
      <w:r w:rsidRPr="00B24C02">
        <w:rPr>
          <w:rFonts w:cs="Arial"/>
          <w:color w:val="000000"/>
          <w:szCs w:val="19"/>
          <w:lang w:eastAsia="en-AU"/>
        </w:rPr>
        <w:t>These services are referred to as education and care services.</w:t>
      </w:r>
    </w:p>
    <w:p w14:paraId="7EB1FFE7" w14:textId="77777777" w:rsidR="00856D53" w:rsidRPr="00276391" w:rsidRDefault="00856D53" w:rsidP="00856D53">
      <w:pPr>
        <w:pStyle w:val="DHHSbody"/>
        <w:rPr>
          <w:lang w:eastAsia="en-AU"/>
        </w:rPr>
      </w:pPr>
      <w:r w:rsidRPr="00276391">
        <w:rPr>
          <w:lang w:eastAsia="en-AU"/>
        </w:rPr>
        <w:t xml:space="preserve">All limited hours and </w:t>
      </w:r>
      <w:proofErr w:type="gramStart"/>
      <w:r w:rsidRPr="00276391">
        <w:rPr>
          <w:lang w:eastAsia="en-AU"/>
        </w:rPr>
        <w:t>short term</w:t>
      </w:r>
      <w:proofErr w:type="gramEnd"/>
      <w:r w:rsidRPr="00276391">
        <w:rPr>
          <w:lang w:eastAsia="en-AU"/>
        </w:rPr>
        <w:t xml:space="preserve"> licensed services, a small number of other services that currently hold a standard licence including budget-based services not funded for the Child Care Benefit, occasional care, early childhood intervention, and mobile services, and a small number of school holiday care programs, will continue to be required to operate under the</w:t>
      </w:r>
      <w:r>
        <w:rPr>
          <w:lang w:eastAsia="en-AU"/>
        </w:rPr>
        <w:t>:</w:t>
      </w:r>
    </w:p>
    <w:p w14:paraId="0DB3325D" w14:textId="77777777" w:rsidR="00856D53" w:rsidRPr="00276391" w:rsidRDefault="00856D53" w:rsidP="00856D53">
      <w:pPr>
        <w:pStyle w:val="DHHSbullet1"/>
        <w:rPr>
          <w:rFonts w:cs="Arial"/>
          <w:lang w:eastAsia="en-AU"/>
        </w:rPr>
      </w:pPr>
      <w:r w:rsidRPr="00276391">
        <w:rPr>
          <w:rFonts w:cs="Arial"/>
          <w:lang w:eastAsia="en-AU"/>
        </w:rPr>
        <w:t xml:space="preserve">Victorian Children’s Services Act 1996 (Victorian Act) </w:t>
      </w:r>
    </w:p>
    <w:p w14:paraId="2E9FCD6A" w14:textId="77777777" w:rsidR="00856D53" w:rsidRPr="00276391" w:rsidRDefault="00856D53" w:rsidP="00856D53">
      <w:pPr>
        <w:pStyle w:val="DHHSbullet1"/>
        <w:rPr>
          <w:rFonts w:cs="Arial"/>
          <w:lang w:eastAsia="en-AU"/>
        </w:rPr>
      </w:pPr>
      <w:r w:rsidRPr="00276391">
        <w:rPr>
          <w:rFonts w:cs="Arial"/>
          <w:lang w:eastAsia="en-AU"/>
        </w:rPr>
        <w:t xml:space="preserve">Victorian Children’s Services Regulations 2009 (Victorian Regulations) </w:t>
      </w:r>
    </w:p>
    <w:p w14:paraId="439814C1" w14:textId="77777777" w:rsidR="00856D53" w:rsidRPr="00276391" w:rsidRDefault="00856D53" w:rsidP="00856D53">
      <w:pPr>
        <w:pStyle w:val="Heading4"/>
        <w:rPr>
          <w:lang w:eastAsia="en-AU"/>
        </w:rPr>
      </w:pPr>
      <w:r w:rsidRPr="00276391">
        <w:rPr>
          <w:lang w:eastAsia="en-AU"/>
        </w:rPr>
        <w:t>Other Early Childhood Services and Programs</w:t>
      </w:r>
    </w:p>
    <w:p w14:paraId="3C610143" w14:textId="77777777" w:rsidR="00856D53" w:rsidRPr="00276391" w:rsidRDefault="00856D53" w:rsidP="00856D53">
      <w:pPr>
        <w:pStyle w:val="DHHSbody"/>
        <w:rPr>
          <w:lang w:eastAsia="en-AU"/>
        </w:rPr>
      </w:pPr>
      <w:r w:rsidRPr="00B24C02">
        <w:rPr>
          <w:rFonts w:cs="Arial"/>
          <w:color w:val="000000"/>
          <w:szCs w:val="19"/>
          <w:lang w:eastAsia="en-AU"/>
        </w:rPr>
        <w:t xml:space="preserve">Other Early Childhood Services and Programs do not operate under the National Quality Framework or the Children’s Services Act 1996. They include the Aboriginal Early Years Services, Early Childhood Intervention Services, access and participation to funded kindergarten program and services including Access to Early Learning, Maternal and Child Health Services, Parenting Services, Best Start and the Children’s Facilities Capital Program. </w:t>
      </w:r>
    </w:p>
    <w:p w14:paraId="707A3650" w14:textId="77777777" w:rsidR="00856D53" w:rsidRPr="00276391" w:rsidRDefault="00856D53" w:rsidP="00856D53">
      <w:pPr>
        <w:pStyle w:val="Heading4"/>
        <w:rPr>
          <w:lang w:eastAsia="en-AU"/>
        </w:rPr>
      </w:pPr>
      <w:r w:rsidRPr="00276391">
        <w:rPr>
          <w:lang w:eastAsia="en-AU"/>
        </w:rPr>
        <w:t>Reporting Incidents</w:t>
      </w:r>
    </w:p>
    <w:p w14:paraId="1B828623" w14:textId="77777777" w:rsidR="00856D53" w:rsidRPr="00276391" w:rsidRDefault="00856D53" w:rsidP="00856D53">
      <w:pPr>
        <w:pStyle w:val="DHHSbody"/>
        <w:rPr>
          <w:lang w:eastAsia="en-AU"/>
        </w:rPr>
      </w:pPr>
      <w:r w:rsidRPr="00B24C02">
        <w:rPr>
          <w:rFonts w:cs="Arial"/>
          <w:color w:val="000000"/>
          <w:szCs w:val="19"/>
          <w:lang w:eastAsia="en-AU"/>
        </w:rPr>
        <w:t xml:space="preserve">Funded organisations are required to call the Early Childhood Performance and Planning Adviser (PAPA) in the </w:t>
      </w:r>
      <w:hyperlink r:id="rId323" w:tgtFrame="_blank" w:history="1">
        <w:r w:rsidRPr="00986D1E">
          <w:rPr>
            <w:rStyle w:val="Hyperlink"/>
          </w:rPr>
          <w:t>Regional Offices</w:t>
        </w:r>
      </w:hyperlink>
      <w:r w:rsidRPr="00B24C02">
        <w:rPr>
          <w:rFonts w:cs="Arial"/>
          <w:color w:val="000000"/>
          <w:szCs w:val="19"/>
          <w:lang w:eastAsia="en-AU"/>
        </w:rPr>
        <w:t xml:space="preserve"> </w:t>
      </w:r>
      <w:r>
        <w:rPr>
          <w:rFonts w:cs="Arial"/>
          <w:color w:val="000000"/>
          <w:szCs w:val="19"/>
          <w:lang w:eastAsia="en-AU"/>
        </w:rPr>
        <w:t>&lt;</w:t>
      </w:r>
      <w:r w:rsidRPr="00103662">
        <w:rPr>
          <w:rFonts w:cs="Arial"/>
          <w:color w:val="000000"/>
          <w:szCs w:val="19"/>
          <w:lang w:eastAsia="en-AU"/>
        </w:rPr>
        <w:t>http://www.education.vic.gov.au/about/contact/Pages/regions.aspx</w:t>
      </w:r>
      <w:r>
        <w:rPr>
          <w:rFonts w:cs="Arial"/>
          <w:color w:val="000000"/>
          <w:szCs w:val="19"/>
          <w:lang w:eastAsia="en-AU"/>
        </w:rPr>
        <w:t xml:space="preserve">&gt; </w:t>
      </w:r>
      <w:r w:rsidRPr="00B24C02">
        <w:rPr>
          <w:rFonts w:cs="Arial"/>
          <w:color w:val="000000"/>
          <w:szCs w:val="19"/>
          <w:lang w:eastAsia="en-AU"/>
        </w:rPr>
        <w:t>(external link, opens in a new window), if:</w:t>
      </w:r>
    </w:p>
    <w:p w14:paraId="7960B5EB" w14:textId="77777777" w:rsidR="00856D53" w:rsidRPr="000267C1" w:rsidRDefault="00856D53" w:rsidP="00856D53">
      <w:pPr>
        <w:pStyle w:val="DHHSbullet1"/>
        <w:rPr>
          <w:rFonts w:cs="Arial"/>
          <w:lang w:eastAsia="en-AU"/>
        </w:rPr>
      </w:pPr>
      <w:r w:rsidRPr="000267C1">
        <w:rPr>
          <w:rFonts w:cs="Arial"/>
          <w:lang w:eastAsia="en-AU"/>
        </w:rPr>
        <w:t xml:space="preserve">the occurrence of an incident is not within the scope of the department’s Quality Assessment and Regulatory Division’s (QARD) framework; or </w:t>
      </w:r>
    </w:p>
    <w:p w14:paraId="0E2FE3F9" w14:textId="77777777" w:rsidR="00856D53" w:rsidRPr="000267C1" w:rsidRDefault="00856D53" w:rsidP="00856D53">
      <w:pPr>
        <w:pStyle w:val="DHHSbullet1"/>
        <w:rPr>
          <w:rFonts w:cs="Arial"/>
          <w:lang w:eastAsia="en-AU"/>
        </w:rPr>
      </w:pPr>
      <w:r w:rsidRPr="000267C1">
        <w:rPr>
          <w:rFonts w:cs="Arial"/>
          <w:lang w:eastAsia="en-AU"/>
        </w:rPr>
        <w:t xml:space="preserve">the incident occurred in a service or program that is outside QARD’s scope; or </w:t>
      </w:r>
    </w:p>
    <w:p w14:paraId="5E4974A3" w14:textId="77777777" w:rsidR="00856D53" w:rsidRPr="000267C1" w:rsidRDefault="00856D53" w:rsidP="00856D53">
      <w:pPr>
        <w:pStyle w:val="DHHSbullet1"/>
        <w:rPr>
          <w:rFonts w:cs="Arial"/>
          <w:lang w:eastAsia="en-AU"/>
        </w:rPr>
      </w:pPr>
      <w:r w:rsidRPr="000267C1">
        <w:rPr>
          <w:rFonts w:cs="Arial"/>
          <w:lang w:eastAsia="en-AU"/>
        </w:rPr>
        <w:t xml:space="preserve">the incident occurred in the provision of Other Early Childhood Services and Programs. </w:t>
      </w:r>
    </w:p>
    <w:p w14:paraId="430C7F5C" w14:textId="77777777" w:rsidR="00856D53" w:rsidRPr="00276391" w:rsidRDefault="00856D53" w:rsidP="00856D53">
      <w:pPr>
        <w:pStyle w:val="DHHSbody"/>
        <w:rPr>
          <w:lang w:eastAsia="en-AU"/>
        </w:rPr>
      </w:pPr>
      <w:r w:rsidRPr="00276391">
        <w:rPr>
          <w:lang w:eastAsia="en-AU"/>
        </w:rPr>
        <w:t xml:space="preserve">Funded organisations and the relevant PAPA will discuss the appropriate reporting process and response, on a case by case basis. For more information, refer to the former Department of Human Service web page on </w:t>
      </w:r>
      <w:hyperlink r:id="rId324" w:tgtFrame="_blank" w:history="1">
        <w:r w:rsidRPr="00986D1E">
          <w:rPr>
            <w:rStyle w:val="Hyperlink"/>
          </w:rPr>
          <w:t>Critical client incident reporting</w:t>
        </w:r>
      </w:hyperlink>
      <w:r w:rsidRPr="00276391">
        <w:rPr>
          <w:lang w:eastAsia="en-AU"/>
        </w:rPr>
        <w:t xml:space="preserve"> </w:t>
      </w:r>
      <w:r>
        <w:rPr>
          <w:lang w:eastAsia="en-AU"/>
        </w:rPr>
        <w:t>&lt;</w:t>
      </w:r>
      <w:r w:rsidRPr="000267C1">
        <w:rPr>
          <w:lang w:eastAsia="en-AU"/>
        </w:rPr>
        <w:t>https://fac.dhhs.vic.gov.au/incident-reporting</w:t>
      </w:r>
      <w:r>
        <w:rPr>
          <w:lang w:eastAsia="en-AU"/>
        </w:rPr>
        <w:t xml:space="preserve">&gt; </w:t>
      </w:r>
      <w:r w:rsidRPr="00276391">
        <w:rPr>
          <w:lang w:eastAsia="en-AU"/>
        </w:rPr>
        <w:t>(external link, opens in a new window).</w:t>
      </w:r>
    </w:p>
    <w:p w14:paraId="517EC6B6" w14:textId="77777777" w:rsidR="00856D53" w:rsidRPr="00276391" w:rsidRDefault="00856D53" w:rsidP="00856D53">
      <w:pPr>
        <w:pStyle w:val="Heading4"/>
        <w:rPr>
          <w:lang w:eastAsia="en-AU"/>
        </w:rPr>
      </w:pPr>
      <w:r w:rsidRPr="00276391">
        <w:rPr>
          <w:lang w:eastAsia="en-AU"/>
        </w:rPr>
        <w:t>Offences relating to the sexual abuse of children</w:t>
      </w:r>
    </w:p>
    <w:p w14:paraId="079A093D" w14:textId="77777777" w:rsidR="00856D53" w:rsidRPr="00276391" w:rsidRDefault="00856D53" w:rsidP="00856D53">
      <w:pPr>
        <w:pStyle w:val="DHHSbody"/>
        <w:rPr>
          <w:lang w:eastAsia="en-AU"/>
        </w:rPr>
      </w:pPr>
      <w:r w:rsidRPr="00B24C02">
        <w:rPr>
          <w:rFonts w:cs="Arial"/>
          <w:color w:val="000000"/>
          <w:szCs w:val="19"/>
          <w:lang w:eastAsia="en-AU"/>
        </w:rPr>
        <w:t>The following criminal offences were introduced to improve responses within organisations and the community to child sexual abuse.</w:t>
      </w:r>
    </w:p>
    <w:p w14:paraId="3B6129D3" w14:textId="39BCC18C" w:rsidR="00856D53" w:rsidRPr="00276391" w:rsidRDefault="007A46F5" w:rsidP="00856D53">
      <w:pPr>
        <w:pStyle w:val="DHHSbody"/>
        <w:rPr>
          <w:lang w:eastAsia="en-AU"/>
        </w:rPr>
      </w:pPr>
      <w:r>
        <w:rPr>
          <w:lang w:eastAsia="en-AU"/>
        </w:rPr>
        <w:t>Department</w:t>
      </w:r>
      <w:r w:rsidR="00856D53" w:rsidRPr="00276391">
        <w:rPr>
          <w:lang w:eastAsia="en-AU"/>
        </w:rPr>
        <w:t xml:space="preserve"> staff and all staff associated with organisations funded by </w:t>
      </w:r>
      <w:r>
        <w:rPr>
          <w:lang w:eastAsia="en-AU"/>
        </w:rPr>
        <w:t>the department</w:t>
      </w:r>
      <w:r w:rsidR="00856D53" w:rsidRPr="00276391">
        <w:rPr>
          <w:lang w:eastAsia="en-AU"/>
        </w:rPr>
        <w:t xml:space="preserve"> should be aware of, and comply with relevant legislation, standards, screening and program requirements, and policies on preventing, reporting and responding to child sexual abuse.</w:t>
      </w:r>
    </w:p>
    <w:p w14:paraId="198E5421" w14:textId="77777777" w:rsidR="00856D53" w:rsidRPr="00276391" w:rsidRDefault="00856D53" w:rsidP="00856D53">
      <w:pPr>
        <w:pStyle w:val="Heading4"/>
        <w:rPr>
          <w:lang w:eastAsia="en-AU"/>
        </w:rPr>
      </w:pPr>
      <w:r w:rsidRPr="00276391">
        <w:rPr>
          <w:lang w:eastAsia="en-AU"/>
        </w:rPr>
        <w:t>Offence for failure to disclose child sexual abuse</w:t>
      </w:r>
    </w:p>
    <w:p w14:paraId="043E2C9D" w14:textId="77777777" w:rsidR="00856D53" w:rsidRPr="00276391" w:rsidRDefault="00856D53" w:rsidP="00856D53">
      <w:pPr>
        <w:pStyle w:val="DHHSbody"/>
        <w:rPr>
          <w:lang w:eastAsia="en-AU"/>
        </w:rPr>
      </w:pPr>
      <w:r w:rsidRPr="00B24C02">
        <w:rPr>
          <w:rFonts w:cs="Arial"/>
          <w:color w:val="000000"/>
          <w:szCs w:val="19"/>
          <w:lang w:eastAsia="en-AU"/>
        </w:rPr>
        <w:t>The offence for failure to disclose child sexual abuse to the police came into effect on 27 October 2014.</w:t>
      </w:r>
    </w:p>
    <w:p w14:paraId="60424678" w14:textId="77777777" w:rsidR="00856D53" w:rsidRPr="00276391" w:rsidRDefault="00856D53" w:rsidP="00856D53">
      <w:pPr>
        <w:pStyle w:val="Heading4"/>
        <w:rPr>
          <w:lang w:eastAsia="en-AU"/>
        </w:rPr>
      </w:pPr>
      <w:r w:rsidRPr="00276391">
        <w:rPr>
          <w:lang w:eastAsia="en-AU"/>
        </w:rPr>
        <w:t>Offence for failure to protect children from the risk of sexual abuse</w:t>
      </w:r>
    </w:p>
    <w:p w14:paraId="699655B7" w14:textId="77777777" w:rsidR="00856D53" w:rsidRPr="00276391" w:rsidRDefault="00856D53" w:rsidP="00856D53">
      <w:pPr>
        <w:pStyle w:val="DHHSbody"/>
        <w:rPr>
          <w:lang w:eastAsia="en-AU"/>
        </w:rPr>
      </w:pPr>
      <w:r w:rsidRPr="00B24C02">
        <w:rPr>
          <w:rFonts w:cs="Arial"/>
          <w:color w:val="000000"/>
          <w:szCs w:val="19"/>
          <w:lang w:eastAsia="en-AU"/>
        </w:rPr>
        <w:t>The offence for 'failure to protect' a child from a risk of sexual abuse commenced on 1 July 2015.</w:t>
      </w:r>
    </w:p>
    <w:p w14:paraId="47632B71" w14:textId="77777777" w:rsidR="00856D53" w:rsidRPr="00276391" w:rsidRDefault="00856D53" w:rsidP="00856D53">
      <w:pPr>
        <w:pStyle w:val="DHHSbody"/>
        <w:rPr>
          <w:lang w:eastAsia="en-AU"/>
        </w:rPr>
      </w:pPr>
      <w:r w:rsidRPr="00276391">
        <w:rPr>
          <w:lang w:eastAsia="en-AU"/>
        </w:rPr>
        <w:t xml:space="preserve">Further information about these offences and the reporting process are available on the former Department of Human Services’ </w:t>
      </w:r>
      <w:hyperlink r:id="rId325" w:tgtFrame="_blank" w:history="1">
        <w:r w:rsidRPr="00986D1E">
          <w:rPr>
            <w:rStyle w:val="Hyperlink"/>
          </w:rPr>
          <w:t>New criminal offences to improve responses to child sexual abuse</w:t>
        </w:r>
      </w:hyperlink>
      <w:r w:rsidRPr="00276391">
        <w:rPr>
          <w:lang w:eastAsia="en-AU"/>
        </w:rPr>
        <w:t xml:space="preserve"> </w:t>
      </w:r>
      <w:r>
        <w:rPr>
          <w:lang w:eastAsia="en-AU"/>
        </w:rPr>
        <w:t>&lt;</w:t>
      </w:r>
      <w:r w:rsidRPr="00EF2BD6">
        <w:rPr>
          <w:lang w:eastAsia="en-AU"/>
        </w:rPr>
        <w:t>http://www.dhs.vic.gov.au/about-the-department/documents-and-resources/policies,-guidelines-and-legislation/new-criminal-offences-to-improve-responses-to-child-sexual-abuse</w:t>
      </w:r>
      <w:r>
        <w:rPr>
          <w:lang w:eastAsia="en-AU"/>
        </w:rPr>
        <w:t>&gt;</w:t>
      </w:r>
      <w:r w:rsidRPr="00EF2BD6">
        <w:rPr>
          <w:lang w:eastAsia="en-AU"/>
        </w:rPr>
        <w:t xml:space="preserve"> </w:t>
      </w:r>
      <w:r w:rsidRPr="00276391">
        <w:rPr>
          <w:lang w:eastAsia="en-AU"/>
        </w:rPr>
        <w:t xml:space="preserve">(external link, opens in a new window) web page. </w:t>
      </w:r>
    </w:p>
    <w:p w14:paraId="42865F59" w14:textId="77777777" w:rsidR="00856D53" w:rsidRPr="00276391" w:rsidRDefault="00856D53" w:rsidP="00856D53">
      <w:pPr>
        <w:pStyle w:val="DHHSbody"/>
        <w:rPr>
          <w:lang w:eastAsia="en-AU"/>
        </w:rPr>
      </w:pPr>
      <w:r w:rsidRPr="00276391">
        <w:rPr>
          <w:lang w:eastAsia="en-AU"/>
        </w:rPr>
        <w:lastRenderedPageBreak/>
        <w:t xml:space="preserve">Alternatively, you can email </w:t>
      </w:r>
      <w:hyperlink r:id="rId326" w:history="1">
        <w:r w:rsidRPr="00986D1E">
          <w:rPr>
            <w:rStyle w:val="Hyperlink"/>
          </w:rPr>
          <w:t>childsafestandards@dhhs.vic.gov.au</w:t>
        </w:r>
      </w:hyperlink>
    </w:p>
    <w:p w14:paraId="3804B63E" w14:textId="77777777" w:rsidR="00856D53" w:rsidRPr="00276391" w:rsidRDefault="00856D53" w:rsidP="00856D53">
      <w:pPr>
        <w:pStyle w:val="Heading4"/>
        <w:rPr>
          <w:lang w:eastAsia="en-AU"/>
        </w:rPr>
      </w:pPr>
      <w:r w:rsidRPr="00276391">
        <w:rPr>
          <w:lang w:eastAsia="en-AU"/>
        </w:rPr>
        <w:t>For further information</w:t>
      </w:r>
    </w:p>
    <w:p w14:paraId="27D04B5B" w14:textId="0B0CB3AF" w:rsidR="00856D53" w:rsidRPr="007C1ED2" w:rsidRDefault="00856D53" w:rsidP="00856D53">
      <w:pPr>
        <w:pStyle w:val="DHHSbody"/>
        <w:rPr>
          <w:lang w:eastAsia="en-AU"/>
        </w:rPr>
      </w:pPr>
      <w:r w:rsidRPr="00B24C02">
        <w:rPr>
          <w:rFonts w:cs="Arial"/>
          <w:color w:val="000000"/>
          <w:szCs w:val="19"/>
          <w:lang w:eastAsia="en-AU"/>
        </w:rPr>
        <w:t>Florence Kaur, Senior Policy Officer, System Quality Unit, Strategy and Integration Division, Early Childhood and School Education Group</w:t>
      </w:r>
      <w:r w:rsidRPr="00B24C02">
        <w:rPr>
          <w:rFonts w:cs="Arial"/>
          <w:color w:val="000000"/>
          <w:szCs w:val="19"/>
          <w:lang w:eastAsia="en-AU"/>
        </w:rPr>
        <w:br/>
        <w:t>Telephone: 03 9651 3242</w:t>
      </w:r>
      <w:r w:rsidRPr="00B24C02">
        <w:rPr>
          <w:rFonts w:cs="Arial"/>
          <w:color w:val="000000"/>
          <w:szCs w:val="19"/>
          <w:lang w:eastAsia="en-AU"/>
        </w:rPr>
        <w:br/>
        <w:t xml:space="preserve">Email: </w:t>
      </w:r>
      <w:hyperlink r:id="rId327" w:history="1">
        <w:r w:rsidRPr="00986D1E">
          <w:rPr>
            <w:rStyle w:val="Hyperlink"/>
          </w:rPr>
          <w:t>kaur.florence.g@edumail.vic.gov.au</w:t>
        </w:r>
      </w:hyperlink>
      <w:r w:rsidR="006250C7">
        <w:rPr>
          <w:lang w:eastAsia="en-AU"/>
        </w:rPr>
        <w:t xml:space="preserve">    </w:t>
      </w:r>
    </w:p>
    <w:p w14:paraId="7CE7ABEF" w14:textId="77777777" w:rsidR="00856D53" w:rsidRPr="003F52B3" w:rsidRDefault="00856D53" w:rsidP="00856D53">
      <w:pPr>
        <w:pStyle w:val="DHHSbody"/>
        <w:rPr>
          <w:lang w:eastAsia="en-AU"/>
        </w:rPr>
      </w:pPr>
      <w:r w:rsidRPr="003F52B3">
        <w:rPr>
          <w:b/>
          <w:lang w:eastAsia="en-AU"/>
        </w:rPr>
        <w:t>Offence for failure to disclose child sexual abuse</w:t>
      </w:r>
    </w:p>
    <w:p w14:paraId="5EBBF3C5" w14:textId="77777777" w:rsidR="00856D53" w:rsidRPr="00276391" w:rsidRDefault="00856D53" w:rsidP="00856D53">
      <w:pPr>
        <w:pStyle w:val="DHHSbody"/>
        <w:rPr>
          <w:lang w:eastAsia="en-AU"/>
        </w:rPr>
      </w:pPr>
      <w:r w:rsidRPr="00B24C02">
        <w:rPr>
          <w:rFonts w:cs="Arial"/>
          <w:color w:val="000000"/>
          <w:szCs w:val="19"/>
          <w:lang w:eastAsia="en-AU"/>
        </w:rPr>
        <w:t>The offence for failure to disclose child sexual abuse to the police came into effect on 27 October 2014.</w:t>
      </w:r>
    </w:p>
    <w:p w14:paraId="6B83C7D2" w14:textId="77777777" w:rsidR="00856D53" w:rsidRPr="00276391" w:rsidRDefault="00856D53" w:rsidP="00856D53">
      <w:pPr>
        <w:pStyle w:val="DHHSbody"/>
        <w:rPr>
          <w:lang w:eastAsia="en-AU"/>
        </w:rPr>
      </w:pPr>
      <w:r w:rsidRPr="00276391">
        <w:rPr>
          <w:lang w:eastAsia="en-AU"/>
        </w:rPr>
        <w:t xml:space="preserve">Further information about the offence and how to report is available on the human services </w:t>
      </w:r>
      <w:hyperlink r:id="rId328" w:history="1">
        <w:r w:rsidRPr="00986D1E">
          <w:rPr>
            <w:rStyle w:val="Hyperlink"/>
          </w:rPr>
          <w:t>New criminal offences to improve responses to child sexual abuse</w:t>
        </w:r>
      </w:hyperlink>
      <w:r w:rsidRPr="00276391">
        <w:rPr>
          <w:lang w:eastAsia="en-AU"/>
        </w:rPr>
        <w:t xml:space="preserve"> </w:t>
      </w:r>
      <w:r>
        <w:rPr>
          <w:lang w:eastAsia="en-AU"/>
        </w:rPr>
        <w:t>&lt;</w:t>
      </w:r>
      <w:r w:rsidRPr="00EF2BD6">
        <w:rPr>
          <w:lang w:eastAsia="en-AU"/>
        </w:rPr>
        <w:t>http://www.dhs.vic.gov.au/about-the-department/documents-and-resources/policies,-guidelines-and-legislation/new-criminal-offences-to-improve-responses-to-child-sexual-abuse</w:t>
      </w:r>
      <w:r>
        <w:rPr>
          <w:lang w:eastAsia="en-AU"/>
        </w:rPr>
        <w:t>&gt;</w:t>
      </w:r>
      <w:r w:rsidRPr="00EF2BD6">
        <w:rPr>
          <w:lang w:eastAsia="en-AU"/>
        </w:rPr>
        <w:t xml:space="preserve"> </w:t>
      </w:r>
      <w:r w:rsidRPr="00276391">
        <w:rPr>
          <w:lang w:eastAsia="en-AU"/>
        </w:rPr>
        <w:t>(external link, opens in a new window) web page.</w:t>
      </w:r>
    </w:p>
    <w:p w14:paraId="3995BBC6" w14:textId="77777777" w:rsidR="00856D53" w:rsidRPr="003F52B3" w:rsidRDefault="00856D53" w:rsidP="00856D53">
      <w:pPr>
        <w:pStyle w:val="DHHSbody"/>
        <w:rPr>
          <w:lang w:eastAsia="en-AU"/>
        </w:rPr>
      </w:pPr>
      <w:r w:rsidRPr="003F52B3">
        <w:rPr>
          <w:b/>
          <w:lang w:eastAsia="en-AU"/>
        </w:rPr>
        <w:t>New offence for failure to protect children from the risk of sexual abuse</w:t>
      </w:r>
    </w:p>
    <w:p w14:paraId="405177C4" w14:textId="77777777" w:rsidR="00856D53" w:rsidRPr="00276391" w:rsidRDefault="00856D53" w:rsidP="00856D53">
      <w:pPr>
        <w:pStyle w:val="DHHSbody"/>
        <w:rPr>
          <w:lang w:eastAsia="en-AU"/>
        </w:rPr>
      </w:pPr>
      <w:r w:rsidRPr="00B24C02">
        <w:rPr>
          <w:rFonts w:cs="Arial"/>
          <w:color w:val="000000"/>
          <w:szCs w:val="19"/>
          <w:lang w:eastAsia="en-AU"/>
        </w:rPr>
        <w:t>The new offence for 'failure to protect' a child from a risk of sexual abuse commenced on 1 July 2015.</w:t>
      </w:r>
    </w:p>
    <w:p w14:paraId="2BFA382D" w14:textId="2023882B" w:rsidR="00856D53" w:rsidRPr="00276391" w:rsidRDefault="00856D53" w:rsidP="008B3F5D">
      <w:pPr>
        <w:pStyle w:val="DHHSbody"/>
        <w:rPr>
          <w:lang w:eastAsia="en-AU"/>
        </w:rPr>
      </w:pPr>
      <w:r w:rsidRPr="00276391">
        <w:rPr>
          <w:lang w:eastAsia="en-AU"/>
        </w:rPr>
        <w:t>A fact sheet about the offence is available to download from the human services</w:t>
      </w:r>
      <w:r>
        <w:rPr>
          <w:lang w:eastAsia="en-AU"/>
        </w:rPr>
        <w:t xml:space="preserve">: </w:t>
      </w:r>
      <w:hyperlink r:id="rId329" w:history="1">
        <w:r w:rsidRPr="00986D1E">
          <w:rPr>
            <w:rStyle w:val="Hyperlink"/>
          </w:rPr>
          <w:t>New criminal offences to improve responses to child sexual abuse</w:t>
        </w:r>
      </w:hyperlink>
      <w:r w:rsidRPr="00276391">
        <w:rPr>
          <w:lang w:eastAsia="en-AU"/>
        </w:rPr>
        <w:t xml:space="preserve"> </w:t>
      </w:r>
      <w:r>
        <w:rPr>
          <w:lang w:eastAsia="en-AU"/>
        </w:rPr>
        <w:t>&lt;</w:t>
      </w:r>
      <w:r w:rsidRPr="00EF2BD6">
        <w:rPr>
          <w:lang w:eastAsia="en-AU"/>
        </w:rPr>
        <w:t>http://www.dhs.vic.gov.au/about-the-department/documents-and-resources/policies,-guidelines-and-legislation/new-criminal-offences-to-improve-responses-to-child-sexual-abuse</w:t>
      </w:r>
      <w:r>
        <w:rPr>
          <w:lang w:eastAsia="en-AU"/>
        </w:rPr>
        <w:t>&gt;</w:t>
      </w:r>
      <w:r w:rsidRPr="00EF2BD6">
        <w:rPr>
          <w:lang w:eastAsia="en-AU"/>
        </w:rPr>
        <w:t xml:space="preserve"> </w:t>
      </w:r>
      <w:r w:rsidRPr="00276391">
        <w:rPr>
          <w:lang w:eastAsia="en-AU"/>
        </w:rPr>
        <w:t xml:space="preserve">(external link, opens in a new window) web page. Alternatively, you can email </w:t>
      </w:r>
      <w:hyperlink r:id="rId330" w:history="1">
        <w:r w:rsidRPr="00986D1E">
          <w:rPr>
            <w:rStyle w:val="Hyperlink"/>
          </w:rPr>
          <w:t>childsafestandards@dhhs.vic.gov.au</w:t>
        </w:r>
      </w:hyperlink>
      <w:r w:rsidRPr="00276391">
        <w:rPr>
          <w:noProof/>
          <w:lang w:eastAsia="en-AU"/>
        </w:rPr>
        <w:drawing>
          <wp:inline distT="0" distB="0" distL="0" distR="0" wp14:anchorId="3C1FEB7B" wp14:editId="2F99A9D9">
            <wp:extent cx="158115" cy="175895"/>
            <wp:effectExtent l="0" t="0" r="0" b="0"/>
            <wp:docPr id="7" name="Picture 9" descr="http://wcm.dhs.vic.gov.au/__fudge/wysiwyg/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cm.dhs.vic.gov.au/__fudge/wysiwyg/images/blank.gif"/>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58115" cy="175895"/>
                    </a:xfrm>
                    <a:prstGeom prst="rect">
                      <a:avLst/>
                    </a:prstGeom>
                    <a:noFill/>
                    <a:ln>
                      <a:noFill/>
                    </a:ln>
                  </pic:spPr>
                </pic:pic>
              </a:graphicData>
            </a:graphic>
          </wp:inline>
        </w:drawing>
      </w:r>
    </w:p>
    <w:p w14:paraId="3949F38F" w14:textId="1959D96D" w:rsidR="00856D53" w:rsidRPr="00276391" w:rsidRDefault="00856D53" w:rsidP="00856D53">
      <w:pPr>
        <w:pStyle w:val="DHHSbody"/>
        <w:rPr>
          <w:lang w:eastAsia="en-AU"/>
        </w:rPr>
      </w:pPr>
      <w:r w:rsidRPr="00B24C02">
        <w:rPr>
          <w:rFonts w:cs="Arial"/>
          <w:color w:val="000000"/>
          <w:szCs w:val="19"/>
          <w:lang w:eastAsia="en-AU"/>
        </w:rPr>
        <w:t>The former Department of Human Services' policy in relation to allegations of physical and sexual assault applies to all Department of Education and Training funded organisations.</w:t>
      </w:r>
    </w:p>
    <w:p w14:paraId="65118D4A" w14:textId="77777777" w:rsidR="00856D53" w:rsidRPr="00276391" w:rsidRDefault="00856D53" w:rsidP="00856D53">
      <w:pPr>
        <w:pStyle w:val="DHHSbody"/>
        <w:rPr>
          <w:lang w:eastAsia="en-AU"/>
        </w:rPr>
      </w:pPr>
      <w:r w:rsidRPr="00276391">
        <w:rPr>
          <w:lang w:eastAsia="en-AU"/>
        </w:rPr>
        <w:t xml:space="preserve">In responding to allegations of physical or sexual assault, refer to the former Department of Human Services' instructions and other relevant information on the </w:t>
      </w:r>
      <w:hyperlink r:id="rId332" w:history="1">
        <w:r w:rsidRPr="00E43EA9">
          <w:rPr>
            <w:rStyle w:val="Hyperlink"/>
            <w:lang w:eastAsia="en-AU"/>
          </w:rPr>
          <w:t>Incident Reporting webpage</w:t>
        </w:r>
      </w:hyperlink>
      <w:r>
        <w:rPr>
          <w:lang w:eastAsia="en-AU"/>
        </w:rPr>
        <w:t xml:space="preserve"> &lt;</w:t>
      </w:r>
      <w:r w:rsidRPr="00B4619E">
        <w:t>https://fac.dhhs.vic.gov.au/incident-reporting</w:t>
      </w:r>
      <w:r>
        <w:t xml:space="preserve">&gt; </w:t>
      </w:r>
      <w:r w:rsidRPr="00276391">
        <w:rPr>
          <w:lang w:eastAsia="en-AU"/>
        </w:rPr>
        <w:t xml:space="preserve">(external link, opens in a new window) web </w:t>
      </w:r>
      <w:r>
        <w:rPr>
          <w:lang w:eastAsia="en-AU"/>
        </w:rPr>
        <w:t>page</w:t>
      </w:r>
      <w:r>
        <w:t>.</w:t>
      </w:r>
    </w:p>
    <w:p w14:paraId="6D662FA4" w14:textId="77777777" w:rsidR="00856D53" w:rsidRPr="00276391" w:rsidRDefault="00856D53" w:rsidP="00856D53">
      <w:pPr>
        <w:pStyle w:val="DHHSbody"/>
        <w:rPr>
          <w:lang w:eastAsia="en-AU"/>
        </w:rPr>
      </w:pPr>
      <w:r w:rsidRPr="00276391">
        <w:rPr>
          <w:lang w:eastAsia="en-AU"/>
        </w:rPr>
        <w:t>Further resources:</w:t>
      </w:r>
    </w:p>
    <w:p w14:paraId="043E85AB" w14:textId="77777777" w:rsidR="00856D53" w:rsidRPr="00276391" w:rsidRDefault="0016341D" w:rsidP="00856D53">
      <w:pPr>
        <w:pStyle w:val="DHHSbody"/>
        <w:rPr>
          <w:lang w:eastAsia="en-AU"/>
        </w:rPr>
      </w:pPr>
      <w:hyperlink r:id="rId333" w:tgtFrame="_blank" w:history="1">
        <w:r w:rsidR="00856D53" w:rsidRPr="00986D1E">
          <w:rPr>
            <w:rStyle w:val="Hyperlink"/>
          </w:rPr>
          <w:t>Protecting the safety and wellbeing of children and young people 2010</w:t>
        </w:r>
      </w:hyperlink>
      <w:r w:rsidR="00856D53">
        <w:rPr>
          <w:lang w:eastAsia="en-AU"/>
        </w:rPr>
        <w:t xml:space="preserve"> &lt;</w:t>
      </w:r>
      <w:r w:rsidR="00856D53" w:rsidRPr="00E43EA9">
        <w:rPr>
          <w:lang w:eastAsia="en-AU"/>
        </w:rPr>
        <w:t>http://www.education.vic.gov.au/childhood/providers/regulation/Pages/protectionprotocol.aspx</w:t>
      </w:r>
      <w:r w:rsidR="00856D53">
        <w:rPr>
          <w:lang w:eastAsia="en-AU"/>
        </w:rPr>
        <w:t>&gt;</w:t>
      </w:r>
      <w:r w:rsidR="00856D53" w:rsidRPr="00E43EA9">
        <w:rPr>
          <w:lang w:eastAsia="en-AU"/>
        </w:rPr>
        <w:t xml:space="preserve"> </w:t>
      </w:r>
      <w:r w:rsidR="00856D53" w:rsidRPr="00276391">
        <w:rPr>
          <w:lang w:eastAsia="en-AU"/>
        </w:rPr>
        <w:t>(external link, opens in a new window)</w:t>
      </w:r>
      <w:r w:rsidR="00856D53">
        <w:rPr>
          <w:lang w:eastAsia="en-AU"/>
        </w:rPr>
        <w:t>.</w:t>
      </w:r>
      <w:r w:rsidR="00856D53" w:rsidRPr="00276391">
        <w:rPr>
          <w:lang w:eastAsia="en-AU"/>
        </w:rPr>
        <w:t xml:space="preserve"> This resource outlines the responsibilities of funded organisations which provide Early Childhood services and program in responding to allegations of physical and sexual assault</w:t>
      </w:r>
      <w:r w:rsidR="00856D53">
        <w:rPr>
          <w:lang w:eastAsia="en-AU"/>
        </w:rPr>
        <w:t>.</w:t>
      </w:r>
      <w:r w:rsidR="00856D53" w:rsidRPr="00276391">
        <w:rPr>
          <w:lang w:eastAsia="en-AU"/>
        </w:rPr>
        <w:t xml:space="preserve"> </w:t>
      </w:r>
    </w:p>
    <w:p w14:paraId="6D9A9190" w14:textId="77777777" w:rsidR="00856D53" w:rsidRPr="00276391" w:rsidRDefault="0016341D" w:rsidP="00856D53">
      <w:pPr>
        <w:pStyle w:val="DHHSbody"/>
        <w:rPr>
          <w:lang w:eastAsia="en-AU"/>
        </w:rPr>
      </w:pPr>
      <w:hyperlink r:id="rId334" w:tgtFrame="_blank" w:history="1">
        <w:r w:rsidR="00856D53" w:rsidRPr="00986D1E">
          <w:rPr>
            <w:rStyle w:val="Hyperlink"/>
          </w:rPr>
          <w:t>Responding to Allegations of Student Sexual Assault Procedures for Victorian Government Schools</w:t>
        </w:r>
      </w:hyperlink>
      <w:r w:rsidR="00856D53" w:rsidRPr="00276391">
        <w:rPr>
          <w:lang w:eastAsia="en-AU"/>
        </w:rPr>
        <w:t xml:space="preserve"> (external link, opens in a new window) </w:t>
      </w:r>
    </w:p>
    <w:p w14:paraId="5DCF341A" w14:textId="77777777" w:rsidR="00856D53" w:rsidRPr="00276391" w:rsidRDefault="0016341D" w:rsidP="00856D53">
      <w:pPr>
        <w:pStyle w:val="DHHSbody"/>
        <w:rPr>
          <w:lang w:eastAsia="en-AU"/>
        </w:rPr>
      </w:pPr>
      <w:hyperlink r:id="rId335" w:tgtFrame="_blank" w:history="1">
        <w:r w:rsidR="00856D53" w:rsidRPr="00986D1E">
          <w:rPr>
            <w:rStyle w:val="Hyperlink"/>
          </w:rPr>
          <w:t>Responding to Student Sexual Assault</w:t>
        </w:r>
      </w:hyperlink>
      <w:r w:rsidR="00856D53" w:rsidRPr="00276391">
        <w:rPr>
          <w:lang w:eastAsia="en-AU"/>
        </w:rPr>
        <w:t xml:space="preserve"> </w:t>
      </w:r>
      <w:r w:rsidR="00856D53">
        <w:rPr>
          <w:lang w:eastAsia="en-AU"/>
        </w:rPr>
        <w:t>&lt;</w:t>
      </w:r>
      <w:r w:rsidR="00856D53" w:rsidRPr="00E43EA9">
        <w:rPr>
          <w:lang w:eastAsia="en-AU"/>
        </w:rPr>
        <w:t>http://www.education.vic.gov.au/school/principals/spag/safety/Pages/sexualassault.aspx</w:t>
      </w:r>
      <w:r w:rsidR="00856D53">
        <w:rPr>
          <w:lang w:eastAsia="en-AU"/>
        </w:rPr>
        <w:t>&gt;</w:t>
      </w:r>
      <w:r w:rsidR="00856D53" w:rsidRPr="00E43EA9">
        <w:rPr>
          <w:lang w:eastAsia="en-AU"/>
        </w:rPr>
        <w:t xml:space="preserve"> </w:t>
      </w:r>
      <w:r w:rsidR="00856D53" w:rsidRPr="00276391">
        <w:rPr>
          <w:lang w:eastAsia="en-AU"/>
        </w:rPr>
        <w:t xml:space="preserve">(external link, opens in a new window) </w:t>
      </w:r>
    </w:p>
    <w:p w14:paraId="710EADC6" w14:textId="77777777" w:rsidR="00856D53" w:rsidRPr="00276391" w:rsidRDefault="0016341D" w:rsidP="00856D53">
      <w:pPr>
        <w:pStyle w:val="DHHSbody"/>
        <w:rPr>
          <w:lang w:eastAsia="en-AU"/>
        </w:rPr>
      </w:pPr>
      <w:hyperlink r:id="rId336" w:tgtFrame="_blank" w:history="1">
        <w:r w:rsidR="00856D53" w:rsidRPr="00986D1E">
          <w:rPr>
            <w:rStyle w:val="Hyperlink"/>
          </w:rPr>
          <w:t>Child sexual abuse: Understanding and responding for Students, Teachers, Workers</w:t>
        </w:r>
      </w:hyperlink>
      <w:r w:rsidR="00856D53" w:rsidRPr="00276391">
        <w:rPr>
          <w:lang w:eastAsia="en-AU"/>
        </w:rPr>
        <w:t xml:space="preserve"> </w:t>
      </w:r>
      <w:r w:rsidR="00856D53">
        <w:rPr>
          <w:lang w:eastAsia="en-AU"/>
        </w:rPr>
        <w:t>&lt;</w:t>
      </w:r>
      <w:r w:rsidR="00856D53" w:rsidRPr="00E43EA9">
        <w:rPr>
          <w:lang w:eastAsia="en-AU"/>
        </w:rPr>
        <w:t>http://www.secasa.com.au/pages/child-sexual-abuse-understanding-and-responding/</w:t>
      </w:r>
      <w:r w:rsidR="00856D53">
        <w:rPr>
          <w:lang w:eastAsia="en-AU"/>
        </w:rPr>
        <w:t>&gt;</w:t>
      </w:r>
      <w:r w:rsidR="00856D53" w:rsidRPr="00E43EA9">
        <w:rPr>
          <w:lang w:eastAsia="en-AU"/>
        </w:rPr>
        <w:t xml:space="preserve"> </w:t>
      </w:r>
      <w:r w:rsidR="00856D53" w:rsidRPr="00276391">
        <w:rPr>
          <w:lang w:eastAsia="en-AU"/>
        </w:rPr>
        <w:t xml:space="preserve">(external link, opens in a new window) </w:t>
      </w:r>
    </w:p>
    <w:p w14:paraId="5B2D6716" w14:textId="77777777" w:rsidR="00856D53" w:rsidRPr="00276391" w:rsidRDefault="00856D53" w:rsidP="00856D53">
      <w:pPr>
        <w:pStyle w:val="Heading4"/>
        <w:rPr>
          <w:lang w:eastAsia="en-AU"/>
        </w:rPr>
      </w:pPr>
      <w:r w:rsidRPr="00276391">
        <w:rPr>
          <w:lang w:eastAsia="en-AU"/>
        </w:rPr>
        <w:t>Child Safe Standards</w:t>
      </w:r>
    </w:p>
    <w:p w14:paraId="77D88EE1" w14:textId="77777777" w:rsidR="00856D53" w:rsidRPr="00276391" w:rsidRDefault="00856D53" w:rsidP="00856D53">
      <w:pPr>
        <w:pStyle w:val="DHHSbody"/>
        <w:rPr>
          <w:lang w:eastAsia="en-AU"/>
        </w:rPr>
      </w:pPr>
      <w:r w:rsidRPr="00B24C02">
        <w:rPr>
          <w:rFonts w:cs="Arial"/>
          <w:color w:val="000000"/>
          <w:szCs w:val="19"/>
          <w:lang w:eastAsia="en-AU"/>
        </w:rPr>
        <w:t>The Child Safe Standards are compulsory minimum standards for all funded organisations, licensed and approved early childhood services and Victorian schools. The Child Safe Standards require organisations to take steps to create a culture of child safety and protect children from all forms of abuse and neglect.</w:t>
      </w:r>
    </w:p>
    <w:p w14:paraId="49EE506A" w14:textId="77777777" w:rsidR="00856D53" w:rsidRPr="00276391" w:rsidRDefault="00856D53" w:rsidP="00856D53">
      <w:pPr>
        <w:pStyle w:val="DHHSbody"/>
        <w:rPr>
          <w:lang w:eastAsia="en-AU"/>
        </w:rPr>
      </w:pPr>
      <w:r w:rsidRPr="00276391">
        <w:rPr>
          <w:lang w:eastAsia="en-AU"/>
        </w:rPr>
        <w:lastRenderedPageBreak/>
        <w:t>The Child Safe Standards formally commenced on 1 January 2016 and there is an initial focus on capacity building and support for organisations.</w:t>
      </w:r>
    </w:p>
    <w:p w14:paraId="568FC3F4" w14:textId="77777777" w:rsidR="00856D53" w:rsidRPr="00276391" w:rsidRDefault="00856D53" w:rsidP="00856D53">
      <w:pPr>
        <w:pStyle w:val="DHHSbody"/>
        <w:rPr>
          <w:lang w:eastAsia="en-AU"/>
        </w:rPr>
      </w:pPr>
      <w:r w:rsidRPr="00276391">
        <w:rPr>
          <w:lang w:eastAsia="en-AU"/>
        </w:rPr>
        <w:t>Further information for early childhood services operating under the National Quality Framework or Children's Services Act 1996 is available on the Child Safe Standards regulatory page or by</w:t>
      </w:r>
      <w:r w:rsidRPr="00276391">
        <w:rPr>
          <w:lang w:eastAsia="en-AU"/>
        </w:rPr>
        <w:br/>
        <w:t>Phone: 1300 307 415.</w:t>
      </w:r>
      <w:r w:rsidRPr="00276391">
        <w:rPr>
          <w:lang w:eastAsia="en-AU"/>
        </w:rPr>
        <w:br/>
        <w:t xml:space="preserve">Email: </w:t>
      </w:r>
      <w:hyperlink r:id="rId337" w:history="1">
        <w:r w:rsidRPr="00986D1E">
          <w:rPr>
            <w:rStyle w:val="Hyperlink"/>
          </w:rPr>
          <w:t>licensed.childrens.services@edumail.vic.gov.au</w:t>
        </w:r>
      </w:hyperlink>
    </w:p>
    <w:p w14:paraId="645D527D" w14:textId="77777777" w:rsidR="00856D53" w:rsidRPr="00276391" w:rsidRDefault="00856D53" w:rsidP="00856D53">
      <w:pPr>
        <w:pStyle w:val="DHHSbody"/>
        <w:rPr>
          <w:lang w:eastAsia="en-AU"/>
        </w:rPr>
      </w:pPr>
      <w:r w:rsidRPr="00276391">
        <w:rPr>
          <w:lang w:eastAsia="en-AU"/>
        </w:rPr>
        <w:t>Other organisations providing services for children can contact the Department of Health and Human Services for further information:</w:t>
      </w:r>
      <w:r w:rsidRPr="00276391">
        <w:rPr>
          <w:lang w:eastAsia="en-AU"/>
        </w:rPr>
        <w:br/>
        <w:t>Phone: (03) 9096 0000.</w:t>
      </w:r>
      <w:r w:rsidRPr="00276391">
        <w:rPr>
          <w:lang w:eastAsia="en-AU"/>
        </w:rPr>
        <w:br/>
        <w:t xml:space="preserve">Email: </w:t>
      </w:r>
      <w:hyperlink r:id="rId338" w:history="1">
        <w:r w:rsidRPr="00986D1E">
          <w:rPr>
            <w:rStyle w:val="Hyperlink"/>
          </w:rPr>
          <w:t>childsafestandards@dhhs.vic.gov.au</w:t>
        </w:r>
      </w:hyperlink>
    </w:p>
    <w:p w14:paraId="6B325FFF" w14:textId="77777777" w:rsidR="00856D53" w:rsidRPr="00276391" w:rsidRDefault="00856D53" w:rsidP="00856D53">
      <w:pPr>
        <w:pStyle w:val="Heading4"/>
        <w:rPr>
          <w:lang w:eastAsia="en-AU"/>
        </w:rPr>
      </w:pPr>
      <w:r w:rsidRPr="00276391">
        <w:rPr>
          <w:lang w:eastAsia="en-AU"/>
        </w:rPr>
        <w:t>Resources</w:t>
      </w:r>
    </w:p>
    <w:p w14:paraId="0699AAA2" w14:textId="30D64A17" w:rsidR="00856D53" w:rsidRDefault="0016341D" w:rsidP="00856D53">
      <w:pPr>
        <w:pStyle w:val="DHHSbody"/>
        <w:rPr>
          <w:rFonts w:cs="Arial"/>
          <w:color w:val="000000"/>
          <w:szCs w:val="19"/>
          <w:lang w:eastAsia="en-AU"/>
        </w:rPr>
      </w:pPr>
      <w:hyperlink r:id="rId339" w:history="1">
        <w:r w:rsidR="00856D53" w:rsidRPr="0095140F">
          <w:rPr>
            <w:rStyle w:val="Hyperlink"/>
            <w:rFonts w:cs="Arial"/>
            <w:szCs w:val="19"/>
            <w:lang w:eastAsia="en-AU"/>
          </w:rPr>
          <w:t>Child Safe Standards</w:t>
        </w:r>
      </w:hyperlink>
      <w:r w:rsidR="00856D53" w:rsidRPr="00B24C02">
        <w:rPr>
          <w:rFonts w:cs="Arial"/>
          <w:color w:val="000000"/>
          <w:szCs w:val="19"/>
          <w:lang w:eastAsia="en-AU"/>
        </w:rPr>
        <w:t xml:space="preserve"> </w:t>
      </w:r>
      <w:r w:rsidR="006250C7">
        <w:rPr>
          <w:rFonts w:cs="Arial"/>
          <w:color w:val="000000"/>
          <w:szCs w:val="19"/>
          <w:lang w:eastAsia="en-AU"/>
        </w:rPr>
        <w:t>&lt;</w:t>
      </w:r>
      <w:r w:rsidR="00856D53" w:rsidRPr="001463DC">
        <w:rPr>
          <w:rFonts w:cs="Arial"/>
          <w:color w:val="000000"/>
          <w:szCs w:val="19"/>
          <w:lang w:eastAsia="en-AU"/>
        </w:rPr>
        <w:t>https://dhhs.vic.gov.au/publications/child-safe-standards</w:t>
      </w:r>
      <w:r w:rsidR="00856D53" w:rsidRPr="00CD2C9E">
        <w:rPr>
          <w:rFonts w:cs="Arial"/>
          <w:color w:val="000000"/>
          <w:szCs w:val="19"/>
          <w:lang w:eastAsia="en-AU"/>
        </w:rPr>
        <w:t>&gt;</w:t>
      </w:r>
      <w:r w:rsidR="00856D53" w:rsidRPr="00B24C02">
        <w:rPr>
          <w:rFonts w:cs="Arial"/>
          <w:color w:val="000000"/>
          <w:szCs w:val="19"/>
          <w:lang w:eastAsia="en-AU"/>
        </w:rPr>
        <w:t xml:space="preserve"> (external link, opens in a new window)</w:t>
      </w:r>
    </w:p>
    <w:p w14:paraId="5033B908" w14:textId="77777777" w:rsidR="00856D53" w:rsidRPr="00276391" w:rsidRDefault="00856D53" w:rsidP="00856D53">
      <w:pPr>
        <w:pStyle w:val="DHHSbody"/>
        <w:rPr>
          <w:lang w:eastAsia="en-AU"/>
        </w:rPr>
      </w:pPr>
      <w:r w:rsidRPr="00B24C02">
        <w:rPr>
          <w:rFonts w:cs="Arial"/>
          <w:color w:val="000000"/>
          <w:szCs w:val="19"/>
          <w:lang w:eastAsia="en-AU"/>
        </w:rPr>
        <w:t xml:space="preserve">The Child Safe Standards </w:t>
      </w:r>
      <w:r>
        <w:rPr>
          <w:rFonts w:cs="Arial"/>
          <w:color w:val="000000"/>
          <w:szCs w:val="19"/>
          <w:lang w:eastAsia="en-AU"/>
        </w:rPr>
        <w:t>&lt;</w:t>
      </w:r>
      <w:r w:rsidRPr="00CD2C9E">
        <w:rPr>
          <w:rFonts w:cs="Arial"/>
          <w:color w:val="000000"/>
          <w:szCs w:val="19"/>
          <w:lang w:eastAsia="en-AU"/>
        </w:rPr>
        <w:t>http://www.education.vic.gov.au/about/programs/health/Pages/childsafe.aspx&gt;</w:t>
      </w:r>
      <w:r w:rsidRPr="00B24C02">
        <w:rPr>
          <w:rFonts w:cs="Arial"/>
          <w:color w:val="000000"/>
          <w:szCs w:val="19"/>
          <w:lang w:eastAsia="en-AU"/>
        </w:rPr>
        <w:t xml:space="preserve"> (external link, opens in a new window)</w:t>
      </w:r>
    </w:p>
    <w:p w14:paraId="6B1CC4ED" w14:textId="77777777" w:rsidR="00856D53" w:rsidRPr="00276391" w:rsidRDefault="00856D53" w:rsidP="00856D53">
      <w:pPr>
        <w:pStyle w:val="Heading4"/>
        <w:rPr>
          <w:lang w:eastAsia="en-AU"/>
        </w:rPr>
      </w:pPr>
      <w:r w:rsidRPr="00276391">
        <w:rPr>
          <w:lang w:eastAsia="en-AU"/>
        </w:rPr>
        <w:t>For further information</w:t>
      </w:r>
    </w:p>
    <w:p w14:paraId="49BBA5F1" w14:textId="77777777" w:rsidR="00856D53" w:rsidRPr="00276391" w:rsidRDefault="00856D53" w:rsidP="00856D53">
      <w:pPr>
        <w:pStyle w:val="DHHSbody"/>
        <w:rPr>
          <w:lang w:eastAsia="en-AU"/>
        </w:rPr>
      </w:pPr>
      <w:r w:rsidRPr="00B24C02">
        <w:rPr>
          <w:rFonts w:cs="Arial"/>
          <w:color w:val="000000"/>
          <w:szCs w:val="19"/>
          <w:lang w:eastAsia="en-AU"/>
        </w:rPr>
        <w:t>Manager, Student Incident and Recovery Unit, Emergency Management Division, Regional Services Group</w:t>
      </w:r>
      <w:r w:rsidRPr="00B24C02">
        <w:rPr>
          <w:rFonts w:cs="Arial"/>
          <w:color w:val="000000"/>
          <w:szCs w:val="19"/>
          <w:lang w:eastAsia="en-AU"/>
        </w:rPr>
        <w:br/>
        <w:t>Telephone: (03) 9637 2934</w:t>
      </w:r>
      <w:r w:rsidRPr="00B24C02">
        <w:rPr>
          <w:rFonts w:cs="Arial"/>
          <w:color w:val="000000"/>
          <w:szCs w:val="19"/>
          <w:lang w:eastAsia="en-AU"/>
        </w:rPr>
        <w:br/>
        <w:t xml:space="preserve">Email: </w:t>
      </w:r>
      <w:hyperlink r:id="rId340" w:history="1">
        <w:r w:rsidRPr="00986D1E">
          <w:rPr>
            <w:rStyle w:val="Hyperlink"/>
          </w:rPr>
          <w:t>siru@edumail.vic.gov.au</w:t>
        </w:r>
      </w:hyperlink>
    </w:p>
    <w:p w14:paraId="3ED9F354" w14:textId="57418242" w:rsidR="00856D53" w:rsidRPr="00276391" w:rsidRDefault="00B30C4B" w:rsidP="00856D53">
      <w:pPr>
        <w:pStyle w:val="Heading2"/>
        <w:rPr>
          <w:rFonts w:cs="Arial"/>
          <w:lang w:eastAsia="en-AU"/>
        </w:rPr>
      </w:pPr>
      <w:bookmarkStart w:id="925" w:name="_Toc4142151"/>
      <w:r>
        <w:rPr>
          <w:rFonts w:cs="Arial"/>
          <w:lang w:eastAsia="en-AU"/>
        </w:rPr>
        <w:t>5.4</w:t>
      </w:r>
      <w:r w:rsidR="006250C7">
        <w:rPr>
          <w:rFonts w:cs="Arial"/>
          <w:lang w:eastAsia="en-AU"/>
        </w:rPr>
        <w:t xml:space="preserve"> </w:t>
      </w:r>
      <w:r>
        <w:rPr>
          <w:rFonts w:cs="Arial"/>
          <w:lang w:eastAsia="en-AU"/>
        </w:rPr>
        <w:t>C</w:t>
      </w:r>
      <w:r w:rsidR="00856D53" w:rsidRPr="00276391">
        <w:rPr>
          <w:rFonts w:cs="Arial"/>
          <w:lang w:eastAsia="en-AU"/>
        </w:rPr>
        <w:t>ompliment and complaint management</w:t>
      </w:r>
      <w:bookmarkEnd w:id="925"/>
    </w:p>
    <w:p w14:paraId="0A953595" w14:textId="29B8E0AF" w:rsidR="00856D53" w:rsidRPr="00276391" w:rsidRDefault="007A46F5" w:rsidP="00856D53">
      <w:pPr>
        <w:pStyle w:val="DHHSbody"/>
        <w:rPr>
          <w:lang w:eastAsia="en-AU"/>
        </w:rPr>
      </w:pPr>
      <w:r>
        <w:rPr>
          <w:rFonts w:cs="Arial"/>
          <w:color w:val="000000"/>
          <w:szCs w:val="19"/>
          <w:lang w:eastAsia="en-AU"/>
        </w:rPr>
        <w:t>The department</w:t>
      </w:r>
      <w:r w:rsidR="00856D53" w:rsidRPr="00B24C02">
        <w:rPr>
          <w:rFonts w:cs="Arial"/>
          <w:color w:val="000000"/>
          <w:szCs w:val="19"/>
          <w:lang w:eastAsia="en-AU"/>
        </w:rPr>
        <w:t xml:space="preserve"> is committed to listening to and responding to compliments and complaints. This important feedback informs the development and delivery of policies, programs and services that support and enhance the educational opportunities provided to Victorians.</w:t>
      </w:r>
    </w:p>
    <w:p w14:paraId="19355738" w14:textId="069440F1" w:rsidR="00856D53" w:rsidRPr="00276391" w:rsidRDefault="007A46F5" w:rsidP="00856D53">
      <w:pPr>
        <w:pStyle w:val="DHHSbody"/>
        <w:rPr>
          <w:lang w:eastAsia="en-AU"/>
        </w:rPr>
      </w:pPr>
      <w:r>
        <w:rPr>
          <w:lang w:eastAsia="en-AU"/>
        </w:rPr>
        <w:t>The department</w:t>
      </w:r>
      <w:r w:rsidR="00856D53" w:rsidRPr="00276391">
        <w:rPr>
          <w:lang w:eastAsia="en-AU"/>
        </w:rPr>
        <w:t xml:space="preserve"> aims to ensure funded services are effective and responsive to the needs of children and families, and therefore it encourages transparent feedback processes.</w:t>
      </w:r>
    </w:p>
    <w:p w14:paraId="2E5FBAC3" w14:textId="77777777" w:rsidR="00856D53" w:rsidRPr="00276391" w:rsidRDefault="00856D53" w:rsidP="00856D53">
      <w:pPr>
        <w:pStyle w:val="Heading4"/>
        <w:rPr>
          <w:lang w:eastAsia="en-AU"/>
        </w:rPr>
      </w:pPr>
      <w:r w:rsidRPr="00276391">
        <w:rPr>
          <w:lang w:eastAsia="en-AU"/>
        </w:rPr>
        <w:t>Guiding principles</w:t>
      </w:r>
    </w:p>
    <w:p w14:paraId="298CA641" w14:textId="2FBDD639" w:rsidR="00856D53" w:rsidRPr="00276391" w:rsidRDefault="00856D53" w:rsidP="00856D53">
      <w:pPr>
        <w:pStyle w:val="DHHSbody"/>
        <w:rPr>
          <w:lang w:eastAsia="en-AU"/>
        </w:rPr>
      </w:pPr>
      <w:r w:rsidRPr="00B24C02">
        <w:rPr>
          <w:rFonts w:cs="Arial"/>
          <w:color w:val="000000"/>
          <w:szCs w:val="19"/>
          <w:lang w:eastAsia="en-AU"/>
        </w:rPr>
        <w:t xml:space="preserve">The </w:t>
      </w:r>
      <w:r w:rsidR="007A46F5">
        <w:rPr>
          <w:rFonts w:cs="Arial"/>
          <w:color w:val="000000"/>
          <w:szCs w:val="19"/>
          <w:lang w:eastAsia="en-AU"/>
        </w:rPr>
        <w:t>department’s</w:t>
      </w:r>
      <w:r w:rsidRPr="00B24C02">
        <w:rPr>
          <w:rFonts w:cs="Arial"/>
          <w:color w:val="000000"/>
          <w:szCs w:val="19"/>
          <w:lang w:eastAsia="en-AU"/>
        </w:rPr>
        <w:t xml:space="preserve"> </w:t>
      </w:r>
      <w:hyperlink r:id="rId341" w:anchor="charter" w:tgtFrame="_blank" w:history="1">
        <w:r w:rsidRPr="00986D1E">
          <w:rPr>
            <w:rStyle w:val="Hyperlink"/>
          </w:rPr>
          <w:t>Complaints Charter</w:t>
        </w:r>
      </w:hyperlink>
      <w:r w:rsidRPr="00B24C02">
        <w:rPr>
          <w:rFonts w:cs="Arial"/>
          <w:color w:val="000000"/>
          <w:szCs w:val="19"/>
          <w:lang w:eastAsia="en-AU"/>
        </w:rPr>
        <w:t xml:space="preserve"> </w:t>
      </w:r>
      <w:r>
        <w:rPr>
          <w:rFonts w:cs="Arial"/>
          <w:color w:val="000000"/>
          <w:szCs w:val="19"/>
          <w:lang w:eastAsia="en-AU"/>
        </w:rPr>
        <w:t>&lt;</w:t>
      </w:r>
      <w:r w:rsidRPr="00037131">
        <w:rPr>
          <w:rFonts w:cs="Arial"/>
          <w:color w:val="000000"/>
          <w:szCs w:val="19"/>
          <w:lang w:eastAsia="en-AU"/>
        </w:rPr>
        <w:t>http://www.education.vic.gov.au/about/contact/Pages/complaintslanding.aspx#charter</w:t>
      </w:r>
      <w:r>
        <w:rPr>
          <w:rFonts w:cs="Arial"/>
          <w:color w:val="000000"/>
          <w:szCs w:val="19"/>
          <w:lang w:eastAsia="en-AU"/>
        </w:rPr>
        <w:t>&gt;</w:t>
      </w:r>
      <w:r w:rsidR="007A46F5">
        <w:rPr>
          <w:rFonts w:cs="Arial"/>
          <w:color w:val="000000"/>
          <w:szCs w:val="19"/>
          <w:lang w:eastAsia="en-AU"/>
        </w:rPr>
        <w:t xml:space="preserve"> </w:t>
      </w:r>
      <w:r w:rsidRPr="00B24C02">
        <w:rPr>
          <w:rFonts w:cs="Arial"/>
          <w:color w:val="000000"/>
          <w:szCs w:val="19"/>
          <w:lang w:eastAsia="en-AU"/>
        </w:rPr>
        <w:t>(external links, opens in a new window) sets out guiding principles that should be followed by funded organisations when responding to complaints. It includes a requirement to act respectfully, impartially, to maintain confidentiality and to keep the complainant informed of the progress of inquiries, among other things.</w:t>
      </w:r>
    </w:p>
    <w:p w14:paraId="13D2D62C" w14:textId="77777777" w:rsidR="00856D53" w:rsidRPr="00276391" w:rsidRDefault="00856D53" w:rsidP="00856D53">
      <w:pPr>
        <w:pStyle w:val="Heading4"/>
        <w:rPr>
          <w:lang w:eastAsia="en-AU"/>
        </w:rPr>
      </w:pPr>
      <w:r w:rsidRPr="00276391">
        <w:rPr>
          <w:lang w:eastAsia="en-AU"/>
        </w:rPr>
        <w:t>Complaints about approved child care and licenced children’s services</w:t>
      </w:r>
    </w:p>
    <w:p w14:paraId="1A6EFF33" w14:textId="77777777" w:rsidR="00856D53" w:rsidRPr="00276391" w:rsidRDefault="00856D53" w:rsidP="00856D53">
      <w:pPr>
        <w:pStyle w:val="DHHSbody"/>
        <w:rPr>
          <w:lang w:eastAsia="en-AU"/>
        </w:rPr>
      </w:pPr>
      <w:r w:rsidRPr="00B24C02">
        <w:rPr>
          <w:rFonts w:cs="Arial"/>
          <w:color w:val="000000"/>
          <w:szCs w:val="19"/>
          <w:lang w:eastAsia="en-AU"/>
        </w:rPr>
        <w:t>The Quality Assessment and Regulation Division (QARD) is responsible for ensuring that approved providers safeguard the safety, health and wellbeing of children in kindergarten, long day care, family day care and outside school hours care.</w:t>
      </w:r>
    </w:p>
    <w:p w14:paraId="2F40F742" w14:textId="77777777" w:rsidR="00856D53" w:rsidRPr="00276391" w:rsidRDefault="00856D53" w:rsidP="00856D53">
      <w:pPr>
        <w:pStyle w:val="DHHSbody"/>
        <w:rPr>
          <w:lang w:eastAsia="en-AU"/>
        </w:rPr>
      </w:pPr>
      <w:r w:rsidRPr="00276391">
        <w:rPr>
          <w:lang w:eastAsia="en-AU"/>
        </w:rPr>
        <w:t>QARD also regulates other services which continue to operate under the Children’s Services Act 1996, mostly offering occasional care.</w:t>
      </w:r>
    </w:p>
    <w:p w14:paraId="6A5A6D80" w14:textId="77777777" w:rsidR="00856D53" w:rsidRPr="00276391" w:rsidRDefault="00856D53" w:rsidP="00856D53">
      <w:pPr>
        <w:pStyle w:val="Heading4"/>
        <w:rPr>
          <w:lang w:eastAsia="en-AU"/>
        </w:rPr>
      </w:pPr>
      <w:r w:rsidRPr="00276391">
        <w:rPr>
          <w:lang w:eastAsia="en-AU"/>
        </w:rPr>
        <w:lastRenderedPageBreak/>
        <w:t>Resources</w:t>
      </w:r>
    </w:p>
    <w:p w14:paraId="2A27AF21" w14:textId="77777777" w:rsidR="00856D53" w:rsidRPr="00276391" w:rsidRDefault="0016341D" w:rsidP="00856D53">
      <w:pPr>
        <w:pStyle w:val="DHHSbody"/>
        <w:rPr>
          <w:lang w:eastAsia="en-AU"/>
        </w:rPr>
      </w:pPr>
      <w:hyperlink r:id="rId342" w:tgtFrame="_blank" w:history="1">
        <w:r w:rsidR="00856D53" w:rsidRPr="00986D1E">
          <w:rPr>
            <w:rStyle w:val="Hyperlink"/>
          </w:rPr>
          <w:t>Parent Complaints - Child Care or Children's Services</w:t>
        </w:r>
      </w:hyperlink>
      <w:r w:rsidR="00856D53" w:rsidRPr="00B24C02">
        <w:rPr>
          <w:rFonts w:cs="Arial"/>
          <w:color w:val="000000"/>
          <w:szCs w:val="19"/>
          <w:lang w:eastAsia="en-AU"/>
        </w:rPr>
        <w:t xml:space="preserve"> </w:t>
      </w:r>
      <w:r w:rsidR="00856D53">
        <w:rPr>
          <w:rFonts w:cs="Arial"/>
          <w:color w:val="000000"/>
          <w:szCs w:val="19"/>
          <w:lang w:eastAsia="en-AU"/>
        </w:rPr>
        <w:t>&lt;</w:t>
      </w:r>
      <w:r w:rsidR="00856D53" w:rsidRPr="00DA1383">
        <w:rPr>
          <w:rFonts w:cs="Arial"/>
          <w:color w:val="000000"/>
          <w:szCs w:val="19"/>
          <w:lang w:eastAsia="en-AU"/>
        </w:rPr>
        <w:t>http://www.education.vic.gov.au/about/contact/Pages/complainec.aspx</w:t>
      </w:r>
      <w:r w:rsidR="00856D53">
        <w:rPr>
          <w:rFonts w:cs="Arial"/>
          <w:color w:val="000000"/>
          <w:szCs w:val="19"/>
          <w:lang w:eastAsia="en-AU"/>
        </w:rPr>
        <w:t>&gt;</w:t>
      </w:r>
      <w:r w:rsidR="00856D53" w:rsidRPr="00DA1383">
        <w:rPr>
          <w:rFonts w:cs="Arial"/>
          <w:color w:val="000000"/>
          <w:szCs w:val="19"/>
          <w:lang w:eastAsia="en-AU"/>
        </w:rPr>
        <w:t xml:space="preserve"> </w:t>
      </w:r>
      <w:r w:rsidR="00856D53" w:rsidRPr="00B24C02">
        <w:rPr>
          <w:rFonts w:cs="Arial"/>
          <w:color w:val="000000"/>
          <w:szCs w:val="19"/>
          <w:lang w:eastAsia="en-AU"/>
        </w:rPr>
        <w:t xml:space="preserve">(external link, opens in a new window) </w:t>
      </w:r>
    </w:p>
    <w:p w14:paraId="4F76407B" w14:textId="77777777" w:rsidR="00856D53" w:rsidRPr="00276391" w:rsidRDefault="0016341D" w:rsidP="00856D53">
      <w:pPr>
        <w:pStyle w:val="DHHSbody"/>
        <w:rPr>
          <w:lang w:eastAsia="en-AU"/>
        </w:rPr>
      </w:pPr>
      <w:hyperlink r:id="rId343" w:tgtFrame="_blank" w:history="1">
        <w:r w:rsidR="00856D53" w:rsidRPr="00986D1E">
          <w:rPr>
            <w:rStyle w:val="Hyperlink"/>
          </w:rPr>
          <w:t>Complaints about the Quality Assessment and Regulation Division</w:t>
        </w:r>
      </w:hyperlink>
      <w:r w:rsidR="00856D53" w:rsidRPr="00276391">
        <w:rPr>
          <w:lang w:eastAsia="en-AU"/>
        </w:rPr>
        <w:t xml:space="preserve">​ </w:t>
      </w:r>
      <w:r w:rsidR="00856D53">
        <w:rPr>
          <w:lang w:eastAsia="en-AU"/>
        </w:rPr>
        <w:t>&lt;</w:t>
      </w:r>
      <w:r w:rsidR="00856D53" w:rsidRPr="00DA1383">
        <w:rPr>
          <w:lang w:eastAsia="en-AU"/>
        </w:rPr>
        <w:t>http://www.education.vic.gov.au/childhood/providers/regulation/Pages/complaints.aspx</w:t>
      </w:r>
      <w:r w:rsidR="00856D53">
        <w:rPr>
          <w:lang w:eastAsia="en-AU"/>
        </w:rPr>
        <w:t>&gt;</w:t>
      </w:r>
      <w:r w:rsidR="00856D53" w:rsidRPr="00DA1383">
        <w:rPr>
          <w:lang w:eastAsia="en-AU"/>
        </w:rPr>
        <w:t xml:space="preserve"> </w:t>
      </w:r>
      <w:r w:rsidR="00856D53" w:rsidRPr="00276391">
        <w:rPr>
          <w:lang w:eastAsia="en-AU"/>
        </w:rPr>
        <w:t>(external link, opens in a new window</w:t>
      </w:r>
      <w:r w:rsidR="00856D53">
        <w:rPr>
          <w:lang w:eastAsia="en-AU"/>
        </w:rPr>
        <w:t>) (</w:t>
      </w:r>
      <w:r w:rsidR="00856D53" w:rsidRPr="00276391">
        <w:rPr>
          <w:lang w:eastAsia="en-AU"/>
        </w:rPr>
        <w:t xml:space="preserve">Department Regulation Staff) </w:t>
      </w:r>
    </w:p>
    <w:p w14:paraId="06949111" w14:textId="77777777" w:rsidR="00856D53" w:rsidRPr="00276391" w:rsidRDefault="0016341D" w:rsidP="00856D53">
      <w:pPr>
        <w:pStyle w:val="DHHSbody"/>
        <w:rPr>
          <w:lang w:eastAsia="en-AU"/>
        </w:rPr>
      </w:pPr>
      <w:hyperlink r:id="rId344" w:tgtFrame="_blank" w:history="1">
        <w:r w:rsidR="00856D53" w:rsidRPr="00986D1E">
          <w:rPr>
            <w:rStyle w:val="Hyperlink"/>
          </w:rPr>
          <w:t>Concerns about your Child Care</w:t>
        </w:r>
      </w:hyperlink>
      <w:r w:rsidR="00856D53" w:rsidRPr="00276391">
        <w:rPr>
          <w:lang w:eastAsia="en-AU"/>
        </w:rPr>
        <w:t xml:space="preserve"> </w:t>
      </w:r>
      <w:r w:rsidR="00856D53">
        <w:rPr>
          <w:lang w:eastAsia="en-AU"/>
        </w:rPr>
        <w:t>&lt;</w:t>
      </w:r>
      <w:r w:rsidR="00856D53" w:rsidRPr="00DA1383">
        <w:rPr>
          <w:lang w:eastAsia="en-AU"/>
        </w:rPr>
        <w:t>http://www.education.vic.gov.au/childhood/parents/childcare/Pages/concerns.aspx</w:t>
      </w:r>
      <w:r w:rsidR="00856D53">
        <w:rPr>
          <w:lang w:eastAsia="en-AU"/>
        </w:rPr>
        <w:t>&gt;</w:t>
      </w:r>
      <w:r w:rsidR="00856D53" w:rsidRPr="00DA1383">
        <w:rPr>
          <w:lang w:eastAsia="en-AU"/>
        </w:rPr>
        <w:t xml:space="preserve"> </w:t>
      </w:r>
      <w:r w:rsidR="00856D53" w:rsidRPr="00276391">
        <w:rPr>
          <w:lang w:eastAsia="en-AU"/>
        </w:rPr>
        <w:t xml:space="preserve">(external link, opens in a new window) </w:t>
      </w:r>
    </w:p>
    <w:p w14:paraId="0C8DFF9D" w14:textId="77777777" w:rsidR="00856D53" w:rsidRPr="00276391" w:rsidRDefault="00856D53" w:rsidP="00856D53">
      <w:pPr>
        <w:pStyle w:val="Heading4"/>
        <w:rPr>
          <w:lang w:eastAsia="en-AU"/>
        </w:rPr>
      </w:pPr>
      <w:r w:rsidRPr="00276391">
        <w:rPr>
          <w:lang w:eastAsia="en-AU"/>
        </w:rPr>
        <w:t>Contact details</w:t>
      </w:r>
    </w:p>
    <w:p w14:paraId="3E93D39F" w14:textId="77777777" w:rsidR="00856D53" w:rsidRPr="00276391" w:rsidRDefault="00856D53" w:rsidP="00856D53">
      <w:pPr>
        <w:pStyle w:val="DHHSbody"/>
        <w:rPr>
          <w:lang w:eastAsia="en-AU"/>
        </w:rPr>
      </w:pPr>
      <w:r w:rsidRPr="00B24C02">
        <w:rPr>
          <w:rFonts w:cs="Arial"/>
          <w:color w:val="000000"/>
          <w:szCs w:val="19"/>
          <w:lang w:eastAsia="en-AU"/>
        </w:rPr>
        <w:t xml:space="preserve">Regions: </w:t>
      </w:r>
      <w:hyperlink r:id="rId345" w:history="1">
        <w:r w:rsidRPr="003545CA">
          <w:rPr>
            <w:rStyle w:val="Hyperlink"/>
          </w:rPr>
          <w:t>Regulation</w:t>
        </w:r>
        <w:r w:rsidRPr="003545CA">
          <w:rPr>
            <w:rStyle w:val="Hyperlink"/>
            <w:rFonts w:cs="Arial"/>
            <w:szCs w:val="19"/>
            <w:lang w:eastAsia="en-AU"/>
          </w:rPr>
          <w:t xml:space="preserve"> </w:t>
        </w:r>
        <w:r w:rsidRPr="003545CA">
          <w:rPr>
            <w:rStyle w:val="Hyperlink"/>
          </w:rPr>
          <w:t>and Quality Assessment</w:t>
        </w:r>
      </w:hyperlink>
      <w:r>
        <w:t xml:space="preserve"> </w:t>
      </w:r>
      <w:r>
        <w:rPr>
          <w:rFonts w:cs="Arial"/>
          <w:color w:val="000000"/>
          <w:szCs w:val="19"/>
          <w:lang w:eastAsia="en-AU"/>
        </w:rPr>
        <w:t>&lt;</w:t>
      </w:r>
      <w:r w:rsidRPr="000A1029">
        <w:rPr>
          <w:rFonts w:cs="Arial"/>
          <w:color w:val="000000"/>
          <w:szCs w:val="19"/>
          <w:lang w:eastAsia="en-AU"/>
        </w:rPr>
        <w:t>http://www.education.vic.gov.au/childhood/providers/regulation/Pages/default.aspx</w:t>
      </w:r>
      <w:r>
        <w:rPr>
          <w:rFonts w:cs="Arial"/>
          <w:color w:val="000000"/>
          <w:szCs w:val="19"/>
          <w:lang w:eastAsia="en-AU"/>
        </w:rPr>
        <w:t>&gt;</w:t>
      </w:r>
      <w:r w:rsidRPr="000A1029">
        <w:rPr>
          <w:rFonts w:cs="Arial"/>
          <w:color w:val="000000"/>
          <w:szCs w:val="19"/>
          <w:lang w:eastAsia="en-AU"/>
        </w:rPr>
        <w:t xml:space="preserve"> </w:t>
      </w:r>
      <w:r w:rsidRPr="00B24C02">
        <w:rPr>
          <w:rFonts w:cs="Arial"/>
          <w:color w:val="000000"/>
          <w:szCs w:val="19"/>
          <w:lang w:eastAsia="en-AU"/>
        </w:rPr>
        <w:t>(Word 765 KB, opens in a new window)</w:t>
      </w:r>
      <w:r w:rsidRPr="00B24C02">
        <w:rPr>
          <w:rFonts w:cs="Arial"/>
          <w:color w:val="000000"/>
          <w:szCs w:val="19"/>
          <w:lang w:eastAsia="en-AU"/>
        </w:rPr>
        <w:br/>
        <w:t>Telephone: 1300 307 415</w:t>
      </w:r>
      <w:r w:rsidRPr="00B24C02">
        <w:rPr>
          <w:rFonts w:cs="Arial"/>
          <w:color w:val="000000"/>
          <w:szCs w:val="19"/>
          <w:lang w:eastAsia="en-AU"/>
        </w:rPr>
        <w:br/>
        <w:t xml:space="preserve">Email: </w:t>
      </w:r>
      <w:hyperlink r:id="rId346" w:history="1">
        <w:r w:rsidRPr="00986D1E">
          <w:rPr>
            <w:rStyle w:val="Hyperlink"/>
          </w:rPr>
          <w:t>licensed.childrens.services@edumail.vic.gov.au</w:t>
        </w:r>
      </w:hyperlink>
    </w:p>
    <w:p w14:paraId="482A4D55" w14:textId="77777777" w:rsidR="00856D53" w:rsidRPr="00276391" w:rsidRDefault="00856D53" w:rsidP="00856D53">
      <w:pPr>
        <w:pStyle w:val="Heading4"/>
        <w:rPr>
          <w:lang w:eastAsia="en-AU"/>
        </w:rPr>
      </w:pPr>
      <w:r w:rsidRPr="00276391">
        <w:rPr>
          <w:lang w:eastAsia="en-AU"/>
        </w:rPr>
        <w:t>Complaints about other Early Childhood Services and Programs</w:t>
      </w:r>
    </w:p>
    <w:p w14:paraId="19E5962A" w14:textId="77777777" w:rsidR="00856D53" w:rsidRPr="00276391" w:rsidRDefault="00856D53" w:rsidP="00856D53">
      <w:pPr>
        <w:pStyle w:val="DHHSbody"/>
        <w:rPr>
          <w:lang w:eastAsia="en-AU"/>
        </w:rPr>
      </w:pPr>
      <w:r w:rsidRPr="00B24C02">
        <w:rPr>
          <w:rFonts w:cs="Arial"/>
          <w:color w:val="000000"/>
          <w:szCs w:val="19"/>
          <w:lang w:eastAsia="en-AU"/>
        </w:rPr>
        <w:t xml:space="preserve">Other Early Childhood Services and Programs do not operate under the National Quality Framework or the Children’s Services Act 1996. They include the Aboriginal Early Years Services, Early Childhood Intervention Services, access and participation to funded kindergarten program and services including Access to Early Learning, Maternal and Child Health Services, Parenting Services, Best Start and the Children’s Facilities Capital Program. </w:t>
      </w:r>
    </w:p>
    <w:p w14:paraId="17BE8C65" w14:textId="77777777" w:rsidR="00856D53" w:rsidRPr="00276391" w:rsidRDefault="00856D53" w:rsidP="00856D53">
      <w:pPr>
        <w:pStyle w:val="DHHSbody"/>
        <w:rPr>
          <w:lang w:eastAsia="en-AU"/>
        </w:rPr>
      </w:pPr>
      <w:r w:rsidRPr="00276391">
        <w:rPr>
          <w:lang w:eastAsia="en-AU"/>
        </w:rPr>
        <w:t xml:space="preserve">For further information, </w:t>
      </w:r>
      <w:r>
        <w:rPr>
          <w:lang w:eastAsia="en-AU"/>
        </w:rPr>
        <w:t>see</w:t>
      </w:r>
      <w:r w:rsidRPr="00276391">
        <w:rPr>
          <w:lang w:eastAsia="en-AU"/>
        </w:rPr>
        <w:t xml:space="preserve"> </w:t>
      </w:r>
      <w:hyperlink r:id="rId347" w:tgtFrame="_blank" w:history="1">
        <w:r w:rsidRPr="00986D1E">
          <w:rPr>
            <w:rStyle w:val="Hyperlink"/>
          </w:rPr>
          <w:t>Complaints about Other Early Childhood Services and Programs</w:t>
        </w:r>
      </w:hyperlink>
      <w:r w:rsidRPr="00276391">
        <w:rPr>
          <w:lang w:eastAsia="en-AU"/>
        </w:rPr>
        <w:t xml:space="preserve"> </w:t>
      </w:r>
      <w:r>
        <w:rPr>
          <w:lang w:eastAsia="en-AU"/>
        </w:rPr>
        <w:t>&lt;</w:t>
      </w:r>
      <w:r w:rsidRPr="00A7734A">
        <w:rPr>
          <w:lang w:eastAsia="en-AU"/>
        </w:rPr>
        <w:t>http://www.education.vic.gov.au/about/contact/Pages/complainecother.aspx</w:t>
      </w:r>
      <w:r>
        <w:rPr>
          <w:lang w:eastAsia="en-AU"/>
        </w:rPr>
        <w:t>&gt;</w:t>
      </w:r>
      <w:r w:rsidRPr="00A7734A">
        <w:rPr>
          <w:lang w:eastAsia="en-AU"/>
        </w:rPr>
        <w:t xml:space="preserve"> </w:t>
      </w:r>
      <w:r w:rsidRPr="00276391">
        <w:rPr>
          <w:lang w:eastAsia="en-AU"/>
        </w:rPr>
        <w:t>(external link, opens in a new window).</w:t>
      </w:r>
    </w:p>
    <w:p w14:paraId="041CCEF2" w14:textId="77777777" w:rsidR="00856D53" w:rsidRPr="00276391" w:rsidRDefault="00856D53" w:rsidP="00856D53">
      <w:pPr>
        <w:pStyle w:val="Heading4"/>
        <w:rPr>
          <w:lang w:eastAsia="en-AU"/>
        </w:rPr>
      </w:pPr>
      <w:r w:rsidRPr="00276391">
        <w:rPr>
          <w:lang w:eastAsia="en-AU"/>
        </w:rPr>
        <w:t>Contact details:</w:t>
      </w:r>
    </w:p>
    <w:p w14:paraId="603BBBA1" w14:textId="77777777" w:rsidR="00856D53" w:rsidRPr="00276391" w:rsidRDefault="00856D53" w:rsidP="00856D53">
      <w:pPr>
        <w:pStyle w:val="DHHSbody"/>
        <w:rPr>
          <w:lang w:eastAsia="en-AU"/>
        </w:rPr>
      </w:pPr>
      <w:r w:rsidRPr="00B24C02">
        <w:rPr>
          <w:rFonts w:cs="Arial"/>
          <w:color w:val="000000"/>
          <w:szCs w:val="19"/>
          <w:lang w:eastAsia="en-AU"/>
        </w:rPr>
        <w:t xml:space="preserve">Regions: contact the Early Childhood Performance and Planning Advisers in the </w:t>
      </w:r>
      <w:hyperlink r:id="rId348" w:history="1">
        <w:r w:rsidRPr="00986D1E">
          <w:rPr>
            <w:rStyle w:val="Hyperlink"/>
          </w:rPr>
          <w:t>Regional Offices</w:t>
        </w:r>
      </w:hyperlink>
      <w:r w:rsidRPr="00B24C02">
        <w:rPr>
          <w:rFonts w:cs="Arial"/>
          <w:color w:val="000000"/>
          <w:szCs w:val="19"/>
          <w:lang w:eastAsia="en-AU"/>
        </w:rPr>
        <w:t xml:space="preserve"> </w:t>
      </w:r>
      <w:r>
        <w:rPr>
          <w:rFonts w:cs="Arial"/>
          <w:color w:val="000000"/>
          <w:szCs w:val="19"/>
          <w:lang w:eastAsia="en-AU"/>
        </w:rPr>
        <w:t>&lt;</w:t>
      </w:r>
      <w:r w:rsidRPr="00A7734A">
        <w:rPr>
          <w:rFonts w:cs="Arial"/>
          <w:color w:val="000000"/>
          <w:szCs w:val="19"/>
          <w:lang w:eastAsia="en-AU"/>
        </w:rPr>
        <w:t>http://www.education.vic.gov.au/about/contact/Pages/regions.aspx</w:t>
      </w:r>
      <w:r>
        <w:rPr>
          <w:rFonts w:cs="Arial"/>
          <w:color w:val="000000"/>
          <w:szCs w:val="19"/>
          <w:lang w:eastAsia="en-AU"/>
        </w:rPr>
        <w:t>&gt;</w:t>
      </w:r>
      <w:r w:rsidRPr="00A7734A">
        <w:rPr>
          <w:rFonts w:cs="Arial"/>
          <w:color w:val="000000"/>
          <w:szCs w:val="19"/>
          <w:lang w:eastAsia="en-AU"/>
        </w:rPr>
        <w:t xml:space="preserve"> </w:t>
      </w:r>
      <w:r w:rsidRPr="00B24C02">
        <w:rPr>
          <w:rFonts w:cs="Arial"/>
          <w:color w:val="000000"/>
          <w:szCs w:val="19"/>
          <w:lang w:eastAsia="en-AU"/>
        </w:rPr>
        <w:t>(external link, opens in a new window)</w:t>
      </w:r>
    </w:p>
    <w:p w14:paraId="6E9A05A6" w14:textId="77777777" w:rsidR="00856D53" w:rsidRPr="00276391" w:rsidRDefault="00856D53" w:rsidP="00856D53">
      <w:pPr>
        <w:pStyle w:val="DHHSbody"/>
        <w:rPr>
          <w:lang w:eastAsia="en-AU"/>
        </w:rPr>
      </w:pPr>
      <w:r w:rsidRPr="00276391">
        <w:rPr>
          <w:lang w:eastAsia="en-AU"/>
        </w:rPr>
        <w:t xml:space="preserve">Email: </w:t>
      </w:r>
      <w:hyperlink r:id="rId349" w:history="1">
        <w:r w:rsidRPr="00986D1E">
          <w:rPr>
            <w:rStyle w:val="Hyperlink"/>
          </w:rPr>
          <w:t>community.stakeholders@edumail.vic.gov.au</w:t>
        </w:r>
      </w:hyperlink>
    </w:p>
    <w:p w14:paraId="25D79C4E" w14:textId="77777777" w:rsidR="00856D53" w:rsidRPr="00276391" w:rsidRDefault="00856D53" w:rsidP="00856D53">
      <w:pPr>
        <w:pStyle w:val="Heading4"/>
        <w:rPr>
          <w:lang w:eastAsia="en-AU"/>
        </w:rPr>
      </w:pPr>
      <w:r w:rsidRPr="00276391">
        <w:rPr>
          <w:lang w:eastAsia="en-AU"/>
        </w:rPr>
        <w:t>Sample compliment and complaint management policy</w:t>
      </w:r>
    </w:p>
    <w:p w14:paraId="5B941E7F" w14:textId="77777777" w:rsidR="00856D53" w:rsidRPr="00276391" w:rsidRDefault="00856D53" w:rsidP="00856D53">
      <w:pPr>
        <w:pStyle w:val="DHHSbody"/>
        <w:rPr>
          <w:lang w:eastAsia="en-AU"/>
        </w:rPr>
      </w:pPr>
      <w:proofErr w:type="gramStart"/>
      <w:r w:rsidRPr="00B24C02">
        <w:rPr>
          <w:rFonts w:cs="Arial"/>
          <w:color w:val="000000"/>
          <w:szCs w:val="19"/>
          <w:lang w:eastAsia="en-AU"/>
        </w:rPr>
        <w:t>A generic sample compliment and complaint management policy document,</w:t>
      </w:r>
      <w:proofErr w:type="gramEnd"/>
      <w:r w:rsidRPr="00B24C02">
        <w:rPr>
          <w:rFonts w:cs="Arial"/>
          <w:color w:val="000000"/>
          <w:szCs w:val="19"/>
          <w:lang w:eastAsia="en-AU"/>
        </w:rPr>
        <w:t xml:space="preserve"> is specifically designed for use by funded organisations. This is provided to assist organisations in establishing or reviewing their existing practical frameworks relating to compliments, complaints and other forms of feedback. Organisations can adapt the sample compliment and complaint management policy document to meet their specific needs. The sample and template documents include:</w:t>
      </w:r>
    </w:p>
    <w:p w14:paraId="5C62D6E3" w14:textId="77777777" w:rsidR="00856D53" w:rsidRPr="00276391" w:rsidRDefault="0016341D" w:rsidP="00856D53">
      <w:pPr>
        <w:pStyle w:val="DHHSbody"/>
        <w:numPr>
          <w:ilvl w:val="0"/>
          <w:numId w:val="10"/>
        </w:numPr>
        <w:rPr>
          <w:lang w:eastAsia="en-AU"/>
        </w:rPr>
      </w:pPr>
      <w:hyperlink r:id="rId350" w:tgtFrame="_blank" w:history="1">
        <w:r w:rsidR="00856D53" w:rsidRPr="00986D1E">
          <w:rPr>
            <w:rStyle w:val="Hyperlink"/>
          </w:rPr>
          <w:t>sample compliment and complaint management policy</w:t>
        </w:r>
      </w:hyperlink>
      <w:r w:rsidR="00856D53" w:rsidRPr="00276391">
        <w:rPr>
          <w:lang w:eastAsia="en-AU"/>
        </w:rPr>
        <w:t xml:space="preserve"> </w:t>
      </w:r>
      <w:r w:rsidR="00856D53">
        <w:rPr>
          <w:lang w:eastAsia="en-AU"/>
        </w:rPr>
        <w:t>&lt;</w:t>
      </w:r>
      <w:r w:rsidR="00856D53" w:rsidRPr="00016A1A">
        <w:rPr>
          <w:lang w:eastAsia="en-AU"/>
        </w:rPr>
        <w:t>http://www.dhs.vic.gov.au/__data/assets/word_doc/0008/968102/Compliment-and-complaint-management-policy-sample-policy-20-June-2016.doc</w:t>
      </w:r>
      <w:r w:rsidR="00856D53">
        <w:rPr>
          <w:lang w:eastAsia="en-AU"/>
        </w:rPr>
        <w:t>&gt;</w:t>
      </w:r>
      <w:r w:rsidR="00856D53" w:rsidRPr="00016A1A">
        <w:rPr>
          <w:lang w:eastAsia="en-AU"/>
        </w:rPr>
        <w:t xml:space="preserve"> </w:t>
      </w:r>
      <w:r w:rsidR="00856D53" w:rsidRPr="00276391">
        <w:rPr>
          <w:lang w:eastAsia="en-AU"/>
        </w:rPr>
        <w:t xml:space="preserve">(Word 83 KB, opens in a new window) </w:t>
      </w:r>
    </w:p>
    <w:p w14:paraId="56DA99C1" w14:textId="77777777" w:rsidR="00856D53" w:rsidRPr="00276391" w:rsidRDefault="0016341D" w:rsidP="00856D53">
      <w:pPr>
        <w:pStyle w:val="DHHSbody"/>
        <w:numPr>
          <w:ilvl w:val="0"/>
          <w:numId w:val="10"/>
        </w:numPr>
        <w:rPr>
          <w:lang w:eastAsia="en-AU"/>
        </w:rPr>
      </w:pPr>
      <w:hyperlink r:id="rId351" w:tgtFrame="_blank" w:history="1">
        <w:r w:rsidR="00856D53" w:rsidRPr="00986D1E">
          <w:rPr>
            <w:rStyle w:val="Hyperlink"/>
          </w:rPr>
          <w:t>compliment and complaint feedback reporting system template</w:t>
        </w:r>
      </w:hyperlink>
      <w:r w:rsidR="00856D53" w:rsidRPr="00276391">
        <w:rPr>
          <w:lang w:eastAsia="en-AU"/>
        </w:rPr>
        <w:t xml:space="preserve"> </w:t>
      </w:r>
      <w:r w:rsidR="00856D53">
        <w:rPr>
          <w:lang w:eastAsia="en-AU"/>
        </w:rPr>
        <w:t>&lt;</w:t>
      </w:r>
      <w:r w:rsidR="00856D53" w:rsidRPr="00016A1A">
        <w:rPr>
          <w:lang w:eastAsia="en-AU"/>
        </w:rPr>
        <w:t>http://www.dhs.vic.gov.au/__data/assets/word_doc/0009/968103/Compliment-and-complaint-management-policy-feedback-reporting-system-20-June-2016.doc</w:t>
      </w:r>
      <w:r w:rsidR="00856D53">
        <w:rPr>
          <w:lang w:eastAsia="en-AU"/>
        </w:rPr>
        <w:t>&gt;</w:t>
      </w:r>
      <w:r w:rsidR="00856D53" w:rsidRPr="00016A1A">
        <w:rPr>
          <w:lang w:eastAsia="en-AU"/>
        </w:rPr>
        <w:t xml:space="preserve"> </w:t>
      </w:r>
      <w:r w:rsidR="00856D53" w:rsidRPr="00276391">
        <w:rPr>
          <w:lang w:eastAsia="en-AU"/>
        </w:rPr>
        <w:t xml:space="preserve">(Word 134 KB, opens in a new window) </w:t>
      </w:r>
    </w:p>
    <w:p w14:paraId="1B497268" w14:textId="77777777" w:rsidR="00856D53" w:rsidRPr="00276391" w:rsidRDefault="0016341D" w:rsidP="00856D53">
      <w:pPr>
        <w:pStyle w:val="DHHSbody"/>
        <w:numPr>
          <w:ilvl w:val="0"/>
          <w:numId w:val="10"/>
        </w:numPr>
        <w:rPr>
          <w:lang w:eastAsia="en-AU"/>
        </w:rPr>
      </w:pPr>
      <w:hyperlink r:id="rId352" w:tgtFrame="_blank" w:history="1">
        <w:r w:rsidR="00856D53" w:rsidRPr="00986D1E">
          <w:rPr>
            <w:rStyle w:val="Hyperlink"/>
          </w:rPr>
          <w:t>compliment and complaint form template</w:t>
        </w:r>
      </w:hyperlink>
      <w:r w:rsidR="00856D53" w:rsidRPr="00276391">
        <w:rPr>
          <w:lang w:eastAsia="en-AU"/>
        </w:rPr>
        <w:t xml:space="preserve"> </w:t>
      </w:r>
      <w:r w:rsidR="00856D53">
        <w:rPr>
          <w:lang w:eastAsia="en-AU"/>
        </w:rPr>
        <w:t>&lt;</w:t>
      </w:r>
      <w:r w:rsidR="00856D53" w:rsidRPr="00016A1A">
        <w:rPr>
          <w:lang w:eastAsia="en-AU"/>
        </w:rPr>
        <w:t>http://www.dhs.vic.gov.au/__data/assets/word_doc/0011/968105/Compliment-and-complaint-management-policy-form-template-20-June-2016.doc</w:t>
      </w:r>
      <w:r w:rsidR="00856D53">
        <w:rPr>
          <w:lang w:eastAsia="en-AU"/>
        </w:rPr>
        <w:t>&gt;</w:t>
      </w:r>
      <w:r w:rsidR="00856D53" w:rsidRPr="00016A1A">
        <w:rPr>
          <w:lang w:eastAsia="en-AU"/>
        </w:rPr>
        <w:t xml:space="preserve"> </w:t>
      </w:r>
      <w:r w:rsidR="00856D53" w:rsidRPr="00276391">
        <w:rPr>
          <w:lang w:eastAsia="en-AU"/>
        </w:rPr>
        <w:t xml:space="preserve">(Word 135 KB, opens in a new window) </w:t>
      </w:r>
    </w:p>
    <w:p w14:paraId="6BB6CBD5" w14:textId="77777777" w:rsidR="00856D53" w:rsidRPr="00276391" w:rsidRDefault="0016341D" w:rsidP="00856D53">
      <w:pPr>
        <w:pStyle w:val="DHHSbody"/>
        <w:numPr>
          <w:ilvl w:val="0"/>
          <w:numId w:val="10"/>
        </w:numPr>
        <w:rPr>
          <w:lang w:eastAsia="en-AU"/>
        </w:rPr>
      </w:pPr>
      <w:hyperlink r:id="rId353" w:tgtFrame="_blank" w:history="1">
        <w:r w:rsidR="00856D53" w:rsidRPr="00986D1E">
          <w:rPr>
            <w:rStyle w:val="Hyperlink"/>
          </w:rPr>
          <w:t>listing of organisations for additional support</w:t>
        </w:r>
      </w:hyperlink>
      <w:r w:rsidR="00856D53" w:rsidRPr="00276391">
        <w:rPr>
          <w:lang w:eastAsia="en-AU"/>
        </w:rPr>
        <w:t xml:space="preserve"> </w:t>
      </w:r>
      <w:r w:rsidR="00856D53">
        <w:rPr>
          <w:lang w:eastAsia="en-AU"/>
        </w:rPr>
        <w:t>&lt;</w:t>
      </w:r>
      <w:r w:rsidR="00856D53" w:rsidRPr="00016A1A">
        <w:rPr>
          <w:lang w:eastAsia="en-AU"/>
        </w:rPr>
        <w:t>http://www.dhs.vic.gov.au/__data/assets/word_doc/0010/968104/Compliment-and-complaint-management-policy-orgs-for-support-listing-20-June-2016.doc</w:t>
      </w:r>
      <w:r w:rsidR="00856D53">
        <w:rPr>
          <w:lang w:eastAsia="en-AU"/>
        </w:rPr>
        <w:t>&gt;</w:t>
      </w:r>
      <w:r w:rsidR="00856D53" w:rsidRPr="00016A1A">
        <w:rPr>
          <w:lang w:eastAsia="en-AU"/>
        </w:rPr>
        <w:t xml:space="preserve"> </w:t>
      </w:r>
      <w:r w:rsidR="00856D53" w:rsidRPr="00276391">
        <w:rPr>
          <w:lang w:eastAsia="en-AU"/>
        </w:rPr>
        <w:t>(Word 75 KB, opens in a new window</w:t>
      </w:r>
      <w:r w:rsidR="00856D53">
        <w:rPr>
          <w:lang w:eastAsia="en-AU"/>
        </w:rPr>
        <w:t>).</w:t>
      </w:r>
      <w:r w:rsidR="00856D53" w:rsidRPr="00276391">
        <w:rPr>
          <w:lang w:eastAsia="en-AU"/>
        </w:rPr>
        <w:t xml:space="preserve"> </w:t>
      </w:r>
    </w:p>
    <w:p w14:paraId="5EB6923A" w14:textId="50CDD11C" w:rsidR="00856D53" w:rsidRPr="00276391" w:rsidRDefault="00B30C4B" w:rsidP="00856D53">
      <w:pPr>
        <w:pStyle w:val="Heading2"/>
        <w:rPr>
          <w:rFonts w:cs="Arial"/>
          <w:lang w:eastAsia="en-AU"/>
        </w:rPr>
      </w:pPr>
      <w:bookmarkStart w:id="926" w:name="_Toc4142152"/>
      <w:r>
        <w:rPr>
          <w:rFonts w:cs="Arial"/>
          <w:lang w:eastAsia="en-AU"/>
        </w:rPr>
        <w:t>5.5</w:t>
      </w:r>
      <w:r w:rsidR="00856D53" w:rsidRPr="00276391">
        <w:rPr>
          <w:rFonts w:cs="Arial"/>
          <w:lang w:eastAsia="en-AU"/>
        </w:rPr>
        <w:t xml:space="preserve"> Safety screening for funded organisations</w:t>
      </w:r>
      <w:bookmarkEnd w:id="926"/>
    </w:p>
    <w:p w14:paraId="1190935C" w14:textId="77777777" w:rsidR="00856D53" w:rsidRPr="00276391" w:rsidRDefault="00856D53" w:rsidP="00856D53">
      <w:pPr>
        <w:pStyle w:val="Heading4"/>
        <w:rPr>
          <w:lang w:eastAsia="en-AU"/>
        </w:rPr>
      </w:pPr>
      <w:r w:rsidRPr="00276391">
        <w:rPr>
          <w:lang w:eastAsia="en-AU"/>
        </w:rPr>
        <w:t>Overview of safety screening</w:t>
      </w:r>
    </w:p>
    <w:p w14:paraId="7271F607" w14:textId="15A277AC" w:rsidR="00856D53" w:rsidRPr="00276391" w:rsidRDefault="00856D53" w:rsidP="00856D53">
      <w:pPr>
        <w:pStyle w:val="DHHSbody"/>
        <w:rPr>
          <w:lang w:eastAsia="en-AU"/>
        </w:rPr>
      </w:pPr>
      <w:r w:rsidRPr="00B24C02">
        <w:rPr>
          <w:rFonts w:cs="Arial"/>
          <w:color w:val="000000"/>
          <w:szCs w:val="19"/>
          <w:lang w:eastAsia="en-AU"/>
        </w:rPr>
        <w:t xml:space="preserve">Safety screening plays an important role in providing safer service delivery for children and families who receive services from organisations funded by the </w:t>
      </w:r>
      <w:r w:rsidR="007A46F5">
        <w:rPr>
          <w:rFonts w:cs="Arial"/>
          <w:color w:val="000000"/>
          <w:szCs w:val="19"/>
          <w:lang w:eastAsia="en-AU"/>
        </w:rPr>
        <w:t>department</w:t>
      </w:r>
      <w:r w:rsidRPr="00B24C02">
        <w:rPr>
          <w:rFonts w:cs="Arial"/>
          <w:color w:val="000000"/>
          <w:szCs w:val="19"/>
          <w:lang w:eastAsia="en-AU"/>
        </w:rPr>
        <w:t>.</w:t>
      </w:r>
    </w:p>
    <w:p w14:paraId="18F860EF" w14:textId="77777777" w:rsidR="00856D53" w:rsidRPr="00276391" w:rsidRDefault="00856D53" w:rsidP="00856D53">
      <w:pPr>
        <w:pStyle w:val="Heading4"/>
        <w:rPr>
          <w:lang w:eastAsia="en-AU"/>
        </w:rPr>
      </w:pPr>
      <w:r w:rsidRPr="00276391">
        <w:rPr>
          <w:lang w:eastAsia="en-AU"/>
        </w:rPr>
        <w:t>Pre-employment safety screening checks</w:t>
      </w:r>
    </w:p>
    <w:p w14:paraId="0BAB6401" w14:textId="77777777" w:rsidR="00856D53" w:rsidRPr="00276391" w:rsidRDefault="00856D53" w:rsidP="00856D53">
      <w:pPr>
        <w:pStyle w:val="DHHSbody"/>
        <w:rPr>
          <w:lang w:eastAsia="en-AU"/>
        </w:rPr>
      </w:pPr>
      <w:r w:rsidRPr="00B24C02">
        <w:rPr>
          <w:rFonts w:cs="Arial"/>
          <w:color w:val="000000"/>
          <w:szCs w:val="19"/>
          <w:lang w:eastAsia="en-AU"/>
        </w:rPr>
        <w:t>The pre-employment checks that a funded organisation must conduct on prospective employees will depend on the nature of the service provided by the organisation. The checks may include the following:</w:t>
      </w:r>
    </w:p>
    <w:p w14:paraId="49283029" w14:textId="77777777" w:rsidR="00856D53" w:rsidRPr="00276391" w:rsidRDefault="00856D53" w:rsidP="00856D53">
      <w:pPr>
        <w:pStyle w:val="DHHSbullet1"/>
        <w:rPr>
          <w:rFonts w:cs="Arial"/>
          <w:lang w:eastAsia="en-AU"/>
        </w:rPr>
      </w:pPr>
      <w:r w:rsidRPr="00276391">
        <w:rPr>
          <w:rFonts w:cs="Arial"/>
          <w:lang w:eastAsia="en-AU"/>
        </w:rPr>
        <w:t xml:space="preserve">proof of identity; </w:t>
      </w:r>
    </w:p>
    <w:p w14:paraId="25CC7EC5" w14:textId="77777777" w:rsidR="00856D53" w:rsidRPr="00276391" w:rsidRDefault="00856D53" w:rsidP="00856D53">
      <w:pPr>
        <w:pStyle w:val="DHHSbullet1"/>
        <w:rPr>
          <w:rFonts w:cs="Arial"/>
          <w:lang w:eastAsia="en-AU"/>
        </w:rPr>
      </w:pPr>
      <w:r w:rsidRPr="00276391">
        <w:rPr>
          <w:rFonts w:cs="Arial"/>
          <w:lang w:eastAsia="en-AU"/>
        </w:rPr>
        <w:t xml:space="preserve">employment history; </w:t>
      </w:r>
    </w:p>
    <w:p w14:paraId="3128184B" w14:textId="77777777" w:rsidR="00856D53" w:rsidRPr="00276391" w:rsidRDefault="00856D53" w:rsidP="00856D53">
      <w:pPr>
        <w:pStyle w:val="DHHSbullet1"/>
        <w:rPr>
          <w:rFonts w:cs="Arial"/>
          <w:lang w:eastAsia="en-AU"/>
        </w:rPr>
      </w:pPr>
      <w:r w:rsidRPr="00276391">
        <w:rPr>
          <w:rFonts w:cs="Arial"/>
          <w:lang w:eastAsia="en-AU"/>
        </w:rPr>
        <w:t xml:space="preserve">qualification check; </w:t>
      </w:r>
    </w:p>
    <w:p w14:paraId="6A38CF15" w14:textId="77777777" w:rsidR="00856D53" w:rsidRPr="00276391" w:rsidRDefault="00856D53" w:rsidP="00856D53">
      <w:pPr>
        <w:pStyle w:val="DHHSbullet1"/>
        <w:rPr>
          <w:rFonts w:cs="Arial"/>
          <w:lang w:eastAsia="en-AU"/>
        </w:rPr>
      </w:pPr>
      <w:r w:rsidRPr="00276391">
        <w:rPr>
          <w:rFonts w:cs="Arial"/>
          <w:lang w:eastAsia="en-AU"/>
        </w:rPr>
        <w:t xml:space="preserve">confirmation of a Working </w:t>
      </w:r>
      <w:proofErr w:type="gramStart"/>
      <w:r w:rsidRPr="00276391">
        <w:rPr>
          <w:rFonts w:cs="Arial"/>
          <w:lang w:eastAsia="en-AU"/>
        </w:rPr>
        <w:t>With</w:t>
      </w:r>
      <w:proofErr w:type="gramEnd"/>
      <w:r w:rsidRPr="00276391">
        <w:rPr>
          <w:rFonts w:cs="Arial"/>
          <w:lang w:eastAsia="en-AU"/>
        </w:rPr>
        <w:t xml:space="preserve"> Children Check (WWCC) or a current Victorian Institute of Teaching (VIT) registration; </w:t>
      </w:r>
    </w:p>
    <w:p w14:paraId="206D50AB" w14:textId="77777777" w:rsidR="00856D53" w:rsidRPr="00276391" w:rsidRDefault="00856D53" w:rsidP="00856D53">
      <w:pPr>
        <w:pStyle w:val="DHHSbullet1"/>
        <w:rPr>
          <w:rFonts w:cs="Arial"/>
          <w:lang w:eastAsia="en-AU"/>
        </w:rPr>
      </w:pPr>
      <w:r w:rsidRPr="00276391">
        <w:rPr>
          <w:rFonts w:cs="Arial"/>
          <w:lang w:eastAsia="en-AU"/>
        </w:rPr>
        <w:t xml:space="preserve">criminal history check; and </w:t>
      </w:r>
    </w:p>
    <w:p w14:paraId="1CBC6326" w14:textId="77777777" w:rsidR="00856D53" w:rsidRPr="00276391" w:rsidRDefault="00856D53" w:rsidP="00856D53">
      <w:pPr>
        <w:pStyle w:val="DHHSbullet1"/>
        <w:rPr>
          <w:rFonts w:cs="Arial"/>
          <w:lang w:eastAsia="en-AU"/>
        </w:rPr>
      </w:pPr>
      <w:r w:rsidRPr="00276391">
        <w:rPr>
          <w:rFonts w:cs="Arial"/>
          <w:lang w:eastAsia="en-AU"/>
        </w:rPr>
        <w:t xml:space="preserve">referee checks. </w:t>
      </w:r>
    </w:p>
    <w:p w14:paraId="02347709" w14:textId="77777777" w:rsidR="00856D53" w:rsidRPr="00276391" w:rsidRDefault="00856D53" w:rsidP="00856D53">
      <w:pPr>
        <w:pStyle w:val="DHHSbody"/>
        <w:rPr>
          <w:lang w:eastAsia="en-AU"/>
        </w:rPr>
      </w:pPr>
      <w:r w:rsidRPr="00B24C02">
        <w:rPr>
          <w:rFonts w:cs="Arial"/>
          <w:color w:val="000000"/>
          <w:szCs w:val="19"/>
          <w:lang w:eastAsia="en-AU"/>
        </w:rPr>
        <w:t>All information required for pre-employment safety screening is collected with the applicant’s informed consent.</w:t>
      </w:r>
    </w:p>
    <w:p w14:paraId="31C739A9" w14:textId="742D299E" w:rsidR="00856D53" w:rsidRPr="00276391" w:rsidRDefault="00856D53" w:rsidP="00856D53">
      <w:pPr>
        <w:pStyle w:val="DHHSbody"/>
        <w:rPr>
          <w:lang w:eastAsia="en-AU"/>
        </w:rPr>
      </w:pPr>
      <w:r w:rsidRPr="00276391">
        <w:rPr>
          <w:lang w:eastAsia="en-AU"/>
        </w:rPr>
        <w:t xml:space="preserve">A </w:t>
      </w:r>
      <w:hyperlink r:id="rId354" w:tgtFrame="_blank" w:history="1">
        <w:r w:rsidRPr="00986D1E">
          <w:rPr>
            <w:rStyle w:val="Hyperlink"/>
          </w:rPr>
          <w:t>pre-employment safety screening checklist</w:t>
        </w:r>
      </w:hyperlink>
      <w:r w:rsidRPr="00276391">
        <w:rPr>
          <w:lang w:eastAsia="en-AU"/>
        </w:rPr>
        <w:t xml:space="preserve"> </w:t>
      </w:r>
      <w:r>
        <w:rPr>
          <w:lang w:eastAsia="en-AU"/>
        </w:rPr>
        <w:t>&lt;</w:t>
      </w:r>
      <w:r w:rsidRPr="0009284B">
        <w:rPr>
          <w:lang w:eastAsia="en-AU"/>
        </w:rPr>
        <w:t>http://www.dhs.vic.gov.au/__data/assets/word_doc/0008/908144/4.6-Safety-screening-App-2-Pre-employment-safety-screening-checklist-01092015.doc</w:t>
      </w:r>
      <w:r>
        <w:rPr>
          <w:lang w:eastAsia="en-AU"/>
        </w:rPr>
        <w:t>&gt;</w:t>
      </w:r>
      <w:r w:rsidRPr="0009284B">
        <w:rPr>
          <w:lang w:eastAsia="en-AU"/>
        </w:rPr>
        <w:t xml:space="preserve"> </w:t>
      </w:r>
      <w:r w:rsidRPr="00276391">
        <w:rPr>
          <w:lang w:eastAsia="en-AU"/>
        </w:rPr>
        <w:t xml:space="preserve">(Word 100 KB, opens in a new window) is available from the Department of Health and Human Services' </w:t>
      </w:r>
      <w:r w:rsidR="009B3052">
        <w:rPr>
          <w:lang w:eastAsia="en-AU"/>
        </w:rPr>
        <w:t>Service agreement</w:t>
      </w:r>
      <w:r>
        <w:rPr>
          <w:lang w:eastAsia="en-AU"/>
        </w:rPr>
        <w:t xml:space="preserve"> information kit </w:t>
      </w:r>
      <w:r w:rsidRPr="00276391">
        <w:rPr>
          <w:lang w:eastAsia="en-AU"/>
        </w:rPr>
        <w:t>'s web page on Safety screening for funded organisations.</w:t>
      </w:r>
    </w:p>
    <w:p w14:paraId="42FBD460" w14:textId="77777777" w:rsidR="00856D53" w:rsidRPr="00276391" w:rsidRDefault="00856D53" w:rsidP="00856D53">
      <w:pPr>
        <w:pStyle w:val="Heading4"/>
        <w:rPr>
          <w:lang w:eastAsia="en-AU"/>
        </w:rPr>
      </w:pPr>
      <w:r w:rsidRPr="00276391">
        <w:rPr>
          <w:lang w:eastAsia="en-AU"/>
        </w:rPr>
        <w:t>Proof of Identity</w:t>
      </w:r>
    </w:p>
    <w:p w14:paraId="520F3865" w14:textId="77777777" w:rsidR="00856D53" w:rsidRPr="00276391" w:rsidRDefault="00856D53" w:rsidP="00856D53">
      <w:pPr>
        <w:pStyle w:val="DHHSbody"/>
        <w:rPr>
          <w:lang w:eastAsia="en-AU"/>
        </w:rPr>
      </w:pPr>
      <w:r w:rsidRPr="00B24C02">
        <w:rPr>
          <w:rFonts w:cs="Arial"/>
          <w:color w:val="000000"/>
          <w:szCs w:val="19"/>
          <w:lang w:eastAsia="en-AU"/>
        </w:rPr>
        <w:t>As part of the pre-employment check, a funded organisation should seek 100 points of identification, confirming the prospective employee’s identity.</w:t>
      </w:r>
    </w:p>
    <w:p w14:paraId="2CF36C82" w14:textId="77777777" w:rsidR="00856D53" w:rsidRPr="00276391" w:rsidRDefault="00856D53" w:rsidP="00856D53">
      <w:pPr>
        <w:pStyle w:val="Heading4"/>
        <w:rPr>
          <w:lang w:eastAsia="en-AU"/>
        </w:rPr>
      </w:pPr>
      <w:r w:rsidRPr="00276391">
        <w:rPr>
          <w:lang w:eastAsia="en-AU"/>
        </w:rPr>
        <w:t>Working with Children Check</w:t>
      </w:r>
    </w:p>
    <w:p w14:paraId="11968DB2" w14:textId="77777777" w:rsidR="00856D53" w:rsidRPr="00276391" w:rsidRDefault="00856D53" w:rsidP="00856D53">
      <w:pPr>
        <w:pStyle w:val="DHHSbody"/>
        <w:rPr>
          <w:lang w:eastAsia="en-AU"/>
        </w:rPr>
      </w:pPr>
      <w:r w:rsidRPr="00B24C02">
        <w:rPr>
          <w:rFonts w:cs="Arial"/>
          <w:color w:val="000000"/>
          <w:szCs w:val="19"/>
          <w:lang w:eastAsia="en-AU"/>
        </w:rPr>
        <w:t>Any person doing ‘child-related work’, involving unsupervised direct contact with children, in Victoria, must hold a current Victorian WWCC. Funded organisations must ensure employees and volunteers hold a valid Victorian WWCC, where required.</w:t>
      </w:r>
    </w:p>
    <w:p w14:paraId="57C6B0AB" w14:textId="513FB32C" w:rsidR="00856D53" w:rsidRPr="00276391" w:rsidRDefault="00856D53" w:rsidP="00856D53">
      <w:pPr>
        <w:pStyle w:val="DHHSbody"/>
        <w:rPr>
          <w:lang w:eastAsia="en-AU"/>
        </w:rPr>
      </w:pPr>
      <w:r w:rsidRPr="00276391">
        <w:rPr>
          <w:lang w:eastAsia="en-AU"/>
        </w:rPr>
        <w:t xml:space="preserve">All non-teaching </w:t>
      </w:r>
      <w:proofErr w:type="gramStart"/>
      <w:r w:rsidRPr="00276391">
        <w:rPr>
          <w:lang w:eastAsia="en-AU"/>
        </w:rPr>
        <w:t>school based</w:t>
      </w:r>
      <w:proofErr w:type="gramEnd"/>
      <w:r w:rsidRPr="00276391">
        <w:rPr>
          <w:lang w:eastAsia="en-AU"/>
        </w:rPr>
        <w:t xml:space="preserve"> employees in Victorian government schools are required by </w:t>
      </w:r>
      <w:r w:rsidR="007A46F5">
        <w:rPr>
          <w:lang w:eastAsia="en-AU"/>
        </w:rPr>
        <w:t>the department</w:t>
      </w:r>
      <w:r w:rsidRPr="00276391">
        <w:rPr>
          <w:lang w:eastAsia="en-AU"/>
        </w:rPr>
        <w:t xml:space="preserve"> to have a WWCC even if their duties do not fit the definition of ‘child-related work’.</w:t>
      </w:r>
    </w:p>
    <w:p w14:paraId="7C746323" w14:textId="77777777" w:rsidR="00856D53" w:rsidRPr="00276391" w:rsidRDefault="00856D53" w:rsidP="00856D53">
      <w:pPr>
        <w:pStyle w:val="DHHSbody"/>
        <w:rPr>
          <w:lang w:eastAsia="en-AU"/>
        </w:rPr>
      </w:pPr>
      <w:r w:rsidRPr="00276391">
        <w:rPr>
          <w:lang w:eastAsia="en-AU"/>
        </w:rPr>
        <w:t xml:space="preserve">More information on the WWCC can be found at the </w:t>
      </w:r>
      <w:hyperlink r:id="rId355" w:tgtFrame="_blank" w:history="1">
        <w:r w:rsidRPr="00570B09">
          <w:rPr>
            <w:rStyle w:val="Hyperlink"/>
          </w:rPr>
          <w:t>Working with Children Check</w:t>
        </w:r>
        <w:r w:rsidRPr="00570B09">
          <w:rPr>
            <w:rStyle w:val="Hyperlink"/>
            <w:lang w:eastAsia="en-AU"/>
          </w:rPr>
          <w:t xml:space="preserve"> website</w:t>
        </w:r>
      </w:hyperlink>
      <w:r>
        <w:rPr>
          <w:lang w:eastAsia="en-AU"/>
        </w:rPr>
        <w:t xml:space="preserve"> &lt;</w:t>
      </w:r>
      <w:r w:rsidRPr="00570B09">
        <w:rPr>
          <w:lang w:eastAsia="en-AU"/>
        </w:rPr>
        <w:t>http://www.workingwithchildren.vic.gov.au</w:t>
      </w:r>
      <w:r>
        <w:rPr>
          <w:lang w:eastAsia="en-AU"/>
        </w:rPr>
        <w:t>&gt;</w:t>
      </w:r>
      <w:r w:rsidRPr="00276391">
        <w:rPr>
          <w:lang w:eastAsia="en-AU"/>
        </w:rPr>
        <w:t xml:space="preserve"> (external link, opens in a new window).</w:t>
      </w:r>
    </w:p>
    <w:p w14:paraId="180C3FCF" w14:textId="77777777" w:rsidR="00856D53" w:rsidRPr="00276391" w:rsidRDefault="00856D53" w:rsidP="00856D53">
      <w:pPr>
        <w:pStyle w:val="Heading4"/>
        <w:rPr>
          <w:lang w:eastAsia="en-AU"/>
        </w:rPr>
      </w:pPr>
      <w:r w:rsidRPr="00276391">
        <w:rPr>
          <w:lang w:eastAsia="en-AU"/>
        </w:rPr>
        <w:lastRenderedPageBreak/>
        <w:t>Student placements</w:t>
      </w:r>
    </w:p>
    <w:p w14:paraId="28F8B90C" w14:textId="77777777" w:rsidR="00856D53" w:rsidRPr="00276391" w:rsidRDefault="00856D53" w:rsidP="00856D53">
      <w:pPr>
        <w:pStyle w:val="DHHSbody"/>
        <w:rPr>
          <w:lang w:eastAsia="en-AU"/>
        </w:rPr>
      </w:pPr>
      <w:r w:rsidRPr="00B24C02">
        <w:rPr>
          <w:rFonts w:cs="Arial"/>
          <w:color w:val="000000"/>
          <w:szCs w:val="19"/>
          <w:lang w:eastAsia="en-AU"/>
        </w:rPr>
        <w:t>Children aged 18 years or under are not required to hold a WWCC. However, funded organisations wishing to provide a work experience placement for a student should conduct referee checks with teachers, parents or other adults who personally know the student.</w:t>
      </w:r>
    </w:p>
    <w:p w14:paraId="68DFDAD2" w14:textId="3C9C4BCA" w:rsidR="00856D53" w:rsidRPr="00276391" w:rsidRDefault="007A46F5" w:rsidP="00856D53">
      <w:pPr>
        <w:pStyle w:val="DHHSbody"/>
        <w:rPr>
          <w:lang w:eastAsia="en-AU"/>
        </w:rPr>
      </w:pPr>
      <w:r>
        <w:rPr>
          <w:lang w:eastAsia="en-AU"/>
        </w:rPr>
        <w:t>The department</w:t>
      </w:r>
      <w:r w:rsidR="00856D53" w:rsidRPr="00276391">
        <w:rPr>
          <w:lang w:eastAsia="en-AU"/>
        </w:rPr>
        <w:t xml:space="preserve"> provides extensive resources on </w:t>
      </w:r>
      <w:hyperlink r:id="rId356" w:tgtFrame="_blank" w:history="1">
        <w:r w:rsidR="00856D53" w:rsidRPr="00986D1E">
          <w:rPr>
            <w:rStyle w:val="Hyperlink"/>
          </w:rPr>
          <w:t>Work Experience</w:t>
        </w:r>
      </w:hyperlink>
      <w:r>
        <w:rPr>
          <w:rStyle w:val="Hyperlink"/>
        </w:rPr>
        <w:t xml:space="preserve"> Placements</w:t>
      </w:r>
      <w:r w:rsidR="00856D53" w:rsidRPr="00276391">
        <w:rPr>
          <w:lang w:eastAsia="en-AU"/>
        </w:rPr>
        <w:t xml:space="preserve"> </w:t>
      </w:r>
      <w:r w:rsidR="00856D53">
        <w:rPr>
          <w:lang w:eastAsia="en-AU"/>
        </w:rPr>
        <w:t>&lt;</w:t>
      </w:r>
      <w:r w:rsidR="00856D53" w:rsidRPr="005E18BF">
        <w:rPr>
          <w:lang w:eastAsia="en-AU"/>
        </w:rPr>
        <w:t>http://www.education.vic.gov.au/school/teachers/teachingresources/careers/work/pages/workexperience.aspx</w:t>
      </w:r>
      <w:r w:rsidR="00856D53">
        <w:rPr>
          <w:lang w:eastAsia="en-AU"/>
        </w:rPr>
        <w:t>&gt;</w:t>
      </w:r>
      <w:r w:rsidR="00856D53" w:rsidRPr="005E18BF">
        <w:rPr>
          <w:lang w:eastAsia="en-AU"/>
        </w:rPr>
        <w:t xml:space="preserve"> </w:t>
      </w:r>
      <w:r w:rsidR="00856D53" w:rsidRPr="00276391">
        <w:rPr>
          <w:lang w:eastAsia="en-AU"/>
        </w:rPr>
        <w:t>(external link, o</w:t>
      </w:r>
      <w:r>
        <w:rPr>
          <w:lang w:eastAsia="en-AU"/>
        </w:rPr>
        <w:t>pens in a new window)</w:t>
      </w:r>
      <w:r w:rsidR="00856D53" w:rsidRPr="00276391">
        <w:rPr>
          <w:lang w:eastAsia="en-AU"/>
        </w:rPr>
        <w:t>.</w:t>
      </w:r>
    </w:p>
    <w:p w14:paraId="6EDAA5D8" w14:textId="77777777" w:rsidR="00856D53" w:rsidRPr="00276391" w:rsidRDefault="00856D53" w:rsidP="00856D53">
      <w:pPr>
        <w:pStyle w:val="Heading4"/>
        <w:rPr>
          <w:lang w:eastAsia="en-AU"/>
        </w:rPr>
      </w:pPr>
      <w:r w:rsidRPr="00276391">
        <w:rPr>
          <w:lang w:eastAsia="en-AU"/>
        </w:rPr>
        <w:t>Victorian Institute of Teaching Registration</w:t>
      </w:r>
    </w:p>
    <w:p w14:paraId="55193D76" w14:textId="77777777" w:rsidR="00856D53" w:rsidRPr="00276391" w:rsidRDefault="00856D53" w:rsidP="00856D53">
      <w:pPr>
        <w:pStyle w:val="DHHSbody"/>
        <w:rPr>
          <w:lang w:eastAsia="en-AU"/>
        </w:rPr>
      </w:pPr>
      <w:r w:rsidRPr="00B24C02">
        <w:rPr>
          <w:rFonts w:cs="Arial"/>
          <w:color w:val="000000"/>
          <w:szCs w:val="19"/>
          <w:lang w:eastAsia="en-AU"/>
        </w:rPr>
        <w:t>A person who is employed as an early childhood teacher in a Victorian education and care service, or children’s service, must be registered with the Victorian Institute of Teaching (VIT). VIT registration is renewed annually, and requires a current National Police History Check, which is valid for 5 years. A WWCC is not required where an employee is registered with VIT.</w:t>
      </w:r>
    </w:p>
    <w:p w14:paraId="4457CA95" w14:textId="77777777" w:rsidR="00856D53" w:rsidRPr="00276391" w:rsidRDefault="00856D53" w:rsidP="00856D53">
      <w:pPr>
        <w:pStyle w:val="DHHSbody"/>
        <w:rPr>
          <w:lang w:eastAsia="en-AU"/>
        </w:rPr>
      </w:pPr>
      <w:r w:rsidRPr="00276391">
        <w:rPr>
          <w:lang w:eastAsia="en-AU"/>
        </w:rPr>
        <w:t xml:space="preserve">There are limited circumstances when VIT registration requirements may not apply. Contact the </w:t>
      </w:r>
      <w:hyperlink r:id="rId357" w:tgtFrame="_blank" w:history="1">
        <w:r w:rsidRPr="00986D1E">
          <w:rPr>
            <w:rStyle w:val="Hyperlink"/>
          </w:rPr>
          <w:t>Regulatory Authority</w:t>
        </w:r>
      </w:hyperlink>
      <w:r w:rsidRPr="00276391">
        <w:rPr>
          <w:lang w:eastAsia="en-AU"/>
        </w:rPr>
        <w:t xml:space="preserve"> </w:t>
      </w:r>
      <w:r>
        <w:rPr>
          <w:lang w:eastAsia="en-AU"/>
        </w:rPr>
        <w:t>&lt;</w:t>
      </w:r>
      <w:r w:rsidRPr="005907FB">
        <w:rPr>
          <w:lang w:eastAsia="en-AU"/>
        </w:rPr>
        <w:t>http://www.education.vic.gov.au/childhood/providers/regulation/Pages/default.aspx</w:t>
      </w:r>
      <w:r>
        <w:rPr>
          <w:lang w:eastAsia="en-AU"/>
        </w:rPr>
        <w:t xml:space="preserve">&gt; </w:t>
      </w:r>
      <w:r w:rsidRPr="00276391">
        <w:rPr>
          <w:lang w:eastAsia="en-AU"/>
        </w:rPr>
        <w:t>(external link, opens in a new window) for further information.</w:t>
      </w:r>
    </w:p>
    <w:p w14:paraId="7703937D" w14:textId="77777777" w:rsidR="00856D53" w:rsidRPr="00276391" w:rsidRDefault="00856D53" w:rsidP="00856D53">
      <w:pPr>
        <w:pStyle w:val="DHHSbody"/>
        <w:rPr>
          <w:lang w:eastAsia="en-AU"/>
        </w:rPr>
      </w:pPr>
      <w:r w:rsidRPr="00276391">
        <w:rPr>
          <w:lang w:eastAsia="en-AU"/>
        </w:rPr>
        <w:t xml:space="preserve">More information regarding VIT registration is available on the </w:t>
      </w:r>
      <w:hyperlink r:id="rId358" w:tgtFrame="_blank" w:history="1">
        <w:r w:rsidRPr="00986D1E">
          <w:rPr>
            <w:rStyle w:val="Hyperlink"/>
          </w:rPr>
          <w:t>Victorian Institute of Teaching</w:t>
        </w:r>
      </w:hyperlink>
      <w:r w:rsidRPr="00276391">
        <w:rPr>
          <w:lang w:eastAsia="en-AU"/>
        </w:rPr>
        <w:t xml:space="preserve"> </w:t>
      </w:r>
      <w:r>
        <w:rPr>
          <w:lang w:eastAsia="en-AU"/>
        </w:rPr>
        <w:t>&lt;</w:t>
      </w:r>
      <w:r w:rsidRPr="005907FB">
        <w:rPr>
          <w:lang w:eastAsia="en-AU"/>
        </w:rPr>
        <w:t>http://www.vit.vic.edu.au/</w:t>
      </w:r>
      <w:r>
        <w:rPr>
          <w:lang w:eastAsia="en-AU"/>
        </w:rPr>
        <w:t>&gt;</w:t>
      </w:r>
      <w:r w:rsidRPr="005907FB">
        <w:rPr>
          <w:lang w:eastAsia="en-AU"/>
        </w:rPr>
        <w:t xml:space="preserve"> </w:t>
      </w:r>
      <w:r w:rsidRPr="00276391">
        <w:rPr>
          <w:lang w:eastAsia="en-AU"/>
        </w:rPr>
        <w:t>(external link, opens in a new window) website.</w:t>
      </w:r>
    </w:p>
    <w:p w14:paraId="5F3E08B0" w14:textId="77777777" w:rsidR="00856D53" w:rsidRPr="00276391" w:rsidRDefault="00856D53" w:rsidP="00856D53">
      <w:pPr>
        <w:pStyle w:val="Heading4"/>
        <w:rPr>
          <w:lang w:eastAsia="en-AU"/>
        </w:rPr>
      </w:pPr>
      <w:r w:rsidRPr="00276391">
        <w:rPr>
          <w:lang w:eastAsia="en-AU"/>
        </w:rPr>
        <w:t>Criminal History</w:t>
      </w:r>
    </w:p>
    <w:p w14:paraId="69E01F87" w14:textId="745524CB" w:rsidR="00856D53" w:rsidRPr="00276391" w:rsidRDefault="00856D53" w:rsidP="00856D53">
      <w:pPr>
        <w:pStyle w:val="DHHSbody"/>
        <w:rPr>
          <w:lang w:eastAsia="en-AU"/>
        </w:rPr>
      </w:pPr>
      <w:r w:rsidRPr="00B24C02">
        <w:rPr>
          <w:rFonts w:cs="Arial"/>
          <w:color w:val="000000"/>
          <w:szCs w:val="19"/>
          <w:lang w:eastAsia="en-AU"/>
        </w:rPr>
        <w:t xml:space="preserve">In addition to the WWCC, some funded organisations are required by law to perform criminal history checks on prospective employees. </w:t>
      </w:r>
      <w:r w:rsidR="007A46F5">
        <w:rPr>
          <w:rFonts w:cs="Arial"/>
          <w:color w:val="000000"/>
          <w:szCs w:val="19"/>
          <w:lang w:eastAsia="en-AU"/>
        </w:rPr>
        <w:t>The department</w:t>
      </w:r>
      <w:r w:rsidRPr="00B24C02">
        <w:rPr>
          <w:rFonts w:cs="Arial"/>
          <w:color w:val="000000"/>
          <w:szCs w:val="19"/>
          <w:lang w:eastAsia="en-AU"/>
        </w:rPr>
        <w:t xml:space="preserve"> has produced fact sheets detailing the criminal history check requirements for the following providers:</w:t>
      </w:r>
    </w:p>
    <w:p w14:paraId="562664D8" w14:textId="77777777" w:rsidR="00856D53" w:rsidRPr="00E10CB8" w:rsidRDefault="00856D53" w:rsidP="00856D53">
      <w:pPr>
        <w:pStyle w:val="DHHSbullet1"/>
        <w:rPr>
          <w:rFonts w:cs="Arial"/>
          <w:lang w:eastAsia="en-AU"/>
        </w:rPr>
      </w:pPr>
      <w:r w:rsidRPr="00E10CB8">
        <w:rPr>
          <w:rFonts w:cs="Arial"/>
          <w:color w:val="000000"/>
          <w:lang w:eastAsia="en-AU"/>
        </w:rPr>
        <w:t>Licensed children’s services (</w:t>
      </w:r>
      <w:hyperlink r:id="rId359" w:tgtFrame="_blank" w:history="1">
        <w:r w:rsidRPr="00986D1E">
          <w:rPr>
            <w:rStyle w:val="Hyperlink"/>
          </w:rPr>
          <w:t>Criminal history check requirements for licensed children's services</w:t>
        </w:r>
      </w:hyperlink>
      <w:r>
        <w:rPr>
          <w:rFonts w:cs="Arial"/>
          <w:color w:val="000000"/>
          <w:lang w:eastAsia="en-AU"/>
        </w:rPr>
        <w:t>)</w:t>
      </w:r>
      <w:r w:rsidRPr="00E10CB8">
        <w:rPr>
          <w:rFonts w:cs="Arial"/>
          <w:color w:val="000000"/>
          <w:lang w:eastAsia="en-AU"/>
        </w:rPr>
        <w:t xml:space="preserve"> &lt;http://www.education.vic.gov.au/Documents/childhood/providers/regulation/pracnotescrimhistory.pdf</w:t>
      </w:r>
      <w:r>
        <w:rPr>
          <w:rFonts w:cs="Arial"/>
          <w:color w:val="000000"/>
          <w:lang w:eastAsia="en-AU"/>
        </w:rPr>
        <w:t>&gt;</w:t>
      </w:r>
      <w:r w:rsidRPr="00E10CB8">
        <w:rPr>
          <w:rFonts w:cs="Arial"/>
          <w:color w:val="000000"/>
          <w:lang w:eastAsia="en-AU"/>
        </w:rPr>
        <w:t xml:space="preserve"> (external link, opens in a new window) </w:t>
      </w:r>
    </w:p>
    <w:p w14:paraId="19F79467" w14:textId="77777777" w:rsidR="00856D53" w:rsidRPr="00276391" w:rsidRDefault="00856D53" w:rsidP="00856D53">
      <w:pPr>
        <w:pStyle w:val="DHHSbullet1"/>
        <w:rPr>
          <w:rFonts w:cs="Arial"/>
          <w:lang w:eastAsia="en-AU"/>
        </w:rPr>
      </w:pPr>
      <w:r w:rsidRPr="00276391">
        <w:rPr>
          <w:rFonts w:cs="Arial"/>
          <w:color w:val="000000"/>
          <w:lang w:eastAsia="en-AU"/>
        </w:rPr>
        <w:t>Centre-based services (</w:t>
      </w:r>
      <w:hyperlink r:id="rId360" w:tgtFrame="_blank" w:history="1">
        <w:r w:rsidRPr="00986D1E">
          <w:rPr>
            <w:rStyle w:val="Hyperlink"/>
          </w:rPr>
          <w:t>National Quality Framework Criminal history requirements: Centre-based services</w:t>
        </w:r>
      </w:hyperlink>
      <w:r>
        <w:rPr>
          <w:rFonts w:cs="Arial"/>
          <w:color w:val="000000"/>
          <w:lang w:eastAsia="en-AU"/>
        </w:rPr>
        <w:t>) (</w:t>
      </w:r>
      <w:r w:rsidRPr="00276391">
        <w:rPr>
          <w:rFonts w:cs="Arial"/>
          <w:color w:val="000000"/>
          <w:lang w:eastAsia="en-AU"/>
        </w:rPr>
        <w:t xml:space="preserve">external link, opens in a new window) </w:t>
      </w:r>
    </w:p>
    <w:p w14:paraId="4A04F667" w14:textId="77777777" w:rsidR="00856D53" w:rsidRPr="00276391" w:rsidRDefault="00856D53" w:rsidP="00856D53">
      <w:pPr>
        <w:pStyle w:val="DHHSbullet1"/>
        <w:rPr>
          <w:rFonts w:cs="Arial"/>
          <w:lang w:eastAsia="en-AU"/>
        </w:rPr>
      </w:pPr>
      <w:r w:rsidRPr="00B24C02">
        <w:rPr>
          <w:rFonts w:cs="Arial"/>
          <w:color w:val="000000"/>
          <w:szCs w:val="19"/>
          <w:lang w:eastAsia="en-AU"/>
        </w:rPr>
        <w:t>Family day care services (</w:t>
      </w:r>
      <w:hyperlink r:id="rId361" w:tgtFrame="_blank" w:history="1">
        <w:r w:rsidRPr="00986D1E">
          <w:rPr>
            <w:rStyle w:val="Hyperlink"/>
          </w:rPr>
          <w:t>National Quality Framework Criminal history requirements: family day care</w:t>
        </w:r>
      </w:hyperlink>
      <w:r>
        <w:rPr>
          <w:rFonts w:cs="Arial"/>
          <w:color w:val="000000"/>
          <w:szCs w:val="19"/>
          <w:lang w:eastAsia="en-AU"/>
        </w:rPr>
        <w:t>) (</w:t>
      </w:r>
      <w:r w:rsidRPr="00B24C02">
        <w:rPr>
          <w:rFonts w:cs="Arial"/>
          <w:color w:val="000000"/>
          <w:szCs w:val="19"/>
          <w:lang w:eastAsia="en-AU"/>
        </w:rPr>
        <w:t xml:space="preserve">external link, opens in a new window) </w:t>
      </w:r>
    </w:p>
    <w:p w14:paraId="3B6DB618" w14:textId="77777777" w:rsidR="00856D53" w:rsidRPr="00276391" w:rsidRDefault="00856D53" w:rsidP="00856D53">
      <w:pPr>
        <w:pStyle w:val="DHHSbody"/>
        <w:rPr>
          <w:lang w:eastAsia="en-AU"/>
        </w:rPr>
      </w:pPr>
      <w:r w:rsidRPr="00B24C02">
        <w:rPr>
          <w:rFonts w:cs="Arial"/>
          <w:color w:val="000000"/>
          <w:szCs w:val="19"/>
          <w:lang w:eastAsia="en-AU"/>
        </w:rPr>
        <w:t xml:space="preserve">Police record checks can be obtained directly from the </w:t>
      </w:r>
      <w:hyperlink r:id="rId362" w:tgtFrame="_blank" w:history="1">
        <w:r w:rsidRPr="00986D1E">
          <w:rPr>
            <w:rStyle w:val="Hyperlink"/>
          </w:rPr>
          <w:t>Victoria Police</w:t>
        </w:r>
      </w:hyperlink>
      <w:r>
        <w:rPr>
          <w:rStyle w:val="Hyperlink"/>
        </w:rPr>
        <w:t xml:space="preserve"> website</w:t>
      </w:r>
      <w:r w:rsidRPr="00B24C02">
        <w:rPr>
          <w:rFonts w:cs="Arial"/>
          <w:color w:val="000000"/>
          <w:szCs w:val="19"/>
          <w:lang w:eastAsia="en-AU"/>
        </w:rPr>
        <w:t xml:space="preserve"> </w:t>
      </w:r>
      <w:r>
        <w:rPr>
          <w:rFonts w:cs="Arial"/>
          <w:color w:val="000000"/>
          <w:szCs w:val="19"/>
          <w:lang w:eastAsia="en-AU"/>
        </w:rPr>
        <w:t>&lt;</w:t>
      </w:r>
      <w:r w:rsidRPr="000956DC">
        <w:rPr>
          <w:rFonts w:cs="Arial"/>
          <w:color w:val="000000"/>
          <w:szCs w:val="19"/>
          <w:lang w:eastAsia="en-AU"/>
        </w:rPr>
        <w:t>http://www.police.vic.gov.au/content.asp?Document_ID=2</w:t>
      </w:r>
      <w:r>
        <w:rPr>
          <w:rFonts w:cs="Arial"/>
          <w:color w:val="000000"/>
          <w:szCs w:val="19"/>
          <w:lang w:eastAsia="en-AU"/>
        </w:rPr>
        <w:t>&gt;</w:t>
      </w:r>
      <w:r w:rsidRPr="000956DC">
        <w:rPr>
          <w:rFonts w:cs="Arial"/>
          <w:color w:val="000000"/>
          <w:szCs w:val="19"/>
          <w:lang w:eastAsia="en-AU"/>
        </w:rPr>
        <w:t xml:space="preserve"> </w:t>
      </w:r>
      <w:r w:rsidRPr="00B24C02">
        <w:rPr>
          <w:rFonts w:cs="Arial"/>
          <w:color w:val="000000"/>
          <w:szCs w:val="19"/>
          <w:lang w:eastAsia="en-AU"/>
        </w:rPr>
        <w:t xml:space="preserve">(external link, opens in a new window) website or through an authorised service or agency accredited by </w:t>
      </w:r>
      <w:proofErr w:type="spellStart"/>
      <w:r w:rsidRPr="00B24C02">
        <w:rPr>
          <w:rFonts w:cs="Arial"/>
          <w:color w:val="000000"/>
          <w:szCs w:val="19"/>
          <w:lang w:eastAsia="en-AU"/>
        </w:rPr>
        <w:t>CrimTrac</w:t>
      </w:r>
      <w:proofErr w:type="spellEnd"/>
      <w:r w:rsidRPr="00B24C02">
        <w:rPr>
          <w:rFonts w:cs="Arial"/>
          <w:color w:val="000000"/>
          <w:szCs w:val="19"/>
          <w:lang w:eastAsia="en-AU"/>
        </w:rPr>
        <w:t xml:space="preserve">. </w:t>
      </w:r>
      <w:proofErr w:type="spellStart"/>
      <w:r w:rsidRPr="00B24C02">
        <w:rPr>
          <w:rFonts w:cs="Arial"/>
          <w:color w:val="000000"/>
          <w:szCs w:val="19"/>
          <w:lang w:eastAsia="en-AU"/>
        </w:rPr>
        <w:t>CrimTrac</w:t>
      </w:r>
      <w:proofErr w:type="spellEnd"/>
      <w:r w:rsidRPr="00B24C02">
        <w:rPr>
          <w:rFonts w:cs="Arial"/>
          <w:color w:val="000000"/>
          <w:szCs w:val="19"/>
          <w:lang w:eastAsia="en-AU"/>
        </w:rPr>
        <w:t xml:space="preserve"> is the national information sharing service for Australia's police, law enforcement and national security agencies. A list of agencies accredited by </w:t>
      </w:r>
      <w:proofErr w:type="spellStart"/>
      <w:r w:rsidRPr="00B24C02">
        <w:rPr>
          <w:rFonts w:cs="Arial"/>
          <w:color w:val="000000"/>
          <w:szCs w:val="19"/>
          <w:lang w:eastAsia="en-AU"/>
        </w:rPr>
        <w:t>CrimTrac</w:t>
      </w:r>
      <w:proofErr w:type="spellEnd"/>
      <w:r w:rsidRPr="00B24C02">
        <w:rPr>
          <w:rFonts w:cs="Arial"/>
          <w:color w:val="000000"/>
          <w:szCs w:val="19"/>
          <w:lang w:eastAsia="en-AU"/>
        </w:rPr>
        <w:t xml:space="preserve"> can be found on the </w:t>
      </w:r>
      <w:hyperlink r:id="rId363" w:tgtFrame="_blank" w:history="1">
        <w:r w:rsidRPr="00986D1E">
          <w:rPr>
            <w:rStyle w:val="Hyperlink"/>
          </w:rPr>
          <w:t>CrimTrac</w:t>
        </w:r>
      </w:hyperlink>
      <w:r w:rsidRPr="00B24C02">
        <w:rPr>
          <w:rFonts w:cs="Arial"/>
          <w:color w:val="000000"/>
          <w:szCs w:val="19"/>
          <w:lang w:eastAsia="en-AU"/>
        </w:rPr>
        <w:t xml:space="preserve"> </w:t>
      </w:r>
      <w:r>
        <w:rPr>
          <w:rFonts w:cs="Arial"/>
          <w:color w:val="000000"/>
          <w:szCs w:val="19"/>
          <w:lang w:eastAsia="en-AU"/>
        </w:rPr>
        <w:t>&lt;</w:t>
      </w:r>
      <w:r w:rsidRPr="000956DC">
        <w:rPr>
          <w:rFonts w:cs="Arial"/>
          <w:color w:val="000000"/>
          <w:szCs w:val="19"/>
          <w:lang w:eastAsia="en-AU"/>
        </w:rPr>
        <w:t>https://www.crimtrac.gov.au/</w:t>
      </w:r>
      <w:r>
        <w:rPr>
          <w:rFonts w:cs="Arial"/>
          <w:color w:val="000000"/>
          <w:szCs w:val="19"/>
          <w:lang w:eastAsia="en-AU"/>
        </w:rPr>
        <w:t xml:space="preserve">&gt; </w:t>
      </w:r>
      <w:r w:rsidRPr="00B24C02">
        <w:rPr>
          <w:rFonts w:cs="Arial"/>
          <w:color w:val="000000"/>
          <w:szCs w:val="19"/>
          <w:lang w:eastAsia="en-AU"/>
        </w:rPr>
        <w:t>(external link, opens in a new window) website.</w:t>
      </w:r>
    </w:p>
    <w:p w14:paraId="7AEF870A" w14:textId="77777777" w:rsidR="00856D53" w:rsidRPr="00276391" w:rsidRDefault="00856D53" w:rsidP="00856D53">
      <w:pPr>
        <w:pStyle w:val="Heading4"/>
        <w:rPr>
          <w:lang w:eastAsia="en-AU"/>
        </w:rPr>
      </w:pPr>
      <w:r w:rsidRPr="00276391">
        <w:rPr>
          <w:lang w:eastAsia="en-AU"/>
        </w:rPr>
        <w:t>Qualification check</w:t>
      </w:r>
    </w:p>
    <w:p w14:paraId="521C800B" w14:textId="77777777" w:rsidR="00856D53" w:rsidRPr="00276391" w:rsidRDefault="00856D53" w:rsidP="00856D53">
      <w:pPr>
        <w:pStyle w:val="DHHSbody"/>
        <w:rPr>
          <w:lang w:eastAsia="en-AU"/>
        </w:rPr>
      </w:pPr>
      <w:r w:rsidRPr="00B24C02">
        <w:rPr>
          <w:rFonts w:cs="Arial"/>
          <w:color w:val="000000"/>
          <w:szCs w:val="19"/>
          <w:lang w:eastAsia="en-AU"/>
        </w:rPr>
        <w:t>If qualifications are a mandatory requirement of the role, original qualifications must be copied, certified as being a true copy of the original and dated by the relevant delegate then returned to the applicant.</w:t>
      </w:r>
    </w:p>
    <w:p w14:paraId="2A69181D" w14:textId="77777777" w:rsidR="00856D53" w:rsidRPr="00276391" w:rsidRDefault="00856D53" w:rsidP="00856D53">
      <w:pPr>
        <w:pStyle w:val="DHHSbody"/>
        <w:rPr>
          <w:lang w:eastAsia="en-AU"/>
        </w:rPr>
      </w:pPr>
      <w:r w:rsidRPr="00276391">
        <w:rPr>
          <w:lang w:eastAsia="en-AU"/>
        </w:rPr>
        <w:t>If there are any concerns about the authenticity of the qualification as presented, the issuing institution must be contacted directly to verify that the authenticity of the qualification.</w:t>
      </w:r>
    </w:p>
    <w:p w14:paraId="1CCEDC84" w14:textId="77777777" w:rsidR="00856D53" w:rsidRPr="00276391" w:rsidRDefault="00856D53" w:rsidP="00856D53">
      <w:pPr>
        <w:pStyle w:val="Heading4"/>
        <w:rPr>
          <w:lang w:eastAsia="en-AU"/>
        </w:rPr>
      </w:pPr>
      <w:r w:rsidRPr="00276391">
        <w:rPr>
          <w:lang w:eastAsia="en-AU"/>
        </w:rPr>
        <w:t>Referee checks</w:t>
      </w:r>
    </w:p>
    <w:p w14:paraId="46EE6E79" w14:textId="77777777" w:rsidR="00856D53" w:rsidRPr="00276391" w:rsidRDefault="00856D53" w:rsidP="00856D53">
      <w:pPr>
        <w:pStyle w:val="DHHSbody"/>
        <w:rPr>
          <w:lang w:eastAsia="en-AU"/>
        </w:rPr>
      </w:pPr>
      <w:r w:rsidRPr="00B24C02">
        <w:rPr>
          <w:rFonts w:cs="Arial"/>
          <w:color w:val="000000"/>
          <w:szCs w:val="19"/>
          <w:lang w:eastAsia="en-AU"/>
        </w:rPr>
        <w:t xml:space="preserve">Referee checks are an important part of the safety screening process. A minimum of two checks should be carried out to confirm the applicant's suitability, including contact with their most recent employer. </w:t>
      </w:r>
      <w:r w:rsidRPr="00B24C02">
        <w:rPr>
          <w:rFonts w:cs="Arial"/>
          <w:color w:val="000000"/>
          <w:szCs w:val="19"/>
          <w:lang w:eastAsia="en-AU"/>
        </w:rPr>
        <w:lastRenderedPageBreak/>
        <w:t xml:space="preserve">Refer to the template </w:t>
      </w:r>
      <w:hyperlink r:id="rId364" w:tgtFrame="_blank" w:history="1">
        <w:r w:rsidRPr="00986D1E">
          <w:rPr>
            <w:rStyle w:val="Hyperlink"/>
          </w:rPr>
          <w:t>Safety screening referee check template</w:t>
        </w:r>
      </w:hyperlink>
      <w:r w:rsidRPr="00B24C02">
        <w:rPr>
          <w:rFonts w:cs="Arial"/>
          <w:color w:val="000000"/>
          <w:szCs w:val="19"/>
          <w:lang w:eastAsia="en-AU"/>
        </w:rPr>
        <w:t xml:space="preserve"> </w:t>
      </w:r>
      <w:r>
        <w:rPr>
          <w:rFonts w:cs="Arial"/>
          <w:color w:val="000000"/>
          <w:szCs w:val="19"/>
          <w:lang w:eastAsia="en-AU"/>
        </w:rPr>
        <w:t>&lt;</w:t>
      </w:r>
      <w:r w:rsidRPr="003757A2">
        <w:rPr>
          <w:rFonts w:cs="Arial"/>
          <w:color w:val="000000"/>
          <w:szCs w:val="19"/>
          <w:lang w:eastAsia="en-AU"/>
        </w:rPr>
        <w:t>http://www.dhs.vic.gov.au/__data/assets/word_doc/0003/871410/4.6-Safety-screening-referee-check-template-SA-info-kit-30052014.doc</w:t>
      </w:r>
      <w:r>
        <w:rPr>
          <w:rFonts w:cs="Arial"/>
          <w:color w:val="000000"/>
          <w:szCs w:val="19"/>
          <w:lang w:eastAsia="en-AU"/>
        </w:rPr>
        <w:t>&gt;</w:t>
      </w:r>
      <w:r w:rsidRPr="003757A2">
        <w:rPr>
          <w:rFonts w:cs="Arial"/>
          <w:color w:val="000000"/>
          <w:szCs w:val="19"/>
          <w:lang w:eastAsia="en-AU"/>
        </w:rPr>
        <w:t xml:space="preserve"> </w:t>
      </w:r>
      <w:r w:rsidRPr="00B24C02">
        <w:rPr>
          <w:rFonts w:cs="Arial"/>
          <w:color w:val="000000"/>
          <w:szCs w:val="19"/>
          <w:lang w:eastAsia="en-AU"/>
        </w:rPr>
        <w:t>(Word 55 KB, opens in a new window).</w:t>
      </w:r>
    </w:p>
    <w:p w14:paraId="4410EC7A" w14:textId="77777777" w:rsidR="00856D53" w:rsidRPr="00276391" w:rsidRDefault="00856D53" w:rsidP="00856D53">
      <w:pPr>
        <w:pStyle w:val="Heading4"/>
        <w:rPr>
          <w:lang w:eastAsia="en-AU"/>
        </w:rPr>
      </w:pPr>
      <w:r w:rsidRPr="00276391">
        <w:rPr>
          <w:lang w:eastAsia="en-AU"/>
        </w:rPr>
        <w:t>Recording and Storage of Documentation</w:t>
      </w:r>
    </w:p>
    <w:p w14:paraId="584CD9F6" w14:textId="779F1463" w:rsidR="00856D53" w:rsidRPr="00276391" w:rsidRDefault="00856D53" w:rsidP="00856D53">
      <w:pPr>
        <w:pStyle w:val="DHHSbody"/>
        <w:rPr>
          <w:lang w:eastAsia="en-AU"/>
        </w:rPr>
      </w:pPr>
      <w:r w:rsidRPr="00B24C02">
        <w:rPr>
          <w:rFonts w:cs="Arial"/>
          <w:color w:val="000000"/>
          <w:szCs w:val="19"/>
          <w:lang w:eastAsia="en-AU"/>
        </w:rPr>
        <w:t xml:space="preserve">Information obtained as part of the safety screening process must be treated with the highest level of confidentiality in accordance with the relevant legislation and standards. Refer to the table </w:t>
      </w:r>
      <w:hyperlink r:id="rId365" w:tgtFrame="_blank" w:history="1">
        <w:r w:rsidRPr="00986D1E">
          <w:rPr>
            <w:rStyle w:val="Hyperlink"/>
          </w:rPr>
          <w:t>Record Storage and Destruction</w:t>
        </w:r>
      </w:hyperlink>
      <w:r w:rsidRPr="00B24C02">
        <w:rPr>
          <w:rFonts w:cs="Arial"/>
          <w:color w:val="000000"/>
          <w:szCs w:val="19"/>
          <w:lang w:eastAsia="en-AU"/>
        </w:rPr>
        <w:t xml:space="preserve"> </w:t>
      </w:r>
      <w:r>
        <w:rPr>
          <w:rFonts w:cs="Arial"/>
          <w:color w:val="000000"/>
          <w:szCs w:val="19"/>
          <w:lang w:eastAsia="en-AU"/>
        </w:rPr>
        <w:t>&lt;</w:t>
      </w:r>
      <w:r w:rsidR="00B5601B" w:rsidRPr="00B5601B">
        <w:rPr>
          <w:rFonts w:cs="Arial"/>
          <w:color w:val="000000"/>
          <w:szCs w:val="19"/>
          <w:lang w:eastAsia="en-AU"/>
        </w:rPr>
        <w:t>https://fac.dhhs.vic.gov.au/record-storage-and-destruction</w:t>
      </w:r>
      <w:r>
        <w:rPr>
          <w:rFonts w:cs="Arial"/>
          <w:color w:val="000000"/>
          <w:szCs w:val="19"/>
          <w:lang w:eastAsia="en-AU"/>
        </w:rPr>
        <w:t>&gt;</w:t>
      </w:r>
      <w:r w:rsidRPr="003757A2">
        <w:rPr>
          <w:rFonts w:cs="Arial"/>
          <w:color w:val="000000"/>
          <w:szCs w:val="19"/>
          <w:lang w:eastAsia="en-AU"/>
        </w:rPr>
        <w:t xml:space="preserve"> </w:t>
      </w:r>
      <w:r w:rsidRPr="00B24C02">
        <w:rPr>
          <w:rFonts w:cs="Arial"/>
          <w:color w:val="000000"/>
          <w:szCs w:val="19"/>
          <w:lang w:eastAsia="en-AU"/>
        </w:rPr>
        <w:t>(Word 85 KB, opens in a new window) for details.</w:t>
      </w:r>
    </w:p>
    <w:p w14:paraId="1752A3D0" w14:textId="77777777" w:rsidR="00856D53" w:rsidRPr="00276391" w:rsidRDefault="00856D53" w:rsidP="00856D53">
      <w:pPr>
        <w:pStyle w:val="DHHSbody"/>
        <w:rPr>
          <w:lang w:eastAsia="en-AU"/>
        </w:rPr>
      </w:pPr>
      <w:r w:rsidRPr="00276391">
        <w:rPr>
          <w:lang w:eastAsia="en-AU"/>
        </w:rPr>
        <w:t>Particular record keeping requirements apply to certain services. For more information, refer to the fact sheets below.</w:t>
      </w:r>
    </w:p>
    <w:p w14:paraId="58631630" w14:textId="77777777" w:rsidR="00856D53" w:rsidRPr="00E10CB8" w:rsidRDefault="00856D53" w:rsidP="00856D53">
      <w:pPr>
        <w:pStyle w:val="DHHSbullet1"/>
        <w:rPr>
          <w:rFonts w:cs="Arial"/>
          <w:lang w:eastAsia="en-AU"/>
        </w:rPr>
      </w:pPr>
      <w:r w:rsidRPr="00E10CB8">
        <w:rPr>
          <w:rFonts w:cs="Arial"/>
          <w:color w:val="000000"/>
          <w:lang w:eastAsia="en-AU"/>
        </w:rPr>
        <w:t>Licensed children’s services (</w:t>
      </w:r>
      <w:hyperlink r:id="rId366" w:tgtFrame="_blank" w:history="1">
        <w:r w:rsidRPr="00986D1E">
          <w:rPr>
            <w:rStyle w:val="Hyperlink"/>
          </w:rPr>
          <w:t>Criminal history check requirements for licensed children's services</w:t>
        </w:r>
      </w:hyperlink>
      <w:r>
        <w:rPr>
          <w:rFonts w:cs="Arial"/>
          <w:color w:val="000000"/>
          <w:lang w:eastAsia="en-AU"/>
        </w:rPr>
        <w:t>)</w:t>
      </w:r>
      <w:r w:rsidRPr="00E10CB8">
        <w:rPr>
          <w:rFonts w:cs="Arial"/>
          <w:color w:val="000000"/>
          <w:lang w:eastAsia="en-AU"/>
        </w:rPr>
        <w:t xml:space="preserve"> &lt;http://www.education.vic.gov.au/Documents/childhood/providers/regulation/pracnotescrimhistory.pdf</w:t>
      </w:r>
      <w:r>
        <w:rPr>
          <w:rFonts w:cs="Arial"/>
          <w:color w:val="000000"/>
          <w:lang w:eastAsia="en-AU"/>
        </w:rPr>
        <w:t>&gt;</w:t>
      </w:r>
      <w:r w:rsidRPr="00E10CB8">
        <w:rPr>
          <w:rFonts w:cs="Arial"/>
          <w:color w:val="000000"/>
          <w:lang w:eastAsia="en-AU"/>
        </w:rPr>
        <w:t xml:space="preserve"> (external link, opens in a new window) </w:t>
      </w:r>
    </w:p>
    <w:p w14:paraId="6C570F0B" w14:textId="6391BF20" w:rsidR="00856D53" w:rsidRPr="00B5601B" w:rsidRDefault="00856D53" w:rsidP="00B5601B">
      <w:pPr>
        <w:pStyle w:val="DHHSbullet1"/>
        <w:rPr>
          <w:rFonts w:cs="Arial"/>
          <w:lang w:eastAsia="en-AU"/>
        </w:rPr>
      </w:pPr>
      <w:r w:rsidRPr="00B5601B">
        <w:rPr>
          <w:rFonts w:cs="Arial"/>
          <w:color w:val="000000"/>
          <w:lang w:eastAsia="en-AU"/>
        </w:rPr>
        <w:t>Centre-based services (</w:t>
      </w:r>
      <w:hyperlink r:id="rId367" w:tgtFrame="_blank" w:history="1">
        <w:r w:rsidRPr="00986D1E">
          <w:rPr>
            <w:rStyle w:val="Hyperlink"/>
          </w:rPr>
          <w:t>National Quality Framework Criminal history requirements: Centre-based services</w:t>
        </w:r>
      </w:hyperlink>
      <w:r w:rsidRPr="00B5601B">
        <w:rPr>
          <w:rFonts w:cs="Arial"/>
          <w:color w:val="000000"/>
          <w:lang w:eastAsia="en-AU"/>
        </w:rPr>
        <w:t xml:space="preserve">) </w:t>
      </w:r>
      <w:r w:rsidR="00B5601B" w:rsidRPr="00B5601B">
        <w:rPr>
          <w:rFonts w:cs="Arial"/>
          <w:color w:val="000000"/>
          <w:lang w:eastAsia="en-AU"/>
        </w:rPr>
        <w:t>&lt;http://www.education.vic.gov.au/Documents/childhood/providers/regulation/nqfcrimhistcentre0214.pdf</w:t>
      </w:r>
      <w:r w:rsidR="00B5601B">
        <w:rPr>
          <w:rFonts w:cs="Arial"/>
          <w:color w:val="000000"/>
          <w:lang w:eastAsia="en-AU"/>
        </w:rPr>
        <w:t>&gt;</w:t>
      </w:r>
      <w:r w:rsidR="00B5601B" w:rsidRPr="00B5601B">
        <w:rPr>
          <w:rFonts w:cs="Arial"/>
          <w:color w:val="000000"/>
          <w:lang w:eastAsia="en-AU"/>
        </w:rPr>
        <w:t xml:space="preserve"> </w:t>
      </w:r>
      <w:r w:rsidRPr="00B5601B">
        <w:rPr>
          <w:rFonts w:cs="Arial"/>
          <w:color w:val="000000"/>
          <w:lang w:eastAsia="en-AU"/>
        </w:rPr>
        <w:t xml:space="preserve">(external link, opens in a new window) </w:t>
      </w:r>
    </w:p>
    <w:p w14:paraId="62E91081" w14:textId="156B6DD0" w:rsidR="00856D53" w:rsidRPr="00B5601B" w:rsidRDefault="00856D53" w:rsidP="00B5601B">
      <w:pPr>
        <w:pStyle w:val="DHHSbullet1"/>
        <w:rPr>
          <w:rFonts w:cs="Arial"/>
          <w:lang w:eastAsia="en-AU"/>
        </w:rPr>
      </w:pPr>
      <w:r w:rsidRPr="00B5601B">
        <w:rPr>
          <w:rFonts w:cs="Arial"/>
          <w:color w:val="000000"/>
          <w:szCs w:val="19"/>
          <w:lang w:eastAsia="en-AU"/>
        </w:rPr>
        <w:t>Family day care services (</w:t>
      </w:r>
      <w:hyperlink r:id="rId368" w:tgtFrame="_blank" w:history="1">
        <w:r w:rsidRPr="00986D1E">
          <w:rPr>
            <w:rStyle w:val="Hyperlink"/>
          </w:rPr>
          <w:t>National Quality Framework Criminal history requirements: family day care</w:t>
        </w:r>
      </w:hyperlink>
      <w:r w:rsidRPr="00B5601B">
        <w:rPr>
          <w:rFonts w:cs="Arial"/>
          <w:color w:val="000000"/>
          <w:szCs w:val="19"/>
          <w:lang w:eastAsia="en-AU"/>
        </w:rPr>
        <w:t xml:space="preserve">) </w:t>
      </w:r>
      <w:r w:rsidR="00B5601B" w:rsidRPr="00B5601B">
        <w:rPr>
          <w:rFonts w:cs="Arial"/>
          <w:color w:val="000000"/>
          <w:szCs w:val="19"/>
          <w:lang w:eastAsia="en-AU"/>
        </w:rPr>
        <w:t>&lt;http://www.education.vic.gov.au/Documents/childhood/providers/regulation/nqfcriminalhistoryfdc-23-11-2015.pdf</w:t>
      </w:r>
      <w:r w:rsidR="00B5601B">
        <w:rPr>
          <w:rFonts w:cs="Arial"/>
          <w:color w:val="000000"/>
          <w:szCs w:val="19"/>
          <w:lang w:eastAsia="en-AU"/>
        </w:rPr>
        <w:t xml:space="preserve">&gt; </w:t>
      </w:r>
      <w:r w:rsidRPr="00B5601B">
        <w:rPr>
          <w:rFonts w:cs="Arial"/>
          <w:color w:val="000000"/>
          <w:szCs w:val="19"/>
          <w:lang w:eastAsia="en-AU"/>
        </w:rPr>
        <w:t xml:space="preserve">(external link, opens in a new window) </w:t>
      </w:r>
    </w:p>
    <w:p w14:paraId="222B1A47" w14:textId="77777777" w:rsidR="00856D53" w:rsidRPr="00276391" w:rsidRDefault="00856D53" w:rsidP="00856D53">
      <w:pPr>
        <w:pStyle w:val="Heading4"/>
        <w:rPr>
          <w:lang w:eastAsia="en-AU"/>
        </w:rPr>
      </w:pPr>
      <w:r w:rsidRPr="00276391">
        <w:rPr>
          <w:lang w:eastAsia="en-AU"/>
        </w:rPr>
        <w:t>Statutory Declaration of Full Disclosure</w:t>
      </w:r>
    </w:p>
    <w:p w14:paraId="6A9BE178" w14:textId="77777777" w:rsidR="00856D53" w:rsidRPr="00276391" w:rsidRDefault="00856D53" w:rsidP="00856D53">
      <w:pPr>
        <w:pStyle w:val="DHHSbody"/>
        <w:rPr>
          <w:lang w:eastAsia="en-AU"/>
        </w:rPr>
      </w:pPr>
      <w:r w:rsidRPr="00B24C02">
        <w:rPr>
          <w:rFonts w:cs="Arial"/>
          <w:color w:val="000000"/>
          <w:szCs w:val="19"/>
          <w:lang w:eastAsia="en-AU"/>
        </w:rPr>
        <w:t>Funded or registered organisations and authorised agencies should ask prospective employees to sign a statutory declaration, affirming that the prospective employee has fully disclosed any pending charges, convictions, disciplinary actions, findings of improper conduct, or any investigations to which they have been subject.</w:t>
      </w:r>
    </w:p>
    <w:p w14:paraId="7925A3F6" w14:textId="77777777" w:rsidR="00856D53" w:rsidRPr="00276391" w:rsidRDefault="00856D53" w:rsidP="00856D53">
      <w:pPr>
        <w:pStyle w:val="DHHSbody"/>
        <w:rPr>
          <w:lang w:eastAsia="en-AU"/>
        </w:rPr>
      </w:pPr>
      <w:proofErr w:type="gramStart"/>
      <w:r w:rsidRPr="00276391">
        <w:rPr>
          <w:lang w:eastAsia="en-AU"/>
        </w:rPr>
        <w:t>Alternatively</w:t>
      </w:r>
      <w:proofErr w:type="gramEnd"/>
      <w:r w:rsidRPr="00276391">
        <w:rPr>
          <w:lang w:eastAsia="en-AU"/>
        </w:rPr>
        <w:t xml:space="preserve"> a statement to this effect could be included in the contract of employment paperwork.</w:t>
      </w:r>
    </w:p>
    <w:p w14:paraId="34101FBC" w14:textId="77777777" w:rsidR="00856D53" w:rsidRPr="00276391" w:rsidRDefault="00856D53" w:rsidP="00856D53">
      <w:pPr>
        <w:pStyle w:val="Heading4"/>
        <w:rPr>
          <w:lang w:eastAsia="en-AU"/>
        </w:rPr>
      </w:pPr>
      <w:r w:rsidRPr="00276391">
        <w:rPr>
          <w:lang w:eastAsia="en-AU"/>
        </w:rPr>
        <w:t>Ongoing disclosure</w:t>
      </w:r>
    </w:p>
    <w:p w14:paraId="699E4370" w14:textId="77777777" w:rsidR="00856D53" w:rsidRPr="00276391" w:rsidRDefault="00856D53" w:rsidP="00856D53">
      <w:pPr>
        <w:pStyle w:val="DHHSbody"/>
        <w:rPr>
          <w:lang w:eastAsia="en-AU"/>
        </w:rPr>
      </w:pPr>
      <w:r w:rsidRPr="00B24C02">
        <w:rPr>
          <w:rFonts w:cs="Arial"/>
          <w:color w:val="000000"/>
          <w:szCs w:val="19"/>
          <w:lang w:eastAsia="en-AU"/>
        </w:rPr>
        <w:t>Future risks are not mitigated by one-off safety screening at recruitment. Funded organisations should incorporate a statement in their employment agreements requiring staff to inform their manager if the employee is:</w:t>
      </w:r>
    </w:p>
    <w:p w14:paraId="778E1F36" w14:textId="77777777" w:rsidR="00856D53" w:rsidRPr="00276391" w:rsidRDefault="00856D53" w:rsidP="00856D53">
      <w:pPr>
        <w:pStyle w:val="DHHSbullet1"/>
        <w:rPr>
          <w:rFonts w:cs="Arial"/>
          <w:lang w:eastAsia="en-AU"/>
        </w:rPr>
      </w:pPr>
      <w:r w:rsidRPr="00276391">
        <w:rPr>
          <w:rFonts w:cs="Arial"/>
          <w:lang w:eastAsia="en-AU"/>
        </w:rPr>
        <w:t xml:space="preserve">charged with a criminal offence that could reasonably affect their ability to meet the inherent requirements of their job; or </w:t>
      </w:r>
    </w:p>
    <w:p w14:paraId="225060AB" w14:textId="77777777" w:rsidR="00856D53" w:rsidRPr="00276391" w:rsidRDefault="00856D53" w:rsidP="00856D53">
      <w:pPr>
        <w:pStyle w:val="DHHSbullet1"/>
        <w:rPr>
          <w:rFonts w:cs="Arial"/>
          <w:lang w:eastAsia="en-AU"/>
        </w:rPr>
      </w:pPr>
      <w:r w:rsidRPr="00276391">
        <w:rPr>
          <w:rFonts w:cs="Arial"/>
          <w:lang w:eastAsia="en-AU"/>
        </w:rPr>
        <w:t xml:space="preserve">subject to a formal disciplinary action by any current or former employer. </w:t>
      </w:r>
    </w:p>
    <w:p w14:paraId="009931F4" w14:textId="77777777" w:rsidR="00856D53" w:rsidRPr="00276391" w:rsidRDefault="00856D53" w:rsidP="00856D53">
      <w:pPr>
        <w:pStyle w:val="Heading4"/>
        <w:rPr>
          <w:lang w:eastAsia="en-AU"/>
        </w:rPr>
      </w:pPr>
      <w:r w:rsidRPr="00276391">
        <w:rPr>
          <w:lang w:eastAsia="en-AU"/>
        </w:rPr>
        <w:t>For further information</w:t>
      </w:r>
    </w:p>
    <w:p w14:paraId="101E091A" w14:textId="77777777" w:rsidR="00856D53" w:rsidRPr="00276391" w:rsidRDefault="00856D53" w:rsidP="00856D53">
      <w:pPr>
        <w:pStyle w:val="DHHSbody"/>
        <w:rPr>
          <w:lang w:eastAsia="en-AU"/>
        </w:rPr>
      </w:pPr>
      <w:r w:rsidRPr="00B24C02">
        <w:rPr>
          <w:rFonts w:cs="Arial"/>
          <w:color w:val="000000"/>
          <w:szCs w:val="19"/>
          <w:lang w:eastAsia="en-AU"/>
        </w:rPr>
        <w:t xml:space="preserve">Megan </w:t>
      </w:r>
      <w:proofErr w:type="spellStart"/>
      <w:r w:rsidRPr="00B24C02">
        <w:rPr>
          <w:rFonts w:cs="Arial"/>
          <w:color w:val="000000"/>
          <w:szCs w:val="19"/>
          <w:lang w:eastAsia="en-AU"/>
        </w:rPr>
        <w:t>Leuenberger</w:t>
      </w:r>
      <w:proofErr w:type="spellEnd"/>
      <w:r w:rsidRPr="00B24C02">
        <w:rPr>
          <w:rFonts w:cs="Arial"/>
          <w:color w:val="000000"/>
          <w:szCs w:val="19"/>
          <w:lang w:eastAsia="en-AU"/>
        </w:rPr>
        <w:t>, Principal Maternal Child Health Nurse Advisor, Wellbeing, Health and Engagement Division,</w:t>
      </w:r>
      <w:r w:rsidRPr="00B24C02">
        <w:rPr>
          <w:rFonts w:cs="Arial"/>
          <w:color w:val="000000"/>
          <w:szCs w:val="19"/>
          <w:lang w:eastAsia="en-AU"/>
        </w:rPr>
        <w:br/>
        <w:t>Phone: (03) 9651 3040</w:t>
      </w:r>
      <w:r w:rsidRPr="00B24C02">
        <w:rPr>
          <w:rFonts w:cs="Arial"/>
          <w:color w:val="000000"/>
          <w:szCs w:val="19"/>
          <w:lang w:eastAsia="en-AU"/>
        </w:rPr>
        <w:br/>
        <w:t xml:space="preserve">Email: </w:t>
      </w:r>
      <w:hyperlink r:id="rId369" w:history="1">
        <w:r w:rsidRPr="00986D1E">
          <w:rPr>
            <w:rStyle w:val="Hyperlink"/>
          </w:rPr>
          <w:t>leuenberger.megan.e@edumail.vic.gov.au</w:t>
        </w:r>
      </w:hyperlink>
    </w:p>
    <w:p w14:paraId="6B4FEB68" w14:textId="77777777" w:rsidR="00856D53" w:rsidRPr="00276391" w:rsidRDefault="00856D53" w:rsidP="00856D53">
      <w:pPr>
        <w:pStyle w:val="DHHSbody"/>
        <w:rPr>
          <w:lang w:eastAsia="en-AU"/>
        </w:rPr>
      </w:pPr>
      <w:r w:rsidRPr="00276391">
        <w:rPr>
          <w:lang w:eastAsia="en-AU"/>
        </w:rPr>
        <w:t xml:space="preserve">Alison </w:t>
      </w:r>
      <w:proofErr w:type="spellStart"/>
      <w:r w:rsidRPr="00276391">
        <w:rPr>
          <w:lang w:eastAsia="en-AU"/>
        </w:rPr>
        <w:t>Nuske</w:t>
      </w:r>
      <w:proofErr w:type="spellEnd"/>
      <w:r w:rsidRPr="00276391">
        <w:rPr>
          <w:lang w:eastAsia="en-AU"/>
        </w:rPr>
        <w:t>, Senior Project Officer, Nursing Services Unit, Wellbeing, Health and Engagement Division,</w:t>
      </w:r>
      <w:r w:rsidRPr="00276391">
        <w:rPr>
          <w:lang w:eastAsia="en-AU"/>
        </w:rPr>
        <w:br/>
        <w:t>Phone: (03) 9651 3473</w:t>
      </w:r>
      <w:r w:rsidRPr="00276391">
        <w:rPr>
          <w:lang w:eastAsia="en-AU"/>
        </w:rPr>
        <w:br/>
        <w:t xml:space="preserve">Email: </w:t>
      </w:r>
      <w:hyperlink r:id="rId370" w:history="1">
        <w:r w:rsidRPr="00986D1E">
          <w:rPr>
            <w:rStyle w:val="Hyperlink"/>
          </w:rPr>
          <w:t>nuske.alison.j@edumail.vic.gov.au</w:t>
        </w:r>
      </w:hyperlink>
    </w:p>
    <w:p w14:paraId="7406ECA0" w14:textId="3C2E21B6" w:rsidR="00856D53" w:rsidRPr="00276391" w:rsidRDefault="00B30C4B" w:rsidP="00856D53">
      <w:pPr>
        <w:pStyle w:val="Heading2"/>
        <w:rPr>
          <w:rFonts w:cs="Arial"/>
          <w:lang w:eastAsia="en-AU"/>
        </w:rPr>
      </w:pPr>
      <w:bookmarkStart w:id="927" w:name="_Toc4142153"/>
      <w:r>
        <w:rPr>
          <w:rFonts w:cs="Arial"/>
          <w:lang w:eastAsia="en-AU"/>
        </w:rPr>
        <w:lastRenderedPageBreak/>
        <w:t>5.6</w:t>
      </w:r>
      <w:r w:rsidR="00856D53" w:rsidRPr="00276391">
        <w:rPr>
          <w:rFonts w:cs="Arial"/>
          <w:lang w:eastAsia="en-AU"/>
        </w:rPr>
        <w:t xml:space="preserve"> Occupational health and safety</w:t>
      </w:r>
      <w:bookmarkEnd w:id="927"/>
    </w:p>
    <w:p w14:paraId="0D739461" w14:textId="0B66B795" w:rsidR="00856D53" w:rsidRPr="00276391" w:rsidRDefault="00856D53" w:rsidP="00856D53">
      <w:pPr>
        <w:pStyle w:val="DHHSbody"/>
        <w:rPr>
          <w:lang w:eastAsia="en-AU"/>
        </w:rPr>
      </w:pPr>
      <w:r w:rsidRPr="00B24C02">
        <w:rPr>
          <w:rFonts w:cs="Arial"/>
          <w:color w:val="000000"/>
          <w:szCs w:val="19"/>
          <w:lang w:eastAsia="en-AU"/>
        </w:rPr>
        <w:t xml:space="preserve">An organisation entering into a </w:t>
      </w:r>
      <w:r w:rsidR="009B3052">
        <w:rPr>
          <w:rFonts w:cs="Arial"/>
          <w:color w:val="000000"/>
          <w:szCs w:val="19"/>
          <w:lang w:eastAsia="en-AU"/>
        </w:rPr>
        <w:t>Service agreement</w:t>
      </w:r>
      <w:r w:rsidRPr="00B24C02">
        <w:rPr>
          <w:rFonts w:cs="Arial"/>
          <w:color w:val="000000"/>
          <w:szCs w:val="19"/>
          <w:lang w:eastAsia="en-AU"/>
        </w:rPr>
        <w:t xml:space="preserve"> must be aware of and able to provide an appropriate documented system to demonstrate compliance with its occupational health and safety obligations under all relevant State and Federal law, including the Victorian Occupational Health and Safety Act 2004 (the Act) and Occupational Health and Safety Regulations 2007 (OHS Regulations). Particularly relevant sections of the Act are 21(1), 21(2), 21(3), 22, 23, 26 and 32.</w:t>
      </w:r>
    </w:p>
    <w:p w14:paraId="260FF939" w14:textId="77777777" w:rsidR="00856D53" w:rsidRPr="00276391" w:rsidRDefault="00856D53" w:rsidP="00856D53">
      <w:pPr>
        <w:pStyle w:val="DHHSbody"/>
        <w:rPr>
          <w:lang w:eastAsia="en-AU"/>
        </w:rPr>
      </w:pPr>
      <w:r w:rsidRPr="00276391">
        <w:rPr>
          <w:lang w:eastAsia="en-AU"/>
        </w:rPr>
        <w:t>The principles of the Act are designed to provide a safe work place. These principles are as follows.</w:t>
      </w:r>
    </w:p>
    <w:p w14:paraId="4DD8CB16" w14:textId="77777777" w:rsidR="00856D53" w:rsidRPr="00276391" w:rsidRDefault="00856D53" w:rsidP="00856D53">
      <w:pPr>
        <w:pStyle w:val="DHHSbody"/>
        <w:rPr>
          <w:lang w:eastAsia="en-AU"/>
        </w:rPr>
      </w:pPr>
      <w:r w:rsidRPr="00276391">
        <w:rPr>
          <w:lang w:eastAsia="en-AU"/>
        </w:rPr>
        <w:t xml:space="preserve">Employees, other persons at work and members of the public are given the highest level of protection against risks to their health and safety that is reasonably practicable in the circumstances. </w:t>
      </w:r>
    </w:p>
    <w:p w14:paraId="10F3DA7F" w14:textId="77777777" w:rsidR="00856D53" w:rsidRPr="00276391" w:rsidRDefault="00856D53" w:rsidP="00856D53">
      <w:pPr>
        <w:pStyle w:val="DHHSbody"/>
        <w:rPr>
          <w:lang w:eastAsia="en-AU"/>
        </w:rPr>
      </w:pPr>
      <w:r w:rsidRPr="00276391">
        <w:rPr>
          <w:lang w:eastAsia="en-AU"/>
        </w:rPr>
        <w:t xml:space="preserve">Persons who control or manage matters that give rise or may give rise to risks to health or safety are responsible for eliminating or reducing those risks so far as is reasonably practicable. </w:t>
      </w:r>
    </w:p>
    <w:p w14:paraId="7611E2E5" w14:textId="77777777" w:rsidR="00856D53" w:rsidRPr="00276391" w:rsidRDefault="00856D53" w:rsidP="00856D53">
      <w:pPr>
        <w:pStyle w:val="DHHSbody"/>
        <w:rPr>
          <w:lang w:eastAsia="en-AU"/>
        </w:rPr>
      </w:pPr>
      <w:r w:rsidRPr="00276391">
        <w:rPr>
          <w:lang w:eastAsia="en-AU"/>
        </w:rPr>
        <w:t xml:space="preserve">Employers and self-employed persons should be </w:t>
      </w:r>
      <w:proofErr w:type="gramStart"/>
      <w:r w:rsidRPr="00276391">
        <w:rPr>
          <w:lang w:eastAsia="en-AU"/>
        </w:rPr>
        <w:t>proactive, and</w:t>
      </w:r>
      <w:proofErr w:type="gramEnd"/>
      <w:r w:rsidRPr="00276391">
        <w:rPr>
          <w:lang w:eastAsia="en-AU"/>
        </w:rPr>
        <w:t xml:space="preserve"> take all reasonably practicable measures to ensure health and safety at workplaces and in the conduct of undertakings. </w:t>
      </w:r>
    </w:p>
    <w:p w14:paraId="273A6434" w14:textId="77777777" w:rsidR="00856D53" w:rsidRPr="00276391" w:rsidRDefault="00856D53" w:rsidP="00856D53">
      <w:pPr>
        <w:pStyle w:val="DHHSbody"/>
        <w:rPr>
          <w:lang w:eastAsia="en-AU"/>
        </w:rPr>
      </w:pPr>
      <w:r w:rsidRPr="00276391">
        <w:rPr>
          <w:lang w:eastAsia="en-AU"/>
        </w:rPr>
        <w:t xml:space="preserve">Employers and employees should exchange information and ideas about risks to health and safety and measures that can be taken to eliminate or reduce those risks. </w:t>
      </w:r>
    </w:p>
    <w:p w14:paraId="0622DFDB" w14:textId="77777777" w:rsidR="00856D53" w:rsidRPr="00276391" w:rsidRDefault="00856D53" w:rsidP="00856D53">
      <w:pPr>
        <w:pStyle w:val="DHHSbody"/>
        <w:rPr>
          <w:lang w:eastAsia="en-AU"/>
        </w:rPr>
      </w:pPr>
      <w:r w:rsidRPr="00276391">
        <w:rPr>
          <w:lang w:eastAsia="en-AU"/>
        </w:rPr>
        <w:t xml:space="preserve">Employees are entitled, and should be encouraged, to be represented in relation to health and safety issues. </w:t>
      </w:r>
    </w:p>
    <w:p w14:paraId="02F29A8C" w14:textId="7CB399F3" w:rsidR="00856D53" w:rsidRPr="00276391" w:rsidRDefault="00856D53" w:rsidP="00856D53">
      <w:pPr>
        <w:pStyle w:val="DHHSbody"/>
        <w:rPr>
          <w:lang w:eastAsia="en-AU"/>
        </w:rPr>
      </w:pPr>
      <w:r w:rsidRPr="00276391">
        <w:rPr>
          <w:lang w:eastAsia="en-AU"/>
        </w:rPr>
        <w:t xml:space="preserve">Schedule 1 of the </w:t>
      </w:r>
      <w:r w:rsidR="009B3052">
        <w:rPr>
          <w:lang w:eastAsia="en-AU"/>
        </w:rPr>
        <w:t>Service agreement</w:t>
      </w:r>
      <w:r w:rsidRPr="00276391">
        <w:rPr>
          <w:lang w:eastAsia="en-AU"/>
        </w:rPr>
        <w:t xml:space="preserve"> sets out the requirements of an organisation to comply with all State and Federal law relevant to its operation.</w:t>
      </w:r>
    </w:p>
    <w:p w14:paraId="301F9300" w14:textId="77777777" w:rsidR="00856D53" w:rsidRPr="00276391" w:rsidRDefault="00856D53" w:rsidP="00856D53">
      <w:pPr>
        <w:pStyle w:val="Heading4"/>
        <w:rPr>
          <w:lang w:eastAsia="en-AU"/>
        </w:rPr>
      </w:pPr>
      <w:r w:rsidRPr="00276391">
        <w:rPr>
          <w:lang w:eastAsia="en-AU"/>
        </w:rPr>
        <w:t>Health and Safety Management System</w:t>
      </w:r>
    </w:p>
    <w:p w14:paraId="46572BF0" w14:textId="73039D58" w:rsidR="00856D53" w:rsidRPr="00276391" w:rsidRDefault="00856D53" w:rsidP="00856D53">
      <w:pPr>
        <w:pStyle w:val="DHHSbody"/>
        <w:rPr>
          <w:lang w:eastAsia="en-AU"/>
        </w:rPr>
      </w:pPr>
      <w:r w:rsidRPr="00B24C02">
        <w:rPr>
          <w:rFonts w:cs="Arial"/>
          <w:color w:val="000000"/>
          <w:szCs w:val="19"/>
          <w:lang w:eastAsia="en-AU"/>
        </w:rPr>
        <w:t xml:space="preserve">The </w:t>
      </w:r>
      <w:r w:rsidR="007A46F5">
        <w:rPr>
          <w:rFonts w:cs="Arial"/>
          <w:color w:val="000000"/>
          <w:szCs w:val="19"/>
          <w:lang w:eastAsia="en-AU"/>
        </w:rPr>
        <w:t>department</w:t>
      </w:r>
      <w:r w:rsidRPr="00B24C02">
        <w:rPr>
          <w:rFonts w:cs="Arial"/>
          <w:color w:val="000000"/>
          <w:szCs w:val="19"/>
          <w:lang w:eastAsia="en-AU"/>
        </w:rPr>
        <w:t xml:space="preserve"> requires that all organisations have systems in place to manage their obligations and duty of care under the Act. Any organisational health and safety management system must be auditable to ensure compliance with the Act.</w:t>
      </w:r>
    </w:p>
    <w:p w14:paraId="193D64DD" w14:textId="77777777" w:rsidR="00856D53" w:rsidRPr="00276391" w:rsidRDefault="00856D53" w:rsidP="00856D53">
      <w:pPr>
        <w:pStyle w:val="DHHSbody"/>
        <w:rPr>
          <w:lang w:eastAsia="en-AU"/>
        </w:rPr>
      </w:pPr>
      <w:r w:rsidRPr="00276391">
        <w:rPr>
          <w:lang w:eastAsia="en-AU"/>
        </w:rPr>
        <w:t>The following items list specific references regarding duties under the Act:</w:t>
      </w:r>
    </w:p>
    <w:p w14:paraId="6353417C" w14:textId="77777777" w:rsidR="00856D53" w:rsidRPr="00276391" w:rsidRDefault="00856D53" w:rsidP="00856D53">
      <w:pPr>
        <w:pStyle w:val="Heading4"/>
        <w:rPr>
          <w:lang w:eastAsia="en-AU"/>
        </w:rPr>
      </w:pPr>
      <w:r w:rsidRPr="00276391">
        <w:rPr>
          <w:lang w:eastAsia="en-AU"/>
        </w:rPr>
        <w:t>Employer obligations (Sections 21, 22 and 23 Duties of Employers to Employees)</w:t>
      </w:r>
    </w:p>
    <w:p w14:paraId="0C040BAA" w14:textId="77777777" w:rsidR="00856D53" w:rsidRPr="00276391" w:rsidRDefault="00856D53" w:rsidP="00856D53">
      <w:pPr>
        <w:pStyle w:val="DHHSbody"/>
        <w:rPr>
          <w:lang w:eastAsia="en-AU"/>
        </w:rPr>
      </w:pPr>
      <w:r w:rsidRPr="00B24C02">
        <w:rPr>
          <w:rFonts w:cs="Arial"/>
          <w:b/>
          <w:bCs/>
          <w:color w:val="000000"/>
          <w:szCs w:val="19"/>
          <w:lang w:eastAsia="en-AU"/>
        </w:rPr>
        <w:t>Section 21</w:t>
      </w:r>
      <w:r w:rsidRPr="00B24C02">
        <w:rPr>
          <w:rFonts w:cs="Arial"/>
          <w:color w:val="000000"/>
          <w:szCs w:val="19"/>
          <w:lang w:eastAsia="en-AU"/>
        </w:rPr>
        <w:t xml:space="preserve"> covers the duties of employers toward their employees. </w:t>
      </w:r>
    </w:p>
    <w:p w14:paraId="12403587" w14:textId="77777777" w:rsidR="00856D53" w:rsidRPr="00276391" w:rsidRDefault="00856D53" w:rsidP="00856D53">
      <w:pPr>
        <w:pStyle w:val="DHHSbody"/>
        <w:rPr>
          <w:lang w:eastAsia="en-AU"/>
        </w:rPr>
      </w:pPr>
      <w:r w:rsidRPr="00276391">
        <w:rPr>
          <w:b/>
          <w:bCs/>
          <w:lang w:eastAsia="en-AU"/>
        </w:rPr>
        <w:t>Section 21 (1)</w:t>
      </w:r>
      <w:r w:rsidRPr="00276391">
        <w:rPr>
          <w:lang w:eastAsia="en-AU"/>
        </w:rPr>
        <w:t xml:space="preserve"> requires an employer to provide and maintain, so far as is reasonably practicable for employees, a working environment that is safe and without risks to health. </w:t>
      </w:r>
    </w:p>
    <w:p w14:paraId="44523B6F" w14:textId="77777777" w:rsidR="00856D53" w:rsidRPr="00276391" w:rsidRDefault="00856D53" w:rsidP="00856D53">
      <w:pPr>
        <w:pStyle w:val="DHHSbody"/>
        <w:rPr>
          <w:lang w:eastAsia="en-AU"/>
        </w:rPr>
      </w:pPr>
      <w:r w:rsidRPr="00276391">
        <w:rPr>
          <w:b/>
          <w:bCs/>
          <w:lang w:eastAsia="en-AU"/>
        </w:rPr>
        <w:t>Section 21 (2)</w:t>
      </w:r>
      <w:r w:rsidRPr="00276391">
        <w:rPr>
          <w:lang w:eastAsia="en-AU"/>
        </w:rPr>
        <w:t xml:space="preserve"> sets out specific duties as examples of what is necessary to comply with the general duty. </w:t>
      </w:r>
    </w:p>
    <w:p w14:paraId="21BEDE6D" w14:textId="77777777" w:rsidR="00856D53" w:rsidRPr="00276391" w:rsidRDefault="00856D53" w:rsidP="00856D53">
      <w:pPr>
        <w:pStyle w:val="DHHSbody"/>
        <w:rPr>
          <w:lang w:eastAsia="en-AU"/>
        </w:rPr>
      </w:pPr>
      <w:r w:rsidRPr="00276391">
        <w:rPr>
          <w:b/>
          <w:bCs/>
          <w:lang w:eastAsia="en-AU"/>
        </w:rPr>
        <w:t>Section 21 (3)</w:t>
      </w:r>
      <w:r w:rsidRPr="00276391">
        <w:rPr>
          <w:lang w:eastAsia="en-AU"/>
        </w:rPr>
        <w:t xml:space="preserve"> duties of employers are to employees including independent contractors and their employees. These duties are limited to matters over which the employer has, or should have, control, or would have had control but for any agreement between the employer and the independent contractor to the contrary. </w:t>
      </w:r>
    </w:p>
    <w:p w14:paraId="3267D1EB" w14:textId="77777777" w:rsidR="00856D53" w:rsidRPr="00276391" w:rsidRDefault="00856D53" w:rsidP="00856D53">
      <w:pPr>
        <w:pStyle w:val="DHHSbody"/>
        <w:rPr>
          <w:lang w:eastAsia="en-AU"/>
        </w:rPr>
      </w:pPr>
      <w:r w:rsidRPr="00276391">
        <w:rPr>
          <w:b/>
          <w:bCs/>
          <w:lang w:eastAsia="en-AU"/>
        </w:rPr>
        <w:t>Section 22</w:t>
      </w:r>
      <w:r w:rsidRPr="00276391">
        <w:rPr>
          <w:lang w:eastAsia="en-AU"/>
        </w:rPr>
        <w:t xml:space="preserve"> describes duties of employers to monitor health and conditions. </w:t>
      </w:r>
    </w:p>
    <w:p w14:paraId="53ECE170" w14:textId="77777777" w:rsidR="00856D53" w:rsidRPr="00276391" w:rsidRDefault="00856D53" w:rsidP="00856D53">
      <w:pPr>
        <w:pStyle w:val="DHHSbody"/>
        <w:rPr>
          <w:lang w:eastAsia="en-AU"/>
        </w:rPr>
      </w:pPr>
      <w:r w:rsidRPr="00276391">
        <w:rPr>
          <w:b/>
          <w:bCs/>
          <w:lang w:eastAsia="en-AU"/>
        </w:rPr>
        <w:t>Section 23</w:t>
      </w:r>
      <w:r w:rsidRPr="00276391">
        <w:rPr>
          <w:lang w:eastAsia="en-AU"/>
        </w:rPr>
        <w:t xml:space="preserve"> an employer must ensure, so far as is reasonably practicable, that persons other than employees of the employer are not exposed to risks to their health or safety arising from the conduct of the undertaking of the employer. </w:t>
      </w:r>
    </w:p>
    <w:p w14:paraId="419160F3" w14:textId="77777777" w:rsidR="00856D53" w:rsidRPr="00276391" w:rsidRDefault="00856D53" w:rsidP="00856D53">
      <w:pPr>
        <w:pStyle w:val="Heading4"/>
        <w:rPr>
          <w:lang w:eastAsia="en-AU"/>
        </w:rPr>
      </w:pPr>
      <w:r w:rsidRPr="00276391">
        <w:rPr>
          <w:lang w:eastAsia="en-AU"/>
        </w:rPr>
        <w:t>Employee obligations (Section 25)</w:t>
      </w:r>
    </w:p>
    <w:p w14:paraId="01412D43" w14:textId="77777777" w:rsidR="00856D53" w:rsidRPr="00276391" w:rsidRDefault="00856D53" w:rsidP="00856D53">
      <w:pPr>
        <w:pStyle w:val="DHHSbody"/>
        <w:rPr>
          <w:lang w:eastAsia="en-AU"/>
        </w:rPr>
      </w:pPr>
      <w:r w:rsidRPr="00B24C02">
        <w:rPr>
          <w:rFonts w:cs="Arial"/>
          <w:color w:val="000000"/>
          <w:szCs w:val="19"/>
          <w:lang w:eastAsia="en-AU"/>
        </w:rPr>
        <w:t xml:space="preserve">Employees have obligations under the Act which requires that employees must: </w:t>
      </w:r>
    </w:p>
    <w:p w14:paraId="3C7214CB" w14:textId="77777777" w:rsidR="00856D53" w:rsidRPr="00276391" w:rsidRDefault="00856D53" w:rsidP="00856D53">
      <w:pPr>
        <w:pStyle w:val="DHHSbody"/>
        <w:rPr>
          <w:lang w:eastAsia="en-AU"/>
        </w:rPr>
      </w:pPr>
      <w:r w:rsidRPr="00276391">
        <w:rPr>
          <w:lang w:eastAsia="en-AU"/>
        </w:rPr>
        <w:t xml:space="preserve">take reasonable care for his or her own health and safety; </w:t>
      </w:r>
    </w:p>
    <w:p w14:paraId="7F948516" w14:textId="77777777" w:rsidR="00856D53" w:rsidRPr="00276391" w:rsidRDefault="00856D53" w:rsidP="00856D53">
      <w:pPr>
        <w:pStyle w:val="DHHSbody"/>
        <w:rPr>
          <w:lang w:eastAsia="en-AU"/>
        </w:rPr>
      </w:pPr>
      <w:r w:rsidRPr="00276391">
        <w:rPr>
          <w:lang w:eastAsia="en-AU"/>
        </w:rPr>
        <w:lastRenderedPageBreak/>
        <w:t xml:space="preserve">take reasonable care for the health and safety of anyone else who may be affected by his or her acts or omissions at the workplace; </w:t>
      </w:r>
    </w:p>
    <w:p w14:paraId="7FC2A462" w14:textId="77777777" w:rsidR="00856D53" w:rsidRPr="00276391" w:rsidRDefault="00856D53" w:rsidP="00856D53">
      <w:pPr>
        <w:pStyle w:val="DHHSbody"/>
        <w:rPr>
          <w:lang w:eastAsia="en-AU"/>
        </w:rPr>
      </w:pPr>
      <w:r w:rsidRPr="00276391">
        <w:rPr>
          <w:lang w:eastAsia="en-AU"/>
        </w:rPr>
        <w:t xml:space="preserve">cooperate with his or her employer with respect to any action taken by the employer to comply with any requirements imposed by or under this Act; and </w:t>
      </w:r>
    </w:p>
    <w:p w14:paraId="69294C7E" w14:textId="77777777" w:rsidR="00856D53" w:rsidRPr="00276391" w:rsidRDefault="00856D53" w:rsidP="00856D53">
      <w:pPr>
        <w:pStyle w:val="DHHSbody"/>
        <w:rPr>
          <w:lang w:eastAsia="en-AU"/>
        </w:rPr>
      </w:pPr>
      <w:r w:rsidRPr="00276391">
        <w:rPr>
          <w:lang w:eastAsia="en-AU"/>
        </w:rPr>
        <w:t xml:space="preserve">not wilfully or recklessly interfere with or misuse safety equipment that is provided. </w:t>
      </w:r>
    </w:p>
    <w:p w14:paraId="70687894" w14:textId="77777777" w:rsidR="00856D53" w:rsidRPr="00276391" w:rsidRDefault="00856D53" w:rsidP="00856D53">
      <w:pPr>
        <w:pStyle w:val="Heading4"/>
        <w:rPr>
          <w:lang w:eastAsia="en-AU"/>
        </w:rPr>
      </w:pPr>
      <w:r w:rsidRPr="00276391">
        <w:rPr>
          <w:lang w:eastAsia="en-AU"/>
        </w:rPr>
        <w:t>Duties of those who manage or control workplaces (Section 26)</w:t>
      </w:r>
    </w:p>
    <w:p w14:paraId="72E6BACD" w14:textId="77777777" w:rsidR="00856D53" w:rsidRPr="00276391" w:rsidRDefault="00856D53" w:rsidP="00856D53">
      <w:pPr>
        <w:pStyle w:val="DHHSbody"/>
        <w:rPr>
          <w:lang w:eastAsia="en-AU"/>
        </w:rPr>
      </w:pPr>
      <w:r w:rsidRPr="00B24C02">
        <w:rPr>
          <w:rFonts w:cs="Arial"/>
          <w:color w:val="000000"/>
          <w:szCs w:val="19"/>
          <w:lang w:eastAsia="en-AU"/>
        </w:rPr>
        <w:t>The Act places direct duties on a person who, to any extent, has the management or control of a workplace, whether or not they are the owner. The workplace manager must ensure the workplace is safe and the means of entering and leaving it are safe and without risks to health.</w:t>
      </w:r>
    </w:p>
    <w:p w14:paraId="1899400A" w14:textId="77777777" w:rsidR="00856D53" w:rsidRPr="00276391" w:rsidRDefault="00856D53" w:rsidP="00856D53">
      <w:pPr>
        <w:pStyle w:val="DHHSbody"/>
        <w:rPr>
          <w:lang w:eastAsia="en-AU"/>
        </w:rPr>
      </w:pPr>
      <w:r w:rsidRPr="00276391">
        <w:rPr>
          <w:lang w:eastAsia="en-AU"/>
        </w:rPr>
        <w:t>The duties of a person under this section apply only in relation to matters over which the person has management or control.</w:t>
      </w:r>
    </w:p>
    <w:p w14:paraId="4A3A72F5" w14:textId="77777777" w:rsidR="00856D53" w:rsidRPr="00276391" w:rsidRDefault="00856D53" w:rsidP="00856D53">
      <w:pPr>
        <w:pStyle w:val="Heading4"/>
        <w:rPr>
          <w:lang w:eastAsia="en-AU"/>
        </w:rPr>
      </w:pPr>
      <w:r w:rsidRPr="00276391">
        <w:rPr>
          <w:lang w:eastAsia="en-AU"/>
        </w:rPr>
        <w:t>Duty not to recklessly endanger persons at work (Section 32)</w:t>
      </w:r>
    </w:p>
    <w:p w14:paraId="3F590B1A" w14:textId="77777777" w:rsidR="00856D53" w:rsidRPr="00276391" w:rsidRDefault="00856D53" w:rsidP="00856D53">
      <w:pPr>
        <w:pStyle w:val="DHHSbody"/>
        <w:rPr>
          <w:lang w:eastAsia="en-AU"/>
        </w:rPr>
      </w:pPr>
      <w:r w:rsidRPr="00B24C02">
        <w:rPr>
          <w:rFonts w:cs="Arial"/>
          <w:color w:val="000000"/>
          <w:szCs w:val="19"/>
          <w:lang w:eastAsia="en-AU"/>
        </w:rPr>
        <w:t>All persons have a duty not to recklessly engage in conduct that places, or may place, another person in the workplace in danger of serious injury.</w:t>
      </w:r>
    </w:p>
    <w:p w14:paraId="560BC613" w14:textId="77777777" w:rsidR="00856D53" w:rsidRPr="00276391" w:rsidRDefault="00856D53" w:rsidP="00856D53">
      <w:pPr>
        <w:pStyle w:val="Heading4"/>
        <w:rPr>
          <w:lang w:eastAsia="en-AU"/>
        </w:rPr>
      </w:pPr>
      <w:r w:rsidRPr="00276391">
        <w:rPr>
          <w:lang w:eastAsia="en-AU"/>
        </w:rPr>
        <w:t>Consultation (Part 4: Sections 35 (1 and 2) and 36 (1, 2 and 3))</w:t>
      </w:r>
    </w:p>
    <w:p w14:paraId="1CBABABE" w14:textId="77777777" w:rsidR="00856D53" w:rsidRPr="00276391" w:rsidRDefault="00856D53" w:rsidP="00856D53">
      <w:pPr>
        <w:pStyle w:val="DHHSbody"/>
        <w:rPr>
          <w:lang w:eastAsia="en-AU"/>
        </w:rPr>
      </w:pPr>
      <w:r w:rsidRPr="00B24C02">
        <w:rPr>
          <w:rFonts w:cs="Arial"/>
          <w:color w:val="000000"/>
          <w:szCs w:val="19"/>
          <w:lang w:eastAsia="en-AU"/>
        </w:rPr>
        <w:t>The Act clearly defines the duty of employers to consult with health and safety representatives and/or staff on a range of OHS issues, including making decisions about risk controls, adequacy of facilities and any changes to the workplace, plant or conduct of work that may directly impact on the safety or health of employees.</w:t>
      </w:r>
    </w:p>
    <w:p w14:paraId="429ADDD2" w14:textId="77777777" w:rsidR="00856D53" w:rsidRPr="00276391" w:rsidRDefault="00856D53" w:rsidP="00856D53">
      <w:pPr>
        <w:pStyle w:val="Heading4"/>
        <w:rPr>
          <w:lang w:eastAsia="en-AU"/>
        </w:rPr>
      </w:pPr>
      <w:r w:rsidRPr="00276391">
        <w:rPr>
          <w:lang w:eastAsia="en-AU"/>
        </w:rPr>
        <w:t>Issue resolution (Section 73)</w:t>
      </w:r>
    </w:p>
    <w:p w14:paraId="4A3C901D" w14:textId="77777777" w:rsidR="00856D53" w:rsidRPr="00276391" w:rsidRDefault="00856D53" w:rsidP="00856D53">
      <w:pPr>
        <w:pStyle w:val="DHHSbody"/>
        <w:rPr>
          <w:lang w:eastAsia="en-AU"/>
        </w:rPr>
      </w:pPr>
      <w:r w:rsidRPr="00B24C02">
        <w:rPr>
          <w:rFonts w:cs="Arial"/>
          <w:color w:val="000000"/>
          <w:szCs w:val="19"/>
          <w:lang w:eastAsia="en-AU"/>
        </w:rPr>
        <w:t>The Act requires the employer, or the employer’s representative, to work with employees resolve the health and safety issues arising in the workplace. Issue resolution should be in accordance with an agreed procedure, or if there is no such procedure, use of the relevant procedure prescribed in the OHS Regulations. The resolution procedure must include employees affected by the issue, and/or a designated work group in relation to which the issue has arisen.</w:t>
      </w:r>
    </w:p>
    <w:p w14:paraId="107185AD" w14:textId="77777777" w:rsidR="00856D53" w:rsidRPr="00276391" w:rsidRDefault="00856D53" w:rsidP="00856D53">
      <w:pPr>
        <w:pStyle w:val="DHHSbody"/>
        <w:rPr>
          <w:lang w:eastAsia="en-AU"/>
        </w:rPr>
      </w:pPr>
      <w:r w:rsidRPr="00276391">
        <w:rPr>
          <w:lang w:eastAsia="en-AU"/>
        </w:rPr>
        <w:t>For issue resolution, the employer’s representative must:</w:t>
      </w:r>
    </w:p>
    <w:p w14:paraId="6E21E8DB" w14:textId="77777777" w:rsidR="00856D53" w:rsidRPr="00276391" w:rsidRDefault="00856D53" w:rsidP="00856D53">
      <w:pPr>
        <w:pStyle w:val="DHHSbody"/>
        <w:rPr>
          <w:lang w:eastAsia="en-AU"/>
        </w:rPr>
      </w:pPr>
      <w:r w:rsidRPr="00276391">
        <w:rPr>
          <w:lang w:eastAsia="en-AU"/>
        </w:rPr>
        <w:t xml:space="preserve">have an appropriate level of seniority; </w:t>
      </w:r>
    </w:p>
    <w:p w14:paraId="25EEFD71" w14:textId="77777777" w:rsidR="00856D53" w:rsidRPr="00276391" w:rsidRDefault="00856D53" w:rsidP="00856D53">
      <w:pPr>
        <w:pStyle w:val="DHHSbody"/>
        <w:rPr>
          <w:lang w:eastAsia="en-AU"/>
        </w:rPr>
      </w:pPr>
      <w:r w:rsidRPr="00276391">
        <w:rPr>
          <w:lang w:eastAsia="en-AU"/>
        </w:rPr>
        <w:t xml:space="preserve">be sufficiently competent; and </w:t>
      </w:r>
    </w:p>
    <w:p w14:paraId="5C7D9078" w14:textId="77777777" w:rsidR="00856D53" w:rsidRPr="00276391" w:rsidRDefault="00856D53" w:rsidP="00856D53">
      <w:pPr>
        <w:pStyle w:val="DHHSbody"/>
        <w:rPr>
          <w:lang w:eastAsia="en-AU"/>
        </w:rPr>
      </w:pPr>
      <w:r w:rsidRPr="00276391">
        <w:rPr>
          <w:lang w:eastAsia="en-AU"/>
        </w:rPr>
        <w:t xml:space="preserve">not be a health and safety representative. </w:t>
      </w:r>
    </w:p>
    <w:p w14:paraId="581C432E" w14:textId="77777777" w:rsidR="00856D53" w:rsidRPr="00276391" w:rsidRDefault="00856D53" w:rsidP="00856D53">
      <w:pPr>
        <w:pStyle w:val="DHHSbody"/>
        <w:rPr>
          <w:lang w:eastAsia="en-AU"/>
        </w:rPr>
      </w:pPr>
      <w:r w:rsidRPr="00276391">
        <w:rPr>
          <w:lang w:eastAsia="en-AU"/>
        </w:rPr>
        <w:t xml:space="preserve">Part 2.2 of the OHS Regulations provides detail on the </w:t>
      </w:r>
      <w:proofErr w:type="gramStart"/>
      <w:r w:rsidRPr="00276391">
        <w:rPr>
          <w:lang w:eastAsia="en-AU"/>
        </w:rPr>
        <w:t>issues</w:t>
      </w:r>
      <w:proofErr w:type="gramEnd"/>
      <w:r w:rsidRPr="00276391">
        <w:rPr>
          <w:lang w:eastAsia="en-AU"/>
        </w:rPr>
        <w:t xml:space="preserve"> resolution process.</w:t>
      </w:r>
    </w:p>
    <w:p w14:paraId="4F4A11A7" w14:textId="77777777" w:rsidR="00856D53" w:rsidRPr="00276391" w:rsidRDefault="00856D53" w:rsidP="00856D53">
      <w:pPr>
        <w:pStyle w:val="DHHSbody"/>
        <w:rPr>
          <w:lang w:eastAsia="en-AU"/>
        </w:rPr>
      </w:pPr>
      <w:r w:rsidRPr="00276391">
        <w:rPr>
          <w:lang w:eastAsia="en-AU"/>
        </w:rPr>
        <w:t>A health and safety issue may include any:</w:t>
      </w:r>
    </w:p>
    <w:p w14:paraId="67941A9E" w14:textId="77777777" w:rsidR="00856D53" w:rsidRPr="00276391" w:rsidRDefault="00856D53" w:rsidP="00856D53">
      <w:pPr>
        <w:pStyle w:val="DHHSbody"/>
        <w:rPr>
          <w:lang w:eastAsia="en-AU"/>
        </w:rPr>
      </w:pPr>
      <w:r w:rsidRPr="00276391">
        <w:rPr>
          <w:lang w:eastAsia="en-AU"/>
        </w:rPr>
        <w:t xml:space="preserve">item in the general duties section of the Act; </w:t>
      </w:r>
    </w:p>
    <w:p w14:paraId="37CE0F44" w14:textId="77777777" w:rsidR="00856D53" w:rsidRPr="00276391" w:rsidRDefault="00856D53" w:rsidP="00856D53">
      <w:pPr>
        <w:pStyle w:val="DHHSbody"/>
        <w:rPr>
          <w:lang w:eastAsia="en-AU"/>
        </w:rPr>
      </w:pPr>
      <w:r w:rsidRPr="00276391">
        <w:rPr>
          <w:lang w:eastAsia="en-AU"/>
        </w:rPr>
        <w:t xml:space="preserve">hazard or potential hazard; or </w:t>
      </w:r>
    </w:p>
    <w:p w14:paraId="772C84CF" w14:textId="77777777" w:rsidR="00856D53" w:rsidRPr="00276391" w:rsidRDefault="00856D53" w:rsidP="00856D53">
      <w:pPr>
        <w:pStyle w:val="DHHSbody"/>
        <w:rPr>
          <w:lang w:eastAsia="en-AU"/>
        </w:rPr>
      </w:pPr>
      <w:r w:rsidRPr="00276391">
        <w:rPr>
          <w:lang w:eastAsia="en-AU"/>
        </w:rPr>
        <w:t xml:space="preserve">procedural issue relating to health and safety which does not necessarily imply the existence of a health and safety dispute. Issues can be resolved through the prescribed procedure set out in the OHS Regulations Part 2.2, or through an agreed procedure, which provides a step-by-step process to enable the speedy and effective resolution of health and safety issues. </w:t>
      </w:r>
    </w:p>
    <w:p w14:paraId="01EFE2A1" w14:textId="77777777" w:rsidR="00856D53" w:rsidRPr="00276391" w:rsidRDefault="00856D53" w:rsidP="00856D53">
      <w:pPr>
        <w:pStyle w:val="Heading4"/>
        <w:rPr>
          <w:lang w:eastAsia="en-AU"/>
        </w:rPr>
      </w:pPr>
      <w:r w:rsidRPr="00276391">
        <w:rPr>
          <w:lang w:eastAsia="en-AU"/>
        </w:rPr>
        <w:lastRenderedPageBreak/>
        <w:t>Manual handling</w:t>
      </w:r>
    </w:p>
    <w:p w14:paraId="6AD5DD7A" w14:textId="77777777" w:rsidR="00856D53" w:rsidRPr="00276391" w:rsidRDefault="00856D53" w:rsidP="00856D53">
      <w:pPr>
        <w:pStyle w:val="DHHSbody"/>
        <w:rPr>
          <w:lang w:eastAsia="en-AU"/>
        </w:rPr>
      </w:pPr>
      <w:r w:rsidRPr="00B24C02">
        <w:rPr>
          <w:rFonts w:cs="Arial"/>
          <w:color w:val="000000"/>
          <w:szCs w:val="19"/>
          <w:lang w:eastAsia="en-AU"/>
        </w:rPr>
        <w:t>Part 3.1 (Manual Handling) of the OHS Regulations emphasise the identification, assessment, control and review of manual handling risks. All organisations should address their manual handling issues by (as a minimum) ensuring compliance to this part of the regulations.</w:t>
      </w:r>
    </w:p>
    <w:p w14:paraId="299E8ADC" w14:textId="77777777" w:rsidR="00856D53" w:rsidRPr="00276391" w:rsidRDefault="00856D53" w:rsidP="00856D53">
      <w:pPr>
        <w:pStyle w:val="DHHSbody"/>
        <w:rPr>
          <w:lang w:eastAsia="en-AU"/>
        </w:rPr>
      </w:pPr>
      <w:r w:rsidRPr="00276391">
        <w:rPr>
          <w:lang w:eastAsia="en-AU"/>
        </w:rPr>
        <w:t>Manual handling covers a wide range of activities including lifting, pushing, pulling, holding, throwing and carrying. Hazardous manual handling involves tasks that have:</w:t>
      </w:r>
    </w:p>
    <w:p w14:paraId="4241D5CA" w14:textId="77777777" w:rsidR="00856D53" w:rsidRPr="00276391" w:rsidRDefault="00856D53" w:rsidP="00856D53">
      <w:pPr>
        <w:pStyle w:val="DHHSbody"/>
        <w:rPr>
          <w:lang w:eastAsia="en-AU"/>
        </w:rPr>
      </w:pPr>
      <w:r w:rsidRPr="00276391">
        <w:rPr>
          <w:lang w:eastAsia="en-AU"/>
        </w:rPr>
        <w:t xml:space="preserve">repetitive or sustained application of force, awkward postures or movements; </w:t>
      </w:r>
    </w:p>
    <w:p w14:paraId="72B3853D" w14:textId="77777777" w:rsidR="00856D53" w:rsidRPr="00276391" w:rsidRDefault="00856D53" w:rsidP="00856D53">
      <w:pPr>
        <w:pStyle w:val="DHHSbody"/>
        <w:rPr>
          <w:lang w:eastAsia="en-AU"/>
        </w:rPr>
      </w:pPr>
      <w:r w:rsidRPr="00276391">
        <w:rPr>
          <w:lang w:eastAsia="en-AU"/>
        </w:rPr>
        <w:t xml:space="preserve">tasks that are difficult due to the degree of force applied (high force); </w:t>
      </w:r>
    </w:p>
    <w:p w14:paraId="6C0B73B6" w14:textId="77777777" w:rsidR="00856D53" w:rsidRPr="00276391" w:rsidRDefault="00856D53" w:rsidP="00856D53">
      <w:pPr>
        <w:pStyle w:val="DHHSbody"/>
        <w:rPr>
          <w:lang w:eastAsia="en-AU"/>
        </w:rPr>
      </w:pPr>
      <w:r w:rsidRPr="00276391">
        <w:rPr>
          <w:lang w:eastAsia="en-AU"/>
        </w:rPr>
        <w:t xml:space="preserve">exposure to sustained vibration; </w:t>
      </w:r>
    </w:p>
    <w:p w14:paraId="0E630561" w14:textId="77777777" w:rsidR="00856D53" w:rsidRPr="00276391" w:rsidRDefault="00856D53" w:rsidP="00856D53">
      <w:pPr>
        <w:pStyle w:val="DHHSbody"/>
        <w:rPr>
          <w:lang w:eastAsia="en-AU"/>
        </w:rPr>
      </w:pPr>
      <w:r w:rsidRPr="00276391">
        <w:rPr>
          <w:lang w:eastAsia="en-AU"/>
        </w:rPr>
        <w:t xml:space="preserve">manual handling of live people or animals; or </w:t>
      </w:r>
    </w:p>
    <w:p w14:paraId="07D22240" w14:textId="77777777" w:rsidR="00856D53" w:rsidRPr="00276391" w:rsidRDefault="00856D53" w:rsidP="00856D53">
      <w:pPr>
        <w:pStyle w:val="DHHSbody"/>
        <w:rPr>
          <w:lang w:eastAsia="en-AU"/>
        </w:rPr>
      </w:pPr>
      <w:r w:rsidRPr="00276391">
        <w:rPr>
          <w:lang w:eastAsia="en-AU"/>
        </w:rPr>
        <w:t xml:space="preserve">manual handling of unstable loads that are difficult to grasp or hold. </w:t>
      </w:r>
    </w:p>
    <w:p w14:paraId="237893B8" w14:textId="77777777" w:rsidR="00856D53" w:rsidRPr="00276391" w:rsidRDefault="00856D53" w:rsidP="00856D53">
      <w:pPr>
        <w:pStyle w:val="DHHSbody"/>
        <w:rPr>
          <w:lang w:eastAsia="en-AU"/>
        </w:rPr>
      </w:pPr>
      <w:r w:rsidRPr="00276391">
        <w:rPr>
          <w:lang w:eastAsia="en-AU"/>
        </w:rPr>
        <w:t>Potentially hazardous manual handling takes may include packing, typing, assembling, cleaning, sorting, using hand-tools, operating machinery and equipment, or manual handling of persons.</w:t>
      </w:r>
    </w:p>
    <w:p w14:paraId="63C7C299" w14:textId="77777777" w:rsidR="00856D53" w:rsidRPr="00276391" w:rsidRDefault="00856D53" w:rsidP="00856D53">
      <w:pPr>
        <w:pStyle w:val="Heading4"/>
        <w:rPr>
          <w:lang w:eastAsia="en-AU"/>
        </w:rPr>
      </w:pPr>
      <w:r w:rsidRPr="00276391">
        <w:rPr>
          <w:lang w:eastAsia="en-AU"/>
        </w:rPr>
        <w:t>Other OHS Regulation requirements</w:t>
      </w:r>
    </w:p>
    <w:p w14:paraId="01814FBD" w14:textId="79C6E36D" w:rsidR="00856D53" w:rsidRPr="00276391" w:rsidRDefault="00856D53" w:rsidP="00856D53">
      <w:pPr>
        <w:pStyle w:val="DHHSbody"/>
        <w:rPr>
          <w:lang w:eastAsia="en-AU"/>
        </w:rPr>
      </w:pPr>
      <w:r w:rsidRPr="00B24C02">
        <w:rPr>
          <w:rFonts w:cs="Arial"/>
          <w:color w:val="000000"/>
          <w:szCs w:val="19"/>
          <w:lang w:eastAsia="en-AU"/>
        </w:rPr>
        <w:t xml:space="preserve">An organisation entering into a </w:t>
      </w:r>
      <w:r w:rsidR="009B3052">
        <w:rPr>
          <w:rFonts w:cs="Arial"/>
          <w:color w:val="000000"/>
          <w:szCs w:val="19"/>
          <w:lang w:eastAsia="en-AU"/>
        </w:rPr>
        <w:t>Service agreement</w:t>
      </w:r>
      <w:r w:rsidRPr="00B24C02">
        <w:rPr>
          <w:rFonts w:cs="Arial"/>
          <w:color w:val="000000"/>
          <w:szCs w:val="19"/>
          <w:lang w:eastAsia="en-AU"/>
        </w:rPr>
        <w:t xml:space="preserve"> must identify and address other relevant requirements of the OHS Regulations pertaining to their operations and undertakings such as Noise (Part 3.2), Prevention of Falls (Part 3.3), Plant (Part 3.5), Hazardous Substances and Materials (Part 4.1) and Asbestos (Part 4.3).</w:t>
      </w:r>
    </w:p>
    <w:p w14:paraId="58DCA534" w14:textId="77777777" w:rsidR="00856D53" w:rsidRPr="00276391" w:rsidRDefault="00856D53" w:rsidP="00856D53">
      <w:pPr>
        <w:pStyle w:val="Heading4"/>
        <w:rPr>
          <w:lang w:eastAsia="en-AU"/>
        </w:rPr>
      </w:pPr>
      <w:r w:rsidRPr="00276391">
        <w:rPr>
          <w:lang w:eastAsia="en-AU"/>
        </w:rPr>
        <w:t>Effective occupational health and safety management</w:t>
      </w:r>
    </w:p>
    <w:p w14:paraId="23BAA7CA" w14:textId="77777777" w:rsidR="00856D53" w:rsidRPr="00276391" w:rsidRDefault="00856D53" w:rsidP="00856D53">
      <w:pPr>
        <w:pStyle w:val="DHHSbody"/>
        <w:rPr>
          <w:lang w:eastAsia="en-AU"/>
        </w:rPr>
      </w:pPr>
      <w:r w:rsidRPr="00B24C02">
        <w:rPr>
          <w:rFonts w:cs="Arial"/>
          <w:color w:val="000000"/>
          <w:szCs w:val="19"/>
          <w:lang w:eastAsia="en-AU"/>
        </w:rPr>
        <w:t>An effective health and safety program will include managing both physical and psychological key sector risks such as manual handling, occupational violence and stress. As a minimum, programs should contain:</w:t>
      </w:r>
    </w:p>
    <w:p w14:paraId="4AC3C4E7" w14:textId="77777777" w:rsidR="00856D53" w:rsidRPr="00276391" w:rsidRDefault="00856D53" w:rsidP="00856D53">
      <w:pPr>
        <w:pStyle w:val="DHHSbullet1"/>
        <w:rPr>
          <w:lang w:eastAsia="en-AU"/>
        </w:rPr>
      </w:pPr>
      <w:proofErr w:type="gramStart"/>
      <w:r w:rsidRPr="00276391">
        <w:rPr>
          <w:lang w:eastAsia="en-AU"/>
        </w:rPr>
        <w:t>specifically</w:t>
      </w:r>
      <w:proofErr w:type="gramEnd"/>
      <w:r w:rsidRPr="00276391">
        <w:rPr>
          <w:lang w:eastAsia="en-AU"/>
        </w:rPr>
        <w:t xml:space="preserve"> designated personnel to be responsible for occupational health and safety functions and activities; </w:t>
      </w:r>
    </w:p>
    <w:p w14:paraId="5365A78F" w14:textId="77777777" w:rsidR="00856D53" w:rsidRPr="00276391" w:rsidRDefault="00856D53" w:rsidP="00856D53">
      <w:pPr>
        <w:pStyle w:val="DHHSbullet1"/>
        <w:rPr>
          <w:lang w:eastAsia="en-AU"/>
        </w:rPr>
      </w:pPr>
      <w:r w:rsidRPr="00276391">
        <w:rPr>
          <w:lang w:eastAsia="en-AU"/>
        </w:rPr>
        <w:t xml:space="preserve">documented occupational health and safety policies and procedures, including safe work procedures and emergency procedures; </w:t>
      </w:r>
    </w:p>
    <w:p w14:paraId="7DDA0A63" w14:textId="77777777" w:rsidR="00856D53" w:rsidRPr="00276391" w:rsidRDefault="00856D53" w:rsidP="00856D53">
      <w:pPr>
        <w:pStyle w:val="DHHSbullet1"/>
        <w:rPr>
          <w:lang w:eastAsia="en-AU"/>
        </w:rPr>
      </w:pPr>
      <w:r w:rsidRPr="00276391">
        <w:rPr>
          <w:lang w:eastAsia="en-AU"/>
        </w:rPr>
        <w:t xml:space="preserve">appropriate training and information in health and safety for all staff; </w:t>
      </w:r>
    </w:p>
    <w:p w14:paraId="30CD7851" w14:textId="77777777" w:rsidR="00856D53" w:rsidRPr="00276391" w:rsidRDefault="00856D53" w:rsidP="00856D53">
      <w:pPr>
        <w:pStyle w:val="DHHSbullet1"/>
        <w:rPr>
          <w:lang w:eastAsia="en-AU"/>
        </w:rPr>
      </w:pPr>
      <w:r w:rsidRPr="00276391">
        <w:rPr>
          <w:lang w:eastAsia="en-AU"/>
        </w:rPr>
        <w:t xml:space="preserve">an established incident reporting and investigation process; </w:t>
      </w:r>
    </w:p>
    <w:p w14:paraId="558D9B1C" w14:textId="77777777" w:rsidR="00856D53" w:rsidRPr="00276391" w:rsidRDefault="00856D53" w:rsidP="00856D53">
      <w:pPr>
        <w:pStyle w:val="DHHSbullet1"/>
        <w:rPr>
          <w:lang w:eastAsia="en-AU"/>
        </w:rPr>
      </w:pPr>
      <w:r w:rsidRPr="00276391">
        <w:rPr>
          <w:lang w:eastAsia="en-AU"/>
        </w:rPr>
        <w:t xml:space="preserve">hazard identification and risk control mechanisms, with reference to the hierarchy of control to eliminate or minimise risks as close to the source as reasonably practicable; </w:t>
      </w:r>
    </w:p>
    <w:p w14:paraId="3484594A" w14:textId="77777777" w:rsidR="00856D53" w:rsidRPr="00276391" w:rsidRDefault="00856D53" w:rsidP="00856D53">
      <w:pPr>
        <w:pStyle w:val="DHHSbullet1"/>
        <w:rPr>
          <w:lang w:eastAsia="en-AU"/>
        </w:rPr>
      </w:pPr>
      <w:r w:rsidRPr="00276391">
        <w:rPr>
          <w:lang w:eastAsia="en-AU"/>
        </w:rPr>
        <w:t xml:space="preserve">appropriate consultative and issue resolution procedures; and </w:t>
      </w:r>
    </w:p>
    <w:p w14:paraId="546236BC" w14:textId="77777777" w:rsidR="00856D53" w:rsidRPr="00276391" w:rsidRDefault="00856D53" w:rsidP="00856D53">
      <w:pPr>
        <w:pStyle w:val="DHHSbullet1"/>
        <w:rPr>
          <w:lang w:eastAsia="en-AU"/>
        </w:rPr>
      </w:pPr>
      <w:r w:rsidRPr="00276391">
        <w:rPr>
          <w:lang w:eastAsia="en-AU"/>
        </w:rPr>
        <w:t xml:space="preserve">monitoring and review processes. </w:t>
      </w:r>
    </w:p>
    <w:p w14:paraId="56DAB5BE" w14:textId="77777777" w:rsidR="00856D53" w:rsidRPr="00276391" w:rsidRDefault="00856D53" w:rsidP="00856D53">
      <w:pPr>
        <w:pStyle w:val="DHHSbody"/>
        <w:rPr>
          <w:lang w:eastAsia="en-AU"/>
        </w:rPr>
      </w:pPr>
      <w:r w:rsidRPr="00276391">
        <w:rPr>
          <w:lang w:eastAsia="en-AU"/>
        </w:rPr>
        <w:t>When developing an occupational health and safety program, refer to relevant Australian Standards AS/NZS4801 and AS/NZS4804</w:t>
      </w:r>
    </w:p>
    <w:p w14:paraId="1F7B25FF" w14:textId="77777777" w:rsidR="00856D53" w:rsidRPr="00276391" w:rsidRDefault="00856D53" w:rsidP="00856D53">
      <w:pPr>
        <w:pStyle w:val="Heading4"/>
        <w:rPr>
          <w:lang w:eastAsia="en-AU"/>
        </w:rPr>
      </w:pPr>
      <w:r w:rsidRPr="00276391">
        <w:rPr>
          <w:lang w:eastAsia="en-AU"/>
        </w:rPr>
        <w:t>Duties relating to incidents - notification of incidents to WorkSafe Victoria (sections 37, 38 and 39)</w:t>
      </w:r>
    </w:p>
    <w:p w14:paraId="526D77A9" w14:textId="77777777" w:rsidR="00856D53" w:rsidRPr="00276391" w:rsidRDefault="00856D53" w:rsidP="00856D53">
      <w:pPr>
        <w:pStyle w:val="DHHSbody"/>
        <w:rPr>
          <w:lang w:eastAsia="en-AU"/>
        </w:rPr>
      </w:pPr>
      <w:r w:rsidRPr="00B24C02">
        <w:rPr>
          <w:rFonts w:cs="Arial"/>
          <w:color w:val="000000"/>
          <w:szCs w:val="19"/>
          <w:lang w:eastAsia="en-AU"/>
        </w:rPr>
        <w:t>Part 5 of the Act refers to the notification of incidents:</w:t>
      </w:r>
    </w:p>
    <w:p w14:paraId="4C9467EF" w14:textId="77777777" w:rsidR="00856D53" w:rsidRPr="00276391" w:rsidRDefault="00856D53" w:rsidP="00856D53">
      <w:pPr>
        <w:pStyle w:val="DHHSbullet1"/>
        <w:rPr>
          <w:lang w:eastAsia="en-AU"/>
        </w:rPr>
      </w:pPr>
      <w:r w:rsidRPr="00276391">
        <w:rPr>
          <w:lang w:eastAsia="en-AU"/>
        </w:rPr>
        <w:t xml:space="preserve">Section 37 defines the incidents to which part 5 applies. </w:t>
      </w:r>
    </w:p>
    <w:p w14:paraId="746417FC" w14:textId="77777777" w:rsidR="00856D53" w:rsidRPr="00276391" w:rsidRDefault="00856D53" w:rsidP="00856D53">
      <w:pPr>
        <w:pStyle w:val="DHHSbullet1"/>
        <w:rPr>
          <w:lang w:eastAsia="en-AU"/>
        </w:rPr>
      </w:pPr>
      <w:r w:rsidRPr="00276391">
        <w:rPr>
          <w:lang w:eastAsia="en-AU"/>
        </w:rPr>
        <w:t xml:space="preserve">Section 38 explains the requirements of the 'Duty to notify'. </w:t>
      </w:r>
    </w:p>
    <w:p w14:paraId="3EF9086C" w14:textId="77777777" w:rsidR="00856D53" w:rsidRPr="00276391" w:rsidRDefault="00856D53" w:rsidP="00856D53">
      <w:pPr>
        <w:pStyle w:val="DHHSbullet1"/>
        <w:rPr>
          <w:lang w:eastAsia="en-AU"/>
        </w:rPr>
      </w:pPr>
      <w:r w:rsidRPr="00276391">
        <w:rPr>
          <w:lang w:eastAsia="en-AU"/>
        </w:rPr>
        <w:t xml:space="preserve">Section 39 describes the requirement to preserve the site. </w:t>
      </w:r>
    </w:p>
    <w:p w14:paraId="72C4E408" w14:textId="77777777" w:rsidR="00856D53" w:rsidRPr="00276391" w:rsidRDefault="00856D53" w:rsidP="00856D53">
      <w:pPr>
        <w:pStyle w:val="DHHSbody"/>
        <w:rPr>
          <w:lang w:eastAsia="en-AU"/>
        </w:rPr>
      </w:pPr>
      <w:r w:rsidRPr="00276391">
        <w:rPr>
          <w:lang w:eastAsia="en-AU"/>
        </w:rPr>
        <w:t>Note: Relevant incident(s) must be reported to WorkSafe Victoria by calling 132 360, immediately after becoming aware of the incident. Written notification must be provided to WorkSafe Victoria within 48 hours.</w:t>
      </w:r>
    </w:p>
    <w:p w14:paraId="066D0E15" w14:textId="77777777" w:rsidR="00856D53" w:rsidRPr="00276391" w:rsidRDefault="00856D53" w:rsidP="00856D53">
      <w:pPr>
        <w:pStyle w:val="Heading4"/>
        <w:rPr>
          <w:lang w:eastAsia="en-AU"/>
        </w:rPr>
      </w:pPr>
      <w:r w:rsidRPr="00276391">
        <w:rPr>
          <w:lang w:eastAsia="en-AU"/>
        </w:rPr>
        <w:lastRenderedPageBreak/>
        <w:t>A guide to the Act and advice - WorkSafe Victoria</w:t>
      </w:r>
    </w:p>
    <w:p w14:paraId="20C1E2D2" w14:textId="77777777" w:rsidR="00856D53" w:rsidRPr="00276391" w:rsidRDefault="00856D53" w:rsidP="00856D53">
      <w:pPr>
        <w:pStyle w:val="DHHSbody"/>
        <w:rPr>
          <w:lang w:eastAsia="en-AU"/>
        </w:rPr>
      </w:pPr>
      <w:r w:rsidRPr="00B24C02">
        <w:rPr>
          <w:rFonts w:cs="Arial"/>
          <w:color w:val="000000"/>
          <w:szCs w:val="19"/>
          <w:lang w:eastAsia="en-AU"/>
        </w:rPr>
        <w:t>A Guide to the Occupational Health and Safety Act 2004 can be obtained from the local WorkSafe Victoria office. WorkSafe Victoria also provides advice on all workplace health and safety issues. The contact telephone number is (03) 9641 1444. Toll free 1800 136 089.</w:t>
      </w:r>
    </w:p>
    <w:p w14:paraId="492745B1" w14:textId="77777777" w:rsidR="00856D53" w:rsidRPr="00554FEF" w:rsidRDefault="00856D53" w:rsidP="00856D53">
      <w:pPr>
        <w:pStyle w:val="DHHSbody"/>
        <w:rPr>
          <w:rFonts w:cs="Arial"/>
          <w:color w:val="000000"/>
          <w:szCs w:val="19"/>
          <w:lang w:eastAsia="en-AU"/>
        </w:rPr>
      </w:pPr>
      <w:r w:rsidRPr="00276391">
        <w:rPr>
          <w:lang w:eastAsia="en-AU"/>
        </w:rPr>
        <w:t xml:space="preserve">WorkSafe Victoria website: </w:t>
      </w:r>
      <w:hyperlink r:id="rId371" w:history="1">
        <w:r w:rsidRPr="00986D1E">
          <w:rPr>
            <w:rStyle w:val="Hyperlink"/>
          </w:rPr>
          <w:t>http://www.worksafe.vic.gov.au/</w:t>
        </w:r>
      </w:hyperlink>
      <w:r>
        <w:rPr>
          <w:rStyle w:val="Hyperlink"/>
        </w:rPr>
        <w:t xml:space="preserve"> </w:t>
      </w:r>
      <w:r w:rsidRPr="00554FEF">
        <w:rPr>
          <w:rFonts w:cs="Arial"/>
          <w:color w:val="000000"/>
          <w:szCs w:val="19"/>
          <w:lang w:eastAsia="en-AU"/>
        </w:rPr>
        <w:t>&lt;http://www.worksafe.vic.gov.au/&gt;</w:t>
      </w:r>
    </w:p>
    <w:p w14:paraId="02A96202" w14:textId="77777777" w:rsidR="00856D53" w:rsidRPr="00276391" w:rsidRDefault="00856D53" w:rsidP="00856D53">
      <w:pPr>
        <w:pStyle w:val="DHHSbody"/>
        <w:rPr>
          <w:lang w:eastAsia="en-AU"/>
        </w:rPr>
      </w:pPr>
      <w:r w:rsidRPr="00276391">
        <w:rPr>
          <w:lang w:eastAsia="en-AU"/>
        </w:rPr>
        <w:t xml:space="preserve">Copies of Victorian Acts and Regulations can be purchased from Information Victoria on 1300 366 356, or accessed online for free by going to </w:t>
      </w:r>
      <w:hyperlink r:id="rId372" w:history="1">
        <w:r w:rsidRPr="00986D1E">
          <w:rPr>
            <w:rStyle w:val="Hyperlink"/>
          </w:rPr>
          <w:t>http://www.legislation.vic.gov.au/</w:t>
        </w:r>
      </w:hyperlink>
      <w:r>
        <w:rPr>
          <w:lang w:eastAsia="en-AU"/>
        </w:rPr>
        <w:t xml:space="preserve"> &lt;</w:t>
      </w:r>
      <w:r w:rsidRPr="00554FEF">
        <w:rPr>
          <w:lang w:eastAsia="en-AU"/>
        </w:rPr>
        <w:t>http://www.legislation.vic.gov.au/</w:t>
      </w:r>
      <w:r>
        <w:rPr>
          <w:lang w:eastAsia="en-AU"/>
        </w:rPr>
        <w:t xml:space="preserve">&gt; </w:t>
      </w:r>
      <w:r w:rsidRPr="00276391">
        <w:rPr>
          <w:lang w:eastAsia="en-AU"/>
        </w:rPr>
        <w:t>and selecting ‘Victorian Law Today’.</w:t>
      </w:r>
    </w:p>
    <w:p w14:paraId="37219DE0" w14:textId="77777777" w:rsidR="00856D53" w:rsidRPr="00276391" w:rsidRDefault="00856D53" w:rsidP="00856D53">
      <w:pPr>
        <w:pStyle w:val="Heading4"/>
        <w:rPr>
          <w:lang w:eastAsia="en-AU"/>
        </w:rPr>
      </w:pPr>
      <w:r w:rsidRPr="00276391">
        <w:rPr>
          <w:lang w:eastAsia="en-AU"/>
        </w:rPr>
        <w:t>For further information</w:t>
      </w:r>
    </w:p>
    <w:p w14:paraId="1FB2683B" w14:textId="77777777" w:rsidR="00856D53" w:rsidRPr="00276391" w:rsidRDefault="00856D53" w:rsidP="00856D53">
      <w:pPr>
        <w:pStyle w:val="DHHSbody"/>
        <w:rPr>
          <w:lang w:eastAsia="en-AU"/>
        </w:rPr>
      </w:pPr>
      <w:r w:rsidRPr="00B24C02">
        <w:rPr>
          <w:rFonts w:cs="Arial"/>
          <w:color w:val="000000"/>
          <w:szCs w:val="19"/>
          <w:lang w:eastAsia="en-AU"/>
        </w:rPr>
        <w:t>Tim Wall, Manager, Employee Safety and Wellbeing Branch, People Division, People and Executive Services Group</w:t>
      </w:r>
      <w:r w:rsidRPr="00B24C02">
        <w:rPr>
          <w:rFonts w:cs="Arial"/>
          <w:color w:val="000000"/>
          <w:szCs w:val="19"/>
          <w:lang w:eastAsia="en-AU"/>
        </w:rPr>
        <w:br/>
        <w:t>Telephone: (03) 9637 2460</w:t>
      </w:r>
      <w:r w:rsidRPr="00B24C02">
        <w:rPr>
          <w:rFonts w:cs="Arial"/>
          <w:color w:val="000000"/>
          <w:szCs w:val="19"/>
          <w:lang w:eastAsia="en-AU"/>
        </w:rPr>
        <w:br/>
        <w:t xml:space="preserve">Email: </w:t>
      </w:r>
      <w:hyperlink r:id="rId373" w:history="1">
        <w:r w:rsidRPr="00986D1E">
          <w:rPr>
            <w:rStyle w:val="Hyperlink"/>
          </w:rPr>
          <w:t>wall.timothy.c@edumail.vic.gov.au</w:t>
        </w:r>
      </w:hyperlink>
    </w:p>
    <w:p w14:paraId="1A555F5A" w14:textId="73C56AC3" w:rsidR="00856D53" w:rsidRPr="00276391" w:rsidRDefault="00B30C4B" w:rsidP="00856D53">
      <w:pPr>
        <w:pStyle w:val="Heading2"/>
        <w:rPr>
          <w:lang w:eastAsia="en-AU"/>
        </w:rPr>
      </w:pPr>
      <w:bookmarkStart w:id="928" w:name="_Toc4142154"/>
      <w:r>
        <w:rPr>
          <w:lang w:eastAsia="en-AU"/>
        </w:rPr>
        <w:t>5.7</w:t>
      </w:r>
      <w:r w:rsidR="00856D53" w:rsidRPr="00276391">
        <w:rPr>
          <w:lang w:eastAsia="en-AU"/>
        </w:rPr>
        <w:t xml:space="preserve"> Work</w:t>
      </w:r>
      <w:r w:rsidR="00856D53">
        <w:rPr>
          <w:lang w:eastAsia="en-AU"/>
        </w:rPr>
        <w:t>ers Compensation</w:t>
      </w:r>
      <w:bookmarkEnd w:id="928"/>
    </w:p>
    <w:p w14:paraId="11E462C4" w14:textId="77777777" w:rsidR="00856D53" w:rsidRPr="00276391" w:rsidRDefault="00856D53" w:rsidP="00856D53">
      <w:pPr>
        <w:pStyle w:val="DHHSbody"/>
        <w:rPr>
          <w:lang w:eastAsia="en-AU"/>
        </w:rPr>
      </w:pPr>
      <w:r w:rsidRPr="00B24C02">
        <w:rPr>
          <w:rFonts w:cs="Arial"/>
          <w:color w:val="000000"/>
          <w:szCs w:val="19"/>
          <w:lang w:eastAsia="en-AU"/>
        </w:rPr>
        <w:t xml:space="preserve">Under the </w:t>
      </w:r>
      <w:hyperlink r:id="rId374" w:history="1">
        <w:r w:rsidRPr="00986D1E">
          <w:rPr>
            <w:rStyle w:val="Hyperlink"/>
          </w:rPr>
          <w:t>Workplace Injury Rehabilitation and Compensation Act 2013</w:t>
        </w:r>
      </w:hyperlink>
      <w:r w:rsidRPr="00B24C02">
        <w:rPr>
          <w:rFonts w:cs="Arial"/>
          <w:color w:val="000000"/>
          <w:szCs w:val="19"/>
          <w:lang w:eastAsia="en-AU"/>
        </w:rPr>
        <w:t xml:space="preserve"> </w:t>
      </w:r>
      <w:r>
        <w:rPr>
          <w:rFonts w:cs="Arial"/>
          <w:color w:val="000000"/>
          <w:szCs w:val="19"/>
          <w:lang w:eastAsia="en-AU"/>
        </w:rPr>
        <w:t>&lt;</w:t>
      </w:r>
      <w:r w:rsidRPr="0052244A">
        <w:rPr>
          <w:rFonts w:cs="Arial"/>
          <w:color w:val="000000"/>
          <w:szCs w:val="19"/>
          <w:lang w:eastAsia="en-AU"/>
        </w:rPr>
        <w:t>http://www.austlii.edu.au/au/legis/vic/num_act/wiraca201367o2013530/</w:t>
      </w:r>
      <w:r>
        <w:rPr>
          <w:rFonts w:cs="Arial"/>
          <w:color w:val="000000"/>
          <w:szCs w:val="19"/>
          <w:lang w:eastAsia="en-AU"/>
        </w:rPr>
        <w:t>&gt;</w:t>
      </w:r>
      <w:r w:rsidRPr="0052244A">
        <w:rPr>
          <w:rFonts w:cs="Arial"/>
          <w:color w:val="000000"/>
          <w:szCs w:val="19"/>
          <w:lang w:eastAsia="en-AU"/>
        </w:rPr>
        <w:t xml:space="preserve"> </w:t>
      </w:r>
      <w:r w:rsidRPr="00B24C02">
        <w:rPr>
          <w:rFonts w:cs="Arial"/>
          <w:color w:val="000000"/>
          <w:szCs w:val="19"/>
          <w:lang w:eastAsia="en-AU"/>
        </w:rPr>
        <w:t>(external link, opens in a new window</w:t>
      </w:r>
      <w:r>
        <w:rPr>
          <w:rFonts w:cs="Arial"/>
          <w:color w:val="000000"/>
          <w:szCs w:val="19"/>
          <w:lang w:eastAsia="en-AU"/>
        </w:rPr>
        <w:t>) (</w:t>
      </w:r>
      <w:r w:rsidRPr="00B24C02">
        <w:rPr>
          <w:rFonts w:cs="Arial"/>
          <w:color w:val="000000"/>
          <w:szCs w:val="19"/>
          <w:lang w:eastAsia="en-AU"/>
        </w:rPr>
        <w:t xml:space="preserve">the Act), organisations with a rateable remuneration level in excess of $7,500 are required to have a WorkCover policy with a WorkSafe authorised agent (insurer). A list of agents is available on the </w:t>
      </w:r>
      <w:hyperlink r:id="rId375"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B24C02">
        <w:rPr>
          <w:rFonts w:cs="Arial"/>
          <w:color w:val="000000"/>
          <w:szCs w:val="19"/>
          <w:lang w:eastAsia="en-AU"/>
        </w:rPr>
        <w:t xml:space="preserve"> (external link, opens in a new window) website.</w:t>
      </w:r>
    </w:p>
    <w:p w14:paraId="01ADAD95" w14:textId="77777777" w:rsidR="00856D53" w:rsidRPr="00276391" w:rsidRDefault="00856D53" w:rsidP="00856D53">
      <w:pPr>
        <w:pStyle w:val="DHHSbody"/>
        <w:rPr>
          <w:lang w:eastAsia="en-AU"/>
        </w:rPr>
      </w:pPr>
      <w:r w:rsidRPr="00276391">
        <w:rPr>
          <w:lang w:eastAsia="en-AU"/>
        </w:rPr>
        <w:t>The organisation's obligations under the Act extend to the:</w:t>
      </w:r>
    </w:p>
    <w:p w14:paraId="7EE8DF54" w14:textId="77777777" w:rsidR="00856D53" w:rsidRPr="00276391" w:rsidRDefault="00856D53" w:rsidP="00856D53">
      <w:pPr>
        <w:pStyle w:val="DHHSbullet1"/>
        <w:rPr>
          <w:lang w:eastAsia="en-AU"/>
        </w:rPr>
      </w:pPr>
      <w:r w:rsidRPr="00276391">
        <w:rPr>
          <w:lang w:eastAsia="en-AU"/>
        </w:rPr>
        <w:t xml:space="preserve">payment of WorkCover premium by employers; </w:t>
      </w:r>
    </w:p>
    <w:p w14:paraId="46CC8E2E" w14:textId="77777777" w:rsidR="00856D53" w:rsidRPr="00276391" w:rsidRDefault="00856D53" w:rsidP="00856D53">
      <w:pPr>
        <w:pStyle w:val="DHHSbullet1"/>
        <w:rPr>
          <w:lang w:eastAsia="en-AU"/>
        </w:rPr>
      </w:pPr>
      <w:r w:rsidRPr="00276391">
        <w:rPr>
          <w:lang w:eastAsia="en-AU"/>
        </w:rPr>
        <w:t xml:space="preserve">registration of work sites; </w:t>
      </w:r>
    </w:p>
    <w:p w14:paraId="30776470" w14:textId="77777777" w:rsidR="00856D53" w:rsidRPr="00276391" w:rsidRDefault="00856D53" w:rsidP="00856D53">
      <w:pPr>
        <w:pStyle w:val="DHHSbullet1"/>
        <w:rPr>
          <w:lang w:eastAsia="en-AU"/>
        </w:rPr>
      </w:pPr>
      <w:r w:rsidRPr="00276391">
        <w:rPr>
          <w:lang w:eastAsia="en-AU"/>
        </w:rPr>
        <w:t xml:space="preserve">management of claims; </w:t>
      </w:r>
    </w:p>
    <w:p w14:paraId="6F54DB7A" w14:textId="77777777" w:rsidR="00856D53" w:rsidRPr="00276391" w:rsidRDefault="00856D53" w:rsidP="00856D53">
      <w:pPr>
        <w:pStyle w:val="DHHSbullet1"/>
        <w:rPr>
          <w:lang w:eastAsia="en-AU"/>
        </w:rPr>
      </w:pPr>
      <w:r w:rsidRPr="00276391">
        <w:rPr>
          <w:lang w:eastAsia="en-AU"/>
        </w:rPr>
        <w:t xml:space="preserve">payment of compensation; and </w:t>
      </w:r>
    </w:p>
    <w:p w14:paraId="2574B967" w14:textId="77777777" w:rsidR="00856D53" w:rsidRPr="00276391" w:rsidRDefault="00856D53" w:rsidP="00856D53">
      <w:pPr>
        <w:pStyle w:val="DHHSbullet1lastline"/>
        <w:rPr>
          <w:lang w:eastAsia="en-AU"/>
        </w:rPr>
      </w:pPr>
      <w:r w:rsidRPr="00276391">
        <w:rPr>
          <w:lang w:eastAsia="en-AU"/>
        </w:rPr>
        <w:t xml:space="preserve">assistance with return to work for employees injured in the course of their work. </w:t>
      </w:r>
    </w:p>
    <w:p w14:paraId="09F9756B" w14:textId="77777777" w:rsidR="00856D53" w:rsidRPr="00276391" w:rsidRDefault="00856D53" w:rsidP="00856D53">
      <w:pPr>
        <w:pStyle w:val="DHHSbody"/>
        <w:rPr>
          <w:lang w:eastAsia="en-AU"/>
        </w:rPr>
      </w:pPr>
      <w:r w:rsidRPr="00276391">
        <w:rPr>
          <w:lang w:eastAsia="en-AU"/>
        </w:rPr>
        <w:t>WorkSafe can impose penalties when employers fail to meet their responsibilities under the Act.</w:t>
      </w:r>
    </w:p>
    <w:p w14:paraId="421A4AE9" w14:textId="77777777" w:rsidR="00856D53" w:rsidRPr="00276391" w:rsidRDefault="00856D53" w:rsidP="00856D53">
      <w:pPr>
        <w:pStyle w:val="DHHSbody"/>
        <w:rPr>
          <w:lang w:eastAsia="en-AU"/>
        </w:rPr>
      </w:pPr>
      <w:r w:rsidRPr="00276391">
        <w:rPr>
          <w:lang w:eastAsia="en-AU"/>
        </w:rPr>
        <w:t xml:space="preserve">Guidelines for implementing WorkCover obligations are available on the </w:t>
      </w:r>
      <w:hyperlink r:id="rId376"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276391">
        <w:rPr>
          <w:lang w:eastAsia="en-AU"/>
        </w:rPr>
        <w:t xml:space="preserve"> (external link, opens in a new window) website and from authorised WorkCover agents. The WorkSafe Advisory Service can be contacted on (03) 9641 1444.</w:t>
      </w:r>
    </w:p>
    <w:p w14:paraId="05B8999A" w14:textId="16FC7ACB" w:rsidR="00856D53" w:rsidRPr="00276391" w:rsidRDefault="00856D53" w:rsidP="00856D53">
      <w:pPr>
        <w:pStyle w:val="DHHSbody"/>
        <w:rPr>
          <w:lang w:eastAsia="en-AU"/>
        </w:rPr>
      </w:pPr>
      <w:r w:rsidRPr="00276391">
        <w:rPr>
          <w:lang w:eastAsia="en-AU"/>
        </w:rPr>
        <w:t xml:space="preserve">Note: A funded organisation's employees are not covered by the </w:t>
      </w:r>
      <w:r w:rsidR="007A46F5">
        <w:rPr>
          <w:lang w:eastAsia="en-AU"/>
        </w:rPr>
        <w:t>department’s</w:t>
      </w:r>
      <w:r w:rsidRPr="00276391">
        <w:rPr>
          <w:lang w:eastAsia="en-AU"/>
        </w:rPr>
        <w:t xml:space="preserve"> WorkCover policy.</w:t>
      </w:r>
    </w:p>
    <w:p w14:paraId="15E94AF7" w14:textId="77777777" w:rsidR="00856D53" w:rsidRPr="00276391" w:rsidRDefault="00856D53" w:rsidP="00856D53">
      <w:pPr>
        <w:pStyle w:val="Heading4"/>
        <w:rPr>
          <w:lang w:eastAsia="en-AU"/>
        </w:rPr>
      </w:pPr>
      <w:r w:rsidRPr="00276391">
        <w:rPr>
          <w:lang w:eastAsia="en-AU"/>
        </w:rPr>
        <w:t>Premium discount</w:t>
      </w:r>
    </w:p>
    <w:p w14:paraId="31EDAB0A" w14:textId="77777777" w:rsidR="00856D53" w:rsidRPr="00276391" w:rsidRDefault="00856D53" w:rsidP="00856D53">
      <w:pPr>
        <w:pStyle w:val="DHHSbody"/>
        <w:rPr>
          <w:lang w:eastAsia="en-AU"/>
        </w:rPr>
      </w:pPr>
      <w:r w:rsidRPr="00B24C02">
        <w:rPr>
          <w:rFonts w:cs="Arial"/>
          <w:color w:val="000000"/>
          <w:szCs w:val="19"/>
          <w:lang w:eastAsia="en-AU"/>
        </w:rPr>
        <w:t>WorkSafe offers:</w:t>
      </w:r>
    </w:p>
    <w:p w14:paraId="05C77926" w14:textId="77777777" w:rsidR="00856D53" w:rsidRPr="00276391" w:rsidRDefault="00856D53" w:rsidP="00856D53">
      <w:pPr>
        <w:pStyle w:val="DHHSbullet1"/>
        <w:rPr>
          <w:lang w:eastAsia="en-AU"/>
        </w:rPr>
      </w:pPr>
      <w:r w:rsidRPr="00276391">
        <w:rPr>
          <w:lang w:eastAsia="en-AU"/>
        </w:rPr>
        <w:t xml:space="preserve">a five per cent discount to eligible organisations where the full WorkCover premium is paid by 5 August as a lump sum instead of by instalments </w:t>
      </w:r>
    </w:p>
    <w:p w14:paraId="507F6A77" w14:textId="77777777" w:rsidR="00856D53" w:rsidRPr="00276391" w:rsidRDefault="00856D53" w:rsidP="00856D53">
      <w:pPr>
        <w:pStyle w:val="DHHSbullet1"/>
        <w:rPr>
          <w:lang w:eastAsia="en-AU"/>
        </w:rPr>
      </w:pPr>
      <w:r w:rsidRPr="00276391">
        <w:rPr>
          <w:lang w:eastAsia="en-AU"/>
        </w:rPr>
        <w:t xml:space="preserve">a three per cent discount to eligible organisations where the full WorkCover premium is paid by 1 October as a lump sum instead of by instalments. </w:t>
      </w:r>
    </w:p>
    <w:p w14:paraId="432431E5" w14:textId="77777777" w:rsidR="00856D53" w:rsidRPr="00276391" w:rsidRDefault="00856D53" w:rsidP="00856D53">
      <w:pPr>
        <w:pStyle w:val="DHHSbody"/>
        <w:rPr>
          <w:lang w:eastAsia="en-AU"/>
        </w:rPr>
      </w:pPr>
      <w:r w:rsidRPr="00276391">
        <w:rPr>
          <w:lang w:eastAsia="en-AU"/>
        </w:rPr>
        <w:t xml:space="preserve">Further information on the premium discount is available from the </w:t>
      </w:r>
      <w:hyperlink r:id="rId377" w:history="1">
        <w:r w:rsidRPr="0010228A">
          <w:rPr>
            <w:rStyle w:val="Hyperlink"/>
          </w:rPr>
          <w:t>WorkSafe</w:t>
        </w:r>
        <w:r w:rsidRPr="0010228A">
          <w:rPr>
            <w:rStyle w:val="Hyperlink"/>
            <w:rFonts w:cs="Arial"/>
            <w:szCs w:val="19"/>
            <w:lang w:eastAsia="en-AU"/>
          </w:rPr>
          <w:t xml:space="preserve"> website</w:t>
        </w:r>
      </w:hyperlink>
      <w:r w:rsidRPr="00B24C02">
        <w:rPr>
          <w:rFonts w:cs="Arial"/>
          <w:color w:val="000000"/>
          <w:szCs w:val="19"/>
          <w:lang w:eastAsia="en-AU"/>
        </w:rPr>
        <w:t xml:space="preserve"> </w:t>
      </w:r>
      <w:r>
        <w:rPr>
          <w:rFonts w:cs="Arial"/>
          <w:color w:val="000000"/>
          <w:szCs w:val="19"/>
          <w:lang w:eastAsia="en-AU"/>
        </w:rPr>
        <w:t>&lt;</w:t>
      </w:r>
      <w:r w:rsidRPr="0010228A">
        <w:rPr>
          <w:rFonts w:cs="Arial"/>
          <w:color w:val="000000"/>
          <w:szCs w:val="19"/>
          <w:lang w:eastAsia="en-AU"/>
        </w:rPr>
        <w:t>http://www.worksafe.vic.gov.au/</w:t>
      </w:r>
      <w:r>
        <w:rPr>
          <w:rFonts w:cs="Arial"/>
          <w:color w:val="000000"/>
          <w:szCs w:val="19"/>
          <w:lang w:eastAsia="en-AU"/>
        </w:rPr>
        <w:t>&gt;</w:t>
      </w:r>
      <w:r w:rsidRPr="00276391">
        <w:rPr>
          <w:lang w:eastAsia="en-AU"/>
        </w:rPr>
        <w:t xml:space="preserve"> (external link, opens in a new window) website.</w:t>
      </w:r>
    </w:p>
    <w:p w14:paraId="5E9AEFC9" w14:textId="77777777" w:rsidR="00856D53" w:rsidRPr="00276391" w:rsidRDefault="00856D53" w:rsidP="00856D53">
      <w:pPr>
        <w:pStyle w:val="Heading4"/>
        <w:rPr>
          <w:lang w:eastAsia="en-AU"/>
        </w:rPr>
      </w:pPr>
      <w:r w:rsidRPr="00276391">
        <w:rPr>
          <w:lang w:eastAsia="en-AU"/>
        </w:rPr>
        <w:t>For further information</w:t>
      </w:r>
    </w:p>
    <w:p w14:paraId="78EDEACD" w14:textId="77777777" w:rsidR="00856D53" w:rsidRPr="00276391" w:rsidRDefault="00856D53" w:rsidP="00856D53">
      <w:pPr>
        <w:pStyle w:val="DHHSbody"/>
        <w:rPr>
          <w:lang w:eastAsia="en-AU"/>
        </w:rPr>
      </w:pPr>
      <w:r w:rsidRPr="00B24C02">
        <w:rPr>
          <w:rFonts w:cs="Arial"/>
          <w:color w:val="000000"/>
          <w:szCs w:val="19"/>
          <w:lang w:eastAsia="en-AU"/>
        </w:rPr>
        <w:t>Florence Kaur, Senior Policy Officer, System Quality Unit, Strategy and Integration Division, Early Childhood and School Education Group</w:t>
      </w:r>
      <w:r w:rsidRPr="00B24C02">
        <w:rPr>
          <w:rFonts w:cs="Arial"/>
          <w:color w:val="000000"/>
          <w:szCs w:val="19"/>
          <w:lang w:eastAsia="en-AU"/>
        </w:rPr>
        <w:br/>
      </w:r>
      <w:r w:rsidRPr="00B24C02">
        <w:rPr>
          <w:rFonts w:cs="Arial"/>
          <w:color w:val="000000"/>
          <w:szCs w:val="19"/>
          <w:lang w:eastAsia="en-AU"/>
        </w:rPr>
        <w:lastRenderedPageBreak/>
        <w:t>Telephone: 03 9651 3242</w:t>
      </w:r>
      <w:r w:rsidRPr="00B24C02">
        <w:rPr>
          <w:rFonts w:cs="Arial"/>
          <w:color w:val="000000"/>
          <w:szCs w:val="19"/>
          <w:lang w:eastAsia="en-AU"/>
        </w:rPr>
        <w:br/>
        <w:t xml:space="preserve">Email: </w:t>
      </w:r>
      <w:hyperlink r:id="rId378" w:history="1">
        <w:r w:rsidRPr="00986D1E">
          <w:rPr>
            <w:rStyle w:val="Hyperlink"/>
          </w:rPr>
          <w:t>kaur.florence.g@edumail.vic.gov.au</w:t>
        </w:r>
      </w:hyperlink>
    </w:p>
    <w:p w14:paraId="5A55B32E" w14:textId="5D2FF7D9" w:rsidR="00856D53" w:rsidRPr="00276391" w:rsidRDefault="00B30C4B" w:rsidP="00856D53">
      <w:pPr>
        <w:pStyle w:val="Heading2"/>
        <w:rPr>
          <w:rFonts w:cs="Arial"/>
          <w:lang w:eastAsia="en-AU"/>
        </w:rPr>
      </w:pPr>
      <w:bookmarkStart w:id="929" w:name="_Toc4142155"/>
      <w:r>
        <w:rPr>
          <w:rFonts w:cs="Arial"/>
          <w:lang w:eastAsia="en-AU"/>
        </w:rPr>
        <w:t>5.8</w:t>
      </w:r>
      <w:r w:rsidR="00856D53" w:rsidRPr="00276391">
        <w:rPr>
          <w:rFonts w:cs="Arial"/>
          <w:lang w:eastAsia="en-AU"/>
        </w:rPr>
        <w:t xml:space="preserve"> Victorian Charter of Human Rights and Responsibilities</w:t>
      </w:r>
      <w:bookmarkEnd w:id="929"/>
    </w:p>
    <w:p w14:paraId="51A63F1E" w14:textId="77777777" w:rsidR="00856D53" w:rsidRPr="00276391" w:rsidRDefault="00856D53" w:rsidP="00856D53">
      <w:pPr>
        <w:pStyle w:val="Heading4"/>
        <w:rPr>
          <w:lang w:eastAsia="en-AU"/>
        </w:rPr>
      </w:pPr>
      <w:r w:rsidRPr="00276391">
        <w:rPr>
          <w:lang w:eastAsia="en-AU"/>
        </w:rPr>
        <w:t>What is the Charter?</w:t>
      </w:r>
    </w:p>
    <w:p w14:paraId="71D045C6" w14:textId="77777777" w:rsidR="00856D53" w:rsidRPr="00276391" w:rsidRDefault="00856D53" w:rsidP="00856D53">
      <w:pPr>
        <w:pStyle w:val="DHHSbody"/>
        <w:rPr>
          <w:lang w:eastAsia="en-AU"/>
        </w:rPr>
      </w:pPr>
      <w:r w:rsidRPr="00B24C02">
        <w:rPr>
          <w:rFonts w:cs="Arial"/>
          <w:color w:val="000000"/>
          <w:szCs w:val="19"/>
          <w:lang w:eastAsia="en-AU"/>
        </w:rPr>
        <w:t xml:space="preserve">The Charter of Human Rights and Responsibilities Act 2006 (Charter) is a Victorian Act of Parliament that protects and promotes 20 civil and political rights including but not limited to the right to vote, the right to privacy and the right to be free from discrimination. The Charter is based on the United Nations treaty, the International Covenant on Civil and Political Rights to which Australia is a signatory. The Charter is available on </w:t>
      </w:r>
      <w:r>
        <w:rPr>
          <w:rFonts w:cs="Arial"/>
          <w:color w:val="000000"/>
          <w:szCs w:val="19"/>
          <w:lang w:eastAsia="en-AU"/>
        </w:rPr>
        <w:t xml:space="preserve">the </w:t>
      </w:r>
      <w:hyperlink r:id="rId379" w:history="1">
        <w:r>
          <w:rPr>
            <w:rStyle w:val="Hyperlink"/>
            <w:rFonts w:cs="Arial"/>
            <w:szCs w:val="19"/>
            <w:lang w:eastAsia="en-AU"/>
          </w:rPr>
          <w:t>Victorian Legislation and Parliamentary Documents website</w:t>
        </w:r>
      </w:hyperlink>
      <w:r w:rsidRPr="00B24C02">
        <w:rPr>
          <w:rFonts w:cs="Arial"/>
          <w:color w:val="000000"/>
          <w:szCs w:val="19"/>
          <w:lang w:eastAsia="en-AU"/>
        </w:rPr>
        <w:t xml:space="preserve"> </w:t>
      </w:r>
      <w:r>
        <w:rPr>
          <w:rFonts w:cs="Arial"/>
          <w:color w:val="000000"/>
          <w:szCs w:val="19"/>
          <w:lang w:eastAsia="en-AU"/>
        </w:rPr>
        <w:t>&lt;</w:t>
      </w:r>
      <w:r w:rsidRPr="00124241">
        <w:t>http://www.legislation.vic.gov.au/</w:t>
      </w:r>
      <w:r>
        <w:t>&gt;</w:t>
      </w:r>
      <w:r w:rsidRPr="00B24C02">
        <w:rPr>
          <w:rFonts w:cs="Arial"/>
          <w:color w:val="000000"/>
          <w:szCs w:val="19"/>
          <w:lang w:eastAsia="en-AU"/>
        </w:rPr>
        <w:t xml:space="preserve"> (external link, opens in a new window).</w:t>
      </w:r>
    </w:p>
    <w:p w14:paraId="5E11C200" w14:textId="77777777" w:rsidR="00856D53" w:rsidRPr="00276391" w:rsidRDefault="00856D53" w:rsidP="00856D53">
      <w:pPr>
        <w:pStyle w:val="DHHSbody"/>
        <w:rPr>
          <w:lang w:eastAsia="en-AU"/>
        </w:rPr>
      </w:pPr>
      <w:r w:rsidRPr="00276391">
        <w:rPr>
          <w:lang w:eastAsia="en-AU"/>
        </w:rPr>
        <w:t>The Charter seeks to protect and promote basic human rights by ensuring that public powers and functions are exercised in a principled way and that public power is not misused. It complements a number of other pieces of legislation that are aimed at regulating the relationship between individuals and the State.</w:t>
      </w:r>
    </w:p>
    <w:p w14:paraId="6A4C6A9D" w14:textId="6EFF8A8C" w:rsidR="00856D53" w:rsidRPr="00276391" w:rsidRDefault="00856D53" w:rsidP="00856D53">
      <w:pPr>
        <w:pStyle w:val="Heading4"/>
        <w:rPr>
          <w:lang w:eastAsia="en-AU"/>
        </w:rPr>
      </w:pPr>
      <w:r w:rsidRPr="00276391">
        <w:rPr>
          <w:lang w:eastAsia="en-AU"/>
        </w:rPr>
        <w:t>Does the Department of Education and Training and funded organisations have obligations under the Charter?</w:t>
      </w:r>
    </w:p>
    <w:p w14:paraId="10A30977" w14:textId="4EC61B05" w:rsidR="00856D53" w:rsidRPr="00276391" w:rsidRDefault="00856D53" w:rsidP="00856D53">
      <w:pPr>
        <w:pStyle w:val="DHHSbody"/>
        <w:rPr>
          <w:lang w:eastAsia="en-AU"/>
        </w:rPr>
      </w:pPr>
      <w:r w:rsidRPr="00B24C02">
        <w:rPr>
          <w:rFonts w:cs="Arial"/>
          <w:color w:val="000000"/>
          <w:szCs w:val="19"/>
          <w:lang w:eastAsia="en-AU"/>
        </w:rPr>
        <w:t xml:space="preserve">One important way the Charter protects rights is by placing obligations on public authorities. </w:t>
      </w:r>
      <w:r w:rsidR="007A46F5">
        <w:rPr>
          <w:rFonts w:cs="Arial"/>
          <w:color w:val="000000"/>
          <w:szCs w:val="19"/>
          <w:lang w:eastAsia="en-AU"/>
        </w:rPr>
        <w:t>The department</w:t>
      </w:r>
      <w:r w:rsidRPr="00B24C02">
        <w:rPr>
          <w:rFonts w:cs="Arial"/>
          <w:color w:val="000000"/>
          <w:szCs w:val="19"/>
          <w:lang w:eastAsia="en-AU"/>
        </w:rPr>
        <w:t xml:space="preserve"> is a public authority, as are some of the organisations funded by </w:t>
      </w:r>
      <w:r w:rsidR="007A46F5">
        <w:rPr>
          <w:rFonts w:cs="Arial"/>
          <w:color w:val="000000"/>
          <w:szCs w:val="19"/>
          <w:lang w:eastAsia="en-AU"/>
        </w:rPr>
        <w:t>the department</w:t>
      </w:r>
      <w:r w:rsidRPr="00B24C02">
        <w:rPr>
          <w:rFonts w:cs="Arial"/>
          <w:color w:val="000000"/>
          <w:szCs w:val="19"/>
          <w:lang w:eastAsia="en-AU"/>
        </w:rPr>
        <w:t>. Outlined below are criteria to determine whether your organisation is a public authority, and the obligations of public authorities.</w:t>
      </w:r>
    </w:p>
    <w:p w14:paraId="59AEDA71" w14:textId="77777777" w:rsidR="00856D53" w:rsidRPr="00276391" w:rsidRDefault="00856D53" w:rsidP="00856D53">
      <w:pPr>
        <w:pStyle w:val="Heading4"/>
        <w:rPr>
          <w:lang w:eastAsia="en-AU"/>
        </w:rPr>
      </w:pPr>
      <w:r w:rsidRPr="00276391">
        <w:rPr>
          <w:lang w:eastAsia="en-AU"/>
        </w:rPr>
        <w:t>What is a Public Authority?</w:t>
      </w:r>
    </w:p>
    <w:p w14:paraId="23FF1471" w14:textId="77777777" w:rsidR="00856D53" w:rsidRPr="00276391" w:rsidRDefault="00856D53" w:rsidP="00856D53">
      <w:pPr>
        <w:pStyle w:val="DHHSbody"/>
        <w:rPr>
          <w:lang w:eastAsia="en-AU"/>
        </w:rPr>
      </w:pPr>
      <w:r w:rsidRPr="00B24C02">
        <w:rPr>
          <w:rFonts w:cs="Arial"/>
          <w:color w:val="000000"/>
          <w:szCs w:val="19"/>
          <w:lang w:eastAsia="en-AU"/>
        </w:rPr>
        <w:t>The Charter identifies three categories of organisations or individuals defined as public authorities which have obligations under the Charter:</w:t>
      </w:r>
    </w:p>
    <w:p w14:paraId="0BC00267" w14:textId="77777777" w:rsidR="00856D53" w:rsidRPr="00276391" w:rsidRDefault="00856D53" w:rsidP="00856D53">
      <w:pPr>
        <w:pStyle w:val="DHHSnumberdigit"/>
        <w:rPr>
          <w:lang w:eastAsia="en-AU"/>
        </w:rPr>
      </w:pPr>
      <w:r w:rsidRPr="00276391">
        <w:rPr>
          <w:lang w:eastAsia="en-AU"/>
        </w:rPr>
        <w:t>Bodies or individuals listed in the Charter including among others:</w:t>
      </w:r>
    </w:p>
    <w:p w14:paraId="6028EA9B" w14:textId="77777777" w:rsidR="00856D53" w:rsidRPr="00276391" w:rsidRDefault="00856D53" w:rsidP="00856D53">
      <w:pPr>
        <w:pStyle w:val="DHHSbullet2"/>
        <w:rPr>
          <w:lang w:eastAsia="en-AU"/>
        </w:rPr>
      </w:pPr>
      <w:r w:rsidRPr="00276391">
        <w:rPr>
          <w:lang w:eastAsia="en-AU"/>
        </w:rPr>
        <w:t xml:space="preserve">public servants; </w:t>
      </w:r>
    </w:p>
    <w:p w14:paraId="1CBD1733" w14:textId="77777777" w:rsidR="00856D53" w:rsidRPr="00276391" w:rsidRDefault="00856D53" w:rsidP="00856D53">
      <w:pPr>
        <w:pStyle w:val="DHHSbullet2"/>
        <w:rPr>
          <w:lang w:eastAsia="en-AU"/>
        </w:rPr>
      </w:pPr>
      <w:r w:rsidRPr="00276391">
        <w:rPr>
          <w:lang w:eastAsia="en-AU"/>
        </w:rPr>
        <w:t xml:space="preserve">local councils; </w:t>
      </w:r>
    </w:p>
    <w:p w14:paraId="1D2FBFAB" w14:textId="77777777" w:rsidR="00856D53" w:rsidRPr="00276391" w:rsidRDefault="00856D53" w:rsidP="00856D53">
      <w:pPr>
        <w:pStyle w:val="DHHSbullet2"/>
        <w:rPr>
          <w:lang w:eastAsia="en-AU"/>
        </w:rPr>
      </w:pPr>
      <w:r w:rsidRPr="00276391">
        <w:rPr>
          <w:lang w:eastAsia="en-AU"/>
        </w:rPr>
        <w:t xml:space="preserve">Victoria Police; and </w:t>
      </w:r>
    </w:p>
    <w:p w14:paraId="4BD8C92E" w14:textId="77777777" w:rsidR="00856D53" w:rsidRPr="00276391" w:rsidRDefault="00856D53" w:rsidP="00856D53">
      <w:pPr>
        <w:pStyle w:val="DHHSbullet2"/>
        <w:rPr>
          <w:lang w:eastAsia="en-AU"/>
        </w:rPr>
      </w:pPr>
      <w:r w:rsidRPr="00276391">
        <w:rPr>
          <w:lang w:eastAsia="en-AU"/>
        </w:rPr>
        <w:t xml:space="preserve">organisations listed in regulations made under the Charter. </w:t>
      </w:r>
    </w:p>
    <w:p w14:paraId="56AABD2E" w14:textId="77777777" w:rsidR="00856D53" w:rsidRPr="00276391" w:rsidRDefault="00856D53" w:rsidP="00856D53">
      <w:pPr>
        <w:pStyle w:val="DHHSnumberdigit"/>
        <w:rPr>
          <w:lang w:eastAsia="en-AU"/>
        </w:rPr>
      </w:pPr>
      <w:r w:rsidRPr="00276391">
        <w:rPr>
          <w:lang w:eastAsia="en-AU"/>
        </w:rPr>
        <w:t>Entities established under legislation that perform functions of a public nature such as:</w:t>
      </w:r>
    </w:p>
    <w:p w14:paraId="6F2874E2" w14:textId="77777777" w:rsidR="00856D53" w:rsidRPr="00276391" w:rsidRDefault="00856D53" w:rsidP="00856D53">
      <w:pPr>
        <w:pStyle w:val="DHHSbullet2"/>
        <w:rPr>
          <w:lang w:eastAsia="en-AU"/>
        </w:rPr>
      </w:pPr>
      <w:r w:rsidRPr="00276391">
        <w:rPr>
          <w:lang w:eastAsia="en-AU"/>
        </w:rPr>
        <w:t xml:space="preserve">public hospitals; </w:t>
      </w:r>
    </w:p>
    <w:p w14:paraId="7E1906DF" w14:textId="77777777" w:rsidR="00856D53" w:rsidRPr="00276391" w:rsidRDefault="00856D53" w:rsidP="00856D53">
      <w:pPr>
        <w:pStyle w:val="DHHSbullet2"/>
        <w:rPr>
          <w:lang w:eastAsia="en-AU"/>
        </w:rPr>
      </w:pPr>
      <w:r w:rsidRPr="00276391">
        <w:rPr>
          <w:lang w:eastAsia="en-AU"/>
        </w:rPr>
        <w:t xml:space="preserve">cemetery trusts; </w:t>
      </w:r>
    </w:p>
    <w:p w14:paraId="2129941F" w14:textId="77777777" w:rsidR="00856D53" w:rsidRPr="00276391" w:rsidRDefault="00856D53" w:rsidP="00856D53">
      <w:pPr>
        <w:pStyle w:val="DHHSbullet2"/>
        <w:rPr>
          <w:lang w:eastAsia="en-AU"/>
        </w:rPr>
      </w:pPr>
      <w:r w:rsidRPr="00276391">
        <w:rPr>
          <w:lang w:eastAsia="en-AU"/>
        </w:rPr>
        <w:t xml:space="preserve">Commission for Children and Young People; and </w:t>
      </w:r>
    </w:p>
    <w:p w14:paraId="53242D85" w14:textId="77777777" w:rsidR="00856D53" w:rsidRDefault="00856D53" w:rsidP="00856D53">
      <w:pPr>
        <w:pStyle w:val="DHHSbullet2"/>
        <w:rPr>
          <w:lang w:eastAsia="en-AU"/>
        </w:rPr>
      </w:pPr>
      <w:r w:rsidRPr="00276391">
        <w:rPr>
          <w:lang w:eastAsia="en-AU"/>
        </w:rPr>
        <w:t xml:space="preserve">Victorian Assisted Reproductive Treatment Authority. </w:t>
      </w:r>
    </w:p>
    <w:p w14:paraId="2DF3335D" w14:textId="77777777" w:rsidR="00856D53" w:rsidRPr="00276391" w:rsidRDefault="00856D53" w:rsidP="00856D53">
      <w:pPr>
        <w:pStyle w:val="DHHSnumberdigit"/>
        <w:rPr>
          <w:lang w:eastAsia="en-AU"/>
        </w:rPr>
      </w:pPr>
      <w:r w:rsidRPr="00276391">
        <w:rPr>
          <w:lang w:eastAsia="en-AU"/>
        </w:rPr>
        <w:t xml:space="preserve"> Entities that exercise functions of a public nature on behalf of the State or another public authority, whether under contract or otherwise.</w:t>
      </w:r>
    </w:p>
    <w:p w14:paraId="66064DC6" w14:textId="77777777" w:rsidR="00856D53" w:rsidRPr="00276391" w:rsidRDefault="00856D53" w:rsidP="00856D53">
      <w:pPr>
        <w:pStyle w:val="DHHSbody"/>
        <w:rPr>
          <w:lang w:eastAsia="en-AU"/>
        </w:rPr>
      </w:pPr>
      <w:r w:rsidRPr="00276391">
        <w:rPr>
          <w:lang w:eastAsia="en-AU"/>
        </w:rPr>
        <w:t>A body or individual which is a public authority must comply with the Charter in carrying out functions of a public nature. Organisations or individuals who perform a number of functions may only have obligations under the Charter with respect to those functions which are of a public nature. However, as a matter of best practice, they may choose to comply with the Charter in respect of all activities that affect human rights.</w:t>
      </w:r>
    </w:p>
    <w:p w14:paraId="1AE2A0B7" w14:textId="77777777" w:rsidR="00856D53" w:rsidRPr="00276391" w:rsidRDefault="00856D53" w:rsidP="00856D53">
      <w:pPr>
        <w:pStyle w:val="Heading4"/>
        <w:rPr>
          <w:lang w:eastAsia="en-AU"/>
        </w:rPr>
      </w:pPr>
      <w:r w:rsidRPr="00276391">
        <w:rPr>
          <w:lang w:eastAsia="en-AU"/>
        </w:rPr>
        <w:lastRenderedPageBreak/>
        <w:t>How do you know if you are performing functions of a public nature?</w:t>
      </w:r>
    </w:p>
    <w:p w14:paraId="033C42A8" w14:textId="77777777" w:rsidR="00856D53" w:rsidRPr="00276391" w:rsidRDefault="00856D53" w:rsidP="00856D53">
      <w:pPr>
        <w:pStyle w:val="DHHSbody"/>
        <w:rPr>
          <w:lang w:eastAsia="en-AU"/>
        </w:rPr>
      </w:pPr>
      <w:r w:rsidRPr="00B24C02">
        <w:rPr>
          <w:rFonts w:cs="Arial"/>
          <w:color w:val="000000"/>
          <w:szCs w:val="19"/>
          <w:lang w:eastAsia="en-AU"/>
        </w:rPr>
        <w:t>It may not always be clear whether organisations or individuals that perform functions of a public nature constitute a public authority. The following questions may assist in clarifying whether their functions are of a public nature:</w:t>
      </w:r>
    </w:p>
    <w:p w14:paraId="39D5E705" w14:textId="77777777" w:rsidR="00856D53" w:rsidRPr="00276391" w:rsidRDefault="00856D53" w:rsidP="00856D53">
      <w:pPr>
        <w:pStyle w:val="DHHSbody"/>
        <w:rPr>
          <w:lang w:eastAsia="en-AU"/>
        </w:rPr>
      </w:pPr>
      <w:r w:rsidRPr="00276391">
        <w:rPr>
          <w:lang w:eastAsia="en-AU"/>
        </w:rPr>
        <w:t xml:space="preserve">Does legislation give the organisation or individual that function? For example, children’s services operating under the Children’s Services Act 1996. </w:t>
      </w:r>
    </w:p>
    <w:p w14:paraId="5E0C894D" w14:textId="77777777" w:rsidR="00856D53" w:rsidRPr="00276391" w:rsidRDefault="00856D53" w:rsidP="00856D53">
      <w:pPr>
        <w:pStyle w:val="DHHSbody"/>
        <w:rPr>
          <w:lang w:eastAsia="en-AU"/>
        </w:rPr>
      </w:pPr>
      <w:r w:rsidRPr="00276391">
        <w:rPr>
          <w:lang w:eastAsia="en-AU"/>
        </w:rPr>
        <w:t xml:space="preserve">Is the function one that is usually connected to or generally identified with functions of government? For example, the provision of education services. </w:t>
      </w:r>
    </w:p>
    <w:p w14:paraId="21FC41B1" w14:textId="77777777" w:rsidR="00856D53" w:rsidRPr="00276391" w:rsidRDefault="00856D53" w:rsidP="00856D53">
      <w:pPr>
        <w:pStyle w:val="DHHSbody"/>
        <w:rPr>
          <w:lang w:eastAsia="en-AU"/>
        </w:rPr>
      </w:pPr>
      <w:r w:rsidRPr="00276391">
        <w:rPr>
          <w:lang w:eastAsia="en-AU"/>
        </w:rPr>
        <w:t xml:space="preserve">Is the organisation or individual funded by a public authority to perform that function? Examples include parenting services, supported playgroups and kindergartens. </w:t>
      </w:r>
    </w:p>
    <w:p w14:paraId="6570DA4C" w14:textId="77777777" w:rsidR="00856D53" w:rsidRPr="00276391" w:rsidRDefault="00856D53" w:rsidP="00856D53">
      <w:pPr>
        <w:pStyle w:val="DHHSbody"/>
        <w:rPr>
          <w:lang w:eastAsia="en-AU"/>
        </w:rPr>
      </w:pPr>
      <w:r w:rsidRPr="00276391">
        <w:rPr>
          <w:lang w:eastAsia="en-AU"/>
        </w:rPr>
        <w:t xml:space="preserve">Is the function one of a regulatory nature, such as regulating a profession? </w:t>
      </w:r>
    </w:p>
    <w:p w14:paraId="35737BE3" w14:textId="77777777" w:rsidR="00856D53" w:rsidRPr="00276391" w:rsidRDefault="00856D53" w:rsidP="00856D53">
      <w:pPr>
        <w:pStyle w:val="DHHSbody"/>
        <w:rPr>
          <w:lang w:eastAsia="en-AU"/>
        </w:rPr>
      </w:pPr>
      <w:r w:rsidRPr="00276391">
        <w:rPr>
          <w:lang w:eastAsia="en-AU"/>
        </w:rPr>
        <w:t xml:space="preserve">Is the organisation or individual performing the functions on behalf of the State, a department, or another public authority? </w:t>
      </w:r>
    </w:p>
    <w:p w14:paraId="2A648AFC" w14:textId="77777777" w:rsidR="00856D53" w:rsidRPr="00276391" w:rsidRDefault="00856D53" w:rsidP="00856D53">
      <w:pPr>
        <w:pStyle w:val="DHHSbody"/>
        <w:rPr>
          <w:lang w:eastAsia="en-AU"/>
        </w:rPr>
      </w:pPr>
      <w:r w:rsidRPr="00276391">
        <w:rPr>
          <w:lang w:eastAsia="en-AU"/>
        </w:rPr>
        <w:t>In many cases, it is clear when a function is being performed for the State or another public authority. Often it will depend on the circumstances of each case. However, the Charter specifies that:</w:t>
      </w:r>
    </w:p>
    <w:p w14:paraId="6E349F04" w14:textId="77777777" w:rsidR="00856D53" w:rsidRPr="00276391" w:rsidRDefault="00856D53" w:rsidP="00856D53">
      <w:pPr>
        <w:pStyle w:val="DHHSbullet1"/>
        <w:rPr>
          <w:lang w:eastAsia="en-AU"/>
        </w:rPr>
      </w:pPr>
      <w:r w:rsidRPr="00276391">
        <w:rPr>
          <w:lang w:eastAsia="en-AU"/>
        </w:rPr>
        <w:t xml:space="preserve">the fact that an organisation is publicly funded to perform a function does not necessarily mean that the organisation is performing the function on behalf of the State; and </w:t>
      </w:r>
    </w:p>
    <w:p w14:paraId="73C54281" w14:textId="77777777" w:rsidR="00856D53" w:rsidRPr="00276391" w:rsidRDefault="00856D53" w:rsidP="00856D53">
      <w:pPr>
        <w:pStyle w:val="DHHSbullet1"/>
        <w:rPr>
          <w:lang w:eastAsia="en-AU"/>
        </w:rPr>
      </w:pPr>
      <w:r w:rsidRPr="00276391">
        <w:rPr>
          <w:lang w:eastAsia="en-AU"/>
        </w:rPr>
        <w:t xml:space="preserve">an organisation does not have to be an agent of the State to be acting on behalf of the State. </w:t>
      </w:r>
    </w:p>
    <w:p w14:paraId="719537D6" w14:textId="77777777" w:rsidR="00856D53" w:rsidRPr="00276391" w:rsidRDefault="00856D53" w:rsidP="00856D53">
      <w:pPr>
        <w:pStyle w:val="DHHSbody"/>
        <w:rPr>
          <w:lang w:eastAsia="en-AU"/>
        </w:rPr>
      </w:pPr>
      <w:r w:rsidRPr="00276391">
        <w:rPr>
          <w:lang w:eastAsia="en-AU"/>
        </w:rPr>
        <w:t>These factors are not exhaustive or conclusive. Some of the factors may be present when an organisation or individual is performing a function that is not of a public nature.</w:t>
      </w:r>
    </w:p>
    <w:p w14:paraId="048BF904" w14:textId="77777777" w:rsidR="00856D53" w:rsidRPr="00276391" w:rsidRDefault="00856D53" w:rsidP="00856D53">
      <w:pPr>
        <w:pStyle w:val="DHHSbody"/>
        <w:rPr>
          <w:lang w:eastAsia="en-AU"/>
        </w:rPr>
      </w:pPr>
      <w:r w:rsidRPr="00276391">
        <w:rPr>
          <w:lang w:eastAsia="en-AU"/>
        </w:rPr>
        <w:t>If an organisation or individual is unclear as to whether they are a public authority for the purposes of the Charter, they may choose to seek further legal advice or act compatibly with the Charter in the exercise of their functions as a matter of best practice.</w:t>
      </w:r>
    </w:p>
    <w:p w14:paraId="08DCD411" w14:textId="77777777" w:rsidR="00856D53" w:rsidRPr="00276391" w:rsidRDefault="00856D53" w:rsidP="00856D53">
      <w:pPr>
        <w:pStyle w:val="Heading4"/>
        <w:rPr>
          <w:lang w:eastAsia="en-AU"/>
        </w:rPr>
      </w:pPr>
      <w:r w:rsidRPr="00276391">
        <w:rPr>
          <w:lang w:eastAsia="en-AU"/>
        </w:rPr>
        <w:t>What obligations do you or your organisation have as a public authority?</w:t>
      </w:r>
    </w:p>
    <w:p w14:paraId="1AC039D7" w14:textId="77777777" w:rsidR="00856D53" w:rsidRPr="00276391" w:rsidRDefault="00856D53" w:rsidP="00856D53">
      <w:pPr>
        <w:pStyle w:val="DHHSbody"/>
        <w:rPr>
          <w:lang w:eastAsia="en-AU"/>
        </w:rPr>
      </w:pPr>
      <w:r w:rsidRPr="00B24C02">
        <w:rPr>
          <w:rFonts w:cs="Arial"/>
          <w:color w:val="000000"/>
          <w:szCs w:val="19"/>
          <w:lang w:eastAsia="en-AU"/>
        </w:rPr>
        <w:t>If an organisation or individual which is a public authority acts or makes any decision that affects another individual's rights as set out in the Charter, it must consider the relevant human rights in the Charter and act compatibly with those rights. This means that public authorities must consider the rights protected by the Charter when they make decisions, set policies and provide services.</w:t>
      </w:r>
    </w:p>
    <w:p w14:paraId="5B77A048" w14:textId="77777777" w:rsidR="00856D53" w:rsidRPr="00276391" w:rsidRDefault="00856D53" w:rsidP="00856D53">
      <w:pPr>
        <w:pStyle w:val="DHHSbody"/>
        <w:rPr>
          <w:lang w:eastAsia="en-AU"/>
        </w:rPr>
      </w:pPr>
      <w:r w:rsidRPr="00276391">
        <w:rPr>
          <w:lang w:eastAsia="en-AU"/>
        </w:rPr>
        <w:t>There are steps that organisations and individuals can follow to ensure that they comply with these obligations including:</w:t>
      </w:r>
    </w:p>
    <w:p w14:paraId="174CC652" w14:textId="77777777" w:rsidR="00856D53" w:rsidRPr="00276391" w:rsidRDefault="00856D53" w:rsidP="00856D53">
      <w:pPr>
        <w:pStyle w:val="DHHSbullet1"/>
        <w:rPr>
          <w:lang w:eastAsia="en-AU"/>
        </w:rPr>
      </w:pPr>
      <w:r w:rsidRPr="00276391">
        <w:rPr>
          <w:lang w:eastAsia="en-AU"/>
        </w:rPr>
        <w:t xml:space="preserve">thinking about where human rights are relevant to their activities and decisions that they make; </w:t>
      </w:r>
    </w:p>
    <w:p w14:paraId="7760FB4C" w14:textId="77777777" w:rsidR="00856D53" w:rsidRPr="00276391" w:rsidRDefault="00856D53" w:rsidP="00856D53">
      <w:pPr>
        <w:pStyle w:val="DHHSbullet1"/>
        <w:rPr>
          <w:lang w:eastAsia="en-AU"/>
        </w:rPr>
      </w:pPr>
      <w:r w:rsidRPr="00276391">
        <w:rPr>
          <w:lang w:eastAsia="en-AU"/>
        </w:rPr>
        <w:t xml:space="preserve">where rights are engaged (relevant to the decision or action), consider whether or not the decision or action is limiting a human right in the Charter; and </w:t>
      </w:r>
    </w:p>
    <w:p w14:paraId="5E9585B3" w14:textId="77777777" w:rsidR="00856D53" w:rsidRPr="00276391" w:rsidRDefault="00856D53" w:rsidP="00856D53">
      <w:pPr>
        <w:pStyle w:val="DHHSbullet1lastline"/>
        <w:rPr>
          <w:lang w:eastAsia="en-AU"/>
        </w:rPr>
      </w:pPr>
      <w:r w:rsidRPr="00276391">
        <w:rPr>
          <w:lang w:eastAsia="en-AU"/>
        </w:rPr>
        <w:t xml:space="preserve">being able to demonstrate that any limitation on a human right is reasonable and to consider whether the limitation is lawful, necessary, and proportionate in the circumstances. </w:t>
      </w:r>
    </w:p>
    <w:p w14:paraId="2936FDDE" w14:textId="77777777" w:rsidR="00856D53" w:rsidRPr="00276391" w:rsidRDefault="00856D53" w:rsidP="00856D53">
      <w:pPr>
        <w:pStyle w:val="DHHSbody"/>
        <w:rPr>
          <w:lang w:eastAsia="en-AU"/>
        </w:rPr>
      </w:pPr>
      <w:r w:rsidRPr="00276391">
        <w:rPr>
          <w:lang w:eastAsia="en-AU"/>
        </w:rPr>
        <w:t>It is important to understand that the Charter permits the reasonable limitation of human rights in particular circumstances.</w:t>
      </w:r>
    </w:p>
    <w:p w14:paraId="3DB5FF52" w14:textId="77777777" w:rsidR="00856D53" w:rsidRPr="00276391" w:rsidRDefault="00856D53" w:rsidP="00856D53">
      <w:pPr>
        <w:pStyle w:val="DHHSbody"/>
        <w:rPr>
          <w:lang w:eastAsia="en-AU"/>
        </w:rPr>
      </w:pPr>
      <w:r w:rsidRPr="00276391">
        <w:rPr>
          <w:lang w:eastAsia="en-AU"/>
        </w:rPr>
        <w:t>Entities will make decisions and apply procedures that impact on an individual's human rights. This action is still compatible with the Charter as long as it can be demonstrated that the limitation on the right is reasonable.</w:t>
      </w:r>
    </w:p>
    <w:p w14:paraId="0A10C62F" w14:textId="77777777" w:rsidR="00856D53" w:rsidRPr="00276391" w:rsidRDefault="00856D53" w:rsidP="00856D53">
      <w:pPr>
        <w:pStyle w:val="DHHSbody"/>
        <w:rPr>
          <w:lang w:eastAsia="en-AU"/>
        </w:rPr>
      </w:pPr>
      <w:r w:rsidRPr="00276391">
        <w:rPr>
          <w:lang w:eastAsia="en-AU"/>
        </w:rPr>
        <w:t xml:space="preserve">A ‘reasonable’ limitation is determined based on the standards in a free and democratic society including human dignity, equality and freedom and </w:t>
      </w:r>
      <w:proofErr w:type="gramStart"/>
      <w:r w:rsidRPr="00276391">
        <w:rPr>
          <w:lang w:eastAsia="en-AU"/>
        </w:rPr>
        <w:t>taking into account</w:t>
      </w:r>
      <w:proofErr w:type="gramEnd"/>
      <w:r w:rsidRPr="00276391">
        <w:rPr>
          <w:lang w:eastAsia="en-AU"/>
        </w:rPr>
        <w:t>:</w:t>
      </w:r>
    </w:p>
    <w:p w14:paraId="408FA0F0" w14:textId="77777777" w:rsidR="00856D53" w:rsidRPr="00276391" w:rsidRDefault="00856D53" w:rsidP="00856D53">
      <w:pPr>
        <w:pStyle w:val="DHHSbullet1lastline"/>
        <w:rPr>
          <w:lang w:eastAsia="en-AU"/>
        </w:rPr>
      </w:pPr>
      <w:r w:rsidRPr="00276391">
        <w:rPr>
          <w:lang w:eastAsia="en-AU"/>
        </w:rPr>
        <w:t xml:space="preserve">the nature of the right; </w:t>
      </w:r>
    </w:p>
    <w:p w14:paraId="611DE2F0" w14:textId="77777777" w:rsidR="00856D53" w:rsidRPr="00276391" w:rsidRDefault="00856D53" w:rsidP="00856D53">
      <w:pPr>
        <w:pStyle w:val="DHHSbullet1lastline"/>
        <w:rPr>
          <w:lang w:eastAsia="en-AU"/>
        </w:rPr>
      </w:pPr>
      <w:r w:rsidRPr="00276391">
        <w:rPr>
          <w:lang w:eastAsia="en-AU"/>
        </w:rPr>
        <w:lastRenderedPageBreak/>
        <w:t xml:space="preserve">the importance and purpose of the limitation; </w:t>
      </w:r>
    </w:p>
    <w:p w14:paraId="52980387" w14:textId="77777777" w:rsidR="00856D53" w:rsidRPr="00276391" w:rsidRDefault="00856D53" w:rsidP="00856D53">
      <w:pPr>
        <w:pStyle w:val="DHHSbullet1lastline"/>
        <w:rPr>
          <w:lang w:eastAsia="en-AU"/>
        </w:rPr>
      </w:pPr>
      <w:r w:rsidRPr="00276391">
        <w:rPr>
          <w:lang w:eastAsia="en-AU"/>
        </w:rPr>
        <w:t xml:space="preserve">the nature and extent of the limitation; </w:t>
      </w:r>
    </w:p>
    <w:p w14:paraId="2CCC32ED" w14:textId="77777777" w:rsidR="00856D53" w:rsidRPr="00276391" w:rsidRDefault="00856D53" w:rsidP="00856D53">
      <w:pPr>
        <w:pStyle w:val="DHHSbullet1lastline"/>
        <w:rPr>
          <w:lang w:eastAsia="en-AU"/>
        </w:rPr>
      </w:pPr>
      <w:r w:rsidRPr="00276391">
        <w:rPr>
          <w:lang w:eastAsia="en-AU"/>
        </w:rPr>
        <w:t xml:space="preserve">the relationship between the limitation and its purpose; and </w:t>
      </w:r>
    </w:p>
    <w:p w14:paraId="30CA829E" w14:textId="77777777" w:rsidR="00856D53" w:rsidRPr="00276391" w:rsidRDefault="00856D53" w:rsidP="00856D53">
      <w:pPr>
        <w:pStyle w:val="DHHSbullet1lastline"/>
        <w:rPr>
          <w:lang w:eastAsia="en-AU"/>
        </w:rPr>
      </w:pPr>
      <w:r w:rsidRPr="00276391">
        <w:rPr>
          <w:lang w:eastAsia="en-AU"/>
        </w:rPr>
        <w:t xml:space="preserve">whether there is any less restrictive means reasonably available to achieve the purpose that the limitation seeks to achieve. </w:t>
      </w:r>
    </w:p>
    <w:p w14:paraId="6401BD0A" w14:textId="77777777" w:rsidR="00856D53" w:rsidRPr="00276391" w:rsidRDefault="00856D53" w:rsidP="00856D53">
      <w:pPr>
        <w:pStyle w:val="Heading4"/>
        <w:rPr>
          <w:lang w:eastAsia="en-AU"/>
        </w:rPr>
      </w:pPr>
      <w:r w:rsidRPr="00276391">
        <w:rPr>
          <w:lang w:eastAsia="en-AU"/>
        </w:rPr>
        <w:t>Exceptions from the obligation to comply with the Charter</w:t>
      </w:r>
    </w:p>
    <w:p w14:paraId="31BE1A13" w14:textId="77777777" w:rsidR="00856D53" w:rsidRPr="00276391" w:rsidRDefault="00856D53" w:rsidP="00856D53">
      <w:pPr>
        <w:pStyle w:val="DHHSbody"/>
        <w:rPr>
          <w:lang w:eastAsia="en-AU"/>
        </w:rPr>
      </w:pPr>
      <w:r w:rsidRPr="00B24C02">
        <w:rPr>
          <w:rFonts w:cs="Arial"/>
          <w:color w:val="000000"/>
          <w:szCs w:val="19"/>
          <w:lang w:eastAsia="en-AU"/>
        </w:rPr>
        <w:t>A public authority is not obliged to comply with the Charter where:</w:t>
      </w:r>
    </w:p>
    <w:p w14:paraId="64FB24E4" w14:textId="77777777" w:rsidR="00856D53" w:rsidRPr="00276391" w:rsidRDefault="00856D53" w:rsidP="00856D53">
      <w:pPr>
        <w:pStyle w:val="DHHSbullet1"/>
        <w:rPr>
          <w:lang w:eastAsia="en-AU"/>
        </w:rPr>
      </w:pPr>
      <w:r w:rsidRPr="00276391">
        <w:rPr>
          <w:lang w:eastAsia="en-AU"/>
        </w:rPr>
        <w:t xml:space="preserve">a Victorian law or a Commonwealth law means that the public authority cannot comply; </w:t>
      </w:r>
    </w:p>
    <w:p w14:paraId="11C31E71" w14:textId="77777777" w:rsidR="00856D53" w:rsidRPr="00276391" w:rsidRDefault="00856D53" w:rsidP="00856D53">
      <w:pPr>
        <w:pStyle w:val="DHHSbullet1"/>
        <w:rPr>
          <w:lang w:eastAsia="en-AU"/>
        </w:rPr>
      </w:pPr>
      <w:r w:rsidRPr="00276391">
        <w:rPr>
          <w:lang w:eastAsia="en-AU"/>
        </w:rPr>
        <w:t xml:space="preserve">the act or decision is of a private nature; and </w:t>
      </w:r>
    </w:p>
    <w:p w14:paraId="05737FD7" w14:textId="77777777" w:rsidR="00856D53" w:rsidRPr="00276391" w:rsidRDefault="00856D53" w:rsidP="00856D53">
      <w:pPr>
        <w:pStyle w:val="DHHSbullet1"/>
        <w:rPr>
          <w:lang w:eastAsia="en-AU"/>
        </w:rPr>
      </w:pPr>
      <w:r w:rsidRPr="00276391">
        <w:rPr>
          <w:lang w:eastAsia="en-AU"/>
        </w:rPr>
        <w:t xml:space="preserve">compliance with the Charter would prevent a religious body (including the public authority itself if it is a religious body) from conforming with the religious doctrines, beliefs or principles in accordance with which the religious body operates. </w:t>
      </w:r>
    </w:p>
    <w:p w14:paraId="3AFC03B8" w14:textId="77777777" w:rsidR="00856D53" w:rsidRPr="00276391" w:rsidRDefault="00856D53" w:rsidP="00856D53">
      <w:pPr>
        <w:pStyle w:val="Heading4"/>
        <w:rPr>
          <w:lang w:eastAsia="en-AU"/>
        </w:rPr>
      </w:pPr>
      <w:r w:rsidRPr="00276391">
        <w:rPr>
          <w:lang w:eastAsia="en-AU"/>
        </w:rPr>
        <w:t>Breaches of human rights</w:t>
      </w:r>
    </w:p>
    <w:p w14:paraId="71276E8D" w14:textId="77777777" w:rsidR="00856D53" w:rsidRPr="00276391" w:rsidRDefault="00856D53" w:rsidP="00856D53">
      <w:pPr>
        <w:pStyle w:val="DHHSbody"/>
        <w:rPr>
          <w:lang w:eastAsia="en-AU"/>
        </w:rPr>
      </w:pPr>
      <w:r w:rsidRPr="00B24C02">
        <w:rPr>
          <w:rFonts w:cs="Arial"/>
          <w:color w:val="000000"/>
          <w:szCs w:val="19"/>
          <w:lang w:eastAsia="en-AU"/>
        </w:rPr>
        <w:t>An individual cannot take legal action if his or her sole reason is based on a breach of an obligation under the Charter. However, the Charter allows a person to raise a human rights argument in a court or tribunal in a case involving a claim that a decision or act of a public authority is unlawful on non-Charter grounds. The Ombudsman also has the power to investigate whether any administrative action is incompatible with a human right set out in the Charter.</w:t>
      </w:r>
    </w:p>
    <w:p w14:paraId="10C906B8" w14:textId="77777777" w:rsidR="00856D53" w:rsidRPr="00276391" w:rsidRDefault="00856D53" w:rsidP="00856D53">
      <w:pPr>
        <w:pStyle w:val="DHHSbody"/>
        <w:rPr>
          <w:lang w:eastAsia="en-AU"/>
        </w:rPr>
      </w:pPr>
      <w:r w:rsidRPr="00276391">
        <w:rPr>
          <w:lang w:eastAsia="en-AU"/>
        </w:rPr>
        <w:t>The Charter does not provide for compensation for a breach of Charter rights.</w:t>
      </w:r>
    </w:p>
    <w:p w14:paraId="0B137F1D" w14:textId="77777777" w:rsidR="00856D53" w:rsidRPr="00276391" w:rsidRDefault="00856D53" w:rsidP="00856D53">
      <w:pPr>
        <w:pStyle w:val="Heading4"/>
        <w:rPr>
          <w:lang w:eastAsia="en-AU"/>
        </w:rPr>
      </w:pPr>
      <w:r w:rsidRPr="00276391">
        <w:rPr>
          <w:lang w:eastAsia="en-AU"/>
        </w:rPr>
        <w:t>List of human rights protected by the Charter</w:t>
      </w:r>
    </w:p>
    <w:p w14:paraId="06002CD8" w14:textId="77777777" w:rsidR="00856D53" w:rsidRPr="00276391" w:rsidRDefault="00856D53" w:rsidP="00856D53">
      <w:pPr>
        <w:pStyle w:val="DHHSbody"/>
        <w:rPr>
          <w:lang w:eastAsia="en-AU"/>
        </w:rPr>
      </w:pPr>
      <w:r w:rsidRPr="00B24C02">
        <w:rPr>
          <w:rFonts w:cs="Arial"/>
          <w:color w:val="000000"/>
          <w:szCs w:val="19"/>
          <w:lang w:eastAsia="en-AU"/>
        </w:rPr>
        <w:t>The Charter protects the following human rights:</w:t>
      </w:r>
    </w:p>
    <w:p w14:paraId="4FC4FB83" w14:textId="77777777" w:rsidR="00856D53" w:rsidRPr="00276391" w:rsidRDefault="00856D53" w:rsidP="00856D53">
      <w:pPr>
        <w:pStyle w:val="DHHSbullet1"/>
        <w:rPr>
          <w:lang w:eastAsia="en-AU"/>
        </w:rPr>
      </w:pPr>
      <w:r w:rsidRPr="00276391">
        <w:rPr>
          <w:lang w:eastAsia="en-AU"/>
        </w:rPr>
        <w:t xml:space="preserve">recognition as a person and equality before the law, and to protection against discrimination; </w:t>
      </w:r>
    </w:p>
    <w:p w14:paraId="52F1AE66" w14:textId="77777777" w:rsidR="00856D53" w:rsidRPr="00276391" w:rsidRDefault="00856D53" w:rsidP="00856D53">
      <w:pPr>
        <w:pStyle w:val="DHHSbullet1"/>
        <w:rPr>
          <w:lang w:eastAsia="en-AU"/>
        </w:rPr>
      </w:pPr>
      <w:r w:rsidRPr="00276391">
        <w:rPr>
          <w:lang w:eastAsia="en-AU"/>
        </w:rPr>
        <w:t xml:space="preserve">right to life; </w:t>
      </w:r>
    </w:p>
    <w:p w14:paraId="1CBC68C8" w14:textId="77777777" w:rsidR="00856D53" w:rsidRPr="00276391" w:rsidRDefault="00856D53" w:rsidP="00856D53">
      <w:pPr>
        <w:pStyle w:val="DHHSbullet1"/>
        <w:rPr>
          <w:lang w:eastAsia="en-AU"/>
        </w:rPr>
      </w:pPr>
      <w:r w:rsidRPr="00276391">
        <w:rPr>
          <w:lang w:eastAsia="en-AU"/>
        </w:rPr>
        <w:t xml:space="preserve">protection from torture and cruel, inhuman and degrading treatment, and not to be subject to medical or scientific experimentation or treatment without consent; </w:t>
      </w:r>
    </w:p>
    <w:p w14:paraId="030C7F73" w14:textId="77777777" w:rsidR="00856D53" w:rsidRPr="00276391" w:rsidRDefault="00856D53" w:rsidP="00856D53">
      <w:pPr>
        <w:pStyle w:val="DHHSbullet1"/>
        <w:rPr>
          <w:lang w:eastAsia="en-AU"/>
        </w:rPr>
      </w:pPr>
      <w:r w:rsidRPr="00276391">
        <w:rPr>
          <w:lang w:eastAsia="en-AU"/>
        </w:rPr>
        <w:t xml:space="preserve">freedom from slavery or forced work; </w:t>
      </w:r>
    </w:p>
    <w:p w14:paraId="11821A80" w14:textId="77777777" w:rsidR="00856D53" w:rsidRPr="00276391" w:rsidRDefault="00856D53" w:rsidP="00856D53">
      <w:pPr>
        <w:pStyle w:val="DHHSbullet1"/>
        <w:rPr>
          <w:lang w:eastAsia="en-AU"/>
        </w:rPr>
      </w:pPr>
      <w:r w:rsidRPr="00276391">
        <w:rPr>
          <w:lang w:eastAsia="en-AU"/>
        </w:rPr>
        <w:t xml:space="preserve">freedom of movement; </w:t>
      </w:r>
    </w:p>
    <w:p w14:paraId="473F4B10" w14:textId="77777777" w:rsidR="00856D53" w:rsidRPr="00276391" w:rsidRDefault="00856D53" w:rsidP="00856D53">
      <w:pPr>
        <w:pStyle w:val="DHHSbullet1"/>
        <w:rPr>
          <w:lang w:eastAsia="en-AU"/>
        </w:rPr>
      </w:pPr>
      <w:r w:rsidRPr="00276391">
        <w:rPr>
          <w:lang w:eastAsia="en-AU"/>
        </w:rPr>
        <w:t xml:space="preserve">right to not have one’s privacy, family, home or correspondence arbitrarily or unlawfully interfered with, and one’s reputation unlawfully attacked; </w:t>
      </w:r>
    </w:p>
    <w:p w14:paraId="622F75E2" w14:textId="77777777" w:rsidR="00856D53" w:rsidRPr="00276391" w:rsidRDefault="00856D53" w:rsidP="00856D53">
      <w:pPr>
        <w:pStyle w:val="DHHSbullet1"/>
        <w:rPr>
          <w:lang w:eastAsia="en-AU"/>
        </w:rPr>
      </w:pPr>
      <w:r w:rsidRPr="00276391">
        <w:rPr>
          <w:lang w:eastAsia="en-AU"/>
        </w:rPr>
        <w:t xml:space="preserve">freedom of thought, conscience, religion and belief; </w:t>
      </w:r>
    </w:p>
    <w:p w14:paraId="51CA4D78" w14:textId="77777777" w:rsidR="00856D53" w:rsidRPr="00276391" w:rsidRDefault="00856D53" w:rsidP="00856D53">
      <w:pPr>
        <w:pStyle w:val="DHHSbullet1"/>
        <w:rPr>
          <w:lang w:eastAsia="en-AU"/>
        </w:rPr>
      </w:pPr>
      <w:r w:rsidRPr="00276391">
        <w:rPr>
          <w:lang w:eastAsia="en-AU"/>
        </w:rPr>
        <w:t xml:space="preserve">freedom of expression; </w:t>
      </w:r>
    </w:p>
    <w:p w14:paraId="590AE3C9" w14:textId="77777777" w:rsidR="00856D53" w:rsidRPr="00276391" w:rsidRDefault="00856D53" w:rsidP="00856D53">
      <w:pPr>
        <w:pStyle w:val="DHHSbullet1"/>
        <w:rPr>
          <w:lang w:eastAsia="en-AU"/>
        </w:rPr>
      </w:pPr>
      <w:r w:rsidRPr="00276391">
        <w:rPr>
          <w:lang w:eastAsia="en-AU"/>
        </w:rPr>
        <w:t xml:space="preserve">peaceful assembly and freedom of association; </w:t>
      </w:r>
    </w:p>
    <w:p w14:paraId="11D18524" w14:textId="77777777" w:rsidR="00856D53" w:rsidRPr="00276391" w:rsidRDefault="00856D53" w:rsidP="00856D53">
      <w:pPr>
        <w:pStyle w:val="DHHSbullet1"/>
        <w:rPr>
          <w:lang w:eastAsia="en-AU"/>
        </w:rPr>
      </w:pPr>
      <w:r w:rsidRPr="00276391">
        <w:rPr>
          <w:lang w:eastAsia="en-AU"/>
        </w:rPr>
        <w:t xml:space="preserve">protection of families and children by society and the State; </w:t>
      </w:r>
    </w:p>
    <w:p w14:paraId="2DED77DE" w14:textId="77777777" w:rsidR="00856D53" w:rsidRPr="00276391" w:rsidRDefault="00856D53" w:rsidP="00856D53">
      <w:pPr>
        <w:pStyle w:val="DHHSbullet1"/>
        <w:rPr>
          <w:lang w:eastAsia="en-AU"/>
        </w:rPr>
      </w:pPr>
      <w:r w:rsidRPr="00276391">
        <w:rPr>
          <w:lang w:eastAsia="en-AU"/>
        </w:rPr>
        <w:t xml:space="preserve">right to take part in public life; </w:t>
      </w:r>
    </w:p>
    <w:p w14:paraId="0A1C458F" w14:textId="77777777" w:rsidR="00856D53" w:rsidRPr="00276391" w:rsidRDefault="00856D53" w:rsidP="00856D53">
      <w:pPr>
        <w:pStyle w:val="DHHSbullet1"/>
        <w:rPr>
          <w:lang w:eastAsia="en-AU"/>
        </w:rPr>
      </w:pPr>
      <w:r w:rsidRPr="00276391">
        <w:rPr>
          <w:lang w:eastAsia="en-AU"/>
        </w:rPr>
        <w:t xml:space="preserve">practice and enjoy culture, religion and language; </w:t>
      </w:r>
    </w:p>
    <w:p w14:paraId="79A5447B" w14:textId="77777777" w:rsidR="00856D53" w:rsidRPr="00276391" w:rsidRDefault="00856D53" w:rsidP="00856D53">
      <w:pPr>
        <w:pStyle w:val="DHHSbullet1"/>
        <w:rPr>
          <w:lang w:eastAsia="en-AU"/>
        </w:rPr>
      </w:pPr>
      <w:r w:rsidRPr="00276391">
        <w:rPr>
          <w:lang w:eastAsia="en-AU"/>
        </w:rPr>
        <w:t xml:space="preserve">to not be deprived of property other than in accordance with law; </w:t>
      </w:r>
    </w:p>
    <w:p w14:paraId="5441121A" w14:textId="77777777" w:rsidR="00856D53" w:rsidRPr="00276391" w:rsidRDefault="00856D53" w:rsidP="00856D53">
      <w:pPr>
        <w:pStyle w:val="DHHSbullet1"/>
        <w:rPr>
          <w:lang w:eastAsia="en-AU"/>
        </w:rPr>
      </w:pPr>
      <w:r w:rsidRPr="00276391">
        <w:rPr>
          <w:lang w:eastAsia="en-AU"/>
        </w:rPr>
        <w:t xml:space="preserve">liberty and security of person; </w:t>
      </w:r>
    </w:p>
    <w:p w14:paraId="5F604D2E" w14:textId="77777777" w:rsidR="00856D53" w:rsidRPr="00276391" w:rsidRDefault="00856D53" w:rsidP="00856D53">
      <w:pPr>
        <w:pStyle w:val="DHHSbullet1"/>
        <w:rPr>
          <w:lang w:eastAsia="en-AU"/>
        </w:rPr>
      </w:pPr>
      <w:r w:rsidRPr="00276391">
        <w:rPr>
          <w:lang w:eastAsia="en-AU"/>
        </w:rPr>
        <w:t xml:space="preserve">humane treatment when deprived of liberty; </w:t>
      </w:r>
    </w:p>
    <w:p w14:paraId="0C7DC078" w14:textId="77777777" w:rsidR="00856D53" w:rsidRPr="00276391" w:rsidRDefault="00856D53" w:rsidP="00856D53">
      <w:pPr>
        <w:pStyle w:val="DHHSbullet1"/>
        <w:rPr>
          <w:lang w:eastAsia="en-AU"/>
        </w:rPr>
      </w:pPr>
      <w:r w:rsidRPr="00276391">
        <w:rPr>
          <w:lang w:eastAsia="en-AU"/>
        </w:rPr>
        <w:t xml:space="preserve">detained child to be segregated from detained adults; </w:t>
      </w:r>
    </w:p>
    <w:p w14:paraId="4F4D7E81" w14:textId="77777777" w:rsidR="00856D53" w:rsidRPr="00276391" w:rsidRDefault="00856D53" w:rsidP="00856D53">
      <w:pPr>
        <w:pStyle w:val="DHHSbullet1"/>
        <w:rPr>
          <w:lang w:eastAsia="en-AU"/>
        </w:rPr>
      </w:pPr>
      <w:r w:rsidRPr="00276391">
        <w:rPr>
          <w:lang w:eastAsia="en-AU"/>
        </w:rPr>
        <w:t xml:space="preserve">fair hearing; </w:t>
      </w:r>
    </w:p>
    <w:p w14:paraId="6AFAFC91" w14:textId="77777777" w:rsidR="00856D53" w:rsidRPr="00276391" w:rsidRDefault="00856D53" w:rsidP="00856D53">
      <w:pPr>
        <w:pStyle w:val="DHHSbullet1"/>
        <w:rPr>
          <w:lang w:eastAsia="en-AU"/>
        </w:rPr>
      </w:pPr>
      <w:r w:rsidRPr="00276391">
        <w:rPr>
          <w:lang w:eastAsia="en-AU"/>
        </w:rPr>
        <w:t xml:space="preserve">presumption of innocence when charged with a criminal offence; </w:t>
      </w:r>
    </w:p>
    <w:p w14:paraId="39B8417C" w14:textId="77777777" w:rsidR="00856D53" w:rsidRPr="00276391" w:rsidRDefault="00856D53" w:rsidP="00856D53">
      <w:pPr>
        <w:pStyle w:val="DHHSbullet1"/>
        <w:rPr>
          <w:lang w:eastAsia="en-AU"/>
        </w:rPr>
      </w:pPr>
      <w:r w:rsidRPr="00276391">
        <w:rPr>
          <w:lang w:eastAsia="en-AU"/>
        </w:rPr>
        <w:t xml:space="preserve">not to be tried or punished more than once for an offence already been finally convicted or acquitted in accordance with the law; and </w:t>
      </w:r>
    </w:p>
    <w:p w14:paraId="6CB500CB" w14:textId="77777777" w:rsidR="00856D53" w:rsidRPr="00276391" w:rsidRDefault="00856D53" w:rsidP="00856D53">
      <w:pPr>
        <w:pStyle w:val="DHHSbullet1"/>
        <w:rPr>
          <w:lang w:eastAsia="en-AU"/>
        </w:rPr>
      </w:pPr>
      <w:r w:rsidRPr="00276391">
        <w:rPr>
          <w:lang w:eastAsia="en-AU"/>
        </w:rPr>
        <w:t xml:space="preserve">with respect to the operation of certain retrospective criminal laws. </w:t>
      </w:r>
    </w:p>
    <w:p w14:paraId="76EC6846" w14:textId="77777777" w:rsidR="00856D53" w:rsidRPr="00276391" w:rsidRDefault="00856D53" w:rsidP="00856D53">
      <w:pPr>
        <w:pStyle w:val="Heading4"/>
        <w:rPr>
          <w:lang w:eastAsia="en-AU"/>
        </w:rPr>
      </w:pPr>
      <w:r w:rsidRPr="00276391">
        <w:rPr>
          <w:lang w:eastAsia="en-AU"/>
        </w:rPr>
        <w:lastRenderedPageBreak/>
        <w:t>For further information</w:t>
      </w:r>
    </w:p>
    <w:p w14:paraId="66694149" w14:textId="77777777" w:rsidR="00856D53" w:rsidRPr="00276391" w:rsidRDefault="0016341D" w:rsidP="00856D53">
      <w:pPr>
        <w:pStyle w:val="DHHSbody"/>
        <w:rPr>
          <w:lang w:eastAsia="en-AU"/>
        </w:rPr>
      </w:pPr>
      <w:hyperlink r:id="rId380" w:history="1">
        <w:r w:rsidR="00856D53" w:rsidRPr="00120E64">
          <w:rPr>
            <w:rStyle w:val="Hyperlink"/>
            <w:rFonts w:cs="Arial"/>
            <w:szCs w:val="19"/>
            <w:lang w:eastAsia="en-AU"/>
          </w:rPr>
          <w:t>Department of Justice and Regulation website</w:t>
        </w:r>
      </w:hyperlink>
      <w:r w:rsidR="00856D53" w:rsidRPr="00B24C02">
        <w:rPr>
          <w:rFonts w:cs="Arial"/>
          <w:color w:val="000000"/>
          <w:szCs w:val="19"/>
          <w:lang w:eastAsia="en-AU"/>
        </w:rPr>
        <w:t xml:space="preserve"> </w:t>
      </w:r>
      <w:r w:rsidR="00856D53">
        <w:rPr>
          <w:rFonts w:cs="Arial"/>
          <w:color w:val="000000"/>
          <w:szCs w:val="19"/>
          <w:lang w:eastAsia="en-AU"/>
        </w:rPr>
        <w:t>&lt;</w:t>
      </w:r>
      <w:r w:rsidR="00856D53" w:rsidRPr="00120E64">
        <w:t>http://www.justice.vic.gov.au/</w:t>
      </w:r>
      <w:r w:rsidR="00856D53">
        <w:t>&gt;</w:t>
      </w:r>
      <w:r w:rsidR="00856D53" w:rsidRPr="00B24C02">
        <w:rPr>
          <w:rFonts w:cs="Arial"/>
          <w:color w:val="000000"/>
          <w:szCs w:val="19"/>
          <w:lang w:eastAsia="en-AU"/>
        </w:rPr>
        <w:t xml:space="preserve"> (external link, opens in a new window) </w:t>
      </w:r>
    </w:p>
    <w:p w14:paraId="6EFA7119" w14:textId="77777777" w:rsidR="00856D53" w:rsidRPr="00276391" w:rsidRDefault="0016341D" w:rsidP="00856D53">
      <w:pPr>
        <w:pStyle w:val="DHHSbody"/>
        <w:rPr>
          <w:lang w:eastAsia="en-AU"/>
        </w:rPr>
      </w:pPr>
      <w:hyperlink r:id="rId381" w:history="1">
        <w:r w:rsidR="00856D53">
          <w:rPr>
            <w:rStyle w:val="Hyperlink"/>
            <w:lang w:eastAsia="en-AU"/>
          </w:rPr>
          <w:t>Funded agency channel</w:t>
        </w:r>
      </w:hyperlink>
      <w:r w:rsidR="00856D53">
        <w:rPr>
          <w:lang w:eastAsia="en-AU"/>
        </w:rPr>
        <w:t xml:space="preserve"> &lt;</w:t>
      </w:r>
      <w:r w:rsidR="00856D53" w:rsidRPr="00D771E8">
        <w:t>https://fac.dhhs.vic.gov.au</w:t>
      </w:r>
      <w:r w:rsidR="00856D53">
        <w:t>&gt;</w:t>
      </w:r>
      <w:r w:rsidR="00856D53" w:rsidRPr="00276391">
        <w:rPr>
          <w:lang w:eastAsia="en-AU"/>
        </w:rPr>
        <w:t xml:space="preserve"> (external link, opens in a new window) </w:t>
      </w:r>
    </w:p>
    <w:p w14:paraId="18D1B549" w14:textId="77777777" w:rsidR="00856D53" w:rsidRPr="00276391" w:rsidRDefault="0016341D" w:rsidP="00856D53">
      <w:pPr>
        <w:pStyle w:val="DHHSbody"/>
        <w:rPr>
          <w:lang w:eastAsia="en-AU"/>
        </w:rPr>
      </w:pPr>
      <w:hyperlink r:id="rId382" w:history="1">
        <w:r w:rsidR="00856D53" w:rsidRPr="00120E64">
          <w:rPr>
            <w:rStyle w:val="Hyperlink"/>
            <w:lang w:eastAsia="en-AU"/>
          </w:rPr>
          <w:t>Victorian Equal Opportunity and Human Rights Commission website</w:t>
        </w:r>
      </w:hyperlink>
      <w:r w:rsidR="00856D53">
        <w:rPr>
          <w:lang w:eastAsia="en-AU"/>
        </w:rPr>
        <w:t xml:space="preserve"> &lt;</w:t>
      </w:r>
      <w:r w:rsidR="00856D53" w:rsidRPr="00120E64">
        <w:t>http://www.humanrightscommission.vic.gov.au/</w:t>
      </w:r>
      <w:r w:rsidR="00856D53">
        <w:t>&gt;</w:t>
      </w:r>
      <w:r w:rsidR="00856D53" w:rsidRPr="00276391">
        <w:rPr>
          <w:lang w:eastAsia="en-AU"/>
        </w:rPr>
        <w:t xml:space="preserve"> (external link, opens in a new window)</w:t>
      </w:r>
      <w:r w:rsidR="00856D53" w:rsidRPr="00276391">
        <w:rPr>
          <w:lang w:eastAsia="en-AU"/>
        </w:rPr>
        <w:br/>
        <w:t xml:space="preserve">Address: Level 3, 204 </w:t>
      </w:r>
      <w:proofErr w:type="spellStart"/>
      <w:r w:rsidR="00856D53" w:rsidRPr="00276391">
        <w:rPr>
          <w:lang w:eastAsia="en-AU"/>
        </w:rPr>
        <w:t>Lygon</w:t>
      </w:r>
      <w:proofErr w:type="spellEnd"/>
      <w:r w:rsidR="00856D53" w:rsidRPr="00276391">
        <w:rPr>
          <w:lang w:eastAsia="en-AU"/>
        </w:rPr>
        <w:t xml:space="preserve"> Street, Carlton Vic 3053</w:t>
      </w:r>
      <w:r w:rsidR="00856D53" w:rsidRPr="00276391">
        <w:rPr>
          <w:lang w:eastAsia="en-AU"/>
        </w:rPr>
        <w:br/>
        <w:t>Telephone: 1300 891 848</w:t>
      </w:r>
      <w:r w:rsidR="00856D53" w:rsidRPr="00276391">
        <w:rPr>
          <w:lang w:eastAsia="en-AU"/>
        </w:rPr>
        <w:br/>
        <w:t>Fax: 1300 891 858 (except Legal Unit matters)</w:t>
      </w:r>
      <w:r w:rsidR="00856D53" w:rsidRPr="00276391">
        <w:rPr>
          <w:lang w:eastAsia="en-AU"/>
        </w:rPr>
        <w:br/>
        <w:t xml:space="preserve">Email: </w:t>
      </w:r>
      <w:hyperlink r:id="rId383" w:history="1">
        <w:r w:rsidR="00856D53" w:rsidRPr="00986D1E">
          <w:rPr>
            <w:rStyle w:val="Hyperlink"/>
          </w:rPr>
          <w:t>information@veohrc.vic.gov.au</w:t>
        </w:r>
        <w:r w:rsidR="00856D53" w:rsidRPr="00986D1E">
          <w:rPr>
            <w:rStyle w:val="Hyperlink"/>
          </w:rPr>
          <w:br/>
        </w:r>
      </w:hyperlink>
    </w:p>
    <w:p w14:paraId="402465E5" w14:textId="41000837" w:rsidR="00856D53" w:rsidRPr="00276391" w:rsidRDefault="00B30C4B" w:rsidP="00856D53">
      <w:pPr>
        <w:pStyle w:val="Heading2"/>
        <w:rPr>
          <w:rFonts w:cs="Arial"/>
          <w:lang w:eastAsia="en-AU"/>
        </w:rPr>
      </w:pPr>
      <w:bookmarkStart w:id="930" w:name="_Toc4142156"/>
      <w:r>
        <w:rPr>
          <w:rFonts w:cs="Arial"/>
          <w:lang w:eastAsia="en-AU"/>
        </w:rPr>
        <w:t>5.9</w:t>
      </w:r>
      <w:r w:rsidR="00856D53" w:rsidRPr="00276391">
        <w:rPr>
          <w:rFonts w:cs="Arial"/>
          <w:lang w:eastAsia="en-AU"/>
        </w:rPr>
        <w:t xml:space="preserve"> Funded Organisation Performance Monitoring Framework</w:t>
      </w:r>
      <w:bookmarkEnd w:id="930"/>
    </w:p>
    <w:p w14:paraId="08303402" w14:textId="77777777" w:rsidR="00856D53" w:rsidRPr="00276391" w:rsidRDefault="00856D53" w:rsidP="00856D53">
      <w:pPr>
        <w:pStyle w:val="Heading4"/>
        <w:rPr>
          <w:lang w:eastAsia="en-AU"/>
        </w:rPr>
      </w:pPr>
      <w:r w:rsidRPr="00276391">
        <w:rPr>
          <w:lang w:eastAsia="en-AU"/>
        </w:rPr>
        <w:t>Introduction</w:t>
      </w:r>
    </w:p>
    <w:p w14:paraId="3C47F3B7" w14:textId="202ABAE5" w:rsidR="00856D53" w:rsidRPr="00276391" w:rsidRDefault="00856D53" w:rsidP="00856D53">
      <w:pPr>
        <w:pStyle w:val="DHHSbody"/>
        <w:rPr>
          <w:lang w:eastAsia="en-AU"/>
        </w:rPr>
      </w:pPr>
      <w:r w:rsidRPr="00B24C02">
        <w:rPr>
          <w:rFonts w:cs="Arial"/>
          <w:color w:val="000000"/>
          <w:szCs w:val="19"/>
          <w:lang w:eastAsia="en-AU"/>
        </w:rPr>
        <w:t xml:space="preserve">The Funded Organisation Performance Monitoring Framework (the Framework) updates the Monitoring Framework for health, housing and community service sectors (2005) by providing a set of new tools and processes for monitoring organisations funded through a </w:t>
      </w:r>
      <w:r w:rsidR="009B3052">
        <w:rPr>
          <w:rFonts w:cs="Arial"/>
          <w:color w:val="000000"/>
          <w:szCs w:val="19"/>
          <w:lang w:eastAsia="en-AU"/>
        </w:rPr>
        <w:t>Service agreement</w:t>
      </w:r>
      <w:r w:rsidRPr="00B24C02">
        <w:rPr>
          <w:rFonts w:cs="Arial"/>
          <w:color w:val="000000"/>
          <w:szCs w:val="19"/>
          <w:lang w:eastAsia="en-AU"/>
        </w:rPr>
        <w:t>.</w:t>
      </w:r>
    </w:p>
    <w:p w14:paraId="2F5D75CB" w14:textId="4BF05EBA" w:rsidR="00856D53" w:rsidRPr="00276391" w:rsidRDefault="00856D53" w:rsidP="00856D53">
      <w:pPr>
        <w:pStyle w:val="DHHSbody"/>
        <w:rPr>
          <w:lang w:eastAsia="en-AU"/>
        </w:rPr>
      </w:pPr>
      <w:r w:rsidRPr="00276391">
        <w:rPr>
          <w:lang w:eastAsia="en-AU"/>
        </w:rPr>
        <w:t xml:space="preserve">The Framework is a critical part of the </w:t>
      </w:r>
      <w:r w:rsidR="007A46F5">
        <w:rPr>
          <w:lang w:eastAsia="en-AU"/>
        </w:rPr>
        <w:t>department’s</w:t>
      </w:r>
      <w:r w:rsidRPr="00276391">
        <w:rPr>
          <w:lang w:eastAsia="en-AU"/>
        </w:rPr>
        <w:t xml:space="preserve"> quality assurance approach to ensure that service users receive quality care and services meet appropriate standards and community expectations.</w:t>
      </w:r>
    </w:p>
    <w:p w14:paraId="2F7CBD12" w14:textId="60200121" w:rsidR="00856D53" w:rsidRPr="00276391" w:rsidRDefault="00856D53" w:rsidP="00856D53">
      <w:pPr>
        <w:pStyle w:val="DHHSbody"/>
        <w:rPr>
          <w:lang w:eastAsia="en-AU"/>
        </w:rPr>
      </w:pPr>
      <w:r w:rsidRPr="00276391">
        <w:rPr>
          <w:lang w:eastAsia="en-AU"/>
        </w:rPr>
        <w:t xml:space="preserve">The Framework provides </w:t>
      </w:r>
      <w:r w:rsidR="007A46F5">
        <w:rPr>
          <w:lang w:eastAsia="en-AU"/>
        </w:rPr>
        <w:t>department</w:t>
      </w:r>
      <w:r w:rsidRPr="00276391">
        <w:rPr>
          <w:lang w:eastAsia="en-AU"/>
        </w:rPr>
        <w:t xml:space="preserve"> staff with greater clarity and direction in monitoring activities. Staff across </w:t>
      </w:r>
      <w:r w:rsidR="007A46F5">
        <w:rPr>
          <w:lang w:eastAsia="en-AU"/>
        </w:rPr>
        <w:t>the department</w:t>
      </w:r>
      <w:r w:rsidRPr="00276391">
        <w:rPr>
          <w:lang w:eastAsia="en-AU"/>
        </w:rPr>
        <w:t xml:space="preserve"> use a common set of tools to assess an organisation’s performance, ensuring all funded organisations across the state will be engaged in a consistent manner and assessed on defined key risk areas.</w:t>
      </w:r>
    </w:p>
    <w:p w14:paraId="5F6E2A96" w14:textId="77777777" w:rsidR="00856D53" w:rsidRPr="00276391" w:rsidRDefault="00856D53" w:rsidP="00856D53">
      <w:pPr>
        <w:pStyle w:val="Heading4"/>
        <w:rPr>
          <w:lang w:eastAsia="en-AU"/>
        </w:rPr>
      </w:pPr>
      <w:r w:rsidRPr="00276391">
        <w:rPr>
          <w:lang w:eastAsia="en-AU"/>
        </w:rPr>
        <w:t>Scope of the Monitoring Framework</w:t>
      </w:r>
    </w:p>
    <w:p w14:paraId="2064AE89" w14:textId="1387F7B0" w:rsidR="00856D53" w:rsidRPr="00276391" w:rsidRDefault="00856D53" w:rsidP="00856D53">
      <w:pPr>
        <w:pStyle w:val="DHHSbody"/>
        <w:rPr>
          <w:lang w:eastAsia="en-AU"/>
        </w:rPr>
      </w:pPr>
      <w:r w:rsidRPr="00B24C02">
        <w:rPr>
          <w:rFonts w:cs="Arial"/>
          <w:color w:val="000000"/>
          <w:szCs w:val="19"/>
          <w:lang w:eastAsia="en-AU"/>
        </w:rPr>
        <w:t xml:space="preserve">The Framework applies to organisations funded through a </w:t>
      </w:r>
      <w:r w:rsidR="009B3052">
        <w:rPr>
          <w:rFonts w:cs="Arial"/>
          <w:color w:val="000000"/>
          <w:szCs w:val="19"/>
          <w:lang w:eastAsia="en-AU"/>
        </w:rPr>
        <w:t>Service agreement</w:t>
      </w:r>
      <w:r w:rsidRPr="00B24C02">
        <w:rPr>
          <w:rFonts w:cs="Arial"/>
          <w:color w:val="000000"/>
          <w:szCs w:val="19"/>
          <w:lang w:eastAsia="en-AU"/>
        </w:rPr>
        <w:t xml:space="preserve"> with </w:t>
      </w:r>
      <w:r w:rsidR="007A46F5">
        <w:rPr>
          <w:rFonts w:cs="Arial"/>
          <w:color w:val="000000"/>
          <w:szCs w:val="19"/>
          <w:lang w:eastAsia="en-AU"/>
        </w:rPr>
        <w:t>Departm4ent of Education and Training</w:t>
      </w:r>
      <w:r w:rsidRPr="00B24C02">
        <w:rPr>
          <w:rFonts w:cs="Arial"/>
          <w:color w:val="000000"/>
          <w:szCs w:val="19"/>
          <w:lang w:eastAsia="en-AU"/>
        </w:rPr>
        <w:t xml:space="preserve"> or Department of Health and Human Services.</w:t>
      </w:r>
    </w:p>
    <w:p w14:paraId="518882C7" w14:textId="757D21E8" w:rsidR="00856D53" w:rsidRPr="00276391" w:rsidRDefault="007A46F5" w:rsidP="00856D53">
      <w:pPr>
        <w:pStyle w:val="DHHSbody"/>
        <w:rPr>
          <w:lang w:eastAsia="en-AU"/>
        </w:rPr>
      </w:pPr>
      <w:r>
        <w:rPr>
          <w:lang w:eastAsia="en-AU"/>
        </w:rPr>
        <w:t>Department Education and Training</w:t>
      </w:r>
      <w:r w:rsidR="00856D53" w:rsidRPr="00276391">
        <w:rPr>
          <w:lang w:eastAsia="en-AU"/>
        </w:rPr>
        <w:t xml:space="preserve"> will be app</w:t>
      </w:r>
      <w:r>
        <w:rPr>
          <w:lang w:eastAsia="en-AU"/>
        </w:rPr>
        <w:t>lying the new Framework in 2016 and will</w:t>
      </w:r>
      <w:r w:rsidR="00856D53" w:rsidRPr="00276391">
        <w:rPr>
          <w:lang w:eastAsia="en-AU"/>
        </w:rPr>
        <w:t xml:space="preserve"> advise </w:t>
      </w:r>
      <w:r>
        <w:rPr>
          <w:lang w:eastAsia="en-AU"/>
        </w:rPr>
        <w:t xml:space="preserve">funded </w:t>
      </w:r>
      <w:r w:rsidR="00856D53" w:rsidRPr="00276391">
        <w:rPr>
          <w:lang w:eastAsia="en-AU"/>
        </w:rPr>
        <w:t>organisations of the commencement date for the use of the new monitoring tools and processes.</w:t>
      </w:r>
    </w:p>
    <w:p w14:paraId="7D0DF14B" w14:textId="77777777" w:rsidR="00856D53" w:rsidRPr="00276391" w:rsidRDefault="00856D53" w:rsidP="00856D53">
      <w:pPr>
        <w:pStyle w:val="Heading4"/>
        <w:rPr>
          <w:lang w:eastAsia="en-AU"/>
        </w:rPr>
      </w:pPr>
      <w:r w:rsidRPr="00276391">
        <w:rPr>
          <w:lang w:eastAsia="en-AU"/>
        </w:rPr>
        <w:t>Components of the Framework</w:t>
      </w:r>
    </w:p>
    <w:p w14:paraId="1AEEC4C2" w14:textId="6779D7A6" w:rsidR="00856D53" w:rsidRPr="00276391" w:rsidRDefault="00856D53" w:rsidP="00856D53">
      <w:pPr>
        <w:pStyle w:val="DHHSbody"/>
        <w:rPr>
          <w:lang w:eastAsia="en-AU"/>
        </w:rPr>
      </w:pPr>
      <w:r w:rsidRPr="00B24C02">
        <w:rPr>
          <w:rFonts w:cs="Arial"/>
          <w:color w:val="000000"/>
          <w:szCs w:val="19"/>
          <w:lang w:eastAsia="en-AU"/>
        </w:rPr>
        <w:t xml:space="preserve">The Framework consists of three components involving the use of specific monitoring tools and processes to assess organisations’ performance against the </w:t>
      </w:r>
      <w:r w:rsidR="009B3052">
        <w:rPr>
          <w:rFonts w:cs="Arial"/>
          <w:color w:val="000000"/>
          <w:szCs w:val="19"/>
          <w:lang w:eastAsia="en-AU"/>
        </w:rPr>
        <w:t>Service agreement</w:t>
      </w:r>
      <w:r w:rsidRPr="00B24C02">
        <w:rPr>
          <w:rFonts w:cs="Arial"/>
          <w:color w:val="000000"/>
          <w:szCs w:val="19"/>
          <w:lang w:eastAsia="en-AU"/>
        </w:rPr>
        <w:t xml:space="preserve"> requirements. The components are:</w:t>
      </w:r>
    </w:p>
    <w:p w14:paraId="54FEF95A" w14:textId="0915AF33" w:rsidR="00856D53" w:rsidRPr="00276391" w:rsidRDefault="009B3052" w:rsidP="00856D53">
      <w:pPr>
        <w:pStyle w:val="DHHSbody"/>
        <w:rPr>
          <w:lang w:eastAsia="en-AU"/>
        </w:rPr>
      </w:pPr>
      <w:r>
        <w:rPr>
          <w:b/>
          <w:bCs/>
          <w:lang w:eastAsia="en-AU"/>
        </w:rPr>
        <w:t>Service agreement</w:t>
      </w:r>
      <w:r w:rsidR="00856D53" w:rsidRPr="00276391">
        <w:rPr>
          <w:b/>
          <w:bCs/>
          <w:lang w:eastAsia="en-AU"/>
        </w:rPr>
        <w:t xml:space="preserve"> Monitoring</w:t>
      </w:r>
      <w:r w:rsidR="00856D53" w:rsidRPr="00276391">
        <w:rPr>
          <w:lang w:eastAsia="en-AU"/>
        </w:rPr>
        <w:t xml:space="preserve"> undertaken on an ongoing basis through the collection of information and regular engagement between departmental staff and organisations.</w:t>
      </w:r>
    </w:p>
    <w:p w14:paraId="54B0D859" w14:textId="77777777" w:rsidR="00856D53" w:rsidRPr="00276391" w:rsidRDefault="00856D53" w:rsidP="00856D53">
      <w:pPr>
        <w:pStyle w:val="DHHSbody"/>
        <w:rPr>
          <w:lang w:eastAsia="en-AU"/>
        </w:rPr>
      </w:pPr>
      <w:r w:rsidRPr="00276391">
        <w:rPr>
          <w:lang w:eastAsia="en-AU"/>
        </w:rPr>
        <w:t>Monitoring is focused on assessing key risk areas related to governance, financial management and service delivery. It involves evidence gathering and the tracking and documenting of an organisation’s outcomes and achievements. This monitoring is core to determining an organisation’s capacity to deliver service user safety and wellbeing and service quality and innovation.</w:t>
      </w:r>
    </w:p>
    <w:p w14:paraId="1F68A254" w14:textId="64885351" w:rsidR="00856D53" w:rsidRPr="00276391" w:rsidRDefault="00856D53" w:rsidP="00856D53">
      <w:pPr>
        <w:pStyle w:val="DHHSbody"/>
        <w:rPr>
          <w:lang w:eastAsia="en-AU"/>
        </w:rPr>
      </w:pPr>
      <w:r w:rsidRPr="00276391">
        <w:rPr>
          <w:b/>
          <w:bCs/>
          <w:lang w:eastAsia="en-AU"/>
        </w:rPr>
        <w:t>Risk assessment of identified performance issues</w:t>
      </w:r>
      <w:r w:rsidR="00D05F49">
        <w:rPr>
          <w:lang w:eastAsia="en-AU"/>
        </w:rPr>
        <w:t xml:space="preserve"> </w:t>
      </w:r>
      <w:r w:rsidRPr="00276391">
        <w:rPr>
          <w:lang w:eastAsia="en-AU"/>
        </w:rPr>
        <w:t xml:space="preserve">an assessment undertaken by departmental staff using risk assessment guidelines to assess the severity of any identified performance issues. This process supports </w:t>
      </w:r>
      <w:r w:rsidR="007A46F5">
        <w:rPr>
          <w:lang w:eastAsia="en-AU"/>
        </w:rPr>
        <w:t>the department</w:t>
      </w:r>
      <w:r w:rsidRPr="00276391">
        <w:rPr>
          <w:lang w:eastAsia="en-AU"/>
        </w:rPr>
        <w:t xml:space="preserve"> and funded organisations to consistently determine the level of risk and develop effective actions for remediation.</w:t>
      </w:r>
    </w:p>
    <w:p w14:paraId="0C283BBF" w14:textId="4E5A7241" w:rsidR="00856D53" w:rsidRPr="00276391" w:rsidRDefault="00856D53" w:rsidP="00856D53">
      <w:pPr>
        <w:pStyle w:val="DHHSbody"/>
        <w:rPr>
          <w:lang w:eastAsia="en-AU"/>
        </w:rPr>
      </w:pPr>
      <w:r w:rsidRPr="00276391">
        <w:rPr>
          <w:b/>
          <w:bCs/>
          <w:lang w:eastAsia="en-AU"/>
        </w:rPr>
        <w:lastRenderedPageBreak/>
        <w:t>Responses to performance issues</w:t>
      </w:r>
      <w:r w:rsidR="00D05F49">
        <w:rPr>
          <w:lang w:eastAsia="en-AU"/>
        </w:rPr>
        <w:t xml:space="preserve"> </w:t>
      </w:r>
      <w:r w:rsidRPr="00276391">
        <w:rPr>
          <w:lang w:eastAsia="en-AU"/>
        </w:rPr>
        <w:t xml:space="preserve">Where a performance issue has been identified through </w:t>
      </w:r>
      <w:r w:rsidR="009B3052">
        <w:rPr>
          <w:lang w:eastAsia="en-AU"/>
        </w:rPr>
        <w:t>Service agreement</w:t>
      </w:r>
      <w:r w:rsidRPr="00276391">
        <w:rPr>
          <w:lang w:eastAsia="en-AU"/>
        </w:rPr>
        <w:t xml:space="preserve"> monitoring, departmental staff and organisations are to work through how the issue can be managed and remediated. Remedial actions are to be put in place to support organisations in addressing the requirements of the </w:t>
      </w:r>
      <w:r w:rsidR="009B3052">
        <w:rPr>
          <w:lang w:eastAsia="en-AU"/>
        </w:rPr>
        <w:t>Service agreement</w:t>
      </w:r>
      <w:r w:rsidRPr="00276391">
        <w:rPr>
          <w:lang w:eastAsia="en-AU"/>
        </w:rPr>
        <w:t>.</w:t>
      </w:r>
    </w:p>
    <w:p w14:paraId="7E88CFF2" w14:textId="157FEA50" w:rsidR="00856D53" w:rsidRPr="00276391" w:rsidRDefault="00856D53" w:rsidP="00856D53">
      <w:pPr>
        <w:pStyle w:val="DHHSbody"/>
        <w:rPr>
          <w:lang w:eastAsia="en-AU"/>
        </w:rPr>
      </w:pPr>
      <w:r w:rsidRPr="00276391">
        <w:rPr>
          <w:lang w:eastAsia="en-AU"/>
        </w:rPr>
        <w:t>Where there are more significant issues a Service Review would be undertaken. A Service Review provides an opportunity for</w:t>
      </w:r>
      <w:r w:rsidR="007A46F5">
        <w:rPr>
          <w:lang w:eastAsia="en-AU"/>
        </w:rPr>
        <w:t xml:space="preserve"> the department</w:t>
      </w:r>
      <w:r w:rsidRPr="00276391">
        <w:rPr>
          <w:lang w:eastAsia="en-AU"/>
        </w:rPr>
        <w:t xml:space="preserve"> and the funded organisation to jointly raise issues and determine an action plan. A third party may be engaged in these reviews.</w:t>
      </w:r>
    </w:p>
    <w:p w14:paraId="619E74A4" w14:textId="30AE0A93" w:rsidR="00856D53" w:rsidRPr="00276391" w:rsidRDefault="00856D53" w:rsidP="00856D53">
      <w:pPr>
        <w:pStyle w:val="DHHSbody"/>
        <w:rPr>
          <w:lang w:eastAsia="en-AU"/>
        </w:rPr>
      </w:pPr>
      <w:r w:rsidRPr="00276391">
        <w:rPr>
          <w:lang w:eastAsia="en-AU"/>
        </w:rPr>
        <w:t xml:space="preserve">In rare cases there may be serious allegations or evidence that a funded organisation has significantly breached the </w:t>
      </w:r>
      <w:r w:rsidR="009B3052">
        <w:rPr>
          <w:lang w:eastAsia="en-AU"/>
        </w:rPr>
        <w:t>Service agreement</w:t>
      </w:r>
      <w:r w:rsidRPr="00276391">
        <w:rPr>
          <w:lang w:eastAsia="en-AU"/>
        </w:rPr>
        <w:t xml:space="preserve">. A Service Review will be undertaken by </w:t>
      </w:r>
      <w:r w:rsidR="007A46F5">
        <w:rPr>
          <w:lang w:eastAsia="en-AU"/>
        </w:rPr>
        <w:t>the department</w:t>
      </w:r>
      <w:r w:rsidRPr="00276391">
        <w:rPr>
          <w:lang w:eastAsia="en-AU"/>
        </w:rPr>
        <w:t xml:space="preserve"> to determine if remedial actions can be put in place or if the Department needs to take other actions to ensure the safety and wellbeing of service users and provision of quality services.</w:t>
      </w:r>
    </w:p>
    <w:p w14:paraId="16EDAFD7" w14:textId="77777777" w:rsidR="00856D53" w:rsidRPr="00276391" w:rsidRDefault="00856D53" w:rsidP="00856D53">
      <w:pPr>
        <w:pStyle w:val="Heading4"/>
        <w:rPr>
          <w:lang w:eastAsia="en-AU"/>
        </w:rPr>
      </w:pPr>
      <w:r w:rsidRPr="00276391">
        <w:rPr>
          <w:lang w:eastAsia="en-AU"/>
        </w:rPr>
        <w:t>Key tools</w:t>
      </w:r>
    </w:p>
    <w:p w14:paraId="377F930A" w14:textId="77777777" w:rsidR="00856D53" w:rsidRPr="00276391" w:rsidRDefault="00856D53" w:rsidP="00856D53">
      <w:pPr>
        <w:pStyle w:val="DHHSbody"/>
        <w:rPr>
          <w:lang w:eastAsia="en-AU"/>
        </w:rPr>
      </w:pPr>
      <w:r w:rsidRPr="00B24C02">
        <w:rPr>
          <w:rFonts w:cs="Arial"/>
          <w:color w:val="000000"/>
          <w:szCs w:val="19"/>
          <w:lang w:eastAsia="en-AU"/>
        </w:rPr>
        <w:t>The following tools are used by departmental staff to support consistent monitoring of funded organisations:</w:t>
      </w:r>
    </w:p>
    <w:p w14:paraId="3438A87F" w14:textId="47648040" w:rsidR="00856D53" w:rsidRPr="00276391" w:rsidRDefault="009B3052" w:rsidP="00856D53">
      <w:pPr>
        <w:pStyle w:val="DHHSbody"/>
        <w:rPr>
          <w:lang w:eastAsia="en-AU"/>
        </w:rPr>
      </w:pPr>
      <w:r>
        <w:rPr>
          <w:b/>
          <w:bCs/>
          <w:lang w:eastAsia="en-AU"/>
        </w:rPr>
        <w:t>Service agreement</w:t>
      </w:r>
      <w:r w:rsidR="00856D53" w:rsidRPr="00276391">
        <w:rPr>
          <w:b/>
          <w:bCs/>
          <w:lang w:eastAsia="en-AU"/>
        </w:rPr>
        <w:t xml:space="preserve"> Monitoring Checklist</w:t>
      </w:r>
      <w:r w:rsidR="00856D53" w:rsidRPr="00276391">
        <w:rPr>
          <w:lang w:eastAsia="en-AU"/>
        </w:rPr>
        <w:t xml:space="preserve"> is used throughout the year to ensure evidence gathering and discussions with funded organisations address the requirements of the </w:t>
      </w:r>
      <w:r>
        <w:rPr>
          <w:lang w:eastAsia="en-AU"/>
        </w:rPr>
        <w:t>Service agreement</w:t>
      </w:r>
      <w:r w:rsidR="00856D53" w:rsidRPr="00276391">
        <w:rPr>
          <w:lang w:eastAsia="en-AU"/>
        </w:rPr>
        <w:t xml:space="preserve"> and have a focus on the key risk areas.</w:t>
      </w:r>
    </w:p>
    <w:p w14:paraId="7CA4DD03" w14:textId="77777777" w:rsidR="00856D53" w:rsidRPr="00276391" w:rsidRDefault="00856D53" w:rsidP="00856D53">
      <w:pPr>
        <w:pStyle w:val="DHHSbody"/>
        <w:rPr>
          <w:lang w:eastAsia="en-AU"/>
        </w:rPr>
      </w:pPr>
      <w:r w:rsidRPr="00276391">
        <w:rPr>
          <w:b/>
          <w:bCs/>
          <w:lang w:eastAsia="en-AU"/>
        </w:rPr>
        <w:t>Specialist Checklists</w:t>
      </w:r>
      <w:r w:rsidRPr="00276391">
        <w:rPr>
          <w:lang w:eastAsia="en-AU"/>
        </w:rPr>
        <w:t xml:space="preserve"> are used to review how a funded organisation is meeting defined policy/program requirements viewed as critical in ensuring service quality. The finalised Residential Services Monitoring Checklist will be available 1 January 2016. It was trialled in late 2014 in consultation with the children, youth and </w:t>
      </w:r>
      <w:proofErr w:type="gramStart"/>
      <w:r w:rsidRPr="00276391">
        <w:rPr>
          <w:lang w:eastAsia="en-AU"/>
        </w:rPr>
        <w:t>families</w:t>
      </w:r>
      <w:proofErr w:type="gramEnd"/>
      <w:r w:rsidRPr="00276391">
        <w:rPr>
          <w:lang w:eastAsia="en-AU"/>
        </w:rPr>
        <w:t xml:space="preserve"> sector.</w:t>
      </w:r>
    </w:p>
    <w:p w14:paraId="5BBFA3DD" w14:textId="77777777" w:rsidR="00856D53" w:rsidRPr="00276391" w:rsidRDefault="00856D53" w:rsidP="00856D53">
      <w:pPr>
        <w:pStyle w:val="DHHSbody"/>
        <w:rPr>
          <w:lang w:eastAsia="en-AU"/>
        </w:rPr>
      </w:pPr>
      <w:r w:rsidRPr="00276391">
        <w:rPr>
          <w:b/>
          <w:bCs/>
          <w:lang w:eastAsia="en-AU"/>
        </w:rPr>
        <w:t>Desktop Review</w:t>
      </w:r>
      <w:r w:rsidRPr="00276391">
        <w:rPr>
          <w:lang w:eastAsia="en-AU"/>
        </w:rPr>
        <w:t xml:space="preserve"> provides an annual assessment of whole of funded organisation performance from information collected throughout the year. The Desktop Review Report is shared with funded organisations.</w:t>
      </w:r>
    </w:p>
    <w:p w14:paraId="61FE4527" w14:textId="77777777" w:rsidR="00856D53" w:rsidRPr="00276391" w:rsidRDefault="00856D53" w:rsidP="00856D53">
      <w:pPr>
        <w:pStyle w:val="Heading4"/>
        <w:rPr>
          <w:lang w:eastAsia="en-AU"/>
        </w:rPr>
      </w:pPr>
      <w:r w:rsidRPr="00276391">
        <w:rPr>
          <w:lang w:eastAsia="en-AU"/>
        </w:rPr>
        <w:t>For further information</w:t>
      </w:r>
    </w:p>
    <w:p w14:paraId="72AFCA46" w14:textId="480D4342" w:rsidR="00856D53" w:rsidRPr="00276391" w:rsidRDefault="00856D53" w:rsidP="00856D53">
      <w:pPr>
        <w:pStyle w:val="DHHSbody"/>
        <w:rPr>
          <w:lang w:eastAsia="en-AU"/>
        </w:rPr>
      </w:pPr>
      <w:r w:rsidRPr="00F373A1">
        <w:rPr>
          <w:rFonts w:cs="Arial"/>
          <w:color w:val="000000"/>
          <w:szCs w:val="19"/>
          <w:lang w:eastAsia="en-AU"/>
        </w:rPr>
        <w:t xml:space="preserve">The </w:t>
      </w:r>
      <w:hyperlink r:id="rId384" w:history="1">
        <w:r w:rsidRPr="005F77B4">
          <w:rPr>
            <w:rStyle w:val="Hyperlink"/>
          </w:rPr>
          <w:t>Funded Organisation Performance Monitoring Framework: Overview for th</w:t>
        </w:r>
        <w:r w:rsidR="005F77B4" w:rsidRPr="005F77B4">
          <w:rPr>
            <w:rStyle w:val="Hyperlink"/>
          </w:rPr>
          <w:t>e funding sector</w:t>
        </w:r>
      </w:hyperlink>
      <w:r w:rsidR="005F77B4">
        <w:t xml:space="preserve"> </w:t>
      </w:r>
      <w:r>
        <w:rPr>
          <w:rFonts w:cs="Arial"/>
          <w:color w:val="000000"/>
          <w:szCs w:val="19"/>
          <w:lang w:eastAsia="en-AU"/>
        </w:rPr>
        <w:t>&lt;</w:t>
      </w:r>
      <w:r w:rsidR="005F77B4" w:rsidRPr="005F77B4">
        <w:rPr>
          <w:rFonts w:cs="Arial"/>
          <w:color w:val="000000"/>
          <w:szCs w:val="19"/>
          <w:lang w:eastAsia="en-AU"/>
        </w:rPr>
        <w:t>https://fac.dhhs.vic.gov.au/policies-and-procedures</w:t>
      </w:r>
      <w:r>
        <w:rPr>
          <w:rFonts w:cs="Arial"/>
          <w:color w:val="000000"/>
          <w:szCs w:val="19"/>
          <w:lang w:eastAsia="en-AU"/>
        </w:rPr>
        <w:t>&gt;</w:t>
      </w:r>
      <w:r w:rsidRPr="00F60523">
        <w:rPr>
          <w:rFonts w:cs="Arial"/>
          <w:color w:val="000000"/>
          <w:szCs w:val="19"/>
          <w:lang w:eastAsia="en-AU"/>
        </w:rPr>
        <w:t xml:space="preserve"> </w:t>
      </w:r>
      <w:r w:rsidRPr="00B24C02">
        <w:rPr>
          <w:rFonts w:cs="Arial"/>
          <w:color w:val="000000"/>
          <w:szCs w:val="19"/>
          <w:lang w:eastAsia="en-AU"/>
        </w:rPr>
        <w:t>(</w:t>
      </w:r>
      <w:r w:rsidR="005F77B4">
        <w:rPr>
          <w:rFonts w:cs="Arial"/>
          <w:color w:val="000000"/>
          <w:szCs w:val="19"/>
          <w:lang w:eastAsia="en-AU"/>
        </w:rPr>
        <w:t>external link</w:t>
      </w:r>
      <w:r w:rsidRPr="00B24C02">
        <w:rPr>
          <w:rFonts w:cs="Arial"/>
          <w:color w:val="000000"/>
          <w:szCs w:val="19"/>
          <w:lang w:eastAsia="en-AU"/>
        </w:rPr>
        <w:t>, opens in a new window) provides further guidance on key components and process of the framework.</w:t>
      </w:r>
    </w:p>
    <w:p w14:paraId="5CEFC8DA" w14:textId="77777777" w:rsidR="00856D53" w:rsidRPr="00276391" w:rsidRDefault="00856D53" w:rsidP="00856D53">
      <w:pPr>
        <w:pStyle w:val="DHHSbody"/>
        <w:rPr>
          <w:lang w:eastAsia="en-AU"/>
        </w:rPr>
      </w:pPr>
      <w:r w:rsidRPr="00276391">
        <w:rPr>
          <w:lang w:eastAsia="en-AU"/>
        </w:rPr>
        <w:t xml:space="preserve">Email: </w:t>
      </w:r>
      <w:hyperlink r:id="rId385" w:history="1">
        <w:r>
          <w:rPr>
            <w:rStyle w:val="Hyperlink"/>
          </w:rPr>
          <w:t>MonitoringFramework.Helpdesk@dhhs.vic.gov.au</w:t>
        </w:r>
      </w:hyperlink>
    </w:p>
    <w:p w14:paraId="75F942E9" w14:textId="59BFEFE8" w:rsidR="00856D53" w:rsidRPr="00276391" w:rsidRDefault="00B30C4B" w:rsidP="00856D53">
      <w:pPr>
        <w:pStyle w:val="Heading2"/>
        <w:rPr>
          <w:rFonts w:cs="Arial"/>
          <w:lang w:eastAsia="en-AU"/>
        </w:rPr>
      </w:pPr>
      <w:bookmarkStart w:id="931" w:name="_Toc4142157"/>
      <w:r>
        <w:rPr>
          <w:rFonts w:cs="Arial"/>
          <w:lang w:eastAsia="en-AU"/>
        </w:rPr>
        <w:t>5.10</w:t>
      </w:r>
      <w:r w:rsidR="00856D53" w:rsidRPr="00276391">
        <w:rPr>
          <w:rFonts w:cs="Arial"/>
          <w:lang w:eastAsia="en-AU"/>
        </w:rPr>
        <w:t xml:space="preserve"> Pandemic business continuity planning</w:t>
      </w:r>
      <w:bookmarkEnd w:id="931"/>
    </w:p>
    <w:p w14:paraId="3EF939BD" w14:textId="77777777" w:rsidR="00856D53" w:rsidRPr="00276391" w:rsidRDefault="00856D53" w:rsidP="00856D53">
      <w:pPr>
        <w:pStyle w:val="Heading4"/>
        <w:rPr>
          <w:lang w:eastAsia="en-AU"/>
        </w:rPr>
      </w:pPr>
      <w:r w:rsidRPr="00276391">
        <w:rPr>
          <w:lang w:eastAsia="en-AU"/>
        </w:rPr>
        <w:t>Pandemic planning</w:t>
      </w:r>
    </w:p>
    <w:p w14:paraId="7A28DCC7" w14:textId="77777777" w:rsidR="00856D53" w:rsidRPr="00276391" w:rsidRDefault="00856D53" w:rsidP="00856D53">
      <w:pPr>
        <w:pStyle w:val="DHHSbody"/>
        <w:rPr>
          <w:lang w:eastAsia="en-AU"/>
        </w:rPr>
      </w:pPr>
      <w:r w:rsidRPr="00B24C02">
        <w:rPr>
          <w:rFonts w:cs="Arial"/>
          <w:color w:val="000000"/>
          <w:szCs w:val="19"/>
          <w:lang w:eastAsia="en-AU"/>
        </w:rPr>
        <w:t>Pandemic events pose a challenge for the continued provision of all services. Organisations are required to exercise their duty of care to protect the health and wellbeing of their employees, contractors, visitors and customers (including families and children). Accordingly, adequate business continuity planning, including pandemic planning, is required to enable the organisations to continue to deliver their key services to the community.</w:t>
      </w:r>
    </w:p>
    <w:p w14:paraId="0CAAA553" w14:textId="77777777" w:rsidR="00856D53" w:rsidRPr="00276391" w:rsidRDefault="00856D53" w:rsidP="00856D53">
      <w:pPr>
        <w:pStyle w:val="DHHSbody"/>
        <w:rPr>
          <w:lang w:eastAsia="en-AU"/>
        </w:rPr>
      </w:pPr>
      <w:r w:rsidRPr="00276391">
        <w:rPr>
          <w:lang w:eastAsia="en-AU"/>
        </w:rPr>
        <w:t>It is expected that organisation would work closely with local government and health authorities to manage the consequences of pandemic events.</w:t>
      </w:r>
    </w:p>
    <w:p w14:paraId="09950B57" w14:textId="77777777" w:rsidR="00856D53" w:rsidRPr="00276391" w:rsidRDefault="00856D53" w:rsidP="00856D53">
      <w:pPr>
        <w:pStyle w:val="Heading4"/>
        <w:rPr>
          <w:lang w:eastAsia="en-AU"/>
        </w:rPr>
      </w:pPr>
      <w:r w:rsidRPr="00276391">
        <w:rPr>
          <w:lang w:eastAsia="en-AU"/>
        </w:rPr>
        <w:t>Business continuity planning</w:t>
      </w:r>
    </w:p>
    <w:p w14:paraId="35E0C633" w14:textId="77777777" w:rsidR="00856D53" w:rsidRPr="00276391" w:rsidRDefault="00856D53" w:rsidP="00856D53">
      <w:pPr>
        <w:pStyle w:val="DHHSbody"/>
        <w:rPr>
          <w:lang w:eastAsia="en-AU"/>
        </w:rPr>
      </w:pPr>
      <w:r w:rsidRPr="00276391">
        <w:rPr>
          <w:lang w:eastAsia="en-AU"/>
        </w:rPr>
        <w:t>Funded organisations are required to have Business continuity plans (BCPs) in place to continue to deliver these services. Conversely, you may need to plan for scaling down or standing down non-essential services.</w:t>
      </w:r>
    </w:p>
    <w:p w14:paraId="0B2051D8" w14:textId="77777777" w:rsidR="00856D53" w:rsidRPr="00276391" w:rsidRDefault="00856D53" w:rsidP="00856D53">
      <w:pPr>
        <w:pStyle w:val="DHHSbody"/>
        <w:rPr>
          <w:lang w:eastAsia="en-AU"/>
        </w:rPr>
      </w:pPr>
      <w:r w:rsidRPr="00276391">
        <w:rPr>
          <w:lang w:eastAsia="en-AU"/>
        </w:rPr>
        <w:lastRenderedPageBreak/>
        <w:t>Business continuity planning is the process by which business as usual operations and services are maintained to ensure critical business processes can continue to operate effectively, following a disruption to the organisation. Business continuity planning improves organisational resilience whilst minimising safety, financial, operational, reputational risks and/or other damaging consequences.</w:t>
      </w:r>
    </w:p>
    <w:p w14:paraId="71F09199" w14:textId="77777777" w:rsidR="00856D53" w:rsidRPr="00276391" w:rsidRDefault="00856D53" w:rsidP="00856D53">
      <w:pPr>
        <w:pStyle w:val="DHHSbody"/>
        <w:rPr>
          <w:lang w:eastAsia="en-AU"/>
        </w:rPr>
      </w:pPr>
      <w:r w:rsidRPr="00276391">
        <w:rPr>
          <w:lang w:eastAsia="en-AU"/>
        </w:rPr>
        <w:t>BCPs outline workaround strategies that an organisation would invoke in case of a disruption. Invoking the BCPs assists in the recovery efforts to ensure critical business processes can continue to operate.</w:t>
      </w:r>
    </w:p>
    <w:p w14:paraId="350E9B62" w14:textId="77777777" w:rsidR="00856D53" w:rsidRPr="00276391" w:rsidRDefault="00856D53" w:rsidP="00856D53">
      <w:pPr>
        <w:pStyle w:val="DHHSbody"/>
        <w:rPr>
          <w:lang w:eastAsia="en-AU"/>
        </w:rPr>
      </w:pPr>
      <w:r w:rsidRPr="00276391">
        <w:rPr>
          <w:lang w:eastAsia="en-AU"/>
        </w:rPr>
        <w:t>Every organisation will benefit from having a BCP in place. BCPs that address such key disruption scenarios as loss of staff, building, IT and key supplier(s) provide an opportunity to respond to and recover from a vast array of disruptions events including pandemics, floods, fires etc.</w:t>
      </w:r>
    </w:p>
    <w:p w14:paraId="0C6BE1BC" w14:textId="4607F261" w:rsidR="00856D53" w:rsidRPr="00276391" w:rsidRDefault="00856D53" w:rsidP="00856D53">
      <w:pPr>
        <w:pStyle w:val="DHHSbody"/>
        <w:rPr>
          <w:lang w:eastAsia="en-AU"/>
        </w:rPr>
      </w:pPr>
      <w:r w:rsidRPr="00276391">
        <w:rPr>
          <w:lang w:eastAsia="en-AU"/>
        </w:rPr>
        <w:t>During pandemic events, business continuity strategies about loss</w:t>
      </w:r>
      <w:r w:rsidR="004C6434">
        <w:rPr>
          <w:lang w:eastAsia="en-AU"/>
        </w:rPr>
        <w:t xml:space="preserve"> of staff and loss of suppliers</w:t>
      </w:r>
      <w:r w:rsidRPr="00276391">
        <w:rPr>
          <w:lang w:eastAsia="en-AU"/>
        </w:rPr>
        <w:t xml:space="preserve"> need to consider the management of absenteeism of key employees and volunteers as well as significant interruptions to supplies. It is particularly important that small organisations with limited staff and resources prepare carefully to reduce the impact of a pandemic on the continuity of their service.</w:t>
      </w:r>
    </w:p>
    <w:p w14:paraId="21BFA8B0" w14:textId="77777777" w:rsidR="00856D53" w:rsidRPr="00276391" w:rsidRDefault="00856D53" w:rsidP="00856D53">
      <w:pPr>
        <w:pStyle w:val="DHHSbody"/>
        <w:rPr>
          <w:lang w:eastAsia="en-AU"/>
        </w:rPr>
      </w:pPr>
      <w:r w:rsidRPr="00276391">
        <w:rPr>
          <w:lang w:eastAsia="en-AU"/>
        </w:rPr>
        <w:t>During a disruption, staff and volunteers are likely to be concerned about their well-being and the well-being of their families and customers. For example, during a pandemic, between 30 and 50 per cent of an organisation’s staff and volunteers may become ill, which could have a significant impact on an organisation. The remaining staff and volunteers, not affected by the pandemic, may not show up to work. The commitment of your organisation to business continuity, including pandemic business continuity planning, is likely to assure staff and volunteers that you are planning ahead and doing your best.</w:t>
      </w:r>
    </w:p>
    <w:p w14:paraId="50B7350A" w14:textId="77777777" w:rsidR="00856D53" w:rsidRPr="00276391" w:rsidRDefault="00856D53" w:rsidP="00856D53">
      <w:pPr>
        <w:pStyle w:val="Heading4"/>
        <w:rPr>
          <w:lang w:eastAsia="en-AU"/>
        </w:rPr>
      </w:pPr>
      <w:r w:rsidRPr="00276391">
        <w:rPr>
          <w:lang w:eastAsia="en-AU"/>
        </w:rPr>
        <w:t>Resources</w:t>
      </w:r>
    </w:p>
    <w:p w14:paraId="1F7A96F4" w14:textId="77777777" w:rsidR="00856D53" w:rsidRPr="00276391" w:rsidRDefault="00856D53" w:rsidP="00856D53">
      <w:pPr>
        <w:pStyle w:val="DHHSbody"/>
        <w:rPr>
          <w:lang w:eastAsia="en-AU"/>
        </w:rPr>
      </w:pPr>
      <w:r w:rsidRPr="00B24C02">
        <w:rPr>
          <w:rFonts w:cs="Arial"/>
          <w:color w:val="000000"/>
          <w:szCs w:val="19"/>
          <w:lang w:eastAsia="en-AU"/>
        </w:rPr>
        <w:t xml:space="preserve">Australian National Audit Office: </w:t>
      </w:r>
      <w:hyperlink r:id="rId386" w:history="1">
        <w:r w:rsidRPr="00986D1E">
          <w:rPr>
            <w:rStyle w:val="Hyperlink"/>
          </w:rPr>
          <w:t>Business Continuity Management: Building resilience in public sector entities</w:t>
        </w:r>
      </w:hyperlink>
      <w:r w:rsidRPr="00B24C02">
        <w:rPr>
          <w:rFonts w:cs="Arial"/>
          <w:color w:val="000000"/>
          <w:szCs w:val="19"/>
          <w:lang w:eastAsia="en-AU"/>
        </w:rPr>
        <w:t xml:space="preserve"> </w:t>
      </w:r>
      <w:r>
        <w:rPr>
          <w:rFonts w:cs="Arial"/>
          <w:color w:val="000000"/>
          <w:szCs w:val="19"/>
          <w:lang w:eastAsia="en-AU"/>
        </w:rPr>
        <w:t>&lt;</w:t>
      </w:r>
      <w:r w:rsidRPr="00F60523">
        <w:rPr>
          <w:rFonts w:cs="Arial"/>
          <w:color w:val="000000"/>
          <w:szCs w:val="19"/>
          <w:lang w:eastAsia="en-AU"/>
        </w:rPr>
        <w:t>https://www.anao.gov.au/search/site/media Better Practice Guides Business Continuity Management Business continuity management</w:t>
      </w:r>
      <w:r>
        <w:rPr>
          <w:rFonts w:cs="Arial"/>
          <w:color w:val="000000"/>
          <w:szCs w:val="19"/>
          <w:lang w:eastAsia="en-AU"/>
        </w:rPr>
        <w:t>&gt;</w:t>
      </w:r>
      <w:r w:rsidRPr="00F60523">
        <w:rPr>
          <w:rFonts w:cs="Arial"/>
          <w:color w:val="000000"/>
          <w:szCs w:val="19"/>
          <w:lang w:eastAsia="en-AU"/>
        </w:rPr>
        <w:t xml:space="preserve"> </w:t>
      </w:r>
      <w:r w:rsidRPr="00B24C02">
        <w:rPr>
          <w:rFonts w:cs="Arial"/>
          <w:color w:val="000000"/>
          <w:szCs w:val="19"/>
          <w:lang w:eastAsia="en-AU"/>
        </w:rPr>
        <w:t xml:space="preserve">(external link, opens in a new window). Appendix IV – Pandemics provides specific information on business continuity and pandemic plans </w:t>
      </w:r>
    </w:p>
    <w:p w14:paraId="3CFDCBB5" w14:textId="77777777" w:rsidR="00856D53" w:rsidRPr="00276391" w:rsidRDefault="00856D53" w:rsidP="00856D53">
      <w:pPr>
        <w:pStyle w:val="DHHSbody"/>
        <w:rPr>
          <w:lang w:eastAsia="en-AU"/>
        </w:rPr>
      </w:pPr>
      <w:r w:rsidRPr="00276391">
        <w:rPr>
          <w:lang w:eastAsia="en-AU"/>
        </w:rPr>
        <w:t xml:space="preserve">Department of Health and Human Services, </w:t>
      </w:r>
      <w:r>
        <w:rPr>
          <w:lang w:eastAsia="en-AU"/>
        </w:rPr>
        <w:t>Funded agency channel</w:t>
      </w:r>
      <w:r w:rsidRPr="00276391">
        <w:rPr>
          <w:lang w:eastAsia="en-AU"/>
        </w:rPr>
        <w:t xml:space="preserve">: </w:t>
      </w:r>
      <w:hyperlink r:id="rId387" w:history="1">
        <w:r w:rsidRPr="00986D1E">
          <w:rPr>
            <w:rStyle w:val="Hyperlink"/>
          </w:rPr>
          <w:t>Business continuity management</w:t>
        </w:r>
      </w:hyperlink>
      <w:r w:rsidRPr="00276391">
        <w:rPr>
          <w:lang w:eastAsia="en-AU"/>
        </w:rPr>
        <w:t xml:space="preserve"> </w:t>
      </w:r>
      <w:r w:rsidRPr="000E7604">
        <w:rPr>
          <w:u w:val="dotted"/>
          <w:lang w:eastAsia="en-AU"/>
        </w:rPr>
        <w:t>&lt;</w:t>
      </w:r>
      <w:r w:rsidRPr="001C487F">
        <w:rPr>
          <w:u w:val="dotted"/>
          <w:lang w:eastAsia="en-AU"/>
        </w:rPr>
        <w:t>https://fac.dhhs.vic.gov.au/policies-and-procedures</w:t>
      </w:r>
      <w:r w:rsidRPr="000E7604">
        <w:rPr>
          <w:u w:val="dotted"/>
          <w:lang w:eastAsia="en-AU"/>
        </w:rPr>
        <w:t>&gt;</w:t>
      </w:r>
      <w:r w:rsidRPr="00276391">
        <w:rPr>
          <w:lang w:eastAsia="en-AU"/>
        </w:rPr>
        <w:t xml:space="preserve"> (external link, opens in a new window) </w:t>
      </w:r>
    </w:p>
    <w:p w14:paraId="6F7CBA04" w14:textId="77777777" w:rsidR="00856D53" w:rsidRPr="00276391" w:rsidRDefault="00856D53" w:rsidP="00856D53">
      <w:pPr>
        <w:pStyle w:val="DHHSbody"/>
        <w:rPr>
          <w:lang w:eastAsia="en-AU"/>
        </w:rPr>
      </w:pPr>
      <w:r w:rsidRPr="00276391">
        <w:rPr>
          <w:lang w:eastAsia="en-AU"/>
        </w:rPr>
        <w:t xml:space="preserve">Department of Health and Human Services, Health Victoria: </w:t>
      </w:r>
      <w:hyperlink r:id="rId388" w:history="1">
        <w:r w:rsidRPr="00986D1E">
          <w:rPr>
            <w:rStyle w:val="Hyperlink"/>
          </w:rPr>
          <w:t>Victorian action plan for pandemic influenza</w:t>
        </w:r>
      </w:hyperlink>
      <w:r w:rsidRPr="00276391">
        <w:rPr>
          <w:lang w:eastAsia="en-AU"/>
        </w:rPr>
        <w:t xml:space="preserve"> </w:t>
      </w:r>
      <w:r>
        <w:rPr>
          <w:lang w:eastAsia="en-AU"/>
        </w:rPr>
        <w:t>&lt;</w:t>
      </w:r>
      <w:r w:rsidRPr="000E7604">
        <w:rPr>
          <w:lang w:eastAsia="en-AU"/>
        </w:rPr>
        <w:t>https://www2.health.vic.gov.au/emergencies/emergency-type/infectious-diseases/pandemic-influenza</w:t>
      </w:r>
      <w:r>
        <w:rPr>
          <w:lang w:eastAsia="en-AU"/>
        </w:rPr>
        <w:t>&gt;</w:t>
      </w:r>
      <w:r w:rsidRPr="000E7604">
        <w:rPr>
          <w:lang w:eastAsia="en-AU"/>
        </w:rPr>
        <w:t xml:space="preserve"> </w:t>
      </w:r>
      <w:r w:rsidRPr="00276391">
        <w:rPr>
          <w:lang w:eastAsia="en-AU"/>
        </w:rPr>
        <w:t xml:space="preserve">(external link, opens in a new window) </w:t>
      </w:r>
    </w:p>
    <w:p w14:paraId="1EF90E70" w14:textId="77777777" w:rsidR="00856D53" w:rsidRPr="00276391" w:rsidRDefault="00856D53" w:rsidP="00856D53">
      <w:pPr>
        <w:pStyle w:val="DHHSbody"/>
        <w:rPr>
          <w:lang w:eastAsia="en-AU"/>
        </w:rPr>
      </w:pPr>
      <w:r w:rsidRPr="00276391">
        <w:rPr>
          <w:lang w:eastAsia="en-AU"/>
        </w:rPr>
        <w:t xml:space="preserve">Department of Education and Training: </w:t>
      </w:r>
      <w:hyperlink r:id="rId389" w:history="1">
        <w:r w:rsidRPr="00986D1E">
          <w:rPr>
            <w:rStyle w:val="Hyperlink"/>
          </w:rPr>
          <w:t>Human Influenza Pandemic Incident Response Procedures</w:t>
        </w:r>
      </w:hyperlink>
      <w:r w:rsidRPr="00276391">
        <w:rPr>
          <w:lang w:eastAsia="en-AU"/>
        </w:rPr>
        <w:t xml:space="preserve"> </w:t>
      </w:r>
      <w:r>
        <w:rPr>
          <w:lang w:eastAsia="en-AU"/>
        </w:rPr>
        <w:t>&lt;</w:t>
      </w:r>
      <w:r w:rsidRPr="000E7604">
        <w:rPr>
          <w:lang w:eastAsia="en-AU"/>
        </w:rPr>
        <w:t>http://www.education.vic.gov.au/Documents/childhood/providers/support/pandemicprocedure.docx</w:t>
      </w:r>
      <w:r>
        <w:rPr>
          <w:lang w:eastAsia="en-AU"/>
        </w:rPr>
        <w:t xml:space="preserve">&gt; </w:t>
      </w:r>
      <w:r w:rsidRPr="00276391">
        <w:rPr>
          <w:lang w:eastAsia="en-AU"/>
        </w:rPr>
        <w:t xml:space="preserve">(external link, opens in a new window) </w:t>
      </w:r>
    </w:p>
    <w:p w14:paraId="53AB9037" w14:textId="77777777" w:rsidR="00856D53" w:rsidRPr="00276391" w:rsidRDefault="00856D53" w:rsidP="00856D53">
      <w:pPr>
        <w:pStyle w:val="DHHSbody"/>
        <w:rPr>
          <w:lang w:eastAsia="en-AU"/>
        </w:rPr>
      </w:pPr>
      <w:r w:rsidRPr="00276391">
        <w:rPr>
          <w:lang w:eastAsia="en-AU"/>
        </w:rPr>
        <w:t>For more information or assistance with business continuity management, email:</w:t>
      </w:r>
    </w:p>
    <w:p w14:paraId="77C86A4A" w14:textId="77777777" w:rsidR="00856D53" w:rsidRPr="00276391" w:rsidRDefault="00856D53" w:rsidP="00856D53">
      <w:pPr>
        <w:pStyle w:val="DHHSbody"/>
        <w:rPr>
          <w:lang w:eastAsia="en-AU"/>
        </w:rPr>
      </w:pPr>
      <w:r w:rsidRPr="00276391">
        <w:rPr>
          <w:lang w:eastAsia="en-AU"/>
        </w:rPr>
        <w:t xml:space="preserve">Department of Education and Training: </w:t>
      </w:r>
      <w:hyperlink r:id="rId390" w:history="1">
        <w:r w:rsidRPr="00986D1E">
          <w:rPr>
            <w:rStyle w:val="Hyperlink"/>
          </w:rPr>
          <w:t>business.continuity@edumail.vic.gov.au</w:t>
        </w:r>
      </w:hyperlink>
    </w:p>
    <w:p w14:paraId="5EA290B1" w14:textId="77777777" w:rsidR="00856D53" w:rsidRPr="00276391" w:rsidRDefault="00856D53" w:rsidP="00856D53">
      <w:pPr>
        <w:pStyle w:val="Heading4"/>
        <w:rPr>
          <w:lang w:eastAsia="en-AU"/>
        </w:rPr>
      </w:pPr>
      <w:r w:rsidRPr="00276391">
        <w:rPr>
          <w:lang w:eastAsia="en-AU"/>
        </w:rPr>
        <w:t>For further information</w:t>
      </w:r>
    </w:p>
    <w:p w14:paraId="1D95C13A" w14:textId="77777777" w:rsidR="00856D53" w:rsidRPr="00276391" w:rsidRDefault="00856D53" w:rsidP="00856D53">
      <w:pPr>
        <w:pStyle w:val="DHHSbody"/>
        <w:rPr>
          <w:lang w:eastAsia="en-AU"/>
        </w:rPr>
      </w:pPr>
      <w:r w:rsidRPr="00B24C02">
        <w:rPr>
          <w:rFonts w:cs="Arial"/>
          <w:color w:val="000000"/>
          <w:szCs w:val="19"/>
          <w:lang w:eastAsia="en-AU"/>
        </w:rPr>
        <w:t xml:space="preserve">Ghassan </w:t>
      </w:r>
      <w:proofErr w:type="spellStart"/>
      <w:r w:rsidRPr="00B24C02">
        <w:rPr>
          <w:rFonts w:cs="Arial"/>
          <w:color w:val="000000"/>
          <w:szCs w:val="19"/>
          <w:lang w:eastAsia="en-AU"/>
        </w:rPr>
        <w:t>Masri</w:t>
      </w:r>
      <w:proofErr w:type="spellEnd"/>
      <w:r w:rsidRPr="00B24C02">
        <w:rPr>
          <w:rFonts w:cs="Arial"/>
          <w:color w:val="000000"/>
          <w:szCs w:val="19"/>
          <w:lang w:eastAsia="en-AU"/>
        </w:rPr>
        <w:t>, Business Continuity Officer, Risk Unit, Strategy and Planning Division, Strategy and Performance Group, Department of Education and Training</w:t>
      </w:r>
      <w:r w:rsidRPr="00B24C02">
        <w:rPr>
          <w:rFonts w:cs="Arial"/>
          <w:color w:val="000000"/>
          <w:szCs w:val="19"/>
          <w:lang w:eastAsia="en-AU"/>
        </w:rPr>
        <w:br/>
        <w:t xml:space="preserve">Email: </w:t>
      </w:r>
      <w:hyperlink r:id="rId391" w:history="1">
        <w:r w:rsidRPr="00986D1E">
          <w:rPr>
            <w:rStyle w:val="Hyperlink"/>
          </w:rPr>
          <w:t>business.continuity@edumail.vic.gov.au</w:t>
        </w:r>
      </w:hyperlink>
    </w:p>
    <w:p w14:paraId="15228944" w14:textId="14F909A4" w:rsidR="00856D53" w:rsidRPr="00276391" w:rsidRDefault="00B30C4B" w:rsidP="00856D53">
      <w:pPr>
        <w:pStyle w:val="Heading2"/>
        <w:rPr>
          <w:rFonts w:cs="Arial"/>
          <w:lang w:eastAsia="en-AU"/>
        </w:rPr>
      </w:pPr>
      <w:bookmarkStart w:id="932" w:name="_Toc4142158"/>
      <w:r>
        <w:rPr>
          <w:rFonts w:cs="Arial"/>
          <w:lang w:eastAsia="en-AU"/>
        </w:rPr>
        <w:t>5.11</w:t>
      </w:r>
      <w:r w:rsidR="00856D53" w:rsidRPr="00276391">
        <w:rPr>
          <w:rFonts w:cs="Arial"/>
          <w:lang w:eastAsia="en-AU"/>
        </w:rPr>
        <w:t xml:space="preserve"> Climate change adaptation and environmental sustainability</w:t>
      </w:r>
      <w:bookmarkEnd w:id="932"/>
    </w:p>
    <w:p w14:paraId="56FED644" w14:textId="77777777" w:rsidR="00856D53" w:rsidRPr="00276391" w:rsidRDefault="00856D53" w:rsidP="00856D53">
      <w:pPr>
        <w:pStyle w:val="Heading4"/>
        <w:rPr>
          <w:lang w:eastAsia="en-AU"/>
        </w:rPr>
      </w:pPr>
      <w:r w:rsidRPr="00276391">
        <w:rPr>
          <w:lang w:eastAsia="en-AU"/>
        </w:rPr>
        <w:t>Environmental sustainability</w:t>
      </w:r>
    </w:p>
    <w:p w14:paraId="096EE05F" w14:textId="2485C620" w:rsidR="00856D53" w:rsidRPr="00276391" w:rsidRDefault="00856D53" w:rsidP="00856D53">
      <w:pPr>
        <w:pStyle w:val="DHHSbody"/>
        <w:rPr>
          <w:lang w:eastAsia="en-AU"/>
        </w:rPr>
      </w:pPr>
      <w:r w:rsidRPr="00B24C02">
        <w:rPr>
          <w:rFonts w:cs="Arial"/>
          <w:color w:val="000000"/>
          <w:szCs w:val="19"/>
          <w:lang w:eastAsia="en-AU"/>
        </w:rPr>
        <w:t xml:space="preserve">The </w:t>
      </w:r>
      <w:r w:rsidR="007A46F5">
        <w:rPr>
          <w:rFonts w:cs="Arial"/>
          <w:color w:val="000000"/>
          <w:szCs w:val="19"/>
          <w:lang w:eastAsia="en-AU"/>
        </w:rPr>
        <w:t>department</w:t>
      </w:r>
      <w:r w:rsidRPr="00B24C02">
        <w:rPr>
          <w:rFonts w:cs="Arial"/>
          <w:color w:val="000000"/>
          <w:szCs w:val="19"/>
          <w:lang w:eastAsia="en-AU"/>
        </w:rPr>
        <w:t xml:space="preserve"> is committed to environmental sustainability across the Victorian education sector, including reducing resource use and environmental impacts of its operations. In line with the National </w:t>
      </w:r>
      <w:r w:rsidRPr="00B24C02">
        <w:rPr>
          <w:rFonts w:cs="Arial"/>
          <w:color w:val="000000"/>
          <w:szCs w:val="19"/>
          <w:lang w:eastAsia="en-AU"/>
        </w:rPr>
        <w:lastRenderedPageBreak/>
        <w:t xml:space="preserve">Quality Standard (3.3), </w:t>
      </w:r>
      <w:r w:rsidR="007A46F5">
        <w:rPr>
          <w:rFonts w:cs="Arial"/>
          <w:color w:val="000000"/>
          <w:szCs w:val="19"/>
          <w:lang w:eastAsia="en-AU"/>
        </w:rPr>
        <w:t>the department</w:t>
      </w:r>
      <w:r w:rsidRPr="00B24C02">
        <w:rPr>
          <w:rFonts w:cs="Arial"/>
          <w:color w:val="000000"/>
          <w:szCs w:val="19"/>
          <w:lang w:eastAsia="en-AU"/>
        </w:rPr>
        <w:t xml:space="preserve"> funded early childhood organisations are encouraged to embed sustainable practices in their operations, and support children to become environmentally responsible.</w:t>
      </w:r>
    </w:p>
    <w:p w14:paraId="7DA2650A" w14:textId="0F964FD0" w:rsidR="00856D53" w:rsidRPr="00276391" w:rsidRDefault="007A46F5" w:rsidP="00856D53">
      <w:pPr>
        <w:pStyle w:val="DHHSbody"/>
        <w:rPr>
          <w:lang w:eastAsia="en-AU"/>
        </w:rPr>
      </w:pPr>
      <w:r>
        <w:rPr>
          <w:lang w:eastAsia="en-AU"/>
        </w:rPr>
        <w:t>The department</w:t>
      </w:r>
      <w:r w:rsidR="00856D53" w:rsidRPr="00276391">
        <w:rPr>
          <w:lang w:eastAsia="en-AU"/>
        </w:rPr>
        <w:t xml:space="preserve"> does not currently publish environmental sustainability resources for early childhood organisations. There are resources published by Sustainability Victoria for schools that can assist early childhood organisations to reduce the resource use and environmental impacts of their operations. These are available on the </w:t>
      </w:r>
      <w:hyperlink r:id="rId392" w:history="1">
        <w:r w:rsidR="00856D53" w:rsidRPr="00F71174">
          <w:rPr>
            <w:rStyle w:val="Hyperlink"/>
            <w:lang w:eastAsia="en-AU"/>
          </w:rPr>
          <w:t>Sustainability Victoria website</w:t>
        </w:r>
      </w:hyperlink>
      <w:r w:rsidR="00856D53" w:rsidRPr="00276391">
        <w:rPr>
          <w:lang w:eastAsia="en-AU"/>
        </w:rPr>
        <w:t xml:space="preserve"> </w:t>
      </w:r>
      <w:r w:rsidR="00856D53">
        <w:rPr>
          <w:lang w:eastAsia="en-AU"/>
        </w:rPr>
        <w:t>&lt;</w:t>
      </w:r>
      <w:r w:rsidR="00856D53" w:rsidRPr="00F71174">
        <w:t>http://www.sustainability.vic.gov.au/services-and-advice/schools/resources</w:t>
      </w:r>
      <w:r w:rsidR="00856D53">
        <w:t>&gt;</w:t>
      </w:r>
      <w:r w:rsidR="00856D53" w:rsidRPr="00276391">
        <w:rPr>
          <w:lang w:eastAsia="en-AU"/>
        </w:rPr>
        <w:t xml:space="preserve"> (external link, opens in a new window).</w:t>
      </w:r>
    </w:p>
    <w:p w14:paraId="5A0B2A3D" w14:textId="77777777" w:rsidR="00856D53" w:rsidRPr="00276391" w:rsidRDefault="00856D53" w:rsidP="00856D53">
      <w:pPr>
        <w:pStyle w:val="Heading4"/>
        <w:rPr>
          <w:lang w:eastAsia="en-AU"/>
        </w:rPr>
      </w:pPr>
      <w:r w:rsidRPr="00276391">
        <w:rPr>
          <w:lang w:eastAsia="en-AU"/>
        </w:rPr>
        <w:t>For further information</w:t>
      </w:r>
    </w:p>
    <w:p w14:paraId="79605EDE" w14:textId="77777777" w:rsidR="00856D53" w:rsidRPr="00276391" w:rsidRDefault="00856D53" w:rsidP="00856D53">
      <w:pPr>
        <w:pStyle w:val="DHHSbody"/>
        <w:rPr>
          <w:lang w:eastAsia="en-AU"/>
        </w:rPr>
      </w:pPr>
      <w:r w:rsidRPr="00B24C02">
        <w:rPr>
          <w:rFonts w:cs="Arial"/>
          <w:color w:val="000000"/>
          <w:szCs w:val="19"/>
          <w:lang w:eastAsia="en-AU"/>
        </w:rPr>
        <w:t>Caitlin Phillips, Manager, Portfolio Standards Unit, Standards and Planning Branch, Infrastructure and Sustainability Division, Infrastructure and Finance Services Group</w:t>
      </w:r>
      <w:r w:rsidRPr="00B24C02">
        <w:rPr>
          <w:rFonts w:cs="Arial"/>
          <w:color w:val="000000"/>
          <w:szCs w:val="19"/>
          <w:lang w:eastAsia="en-AU"/>
        </w:rPr>
        <w:br/>
        <w:t>Telephone: (03) 9947 1862</w:t>
      </w:r>
      <w:r w:rsidRPr="00B24C02">
        <w:rPr>
          <w:rFonts w:cs="Arial"/>
          <w:color w:val="000000"/>
          <w:szCs w:val="19"/>
          <w:lang w:eastAsia="en-AU"/>
        </w:rPr>
        <w:br/>
        <w:t xml:space="preserve">Email: </w:t>
      </w:r>
      <w:hyperlink r:id="rId393" w:history="1">
        <w:r w:rsidRPr="00986D1E">
          <w:rPr>
            <w:rStyle w:val="Hyperlink"/>
          </w:rPr>
          <w:t>phillips.caitlin.c@edumail.vic.gov.au</w:t>
        </w:r>
      </w:hyperlink>
    </w:p>
    <w:p w14:paraId="01245C65" w14:textId="089BCA1B" w:rsidR="00856D53" w:rsidRPr="00276391" w:rsidRDefault="00B30C4B" w:rsidP="00856D53">
      <w:pPr>
        <w:pStyle w:val="Heading2"/>
        <w:rPr>
          <w:rFonts w:cs="Arial"/>
          <w:lang w:eastAsia="en-AU"/>
        </w:rPr>
      </w:pPr>
      <w:bookmarkStart w:id="933" w:name="_Toc4142159"/>
      <w:r>
        <w:rPr>
          <w:rFonts w:cs="Arial"/>
          <w:lang w:eastAsia="en-AU"/>
        </w:rPr>
        <w:t>5.12</w:t>
      </w:r>
      <w:r w:rsidR="00856D53" w:rsidRPr="00276391">
        <w:rPr>
          <w:rFonts w:cs="Arial"/>
          <w:lang w:eastAsia="en-AU"/>
        </w:rPr>
        <w:t xml:space="preserve"> Language services</w:t>
      </w:r>
      <w:bookmarkEnd w:id="933"/>
    </w:p>
    <w:p w14:paraId="6B62A422" w14:textId="77777777" w:rsidR="00856D53" w:rsidRPr="00276391" w:rsidRDefault="00856D53" w:rsidP="00856D53">
      <w:pPr>
        <w:pStyle w:val="Heading3"/>
        <w:rPr>
          <w:lang w:eastAsia="en-AU"/>
        </w:rPr>
      </w:pPr>
      <w:bookmarkStart w:id="934" w:name="_Toc4142160"/>
      <w:r w:rsidRPr="00276391">
        <w:rPr>
          <w:lang w:eastAsia="en-AU"/>
        </w:rPr>
        <w:t>Department of Education and Training</w:t>
      </w:r>
      <w:bookmarkEnd w:id="934"/>
    </w:p>
    <w:p w14:paraId="423F9840" w14:textId="329D8AC4" w:rsidR="00856D53" w:rsidRPr="00276391" w:rsidRDefault="00856D53" w:rsidP="00856D53">
      <w:pPr>
        <w:pStyle w:val="DHHSbody"/>
        <w:rPr>
          <w:lang w:eastAsia="en-AU"/>
        </w:rPr>
      </w:pPr>
      <w:r w:rsidRPr="00B24C02">
        <w:rPr>
          <w:rFonts w:cs="Arial"/>
          <w:color w:val="000000"/>
          <w:szCs w:val="19"/>
          <w:lang w:eastAsia="en-AU"/>
        </w:rPr>
        <w:t>The Victorian Interpreting and Translating Service (VITS) provides interpreting an</w:t>
      </w:r>
      <w:r w:rsidR="007A46F5">
        <w:rPr>
          <w:rFonts w:cs="Arial"/>
          <w:color w:val="000000"/>
          <w:szCs w:val="19"/>
          <w:lang w:eastAsia="en-AU"/>
        </w:rPr>
        <w:t>d translating services to the department.</w:t>
      </w:r>
      <w:r w:rsidR="006250C7">
        <w:rPr>
          <w:rFonts w:cs="Arial"/>
          <w:color w:val="000000"/>
          <w:szCs w:val="19"/>
          <w:lang w:eastAsia="en-AU"/>
        </w:rPr>
        <w:t xml:space="preserve"> </w:t>
      </w:r>
      <w:r w:rsidR="007A46F5">
        <w:rPr>
          <w:rFonts w:cs="Arial"/>
          <w:color w:val="000000"/>
          <w:szCs w:val="19"/>
          <w:lang w:eastAsia="en-AU"/>
        </w:rPr>
        <w:t>The department</w:t>
      </w:r>
      <w:r w:rsidRPr="00B24C02">
        <w:rPr>
          <w:rFonts w:cs="Arial"/>
          <w:color w:val="000000"/>
          <w:szCs w:val="19"/>
          <w:lang w:eastAsia="en-AU"/>
        </w:rPr>
        <w:t xml:space="preserve"> fully funds this service for all Victorian government schools, early childhood services or other support services delivered or funded by </w:t>
      </w:r>
      <w:r w:rsidR="007A46F5">
        <w:rPr>
          <w:rFonts w:cs="Arial"/>
          <w:color w:val="000000"/>
          <w:szCs w:val="19"/>
          <w:lang w:eastAsia="en-AU"/>
        </w:rPr>
        <w:t>the department</w:t>
      </w:r>
      <w:r w:rsidRPr="00B24C02">
        <w:rPr>
          <w:rFonts w:cs="Arial"/>
          <w:color w:val="000000"/>
          <w:szCs w:val="19"/>
          <w:lang w:eastAsia="en-AU"/>
        </w:rPr>
        <w:t xml:space="preserve">. Refer to the </w:t>
      </w:r>
      <w:hyperlink r:id="rId394" w:anchor="link94" w:history="1">
        <w:r w:rsidRPr="00986D1E">
          <w:rPr>
            <w:rStyle w:val="Hyperlink"/>
          </w:rPr>
          <w:t>Guidelines for using interpreting and translating services</w:t>
        </w:r>
      </w:hyperlink>
      <w:r w:rsidRPr="00B24C02">
        <w:rPr>
          <w:rFonts w:cs="Arial"/>
          <w:color w:val="000000"/>
          <w:szCs w:val="19"/>
          <w:lang w:eastAsia="en-AU"/>
        </w:rPr>
        <w:t xml:space="preserve"> </w:t>
      </w:r>
      <w:r>
        <w:rPr>
          <w:rFonts w:cs="Arial"/>
          <w:color w:val="000000"/>
          <w:szCs w:val="19"/>
          <w:lang w:eastAsia="en-AU"/>
        </w:rPr>
        <w:t>&lt;</w:t>
      </w:r>
      <w:r w:rsidRPr="005F46CC">
        <w:rPr>
          <w:rFonts w:cs="Arial"/>
          <w:color w:val="000000"/>
          <w:szCs w:val="19"/>
          <w:lang w:eastAsia="en-AU"/>
        </w:rPr>
        <w:t>http://www.education.vic.gov.au/school/principals/management/Pages/translateservice.aspx#link94</w:t>
      </w:r>
      <w:r>
        <w:rPr>
          <w:rFonts w:cs="Arial"/>
          <w:color w:val="000000"/>
          <w:szCs w:val="19"/>
          <w:lang w:eastAsia="en-AU"/>
        </w:rPr>
        <w:t xml:space="preserve">&gt; </w:t>
      </w:r>
      <w:r w:rsidRPr="00B24C02">
        <w:rPr>
          <w:rFonts w:cs="Arial"/>
          <w:color w:val="000000"/>
          <w:szCs w:val="19"/>
          <w:lang w:eastAsia="en-AU"/>
        </w:rPr>
        <w:t>(external link, opens in a new window) for further information.</w:t>
      </w:r>
    </w:p>
    <w:p w14:paraId="1CC0984F" w14:textId="52DF3673" w:rsidR="00856D53" w:rsidRPr="00276391" w:rsidRDefault="00856D53" w:rsidP="00856D53">
      <w:pPr>
        <w:pStyle w:val="DHHSbody"/>
        <w:rPr>
          <w:lang w:eastAsia="en-AU"/>
        </w:rPr>
      </w:pPr>
      <w:r w:rsidRPr="00276391">
        <w:rPr>
          <w:lang w:eastAsia="en-AU"/>
        </w:rPr>
        <w:t xml:space="preserve">The use of VITS is mandatory for all Victorian government schools, early childhood services or other support services delivered or funded by </w:t>
      </w:r>
      <w:r w:rsidR="007A46F5">
        <w:rPr>
          <w:lang w:eastAsia="en-AU"/>
        </w:rPr>
        <w:t>the department</w:t>
      </w:r>
      <w:r w:rsidRPr="00276391">
        <w:rPr>
          <w:lang w:eastAsia="en-AU"/>
        </w:rPr>
        <w:t>. Contact VITS by telephone (03 9280 1923) to obtain a PIN and password to access the service.</w:t>
      </w:r>
    </w:p>
    <w:p w14:paraId="239FC600" w14:textId="77777777" w:rsidR="00856D53" w:rsidRPr="00276391" w:rsidRDefault="00856D53" w:rsidP="00856D53">
      <w:pPr>
        <w:pStyle w:val="DHHSbody"/>
        <w:rPr>
          <w:lang w:eastAsia="en-AU"/>
        </w:rPr>
      </w:pPr>
      <w:r w:rsidRPr="00276391">
        <w:rPr>
          <w:lang w:eastAsia="en-AU"/>
        </w:rPr>
        <w:t xml:space="preserve">The most efficient and </w:t>
      </w:r>
      <w:proofErr w:type="gramStart"/>
      <w:r w:rsidRPr="00276391">
        <w:rPr>
          <w:lang w:eastAsia="en-AU"/>
        </w:rPr>
        <w:t>cost effective</w:t>
      </w:r>
      <w:proofErr w:type="gramEnd"/>
      <w:r w:rsidRPr="00276391">
        <w:rPr>
          <w:lang w:eastAsia="en-AU"/>
        </w:rPr>
        <w:t xml:space="preserve"> method for booking an interpreter through VITS is via their online booking system. Bookings for on-site interpreters can be made on the </w:t>
      </w:r>
      <w:hyperlink r:id="rId395" w:history="1">
        <w:r w:rsidRPr="005F46CC">
          <w:rPr>
            <w:rStyle w:val="Hyperlink"/>
            <w:lang w:eastAsia="en-AU"/>
          </w:rPr>
          <w:t>VITS booking system</w:t>
        </w:r>
      </w:hyperlink>
      <w:r w:rsidRPr="00276391">
        <w:rPr>
          <w:lang w:eastAsia="en-AU"/>
        </w:rPr>
        <w:t xml:space="preserve"> </w:t>
      </w:r>
      <w:r>
        <w:rPr>
          <w:lang w:eastAsia="en-AU"/>
        </w:rPr>
        <w:t>&lt;</w:t>
      </w:r>
      <w:r w:rsidRPr="005F46CC">
        <w:t>http://client.vits.com.au</w:t>
      </w:r>
      <w:r>
        <w:rPr>
          <w:lang w:eastAsia="en-AU"/>
        </w:rPr>
        <w:t xml:space="preserve">&gt; </w:t>
      </w:r>
      <w:r w:rsidRPr="00276391">
        <w:rPr>
          <w:lang w:eastAsia="en-AU"/>
        </w:rPr>
        <w:t>(external link, opens in a new window).</w:t>
      </w:r>
    </w:p>
    <w:p w14:paraId="437BA36D" w14:textId="77777777" w:rsidR="00856D53" w:rsidRPr="00276391" w:rsidRDefault="00856D53" w:rsidP="00856D53">
      <w:pPr>
        <w:pStyle w:val="Heading4"/>
        <w:rPr>
          <w:lang w:eastAsia="en-AU"/>
        </w:rPr>
      </w:pPr>
      <w:r w:rsidRPr="00276391">
        <w:rPr>
          <w:lang w:eastAsia="en-AU"/>
        </w:rPr>
        <w:t>For further information</w:t>
      </w:r>
    </w:p>
    <w:p w14:paraId="793953A0" w14:textId="77777777" w:rsidR="00856D53" w:rsidRPr="00276391" w:rsidRDefault="00856D53" w:rsidP="00856D53">
      <w:pPr>
        <w:pStyle w:val="DHHSbody"/>
        <w:rPr>
          <w:lang w:eastAsia="en-AU"/>
        </w:rPr>
      </w:pPr>
      <w:r w:rsidRPr="00B24C02">
        <w:rPr>
          <w:rFonts w:cs="Arial"/>
          <w:color w:val="000000"/>
          <w:szCs w:val="19"/>
          <w:lang w:eastAsia="en-AU"/>
        </w:rPr>
        <w:t>Anne Gibbs, Manager, Major Projects and Procurement, Secondary Reform, Transitions and Priority Cohorts Division, Early Childhood and School Group, Department of Education and Training</w:t>
      </w:r>
      <w:r w:rsidRPr="00B24C02">
        <w:rPr>
          <w:rFonts w:cs="Arial"/>
          <w:color w:val="000000"/>
          <w:szCs w:val="19"/>
          <w:lang w:eastAsia="en-AU"/>
        </w:rPr>
        <w:br/>
        <w:t>Telephone: 9651 0278</w:t>
      </w:r>
      <w:r w:rsidRPr="00B24C02">
        <w:rPr>
          <w:rFonts w:cs="Arial"/>
          <w:color w:val="000000"/>
          <w:szCs w:val="19"/>
          <w:lang w:eastAsia="en-AU"/>
        </w:rPr>
        <w:br/>
        <w:t xml:space="preserve">Email: </w:t>
      </w:r>
      <w:hyperlink r:id="rId396" w:history="1">
        <w:r w:rsidRPr="00986D1E">
          <w:rPr>
            <w:rStyle w:val="Hyperlink"/>
          </w:rPr>
          <w:t>language.services@edumail.vic.gov.au</w:t>
        </w:r>
      </w:hyperlink>
      <w:r w:rsidRPr="00B24C02">
        <w:rPr>
          <w:rFonts w:cs="Arial"/>
          <w:color w:val="000000"/>
          <w:szCs w:val="19"/>
          <w:lang w:eastAsia="en-AU"/>
        </w:rPr>
        <w:t xml:space="preserve"> </w:t>
      </w:r>
    </w:p>
    <w:p w14:paraId="274A28D2" w14:textId="22DC0513" w:rsidR="00856D53" w:rsidRPr="00276391" w:rsidRDefault="009842AB" w:rsidP="00856D53">
      <w:pPr>
        <w:pStyle w:val="Heading2"/>
        <w:rPr>
          <w:rFonts w:cs="Arial"/>
          <w:lang w:eastAsia="en-AU"/>
        </w:rPr>
      </w:pPr>
      <w:bookmarkStart w:id="935" w:name="_Toc4142161"/>
      <w:r>
        <w:rPr>
          <w:rFonts w:cs="Arial"/>
          <w:lang w:eastAsia="en-AU"/>
        </w:rPr>
        <w:t>5.13</w:t>
      </w:r>
      <w:r w:rsidR="00856D53" w:rsidRPr="00276391">
        <w:rPr>
          <w:rFonts w:cs="Arial"/>
          <w:lang w:eastAsia="en-AU"/>
        </w:rPr>
        <w:t xml:space="preserve"> Cultural diversity </w:t>
      </w:r>
      <w:r w:rsidR="00856D53">
        <w:rPr>
          <w:rFonts w:cs="Arial"/>
          <w:lang w:eastAsia="en-AU"/>
        </w:rPr>
        <w:t>planning</w:t>
      </w:r>
      <w:bookmarkEnd w:id="935"/>
      <w:r w:rsidR="00856D53" w:rsidRPr="00276391">
        <w:rPr>
          <w:rFonts w:cs="Arial"/>
          <w:lang w:eastAsia="en-AU"/>
        </w:rPr>
        <w:t xml:space="preserve"> </w:t>
      </w:r>
    </w:p>
    <w:p w14:paraId="0653F32D"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36" w:name="_Toc4142162"/>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36"/>
    </w:p>
    <w:p w14:paraId="1FD953BD" w14:textId="160D866E" w:rsidR="00856D53" w:rsidRPr="00276391" w:rsidRDefault="009842AB" w:rsidP="00856D53">
      <w:pPr>
        <w:pStyle w:val="Heading2"/>
        <w:rPr>
          <w:rFonts w:cs="Arial"/>
          <w:lang w:eastAsia="en-AU"/>
        </w:rPr>
      </w:pPr>
      <w:bookmarkStart w:id="937" w:name="_Toc4142163"/>
      <w:r>
        <w:rPr>
          <w:rFonts w:cs="Arial"/>
          <w:lang w:eastAsia="en-AU"/>
        </w:rPr>
        <w:t>5.14</w:t>
      </w:r>
      <w:r w:rsidR="00856D53" w:rsidRPr="00276391">
        <w:rPr>
          <w:rFonts w:cs="Arial"/>
          <w:lang w:eastAsia="en-AU"/>
        </w:rPr>
        <w:t xml:space="preserve"> Improving inclusion and access for Aboriginal people and communities</w:t>
      </w:r>
      <w:bookmarkEnd w:id="937"/>
    </w:p>
    <w:p w14:paraId="0396C3C8" w14:textId="77777777" w:rsidR="00856D53" w:rsidRPr="00276391" w:rsidRDefault="00856D53" w:rsidP="00856D53">
      <w:pPr>
        <w:pStyle w:val="DHHSbody"/>
        <w:rPr>
          <w:lang w:eastAsia="en-AU"/>
        </w:rPr>
      </w:pPr>
      <w:r w:rsidRPr="00B24C02">
        <w:rPr>
          <w:rFonts w:cs="Arial"/>
          <w:color w:val="000000"/>
          <w:szCs w:val="19"/>
          <w:lang w:eastAsia="en-AU"/>
        </w:rPr>
        <w:t>Victorian Aboriginal peoples’ culture is rich, strong and alive. Resilience and cultural identity continue to provide a solid foundation for a positive future as the Aboriginal population grows.</w:t>
      </w:r>
    </w:p>
    <w:p w14:paraId="49E18A40" w14:textId="77777777" w:rsidR="00856D53" w:rsidRPr="00276391" w:rsidRDefault="00856D53" w:rsidP="00856D53">
      <w:pPr>
        <w:pStyle w:val="DHHSbody"/>
        <w:rPr>
          <w:lang w:eastAsia="en-AU"/>
        </w:rPr>
      </w:pPr>
      <w:r w:rsidRPr="00276391">
        <w:rPr>
          <w:lang w:eastAsia="en-AU"/>
        </w:rPr>
        <w:t>It is also recognised, however, that Aboriginal people are among the most disadvantaged in Australia. In all social indicators including education, employment, health, housing, justice, child protection, disability and family violence, Aboriginal people rate far worse than non-Aboriginal people.</w:t>
      </w:r>
    </w:p>
    <w:p w14:paraId="6C8194BC" w14:textId="77777777" w:rsidR="00856D53" w:rsidRPr="00276391" w:rsidRDefault="00856D53" w:rsidP="00856D53">
      <w:pPr>
        <w:pStyle w:val="DHHSbody"/>
        <w:rPr>
          <w:lang w:eastAsia="en-AU"/>
        </w:rPr>
      </w:pPr>
      <w:r w:rsidRPr="00276391">
        <w:rPr>
          <w:lang w:eastAsia="en-AU"/>
        </w:rPr>
        <w:lastRenderedPageBreak/>
        <w:t>Both mainstream and Aboriginal Community Controlled Organisations (ACCOs) have important roles in addressing this disadvantage and improving education outcomes for Aboriginal Victorians through the provision of inclusive, accessible and culturally safe services.</w:t>
      </w:r>
    </w:p>
    <w:p w14:paraId="4233E82F" w14:textId="77777777" w:rsidR="00856D53" w:rsidRPr="00276391" w:rsidRDefault="00856D53" w:rsidP="00856D53">
      <w:pPr>
        <w:pStyle w:val="DHHSbody"/>
        <w:rPr>
          <w:lang w:eastAsia="en-AU"/>
        </w:rPr>
      </w:pPr>
      <w:r w:rsidRPr="00276391">
        <w:rPr>
          <w:lang w:eastAsia="en-AU"/>
        </w:rPr>
        <w:t>The Department of Education and Training works with Aboriginal communities on a range of programs and initiatives aimed at improving Aboriginal children’s access to positive learning environments.</w:t>
      </w:r>
    </w:p>
    <w:p w14:paraId="5C5F1E87" w14:textId="77777777" w:rsidR="00856D53" w:rsidRPr="00276391" w:rsidRDefault="00856D53" w:rsidP="00856D53">
      <w:pPr>
        <w:pStyle w:val="DHHSbody"/>
        <w:rPr>
          <w:lang w:eastAsia="en-AU"/>
        </w:rPr>
      </w:pPr>
      <w:r w:rsidRPr="00276391">
        <w:rPr>
          <w:lang w:eastAsia="en-AU"/>
        </w:rPr>
        <w:t>The following resources provide guidelines for improved Aboriginal inclusion and access:</w:t>
      </w:r>
    </w:p>
    <w:p w14:paraId="4822F783" w14:textId="77777777" w:rsidR="00856D53" w:rsidRDefault="00856D53" w:rsidP="00856D53">
      <w:pPr>
        <w:pStyle w:val="Heading4"/>
        <w:rPr>
          <w:lang w:eastAsia="en-AU"/>
        </w:rPr>
      </w:pPr>
      <w:r w:rsidRPr="00276391">
        <w:rPr>
          <w:lang w:eastAsia="en-AU"/>
        </w:rPr>
        <w:t>The Victorian Aboriginal Affairs Framework 2013-2018</w:t>
      </w:r>
    </w:p>
    <w:p w14:paraId="007E2799" w14:textId="77777777" w:rsidR="00856D53" w:rsidRPr="00276391" w:rsidRDefault="00856D53" w:rsidP="00856D53">
      <w:pPr>
        <w:pStyle w:val="DHHSbody"/>
        <w:rPr>
          <w:lang w:eastAsia="en-AU"/>
        </w:rPr>
      </w:pPr>
      <w:r w:rsidRPr="00276391">
        <w:rPr>
          <w:lang w:eastAsia="en-AU"/>
        </w:rPr>
        <w:t xml:space="preserve">This overarching framework for Aboriginal affairs in Victoria reinforces government commitment to sustained and strategic effort to improve the quality of life of Aboriginal Victorians. It is underpinned by seven key access criteria for effective service design: cultural safety, affordability, convenience, awareness, empowerment, availability and respect. The publication is available </w:t>
      </w:r>
      <w:r>
        <w:rPr>
          <w:lang w:eastAsia="en-AU"/>
        </w:rPr>
        <w:t xml:space="preserve">on the </w:t>
      </w:r>
      <w:hyperlink r:id="rId397" w:history="1">
        <w:r>
          <w:rPr>
            <w:rStyle w:val="Hyperlink"/>
            <w:lang w:eastAsia="en-AU"/>
          </w:rPr>
          <w:t>Aboriginal Victoria website</w:t>
        </w:r>
      </w:hyperlink>
      <w:r w:rsidRPr="00276391">
        <w:rPr>
          <w:lang w:eastAsia="en-AU"/>
        </w:rPr>
        <w:t xml:space="preserve"> </w:t>
      </w:r>
      <w:r>
        <w:rPr>
          <w:lang w:eastAsia="en-AU"/>
        </w:rPr>
        <w:t>&lt;</w:t>
      </w:r>
      <w:r w:rsidRPr="00F82538">
        <w:t>http://www.dpc.vic.gov.au/index.php/aboriginal-affairs/aboriginal-affairs-policy/victorian-aboriginal-affairs-framework</w:t>
      </w:r>
      <w:r>
        <w:t>&gt;</w:t>
      </w:r>
      <w:r w:rsidRPr="00276391">
        <w:rPr>
          <w:lang w:eastAsia="en-AU"/>
        </w:rPr>
        <w:t xml:space="preserve"> (external link, opens in a new window).</w:t>
      </w:r>
    </w:p>
    <w:p w14:paraId="02C1C53E" w14:textId="77777777" w:rsidR="00856D53" w:rsidRDefault="00856D53" w:rsidP="00856D53">
      <w:pPr>
        <w:pStyle w:val="Heading4"/>
        <w:rPr>
          <w:lang w:eastAsia="en-AU"/>
        </w:rPr>
      </w:pPr>
      <w:r w:rsidRPr="00276391">
        <w:rPr>
          <w:lang w:eastAsia="en-AU"/>
        </w:rPr>
        <w:t>The Victorian Government Aboriginal Inclusion Framework</w:t>
      </w:r>
    </w:p>
    <w:p w14:paraId="5EB898E4" w14:textId="77777777" w:rsidR="00856D53" w:rsidRPr="00276391" w:rsidRDefault="00856D53" w:rsidP="00856D53">
      <w:pPr>
        <w:pStyle w:val="DHHSbody"/>
        <w:rPr>
          <w:lang w:eastAsia="en-AU"/>
        </w:rPr>
      </w:pPr>
      <w:r w:rsidRPr="00276391">
        <w:rPr>
          <w:lang w:eastAsia="en-AU"/>
        </w:rPr>
        <w:t xml:space="preserve">The Framework is a tool to review and reform current practices in relation to how organisations do business with, and deliver services to Aboriginal people, families and communities. The publication is available </w:t>
      </w:r>
      <w:r>
        <w:rPr>
          <w:lang w:eastAsia="en-AU"/>
        </w:rPr>
        <w:t xml:space="preserve">on the </w:t>
      </w:r>
      <w:hyperlink r:id="rId398" w:history="1">
        <w:r w:rsidRPr="00F82538">
          <w:rPr>
            <w:rStyle w:val="Hyperlink"/>
            <w:lang w:eastAsia="en-AU"/>
          </w:rPr>
          <w:t>Aboriginal Victoria website</w:t>
        </w:r>
      </w:hyperlink>
      <w:r w:rsidRPr="00276391">
        <w:rPr>
          <w:lang w:eastAsia="en-AU"/>
        </w:rPr>
        <w:t xml:space="preserve"> </w:t>
      </w:r>
      <w:r>
        <w:rPr>
          <w:lang w:eastAsia="en-AU"/>
        </w:rPr>
        <w:t>&lt;</w:t>
      </w:r>
      <w:r w:rsidRPr="00F82538">
        <w:t>http://www.dpc.vic.gov.au/index.php/aboriginal-affairs/aboriginal-affairs-policy/aboriginal-inclusion</w:t>
      </w:r>
      <w:r>
        <w:t>&gt;</w:t>
      </w:r>
      <w:r w:rsidRPr="00276391">
        <w:rPr>
          <w:lang w:eastAsia="en-AU"/>
        </w:rPr>
        <w:t xml:space="preserve"> (external link, opens in a new window).</w:t>
      </w:r>
    </w:p>
    <w:p w14:paraId="6ACE3F19" w14:textId="77777777" w:rsidR="00856D53" w:rsidRDefault="00856D53" w:rsidP="00856D53">
      <w:pPr>
        <w:pStyle w:val="Heading4"/>
        <w:rPr>
          <w:lang w:eastAsia="en-AU"/>
        </w:rPr>
      </w:pPr>
      <w:proofErr w:type="spellStart"/>
      <w:r w:rsidRPr="00276391">
        <w:rPr>
          <w:lang w:eastAsia="en-AU"/>
        </w:rPr>
        <w:t>Koolin</w:t>
      </w:r>
      <w:proofErr w:type="spellEnd"/>
      <w:r w:rsidRPr="00276391">
        <w:rPr>
          <w:lang w:eastAsia="en-AU"/>
        </w:rPr>
        <w:t xml:space="preserve"> </w:t>
      </w:r>
      <w:proofErr w:type="spellStart"/>
      <w:r w:rsidRPr="00276391">
        <w:rPr>
          <w:lang w:eastAsia="en-AU"/>
        </w:rPr>
        <w:t>Balit</w:t>
      </w:r>
      <w:proofErr w:type="spellEnd"/>
      <w:r w:rsidRPr="00276391">
        <w:rPr>
          <w:lang w:eastAsia="en-AU"/>
        </w:rPr>
        <w:t>: Victorian Government strategic directions for Aboriginal health 2012-2022</w:t>
      </w:r>
    </w:p>
    <w:p w14:paraId="055792A1" w14:textId="77777777" w:rsidR="00856D53" w:rsidRPr="00276391" w:rsidRDefault="00856D53" w:rsidP="00856D53">
      <w:pPr>
        <w:pStyle w:val="DHHSbody"/>
        <w:rPr>
          <w:lang w:eastAsia="en-AU"/>
        </w:rPr>
      </w:pPr>
      <w:r w:rsidRPr="00276391">
        <w:rPr>
          <w:lang w:eastAsia="en-AU"/>
        </w:rPr>
        <w:t xml:space="preserve">Through </w:t>
      </w:r>
      <w:proofErr w:type="spellStart"/>
      <w:r w:rsidRPr="00276391">
        <w:rPr>
          <w:lang w:eastAsia="en-AU"/>
        </w:rPr>
        <w:t>Koolin</w:t>
      </w:r>
      <w:proofErr w:type="spellEnd"/>
      <w:r w:rsidRPr="00276391">
        <w:rPr>
          <w:lang w:eastAsia="en-AU"/>
        </w:rPr>
        <w:t xml:space="preserve"> </w:t>
      </w:r>
      <w:proofErr w:type="spellStart"/>
      <w:r w:rsidRPr="00276391">
        <w:rPr>
          <w:lang w:eastAsia="en-AU"/>
        </w:rPr>
        <w:t>Balit</w:t>
      </w:r>
      <w:proofErr w:type="spellEnd"/>
      <w:r w:rsidRPr="00276391">
        <w:rPr>
          <w:lang w:eastAsia="en-AU"/>
        </w:rPr>
        <w:t xml:space="preserve">, the Department’s vision is to improve within a decade, the length and quality of life of Aboriginal people in Victoria. In realising this vision and to achieve the priorities under </w:t>
      </w:r>
      <w:proofErr w:type="spellStart"/>
      <w:r w:rsidRPr="00276391">
        <w:rPr>
          <w:lang w:eastAsia="en-AU"/>
        </w:rPr>
        <w:t>Koolin</w:t>
      </w:r>
      <w:proofErr w:type="spellEnd"/>
      <w:r w:rsidRPr="00276391">
        <w:rPr>
          <w:lang w:eastAsia="en-AU"/>
        </w:rPr>
        <w:t xml:space="preserve"> </w:t>
      </w:r>
      <w:proofErr w:type="spellStart"/>
      <w:r w:rsidRPr="00276391">
        <w:rPr>
          <w:lang w:eastAsia="en-AU"/>
        </w:rPr>
        <w:t>Balit</w:t>
      </w:r>
      <w:proofErr w:type="spellEnd"/>
      <w:r w:rsidRPr="00276391">
        <w:rPr>
          <w:lang w:eastAsia="en-AU"/>
        </w:rPr>
        <w:t xml:space="preserve">, it is critical to have a health system in which all service providers deliver high-quality services for all Aboriginal Victorians. A health system that includes strong Aboriginal organisations is a key enabler in delivering the </w:t>
      </w:r>
      <w:proofErr w:type="spellStart"/>
      <w:r w:rsidRPr="00276391">
        <w:rPr>
          <w:lang w:eastAsia="en-AU"/>
        </w:rPr>
        <w:t>Koolin</w:t>
      </w:r>
      <w:proofErr w:type="spellEnd"/>
      <w:r w:rsidRPr="00276391">
        <w:rPr>
          <w:lang w:eastAsia="en-AU"/>
        </w:rPr>
        <w:t xml:space="preserve"> </w:t>
      </w:r>
      <w:proofErr w:type="spellStart"/>
      <w:r w:rsidRPr="00276391">
        <w:rPr>
          <w:lang w:eastAsia="en-AU"/>
        </w:rPr>
        <w:t>Balit</w:t>
      </w:r>
      <w:proofErr w:type="spellEnd"/>
      <w:r w:rsidRPr="00276391">
        <w:rPr>
          <w:lang w:eastAsia="en-AU"/>
        </w:rPr>
        <w:t xml:space="preserve"> vision. </w:t>
      </w:r>
    </w:p>
    <w:p w14:paraId="0BA0D739" w14:textId="77777777" w:rsidR="00856D53" w:rsidRPr="00CC033C" w:rsidRDefault="00856D53" w:rsidP="00856D53">
      <w:pPr>
        <w:pStyle w:val="DHHSbody"/>
        <w:rPr>
          <w:rFonts w:cs="Arial"/>
          <w:color w:val="000000"/>
          <w:szCs w:val="19"/>
          <w:lang w:eastAsia="en-AU"/>
        </w:rPr>
      </w:pPr>
      <w:r w:rsidRPr="00276391">
        <w:rPr>
          <w:lang w:eastAsia="en-AU"/>
        </w:rPr>
        <w:t>The department works together with Aboriginal organisations to strengthen the Aboriginal Community Controlled Health Organisation (ACCHO) sector</w:t>
      </w:r>
      <w:r w:rsidRPr="00CC033C">
        <w:rPr>
          <w:rFonts w:cs="Arial"/>
          <w:color w:val="000000"/>
          <w:szCs w:val="19"/>
          <w:lang w:eastAsia="en-AU"/>
        </w:rPr>
        <w:t>. The publication is available on the Health website http://health.vic.gov.au/aboriginalhealth/koolinbalit.htm (external link, opens in a new window).</w:t>
      </w:r>
    </w:p>
    <w:p w14:paraId="346D6A0B" w14:textId="77777777" w:rsidR="00856D53" w:rsidRPr="00276391" w:rsidRDefault="00856D53" w:rsidP="00856D53">
      <w:pPr>
        <w:pStyle w:val="Heading4"/>
        <w:rPr>
          <w:lang w:eastAsia="en-AU"/>
        </w:rPr>
      </w:pPr>
      <w:r w:rsidRPr="00276391">
        <w:rPr>
          <w:lang w:eastAsia="en-AU"/>
        </w:rPr>
        <w:t>For further information</w:t>
      </w:r>
    </w:p>
    <w:p w14:paraId="6489F4A5" w14:textId="77777777" w:rsidR="00856D53" w:rsidRPr="00276391" w:rsidRDefault="00856D53" w:rsidP="00856D53">
      <w:pPr>
        <w:pStyle w:val="DHHSbody"/>
        <w:rPr>
          <w:lang w:eastAsia="en-AU"/>
        </w:rPr>
      </w:pPr>
      <w:r w:rsidRPr="00B24C02">
        <w:rPr>
          <w:rFonts w:cs="Arial"/>
          <w:color w:val="000000"/>
          <w:szCs w:val="19"/>
          <w:lang w:eastAsia="en-AU"/>
        </w:rPr>
        <w:t xml:space="preserve">Ward Garwood, Senior Project Officer, Participation Transition and Inclusion Unit, </w:t>
      </w:r>
      <w:proofErr w:type="spellStart"/>
      <w:r w:rsidRPr="00B24C02">
        <w:rPr>
          <w:rFonts w:cs="Arial"/>
          <w:color w:val="000000"/>
          <w:szCs w:val="19"/>
          <w:lang w:eastAsia="en-AU"/>
        </w:rPr>
        <w:t>Koorie</w:t>
      </w:r>
      <w:proofErr w:type="spellEnd"/>
      <w:r w:rsidRPr="00B24C02">
        <w:rPr>
          <w:rFonts w:cs="Arial"/>
          <w:color w:val="000000"/>
          <w:szCs w:val="19"/>
          <w:lang w:eastAsia="en-AU"/>
        </w:rPr>
        <w:t xml:space="preserve"> Outcomes Division, Early Childhood and School Education Group</w:t>
      </w:r>
      <w:r w:rsidRPr="00B24C02">
        <w:rPr>
          <w:rFonts w:cs="Arial"/>
          <w:color w:val="000000"/>
          <w:szCs w:val="19"/>
          <w:lang w:eastAsia="en-AU"/>
        </w:rPr>
        <w:br/>
        <w:t>Telephone: (03) 9651 3353</w:t>
      </w:r>
      <w:r w:rsidRPr="00B24C02">
        <w:rPr>
          <w:rFonts w:cs="Arial"/>
          <w:color w:val="000000"/>
          <w:szCs w:val="19"/>
          <w:lang w:eastAsia="en-AU"/>
        </w:rPr>
        <w:br/>
        <w:t xml:space="preserve">Email: </w:t>
      </w:r>
      <w:hyperlink r:id="rId399" w:history="1">
        <w:r w:rsidRPr="00986D1E">
          <w:rPr>
            <w:rStyle w:val="Hyperlink"/>
          </w:rPr>
          <w:t>garwood.ward.a@edumail.vic.gov.au</w:t>
        </w:r>
      </w:hyperlink>
    </w:p>
    <w:p w14:paraId="1B7B572E" w14:textId="07C14278" w:rsidR="00856D53" w:rsidRPr="00276391" w:rsidRDefault="008D6C0F" w:rsidP="00856D53">
      <w:pPr>
        <w:pStyle w:val="Heading2"/>
        <w:rPr>
          <w:rFonts w:cs="Arial"/>
          <w:lang w:eastAsia="en-AU"/>
        </w:rPr>
      </w:pPr>
      <w:bookmarkStart w:id="938" w:name="_Toc4142164"/>
      <w:r>
        <w:rPr>
          <w:rFonts w:cs="Arial"/>
          <w:lang w:eastAsia="en-AU"/>
        </w:rPr>
        <w:lastRenderedPageBreak/>
        <w:t>5.15</w:t>
      </w:r>
      <w:r w:rsidR="00856D53" w:rsidRPr="00276391">
        <w:rPr>
          <w:rFonts w:cs="Arial"/>
          <w:lang w:eastAsia="en-AU"/>
        </w:rPr>
        <w:t xml:space="preserve"> Multiple and complex needs initiative</w:t>
      </w:r>
      <w:r w:rsidR="00856D53">
        <w:rPr>
          <w:rFonts w:cs="Arial"/>
          <w:lang w:eastAsia="en-AU"/>
        </w:rPr>
        <w:t xml:space="preserve"> (MACNI)</w:t>
      </w:r>
      <w:bookmarkEnd w:id="938"/>
    </w:p>
    <w:p w14:paraId="129590DD"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39" w:name="_Toc4142165"/>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39"/>
    </w:p>
    <w:p w14:paraId="051D03E2" w14:textId="295C8B1D" w:rsidR="00856D53" w:rsidRPr="00276391" w:rsidRDefault="008D6C0F" w:rsidP="00856D53">
      <w:pPr>
        <w:pStyle w:val="Heading2"/>
        <w:rPr>
          <w:rFonts w:cs="Arial"/>
          <w:lang w:eastAsia="en-AU"/>
        </w:rPr>
      </w:pPr>
      <w:bookmarkStart w:id="940" w:name="_Toc4142166"/>
      <w:r>
        <w:rPr>
          <w:rFonts w:cs="Arial"/>
          <w:lang w:eastAsia="en-AU"/>
        </w:rPr>
        <w:t>5.16</w:t>
      </w:r>
      <w:r w:rsidR="00856D53" w:rsidRPr="00276391">
        <w:rPr>
          <w:rFonts w:cs="Arial"/>
          <w:lang w:eastAsia="en-AU"/>
        </w:rPr>
        <w:t xml:space="preserve"> With respect to age - 2009 (elder abuse prevention practice guidelines)</w:t>
      </w:r>
      <w:bookmarkEnd w:id="940"/>
    </w:p>
    <w:p w14:paraId="1F300FC1" w14:textId="388D62DF" w:rsidR="00856D53" w:rsidRPr="00276391" w:rsidRDefault="008D6C0F" w:rsidP="00856D53">
      <w:pPr>
        <w:pStyle w:val="Heading2"/>
        <w:rPr>
          <w:rFonts w:cs="Arial"/>
          <w:lang w:eastAsia="en-AU"/>
        </w:rPr>
      </w:pPr>
      <w:bookmarkStart w:id="941" w:name="_Toc4142167"/>
      <w:r>
        <w:rPr>
          <w:rFonts w:cs="Arial"/>
          <w:lang w:eastAsia="en-AU"/>
        </w:rPr>
        <w:t>5.17</w:t>
      </w:r>
      <w:r w:rsidR="00856D53" w:rsidRPr="00276391">
        <w:rPr>
          <w:rFonts w:cs="Arial"/>
          <w:lang w:eastAsia="en-AU"/>
        </w:rPr>
        <w:t xml:space="preserve"> Vulnerable people in emergencies</w:t>
      </w:r>
      <w:bookmarkEnd w:id="941"/>
    </w:p>
    <w:p w14:paraId="0EE324C3"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42" w:name="_Toc4142168"/>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42"/>
    </w:p>
    <w:p w14:paraId="37F5FE5D" w14:textId="332AC1DA" w:rsidR="00856D53" w:rsidRPr="00276391" w:rsidRDefault="008D6C0F" w:rsidP="00856D53">
      <w:pPr>
        <w:pStyle w:val="Heading2"/>
        <w:rPr>
          <w:rFonts w:cs="Arial"/>
          <w:lang w:eastAsia="en-AU"/>
        </w:rPr>
      </w:pPr>
      <w:bookmarkStart w:id="943" w:name="_Toc4142169"/>
      <w:r>
        <w:rPr>
          <w:rFonts w:cs="Arial"/>
          <w:lang w:eastAsia="en-AU"/>
        </w:rPr>
        <w:t>5.18</w:t>
      </w:r>
      <w:r w:rsidR="00856D53" w:rsidRPr="00276391">
        <w:rPr>
          <w:rFonts w:cs="Arial"/>
          <w:lang w:eastAsia="en-AU"/>
        </w:rPr>
        <w:t xml:space="preserve"> Emergency preparedness policy</w:t>
      </w:r>
      <w:bookmarkEnd w:id="943"/>
      <w:r w:rsidR="00856D53" w:rsidRPr="00276391">
        <w:rPr>
          <w:rFonts w:cs="Arial"/>
          <w:lang w:eastAsia="en-AU"/>
        </w:rPr>
        <w:t xml:space="preserve"> </w:t>
      </w:r>
    </w:p>
    <w:p w14:paraId="731E27BF" w14:textId="241418F4" w:rsidR="00856D53" w:rsidRPr="00276391" w:rsidRDefault="007A46F5" w:rsidP="00856D53">
      <w:pPr>
        <w:pStyle w:val="DHHSbody"/>
        <w:rPr>
          <w:lang w:eastAsia="en-AU"/>
        </w:rPr>
      </w:pPr>
      <w:r>
        <w:rPr>
          <w:rFonts w:cs="Arial"/>
          <w:color w:val="000000"/>
          <w:szCs w:val="19"/>
          <w:lang w:eastAsia="en-AU"/>
        </w:rPr>
        <w:t>The d</w:t>
      </w:r>
      <w:r w:rsidR="00856D53" w:rsidRPr="00B24C02">
        <w:rPr>
          <w:rFonts w:cs="Arial"/>
          <w:color w:val="000000"/>
          <w:szCs w:val="19"/>
          <w:lang w:eastAsia="en-AU"/>
        </w:rPr>
        <w:t xml:space="preserve">epartment is committed to providing a safe and secure environment for all staff, families, students and children. Funded organisations are required to have policies and procedures in place and an up to date Emergency Management Plan (EMP). </w:t>
      </w:r>
      <w:r>
        <w:rPr>
          <w:rFonts w:cs="Arial"/>
          <w:color w:val="000000"/>
          <w:szCs w:val="19"/>
          <w:lang w:eastAsia="en-AU"/>
        </w:rPr>
        <w:t xml:space="preserve">The department </w:t>
      </w:r>
      <w:r w:rsidR="00856D53" w:rsidRPr="00B24C02">
        <w:rPr>
          <w:rFonts w:cs="Arial"/>
          <w:color w:val="000000"/>
          <w:szCs w:val="19"/>
          <w:lang w:eastAsia="en-AU"/>
        </w:rPr>
        <w:t xml:space="preserve">has developed a range of resources to assist education and care services in developing their EMP and, where relevant, their bushfire preparedness. These can be accessed on </w:t>
      </w:r>
      <w:hyperlink r:id="rId400" w:history="1">
        <w:r w:rsidR="00856D53" w:rsidRPr="00986D1E">
          <w:rPr>
            <w:rStyle w:val="Hyperlink"/>
          </w:rPr>
          <w:t>Emergency Management</w:t>
        </w:r>
      </w:hyperlink>
      <w:r w:rsidR="00856D53" w:rsidRPr="00B24C02">
        <w:rPr>
          <w:rFonts w:cs="Arial"/>
          <w:color w:val="000000"/>
          <w:szCs w:val="19"/>
          <w:lang w:eastAsia="en-AU"/>
        </w:rPr>
        <w:t xml:space="preserve"> </w:t>
      </w:r>
      <w:r w:rsidR="00856D53">
        <w:rPr>
          <w:rFonts w:cs="Arial"/>
          <w:color w:val="000000"/>
          <w:szCs w:val="19"/>
          <w:lang w:eastAsia="en-AU"/>
        </w:rPr>
        <w:t>&lt;</w:t>
      </w:r>
      <w:r w:rsidR="00856D53" w:rsidRPr="00A149E0">
        <w:rPr>
          <w:rFonts w:cs="Arial"/>
          <w:color w:val="000000"/>
          <w:szCs w:val="19"/>
          <w:lang w:eastAsia="en-AU"/>
        </w:rPr>
        <w:t>http://www.education.vic.gov.au/childhood/providers/support/Pages/emergency.aspx</w:t>
      </w:r>
      <w:r w:rsidR="00856D53">
        <w:rPr>
          <w:rFonts w:cs="Arial"/>
          <w:color w:val="000000"/>
          <w:szCs w:val="19"/>
          <w:lang w:eastAsia="en-AU"/>
        </w:rPr>
        <w:t xml:space="preserve">&gt; </w:t>
      </w:r>
      <w:r w:rsidR="00856D53" w:rsidRPr="00B24C02">
        <w:rPr>
          <w:rFonts w:cs="Arial"/>
          <w:color w:val="000000"/>
          <w:szCs w:val="19"/>
          <w:lang w:eastAsia="en-AU"/>
        </w:rPr>
        <w:t>(external link, opens in a new window). While the EMP template is not mandatory, you should review this template to ensure you have adequately addressed all potential risks in your plan.</w:t>
      </w:r>
    </w:p>
    <w:p w14:paraId="66E7CA83" w14:textId="77777777" w:rsidR="00856D53" w:rsidRPr="00276391" w:rsidRDefault="00856D53" w:rsidP="00856D53">
      <w:pPr>
        <w:pStyle w:val="Heading4"/>
        <w:rPr>
          <w:lang w:eastAsia="en-AU"/>
        </w:rPr>
      </w:pPr>
      <w:r w:rsidRPr="00276391">
        <w:rPr>
          <w:lang w:eastAsia="en-AU"/>
        </w:rPr>
        <w:t>Approved Child Care and Licensed Children’s Services</w:t>
      </w:r>
    </w:p>
    <w:p w14:paraId="6550F4A8" w14:textId="77777777" w:rsidR="00856D53" w:rsidRPr="00276391" w:rsidRDefault="00856D53" w:rsidP="00856D53">
      <w:pPr>
        <w:pStyle w:val="DHHSbody"/>
        <w:rPr>
          <w:lang w:eastAsia="en-AU"/>
        </w:rPr>
      </w:pPr>
      <w:r w:rsidRPr="00B24C02">
        <w:rPr>
          <w:rFonts w:cs="Arial"/>
          <w:color w:val="000000"/>
          <w:szCs w:val="19"/>
          <w:lang w:eastAsia="en-AU"/>
        </w:rPr>
        <w:t>The National Quality Framework (NQF) and the Children’s Services Act 1996 require services to operate in a way that ensures that every reasonable precaution is taken to protect children from harm and any hazard likely to cause injury, including responding to potential bushfire risks.</w:t>
      </w:r>
    </w:p>
    <w:p w14:paraId="6DC6AE8A" w14:textId="77777777" w:rsidR="00856D53" w:rsidRPr="00276391" w:rsidRDefault="00856D53" w:rsidP="00856D53">
      <w:pPr>
        <w:pStyle w:val="DHHSbody"/>
        <w:rPr>
          <w:lang w:eastAsia="en-AU"/>
        </w:rPr>
      </w:pPr>
      <w:r w:rsidRPr="00276391">
        <w:rPr>
          <w:lang w:eastAsia="en-AU"/>
        </w:rPr>
        <w:t>Regulations 97 and 168 (2</w:t>
      </w:r>
      <w:r>
        <w:rPr>
          <w:lang w:eastAsia="en-AU"/>
        </w:rPr>
        <w:t>) (</w:t>
      </w:r>
      <w:r w:rsidRPr="00276391">
        <w:rPr>
          <w:lang w:eastAsia="en-AU"/>
        </w:rPr>
        <w:t>e) of the Education and Care Services National Regulations 2011 stipulate that approved education and care services, must have an emergency and evacuation policy and procedure which includes:</w:t>
      </w:r>
    </w:p>
    <w:p w14:paraId="7A22D858" w14:textId="77777777" w:rsidR="00856D53" w:rsidRPr="00276391" w:rsidRDefault="00856D53" w:rsidP="00856D53">
      <w:pPr>
        <w:pStyle w:val="DHHSbullet1"/>
        <w:rPr>
          <w:lang w:eastAsia="en-AU"/>
        </w:rPr>
      </w:pPr>
      <w:r w:rsidRPr="00276391">
        <w:rPr>
          <w:lang w:eastAsia="en-AU"/>
        </w:rPr>
        <w:t xml:space="preserve">risk assessment to identify the potential emergencies that are relevant to the service; </w:t>
      </w:r>
    </w:p>
    <w:p w14:paraId="25D29DAF" w14:textId="77777777" w:rsidR="00856D53" w:rsidRPr="00276391" w:rsidRDefault="00856D53" w:rsidP="00856D53">
      <w:pPr>
        <w:pStyle w:val="DHHSbullet1"/>
        <w:rPr>
          <w:lang w:eastAsia="en-AU"/>
        </w:rPr>
      </w:pPr>
      <w:r w:rsidRPr="00276391">
        <w:rPr>
          <w:lang w:eastAsia="en-AU"/>
        </w:rPr>
        <w:t xml:space="preserve">instructions for what must be done in the event of an emergency; and </w:t>
      </w:r>
    </w:p>
    <w:p w14:paraId="1BF803D7" w14:textId="77777777" w:rsidR="00856D53" w:rsidRPr="00276391" w:rsidRDefault="00856D53" w:rsidP="00856D53">
      <w:pPr>
        <w:pStyle w:val="DHHSbullet1"/>
        <w:rPr>
          <w:lang w:eastAsia="en-AU"/>
        </w:rPr>
      </w:pPr>
      <w:r w:rsidRPr="00276391">
        <w:rPr>
          <w:lang w:eastAsia="en-AU"/>
        </w:rPr>
        <w:t xml:space="preserve">emergency and evacuation procedures and a floor plan. </w:t>
      </w:r>
    </w:p>
    <w:p w14:paraId="14B80A9A" w14:textId="77777777" w:rsidR="00856D53" w:rsidRPr="00276391" w:rsidRDefault="00856D53" w:rsidP="00856D53">
      <w:pPr>
        <w:pStyle w:val="DHHSbody"/>
        <w:rPr>
          <w:lang w:eastAsia="en-AU"/>
        </w:rPr>
      </w:pPr>
      <w:r w:rsidRPr="00276391">
        <w:rPr>
          <w:lang w:eastAsia="en-AU"/>
        </w:rPr>
        <w:t>Each year the department offers information sessions to assist early childhood services to develop a robust EMP.</w:t>
      </w:r>
    </w:p>
    <w:p w14:paraId="737B71F6" w14:textId="39716A9F" w:rsidR="00856D53" w:rsidRPr="00276391" w:rsidRDefault="00856D53" w:rsidP="00856D53">
      <w:pPr>
        <w:pStyle w:val="DHHSbody"/>
        <w:rPr>
          <w:lang w:eastAsia="en-AU"/>
        </w:rPr>
      </w:pPr>
      <w:r w:rsidRPr="00276391">
        <w:rPr>
          <w:lang w:eastAsia="en-AU"/>
        </w:rPr>
        <w:t xml:space="preserve">For further information and resources on emergency management, refer </w:t>
      </w:r>
      <w:r w:rsidR="007A46F5">
        <w:rPr>
          <w:lang w:eastAsia="en-AU"/>
        </w:rPr>
        <w:t xml:space="preserve">to </w:t>
      </w:r>
      <w:hyperlink r:id="rId401" w:history="1">
        <w:r w:rsidRPr="00986D1E">
          <w:rPr>
            <w:rStyle w:val="Hyperlink"/>
          </w:rPr>
          <w:t>Early Childhood Emergency Management</w:t>
        </w:r>
      </w:hyperlink>
      <w:r w:rsidRPr="00276391">
        <w:rPr>
          <w:lang w:eastAsia="en-AU"/>
        </w:rPr>
        <w:t xml:space="preserve"> </w:t>
      </w:r>
      <w:r>
        <w:rPr>
          <w:lang w:eastAsia="en-AU"/>
        </w:rPr>
        <w:t>&lt;</w:t>
      </w:r>
      <w:r w:rsidRPr="00947963">
        <w:rPr>
          <w:lang w:eastAsia="en-AU"/>
        </w:rPr>
        <w:t>http://www.education.vic.gov.au/childhood/providers/support/Pages/emergency.aspx</w:t>
      </w:r>
      <w:r>
        <w:rPr>
          <w:lang w:eastAsia="en-AU"/>
        </w:rPr>
        <w:t>&gt;</w:t>
      </w:r>
      <w:r w:rsidRPr="00947963">
        <w:rPr>
          <w:lang w:eastAsia="en-AU"/>
        </w:rPr>
        <w:t xml:space="preserve"> </w:t>
      </w:r>
      <w:r w:rsidRPr="00276391">
        <w:rPr>
          <w:lang w:eastAsia="en-AU"/>
        </w:rPr>
        <w:t>(external link,</w:t>
      </w:r>
      <w:r w:rsidR="007A46F5">
        <w:rPr>
          <w:lang w:eastAsia="en-AU"/>
        </w:rPr>
        <w:t xml:space="preserve"> opens in a new window)</w:t>
      </w:r>
      <w:r w:rsidRPr="00276391">
        <w:rPr>
          <w:lang w:eastAsia="en-AU"/>
        </w:rPr>
        <w:t>.</w:t>
      </w:r>
    </w:p>
    <w:p w14:paraId="61CFD729" w14:textId="77777777" w:rsidR="00856D53" w:rsidRPr="00276391" w:rsidRDefault="00856D53" w:rsidP="00856D53">
      <w:pPr>
        <w:pStyle w:val="Heading4"/>
        <w:rPr>
          <w:lang w:eastAsia="en-AU"/>
        </w:rPr>
      </w:pPr>
      <w:r w:rsidRPr="00276391">
        <w:rPr>
          <w:lang w:eastAsia="en-AU"/>
        </w:rPr>
        <w:t>Bushfire at Risk Register</w:t>
      </w:r>
    </w:p>
    <w:p w14:paraId="7D7E3634" w14:textId="77777777" w:rsidR="00856D53" w:rsidRPr="00276391" w:rsidRDefault="00856D53" w:rsidP="00856D53">
      <w:pPr>
        <w:pStyle w:val="DHHSbody"/>
        <w:rPr>
          <w:lang w:eastAsia="en-AU"/>
        </w:rPr>
      </w:pPr>
      <w:r w:rsidRPr="00B24C02">
        <w:rPr>
          <w:rFonts w:cs="Arial"/>
          <w:color w:val="000000"/>
          <w:szCs w:val="19"/>
          <w:lang w:eastAsia="en-AU"/>
        </w:rPr>
        <w:t>Centre based services located in fire-prone areas are placed on the Department’s Bushfire At-Risk Register (BARR) and additional conditions are placed on their service approval. The service must submit their EMP annually and close on Code Red period as determined by their Bureau of Meteorology district.</w:t>
      </w:r>
    </w:p>
    <w:p w14:paraId="6DF261D3" w14:textId="1E03BB9D" w:rsidR="00856D53" w:rsidRPr="00276391" w:rsidRDefault="00856D53" w:rsidP="00856D53">
      <w:pPr>
        <w:pStyle w:val="DHHSbody"/>
        <w:rPr>
          <w:lang w:eastAsia="en-AU"/>
        </w:rPr>
      </w:pPr>
      <w:r w:rsidRPr="00276391">
        <w:rPr>
          <w:lang w:eastAsia="en-AU"/>
        </w:rPr>
        <w:t xml:space="preserve">For information about understanding the responsibilities of managing bushfire risks in centre-based services, refer to the fact sheet available on </w:t>
      </w:r>
      <w:hyperlink r:id="rId402" w:history="1">
        <w:r w:rsidRPr="00986D1E">
          <w:rPr>
            <w:rStyle w:val="Hyperlink"/>
          </w:rPr>
          <w:t>Emergency Management Requirements</w:t>
        </w:r>
      </w:hyperlink>
      <w:r w:rsidRPr="00276391">
        <w:rPr>
          <w:lang w:eastAsia="en-AU"/>
        </w:rPr>
        <w:t xml:space="preserve"> </w:t>
      </w:r>
      <w:r>
        <w:rPr>
          <w:lang w:eastAsia="en-AU"/>
        </w:rPr>
        <w:t>&lt;</w:t>
      </w:r>
      <w:r w:rsidRPr="00947963">
        <w:rPr>
          <w:lang w:eastAsia="en-AU"/>
        </w:rPr>
        <w:t>http://www.education.vic.gov.au/childhood/providers/regulation/Pages/emergencymanagementrequirements.aspx</w:t>
      </w:r>
      <w:r>
        <w:rPr>
          <w:lang w:eastAsia="en-AU"/>
        </w:rPr>
        <w:t>&gt;</w:t>
      </w:r>
      <w:r w:rsidRPr="00947963">
        <w:rPr>
          <w:lang w:eastAsia="en-AU"/>
        </w:rPr>
        <w:t xml:space="preserve"> </w:t>
      </w:r>
      <w:r w:rsidRPr="00276391">
        <w:rPr>
          <w:lang w:eastAsia="en-AU"/>
        </w:rPr>
        <w:t>(external link,</w:t>
      </w:r>
      <w:r w:rsidR="007A46F5">
        <w:rPr>
          <w:lang w:eastAsia="en-AU"/>
        </w:rPr>
        <w:t xml:space="preserve"> opens in a new window)</w:t>
      </w:r>
      <w:r w:rsidRPr="00276391">
        <w:rPr>
          <w:lang w:eastAsia="en-AU"/>
        </w:rPr>
        <w:t>.</w:t>
      </w:r>
    </w:p>
    <w:p w14:paraId="069FBBF0" w14:textId="77777777" w:rsidR="00856D53" w:rsidRPr="00276391" w:rsidRDefault="00856D53" w:rsidP="00856D53">
      <w:pPr>
        <w:pStyle w:val="Heading4"/>
        <w:rPr>
          <w:lang w:eastAsia="en-AU"/>
        </w:rPr>
      </w:pPr>
      <w:r w:rsidRPr="00276391">
        <w:rPr>
          <w:lang w:eastAsia="en-AU"/>
        </w:rPr>
        <w:lastRenderedPageBreak/>
        <w:t>Other Early Childhood Services and Programs</w:t>
      </w:r>
    </w:p>
    <w:p w14:paraId="38F9A966" w14:textId="77777777" w:rsidR="00856D53" w:rsidRPr="00276391" w:rsidRDefault="00856D53" w:rsidP="00856D53">
      <w:pPr>
        <w:pStyle w:val="DHHSbody"/>
        <w:rPr>
          <w:lang w:eastAsia="en-AU"/>
        </w:rPr>
      </w:pPr>
      <w:r w:rsidRPr="00B24C02">
        <w:rPr>
          <w:rFonts w:cs="Arial"/>
          <w:color w:val="000000"/>
          <w:szCs w:val="19"/>
          <w:lang w:eastAsia="en-AU"/>
        </w:rPr>
        <w:t xml:space="preserve">Other Early Childhood Services and Programs do not operate under the National Quality Framework or the Children’s Services Act 1996. They include the Aboriginal Early Years Services, Early Childhood Intervention Services, access and participation to funded kindergarten program and services including Access to Early Learning, Maternal and Child Health Services, Parenting Services, Best Start and the Children’s Facilities Capital Program. </w:t>
      </w:r>
    </w:p>
    <w:p w14:paraId="5CE48545" w14:textId="77777777" w:rsidR="00856D53" w:rsidRPr="00276391" w:rsidRDefault="00856D53" w:rsidP="00856D53">
      <w:pPr>
        <w:pStyle w:val="Heading4"/>
        <w:rPr>
          <w:lang w:eastAsia="en-AU"/>
        </w:rPr>
      </w:pPr>
      <w:r w:rsidRPr="00276391">
        <w:rPr>
          <w:lang w:eastAsia="en-AU"/>
        </w:rPr>
        <w:t>Services provided in own home</w:t>
      </w:r>
    </w:p>
    <w:p w14:paraId="45D99264" w14:textId="3C22A184" w:rsidR="00856D53" w:rsidRPr="00276391" w:rsidRDefault="00856D53" w:rsidP="00856D53">
      <w:pPr>
        <w:pStyle w:val="DHHSbody"/>
        <w:rPr>
          <w:lang w:eastAsia="en-AU"/>
        </w:rPr>
      </w:pPr>
      <w:r w:rsidRPr="00B24C02">
        <w:rPr>
          <w:rFonts w:cs="Arial"/>
          <w:color w:val="000000"/>
          <w:szCs w:val="19"/>
          <w:lang w:eastAsia="en-AU"/>
        </w:rPr>
        <w:t xml:space="preserve">For services provided to children and families in the family residence (whether leased or owned by the family), </w:t>
      </w:r>
      <w:r w:rsidR="007A46F5">
        <w:rPr>
          <w:rFonts w:cs="Arial"/>
          <w:color w:val="000000"/>
          <w:szCs w:val="19"/>
          <w:lang w:eastAsia="en-AU"/>
        </w:rPr>
        <w:t>the department</w:t>
      </w:r>
      <w:r w:rsidRPr="00B24C02">
        <w:rPr>
          <w:rFonts w:cs="Arial"/>
          <w:color w:val="000000"/>
          <w:szCs w:val="19"/>
          <w:lang w:eastAsia="en-AU"/>
        </w:rPr>
        <w:t xml:space="preserve"> expects that the client (and where appropriate, the owner of the premises) will have responsibility for their own fire safety and ensure that the premises meet all relevant building local laws, regulations or legislation, including retrospective obligations.</w:t>
      </w:r>
    </w:p>
    <w:p w14:paraId="46D1D680" w14:textId="258DD229" w:rsidR="00856D53" w:rsidRPr="00276391" w:rsidRDefault="007A46F5" w:rsidP="00856D53">
      <w:pPr>
        <w:pStyle w:val="DHHSbody"/>
        <w:rPr>
          <w:lang w:eastAsia="en-AU"/>
        </w:rPr>
      </w:pPr>
      <w:r>
        <w:rPr>
          <w:rFonts w:cs="Arial"/>
          <w:color w:val="000000"/>
          <w:szCs w:val="19"/>
          <w:lang w:eastAsia="en-AU"/>
        </w:rPr>
        <w:t>The department</w:t>
      </w:r>
      <w:r w:rsidRPr="00B24C02">
        <w:rPr>
          <w:rFonts w:cs="Arial"/>
          <w:color w:val="000000"/>
          <w:szCs w:val="19"/>
          <w:lang w:eastAsia="en-AU"/>
        </w:rPr>
        <w:t xml:space="preserve"> </w:t>
      </w:r>
      <w:r w:rsidR="00856D53" w:rsidRPr="00276391">
        <w:rPr>
          <w:lang w:eastAsia="en-AU"/>
        </w:rPr>
        <w:t>notes that the relevant authorities (for example, local councils and fire authorities, Metropolitan Fire and Emergency Services Board and Country Fire Authority) are responsible for enforcement of fire safety provisions.</w:t>
      </w:r>
    </w:p>
    <w:p w14:paraId="7B1ED3F9" w14:textId="77777777" w:rsidR="00856D53" w:rsidRPr="00276391" w:rsidRDefault="00856D53" w:rsidP="00856D53">
      <w:pPr>
        <w:pStyle w:val="DHHSbody"/>
        <w:rPr>
          <w:lang w:eastAsia="en-AU"/>
        </w:rPr>
      </w:pPr>
      <w:r w:rsidRPr="00276391">
        <w:rPr>
          <w:lang w:eastAsia="en-AU"/>
        </w:rPr>
        <w:t>Funded organisations have a duty of care to the child during the provision of services and hence, have responsibility r for a child’s fire safety.</w:t>
      </w:r>
    </w:p>
    <w:p w14:paraId="68B6F1BD" w14:textId="77777777" w:rsidR="00856D53" w:rsidRPr="00276391" w:rsidRDefault="00856D53" w:rsidP="00856D53">
      <w:pPr>
        <w:pStyle w:val="Heading4"/>
        <w:rPr>
          <w:lang w:eastAsia="en-AU"/>
        </w:rPr>
      </w:pPr>
      <w:r w:rsidRPr="00276391">
        <w:rPr>
          <w:lang w:eastAsia="en-AU"/>
        </w:rPr>
        <w:t>Premises</w:t>
      </w:r>
    </w:p>
    <w:p w14:paraId="4D64CA48" w14:textId="488055C7" w:rsidR="00856D53" w:rsidRPr="00276391" w:rsidRDefault="007A46F5" w:rsidP="00856D53">
      <w:pPr>
        <w:pStyle w:val="DHHSbody"/>
        <w:rPr>
          <w:lang w:eastAsia="en-AU"/>
        </w:rPr>
      </w:pPr>
      <w:r>
        <w:rPr>
          <w:rFonts w:cs="Arial"/>
          <w:color w:val="000000"/>
          <w:szCs w:val="19"/>
          <w:lang w:eastAsia="en-AU"/>
        </w:rPr>
        <w:t>The department</w:t>
      </w:r>
      <w:r w:rsidRPr="00B24C02">
        <w:rPr>
          <w:rFonts w:cs="Arial"/>
          <w:color w:val="000000"/>
          <w:szCs w:val="19"/>
          <w:lang w:eastAsia="en-AU"/>
        </w:rPr>
        <w:t xml:space="preserve"> </w:t>
      </w:r>
      <w:r w:rsidR="00856D53" w:rsidRPr="00B24C02">
        <w:rPr>
          <w:rFonts w:cs="Arial"/>
          <w:color w:val="000000"/>
          <w:szCs w:val="19"/>
          <w:lang w:eastAsia="en-AU"/>
        </w:rPr>
        <w:t>expects that service premises meet the relevant building regulations, local laws, or legislation at the time of construction, including retrospective provisions (such as smoke alarm requirements). Any subsequent building works shall meet the relevant building approval provisions at the corresponding time.</w:t>
      </w:r>
    </w:p>
    <w:p w14:paraId="2EB11834" w14:textId="77777777" w:rsidR="00856D53" w:rsidRPr="00276391" w:rsidRDefault="00856D53" w:rsidP="00856D53">
      <w:pPr>
        <w:pStyle w:val="DHHSbody"/>
        <w:rPr>
          <w:lang w:eastAsia="en-AU"/>
        </w:rPr>
      </w:pPr>
      <w:r w:rsidRPr="00276391">
        <w:rPr>
          <w:lang w:eastAsia="en-AU"/>
        </w:rPr>
        <w:t>Where this is not the case, or where the funded organisation determines that the premises do not provide an appropriate level of fire safety, the organisation is expected to ensure that the premises are brought up to minimum regulatory standard and compliant with the Victorian Building Authority’s building regulations.</w:t>
      </w:r>
    </w:p>
    <w:p w14:paraId="5AFA59E2" w14:textId="77777777" w:rsidR="00856D53" w:rsidRPr="00276391" w:rsidRDefault="00856D53" w:rsidP="00856D53">
      <w:pPr>
        <w:pStyle w:val="Heading4"/>
        <w:rPr>
          <w:lang w:eastAsia="en-AU"/>
        </w:rPr>
      </w:pPr>
      <w:r w:rsidRPr="00276391">
        <w:rPr>
          <w:lang w:eastAsia="en-AU"/>
        </w:rPr>
        <w:t>Operational readiness</w:t>
      </w:r>
    </w:p>
    <w:p w14:paraId="51570885" w14:textId="77777777" w:rsidR="00856D53" w:rsidRPr="00276391" w:rsidRDefault="00856D53" w:rsidP="00856D53">
      <w:pPr>
        <w:pStyle w:val="DHHSbody"/>
        <w:rPr>
          <w:lang w:eastAsia="en-AU"/>
        </w:rPr>
      </w:pPr>
      <w:r w:rsidRPr="00B24C02">
        <w:rPr>
          <w:rFonts w:cs="Arial"/>
          <w:color w:val="000000"/>
          <w:szCs w:val="19"/>
          <w:lang w:eastAsia="en-AU"/>
        </w:rPr>
        <w:t>The funded organisation must ensure that appropriate operational readiness measures are developed, implemented and reviewed. This includes (but is not limited to) fire emergency management and evacuation procedures, staff training to implement procedures, and maintenance of fire safety systems.</w:t>
      </w:r>
    </w:p>
    <w:p w14:paraId="12EEB2DB" w14:textId="77777777" w:rsidR="00856D53" w:rsidRPr="00276391" w:rsidRDefault="00856D53" w:rsidP="00856D53">
      <w:pPr>
        <w:pStyle w:val="Heading4"/>
        <w:rPr>
          <w:lang w:eastAsia="en-AU"/>
        </w:rPr>
      </w:pPr>
      <w:r w:rsidRPr="00276391">
        <w:rPr>
          <w:lang w:eastAsia="en-AU"/>
        </w:rPr>
        <w:t>Management tasks</w:t>
      </w:r>
    </w:p>
    <w:p w14:paraId="6A503B8C" w14:textId="77777777" w:rsidR="00856D53" w:rsidRPr="00276391" w:rsidRDefault="00856D53" w:rsidP="00856D53">
      <w:pPr>
        <w:pStyle w:val="DHHSbody"/>
        <w:rPr>
          <w:lang w:eastAsia="en-AU"/>
        </w:rPr>
      </w:pPr>
      <w:r w:rsidRPr="00B24C02">
        <w:rPr>
          <w:rFonts w:cs="Arial"/>
          <w:color w:val="000000"/>
          <w:szCs w:val="19"/>
          <w:lang w:eastAsia="en-AU"/>
        </w:rPr>
        <w:t>The funded organisation must ensure that appropriate fire safety readiness measures are developed, implemented and reviewed. These include:</w:t>
      </w:r>
    </w:p>
    <w:p w14:paraId="23094859" w14:textId="77777777" w:rsidR="00856D53" w:rsidRPr="00276391" w:rsidRDefault="00856D53" w:rsidP="00856D53">
      <w:pPr>
        <w:pStyle w:val="DHHSbullet1"/>
        <w:rPr>
          <w:lang w:eastAsia="en-AU"/>
        </w:rPr>
      </w:pPr>
      <w:r w:rsidRPr="00276391">
        <w:rPr>
          <w:lang w:eastAsia="en-AU"/>
        </w:rPr>
        <w:t xml:space="preserve">holding a current fire risk audit that is less than 5 years old; </w:t>
      </w:r>
    </w:p>
    <w:p w14:paraId="362933AF" w14:textId="77777777" w:rsidR="00856D53" w:rsidRPr="00276391" w:rsidRDefault="00856D53" w:rsidP="00856D53">
      <w:pPr>
        <w:pStyle w:val="DHHSbullet1"/>
        <w:rPr>
          <w:lang w:eastAsia="en-AU"/>
        </w:rPr>
      </w:pPr>
      <w:r w:rsidRPr="00276391">
        <w:rPr>
          <w:lang w:eastAsia="en-AU"/>
        </w:rPr>
        <w:t xml:space="preserve">fire emergency management and evacuation procedures; </w:t>
      </w:r>
    </w:p>
    <w:p w14:paraId="65B080A3" w14:textId="77777777" w:rsidR="00856D53" w:rsidRPr="00276391" w:rsidRDefault="00856D53" w:rsidP="00856D53">
      <w:pPr>
        <w:pStyle w:val="DHHSbullet1"/>
        <w:rPr>
          <w:lang w:eastAsia="en-AU"/>
        </w:rPr>
      </w:pPr>
      <w:r w:rsidRPr="00276391">
        <w:rPr>
          <w:lang w:eastAsia="en-AU"/>
        </w:rPr>
        <w:t xml:space="preserve">training of staff to implement the procedures developed; </w:t>
      </w:r>
    </w:p>
    <w:p w14:paraId="3F43D2AB" w14:textId="77777777" w:rsidR="00856D53" w:rsidRPr="00276391" w:rsidRDefault="00856D53" w:rsidP="00856D53">
      <w:pPr>
        <w:pStyle w:val="DHHSbullet1"/>
        <w:rPr>
          <w:lang w:eastAsia="en-AU"/>
        </w:rPr>
      </w:pPr>
      <w:r w:rsidRPr="00276391">
        <w:rPr>
          <w:lang w:eastAsia="en-AU"/>
        </w:rPr>
        <w:t xml:space="preserve">maintenance of all the fire safety systems and any deviations through an alternative solution; and </w:t>
      </w:r>
    </w:p>
    <w:p w14:paraId="27F5C1B7" w14:textId="77777777" w:rsidR="00856D53" w:rsidRPr="00276391" w:rsidRDefault="00856D53" w:rsidP="00856D53">
      <w:pPr>
        <w:pStyle w:val="DHHSbullet1"/>
        <w:rPr>
          <w:lang w:eastAsia="en-AU"/>
        </w:rPr>
      </w:pPr>
      <w:r w:rsidRPr="00276391">
        <w:rPr>
          <w:lang w:eastAsia="en-AU"/>
        </w:rPr>
        <w:t xml:space="preserve">ensuring that the building is compliant with the Victorian Building Authority’s building regulations. </w:t>
      </w:r>
    </w:p>
    <w:p w14:paraId="1A1549EC" w14:textId="77777777" w:rsidR="00856D53" w:rsidRPr="00276391" w:rsidRDefault="00856D53" w:rsidP="00856D53">
      <w:pPr>
        <w:pStyle w:val="Heading4"/>
        <w:rPr>
          <w:lang w:eastAsia="en-AU"/>
        </w:rPr>
      </w:pPr>
      <w:r w:rsidRPr="00276391">
        <w:rPr>
          <w:lang w:eastAsia="en-AU"/>
        </w:rPr>
        <w:t>‘All Hazards’ approach</w:t>
      </w:r>
    </w:p>
    <w:p w14:paraId="3DC19E4E" w14:textId="77777777" w:rsidR="00856D53" w:rsidRPr="00276391" w:rsidRDefault="00856D53" w:rsidP="00856D53">
      <w:pPr>
        <w:pStyle w:val="DHHSbody"/>
        <w:rPr>
          <w:lang w:eastAsia="en-AU"/>
        </w:rPr>
      </w:pPr>
      <w:r w:rsidRPr="00B24C02">
        <w:rPr>
          <w:rFonts w:cs="Arial"/>
          <w:color w:val="000000"/>
          <w:szCs w:val="19"/>
          <w:lang w:eastAsia="en-AU"/>
        </w:rPr>
        <w:t>It is expected that a funded organisation prepares for, responds to, and recovers from, emergencies in accordance with the 'all hazards' approach. This includes, but is not limited to, fire in the building, bushfire, flood, relocation, evacuation and prolonged service interruption.</w:t>
      </w:r>
    </w:p>
    <w:p w14:paraId="47E2D952" w14:textId="77777777" w:rsidR="00856D53" w:rsidRPr="00276391" w:rsidRDefault="00856D53" w:rsidP="00856D53">
      <w:pPr>
        <w:pStyle w:val="Heading4"/>
        <w:rPr>
          <w:lang w:eastAsia="en-AU"/>
        </w:rPr>
      </w:pPr>
      <w:r w:rsidRPr="00276391">
        <w:rPr>
          <w:lang w:eastAsia="en-AU"/>
        </w:rPr>
        <w:lastRenderedPageBreak/>
        <w:t>For further information</w:t>
      </w:r>
    </w:p>
    <w:p w14:paraId="64B80776" w14:textId="77777777" w:rsidR="00856D53" w:rsidRPr="00276391" w:rsidRDefault="00856D53" w:rsidP="00856D53">
      <w:pPr>
        <w:pStyle w:val="DHHSbody"/>
        <w:rPr>
          <w:lang w:eastAsia="en-AU"/>
        </w:rPr>
      </w:pPr>
      <w:r w:rsidRPr="00B24C02">
        <w:rPr>
          <w:rFonts w:cs="Arial"/>
          <w:color w:val="000000"/>
          <w:szCs w:val="19"/>
          <w:lang w:eastAsia="en-AU"/>
        </w:rPr>
        <w:t>Therese Carroll, Manager, Capability and Response Unit, Emergency Management Division, Regional Services Group</w:t>
      </w:r>
      <w:r w:rsidRPr="00B24C02">
        <w:rPr>
          <w:rFonts w:cs="Arial"/>
          <w:color w:val="000000"/>
          <w:szCs w:val="19"/>
          <w:lang w:eastAsia="en-AU"/>
        </w:rPr>
        <w:br/>
        <w:t>Telephone: 03 9651 3690</w:t>
      </w:r>
      <w:r w:rsidRPr="00B24C02">
        <w:rPr>
          <w:rFonts w:cs="Arial"/>
          <w:color w:val="000000"/>
          <w:szCs w:val="19"/>
          <w:lang w:eastAsia="en-AU"/>
        </w:rPr>
        <w:br/>
        <w:t xml:space="preserve">Email: </w:t>
      </w:r>
      <w:hyperlink r:id="rId403" w:history="1">
        <w:r w:rsidRPr="00986D1E">
          <w:rPr>
            <w:rStyle w:val="Hyperlink"/>
          </w:rPr>
          <w:t>emergency.management@edumail.vic.gov.au</w:t>
        </w:r>
      </w:hyperlink>
    </w:p>
    <w:p w14:paraId="0303308F" w14:textId="34F5F843" w:rsidR="00856D53" w:rsidRPr="00276391" w:rsidRDefault="008D6C0F" w:rsidP="00856D53">
      <w:pPr>
        <w:pStyle w:val="Heading2"/>
        <w:rPr>
          <w:rFonts w:cs="Arial"/>
          <w:lang w:eastAsia="en-AU"/>
        </w:rPr>
      </w:pPr>
      <w:bookmarkStart w:id="944" w:name="_Toc4142170"/>
      <w:r>
        <w:rPr>
          <w:rFonts w:cs="Arial"/>
          <w:lang w:eastAsia="en-AU"/>
        </w:rPr>
        <w:t>5.19</w:t>
      </w:r>
      <w:r w:rsidR="00856D53" w:rsidRPr="00276391">
        <w:rPr>
          <w:rFonts w:cs="Arial"/>
          <w:lang w:eastAsia="en-AU"/>
        </w:rPr>
        <w:t xml:space="preserve"> Conducting research in early childhood settings and schools</w:t>
      </w:r>
      <w:bookmarkEnd w:id="944"/>
      <w:r w:rsidR="00856D53" w:rsidRPr="00276391">
        <w:rPr>
          <w:rFonts w:cs="Arial"/>
          <w:lang w:eastAsia="en-AU"/>
        </w:rPr>
        <w:t xml:space="preserve"> </w:t>
      </w:r>
    </w:p>
    <w:p w14:paraId="0DBBE6E6" w14:textId="451824B7" w:rsidR="00856D53" w:rsidRPr="00276391" w:rsidRDefault="00856D53" w:rsidP="00856D53">
      <w:pPr>
        <w:pStyle w:val="DHHSbody"/>
        <w:rPr>
          <w:lang w:eastAsia="en-AU"/>
        </w:rPr>
      </w:pPr>
      <w:r w:rsidRPr="00B24C02">
        <w:rPr>
          <w:rFonts w:cs="Arial"/>
          <w:color w:val="000000"/>
          <w:szCs w:val="19"/>
          <w:lang w:eastAsia="en-AU"/>
        </w:rPr>
        <w:t xml:space="preserve">Department funded organisations are often approached to participate in research (including evaluations), or to assist with recruitment of families and children to a research project. Organisations should only agree to take part in/assist with recruitment for research that has been reviewed and approved by </w:t>
      </w:r>
      <w:r w:rsidR="00716818">
        <w:rPr>
          <w:rFonts w:cs="Arial"/>
          <w:color w:val="000000"/>
          <w:szCs w:val="19"/>
          <w:lang w:eastAsia="en-AU"/>
        </w:rPr>
        <w:t>the department</w:t>
      </w:r>
      <w:r w:rsidRPr="00B24C02">
        <w:rPr>
          <w:rFonts w:cs="Arial"/>
          <w:color w:val="000000"/>
          <w:szCs w:val="19"/>
          <w:lang w:eastAsia="en-AU"/>
        </w:rPr>
        <w:t>.</w:t>
      </w:r>
    </w:p>
    <w:p w14:paraId="7C95BB33" w14:textId="6BC2B144" w:rsidR="00856D53" w:rsidRPr="00276391" w:rsidRDefault="00716818" w:rsidP="00856D53">
      <w:pPr>
        <w:pStyle w:val="DHHSbody"/>
        <w:rPr>
          <w:lang w:eastAsia="en-AU"/>
        </w:rPr>
      </w:pPr>
      <w:r>
        <w:rPr>
          <w:rFonts w:cs="Arial"/>
          <w:color w:val="000000"/>
          <w:szCs w:val="19"/>
          <w:lang w:eastAsia="en-AU"/>
        </w:rPr>
        <w:t>The department</w:t>
      </w:r>
      <w:r w:rsidRPr="00B24C02">
        <w:rPr>
          <w:rFonts w:cs="Arial"/>
          <w:color w:val="000000"/>
          <w:szCs w:val="19"/>
          <w:lang w:eastAsia="en-AU"/>
        </w:rPr>
        <w:t xml:space="preserve"> </w:t>
      </w:r>
      <w:r w:rsidR="00856D53" w:rsidRPr="00276391">
        <w:rPr>
          <w:lang w:eastAsia="en-AU"/>
        </w:rPr>
        <w:t xml:space="preserve">welcomes high-quality proposals for research which contributes to knowledge of early childhood development, young people’s wellbeing and education outcomes. Any research project that relates </w:t>
      </w:r>
      <w:proofErr w:type="gramStart"/>
      <w:r w:rsidR="00856D53" w:rsidRPr="00276391">
        <w:rPr>
          <w:lang w:eastAsia="en-AU"/>
        </w:rPr>
        <w:t>to, or</w:t>
      </w:r>
      <w:proofErr w:type="gramEnd"/>
      <w:r w:rsidR="00856D53" w:rsidRPr="00276391">
        <w:rPr>
          <w:lang w:eastAsia="en-AU"/>
        </w:rPr>
        <w:t xml:space="preserve"> involves: users of Early Childhood Development services; services funded by the department; Victorian government schools; teachers; or staff should be submitted to the department for approval. This includes requests for access to data sets that are owned or managed by the department.</w:t>
      </w:r>
    </w:p>
    <w:p w14:paraId="173B95D5" w14:textId="77777777" w:rsidR="00856D53" w:rsidRPr="00276391" w:rsidRDefault="00856D53" w:rsidP="00856D53">
      <w:pPr>
        <w:pStyle w:val="DHHSbody"/>
        <w:rPr>
          <w:lang w:eastAsia="en-AU"/>
        </w:rPr>
      </w:pPr>
      <w:r w:rsidRPr="00276391">
        <w:rPr>
          <w:lang w:eastAsia="en-AU"/>
        </w:rPr>
        <w:t>The department reviews applications according to criteria under the following headings:</w:t>
      </w:r>
    </w:p>
    <w:p w14:paraId="63EFBB0F" w14:textId="77777777" w:rsidR="00856D53" w:rsidRPr="00276391" w:rsidRDefault="00856D53" w:rsidP="00856D53">
      <w:pPr>
        <w:pStyle w:val="DHHSbullet1"/>
        <w:rPr>
          <w:lang w:eastAsia="en-AU"/>
        </w:rPr>
      </w:pPr>
      <w:r w:rsidRPr="00276391">
        <w:rPr>
          <w:lang w:eastAsia="en-AU"/>
        </w:rPr>
        <w:t xml:space="preserve">benefit and value to the department and participants; </w:t>
      </w:r>
    </w:p>
    <w:p w14:paraId="7EE80E81" w14:textId="77777777" w:rsidR="00856D53" w:rsidRPr="00276391" w:rsidRDefault="00856D53" w:rsidP="00856D53">
      <w:pPr>
        <w:pStyle w:val="DHHSbullet1"/>
        <w:rPr>
          <w:lang w:eastAsia="en-AU"/>
        </w:rPr>
      </w:pPr>
      <w:r w:rsidRPr="00276391">
        <w:rPr>
          <w:lang w:eastAsia="en-AU"/>
        </w:rPr>
        <w:t xml:space="preserve">burden and impact on the setting and the participants; </w:t>
      </w:r>
    </w:p>
    <w:p w14:paraId="278165D3" w14:textId="77777777" w:rsidR="00856D53" w:rsidRPr="00276391" w:rsidRDefault="00856D53" w:rsidP="00856D53">
      <w:pPr>
        <w:pStyle w:val="DHHSbullet1"/>
        <w:rPr>
          <w:lang w:eastAsia="en-AU"/>
        </w:rPr>
      </w:pPr>
      <w:r w:rsidRPr="00276391">
        <w:rPr>
          <w:lang w:eastAsia="en-AU"/>
        </w:rPr>
        <w:t xml:space="preserve">appropriateness of methodology in the setting; and </w:t>
      </w:r>
    </w:p>
    <w:p w14:paraId="2A2C05FA" w14:textId="77777777" w:rsidR="00856D53" w:rsidRPr="00276391" w:rsidRDefault="00856D53" w:rsidP="00856D53">
      <w:pPr>
        <w:pStyle w:val="DHHSbullet1"/>
        <w:rPr>
          <w:lang w:eastAsia="en-AU"/>
        </w:rPr>
      </w:pPr>
      <w:r w:rsidRPr="00276391">
        <w:rPr>
          <w:lang w:eastAsia="en-AU"/>
        </w:rPr>
        <w:t xml:space="preserve">ethical design and conduct, which includes issues such as informed consent, confidentiality, privacy and protection from harm. </w:t>
      </w:r>
    </w:p>
    <w:p w14:paraId="75EE15BE" w14:textId="77777777" w:rsidR="00856D53" w:rsidRPr="00276391" w:rsidRDefault="00856D53" w:rsidP="00856D53">
      <w:pPr>
        <w:pStyle w:val="DHHSbody"/>
        <w:rPr>
          <w:lang w:eastAsia="en-AU"/>
        </w:rPr>
      </w:pPr>
      <w:r w:rsidRPr="00276391">
        <w:rPr>
          <w:lang w:eastAsia="en-AU"/>
        </w:rPr>
        <w:t>This review is separate to the ethical review of the proposal by a Human Research Ethics Committee (HREC). Where applicable, research applications must also be approved by a HREC.</w:t>
      </w:r>
    </w:p>
    <w:p w14:paraId="49C516A1" w14:textId="77777777" w:rsidR="00856D53" w:rsidRPr="00276391" w:rsidRDefault="00856D53" w:rsidP="00856D53">
      <w:pPr>
        <w:pStyle w:val="DHHSbody"/>
        <w:rPr>
          <w:lang w:eastAsia="en-AU"/>
        </w:rPr>
      </w:pPr>
      <w:r w:rsidRPr="00276391">
        <w:rPr>
          <w:lang w:eastAsia="en-AU"/>
        </w:rPr>
        <w:t xml:space="preserve">Information about procedures and an application form can be found on the </w:t>
      </w:r>
      <w:hyperlink r:id="rId404" w:tooltip="Link to DETs Conducting Research page" w:history="1">
        <w:r w:rsidRPr="00986D1E">
          <w:rPr>
            <w:rStyle w:val="Hyperlink"/>
          </w:rPr>
          <w:t>Conducting Research page</w:t>
        </w:r>
      </w:hyperlink>
      <w:r w:rsidRPr="00276391">
        <w:rPr>
          <w:lang w:eastAsia="en-AU"/>
        </w:rPr>
        <w:t xml:space="preserve"> </w:t>
      </w:r>
      <w:r>
        <w:rPr>
          <w:lang w:eastAsia="en-AU"/>
        </w:rPr>
        <w:t>&lt;</w:t>
      </w:r>
      <w:r w:rsidRPr="00947963">
        <w:rPr>
          <w:lang w:eastAsia="en-AU"/>
        </w:rPr>
        <w:t>http://www.education.vic.gov.au/about/research/Pages/conducting.aspx</w:t>
      </w:r>
      <w:r>
        <w:rPr>
          <w:lang w:eastAsia="en-AU"/>
        </w:rPr>
        <w:t>&gt;</w:t>
      </w:r>
      <w:r w:rsidRPr="00947963">
        <w:rPr>
          <w:lang w:eastAsia="en-AU"/>
        </w:rPr>
        <w:t xml:space="preserve"> </w:t>
      </w:r>
      <w:r w:rsidRPr="00276391">
        <w:rPr>
          <w:lang w:eastAsia="en-AU"/>
        </w:rPr>
        <w:t xml:space="preserve">(external link, opens in a new window) on the Department of Education and Training's website. </w:t>
      </w:r>
    </w:p>
    <w:p w14:paraId="2901FB07" w14:textId="77777777" w:rsidR="00856D53" w:rsidRPr="00276391" w:rsidRDefault="00856D53" w:rsidP="00856D53">
      <w:pPr>
        <w:pStyle w:val="Heading3"/>
        <w:rPr>
          <w:lang w:eastAsia="en-AU"/>
        </w:rPr>
      </w:pPr>
      <w:bookmarkStart w:id="945" w:name="_Toc4142171"/>
      <w:r w:rsidRPr="00276391">
        <w:rPr>
          <w:lang w:eastAsia="en-AU"/>
        </w:rPr>
        <w:t>For further information</w:t>
      </w:r>
      <w:bookmarkEnd w:id="945"/>
    </w:p>
    <w:p w14:paraId="4C07FB88" w14:textId="77777777" w:rsidR="00856D53" w:rsidRPr="00276391" w:rsidRDefault="00856D53" w:rsidP="00856D53">
      <w:pPr>
        <w:pStyle w:val="DHHSbody"/>
        <w:rPr>
          <w:lang w:eastAsia="en-AU"/>
        </w:rPr>
      </w:pPr>
      <w:r w:rsidRPr="00B24C02">
        <w:rPr>
          <w:rFonts w:cs="Arial"/>
          <w:color w:val="000000"/>
          <w:szCs w:val="19"/>
          <w:lang w:eastAsia="en-AU"/>
        </w:rPr>
        <w:t xml:space="preserve">Dr Zoran </w:t>
      </w:r>
      <w:proofErr w:type="spellStart"/>
      <w:r w:rsidRPr="00B24C02">
        <w:rPr>
          <w:rFonts w:cs="Arial"/>
          <w:color w:val="000000"/>
          <w:szCs w:val="19"/>
          <w:lang w:eastAsia="en-AU"/>
        </w:rPr>
        <w:t>Endekov</w:t>
      </w:r>
      <w:proofErr w:type="spellEnd"/>
      <w:r w:rsidRPr="00B24C02">
        <w:rPr>
          <w:rFonts w:cs="Arial"/>
          <w:color w:val="000000"/>
          <w:szCs w:val="19"/>
          <w:lang w:eastAsia="en-AU"/>
        </w:rPr>
        <w:t>, Senior Policy Officer, Strategic Evaluation and Evidence Unit, Insights and Evidence Branch, Performance and Evaluation Division, Strategy and Performance Group.</w:t>
      </w:r>
      <w:r w:rsidRPr="00B24C02">
        <w:rPr>
          <w:rFonts w:cs="Arial"/>
          <w:color w:val="000000"/>
          <w:szCs w:val="19"/>
          <w:lang w:eastAsia="en-AU"/>
        </w:rPr>
        <w:br/>
        <w:t>Telephone: 03 9637 3131</w:t>
      </w:r>
      <w:r w:rsidRPr="00B24C02">
        <w:rPr>
          <w:rFonts w:cs="Arial"/>
          <w:color w:val="000000"/>
          <w:szCs w:val="19"/>
          <w:lang w:eastAsia="en-AU"/>
        </w:rPr>
        <w:br/>
        <w:t xml:space="preserve">Email: </w:t>
      </w:r>
      <w:hyperlink r:id="rId405" w:history="1">
        <w:r w:rsidRPr="00986D1E">
          <w:rPr>
            <w:rStyle w:val="Hyperlink"/>
          </w:rPr>
          <w:t>research@edumail.vic.gov.au</w:t>
        </w:r>
      </w:hyperlink>
    </w:p>
    <w:p w14:paraId="69496EE3" w14:textId="0BD37523" w:rsidR="00856D53" w:rsidRDefault="008D6C0F" w:rsidP="00856D53">
      <w:pPr>
        <w:pStyle w:val="Heading2"/>
        <w:rPr>
          <w:rFonts w:cs="Arial"/>
          <w:lang w:eastAsia="en-AU"/>
        </w:rPr>
      </w:pPr>
      <w:bookmarkStart w:id="946" w:name="_Toc4142172"/>
      <w:r>
        <w:rPr>
          <w:rFonts w:cs="Arial"/>
          <w:lang w:eastAsia="en-AU"/>
        </w:rPr>
        <w:lastRenderedPageBreak/>
        <w:t>5.20</w:t>
      </w:r>
      <w:r w:rsidR="00856D53" w:rsidRPr="00276391">
        <w:rPr>
          <w:rFonts w:cs="Arial"/>
          <w:lang w:eastAsia="en-AU"/>
        </w:rPr>
        <w:t xml:space="preserve"> Asset Management Accountability Framework</w:t>
      </w:r>
      <w:bookmarkEnd w:id="946"/>
    </w:p>
    <w:p w14:paraId="2F428A27" w14:textId="2F35F975" w:rsidR="008D6C0F" w:rsidRPr="006250C7" w:rsidRDefault="00B270AB" w:rsidP="006250C7">
      <w:pPr>
        <w:pStyle w:val="Heading2"/>
        <w:spacing w:before="0" w:after="0" w:line="240" w:lineRule="auto"/>
        <w:rPr>
          <w:rFonts w:cs="Arial"/>
          <w:b w:val="0"/>
          <w:color w:val="000000"/>
          <w:sz w:val="20"/>
          <w:szCs w:val="20"/>
          <w:lang w:eastAsia="en-AU"/>
        </w:rPr>
      </w:pPr>
      <w:bookmarkStart w:id="947" w:name="_Toc4142173"/>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47"/>
    </w:p>
    <w:p w14:paraId="7E6B7766" w14:textId="244B1D55" w:rsidR="00856D53" w:rsidRPr="00276391" w:rsidRDefault="008D6C0F" w:rsidP="00856D53">
      <w:pPr>
        <w:pStyle w:val="Heading2"/>
        <w:rPr>
          <w:rFonts w:cs="Arial"/>
          <w:lang w:eastAsia="en-AU"/>
        </w:rPr>
      </w:pPr>
      <w:bookmarkStart w:id="948" w:name="_Toc4142174"/>
      <w:r>
        <w:rPr>
          <w:rFonts w:cs="Arial"/>
          <w:lang w:eastAsia="en-AU"/>
        </w:rPr>
        <w:t>5.21</w:t>
      </w:r>
      <w:r w:rsidR="00856D53" w:rsidRPr="00276391">
        <w:rPr>
          <w:rFonts w:cs="Arial"/>
          <w:lang w:eastAsia="en-AU"/>
        </w:rPr>
        <w:t xml:space="preserve"> Asset maintenance</w:t>
      </w:r>
      <w:bookmarkEnd w:id="948"/>
    </w:p>
    <w:p w14:paraId="7094919A"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49" w:name="_Toc4142175"/>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49"/>
    </w:p>
    <w:p w14:paraId="08A292D6" w14:textId="048CF93F" w:rsidR="00856D53" w:rsidRPr="00276391" w:rsidRDefault="008D6C0F" w:rsidP="00856D53">
      <w:pPr>
        <w:pStyle w:val="Heading2"/>
        <w:rPr>
          <w:rFonts w:cs="Arial"/>
          <w:lang w:eastAsia="en-AU"/>
        </w:rPr>
      </w:pPr>
      <w:bookmarkStart w:id="950" w:name="_Toc4142176"/>
      <w:r>
        <w:rPr>
          <w:rFonts w:cs="Arial"/>
          <w:lang w:eastAsia="en-AU"/>
        </w:rPr>
        <w:t>5.22</w:t>
      </w:r>
      <w:r w:rsidR="00856D53" w:rsidRPr="00276391">
        <w:rPr>
          <w:rFonts w:cs="Arial"/>
          <w:lang w:eastAsia="en-AU"/>
        </w:rPr>
        <w:t xml:space="preserve"> </w:t>
      </w:r>
      <w:r w:rsidR="00856D53">
        <w:rPr>
          <w:rFonts w:cs="Arial"/>
          <w:lang w:eastAsia="en-AU"/>
        </w:rPr>
        <w:t xml:space="preserve">Victorian </w:t>
      </w:r>
      <w:r w:rsidR="00856D53" w:rsidRPr="00276391">
        <w:rPr>
          <w:rFonts w:cs="Arial"/>
          <w:lang w:eastAsia="en-AU"/>
        </w:rPr>
        <w:t>Carers Recognition Act</w:t>
      </w:r>
      <w:bookmarkEnd w:id="950"/>
    </w:p>
    <w:p w14:paraId="0EA2C486"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51" w:name="_Toc4142177"/>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51"/>
    </w:p>
    <w:p w14:paraId="06ECD016" w14:textId="6B07E4BB" w:rsidR="00856D53" w:rsidRPr="00276391" w:rsidRDefault="008D6C0F" w:rsidP="00856D53">
      <w:pPr>
        <w:pStyle w:val="Heading2"/>
        <w:rPr>
          <w:rFonts w:cs="Arial"/>
          <w:lang w:eastAsia="en-AU"/>
        </w:rPr>
      </w:pPr>
      <w:bookmarkStart w:id="952" w:name="_Toc4142178"/>
      <w:r>
        <w:rPr>
          <w:rFonts w:cs="Arial"/>
          <w:lang w:eastAsia="en-AU"/>
        </w:rPr>
        <w:t>5.23</w:t>
      </w:r>
      <w:r w:rsidR="00856D53" w:rsidRPr="00276391">
        <w:rPr>
          <w:rFonts w:cs="Arial"/>
          <w:lang w:eastAsia="en-AU"/>
        </w:rPr>
        <w:t xml:space="preserve"> Hoarding and squalor resources</w:t>
      </w:r>
      <w:bookmarkEnd w:id="952"/>
    </w:p>
    <w:p w14:paraId="1559FAA9" w14:textId="77777777" w:rsidR="00B270AB" w:rsidRPr="00856D53" w:rsidRDefault="00B270AB" w:rsidP="00B270AB">
      <w:pPr>
        <w:pStyle w:val="Heading2"/>
        <w:spacing w:before="0" w:after="0" w:line="240" w:lineRule="auto"/>
        <w:rPr>
          <w:rFonts w:cs="Arial"/>
          <w:b w:val="0"/>
          <w:color w:val="000000"/>
          <w:sz w:val="20"/>
          <w:szCs w:val="20"/>
          <w:lang w:eastAsia="en-AU"/>
        </w:rPr>
      </w:pPr>
      <w:bookmarkStart w:id="953" w:name="_Toc4142179"/>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53"/>
    </w:p>
    <w:p w14:paraId="03135A3E" w14:textId="3280DE34" w:rsidR="00856D53" w:rsidRPr="00276391" w:rsidRDefault="008D6C0F" w:rsidP="00856D53">
      <w:pPr>
        <w:pStyle w:val="Heading2"/>
        <w:rPr>
          <w:rFonts w:cs="Arial"/>
          <w:lang w:eastAsia="en-AU"/>
        </w:rPr>
      </w:pPr>
      <w:bookmarkStart w:id="954" w:name="_Toc4142180"/>
      <w:r>
        <w:rPr>
          <w:rFonts w:cs="Arial"/>
          <w:lang w:eastAsia="en-AU"/>
        </w:rPr>
        <w:t>5.24</w:t>
      </w:r>
      <w:r w:rsidR="00856D53" w:rsidRPr="00276391">
        <w:rPr>
          <w:rFonts w:cs="Arial"/>
          <w:lang w:eastAsia="en-AU"/>
        </w:rPr>
        <w:t xml:space="preserve"> Child Safe Standards</w:t>
      </w:r>
      <w:bookmarkEnd w:id="954"/>
    </w:p>
    <w:p w14:paraId="6400A243" w14:textId="77777777" w:rsidR="00856D53" w:rsidRPr="00276391" w:rsidRDefault="00856D53" w:rsidP="00856D53">
      <w:pPr>
        <w:pStyle w:val="DHHSbody"/>
        <w:rPr>
          <w:lang w:eastAsia="en-AU"/>
        </w:rPr>
      </w:pPr>
      <w:r w:rsidRPr="00B24C02">
        <w:rPr>
          <w:rFonts w:cs="Arial"/>
          <w:color w:val="000000"/>
          <w:szCs w:val="19"/>
          <w:lang w:eastAsia="en-AU"/>
        </w:rPr>
        <w:t>To help protect children from abuse, the Victorian Government has introduced compulsory minimum Child Safe Standards (the Standards) that apply to organisations that provide services for children.</w:t>
      </w:r>
    </w:p>
    <w:p w14:paraId="075DC899" w14:textId="77777777" w:rsidR="00856D53" w:rsidRPr="00276391" w:rsidRDefault="00856D53" w:rsidP="00856D53">
      <w:pPr>
        <w:pStyle w:val="Heading4"/>
        <w:rPr>
          <w:lang w:eastAsia="en-AU"/>
        </w:rPr>
      </w:pPr>
      <w:r w:rsidRPr="00276391">
        <w:rPr>
          <w:lang w:eastAsia="en-AU"/>
        </w:rPr>
        <w:t>Who do the Standards apply to?</w:t>
      </w:r>
    </w:p>
    <w:p w14:paraId="33E555DF" w14:textId="77777777" w:rsidR="00856D53" w:rsidRPr="00276391" w:rsidRDefault="00856D53" w:rsidP="00856D53">
      <w:pPr>
        <w:pStyle w:val="DHHSbody"/>
        <w:rPr>
          <w:lang w:eastAsia="en-AU"/>
        </w:rPr>
      </w:pPr>
      <w:r w:rsidRPr="00B24C02">
        <w:rPr>
          <w:rFonts w:cs="Arial"/>
          <w:color w:val="000000"/>
          <w:szCs w:val="19"/>
          <w:lang w:eastAsia="en-AU"/>
        </w:rPr>
        <w:t>From 1 January 2016, the Standards apply to organisations that provide services for children that are government funded and/or regulated (Category 1 organisations). These organisations include schools, out-of-home care providers, early childhood providers and health services.</w:t>
      </w:r>
    </w:p>
    <w:p w14:paraId="001C2003" w14:textId="77777777" w:rsidR="00856D53" w:rsidRPr="00276391" w:rsidRDefault="00856D53" w:rsidP="00856D53">
      <w:pPr>
        <w:pStyle w:val="Heading4"/>
        <w:rPr>
          <w:lang w:eastAsia="en-AU"/>
        </w:rPr>
      </w:pPr>
      <w:r w:rsidRPr="00276391">
        <w:rPr>
          <w:lang w:eastAsia="en-AU"/>
        </w:rPr>
        <w:t>What are the Standards?</w:t>
      </w:r>
    </w:p>
    <w:p w14:paraId="5204B7F4" w14:textId="77777777" w:rsidR="00856D53" w:rsidRPr="00276391" w:rsidRDefault="00856D53" w:rsidP="00856D53">
      <w:pPr>
        <w:pStyle w:val="DHHSbody"/>
        <w:rPr>
          <w:lang w:eastAsia="en-AU"/>
        </w:rPr>
      </w:pPr>
      <w:r w:rsidRPr="00B24C02">
        <w:rPr>
          <w:rFonts w:cs="Arial"/>
          <w:color w:val="000000"/>
          <w:szCs w:val="19"/>
          <w:lang w:eastAsia="en-AU"/>
        </w:rPr>
        <w:t>The Child Safe Standards are as follows:</w:t>
      </w:r>
    </w:p>
    <w:p w14:paraId="1A11F392" w14:textId="77777777" w:rsidR="00856D53" w:rsidRPr="00276391" w:rsidRDefault="00856D53" w:rsidP="00856D53">
      <w:pPr>
        <w:pStyle w:val="DHHSbody"/>
        <w:rPr>
          <w:lang w:eastAsia="en-AU"/>
        </w:rPr>
      </w:pPr>
      <w:r w:rsidRPr="00276391">
        <w:rPr>
          <w:lang w:eastAsia="en-AU"/>
        </w:rPr>
        <w:t>To create and maintain a child safe organisation, an entity to which the Standards apply must have:</w:t>
      </w:r>
    </w:p>
    <w:p w14:paraId="3DB9E76E" w14:textId="77777777" w:rsidR="00856D53" w:rsidRPr="00276391" w:rsidRDefault="00856D53" w:rsidP="00856D53">
      <w:pPr>
        <w:pStyle w:val="DHHSbody"/>
        <w:rPr>
          <w:lang w:eastAsia="en-AU"/>
        </w:rPr>
      </w:pPr>
      <w:r w:rsidRPr="00276391">
        <w:rPr>
          <w:b/>
          <w:bCs/>
          <w:lang w:eastAsia="en-AU"/>
        </w:rPr>
        <w:t>Standard 1</w:t>
      </w:r>
      <w:r w:rsidRPr="00276391">
        <w:rPr>
          <w:lang w:eastAsia="en-AU"/>
        </w:rPr>
        <w:t>: Strategies to embed an organisational culture of child safety, including through effective leadership arrangements</w:t>
      </w:r>
    </w:p>
    <w:p w14:paraId="1FF03410" w14:textId="77777777" w:rsidR="00856D53" w:rsidRPr="00276391" w:rsidRDefault="00856D53" w:rsidP="00856D53">
      <w:pPr>
        <w:pStyle w:val="DHHSbody"/>
        <w:rPr>
          <w:lang w:eastAsia="en-AU"/>
        </w:rPr>
      </w:pPr>
      <w:r w:rsidRPr="00276391">
        <w:rPr>
          <w:b/>
          <w:bCs/>
          <w:lang w:eastAsia="en-AU"/>
        </w:rPr>
        <w:t>Standard 2</w:t>
      </w:r>
      <w:r w:rsidRPr="00276391">
        <w:rPr>
          <w:lang w:eastAsia="en-AU"/>
        </w:rPr>
        <w:t>: A child safe policy or statement of commitment to child safety</w:t>
      </w:r>
    </w:p>
    <w:p w14:paraId="5D0A2021" w14:textId="77777777" w:rsidR="00856D53" w:rsidRPr="00276391" w:rsidRDefault="00856D53" w:rsidP="00856D53">
      <w:pPr>
        <w:pStyle w:val="DHHSbody"/>
        <w:rPr>
          <w:lang w:eastAsia="en-AU"/>
        </w:rPr>
      </w:pPr>
      <w:r w:rsidRPr="00276391">
        <w:rPr>
          <w:b/>
          <w:bCs/>
          <w:lang w:eastAsia="en-AU"/>
        </w:rPr>
        <w:t>Standard 3</w:t>
      </w:r>
      <w:r w:rsidRPr="00276391">
        <w:rPr>
          <w:lang w:eastAsia="en-AU"/>
        </w:rPr>
        <w:t>: A code of conduct that establishes clear expectations for appropriate behaviour with children</w:t>
      </w:r>
    </w:p>
    <w:p w14:paraId="687F756A" w14:textId="77777777" w:rsidR="00856D53" w:rsidRPr="00276391" w:rsidRDefault="00856D53" w:rsidP="00856D53">
      <w:pPr>
        <w:pStyle w:val="DHHSbody"/>
        <w:rPr>
          <w:lang w:eastAsia="en-AU"/>
        </w:rPr>
      </w:pPr>
      <w:r w:rsidRPr="00276391">
        <w:rPr>
          <w:b/>
          <w:bCs/>
          <w:lang w:eastAsia="en-AU"/>
        </w:rPr>
        <w:t>Standard 4</w:t>
      </w:r>
      <w:r w:rsidRPr="00276391">
        <w:rPr>
          <w:lang w:eastAsia="en-AU"/>
        </w:rPr>
        <w:t>: Screening, supervision, training and other human resources practices that reduce the risk of child abuse by new and existing personnel</w:t>
      </w:r>
    </w:p>
    <w:p w14:paraId="7CC86521" w14:textId="77777777" w:rsidR="00856D53" w:rsidRPr="00276391" w:rsidRDefault="00856D53" w:rsidP="00856D53">
      <w:pPr>
        <w:pStyle w:val="DHHSbody"/>
        <w:rPr>
          <w:lang w:eastAsia="en-AU"/>
        </w:rPr>
      </w:pPr>
      <w:r w:rsidRPr="00276391">
        <w:rPr>
          <w:b/>
          <w:bCs/>
          <w:lang w:eastAsia="en-AU"/>
        </w:rPr>
        <w:t>Standard 5</w:t>
      </w:r>
      <w:r w:rsidRPr="00276391">
        <w:rPr>
          <w:lang w:eastAsia="en-AU"/>
        </w:rPr>
        <w:t>: Processes for responding to and reporting suspected child abuse</w:t>
      </w:r>
    </w:p>
    <w:p w14:paraId="2EDCAC55" w14:textId="77777777" w:rsidR="00856D53" w:rsidRPr="00276391" w:rsidRDefault="00856D53" w:rsidP="00856D53">
      <w:pPr>
        <w:pStyle w:val="DHHSbody"/>
        <w:rPr>
          <w:lang w:eastAsia="en-AU"/>
        </w:rPr>
      </w:pPr>
      <w:r w:rsidRPr="00276391">
        <w:rPr>
          <w:b/>
          <w:bCs/>
          <w:lang w:eastAsia="en-AU"/>
        </w:rPr>
        <w:t>Standard 6</w:t>
      </w:r>
      <w:r w:rsidRPr="00276391">
        <w:rPr>
          <w:lang w:eastAsia="en-AU"/>
        </w:rPr>
        <w:t>: Strategies to identify and reduce or remove risks of child abuse</w:t>
      </w:r>
    </w:p>
    <w:p w14:paraId="62CC10C5" w14:textId="77777777" w:rsidR="00856D53" w:rsidRPr="00276391" w:rsidRDefault="00856D53" w:rsidP="00856D53">
      <w:pPr>
        <w:pStyle w:val="DHHSbody"/>
        <w:rPr>
          <w:lang w:eastAsia="en-AU"/>
        </w:rPr>
      </w:pPr>
      <w:r w:rsidRPr="00276391">
        <w:rPr>
          <w:b/>
          <w:bCs/>
          <w:lang w:eastAsia="en-AU"/>
        </w:rPr>
        <w:t>Standard 7</w:t>
      </w:r>
      <w:r w:rsidRPr="00276391">
        <w:rPr>
          <w:lang w:eastAsia="en-AU"/>
        </w:rPr>
        <w:t>: Strategies to promote the participation and empowerment of children.</w:t>
      </w:r>
    </w:p>
    <w:p w14:paraId="49AC31E1" w14:textId="77777777" w:rsidR="00856D53" w:rsidRPr="00276391" w:rsidRDefault="00856D53" w:rsidP="00856D53">
      <w:pPr>
        <w:pStyle w:val="DHHSbody"/>
        <w:rPr>
          <w:lang w:eastAsia="en-AU"/>
        </w:rPr>
      </w:pPr>
      <w:r w:rsidRPr="00276391">
        <w:rPr>
          <w:lang w:eastAsia="en-AU"/>
        </w:rPr>
        <w:t>In complying with the Child Safe Standards, an entity to which the Standards apply must include the following principles as part of each Standard:</w:t>
      </w:r>
    </w:p>
    <w:p w14:paraId="6E02562F" w14:textId="77777777" w:rsidR="00856D53" w:rsidRPr="00276391" w:rsidRDefault="00856D53" w:rsidP="00856D53">
      <w:pPr>
        <w:pStyle w:val="DHHSbullet1"/>
        <w:rPr>
          <w:lang w:eastAsia="en-AU"/>
        </w:rPr>
      </w:pPr>
      <w:r w:rsidRPr="00276391">
        <w:rPr>
          <w:lang w:eastAsia="en-AU"/>
        </w:rPr>
        <w:t xml:space="preserve">promoting the cultural safety of Aboriginal and Torres Strait Islander children </w:t>
      </w:r>
    </w:p>
    <w:p w14:paraId="6AB133EB" w14:textId="77777777" w:rsidR="00856D53" w:rsidRPr="00276391" w:rsidRDefault="00856D53" w:rsidP="00856D53">
      <w:pPr>
        <w:pStyle w:val="DHHSbullet1"/>
        <w:rPr>
          <w:lang w:eastAsia="en-AU"/>
        </w:rPr>
      </w:pPr>
      <w:r w:rsidRPr="00276391">
        <w:rPr>
          <w:lang w:eastAsia="en-AU"/>
        </w:rPr>
        <w:t xml:space="preserve">promoting the cultural safety of children from culturally and/or linguistically diverse backgrounds </w:t>
      </w:r>
    </w:p>
    <w:p w14:paraId="2B21BF53" w14:textId="77777777" w:rsidR="00856D53" w:rsidRPr="00276391" w:rsidRDefault="00856D53" w:rsidP="00856D53">
      <w:pPr>
        <w:pStyle w:val="DHHSbullet1"/>
        <w:rPr>
          <w:lang w:eastAsia="en-AU"/>
        </w:rPr>
      </w:pPr>
      <w:r w:rsidRPr="00276391">
        <w:rPr>
          <w:lang w:eastAsia="en-AU"/>
        </w:rPr>
        <w:t xml:space="preserve">promoting the safety of children with a disability. </w:t>
      </w:r>
    </w:p>
    <w:p w14:paraId="48B59DC8" w14:textId="77777777" w:rsidR="00856D53" w:rsidRPr="00276391" w:rsidRDefault="00856D53" w:rsidP="00856D53">
      <w:pPr>
        <w:pStyle w:val="Heading4"/>
        <w:rPr>
          <w:lang w:eastAsia="en-AU"/>
        </w:rPr>
      </w:pPr>
      <w:r w:rsidRPr="00276391">
        <w:rPr>
          <w:lang w:eastAsia="en-AU"/>
        </w:rPr>
        <w:lastRenderedPageBreak/>
        <w:t>What are organisations required to do?</w:t>
      </w:r>
    </w:p>
    <w:p w14:paraId="7A72D832" w14:textId="77777777" w:rsidR="00856D53" w:rsidRPr="00276391" w:rsidRDefault="00856D53" w:rsidP="00856D53">
      <w:pPr>
        <w:pStyle w:val="DHHSbody"/>
        <w:rPr>
          <w:lang w:eastAsia="en-AU"/>
        </w:rPr>
      </w:pPr>
      <w:r w:rsidRPr="00B24C02">
        <w:rPr>
          <w:rFonts w:cs="Arial"/>
          <w:color w:val="000000"/>
          <w:szCs w:val="19"/>
          <w:lang w:eastAsia="en-AU"/>
        </w:rPr>
        <w:t>The Standards are compulsory for all organisations in scope, but not prescriptive. This allows the diverse range of organisations in scope some flexibility in how they meet requirements of the Standards.</w:t>
      </w:r>
    </w:p>
    <w:p w14:paraId="22DCEE80" w14:textId="77777777" w:rsidR="00856D53" w:rsidRPr="00276391" w:rsidRDefault="0016341D" w:rsidP="00856D53">
      <w:pPr>
        <w:pStyle w:val="DHHSbody"/>
        <w:rPr>
          <w:lang w:eastAsia="en-AU"/>
        </w:rPr>
      </w:pPr>
      <w:hyperlink r:id="rId406" w:history="1">
        <w:r w:rsidR="00856D53" w:rsidRPr="00986D1E">
          <w:rPr>
            <w:rStyle w:val="Hyperlink"/>
          </w:rPr>
          <w:t>An Overview for the Victorian Child Safe Standards</w:t>
        </w:r>
      </w:hyperlink>
      <w:r w:rsidR="00856D53" w:rsidRPr="00276391">
        <w:rPr>
          <w:lang w:eastAsia="en-AU"/>
        </w:rPr>
        <w:t xml:space="preserve"> </w:t>
      </w:r>
      <w:r w:rsidR="00856D53">
        <w:rPr>
          <w:lang w:eastAsia="en-AU"/>
        </w:rPr>
        <w:t>&lt;</w:t>
      </w:r>
      <w:r w:rsidR="00856D53" w:rsidRPr="00B52DC9">
        <w:rPr>
          <w:lang w:eastAsia="en-AU"/>
        </w:rPr>
        <w:t>http://www.dhs.vic.gov.au/about-the-department/documents-and-resources/policies,-guidelines-and-legislation/child-safe-standards-resources</w:t>
      </w:r>
      <w:r w:rsidR="00856D53">
        <w:rPr>
          <w:lang w:eastAsia="en-AU"/>
        </w:rPr>
        <w:t xml:space="preserve">&gt; </w:t>
      </w:r>
      <w:r w:rsidR="00856D53" w:rsidRPr="00276391">
        <w:rPr>
          <w:lang w:eastAsia="en-AU"/>
        </w:rPr>
        <w:t>(external link, opens in a new window) provides a non-exhaustive list of example measures that organisations could put in place to meet each of the Standards.</w:t>
      </w:r>
    </w:p>
    <w:p w14:paraId="10B67367" w14:textId="77777777" w:rsidR="00856D53" w:rsidRPr="00276391" w:rsidRDefault="00856D53" w:rsidP="00856D53">
      <w:pPr>
        <w:pStyle w:val="Heading4"/>
        <w:rPr>
          <w:lang w:eastAsia="en-AU"/>
        </w:rPr>
      </w:pPr>
      <w:r w:rsidRPr="00276391">
        <w:rPr>
          <w:lang w:eastAsia="en-AU"/>
        </w:rPr>
        <w:t>Early childhood services</w:t>
      </w:r>
    </w:p>
    <w:p w14:paraId="4275F429" w14:textId="77777777" w:rsidR="00856D53" w:rsidRPr="00276391" w:rsidRDefault="00856D53" w:rsidP="00856D53">
      <w:pPr>
        <w:pStyle w:val="DHHSbody"/>
        <w:rPr>
          <w:lang w:eastAsia="en-AU"/>
        </w:rPr>
      </w:pPr>
      <w:r w:rsidRPr="00B24C02">
        <w:rPr>
          <w:rFonts w:cs="Arial"/>
          <w:color w:val="000000"/>
          <w:szCs w:val="19"/>
          <w:lang w:eastAsia="en-AU"/>
        </w:rPr>
        <w:t xml:space="preserve">From 1 January 2016, all early childhood services operating under the National Quality Framework (NQF) and the </w:t>
      </w:r>
      <w:hyperlink r:id="rId407" w:history="1">
        <w:r w:rsidRPr="00986D1E">
          <w:rPr>
            <w:rStyle w:val="Hyperlink"/>
          </w:rPr>
          <w:t>Children’s Services Act 1996</w:t>
        </w:r>
      </w:hyperlink>
      <w:r w:rsidRPr="00B24C02">
        <w:rPr>
          <w:rFonts w:cs="Arial"/>
          <w:color w:val="000000"/>
          <w:szCs w:val="19"/>
          <w:lang w:eastAsia="en-AU"/>
        </w:rPr>
        <w:t xml:space="preserve"> </w:t>
      </w:r>
      <w:r>
        <w:rPr>
          <w:rFonts w:cs="Arial"/>
          <w:color w:val="000000"/>
          <w:szCs w:val="19"/>
          <w:lang w:eastAsia="en-AU"/>
        </w:rPr>
        <w:t>&lt;</w:t>
      </w:r>
      <w:r w:rsidRPr="008A39D4">
        <w:rPr>
          <w:rFonts w:cs="Arial"/>
          <w:color w:val="000000"/>
          <w:szCs w:val="19"/>
          <w:lang w:eastAsia="en-AU"/>
        </w:rPr>
        <w:t>http://www.austlii.edu.au/au/legis/vic/consol_act/csa1996196/</w:t>
      </w:r>
      <w:r>
        <w:rPr>
          <w:rFonts w:cs="Arial"/>
          <w:color w:val="000000"/>
          <w:szCs w:val="19"/>
          <w:lang w:eastAsia="en-AU"/>
        </w:rPr>
        <w:t xml:space="preserve">&gt; </w:t>
      </w:r>
      <w:r w:rsidRPr="00B24C02">
        <w:rPr>
          <w:rFonts w:cs="Arial"/>
          <w:color w:val="000000"/>
          <w:szCs w:val="19"/>
          <w:lang w:eastAsia="en-AU"/>
        </w:rPr>
        <w:t>(external link, opens in a new window) have been required to meet the child safe standards.</w:t>
      </w:r>
    </w:p>
    <w:p w14:paraId="42249625" w14:textId="77777777" w:rsidR="00856D53" w:rsidRPr="00276391" w:rsidRDefault="00856D53" w:rsidP="00856D53">
      <w:pPr>
        <w:pStyle w:val="DHHSbody"/>
        <w:rPr>
          <w:lang w:eastAsia="en-AU"/>
        </w:rPr>
      </w:pPr>
      <w:r w:rsidRPr="00276391">
        <w:rPr>
          <w:lang w:eastAsia="en-AU"/>
        </w:rPr>
        <w:t xml:space="preserve">The existing regulatory framework set out in the </w:t>
      </w:r>
      <w:hyperlink r:id="rId408" w:history="1">
        <w:r w:rsidRPr="00986D1E">
          <w:rPr>
            <w:rStyle w:val="Hyperlink"/>
          </w:rPr>
          <w:t>Education and Care Services National Law Act 2010</w:t>
        </w:r>
      </w:hyperlink>
      <w:r w:rsidRPr="00276391">
        <w:rPr>
          <w:lang w:eastAsia="en-AU"/>
        </w:rPr>
        <w:t xml:space="preserve"> </w:t>
      </w:r>
      <w:r>
        <w:rPr>
          <w:lang w:eastAsia="en-AU"/>
        </w:rPr>
        <w:t>&lt;</w:t>
      </w:r>
      <w:r w:rsidRPr="00276391">
        <w:rPr>
          <w:lang w:eastAsia="en-AU"/>
        </w:rPr>
        <w:t>(</w:t>
      </w:r>
      <w:r w:rsidRPr="008A39D4">
        <w:rPr>
          <w:lang w:eastAsia="en-AU"/>
        </w:rPr>
        <w:t>http://www.austlii.edu.au/au/legis/vic/consol_act/eacsnla2010346/</w:t>
      </w:r>
      <w:r>
        <w:rPr>
          <w:lang w:eastAsia="en-AU"/>
        </w:rPr>
        <w:t xml:space="preserve">&gt; </w:t>
      </w:r>
      <w:r w:rsidRPr="00276391">
        <w:rPr>
          <w:lang w:eastAsia="en-AU"/>
        </w:rPr>
        <w:t>external link, opens in a new window) and the Children’s Services Act 1996 will be used to regulate compliance with the child safety standards of services operating under those Acts.</w:t>
      </w:r>
    </w:p>
    <w:p w14:paraId="10A0EDB3" w14:textId="77777777" w:rsidR="00856D53" w:rsidRPr="00276391" w:rsidRDefault="00856D53" w:rsidP="00856D53">
      <w:pPr>
        <w:pStyle w:val="DHHSbody"/>
        <w:rPr>
          <w:lang w:eastAsia="en-AU"/>
        </w:rPr>
      </w:pPr>
      <w:r w:rsidRPr="00276391">
        <w:rPr>
          <w:lang w:eastAsia="en-AU"/>
        </w:rPr>
        <w:t>The Department of Education and Training’s Quality Assessment and Regulation Division (QARD) will have primary responsibility for ensuring compliance in the early childhood sector.</w:t>
      </w:r>
    </w:p>
    <w:p w14:paraId="08CBA0DB" w14:textId="77777777" w:rsidR="00856D53" w:rsidRPr="00276391" w:rsidRDefault="00856D53" w:rsidP="00856D53">
      <w:pPr>
        <w:pStyle w:val="Heading4"/>
        <w:rPr>
          <w:lang w:eastAsia="en-AU"/>
        </w:rPr>
      </w:pPr>
      <w:r w:rsidRPr="00276391">
        <w:rPr>
          <w:lang w:eastAsia="en-AU"/>
        </w:rPr>
        <w:t>Further information</w:t>
      </w:r>
    </w:p>
    <w:p w14:paraId="06E6A736" w14:textId="77777777" w:rsidR="00856D53" w:rsidRPr="00276391" w:rsidRDefault="00856D53" w:rsidP="00856D53">
      <w:pPr>
        <w:pStyle w:val="DHHSbody"/>
        <w:rPr>
          <w:lang w:eastAsia="en-AU"/>
        </w:rPr>
      </w:pPr>
      <w:r w:rsidRPr="00B24C02">
        <w:rPr>
          <w:rFonts w:cs="Arial"/>
          <w:color w:val="000000"/>
          <w:szCs w:val="19"/>
          <w:lang w:eastAsia="en-AU"/>
        </w:rPr>
        <w:t xml:space="preserve">The Commission for Children and Young People is the lead capacity building body for the Standards. For further information, contact the Commission’s information line by email </w:t>
      </w:r>
      <w:hyperlink r:id="rId409" w:history="1">
        <w:r w:rsidRPr="00986D1E">
          <w:rPr>
            <w:rStyle w:val="Hyperlink"/>
          </w:rPr>
          <w:t>childsafestandards@ccyp.vic.gov.au</w:t>
        </w:r>
      </w:hyperlink>
      <w:r w:rsidRPr="00B24C02">
        <w:rPr>
          <w:rFonts w:cs="Arial"/>
          <w:color w:val="000000"/>
          <w:szCs w:val="19"/>
          <w:lang w:eastAsia="en-AU"/>
        </w:rPr>
        <w:t xml:space="preserve"> or telephone (03) 8601 5884.</w:t>
      </w:r>
    </w:p>
    <w:p w14:paraId="59A97831" w14:textId="77777777" w:rsidR="00856D53" w:rsidRPr="00276391" w:rsidRDefault="00856D53" w:rsidP="00856D53">
      <w:pPr>
        <w:pStyle w:val="DHHSbody"/>
        <w:rPr>
          <w:lang w:eastAsia="en-AU"/>
        </w:rPr>
      </w:pPr>
      <w:r w:rsidRPr="00276391">
        <w:rPr>
          <w:lang w:eastAsia="en-AU"/>
        </w:rPr>
        <w:t xml:space="preserve">Refer to the </w:t>
      </w:r>
      <w:hyperlink r:id="rId410" w:history="1">
        <w:r w:rsidRPr="00374538">
          <w:rPr>
            <w:rStyle w:val="Hyperlink"/>
          </w:rPr>
          <w:t>Department of Health and Human Services</w:t>
        </w:r>
        <w:r w:rsidRPr="00374538">
          <w:rPr>
            <w:rStyle w:val="Hyperlink"/>
            <w:lang w:eastAsia="en-AU"/>
          </w:rPr>
          <w:t xml:space="preserve"> website</w:t>
        </w:r>
      </w:hyperlink>
      <w:r w:rsidRPr="00276391">
        <w:rPr>
          <w:lang w:eastAsia="en-AU"/>
        </w:rPr>
        <w:t xml:space="preserve"> </w:t>
      </w:r>
      <w:r>
        <w:rPr>
          <w:lang w:eastAsia="en-AU"/>
        </w:rPr>
        <w:t>&lt;</w:t>
      </w:r>
      <w:r w:rsidRPr="00A00734">
        <w:rPr>
          <w:lang w:eastAsia="en-AU"/>
        </w:rPr>
        <w:t>http://www.dhs.vic.gov.au/about-the-department/documents-and-resources/policies,-guidelines-and-legislation/child-safe-standards</w:t>
      </w:r>
      <w:r>
        <w:rPr>
          <w:lang w:eastAsia="en-AU"/>
        </w:rPr>
        <w:t>&gt;</w:t>
      </w:r>
      <w:r w:rsidRPr="00A00734">
        <w:rPr>
          <w:lang w:eastAsia="en-AU"/>
        </w:rPr>
        <w:t xml:space="preserve"> </w:t>
      </w:r>
      <w:r w:rsidRPr="00276391">
        <w:rPr>
          <w:lang w:eastAsia="en-AU"/>
        </w:rPr>
        <w:t xml:space="preserve">(external link, opens in a new window) for further information about the Standards. You can also email </w:t>
      </w:r>
      <w:hyperlink r:id="rId411" w:history="1">
        <w:r w:rsidRPr="00986D1E">
          <w:rPr>
            <w:rStyle w:val="Hyperlink"/>
          </w:rPr>
          <w:t>childsafestandards@dhhs.vic.gov.au</w:t>
        </w:r>
      </w:hyperlink>
      <w:r w:rsidRPr="00276391">
        <w:rPr>
          <w:lang w:eastAsia="en-AU"/>
        </w:rPr>
        <w:t xml:space="preserve"> </w:t>
      </w:r>
    </w:p>
    <w:p w14:paraId="5574C4C5" w14:textId="77777777" w:rsidR="00856D53" w:rsidRPr="00276391" w:rsidRDefault="00856D53" w:rsidP="00856D53">
      <w:pPr>
        <w:pStyle w:val="Heading4"/>
        <w:rPr>
          <w:lang w:eastAsia="en-AU"/>
        </w:rPr>
      </w:pPr>
      <w:r w:rsidRPr="00276391">
        <w:rPr>
          <w:lang w:eastAsia="en-AU"/>
        </w:rPr>
        <w:t>Contacts</w:t>
      </w:r>
    </w:p>
    <w:p w14:paraId="7BAD92A7" w14:textId="77777777" w:rsidR="00856D53" w:rsidRPr="00276391" w:rsidRDefault="00856D53" w:rsidP="00856D53">
      <w:pPr>
        <w:pStyle w:val="DHHSbody"/>
        <w:rPr>
          <w:lang w:eastAsia="en-AU"/>
        </w:rPr>
      </w:pPr>
      <w:r w:rsidRPr="00B24C02">
        <w:rPr>
          <w:rFonts w:cs="Arial"/>
          <w:b/>
          <w:bCs/>
          <w:color w:val="000000"/>
          <w:szCs w:val="19"/>
          <w:lang w:eastAsia="en-AU"/>
        </w:rPr>
        <w:t>Early childhood services</w:t>
      </w:r>
      <w:r w:rsidRPr="00B24C02">
        <w:rPr>
          <w:rFonts w:cs="Arial"/>
          <w:color w:val="000000"/>
          <w:szCs w:val="19"/>
          <w:lang w:eastAsia="en-AU"/>
        </w:rPr>
        <w:t xml:space="preserve"> operating under the National Quality Framework or the Children's Services Act 1996 should contact:</w:t>
      </w:r>
      <w:r w:rsidRPr="00B24C02">
        <w:rPr>
          <w:rFonts w:cs="Arial"/>
          <w:color w:val="000000"/>
          <w:szCs w:val="19"/>
          <w:lang w:eastAsia="en-AU"/>
        </w:rPr>
        <w:br/>
        <w:t xml:space="preserve">Email: </w:t>
      </w:r>
      <w:hyperlink r:id="rId412" w:history="1">
        <w:r w:rsidRPr="00986D1E">
          <w:rPr>
            <w:rStyle w:val="Hyperlink"/>
          </w:rPr>
          <w:t>licensed.childrens.services@edumail.vic.gov.au</w:t>
        </w:r>
      </w:hyperlink>
      <w:r w:rsidRPr="00B24C02">
        <w:rPr>
          <w:rFonts w:cs="Arial"/>
          <w:color w:val="000000"/>
          <w:szCs w:val="19"/>
          <w:lang w:eastAsia="en-AU"/>
        </w:rPr>
        <w:br/>
        <w:t>Licensed children's services enquiry line: 1300 307 415</w:t>
      </w:r>
    </w:p>
    <w:p w14:paraId="1096257F" w14:textId="5F10E6CA" w:rsidR="00C81690" w:rsidRDefault="00856D53" w:rsidP="00856D53">
      <w:pPr>
        <w:pStyle w:val="DHHSbody"/>
        <w:rPr>
          <w:rStyle w:val="Hyperlink"/>
        </w:rPr>
      </w:pPr>
      <w:r w:rsidRPr="00276391">
        <w:rPr>
          <w:b/>
          <w:bCs/>
          <w:lang w:eastAsia="en-AU"/>
        </w:rPr>
        <w:t>Other organisations providing services for children</w:t>
      </w:r>
      <w:r w:rsidRPr="00276391">
        <w:rPr>
          <w:lang w:eastAsia="en-AU"/>
        </w:rPr>
        <w:t xml:space="preserve"> can contact the Department of Health and Human Services for further information:</w:t>
      </w:r>
      <w:r w:rsidRPr="00276391">
        <w:rPr>
          <w:lang w:eastAsia="en-AU"/>
        </w:rPr>
        <w:br/>
        <w:t>Telephone: (03) 9096 0000.</w:t>
      </w:r>
      <w:r w:rsidRPr="00276391">
        <w:rPr>
          <w:lang w:eastAsia="en-AU"/>
        </w:rPr>
        <w:br/>
        <w:t xml:space="preserve">Email: </w:t>
      </w:r>
      <w:hyperlink r:id="rId413" w:history="1">
        <w:r w:rsidRPr="00986D1E">
          <w:rPr>
            <w:rStyle w:val="Hyperlink"/>
          </w:rPr>
          <w:t>childsafestandards@dhhs.vic.gov.au</w:t>
        </w:r>
      </w:hyperlink>
    </w:p>
    <w:p w14:paraId="257076E8" w14:textId="197FC424" w:rsidR="00C81690" w:rsidRDefault="00C81690" w:rsidP="00C81690">
      <w:pPr>
        <w:pStyle w:val="Heading2"/>
        <w:rPr>
          <w:rFonts w:cs="Arial"/>
          <w:lang w:eastAsia="en-AU"/>
        </w:rPr>
      </w:pPr>
      <w:bookmarkStart w:id="955" w:name="_Toc4142181"/>
      <w:r>
        <w:rPr>
          <w:rFonts w:cs="Arial"/>
          <w:lang w:eastAsia="en-AU"/>
        </w:rPr>
        <w:t>5.25</w:t>
      </w:r>
      <w:r w:rsidRPr="00276391">
        <w:rPr>
          <w:rFonts w:cs="Arial"/>
          <w:lang w:eastAsia="en-AU"/>
        </w:rPr>
        <w:t xml:space="preserve"> </w:t>
      </w:r>
      <w:r>
        <w:rPr>
          <w:rFonts w:cs="Arial"/>
          <w:lang w:eastAsia="en-AU"/>
        </w:rPr>
        <w:t>Reportable Conduct Scheme</w:t>
      </w:r>
      <w:bookmarkEnd w:id="955"/>
    </w:p>
    <w:p w14:paraId="668E7513" w14:textId="77777777" w:rsidR="00C81690" w:rsidRPr="00C81690" w:rsidRDefault="00C81690" w:rsidP="00C81690">
      <w:pPr>
        <w:pStyle w:val="DHHSbody"/>
        <w:rPr>
          <w:rFonts w:cs="Arial"/>
        </w:rPr>
      </w:pPr>
      <w:r w:rsidRPr="00C81690">
        <w:rPr>
          <w:rFonts w:cs="Arial"/>
        </w:rPr>
        <w:t xml:space="preserve">The Victorian Government is continuing its commitment to make Victoria safer for all children by introducing a reportable conduct scheme from 1 July 2017. </w:t>
      </w:r>
    </w:p>
    <w:p w14:paraId="022E4F18" w14:textId="15239922" w:rsidR="00C81690" w:rsidRPr="00C81690" w:rsidRDefault="00C81690" w:rsidP="00C81690">
      <w:pPr>
        <w:pStyle w:val="DHHSbody"/>
        <w:rPr>
          <w:rFonts w:cs="Arial"/>
        </w:rPr>
      </w:pPr>
      <w:r w:rsidRPr="00C81690">
        <w:rPr>
          <w:rFonts w:cs="Arial"/>
        </w:rPr>
        <w:t xml:space="preserve">The </w:t>
      </w:r>
      <w:r w:rsidRPr="00CC014B">
        <w:rPr>
          <w:rFonts w:cs="Arial"/>
        </w:rPr>
        <w:t>Departme</w:t>
      </w:r>
      <w:r w:rsidR="00CC014B">
        <w:rPr>
          <w:rFonts w:cs="Arial"/>
        </w:rPr>
        <w:t>nt of Health and Human Services</w:t>
      </w:r>
      <w:r w:rsidRPr="00C81690">
        <w:rPr>
          <w:rFonts w:cs="Arial"/>
        </w:rPr>
        <w:t xml:space="preserve"> as well as certain organisations funded by the department are included in the reportable conduct scheme. </w:t>
      </w:r>
    </w:p>
    <w:p w14:paraId="459D027E" w14:textId="77777777" w:rsidR="00C81690" w:rsidRPr="00C81690" w:rsidRDefault="00C81690" w:rsidP="00C81690">
      <w:pPr>
        <w:pStyle w:val="DHHSbullet14pt"/>
        <w:numPr>
          <w:ilvl w:val="0"/>
          <w:numId w:val="0"/>
        </w:numPr>
        <w:rPr>
          <w:rFonts w:ascii="Arial" w:hAnsi="Arial" w:cs="Arial"/>
          <w:sz w:val="20"/>
        </w:rPr>
      </w:pPr>
      <w:r w:rsidRPr="00C81690">
        <w:rPr>
          <w:rFonts w:ascii="Arial" w:hAnsi="Arial" w:cs="Arial"/>
          <w:sz w:val="20"/>
        </w:rPr>
        <w:t xml:space="preserve">The reportable conduct scheme requires organisations to respond to allegations of child abuse, thoroughly investigate the allegations and notify the Commission for Children and Young People of the investigation </w:t>
      </w:r>
      <w:r w:rsidRPr="00C81690">
        <w:rPr>
          <w:rFonts w:ascii="Arial" w:hAnsi="Arial" w:cs="Arial"/>
          <w:sz w:val="20"/>
        </w:rPr>
        <w:lastRenderedPageBreak/>
        <w:t xml:space="preserve">outcome. Where reportable conduct is substantiated, a person’s Working with Children Check can be reassessed. </w:t>
      </w:r>
    </w:p>
    <w:p w14:paraId="33756D26" w14:textId="77777777" w:rsidR="00C81690" w:rsidRPr="00C81690" w:rsidRDefault="00C81690" w:rsidP="00C81690">
      <w:pPr>
        <w:pStyle w:val="DHHSbullet14pt"/>
        <w:numPr>
          <w:ilvl w:val="0"/>
          <w:numId w:val="0"/>
        </w:numPr>
        <w:rPr>
          <w:rFonts w:ascii="Arial" w:hAnsi="Arial" w:cs="Arial"/>
          <w:sz w:val="20"/>
        </w:rPr>
      </w:pPr>
      <w:r w:rsidRPr="00C81690">
        <w:rPr>
          <w:rFonts w:ascii="Arial" w:hAnsi="Arial" w:cs="Arial"/>
          <w:sz w:val="20"/>
        </w:rPr>
        <w:t>The Commission for Children and Young People oversees the reportable conduct scheme and is working with organisations to assist them to understand their obligations.</w:t>
      </w:r>
    </w:p>
    <w:p w14:paraId="3AE91F53" w14:textId="77777777" w:rsidR="00C81690" w:rsidRPr="00C81690" w:rsidRDefault="00C81690" w:rsidP="00C81690">
      <w:pPr>
        <w:pStyle w:val="DHHSbullet14pt"/>
        <w:numPr>
          <w:ilvl w:val="0"/>
          <w:numId w:val="0"/>
        </w:numPr>
        <w:rPr>
          <w:rFonts w:ascii="Arial" w:hAnsi="Arial" w:cs="Arial"/>
          <w:sz w:val="20"/>
          <w:lang w:val="en" w:eastAsia="en-AU"/>
        </w:rPr>
      </w:pPr>
      <w:r w:rsidRPr="00C81690">
        <w:rPr>
          <w:rFonts w:ascii="Arial" w:hAnsi="Arial" w:cs="Arial"/>
          <w:sz w:val="20"/>
          <w:lang w:val="en" w:eastAsia="en-AU"/>
        </w:rPr>
        <w:t xml:space="preserve">Under the reportable conduct scheme, </w:t>
      </w:r>
      <w:proofErr w:type="spellStart"/>
      <w:r w:rsidRPr="00C81690">
        <w:rPr>
          <w:rFonts w:ascii="Arial" w:hAnsi="Arial" w:cs="Arial"/>
          <w:sz w:val="20"/>
          <w:lang w:val="en" w:eastAsia="en-AU"/>
        </w:rPr>
        <w:t>organisations</w:t>
      </w:r>
      <w:proofErr w:type="spellEnd"/>
      <w:r w:rsidRPr="00C81690">
        <w:rPr>
          <w:rFonts w:ascii="Arial" w:hAnsi="Arial" w:cs="Arial"/>
          <w:sz w:val="20"/>
          <w:lang w:val="en" w:eastAsia="en-AU"/>
        </w:rPr>
        <w:t xml:space="preserve"> with a high level of responsibility for children are required to notify the </w:t>
      </w:r>
      <w:hyperlink r:id="rId414" w:history="1">
        <w:r w:rsidRPr="00C81690">
          <w:rPr>
            <w:rFonts w:ascii="Arial" w:hAnsi="Arial" w:cs="Arial"/>
            <w:color w:val="0000FF"/>
            <w:sz w:val="20"/>
            <w:u w:val="single"/>
            <w:lang w:val="en" w:eastAsia="en-AU"/>
          </w:rPr>
          <w:t>Commission for Children and Young People (CCYP)</w:t>
        </w:r>
      </w:hyperlink>
      <w:r w:rsidRPr="00C81690">
        <w:rPr>
          <w:rFonts w:ascii="Arial" w:hAnsi="Arial" w:cs="Arial"/>
          <w:sz w:val="20"/>
          <w:lang w:val="en" w:eastAsia="en-AU"/>
        </w:rPr>
        <w:t xml:space="preserve"> of allegations that staff has engaged in 'reportable conduct' or 'misconduct that may involve reportable conduct'.</w:t>
      </w:r>
    </w:p>
    <w:p w14:paraId="1C6388CC" w14:textId="77777777" w:rsidR="00C81690" w:rsidRPr="00C81690" w:rsidRDefault="00C81690" w:rsidP="00C81690">
      <w:pPr>
        <w:pStyle w:val="DHHSbullet14pt"/>
        <w:numPr>
          <w:ilvl w:val="0"/>
          <w:numId w:val="0"/>
        </w:numPr>
        <w:spacing w:before="200"/>
        <w:rPr>
          <w:rFonts w:ascii="Arial" w:hAnsi="Arial" w:cs="Arial"/>
          <w:b/>
          <w:sz w:val="20"/>
          <w:lang w:val="en" w:eastAsia="en-AU"/>
        </w:rPr>
      </w:pPr>
      <w:r w:rsidRPr="00C81690">
        <w:rPr>
          <w:rFonts w:ascii="Arial" w:hAnsi="Arial" w:cs="Arial"/>
          <w:b/>
          <w:sz w:val="20"/>
          <w:lang w:val="en" w:eastAsia="en-AU"/>
        </w:rPr>
        <w:t>What is reportable conduct?</w:t>
      </w:r>
    </w:p>
    <w:p w14:paraId="3183C530" w14:textId="77777777" w:rsidR="00C81690" w:rsidRPr="00C81690" w:rsidRDefault="00C81690" w:rsidP="00C81690">
      <w:pPr>
        <w:spacing w:before="120"/>
        <w:rPr>
          <w:rFonts w:ascii="Arial" w:hAnsi="Arial" w:cs="Arial"/>
          <w:lang w:val="en" w:eastAsia="en-AU"/>
        </w:rPr>
      </w:pPr>
      <w:r w:rsidRPr="00C81690">
        <w:rPr>
          <w:rFonts w:ascii="Arial" w:hAnsi="Arial" w:cs="Arial"/>
          <w:lang w:val="en" w:eastAsia="en-AU"/>
        </w:rPr>
        <w:t xml:space="preserve">An allegation of reportable conduct means any information that leads a person to form a ‘reasonable belief’ that an 'employee' has committed reportable conduct or 'misconduct that may involve reportable conduct'. This includes information about something that is alleged to have occurred outside the course of the person’s employment or engagement by an </w:t>
      </w:r>
      <w:proofErr w:type="spellStart"/>
      <w:r w:rsidRPr="00C81690">
        <w:rPr>
          <w:rFonts w:ascii="Arial" w:hAnsi="Arial" w:cs="Arial"/>
          <w:lang w:val="en" w:eastAsia="en-AU"/>
        </w:rPr>
        <w:t>organisation</w:t>
      </w:r>
      <w:proofErr w:type="spellEnd"/>
      <w:r w:rsidRPr="00C81690">
        <w:rPr>
          <w:rFonts w:ascii="Arial" w:hAnsi="Arial" w:cs="Arial"/>
          <w:lang w:val="en" w:eastAsia="en-AU"/>
        </w:rPr>
        <w:t xml:space="preserve">. </w:t>
      </w:r>
    </w:p>
    <w:p w14:paraId="27309C6E" w14:textId="77777777" w:rsidR="00C81690" w:rsidRPr="00C81690" w:rsidRDefault="00C81690" w:rsidP="00C81690">
      <w:pPr>
        <w:spacing w:before="120" w:after="80"/>
        <w:rPr>
          <w:rFonts w:ascii="Arial" w:hAnsi="Arial" w:cs="Arial"/>
          <w:lang w:val="en" w:eastAsia="en-AU"/>
        </w:rPr>
      </w:pPr>
      <w:r w:rsidRPr="00C81690">
        <w:rPr>
          <w:rFonts w:ascii="Arial" w:hAnsi="Arial" w:cs="Arial"/>
          <w:lang w:val="en" w:eastAsia="en-AU"/>
        </w:rPr>
        <w:t>There is an allegation of 'reportable conduct' where a person has a ‘reasonable belief’ that there has been:</w:t>
      </w:r>
    </w:p>
    <w:p w14:paraId="0EEDE136" w14:textId="77777777" w:rsidR="00C81690" w:rsidRPr="00C81690" w:rsidRDefault="00C81690" w:rsidP="00C81690">
      <w:pPr>
        <w:numPr>
          <w:ilvl w:val="1"/>
          <w:numId w:val="23"/>
        </w:numPr>
        <w:tabs>
          <w:tab w:val="clear" w:pos="1440"/>
          <w:tab w:val="num" w:pos="720"/>
        </w:tabs>
        <w:spacing w:after="80"/>
        <w:ind w:left="714" w:hanging="357"/>
        <w:rPr>
          <w:rFonts w:ascii="Arial" w:hAnsi="Arial" w:cs="Arial"/>
          <w:lang w:val="en" w:eastAsia="en-AU"/>
        </w:rPr>
      </w:pPr>
      <w:r w:rsidRPr="00C81690">
        <w:rPr>
          <w:rFonts w:ascii="Arial" w:hAnsi="Arial" w:cs="Arial"/>
          <w:lang w:val="en" w:eastAsia="en-AU"/>
        </w:rPr>
        <w:t>a sexual offence (even prior to criminal proceedings commencing), sexual misconduct or physical violence committed against, with or in the presence of a child</w:t>
      </w:r>
    </w:p>
    <w:p w14:paraId="56E57F66" w14:textId="77777777" w:rsidR="00C81690" w:rsidRPr="00C81690" w:rsidRDefault="00C81690" w:rsidP="00C81690">
      <w:pPr>
        <w:numPr>
          <w:ilvl w:val="1"/>
          <w:numId w:val="23"/>
        </w:numPr>
        <w:spacing w:after="80"/>
        <w:ind w:left="720"/>
        <w:rPr>
          <w:rFonts w:ascii="Arial" w:hAnsi="Arial" w:cs="Arial"/>
          <w:lang w:val="en" w:eastAsia="en-AU"/>
        </w:rPr>
      </w:pPr>
      <w:proofErr w:type="spellStart"/>
      <w:r w:rsidRPr="00C81690">
        <w:rPr>
          <w:rFonts w:ascii="Arial" w:hAnsi="Arial" w:cs="Arial"/>
          <w:lang w:val="en" w:eastAsia="en-AU"/>
        </w:rPr>
        <w:t>behaviour</w:t>
      </w:r>
      <w:proofErr w:type="spellEnd"/>
      <w:r w:rsidRPr="00C81690">
        <w:rPr>
          <w:rFonts w:ascii="Arial" w:hAnsi="Arial" w:cs="Arial"/>
          <w:lang w:val="en" w:eastAsia="en-AU"/>
        </w:rPr>
        <w:t xml:space="preserve"> causing significant emotional or psychological harm</w:t>
      </w:r>
    </w:p>
    <w:p w14:paraId="3D556165" w14:textId="77777777" w:rsidR="00C81690" w:rsidRPr="00C81690" w:rsidRDefault="00C81690" w:rsidP="00C81690">
      <w:pPr>
        <w:numPr>
          <w:ilvl w:val="1"/>
          <w:numId w:val="23"/>
        </w:numPr>
        <w:spacing w:after="80"/>
        <w:ind w:left="720"/>
        <w:rPr>
          <w:rFonts w:ascii="Arial" w:hAnsi="Arial" w:cs="Arial"/>
          <w:lang w:val="en" w:eastAsia="en-AU"/>
        </w:rPr>
      </w:pPr>
      <w:r w:rsidRPr="00C81690">
        <w:rPr>
          <w:rFonts w:ascii="Arial" w:hAnsi="Arial" w:cs="Arial"/>
          <w:lang w:val="en" w:eastAsia="en-AU"/>
        </w:rPr>
        <w:t>significant neglect of a child</w:t>
      </w:r>
    </w:p>
    <w:p w14:paraId="0F862467" w14:textId="77777777" w:rsidR="00C81690" w:rsidRPr="00C81690" w:rsidRDefault="00C81690" w:rsidP="00C81690">
      <w:pPr>
        <w:numPr>
          <w:ilvl w:val="1"/>
          <w:numId w:val="23"/>
        </w:numPr>
        <w:ind w:left="714" w:hanging="357"/>
        <w:rPr>
          <w:rFonts w:ascii="Arial" w:hAnsi="Arial" w:cs="Arial"/>
          <w:lang w:val="en" w:eastAsia="en-AU"/>
        </w:rPr>
      </w:pPr>
      <w:r w:rsidRPr="00C81690">
        <w:rPr>
          <w:rFonts w:ascii="Arial" w:hAnsi="Arial" w:cs="Arial"/>
          <w:lang w:val="en" w:eastAsia="en-AU"/>
        </w:rPr>
        <w:t>‘misconduct’ involving any of the above.</w:t>
      </w:r>
    </w:p>
    <w:p w14:paraId="282F4C8D" w14:textId="77777777" w:rsidR="00C81690" w:rsidRPr="00C81690" w:rsidRDefault="00C81690" w:rsidP="00C81690">
      <w:pPr>
        <w:spacing w:before="120"/>
        <w:rPr>
          <w:rFonts w:ascii="Arial" w:hAnsi="Arial" w:cs="Arial"/>
          <w:lang w:val="en" w:eastAsia="en-AU"/>
        </w:rPr>
      </w:pPr>
      <w:r w:rsidRPr="00C81690">
        <w:rPr>
          <w:rFonts w:ascii="Arial" w:hAnsi="Arial" w:cs="Arial"/>
          <w:lang w:val="en" w:eastAsia="en-AU"/>
        </w:rPr>
        <w:t>Reportable conduct extends to conduct occurring outside service delivery or the course of employment. This enables allegations of reportable conduct to be reported and responded to regardless of where the alleged conduct arises.</w:t>
      </w:r>
    </w:p>
    <w:p w14:paraId="39987B7D" w14:textId="77777777" w:rsidR="00C81690" w:rsidRPr="00C81690" w:rsidRDefault="00C81690" w:rsidP="00C81690">
      <w:pPr>
        <w:spacing w:before="120"/>
        <w:rPr>
          <w:rFonts w:ascii="Arial" w:hAnsi="Arial" w:cs="Arial"/>
          <w:lang w:val="en" w:eastAsia="en-AU"/>
        </w:rPr>
      </w:pPr>
      <w:r w:rsidRPr="00C81690">
        <w:rPr>
          <w:rFonts w:ascii="Arial" w:hAnsi="Arial" w:cs="Arial"/>
          <w:lang w:val="en" w:eastAsia="en-AU"/>
        </w:rPr>
        <w:t>The scope of ‘reportable conduct’ is wide and is not limited to conduct that may be criminal.</w:t>
      </w:r>
    </w:p>
    <w:p w14:paraId="29C64214" w14:textId="77777777" w:rsidR="00C81690" w:rsidRPr="00C81690" w:rsidRDefault="00C81690" w:rsidP="00C81690">
      <w:pPr>
        <w:spacing w:before="120"/>
        <w:rPr>
          <w:rFonts w:ascii="Arial" w:hAnsi="Arial" w:cs="Arial"/>
          <w:lang w:val="en" w:eastAsia="en-AU"/>
        </w:rPr>
      </w:pPr>
      <w:r w:rsidRPr="00C81690">
        <w:rPr>
          <w:rFonts w:ascii="Arial" w:hAnsi="Arial" w:cs="Arial"/>
          <w:lang w:val="en" w:eastAsia="en-AU"/>
        </w:rPr>
        <w:t xml:space="preserve">Information about what </w:t>
      </w:r>
      <w:proofErr w:type="spellStart"/>
      <w:r w:rsidRPr="00C81690">
        <w:rPr>
          <w:rFonts w:ascii="Arial" w:hAnsi="Arial" w:cs="Arial"/>
          <w:lang w:val="en" w:eastAsia="en-AU"/>
        </w:rPr>
        <w:t>behaviour</w:t>
      </w:r>
      <w:proofErr w:type="spellEnd"/>
      <w:r w:rsidRPr="00C81690">
        <w:rPr>
          <w:rFonts w:ascii="Arial" w:hAnsi="Arial" w:cs="Arial"/>
          <w:lang w:val="en" w:eastAsia="en-AU"/>
        </w:rPr>
        <w:t xml:space="preserve"> is considered to be reportable conduct is available </w:t>
      </w:r>
      <w:hyperlink r:id="rId415" w:history="1">
        <w:r w:rsidRPr="00C81690">
          <w:rPr>
            <w:rFonts w:ascii="Arial" w:hAnsi="Arial" w:cs="Arial"/>
            <w:color w:val="0000FF"/>
            <w:u w:val="single"/>
            <w:lang w:val="en" w:eastAsia="en-AU"/>
          </w:rPr>
          <w:t>on the CCYP website</w:t>
        </w:r>
      </w:hyperlink>
      <w:r w:rsidRPr="00C81690">
        <w:rPr>
          <w:rFonts w:ascii="Arial" w:hAnsi="Arial" w:cs="Arial"/>
          <w:lang w:val="en" w:eastAsia="en-AU"/>
        </w:rPr>
        <w:t>.</w:t>
      </w:r>
    </w:p>
    <w:p w14:paraId="35E1C0AC" w14:textId="77777777" w:rsidR="00C81690" w:rsidRPr="00C81690" w:rsidRDefault="00C81690" w:rsidP="00C81690">
      <w:pPr>
        <w:spacing w:before="120"/>
        <w:rPr>
          <w:rFonts w:ascii="Arial" w:hAnsi="Arial" w:cs="Arial"/>
          <w:color w:val="000000"/>
          <w:lang w:eastAsia="en-AU"/>
        </w:rPr>
      </w:pPr>
      <w:r w:rsidRPr="00C81690">
        <w:rPr>
          <w:rFonts w:ascii="Arial" w:hAnsi="Arial" w:cs="Arial"/>
          <w:color w:val="000000"/>
          <w:lang w:eastAsia="en-AU"/>
        </w:rPr>
        <w:t xml:space="preserve">The reportable conduct scheme maintains the primacy of an investigation by Victoria Police of any allegations of criminal misconduct and requires allegations of criminal conduct to be reported to Victoria Police. </w:t>
      </w:r>
    </w:p>
    <w:p w14:paraId="30A9644C" w14:textId="77777777" w:rsidR="00C81690" w:rsidRPr="00C81690" w:rsidRDefault="00C81690" w:rsidP="00C81690">
      <w:pPr>
        <w:spacing w:before="120" w:after="120"/>
        <w:rPr>
          <w:rFonts w:ascii="Arial" w:hAnsi="Arial" w:cs="Arial"/>
          <w:color w:val="000000"/>
          <w:lang w:eastAsia="en-AU"/>
        </w:rPr>
      </w:pPr>
      <w:r w:rsidRPr="00C81690">
        <w:rPr>
          <w:rFonts w:ascii="Arial" w:hAnsi="Arial" w:cs="Arial"/>
          <w:color w:val="000000"/>
          <w:lang w:eastAsia="en-AU"/>
        </w:rPr>
        <w:t>Victoria’s reportable conduct scheme is being introduced in three phases:</w:t>
      </w:r>
    </w:p>
    <w:p w14:paraId="6D797AF8" w14:textId="77777777" w:rsidR="00C81690" w:rsidRPr="00B809EE" w:rsidRDefault="00C81690" w:rsidP="00C81690">
      <w:pPr>
        <w:rPr>
          <w:rFonts w:ascii="Arial" w:hAnsi="Arial" w:cs="Arial"/>
        </w:rPr>
      </w:pPr>
      <w:r w:rsidRPr="0072141F">
        <w:rPr>
          <w:rFonts w:cs="Arial"/>
          <w:noProof/>
          <w:sz w:val="24"/>
          <w:szCs w:val="24"/>
          <w:lang w:eastAsia="en-AU"/>
        </w:rPr>
        <w:drawing>
          <wp:inline distT="0" distB="0" distL="0" distR="0" wp14:anchorId="06ECF3EA" wp14:editId="4B55FA66">
            <wp:extent cx="5730440" cy="2760785"/>
            <wp:effectExtent l="0" t="0" r="3810" b="1905"/>
            <wp:docPr id="2" name="Picture 2" descr="The scheme will apply across three phases from 1 July 2017 to 1 January 2019. Please visit the CCYP website for the full list &lt;https://ccyp.vic.gov. au/reportable-conduct-scheme/ " title="Who does the scheme apply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he scheme will apply across three phases from 1 July 2017 to 1 January 2019. Please visit the CCYP website for the full list &lt;https://ccyp.vic.gov. au/reportable-conduct-scheme/ " title="Who does the scheme apply to?"/>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5731510" cy="2761301"/>
                    </a:xfrm>
                    <a:prstGeom prst="rect">
                      <a:avLst/>
                    </a:prstGeom>
                    <a:noFill/>
                    <a:ln>
                      <a:noFill/>
                    </a:ln>
                    <a:extLst/>
                  </pic:spPr>
                </pic:pic>
              </a:graphicData>
            </a:graphic>
          </wp:inline>
        </w:drawing>
      </w:r>
    </w:p>
    <w:p w14:paraId="686F613F" w14:textId="77777777" w:rsidR="00C81690" w:rsidRPr="00C81690" w:rsidRDefault="00C81690" w:rsidP="00C81690">
      <w:pPr>
        <w:spacing w:before="100" w:beforeAutospacing="1" w:after="100" w:afterAutospacing="1"/>
        <w:rPr>
          <w:rFonts w:ascii="Arial" w:hAnsi="Arial" w:cs="Arial"/>
          <w:bCs/>
          <w:color w:val="000000"/>
        </w:rPr>
      </w:pPr>
      <w:r w:rsidRPr="00C81690">
        <w:rPr>
          <w:rFonts w:ascii="Arial" w:hAnsi="Arial" w:cs="Arial"/>
          <w:lang w:val="en" w:eastAsia="en-AU"/>
        </w:rPr>
        <w:t xml:space="preserve">The reportable conduct scheme complements the Child Safe Standards. More information about the Child Safe Standards is available at </w:t>
      </w:r>
      <w:hyperlink r:id="rId416" w:history="1">
        <w:r w:rsidRPr="00C81690">
          <w:rPr>
            <w:rStyle w:val="Hyperlink"/>
            <w:rFonts w:ascii="Arial" w:hAnsi="Arial" w:cs="Arial"/>
            <w:bCs/>
          </w:rPr>
          <w:t>http://providers.dhhs.vic.gov.au/child-safe-standards</w:t>
        </w:r>
      </w:hyperlink>
      <w:r w:rsidRPr="00C81690">
        <w:rPr>
          <w:rFonts w:ascii="Arial" w:hAnsi="Arial" w:cs="Arial"/>
          <w:bCs/>
          <w:color w:val="000000"/>
        </w:rPr>
        <w:t xml:space="preserve">. </w:t>
      </w:r>
    </w:p>
    <w:p w14:paraId="13F28FF9" w14:textId="77777777" w:rsidR="00C81690" w:rsidRPr="00C81690" w:rsidRDefault="00C81690" w:rsidP="00C81690">
      <w:pPr>
        <w:spacing w:before="100" w:beforeAutospacing="1" w:after="120"/>
        <w:rPr>
          <w:rFonts w:ascii="Arial" w:hAnsi="Arial" w:cs="Arial"/>
          <w:b/>
          <w:lang w:val="en" w:eastAsia="en-AU"/>
        </w:rPr>
      </w:pPr>
      <w:proofErr w:type="spellStart"/>
      <w:r w:rsidRPr="00C81690">
        <w:rPr>
          <w:rFonts w:ascii="Arial" w:hAnsi="Arial" w:cs="Arial"/>
          <w:b/>
          <w:lang w:val="en" w:eastAsia="en-AU"/>
        </w:rPr>
        <w:lastRenderedPageBreak/>
        <w:t>Organisation</w:t>
      </w:r>
      <w:proofErr w:type="spellEnd"/>
      <w:r w:rsidRPr="00C81690">
        <w:rPr>
          <w:rFonts w:ascii="Arial" w:hAnsi="Arial" w:cs="Arial"/>
          <w:b/>
          <w:lang w:val="en" w:eastAsia="en-AU"/>
        </w:rPr>
        <w:t xml:space="preserve"> Requirements </w:t>
      </w:r>
    </w:p>
    <w:p w14:paraId="5B89EE04" w14:textId="6E1A65F2" w:rsidR="00C81690" w:rsidRPr="00C81690" w:rsidRDefault="00C81690" w:rsidP="00C81690">
      <w:pPr>
        <w:pStyle w:val="DHHSbody"/>
        <w:rPr>
          <w:rFonts w:cs="Arial"/>
          <w:lang w:eastAsia="en-AU"/>
        </w:rPr>
      </w:pPr>
      <w:r w:rsidRPr="00C81690">
        <w:rPr>
          <w:rFonts w:cs="Arial"/>
          <w:color w:val="000000"/>
          <w:lang w:eastAsia="en-AU"/>
        </w:rPr>
        <w:t>The reportable conduct scheme is compulsory for all organisations in scope.</w:t>
      </w:r>
      <w:r w:rsidR="006250C7">
        <w:rPr>
          <w:rFonts w:cs="Arial"/>
          <w:color w:val="000000"/>
          <w:lang w:eastAsia="en-AU"/>
        </w:rPr>
        <w:t xml:space="preserve"> </w:t>
      </w:r>
    </w:p>
    <w:p w14:paraId="557CEFE3" w14:textId="77777777" w:rsidR="00C81690" w:rsidRPr="00C81690" w:rsidRDefault="00C81690" w:rsidP="00C81690">
      <w:pPr>
        <w:pStyle w:val="DHHSbody"/>
        <w:rPr>
          <w:rFonts w:cs="Arial"/>
          <w:b/>
          <w:lang w:val="en" w:eastAsia="en-AU"/>
        </w:rPr>
      </w:pPr>
      <w:r w:rsidRPr="00C81690">
        <w:rPr>
          <w:rFonts w:cs="Arial"/>
          <w:lang w:eastAsia="en-AU"/>
        </w:rPr>
        <w:t xml:space="preserve">Organisations should review their existing policies and identify where they need to take further action to comply with the reportable conduct scheme. </w:t>
      </w:r>
    </w:p>
    <w:p w14:paraId="350BA88A" w14:textId="77777777" w:rsidR="00C81690" w:rsidRPr="00C81690" w:rsidRDefault="00C81690" w:rsidP="00C81690">
      <w:pPr>
        <w:spacing w:before="100" w:beforeAutospacing="1" w:after="120"/>
        <w:rPr>
          <w:rFonts w:ascii="Arial" w:hAnsi="Arial" w:cs="Arial"/>
          <w:b/>
          <w:lang w:val="en" w:eastAsia="en-AU"/>
        </w:rPr>
      </w:pPr>
      <w:r w:rsidRPr="00C81690">
        <w:rPr>
          <w:rFonts w:ascii="Arial" w:hAnsi="Arial" w:cs="Arial"/>
          <w:b/>
          <w:lang w:val="en" w:eastAsia="en-AU"/>
        </w:rPr>
        <w:t>Further Information</w:t>
      </w:r>
    </w:p>
    <w:p w14:paraId="1B4D7E24" w14:textId="2943F860" w:rsidR="00C81690" w:rsidRPr="00C81690" w:rsidRDefault="00C81690" w:rsidP="00C81690">
      <w:pPr>
        <w:rPr>
          <w:rFonts w:ascii="Arial" w:hAnsi="Arial" w:cs="Arial"/>
        </w:rPr>
      </w:pPr>
      <w:r w:rsidRPr="00C81690">
        <w:rPr>
          <w:rFonts w:ascii="Arial" w:hAnsi="Arial" w:cs="Arial"/>
          <w:lang w:val="en" w:eastAsia="en-AU"/>
        </w:rPr>
        <w:t xml:space="preserve">More information about the reportable conduct scheme can be found on the </w:t>
      </w:r>
      <w:hyperlink r:id="rId417" w:history="1">
        <w:r w:rsidRPr="00C81690">
          <w:rPr>
            <w:rStyle w:val="Hyperlink"/>
            <w:rFonts w:ascii="Arial" w:hAnsi="Arial" w:cs="Arial"/>
            <w:lang w:val="en" w:eastAsia="en-AU"/>
          </w:rPr>
          <w:t>Com</w:t>
        </w:r>
        <w:r w:rsidRPr="00C81690">
          <w:rPr>
            <w:rStyle w:val="Hyperlink"/>
            <w:rFonts w:ascii="Arial" w:hAnsi="Arial" w:cs="Arial"/>
          </w:rPr>
          <w:t>mission for Children and Young People’s website</w:t>
        </w:r>
      </w:hyperlink>
      <w:r w:rsidRPr="00C81690">
        <w:rPr>
          <w:rFonts w:ascii="Arial" w:hAnsi="Arial" w:cs="Arial"/>
        </w:rPr>
        <w:t xml:space="preserve"> </w:t>
      </w:r>
      <w:r w:rsidR="006250C7">
        <w:rPr>
          <w:rFonts w:ascii="Arial" w:hAnsi="Arial" w:cs="Arial"/>
        </w:rPr>
        <w:t>&lt;</w:t>
      </w:r>
      <w:r w:rsidRPr="00C81690">
        <w:rPr>
          <w:rFonts w:ascii="Arial" w:hAnsi="Arial" w:cs="Arial"/>
        </w:rPr>
        <w:t>https://ccyp.vic.gov.au/reportable-conduct-scheme/</w:t>
      </w:r>
      <w:r>
        <w:rPr>
          <w:rFonts w:ascii="Arial" w:hAnsi="Arial" w:cs="Arial"/>
        </w:rPr>
        <w:t xml:space="preserve">&gt; (external link, </w:t>
      </w:r>
      <w:r w:rsidR="00EA74AB">
        <w:rPr>
          <w:rFonts w:ascii="Arial" w:hAnsi="Arial" w:cs="Arial"/>
        </w:rPr>
        <w:t xml:space="preserve">opens in </w:t>
      </w:r>
      <w:r w:rsidR="00C62565">
        <w:rPr>
          <w:rFonts w:ascii="Arial" w:hAnsi="Arial" w:cs="Arial"/>
        </w:rPr>
        <w:t>a new window</w:t>
      </w:r>
      <w:r>
        <w:rPr>
          <w:rFonts w:ascii="Arial" w:hAnsi="Arial" w:cs="Arial"/>
        </w:rPr>
        <w:t>)</w:t>
      </w:r>
    </w:p>
    <w:p w14:paraId="6B292B56" w14:textId="77777777" w:rsidR="00C81690" w:rsidRPr="00276391" w:rsidRDefault="00C81690" w:rsidP="00856D53">
      <w:pPr>
        <w:pStyle w:val="DHHSbody"/>
        <w:rPr>
          <w:lang w:eastAsia="en-AU"/>
        </w:rPr>
      </w:pPr>
    </w:p>
    <w:p w14:paraId="4AC8EEA0" w14:textId="558573D4" w:rsidR="00856D53" w:rsidRPr="00276391" w:rsidRDefault="00C81690" w:rsidP="00856D53">
      <w:pPr>
        <w:pStyle w:val="Heading2"/>
        <w:rPr>
          <w:rFonts w:cs="Arial"/>
          <w:lang w:eastAsia="en-AU"/>
        </w:rPr>
      </w:pPr>
      <w:bookmarkStart w:id="956" w:name="_Toc4142182"/>
      <w:r>
        <w:rPr>
          <w:rFonts w:cs="Arial"/>
          <w:lang w:eastAsia="en-AU"/>
        </w:rPr>
        <w:t>5.26</w:t>
      </w:r>
      <w:r w:rsidR="00856D53" w:rsidRPr="00276391">
        <w:rPr>
          <w:rFonts w:cs="Arial"/>
          <w:lang w:eastAsia="en-AU"/>
        </w:rPr>
        <w:t xml:space="preserve"> Fraud and Corruption Control Framework</w:t>
      </w:r>
      <w:bookmarkEnd w:id="956"/>
    </w:p>
    <w:p w14:paraId="1900344E" w14:textId="77777777" w:rsidR="00716818" w:rsidRPr="00856D53" w:rsidRDefault="00716818" w:rsidP="00716818">
      <w:pPr>
        <w:pStyle w:val="Heading2"/>
        <w:spacing w:before="0" w:after="0" w:line="240" w:lineRule="auto"/>
        <w:rPr>
          <w:rFonts w:cs="Arial"/>
          <w:b w:val="0"/>
          <w:color w:val="000000"/>
          <w:sz w:val="20"/>
          <w:szCs w:val="20"/>
          <w:lang w:eastAsia="en-AU"/>
        </w:rPr>
      </w:pPr>
      <w:bookmarkStart w:id="957" w:name="_Toc4142183"/>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57"/>
    </w:p>
    <w:p w14:paraId="09C4F2DC" w14:textId="66A5530B" w:rsidR="00856D53" w:rsidRPr="00276391" w:rsidRDefault="00C81690" w:rsidP="00856D53">
      <w:pPr>
        <w:pStyle w:val="Heading2"/>
        <w:rPr>
          <w:rFonts w:cs="Arial"/>
          <w:lang w:eastAsia="en-AU"/>
        </w:rPr>
      </w:pPr>
      <w:bookmarkStart w:id="958" w:name="_Toc4142184"/>
      <w:r>
        <w:rPr>
          <w:rFonts w:cs="Arial"/>
          <w:lang w:eastAsia="en-AU"/>
        </w:rPr>
        <w:t>5.27</w:t>
      </w:r>
      <w:r w:rsidR="00856D53" w:rsidRPr="00276391">
        <w:rPr>
          <w:rFonts w:cs="Arial"/>
          <w:lang w:eastAsia="en-AU"/>
        </w:rPr>
        <w:t xml:space="preserve"> Gifts, Benefits and Hospitality Policy</w:t>
      </w:r>
      <w:bookmarkEnd w:id="958"/>
    </w:p>
    <w:p w14:paraId="37E34F61" w14:textId="77777777" w:rsidR="00716818" w:rsidRPr="00856D53" w:rsidRDefault="00716818" w:rsidP="00716818">
      <w:pPr>
        <w:pStyle w:val="Heading2"/>
        <w:spacing w:before="0" w:after="0" w:line="240" w:lineRule="auto"/>
        <w:rPr>
          <w:rFonts w:cs="Arial"/>
          <w:b w:val="0"/>
          <w:color w:val="000000"/>
          <w:sz w:val="20"/>
          <w:szCs w:val="20"/>
          <w:lang w:eastAsia="en-AU"/>
        </w:rPr>
      </w:pPr>
      <w:bookmarkStart w:id="959" w:name="_Toc4142185"/>
      <w:r>
        <w:rPr>
          <w:rFonts w:cs="Arial"/>
          <w:b w:val="0"/>
          <w:color w:val="000000"/>
          <w:sz w:val="20"/>
          <w:szCs w:val="20"/>
          <w:lang w:eastAsia="en-AU"/>
        </w:rPr>
        <w:t xml:space="preserve">Please contact your Performance and Planning Advisor for information about Department of Education and Training policies, procedures and initiatives </w:t>
      </w:r>
      <w:proofErr w:type="gramStart"/>
      <w:r>
        <w:rPr>
          <w:rFonts w:cs="Arial"/>
          <w:b w:val="0"/>
          <w:color w:val="000000"/>
          <w:sz w:val="20"/>
          <w:szCs w:val="20"/>
          <w:lang w:eastAsia="en-AU"/>
        </w:rPr>
        <w:t>in regards to</w:t>
      </w:r>
      <w:proofErr w:type="gramEnd"/>
      <w:r>
        <w:rPr>
          <w:rFonts w:cs="Arial"/>
          <w:b w:val="0"/>
          <w:color w:val="000000"/>
          <w:sz w:val="20"/>
          <w:szCs w:val="20"/>
          <w:lang w:eastAsia="en-AU"/>
        </w:rPr>
        <w:t xml:space="preserve"> this matter.</w:t>
      </w:r>
      <w:bookmarkEnd w:id="959"/>
    </w:p>
    <w:p w14:paraId="3AD5116D" w14:textId="2CBC8BE4" w:rsidR="00236748" w:rsidRPr="00276391" w:rsidRDefault="00236748" w:rsidP="00934A5A">
      <w:pPr>
        <w:pStyle w:val="Heading1"/>
        <w:rPr>
          <w:lang w:eastAsia="en-AU"/>
        </w:rPr>
      </w:pPr>
      <w:bookmarkStart w:id="960" w:name="_Toc4142186"/>
      <w:r w:rsidRPr="00276391">
        <w:rPr>
          <w:lang w:eastAsia="en-AU"/>
        </w:rPr>
        <w:t>Chapter</w:t>
      </w:r>
      <w:r w:rsidR="009B2351" w:rsidRPr="00276391">
        <w:rPr>
          <w:lang w:eastAsia="en-AU"/>
        </w:rPr>
        <w:t xml:space="preserve"> </w:t>
      </w:r>
      <w:r w:rsidR="00B53AA9">
        <w:rPr>
          <w:lang w:eastAsia="en-AU"/>
        </w:rPr>
        <w:t>6</w:t>
      </w:r>
      <w:r w:rsidRPr="00276391">
        <w:rPr>
          <w:lang w:eastAsia="en-AU"/>
        </w:rPr>
        <w:t>.</w:t>
      </w:r>
      <w:r w:rsidR="009B2351" w:rsidRPr="00276391">
        <w:rPr>
          <w:lang w:eastAsia="en-AU"/>
        </w:rPr>
        <w:t xml:space="preserve"> </w:t>
      </w:r>
      <w:r w:rsidRPr="00276391">
        <w:rPr>
          <w:lang w:eastAsia="en-AU"/>
        </w:rPr>
        <w:t>Service</w:t>
      </w:r>
      <w:r w:rsidR="009B2351" w:rsidRPr="00276391">
        <w:rPr>
          <w:lang w:eastAsia="en-AU"/>
        </w:rPr>
        <w:t xml:space="preserve"> </w:t>
      </w:r>
      <w:r w:rsidRPr="00276391">
        <w:rPr>
          <w:lang w:eastAsia="en-AU"/>
        </w:rPr>
        <w:t>plan</w:t>
      </w:r>
      <w:r w:rsidR="009B2351" w:rsidRPr="00276391">
        <w:rPr>
          <w:lang w:eastAsia="en-AU"/>
        </w:rPr>
        <w:t xml:space="preserve"> </w:t>
      </w:r>
      <w:r w:rsidRPr="00276391">
        <w:rPr>
          <w:lang w:eastAsia="en-AU"/>
        </w:rPr>
        <w:t>and</w:t>
      </w:r>
      <w:r w:rsidR="009B2351" w:rsidRPr="00276391">
        <w:rPr>
          <w:lang w:eastAsia="en-AU"/>
        </w:rPr>
        <w:t xml:space="preserve"> </w:t>
      </w:r>
      <w:r w:rsidRPr="00276391">
        <w:rPr>
          <w:lang w:eastAsia="en-AU"/>
        </w:rPr>
        <w:t>funding</w:t>
      </w:r>
      <w:r w:rsidR="009B2351" w:rsidRPr="00276391">
        <w:rPr>
          <w:lang w:eastAsia="en-AU"/>
        </w:rPr>
        <w:t xml:space="preserve"> </w:t>
      </w:r>
      <w:r w:rsidRPr="00276391">
        <w:rPr>
          <w:lang w:eastAsia="en-AU"/>
        </w:rPr>
        <w:t>information</w:t>
      </w:r>
      <w:bookmarkEnd w:id="911"/>
      <w:bookmarkEnd w:id="912"/>
      <w:bookmarkEnd w:id="913"/>
      <w:bookmarkEnd w:id="960"/>
    </w:p>
    <w:p w14:paraId="1B0A68E1" w14:textId="7B5041C0" w:rsidR="00236748" w:rsidRPr="00276391" w:rsidRDefault="00B53AA9" w:rsidP="009B2351">
      <w:pPr>
        <w:pStyle w:val="Heading2"/>
        <w:rPr>
          <w:rFonts w:cs="Arial"/>
          <w:lang w:eastAsia="en-AU"/>
        </w:rPr>
      </w:pPr>
      <w:bookmarkStart w:id="961" w:name="_Toc478992272"/>
      <w:bookmarkStart w:id="962" w:name="_Toc478992530"/>
      <w:bookmarkStart w:id="963" w:name="_Toc478992942"/>
      <w:bookmarkStart w:id="964" w:name="_Toc4142187"/>
      <w:r>
        <w:rPr>
          <w:rFonts w:cs="Arial"/>
          <w:lang w:eastAsia="en-AU"/>
        </w:rPr>
        <w:t>6</w:t>
      </w:r>
      <w:r w:rsidR="00236748" w:rsidRPr="00276391">
        <w:rPr>
          <w:rFonts w:cs="Arial"/>
          <w:lang w:eastAsia="en-AU"/>
        </w:rPr>
        <w:t>.1</w:t>
      </w:r>
      <w:r w:rsidR="009B2351" w:rsidRPr="00276391">
        <w:rPr>
          <w:rFonts w:cs="Arial"/>
          <w:lang w:eastAsia="en-AU"/>
        </w:rPr>
        <w:t xml:space="preserve"> </w:t>
      </w:r>
      <w:r w:rsidR="00236748" w:rsidRPr="00276391">
        <w:rPr>
          <w:rFonts w:cs="Arial"/>
          <w:lang w:eastAsia="en-AU"/>
        </w:rPr>
        <w:t>Overview</w:t>
      </w:r>
      <w:r w:rsidR="009B2351" w:rsidRPr="00276391">
        <w:rPr>
          <w:rFonts w:cs="Arial"/>
          <w:lang w:eastAsia="en-AU"/>
        </w:rPr>
        <w:t xml:space="preserve"> </w:t>
      </w:r>
      <w:r w:rsidR="00236748" w:rsidRPr="00276391">
        <w:rPr>
          <w:rFonts w:cs="Arial"/>
          <w:lang w:eastAsia="en-AU"/>
        </w:rPr>
        <w:t>of</w:t>
      </w:r>
      <w:r w:rsidR="009B2351" w:rsidRPr="00276391">
        <w:rPr>
          <w:rFonts w:cs="Arial"/>
          <w:lang w:eastAsia="en-AU"/>
        </w:rPr>
        <w:t xml:space="preserve"> </w:t>
      </w:r>
      <w:r w:rsidR="00236748" w:rsidRPr="00276391">
        <w:rPr>
          <w:rFonts w:cs="Arial"/>
          <w:lang w:eastAsia="en-AU"/>
        </w:rPr>
        <w:t>schedules</w:t>
      </w:r>
      <w:r w:rsidR="009B2351" w:rsidRPr="00276391">
        <w:rPr>
          <w:rFonts w:cs="Arial"/>
          <w:lang w:eastAsia="en-AU"/>
        </w:rPr>
        <w:t xml:space="preserve"> </w:t>
      </w:r>
      <w:r w:rsidR="00236748" w:rsidRPr="00276391">
        <w:rPr>
          <w:rFonts w:cs="Arial"/>
          <w:lang w:eastAsia="en-AU"/>
        </w:rPr>
        <w:t>2</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3</w:t>
      </w:r>
      <w:bookmarkEnd w:id="961"/>
      <w:bookmarkEnd w:id="962"/>
      <w:bookmarkEnd w:id="963"/>
      <w:bookmarkEnd w:id="964"/>
    </w:p>
    <w:p w14:paraId="796630E3" w14:textId="29C41650" w:rsidR="00236748" w:rsidRPr="00276391" w:rsidRDefault="00236748" w:rsidP="00276391">
      <w:pPr>
        <w:pStyle w:val="DHHSbody"/>
        <w:rPr>
          <w:lang w:eastAsia="en-AU"/>
        </w:rPr>
      </w:pP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plan</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schedules</w:t>
      </w:r>
      <w:r w:rsidR="005D5532" w:rsidRPr="00B24C02">
        <w:rPr>
          <w:rFonts w:cs="Arial"/>
          <w:color w:val="000000"/>
          <w:szCs w:val="19"/>
          <w:lang w:eastAsia="en-AU"/>
        </w:rPr>
        <w:t xml:space="preserve"> </w:t>
      </w:r>
      <w:r w:rsidRPr="00B24C02">
        <w:rPr>
          <w:rFonts w:cs="Arial"/>
          <w:color w:val="000000"/>
          <w:szCs w:val="19"/>
          <w:lang w:eastAsia="en-AU"/>
        </w:rPr>
        <w:t>2</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3</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606E7AA9" w14:textId="77777777" w:rsidR="00236748" w:rsidRPr="00276391" w:rsidRDefault="00236748" w:rsidP="00276391">
      <w:pPr>
        <w:pStyle w:val="DHHSbody"/>
        <w:rPr>
          <w:lang w:eastAsia="en-AU"/>
        </w:rPr>
      </w:pPr>
      <w:r w:rsidRPr="00276391">
        <w:rPr>
          <w:lang w:eastAsia="en-AU"/>
        </w:rPr>
        <w:t>Schedule</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provides:</w:t>
      </w:r>
    </w:p>
    <w:p w14:paraId="09648B87" w14:textId="77777777" w:rsidR="00236748" w:rsidRPr="00276391" w:rsidRDefault="00236748" w:rsidP="00934A5A">
      <w:pPr>
        <w:pStyle w:val="DHHSbullet1"/>
        <w:rPr>
          <w:lang w:eastAsia="en-AU"/>
        </w:rPr>
      </w:pPr>
      <w:r w:rsidRPr="00276391">
        <w:rPr>
          <w:lang w:eastAsia="en-AU"/>
        </w:rPr>
        <w:t>a</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summary</w:t>
      </w:r>
      <w:r w:rsidR="005D5532" w:rsidRPr="00276391">
        <w:rPr>
          <w:lang w:eastAsia="en-AU"/>
        </w:rPr>
        <w:t xml:space="preserve"> </w:t>
      </w:r>
    </w:p>
    <w:p w14:paraId="71495D42" w14:textId="77777777" w:rsidR="00236748" w:rsidRPr="00276391" w:rsidRDefault="00236748" w:rsidP="00934A5A">
      <w:pPr>
        <w:pStyle w:val="DHHSbullet1"/>
        <w:rPr>
          <w:lang w:eastAsia="en-AU"/>
        </w:rPr>
      </w:pPr>
      <w:r w:rsidRPr="00276391">
        <w:rPr>
          <w:lang w:eastAsia="en-AU"/>
        </w:rPr>
        <w:t>an</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level</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p>
    <w:p w14:paraId="268B950E" w14:textId="77777777" w:rsidR="00236748" w:rsidRPr="00276391" w:rsidRDefault="00236748" w:rsidP="00934A5A">
      <w:pPr>
        <w:pStyle w:val="DHHSbullet1"/>
        <w:rPr>
          <w:lang w:eastAsia="en-AU"/>
        </w:rPr>
      </w:pPr>
      <w:r w:rsidRPr="00276391">
        <w:rPr>
          <w:lang w:eastAsia="en-AU"/>
        </w:rPr>
        <w:t>data</w:t>
      </w:r>
      <w:r w:rsidR="005D5532" w:rsidRPr="00276391">
        <w:rPr>
          <w:lang w:eastAsia="en-AU"/>
        </w:rPr>
        <w:t xml:space="preserve"> </w:t>
      </w:r>
      <w:r w:rsidRPr="00276391">
        <w:rPr>
          <w:lang w:eastAsia="en-AU"/>
        </w:rPr>
        <w:t>collection</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reporting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data</w:t>
      </w:r>
      <w:r w:rsidR="005D5532" w:rsidRPr="00276391">
        <w:rPr>
          <w:lang w:eastAsia="en-AU"/>
        </w:rPr>
        <w:t xml:space="preserve"> </w:t>
      </w:r>
      <w:r w:rsidRPr="00276391">
        <w:rPr>
          <w:lang w:eastAsia="en-AU"/>
        </w:rPr>
        <w:t>reporting)</w:t>
      </w:r>
      <w:r w:rsidR="005D5532" w:rsidRPr="00276391">
        <w:rPr>
          <w:lang w:eastAsia="en-AU"/>
        </w:rPr>
        <w:t xml:space="preserve"> </w:t>
      </w:r>
    </w:p>
    <w:p w14:paraId="53E1F91A" w14:textId="77777777" w:rsidR="00236748" w:rsidRPr="00276391" w:rsidRDefault="00236748" w:rsidP="00276391">
      <w:pPr>
        <w:pStyle w:val="DHHSbullet1"/>
        <w:rPr>
          <w:lang w:eastAsia="en-AU"/>
        </w:rPr>
      </w:pP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including:</w:t>
      </w:r>
      <w:r w:rsidR="005D5532" w:rsidRPr="00276391">
        <w:rPr>
          <w:lang w:eastAsia="en-AU"/>
        </w:rPr>
        <w:t xml:space="preserve"> </w:t>
      </w:r>
    </w:p>
    <w:p w14:paraId="1F1E2B12" w14:textId="77777777" w:rsidR="00236748" w:rsidRPr="00276391" w:rsidRDefault="00236748" w:rsidP="00934A5A">
      <w:pPr>
        <w:pStyle w:val="DHHSbullet2"/>
        <w:rPr>
          <w:lang w:eastAsia="en-AU"/>
        </w:rPr>
      </w:pPr>
      <w:r w:rsidRPr="00276391">
        <w:rPr>
          <w:lang w:eastAsia="en-AU"/>
        </w:rPr>
        <w:t>services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p>
    <w:p w14:paraId="63671619" w14:textId="77777777" w:rsidR="00236748" w:rsidRPr="00276391" w:rsidRDefault="00236748" w:rsidP="00934A5A">
      <w:pPr>
        <w:pStyle w:val="DHHSbullet2"/>
        <w:rPr>
          <w:lang w:eastAsia="en-AU"/>
        </w:rPr>
      </w:pPr>
      <w:r w:rsidRPr="00276391">
        <w:rPr>
          <w:lang w:eastAsia="en-AU"/>
        </w:rPr>
        <w:t>funding</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by</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services</w:t>
      </w:r>
      <w:r w:rsidR="005D5532" w:rsidRPr="00276391">
        <w:rPr>
          <w:lang w:eastAsia="en-AU"/>
        </w:rPr>
        <w:t xml:space="preserve"> </w:t>
      </w:r>
    </w:p>
    <w:p w14:paraId="04C79EA5" w14:textId="77777777" w:rsidR="00236748" w:rsidRPr="00276391" w:rsidRDefault="00236748" w:rsidP="00934A5A">
      <w:pPr>
        <w:pStyle w:val="DHHSbullet2"/>
        <w:rPr>
          <w:lang w:eastAsia="en-AU"/>
        </w:rPr>
      </w:pPr>
      <w:r w:rsidRPr="00276391">
        <w:rPr>
          <w:lang w:eastAsia="en-AU"/>
        </w:rPr>
        <w:t>service</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measures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targets</w:t>
      </w:r>
      <w:r w:rsidR="005D5532" w:rsidRPr="00276391">
        <w:rPr>
          <w:lang w:eastAsia="en-AU"/>
        </w:rPr>
        <w:t xml:space="preserve"> </w:t>
      </w:r>
    </w:p>
    <w:p w14:paraId="791DC015" w14:textId="77777777" w:rsidR="00236748" w:rsidRPr="00276391" w:rsidRDefault="00236748" w:rsidP="00934A5A">
      <w:pPr>
        <w:pStyle w:val="DHHSbullet2"/>
        <w:rPr>
          <w:lang w:eastAsia="en-AU"/>
        </w:rPr>
      </w:pP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catchment</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applicable</w:t>
      </w:r>
      <w:r w:rsidR="005D5532" w:rsidRPr="00276391">
        <w:rPr>
          <w:lang w:eastAsia="en-AU"/>
        </w:rPr>
        <w:t xml:space="preserve"> </w:t>
      </w:r>
    </w:p>
    <w:p w14:paraId="055EE2EA" w14:textId="77777777" w:rsidR="00236748" w:rsidRPr="00276391" w:rsidRDefault="00236748" w:rsidP="00934A5A">
      <w:pPr>
        <w:pStyle w:val="DHHSbullet2"/>
        <w:rPr>
          <w:lang w:eastAsia="en-AU"/>
        </w:rPr>
      </w:pPr>
      <w:r w:rsidRPr="00276391">
        <w:rPr>
          <w:lang w:eastAsia="en-AU"/>
        </w:rPr>
        <w:t>any</w:t>
      </w:r>
      <w:r w:rsidR="005D5532" w:rsidRPr="00276391">
        <w:rPr>
          <w:lang w:eastAsia="en-AU"/>
        </w:rPr>
        <w:t xml:space="preserve"> </w:t>
      </w:r>
      <w:r w:rsidRPr="00276391">
        <w:rPr>
          <w:lang w:eastAsia="en-AU"/>
        </w:rPr>
        <w:t>additional</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related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activity.</w:t>
      </w:r>
      <w:r w:rsidR="005D5532" w:rsidRPr="00276391">
        <w:rPr>
          <w:lang w:eastAsia="en-AU"/>
        </w:rPr>
        <w:t xml:space="preserve"> </w:t>
      </w:r>
    </w:p>
    <w:p w14:paraId="2433D319" w14:textId="77777777" w:rsidR="00236748" w:rsidRPr="00276391" w:rsidRDefault="00236748" w:rsidP="00276391">
      <w:pPr>
        <w:pStyle w:val="DHHSbody"/>
        <w:rPr>
          <w:lang w:eastAsia="en-AU"/>
        </w:rPr>
      </w:pPr>
      <w:r w:rsidRPr="00276391">
        <w:rPr>
          <w:lang w:eastAsia="en-AU"/>
        </w:rPr>
        <w:t>Schedule</w:t>
      </w:r>
      <w:r w:rsidR="005D5532" w:rsidRPr="00276391">
        <w:rPr>
          <w:lang w:eastAsia="en-AU"/>
        </w:rPr>
        <w:t xml:space="preserve"> </w:t>
      </w:r>
      <w:r w:rsidRPr="00276391">
        <w:rPr>
          <w:lang w:eastAsia="en-AU"/>
        </w:rPr>
        <w:t>3</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optional</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which</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used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requirements.</w:t>
      </w:r>
      <w:r w:rsidR="005D5532" w:rsidRPr="00276391">
        <w:rPr>
          <w:lang w:eastAsia="en-AU"/>
        </w:rPr>
        <w:t xml:space="preserve"> </w:t>
      </w:r>
    </w:p>
    <w:p w14:paraId="73362060" w14:textId="3C00EECE" w:rsidR="00236748" w:rsidRPr="00276391" w:rsidRDefault="00B53AA9" w:rsidP="009B2351">
      <w:pPr>
        <w:pStyle w:val="Heading2"/>
        <w:rPr>
          <w:rFonts w:cs="Arial"/>
          <w:lang w:eastAsia="en-AU"/>
        </w:rPr>
      </w:pPr>
      <w:bookmarkStart w:id="965" w:name="_5.2_Funding_summary"/>
      <w:bookmarkStart w:id="966" w:name="_5.2_Funding_summary_1"/>
      <w:bookmarkStart w:id="967" w:name="_Toc478992273"/>
      <w:bookmarkStart w:id="968" w:name="_Toc478992531"/>
      <w:bookmarkStart w:id="969" w:name="_Toc478992943"/>
      <w:bookmarkStart w:id="970" w:name="_Toc4142188"/>
      <w:bookmarkEnd w:id="965"/>
      <w:bookmarkEnd w:id="966"/>
      <w:r>
        <w:rPr>
          <w:rFonts w:cs="Arial"/>
          <w:lang w:eastAsia="en-AU"/>
        </w:rPr>
        <w:t>6</w:t>
      </w:r>
      <w:r w:rsidR="00236748" w:rsidRPr="00276391">
        <w:rPr>
          <w:rFonts w:cs="Arial"/>
          <w:lang w:eastAsia="en-AU"/>
        </w:rPr>
        <w:t>.2</w:t>
      </w:r>
      <w:r w:rsidR="009B2351" w:rsidRPr="00276391">
        <w:rPr>
          <w:rFonts w:cs="Arial"/>
          <w:lang w:eastAsia="en-AU"/>
        </w:rPr>
        <w:t xml:space="preserve"> </w:t>
      </w:r>
      <w:r w:rsidR="00236748" w:rsidRPr="00276391">
        <w:rPr>
          <w:rFonts w:cs="Arial"/>
          <w:lang w:eastAsia="en-AU"/>
        </w:rPr>
        <w:t>Funding</w:t>
      </w:r>
      <w:r w:rsidR="009B2351" w:rsidRPr="00276391">
        <w:rPr>
          <w:rFonts w:cs="Arial"/>
          <w:lang w:eastAsia="en-AU"/>
        </w:rPr>
        <w:t xml:space="preserve"> </w:t>
      </w:r>
      <w:r w:rsidR="00236748" w:rsidRPr="00276391">
        <w:rPr>
          <w:rFonts w:cs="Arial"/>
          <w:lang w:eastAsia="en-AU"/>
        </w:rPr>
        <w:t>summary</w:t>
      </w:r>
      <w:r w:rsidR="009B2351" w:rsidRPr="00276391">
        <w:rPr>
          <w:rFonts w:cs="Arial"/>
          <w:lang w:eastAsia="en-AU"/>
        </w:rPr>
        <w:t xml:space="preserve"> </w:t>
      </w:r>
      <w:r w:rsidR="00236748" w:rsidRPr="00276391">
        <w:rPr>
          <w:rFonts w:cs="Arial"/>
          <w:lang w:eastAsia="en-AU"/>
        </w:rPr>
        <w:t>and</w:t>
      </w:r>
      <w:r w:rsidR="009B2351" w:rsidRPr="00276391">
        <w:rPr>
          <w:rFonts w:cs="Arial"/>
          <w:lang w:eastAsia="en-AU"/>
        </w:rPr>
        <w:t xml:space="preserve"> </w:t>
      </w:r>
      <w:r w:rsidR="00236748" w:rsidRPr="00276391">
        <w:rPr>
          <w:rFonts w:cs="Arial"/>
          <w:lang w:eastAsia="en-AU"/>
        </w:rPr>
        <w:t>payment</w:t>
      </w:r>
      <w:r w:rsidR="009B2351" w:rsidRPr="00276391">
        <w:rPr>
          <w:rFonts w:cs="Arial"/>
          <w:lang w:eastAsia="en-AU"/>
        </w:rPr>
        <w:t xml:space="preserve"> </w:t>
      </w:r>
      <w:r w:rsidR="00236748" w:rsidRPr="00276391">
        <w:rPr>
          <w:rFonts w:cs="Arial"/>
          <w:lang w:eastAsia="en-AU"/>
        </w:rPr>
        <w:t>schedule</w:t>
      </w:r>
      <w:bookmarkEnd w:id="967"/>
      <w:bookmarkEnd w:id="968"/>
      <w:bookmarkEnd w:id="969"/>
      <w:bookmarkEnd w:id="970"/>
    </w:p>
    <w:p w14:paraId="4BE5D547" w14:textId="1B23FF7E" w:rsidR="00236748" w:rsidRPr="00276391" w:rsidRDefault="00236748" w:rsidP="006B4C1C">
      <w:pPr>
        <w:pStyle w:val="DHHSbody"/>
        <w:rPr>
          <w:lang w:eastAsia="en-AU"/>
        </w:rPr>
      </w:pP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section</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contained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summary</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located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2</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6B4C1C">
        <w:rPr>
          <w:rFonts w:cs="Arial"/>
          <w:color w:val="000000"/>
          <w:szCs w:val="19"/>
          <w:lang w:eastAsia="en-AU"/>
        </w:rPr>
        <w:t>.</w:t>
      </w:r>
    </w:p>
    <w:p w14:paraId="4B33D5CA" w14:textId="57CBFD5E" w:rsidR="00236748" w:rsidRPr="00276391" w:rsidRDefault="00B53AA9" w:rsidP="00934A5A">
      <w:pPr>
        <w:pStyle w:val="Heading3"/>
        <w:rPr>
          <w:lang w:eastAsia="en-AU"/>
        </w:rPr>
      </w:pPr>
      <w:bookmarkStart w:id="971" w:name="_Toc478992274"/>
      <w:bookmarkStart w:id="972" w:name="_Toc478992532"/>
      <w:bookmarkStart w:id="973" w:name="_Toc4142189"/>
      <w:r>
        <w:rPr>
          <w:lang w:eastAsia="en-AU"/>
        </w:rPr>
        <w:lastRenderedPageBreak/>
        <w:t>6</w:t>
      </w:r>
      <w:r w:rsidR="00236748" w:rsidRPr="00276391">
        <w:rPr>
          <w:lang w:eastAsia="en-AU"/>
        </w:rPr>
        <w:t>.2.1</w:t>
      </w:r>
      <w:r w:rsidR="009B2351" w:rsidRPr="00276391">
        <w:rPr>
          <w:lang w:eastAsia="en-AU"/>
        </w:rPr>
        <w:t xml:space="preserve"> </w:t>
      </w:r>
      <w:r w:rsidR="00236748" w:rsidRPr="00276391">
        <w:rPr>
          <w:lang w:eastAsia="en-AU"/>
        </w:rPr>
        <w:t>Funding</w:t>
      </w:r>
      <w:r w:rsidR="009B2351" w:rsidRPr="00276391">
        <w:rPr>
          <w:lang w:eastAsia="en-AU"/>
        </w:rPr>
        <w:t xml:space="preserve"> </w:t>
      </w:r>
      <w:r w:rsidR="00236748" w:rsidRPr="00276391">
        <w:rPr>
          <w:lang w:eastAsia="en-AU"/>
        </w:rPr>
        <w:t>summary</w:t>
      </w:r>
      <w:r w:rsidR="009B2351" w:rsidRPr="00276391">
        <w:rPr>
          <w:lang w:eastAsia="en-AU"/>
        </w:rPr>
        <w:t xml:space="preserve"> </w:t>
      </w:r>
      <w:r w:rsidR="00236748" w:rsidRPr="00276391">
        <w:rPr>
          <w:lang w:eastAsia="en-AU"/>
        </w:rPr>
        <w:t>and</w:t>
      </w:r>
      <w:r w:rsidR="009B2351" w:rsidRPr="00276391">
        <w:rPr>
          <w:lang w:eastAsia="en-AU"/>
        </w:rPr>
        <w:t xml:space="preserve"> </w:t>
      </w:r>
      <w:r w:rsidR="00236748" w:rsidRPr="00276391">
        <w:rPr>
          <w:lang w:eastAsia="en-AU"/>
        </w:rPr>
        <w:t>funding</w:t>
      </w:r>
      <w:r w:rsidR="009B2351" w:rsidRPr="00276391">
        <w:rPr>
          <w:lang w:eastAsia="en-AU"/>
        </w:rPr>
        <w:t xml:space="preserve"> </w:t>
      </w:r>
      <w:r w:rsidR="00236748" w:rsidRPr="00276391">
        <w:rPr>
          <w:lang w:eastAsia="en-AU"/>
        </w:rPr>
        <w:t>types</w:t>
      </w:r>
      <w:bookmarkEnd w:id="971"/>
      <w:bookmarkEnd w:id="972"/>
      <w:bookmarkEnd w:id="973"/>
    </w:p>
    <w:p w14:paraId="1E9D8DC9" w14:textId="77777777" w:rsidR="00236748" w:rsidRPr="00276391" w:rsidRDefault="00236748" w:rsidP="00934A5A">
      <w:pPr>
        <w:pStyle w:val="Heading4"/>
        <w:rPr>
          <w:lang w:eastAsia="en-AU"/>
        </w:rPr>
      </w:pPr>
      <w:bookmarkStart w:id="974" w:name="_Toc478992275"/>
      <w:r w:rsidRPr="00276391">
        <w:rPr>
          <w:lang w:eastAsia="en-AU"/>
        </w:rPr>
        <w:t>Funding</w:t>
      </w:r>
      <w:r w:rsidR="005D5532" w:rsidRPr="00276391">
        <w:rPr>
          <w:lang w:eastAsia="en-AU"/>
        </w:rPr>
        <w:t xml:space="preserve"> </w:t>
      </w:r>
      <w:r w:rsidRPr="00276391">
        <w:rPr>
          <w:lang w:eastAsia="en-AU"/>
        </w:rPr>
        <w:t>summary</w:t>
      </w:r>
      <w:bookmarkEnd w:id="974"/>
    </w:p>
    <w:p w14:paraId="1D5524F9" w14:textId="3874A778"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summary</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2</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lists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total</w:t>
      </w:r>
      <w:r w:rsidR="005D5532" w:rsidRPr="00B24C02">
        <w:rPr>
          <w:rFonts w:cs="Arial"/>
          <w:color w:val="000000"/>
          <w:szCs w:val="19"/>
          <w:lang w:eastAsia="en-AU"/>
        </w:rPr>
        <w:t xml:space="preserve"> </w:t>
      </w:r>
      <w:r w:rsidRPr="00B24C02">
        <w:rPr>
          <w:rFonts w:cs="Arial"/>
          <w:color w:val="000000"/>
          <w:szCs w:val="19"/>
          <w:lang w:eastAsia="en-AU"/>
        </w:rPr>
        <w:t>annual</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receive</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it</w:t>
      </w:r>
      <w:r w:rsidR="005D5532" w:rsidRPr="00B24C02">
        <w:rPr>
          <w:rFonts w:cs="Arial"/>
          <w:color w:val="000000"/>
          <w:szCs w:val="19"/>
          <w:lang w:eastAsia="en-AU"/>
        </w:rPr>
        <w:t xml:space="preserve"> </w:t>
      </w:r>
      <w:r w:rsidRPr="00B24C02">
        <w:rPr>
          <w:rFonts w:cs="Arial"/>
          <w:color w:val="000000"/>
          <w:szCs w:val="19"/>
          <w:lang w:eastAsia="en-AU"/>
        </w:rPr>
        <w:t>delivers.</w:t>
      </w:r>
      <w:r w:rsidR="005D5532" w:rsidRPr="00B24C02">
        <w:rPr>
          <w:rFonts w:cs="Arial"/>
          <w:color w:val="000000"/>
          <w:szCs w:val="19"/>
          <w:lang w:eastAsia="en-AU"/>
        </w:rPr>
        <w:t xml:space="preserve"> </w:t>
      </w:r>
      <w:r w:rsidRPr="00B24C02">
        <w:rPr>
          <w:rFonts w:cs="Arial"/>
          <w:color w:val="000000"/>
          <w:szCs w:val="19"/>
          <w:lang w:eastAsia="en-AU"/>
        </w:rPr>
        <w:t>This</w:t>
      </w:r>
      <w:r w:rsidR="005D5532" w:rsidRPr="00B24C02">
        <w:rPr>
          <w:rFonts w:cs="Arial"/>
          <w:color w:val="000000"/>
          <w:szCs w:val="19"/>
          <w:lang w:eastAsia="en-AU"/>
        </w:rPr>
        <w:t xml:space="preserve"> </w:t>
      </w:r>
      <w:r w:rsidRPr="00B24C02">
        <w:rPr>
          <w:rFonts w:cs="Arial"/>
          <w:color w:val="000000"/>
          <w:szCs w:val="19"/>
          <w:lang w:eastAsia="en-AU"/>
        </w:rPr>
        <w:t>funding</w:t>
      </w:r>
      <w:r w:rsidR="005D5532" w:rsidRPr="00B24C02">
        <w:rPr>
          <w:rFonts w:cs="Arial"/>
          <w:color w:val="000000"/>
          <w:szCs w:val="19"/>
          <w:lang w:eastAsia="en-AU"/>
        </w:rPr>
        <w:t xml:space="preserve"> </w:t>
      </w:r>
      <w:r w:rsidRPr="00B24C02">
        <w:rPr>
          <w:rFonts w:cs="Arial"/>
          <w:color w:val="000000"/>
          <w:szCs w:val="19"/>
          <w:lang w:eastAsia="en-AU"/>
        </w:rPr>
        <w:t>information</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provided</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each</w:t>
      </w:r>
      <w:r w:rsidR="005D5532" w:rsidRPr="00B24C02">
        <w:rPr>
          <w:rFonts w:cs="Arial"/>
          <w:color w:val="000000"/>
          <w:szCs w:val="19"/>
          <w:lang w:eastAsia="en-AU"/>
        </w:rPr>
        <w:t xml:space="preserve"> </w:t>
      </w:r>
      <w:r w:rsidRPr="00B24C02">
        <w:rPr>
          <w:rFonts w:cs="Arial"/>
          <w:color w:val="000000"/>
          <w:szCs w:val="19"/>
          <w:lang w:eastAsia="en-AU"/>
        </w:rPr>
        <w:t>applicable</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Pr="00B24C02">
        <w:rPr>
          <w:rFonts w:cs="Arial"/>
          <w:color w:val="000000"/>
          <w:szCs w:val="19"/>
          <w:lang w:eastAsia="en-AU"/>
        </w:rPr>
        <w:t>.</w:t>
      </w:r>
    </w:p>
    <w:p w14:paraId="66782CD6" w14:textId="77777777" w:rsidR="00236748" w:rsidRPr="00276391" w:rsidRDefault="00236748" w:rsidP="00276391">
      <w:pPr>
        <w:pStyle w:val="DHHSbody"/>
        <w:rPr>
          <w:lang w:eastAsia="en-AU"/>
        </w:rPr>
      </w:pPr>
      <w:r w:rsidRPr="00276391">
        <w:rPr>
          <w:lang w:eastAsia="en-AU"/>
        </w:rPr>
        <w:t>Funding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payment</w:t>
      </w:r>
      <w:r w:rsidR="005D5532" w:rsidRPr="00276391">
        <w:rPr>
          <w:lang w:eastAsia="en-AU"/>
        </w:rPr>
        <w:t xml:space="preserve"> </w:t>
      </w:r>
      <w:proofErr w:type="gramStart"/>
      <w:r w:rsidRPr="00276391">
        <w:rPr>
          <w:lang w:eastAsia="en-AU"/>
        </w:rPr>
        <w:t>amounts</w:t>
      </w:r>
      <w:proofErr w:type="gramEnd"/>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2</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exclusive</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Goods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Tax</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payable,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added</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time</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made.</w:t>
      </w:r>
    </w:p>
    <w:p w14:paraId="2B5CF96A" w14:textId="1B0DB997" w:rsidR="00236748" w:rsidRPr="00276391" w:rsidRDefault="00236748" w:rsidP="00276391">
      <w:pPr>
        <w:pStyle w:val="DHHSbody"/>
        <w:rPr>
          <w:lang w:eastAsia="en-AU"/>
        </w:rPr>
      </w:pPr>
      <w:r w:rsidRPr="00276391">
        <w:rPr>
          <w:lang w:eastAsia="en-AU"/>
        </w:rPr>
        <w:t>Organisations</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via</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Invoices</w:t>
      </w:r>
      <w:r w:rsidR="005D5532" w:rsidRPr="00276391">
        <w:rPr>
          <w:lang w:eastAsia="en-AU"/>
        </w:rPr>
        <w:t xml:space="preserve"> </w:t>
      </w:r>
      <w:r w:rsidRPr="00276391">
        <w:rPr>
          <w:lang w:eastAsia="en-AU"/>
        </w:rPr>
        <w:t>tab</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418" w:tgtFrame="_blank" w:tooltip="link to the Funded Agency Channel website" w:history="1">
        <w:r w:rsidR="00296DCA">
          <w:rPr>
            <w:rStyle w:val="Hyperlink"/>
          </w:rPr>
          <w:t>Funded agency channel</w:t>
        </w:r>
      </w:hyperlink>
      <w:r w:rsidR="00C14B1A" w:rsidRPr="00276391">
        <w:rPr>
          <w:lang w:eastAsia="en-AU"/>
        </w:rPr>
        <w:t xml:space="preserve"> </w:t>
      </w:r>
      <w:r w:rsidR="00C14B1A">
        <w:rPr>
          <w:lang w:eastAsia="en-AU"/>
        </w:rPr>
        <w:t>&lt;</w:t>
      </w:r>
      <w:r w:rsidR="007D2844" w:rsidRPr="007D2844">
        <w:rPr>
          <w:lang w:eastAsia="en-AU"/>
        </w:rPr>
        <w:t>https://fac.dhhs.vic.gov.au</w:t>
      </w:r>
      <w:r w:rsidR="00C14B1A">
        <w:rPr>
          <w:lang w:eastAsia="en-AU"/>
        </w:rPr>
        <w:t>&gt;</w:t>
      </w:r>
      <w:r w:rsidR="00CC014B">
        <w:rPr>
          <w:lang w:eastAsia="en-AU"/>
        </w:rPr>
        <w:t xml:space="preserve"> (external link, opens in a new window)</w:t>
      </w:r>
      <w:r w:rsidRPr="00276391">
        <w:rPr>
          <w:lang w:eastAsia="en-AU"/>
        </w:rPr>
        <w:t>.</w:t>
      </w:r>
    </w:p>
    <w:p w14:paraId="28D93206" w14:textId="5382AB71" w:rsidR="00236748" w:rsidRPr="00276391" w:rsidRDefault="00236748" w:rsidP="00276391">
      <w:pPr>
        <w:pStyle w:val="DHHSbody"/>
        <w:rPr>
          <w:lang w:eastAsia="en-AU"/>
        </w:rPr>
      </w:pPr>
      <w:r w:rsidRPr="00276391">
        <w:rPr>
          <w:lang w:eastAsia="en-AU"/>
        </w:rPr>
        <w:t>Projected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proofErr w:type="gramStart"/>
      <w:r w:rsidRPr="00276391">
        <w:rPr>
          <w:lang w:eastAsia="en-AU"/>
        </w:rPr>
        <w:t>four</w:t>
      </w:r>
      <w:r w:rsidR="005D5532" w:rsidRPr="00276391">
        <w:rPr>
          <w:lang w:eastAsia="en-AU"/>
        </w:rPr>
        <w:t xml:space="preserve"> </w:t>
      </w:r>
      <w:r w:rsidRPr="00276391">
        <w:rPr>
          <w:lang w:eastAsia="en-AU"/>
        </w:rPr>
        <w:t>year</w:t>
      </w:r>
      <w:proofErr w:type="gramEnd"/>
      <w:r w:rsidR="005D5532" w:rsidRPr="00276391">
        <w:rPr>
          <w:lang w:eastAsia="en-AU"/>
        </w:rPr>
        <w:t xml:space="preserve"> </w:t>
      </w:r>
      <w:r w:rsidRPr="00276391">
        <w:rPr>
          <w:lang w:eastAsia="en-AU"/>
        </w:rPr>
        <w:t>period</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00296DCA">
        <w:rPr>
          <w:lang w:eastAsia="en-AU"/>
        </w:rPr>
        <w:t>Funded agency channel</w:t>
      </w:r>
      <w:r w:rsidRPr="00276391">
        <w:rPr>
          <w:lang w:eastAsia="en-AU"/>
        </w:rPr>
        <w:t>.</w:t>
      </w:r>
      <w:r w:rsidR="005D5532" w:rsidRPr="00276391">
        <w:rPr>
          <w:lang w:eastAsia="en-AU"/>
        </w:rPr>
        <w:t xml:space="preserve"> </w:t>
      </w:r>
      <w:r w:rsidRPr="00276391">
        <w:rPr>
          <w:lang w:eastAsia="en-AU"/>
        </w:rPr>
        <w:t>Authorised</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staff</w:t>
      </w:r>
      <w:r w:rsidR="005D5532" w:rsidRPr="00276391">
        <w:rPr>
          <w:lang w:eastAsia="en-AU"/>
        </w:rPr>
        <w:t xml:space="preserve"> </w:t>
      </w:r>
      <w:r w:rsidRPr="00276391">
        <w:rPr>
          <w:lang w:eastAsia="en-AU"/>
        </w:rPr>
        <w:t>can</w:t>
      </w:r>
      <w:r w:rsidR="005D5532" w:rsidRPr="00276391">
        <w:rPr>
          <w:lang w:eastAsia="en-AU"/>
        </w:rPr>
        <w:t xml:space="preserve"> </w:t>
      </w:r>
      <w:r w:rsidRPr="00276391">
        <w:rPr>
          <w:lang w:eastAsia="en-AU"/>
        </w:rPr>
        <w:t>view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download</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There</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reports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on</w:t>
      </w:r>
      <w:r w:rsidR="005D5532" w:rsidRPr="00276391">
        <w:rPr>
          <w:lang w:eastAsia="en-AU"/>
        </w:rPr>
        <w:t xml:space="preserve"> </w:t>
      </w:r>
      <w:hyperlink r:id="rId419" w:tgtFrame="_blank" w:tooltip="link to the Funded Agency Channel website" w:history="1">
        <w:r w:rsidR="00296DCA">
          <w:rPr>
            <w:rStyle w:val="Hyperlink"/>
          </w:rPr>
          <w:t>Funded agency channel</w:t>
        </w:r>
      </w:hyperlink>
      <w:r w:rsidR="00C14B1A" w:rsidRPr="00276391">
        <w:rPr>
          <w:lang w:eastAsia="en-AU"/>
        </w:rPr>
        <w:t xml:space="preserve"> </w:t>
      </w:r>
      <w:r w:rsidR="00C14B1A">
        <w:rPr>
          <w:lang w:eastAsia="en-AU"/>
        </w:rPr>
        <w:t>&lt;</w:t>
      </w:r>
      <w:r w:rsidR="007D2844" w:rsidRPr="007D2844">
        <w:rPr>
          <w:lang w:eastAsia="en-AU"/>
        </w:rPr>
        <w:t>https://fac.dhhs.vic.gov.au</w:t>
      </w:r>
      <w:r w:rsidR="00C14B1A">
        <w:rPr>
          <w:lang w:eastAsia="en-AU"/>
        </w:rPr>
        <w:t>&gt;</w:t>
      </w:r>
      <w:r w:rsidR="005D5532" w:rsidRPr="00276391">
        <w:rPr>
          <w:lang w:eastAsia="en-AU"/>
        </w:rPr>
        <w:t xml:space="preserve"> </w:t>
      </w:r>
      <w:r w:rsidR="00CC014B">
        <w:rPr>
          <w:lang w:eastAsia="en-AU"/>
        </w:rPr>
        <w:t xml:space="preserve">(external link, opens in a new window). </w:t>
      </w:r>
      <w:r w:rsidRPr="00276391">
        <w:rPr>
          <w:lang w:eastAsia="en-AU"/>
        </w:rPr>
        <w:t>Where</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unit</w:t>
      </w:r>
      <w:r w:rsidR="005D5532" w:rsidRPr="00276391">
        <w:rPr>
          <w:lang w:eastAsia="en-AU"/>
        </w:rPr>
        <w:t xml:space="preserve"> </w:t>
      </w:r>
      <w:r w:rsidRPr="00276391">
        <w:rPr>
          <w:lang w:eastAsia="en-AU"/>
        </w:rPr>
        <w:t>price,</w:t>
      </w:r>
      <w:r w:rsidR="005D5532" w:rsidRPr="00276391">
        <w:rPr>
          <w:lang w:eastAsia="en-AU"/>
        </w:rPr>
        <w:t xml:space="preserve"> </w:t>
      </w:r>
      <w:r w:rsidRPr="00276391">
        <w:rPr>
          <w:lang w:eastAsia="en-AU"/>
        </w:rPr>
        <w:t>users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see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price,</w:t>
      </w:r>
      <w:r w:rsidR="005D5532" w:rsidRPr="00276391">
        <w:rPr>
          <w:lang w:eastAsia="en-AU"/>
        </w:rPr>
        <w:t xml:space="preserve"> </w:t>
      </w:r>
      <w:r w:rsidRPr="00276391">
        <w:rPr>
          <w:lang w:eastAsia="en-AU"/>
        </w:rPr>
        <w:t>number</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units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total</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based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unit</w:t>
      </w:r>
      <w:r w:rsidR="005D5532" w:rsidRPr="00276391">
        <w:rPr>
          <w:lang w:eastAsia="en-AU"/>
        </w:rPr>
        <w:t xml:space="preserve"> </w:t>
      </w:r>
      <w:r w:rsidRPr="00276391">
        <w:rPr>
          <w:lang w:eastAsia="en-AU"/>
        </w:rPr>
        <w:t>price,</w:t>
      </w:r>
      <w:r w:rsidR="005D5532" w:rsidRPr="00276391">
        <w:rPr>
          <w:lang w:eastAsia="en-AU"/>
        </w:rPr>
        <w:t xml:space="preserve"> </w:t>
      </w:r>
      <w:r w:rsidRPr="00276391">
        <w:rPr>
          <w:lang w:eastAsia="en-AU"/>
        </w:rPr>
        <w:t>often</w:t>
      </w:r>
      <w:r w:rsidR="005D5532" w:rsidRPr="00276391">
        <w:rPr>
          <w:lang w:eastAsia="en-AU"/>
        </w:rPr>
        <w:t xml:space="preserve"> </w:t>
      </w:r>
      <w:r w:rsidRPr="00276391">
        <w:rPr>
          <w:lang w:eastAsia="en-AU"/>
        </w:rPr>
        <w:t>called</w:t>
      </w:r>
      <w:r w:rsidR="005D5532" w:rsidRPr="00276391">
        <w:rPr>
          <w:lang w:eastAsia="en-AU"/>
        </w:rPr>
        <w:t xml:space="preserve"> </w:t>
      </w:r>
      <w:r w:rsidRPr="00276391">
        <w:rPr>
          <w:lang w:eastAsia="en-AU"/>
        </w:rPr>
        <w:t>block-funding,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also</w:t>
      </w:r>
      <w:r w:rsidR="005D5532" w:rsidRPr="00276391">
        <w:rPr>
          <w:lang w:eastAsia="en-AU"/>
        </w:rPr>
        <w:t xml:space="preserve"> </w:t>
      </w:r>
      <w:r w:rsidRPr="00276391">
        <w:rPr>
          <w:lang w:eastAsia="en-AU"/>
        </w:rPr>
        <w:t>shown.</w:t>
      </w:r>
    </w:p>
    <w:p w14:paraId="2F60D3D7" w14:textId="77777777" w:rsidR="00236748" w:rsidRPr="00276391" w:rsidRDefault="00236748" w:rsidP="00934A5A">
      <w:pPr>
        <w:pStyle w:val="Heading4"/>
        <w:rPr>
          <w:lang w:eastAsia="en-AU"/>
        </w:rPr>
      </w:pPr>
      <w:bookmarkStart w:id="975" w:name="_Toc478992276"/>
      <w:r w:rsidRPr="00276391">
        <w:rPr>
          <w:lang w:eastAsia="en-AU"/>
        </w:rPr>
        <w:t>Funding</w:t>
      </w:r>
      <w:r w:rsidR="005D5532" w:rsidRPr="00276391">
        <w:rPr>
          <w:lang w:eastAsia="en-AU"/>
        </w:rPr>
        <w:t xml:space="preserve"> </w:t>
      </w:r>
      <w:r w:rsidRPr="00276391">
        <w:rPr>
          <w:lang w:eastAsia="en-AU"/>
        </w:rPr>
        <w:t>types</w:t>
      </w:r>
      <w:bookmarkEnd w:id="975"/>
      <w:r w:rsidR="005D5532" w:rsidRPr="00276391">
        <w:rPr>
          <w:lang w:eastAsia="en-AU"/>
        </w:rPr>
        <w:t xml:space="preserve"> </w:t>
      </w:r>
    </w:p>
    <w:p w14:paraId="30ABB9C5" w14:textId="77777777" w:rsidR="00236748" w:rsidRPr="003F52B3" w:rsidRDefault="00236748" w:rsidP="003F52B3">
      <w:pPr>
        <w:pStyle w:val="DHHSbody"/>
        <w:rPr>
          <w:lang w:eastAsia="en-AU"/>
        </w:rPr>
      </w:pPr>
      <w:bookmarkStart w:id="976" w:name="_Toc478992277"/>
      <w:r w:rsidRPr="003F52B3">
        <w:rPr>
          <w:b/>
          <w:lang w:eastAsia="en-AU"/>
        </w:rPr>
        <w:t>Ongoing</w:t>
      </w:r>
      <w:r w:rsidR="005D5532" w:rsidRPr="003F52B3">
        <w:rPr>
          <w:b/>
          <w:lang w:eastAsia="en-AU"/>
        </w:rPr>
        <w:t xml:space="preserve"> </w:t>
      </w:r>
      <w:r w:rsidRPr="003F52B3">
        <w:rPr>
          <w:b/>
          <w:lang w:eastAsia="en-AU"/>
        </w:rPr>
        <w:t>funding</w:t>
      </w:r>
      <w:bookmarkEnd w:id="976"/>
    </w:p>
    <w:p w14:paraId="47028C2A" w14:textId="20419722" w:rsidR="00236748" w:rsidRPr="00B24C02" w:rsidRDefault="00236748" w:rsidP="00276391">
      <w:pPr>
        <w:pStyle w:val="DHHSbody"/>
        <w:rPr>
          <w:color w:val="000000"/>
          <w:szCs w:val="19"/>
          <w:lang w:eastAsia="en-AU"/>
        </w:rPr>
      </w:pPr>
      <w:r w:rsidRPr="00B24C02">
        <w:rPr>
          <w:color w:val="000000"/>
          <w:szCs w:val="19"/>
          <w:lang w:eastAsia="en-AU"/>
        </w:rPr>
        <w:t>Ongoing</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sometimes</w:t>
      </w:r>
      <w:r w:rsidR="005D5532" w:rsidRPr="00B24C02">
        <w:rPr>
          <w:color w:val="000000"/>
          <w:szCs w:val="19"/>
          <w:lang w:eastAsia="en-AU"/>
        </w:rPr>
        <w:t xml:space="preserve"> </w:t>
      </w:r>
      <w:r w:rsidRPr="00B24C02">
        <w:rPr>
          <w:color w:val="000000"/>
          <w:szCs w:val="19"/>
          <w:lang w:eastAsia="en-AU"/>
        </w:rPr>
        <w:t>referred</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as</w:t>
      </w:r>
      <w:r w:rsidR="005D5532" w:rsidRPr="00B24C02">
        <w:rPr>
          <w:color w:val="000000"/>
          <w:szCs w:val="19"/>
          <w:lang w:eastAsia="en-AU"/>
        </w:rPr>
        <w:t xml:space="preserve"> </w:t>
      </w:r>
      <w:r w:rsidRPr="00B24C02">
        <w:rPr>
          <w:color w:val="000000"/>
          <w:szCs w:val="19"/>
          <w:lang w:eastAsia="en-AU"/>
        </w:rPr>
        <w:t>recurrent</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base</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provided</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organisation</w:t>
      </w:r>
      <w:r w:rsidR="005D5532" w:rsidRPr="00B24C02">
        <w:rPr>
          <w:color w:val="000000"/>
          <w:szCs w:val="19"/>
          <w:lang w:eastAsia="en-AU"/>
        </w:rPr>
        <w:t xml:space="preserve"> </w:t>
      </w:r>
      <w:r w:rsidRPr="00B24C02">
        <w:rPr>
          <w:color w:val="000000"/>
          <w:szCs w:val="19"/>
          <w:lang w:eastAsia="en-AU"/>
        </w:rPr>
        <w:t>on</w:t>
      </w:r>
      <w:r w:rsidR="005D5532" w:rsidRPr="00B24C02">
        <w:rPr>
          <w:color w:val="000000"/>
          <w:szCs w:val="19"/>
          <w:lang w:eastAsia="en-AU"/>
        </w:rPr>
        <w:t xml:space="preserve"> </w:t>
      </w:r>
      <w:r w:rsidRPr="00B24C02">
        <w:rPr>
          <w:color w:val="000000"/>
          <w:szCs w:val="19"/>
          <w:lang w:eastAsia="en-AU"/>
        </w:rPr>
        <w:t>an</w:t>
      </w:r>
      <w:r w:rsidR="005D5532" w:rsidRPr="00B24C02">
        <w:rPr>
          <w:color w:val="000000"/>
          <w:szCs w:val="19"/>
          <w:lang w:eastAsia="en-AU"/>
        </w:rPr>
        <w:t xml:space="preserve"> </w:t>
      </w:r>
      <w:r w:rsidRPr="00B24C02">
        <w:rPr>
          <w:color w:val="000000"/>
          <w:szCs w:val="19"/>
          <w:lang w:eastAsia="en-AU"/>
        </w:rPr>
        <w:t>ongoing</w:t>
      </w:r>
      <w:r w:rsidR="005D5532" w:rsidRPr="00B24C02">
        <w:rPr>
          <w:color w:val="000000"/>
          <w:szCs w:val="19"/>
          <w:lang w:eastAsia="en-AU"/>
        </w:rPr>
        <w:t xml:space="preserve"> </w:t>
      </w:r>
      <w:r w:rsidRPr="00B24C02">
        <w:rPr>
          <w:color w:val="000000"/>
          <w:szCs w:val="19"/>
          <w:lang w:eastAsia="en-AU"/>
        </w:rPr>
        <w:t>basis,</w:t>
      </w:r>
      <w:r w:rsidR="005D5532" w:rsidRPr="00B24C02">
        <w:rPr>
          <w:color w:val="000000"/>
          <w:szCs w:val="19"/>
          <w:lang w:eastAsia="en-AU"/>
        </w:rPr>
        <w:t xml:space="preserve"> </w:t>
      </w:r>
      <w:r w:rsidRPr="00B24C02">
        <w:rPr>
          <w:color w:val="000000"/>
          <w:szCs w:val="19"/>
          <w:lang w:eastAsia="en-AU"/>
        </w:rPr>
        <w:t>subject</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satisfactory</w:t>
      </w:r>
      <w:r w:rsidR="005D5532" w:rsidRPr="00B24C02">
        <w:rPr>
          <w:color w:val="000000"/>
          <w:szCs w:val="19"/>
          <w:lang w:eastAsia="en-AU"/>
        </w:rPr>
        <w:t xml:space="preserve"> </w:t>
      </w:r>
      <w:r w:rsidRPr="00B24C02">
        <w:rPr>
          <w:color w:val="000000"/>
          <w:szCs w:val="19"/>
          <w:lang w:eastAsia="en-AU"/>
        </w:rPr>
        <w:t>delivery</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services.</w:t>
      </w:r>
      <w:r w:rsidR="005D5532" w:rsidRPr="00B24C02">
        <w:rPr>
          <w:color w:val="000000"/>
          <w:szCs w:val="19"/>
          <w:lang w:eastAsia="en-AU"/>
        </w:rPr>
        <w:t xml:space="preserve"> </w:t>
      </w:r>
      <w:r w:rsidRPr="00B24C02">
        <w:rPr>
          <w:color w:val="000000"/>
          <w:szCs w:val="19"/>
          <w:lang w:eastAsia="en-AU"/>
        </w:rPr>
        <w:t>Ongoing</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may</w:t>
      </w:r>
      <w:r w:rsidR="005D5532" w:rsidRPr="00B24C02">
        <w:rPr>
          <w:color w:val="000000"/>
          <w:szCs w:val="19"/>
          <w:lang w:eastAsia="en-AU"/>
        </w:rPr>
        <w:t xml:space="preserve"> </w:t>
      </w:r>
      <w:r w:rsidRPr="00B24C02">
        <w:rPr>
          <w:color w:val="000000"/>
          <w:szCs w:val="19"/>
          <w:lang w:eastAsia="en-AU"/>
        </w:rPr>
        <w:t>be</w:t>
      </w:r>
      <w:r w:rsidR="005D5532" w:rsidRPr="00B24C02">
        <w:rPr>
          <w:color w:val="000000"/>
          <w:szCs w:val="19"/>
          <w:lang w:eastAsia="en-AU"/>
        </w:rPr>
        <w:t xml:space="preserve"> </w:t>
      </w:r>
      <w:r w:rsidRPr="00B24C02">
        <w:rPr>
          <w:color w:val="000000"/>
          <w:szCs w:val="19"/>
          <w:lang w:eastAsia="en-AU"/>
        </w:rPr>
        <w:t>changed</w:t>
      </w:r>
      <w:r w:rsidR="005D5532" w:rsidRPr="00B24C02">
        <w:rPr>
          <w:color w:val="000000"/>
          <w:szCs w:val="19"/>
          <w:lang w:eastAsia="en-AU"/>
        </w:rPr>
        <w:t xml:space="preserve"> </w:t>
      </w:r>
      <w:r w:rsidRPr="00B24C02">
        <w:rPr>
          <w:color w:val="000000"/>
          <w:szCs w:val="19"/>
          <w:lang w:eastAsia="en-AU"/>
        </w:rPr>
        <w:t>via</w:t>
      </w:r>
      <w:r w:rsidR="005D5532" w:rsidRPr="00B24C02">
        <w:rPr>
          <w:color w:val="000000"/>
          <w:szCs w:val="19"/>
          <w:lang w:eastAsia="en-AU"/>
        </w:rPr>
        <w:t xml:space="preserve"> </w:t>
      </w:r>
      <w:r w:rsidRPr="00B24C02">
        <w:rPr>
          <w:color w:val="000000"/>
          <w:szCs w:val="19"/>
          <w:lang w:eastAsia="en-AU"/>
        </w:rPr>
        <w:t>negotiation</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variation</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9B3052">
        <w:rPr>
          <w:color w:val="000000"/>
          <w:szCs w:val="19"/>
          <w:lang w:eastAsia="en-AU"/>
        </w:rPr>
        <w:t>Service agreement</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via</w:t>
      </w:r>
      <w:r w:rsidR="005D5532" w:rsidRPr="00B24C02">
        <w:rPr>
          <w:color w:val="000000"/>
          <w:szCs w:val="19"/>
          <w:lang w:eastAsia="en-AU"/>
        </w:rPr>
        <w:t xml:space="preserve"> </w:t>
      </w:r>
      <w:r w:rsidRPr="00B24C02">
        <w:rPr>
          <w:color w:val="000000"/>
          <w:szCs w:val="19"/>
          <w:lang w:eastAsia="en-AU"/>
        </w:rPr>
        <w:t>adjustments</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009B3052">
        <w:rPr>
          <w:color w:val="000000"/>
          <w:szCs w:val="19"/>
          <w:lang w:eastAsia="en-AU"/>
        </w:rPr>
        <w:t>Service agreement</w:t>
      </w:r>
      <w:r w:rsidRPr="00B24C02">
        <w:rPr>
          <w:color w:val="000000"/>
          <w:szCs w:val="19"/>
          <w:lang w:eastAsia="en-AU"/>
        </w:rPr>
        <w:t>.</w:t>
      </w:r>
      <w:r w:rsidR="005D5532" w:rsidRPr="00B24C02">
        <w:rPr>
          <w:color w:val="000000"/>
          <w:szCs w:val="19"/>
          <w:lang w:eastAsia="en-AU"/>
        </w:rPr>
        <w:t xml:space="preserve"> </w:t>
      </w:r>
      <w:r w:rsidRPr="00B24C02">
        <w:rPr>
          <w:color w:val="000000"/>
          <w:szCs w:val="19"/>
          <w:lang w:eastAsia="en-AU"/>
        </w:rPr>
        <w:t>Ongoing</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subject</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standard</w:t>
      </w:r>
      <w:r w:rsidR="005D5532" w:rsidRPr="00B24C02">
        <w:rPr>
          <w:color w:val="000000"/>
          <w:szCs w:val="19"/>
          <w:lang w:eastAsia="en-AU"/>
        </w:rPr>
        <w:t xml:space="preserve"> </w:t>
      </w:r>
      <w:r w:rsidRPr="00B24C02">
        <w:rPr>
          <w:color w:val="000000"/>
          <w:szCs w:val="19"/>
          <w:lang w:eastAsia="en-AU"/>
        </w:rPr>
        <w:t>clauses</w:t>
      </w:r>
      <w:r w:rsidR="005D5532" w:rsidRPr="00B24C02">
        <w:rPr>
          <w:color w:val="000000"/>
          <w:szCs w:val="19"/>
          <w:lang w:eastAsia="en-AU"/>
        </w:rPr>
        <w:t xml:space="preserve"> </w:t>
      </w:r>
      <w:r w:rsidRPr="00B24C02">
        <w:rPr>
          <w:color w:val="000000"/>
          <w:szCs w:val="19"/>
          <w:lang w:eastAsia="en-AU"/>
        </w:rPr>
        <w:t>regarding</w:t>
      </w:r>
      <w:r w:rsidR="005D5532" w:rsidRPr="00B24C02">
        <w:rPr>
          <w:color w:val="000000"/>
          <w:szCs w:val="19"/>
          <w:lang w:eastAsia="en-AU"/>
        </w:rPr>
        <w:t xml:space="preserve"> </w:t>
      </w:r>
      <w:r w:rsidRPr="00B24C02">
        <w:rPr>
          <w:color w:val="000000"/>
          <w:szCs w:val="19"/>
          <w:lang w:eastAsia="en-AU"/>
        </w:rPr>
        <w:t>suspension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12),</w:t>
      </w:r>
      <w:r w:rsidR="005D5532" w:rsidRPr="00B24C02">
        <w:rPr>
          <w:color w:val="000000"/>
          <w:szCs w:val="19"/>
          <w:lang w:eastAsia="en-AU"/>
        </w:rPr>
        <w:t xml:space="preserve"> </w:t>
      </w:r>
      <w:r w:rsidRPr="00B24C02">
        <w:rPr>
          <w:color w:val="000000"/>
          <w:szCs w:val="19"/>
          <w:lang w:eastAsia="en-AU"/>
        </w:rPr>
        <w:t>cessation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13)</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termination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14).</w:t>
      </w:r>
    </w:p>
    <w:p w14:paraId="47C7F9AE" w14:textId="77777777" w:rsidR="00236748" w:rsidRPr="003F52B3" w:rsidRDefault="00236748" w:rsidP="003F52B3">
      <w:pPr>
        <w:pStyle w:val="DHHSbody"/>
        <w:rPr>
          <w:lang w:eastAsia="en-AU"/>
        </w:rPr>
      </w:pPr>
      <w:bookmarkStart w:id="977" w:name="_Toc478992278"/>
      <w:r w:rsidRPr="003F52B3">
        <w:rPr>
          <w:b/>
          <w:lang w:eastAsia="en-AU"/>
        </w:rPr>
        <w:t>Fixed</w:t>
      </w:r>
      <w:r w:rsidR="005D5532" w:rsidRPr="003F52B3">
        <w:rPr>
          <w:b/>
          <w:lang w:eastAsia="en-AU"/>
        </w:rPr>
        <w:t xml:space="preserve"> </w:t>
      </w:r>
      <w:r w:rsidRPr="003F52B3">
        <w:rPr>
          <w:b/>
          <w:lang w:eastAsia="en-AU"/>
        </w:rPr>
        <w:t>term</w:t>
      </w:r>
      <w:r w:rsidR="005D5532" w:rsidRPr="003F52B3">
        <w:rPr>
          <w:b/>
          <w:lang w:eastAsia="en-AU"/>
        </w:rPr>
        <w:t xml:space="preserve"> </w:t>
      </w:r>
      <w:r w:rsidRPr="003F52B3">
        <w:rPr>
          <w:b/>
          <w:lang w:eastAsia="en-AU"/>
        </w:rPr>
        <w:t>funding</w:t>
      </w:r>
      <w:bookmarkEnd w:id="977"/>
    </w:p>
    <w:p w14:paraId="5DC25A8E" w14:textId="77777777" w:rsidR="00236748" w:rsidRPr="00B24C02" w:rsidRDefault="00236748" w:rsidP="00276391">
      <w:pPr>
        <w:pStyle w:val="DHHSbody"/>
        <w:rPr>
          <w:color w:val="000000"/>
          <w:szCs w:val="19"/>
          <w:lang w:eastAsia="en-AU"/>
        </w:rPr>
      </w:pPr>
      <w:r w:rsidRPr="00B24C02">
        <w:rPr>
          <w:color w:val="000000"/>
          <w:szCs w:val="19"/>
          <w:lang w:eastAsia="en-AU"/>
        </w:rPr>
        <w:t>Fixed</w:t>
      </w:r>
      <w:r w:rsidR="005D5532" w:rsidRPr="00B24C02">
        <w:rPr>
          <w:color w:val="000000"/>
          <w:szCs w:val="19"/>
          <w:lang w:eastAsia="en-AU"/>
        </w:rPr>
        <w:t xml:space="preserve"> </w:t>
      </w:r>
      <w:r w:rsidRPr="00B24C02">
        <w:rPr>
          <w:color w:val="000000"/>
          <w:szCs w:val="19"/>
          <w:lang w:eastAsia="en-AU"/>
        </w:rPr>
        <w:t>term</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non-recurrent</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where</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specified</w:t>
      </w:r>
      <w:r w:rsidR="005D5532" w:rsidRPr="00B24C02">
        <w:rPr>
          <w:color w:val="000000"/>
          <w:szCs w:val="19"/>
          <w:lang w:eastAsia="en-AU"/>
        </w:rPr>
        <w:t xml:space="preserve"> </w:t>
      </w:r>
      <w:r w:rsidRPr="00B24C02">
        <w:rPr>
          <w:color w:val="000000"/>
          <w:szCs w:val="19"/>
          <w:lang w:eastAsia="en-AU"/>
        </w:rPr>
        <w:t>period.</w:t>
      </w:r>
      <w:r w:rsidR="005D5532" w:rsidRPr="00B24C02">
        <w:rPr>
          <w:color w:val="000000"/>
          <w:szCs w:val="19"/>
          <w:lang w:eastAsia="en-AU"/>
        </w:rPr>
        <w:t xml:space="preserve"> </w:t>
      </w:r>
      <w:r w:rsidRPr="00B24C02">
        <w:rPr>
          <w:color w:val="000000"/>
          <w:szCs w:val="19"/>
          <w:lang w:eastAsia="en-AU"/>
        </w:rPr>
        <w:t>It</w:t>
      </w:r>
      <w:r w:rsidR="005D5532" w:rsidRPr="00B24C02">
        <w:rPr>
          <w:color w:val="000000"/>
          <w:szCs w:val="19"/>
          <w:lang w:eastAsia="en-AU"/>
        </w:rPr>
        <w:t xml:space="preserve"> </w:t>
      </w:r>
      <w:r w:rsidRPr="00B24C02">
        <w:rPr>
          <w:color w:val="000000"/>
          <w:szCs w:val="19"/>
          <w:lang w:eastAsia="en-AU"/>
        </w:rPr>
        <w:t>may</w:t>
      </w:r>
      <w:r w:rsidR="005D5532" w:rsidRPr="00B24C02">
        <w:rPr>
          <w:color w:val="000000"/>
          <w:szCs w:val="19"/>
          <w:lang w:eastAsia="en-AU"/>
        </w:rPr>
        <w:t xml:space="preserve"> </w:t>
      </w:r>
      <w:r w:rsidRPr="00B24C02">
        <w:rPr>
          <w:color w:val="000000"/>
          <w:szCs w:val="19"/>
          <w:lang w:eastAsia="en-AU"/>
        </w:rPr>
        <w:t>be</w:t>
      </w:r>
      <w:r w:rsidR="005D5532" w:rsidRPr="00B24C02">
        <w:rPr>
          <w:color w:val="000000"/>
          <w:szCs w:val="19"/>
          <w:lang w:eastAsia="en-AU"/>
        </w:rPr>
        <w:t xml:space="preserve"> </w:t>
      </w:r>
      <w:r w:rsidRPr="00B24C02">
        <w:rPr>
          <w:color w:val="000000"/>
          <w:szCs w:val="19"/>
          <w:lang w:eastAsia="en-AU"/>
        </w:rPr>
        <w:t>paid</w:t>
      </w:r>
      <w:r w:rsidR="005D5532" w:rsidRPr="00B24C02">
        <w:rPr>
          <w:color w:val="000000"/>
          <w:szCs w:val="19"/>
          <w:lang w:eastAsia="en-AU"/>
        </w:rPr>
        <w:t xml:space="preserve"> </w:t>
      </w:r>
      <w:r w:rsidRPr="00B24C02">
        <w:rPr>
          <w:color w:val="000000"/>
          <w:szCs w:val="19"/>
          <w:lang w:eastAsia="en-AU"/>
        </w:rPr>
        <w:t>as</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lump</w:t>
      </w:r>
      <w:r w:rsidR="005D5532" w:rsidRPr="00B24C02">
        <w:rPr>
          <w:color w:val="000000"/>
          <w:szCs w:val="19"/>
          <w:lang w:eastAsia="en-AU"/>
        </w:rPr>
        <w:t xml:space="preserve"> </w:t>
      </w:r>
      <w:r w:rsidRPr="00B24C02">
        <w:rPr>
          <w:color w:val="000000"/>
          <w:szCs w:val="19"/>
          <w:lang w:eastAsia="en-AU"/>
        </w:rPr>
        <w:t>sum</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over</w:t>
      </w:r>
      <w:r w:rsidR="005D5532" w:rsidRPr="00B24C02">
        <w:rPr>
          <w:color w:val="000000"/>
          <w:szCs w:val="19"/>
          <w:lang w:eastAsia="en-AU"/>
        </w:rPr>
        <w:t xml:space="preserve"> </w:t>
      </w:r>
      <w:r w:rsidRPr="00B24C02">
        <w:rPr>
          <w:color w:val="000000"/>
          <w:szCs w:val="19"/>
          <w:lang w:eastAsia="en-AU"/>
        </w:rPr>
        <w:t>multiple</w:t>
      </w:r>
      <w:r w:rsidR="005D5532" w:rsidRPr="00B24C02">
        <w:rPr>
          <w:color w:val="000000"/>
          <w:szCs w:val="19"/>
          <w:lang w:eastAsia="en-AU"/>
        </w:rPr>
        <w:t xml:space="preserve"> </w:t>
      </w:r>
      <w:r w:rsidRPr="00B24C02">
        <w:rPr>
          <w:color w:val="000000"/>
          <w:szCs w:val="19"/>
          <w:lang w:eastAsia="en-AU"/>
        </w:rPr>
        <w:t>payment</w:t>
      </w:r>
      <w:r w:rsidR="005D5532" w:rsidRPr="00B24C02">
        <w:rPr>
          <w:color w:val="000000"/>
          <w:szCs w:val="19"/>
          <w:lang w:eastAsia="en-AU"/>
        </w:rPr>
        <w:t xml:space="preserve"> </w:t>
      </w:r>
      <w:r w:rsidRPr="00B24C02">
        <w:rPr>
          <w:color w:val="000000"/>
          <w:szCs w:val="19"/>
          <w:lang w:eastAsia="en-AU"/>
        </w:rPr>
        <w:t>dates</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financial</w:t>
      </w:r>
      <w:r w:rsidR="005D5532" w:rsidRPr="00B24C02">
        <w:rPr>
          <w:color w:val="000000"/>
          <w:szCs w:val="19"/>
          <w:lang w:eastAsia="en-AU"/>
        </w:rPr>
        <w:t xml:space="preserve"> </w:t>
      </w:r>
      <w:r w:rsidRPr="00B24C02">
        <w:rPr>
          <w:color w:val="000000"/>
          <w:szCs w:val="19"/>
          <w:lang w:eastAsia="en-AU"/>
        </w:rPr>
        <w:t>years</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period</w:t>
      </w:r>
      <w:r w:rsidR="005D5532" w:rsidRPr="00B24C02">
        <w:rPr>
          <w:color w:val="000000"/>
          <w:szCs w:val="19"/>
          <w:lang w:eastAsia="en-AU"/>
        </w:rPr>
        <w:t xml:space="preserve"> </w:t>
      </w:r>
      <w:r w:rsidRPr="00B24C02">
        <w:rPr>
          <w:color w:val="000000"/>
          <w:szCs w:val="19"/>
          <w:lang w:eastAsia="en-AU"/>
        </w:rPr>
        <w:t>services</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be</w:t>
      </w:r>
      <w:r w:rsidR="005D5532" w:rsidRPr="00B24C02">
        <w:rPr>
          <w:color w:val="000000"/>
          <w:szCs w:val="19"/>
          <w:lang w:eastAsia="en-AU"/>
        </w:rPr>
        <w:t xml:space="preserve"> </w:t>
      </w:r>
      <w:r w:rsidRPr="00B24C02">
        <w:rPr>
          <w:color w:val="000000"/>
          <w:szCs w:val="19"/>
          <w:lang w:eastAsia="en-AU"/>
        </w:rPr>
        <w:t>provided.</w:t>
      </w:r>
      <w:r w:rsidR="005D5532" w:rsidRPr="00B24C02">
        <w:rPr>
          <w:color w:val="000000"/>
          <w:szCs w:val="19"/>
          <w:lang w:eastAsia="en-AU"/>
        </w:rPr>
        <w:t xml:space="preserve"> </w:t>
      </w:r>
      <w:r w:rsidRPr="00B24C02">
        <w:rPr>
          <w:color w:val="000000"/>
          <w:szCs w:val="19"/>
          <w:lang w:eastAsia="en-AU"/>
        </w:rPr>
        <w:t>Fixed</w:t>
      </w:r>
      <w:r w:rsidR="005D5532" w:rsidRPr="00B24C02">
        <w:rPr>
          <w:color w:val="000000"/>
          <w:szCs w:val="19"/>
          <w:lang w:eastAsia="en-AU"/>
        </w:rPr>
        <w:t xml:space="preserve"> </w:t>
      </w:r>
      <w:r w:rsidRPr="00B24C02">
        <w:rPr>
          <w:color w:val="000000"/>
          <w:szCs w:val="19"/>
          <w:lang w:eastAsia="en-AU"/>
        </w:rPr>
        <w:t>term</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subject</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standard</w:t>
      </w:r>
      <w:r w:rsidR="005D5532" w:rsidRPr="00B24C02">
        <w:rPr>
          <w:color w:val="000000"/>
          <w:szCs w:val="19"/>
          <w:lang w:eastAsia="en-AU"/>
        </w:rPr>
        <w:t xml:space="preserve"> </w:t>
      </w:r>
      <w:r w:rsidRPr="00B24C02">
        <w:rPr>
          <w:color w:val="000000"/>
          <w:szCs w:val="19"/>
          <w:lang w:eastAsia="en-AU"/>
        </w:rPr>
        <w:t>clauses</w:t>
      </w:r>
      <w:r w:rsidR="005D5532" w:rsidRPr="00B24C02">
        <w:rPr>
          <w:color w:val="000000"/>
          <w:szCs w:val="19"/>
          <w:lang w:eastAsia="en-AU"/>
        </w:rPr>
        <w:t xml:space="preserve"> </w:t>
      </w:r>
      <w:r w:rsidRPr="00B24C02">
        <w:rPr>
          <w:color w:val="000000"/>
          <w:szCs w:val="19"/>
          <w:lang w:eastAsia="en-AU"/>
        </w:rPr>
        <w:t>regarding</w:t>
      </w:r>
      <w:r w:rsidR="005D5532" w:rsidRPr="00B24C02">
        <w:rPr>
          <w:color w:val="000000"/>
          <w:szCs w:val="19"/>
          <w:lang w:eastAsia="en-AU"/>
        </w:rPr>
        <w:t xml:space="preserve"> </w:t>
      </w:r>
      <w:r w:rsidRPr="00B24C02">
        <w:rPr>
          <w:color w:val="000000"/>
          <w:szCs w:val="19"/>
          <w:lang w:eastAsia="en-AU"/>
        </w:rPr>
        <w:t>suspension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12),</w:t>
      </w:r>
      <w:r w:rsidR="005D5532" w:rsidRPr="00B24C02">
        <w:rPr>
          <w:color w:val="000000"/>
          <w:szCs w:val="19"/>
          <w:lang w:eastAsia="en-AU"/>
        </w:rPr>
        <w:t xml:space="preserve"> </w:t>
      </w:r>
      <w:r w:rsidRPr="00B24C02">
        <w:rPr>
          <w:color w:val="000000"/>
          <w:szCs w:val="19"/>
          <w:lang w:eastAsia="en-AU"/>
        </w:rPr>
        <w:t>cessation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13)</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termination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14).</w:t>
      </w:r>
    </w:p>
    <w:p w14:paraId="0418EB55" w14:textId="77777777" w:rsidR="00236748" w:rsidRPr="003F52B3" w:rsidRDefault="00236748" w:rsidP="003F52B3">
      <w:pPr>
        <w:pStyle w:val="DHHSbody"/>
        <w:rPr>
          <w:lang w:eastAsia="en-AU"/>
        </w:rPr>
      </w:pPr>
      <w:bookmarkStart w:id="978" w:name="_Toc478992279"/>
      <w:r w:rsidRPr="003F52B3">
        <w:rPr>
          <w:b/>
          <w:lang w:eastAsia="en-AU"/>
        </w:rPr>
        <w:t>Minor</w:t>
      </w:r>
      <w:r w:rsidR="005D5532" w:rsidRPr="003F52B3">
        <w:rPr>
          <w:b/>
          <w:lang w:eastAsia="en-AU"/>
        </w:rPr>
        <w:t xml:space="preserve"> </w:t>
      </w:r>
      <w:r w:rsidRPr="003F52B3">
        <w:rPr>
          <w:b/>
          <w:lang w:eastAsia="en-AU"/>
        </w:rPr>
        <w:t>capital</w:t>
      </w:r>
      <w:r w:rsidR="005D5532" w:rsidRPr="003F52B3">
        <w:rPr>
          <w:b/>
          <w:lang w:eastAsia="en-AU"/>
        </w:rPr>
        <w:t xml:space="preserve"> </w:t>
      </w:r>
      <w:r w:rsidRPr="003F52B3">
        <w:rPr>
          <w:b/>
          <w:lang w:eastAsia="en-AU"/>
        </w:rPr>
        <w:t>funding</w:t>
      </w:r>
      <w:bookmarkEnd w:id="978"/>
    </w:p>
    <w:p w14:paraId="4B08C504" w14:textId="77777777" w:rsidR="00236748" w:rsidRPr="00B24C02" w:rsidRDefault="00236748" w:rsidP="00276391">
      <w:pPr>
        <w:pStyle w:val="DHHSbody"/>
        <w:rPr>
          <w:color w:val="000000"/>
          <w:szCs w:val="19"/>
          <w:lang w:eastAsia="en-AU"/>
        </w:rPr>
      </w:pPr>
      <w:r w:rsidRPr="00B24C02">
        <w:rPr>
          <w:color w:val="000000"/>
          <w:szCs w:val="19"/>
          <w:lang w:eastAsia="en-AU"/>
        </w:rPr>
        <w:t>Minor</w:t>
      </w:r>
      <w:r w:rsidR="005D5532" w:rsidRPr="00B24C02">
        <w:rPr>
          <w:color w:val="000000"/>
          <w:szCs w:val="19"/>
          <w:lang w:eastAsia="en-AU"/>
        </w:rPr>
        <w:t xml:space="preserve"> </w:t>
      </w:r>
      <w:r w:rsidRPr="00B24C02">
        <w:rPr>
          <w:color w:val="000000"/>
          <w:szCs w:val="19"/>
          <w:lang w:eastAsia="en-AU"/>
        </w:rPr>
        <w:t>capital</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refers</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specifically</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purchase</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physical</w:t>
      </w:r>
      <w:r w:rsidR="005D5532" w:rsidRPr="00B24C02">
        <w:rPr>
          <w:color w:val="000000"/>
          <w:szCs w:val="19"/>
          <w:lang w:eastAsia="en-AU"/>
        </w:rPr>
        <w:t xml:space="preserve"> </w:t>
      </w:r>
      <w:r w:rsidRPr="00B24C02">
        <w:rPr>
          <w:color w:val="000000"/>
          <w:szCs w:val="19"/>
          <w:lang w:eastAsia="en-AU"/>
        </w:rPr>
        <w:t>asset.</w:t>
      </w:r>
      <w:r w:rsidR="005D5532" w:rsidRPr="00B24C02">
        <w:rPr>
          <w:color w:val="000000"/>
          <w:szCs w:val="19"/>
          <w:lang w:eastAsia="en-AU"/>
        </w:rPr>
        <w:t xml:space="preserve"> </w:t>
      </w:r>
      <w:r w:rsidRPr="00B24C02">
        <w:rPr>
          <w:color w:val="000000"/>
          <w:szCs w:val="19"/>
          <w:lang w:eastAsia="en-AU"/>
        </w:rPr>
        <w:t>These</w:t>
      </w:r>
      <w:r w:rsidR="005D5532" w:rsidRPr="00B24C02">
        <w:rPr>
          <w:color w:val="000000"/>
          <w:szCs w:val="19"/>
          <w:lang w:eastAsia="en-AU"/>
        </w:rPr>
        <w:t xml:space="preserve"> </w:t>
      </w:r>
      <w:r w:rsidRPr="00B24C02">
        <w:rPr>
          <w:color w:val="000000"/>
          <w:szCs w:val="19"/>
          <w:lang w:eastAsia="en-AU"/>
        </w:rPr>
        <w:t>amounts</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normally</w:t>
      </w:r>
      <w:r w:rsidR="005D5532" w:rsidRPr="00B24C02">
        <w:rPr>
          <w:color w:val="000000"/>
          <w:szCs w:val="19"/>
          <w:lang w:eastAsia="en-AU"/>
        </w:rPr>
        <w:t xml:space="preserve"> </w:t>
      </w:r>
      <w:r w:rsidRPr="00B24C02">
        <w:rPr>
          <w:color w:val="000000"/>
          <w:szCs w:val="19"/>
          <w:lang w:eastAsia="en-AU"/>
        </w:rPr>
        <w:t>paid</w:t>
      </w:r>
      <w:r w:rsidR="005D5532" w:rsidRPr="00B24C02">
        <w:rPr>
          <w:color w:val="000000"/>
          <w:szCs w:val="19"/>
          <w:lang w:eastAsia="en-AU"/>
        </w:rPr>
        <w:t xml:space="preserve"> </w:t>
      </w:r>
      <w:r w:rsidRPr="00B24C02">
        <w:rPr>
          <w:color w:val="000000"/>
          <w:szCs w:val="19"/>
          <w:lang w:eastAsia="en-AU"/>
        </w:rPr>
        <w:t>as</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lump</w:t>
      </w:r>
      <w:r w:rsidR="005D5532" w:rsidRPr="00B24C02">
        <w:rPr>
          <w:color w:val="000000"/>
          <w:szCs w:val="19"/>
          <w:lang w:eastAsia="en-AU"/>
        </w:rPr>
        <w:t xml:space="preserve"> </w:t>
      </w:r>
      <w:r w:rsidRPr="00B24C02">
        <w:rPr>
          <w:color w:val="000000"/>
          <w:szCs w:val="19"/>
          <w:lang w:eastAsia="en-AU"/>
        </w:rPr>
        <w:t>sum.</w:t>
      </w:r>
    </w:p>
    <w:p w14:paraId="2A7AF994" w14:textId="7E1EC06B" w:rsidR="00236748" w:rsidRPr="00B24C02" w:rsidRDefault="00236748" w:rsidP="00276391">
      <w:pPr>
        <w:pStyle w:val="DHHSbody"/>
        <w:rPr>
          <w:color w:val="000000"/>
          <w:szCs w:val="19"/>
          <w:lang w:eastAsia="en-AU"/>
        </w:rPr>
      </w:pP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Department</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Education</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Training</w:t>
      </w:r>
      <w:r w:rsidR="005D5532" w:rsidRPr="00B24C02">
        <w:rPr>
          <w:color w:val="000000"/>
          <w:szCs w:val="19"/>
          <w:lang w:eastAsia="en-AU"/>
        </w:rPr>
        <w:t xml:space="preserve"> </w:t>
      </w:r>
      <w:r w:rsidRPr="00B24C02">
        <w:rPr>
          <w:color w:val="000000"/>
          <w:szCs w:val="19"/>
          <w:lang w:eastAsia="en-AU"/>
        </w:rPr>
        <w:t>has</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specific</w:t>
      </w:r>
      <w:r w:rsidR="005D5532" w:rsidRPr="00B24C02">
        <w:rPr>
          <w:color w:val="000000"/>
          <w:szCs w:val="19"/>
          <w:lang w:eastAsia="en-AU"/>
        </w:rPr>
        <w:t xml:space="preserve"> </w:t>
      </w:r>
      <w:r w:rsidRPr="00B24C02">
        <w:rPr>
          <w:color w:val="000000"/>
          <w:szCs w:val="19"/>
          <w:lang w:eastAsia="en-AU"/>
        </w:rPr>
        <w:t>capital</w:t>
      </w:r>
      <w:r w:rsidR="005D5532" w:rsidRPr="00B24C02">
        <w:rPr>
          <w:color w:val="000000"/>
          <w:szCs w:val="19"/>
          <w:lang w:eastAsia="en-AU"/>
        </w:rPr>
        <w:t xml:space="preserve"> </w:t>
      </w:r>
      <w:r w:rsidRPr="00B24C02">
        <w:rPr>
          <w:color w:val="000000"/>
          <w:szCs w:val="19"/>
          <w:lang w:eastAsia="en-AU"/>
        </w:rPr>
        <w:t>grant</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early</w:t>
      </w:r>
      <w:r w:rsidR="005D5532" w:rsidRPr="00B24C02">
        <w:rPr>
          <w:color w:val="000000"/>
          <w:szCs w:val="19"/>
          <w:lang w:eastAsia="en-AU"/>
        </w:rPr>
        <w:t xml:space="preserve"> </w:t>
      </w:r>
      <w:r w:rsidRPr="00B24C02">
        <w:rPr>
          <w:color w:val="000000"/>
          <w:szCs w:val="19"/>
          <w:lang w:eastAsia="en-AU"/>
        </w:rPr>
        <w:t>childhood</w:t>
      </w:r>
      <w:r w:rsidR="005D5532" w:rsidRPr="00B24C02">
        <w:rPr>
          <w:color w:val="000000"/>
          <w:szCs w:val="19"/>
          <w:lang w:eastAsia="en-AU"/>
        </w:rPr>
        <w:t xml:space="preserve"> </w:t>
      </w:r>
      <w:r w:rsidRPr="00B24C02">
        <w:rPr>
          <w:color w:val="000000"/>
          <w:szCs w:val="19"/>
          <w:lang w:eastAsia="en-AU"/>
        </w:rPr>
        <w:t>facilities</w:t>
      </w:r>
      <w:r w:rsidR="005D5532" w:rsidRPr="00B24C02">
        <w:rPr>
          <w:color w:val="000000"/>
          <w:szCs w:val="19"/>
          <w:lang w:eastAsia="en-AU"/>
        </w:rPr>
        <w:t xml:space="preserve"> </w:t>
      </w:r>
      <w:r w:rsidRPr="00B24C02">
        <w:rPr>
          <w:color w:val="000000"/>
          <w:szCs w:val="19"/>
          <w:lang w:eastAsia="en-AU"/>
        </w:rPr>
        <w:t>worth</w:t>
      </w:r>
      <w:r w:rsidR="005D5532" w:rsidRPr="00B24C02">
        <w:rPr>
          <w:color w:val="000000"/>
          <w:szCs w:val="19"/>
          <w:lang w:eastAsia="en-AU"/>
        </w:rPr>
        <w:t xml:space="preserve"> </w:t>
      </w:r>
      <w:r w:rsidRPr="00B24C02">
        <w:rPr>
          <w:color w:val="000000"/>
          <w:szCs w:val="19"/>
          <w:lang w:eastAsia="en-AU"/>
        </w:rPr>
        <w:t>$300,000</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less.</w:t>
      </w:r>
      <w:r w:rsidR="005D5532" w:rsidRPr="00B24C02">
        <w:rPr>
          <w:color w:val="000000"/>
          <w:szCs w:val="19"/>
          <w:lang w:eastAsia="en-AU"/>
        </w:rPr>
        <w:t xml:space="preserve"> </w:t>
      </w:r>
      <w:r w:rsidRPr="00B24C02">
        <w:rPr>
          <w:color w:val="000000"/>
          <w:szCs w:val="19"/>
          <w:lang w:eastAsia="en-AU"/>
        </w:rPr>
        <w:t>Specific</w:t>
      </w:r>
      <w:r w:rsidR="005D5532" w:rsidRPr="00B24C02">
        <w:rPr>
          <w:color w:val="000000"/>
          <w:szCs w:val="19"/>
          <w:lang w:eastAsia="en-AU"/>
        </w:rPr>
        <w:t xml:space="preserve"> </w:t>
      </w:r>
      <w:r w:rsidRPr="00B24C02">
        <w:rPr>
          <w:color w:val="000000"/>
          <w:szCs w:val="19"/>
          <w:lang w:eastAsia="en-AU"/>
        </w:rPr>
        <w:t>clauses</w:t>
      </w:r>
      <w:r w:rsidR="005D5532" w:rsidRPr="00B24C02">
        <w:rPr>
          <w:color w:val="000000"/>
          <w:szCs w:val="19"/>
          <w:lang w:eastAsia="en-AU"/>
        </w:rPr>
        <w:t xml:space="preserve"> </w:t>
      </w:r>
      <w:r w:rsidRPr="00B24C02">
        <w:rPr>
          <w:color w:val="000000"/>
          <w:szCs w:val="19"/>
          <w:lang w:eastAsia="en-AU"/>
        </w:rPr>
        <w:t>on</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Early</w:t>
      </w:r>
      <w:r w:rsidR="005D5532" w:rsidRPr="00B24C02">
        <w:rPr>
          <w:color w:val="000000"/>
          <w:szCs w:val="19"/>
          <w:lang w:eastAsia="en-AU"/>
        </w:rPr>
        <w:t xml:space="preserve"> </w:t>
      </w:r>
      <w:r w:rsidRPr="00B24C02">
        <w:rPr>
          <w:color w:val="000000"/>
          <w:szCs w:val="19"/>
          <w:lang w:eastAsia="en-AU"/>
        </w:rPr>
        <w:t>Childhood</w:t>
      </w:r>
      <w:r w:rsidR="005D5532" w:rsidRPr="00B24C02">
        <w:rPr>
          <w:color w:val="000000"/>
          <w:szCs w:val="19"/>
          <w:lang w:eastAsia="en-AU"/>
        </w:rPr>
        <w:t xml:space="preserve"> </w:t>
      </w:r>
      <w:r w:rsidRPr="00B24C02">
        <w:rPr>
          <w:color w:val="000000"/>
          <w:szCs w:val="19"/>
          <w:lang w:eastAsia="en-AU"/>
        </w:rPr>
        <w:t>Facilities</w:t>
      </w:r>
      <w:r w:rsidR="005D5532" w:rsidRPr="00B24C02">
        <w:rPr>
          <w:color w:val="000000"/>
          <w:szCs w:val="19"/>
          <w:lang w:eastAsia="en-AU"/>
        </w:rPr>
        <w:t xml:space="preserve"> </w:t>
      </w:r>
      <w:r w:rsidRPr="00B24C02">
        <w:rPr>
          <w:color w:val="000000"/>
          <w:szCs w:val="19"/>
          <w:lang w:eastAsia="en-AU"/>
        </w:rPr>
        <w:t>Grant</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included</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clause</w:t>
      </w:r>
      <w:r w:rsidR="005D5532" w:rsidRPr="00B24C02">
        <w:rPr>
          <w:color w:val="000000"/>
          <w:szCs w:val="19"/>
          <w:lang w:eastAsia="en-AU"/>
        </w:rPr>
        <w:t xml:space="preserve"> </w:t>
      </w:r>
      <w:r w:rsidRPr="00B24C02">
        <w:rPr>
          <w:color w:val="000000"/>
          <w:szCs w:val="19"/>
          <w:lang w:eastAsia="en-AU"/>
        </w:rPr>
        <w:t>27</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Department</w:t>
      </w:r>
      <w:r w:rsidR="005D5532" w:rsidRPr="00B24C02">
        <w:rPr>
          <w:color w:val="000000"/>
          <w:szCs w:val="19"/>
          <w:lang w:eastAsia="en-AU"/>
        </w:rPr>
        <w:t xml:space="preserve"> </w:t>
      </w:r>
      <w:r w:rsidRPr="00B24C02">
        <w:rPr>
          <w:color w:val="000000"/>
          <w:szCs w:val="19"/>
          <w:lang w:eastAsia="en-AU"/>
        </w:rPr>
        <w:t>of</w:t>
      </w:r>
      <w:r w:rsidR="005D5532" w:rsidRPr="00B24C02">
        <w:rPr>
          <w:color w:val="000000"/>
          <w:szCs w:val="19"/>
          <w:lang w:eastAsia="en-AU"/>
        </w:rPr>
        <w:t xml:space="preserve"> </w:t>
      </w:r>
      <w:r w:rsidRPr="00B24C02">
        <w:rPr>
          <w:color w:val="000000"/>
          <w:szCs w:val="19"/>
          <w:lang w:eastAsia="en-AU"/>
        </w:rPr>
        <w:t>Education</w:t>
      </w:r>
      <w:r w:rsidR="005D5532" w:rsidRPr="00B24C02">
        <w:rPr>
          <w:color w:val="000000"/>
          <w:szCs w:val="19"/>
          <w:lang w:eastAsia="en-AU"/>
        </w:rPr>
        <w:t xml:space="preserve"> </w:t>
      </w:r>
      <w:r w:rsidRPr="00B24C02">
        <w:rPr>
          <w:color w:val="000000"/>
          <w:szCs w:val="19"/>
          <w:lang w:eastAsia="en-AU"/>
        </w:rPr>
        <w:t>and</w:t>
      </w:r>
      <w:r w:rsidR="005D5532" w:rsidRPr="00B24C02">
        <w:rPr>
          <w:color w:val="000000"/>
          <w:szCs w:val="19"/>
          <w:lang w:eastAsia="en-AU"/>
        </w:rPr>
        <w:t xml:space="preserve"> </w:t>
      </w:r>
      <w:r w:rsidRPr="00B24C02">
        <w:rPr>
          <w:color w:val="000000"/>
          <w:szCs w:val="19"/>
          <w:lang w:eastAsia="en-AU"/>
        </w:rPr>
        <w:t>Training's</w:t>
      </w:r>
      <w:r w:rsidR="005D5532" w:rsidRPr="00B24C02">
        <w:rPr>
          <w:color w:val="000000"/>
          <w:szCs w:val="19"/>
          <w:lang w:eastAsia="en-AU"/>
        </w:rPr>
        <w:t xml:space="preserve"> </w:t>
      </w:r>
      <w:r w:rsidR="009B3052">
        <w:rPr>
          <w:color w:val="000000"/>
          <w:szCs w:val="19"/>
          <w:lang w:eastAsia="en-AU"/>
        </w:rPr>
        <w:t>Service agreement</w:t>
      </w:r>
      <w:r w:rsidRPr="00B24C02">
        <w:rPr>
          <w:color w:val="000000"/>
          <w:szCs w:val="19"/>
          <w:lang w:eastAsia="en-AU"/>
        </w:rPr>
        <w:t>.</w:t>
      </w:r>
    </w:p>
    <w:p w14:paraId="4AC57569" w14:textId="77777777" w:rsidR="00236748" w:rsidRPr="003F52B3" w:rsidRDefault="00236748" w:rsidP="003F52B3">
      <w:pPr>
        <w:pStyle w:val="DHHSbody"/>
        <w:rPr>
          <w:lang w:eastAsia="en-AU"/>
        </w:rPr>
      </w:pPr>
      <w:bookmarkStart w:id="979" w:name="_Toc478992280"/>
      <w:r w:rsidRPr="003F52B3">
        <w:rPr>
          <w:b/>
          <w:lang w:eastAsia="en-AU"/>
        </w:rPr>
        <w:t>Prior</w:t>
      </w:r>
      <w:r w:rsidR="005D5532" w:rsidRPr="003F52B3">
        <w:rPr>
          <w:b/>
          <w:lang w:eastAsia="en-AU"/>
        </w:rPr>
        <w:t xml:space="preserve"> </w:t>
      </w:r>
      <w:r w:rsidRPr="003F52B3">
        <w:rPr>
          <w:b/>
          <w:lang w:eastAsia="en-AU"/>
        </w:rPr>
        <w:t>Year</w:t>
      </w:r>
      <w:r w:rsidR="005D5532" w:rsidRPr="003F52B3">
        <w:rPr>
          <w:b/>
          <w:lang w:eastAsia="en-AU"/>
        </w:rPr>
        <w:t xml:space="preserve"> </w:t>
      </w:r>
      <w:r w:rsidRPr="003F52B3">
        <w:rPr>
          <w:b/>
          <w:lang w:eastAsia="en-AU"/>
        </w:rPr>
        <w:t>Adjustment</w:t>
      </w:r>
      <w:bookmarkEnd w:id="979"/>
    </w:p>
    <w:p w14:paraId="14362466" w14:textId="77777777" w:rsidR="00236748" w:rsidRPr="00B24C02" w:rsidRDefault="00236748" w:rsidP="00276391">
      <w:pPr>
        <w:pStyle w:val="DHHSbody"/>
        <w:rPr>
          <w:color w:val="000000"/>
          <w:szCs w:val="19"/>
          <w:lang w:eastAsia="en-AU"/>
        </w:rPr>
      </w:pPr>
      <w:r w:rsidRPr="00B24C02">
        <w:rPr>
          <w:color w:val="000000"/>
          <w:szCs w:val="19"/>
          <w:lang w:eastAsia="en-AU"/>
        </w:rPr>
        <w:t>Funding</w:t>
      </w:r>
      <w:r w:rsidR="005D5532" w:rsidRPr="00B24C02">
        <w:rPr>
          <w:color w:val="000000"/>
          <w:szCs w:val="19"/>
          <w:lang w:eastAsia="en-AU"/>
        </w:rPr>
        <w:t xml:space="preserve"> </w:t>
      </w:r>
      <w:r w:rsidRPr="00B24C02">
        <w:rPr>
          <w:color w:val="000000"/>
          <w:szCs w:val="19"/>
          <w:lang w:eastAsia="en-AU"/>
        </w:rPr>
        <w:t>adjustments</w:t>
      </w:r>
      <w:r w:rsidR="005D5532" w:rsidRPr="00B24C02">
        <w:rPr>
          <w:color w:val="000000"/>
          <w:szCs w:val="19"/>
          <w:lang w:eastAsia="en-AU"/>
        </w:rPr>
        <w:t xml:space="preserve"> </w:t>
      </w:r>
      <w:r w:rsidRPr="00B24C02">
        <w:rPr>
          <w:color w:val="000000"/>
          <w:szCs w:val="19"/>
          <w:lang w:eastAsia="en-AU"/>
        </w:rPr>
        <w:t>that</w:t>
      </w:r>
      <w:r w:rsidR="005D5532" w:rsidRPr="00B24C02">
        <w:rPr>
          <w:color w:val="000000"/>
          <w:szCs w:val="19"/>
          <w:lang w:eastAsia="en-AU"/>
        </w:rPr>
        <w:t xml:space="preserve"> </w:t>
      </w:r>
      <w:r w:rsidRPr="00B24C02">
        <w:rPr>
          <w:color w:val="000000"/>
          <w:szCs w:val="19"/>
          <w:lang w:eastAsia="en-AU"/>
        </w:rPr>
        <w:t>relate</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services</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previous</w:t>
      </w:r>
      <w:r w:rsidR="005D5532" w:rsidRPr="00B24C02">
        <w:rPr>
          <w:color w:val="000000"/>
          <w:szCs w:val="19"/>
          <w:lang w:eastAsia="en-AU"/>
        </w:rPr>
        <w:t xml:space="preserve"> </w:t>
      </w:r>
      <w:r w:rsidRPr="00B24C02">
        <w:rPr>
          <w:color w:val="000000"/>
          <w:szCs w:val="19"/>
          <w:lang w:eastAsia="en-AU"/>
        </w:rPr>
        <w:t>financial</w:t>
      </w:r>
      <w:r w:rsidR="005D5532" w:rsidRPr="00B24C02">
        <w:rPr>
          <w:color w:val="000000"/>
          <w:szCs w:val="19"/>
          <w:lang w:eastAsia="en-AU"/>
        </w:rPr>
        <w:t xml:space="preserve"> </w:t>
      </w:r>
      <w:r w:rsidRPr="00B24C02">
        <w:rPr>
          <w:color w:val="000000"/>
          <w:szCs w:val="19"/>
          <w:lang w:eastAsia="en-AU"/>
        </w:rPr>
        <w:t>year</w:t>
      </w:r>
      <w:r w:rsidR="005D5532" w:rsidRPr="00B24C02">
        <w:rPr>
          <w:color w:val="000000"/>
          <w:szCs w:val="19"/>
          <w:lang w:eastAsia="en-AU"/>
        </w:rPr>
        <w:t xml:space="preserve"> </w:t>
      </w:r>
      <w:r w:rsidRPr="00B24C02">
        <w:rPr>
          <w:color w:val="000000"/>
          <w:szCs w:val="19"/>
          <w:lang w:eastAsia="en-AU"/>
        </w:rPr>
        <w:t>are</w:t>
      </w:r>
      <w:r w:rsidR="005D5532" w:rsidRPr="00B24C02">
        <w:rPr>
          <w:color w:val="000000"/>
          <w:szCs w:val="19"/>
          <w:lang w:eastAsia="en-AU"/>
        </w:rPr>
        <w:t xml:space="preserve"> </w:t>
      </w:r>
      <w:r w:rsidRPr="00B24C02">
        <w:rPr>
          <w:color w:val="000000"/>
          <w:szCs w:val="19"/>
          <w:lang w:eastAsia="en-AU"/>
        </w:rPr>
        <w:t>shown</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schedule</w:t>
      </w:r>
      <w:r w:rsidR="005D5532" w:rsidRPr="00B24C02">
        <w:rPr>
          <w:color w:val="000000"/>
          <w:szCs w:val="19"/>
          <w:lang w:eastAsia="en-AU"/>
        </w:rPr>
        <w:t xml:space="preserve"> </w:t>
      </w:r>
      <w:r w:rsidRPr="00B24C02">
        <w:rPr>
          <w:color w:val="000000"/>
          <w:szCs w:val="19"/>
          <w:lang w:eastAsia="en-AU"/>
        </w:rPr>
        <w:t>2</w:t>
      </w:r>
      <w:r w:rsidR="005D5532" w:rsidRPr="00B24C02">
        <w:rPr>
          <w:color w:val="000000"/>
          <w:szCs w:val="19"/>
          <w:lang w:eastAsia="en-AU"/>
        </w:rPr>
        <w:t xml:space="preserve"> </w:t>
      </w:r>
      <w:r w:rsidRPr="00B24C02">
        <w:rPr>
          <w:color w:val="000000"/>
          <w:szCs w:val="19"/>
          <w:lang w:eastAsia="en-AU"/>
        </w:rPr>
        <w:t>as</w:t>
      </w:r>
      <w:r w:rsidR="005D5532" w:rsidRPr="00B24C02">
        <w:rPr>
          <w:color w:val="000000"/>
          <w:szCs w:val="19"/>
          <w:lang w:eastAsia="en-AU"/>
        </w:rPr>
        <w:t xml:space="preserve"> </w:t>
      </w:r>
      <w:r w:rsidRPr="00B24C02">
        <w:rPr>
          <w:color w:val="000000"/>
          <w:szCs w:val="19"/>
          <w:lang w:eastAsia="en-AU"/>
        </w:rPr>
        <w:t>Prior</w:t>
      </w:r>
      <w:r w:rsidR="005D5532" w:rsidRPr="00B24C02">
        <w:rPr>
          <w:color w:val="000000"/>
          <w:szCs w:val="19"/>
          <w:lang w:eastAsia="en-AU"/>
        </w:rPr>
        <w:t xml:space="preserve"> </w:t>
      </w:r>
      <w:r w:rsidRPr="00B24C02">
        <w:rPr>
          <w:color w:val="000000"/>
          <w:szCs w:val="19"/>
          <w:lang w:eastAsia="en-AU"/>
        </w:rPr>
        <w:t>Year</w:t>
      </w:r>
      <w:r w:rsidR="005D5532" w:rsidRPr="00B24C02">
        <w:rPr>
          <w:color w:val="000000"/>
          <w:szCs w:val="19"/>
          <w:lang w:eastAsia="en-AU"/>
        </w:rPr>
        <w:t xml:space="preserve"> </w:t>
      </w:r>
      <w:r w:rsidRPr="00B24C02">
        <w:rPr>
          <w:color w:val="000000"/>
          <w:szCs w:val="19"/>
          <w:lang w:eastAsia="en-AU"/>
        </w:rPr>
        <w:t>Adjustments.</w:t>
      </w:r>
      <w:r w:rsidR="005D5532" w:rsidRPr="00B24C02">
        <w:rPr>
          <w:color w:val="000000"/>
          <w:szCs w:val="19"/>
          <w:lang w:eastAsia="en-AU"/>
        </w:rPr>
        <w:t xml:space="preserve"> </w:t>
      </w:r>
      <w:r w:rsidRPr="00B24C02">
        <w:rPr>
          <w:color w:val="000000"/>
          <w:szCs w:val="19"/>
          <w:lang w:eastAsia="en-AU"/>
        </w:rPr>
        <w:t>These</w:t>
      </w:r>
      <w:r w:rsidR="005D5532" w:rsidRPr="00B24C02">
        <w:rPr>
          <w:color w:val="000000"/>
          <w:szCs w:val="19"/>
          <w:lang w:eastAsia="en-AU"/>
        </w:rPr>
        <w:t xml:space="preserve"> </w:t>
      </w:r>
      <w:r w:rsidRPr="00B24C02">
        <w:rPr>
          <w:color w:val="000000"/>
          <w:szCs w:val="19"/>
          <w:lang w:eastAsia="en-AU"/>
        </w:rPr>
        <w:t>can</w:t>
      </w:r>
      <w:r w:rsidR="005D5532" w:rsidRPr="00B24C02">
        <w:rPr>
          <w:color w:val="000000"/>
          <w:szCs w:val="19"/>
          <w:lang w:eastAsia="en-AU"/>
        </w:rPr>
        <w:t xml:space="preserve"> </w:t>
      </w:r>
      <w:r w:rsidRPr="00B24C02">
        <w:rPr>
          <w:color w:val="000000"/>
          <w:szCs w:val="19"/>
          <w:lang w:eastAsia="en-AU"/>
        </w:rPr>
        <w:t>be</w:t>
      </w:r>
      <w:r w:rsidR="005D5532" w:rsidRPr="00B24C02">
        <w:rPr>
          <w:color w:val="000000"/>
          <w:szCs w:val="19"/>
          <w:lang w:eastAsia="en-AU"/>
        </w:rPr>
        <w:t xml:space="preserve"> </w:t>
      </w:r>
      <w:r w:rsidRPr="00B24C02">
        <w:rPr>
          <w:color w:val="000000"/>
          <w:szCs w:val="19"/>
          <w:lang w:eastAsia="en-AU"/>
        </w:rPr>
        <w:t>both</w:t>
      </w:r>
      <w:r w:rsidR="005D5532" w:rsidRPr="00B24C02">
        <w:rPr>
          <w:color w:val="000000"/>
          <w:szCs w:val="19"/>
          <w:lang w:eastAsia="en-AU"/>
        </w:rPr>
        <w:t xml:space="preserve"> </w:t>
      </w:r>
      <w:r w:rsidRPr="00B24C02">
        <w:rPr>
          <w:color w:val="000000"/>
          <w:szCs w:val="19"/>
          <w:lang w:eastAsia="en-AU"/>
        </w:rPr>
        <w:t>positive</w:t>
      </w:r>
      <w:r w:rsidR="005D5532" w:rsidRPr="00B24C02">
        <w:rPr>
          <w:color w:val="000000"/>
          <w:szCs w:val="19"/>
          <w:lang w:eastAsia="en-AU"/>
        </w:rPr>
        <w:t xml:space="preserve"> </w:t>
      </w:r>
      <w:r w:rsidRPr="00B24C02">
        <w:rPr>
          <w:color w:val="000000"/>
          <w:szCs w:val="19"/>
          <w:lang w:eastAsia="en-AU"/>
        </w:rPr>
        <w:t>(payment</w:t>
      </w:r>
      <w:r w:rsidR="005D5532" w:rsidRPr="00B24C02">
        <w:rPr>
          <w:color w:val="000000"/>
          <w:szCs w:val="19"/>
          <w:lang w:eastAsia="en-AU"/>
        </w:rPr>
        <w:t xml:space="preserve"> </w:t>
      </w:r>
      <w:r w:rsidRPr="00B24C02">
        <w:rPr>
          <w:color w:val="000000"/>
          <w:szCs w:val="19"/>
          <w:lang w:eastAsia="en-AU"/>
        </w:rPr>
        <w:t>for</w:t>
      </w:r>
      <w:r w:rsidR="005D5532" w:rsidRPr="00B24C02">
        <w:rPr>
          <w:color w:val="000000"/>
          <w:szCs w:val="19"/>
          <w:lang w:eastAsia="en-AU"/>
        </w:rPr>
        <w:t xml:space="preserve"> </w:t>
      </w:r>
      <w:r w:rsidRPr="00B24C02">
        <w:rPr>
          <w:color w:val="000000"/>
          <w:szCs w:val="19"/>
          <w:lang w:eastAsia="en-AU"/>
        </w:rPr>
        <w:t>services</w:t>
      </w:r>
      <w:r w:rsidR="005D5532" w:rsidRPr="00B24C02">
        <w:rPr>
          <w:color w:val="000000"/>
          <w:szCs w:val="19"/>
          <w:lang w:eastAsia="en-AU"/>
        </w:rPr>
        <w:t xml:space="preserve"> </w:t>
      </w:r>
      <w:r w:rsidRPr="00B24C02">
        <w:rPr>
          <w:color w:val="000000"/>
          <w:szCs w:val="19"/>
          <w:lang w:eastAsia="en-AU"/>
        </w:rPr>
        <w:t>provided</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previous</w:t>
      </w:r>
      <w:r w:rsidR="005D5532" w:rsidRPr="00B24C02">
        <w:rPr>
          <w:color w:val="000000"/>
          <w:szCs w:val="19"/>
          <w:lang w:eastAsia="en-AU"/>
        </w:rPr>
        <w:t xml:space="preserve"> </w:t>
      </w:r>
      <w:r w:rsidRPr="00B24C02">
        <w:rPr>
          <w:color w:val="000000"/>
          <w:szCs w:val="19"/>
          <w:lang w:eastAsia="en-AU"/>
        </w:rPr>
        <w:t>year)</w:t>
      </w:r>
      <w:r w:rsidR="005D5532" w:rsidRPr="00B24C02">
        <w:rPr>
          <w:color w:val="000000"/>
          <w:szCs w:val="19"/>
          <w:lang w:eastAsia="en-AU"/>
        </w:rPr>
        <w:t xml:space="preserve"> </w:t>
      </w:r>
      <w:r w:rsidRPr="00B24C02">
        <w:rPr>
          <w:color w:val="000000"/>
          <w:szCs w:val="19"/>
          <w:lang w:eastAsia="en-AU"/>
        </w:rPr>
        <w:t>or</w:t>
      </w:r>
      <w:r w:rsidR="005D5532" w:rsidRPr="00B24C02">
        <w:rPr>
          <w:color w:val="000000"/>
          <w:szCs w:val="19"/>
          <w:lang w:eastAsia="en-AU"/>
        </w:rPr>
        <w:t xml:space="preserve"> </w:t>
      </w:r>
      <w:r w:rsidRPr="00B24C02">
        <w:rPr>
          <w:color w:val="000000"/>
          <w:szCs w:val="19"/>
          <w:lang w:eastAsia="en-AU"/>
        </w:rPr>
        <w:t>negative</w:t>
      </w:r>
      <w:r w:rsidR="005D5532" w:rsidRPr="00B24C02">
        <w:rPr>
          <w:color w:val="000000"/>
          <w:szCs w:val="19"/>
          <w:lang w:eastAsia="en-AU"/>
        </w:rPr>
        <w:t xml:space="preserve"> </w:t>
      </w:r>
      <w:r w:rsidRPr="00B24C02">
        <w:rPr>
          <w:color w:val="000000"/>
          <w:szCs w:val="19"/>
          <w:lang w:eastAsia="en-AU"/>
        </w:rPr>
        <w:t>(where</w:t>
      </w:r>
      <w:r w:rsidR="005D5532" w:rsidRPr="00B24C02">
        <w:rPr>
          <w:color w:val="000000"/>
          <w:szCs w:val="19"/>
          <w:lang w:eastAsia="en-AU"/>
        </w:rPr>
        <w:t xml:space="preserve"> </w:t>
      </w:r>
      <w:r w:rsidRPr="00B24C02">
        <w:rPr>
          <w:color w:val="000000"/>
          <w:szCs w:val="19"/>
          <w:lang w:eastAsia="en-AU"/>
        </w:rPr>
        <w:t>the</w:t>
      </w:r>
      <w:r w:rsidR="005D5532" w:rsidRPr="00B24C02">
        <w:rPr>
          <w:color w:val="000000"/>
          <w:szCs w:val="19"/>
          <w:lang w:eastAsia="en-AU"/>
        </w:rPr>
        <w:t xml:space="preserve"> </w:t>
      </w:r>
      <w:r w:rsidRPr="00B24C02">
        <w:rPr>
          <w:color w:val="000000"/>
          <w:szCs w:val="19"/>
          <w:lang w:eastAsia="en-AU"/>
        </w:rPr>
        <w:t>department</w:t>
      </w:r>
      <w:r w:rsidR="005D5532" w:rsidRPr="00B24C02">
        <w:rPr>
          <w:color w:val="000000"/>
          <w:szCs w:val="19"/>
          <w:lang w:eastAsia="en-AU"/>
        </w:rPr>
        <w:t xml:space="preserve"> </w:t>
      </w:r>
      <w:r w:rsidRPr="00B24C02">
        <w:rPr>
          <w:color w:val="000000"/>
          <w:szCs w:val="19"/>
          <w:lang w:eastAsia="en-AU"/>
        </w:rPr>
        <w:t>is</w:t>
      </w:r>
      <w:r w:rsidR="005D5532" w:rsidRPr="00B24C02">
        <w:rPr>
          <w:color w:val="000000"/>
          <w:szCs w:val="19"/>
          <w:lang w:eastAsia="en-AU"/>
        </w:rPr>
        <w:t xml:space="preserve"> </w:t>
      </w:r>
      <w:r w:rsidRPr="00B24C02">
        <w:rPr>
          <w:color w:val="000000"/>
          <w:szCs w:val="19"/>
          <w:lang w:eastAsia="en-AU"/>
        </w:rPr>
        <w:t>recouping</w:t>
      </w:r>
      <w:r w:rsidR="005D5532" w:rsidRPr="00B24C02">
        <w:rPr>
          <w:color w:val="000000"/>
          <w:szCs w:val="19"/>
          <w:lang w:eastAsia="en-AU"/>
        </w:rPr>
        <w:t xml:space="preserve"> </w:t>
      </w:r>
      <w:r w:rsidRPr="00B24C02">
        <w:rPr>
          <w:color w:val="000000"/>
          <w:szCs w:val="19"/>
          <w:lang w:eastAsia="en-AU"/>
        </w:rPr>
        <w:t>overpayments</w:t>
      </w:r>
      <w:r w:rsidR="005D5532" w:rsidRPr="00B24C02">
        <w:rPr>
          <w:color w:val="000000"/>
          <w:szCs w:val="19"/>
          <w:lang w:eastAsia="en-AU"/>
        </w:rPr>
        <w:t xml:space="preserve"> </w:t>
      </w:r>
      <w:r w:rsidRPr="00B24C02">
        <w:rPr>
          <w:color w:val="000000"/>
          <w:szCs w:val="19"/>
          <w:lang w:eastAsia="en-AU"/>
        </w:rPr>
        <w:t>that</w:t>
      </w:r>
      <w:r w:rsidR="005D5532" w:rsidRPr="00B24C02">
        <w:rPr>
          <w:color w:val="000000"/>
          <w:szCs w:val="19"/>
          <w:lang w:eastAsia="en-AU"/>
        </w:rPr>
        <w:t xml:space="preserve"> </w:t>
      </w:r>
      <w:r w:rsidRPr="00B24C02">
        <w:rPr>
          <w:color w:val="000000"/>
          <w:szCs w:val="19"/>
          <w:lang w:eastAsia="en-AU"/>
        </w:rPr>
        <w:t>relate</w:t>
      </w:r>
      <w:r w:rsidR="005D5532" w:rsidRPr="00B24C02">
        <w:rPr>
          <w:color w:val="000000"/>
          <w:szCs w:val="19"/>
          <w:lang w:eastAsia="en-AU"/>
        </w:rPr>
        <w:t xml:space="preserve"> </w:t>
      </w:r>
      <w:r w:rsidRPr="00B24C02">
        <w:rPr>
          <w:color w:val="000000"/>
          <w:szCs w:val="19"/>
          <w:lang w:eastAsia="en-AU"/>
        </w:rPr>
        <w:t>to</w:t>
      </w:r>
      <w:r w:rsidR="005D5532" w:rsidRPr="00B24C02">
        <w:rPr>
          <w:color w:val="000000"/>
          <w:szCs w:val="19"/>
          <w:lang w:eastAsia="en-AU"/>
        </w:rPr>
        <w:t xml:space="preserve"> </w:t>
      </w:r>
      <w:r w:rsidRPr="00B24C02">
        <w:rPr>
          <w:color w:val="000000"/>
          <w:szCs w:val="19"/>
          <w:lang w:eastAsia="en-AU"/>
        </w:rPr>
        <w:t>services</w:t>
      </w:r>
      <w:r w:rsidR="005D5532" w:rsidRPr="00B24C02">
        <w:rPr>
          <w:color w:val="000000"/>
          <w:szCs w:val="19"/>
          <w:lang w:eastAsia="en-AU"/>
        </w:rPr>
        <w:t xml:space="preserve"> </w:t>
      </w:r>
      <w:r w:rsidRPr="00B24C02">
        <w:rPr>
          <w:color w:val="000000"/>
          <w:szCs w:val="19"/>
          <w:lang w:eastAsia="en-AU"/>
        </w:rPr>
        <w:t>in</w:t>
      </w:r>
      <w:r w:rsidR="005D5532" w:rsidRPr="00B24C02">
        <w:rPr>
          <w:color w:val="000000"/>
          <w:szCs w:val="19"/>
          <w:lang w:eastAsia="en-AU"/>
        </w:rPr>
        <w:t xml:space="preserve"> </w:t>
      </w:r>
      <w:r w:rsidRPr="00B24C02">
        <w:rPr>
          <w:color w:val="000000"/>
          <w:szCs w:val="19"/>
          <w:lang w:eastAsia="en-AU"/>
        </w:rPr>
        <w:t>a</w:t>
      </w:r>
      <w:r w:rsidR="005D5532" w:rsidRPr="00B24C02">
        <w:rPr>
          <w:color w:val="000000"/>
          <w:szCs w:val="19"/>
          <w:lang w:eastAsia="en-AU"/>
        </w:rPr>
        <w:t xml:space="preserve"> </w:t>
      </w:r>
      <w:r w:rsidRPr="00B24C02">
        <w:rPr>
          <w:color w:val="000000"/>
          <w:szCs w:val="19"/>
          <w:lang w:eastAsia="en-AU"/>
        </w:rPr>
        <w:t>previous</w:t>
      </w:r>
      <w:r w:rsidR="005D5532" w:rsidRPr="00B24C02">
        <w:rPr>
          <w:color w:val="000000"/>
          <w:szCs w:val="19"/>
          <w:lang w:eastAsia="en-AU"/>
        </w:rPr>
        <w:t xml:space="preserve"> </w:t>
      </w:r>
      <w:r w:rsidRPr="00B24C02">
        <w:rPr>
          <w:color w:val="000000"/>
          <w:szCs w:val="19"/>
          <w:lang w:eastAsia="en-AU"/>
        </w:rPr>
        <w:t>financial</w:t>
      </w:r>
      <w:r w:rsidR="005D5532" w:rsidRPr="00B24C02">
        <w:rPr>
          <w:color w:val="000000"/>
          <w:szCs w:val="19"/>
          <w:lang w:eastAsia="en-AU"/>
        </w:rPr>
        <w:t xml:space="preserve"> </w:t>
      </w:r>
      <w:r w:rsidRPr="00B24C02">
        <w:rPr>
          <w:color w:val="000000"/>
          <w:szCs w:val="19"/>
          <w:lang w:eastAsia="en-AU"/>
        </w:rPr>
        <w:t>year).</w:t>
      </w:r>
    </w:p>
    <w:p w14:paraId="7C1F1C11" w14:textId="43C66146" w:rsidR="00236748" w:rsidRPr="00276391" w:rsidRDefault="00B53AA9" w:rsidP="00934A5A">
      <w:pPr>
        <w:pStyle w:val="Heading3"/>
        <w:rPr>
          <w:lang w:eastAsia="en-AU"/>
        </w:rPr>
      </w:pPr>
      <w:bookmarkStart w:id="980" w:name="_Toc478992281"/>
      <w:bookmarkStart w:id="981" w:name="_Toc478992533"/>
      <w:bookmarkStart w:id="982" w:name="_Toc4142190"/>
      <w:r>
        <w:rPr>
          <w:lang w:eastAsia="en-AU"/>
        </w:rPr>
        <w:lastRenderedPageBreak/>
        <w:t>6</w:t>
      </w:r>
      <w:r w:rsidR="00236748" w:rsidRPr="00276391">
        <w:rPr>
          <w:lang w:eastAsia="en-AU"/>
        </w:rPr>
        <w:t>.2.2</w:t>
      </w:r>
      <w:r w:rsidR="009B2351" w:rsidRPr="00276391">
        <w:rPr>
          <w:lang w:eastAsia="en-AU"/>
        </w:rPr>
        <w:t xml:space="preserve"> </w:t>
      </w:r>
      <w:r w:rsidR="00236748" w:rsidRPr="00276391">
        <w:rPr>
          <w:lang w:eastAsia="en-AU"/>
        </w:rPr>
        <w:t>Payment</w:t>
      </w:r>
      <w:r w:rsidR="009B2351" w:rsidRPr="00276391">
        <w:rPr>
          <w:lang w:eastAsia="en-AU"/>
        </w:rPr>
        <w:t xml:space="preserve"> </w:t>
      </w:r>
      <w:r w:rsidR="00236748" w:rsidRPr="00276391">
        <w:rPr>
          <w:lang w:eastAsia="en-AU"/>
        </w:rPr>
        <w:t>schedule</w:t>
      </w:r>
      <w:bookmarkEnd w:id="980"/>
      <w:bookmarkEnd w:id="981"/>
      <w:bookmarkEnd w:id="982"/>
    </w:p>
    <w:p w14:paraId="5084AF29" w14:textId="3AA3746F" w:rsidR="00236748" w:rsidRPr="00276391" w:rsidRDefault="00236748" w:rsidP="00276391">
      <w:pPr>
        <w:pStyle w:val="DHHSbody"/>
        <w:rPr>
          <w:lang w:eastAsia="en-AU"/>
        </w:rPr>
      </w:pP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payment</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009B3052">
        <w:rPr>
          <w:rFonts w:cs="Arial"/>
          <w:color w:val="000000"/>
          <w:szCs w:val="19"/>
          <w:lang w:eastAsia="en-AU"/>
        </w:rPr>
        <w:t>Service agreement</w:t>
      </w:r>
      <w:r w:rsidR="005D5532" w:rsidRPr="00B24C02">
        <w:rPr>
          <w:rFonts w:cs="Arial"/>
          <w:color w:val="000000"/>
          <w:szCs w:val="19"/>
          <w:lang w:eastAsia="en-AU"/>
        </w:rPr>
        <w:t xml:space="preserve"> </w:t>
      </w:r>
      <w:r w:rsidRPr="00B24C02">
        <w:rPr>
          <w:rFonts w:cs="Arial"/>
          <w:color w:val="000000"/>
          <w:szCs w:val="19"/>
          <w:lang w:eastAsia="en-AU"/>
        </w:rPr>
        <w:t>provides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basis</w:t>
      </w:r>
      <w:r w:rsidR="005D5532" w:rsidRPr="00B24C02">
        <w:rPr>
          <w:rFonts w:cs="Arial"/>
          <w:color w:val="000000"/>
          <w:szCs w:val="19"/>
          <w:lang w:eastAsia="en-AU"/>
        </w:rPr>
        <w:t xml:space="preserve"> </w:t>
      </w:r>
      <w:r w:rsidRPr="00B24C02">
        <w:rPr>
          <w:rFonts w:cs="Arial"/>
          <w:color w:val="000000"/>
          <w:szCs w:val="19"/>
          <w:lang w:eastAsia="en-AU"/>
        </w:rPr>
        <w:t>for</w:t>
      </w:r>
      <w:r w:rsidR="005D5532" w:rsidRPr="00B24C02">
        <w:rPr>
          <w:rFonts w:cs="Arial"/>
          <w:color w:val="000000"/>
          <w:szCs w:val="19"/>
          <w:lang w:eastAsia="en-AU"/>
        </w:rPr>
        <w:t xml:space="preserve"> </w:t>
      </w:r>
      <w:r w:rsidRPr="00B24C02">
        <w:rPr>
          <w:rFonts w:cs="Arial"/>
          <w:color w:val="000000"/>
          <w:szCs w:val="19"/>
          <w:lang w:eastAsia="en-AU"/>
        </w:rPr>
        <w:t>payments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organisations</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includes</w:t>
      </w:r>
      <w:r w:rsidR="005D5532" w:rsidRPr="00B24C02">
        <w:rPr>
          <w:rFonts w:cs="Arial"/>
          <w:color w:val="000000"/>
          <w:szCs w:val="19"/>
          <w:lang w:eastAsia="en-AU"/>
        </w:rPr>
        <w:t xml:space="preserve"> </w:t>
      </w:r>
      <w:r w:rsidRPr="00B24C02">
        <w:rPr>
          <w:rFonts w:cs="Arial"/>
          <w:color w:val="000000"/>
          <w:szCs w:val="19"/>
          <w:lang w:eastAsia="en-AU"/>
        </w:rPr>
        <w:t>details</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date</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amount</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payments</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be</w:t>
      </w:r>
      <w:r w:rsidR="005D5532" w:rsidRPr="00B24C02">
        <w:rPr>
          <w:rFonts w:cs="Arial"/>
          <w:color w:val="000000"/>
          <w:szCs w:val="19"/>
          <w:lang w:eastAsia="en-AU"/>
        </w:rPr>
        <w:t xml:space="preserve"> </w:t>
      </w:r>
      <w:r w:rsidRPr="00B24C02">
        <w:rPr>
          <w:rFonts w:cs="Arial"/>
          <w:color w:val="000000"/>
          <w:szCs w:val="19"/>
          <w:lang w:eastAsia="en-AU"/>
        </w:rPr>
        <w:t>made</w:t>
      </w:r>
      <w:r w:rsidR="005D5532" w:rsidRPr="00B24C02">
        <w:rPr>
          <w:rFonts w:cs="Arial"/>
          <w:color w:val="000000"/>
          <w:szCs w:val="19"/>
          <w:lang w:eastAsia="en-AU"/>
        </w:rPr>
        <w:t xml:space="preserve"> </w:t>
      </w:r>
      <w:r w:rsidRPr="00B24C02">
        <w:rPr>
          <w:rFonts w:cs="Arial"/>
          <w:color w:val="000000"/>
          <w:szCs w:val="19"/>
          <w:lang w:eastAsia="en-AU"/>
        </w:rPr>
        <w:t>over</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current</w:t>
      </w:r>
      <w:r w:rsidR="005D5532" w:rsidRPr="00B24C02">
        <w:rPr>
          <w:rFonts w:cs="Arial"/>
          <w:color w:val="000000"/>
          <w:szCs w:val="19"/>
          <w:lang w:eastAsia="en-AU"/>
        </w:rPr>
        <w:t xml:space="preserve"> </w:t>
      </w:r>
      <w:r w:rsidRPr="00B24C02">
        <w:rPr>
          <w:rFonts w:cs="Arial"/>
          <w:color w:val="000000"/>
          <w:szCs w:val="19"/>
          <w:lang w:eastAsia="en-AU"/>
        </w:rPr>
        <w:t>financial</w:t>
      </w:r>
      <w:r w:rsidR="005D5532" w:rsidRPr="00B24C02">
        <w:rPr>
          <w:rFonts w:cs="Arial"/>
          <w:color w:val="000000"/>
          <w:szCs w:val="19"/>
          <w:lang w:eastAsia="en-AU"/>
        </w:rPr>
        <w:t xml:space="preserve"> </w:t>
      </w:r>
      <w:r w:rsidRPr="00B24C02">
        <w:rPr>
          <w:rFonts w:cs="Arial"/>
          <w:color w:val="000000"/>
          <w:szCs w:val="19"/>
          <w:lang w:eastAsia="en-AU"/>
        </w:rPr>
        <w:t>year</w:t>
      </w:r>
      <w:r w:rsidR="005D5532" w:rsidRPr="00B24C02">
        <w:rPr>
          <w:rFonts w:cs="Arial"/>
          <w:color w:val="000000"/>
          <w:szCs w:val="19"/>
          <w:lang w:eastAsia="en-AU"/>
        </w:rPr>
        <w:t xml:space="preserve"> </w:t>
      </w:r>
      <w:r w:rsidRPr="00B24C02">
        <w:rPr>
          <w:rFonts w:cs="Arial"/>
          <w:color w:val="000000"/>
          <w:szCs w:val="19"/>
          <w:lang w:eastAsia="en-AU"/>
        </w:rPr>
        <w:t>of</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agreement.</w:t>
      </w:r>
    </w:p>
    <w:p w14:paraId="0D40A2D2" w14:textId="42808F97"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updated</w:t>
      </w:r>
      <w:r w:rsidR="005D5532" w:rsidRPr="00276391">
        <w:rPr>
          <w:lang w:eastAsia="en-AU"/>
        </w:rPr>
        <w:t xml:space="preserve"> </w:t>
      </w:r>
      <w:r w:rsidRPr="00276391">
        <w:rPr>
          <w:lang w:eastAsia="en-AU"/>
        </w:rPr>
        <w:t>whenever</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varied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shown</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document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level</w:t>
      </w:r>
      <w:r w:rsidR="005D5532" w:rsidRPr="00276391">
        <w:rPr>
          <w:lang w:eastAsia="en-AU"/>
        </w:rPr>
        <w:t xml:space="preserve"> </w:t>
      </w:r>
      <w:r w:rsidRPr="00276391">
        <w:rPr>
          <w:lang w:eastAsia="en-AU"/>
        </w:rPr>
        <w:t>only.</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Excel</w:t>
      </w:r>
      <w:r w:rsidR="005D5532" w:rsidRPr="00276391">
        <w:rPr>
          <w:lang w:eastAsia="en-AU"/>
        </w:rPr>
        <w:t xml:space="preserve"> </w:t>
      </w:r>
      <w:r w:rsidRPr="00276391">
        <w:rPr>
          <w:lang w:eastAsia="en-AU"/>
        </w:rPr>
        <w:t>version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available</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Contracts</w:t>
      </w:r>
      <w:r w:rsidR="005D5532" w:rsidRPr="00276391">
        <w:rPr>
          <w:lang w:eastAsia="en-AU"/>
        </w:rPr>
        <w:t xml:space="preserve"> </w:t>
      </w:r>
      <w:r w:rsidRPr="00276391">
        <w:rPr>
          <w:lang w:eastAsia="en-AU"/>
        </w:rPr>
        <w:t>tab</w:t>
      </w:r>
      <w:r w:rsidR="005D5532" w:rsidRPr="00276391">
        <w:rPr>
          <w:lang w:eastAsia="en-AU"/>
        </w:rPr>
        <w:t xml:space="preserve"> </w:t>
      </w:r>
      <w:r w:rsidRPr="00276391">
        <w:rPr>
          <w:lang w:eastAsia="en-AU"/>
        </w:rPr>
        <w:t>from</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420" w:tgtFrame="_blank" w:tooltip="link to the Funded Agency Channel website" w:history="1">
        <w:r w:rsidR="00296DCA">
          <w:rPr>
            <w:rStyle w:val="Hyperlink"/>
          </w:rPr>
          <w:t>Funded agency channel</w:t>
        </w:r>
      </w:hyperlink>
      <w:r w:rsidR="00C14B1A" w:rsidRPr="00276391">
        <w:rPr>
          <w:lang w:eastAsia="en-AU"/>
        </w:rPr>
        <w:t xml:space="preserve"> </w:t>
      </w:r>
      <w:r w:rsidR="00C14B1A">
        <w:rPr>
          <w:lang w:eastAsia="en-AU"/>
        </w:rPr>
        <w:t>&lt;</w:t>
      </w:r>
      <w:r w:rsidR="003C426A" w:rsidRPr="003C426A">
        <w:rPr>
          <w:lang w:eastAsia="en-AU"/>
        </w:rPr>
        <w:t>https://fac.dhhs.vic.gov.au</w:t>
      </w:r>
      <w:r w:rsidR="00C14B1A">
        <w:rPr>
          <w:lang w:eastAsia="en-AU"/>
        </w:rPr>
        <w:t>&gt;</w:t>
      </w:r>
      <w:r w:rsidR="00CC014B">
        <w:rPr>
          <w:lang w:eastAsia="en-AU"/>
        </w:rPr>
        <w:t xml:space="preserve"> (external link, opens in a new window)</w:t>
      </w:r>
      <w:r w:rsidRPr="00276391">
        <w:rPr>
          <w:lang w:eastAsia="en-AU"/>
        </w:rPr>
        <w:t>.</w:t>
      </w:r>
      <w:r w:rsidR="005D5532" w:rsidRPr="00276391">
        <w:rPr>
          <w:lang w:eastAsia="en-AU"/>
        </w:rPr>
        <w:t xml:space="preserve"> </w:t>
      </w:r>
      <w:r w:rsidRPr="00276391">
        <w:rPr>
          <w:lang w:eastAsia="en-AU"/>
        </w:rPr>
        <w:t>This</w:t>
      </w:r>
      <w:r w:rsidR="005D5532" w:rsidRPr="00276391">
        <w:rPr>
          <w:lang w:eastAsia="en-AU"/>
        </w:rPr>
        <w:t xml:space="preserve"> </w:t>
      </w:r>
      <w:r w:rsidRPr="00276391">
        <w:rPr>
          <w:lang w:eastAsia="en-AU"/>
        </w:rPr>
        <w:t>Excel</w:t>
      </w:r>
      <w:r w:rsidR="005D5532" w:rsidRPr="00276391">
        <w:rPr>
          <w:lang w:eastAsia="en-AU"/>
        </w:rPr>
        <w:t xml:space="preserve"> </w:t>
      </w:r>
      <w:r w:rsidRPr="00276391">
        <w:rPr>
          <w:lang w:eastAsia="en-AU"/>
        </w:rPr>
        <w:t>version</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lower</w:t>
      </w:r>
      <w:r w:rsidR="005D5532" w:rsidRPr="00276391">
        <w:rPr>
          <w:lang w:eastAsia="en-AU"/>
        </w:rPr>
        <w:t xml:space="preserve"> </w:t>
      </w:r>
      <w:r w:rsidRPr="00276391">
        <w:rPr>
          <w:lang w:eastAsia="en-AU"/>
        </w:rPr>
        <w:t>Commitment</w:t>
      </w:r>
      <w:r w:rsidR="005D5532" w:rsidRPr="00276391">
        <w:rPr>
          <w:lang w:eastAsia="en-AU"/>
        </w:rPr>
        <w:t xml:space="preserve"> </w:t>
      </w:r>
      <w:r w:rsidRPr="00276391">
        <w:rPr>
          <w:lang w:eastAsia="en-AU"/>
        </w:rPr>
        <w:t>level.</w:t>
      </w:r>
    </w:p>
    <w:p w14:paraId="03B30D7D" w14:textId="77777777" w:rsidR="00236748" w:rsidRPr="00276391" w:rsidRDefault="00236748" w:rsidP="00276391">
      <w:pPr>
        <w:pStyle w:val="DHHSbody"/>
        <w:rPr>
          <w:lang w:eastAsia="en-AU"/>
        </w:rPr>
      </w:pPr>
      <w:r w:rsidRPr="00276391">
        <w:rPr>
          <w:lang w:eastAsia="en-AU"/>
        </w:rPr>
        <w:t>Generally,</w:t>
      </w:r>
      <w:r w:rsidR="005D5532" w:rsidRPr="00276391">
        <w:rPr>
          <w:lang w:eastAsia="en-AU"/>
        </w:rPr>
        <w:t xml:space="preserve"> </w:t>
      </w:r>
      <w:r w:rsidRPr="00276391">
        <w:rPr>
          <w:lang w:eastAsia="en-AU"/>
        </w:rPr>
        <w:t>most</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monthly</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Tuesday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month.</w:t>
      </w:r>
      <w:r w:rsidR="005D5532" w:rsidRPr="00276391">
        <w:rPr>
          <w:lang w:eastAsia="en-AU"/>
        </w:rPr>
        <w:t xml:space="preserve"> </w:t>
      </w:r>
      <w:r w:rsidRPr="00276391">
        <w:rPr>
          <w:lang w:eastAsia="en-AU"/>
        </w:rPr>
        <w:t>However,</w:t>
      </w:r>
      <w:r w:rsidR="005D5532" w:rsidRPr="00276391">
        <w:rPr>
          <w:lang w:eastAsia="en-AU"/>
        </w:rPr>
        <w:t xml:space="preserve"> </w:t>
      </w:r>
      <w:r w:rsidRPr="00276391">
        <w:rPr>
          <w:lang w:eastAsia="en-AU"/>
        </w:rPr>
        <w:t>some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activities,</w:t>
      </w:r>
      <w:r w:rsidR="005D5532" w:rsidRPr="00276391">
        <w:rPr>
          <w:lang w:eastAsia="en-AU"/>
        </w:rPr>
        <w:t xml:space="preserve"> </w:t>
      </w:r>
      <w:r w:rsidRPr="00276391">
        <w:rPr>
          <w:lang w:eastAsia="en-AU"/>
        </w:rPr>
        <w:t>such</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Neighbourhood</w:t>
      </w:r>
      <w:r w:rsidR="005D5532" w:rsidRPr="00276391">
        <w:rPr>
          <w:lang w:eastAsia="en-AU"/>
        </w:rPr>
        <w:t xml:space="preserve"> </w:t>
      </w:r>
      <w:r w:rsidRPr="00276391">
        <w:rPr>
          <w:lang w:eastAsia="en-AU"/>
        </w:rPr>
        <w:t>House</w:t>
      </w:r>
      <w:r w:rsidR="005D5532" w:rsidRPr="00276391">
        <w:rPr>
          <w:lang w:eastAsia="en-AU"/>
        </w:rPr>
        <w:t xml:space="preserve"> </w:t>
      </w:r>
      <w:r w:rsidRPr="00276391">
        <w:rPr>
          <w:lang w:eastAsia="en-AU"/>
        </w:rPr>
        <w:t>Coordination</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quarterly</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first</w:t>
      </w:r>
      <w:r w:rsidR="005D5532" w:rsidRPr="00276391">
        <w:rPr>
          <w:lang w:eastAsia="en-AU"/>
        </w:rPr>
        <w:t xml:space="preserve"> </w:t>
      </w:r>
      <w:r w:rsidRPr="00276391">
        <w:rPr>
          <w:lang w:eastAsia="en-AU"/>
        </w:rPr>
        <w:t>Tuesday</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July,</w:t>
      </w:r>
      <w:r w:rsidR="005D5532" w:rsidRPr="00276391">
        <w:rPr>
          <w:lang w:eastAsia="en-AU"/>
        </w:rPr>
        <w:t xml:space="preserve"> </w:t>
      </w:r>
      <w:r w:rsidRPr="00276391">
        <w:rPr>
          <w:lang w:eastAsia="en-AU"/>
        </w:rPr>
        <w:t>October,</w:t>
      </w:r>
      <w:r w:rsidR="005D5532" w:rsidRPr="00276391">
        <w:rPr>
          <w:lang w:eastAsia="en-AU"/>
        </w:rPr>
        <w:t xml:space="preserve"> </w:t>
      </w:r>
      <w:r w:rsidRPr="00276391">
        <w:rPr>
          <w:lang w:eastAsia="en-AU"/>
        </w:rPr>
        <w:t>January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April.</w:t>
      </w:r>
    </w:p>
    <w:p w14:paraId="0719148F" w14:textId="77777777" w:rsidR="00236748" w:rsidRPr="00276391" w:rsidRDefault="00236748" w:rsidP="00276391">
      <w:pPr>
        <w:pStyle w:val="DHHSbody"/>
        <w:rPr>
          <w:lang w:eastAsia="en-AU"/>
        </w:rPr>
      </w:pPr>
      <w:r w:rsidRPr="00276391">
        <w:rPr>
          <w:lang w:eastAsia="en-AU"/>
        </w:rPr>
        <w:t>Health</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for</w:t>
      </w:r>
      <w:r w:rsidR="005D5532" w:rsidRPr="00276391">
        <w:rPr>
          <w:lang w:eastAsia="en-AU"/>
        </w:rPr>
        <w:t xml:space="preserve"> </w:t>
      </w:r>
      <w:proofErr w:type="gramStart"/>
      <w:r w:rsidRPr="00276391">
        <w:rPr>
          <w:lang w:eastAsia="en-AU"/>
        </w:rPr>
        <w:t>health</w:t>
      </w:r>
      <w:r w:rsidR="005D5532" w:rsidRPr="00276391">
        <w:rPr>
          <w:lang w:eastAsia="en-AU"/>
        </w:rPr>
        <w:t xml:space="preserve"> </w:t>
      </w:r>
      <w:r w:rsidRPr="00276391">
        <w:rPr>
          <w:lang w:eastAsia="en-AU"/>
        </w:rPr>
        <w:t>related</w:t>
      </w:r>
      <w:proofErr w:type="gramEnd"/>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managed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Budget</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System</w:t>
      </w:r>
      <w:r w:rsidR="005D5532" w:rsidRPr="00276391">
        <w:rPr>
          <w:lang w:eastAsia="en-AU"/>
        </w:rPr>
        <w:t xml:space="preserve"> </w:t>
      </w:r>
      <w:r w:rsidRPr="00276391">
        <w:rPr>
          <w:lang w:eastAsia="en-AU"/>
        </w:rPr>
        <w:t>(BPS)</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second</w:t>
      </w:r>
      <w:r w:rsidR="005D5532" w:rsidRPr="00276391">
        <w:rPr>
          <w:lang w:eastAsia="en-AU"/>
        </w:rPr>
        <w:t xml:space="preserve"> </w:t>
      </w:r>
      <w:r w:rsidRPr="00276391">
        <w:rPr>
          <w:lang w:eastAsia="en-AU"/>
        </w:rPr>
        <w:t>Tuesday</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month.</w:t>
      </w:r>
      <w:r w:rsidR="005D5532" w:rsidRPr="00276391">
        <w:rPr>
          <w:lang w:eastAsia="en-AU"/>
        </w:rPr>
        <w:t xml:space="preserve"> </w:t>
      </w:r>
    </w:p>
    <w:p w14:paraId="68366280" w14:textId="77777777" w:rsidR="00236748" w:rsidRPr="00276391" w:rsidRDefault="00236748" w:rsidP="00276391">
      <w:pPr>
        <w:pStyle w:val="DHHSbody"/>
        <w:rPr>
          <w:lang w:eastAsia="en-AU"/>
        </w:rPr>
      </w:pPr>
      <w:r w:rsidRPr="00276391">
        <w:rPr>
          <w:lang w:eastAsia="en-AU"/>
        </w:rPr>
        <w:t>Common</w:t>
      </w:r>
      <w:r w:rsidR="005D5532" w:rsidRPr="00276391">
        <w:rPr>
          <w:lang w:eastAsia="en-AU"/>
        </w:rPr>
        <w:t xml:space="preserve"> </w:t>
      </w:r>
      <w:r w:rsidRPr="00276391">
        <w:rPr>
          <w:lang w:eastAsia="en-AU"/>
        </w:rPr>
        <w:t>practice</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spread</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equally</w:t>
      </w:r>
      <w:r w:rsidR="005D5532" w:rsidRPr="00276391">
        <w:rPr>
          <w:lang w:eastAsia="en-AU"/>
        </w:rPr>
        <w:t xml:space="preserve"> </w:t>
      </w:r>
      <w:r w:rsidRPr="00276391">
        <w:rPr>
          <w:lang w:eastAsia="en-AU"/>
        </w:rPr>
        <w:t>across</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dates,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minor</w:t>
      </w:r>
      <w:r w:rsidR="005D5532" w:rsidRPr="00276391">
        <w:rPr>
          <w:lang w:eastAsia="en-AU"/>
        </w:rPr>
        <w:t xml:space="preserve"> </w:t>
      </w:r>
      <w:r w:rsidRPr="00276391">
        <w:rPr>
          <w:lang w:eastAsia="en-AU"/>
        </w:rPr>
        <w:t>capital</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establishment</w:t>
      </w:r>
      <w:r w:rsidR="005D5532" w:rsidRPr="00276391">
        <w:rPr>
          <w:lang w:eastAsia="en-AU"/>
        </w:rPr>
        <w:t xml:space="preserve"> </w:t>
      </w:r>
      <w:r w:rsidRPr="00276391">
        <w:rPr>
          <w:lang w:eastAsia="en-AU"/>
        </w:rPr>
        <w:t>funding</w:t>
      </w:r>
      <w:r w:rsidR="005D5532" w:rsidRPr="00276391">
        <w:rPr>
          <w:lang w:eastAsia="en-AU"/>
        </w:rPr>
        <w:t xml:space="preserve"> </w:t>
      </w:r>
      <w:r w:rsidRPr="00276391">
        <w:rPr>
          <w:lang w:eastAsia="en-AU"/>
        </w:rPr>
        <w:t>items</w:t>
      </w:r>
      <w:r w:rsidR="005D5532" w:rsidRPr="00276391">
        <w:rPr>
          <w:lang w:eastAsia="en-AU"/>
        </w:rPr>
        <w:t xml:space="preserve"> </w:t>
      </w:r>
      <w:r w:rsidRPr="00276391">
        <w:rPr>
          <w:lang w:eastAsia="en-AU"/>
        </w:rPr>
        <w:t>paid</w:t>
      </w:r>
      <w:r w:rsidR="005D5532" w:rsidRPr="00276391">
        <w:rPr>
          <w:lang w:eastAsia="en-AU"/>
        </w:rPr>
        <w:t xml:space="preserve"> </w:t>
      </w:r>
      <w:r w:rsidRPr="00276391">
        <w:rPr>
          <w:lang w:eastAsia="en-AU"/>
        </w:rPr>
        <w:t>as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lump</w:t>
      </w:r>
      <w:r w:rsidR="005D5532" w:rsidRPr="00276391">
        <w:rPr>
          <w:lang w:eastAsia="en-AU"/>
        </w:rPr>
        <w:t xml:space="preserve"> </w:t>
      </w:r>
      <w:r w:rsidRPr="00276391">
        <w:rPr>
          <w:lang w:eastAsia="en-AU"/>
        </w:rPr>
        <w:t>sum.</w:t>
      </w:r>
      <w:r w:rsidR="005D5532" w:rsidRPr="00276391">
        <w:rPr>
          <w:lang w:eastAsia="en-AU"/>
        </w:rPr>
        <w:t xml:space="preserve"> </w:t>
      </w:r>
      <w:r w:rsidRPr="00276391">
        <w:rPr>
          <w:lang w:eastAsia="en-AU"/>
        </w:rPr>
        <w:t>Funded</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should</w:t>
      </w:r>
      <w:r w:rsidR="005D5532" w:rsidRPr="00276391">
        <w:rPr>
          <w:lang w:eastAsia="en-AU"/>
        </w:rPr>
        <w:t xml:space="preserve"> </w:t>
      </w:r>
      <w:r w:rsidRPr="00276391">
        <w:rPr>
          <w:lang w:eastAsia="en-AU"/>
        </w:rPr>
        <w:t>discuss</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cash</w:t>
      </w:r>
      <w:r w:rsidR="005D5532" w:rsidRPr="00276391">
        <w:rPr>
          <w:lang w:eastAsia="en-AU"/>
        </w:rPr>
        <w:t xml:space="preserve"> </w:t>
      </w:r>
      <w:r w:rsidRPr="00276391">
        <w:rPr>
          <w:lang w:eastAsia="en-AU"/>
        </w:rPr>
        <w:t>flow</w:t>
      </w:r>
      <w:r w:rsidR="005D5532" w:rsidRPr="00276391">
        <w:rPr>
          <w:lang w:eastAsia="en-AU"/>
        </w:rPr>
        <w:t xml:space="preserve"> </w:t>
      </w:r>
      <w:r w:rsidRPr="00276391">
        <w:rPr>
          <w:lang w:eastAsia="en-AU"/>
        </w:rPr>
        <w:t>requests</w:t>
      </w:r>
      <w:r w:rsidR="005D5532" w:rsidRPr="00276391">
        <w:rPr>
          <w:lang w:eastAsia="en-AU"/>
        </w:rPr>
        <w:t xml:space="preserve"> </w:t>
      </w:r>
      <w:r w:rsidRPr="00276391">
        <w:rPr>
          <w:lang w:eastAsia="en-AU"/>
        </w:rPr>
        <w:t>with</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contact/program</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adviser.</w:t>
      </w:r>
    </w:p>
    <w:p w14:paraId="096DBD51" w14:textId="5FF9D462" w:rsidR="00236748" w:rsidRPr="00276391" w:rsidRDefault="00236748" w:rsidP="00276391">
      <w:pPr>
        <w:pStyle w:val="DHHSbody"/>
        <w:rPr>
          <w:lang w:eastAsia="en-AU"/>
        </w:rPr>
      </w:pPr>
      <w:r w:rsidRPr="00276391">
        <w:rPr>
          <w:lang w:eastAsia="en-AU"/>
        </w:rPr>
        <w:t>The</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schedule</w:t>
      </w:r>
      <w:r w:rsidR="005D5532" w:rsidRPr="00276391">
        <w:rPr>
          <w:lang w:eastAsia="en-AU"/>
        </w:rPr>
        <w:t xml:space="preserve"> </w:t>
      </w:r>
      <w:r w:rsidRPr="00276391">
        <w:rPr>
          <w:lang w:eastAsia="en-AU"/>
        </w:rPr>
        <w:t>displayed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does</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amounts</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Where</w:t>
      </w:r>
      <w:r w:rsidR="005D5532" w:rsidRPr="00276391">
        <w:rPr>
          <w:lang w:eastAsia="en-AU"/>
        </w:rPr>
        <w:t xml:space="preserve"> </w:t>
      </w:r>
      <w:r w:rsidRPr="00276391">
        <w:rPr>
          <w:lang w:eastAsia="en-AU"/>
        </w:rPr>
        <w:t>GST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payable</w:t>
      </w:r>
      <w:r w:rsidR="005D5532" w:rsidRPr="00276391">
        <w:rPr>
          <w:lang w:eastAsia="en-AU"/>
        </w:rPr>
        <w:t xml:space="preserve"> </w:t>
      </w:r>
      <w:r w:rsidRPr="00276391">
        <w:rPr>
          <w:lang w:eastAsia="en-AU"/>
        </w:rPr>
        <w:t>it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added</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scheduled</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when</w:t>
      </w:r>
      <w:r w:rsidR="005D5532" w:rsidRPr="00276391">
        <w:rPr>
          <w:lang w:eastAsia="en-AU"/>
        </w:rPr>
        <w:t xml:space="preserve"> </w:t>
      </w:r>
      <w:r w:rsidRPr="00276391">
        <w:rPr>
          <w:lang w:eastAsia="en-AU"/>
        </w:rPr>
        <w:t>each</w:t>
      </w:r>
      <w:r w:rsidR="005D5532" w:rsidRPr="00276391">
        <w:rPr>
          <w:lang w:eastAsia="en-AU"/>
        </w:rPr>
        <w:t xml:space="preserve"> </w:t>
      </w:r>
      <w:r w:rsidRPr="00276391">
        <w:rPr>
          <w:lang w:eastAsia="en-AU"/>
        </w:rPr>
        <w:t>payment</w:t>
      </w:r>
      <w:r w:rsidR="005D5532" w:rsidRPr="00276391">
        <w:rPr>
          <w:lang w:eastAsia="en-AU"/>
        </w:rPr>
        <w:t xml:space="preserve"> </w:t>
      </w:r>
      <w:r w:rsidRPr="00276391">
        <w:rPr>
          <w:lang w:eastAsia="en-AU"/>
        </w:rPr>
        <w:t>is</w:t>
      </w:r>
      <w:r w:rsidR="005D5532" w:rsidRPr="00276391">
        <w:rPr>
          <w:lang w:eastAsia="en-AU"/>
        </w:rPr>
        <w:t xml:space="preserve"> </w:t>
      </w:r>
      <w:r w:rsidRPr="00276391">
        <w:rPr>
          <w:lang w:eastAsia="en-AU"/>
        </w:rPr>
        <w:t>made.</w:t>
      </w:r>
    </w:p>
    <w:p w14:paraId="520486B8" w14:textId="799A67AB" w:rsidR="00236748" w:rsidRPr="00276391" w:rsidRDefault="00236748" w:rsidP="00276391">
      <w:pPr>
        <w:pStyle w:val="DHHSbody"/>
        <w:rPr>
          <w:lang w:eastAsia="en-AU"/>
        </w:rPr>
      </w:pP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all</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payments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Invoices</w:t>
      </w:r>
      <w:r w:rsidR="005D5532" w:rsidRPr="00276391">
        <w:rPr>
          <w:lang w:eastAsia="en-AU"/>
        </w:rPr>
        <w:t xml:space="preserve"> </w:t>
      </w:r>
      <w:r w:rsidRPr="00276391">
        <w:rPr>
          <w:lang w:eastAsia="en-AU"/>
        </w:rPr>
        <w:t>tab</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r w:rsidRPr="00276391">
        <w:rPr>
          <w:lang w:eastAsia="en-AU"/>
        </w:rPr>
        <w:t>Module</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hyperlink r:id="rId421" w:tgtFrame="_blank" w:tooltip="link to the Funded Agency Channel website" w:history="1">
        <w:r w:rsidR="00296DCA">
          <w:rPr>
            <w:rStyle w:val="Hyperlink"/>
          </w:rPr>
          <w:t>Funded agency channel</w:t>
        </w:r>
      </w:hyperlink>
      <w:r w:rsidR="00C14B1A" w:rsidRPr="00276391">
        <w:rPr>
          <w:lang w:eastAsia="en-AU"/>
        </w:rPr>
        <w:t xml:space="preserve"> </w:t>
      </w:r>
      <w:r w:rsidR="00C14B1A">
        <w:rPr>
          <w:lang w:eastAsia="en-AU"/>
        </w:rPr>
        <w:t>&lt;</w:t>
      </w:r>
      <w:r w:rsidR="005E72FC" w:rsidRPr="005E72FC">
        <w:rPr>
          <w:lang w:eastAsia="en-AU"/>
        </w:rPr>
        <w:t>https://fac.dhhs.vic.gov.au</w:t>
      </w:r>
      <w:r w:rsidR="00C14B1A">
        <w:rPr>
          <w:lang w:eastAsia="en-AU"/>
        </w:rPr>
        <w:t>&gt;</w:t>
      </w:r>
      <w:r w:rsidR="00CC014B">
        <w:rPr>
          <w:lang w:eastAsia="en-AU"/>
        </w:rPr>
        <w:t xml:space="preserve"> (external link, opens in a new window)</w:t>
      </w:r>
      <w:r w:rsidRPr="00276391">
        <w:rPr>
          <w:lang w:eastAsia="en-AU"/>
        </w:rPr>
        <w:t>.</w:t>
      </w:r>
    </w:p>
    <w:p w14:paraId="12B126D3" w14:textId="7602FF6A" w:rsidR="00236748" w:rsidRPr="00276391" w:rsidRDefault="00B53AA9" w:rsidP="009B2351">
      <w:pPr>
        <w:pStyle w:val="Heading2"/>
        <w:rPr>
          <w:rFonts w:cs="Arial"/>
          <w:lang w:eastAsia="en-AU"/>
        </w:rPr>
      </w:pPr>
      <w:bookmarkStart w:id="983" w:name="_Toc478992282"/>
      <w:bookmarkStart w:id="984" w:name="_Toc478992534"/>
      <w:bookmarkStart w:id="985" w:name="_Toc478992944"/>
      <w:bookmarkStart w:id="986" w:name="_Toc4142191"/>
      <w:r>
        <w:rPr>
          <w:rFonts w:cs="Arial"/>
          <w:lang w:eastAsia="en-AU"/>
        </w:rPr>
        <w:t>6</w:t>
      </w:r>
      <w:r w:rsidR="00236748" w:rsidRPr="00276391">
        <w:rPr>
          <w:rFonts w:cs="Arial"/>
          <w:lang w:eastAsia="en-AU"/>
        </w:rPr>
        <w:t>.3</w:t>
      </w:r>
      <w:r w:rsidR="009B2351" w:rsidRPr="00276391">
        <w:rPr>
          <w:rFonts w:cs="Arial"/>
          <w:lang w:eastAsia="en-AU"/>
        </w:rPr>
        <w:t xml:space="preserve"> </w:t>
      </w:r>
      <w:r w:rsidR="00236748" w:rsidRPr="00276391">
        <w:rPr>
          <w:rFonts w:cs="Arial"/>
          <w:lang w:eastAsia="en-AU"/>
        </w:rPr>
        <w:t>Data</w:t>
      </w:r>
      <w:r w:rsidR="009B2351" w:rsidRPr="00276391">
        <w:rPr>
          <w:rFonts w:cs="Arial"/>
          <w:lang w:eastAsia="en-AU"/>
        </w:rPr>
        <w:t xml:space="preserve"> </w:t>
      </w:r>
      <w:r w:rsidR="00236748" w:rsidRPr="00276391">
        <w:rPr>
          <w:rFonts w:cs="Arial"/>
          <w:lang w:eastAsia="en-AU"/>
        </w:rPr>
        <w:t>collection</w:t>
      </w:r>
      <w:r w:rsidR="009B2351" w:rsidRPr="00276391">
        <w:rPr>
          <w:rFonts w:cs="Arial"/>
          <w:lang w:eastAsia="en-AU"/>
        </w:rPr>
        <w:t xml:space="preserve"> </w:t>
      </w:r>
      <w:r w:rsidR="00236748" w:rsidRPr="00276391">
        <w:rPr>
          <w:rFonts w:cs="Arial"/>
          <w:lang w:eastAsia="en-AU"/>
        </w:rPr>
        <w:t>requirements</w:t>
      </w:r>
      <w:bookmarkEnd w:id="983"/>
      <w:bookmarkEnd w:id="984"/>
      <w:bookmarkEnd w:id="985"/>
      <w:bookmarkEnd w:id="986"/>
    </w:p>
    <w:p w14:paraId="312B284C" w14:textId="06228AD8" w:rsidR="00236748" w:rsidRPr="00276391" w:rsidRDefault="00236748" w:rsidP="00276391">
      <w:pPr>
        <w:pStyle w:val="DHHSbody"/>
        <w:rPr>
          <w:lang w:eastAsia="en-AU"/>
        </w:rPr>
      </w:pPr>
      <w:r w:rsidRPr="00276391">
        <w:rPr>
          <w:rFonts w:cs="Arial"/>
          <w:color w:val="000000"/>
          <w:sz w:val="24"/>
          <w:szCs w:val="24"/>
          <w:lang w:eastAsia="en-AU"/>
        </w:rPr>
        <w:t>Schedule</w:t>
      </w:r>
      <w:r w:rsidR="005D5532" w:rsidRPr="00276391">
        <w:rPr>
          <w:rFonts w:cs="Arial"/>
          <w:color w:val="000000"/>
          <w:sz w:val="24"/>
          <w:szCs w:val="24"/>
          <w:lang w:eastAsia="en-AU"/>
        </w:rPr>
        <w:t xml:space="preserve"> </w:t>
      </w:r>
      <w:r w:rsidRPr="00276391">
        <w:rPr>
          <w:rFonts w:cs="Arial"/>
          <w:color w:val="000000"/>
          <w:sz w:val="24"/>
          <w:szCs w:val="24"/>
          <w:lang w:eastAsia="en-AU"/>
        </w:rPr>
        <w:t>2</w:t>
      </w:r>
      <w:r w:rsidR="005D5532" w:rsidRPr="00276391">
        <w:rPr>
          <w:rFonts w:cs="Arial"/>
          <w:color w:val="000000"/>
          <w:sz w:val="24"/>
          <w:szCs w:val="24"/>
          <w:lang w:eastAsia="en-AU"/>
        </w:rPr>
        <w:t xml:space="preserve"> </w:t>
      </w:r>
      <w:r w:rsidRPr="00276391">
        <w:rPr>
          <w:rFonts w:cs="Arial"/>
          <w:color w:val="000000"/>
          <w:sz w:val="24"/>
          <w:szCs w:val="24"/>
          <w:lang w:eastAsia="en-AU"/>
        </w:rPr>
        <w:t>of</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009B3052">
        <w:rPr>
          <w:rFonts w:cs="Arial"/>
          <w:color w:val="000000"/>
          <w:sz w:val="24"/>
          <w:szCs w:val="24"/>
          <w:lang w:eastAsia="en-AU"/>
        </w:rPr>
        <w:t>Service agreement</w:t>
      </w:r>
      <w:r w:rsidR="005D5532" w:rsidRPr="00276391">
        <w:rPr>
          <w:rFonts w:cs="Arial"/>
          <w:color w:val="000000"/>
          <w:sz w:val="24"/>
          <w:szCs w:val="24"/>
          <w:lang w:eastAsia="en-AU"/>
        </w:rPr>
        <w:t xml:space="preserve"> </w:t>
      </w:r>
      <w:r w:rsidRPr="00276391">
        <w:rPr>
          <w:rFonts w:cs="Arial"/>
          <w:color w:val="000000"/>
          <w:sz w:val="24"/>
          <w:szCs w:val="24"/>
          <w:lang w:eastAsia="en-AU"/>
        </w:rPr>
        <w:t>will</w:t>
      </w:r>
      <w:r w:rsidR="005D5532" w:rsidRPr="00276391">
        <w:rPr>
          <w:rFonts w:cs="Arial"/>
          <w:color w:val="000000"/>
          <w:sz w:val="24"/>
          <w:szCs w:val="24"/>
          <w:lang w:eastAsia="en-AU"/>
        </w:rPr>
        <w:t xml:space="preserve"> </w:t>
      </w:r>
      <w:r w:rsidRPr="00276391">
        <w:rPr>
          <w:rFonts w:cs="Arial"/>
          <w:color w:val="000000"/>
          <w:sz w:val="24"/>
          <w:szCs w:val="24"/>
          <w:lang w:eastAsia="en-AU"/>
        </w:rPr>
        <w:t>specify</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Pr="00276391">
        <w:rPr>
          <w:rFonts w:cs="Arial"/>
          <w:color w:val="000000"/>
          <w:sz w:val="24"/>
          <w:szCs w:val="24"/>
          <w:lang w:eastAsia="en-AU"/>
        </w:rPr>
        <w:t>data</w:t>
      </w:r>
      <w:r w:rsidR="005D5532" w:rsidRPr="00276391">
        <w:rPr>
          <w:rFonts w:cs="Arial"/>
          <w:color w:val="000000"/>
          <w:sz w:val="24"/>
          <w:szCs w:val="24"/>
          <w:lang w:eastAsia="en-AU"/>
        </w:rPr>
        <w:t xml:space="preserve"> </w:t>
      </w:r>
      <w:r w:rsidRPr="00276391">
        <w:rPr>
          <w:rFonts w:cs="Arial"/>
          <w:color w:val="000000"/>
          <w:sz w:val="24"/>
          <w:szCs w:val="24"/>
          <w:lang w:eastAsia="en-AU"/>
        </w:rPr>
        <w:t>collection</w:t>
      </w:r>
      <w:r w:rsidR="005D5532" w:rsidRPr="00276391">
        <w:rPr>
          <w:rFonts w:cs="Arial"/>
          <w:color w:val="000000"/>
          <w:sz w:val="24"/>
          <w:szCs w:val="24"/>
          <w:lang w:eastAsia="en-AU"/>
        </w:rPr>
        <w:t xml:space="preserve"> </w:t>
      </w:r>
      <w:r w:rsidRPr="00276391">
        <w:rPr>
          <w:rFonts w:cs="Arial"/>
          <w:color w:val="000000"/>
          <w:sz w:val="24"/>
          <w:szCs w:val="24"/>
          <w:lang w:eastAsia="en-AU"/>
        </w:rPr>
        <w:t>requirements</w:t>
      </w:r>
      <w:r w:rsidR="005D5532" w:rsidRPr="00276391">
        <w:rPr>
          <w:rFonts w:cs="Arial"/>
          <w:color w:val="000000"/>
          <w:sz w:val="24"/>
          <w:szCs w:val="24"/>
          <w:lang w:eastAsia="en-AU"/>
        </w:rPr>
        <w:t xml:space="preserve"> </w:t>
      </w:r>
      <w:r w:rsidRPr="00276391">
        <w:rPr>
          <w:rFonts w:cs="Arial"/>
          <w:color w:val="000000"/>
          <w:sz w:val="24"/>
          <w:szCs w:val="24"/>
          <w:lang w:eastAsia="en-AU"/>
        </w:rPr>
        <w:t>of</w:t>
      </w:r>
      <w:r w:rsidR="005D5532" w:rsidRPr="00276391">
        <w:rPr>
          <w:rFonts w:cs="Arial"/>
          <w:color w:val="000000"/>
          <w:sz w:val="24"/>
          <w:szCs w:val="24"/>
          <w:lang w:eastAsia="en-AU"/>
        </w:rPr>
        <w:t xml:space="preserve"> </w:t>
      </w:r>
      <w:r w:rsidRPr="00276391">
        <w:rPr>
          <w:rFonts w:cs="Arial"/>
          <w:color w:val="000000"/>
          <w:sz w:val="24"/>
          <w:szCs w:val="24"/>
          <w:lang w:eastAsia="en-AU"/>
        </w:rPr>
        <w:t>organisations</w:t>
      </w:r>
      <w:r w:rsidR="005D5532" w:rsidRPr="00276391">
        <w:rPr>
          <w:rFonts w:cs="Arial"/>
          <w:color w:val="000000"/>
          <w:sz w:val="24"/>
          <w:szCs w:val="24"/>
          <w:lang w:eastAsia="en-AU"/>
        </w:rPr>
        <w:t xml:space="preserve"> </w:t>
      </w:r>
      <w:r w:rsidRPr="00276391">
        <w:rPr>
          <w:rFonts w:cs="Arial"/>
          <w:color w:val="000000"/>
          <w:sz w:val="24"/>
          <w:szCs w:val="24"/>
          <w:lang w:eastAsia="en-AU"/>
        </w:rPr>
        <w:t>for</w:t>
      </w:r>
      <w:r w:rsidR="005D5532" w:rsidRPr="00276391">
        <w:rPr>
          <w:rFonts w:cs="Arial"/>
          <w:color w:val="000000"/>
          <w:sz w:val="24"/>
          <w:szCs w:val="24"/>
          <w:lang w:eastAsia="en-AU"/>
        </w:rPr>
        <w:t xml:space="preserve"> </w:t>
      </w:r>
      <w:r w:rsidRPr="00276391">
        <w:rPr>
          <w:rFonts w:cs="Arial"/>
          <w:color w:val="000000"/>
          <w:sz w:val="24"/>
          <w:szCs w:val="24"/>
          <w:lang w:eastAsia="en-AU"/>
        </w:rPr>
        <w:t>each</w:t>
      </w:r>
      <w:r w:rsidR="005D5532" w:rsidRPr="00276391">
        <w:rPr>
          <w:rFonts w:cs="Arial"/>
          <w:color w:val="000000"/>
          <w:sz w:val="24"/>
          <w:szCs w:val="24"/>
          <w:lang w:eastAsia="en-AU"/>
        </w:rPr>
        <w:t xml:space="preserve"> </w:t>
      </w:r>
      <w:r w:rsidRPr="00276391">
        <w:rPr>
          <w:rFonts w:cs="Arial"/>
          <w:color w:val="000000"/>
          <w:sz w:val="24"/>
          <w:szCs w:val="24"/>
          <w:lang w:eastAsia="en-AU"/>
        </w:rPr>
        <w:t>service</w:t>
      </w:r>
      <w:r w:rsidR="005D5532" w:rsidRPr="00276391">
        <w:rPr>
          <w:rFonts w:cs="Arial"/>
          <w:color w:val="000000"/>
          <w:sz w:val="24"/>
          <w:szCs w:val="24"/>
          <w:lang w:eastAsia="en-AU"/>
        </w:rPr>
        <w:t xml:space="preserve"> </w:t>
      </w:r>
      <w:r w:rsidRPr="00276391">
        <w:rPr>
          <w:rFonts w:cs="Arial"/>
          <w:color w:val="000000"/>
          <w:sz w:val="24"/>
          <w:szCs w:val="24"/>
          <w:lang w:eastAsia="en-AU"/>
        </w:rPr>
        <w:t>they</w:t>
      </w:r>
      <w:r w:rsidR="005D5532" w:rsidRPr="00276391">
        <w:rPr>
          <w:rFonts w:cs="Arial"/>
          <w:color w:val="000000"/>
          <w:sz w:val="24"/>
          <w:szCs w:val="24"/>
          <w:lang w:eastAsia="en-AU"/>
        </w:rPr>
        <w:t xml:space="preserve"> </w:t>
      </w:r>
      <w:r w:rsidRPr="00276391">
        <w:rPr>
          <w:rFonts w:cs="Arial"/>
          <w:color w:val="000000"/>
          <w:sz w:val="24"/>
          <w:szCs w:val="24"/>
          <w:lang w:eastAsia="en-AU"/>
        </w:rPr>
        <w:t>deliver.</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Pr="00276391">
        <w:rPr>
          <w:rFonts w:cs="Arial"/>
          <w:color w:val="000000"/>
          <w:sz w:val="24"/>
          <w:szCs w:val="24"/>
          <w:lang w:eastAsia="en-AU"/>
        </w:rPr>
        <w:t>Agreement</w:t>
      </w:r>
      <w:r w:rsidR="005D5532" w:rsidRPr="00276391">
        <w:rPr>
          <w:rFonts w:cs="Arial"/>
          <w:color w:val="000000"/>
          <w:sz w:val="24"/>
          <w:szCs w:val="24"/>
          <w:lang w:eastAsia="en-AU"/>
        </w:rPr>
        <w:t xml:space="preserve"> </w:t>
      </w:r>
      <w:r w:rsidRPr="00276391">
        <w:rPr>
          <w:rFonts w:cs="Arial"/>
          <w:color w:val="000000"/>
          <w:sz w:val="24"/>
          <w:szCs w:val="24"/>
          <w:lang w:eastAsia="en-AU"/>
        </w:rPr>
        <w:t>will</w:t>
      </w:r>
      <w:r w:rsidR="005D5532" w:rsidRPr="00276391">
        <w:rPr>
          <w:rFonts w:cs="Arial"/>
          <w:color w:val="000000"/>
          <w:sz w:val="24"/>
          <w:szCs w:val="24"/>
          <w:lang w:eastAsia="en-AU"/>
        </w:rPr>
        <w:t xml:space="preserve"> </w:t>
      </w:r>
      <w:r w:rsidRPr="00276391">
        <w:rPr>
          <w:rFonts w:cs="Arial"/>
          <w:color w:val="000000"/>
          <w:sz w:val="24"/>
          <w:szCs w:val="24"/>
          <w:lang w:eastAsia="en-AU"/>
        </w:rPr>
        <w:t>indicate</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Pr="00276391">
        <w:rPr>
          <w:rFonts w:cs="Arial"/>
          <w:color w:val="000000"/>
          <w:sz w:val="24"/>
          <w:szCs w:val="24"/>
          <w:lang w:eastAsia="en-AU"/>
        </w:rPr>
        <w:t>set</w:t>
      </w:r>
      <w:r w:rsidR="005D5532" w:rsidRPr="00276391">
        <w:rPr>
          <w:rFonts w:cs="Arial"/>
          <w:color w:val="000000"/>
          <w:sz w:val="24"/>
          <w:szCs w:val="24"/>
          <w:lang w:eastAsia="en-AU"/>
        </w:rPr>
        <w:t xml:space="preserve"> </w:t>
      </w:r>
      <w:r w:rsidRPr="00276391">
        <w:rPr>
          <w:rFonts w:cs="Arial"/>
          <w:color w:val="000000"/>
          <w:sz w:val="24"/>
          <w:szCs w:val="24"/>
          <w:lang w:eastAsia="en-AU"/>
        </w:rPr>
        <w:t>of</w:t>
      </w:r>
      <w:r w:rsidR="005D5532" w:rsidRPr="00276391">
        <w:rPr>
          <w:rFonts w:cs="Arial"/>
          <w:color w:val="000000"/>
          <w:sz w:val="24"/>
          <w:szCs w:val="24"/>
          <w:lang w:eastAsia="en-AU"/>
        </w:rPr>
        <w:t xml:space="preserve"> </w:t>
      </w:r>
      <w:r w:rsidRPr="00276391">
        <w:rPr>
          <w:rFonts w:cs="Arial"/>
          <w:color w:val="000000"/>
          <w:sz w:val="24"/>
          <w:szCs w:val="24"/>
          <w:lang w:eastAsia="en-AU"/>
        </w:rPr>
        <w:t>data</w:t>
      </w:r>
      <w:r w:rsidR="005D5532" w:rsidRPr="00276391">
        <w:rPr>
          <w:rFonts w:cs="Arial"/>
          <w:color w:val="000000"/>
          <w:sz w:val="24"/>
          <w:szCs w:val="24"/>
          <w:lang w:eastAsia="en-AU"/>
        </w:rPr>
        <w:t xml:space="preserve"> </w:t>
      </w:r>
      <w:r w:rsidRPr="00276391">
        <w:rPr>
          <w:rFonts w:cs="Arial"/>
          <w:color w:val="000000"/>
          <w:sz w:val="24"/>
          <w:szCs w:val="24"/>
          <w:lang w:eastAsia="en-AU"/>
        </w:rPr>
        <w:t>which</w:t>
      </w:r>
      <w:r w:rsidR="005D5532" w:rsidRPr="00276391">
        <w:rPr>
          <w:rFonts w:cs="Arial"/>
          <w:color w:val="000000"/>
          <w:sz w:val="24"/>
          <w:szCs w:val="24"/>
          <w:lang w:eastAsia="en-AU"/>
        </w:rPr>
        <w:t xml:space="preserve"> </w:t>
      </w:r>
      <w:r w:rsidRPr="00276391">
        <w:rPr>
          <w:rFonts w:cs="Arial"/>
          <w:color w:val="000000"/>
          <w:sz w:val="24"/>
          <w:szCs w:val="24"/>
          <w:lang w:eastAsia="en-AU"/>
        </w:rPr>
        <w:t>needs</w:t>
      </w:r>
      <w:r w:rsidR="005D5532" w:rsidRPr="00276391">
        <w:rPr>
          <w:rFonts w:cs="Arial"/>
          <w:color w:val="000000"/>
          <w:sz w:val="24"/>
          <w:szCs w:val="24"/>
          <w:lang w:eastAsia="en-AU"/>
        </w:rPr>
        <w:t xml:space="preserve"> </w:t>
      </w:r>
      <w:r w:rsidRPr="00276391">
        <w:rPr>
          <w:rFonts w:cs="Arial"/>
          <w:color w:val="000000"/>
          <w:sz w:val="24"/>
          <w:szCs w:val="24"/>
          <w:lang w:eastAsia="en-AU"/>
        </w:rPr>
        <w:t>to</w:t>
      </w:r>
      <w:r w:rsidR="005D5532" w:rsidRPr="00276391">
        <w:rPr>
          <w:rFonts w:cs="Arial"/>
          <w:color w:val="000000"/>
          <w:sz w:val="24"/>
          <w:szCs w:val="24"/>
          <w:lang w:eastAsia="en-AU"/>
        </w:rPr>
        <w:t xml:space="preserve"> </w:t>
      </w:r>
      <w:r w:rsidRPr="00276391">
        <w:rPr>
          <w:rFonts w:cs="Arial"/>
          <w:color w:val="000000"/>
          <w:sz w:val="24"/>
          <w:szCs w:val="24"/>
          <w:lang w:eastAsia="en-AU"/>
        </w:rPr>
        <w:t>be</w:t>
      </w:r>
      <w:r w:rsidR="005D5532" w:rsidRPr="00276391">
        <w:rPr>
          <w:rFonts w:cs="Arial"/>
          <w:color w:val="000000"/>
          <w:sz w:val="24"/>
          <w:szCs w:val="24"/>
          <w:lang w:eastAsia="en-AU"/>
        </w:rPr>
        <w:t xml:space="preserve"> </w:t>
      </w:r>
      <w:r w:rsidRPr="00276391">
        <w:rPr>
          <w:rFonts w:cs="Arial"/>
          <w:color w:val="000000"/>
          <w:sz w:val="24"/>
          <w:szCs w:val="24"/>
          <w:lang w:eastAsia="en-AU"/>
        </w:rPr>
        <w:t>provided</w:t>
      </w:r>
      <w:r w:rsidR="005D5532" w:rsidRPr="00276391">
        <w:rPr>
          <w:rFonts w:cs="Arial"/>
          <w:color w:val="000000"/>
          <w:sz w:val="24"/>
          <w:szCs w:val="24"/>
          <w:lang w:eastAsia="en-AU"/>
        </w:rPr>
        <w:t xml:space="preserve"> </w:t>
      </w:r>
      <w:r w:rsidRPr="00276391">
        <w:rPr>
          <w:rFonts w:cs="Arial"/>
          <w:color w:val="000000"/>
          <w:sz w:val="24"/>
          <w:szCs w:val="24"/>
          <w:lang w:eastAsia="en-AU"/>
        </w:rPr>
        <w:t>to</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Pr="00276391">
        <w:rPr>
          <w:rFonts w:cs="Arial"/>
          <w:color w:val="000000"/>
          <w:sz w:val="24"/>
          <w:szCs w:val="24"/>
          <w:lang w:eastAsia="en-AU"/>
        </w:rPr>
        <w:t>department</w:t>
      </w:r>
      <w:r w:rsidR="005D5532" w:rsidRPr="00276391">
        <w:rPr>
          <w:rFonts w:cs="Arial"/>
          <w:color w:val="000000"/>
          <w:sz w:val="24"/>
          <w:szCs w:val="24"/>
          <w:lang w:eastAsia="en-AU"/>
        </w:rPr>
        <w:t xml:space="preserve"> </w:t>
      </w:r>
      <w:r w:rsidRPr="00276391">
        <w:rPr>
          <w:rFonts w:cs="Arial"/>
          <w:color w:val="000000"/>
          <w:sz w:val="24"/>
          <w:szCs w:val="24"/>
          <w:lang w:eastAsia="en-AU"/>
        </w:rPr>
        <w:t>on</w:t>
      </w:r>
      <w:r w:rsidR="005D5532" w:rsidRPr="00276391">
        <w:rPr>
          <w:rFonts w:cs="Arial"/>
          <w:color w:val="000000"/>
          <w:sz w:val="24"/>
          <w:szCs w:val="24"/>
          <w:lang w:eastAsia="en-AU"/>
        </w:rPr>
        <w:t xml:space="preserve"> </w:t>
      </w:r>
      <w:r w:rsidRPr="00276391">
        <w:rPr>
          <w:rFonts w:cs="Arial"/>
          <w:color w:val="000000"/>
          <w:sz w:val="24"/>
          <w:szCs w:val="24"/>
          <w:lang w:eastAsia="en-AU"/>
        </w:rPr>
        <w:t>the</w:t>
      </w:r>
      <w:r w:rsidR="005D5532" w:rsidRPr="00276391">
        <w:rPr>
          <w:rFonts w:cs="Arial"/>
          <w:color w:val="000000"/>
          <w:sz w:val="24"/>
          <w:szCs w:val="24"/>
          <w:lang w:eastAsia="en-AU"/>
        </w:rPr>
        <w:t xml:space="preserve"> </w:t>
      </w:r>
      <w:r w:rsidRPr="00276391">
        <w:rPr>
          <w:rFonts w:cs="Arial"/>
          <w:color w:val="000000"/>
          <w:sz w:val="24"/>
          <w:szCs w:val="24"/>
          <w:lang w:eastAsia="en-AU"/>
        </w:rPr>
        <w:t>service</w:t>
      </w:r>
      <w:r w:rsidR="005D5532" w:rsidRPr="00276391">
        <w:rPr>
          <w:rFonts w:cs="Arial"/>
          <w:color w:val="000000"/>
          <w:sz w:val="24"/>
          <w:szCs w:val="24"/>
          <w:lang w:eastAsia="en-AU"/>
        </w:rPr>
        <w:t xml:space="preserve"> </w:t>
      </w:r>
      <w:r w:rsidRPr="00276391">
        <w:rPr>
          <w:rFonts w:cs="Arial"/>
          <w:color w:val="000000"/>
          <w:sz w:val="24"/>
          <w:szCs w:val="24"/>
          <w:lang w:eastAsia="en-AU"/>
        </w:rPr>
        <w:t>to</w:t>
      </w:r>
      <w:r w:rsidR="005D5532" w:rsidRPr="00276391">
        <w:rPr>
          <w:rFonts w:cs="Arial"/>
          <w:color w:val="000000"/>
          <w:sz w:val="24"/>
          <w:szCs w:val="24"/>
          <w:lang w:eastAsia="en-AU"/>
        </w:rPr>
        <w:t xml:space="preserve"> </w:t>
      </w:r>
      <w:r w:rsidRPr="00276391">
        <w:rPr>
          <w:rFonts w:cs="Arial"/>
          <w:color w:val="000000"/>
          <w:sz w:val="24"/>
          <w:szCs w:val="24"/>
          <w:lang w:eastAsia="en-AU"/>
        </w:rPr>
        <w:t>be</w:t>
      </w:r>
      <w:r w:rsidR="005D5532" w:rsidRPr="00276391">
        <w:rPr>
          <w:rFonts w:cs="Arial"/>
          <w:color w:val="000000"/>
          <w:sz w:val="24"/>
          <w:szCs w:val="24"/>
          <w:lang w:eastAsia="en-AU"/>
        </w:rPr>
        <w:t xml:space="preserve"> </w:t>
      </w:r>
      <w:r w:rsidRPr="00276391">
        <w:rPr>
          <w:rFonts w:cs="Arial"/>
          <w:color w:val="000000"/>
          <w:sz w:val="24"/>
          <w:szCs w:val="24"/>
          <w:lang w:eastAsia="en-AU"/>
        </w:rPr>
        <w:t>delivered</w:t>
      </w:r>
    </w:p>
    <w:p w14:paraId="5FB5B590" w14:textId="570E4A07" w:rsidR="00236748" w:rsidRPr="00B24C02" w:rsidRDefault="00236748" w:rsidP="00276391">
      <w:pPr>
        <w:pStyle w:val="DHHSbody"/>
        <w:rPr>
          <w:szCs w:val="19"/>
          <w:lang w:eastAsia="en-AU"/>
        </w:rPr>
      </w:pPr>
      <w:r w:rsidRPr="00B24C02">
        <w:rPr>
          <w:szCs w:val="19"/>
          <w:lang w:eastAsia="en-AU"/>
        </w:rPr>
        <w:t>The</w:t>
      </w:r>
      <w:r w:rsidR="005D5532" w:rsidRPr="00B24C02">
        <w:rPr>
          <w:szCs w:val="19"/>
          <w:lang w:eastAsia="en-AU"/>
        </w:rPr>
        <w:t xml:space="preserve"> </w:t>
      </w:r>
      <w:hyperlink r:id="rId422" w:tgtFrame="_blank" w:tooltip="Link to DHHS Policy and Funding Guidelines" w:history="1">
        <w:r w:rsidRPr="00986D1E">
          <w:rPr>
            <w:rStyle w:val="Hyperlink"/>
          </w:rPr>
          <w:t>Department</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Health</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Human</w:t>
        </w:r>
        <w:r w:rsidR="005D5532" w:rsidRPr="00986D1E">
          <w:rPr>
            <w:rStyle w:val="Hyperlink"/>
          </w:rPr>
          <w:t xml:space="preserve"> </w:t>
        </w:r>
        <w:r w:rsidRPr="00986D1E">
          <w:rPr>
            <w:rStyle w:val="Hyperlink"/>
          </w:rPr>
          <w:t>Services</w:t>
        </w:r>
        <w:r w:rsidR="005D5532" w:rsidRPr="00986D1E">
          <w:rPr>
            <w:rStyle w:val="Hyperlink"/>
          </w:rPr>
          <w:t xml:space="preserve"> </w:t>
        </w:r>
        <w:r w:rsidRPr="00986D1E">
          <w:rPr>
            <w:rStyle w:val="Hyperlink"/>
          </w:rPr>
          <w:t>Policy</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Funding</w:t>
        </w:r>
        <w:r w:rsidR="005D5532" w:rsidRPr="00986D1E">
          <w:rPr>
            <w:rStyle w:val="Hyperlink"/>
          </w:rPr>
          <w:t xml:space="preserve"> </w:t>
        </w:r>
        <w:r w:rsidRPr="00986D1E">
          <w:rPr>
            <w:rStyle w:val="Hyperlink"/>
          </w:rPr>
          <w:t>Guidelines</w:t>
        </w:r>
      </w:hyperlink>
      <w:r w:rsidR="00174137">
        <w:rPr>
          <w:rStyle w:val="Hyperlink"/>
        </w:rPr>
        <w:t xml:space="preserve"> </w:t>
      </w:r>
      <w:r w:rsidR="00174137" w:rsidRPr="00174137">
        <w:rPr>
          <w:szCs w:val="19"/>
          <w:lang w:eastAsia="en-AU"/>
        </w:rPr>
        <w:t>&lt;https://www.dhhs.vic.gov.au/policy-and-funding-guidelines&gt;</w:t>
      </w:r>
      <w:r w:rsidR="005D5532" w:rsidRPr="00B24C02">
        <w:rPr>
          <w:szCs w:val="19"/>
          <w:lang w:eastAsia="en-AU"/>
        </w:rPr>
        <w:t xml:space="preserve"> </w:t>
      </w:r>
      <w:r w:rsidRPr="00B24C02">
        <w:rPr>
          <w:szCs w:val="19"/>
          <w:lang w:eastAsia="en-AU"/>
        </w:rPr>
        <w:t>(external</w:t>
      </w:r>
      <w:r w:rsidR="005D5532" w:rsidRPr="00B24C02">
        <w:rPr>
          <w:szCs w:val="19"/>
          <w:lang w:eastAsia="en-AU"/>
        </w:rPr>
        <w:t xml:space="preserve"> </w:t>
      </w:r>
      <w:r w:rsidRPr="00B24C02">
        <w:rPr>
          <w:szCs w:val="19"/>
          <w:lang w:eastAsia="en-AU"/>
        </w:rPr>
        <w:t>link,</w:t>
      </w:r>
      <w:r w:rsidR="005D5532" w:rsidRPr="00B24C02">
        <w:rPr>
          <w:szCs w:val="19"/>
          <w:lang w:eastAsia="en-AU"/>
        </w:rPr>
        <w:t xml:space="preserve"> </w:t>
      </w:r>
      <w:r w:rsidRPr="00B24C02">
        <w:rPr>
          <w:szCs w:val="19"/>
          <w:lang w:eastAsia="en-AU"/>
        </w:rPr>
        <w:t>opens</w:t>
      </w:r>
      <w:r w:rsidR="005D5532" w:rsidRPr="00B24C02">
        <w:rPr>
          <w:szCs w:val="19"/>
          <w:lang w:eastAsia="en-AU"/>
        </w:rPr>
        <w:t xml:space="preserve"> </w:t>
      </w:r>
      <w:r w:rsidRPr="00B24C02">
        <w:rPr>
          <w:szCs w:val="19"/>
          <w:lang w:eastAsia="en-AU"/>
        </w:rPr>
        <w:t>in</w:t>
      </w:r>
      <w:r w:rsidR="005D5532" w:rsidRPr="00B24C02">
        <w:rPr>
          <w:szCs w:val="19"/>
          <w:lang w:eastAsia="en-AU"/>
        </w:rPr>
        <w:t xml:space="preserve"> </w:t>
      </w:r>
      <w:r w:rsidRPr="00B24C02">
        <w:rPr>
          <w:szCs w:val="19"/>
          <w:lang w:eastAsia="en-AU"/>
        </w:rPr>
        <w:t>a</w:t>
      </w:r>
      <w:r w:rsidR="005D5532" w:rsidRPr="00B24C02">
        <w:rPr>
          <w:szCs w:val="19"/>
          <w:lang w:eastAsia="en-AU"/>
        </w:rPr>
        <w:t xml:space="preserve"> </w:t>
      </w:r>
      <w:r w:rsidRPr="00B24C02">
        <w:rPr>
          <w:szCs w:val="19"/>
          <w:lang w:eastAsia="en-AU"/>
        </w:rPr>
        <w:t>new</w:t>
      </w:r>
      <w:r w:rsidR="005D5532" w:rsidRPr="00B24C02">
        <w:rPr>
          <w:szCs w:val="19"/>
          <w:lang w:eastAsia="en-AU"/>
        </w:rPr>
        <w:t xml:space="preserve"> </w:t>
      </w:r>
      <w:r w:rsidRPr="00B24C02">
        <w:rPr>
          <w:szCs w:val="19"/>
          <w:lang w:eastAsia="en-AU"/>
        </w:rPr>
        <w:t>window)</w:t>
      </w:r>
      <w:r w:rsidR="005D5532" w:rsidRPr="00B24C02">
        <w:rPr>
          <w:szCs w:val="19"/>
          <w:lang w:eastAsia="en-AU"/>
        </w:rPr>
        <w:t xml:space="preserve"> </w:t>
      </w:r>
      <w:r w:rsidRPr="00B24C02">
        <w:rPr>
          <w:szCs w:val="19"/>
          <w:lang w:eastAsia="en-AU"/>
        </w:rPr>
        <w:t>and</w:t>
      </w:r>
      <w:r w:rsidR="005D5532" w:rsidRPr="00B24C02">
        <w:rPr>
          <w:szCs w:val="19"/>
          <w:lang w:eastAsia="en-AU"/>
        </w:rPr>
        <w:t xml:space="preserve"> </w:t>
      </w:r>
      <w:r w:rsidRPr="00B24C02">
        <w:rPr>
          <w:szCs w:val="19"/>
          <w:lang w:eastAsia="en-AU"/>
        </w:rPr>
        <w:t>the</w:t>
      </w:r>
      <w:r w:rsidR="005D5532" w:rsidRPr="00B24C02">
        <w:rPr>
          <w:szCs w:val="19"/>
          <w:lang w:eastAsia="en-AU"/>
        </w:rPr>
        <w:t xml:space="preserve"> </w:t>
      </w:r>
      <w:hyperlink r:id="rId423" w:tooltip="Link to DET Early Childhood Program and Services Guide" w:history="1">
        <w:r w:rsidRPr="00986D1E">
          <w:rPr>
            <w:rStyle w:val="Hyperlink"/>
          </w:rPr>
          <w:t>Department</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Education</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Training</w:t>
        </w:r>
        <w:r w:rsidR="005D5532" w:rsidRPr="00986D1E">
          <w:rPr>
            <w:rStyle w:val="Hyperlink"/>
          </w:rPr>
          <w:t xml:space="preserve"> </w:t>
        </w:r>
        <w:r w:rsidRPr="00986D1E">
          <w:rPr>
            <w:rStyle w:val="Hyperlink"/>
          </w:rPr>
          <w:t>Early</w:t>
        </w:r>
        <w:r w:rsidR="005D5532" w:rsidRPr="00986D1E">
          <w:rPr>
            <w:rStyle w:val="Hyperlink"/>
          </w:rPr>
          <w:t xml:space="preserve"> </w:t>
        </w:r>
        <w:r w:rsidRPr="00986D1E">
          <w:rPr>
            <w:rStyle w:val="Hyperlink"/>
          </w:rPr>
          <w:t>Childhood</w:t>
        </w:r>
        <w:r w:rsidR="005D5532" w:rsidRPr="00986D1E">
          <w:rPr>
            <w:rStyle w:val="Hyperlink"/>
          </w:rPr>
          <w:t xml:space="preserve"> </w:t>
        </w:r>
        <w:r w:rsidRPr="00986D1E">
          <w:rPr>
            <w:rStyle w:val="Hyperlink"/>
          </w:rPr>
          <w:t>Program</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Services</w:t>
        </w:r>
        <w:r w:rsidR="005D5532" w:rsidRPr="00986D1E">
          <w:rPr>
            <w:rStyle w:val="Hyperlink"/>
          </w:rPr>
          <w:t xml:space="preserve"> </w:t>
        </w:r>
        <w:r w:rsidRPr="00986D1E">
          <w:rPr>
            <w:rStyle w:val="Hyperlink"/>
          </w:rPr>
          <w:t>Guide</w:t>
        </w:r>
      </w:hyperlink>
      <w:r w:rsidR="005D5532" w:rsidRPr="00B24C02">
        <w:rPr>
          <w:szCs w:val="19"/>
          <w:lang w:eastAsia="en-AU"/>
        </w:rPr>
        <w:t xml:space="preserve"> </w:t>
      </w:r>
      <w:r w:rsidR="007B223D">
        <w:rPr>
          <w:szCs w:val="19"/>
          <w:lang w:eastAsia="en-AU"/>
        </w:rPr>
        <w:t>&lt;</w:t>
      </w:r>
      <w:r w:rsidR="007B223D" w:rsidRPr="007B223D">
        <w:rPr>
          <w:szCs w:val="19"/>
          <w:lang w:eastAsia="en-AU"/>
        </w:rPr>
        <w:t>http://www.education.vic.gov.au/childhood/providers/funding/Pages/devgroupprogguide.aspx</w:t>
      </w:r>
      <w:r w:rsidR="007B223D">
        <w:rPr>
          <w:szCs w:val="19"/>
          <w:lang w:eastAsia="en-AU"/>
        </w:rPr>
        <w:t>&gt;</w:t>
      </w:r>
      <w:r w:rsidR="007B223D" w:rsidRPr="007B223D">
        <w:rPr>
          <w:szCs w:val="19"/>
          <w:lang w:eastAsia="en-AU"/>
        </w:rPr>
        <w:t xml:space="preserve"> </w:t>
      </w:r>
      <w:r w:rsidRPr="00B24C02">
        <w:rPr>
          <w:szCs w:val="19"/>
          <w:lang w:eastAsia="en-AU"/>
        </w:rPr>
        <w:t>(external</w:t>
      </w:r>
      <w:r w:rsidR="005D5532" w:rsidRPr="00B24C02">
        <w:rPr>
          <w:szCs w:val="19"/>
          <w:lang w:eastAsia="en-AU"/>
        </w:rPr>
        <w:t xml:space="preserve"> </w:t>
      </w:r>
      <w:r w:rsidRPr="00B24C02">
        <w:rPr>
          <w:szCs w:val="19"/>
          <w:lang w:eastAsia="en-AU"/>
        </w:rPr>
        <w:t>link,</w:t>
      </w:r>
      <w:r w:rsidR="005D5532" w:rsidRPr="00B24C02">
        <w:rPr>
          <w:szCs w:val="19"/>
          <w:lang w:eastAsia="en-AU"/>
        </w:rPr>
        <w:t xml:space="preserve"> </w:t>
      </w:r>
      <w:r w:rsidRPr="00B24C02">
        <w:rPr>
          <w:szCs w:val="19"/>
          <w:lang w:eastAsia="en-AU"/>
        </w:rPr>
        <w:t>opens</w:t>
      </w:r>
      <w:r w:rsidR="005D5532" w:rsidRPr="00B24C02">
        <w:rPr>
          <w:szCs w:val="19"/>
          <w:lang w:eastAsia="en-AU"/>
        </w:rPr>
        <w:t xml:space="preserve"> </w:t>
      </w:r>
      <w:r w:rsidRPr="00B24C02">
        <w:rPr>
          <w:szCs w:val="19"/>
          <w:lang w:eastAsia="en-AU"/>
        </w:rPr>
        <w:t>in</w:t>
      </w:r>
      <w:r w:rsidR="005D5532" w:rsidRPr="00B24C02">
        <w:rPr>
          <w:szCs w:val="19"/>
          <w:lang w:eastAsia="en-AU"/>
        </w:rPr>
        <w:t xml:space="preserve"> </w:t>
      </w:r>
      <w:r w:rsidRPr="00B24C02">
        <w:rPr>
          <w:szCs w:val="19"/>
          <w:lang w:eastAsia="en-AU"/>
        </w:rPr>
        <w:t>a</w:t>
      </w:r>
      <w:r w:rsidR="005D5532" w:rsidRPr="00B24C02">
        <w:rPr>
          <w:szCs w:val="19"/>
          <w:lang w:eastAsia="en-AU"/>
        </w:rPr>
        <w:t xml:space="preserve"> </w:t>
      </w:r>
      <w:r w:rsidRPr="00B24C02">
        <w:rPr>
          <w:szCs w:val="19"/>
          <w:lang w:eastAsia="en-AU"/>
        </w:rPr>
        <w:t>new</w:t>
      </w:r>
      <w:r w:rsidR="005D5532" w:rsidRPr="00B24C02">
        <w:rPr>
          <w:szCs w:val="19"/>
          <w:lang w:eastAsia="en-AU"/>
        </w:rPr>
        <w:t xml:space="preserve"> </w:t>
      </w:r>
      <w:r w:rsidRPr="00B24C02">
        <w:rPr>
          <w:szCs w:val="19"/>
          <w:lang w:eastAsia="en-AU"/>
        </w:rPr>
        <w:t>window)</w:t>
      </w:r>
      <w:r w:rsidR="005D5532" w:rsidRPr="00B24C02">
        <w:rPr>
          <w:szCs w:val="19"/>
          <w:lang w:eastAsia="en-AU"/>
        </w:rPr>
        <w:t xml:space="preserve"> </w:t>
      </w:r>
      <w:r w:rsidRPr="00B24C02">
        <w:rPr>
          <w:szCs w:val="19"/>
          <w:lang w:eastAsia="en-AU"/>
        </w:rPr>
        <w:t>will</w:t>
      </w:r>
      <w:r w:rsidR="005D5532" w:rsidRPr="00B24C02">
        <w:rPr>
          <w:szCs w:val="19"/>
          <w:lang w:eastAsia="en-AU"/>
        </w:rPr>
        <w:t xml:space="preserve"> </w:t>
      </w:r>
      <w:r w:rsidRPr="00B24C02">
        <w:rPr>
          <w:szCs w:val="19"/>
          <w:lang w:eastAsia="en-AU"/>
        </w:rPr>
        <w:t>provide</w:t>
      </w:r>
      <w:r w:rsidR="005D5532" w:rsidRPr="00B24C02">
        <w:rPr>
          <w:szCs w:val="19"/>
          <w:lang w:eastAsia="en-AU"/>
        </w:rPr>
        <w:t xml:space="preserve"> </w:t>
      </w:r>
      <w:r w:rsidRPr="00B24C02">
        <w:rPr>
          <w:szCs w:val="19"/>
          <w:lang w:eastAsia="en-AU"/>
        </w:rPr>
        <w:t>greater</w:t>
      </w:r>
      <w:r w:rsidR="005D5532" w:rsidRPr="00B24C02">
        <w:rPr>
          <w:szCs w:val="19"/>
          <w:lang w:eastAsia="en-AU"/>
        </w:rPr>
        <w:t xml:space="preserve"> </w:t>
      </w:r>
      <w:r w:rsidRPr="00B24C02">
        <w:rPr>
          <w:szCs w:val="19"/>
          <w:lang w:eastAsia="en-AU"/>
        </w:rPr>
        <w:t>information</w:t>
      </w:r>
      <w:r w:rsidR="005D5532" w:rsidRPr="00B24C02">
        <w:rPr>
          <w:szCs w:val="19"/>
          <w:lang w:eastAsia="en-AU"/>
        </w:rPr>
        <w:t xml:space="preserve"> </w:t>
      </w:r>
      <w:r w:rsidRPr="00B24C02">
        <w:rPr>
          <w:szCs w:val="19"/>
          <w:lang w:eastAsia="en-AU"/>
        </w:rPr>
        <w:t>on</w:t>
      </w:r>
      <w:r w:rsidR="005D5532" w:rsidRPr="00B24C02">
        <w:rPr>
          <w:szCs w:val="19"/>
          <w:lang w:eastAsia="en-AU"/>
        </w:rPr>
        <w:t xml:space="preserve"> </w:t>
      </w:r>
      <w:r w:rsidRPr="00B24C02">
        <w:rPr>
          <w:szCs w:val="19"/>
          <w:lang w:eastAsia="en-AU"/>
        </w:rPr>
        <w:t>the</w:t>
      </w:r>
      <w:r w:rsidR="005D5532" w:rsidRPr="00B24C02">
        <w:rPr>
          <w:szCs w:val="19"/>
          <w:lang w:eastAsia="en-AU"/>
        </w:rPr>
        <w:t xml:space="preserve"> </w:t>
      </w:r>
      <w:r w:rsidRPr="00B24C02">
        <w:rPr>
          <w:szCs w:val="19"/>
          <w:lang w:eastAsia="en-AU"/>
        </w:rPr>
        <w:t>data</w:t>
      </w:r>
      <w:r w:rsidR="005D5532" w:rsidRPr="00B24C02">
        <w:rPr>
          <w:szCs w:val="19"/>
          <w:lang w:eastAsia="en-AU"/>
        </w:rPr>
        <w:t xml:space="preserve"> </w:t>
      </w:r>
      <w:r w:rsidRPr="00B24C02">
        <w:rPr>
          <w:szCs w:val="19"/>
          <w:lang w:eastAsia="en-AU"/>
        </w:rPr>
        <w:t>collection</w:t>
      </w:r>
      <w:r w:rsidR="005D5532" w:rsidRPr="00B24C02">
        <w:rPr>
          <w:szCs w:val="19"/>
          <w:lang w:eastAsia="en-AU"/>
        </w:rPr>
        <w:t xml:space="preserve"> </w:t>
      </w:r>
      <w:r w:rsidRPr="00B24C02">
        <w:rPr>
          <w:szCs w:val="19"/>
          <w:lang w:eastAsia="en-AU"/>
        </w:rPr>
        <w:t>requirements</w:t>
      </w:r>
      <w:r w:rsidR="005D5532" w:rsidRPr="00B24C02">
        <w:rPr>
          <w:szCs w:val="19"/>
          <w:lang w:eastAsia="en-AU"/>
        </w:rPr>
        <w:t xml:space="preserve"> </w:t>
      </w:r>
      <w:r w:rsidRPr="00B24C02">
        <w:rPr>
          <w:szCs w:val="19"/>
          <w:lang w:eastAsia="en-AU"/>
        </w:rPr>
        <w:t>for</w:t>
      </w:r>
      <w:r w:rsidR="005D5532" w:rsidRPr="00B24C02">
        <w:rPr>
          <w:szCs w:val="19"/>
          <w:lang w:eastAsia="en-AU"/>
        </w:rPr>
        <w:t xml:space="preserve"> </w:t>
      </w:r>
      <w:r w:rsidRPr="00B24C02">
        <w:rPr>
          <w:szCs w:val="19"/>
          <w:lang w:eastAsia="en-AU"/>
        </w:rPr>
        <w:t>organisations,</w:t>
      </w:r>
      <w:r w:rsidR="005D5532" w:rsidRPr="00B24C02">
        <w:rPr>
          <w:szCs w:val="19"/>
          <w:lang w:eastAsia="en-AU"/>
        </w:rPr>
        <w:t xml:space="preserve"> </w:t>
      </w:r>
      <w:r w:rsidRPr="00B24C02">
        <w:rPr>
          <w:szCs w:val="19"/>
          <w:lang w:eastAsia="en-AU"/>
        </w:rPr>
        <w:t>including</w:t>
      </w:r>
      <w:r w:rsidR="005D5532" w:rsidRPr="00B24C02">
        <w:rPr>
          <w:szCs w:val="19"/>
          <w:lang w:eastAsia="en-AU"/>
        </w:rPr>
        <w:t xml:space="preserve"> </w:t>
      </w:r>
      <w:r w:rsidRPr="00B24C02">
        <w:rPr>
          <w:szCs w:val="19"/>
          <w:lang w:eastAsia="en-AU"/>
        </w:rPr>
        <w:t>data</w:t>
      </w:r>
      <w:r w:rsidR="005D5532" w:rsidRPr="00B24C02">
        <w:rPr>
          <w:szCs w:val="19"/>
          <w:lang w:eastAsia="en-AU"/>
        </w:rPr>
        <w:t xml:space="preserve"> </w:t>
      </w:r>
      <w:r w:rsidRPr="00B24C02">
        <w:rPr>
          <w:szCs w:val="19"/>
          <w:lang w:eastAsia="en-AU"/>
        </w:rPr>
        <w:t>set</w:t>
      </w:r>
      <w:r w:rsidR="005D5532" w:rsidRPr="00B24C02">
        <w:rPr>
          <w:szCs w:val="19"/>
          <w:lang w:eastAsia="en-AU"/>
        </w:rPr>
        <w:t xml:space="preserve"> </w:t>
      </w:r>
      <w:r w:rsidRPr="00B24C02">
        <w:rPr>
          <w:szCs w:val="19"/>
          <w:lang w:eastAsia="en-AU"/>
        </w:rPr>
        <w:t>and</w:t>
      </w:r>
      <w:r w:rsidR="005D5532" w:rsidRPr="00B24C02">
        <w:rPr>
          <w:szCs w:val="19"/>
          <w:lang w:eastAsia="en-AU"/>
        </w:rPr>
        <w:t xml:space="preserve"> </w:t>
      </w:r>
      <w:r w:rsidRPr="00B24C02">
        <w:rPr>
          <w:szCs w:val="19"/>
          <w:lang w:eastAsia="en-AU"/>
        </w:rPr>
        <w:t>data</w:t>
      </w:r>
      <w:r w:rsidR="005D5532" w:rsidRPr="00B24C02">
        <w:rPr>
          <w:szCs w:val="19"/>
          <w:lang w:eastAsia="en-AU"/>
        </w:rPr>
        <w:t xml:space="preserve"> </w:t>
      </w:r>
      <w:r w:rsidRPr="00B24C02">
        <w:rPr>
          <w:szCs w:val="19"/>
          <w:lang w:eastAsia="en-AU"/>
        </w:rPr>
        <w:t>system</w:t>
      </w:r>
      <w:r w:rsidR="005D5532" w:rsidRPr="00B24C02">
        <w:rPr>
          <w:szCs w:val="19"/>
          <w:lang w:eastAsia="en-AU"/>
        </w:rPr>
        <w:t xml:space="preserve"> </w:t>
      </w:r>
      <w:r w:rsidRPr="00B24C02">
        <w:rPr>
          <w:szCs w:val="19"/>
          <w:lang w:eastAsia="en-AU"/>
        </w:rPr>
        <w:t>information.</w:t>
      </w:r>
    </w:p>
    <w:p w14:paraId="590339DD" w14:textId="5D5F4DD5" w:rsidR="00236748" w:rsidRPr="00276391" w:rsidRDefault="00B53AA9" w:rsidP="009B2351">
      <w:pPr>
        <w:pStyle w:val="Heading2"/>
        <w:rPr>
          <w:rFonts w:cs="Arial"/>
          <w:lang w:eastAsia="en-AU"/>
        </w:rPr>
      </w:pPr>
      <w:bookmarkStart w:id="987" w:name="_Toc478992283"/>
      <w:bookmarkStart w:id="988" w:name="_Toc478992535"/>
      <w:bookmarkStart w:id="989" w:name="_Toc478992945"/>
      <w:bookmarkStart w:id="990" w:name="_Toc4142192"/>
      <w:r>
        <w:rPr>
          <w:rFonts w:cs="Arial"/>
          <w:lang w:eastAsia="en-AU"/>
        </w:rPr>
        <w:t>6</w:t>
      </w:r>
      <w:r w:rsidR="00236748" w:rsidRPr="00276391">
        <w:rPr>
          <w:rFonts w:cs="Arial"/>
          <w:lang w:eastAsia="en-AU"/>
        </w:rPr>
        <w:t>.4</w:t>
      </w:r>
      <w:r w:rsidR="009B2351" w:rsidRPr="00276391">
        <w:rPr>
          <w:rFonts w:cs="Arial"/>
          <w:lang w:eastAsia="en-AU"/>
        </w:rPr>
        <w:t xml:space="preserve"> </w:t>
      </w:r>
      <w:r w:rsidR="00236748" w:rsidRPr="00276391">
        <w:rPr>
          <w:rFonts w:cs="Arial"/>
          <w:lang w:eastAsia="en-AU"/>
        </w:rPr>
        <w:t>Service</w:t>
      </w:r>
      <w:r w:rsidR="009B2351" w:rsidRPr="00276391">
        <w:rPr>
          <w:rFonts w:cs="Arial"/>
          <w:lang w:eastAsia="en-AU"/>
        </w:rPr>
        <w:t xml:space="preserve"> </w:t>
      </w:r>
      <w:r w:rsidR="00236748" w:rsidRPr="00276391">
        <w:rPr>
          <w:rFonts w:cs="Arial"/>
          <w:lang w:eastAsia="en-AU"/>
        </w:rPr>
        <w:t>plan</w:t>
      </w:r>
      <w:r w:rsidR="009B2351" w:rsidRPr="00276391">
        <w:rPr>
          <w:rFonts w:cs="Arial"/>
          <w:lang w:eastAsia="en-AU"/>
        </w:rPr>
        <w:t xml:space="preserve"> </w:t>
      </w:r>
      <w:r w:rsidR="00236748" w:rsidRPr="00276391">
        <w:rPr>
          <w:rFonts w:cs="Arial"/>
          <w:lang w:eastAsia="en-AU"/>
        </w:rPr>
        <w:t>information</w:t>
      </w:r>
      <w:bookmarkEnd w:id="987"/>
      <w:bookmarkEnd w:id="988"/>
      <w:bookmarkEnd w:id="989"/>
      <w:bookmarkEnd w:id="990"/>
    </w:p>
    <w:p w14:paraId="6BCFCA58" w14:textId="77777777" w:rsidR="00236748" w:rsidRPr="00276391" w:rsidRDefault="00236748" w:rsidP="00276391">
      <w:pPr>
        <w:pStyle w:val="DHHSbody"/>
        <w:rPr>
          <w:lang w:eastAsia="en-AU"/>
        </w:rPr>
      </w:pP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plans</w:t>
      </w:r>
      <w:r w:rsidR="005D5532" w:rsidRPr="00B24C02">
        <w:rPr>
          <w:rFonts w:cs="Arial"/>
          <w:color w:val="000000"/>
          <w:szCs w:val="19"/>
          <w:lang w:eastAsia="en-AU"/>
        </w:rPr>
        <w:t xml:space="preserve"> </w:t>
      </w:r>
      <w:r w:rsidRPr="00B24C02">
        <w:rPr>
          <w:rFonts w:cs="Arial"/>
          <w:color w:val="000000"/>
          <w:szCs w:val="19"/>
          <w:lang w:eastAsia="en-AU"/>
        </w:rPr>
        <w:t>listed</w:t>
      </w:r>
      <w:r w:rsidR="005D5532" w:rsidRPr="00B24C02">
        <w:rPr>
          <w:rFonts w:cs="Arial"/>
          <w:color w:val="000000"/>
          <w:szCs w:val="19"/>
          <w:lang w:eastAsia="en-AU"/>
        </w:rPr>
        <w:t xml:space="preserve"> </w:t>
      </w:r>
      <w:r w:rsidRPr="00B24C02">
        <w:rPr>
          <w:rFonts w:cs="Arial"/>
          <w:color w:val="000000"/>
          <w:szCs w:val="19"/>
          <w:lang w:eastAsia="en-AU"/>
        </w:rPr>
        <w:t>in</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2</w:t>
      </w:r>
      <w:r w:rsidR="005D5532" w:rsidRPr="00B24C02">
        <w:rPr>
          <w:rFonts w:cs="Arial"/>
          <w:color w:val="000000"/>
          <w:szCs w:val="19"/>
          <w:lang w:eastAsia="en-AU"/>
        </w:rPr>
        <w:t xml:space="preserve"> </w:t>
      </w:r>
      <w:r w:rsidRPr="00B24C02">
        <w:rPr>
          <w:rFonts w:cs="Arial"/>
          <w:color w:val="000000"/>
          <w:szCs w:val="19"/>
          <w:lang w:eastAsia="en-AU"/>
        </w:rPr>
        <w:t>group</w:t>
      </w:r>
      <w:r w:rsidR="005D5532" w:rsidRPr="00B24C02">
        <w:rPr>
          <w:rFonts w:cs="Arial"/>
          <w:color w:val="000000"/>
          <w:szCs w:val="19"/>
          <w:lang w:eastAsia="en-AU"/>
        </w:rPr>
        <w:t xml:space="preserve"> </w:t>
      </w:r>
      <w:r w:rsidRPr="00B24C02">
        <w:rPr>
          <w:rFonts w:cs="Arial"/>
          <w:color w:val="000000"/>
          <w:szCs w:val="19"/>
          <w:lang w:eastAsia="en-AU"/>
        </w:rPr>
        <w:t>together</w:t>
      </w:r>
      <w:r w:rsidR="005D5532" w:rsidRPr="00B24C02">
        <w:rPr>
          <w:rFonts w:cs="Arial"/>
          <w:color w:val="000000"/>
          <w:szCs w:val="19"/>
          <w:lang w:eastAsia="en-AU"/>
        </w:rPr>
        <w:t xml:space="preserve"> </w:t>
      </w:r>
      <w:r w:rsidRPr="00B24C02">
        <w:rPr>
          <w:rFonts w:cs="Arial"/>
          <w:color w:val="000000"/>
          <w:szCs w:val="19"/>
          <w:lang w:eastAsia="en-AU"/>
        </w:rPr>
        <w:t>like</w:t>
      </w:r>
      <w:r w:rsidR="005D5532" w:rsidRPr="00B24C02">
        <w:rPr>
          <w:rFonts w:cs="Arial"/>
          <w:color w:val="000000"/>
          <w:szCs w:val="19"/>
          <w:lang w:eastAsia="en-AU"/>
        </w:rPr>
        <w:t xml:space="preserve"> </w:t>
      </w:r>
      <w:r w:rsidRPr="00B24C02">
        <w:rPr>
          <w:rFonts w:cs="Arial"/>
          <w:color w:val="000000"/>
          <w:szCs w:val="19"/>
          <w:lang w:eastAsia="en-AU"/>
        </w:rPr>
        <w:t>service</w:t>
      </w:r>
      <w:r w:rsidR="005D5532" w:rsidRPr="00B24C02">
        <w:rPr>
          <w:rFonts w:cs="Arial"/>
          <w:color w:val="000000"/>
          <w:szCs w:val="19"/>
          <w:lang w:eastAsia="en-AU"/>
        </w:rPr>
        <w:t xml:space="preserve"> </w:t>
      </w:r>
      <w:r w:rsidRPr="00B24C02">
        <w:rPr>
          <w:rFonts w:cs="Arial"/>
          <w:color w:val="000000"/>
          <w:szCs w:val="19"/>
          <w:lang w:eastAsia="en-AU"/>
        </w:rPr>
        <w:t>activities</w:t>
      </w:r>
      <w:r w:rsidR="005D5532" w:rsidRPr="00B24C02">
        <w:rPr>
          <w:rFonts w:cs="Arial"/>
          <w:color w:val="000000"/>
          <w:szCs w:val="19"/>
          <w:lang w:eastAsia="en-AU"/>
        </w:rPr>
        <w:t xml:space="preserve"> </w:t>
      </w:r>
      <w:r w:rsidRPr="00B24C02">
        <w:rPr>
          <w:rFonts w:cs="Arial"/>
          <w:color w:val="000000"/>
          <w:szCs w:val="19"/>
          <w:lang w:eastAsia="en-AU"/>
        </w:rPr>
        <w:t>specific</w:t>
      </w:r>
      <w:r w:rsidR="005D5532" w:rsidRPr="00B24C02">
        <w:rPr>
          <w:rFonts w:cs="Arial"/>
          <w:color w:val="000000"/>
          <w:szCs w:val="19"/>
          <w:lang w:eastAsia="en-AU"/>
        </w:rPr>
        <w:t xml:space="preserve"> </w:t>
      </w:r>
      <w:r w:rsidRPr="00B24C02">
        <w:rPr>
          <w:rFonts w:cs="Arial"/>
          <w:color w:val="000000"/>
          <w:szCs w:val="19"/>
          <w:lang w:eastAsia="en-AU"/>
        </w:rPr>
        <w:t>to</w:t>
      </w:r>
      <w:r w:rsidR="005D5532" w:rsidRPr="00B24C02">
        <w:rPr>
          <w:rFonts w:cs="Arial"/>
          <w:color w:val="000000"/>
          <w:szCs w:val="19"/>
          <w:lang w:eastAsia="en-AU"/>
        </w:rPr>
        <w:t xml:space="preserve"> </w:t>
      </w:r>
      <w:r w:rsidRPr="00B24C02">
        <w:rPr>
          <w:rFonts w:cs="Arial"/>
          <w:color w:val="000000"/>
          <w:szCs w:val="19"/>
          <w:lang w:eastAsia="en-AU"/>
        </w:rPr>
        <w:t>a</w:t>
      </w:r>
      <w:r w:rsidR="005D5532" w:rsidRPr="00B24C02">
        <w:rPr>
          <w:rFonts w:cs="Arial"/>
          <w:color w:val="000000"/>
          <w:szCs w:val="19"/>
          <w:lang w:eastAsia="en-AU"/>
        </w:rPr>
        <w:t xml:space="preserve"> </w:t>
      </w:r>
      <w:r w:rsidRPr="00B24C02">
        <w:rPr>
          <w:rFonts w:cs="Arial"/>
          <w:color w:val="000000"/>
          <w:szCs w:val="19"/>
          <w:lang w:eastAsia="en-AU"/>
        </w:rPr>
        <w:t>program</w:t>
      </w:r>
      <w:r w:rsidR="005D5532" w:rsidRPr="00B24C02">
        <w:rPr>
          <w:rFonts w:cs="Arial"/>
          <w:color w:val="000000"/>
          <w:szCs w:val="19"/>
          <w:lang w:eastAsia="en-AU"/>
        </w:rPr>
        <w:t xml:space="preserve"> </w:t>
      </w:r>
      <w:r w:rsidRPr="00B24C02">
        <w:rPr>
          <w:rFonts w:cs="Arial"/>
          <w:color w:val="000000"/>
          <w:szCs w:val="19"/>
          <w:lang w:eastAsia="en-AU"/>
        </w:rPr>
        <w:t>area</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identify</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department's</w:t>
      </w:r>
      <w:r w:rsidR="005D5532" w:rsidRPr="00B24C02">
        <w:rPr>
          <w:rFonts w:cs="Arial"/>
          <w:color w:val="000000"/>
          <w:szCs w:val="19"/>
          <w:lang w:eastAsia="en-AU"/>
        </w:rPr>
        <w:t xml:space="preserve"> </w:t>
      </w:r>
      <w:r w:rsidRPr="00B24C02">
        <w:rPr>
          <w:rFonts w:cs="Arial"/>
          <w:color w:val="000000"/>
          <w:szCs w:val="19"/>
          <w:lang w:eastAsia="en-AU"/>
        </w:rPr>
        <w:t>region/division/group</w:t>
      </w:r>
      <w:r w:rsidR="005D5532" w:rsidRPr="00B24C02">
        <w:rPr>
          <w:rFonts w:cs="Arial"/>
          <w:color w:val="000000"/>
          <w:szCs w:val="19"/>
          <w:lang w:eastAsia="en-AU"/>
        </w:rPr>
        <w:t xml:space="preserve"> </w:t>
      </w:r>
      <w:r w:rsidRPr="00B24C02">
        <w:rPr>
          <w:rFonts w:cs="Arial"/>
          <w:color w:val="000000"/>
          <w:szCs w:val="19"/>
          <w:lang w:eastAsia="en-AU"/>
        </w:rPr>
        <w:t>providing</w:t>
      </w:r>
      <w:r w:rsidR="005D5532" w:rsidRPr="00B24C02">
        <w:rPr>
          <w:rFonts w:cs="Arial"/>
          <w:color w:val="000000"/>
          <w:szCs w:val="19"/>
          <w:lang w:eastAsia="en-AU"/>
        </w:rPr>
        <w:t xml:space="preserve"> </w:t>
      </w:r>
      <w:r w:rsidRPr="00B24C02">
        <w:rPr>
          <w:rFonts w:cs="Arial"/>
          <w:color w:val="000000"/>
          <w:szCs w:val="19"/>
          <w:lang w:eastAsia="en-AU"/>
        </w:rPr>
        <w:t>funding.</w:t>
      </w:r>
    </w:p>
    <w:p w14:paraId="1D9283DD" w14:textId="77777777" w:rsidR="00236748" w:rsidRPr="00276391" w:rsidRDefault="00236748" w:rsidP="00276391">
      <w:pPr>
        <w:pStyle w:val="DHHSbody"/>
        <w:rPr>
          <w:lang w:eastAsia="en-AU"/>
        </w:rPr>
      </w:pPr>
      <w:r w:rsidRPr="00276391">
        <w:rPr>
          <w:lang w:eastAsia="en-AU"/>
        </w:rPr>
        <w:t>Where</w:t>
      </w:r>
      <w:r w:rsidR="005D5532" w:rsidRPr="00276391">
        <w:rPr>
          <w:lang w:eastAsia="en-AU"/>
        </w:rPr>
        <w:t xml:space="preserve"> </w:t>
      </w:r>
      <w:r w:rsidRPr="00276391">
        <w:rPr>
          <w:lang w:eastAsia="en-AU"/>
        </w:rPr>
        <w:t>an</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provides</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single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activity,</w:t>
      </w:r>
      <w:r w:rsidR="005D5532" w:rsidRPr="00276391">
        <w:rPr>
          <w:lang w:eastAsia="en-AU"/>
        </w:rPr>
        <w:t xml:space="preserve"> </w:t>
      </w:r>
      <w:r w:rsidRPr="00276391">
        <w:rPr>
          <w:lang w:eastAsia="en-AU"/>
        </w:rPr>
        <w:t>their</w:t>
      </w:r>
      <w:r w:rsidR="005D5532" w:rsidRPr="00276391">
        <w:rPr>
          <w:lang w:eastAsia="en-AU"/>
        </w:rPr>
        <w:t xml:space="preserve"> </w:t>
      </w:r>
      <w:r w:rsidRPr="00276391">
        <w:rPr>
          <w:lang w:eastAsia="en-AU"/>
        </w:rPr>
        <w:t>agreement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consist</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Organisations</w:t>
      </w:r>
      <w:r w:rsidR="005D5532" w:rsidRPr="00276391">
        <w:rPr>
          <w:lang w:eastAsia="en-AU"/>
        </w:rPr>
        <w:t xml:space="preserve"> </w:t>
      </w:r>
      <w:r w:rsidRPr="00276391">
        <w:rPr>
          <w:lang w:eastAsia="en-AU"/>
        </w:rPr>
        <w:t>providing</w:t>
      </w:r>
      <w:r w:rsidR="005D5532" w:rsidRPr="00276391">
        <w:rPr>
          <w:lang w:eastAsia="en-AU"/>
        </w:rPr>
        <w:t xml:space="preserve"> </w:t>
      </w:r>
      <w:r w:rsidRPr="00276391">
        <w:rPr>
          <w:lang w:eastAsia="en-AU"/>
        </w:rPr>
        <w:t>multiple</w:t>
      </w:r>
      <w:r w:rsidR="005D5532" w:rsidRPr="00276391">
        <w:rPr>
          <w:lang w:eastAsia="en-AU"/>
        </w:rPr>
        <w:t xml:space="preserve"> </w:t>
      </w:r>
      <w:r w:rsidRPr="00276391">
        <w:rPr>
          <w:lang w:eastAsia="en-AU"/>
        </w:rPr>
        <w:t>services</w:t>
      </w:r>
      <w:r w:rsidR="005D5532" w:rsidRPr="00276391">
        <w:rPr>
          <w:lang w:eastAsia="en-AU"/>
        </w:rPr>
        <w:t xml:space="preserve"> </w:t>
      </w:r>
      <w:r w:rsidRPr="00276391">
        <w:rPr>
          <w:lang w:eastAsia="en-AU"/>
        </w:rPr>
        <w:t>across</w:t>
      </w:r>
      <w:r w:rsidR="005D5532" w:rsidRPr="00276391">
        <w:rPr>
          <w:lang w:eastAsia="en-AU"/>
        </w:rPr>
        <w:t xml:space="preserve"> </w:t>
      </w:r>
      <w:r w:rsidRPr="00276391">
        <w:rPr>
          <w:lang w:eastAsia="en-AU"/>
        </w:rPr>
        <w:t>different</w:t>
      </w:r>
      <w:r w:rsidR="005D5532" w:rsidRPr="00276391">
        <w:rPr>
          <w:lang w:eastAsia="en-AU"/>
        </w:rPr>
        <w:t xml:space="preserve"> </w:t>
      </w:r>
      <w:r w:rsidRPr="00276391">
        <w:rPr>
          <w:lang w:eastAsia="en-AU"/>
        </w:rPr>
        <w:t>program</w:t>
      </w:r>
      <w:r w:rsidR="005D5532" w:rsidRPr="00276391">
        <w:rPr>
          <w:lang w:eastAsia="en-AU"/>
        </w:rPr>
        <w:t xml:space="preserve"> </w:t>
      </w:r>
      <w:r w:rsidRPr="00276391">
        <w:rPr>
          <w:lang w:eastAsia="en-AU"/>
        </w:rPr>
        <w:t>areas</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regions/divisions/groups</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hold</w:t>
      </w:r>
      <w:r w:rsidR="005D5532" w:rsidRPr="00276391">
        <w:rPr>
          <w:lang w:eastAsia="en-AU"/>
        </w:rPr>
        <w:t xml:space="preserve"> </w:t>
      </w:r>
      <w:r w:rsidRPr="00276391">
        <w:rPr>
          <w:lang w:eastAsia="en-AU"/>
        </w:rPr>
        <w:t>agreements</w:t>
      </w:r>
      <w:r w:rsidR="005D5532" w:rsidRPr="00276391">
        <w:rPr>
          <w:lang w:eastAsia="en-AU"/>
        </w:rPr>
        <w:t xml:space="preserve"> </w:t>
      </w:r>
      <w:r w:rsidRPr="00276391">
        <w:rPr>
          <w:lang w:eastAsia="en-AU"/>
        </w:rPr>
        <w:t>made</w:t>
      </w:r>
      <w:r w:rsidR="005D5532" w:rsidRPr="00276391">
        <w:rPr>
          <w:lang w:eastAsia="en-AU"/>
        </w:rPr>
        <w:t xml:space="preserve"> </w:t>
      </w:r>
      <w:r w:rsidRPr="00276391">
        <w:rPr>
          <w:lang w:eastAsia="en-AU"/>
        </w:rPr>
        <w:t>up</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multiple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plans.</w:t>
      </w:r>
    </w:p>
    <w:p w14:paraId="18D96C5C" w14:textId="77777777" w:rsidR="00236748" w:rsidRPr="00276391" w:rsidRDefault="00236748" w:rsidP="00276391">
      <w:pPr>
        <w:pStyle w:val="DHHSbody"/>
        <w:rPr>
          <w:lang w:eastAsia="en-AU"/>
        </w:rPr>
      </w:pPr>
      <w:r w:rsidRPr="00276391">
        <w:rPr>
          <w:lang w:eastAsia="en-AU"/>
        </w:rPr>
        <w:t>Each</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have</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least</w:t>
      </w:r>
      <w:r w:rsidR="005D5532" w:rsidRPr="00276391">
        <w:rPr>
          <w:lang w:eastAsia="en-AU"/>
        </w:rPr>
        <w:t xml:space="preserve"> </w:t>
      </w:r>
      <w:r w:rsidRPr="00276391">
        <w:rPr>
          <w:lang w:eastAsia="en-AU"/>
        </w:rPr>
        <w:t>one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activity</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provide</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following</w:t>
      </w:r>
      <w:r w:rsidR="005D5532" w:rsidRPr="00276391">
        <w:rPr>
          <w:lang w:eastAsia="en-AU"/>
        </w:rPr>
        <w:t xml:space="preserve"> </w:t>
      </w:r>
      <w:r w:rsidRPr="00276391">
        <w:rPr>
          <w:lang w:eastAsia="en-AU"/>
        </w:rPr>
        <w:t>information:</w:t>
      </w:r>
      <w:r w:rsidR="005D5532" w:rsidRPr="00276391">
        <w:rPr>
          <w:lang w:eastAsia="en-AU"/>
        </w:rPr>
        <w:t xml:space="preserve"> </w:t>
      </w:r>
    </w:p>
    <w:p w14:paraId="681ECC4D" w14:textId="239B9BA6" w:rsidR="00236748" w:rsidRPr="00276391" w:rsidRDefault="0015719F" w:rsidP="00934A5A">
      <w:pPr>
        <w:pStyle w:val="DHHSbullet1"/>
        <w:rPr>
          <w:lang w:eastAsia="en-AU"/>
        </w:rPr>
      </w:pPr>
      <w:r>
        <w:rPr>
          <w:lang w:eastAsia="en-AU"/>
        </w:rPr>
        <w:t>a</w:t>
      </w:r>
      <w:r w:rsidR="00236748" w:rsidRPr="00276391">
        <w:rPr>
          <w:lang w:eastAsia="en-AU"/>
        </w:rPr>
        <w:t>ctivity</w:t>
      </w:r>
      <w:r w:rsidR="005D5532" w:rsidRPr="00276391">
        <w:rPr>
          <w:lang w:eastAsia="en-AU"/>
        </w:rPr>
        <w:t xml:space="preserve"> </w:t>
      </w:r>
      <w:r w:rsidR="00236748" w:rsidRPr="00276391">
        <w:rPr>
          <w:lang w:eastAsia="en-AU"/>
        </w:rPr>
        <w:t>number</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name</w:t>
      </w:r>
      <w:r w:rsidR="005D5532" w:rsidRPr="00276391">
        <w:rPr>
          <w:lang w:eastAsia="en-AU"/>
        </w:rPr>
        <w:t xml:space="preserve"> </w:t>
      </w:r>
      <w:r w:rsidR="00236748" w:rsidRPr="00276391">
        <w:rPr>
          <w:lang w:eastAsia="en-AU"/>
        </w:rPr>
        <w:t>(e.g.</w:t>
      </w:r>
      <w:r w:rsidR="005D5532" w:rsidRPr="00276391">
        <w:rPr>
          <w:lang w:eastAsia="en-AU"/>
        </w:rPr>
        <w:t xml:space="preserve"> </w:t>
      </w:r>
      <w:r w:rsidR="00236748" w:rsidRPr="00276391">
        <w:rPr>
          <w:lang w:eastAsia="en-AU"/>
        </w:rPr>
        <w:t>17201</w:t>
      </w:r>
      <w:r w:rsidR="005D5532" w:rsidRPr="00276391">
        <w:rPr>
          <w:lang w:eastAsia="en-AU"/>
        </w:rPr>
        <w:t xml:space="preserve"> </w:t>
      </w:r>
      <w:r w:rsidR="00236748" w:rsidRPr="00276391">
        <w:rPr>
          <w:lang w:eastAsia="en-AU"/>
        </w:rPr>
        <w:t>–</w:t>
      </w:r>
      <w:r w:rsidR="005D5532" w:rsidRPr="00276391">
        <w:rPr>
          <w:lang w:eastAsia="en-AU"/>
        </w:rPr>
        <w:t xml:space="preserve"> </w:t>
      </w:r>
      <w:r w:rsidR="00236748" w:rsidRPr="00276391">
        <w:rPr>
          <w:lang w:eastAsia="en-AU"/>
        </w:rPr>
        <w:t>Futures</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Young</w:t>
      </w:r>
      <w:r w:rsidR="005D5532" w:rsidRPr="00276391">
        <w:rPr>
          <w:lang w:eastAsia="en-AU"/>
        </w:rPr>
        <w:t xml:space="preserve"> </w:t>
      </w:r>
      <w:r>
        <w:rPr>
          <w:lang w:eastAsia="en-AU"/>
        </w:rPr>
        <w:t>Adults)</w:t>
      </w:r>
    </w:p>
    <w:p w14:paraId="00909FBC" w14:textId="714F994D" w:rsidR="00236748" w:rsidRPr="00276391" w:rsidRDefault="0015719F" w:rsidP="00934A5A">
      <w:pPr>
        <w:pStyle w:val="DHHSbullet1"/>
        <w:rPr>
          <w:lang w:eastAsia="en-AU"/>
        </w:rPr>
      </w:pPr>
      <w:r>
        <w:rPr>
          <w:lang w:eastAsia="en-AU"/>
        </w:rPr>
        <w:t>f</w:t>
      </w:r>
      <w:r w:rsidR="00236748" w:rsidRPr="00276391">
        <w:rPr>
          <w:lang w:eastAsia="en-AU"/>
        </w:rPr>
        <w:t>inancial</w:t>
      </w:r>
      <w:r w:rsidR="005D5532" w:rsidRPr="00276391">
        <w:rPr>
          <w:lang w:eastAsia="en-AU"/>
        </w:rPr>
        <w:t xml:space="preserve"> </w:t>
      </w:r>
      <w:r>
        <w:rPr>
          <w:lang w:eastAsia="en-AU"/>
        </w:rPr>
        <w:t>y</w:t>
      </w:r>
      <w:r w:rsidR="00236748" w:rsidRPr="00276391">
        <w:rPr>
          <w:lang w:eastAsia="en-AU"/>
        </w:rPr>
        <w:t>ear</w:t>
      </w:r>
      <w:r w:rsidR="005D5532" w:rsidRPr="00276391">
        <w:rPr>
          <w:lang w:eastAsia="en-AU"/>
        </w:rPr>
        <w:t xml:space="preserve"> </w:t>
      </w:r>
    </w:p>
    <w:p w14:paraId="7A0AE985" w14:textId="77777777" w:rsidR="0015719F" w:rsidRDefault="0015719F" w:rsidP="0015719F">
      <w:pPr>
        <w:pStyle w:val="DHHSbullet1"/>
        <w:rPr>
          <w:lang w:eastAsia="en-AU"/>
        </w:rPr>
      </w:pPr>
      <w:r>
        <w:rPr>
          <w:lang w:eastAsia="en-AU"/>
        </w:rPr>
        <w:t>f</w:t>
      </w:r>
      <w:r w:rsidR="00236748" w:rsidRPr="00276391">
        <w:rPr>
          <w:lang w:eastAsia="en-AU"/>
        </w:rPr>
        <w:t>unding</w:t>
      </w:r>
      <w:r w:rsidR="005D5532" w:rsidRPr="00276391">
        <w:rPr>
          <w:lang w:eastAsia="en-AU"/>
        </w:rPr>
        <w:t xml:space="preserve"> </w:t>
      </w:r>
      <w:r w:rsidR="00236748" w:rsidRPr="00276391">
        <w:rPr>
          <w:lang w:eastAsia="en-AU"/>
        </w:rPr>
        <w:t>-</w:t>
      </w:r>
      <w:r w:rsidR="005D5532" w:rsidRPr="00276391">
        <w:rPr>
          <w:lang w:eastAsia="en-AU"/>
        </w:rPr>
        <w:t xml:space="preserve"> </w:t>
      </w:r>
      <w:r w:rsidR="00236748" w:rsidRPr="00276391">
        <w:rPr>
          <w:lang w:eastAsia="en-AU"/>
        </w:rPr>
        <w:t>baseline,</w:t>
      </w:r>
      <w:r w:rsidR="005D5532" w:rsidRPr="00276391">
        <w:rPr>
          <w:lang w:eastAsia="en-AU"/>
        </w:rPr>
        <w:t xml:space="preserve"> </w:t>
      </w:r>
      <w:r w:rsidR="00236748" w:rsidRPr="00276391">
        <w:rPr>
          <w:lang w:eastAsia="en-AU"/>
        </w:rPr>
        <w:t>variation</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total</w:t>
      </w:r>
      <w:r w:rsidR="005D5532" w:rsidRPr="00276391">
        <w:rPr>
          <w:lang w:eastAsia="en-AU"/>
        </w:rPr>
        <w:t xml:space="preserve"> </w:t>
      </w:r>
      <w:r w:rsidR="00236748" w:rsidRPr="00276391">
        <w:rPr>
          <w:lang w:eastAsia="en-AU"/>
        </w:rPr>
        <w:t>funding</w:t>
      </w:r>
      <w:r w:rsidR="005D5532" w:rsidRPr="00276391">
        <w:rPr>
          <w:lang w:eastAsia="en-AU"/>
        </w:rPr>
        <w:t xml:space="preserve"> </w:t>
      </w:r>
      <w:r w:rsidR="00236748" w:rsidRPr="00276391">
        <w:rPr>
          <w:lang w:eastAsia="en-AU"/>
        </w:rPr>
        <w:t>applicable</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financial</w:t>
      </w:r>
      <w:r w:rsidR="005D5532" w:rsidRPr="00276391">
        <w:rPr>
          <w:lang w:eastAsia="en-AU"/>
        </w:rPr>
        <w:t xml:space="preserve"> </w:t>
      </w:r>
      <w:r w:rsidR="00236748" w:rsidRPr="00276391">
        <w:rPr>
          <w:lang w:eastAsia="en-AU"/>
        </w:rPr>
        <w:t>year.</w:t>
      </w:r>
      <w:r w:rsidR="005D5532" w:rsidRPr="00276391">
        <w:rPr>
          <w:lang w:eastAsia="en-AU"/>
        </w:rPr>
        <w:t xml:space="preserve"> </w:t>
      </w:r>
      <w:r w:rsidR="00236748" w:rsidRPr="00276391">
        <w:rPr>
          <w:lang w:eastAsia="en-AU"/>
        </w:rPr>
        <w:t>All</w:t>
      </w:r>
      <w:r w:rsidR="005D5532" w:rsidRPr="00276391">
        <w:rPr>
          <w:lang w:eastAsia="en-AU"/>
        </w:rPr>
        <w:t xml:space="preserve"> </w:t>
      </w:r>
      <w:r w:rsidR="00236748" w:rsidRPr="00276391">
        <w:rPr>
          <w:lang w:eastAsia="en-AU"/>
        </w:rPr>
        <w:t>funding</w:t>
      </w:r>
      <w:r w:rsidR="005D5532" w:rsidRPr="00276391">
        <w:rPr>
          <w:lang w:eastAsia="en-AU"/>
        </w:rPr>
        <w:t xml:space="preserve"> </w:t>
      </w:r>
      <w:r w:rsidR="00236748" w:rsidRPr="00276391">
        <w:rPr>
          <w:lang w:eastAsia="en-AU"/>
        </w:rPr>
        <w:t>detailed</w:t>
      </w:r>
      <w:r w:rsidR="005D5532" w:rsidRPr="00276391">
        <w:rPr>
          <w:lang w:eastAsia="en-AU"/>
        </w:rPr>
        <w:t xml:space="preserve"> </w:t>
      </w:r>
      <w:r w:rsidR="00236748" w:rsidRPr="00276391">
        <w:rPr>
          <w:lang w:eastAsia="en-AU"/>
        </w:rPr>
        <w:t>in</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agreement</w:t>
      </w:r>
      <w:r w:rsidR="005D5532" w:rsidRPr="00276391">
        <w:rPr>
          <w:lang w:eastAsia="en-AU"/>
        </w:rPr>
        <w:t xml:space="preserve"> </w:t>
      </w:r>
      <w:r w:rsidR="00236748" w:rsidRPr="00276391">
        <w:rPr>
          <w:lang w:eastAsia="en-AU"/>
        </w:rPr>
        <w:t>excludes</w:t>
      </w:r>
      <w:r w:rsidR="005D5532" w:rsidRPr="00276391">
        <w:rPr>
          <w:lang w:eastAsia="en-AU"/>
        </w:rPr>
        <w:t xml:space="preserve"> </w:t>
      </w:r>
      <w:r w:rsidR="00236748" w:rsidRPr="00276391">
        <w:rPr>
          <w:lang w:eastAsia="en-AU"/>
        </w:rPr>
        <w:t>GST.</w:t>
      </w:r>
      <w:r w:rsidR="005D5532" w:rsidRPr="00276391">
        <w:rPr>
          <w:lang w:eastAsia="en-AU"/>
        </w:rPr>
        <w:t xml:space="preserve"> </w:t>
      </w:r>
    </w:p>
    <w:p w14:paraId="6301AC9C" w14:textId="0EEA7F1F" w:rsidR="00236748" w:rsidRPr="00276391" w:rsidRDefault="0015719F" w:rsidP="0015719F">
      <w:pPr>
        <w:pStyle w:val="DHHSbullet1"/>
        <w:rPr>
          <w:lang w:eastAsia="en-AU"/>
        </w:rPr>
      </w:pPr>
      <w:r>
        <w:rPr>
          <w:lang w:eastAsia="en-AU"/>
        </w:rPr>
        <w:lastRenderedPageBreak/>
        <w:t>p</w:t>
      </w:r>
      <w:r w:rsidR="00236748" w:rsidRPr="00276391">
        <w:rPr>
          <w:lang w:eastAsia="en-AU"/>
        </w:rPr>
        <w:t>erformance</w:t>
      </w:r>
      <w:r w:rsidR="005D5532" w:rsidRPr="00276391">
        <w:rPr>
          <w:lang w:eastAsia="en-AU"/>
        </w:rPr>
        <w:t xml:space="preserve"> </w:t>
      </w:r>
      <w:r w:rsidR="00236748" w:rsidRPr="00276391">
        <w:rPr>
          <w:lang w:eastAsia="en-AU"/>
        </w:rPr>
        <w:t>measures</w:t>
      </w:r>
      <w:r w:rsidR="005D5532" w:rsidRPr="00276391">
        <w:rPr>
          <w:lang w:eastAsia="en-AU"/>
        </w:rPr>
        <w:t xml:space="preserve"> </w:t>
      </w:r>
      <w:r w:rsidR="00236748" w:rsidRPr="00276391">
        <w:rPr>
          <w:lang w:eastAsia="en-AU"/>
        </w:rPr>
        <w:t>and</w:t>
      </w:r>
      <w:r w:rsidR="005D5532" w:rsidRPr="00276391">
        <w:rPr>
          <w:lang w:eastAsia="en-AU"/>
        </w:rPr>
        <w:t xml:space="preserve"> </w:t>
      </w:r>
      <w:r w:rsidR="00236748" w:rsidRPr="00276391">
        <w:rPr>
          <w:lang w:eastAsia="en-AU"/>
        </w:rPr>
        <w:t>targets</w:t>
      </w:r>
      <w:r w:rsidR="005D5532" w:rsidRPr="00276391">
        <w:rPr>
          <w:lang w:eastAsia="en-AU"/>
        </w:rPr>
        <w:t xml:space="preserve"> </w:t>
      </w:r>
      <w:r w:rsidR="00236748" w:rsidRPr="00276391">
        <w:rPr>
          <w:lang w:eastAsia="en-AU"/>
        </w:rPr>
        <w:t>applicable</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service</w:t>
      </w:r>
      <w:r w:rsidR="005D5532" w:rsidRPr="00276391">
        <w:rPr>
          <w:lang w:eastAsia="en-AU"/>
        </w:rPr>
        <w:t xml:space="preserve"> </w:t>
      </w:r>
      <w:r w:rsidR="00236748" w:rsidRPr="00276391">
        <w:rPr>
          <w:lang w:eastAsia="en-AU"/>
        </w:rPr>
        <w:t>activity</w:t>
      </w:r>
      <w:r w:rsidR="005D5532" w:rsidRPr="00276391">
        <w:rPr>
          <w:lang w:eastAsia="en-AU"/>
        </w:rPr>
        <w:t xml:space="preserve"> </w:t>
      </w:r>
      <w:r w:rsidR="00236748" w:rsidRPr="00276391">
        <w:rPr>
          <w:lang w:eastAsia="en-AU"/>
        </w:rPr>
        <w:t>being</w:t>
      </w:r>
      <w:r w:rsidR="005D5532" w:rsidRPr="00276391">
        <w:rPr>
          <w:lang w:eastAsia="en-AU"/>
        </w:rPr>
        <w:t xml:space="preserve"> </w:t>
      </w:r>
      <w:r w:rsidR="00236748" w:rsidRPr="00276391">
        <w:rPr>
          <w:lang w:eastAsia="en-AU"/>
        </w:rPr>
        <w:t>funded.</w:t>
      </w:r>
      <w:r w:rsidR="005D5532" w:rsidRPr="00276391">
        <w:rPr>
          <w:lang w:eastAsia="en-AU"/>
        </w:rPr>
        <w:t xml:space="preserve"> </w:t>
      </w:r>
      <w:r w:rsidR="00236748" w:rsidRPr="00276391">
        <w:rPr>
          <w:lang w:eastAsia="en-AU"/>
        </w:rPr>
        <w:t>Each</w:t>
      </w:r>
      <w:r w:rsidR="005D5532" w:rsidRPr="00276391">
        <w:rPr>
          <w:lang w:eastAsia="en-AU"/>
        </w:rPr>
        <w:t xml:space="preserve"> </w:t>
      </w:r>
      <w:r w:rsidR="00236748" w:rsidRPr="00276391">
        <w:rPr>
          <w:lang w:eastAsia="en-AU"/>
        </w:rPr>
        <w:t>service</w:t>
      </w:r>
      <w:r w:rsidR="005D5532" w:rsidRPr="00276391">
        <w:rPr>
          <w:lang w:eastAsia="en-AU"/>
        </w:rPr>
        <w:t xml:space="preserve"> </w:t>
      </w:r>
      <w:r w:rsidR="00236748" w:rsidRPr="00276391">
        <w:rPr>
          <w:lang w:eastAsia="en-AU"/>
        </w:rPr>
        <w:t>activity</w:t>
      </w:r>
      <w:r w:rsidR="005D5532" w:rsidRPr="00276391">
        <w:rPr>
          <w:lang w:eastAsia="en-AU"/>
        </w:rPr>
        <w:t xml:space="preserve"> </w:t>
      </w:r>
      <w:r w:rsidR="00236748" w:rsidRPr="00276391">
        <w:rPr>
          <w:lang w:eastAsia="en-AU"/>
        </w:rPr>
        <w:t>may</w:t>
      </w:r>
      <w:r w:rsidR="005D5532" w:rsidRPr="00276391">
        <w:rPr>
          <w:lang w:eastAsia="en-AU"/>
        </w:rPr>
        <w:t xml:space="preserve"> </w:t>
      </w:r>
      <w:r w:rsidR="00236748" w:rsidRPr="00276391">
        <w:rPr>
          <w:lang w:eastAsia="en-AU"/>
        </w:rPr>
        <w:t>have</w:t>
      </w:r>
      <w:r w:rsidR="005D5532" w:rsidRPr="00276391">
        <w:rPr>
          <w:lang w:eastAsia="en-AU"/>
        </w:rPr>
        <w:t xml:space="preserve"> </w:t>
      </w:r>
      <w:r w:rsidR="00236748" w:rsidRPr="00276391">
        <w:rPr>
          <w:lang w:eastAsia="en-AU"/>
        </w:rPr>
        <w:t>up</w:t>
      </w:r>
      <w:r w:rsidR="005D5532" w:rsidRPr="00276391">
        <w:rPr>
          <w:lang w:eastAsia="en-AU"/>
        </w:rPr>
        <w:t xml:space="preserve"> </w:t>
      </w:r>
      <w:r w:rsidR="00236748" w:rsidRPr="00276391">
        <w:rPr>
          <w:lang w:eastAsia="en-AU"/>
        </w:rPr>
        <w:t>to</w:t>
      </w:r>
      <w:r w:rsidR="005D5532" w:rsidRPr="00276391">
        <w:rPr>
          <w:lang w:eastAsia="en-AU"/>
        </w:rPr>
        <w:t xml:space="preserve"> </w:t>
      </w:r>
      <w:r w:rsidR="00236748" w:rsidRPr="00276391">
        <w:rPr>
          <w:lang w:eastAsia="en-AU"/>
        </w:rPr>
        <w:t>three</w:t>
      </w:r>
      <w:r w:rsidR="005D5532" w:rsidRPr="00276391">
        <w:rPr>
          <w:lang w:eastAsia="en-AU"/>
        </w:rPr>
        <w:t xml:space="preserve"> </w:t>
      </w:r>
      <w:r w:rsidR="00236748" w:rsidRPr="00276391">
        <w:rPr>
          <w:lang w:eastAsia="en-AU"/>
        </w:rPr>
        <w:t>standard</w:t>
      </w:r>
      <w:r w:rsidR="005D5532" w:rsidRPr="00276391">
        <w:rPr>
          <w:lang w:eastAsia="en-AU"/>
        </w:rPr>
        <w:t xml:space="preserve"> </w:t>
      </w:r>
      <w:r w:rsidR="00236748" w:rsidRPr="00276391">
        <w:rPr>
          <w:lang w:eastAsia="en-AU"/>
        </w:rPr>
        <w:t>performance</w:t>
      </w:r>
      <w:r w:rsidR="005D5532" w:rsidRPr="00276391">
        <w:rPr>
          <w:lang w:eastAsia="en-AU"/>
        </w:rPr>
        <w:t xml:space="preserve"> </w:t>
      </w:r>
      <w:r w:rsidR="00236748" w:rsidRPr="00276391">
        <w:rPr>
          <w:lang w:eastAsia="en-AU"/>
        </w:rPr>
        <w:t>measures.</w:t>
      </w:r>
      <w:r w:rsidR="005D5532" w:rsidRPr="00276391">
        <w:rPr>
          <w:lang w:eastAsia="en-AU"/>
        </w:rPr>
        <w:t xml:space="preserve"> </w:t>
      </w:r>
      <w:r w:rsidR="00236748" w:rsidRPr="00276391">
        <w:rPr>
          <w:lang w:eastAsia="en-AU"/>
        </w:rPr>
        <w:t>Performance</w:t>
      </w:r>
      <w:r w:rsidR="005D5532" w:rsidRPr="00276391">
        <w:rPr>
          <w:lang w:eastAsia="en-AU"/>
        </w:rPr>
        <w:t xml:space="preserve"> </w:t>
      </w:r>
      <w:r w:rsidR="00236748" w:rsidRPr="00276391">
        <w:rPr>
          <w:lang w:eastAsia="en-AU"/>
        </w:rPr>
        <w:t>measures</w:t>
      </w:r>
      <w:r w:rsidR="005D5532" w:rsidRPr="00276391">
        <w:rPr>
          <w:lang w:eastAsia="en-AU"/>
        </w:rPr>
        <w:t xml:space="preserve"> </w:t>
      </w:r>
      <w:r w:rsidR="00236748" w:rsidRPr="00276391">
        <w:rPr>
          <w:lang w:eastAsia="en-AU"/>
        </w:rPr>
        <w:t>may</w:t>
      </w:r>
      <w:r w:rsidR="005D5532" w:rsidRPr="00276391">
        <w:rPr>
          <w:lang w:eastAsia="en-AU"/>
        </w:rPr>
        <w:t xml:space="preserve"> </w:t>
      </w:r>
      <w:r w:rsidR="00236748" w:rsidRPr="00276391">
        <w:rPr>
          <w:lang w:eastAsia="en-AU"/>
        </w:rPr>
        <w:t>include</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example</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number</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clients</w:t>
      </w:r>
      <w:r w:rsidR="005D5532" w:rsidRPr="00276391">
        <w:rPr>
          <w:lang w:eastAsia="en-AU"/>
        </w:rPr>
        <w:t xml:space="preserve"> </w:t>
      </w:r>
      <w:r w:rsidR="00236748" w:rsidRPr="00276391">
        <w:rPr>
          <w:lang w:eastAsia="en-AU"/>
        </w:rPr>
        <w:t>accessing</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service</w:t>
      </w:r>
      <w:r w:rsidR="005D5532" w:rsidRPr="00276391">
        <w:rPr>
          <w:lang w:eastAsia="en-AU"/>
        </w:rPr>
        <w:t xml:space="preserve"> </w:t>
      </w:r>
      <w:r w:rsidR="00236748" w:rsidRPr="00276391">
        <w:rPr>
          <w:lang w:eastAsia="en-AU"/>
        </w:rPr>
        <w:t>or</w:t>
      </w:r>
      <w:r w:rsidR="005D5532" w:rsidRPr="00276391">
        <w:rPr>
          <w:lang w:eastAsia="en-AU"/>
        </w:rPr>
        <w:t xml:space="preserve"> </w:t>
      </w:r>
      <w:r w:rsidR="00236748" w:rsidRPr="00276391">
        <w:rPr>
          <w:lang w:eastAsia="en-AU"/>
        </w:rPr>
        <w:t>may</w:t>
      </w:r>
      <w:r w:rsidR="005D5532" w:rsidRPr="00276391">
        <w:rPr>
          <w:lang w:eastAsia="en-AU"/>
        </w:rPr>
        <w:t xml:space="preserve"> </w:t>
      </w:r>
      <w:r w:rsidR="00236748" w:rsidRPr="00276391">
        <w:rPr>
          <w:lang w:eastAsia="en-AU"/>
        </w:rPr>
        <w:t>be</w:t>
      </w:r>
      <w:r w:rsidR="005D5532" w:rsidRPr="00276391">
        <w:rPr>
          <w:lang w:eastAsia="en-AU"/>
        </w:rPr>
        <w:t xml:space="preserve"> </w:t>
      </w:r>
      <w:r w:rsidR="00236748" w:rsidRPr="00276391">
        <w:rPr>
          <w:lang w:eastAsia="en-AU"/>
        </w:rPr>
        <w:t>focused</w:t>
      </w:r>
      <w:r w:rsidR="005D5532" w:rsidRPr="00276391">
        <w:rPr>
          <w:lang w:eastAsia="en-AU"/>
        </w:rPr>
        <w:t xml:space="preserve"> </w:t>
      </w:r>
      <w:r w:rsidR="00236748" w:rsidRPr="00276391">
        <w:rPr>
          <w:lang w:eastAsia="en-AU"/>
        </w:rPr>
        <w:t>on</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quality</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service</w:t>
      </w:r>
      <w:r w:rsidR="005D5532" w:rsidRPr="00276391">
        <w:rPr>
          <w:lang w:eastAsia="en-AU"/>
        </w:rPr>
        <w:t xml:space="preserve"> </w:t>
      </w:r>
      <w:r w:rsidR="00236748" w:rsidRPr="00276391">
        <w:rPr>
          <w:lang w:eastAsia="en-AU"/>
        </w:rPr>
        <w:t>provided,</w:t>
      </w:r>
      <w:r w:rsidR="005D5532" w:rsidRPr="00276391">
        <w:rPr>
          <w:lang w:eastAsia="en-AU"/>
        </w:rPr>
        <w:t xml:space="preserve"> </w:t>
      </w:r>
      <w:r w:rsidR="00236748" w:rsidRPr="00276391">
        <w:rPr>
          <w:lang w:eastAsia="en-AU"/>
        </w:rPr>
        <w:t>for</w:t>
      </w:r>
      <w:r w:rsidR="005D5532" w:rsidRPr="00276391">
        <w:rPr>
          <w:lang w:eastAsia="en-AU"/>
        </w:rPr>
        <w:t xml:space="preserve"> </w:t>
      </w:r>
      <w:r w:rsidR="00236748" w:rsidRPr="00276391">
        <w:rPr>
          <w:lang w:eastAsia="en-AU"/>
        </w:rPr>
        <w:t>example</w:t>
      </w:r>
      <w:r w:rsidR="005D5532" w:rsidRPr="00276391">
        <w:rPr>
          <w:lang w:eastAsia="en-AU"/>
        </w:rPr>
        <w:t xml:space="preserve"> </w:t>
      </w:r>
      <w:r w:rsidR="00236748" w:rsidRPr="00276391">
        <w:rPr>
          <w:lang w:eastAsia="en-AU"/>
        </w:rPr>
        <w:t>the</w:t>
      </w:r>
      <w:r w:rsidR="005D5532" w:rsidRPr="00276391">
        <w:rPr>
          <w:lang w:eastAsia="en-AU"/>
        </w:rPr>
        <w:t xml:space="preserve"> </w:t>
      </w:r>
      <w:r w:rsidR="00236748" w:rsidRPr="00276391">
        <w:rPr>
          <w:lang w:eastAsia="en-AU"/>
        </w:rPr>
        <w:t>numbers</w:t>
      </w:r>
      <w:r w:rsidR="005D5532" w:rsidRPr="00276391">
        <w:rPr>
          <w:lang w:eastAsia="en-AU"/>
        </w:rPr>
        <w:t xml:space="preserve"> </w:t>
      </w:r>
      <w:r w:rsidR="00236748" w:rsidRPr="00276391">
        <w:rPr>
          <w:lang w:eastAsia="en-AU"/>
        </w:rPr>
        <w:t>of</w:t>
      </w:r>
      <w:r w:rsidR="005D5532" w:rsidRPr="00276391">
        <w:rPr>
          <w:lang w:eastAsia="en-AU"/>
        </w:rPr>
        <w:t xml:space="preserve"> </w:t>
      </w:r>
      <w:r w:rsidR="00236748" w:rsidRPr="00276391">
        <w:rPr>
          <w:lang w:eastAsia="en-AU"/>
        </w:rPr>
        <w:t>clients</w:t>
      </w:r>
      <w:r w:rsidR="005D5532" w:rsidRPr="00276391">
        <w:rPr>
          <w:lang w:eastAsia="en-AU"/>
        </w:rPr>
        <w:t xml:space="preserve"> </w:t>
      </w:r>
      <w:r w:rsidR="00236748" w:rsidRPr="00276391">
        <w:rPr>
          <w:lang w:eastAsia="en-AU"/>
        </w:rPr>
        <w:t>with</w:t>
      </w:r>
      <w:r w:rsidR="005D5532" w:rsidRPr="00276391">
        <w:rPr>
          <w:lang w:eastAsia="en-AU"/>
        </w:rPr>
        <w:t xml:space="preserve"> </w:t>
      </w:r>
      <w:r w:rsidR="00236748" w:rsidRPr="00276391">
        <w:rPr>
          <w:lang w:eastAsia="en-AU"/>
        </w:rPr>
        <w:t>a</w:t>
      </w:r>
      <w:r w:rsidR="005D5532" w:rsidRPr="00276391">
        <w:rPr>
          <w:lang w:eastAsia="en-AU"/>
        </w:rPr>
        <w:t xml:space="preserve"> </w:t>
      </w:r>
      <w:r w:rsidR="00236748" w:rsidRPr="00276391">
        <w:rPr>
          <w:lang w:eastAsia="en-AU"/>
        </w:rPr>
        <w:t>case</w:t>
      </w:r>
      <w:r w:rsidR="005D5532" w:rsidRPr="00276391">
        <w:rPr>
          <w:lang w:eastAsia="en-AU"/>
        </w:rPr>
        <w:t xml:space="preserve"> </w:t>
      </w:r>
      <w:r w:rsidR="00236748" w:rsidRPr="00276391">
        <w:rPr>
          <w:lang w:eastAsia="en-AU"/>
        </w:rPr>
        <w:t>plan.</w:t>
      </w:r>
    </w:p>
    <w:p w14:paraId="5247BC81" w14:textId="77777777" w:rsidR="00236748" w:rsidRPr="00276391" w:rsidRDefault="00236748" w:rsidP="00276391">
      <w:pPr>
        <w:pStyle w:val="DHHSbody"/>
        <w:rPr>
          <w:lang w:eastAsia="en-AU"/>
        </w:rPr>
      </w:pPr>
      <w:r w:rsidRPr="00276391">
        <w:rPr>
          <w:lang w:eastAsia="en-AU"/>
        </w:rPr>
        <w:t>Other</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delivery</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listed</w:t>
      </w:r>
      <w:r w:rsidR="005D5532" w:rsidRPr="00276391">
        <w:rPr>
          <w:lang w:eastAsia="en-AU"/>
        </w:rPr>
        <w:t xml:space="preserve"> </w:t>
      </w:r>
      <w:r w:rsidRPr="00276391">
        <w:rPr>
          <w:lang w:eastAsia="en-AU"/>
        </w:rPr>
        <w:t>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beginning</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may</w:t>
      </w:r>
      <w:r w:rsidR="005D5532" w:rsidRPr="00276391">
        <w:rPr>
          <w:lang w:eastAsia="en-AU"/>
        </w:rPr>
        <w:t xml:space="preserve"> </w:t>
      </w:r>
      <w:r w:rsidRPr="00276391">
        <w:rPr>
          <w:lang w:eastAsia="en-AU"/>
        </w:rPr>
        <w:t>relate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activity,</w:t>
      </w:r>
      <w:r w:rsidR="005D5532" w:rsidRPr="00276391">
        <w:rPr>
          <w:lang w:eastAsia="en-AU"/>
        </w:rPr>
        <w:t xml:space="preserve"> </w:t>
      </w:r>
      <w:r w:rsidRPr="00276391">
        <w:rPr>
          <w:lang w:eastAsia="en-AU"/>
        </w:rPr>
        <w:t>or</w:t>
      </w:r>
      <w:r w:rsidR="005D5532" w:rsidRPr="00276391">
        <w:rPr>
          <w:lang w:eastAsia="en-AU"/>
        </w:rPr>
        <w:t xml:space="preserve"> </w:t>
      </w:r>
      <w:r w:rsidRPr="00276391">
        <w:rPr>
          <w:lang w:eastAsia="en-AU"/>
        </w:rPr>
        <w:t>more</w:t>
      </w:r>
      <w:r w:rsidR="005D5532" w:rsidRPr="00276391">
        <w:rPr>
          <w:lang w:eastAsia="en-AU"/>
        </w:rPr>
        <w:t xml:space="preserve"> </w:t>
      </w:r>
      <w:r w:rsidRPr="00276391">
        <w:rPr>
          <w:lang w:eastAsia="en-AU"/>
        </w:rPr>
        <w:t>broadly</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plan.</w:t>
      </w:r>
    </w:p>
    <w:p w14:paraId="251786EB" w14:textId="4A2B6FC8" w:rsidR="00236748" w:rsidRPr="00276391" w:rsidRDefault="00236748" w:rsidP="00276391">
      <w:pPr>
        <w:pStyle w:val="DHHSbody"/>
        <w:rPr>
          <w:lang w:eastAsia="en-AU"/>
        </w:rPr>
      </w:pPr>
      <w:r w:rsidRPr="00276391">
        <w:rPr>
          <w:lang w:eastAsia="en-AU"/>
        </w:rPr>
        <w:t>Further</w:t>
      </w:r>
      <w:r w:rsidR="005D5532" w:rsidRPr="00276391">
        <w:rPr>
          <w:lang w:eastAsia="en-AU"/>
        </w:rPr>
        <w:t xml:space="preserve"> </w:t>
      </w:r>
      <w:r w:rsidRPr="00276391">
        <w:rPr>
          <w:lang w:eastAsia="en-AU"/>
        </w:rPr>
        <w:t>details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activity</w:t>
      </w:r>
      <w:r w:rsidR="005D5532" w:rsidRPr="00276391">
        <w:rPr>
          <w:lang w:eastAsia="en-AU"/>
        </w:rPr>
        <w:t xml:space="preserve"> </w:t>
      </w:r>
      <w:r w:rsidRPr="00276391">
        <w:rPr>
          <w:lang w:eastAsia="en-AU"/>
        </w:rPr>
        <w:t>specifications</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provided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the</w:t>
      </w:r>
      <w:r w:rsidR="005D5532" w:rsidRPr="00276391">
        <w:rPr>
          <w:lang w:eastAsia="en-AU"/>
        </w:rPr>
        <w:t xml:space="preserve"> </w:t>
      </w:r>
      <w:hyperlink r:id="rId424" w:tgtFrame="_blank" w:tooltip="Link to DHS Policy and Funding Guidelines" w:history="1">
        <w:r w:rsidRPr="00986D1E">
          <w:rPr>
            <w:rStyle w:val="Hyperlink"/>
          </w:rPr>
          <w:t>Department</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Health</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Human</w:t>
        </w:r>
        <w:r w:rsidR="005D5532" w:rsidRPr="00986D1E">
          <w:rPr>
            <w:rStyle w:val="Hyperlink"/>
          </w:rPr>
          <w:t xml:space="preserve"> </w:t>
        </w:r>
        <w:r w:rsidRPr="00986D1E">
          <w:rPr>
            <w:rStyle w:val="Hyperlink"/>
          </w:rPr>
          <w:t>Services</w:t>
        </w:r>
        <w:r w:rsidR="005D5532" w:rsidRPr="00986D1E">
          <w:rPr>
            <w:rStyle w:val="Hyperlink"/>
          </w:rPr>
          <w:t xml:space="preserve"> </w:t>
        </w:r>
        <w:r w:rsidRPr="00986D1E">
          <w:rPr>
            <w:rStyle w:val="Hyperlink"/>
          </w:rPr>
          <w:t>Policy</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Funding</w:t>
        </w:r>
        <w:r w:rsidR="005D5532" w:rsidRPr="00986D1E">
          <w:rPr>
            <w:rStyle w:val="Hyperlink"/>
          </w:rPr>
          <w:t xml:space="preserve"> </w:t>
        </w:r>
        <w:r w:rsidRPr="00986D1E">
          <w:rPr>
            <w:rStyle w:val="Hyperlink"/>
          </w:rPr>
          <w:t>Guidelines</w:t>
        </w:r>
      </w:hyperlink>
      <w:r w:rsidR="005D5532" w:rsidRPr="00276391">
        <w:rPr>
          <w:lang w:eastAsia="en-AU"/>
        </w:rPr>
        <w:t xml:space="preserve"> </w:t>
      </w:r>
      <w:r w:rsidR="00174137">
        <w:rPr>
          <w:lang w:eastAsia="en-AU"/>
        </w:rPr>
        <w:t>&lt;</w:t>
      </w:r>
      <w:r w:rsidR="00174137" w:rsidRPr="00174137">
        <w:rPr>
          <w:lang w:eastAsia="en-AU"/>
        </w:rPr>
        <w:t>https://www.dhhs.vic.gov.au/policy-and-funding-guidelines</w:t>
      </w:r>
      <w:r w:rsidR="00174137">
        <w:rPr>
          <w:lang w:eastAsia="en-AU"/>
        </w:rPr>
        <w:t xml:space="preserve">&gt;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hyperlink r:id="rId425" w:tooltip="Link to DET Early Childhood Program and Services Guide" w:history="1">
        <w:r w:rsidRPr="00986D1E">
          <w:rPr>
            <w:rStyle w:val="Hyperlink"/>
          </w:rPr>
          <w:t>Department</w:t>
        </w:r>
        <w:r w:rsidR="005D5532" w:rsidRPr="00986D1E">
          <w:rPr>
            <w:rStyle w:val="Hyperlink"/>
          </w:rPr>
          <w:t xml:space="preserve"> </w:t>
        </w:r>
        <w:r w:rsidRPr="00986D1E">
          <w:rPr>
            <w:rStyle w:val="Hyperlink"/>
          </w:rPr>
          <w:t>of</w:t>
        </w:r>
        <w:r w:rsidR="005D5532" w:rsidRPr="00986D1E">
          <w:rPr>
            <w:rStyle w:val="Hyperlink"/>
          </w:rPr>
          <w:t xml:space="preserve"> </w:t>
        </w:r>
        <w:r w:rsidRPr="00986D1E">
          <w:rPr>
            <w:rStyle w:val="Hyperlink"/>
          </w:rPr>
          <w:t>Education</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Training</w:t>
        </w:r>
        <w:r w:rsidR="005D5532" w:rsidRPr="00986D1E">
          <w:rPr>
            <w:rStyle w:val="Hyperlink"/>
          </w:rPr>
          <w:t xml:space="preserve"> </w:t>
        </w:r>
        <w:r w:rsidRPr="00986D1E">
          <w:rPr>
            <w:rStyle w:val="Hyperlink"/>
          </w:rPr>
          <w:t>Early</w:t>
        </w:r>
        <w:r w:rsidR="005D5532" w:rsidRPr="00986D1E">
          <w:rPr>
            <w:rStyle w:val="Hyperlink"/>
          </w:rPr>
          <w:t xml:space="preserve"> </w:t>
        </w:r>
        <w:r w:rsidRPr="00986D1E">
          <w:rPr>
            <w:rStyle w:val="Hyperlink"/>
          </w:rPr>
          <w:t>Childhood</w:t>
        </w:r>
        <w:r w:rsidR="005D5532" w:rsidRPr="00986D1E">
          <w:rPr>
            <w:rStyle w:val="Hyperlink"/>
          </w:rPr>
          <w:t xml:space="preserve"> </w:t>
        </w:r>
        <w:r w:rsidRPr="00986D1E">
          <w:rPr>
            <w:rStyle w:val="Hyperlink"/>
          </w:rPr>
          <w:t>Program</w:t>
        </w:r>
        <w:r w:rsidR="005D5532" w:rsidRPr="00986D1E">
          <w:rPr>
            <w:rStyle w:val="Hyperlink"/>
          </w:rPr>
          <w:t xml:space="preserve"> </w:t>
        </w:r>
        <w:r w:rsidRPr="00986D1E">
          <w:rPr>
            <w:rStyle w:val="Hyperlink"/>
          </w:rPr>
          <w:t>and</w:t>
        </w:r>
        <w:r w:rsidR="005D5532" w:rsidRPr="00986D1E">
          <w:rPr>
            <w:rStyle w:val="Hyperlink"/>
          </w:rPr>
          <w:t xml:space="preserve"> </w:t>
        </w:r>
        <w:r w:rsidRPr="00986D1E">
          <w:rPr>
            <w:rStyle w:val="Hyperlink"/>
          </w:rPr>
          <w:t>Services</w:t>
        </w:r>
        <w:r w:rsidR="005D5532" w:rsidRPr="00986D1E">
          <w:rPr>
            <w:rStyle w:val="Hyperlink"/>
          </w:rPr>
          <w:t xml:space="preserve"> </w:t>
        </w:r>
        <w:r w:rsidRPr="00986D1E">
          <w:rPr>
            <w:rStyle w:val="Hyperlink"/>
          </w:rPr>
          <w:t>Guide</w:t>
        </w:r>
      </w:hyperlink>
      <w:r w:rsidR="00DC3D15">
        <w:rPr>
          <w:lang w:eastAsia="en-AU"/>
        </w:rPr>
        <w:t xml:space="preserve"> </w:t>
      </w:r>
      <w:r w:rsidR="007B223D">
        <w:rPr>
          <w:lang w:eastAsia="en-AU"/>
        </w:rPr>
        <w:t>&lt;</w:t>
      </w:r>
      <w:r w:rsidR="007B223D" w:rsidRPr="007B223D">
        <w:rPr>
          <w:lang w:eastAsia="en-AU"/>
        </w:rPr>
        <w:t>http://www.education.vic.gov.au/childhood/providers/funding/Pages/devgroupprogguide.aspx</w:t>
      </w:r>
      <w:r w:rsidR="007B223D">
        <w:rPr>
          <w:lang w:eastAsia="en-AU"/>
        </w:rPr>
        <w:t>&gt;</w:t>
      </w:r>
      <w:r w:rsidR="007B223D" w:rsidRPr="007B223D">
        <w:rPr>
          <w:lang w:eastAsia="en-AU"/>
        </w:rPr>
        <w:t xml:space="preserve"> </w:t>
      </w:r>
      <w:r w:rsidRPr="00276391">
        <w:rPr>
          <w:lang w:eastAsia="en-AU"/>
        </w:rPr>
        <w:t>(external</w:t>
      </w:r>
      <w:r w:rsidR="005D5532" w:rsidRPr="00276391">
        <w:rPr>
          <w:lang w:eastAsia="en-AU"/>
        </w:rPr>
        <w:t xml:space="preserve"> </w:t>
      </w:r>
      <w:r w:rsidRPr="00276391">
        <w:rPr>
          <w:lang w:eastAsia="en-AU"/>
        </w:rPr>
        <w:t>link,</w:t>
      </w:r>
      <w:r w:rsidR="005D5532" w:rsidRPr="00276391">
        <w:rPr>
          <w:lang w:eastAsia="en-AU"/>
        </w:rPr>
        <w:t xml:space="preserve"> </w:t>
      </w:r>
      <w:r w:rsidRPr="00276391">
        <w:rPr>
          <w:lang w:eastAsia="en-AU"/>
        </w:rPr>
        <w:t>opens</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a</w:t>
      </w:r>
      <w:r w:rsidR="005D5532" w:rsidRPr="00276391">
        <w:rPr>
          <w:lang w:eastAsia="en-AU"/>
        </w:rPr>
        <w:t xml:space="preserve"> </w:t>
      </w:r>
      <w:r w:rsidRPr="00276391">
        <w:rPr>
          <w:lang w:eastAsia="en-AU"/>
        </w:rPr>
        <w:t>new</w:t>
      </w:r>
      <w:r w:rsidR="005D5532" w:rsidRPr="00276391">
        <w:rPr>
          <w:lang w:eastAsia="en-AU"/>
        </w:rPr>
        <w:t xml:space="preserve"> </w:t>
      </w:r>
      <w:r w:rsidRPr="00276391">
        <w:rPr>
          <w:lang w:eastAsia="en-AU"/>
        </w:rPr>
        <w:t>window).</w:t>
      </w:r>
      <w:r w:rsidR="005D5532" w:rsidRPr="00276391">
        <w:rPr>
          <w:lang w:eastAsia="en-AU"/>
        </w:rPr>
        <w:t xml:space="preserve"> </w:t>
      </w:r>
      <w:r w:rsidRPr="00276391">
        <w:rPr>
          <w:lang w:eastAsia="en-AU"/>
        </w:rPr>
        <w:t>These</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include</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on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be</w:t>
      </w:r>
      <w:r w:rsidR="005D5532" w:rsidRPr="00276391">
        <w:rPr>
          <w:lang w:eastAsia="en-AU"/>
        </w:rPr>
        <w:t xml:space="preserve"> </w:t>
      </w:r>
      <w:r w:rsidRPr="00276391">
        <w:rPr>
          <w:lang w:eastAsia="en-AU"/>
        </w:rPr>
        <w:t>delivered,</w:t>
      </w:r>
      <w:r w:rsidR="005D5532" w:rsidRPr="00276391">
        <w:rPr>
          <w:lang w:eastAsia="en-AU"/>
        </w:rPr>
        <w:t xml:space="preserve"> </w:t>
      </w:r>
      <w:r w:rsidRPr="00276391">
        <w:rPr>
          <w:lang w:eastAsia="en-AU"/>
        </w:rPr>
        <w:t>target</w:t>
      </w:r>
      <w:r w:rsidR="005D5532" w:rsidRPr="00276391">
        <w:rPr>
          <w:lang w:eastAsia="en-AU"/>
        </w:rPr>
        <w:t xml:space="preserve"> </w:t>
      </w:r>
      <w:r w:rsidRPr="00276391">
        <w:rPr>
          <w:lang w:eastAsia="en-AU"/>
        </w:rPr>
        <w:t>group</w:t>
      </w:r>
      <w:r w:rsidR="005D5532" w:rsidRPr="00276391">
        <w:rPr>
          <w:lang w:eastAsia="en-AU"/>
        </w:rPr>
        <w:t xml:space="preserve"> </w:t>
      </w:r>
      <w:r w:rsidRPr="00276391">
        <w:rPr>
          <w:lang w:eastAsia="en-AU"/>
        </w:rPr>
        <w:t>for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monitoring</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review</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standard</w:t>
      </w:r>
      <w:r w:rsidR="005D5532" w:rsidRPr="00276391">
        <w:rPr>
          <w:lang w:eastAsia="en-AU"/>
        </w:rPr>
        <w:t xml:space="preserve"> </w:t>
      </w:r>
      <w:r w:rsidRPr="00276391">
        <w:rPr>
          <w:lang w:eastAsia="en-AU"/>
        </w:rPr>
        <w:t>performance</w:t>
      </w:r>
      <w:r w:rsidR="005D5532" w:rsidRPr="00276391">
        <w:rPr>
          <w:lang w:eastAsia="en-AU"/>
        </w:rPr>
        <w:t xml:space="preserve"> </w:t>
      </w:r>
      <w:r w:rsidRPr="00276391">
        <w:rPr>
          <w:lang w:eastAsia="en-AU"/>
        </w:rPr>
        <w:t>measures</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counting</w:t>
      </w:r>
      <w:r w:rsidR="005D5532" w:rsidRPr="00276391">
        <w:rPr>
          <w:lang w:eastAsia="en-AU"/>
        </w:rPr>
        <w:t xml:space="preserve"> </w:t>
      </w:r>
      <w:r w:rsidRPr="00276391">
        <w:rPr>
          <w:lang w:eastAsia="en-AU"/>
        </w:rPr>
        <w:t>rules,</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redevelopment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key</w:t>
      </w:r>
      <w:r w:rsidR="005D5532" w:rsidRPr="00276391">
        <w:rPr>
          <w:lang w:eastAsia="en-AU"/>
        </w:rPr>
        <w:t xml:space="preserve"> </w:t>
      </w:r>
      <w:r w:rsidRPr="00276391">
        <w:rPr>
          <w:lang w:eastAsia="en-AU"/>
        </w:rPr>
        <w:t>documents</w:t>
      </w:r>
      <w:r w:rsidR="005D5532" w:rsidRPr="00276391">
        <w:rPr>
          <w:lang w:eastAsia="en-AU"/>
        </w:rPr>
        <w:t xml:space="preserve"> </w:t>
      </w:r>
      <w:r w:rsidRPr="00276391">
        <w:rPr>
          <w:lang w:eastAsia="en-AU"/>
        </w:rPr>
        <w:t>(service</w:t>
      </w:r>
      <w:r w:rsidR="005D5532" w:rsidRPr="00276391">
        <w:rPr>
          <w:lang w:eastAsia="en-AU"/>
        </w:rPr>
        <w:t xml:space="preserve"> </w:t>
      </w:r>
      <w:r w:rsidRPr="00276391">
        <w:rPr>
          <w:lang w:eastAsia="en-AU"/>
        </w:rPr>
        <w:t>guidelines).</w:t>
      </w:r>
    </w:p>
    <w:p w14:paraId="129FA7FC" w14:textId="3F4BB01E" w:rsidR="00236748" w:rsidRPr="00276391" w:rsidRDefault="00B53AA9" w:rsidP="009B2351">
      <w:pPr>
        <w:pStyle w:val="Heading2"/>
        <w:rPr>
          <w:rFonts w:cs="Arial"/>
          <w:lang w:eastAsia="en-AU"/>
        </w:rPr>
      </w:pPr>
      <w:bookmarkStart w:id="991" w:name="_Toc478992284"/>
      <w:bookmarkStart w:id="992" w:name="_Toc478992536"/>
      <w:bookmarkStart w:id="993" w:name="_Toc478992946"/>
      <w:bookmarkStart w:id="994" w:name="_Toc4142193"/>
      <w:r>
        <w:rPr>
          <w:rFonts w:cs="Arial"/>
          <w:lang w:eastAsia="en-AU"/>
        </w:rPr>
        <w:t>6</w:t>
      </w:r>
      <w:r w:rsidR="00236748" w:rsidRPr="00276391">
        <w:rPr>
          <w:rFonts w:cs="Arial"/>
          <w:lang w:eastAsia="en-AU"/>
        </w:rPr>
        <w:t>.5</w:t>
      </w:r>
      <w:r w:rsidR="009B2351" w:rsidRPr="00276391">
        <w:rPr>
          <w:rFonts w:cs="Arial"/>
          <w:lang w:eastAsia="en-AU"/>
        </w:rPr>
        <w:t xml:space="preserve"> </w:t>
      </w:r>
      <w:r w:rsidR="00236748" w:rsidRPr="00276391">
        <w:rPr>
          <w:rFonts w:cs="Arial"/>
          <w:lang w:eastAsia="en-AU"/>
        </w:rPr>
        <w:t>Schedule</w:t>
      </w:r>
      <w:r w:rsidR="009B2351" w:rsidRPr="00276391">
        <w:rPr>
          <w:rFonts w:cs="Arial"/>
          <w:lang w:eastAsia="en-AU"/>
        </w:rPr>
        <w:t xml:space="preserve"> </w:t>
      </w:r>
      <w:r w:rsidR="00236748" w:rsidRPr="00276391">
        <w:rPr>
          <w:rFonts w:cs="Arial"/>
          <w:lang w:eastAsia="en-AU"/>
        </w:rPr>
        <w:t>3</w:t>
      </w:r>
      <w:r w:rsidR="009B2351" w:rsidRPr="00276391">
        <w:rPr>
          <w:rFonts w:cs="Arial"/>
          <w:lang w:eastAsia="en-AU"/>
        </w:rPr>
        <w:t xml:space="preserve"> </w:t>
      </w:r>
      <w:r w:rsidR="00236748" w:rsidRPr="00276391">
        <w:rPr>
          <w:rFonts w:cs="Arial"/>
          <w:lang w:eastAsia="en-AU"/>
        </w:rPr>
        <w:t>additional</w:t>
      </w:r>
      <w:r w:rsidR="009B2351" w:rsidRPr="00276391">
        <w:rPr>
          <w:rFonts w:cs="Arial"/>
          <w:lang w:eastAsia="en-AU"/>
        </w:rPr>
        <w:t xml:space="preserve"> </w:t>
      </w:r>
      <w:r w:rsidR="00236748" w:rsidRPr="00276391">
        <w:rPr>
          <w:rFonts w:cs="Arial"/>
          <w:lang w:eastAsia="en-AU"/>
        </w:rPr>
        <w:t>agreement</w:t>
      </w:r>
      <w:r w:rsidR="009B2351" w:rsidRPr="00276391">
        <w:rPr>
          <w:rFonts w:cs="Arial"/>
          <w:lang w:eastAsia="en-AU"/>
        </w:rPr>
        <w:t xml:space="preserve"> </w:t>
      </w:r>
      <w:r w:rsidR="00236748" w:rsidRPr="00276391">
        <w:rPr>
          <w:rFonts w:cs="Arial"/>
          <w:lang w:eastAsia="en-AU"/>
        </w:rPr>
        <w:t>level</w:t>
      </w:r>
      <w:r w:rsidR="009B2351" w:rsidRPr="00276391">
        <w:rPr>
          <w:rFonts w:cs="Arial"/>
          <w:lang w:eastAsia="en-AU"/>
        </w:rPr>
        <w:t xml:space="preserve"> </w:t>
      </w:r>
      <w:r w:rsidR="00236748" w:rsidRPr="00276391">
        <w:rPr>
          <w:rFonts w:cs="Arial"/>
          <w:lang w:eastAsia="en-AU"/>
        </w:rPr>
        <w:t>information</w:t>
      </w:r>
      <w:bookmarkEnd w:id="991"/>
      <w:bookmarkEnd w:id="992"/>
      <w:bookmarkEnd w:id="993"/>
      <w:bookmarkEnd w:id="994"/>
    </w:p>
    <w:p w14:paraId="11FC3462" w14:textId="77777777" w:rsidR="00236748" w:rsidRPr="00276391" w:rsidRDefault="00236748" w:rsidP="00276391">
      <w:pPr>
        <w:pStyle w:val="DHHSbody"/>
        <w:rPr>
          <w:lang w:eastAsia="en-AU"/>
        </w:rPr>
      </w:pP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3</w:t>
      </w:r>
      <w:r w:rsidR="005D5532" w:rsidRPr="00B24C02">
        <w:rPr>
          <w:rFonts w:cs="Arial"/>
          <w:color w:val="000000"/>
          <w:szCs w:val="19"/>
          <w:lang w:eastAsia="en-AU"/>
        </w:rPr>
        <w:t xml:space="preserve"> </w:t>
      </w:r>
      <w:r w:rsidRPr="00B24C02">
        <w:rPr>
          <w:rFonts w:cs="Arial"/>
          <w:color w:val="000000"/>
          <w:szCs w:val="19"/>
          <w:lang w:eastAsia="en-AU"/>
        </w:rPr>
        <w:t>is</w:t>
      </w:r>
      <w:r w:rsidR="005D5532" w:rsidRPr="00B24C02">
        <w:rPr>
          <w:rFonts w:cs="Arial"/>
          <w:color w:val="000000"/>
          <w:szCs w:val="19"/>
          <w:lang w:eastAsia="en-AU"/>
        </w:rPr>
        <w:t xml:space="preserve"> </w:t>
      </w:r>
      <w:r w:rsidRPr="00B24C02">
        <w:rPr>
          <w:rFonts w:cs="Arial"/>
          <w:color w:val="000000"/>
          <w:szCs w:val="19"/>
          <w:lang w:eastAsia="en-AU"/>
        </w:rPr>
        <w:t>an</w:t>
      </w:r>
      <w:r w:rsidR="005D5532" w:rsidRPr="00B24C02">
        <w:rPr>
          <w:rFonts w:cs="Arial"/>
          <w:color w:val="000000"/>
          <w:szCs w:val="19"/>
          <w:lang w:eastAsia="en-AU"/>
        </w:rPr>
        <w:t xml:space="preserve"> </w:t>
      </w:r>
      <w:r w:rsidRPr="00B24C02">
        <w:rPr>
          <w:rFonts w:cs="Arial"/>
          <w:color w:val="000000"/>
          <w:szCs w:val="19"/>
          <w:lang w:eastAsia="en-AU"/>
        </w:rPr>
        <w:t>optional</w:t>
      </w:r>
      <w:r w:rsidR="005D5532" w:rsidRPr="00B24C02">
        <w:rPr>
          <w:rFonts w:cs="Arial"/>
          <w:color w:val="000000"/>
          <w:szCs w:val="19"/>
          <w:lang w:eastAsia="en-AU"/>
        </w:rPr>
        <w:t xml:space="preserve"> </w:t>
      </w:r>
      <w:r w:rsidRPr="00B24C02">
        <w:rPr>
          <w:rFonts w:cs="Arial"/>
          <w:color w:val="000000"/>
          <w:szCs w:val="19"/>
          <w:lang w:eastAsia="en-AU"/>
        </w:rPr>
        <w:t>schedule</w:t>
      </w:r>
      <w:r w:rsidR="005D5532" w:rsidRPr="00B24C02">
        <w:rPr>
          <w:rFonts w:cs="Arial"/>
          <w:color w:val="000000"/>
          <w:szCs w:val="19"/>
          <w:lang w:eastAsia="en-AU"/>
        </w:rPr>
        <w:t xml:space="preserve"> </w:t>
      </w:r>
      <w:r w:rsidRPr="00B24C02">
        <w:rPr>
          <w:rFonts w:cs="Arial"/>
          <w:color w:val="000000"/>
          <w:szCs w:val="19"/>
          <w:lang w:eastAsia="en-AU"/>
        </w:rPr>
        <w:t>that</w:t>
      </w:r>
      <w:r w:rsidR="005D5532" w:rsidRPr="00B24C02">
        <w:rPr>
          <w:rFonts w:cs="Arial"/>
          <w:color w:val="000000"/>
          <w:szCs w:val="19"/>
          <w:lang w:eastAsia="en-AU"/>
        </w:rPr>
        <w:t xml:space="preserve"> </w:t>
      </w:r>
      <w:r w:rsidRPr="00B24C02">
        <w:rPr>
          <w:rFonts w:cs="Arial"/>
          <w:color w:val="000000"/>
          <w:szCs w:val="19"/>
          <w:lang w:eastAsia="en-AU"/>
        </w:rPr>
        <w:t>enables</w:t>
      </w:r>
      <w:r w:rsidR="005D5532" w:rsidRPr="00B24C02">
        <w:rPr>
          <w:rFonts w:cs="Arial"/>
          <w:color w:val="000000"/>
          <w:szCs w:val="19"/>
          <w:lang w:eastAsia="en-AU"/>
        </w:rPr>
        <w:t xml:space="preserve"> </w:t>
      </w:r>
      <w:r w:rsidRPr="00B24C02">
        <w:rPr>
          <w:rFonts w:cs="Arial"/>
          <w:color w:val="000000"/>
          <w:szCs w:val="19"/>
          <w:lang w:eastAsia="en-AU"/>
        </w:rPr>
        <w:t>the</w:t>
      </w:r>
      <w:r w:rsidR="005D5532" w:rsidRPr="00B24C02">
        <w:rPr>
          <w:rFonts w:cs="Arial"/>
          <w:color w:val="000000"/>
          <w:szCs w:val="19"/>
          <w:lang w:eastAsia="en-AU"/>
        </w:rPr>
        <w:t xml:space="preserve"> </w:t>
      </w:r>
      <w:r w:rsidRPr="00B24C02">
        <w:rPr>
          <w:rFonts w:cs="Arial"/>
          <w:color w:val="000000"/>
          <w:szCs w:val="19"/>
          <w:lang w:eastAsia="en-AU"/>
        </w:rPr>
        <w:t>relevant</w:t>
      </w:r>
      <w:r w:rsidR="005D5532" w:rsidRPr="00B24C02">
        <w:rPr>
          <w:rFonts w:cs="Arial"/>
          <w:color w:val="000000"/>
          <w:szCs w:val="19"/>
          <w:lang w:eastAsia="en-AU"/>
        </w:rPr>
        <w:t xml:space="preserve"> </w:t>
      </w:r>
      <w:r w:rsidRPr="00B24C02">
        <w:rPr>
          <w:rFonts w:cs="Arial"/>
          <w:color w:val="000000"/>
          <w:szCs w:val="19"/>
          <w:lang w:eastAsia="en-AU"/>
        </w:rPr>
        <w:t>department</w:t>
      </w:r>
      <w:r w:rsidR="005D5532" w:rsidRPr="00B24C02">
        <w:rPr>
          <w:rFonts w:cs="Arial"/>
          <w:color w:val="000000"/>
          <w:szCs w:val="19"/>
          <w:lang w:eastAsia="en-AU"/>
        </w:rPr>
        <w:t xml:space="preserve"> </w:t>
      </w:r>
      <w:r w:rsidRPr="00B24C02">
        <w:rPr>
          <w:rFonts w:cs="Arial"/>
          <w:color w:val="000000"/>
          <w:szCs w:val="19"/>
          <w:lang w:eastAsia="en-AU"/>
        </w:rPr>
        <w:t>and</w:t>
      </w:r>
      <w:r w:rsidR="005D5532" w:rsidRPr="00B24C02">
        <w:rPr>
          <w:rFonts w:cs="Arial"/>
          <w:color w:val="000000"/>
          <w:szCs w:val="19"/>
          <w:lang w:eastAsia="en-AU"/>
        </w:rPr>
        <w:t xml:space="preserve"> </w:t>
      </w:r>
      <w:r w:rsidRPr="00B24C02">
        <w:rPr>
          <w:rFonts w:cs="Arial"/>
          <w:color w:val="000000"/>
          <w:szCs w:val="19"/>
          <w:lang w:eastAsia="en-AU"/>
        </w:rPr>
        <w:t>organisation</w:t>
      </w:r>
      <w:r w:rsidR="005D5532" w:rsidRPr="00B24C02">
        <w:rPr>
          <w:rFonts w:cs="Arial"/>
          <w:color w:val="000000"/>
          <w:szCs w:val="19"/>
          <w:lang w:eastAsia="en-AU"/>
        </w:rPr>
        <w:t xml:space="preserve"> </w:t>
      </w:r>
      <w:r w:rsidRPr="00B24C02">
        <w:rPr>
          <w:rFonts w:cs="Arial"/>
          <w:color w:val="000000"/>
          <w:szCs w:val="19"/>
          <w:lang w:eastAsia="en-AU"/>
        </w:rPr>
        <w:t>to:</w:t>
      </w:r>
    </w:p>
    <w:p w14:paraId="1372522B" w14:textId="77777777" w:rsidR="00236748" w:rsidRPr="00276391" w:rsidRDefault="00236748" w:rsidP="00934A5A">
      <w:pPr>
        <w:pStyle w:val="DHHSbullet1"/>
        <w:rPr>
          <w:lang w:eastAsia="en-AU"/>
        </w:rPr>
      </w:pPr>
      <w:r w:rsidRPr="00276391">
        <w:rPr>
          <w:lang w:eastAsia="en-AU"/>
        </w:rPr>
        <w:t>record</w:t>
      </w:r>
      <w:r w:rsidR="005D5532" w:rsidRPr="00276391">
        <w:rPr>
          <w:lang w:eastAsia="en-AU"/>
        </w:rPr>
        <w:t xml:space="preserve"> </w:t>
      </w:r>
      <w:r w:rsidRPr="00276391">
        <w:rPr>
          <w:lang w:eastAsia="en-AU"/>
        </w:rPr>
        <w:t>information</w:t>
      </w:r>
      <w:r w:rsidR="005D5532" w:rsidRPr="00276391">
        <w:rPr>
          <w:lang w:eastAsia="en-AU"/>
        </w:rPr>
        <w:t xml:space="preserve"> </w:t>
      </w:r>
      <w:r w:rsidRPr="00276391">
        <w:rPr>
          <w:lang w:eastAsia="en-AU"/>
        </w:rPr>
        <w:t>about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relationship</w:t>
      </w:r>
      <w:r w:rsidR="005D5532" w:rsidRPr="00276391">
        <w:rPr>
          <w:lang w:eastAsia="en-AU"/>
        </w:rPr>
        <w:t xml:space="preserve"> </w:t>
      </w:r>
      <w:r w:rsidRPr="00276391">
        <w:rPr>
          <w:lang w:eastAsia="en-AU"/>
        </w:rPr>
        <w:t>between</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and</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p>
    <w:p w14:paraId="23C708CD" w14:textId="74BCFE10" w:rsidR="00236748" w:rsidRPr="00276391" w:rsidRDefault="00236748" w:rsidP="00934A5A">
      <w:pPr>
        <w:pStyle w:val="DHHSbullet1"/>
        <w:rPr>
          <w:lang w:eastAsia="en-AU"/>
        </w:rPr>
      </w:pPr>
      <w:r w:rsidRPr="00276391">
        <w:rPr>
          <w:lang w:eastAsia="en-AU"/>
        </w:rPr>
        <w:t>record</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actions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organisation</w:t>
      </w:r>
      <w:r w:rsidR="005D5532" w:rsidRPr="00276391">
        <w:rPr>
          <w:lang w:eastAsia="en-AU"/>
        </w:rPr>
        <w:t xml:space="preserve"> </w:t>
      </w:r>
      <w:r w:rsidRPr="00276391">
        <w:rPr>
          <w:lang w:eastAsia="en-AU"/>
        </w:rPr>
        <w:t>and/or</w:t>
      </w:r>
      <w:r w:rsidR="005D5532" w:rsidRPr="00276391">
        <w:rPr>
          <w:lang w:eastAsia="en-AU"/>
        </w:rPr>
        <w:t xml:space="preserve"> </w:t>
      </w:r>
      <w:r w:rsidRPr="00276391">
        <w:rPr>
          <w:lang w:eastAsia="en-AU"/>
        </w:rPr>
        <w:t>the</w:t>
      </w:r>
      <w:r w:rsidR="005D5532" w:rsidRPr="00276391">
        <w:rPr>
          <w:lang w:eastAsia="en-AU"/>
        </w:rPr>
        <w:t xml:space="preserve"> </w:t>
      </w:r>
      <w:r w:rsidRPr="00276391">
        <w:rPr>
          <w:lang w:eastAsia="en-AU"/>
        </w:rPr>
        <w:t>department</w:t>
      </w:r>
      <w:r w:rsidR="005D5532" w:rsidRPr="00276391">
        <w:rPr>
          <w:lang w:eastAsia="en-AU"/>
        </w:rPr>
        <w:t xml:space="preserve"> </w:t>
      </w:r>
      <w:r w:rsidRPr="00276391">
        <w:rPr>
          <w:lang w:eastAsia="en-AU"/>
        </w:rPr>
        <w:t>will</w:t>
      </w:r>
      <w:r w:rsidR="005D5532" w:rsidRPr="00276391">
        <w:rPr>
          <w:lang w:eastAsia="en-AU"/>
        </w:rPr>
        <w:t xml:space="preserve"> </w:t>
      </w:r>
      <w:r w:rsidRPr="00276391">
        <w:rPr>
          <w:lang w:eastAsia="en-AU"/>
        </w:rPr>
        <w:t>take</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relate</w:t>
      </w:r>
      <w:r w:rsidR="005D5532" w:rsidRPr="00276391">
        <w:rPr>
          <w:lang w:eastAsia="en-AU"/>
        </w:rPr>
        <w:t xml:space="preserve"> </w:t>
      </w:r>
      <w:r w:rsidRPr="00276391">
        <w:rPr>
          <w:lang w:eastAsia="en-AU"/>
        </w:rPr>
        <w:t>to</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005D5532" w:rsidRPr="00276391">
        <w:rPr>
          <w:lang w:eastAsia="en-AU"/>
        </w:rPr>
        <w:t xml:space="preserve"> </w:t>
      </w:r>
    </w:p>
    <w:p w14:paraId="25A95766" w14:textId="689C3F41" w:rsidR="00236748" w:rsidRDefault="00236748" w:rsidP="00934A5A">
      <w:pPr>
        <w:pStyle w:val="DHHSbullet1"/>
        <w:rPr>
          <w:lang w:eastAsia="en-AU"/>
        </w:rPr>
      </w:pPr>
      <w:r w:rsidRPr="00276391">
        <w:rPr>
          <w:lang w:eastAsia="en-AU"/>
        </w:rPr>
        <w:t>record</w:t>
      </w:r>
      <w:r w:rsidR="005D5532" w:rsidRPr="00276391">
        <w:rPr>
          <w:lang w:eastAsia="en-AU"/>
        </w:rPr>
        <w:t xml:space="preserve"> </w:t>
      </w:r>
      <w:r w:rsidRPr="00276391">
        <w:rPr>
          <w:lang w:eastAsia="en-AU"/>
        </w:rPr>
        <w:t>any</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specific</w:t>
      </w:r>
      <w:r w:rsidR="005D5532" w:rsidRPr="00276391">
        <w:rPr>
          <w:lang w:eastAsia="en-AU"/>
        </w:rPr>
        <w:t xml:space="preserve"> </w:t>
      </w:r>
      <w:r w:rsidRPr="00276391">
        <w:rPr>
          <w:lang w:eastAsia="en-AU"/>
        </w:rPr>
        <w:t>requirements</w:t>
      </w:r>
      <w:r w:rsidR="005D5532" w:rsidRPr="00276391">
        <w:rPr>
          <w:lang w:eastAsia="en-AU"/>
        </w:rPr>
        <w:t xml:space="preserve"> </w:t>
      </w:r>
      <w:r w:rsidRPr="00276391">
        <w:rPr>
          <w:lang w:eastAsia="en-AU"/>
        </w:rPr>
        <w:t>that</w:t>
      </w:r>
      <w:r w:rsidR="005D5532" w:rsidRPr="00276391">
        <w:rPr>
          <w:lang w:eastAsia="en-AU"/>
        </w:rPr>
        <w:t xml:space="preserve"> </w:t>
      </w:r>
      <w:r w:rsidRPr="00276391">
        <w:rPr>
          <w:lang w:eastAsia="en-AU"/>
        </w:rPr>
        <w:t>are</w:t>
      </w:r>
      <w:r w:rsidR="005D5532" w:rsidRPr="00276391">
        <w:rPr>
          <w:lang w:eastAsia="en-AU"/>
        </w:rPr>
        <w:t xml:space="preserve"> </w:t>
      </w:r>
      <w:r w:rsidRPr="00276391">
        <w:rPr>
          <w:lang w:eastAsia="en-AU"/>
        </w:rPr>
        <w:t>not</w:t>
      </w:r>
      <w:r w:rsidR="005D5532" w:rsidRPr="00276391">
        <w:rPr>
          <w:lang w:eastAsia="en-AU"/>
        </w:rPr>
        <w:t xml:space="preserve"> </w:t>
      </w:r>
      <w:r w:rsidRPr="00276391">
        <w:rPr>
          <w:lang w:eastAsia="en-AU"/>
        </w:rPr>
        <w:t>covered</w:t>
      </w:r>
      <w:r w:rsidR="005D5532" w:rsidRPr="00276391">
        <w:rPr>
          <w:lang w:eastAsia="en-AU"/>
        </w:rPr>
        <w:t xml:space="preserve"> </w:t>
      </w:r>
      <w:r w:rsidRPr="00276391">
        <w:rPr>
          <w:lang w:eastAsia="en-AU"/>
        </w:rPr>
        <w:t>in</w:t>
      </w:r>
      <w:r w:rsidR="005D5532" w:rsidRPr="00276391">
        <w:rPr>
          <w:lang w:eastAsia="en-AU"/>
        </w:rPr>
        <w:t xml:space="preserve"> </w:t>
      </w:r>
      <w:r w:rsidRPr="00276391">
        <w:rPr>
          <w:lang w:eastAsia="en-AU"/>
        </w:rPr>
        <w:t>other</w:t>
      </w:r>
      <w:r w:rsidR="005D5532" w:rsidRPr="00276391">
        <w:rPr>
          <w:lang w:eastAsia="en-AU"/>
        </w:rPr>
        <w:t xml:space="preserve"> </w:t>
      </w:r>
      <w:r w:rsidRPr="00276391">
        <w:rPr>
          <w:lang w:eastAsia="en-AU"/>
        </w:rPr>
        <w:t>parts</w:t>
      </w:r>
      <w:r w:rsidR="005D5532" w:rsidRPr="00276391">
        <w:rPr>
          <w:lang w:eastAsia="en-AU"/>
        </w:rPr>
        <w:t xml:space="preserve"> </w:t>
      </w:r>
      <w:r w:rsidRPr="00276391">
        <w:rPr>
          <w:lang w:eastAsia="en-AU"/>
        </w:rPr>
        <w:t>of</w:t>
      </w:r>
      <w:r w:rsidR="005D5532" w:rsidRPr="00276391">
        <w:rPr>
          <w:lang w:eastAsia="en-AU"/>
        </w:rPr>
        <w:t xml:space="preserve"> </w:t>
      </w:r>
      <w:r w:rsidRPr="00276391">
        <w:rPr>
          <w:lang w:eastAsia="en-AU"/>
        </w:rPr>
        <w:t>the</w:t>
      </w:r>
      <w:r w:rsidR="005D5532" w:rsidRPr="00276391">
        <w:rPr>
          <w:lang w:eastAsia="en-AU"/>
        </w:rPr>
        <w:t xml:space="preserve"> </w:t>
      </w:r>
      <w:r w:rsidR="009B3052">
        <w:rPr>
          <w:lang w:eastAsia="en-AU"/>
        </w:rPr>
        <w:t>Service agreement</w:t>
      </w:r>
      <w:r w:rsidRPr="00276391">
        <w:rPr>
          <w:lang w:eastAsia="en-AU"/>
        </w:rPr>
        <w:t>.</w:t>
      </w:r>
    </w:p>
    <w:p w14:paraId="6C8A9CFF" w14:textId="77777777" w:rsidR="006C700D" w:rsidRDefault="006C700D" w:rsidP="006C700D">
      <w:pPr>
        <w:pStyle w:val="Heading1"/>
        <w:rPr>
          <w:lang w:eastAsia="en-AU"/>
        </w:rPr>
      </w:pPr>
      <w:r>
        <w:rPr>
          <w:lang w:eastAsia="en-AU"/>
        </w:rPr>
        <w:br w:type="page"/>
      </w:r>
      <w:bookmarkStart w:id="995" w:name="_Toc4142194"/>
      <w:bookmarkStart w:id="996" w:name="_Toc478991801"/>
      <w:r w:rsidRPr="003624DD">
        <w:lastRenderedPageBreak/>
        <w:t>Attachment</w:t>
      </w:r>
      <w:r w:rsidRPr="00276391">
        <w:rPr>
          <w:lang w:eastAsia="en-AU"/>
        </w:rPr>
        <w:t xml:space="preserve"> 1</w:t>
      </w:r>
      <w:bookmarkEnd w:id="995"/>
      <w:r w:rsidRPr="00276391">
        <w:rPr>
          <w:lang w:eastAsia="en-AU"/>
        </w:rPr>
        <w:t xml:space="preserve"> </w:t>
      </w:r>
    </w:p>
    <w:p w14:paraId="1CB5E4A4" w14:textId="77777777" w:rsidR="006C700D" w:rsidRPr="00276391" w:rsidRDefault="006C700D" w:rsidP="006C700D">
      <w:pPr>
        <w:pStyle w:val="Heading2"/>
        <w:rPr>
          <w:lang w:eastAsia="en-AU"/>
        </w:rPr>
      </w:pPr>
      <w:bookmarkStart w:id="997" w:name="_Toc4142195"/>
      <w:r w:rsidRPr="00276391">
        <w:rPr>
          <w:lang w:eastAsia="en-AU"/>
        </w:rPr>
        <w:t>Organisation assets register - data requirements</w:t>
      </w:r>
      <w:bookmarkEnd w:id="996"/>
      <w:bookmarkEnd w:id="997"/>
    </w:p>
    <w:tbl>
      <w:tblPr>
        <w:tblW w:w="95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
        <w:gridCol w:w="2080"/>
        <w:gridCol w:w="6939"/>
      </w:tblGrid>
      <w:tr w:rsidR="006C700D" w:rsidRPr="00276391" w14:paraId="4FD7825C" w14:textId="77777777" w:rsidTr="006C700D">
        <w:tc>
          <w:tcPr>
            <w:tcW w:w="519"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vAlign w:val="center"/>
            <w:hideMark/>
          </w:tcPr>
          <w:p w14:paraId="091120C1" w14:textId="77777777" w:rsidR="006C700D" w:rsidRPr="00276391" w:rsidRDefault="006C700D" w:rsidP="00C94233">
            <w:pPr>
              <w:pStyle w:val="DHHStablecolhead"/>
              <w:rPr>
                <w:lang w:eastAsia="en-AU"/>
              </w:rPr>
            </w:pPr>
            <w:r>
              <w:rPr>
                <w:lang w:eastAsia="en-AU"/>
              </w:rPr>
              <w:t>No</w:t>
            </w:r>
          </w:p>
        </w:tc>
        <w:tc>
          <w:tcPr>
            <w:tcW w:w="2080" w:type="dxa"/>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vAlign w:val="center"/>
            <w:hideMark/>
          </w:tcPr>
          <w:p w14:paraId="71222FED" w14:textId="77777777" w:rsidR="006C700D" w:rsidRPr="002264EA" w:rsidRDefault="006C700D" w:rsidP="00C94233">
            <w:pPr>
              <w:pStyle w:val="DHHStablecolhead"/>
              <w:rPr>
                <w:lang w:eastAsia="en-AU"/>
              </w:rPr>
            </w:pPr>
            <w:r w:rsidRPr="002264EA">
              <w:rPr>
                <w:lang w:eastAsia="en-AU"/>
              </w:rPr>
              <w:t>Field name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2" w:type="dxa"/>
              <w:left w:w="120" w:type="dxa"/>
              <w:bottom w:w="72" w:type="dxa"/>
              <w:right w:w="120" w:type="dxa"/>
            </w:tcMar>
            <w:vAlign w:val="center"/>
            <w:hideMark/>
          </w:tcPr>
          <w:p w14:paraId="4795908E" w14:textId="77777777" w:rsidR="006C700D" w:rsidRPr="00276391" w:rsidRDefault="006C700D" w:rsidP="00C94233">
            <w:pPr>
              <w:pStyle w:val="DHHStablecolhead"/>
              <w:rPr>
                <w:lang w:eastAsia="en-AU"/>
              </w:rPr>
            </w:pPr>
            <w:r w:rsidRPr="002264EA">
              <w:rPr>
                <w:lang w:eastAsia="en-AU"/>
              </w:rPr>
              <w:t>Field use</w:t>
            </w:r>
          </w:p>
        </w:tc>
      </w:tr>
      <w:tr w:rsidR="006C700D" w:rsidRPr="00276391" w14:paraId="73F8E514"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9B0D70B" w14:textId="77777777" w:rsidR="006C700D" w:rsidRPr="00276391" w:rsidRDefault="006C700D" w:rsidP="00C94233">
            <w:pPr>
              <w:pStyle w:val="DHHStabletext"/>
              <w:rPr>
                <w:lang w:eastAsia="en-AU"/>
              </w:rPr>
            </w:pPr>
            <w:r w:rsidRPr="00B24C02">
              <w:rPr>
                <w:lang w:eastAsia="en-AU"/>
              </w:rPr>
              <w:t>1.</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0368FBF" w14:textId="77777777" w:rsidR="006C700D" w:rsidRPr="00276391" w:rsidRDefault="006C700D" w:rsidP="00C94233">
            <w:pPr>
              <w:pStyle w:val="DHHStabletext"/>
              <w:rPr>
                <w:lang w:eastAsia="en-AU"/>
              </w:rPr>
            </w:pPr>
            <w:r w:rsidRPr="00B24C02">
              <w:rPr>
                <w:lang w:eastAsia="en-AU"/>
              </w:rPr>
              <w:t>Asset description</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835688E" w14:textId="77777777" w:rsidR="006C700D" w:rsidRPr="00276391" w:rsidRDefault="006C700D" w:rsidP="00C94233">
            <w:pPr>
              <w:pStyle w:val="DHHStabletext"/>
              <w:rPr>
                <w:lang w:eastAsia="en-AU"/>
              </w:rPr>
            </w:pPr>
            <w:r w:rsidRPr="00B24C02">
              <w:rPr>
                <w:lang w:eastAsia="en-AU"/>
              </w:rPr>
              <w:t>General Description: - Use the following formula: (Item</w:t>
            </w:r>
            <w:r>
              <w:rPr>
                <w:lang w:eastAsia="en-AU"/>
              </w:rPr>
              <w:t>) (</w:t>
            </w:r>
            <w:r w:rsidRPr="00B24C02">
              <w:rPr>
                <w:lang w:eastAsia="en-AU"/>
              </w:rPr>
              <w:t>Make</w:t>
            </w:r>
            <w:r>
              <w:rPr>
                <w:lang w:eastAsia="en-AU"/>
              </w:rPr>
              <w:t>) (</w:t>
            </w:r>
            <w:r w:rsidRPr="00B24C02">
              <w:rPr>
                <w:lang w:eastAsia="en-AU"/>
              </w:rPr>
              <w:t>Model)</w:t>
            </w:r>
          </w:p>
        </w:tc>
      </w:tr>
      <w:tr w:rsidR="006C700D" w:rsidRPr="00276391" w14:paraId="1024F070"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E7913C6" w14:textId="77777777" w:rsidR="006C700D" w:rsidRPr="00276391" w:rsidRDefault="006C700D" w:rsidP="00C94233">
            <w:pPr>
              <w:pStyle w:val="DHHStabletext"/>
              <w:rPr>
                <w:lang w:eastAsia="en-AU"/>
              </w:rPr>
            </w:pPr>
            <w:r w:rsidRPr="00B24C02">
              <w:rPr>
                <w:lang w:eastAsia="en-AU"/>
              </w:rPr>
              <w:t>2.</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5F84ECB" w14:textId="77777777" w:rsidR="006C700D" w:rsidRPr="00276391" w:rsidRDefault="006C700D" w:rsidP="00C94233">
            <w:pPr>
              <w:pStyle w:val="DHHStabletext"/>
              <w:rPr>
                <w:lang w:eastAsia="en-AU"/>
              </w:rPr>
            </w:pPr>
            <w:r w:rsidRPr="00B24C02">
              <w:rPr>
                <w:lang w:eastAsia="en-AU"/>
              </w:rPr>
              <w:t>Serial number</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1F3C6F8" w14:textId="77777777" w:rsidR="006C700D" w:rsidRPr="00276391" w:rsidRDefault="006C700D" w:rsidP="00C94233">
            <w:pPr>
              <w:pStyle w:val="DHHStabletext"/>
              <w:rPr>
                <w:lang w:eastAsia="en-AU"/>
              </w:rPr>
            </w:pPr>
            <w:r w:rsidRPr="00B24C02">
              <w:rPr>
                <w:lang w:eastAsia="en-AU"/>
              </w:rPr>
              <w:t>Serial number recorded on the manufacturer's label or plate.</w:t>
            </w:r>
          </w:p>
        </w:tc>
      </w:tr>
      <w:tr w:rsidR="006C700D" w:rsidRPr="00276391" w14:paraId="44A7084F"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428B214" w14:textId="77777777" w:rsidR="006C700D" w:rsidRPr="00276391" w:rsidRDefault="006C700D" w:rsidP="00C94233">
            <w:pPr>
              <w:pStyle w:val="DHHStabletext"/>
              <w:rPr>
                <w:lang w:eastAsia="en-AU"/>
              </w:rPr>
            </w:pPr>
            <w:r w:rsidRPr="00B24C02">
              <w:rPr>
                <w:lang w:eastAsia="en-AU"/>
              </w:rPr>
              <w:t>3.</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844AEB6" w14:textId="77777777" w:rsidR="006C700D" w:rsidRPr="00276391" w:rsidRDefault="006C700D" w:rsidP="00C94233">
            <w:pPr>
              <w:pStyle w:val="DHHStabletext"/>
              <w:rPr>
                <w:lang w:eastAsia="en-AU"/>
              </w:rPr>
            </w:pPr>
            <w:r w:rsidRPr="00B24C02">
              <w:rPr>
                <w:lang w:eastAsia="en-AU"/>
              </w:rPr>
              <w:t>Asset number</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DEF6949" w14:textId="77777777" w:rsidR="006C700D" w:rsidRPr="00276391" w:rsidRDefault="006C700D" w:rsidP="00C94233">
            <w:pPr>
              <w:pStyle w:val="DHHStabletext"/>
              <w:rPr>
                <w:lang w:eastAsia="en-AU"/>
              </w:rPr>
            </w:pPr>
            <w:r w:rsidRPr="00B24C02">
              <w:rPr>
                <w:lang w:eastAsia="en-AU"/>
              </w:rPr>
              <w:t>Each asset recorded on the assets register should have a unique identification number that may be used to locate the asset entry in the assets register. Depending on the type of assets register kept, the asset number could be a line or folio number in a manual ledger through to a bar code label number in a sophisticated computerised system.</w:t>
            </w:r>
          </w:p>
        </w:tc>
      </w:tr>
      <w:tr w:rsidR="006C700D" w:rsidRPr="00276391" w14:paraId="2FA3E2AF"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6F6A307" w14:textId="77777777" w:rsidR="006C700D" w:rsidRPr="00276391" w:rsidRDefault="006C700D" w:rsidP="00C94233">
            <w:pPr>
              <w:pStyle w:val="DHHStabletext"/>
              <w:rPr>
                <w:lang w:eastAsia="en-AU"/>
              </w:rPr>
            </w:pPr>
            <w:r w:rsidRPr="00B24C02">
              <w:rPr>
                <w:lang w:eastAsia="en-AU"/>
              </w:rPr>
              <w:t>4.</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ED925B3" w14:textId="77777777" w:rsidR="006C700D" w:rsidRPr="00276391" w:rsidRDefault="006C700D" w:rsidP="00C94233">
            <w:pPr>
              <w:pStyle w:val="DHHStabletext"/>
              <w:rPr>
                <w:lang w:eastAsia="en-AU"/>
              </w:rPr>
            </w:pPr>
            <w:r w:rsidRPr="00B24C02">
              <w:rPr>
                <w:lang w:eastAsia="en-AU"/>
              </w:rPr>
              <w:t>Supplier</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B881BEA" w14:textId="77777777" w:rsidR="006C700D" w:rsidRPr="00276391" w:rsidRDefault="006C700D" w:rsidP="00C94233">
            <w:pPr>
              <w:pStyle w:val="DHHStabletext"/>
              <w:rPr>
                <w:lang w:eastAsia="en-AU"/>
              </w:rPr>
            </w:pPr>
            <w:r w:rsidRPr="00B24C02">
              <w:rPr>
                <w:lang w:eastAsia="en-AU"/>
              </w:rPr>
              <w:t>As described on the purchase order.</w:t>
            </w:r>
          </w:p>
        </w:tc>
      </w:tr>
      <w:tr w:rsidR="006C700D" w:rsidRPr="00276391" w14:paraId="00CFD7F7"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D3C2506" w14:textId="77777777" w:rsidR="006C700D" w:rsidRPr="00276391" w:rsidRDefault="006C700D" w:rsidP="00C94233">
            <w:pPr>
              <w:pStyle w:val="DHHStabletext"/>
              <w:rPr>
                <w:lang w:eastAsia="en-AU"/>
              </w:rPr>
            </w:pPr>
            <w:r w:rsidRPr="00B24C02">
              <w:rPr>
                <w:lang w:eastAsia="en-AU"/>
              </w:rPr>
              <w:t>5.</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7651BAA" w14:textId="77777777" w:rsidR="006C700D" w:rsidRPr="00276391" w:rsidRDefault="006C700D" w:rsidP="00C94233">
            <w:pPr>
              <w:pStyle w:val="DHHStabletext"/>
              <w:rPr>
                <w:lang w:eastAsia="en-AU"/>
              </w:rPr>
            </w:pPr>
            <w:r w:rsidRPr="00B24C02">
              <w:rPr>
                <w:lang w:eastAsia="en-AU"/>
              </w:rPr>
              <w:t>Asset custodian/controller</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CE32359" w14:textId="77777777" w:rsidR="006C700D" w:rsidRPr="00276391" w:rsidRDefault="006C700D" w:rsidP="00C94233">
            <w:pPr>
              <w:pStyle w:val="DHHStabletext"/>
              <w:rPr>
                <w:lang w:eastAsia="en-AU"/>
              </w:rPr>
            </w:pPr>
            <w:r w:rsidRPr="00B24C02">
              <w:rPr>
                <w:lang w:eastAsia="en-AU"/>
              </w:rPr>
              <w:t>Person or title of person with custodial responsibility.</w:t>
            </w:r>
          </w:p>
        </w:tc>
      </w:tr>
      <w:tr w:rsidR="006C700D" w:rsidRPr="00276391" w14:paraId="4BBFC1ED"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09CCEE9" w14:textId="77777777" w:rsidR="006C700D" w:rsidRPr="00276391" w:rsidRDefault="006C700D" w:rsidP="00C94233">
            <w:pPr>
              <w:pStyle w:val="DHHStabletext"/>
              <w:rPr>
                <w:lang w:eastAsia="en-AU"/>
              </w:rPr>
            </w:pPr>
            <w:r w:rsidRPr="00B24C02">
              <w:rPr>
                <w:lang w:eastAsia="en-AU"/>
              </w:rPr>
              <w:t>6.</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ABA929E" w14:textId="77777777" w:rsidR="006C700D" w:rsidRPr="00276391" w:rsidRDefault="006C700D" w:rsidP="00C94233">
            <w:pPr>
              <w:pStyle w:val="DHHStabletext"/>
              <w:rPr>
                <w:lang w:eastAsia="en-AU"/>
              </w:rPr>
            </w:pPr>
            <w:r w:rsidRPr="00B24C02">
              <w:rPr>
                <w:lang w:eastAsia="en-AU"/>
              </w:rPr>
              <w:t>Address</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29791C3" w14:textId="77777777" w:rsidR="006C700D" w:rsidRPr="00276391" w:rsidRDefault="006C700D" w:rsidP="00C94233">
            <w:pPr>
              <w:pStyle w:val="DHHStabletext"/>
              <w:rPr>
                <w:lang w:eastAsia="en-AU"/>
              </w:rPr>
            </w:pPr>
            <w:r w:rsidRPr="00B24C02">
              <w:rPr>
                <w:lang w:eastAsia="en-AU"/>
              </w:rPr>
              <w:t>Enter full postal address where the asset is located.</w:t>
            </w:r>
          </w:p>
        </w:tc>
      </w:tr>
      <w:tr w:rsidR="006C700D" w:rsidRPr="00276391" w14:paraId="01980AD4"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67F8402" w14:textId="77777777" w:rsidR="006C700D" w:rsidRPr="00276391" w:rsidRDefault="006C700D" w:rsidP="00C94233">
            <w:pPr>
              <w:pStyle w:val="DHHStabletext"/>
              <w:rPr>
                <w:lang w:eastAsia="en-AU"/>
              </w:rPr>
            </w:pPr>
            <w:r w:rsidRPr="00B24C02">
              <w:rPr>
                <w:lang w:eastAsia="en-AU"/>
              </w:rPr>
              <w:t>7.</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4F7EB36" w14:textId="77777777" w:rsidR="006C700D" w:rsidRPr="00276391" w:rsidRDefault="006C700D" w:rsidP="00C94233">
            <w:pPr>
              <w:pStyle w:val="DHHStabletext"/>
              <w:rPr>
                <w:lang w:eastAsia="en-AU"/>
              </w:rPr>
            </w:pPr>
            <w:r w:rsidRPr="00B24C02">
              <w:rPr>
                <w:lang w:eastAsia="en-AU"/>
              </w:rPr>
              <w:t>Asset value</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6075015" w14:textId="77777777" w:rsidR="006C700D" w:rsidRPr="00276391" w:rsidRDefault="006C700D" w:rsidP="00C94233">
            <w:pPr>
              <w:pStyle w:val="DHHStabletext"/>
              <w:rPr>
                <w:lang w:eastAsia="en-AU"/>
              </w:rPr>
            </w:pPr>
            <w:r w:rsidRPr="00B24C02">
              <w:rPr>
                <w:lang w:eastAsia="en-AU"/>
              </w:rPr>
              <w:t>Usually the gross purchase price, that is, the cost before deducting any trade in allowance.</w:t>
            </w:r>
          </w:p>
        </w:tc>
      </w:tr>
      <w:tr w:rsidR="006C700D" w:rsidRPr="00276391" w14:paraId="6D75DB00"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0E40849" w14:textId="77777777" w:rsidR="006C700D" w:rsidRPr="00276391" w:rsidRDefault="006C700D" w:rsidP="00C94233">
            <w:pPr>
              <w:pStyle w:val="DHHStabletext"/>
              <w:rPr>
                <w:lang w:eastAsia="en-AU"/>
              </w:rPr>
            </w:pPr>
            <w:r w:rsidRPr="00B24C02">
              <w:rPr>
                <w:lang w:eastAsia="en-AU"/>
              </w:rPr>
              <w:t>8.</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71EA4E0" w14:textId="77777777" w:rsidR="006C700D" w:rsidRPr="00276391" w:rsidRDefault="006C700D" w:rsidP="00C94233">
            <w:pPr>
              <w:pStyle w:val="DHHStabletext"/>
              <w:rPr>
                <w:lang w:eastAsia="en-AU"/>
              </w:rPr>
            </w:pPr>
            <w:r w:rsidRPr="00B24C02">
              <w:rPr>
                <w:lang w:eastAsia="en-AU"/>
              </w:rPr>
              <w:t>Purchase date</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DA7E7D6" w14:textId="77777777" w:rsidR="006C700D" w:rsidRPr="00276391" w:rsidRDefault="006C700D" w:rsidP="00C94233">
            <w:pPr>
              <w:pStyle w:val="DHHStabletext"/>
              <w:rPr>
                <w:lang w:eastAsia="en-AU"/>
              </w:rPr>
            </w:pPr>
            <w:r w:rsidRPr="00B24C02">
              <w:rPr>
                <w:lang w:eastAsia="en-AU"/>
              </w:rPr>
              <w:t>Purchase date of asset or date asset was transferred from another funded organisation.</w:t>
            </w:r>
          </w:p>
        </w:tc>
      </w:tr>
      <w:tr w:rsidR="006C700D" w:rsidRPr="00276391" w14:paraId="71567E00"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D5F7C2B" w14:textId="77777777" w:rsidR="006C700D" w:rsidRPr="00276391" w:rsidRDefault="006C700D" w:rsidP="00C94233">
            <w:pPr>
              <w:pStyle w:val="DHHStabletext"/>
              <w:rPr>
                <w:lang w:eastAsia="en-AU"/>
              </w:rPr>
            </w:pPr>
            <w:r w:rsidRPr="00B24C02">
              <w:rPr>
                <w:lang w:eastAsia="en-AU"/>
              </w:rPr>
              <w:t>9.</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32B707D" w14:textId="77777777" w:rsidR="006C700D" w:rsidRPr="00276391" w:rsidRDefault="006C700D" w:rsidP="00C94233">
            <w:pPr>
              <w:pStyle w:val="DHHStabletext"/>
              <w:rPr>
                <w:lang w:eastAsia="en-AU"/>
              </w:rPr>
            </w:pPr>
            <w:r w:rsidRPr="00B24C02">
              <w:rPr>
                <w:lang w:eastAsia="en-AU"/>
              </w:rPr>
              <w:t>Department funds used</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4873059" w14:textId="77777777" w:rsidR="006C700D" w:rsidRPr="00276391" w:rsidRDefault="006C700D" w:rsidP="00C94233">
            <w:pPr>
              <w:pStyle w:val="DHHStabletext"/>
              <w:rPr>
                <w:lang w:eastAsia="en-AU"/>
              </w:rPr>
            </w:pPr>
            <w:r w:rsidRPr="00B24C02">
              <w:rPr>
                <w:lang w:eastAsia="en-AU"/>
              </w:rPr>
              <w:t>Enter the $ amount of department funds used to acquire this asset.</w:t>
            </w:r>
          </w:p>
        </w:tc>
      </w:tr>
      <w:tr w:rsidR="006C700D" w:rsidRPr="00276391" w14:paraId="4C0BFA23"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E2CC4A2" w14:textId="77777777" w:rsidR="006C700D" w:rsidRPr="00276391" w:rsidRDefault="006C700D" w:rsidP="00C94233">
            <w:pPr>
              <w:pStyle w:val="DHHStabletext"/>
              <w:rPr>
                <w:lang w:eastAsia="en-AU"/>
              </w:rPr>
            </w:pPr>
            <w:r w:rsidRPr="00B24C02">
              <w:rPr>
                <w:lang w:eastAsia="en-AU"/>
              </w:rPr>
              <w:t>10.</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6802D6E" w14:textId="77777777" w:rsidR="006C700D" w:rsidRPr="00276391" w:rsidRDefault="006C700D" w:rsidP="00C94233">
            <w:pPr>
              <w:pStyle w:val="DHHStabletext"/>
              <w:rPr>
                <w:lang w:eastAsia="en-AU"/>
              </w:rPr>
            </w:pPr>
            <w:r w:rsidRPr="00B24C02">
              <w:rPr>
                <w:lang w:eastAsia="en-AU"/>
              </w:rPr>
              <w:t>Year of funding</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E5B9FBD" w14:textId="77777777" w:rsidR="006C700D" w:rsidRPr="00276391" w:rsidRDefault="006C700D" w:rsidP="00C94233">
            <w:pPr>
              <w:pStyle w:val="DHHStabletext"/>
              <w:rPr>
                <w:lang w:eastAsia="en-AU"/>
              </w:rPr>
            </w:pPr>
            <w:r w:rsidRPr="00B24C02">
              <w:rPr>
                <w:lang w:eastAsia="en-AU"/>
              </w:rPr>
              <w:t>Enter the financial year when grant was disclosed as a cash receipt.</w:t>
            </w:r>
          </w:p>
        </w:tc>
      </w:tr>
      <w:tr w:rsidR="006C700D" w:rsidRPr="00276391" w14:paraId="63F333CD"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28800E3" w14:textId="77777777" w:rsidR="006C700D" w:rsidRPr="00276391" w:rsidRDefault="006C700D" w:rsidP="00C94233">
            <w:pPr>
              <w:pStyle w:val="DHHStabletext"/>
              <w:rPr>
                <w:lang w:eastAsia="en-AU"/>
              </w:rPr>
            </w:pPr>
            <w:r w:rsidRPr="00B24C02">
              <w:rPr>
                <w:lang w:eastAsia="en-AU"/>
              </w:rPr>
              <w:t>11.</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696B4B8" w14:textId="77777777" w:rsidR="006C700D" w:rsidRPr="00276391" w:rsidRDefault="006C700D" w:rsidP="00C94233">
            <w:pPr>
              <w:pStyle w:val="DHHStabletext"/>
              <w:rPr>
                <w:lang w:eastAsia="en-AU"/>
              </w:rPr>
            </w:pPr>
            <w:r w:rsidRPr="00B24C02">
              <w:rPr>
                <w:lang w:eastAsia="en-AU"/>
              </w:rPr>
              <w:t>Department program</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E9FCFC9" w14:textId="77777777" w:rsidR="006C700D" w:rsidRPr="00276391" w:rsidRDefault="006C700D" w:rsidP="00C94233">
            <w:pPr>
              <w:pStyle w:val="DHHStabletext"/>
              <w:rPr>
                <w:lang w:eastAsia="en-AU"/>
              </w:rPr>
            </w:pPr>
            <w:r w:rsidRPr="00B24C02">
              <w:rPr>
                <w:lang w:eastAsia="en-AU"/>
              </w:rPr>
              <w:t>The department program that funded or part funded the asset purchase.</w:t>
            </w:r>
          </w:p>
        </w:tc>
      </w:tr>
      <w:tr w:rsidR="006C700D" w:rsidRPr="00276391" w14:paraId="5899CE6B"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4171AE4" w14:textId="77777777" w:rsidR="006C700D" w:rsidRPr="00276391" w:rsidRDefault="006C700D" w:rsidP="00C94233">
            <w:pPr>
              <w:pStyle w:val="DHHStabletext"/>
              <w:rPr>
                <w:lang w:eastAsia="en-AU"/>
              </w:rPr>
            </w:pPr>
            <w:r w:rsidRPr="00B24C02">
              <w:rPr>
                <w:lang w:eastAsia="en-AU"/>
              </w:rPr>
              <w:t>12.</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56F4106" w14:textId="77777777" w:rsidR="006C700D" w:rsidRPr="00276391" w:rsidRDefault="006C700D" w:rsidP="00C94233">
            <w:pPr>
              <w:pStyle w:val="DHHStabletext"/>
              <w:rPr>
                <w:lang w:eastAsia="en-AU"/>
              </w:rPr>
            </w:pPr>
            <w:r w:rsidRPr="00B24C02">
              <w:rPr>
                <w:lang w:eastAsia="en-AU"/>
              </w:rPr>
              <w:t>Accumulated depreciation</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81E2C65" w14:textId="77777777" w:rsidR="006C700D" w:rsidRPr="00276391" w:rsidRDefault="006C700D" w:rsidP="00C94233">
            <w:pPr>
              <w:pStyle w:val="DHHStabletext"/>
              <w:rPr>
                <w:lang w:eastAsia="en-AU"/>
              </w:rPr>
            </w:pPr>
            <w:r w:rsidRPr="00B24C02">
              <w:rPr>
                <w:lang w:eastAsia="en-AU"/>
              </w:rPr>
              <w:t>Enter: asset value x (depreciation rate *x years**)</w:t>
            </w:r>
          </w:p>
        </w:tc>
      </w:tr>
      <w:tr w:rsidR="006C700D" w:rsidRPr="00276391" w14:paraId="70EE205A"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F90D3C3" w14:textId="77777777" w:rsidR="006C700D" w:rsidRPr="00276391" w:rsidRDefault="006C700D" w:rsidP="00C94233">
            <w:pPr>
              <w:pStyle w:val="DHHStabletext"/>
              <w:rPr>
                <w:lang w:eastAsia="en-AU"/>
              </w:rPr>
            </w:pPr>
            <w:r w:rsidRPr="00B24C02">
              <w:rPr>
                <w:lang w:eastAsia="en-AU"/>
              </w:rPr>
              <w:t>13.</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218A11B" w14:textId="77777777" w:rsidR="006C700D" w:rsidRPr="00276391" w:rsidRDefault="006C700D" w:rsidP="00C94233">
            <w:pPr>
              <w:pStyle w:val="DHHStabletext"/>
              <w:rPr>
                <w:lang w:eastAsia="en-AU"/>
              </w:rPr>
            </w:pPr>
            <w:r w:rsidRPr="00B24C02">
              <w:rPr>
                <w:lang w:eastAsia="en-AU"/>
              </w:rPr>
              <w:t>Written down value</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5E9444D" w14:textId="77777777" w:rsidR="006C700D" w:rsidRPr="00276391" w:rsidRDefault="006C700D" w:rsidP="00C94233">
            <w:pPr>
              <w:pStyle w:val="DHHStabletext"/>
              <w:rPr>
                <w:lang w:eastAsia="en-AU"/>
              </w:rPr>
            </w:pPr>
            <w:r w:rsidRPr="00B24C02">
              <w:rPr>
                <w:lang w:eastAsia="en-AU"/>
              </w:rPr>
              <w:t>Enter - asset value less accumulated depreciation.</w:t>
            </w:r>
          </w:p>
        </w:tc>
      </w:tr>
      <w:tr w:rsidR="006C700D" w:rsidRPr="00276391" w14:paraId="73ED3772"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A5C097D" w14:textId="77777777" w:rsidR="006C700D" w:rsidRPr="00276391" w:rsidRDefault="006C700D" w:rsidP="00C94233">
            <w:pPr>
              <w:pStyle w:val="DHHStabletext"/>
              <w:rPr>
                <w:lang w:eastAsia="en-AU"/>
              </w:rPr>
            </w:pPr>
            <w:r w:rsidRPr="00B24C02">
              <w:rPr>
                <w:lang w:eastAsia="en-AU"/>
              </w:rPr>
              <w:t>14.</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7E4F6B9" w14:textId="77777777" w:rsidR="006C700D" w:rsidRPr="00276391" w:rsidRDefault="006C700D" w:rsidP="00C94233">
            <w:pPr>
              <w:pStyle w:val="DHHStabletext"/>
              <w:rPr>
                <w:lang w:eastAsia="en-AU"/>
              </w:rPr>
            </w:pPr>
            <w:r w:rsidRPr="00B24C02">
              <w:rPr>
                <w:lang w:eastAsia="en-AU"/>
              </w:rPr>
              <w:t>Depreciation date</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5D9E9DA" w14:textId="77777777" w:rsidR="006C700D" w:rsidRPr="00276391" w:rsidRDefault="006C700D" w:rsidP="00C94233">
            <w:pPr>
              <w:pStyle w:val="DHHStabletext"/>
              <w:rPr>
                <w:lang w:eastAsia="en-AU"/>
              </w:rPr>
            </w:pPr>
            <w:r w:rsidRPr="00B24C02">
              <w:rPr>
                <w:lang w:eastAsia="en-AU"/>
              </w:rPr>
              <w:t>Accumulated depreciation and written down value should be calculated annually to 30 June.</w:t>
            </w:r>
          </w:p>
        </w:tc>
      </w:tr>
      <w:tr w:rsidR="006C700D" w:rsidRPr="00276391" w14:paraId="5F3D1FDB"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E74F5CA" w14:textId="77777777" w:rsidR="006C700D" w:rsidRPr="00276391" w:rsidRDefault="006C700D" w:rsidP="00C94233">
            <w:pPr>
              <w:pStyle w:val="DHHStabletext"/>
              <w:rPr>
                <w:lang w:eastAsia="en-AU"/>
              </w:rPr>
            </w:pPr>
            <w:r w:rsidRPr="00B24C02">
              <w:rPr>
                <w:lang w:eastAsia="en-AU"/>
              </w:rPr>
              <w:t>15.</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8063D72" w14:textId="77777777" w:rsidR="006C700D" w:rsidRPr="00276391" w:rsidRDefault="006C700D" w:rsidP="00C94233">
            <w:pPr>
              <w:pStyle w:val="DHHStabletext"/>
              <w:rPr>
                <w:lang w:eastAsia="en-AU"/>
              </w:rPr>
            </w:pPr>
            <w:r w:rsidRPr="00B24C02">
              <w:rPr>
                <w:lang w:eastAsia="en-AU"/>
              </w:rPr>
              <w:t>Disposal date</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2700A04" w14:textId="77777777" w:rsidR="006C700D" w:rsidRPr="00276391" w:rsidRDefault="006C700D" w:rsidP="00C94233">
            <w:pPr>
              <w:pStyle w:val="DHHStabletext"/>
              <w:rPr>
                <w:lang w:eastAsia="en-AU"/>
              </w:rPr>
            </w:pPr>
            <w:r w:rsidRPr="00B24C02">
              <w:rPr>
                <w:lang w:eastAsia="en-AU"/>
              </w:rPr>
              <w:t>Date that asset was removed from service.</w:t>
            </w:r>
          </w:p>
        </w:tc>
      </w:tr>
      <w:tr w:rsidR="006C700D" w:rsidRPr="00276391" w14:paraId="723A7CF4"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6FBFDAF" w14:textId="77777777" w:rsidR="006C700D" w:rsidRPr="00276391" w:rsidRDefault="006C700D" w:rsidP="00C94233">
            <w:pPr>
              <w:pStyle w:val="DHHStabletext"/>
              <w:rPr>
                <w:lang w:eastAsia="en-AU"/>
              </w:rPr>
            </w:pPr>
            <w:r w:rsidRPr="00B24C02">
              <w:rPr>
                <w:lang w:eastAsia="en-AU"/>
              </w:rPr>
              <w:t>16.</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C3FF658" w14:textId="77777777" w:rsidR="006C700D" w:rsidRPr="00276391" w:rsidRDefault="006C700D" w:rsidP="00C94233">
            <w:pPr>
              <w:pStyle w:val="DHHStabletext"/>
              <w:rPr>
                <w:lang w:eastAsia="en-AU"/>
              </w:rPr>
            </w:pPr>
            <w:r w:rsidRPr="00B24C02">
              <w:rPr>
                <w:lang w:eastAsia="en-AU"/>
              </w:rPr>
              <w:t>Disposal method</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CDA6AA8" w14:textId="77777777" w:rsidR="006C700D" w:rsidRPr="00276391" w:rsidRDefault="006C700D" w:rsidP="00C94233">
            <w:pPr>
              <w:pStyle w:val="DHHStabletext"/>
              <w:rPr>
                <w:lang w:eastAsia="en-AU"/>
              </w:rPr>
            </w:pPr>
            <w:r w:rsidRPr="00B24C02">
              <w:rPr>
                <w:lang w:eastAsia="en-AU"/>
              </w:rPr>
              <w:t>Enter details of disposal, for example, trade in, sale, theft etc.</w:t>
            </w:r>
          </w:p>
        </w:tc>
      </w:tr>
      <w:tr w:rsidR="006C700D" w:rsidRPr="00276391" w14:paraId="32F06BFA" w14:textId="77777777" w:rsidTr="006C700D">
        <w:tc>
          <w:tcPr>
            <w:tcW w:w="519"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8D8993F" w14:textId="77777777" w:rsidR="006C700D" w:rsidRPr="00276391" w:rsidRDefault="006C700D" w:rsidP="00C94233">
            <w:pPr>
              <w:pStyle w:val="DHHStabletext"/>
              <w:rPr>
                <w:lang w:eastAsia="en-AU"/>
              </w:rPr>
            </w:pPr>
            <w:r w:rsidRPr="00B24C02">
              <w:rPr>
                <w:lang w:eastAsia="en-AU"/>
              </w:rPr>
              <w:t>17.</w:t>
            </w:r>
          </w:p>
        </w:tc>
        <w:tc>
          <w:tcPr>
            <w:tcW w:w="2080" w:type="dxa"/>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87BE26D" w14:textId="77777777" w:rsidR="006C700D" w:rsidRPr="00276391" w:rsidRDefault="006C700D" w:rsidP="00C94233">
            <w:pPr>
              <w:pStyle w:val="DHHStabletext"/>
              <w:rPr>
                <w:lang w:eastAsia="en-AU"/>
              </w:rPr>
            </w:pPr>
            <w:r w:rsidRPr="00B24C02">
              <w:rPr>
                <w:lang w:eastAsia="en-AU"/>
              </w:rPr>
              <w:t>Disposal receipts</w:t>
            </w:r>
          </w:p>
        </w:tc>
        <w:tc>
          <w:tcPr>
            <w:tcW w:w="0" w:type="auto"/>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3AA2F97" w14:textId="77777777" w:rsidR="006C700D" w:rsidRPr="00276391" w:rsidRDefault="006C700D" w:rsidP="00C94233">
            <w:pPr>
              <w:pStyle w:val="DHHStabletext"/>
              <w:rPr>
                <w:lang w:eastAsia="en-AU"/>
              </w:rPr>
            </w:pPr>
            <w:r w:rsidRPr="00B24C02">
              <w:rPr>
                <w:lang w:eastAsia="en-AU"/>
              </w:rPr>
              <w:t>Enter the $ proceeds received on disposal of asset.</w:t>
            </w:r>
          </w:p>
        </w:tc>
      </w:tr>
    </w:tbl>
    <w:p w14:paraId="4C6B3188" w14:textId="77777777" w:rsidR="006C700D" w:rsidRDefault="006C700D" w:rsidP="006C700D">
      <w:pPr>
        <w:pStyle w:val="DHHStablecaption"/>
        <w:rPr>
          <w:lang w:eastAsia="en-AU"/>
        </w:rPr>
      </w:pPr>
      <w:bookmarkStart w:id="998" w:name="_Toc478991802"/>
    </w:p>
    <w:p w14:paraId="475814D5" w14:textId="77777777" w:rsidR="006C700D" w:rsidRDefault="006C700D">
      <w:pPr>
        <w:rPr>
          <w:rFonts w:ascii="Arial" w:hAnsi="Arial"/>
          <w:b/>
          <w:lang w:eastAsia="en-AU"/>
        </w:rPr>
      </w:pPr>
      <w:r>
        <w:rPr>
          <w:lang w:eastAsia="en-AU"/>
        </w:rPr>
        <w:br w:type="page"/>
      </w:r>
    </w:p>
    <w:p w14:paraId="192414D6" w14:textId="77777777" w:rsidR="006C700D" w:rsidRPr="009D4D32" w:rsidRDefault="006C700D" w:rsidP="006C700D">
      <w:pPr>
        <w:pStyle w:val="Heading2"/>
        <w:rPr>
          <w:lang w:eastAsia="en-AU"/>
        </w:rPr>
      </w:pPr>
      <w:bookmarkStart w:id="999" w:name="_Sample_of_an"/>
      <w:bookmarkStart w:id="1000" w:name="_Toc4142196"/>
      <w:bookmarkEnd w:id="999"/>
      <w:r w:rsidRPr="003F52B3">
        <w:rPr>
          <w:lang w:eastAsia="en-AU"/>
        </w:rPr>
        <w:lastRenderedPageBreak/>
        <w:t>Sample of an asset register</w:t>
      </w:r>
      <w:bookmarkEnd w:id="998"/>
      <w:bookmarkEnd w:id="1000"/>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
        <w:gridCol w:w="226"/>
        <w:gridCol w:w="770"/>
        <w:gridCol w:w="696"/>
        <w:gridCol w:w="1175"/>
        <w:gridCol w:w="969"/>
        <w:gridCol w:w="1175"/>
        <w:gridCol w:w="1242"/>
        <w:gridCol w:w="1006"/>
        <w:gridCol w:w="1166"/>
      </w:tblGrid>
      <w:tr w:rsidR="006C700D" w:rsidRPr="00B758D7" w14:paraId="3371B920" w14:textId="77777777" w:rsidTr="006C700D">
        <w:tc>
          <w:tcPr>
            <w:tcW w:w="1373"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hideMark/>
          </w:tcPr>
          <w:p w14:paraId="184006F9" w14:textId="77777777" w:rsidR="006C700D" w:rsidRPr="00B758D7" w:rsidRDefault="006C700D" w:rsidP="00C94233">
            <w:pPr>
              <w:pStyle w:val="DHHStabletext6pt"/>
              <w:rPr>
                <w:sz w:val="16"/>
                <w:szCs w:val="16"/>
              </w:rPr>
            </w:pPr>
            <w:r w:rsidRPr="00B758D7">
              <w:rPr>
                <w:sz w:val="16"/>
                <w:szCs w:val="16"/>
              </w:rPr>
              <w:t>Organisation:</w:t>
            </w:r>
          </w:p>
        </w:tc>
        <w:tc>
          <w:tcPr>
            <w:tcW w:w="3627" w:type="pct"/>
            <w:gridSpan w:val="6"/>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hideMark/>
          </w:tcPr>
          <w:p w14:paraId="6B583EE5" w14:textId="77777777" w:rsidR="006C700D" w:rsidRPr="00B758D7" w:rsidRDefault="006C700D" w:rsidP="00C94233">
            <w:pPr>
              <w:pStyle w:val="DHHStabletext6pt"/>
              <w:rPr>
                <w:sz w:val="16"/>
                <w:szCs w:val="16"/>
              </w:rPr>
            </w:pPr>
            <w:r w:rsidRPr="00B758D7">
              <w:rPr>
                <w:sz w:val="16"/>
                <w:szCs w:val="16"/>
              </w:rPr>
              <w:t>(Name) ________________________________________</w:t>
            </w:r>
          </w:p>
        </w:tc>
      </w:tr>
      <w:tr w:rsidR="006C700D" w:rsidRPr="00B758D7" w14:paraId="12873A5D" w14:textId="77777777" w:rsidTr="006C700D">
        <w:tc>
          <w:tcPr>
            <w:tcW w:w="1373"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hideMark/>
          </w:tcPr>
          <w:p w14:paraId="2CD7C3B0" w14:textId="77777777" w:rsidR="006C700D" w:rsidRPr="00B758D7" w:rsidRDefault="006C700D" w:rsidP="00C94233">
            <w:pPr>
              <w:pStyle w:val="DHHStabletext6pt"/>
              <w:rPr>
                <w:sz w:val="16"/>
                <w:szCs w:val="16"/>
                <w:lang w:eastAsia="en-AU"/>
              </w:rPr>
            </w:pPr>
            <w:r w:rsidRPr="00B758D7">
              <w:rPr>
                <w:sz w:val="16"/>
                <w:szCs w:val="16"/>
                <w:lang w:eastAsia="en-AU"/>
              </w:rPr>
              <w:t>Asset location:</w:t>
            </w:r>
          </w:p>
        </w:tc>
        <w:tc>
          <w:tcPr>
            <w:tcW w:w="3627" w:type="pct"/>
            <w:gridSpan w:val="6"/>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hideMark/>
          </w:tcPr>
          <w:p w14:paraId="6C7B0037" w14:textId="77777777" w:rsidR="006C700D" w:rsidRPr="00B758D7" w:rsidRDefault="006C700D" w:rsidP="00C94233">
            <w:pPr>
              <w:pStyle w:val="DHHStabletext6pt"/>
              <w:rPr>
                <w:sz w:val="16"/>
                <w:szCs w:val="16"/>
                <w:lang w:eastAsia="en-AU"/>
              </w:rPr>
            </w:pPr>
            <w:r w:rsidRPr="00B758D7">
              <w:rPr>
                <w:sz w:val="16"/>
                <w:szCs w:val="16"/>
                <w:lang w:eastAsia="en-AU"/>
              </w:rPr>
              <w:t>(Address) ______________________________________</w:t>
            </w:r>
          </w:p>
          <w:p w14:paraId="45C4308C" w14:textId="77777777" w:rsidR="006C700D" w:rsidRPr="00B758D7" w:rsidRDefault="006C700D" w:rsidP="00C94233">
            <w:pPr>
              <w:pStyle w:val="DHHStabletext6pt"/>
              <w:rPr>
                <w:sz w:val="16"/>
                <w:szCs w:val="16"/>
                <w:lang w:eastAsia="en-AU"/>
              </w:rPr>
            </w:pPr>
          </w:p>
        </w:tc>
      </w:tr>
      <w:tr w:rsidR="006C700D" w:rsidRPr="00B758D7" w14:paraId="5EA99869" w14:textId="77777777" w:rsidTr="006C700D">
        <w:tc>
          <w:tcPr>
            <w:tcW w:w="583"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68D6AA8B" w14:textId="48281868" w:rsidR="006C700D" w:rsidRPr="00B758D7" w:rsidRDefault="00C55638" w:rsidP="00C94233">
            <w:pPr>
              <w:pStyle w:val="DHHStabletext6pt"/>
              <w:rPr>
                <w:sz w:val="16"/>
                <w:szCs w:val="16"/>
                <w:lang w:eastAsia="en-AU"/>
              </w:rPr>
            </w:pPr>
            <w:r w:rsidRPr="00B758D7">
              <w:rPr>
                <w:sz w:val="16"/>
                <w:szCs w:val="16"/>
                <w:lang w:eastAsia="en-AU"/>
              </w:rPr>
              <w:t>Asset id number</w:t>
            </w:r>
            <w:r w:rsidRPr="00B758D7">
              <w:rPr>
                <w:sz w:val="16"/>
                <w:szCs w:val="16"/>
                <w:lang w:eastAsia="en-AU"/>
              </w:rPr>
              <w:br/>
              <w:t>(unique no)</w:t>
            </w:r>
          </w:p>
        </w:tc>
        <w:tc>
          <w:tcPr>
            <w:tcW w:w="1423" w:type="pct"/>
            <w:gridSpan w:val="3"/>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0E598F82" w14:textId="56A44ABE" w:rsidR="006C700D" w:rsidRPr="00B758D7" w:rsidRDefault="00C55638" w:rsidP="00C94233">
            <w:pPr>
              <w:pStyle w:val="DHHStabletext6pt"/>
              <w:rPr>
                <w:sz w:val="16"/>
                <w:szCs w:val="16"/>
                <w:lang w:eastAsia="en-AU"/>
              </w:rPr>
            </w:pPr>
            <w:r w:rsidRPr="00B758D7">
              <w:rPr>
                <w:sz w:val="16"/>
                <w:szCs w:val="16"/>
                <w:lang w:eastAsia="en-AU"/>
              </w:rPr>
              <w:t>Asset description</w:t>
            </w:r>
            <w:r w:rsidRPr="00B758D7">
              <w:rPr>
                <w:sz w:val="16"/>
                <w:szCs w:val="16"/>
                <w:lang w:eastAsia="en-AU"/>
              </w:rPr>
              <w:br/>
              <w:t>(item) (make) (model)</w:t>
            </w:r>
          </w:p>
        </w:tc>
        <w:tc>
          <w:tcPr>
            <w:tcW w:w="522"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1CE32F1E" w14:textId="247E02A1" w:rsidR="006C700D" w:rsidRPr="00B758D7" w:rsidRDefault="00C55638" w:rsidP="00C94233">
            <w:pPr>
              <w:pStyle w:val="DHHStabletext6pt"/>
              <w:rPr>
                <w:sz w:val="16"/>
                <w:szCs w:val="16"/>
                <w:lang w:eastAsia="en-AU"/>
              </w:rPr>
            </w:pPr>
            <w:r w:rsidRPr="00B758D7">
              <w:rPr>
                <w:sz w:val="16"/>
                <w:szCs w:val="16"/>
                <w:lang w:eastAsia="en-AU"/>
              </w:rPr>
              <w:t>Asset serial number</w:t>
            </w:r>
            <w:r w:rsidRPr="00B758D7">
              <w:rPr>
                <w:sz w:val="16"/>
                <w:szCs w:val="16"/>
                <w:lang w:eastAsia="en-AU"/>
              </w:rPr>
              <w:br/>
              <w:t>(as given)</w:t>
            </w:r>
          </w:p>
        </w:tc>
        <w:tc>
          <w:tcPr>
            <w:tcW w:w="1302"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529350EA" w14:textId="1EB7E717" w:rsidR="006C700D" w:rsidRPr="00B758D7" w:rsidRDefault="00C55638" w:rsidP="00C94233">
            <w:pPr>
              <w:pStyle w:val="DHHStabletext6pt"/>
              <w:rPr>
                <w:sz w:val="16"/>
                <w:szCs w:val="16"/>
                <w:lang w:eastAsia="en-AU"/>
              </w:rPr>
            </w:pPr>
            <w:r w:rsidRPr="00B758D7">
              <w:rPr>
                <w:sz w:val="16"/>
                <w:szCs w:val="16"/>
                <w:lang w:eastAsia="en-AU"/>
              </w:rPr>
              <w:t>Supplier</w:t>
            </w:r>
            <w:r w:rsidRPr="00B758D7">
              <w:rPr>
                <w:sz w:val="16"/>
                <w:szCs w:val="16"/>
                <w:lang w:eastAsia="en-AU"/>
              </w:rPr>
              <w:br/>
              <w:t>(name) (address)</w:t>
            </w:r>
          </w:p>
        </w:tc>
        <w:tc>
          <w:tcPr>
            <w:tcW w:w="1170"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7893F1A1" w14:textId="14603711" w:rsidR="006C700D" w:rsidRPr="00B758D7" w:rsidRDefault="00C55638" w:rsidP="00C94233">
            <w:pPr>
              <w:pStyle w:val="DHHStabletext6pt"/>
              <w:rPr>
                <w:sz w:val="16"/>
                <w:szCs w:val="16"/>
                <w:lang w:eastAsia="en-AU"/>
              </w:rPr>
            </w:pPr>
            <w:r w:rsidRPr="00B758D7">
              <w:rPr>
                <w:sz w:val="16"/>
                <w:szCs w:val="16"/>
                <w:lang w:eastAsia="en-AU"/>
              </w:rPr>
              <w:t>Asset custodian</w:t>
            </w:r>
            <w:r w:rsidRPr="00B758D7">
              <w:rPr>
                <w:sz w:val="16"/>
                <w:szCs w:val="16"/>
                <w:lang w:eastAsia="en-AU"/>
              </w:rPr>
              <w:br/>
              <w:t>(officer title)</w:t>
            </w:r>
          </w:p>
        </w:tc>
      </w:tr>
      <w:tr w:rsidR="006C700D" w:rsidRPr="00B758D7" w14:paraId="243E00C5" w14:textId="77777777" w:rsidTr="006C700D">
        <w:trPr>
          <w:trHeight w:val="1050"/>
        </w:trPr>
        <w:tc>
          <w:tcPr>
            <w:tcW w:w="5000" w:type="pct"/>
            <w:gridSpan w:val="10"/>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B48D5C7"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r>
      <w:tr w:rsidR="006C700D" w:rsidRPr="00B758D7" w14:paraId="71BA55EC" w14:textId="77777777" w:rsidTr="006C700D">
        <w:tc>
          <w:tcPr>
            <w:tcW w:w="461"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79B0585C" w14:textId="5A22BDB3" w:rsidR="006C700D" w:rsidRPr="00B758D7" w:rsidRDefault="00C55638" w:rsidP="00C94233">
            <w:pPr>
              <w:pStyle w:val="DHHStabletext6pt"/>
              <w:rPr>
                <w:sz w:val="16"/>
                <w:szCs w:val="16"/>
                <w:lang w:eastAsia="en-AU"/>
              </w:rPr>
            </w:pPr>
            <w:r w:rsidRPr="00B758D7">
              <w:rPr>
                <w:sz w:val="16"/>
                <w:szCs w:val="16"/>
                <w:lang w:eastAsia="en-AU"/>
              </w:rPr>
              <w:t>Asset id number</w:t>
            </w:r>
            <w:r w:rsidRPr="00B758D7">
              <w:rPr>
                <w:sz w:val="16"/>
                <w:szCs w:val="16"/>
                <w:lang w:eastAsia="en-AU"/>
              </w:rPr>
              <w:br/>
              <w:t>(unique no)</w:t>
            </w:r>
          </w:p>
        </w:tc>
        <w:tc>
          <w:tcPr>
            <w:tcW w:w="537"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7D3AB69B" w14:textId="4C253DD8" w:rsidR="006C700D" w:rsidRPr="00B758D7" w:rsidRDefault="00C55638" w:rsidP="00C94233">
            <w:pPr>
              <w:pStyle w:val="DHHStabletext6pt"/>
              <w:rPr>
                <w:sz w:val="16"/>
                <w:szCs w:val="16"/>
                <w:lang w:eastAsia="en-AU"/>
              </w:rPr>
            </w:pPr>
            <w:r w:rsidRPr="00B758D7">
              <w:rPr>
                <w:sz w:val="16"/>
                <w:szCs w:val="16"/>
                <w:lang w:eastAsia="en-AU"/>
              </w:rPr>
              <w:t>Purchase date</w:t>
            </w:r>
          </w:p>
        </w:tc>
        <w:tc>
          <w:tcPr>
            <w:tcW w:w="375"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507C5BCF" w14:textId="7A1C27E1" w:rsidR="006C700D" w:rsidRPr="00B758D7" w:rsidRDefault="00C55638" w:rsidP="00C94233">
            <w:pPr>
              <w:pStyle w:val="DHHStabletext6pt"/>
              <w:rPr>
                <w:sz w:val="16"/>
                <w:szCs w:val="16"/>
                <w:lang w:eastAsia="en-AU"/>
              </w:rPr>
            </w:pPr>
            <w:r w:rsidRPr="00B758D7">
              <w:rPr>
                <w:sz w:val="16"/>
                <w:szCs w:val="16"/>
                <w:lang w:eastAsia="en-AU"/>
              </w:rPr>
              <w:t>Asset value $'s</w:t>
            </w:r>
          </w:p>
        </w:tc>
        <w:tc>
          <w:tcPr>
            <w:tcW w:w="633"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DDAE5A5" w14:textId="2E04F49B" w:rsidR="006C700D" w:rsidRPr="00B758D7" w:rsidRDefault="00C55638" w:rsidP="00C94233">
            <w:pPr>
              <w:pStyle w:val="DHHStabletext6pt"/>
              <w:rPr>
                <w:sz w:val="16"/>
                <w:szCs w:val="16"/>
                <w:lang w:eastAsia="en-AU"/>
              </w:rPr>
            </w:pPr>
            <w:r w:rsidRPr="00B758D7">
              <w:rPr>
                <w:sz w:val="16"/>
                <w:szCs w:val="16"/>
                <w:lang w:eastAsia="en-AU"/>
              </w:rPr>
              <w:t>Department funds used $'s</w:t>
            </w:r>
          </w:p>
        </w:tc>
        <w:tc>
          <w:tcPr>
            <w:tcW w:w="522"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61A8D5CA" w14:textId="28137CA4" w:rsidR="006C700D" w:rsidRPr="00B758D7" w:rsidRDefault="00C55638" w:rsidP="00C94233">
            <w:pPr>
              <w:pStyle w:val="DHHStabletext6pt"/>
              <w:rPr>
                <w:sz w:val="16"/>
                <w:szCs w:val="16"/>
                <w:lang w:eastAsia="en-AU"/>
              </w:rPr>
            </w:pPr>
            <w:r w:rsidRPr="00B758D7">
              <w:rPr>
                <w:sz w:val="16"/>
                <w:szCs w:val="16"/>
                <w:lang w:eastAsia="en-AU"/>
              </w:rPr>
              <w:t>Financial year of funding</w:t>
            </w:r>
          </w:p>
        </w:tc>
        <w:tc>
          <w:tcPr>
            <w:tcW w:w="633"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251E80F9" w14:textId="6379B284" w:rsidR="006C700D" w:rsidRPr="00B758D7" w:rsidRDefault="00C55638" w:rsidP="00C94233">
            <w:pPr>
              <w:pStyle w:val="DHHStabletext6pt"/>
              <w:rPr>
                <w:sz w:val="16"/>
                <w:szCs w:val="16"/>
                <w:lang w:eastAsia="en-AU"/>
              </w:rPr>
            </w:pPr>
            <w:r w:rsidRPr="00B758D7">
              <w:rPr>
                <w:sz w:val="16"/>
                <w:szCs w:val="16"/>
                <w:lang w:eastAsia="en-AU"/>
              </w:rPr>
              <w:t>Department program</w:t>
            </w:r>
          </w:p>
        </w:tc>
        <w:tc>
          <w:tcPr>
            <w:tcW w:w="669"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1E469B17" w14:textId="1185FE08" w:rsidR="006C700D" w:rsidRPr="00B758D7" w:rsidRDefault="00C55638" w:rsidP="00C94233">
            <w:pPr>
              <w:pStyle w:val="DHHStabletext6pt"/>
              <w:rPr>
                <w:sz w:val="16"/>
                <w:szCs w:val="16"/>
                <w:lang w:eastAsia="en-AU"/>
              </w:rPr>
            </w:pPr>
            <w:proofErr w:type="spellStart"/>
            <w:r w:rsidRPr="00B758D7">
              <w:rPr>
                <w:sz w:val="16"/>
                <w:szCs w:val="16"/>
                <w:lang w:eastAsia="en-AU"/>
              </w:rPr>
              <w:t>Accum</w:t>
            </w:r>
            <w:proofErr w:type="spellEnd"/>
            <w:r w:rsidRPr="00B758D7">
              <w:rPr>
                <w:sz w:val="16"/>
                <w:szCs w:val="16"/>
                <w:lang w:eastAsia="en-AU"/>
              </w:rPr>
              <w:t xml:space="preserve"> depreciation $'s</w:t>
            </w:r>
          </w:p>
        </w:tc>
        <w:tc>
          <w:tcPr>
            <w:tcW w:w="542"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15B8718A" w14:textId="2E8DEE37" w:rsidR="006C700D" w:rsidRPr="00B758D7" w:rsidRDefault="00C55638" w:rsidP="00C94233">
            <w:pPr>
              <w:pStyle w:val="DHHStabletext6pt"/>
              <w:rPr>
                <w:sz w:val="16"/>
                <w:szCs w:val="16"/>
                <w:lang w:eastAsia="en-AU"/>
              </w:rPr>
            </w:pPr>
            <w:r w:rsidRPr="00B758D7">
              <w:rPr>
                <w:sz w:val="16"/>
                <w:szCs w:val="16"/>
                <w:lang w:eastAsia="en-AU"/>
              </w:rPr>
              <w:t>Written down value $'s</w:t>
            </w:r>
          </w:p>
        </w:tc>
        <w:tc>
          <w:tcPr>
            <w:tcW w:w="628"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5FE866BD" w14:textId="7BBE9EF3" w:rsidR="006C700D" w:rsidRPr="00B758D7" w:rsidRDefault="00C55638" w:rsidP="00C94233">
            <w:pPr>
              <w:pStyle w:val="DHHStabletext6pt"/>
              <w:rPr>
                <w:sz w:val="16"/>
                <w:szCs w:val="16"/>
                <w:lang w:eastAsia="en-AU"/>
              </w:rPr>
            </w:pPr>
            <w:r w:rsidRPr="00B758D7">
              <w:rPr>
                <w:sz w:val="16"/>
                <w:szCs w:val="16"/>
                <w:lang w:eastAsia="en-AU"/>
              </w:rPr>
              <w:t>Dep-</w:t>
            </w:r>
            <w:r w:rsidRPr="00B758D7">
              <w:rPr>
                <w:sz w:val="16"/>
                <w:szCs w:val="16"/>
                <w:lang w:eastAsia="en-AU"/>
              </w:rPr>
              <w:br/>
            </w:r>
            <w:proofErr w:type="spellStart"/>
            <w:r w:rsidRPr="00B758D7">
              <w:rPr>
                <w:sz w:val="16"/>
                <w:szCs w:val="16"/>
                <w:lang w:eastAsia="en-AU"/>
              </w:rPr>
              <w:t>reciation</w:t>
            </w:r>
            <w:proofErr w:type="spellEnd"/>
            <w:r w:rsidRPr="00B758D7">
              <w:rPr>
                <w:sz w:val="16"/>
                <w:szCs w:val="16"/>
                <w:lang w:eastAsia="en-AU"/>
              </w:rPr>
              <w:t xml:space="preserve"> date</w:t>
            </w:r>
          </w:p>
        </w:tc>
      </w:tr>
      <w:tr w:rsidR="006C700D" w:rsidRPr="00B758D7" w14:paraId="6C685F5B" w14:textId="77777777" w:rsidTr="006C700D">
        <w:trPr>
          <w:trHeight w:val="1050"/>
        </w:trPr>
        <w:tc>
          <w:tcPr>
            <w:tcW w:w="5000" w:type="pct"/>
            <w:gridSpan w:val="10"/>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47F22D7"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r>
      <w:tr w:rsidR="006C700D" w:rsidRPr="00B758D7" w14:paraId="2B8F9DEE" w14:textId="77777777" w:rsidTr="006C700D">
        <w:tc>
          <w:tcPr>
            <w:tcW w:w="461"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7B1F0A4F" w14:textId="77777777" w:rsidR="006C700D" w:rsidRPr="00B758D7" w:rsidRDefault="006C700D" w:rsidP="00C94233">
            <w:pPr>
              <w:pStyle w:val="DHHStabletext6pt"/>
              <w:rPr>
                <w:sz w:val="16"/>
                <w:szCs w:val="16"/>
                <w:lang w:eastAsia="en-AU"/>
              </w:rPr>
            </w:pPr>
            <w:r w:rsidRPr="00B758D7">
              <w:rPr>
                <w:sz w:val="16"/>
                <w:szCs w:val="16"/>
                <w:lang w:eastAsia="en-AU"/>
              </w:rPr>
              <w:t>Asset ID number</w:t>
            </w:r>
            <w:r w:rsidRPr="00B758D7">
              <w:rPr>
                <w:sz w:val="16"/>
                <w:szCs w:val="16"/>
                <w:lang w:eastAsia="en-AU"/>
              </w:rPr>
              <w:br/>
              <w:t>(unique no)</w:t>
            </w:r>
          </w:p>
        </w:tc>
        <w:tc>
          <w:tcPr>
            <w:tcW w:w="912" w:type="pct"/>
            <w:gridSpan w:val="3"/>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70DB7A66" w14:textId="77777777" w:rsidR="006C700D" w:rsidRPr="00B758D7" w:rsidRDefault="006C700D" w:rsidP="00C94233">
            <w:pPr>
              <w:pStyle w:val="DHHStabletext6pt"/>
              <w:rPr>
                <w:sz w:val="16"/>
                <w:szCs w:val="16"/>
                <w:lang w:eastAsia="en-AU"/>
              </w:rPr>
            </w:pPr>
            <w:r w:rsidRPr="00B758D7">
              <w:rPr>
                <w:sz w:val="16"/>
                <w:szCs w:val="16"/>
                <w:lang w:eastAsia="en-AU"/>
              </w:rPr>
              <w:t>Disposal date</w:t>
            </w:r>
          </w:p>
        </w:tc>
        <w:tc>
          <w:tcPr>
            <w:tcW w:w="2457"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2EF38514" w14:textId="77777777" w:rsidR="006C700D" w:rsidRPr="00B758D7" w:rsidRDefault="006C700D" w:rsidP="00C94233">
            <w:pPr>
              <w:pStyle w:val="DHHStabletext6pt"/>
              <w:rPr>
                <w:sz w:val="16"/>
                <w:szCs w:val="16"/>
                <w:lang w:eastAsia="en-AU"/>
              </w:rPr>
            </w:pPr>
            <w:r w:rsidRPr="00B758D7">
              <w:rPr>
                <w:sz w:val="16"/>
                <w:szCs w:val="16"/>
                <w:lang w:eastAsia="en-AU"/>
              </w:rPr>
              <w:t>Disposal method</w:t>
            </w:r>
          </w:p>
        </w:tc>
        <w:tc>
          <w:tcPr>
            <w:tcW w:w="1170"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F452B01" w14:textId="77777777" w:rsidR="006C700D" w:rsidRPr="00B758D7" w:rsidRDefault="006C700D" w:rsidP="00C94233">
            <w:pPr>
              <w:pStyle w:val="DHHStabletext6pt"/>
              <w:rPr>
                <w:sz w:val="16"/>
                <w:szCs w:val="16"/>
                <w:lang w:eastAsia="en-AU"/>
              </w:rPr>
            </w:pPr>
            <w:r w:rsidRPr="00B758D7">
              <w:rPr>
                <w:sz w:val="16"/>
                <w:szCs w:val="16"/>
                <w:lang w:eastAsia="en-AU"/>
              </w:rPr>
              <w:t>Disposal receipts $'s</w:t>
            </w:r>
          </w:p>
        </w:tc>
      </w:tr>
      <w:tr w:rsidR="006C700D" w:rsidRPr="00B758D7" w14:paraId="17D711B3" w14:textId="77777777" w:rsidTr="006C700D">
        <w:tc>
          <w:tcPr>
            <w:tcW w:w="461"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FAA81C3"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537"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B40E890"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375"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426A42B"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2457"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974E6E0" w14:textId="77777777" w:rsidR="006C700D" w:rsidRPr="00B758D7" w:rsidRDefault="006C700D" w:rsidP="00C94233">
            <w:pPr>
              <w:pStyle w:val="DHHStabletext6pt"/>
              <w:rPr>
                <w:sz w:val="16"/>
                <w:szCs w:val="16"/>
                <w:lang w:eastAsia="en-AU"/>
              </w:rPr>
            </w:pPr>
            <w:r w:rsidRPr="00B758D7">
              <w:rPr>
                <w:sz w:val="16"/>
                <w:szCs w:val="16"/>
                <w:lang w:eastAsia="en-AU"/>
              </w:rPr>
              <w:t>(sale by public tender)</w:t>
            </w:r>
          </w:p>
        </w:tc>
        <w:tc>
          <w:tcPr>
            <w:tcW w:w="1170"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4CA16BC"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r>
      <w:tr w:rsidR="006C700D" w:rsidRPr="00B758D7" w14:paraId="4309BB9F" w14:textId="77777777" w:rsidTr="006C700D">
        <w:tc>
          <w:tcPr>
            <w:tcW w:w="461"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0CECCFB"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537"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89A8191"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375"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A695CFC"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2457"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7210A10" w14:textId="77777777" w:rsidR="006C700D" w:rsidRPr="00B758D7" w:rsidRDefault="006C700D" w:rsidP="00C94233">
            <w:pPr>
              <w:pStyle w:val="DHHStabletext6pt"/>
              <w:rPr>
                <w:sz w:val="16"/>
                <w:szCs w:val="16"/>
                <w:lang w:eastAsia="en-AU"/>
              </w:rPr>
            </w:pPr>
            <w:r w:rsidRPr="00B758D7">
              <w:rPr>
                <w:sz w:val="16"/>
                <w:szCs w:val="16"/>
                <w:lang w:eastAsia="en-AU"/>
              </w:rPr>
              <w:t>(sale by public auction)</w:t>
            </w:r>
          </w:p>
        </w:tc>
        <w:tc>
          <w:tcPr>
            <w:tcW w:w="1170"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98BCB79"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r>
      <w:tr w:rsidR="006C700D" w:rsidRPr="00B758D7" w14:paraId="056C47F2" w14:textId="77777777" w:rsidTr="006C700D">
        <w:tc>
          <w:tcPr>
            <w:tcW w:w="461"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76F945B"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537"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E9B5FD8"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375"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9B8B3D0"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c>
          <w:tcPr>
            <w:tcW w:w="2457" w:type="pct"/>
            <w:gridSpan w:val="4"/>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DD7244D" w14:textId="77777777" w:rsidR="006C700D" w:rsidRPr="00B758D7" w:rsidRDefault="006C700D" w:rsidP="00C94233">
            <w:pPr>
              <w:pStyle w:val="DHHStabletext6pt"/>
              <w:rPr>
                <w:sz w:val="16"/>
                <w:szCs w:val="16"/>
                <w:lang w:eastAsia="en-AU"/>
              </w:rPr>
            </w:pPr>
            <w:r w:rsidRPr="00B758D7">
              <w:rPr>
                <w:sz w:val="16"/>
                <w:szCs w:val="16"/>
                <w:lang w:eastAsia="en-AU"/>
              </w:rPr>
              <w:t>(theft) etc.</w:t>
            </w:r>
          </w:p>
        </w:tc>
        <w:tc>
          <w:tcPr>
            <w:tcW w:w="1170" w:type="pct"/>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19893D5" w14:textId="77777777" w:rsidR="006C700D" w:rsidRPr="00B758D7" w:rsidRDefault="006C700D" w:rsidP="00C94233">
            <w:pPr>
              <w:pStyle w:val="DHHStabletext6pt"/>
              <w:rPr>
                <w:sz w:val="16"/>
                <w:szCs w:val="16"/>
                <w:lang w:eastAsia="en-AU"/>
              </w:rPr>
            </w:pPr>
            <w:r w:rsidRPr="00B758D7">
              <w:rPr>
                <w:sz w:val="16"/>
                <w:szCs w:val="16"/>
                <w:lang w:eastAsia="en-AU"/>
              </w:rPr>
              <w:t xml:space="preserve"> </w:t>
            </w:r>
          </w:p>
        </w:tc>
      </w:tr>
      <w:tr w:rsidR="006C700D" w:rsidRPr="00276391" w14:paraId="6BF88842" w14:textId="77777777" w:rsidTr="006C700D">
        <w:tc>
          <w:tcPr>
            <w:tcW w:w="5000" w:type="pct"/>
            <w:gridSpan w:val="10"/>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610C23E" w14:textId="77777777" w:rsidR="006C700D" w:rsidRPr="00276391" w:rsidRDefault="006C700D" w:rsidP="00C94233">
            <w:pPr>
              <w:pStyle w:val="DHHStabletext6pt"/>
              <w:rPr>
                <w:lang w:eastAsia="en-AU"/>
              </w:rPr>
            </w:pPr>
            <w:r w:rsidRPr="00B24C02">
              <w:rPr>
                <w:lang w:eastAsia="en-AU"/>
              </w:rPr>
              <w:t xml:space="preserve"> </w:t>
            </w:r>
          </w:p>
        </w:tc>
      </w:tr>
    </w:tbl>
    <w:p w14:paraId="38902D9C" w14:textId="77777777" w:rsidR="006C700D" w:rsidRDefault="006C700D" w:rsidP="006C700D">
      <w:pPr>
        <w:rPr>
          <w:rFonts w:ascii="Arial" w:eastAsia="MS Mincho" w:hAnsi="Arial"/>
          <w:b/>
          <w:bCs/>
          <w:lang w:eastAsia="en-AU"/>
        </w:rPr>
      </w:pPr>
      <w:r>
        <w:rPr>
          <w:lang w:eastAsia="en-AU"/>
        </w:rPr>
        <w:br w:type="page"/>
      </w:r>
    </w:p>
    <w:p w14:paraId="0E32873A" w14:textId="77777777" w:rsidR="006C700D" w:rsidRPr="00276391" w:rsidRDefault="006C700D" w:rsidP="006C700D">
      <w:pPr>
        <w:pStyle w:val="Heading2"/>
        <w:rPr>
          <w:lang w:eastAsia="en-AU"/>
        </w:rPr>
      </w:pPr>
      <w:bookmarkStart w:id="1001" w:name="_Sample_depreciation_of"/>
      <w:bookmarkStart w:id="1002" w:name="_Toc478991803"/>
      <w:bookmarkStart w:id="1003" w:name="_Toc4142197"/>
      <w:bookmarkEnd w:id="1001"/>
      <w:r w:rsidRPr="006C700D">
        <w:lastRenderedPageBreak/>
        <w:t>Sample d</w:t>
      </w:r>
      <w:r w:rsidRPr="003F52B3">
        <w:rPr>
          <w:lang w:eastAsia="en-AU"/>
        </w:rPr>
        <w:t>epreciation of non-current physical assets</w:t>
      </w:r>
      <w:bookmarkEnd w:id="1002"/>
      <w:bookmarkEnd w:id="1003"/>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392"/>
        <w:gridCol w:w="1018"/>
        <w:gridCol w:w="1541"/>
        <w:gridCol w:w="1558"/>
        <w:gridCol w:w="1465"/>
      </w:tblGrid>
      <w:tr w:rsidR="006C700D" w:rsidRPr="00276391" w14:paraId="4B09DCA0"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37A6F79" w14:textId="77777777" w:rsidR="006C700D" w:rsidRPr="00276391" w:rsidRDefault="006C700D" w:rsidP="00C94233">
            <w:pPr>
              <w:pStyle w:val="DHHSbody"/>
              <w:rPr>
                <w:lang w:eastAsia="en-AU"/>
              </w:rPr>
            </w:pPr>
            <w:r w:rsidRPr="00B24C02">
              <w:rPr>
                <w:rFonts w:cs="Arial"/>
                <w:b/>
                <w:bCs/>
                <w:color w:val="000000"/>
                <w:szCs w:val="19"/>
                <w:lang w:eastAsia="en-AU"/>
              </w:rPr>
              <w:t>Asset item</w:t>
            </w:r>
            <w:r w:rsidRPr="00B24C02">
              <w:rPr>
                <w:rFonts w:cs="Arial"/>
                <w:color w:val="000000"/>
                <w:szCs w:val="19"/>
                <w:lang w:eastAsia="en-AU"/>
              </w:rPr>
              <w:br/>
              <w:t>Photocopier</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B133FA9" w14:textId="77777777" w:rsidR="006C700D" w:rsidRPr="00276391" w:rsidRDefault="006C700D" w:rsidP="00C94233">
            <w:pPr>
              <w:pStyle w:val="DHHSbody"/>
              <w:rPr>
                <w:lang w:eastAsia="en-AU"/>
              </w:rPr>
            </w:pPr>
            <w:r w:rsidRPr="00B24C02">
              <w:rPr>
                <w:rFonts w:cs="Arial"/>
                <w:b/>
                <w:bCs/>
                <w:color w:val="000000"/>
                <w:szCs w:val="19"/>
                <w:lang w:eastAsia="en-AU"/>
              </w:rPr>
              <w:t>Purchase date</w:t>
            </w:r>
            <w:r w:rsidRPr="00B24C02">
              <w:rPr>
                <w:rFonts w:cs="Arial"/>
                <w:color w:val="000000"/>
                <w:szCs w:val="19"/>
                <w:lang w:eastAsia="en-AU"/>
              </w:rPr>
              <w:br/>
              <w:t>21 September 2012</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3C7E13E8" w14:textId="77777777" w:rsidR="006C700D" w:rsidRPr="00276391" w:rsidRDefault="006C700D" w:rsidP="00C94233">
            <w:pPr>
              <w:pStyle w:val="DHHSbody"/>
              <w:rPr>
                <w:lang w:eastAsia="en-AU"/>
              </w:rPr>
            </w:pPr>
            <w:r w:rsidRPr="00B24C02">
              <w:rPr>
                <w:rFonts w:cs="Arial"/>
                <w:b/>
                <w:bCs/>
                <w:color w:val="000000"/>
                <w:szCs w:val="19"/>
                <w:lang w:eastAsia="en-AU"/>
              </w:rPr>
              <w:t>Purchase cost</w:t>
            </w:r>
            <w:r w:rsidRPr="00B24C02">
              <w:rPr>
                <w:rFonts w:cs="Arial"/>
                <w:color w:val="000000"/>
                <w:szCs w:val="19"/>
                <w:lang w:eastAsia="en-AU"/>
              </w:rPr>
              <w:br/>
              <w:t>$5,000</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BCE7922" w14:textId="5671F880" w:rsidR="006C700D" w:rsidRPr="00276391" w:rsidRDefault="006C700D" w:rsidP="00C94233">
            <w:pPr>
              <w:pStyle w:val="DHHSbody"/>
              <w:rPr>
                <w:lang w:eastAsia="en-AU"/>
              </w:rPr>
            </w:pPr>
            <w:r w:rsidRPr="00B24C02">
              <w:rPr>
                <w:rFonts w:cs="Arial"/>
                <w:b/>
                <w:bCs/>
                <w:color w:val="000000"/>
                <w:szCs w:val="19"/>
                <w:lang w:eastAsia="en-AU"/>
              </w:rPr>
              <w:t>Depreciation rate</w:t>
            </w:r>
            <w:r w:rsidR="00996EB4">
              <w:rPr>
                <w:rFonts w:cs="Arial"/>
                <w:color w:val="000000"/>
                <w:szCs w:val="19"/>
                <w:lang w:eastAsia="en-AU"/>
              </w:rPr>
              <w:br/>
              <w:t xml:space="preserve">20 per cent </w:t>
            </w:r>
            <w:r w:rsidRPr="00B24C02">
              <w:rPr>
                <w:rFonts w:cs="Arial"/>
                <w:color w:val="000000"/>
                <w:szCs w:val="19"/>
                <w:lang w:eastAsia="en-AU"/>
              </w:rPr>
              <w:t>per annum</w:t>
            </w:r>
          </w:p>
        </w:tc>
      </w:tr>
      <w:tr w:rsidR="006C700D" w:rsidRPr="00276391" w14:paraId="29F60545" w14:textId="77777777" w:rsidTr="006C700D">
        <w:trPr>
          <w:trHeight w:val="315"/>
        </w:trPr>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5461C6B5" w14:textId="77777777" w:rsidR="006C700D" w:rsidRPr="00276391" w:rsidRDefault="006C700D" w:rsidP="00C94233">
            <w:pPr>
              <w:pStyle w:val="DHHSbody"/>
              <w:rPr>
                <w:lang w:eastAsia="en-AU"/>
              </w:rPr>
            </w:pPr>
            <w:r w:rsidRPr="00B24C02">
              <w:rPr>
                <w:rFonts w:cs="Arial"/>
                <w:b/>
                <w:bCs/>
                <w:color w:val="000000"/>
                <w:szCs w:val="19"/>
                <w:lang w:eastAsia="en-AU"/>
              </w:rPr>
              <w:t>Financial year</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610ECC3" w14:textId="77777777" w:rsidR="006C700D" w:rsidRPr="00276391" w:rsidRDefault="006C700D" w:rsidP="00C94233">
            <w:pPr>
              <w:pStyle w:val="DHHSbody"/>
              <w:rPr>
                <w:lang w:eastAsia="en-AU"/>
              </w:rPr>
            </w:pPr>
            <w:r w:rsidRPr="00B24C02">
              <w:rPr>
                <w:rFonts w:cs="Arial"/>
                <w:b/>
                <w:bCs/>
                <w:color w:val="000000"/>
                <w:szCs w:val="19"/>
                <w:lang w:eastAsia="en-AU"/>
              </w:rPr>
              <w:t>Depreciation charge calculation</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1257DAF8" w14:textId="77777777" w:rsidR="006C700D" w:rsidRPr="00276391" w:rsidRDefault="006C700D" w:rsidP="00C94233">
            <w:pPr>
              <w:pStyle w:val="DHHSbody"/>
              <w:rPr>
                <w:lang w:eastAsia="en-AU"/>
              </w:rPr>
            </w:pPr>
            <w:r w:rsidRPr="00B24C02">
              <w:rPr>
                <w:rFonts w:cs="Arial"/>
                <w:b/>
                <w:bCs/>
                <w:color w:val="000000"/>
                <w:szCs w:val="19"/>
                <w:lang w:eastAsia="en-AU"/>
              </w:rPr>
              <w:t>Annual opening value $'s</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F7825AC" w14:textId="77777777" w:rsidR="006C700D" w:rsidRPr="00276391" w:rsidRDefault="006C700D" w:rsidP="00C94233">
            <w:pPr>
              <w:pStyle w:val="DHHSbody"/>
              <w:rPr>
                <w:lang w:eastAsia="en-AU"/>
              </w:rPr>
            </w:pPr>
            <w:r w:rsidRPr="00B24C02">
              <w:rPr>
                <w:rFonts w:cs="Arial"/>
                <w:b/>
                <w:bCs/>
                <w:color w:val="000000"/>
                <w:szCs w:val="19"/>
                <w:lang w:eastAsia="en-AU"/>
              </w:rPr>
              <w:t>Depreciation charge $'s</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4F4A1F8F" w14:textId="77777777" w:rsidR="006C700D" w:rsidRPr="00276391" w:rsidRDefault="006C700D" w:rsidP="00C94233">
            <w:pPr>
              <w:pStyle w:val="DHHSbody"/>
              <w:rPr>
                <w:lang w:eastAsia="en-AU"/>
              </w:rPr>
            </w:pPr>
            <w:r w:rsidRPr="00B24C02">
              <w:rPr>
                <w:rFonts w:cs="Arial"/>
                <w:b/>
                <w:bCs/>
                <w:color w:val="000000"/>
                <w:szCs w:val="19"/>
                <w:lang w:eastAsia="en-AU"/>
              </w:rPr>
              <w:t>Accumulated depreciation $'s</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bottom"/>
            <w:hideMark/>
          </w:tcPr>
          <w:p w14:paraId="69A99640" w14:textId="77777777" w:rsidR="006C700D" w:rsidRPr="00276391" w:rsidRDefault="006C700D" w:rsidP="00C94233">
            <w:pPr>
              <w:pStyle w:val="DHHSbody"/>
              <w:rPr>
                <w:lang w:eastAsia="en-AU"/>
              </w:rPr>
            </w:pPr>
            <w:r w:rsidRPr="00B24C02">
              <w:rPr>
                <w:rFonts w:cs="Arial"/>
                <w:b/>
                <w:bCs/>
                <w:color w:val="000000"/>
                <w:szCs w:val="19"/>
                <w:lang w:eastAsia="en-AU"/>
              </w:rPr>
              <w:t>Written down value $'s</w:t>
            </w:r>
          </w:p>
        </w:tc>
      </w:tr>
      <w:tr w:rsidR="006C700D" w:rsidRPr="00276391" w14:paraId="3484D488"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E34F0BF" w14:textId="77777777" w:rsidR="006C700D" w:rsidRPr="00276391" w:rsidRDefault="006C700D" w:rsidP="00C94233">
            <w:pPr>
              <w:pStyle w:val="DHHSbody"/>
              <w:rPr>
                <w:lang w:eastAsia="en-AU"/>
              </w:rPr>
            </w:pPr>
            <w:r w:rsidRPr="00B24C02">
              <w:rPr>
                <w:rFonts w:cs="Arial"/>
                <w:color w:val="000000"/>
                <w:szCs w:val="19"/>
                <w:lang w:eastAsia="en-AU"/>
              </w:rPr>
              <w:t>2012-13 (9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004B092" w14:textId="7E610170" w:rsidR="006C700D" w:rsidRPr="00276391" w:rsidRDefault="006C700D" w:rsidP="00C55638">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9)</w:t>
            </w:r>
            <w:r w:rsidRPr="00B24C02">
              <w:rPr>
                <w:rFonts w:cs="Arial"/>
                <w:color w:val="000000"/>
                <w:szCs w:val="19"/>
                <w:lang w:eastAsia="en-AU"/>
              </w:rPr>
              <w:t xml:space="preserve"> =</w:t>
            </w:r>
            <w:r w:rsidR="006250C7">
              <w:rPr>
                <w:rFonts w:cs="Arial"/>
                <w:color w:val="000000"/>
                <w:szCs w:val="19"/>
                <w:lang w:eastAsia="en-AU"/>
              </w:rPr>
              <w:t xml:space="preserve"> </w:t>
            </w:r>
            <w:r w:rsidR="00C55638">
              <w:rPr>
                <w:rFonts w:cs="Arial"/>
                <w:color w:val="000000"/>
                <w:szCs w:val="19"/>
                <w:lang w:eastAsia="en-AU"/>
              </w:rPr>
              <w:t xml:space="preserve"> </w:t>
            </w:r>
            <w:r w:rsidR="00C55638">
              <w:rPr>
                <w:rFonts w:cs="Arial"/>
                <w:color w:val="000000"/>
                <w:szCs w:val="19"/>
                <w:lang w:eastAsia="en-AU"/>
              </w:rPr>
              <w:br/>
            </w:r>
            <w:r w:rsidRPr="00B24C02">
              <w:rPr>
                <w:rFonts w:cs="Arial"/>
                <w:color w:val="000000"/>
                <w:szCs w:val="19"/>
                <w:lang w:eastAsia="en-AU"/>
              </w:rPr>
              <w:t>750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EF69B12" w14:textId="77777777" w:rsidR="006C700D" w:rsidRPr="00276391" w:rsidRDefault="006C700D" w:rsidP="00C94233">
            <w:pPr>
              <w:pStyle w:val="DHHSbody"/>
              <w:rPr>
                <w:lang w:eastAsia="en-AU"/>
              </w:rPr>
            </w:pPr>
            <w:r w:rsidRPr="00B24C02">
              <w:rPr>
                <w:rFonts w:cs="Arial"/>
                <w:color w:val="000000"/>
                <w:szCs w:val="19"/>
                <w:lang w:eastAsia="en-AU"/>
              </w:rPr>
              <w:t xml:space="preserve">5000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15A7C6B3" w14:textId="77777777" w:rsidR="006C700D" w:rsidRPr="00276391" w:rsidRDefault="006C700D" w:rsidP="00C94233">
            <w:pPr>
              <w:pStyle w:val="DHHSbody"/>
              <w:rPr>
                <w:lang w:eastAsia="en-AU"/>
              </w:rPr>
            </w:pPr>
            <w:r w:rsidRPr="00B24C02">
              <w:rPr>
                <w:rFonts w:cs="Arial"/>
                <w:color w:val="000000"/>
                <w:szCs w:val="19"/>
                <w:lang w:eastAsia="en-AU"/>
              </w:rPr>
              <w:t xml:space="preserve">750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07E8D9A" w14:textId="77777777" w:rsidR="006C700D" w:rsidRPr="00276391" w:rsidRDefault="006C700D" w:rsidP="00C94233">
            <w:pPr>
              <w:pStyle w:val="DHHSbody"/>
              <w:rPr>
                <w:lang w:eastAsia="en-AU"/>
              </w:rPr>
            </w:pPr>
            <w:r w:rsidRPr="00B24C02">
              <w:rPr>
                <w:rFonts w:cs="Arial"/>
                <w:color w:val="000000"/>
                <w:szCs w:val="19"/>
                <w:lang w:eastAsia="en-AU"/>
              </w:rPr>
              <w:t xml:space="preserve">750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20B3F35" w14:textId="77777777" w:rsidR="006C700D" w:rsidRPr="00276391" w:rsidRDefault="006C700D" w:rsidP="00C94233">
            <w:pPr>
              <w:pStyle w:val="DHHSbody"/>
              <w:rPr>
                <w:lang w:eastAsia="en-AU"/>
              </w:rPr>
            </w:pPr>
            <w:r w:rsidRPr="00B24C02">
              <w:rPr>
                <w:rFonts w:cs="Arial"/>
                <w:color w:val="000000"/>
                <w:szCs w:val="19"/>
                <w:lang w:eastAsia="en-AU"/>
              </w:rPr>
              <w:t xml:space="preserve">4250 </w:t>
            </w:r>
          </w:p>
        </w:tc>
      </w:tr>
      <w:tr w:rsidR="006C700D" w:rsidRPr="00276391" w14:paraId="68F56313"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6DA3E0B" w14:textId="77777777" w:rsidR="006C700D" w:rsidRPr="00276391" w:rsidRDefault="006C700D" w:rsidP="00C94233">
            <w:pPr>
              <w:pStyle w:val="DHHSbody"/>
              <w:rPr>
                <w:lang w:eastAsia="en-AU"/>
              </w:rPr>
            </w:pPr>
            <w:r w:rsidRPr="00B24C02">
              <w:rPr>
                <w:rFonts w:cs="Arial"/>
                <w:color w:val="000000"/>
                <w:szCs w:val="19"/>
                <w:lang w:eastAsia="en-AU"/>
              </w:rPr>
              <w:t>2013-14 (12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D8B27A0" w14:textId="21A6AA2E" w:rsidR="006C700D" w:rsidRPr="00276391" w:rsidRDefault="006C700D" w:rsidP="00C94233">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12)</w:t>
            </w:r>
            <w:r w:rsidRPr="00B24C02">
              <w:rPr>
                <w:rFonts w:cs="Arial"/>
                <w:color w:val="000000"/>
                <w:szCs w:val="19"/>
                <w:lang w:eastAsia="en-AU"/>
              </w:rPr>
              <w:t xml:space="preserve"> = 1000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E7C1A17" w14:textId="77777777" w:rsidR="006C700D" w:rsidRPr="00276391" w:rsidRDefault="006C700D" w:rsidP="00C94233">
            <w:pPr>
              <w:pStyle w:val="DHHSbody"/>
              <w:rPr>
                <w:lang w:eastAsia="en-AU"/>
              </w:rPr>
            </w:pPr>
            <w:r w:rsidRPr="00B24C02">
              <w:rPr>
                <w:rFonts w:cs="Arial"/>
                <w:color w:val="000000"/>
                <w:szCs w:val="19"/>
                <w:lang w:eastAsia="en-AU"/>
              </w:rPr>
              <w:t xml:space="preserve">4250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A01AC96" w14:textId="77777777" w:rsidR="006C700D" w:rsidRPr="00276391" w:rsidRDefault="006C700D" w:rsidP="00C94233">
            <w:pPr>
              <w:pStyle w:val="DHHSbody"/>
              <w:rPr>
                <w:lang w:eastAsia="en-AU"/>
              </w:rPr>
            </w:pPr>
            <w:r w:rsidRPr="00B24C02">
              <w:rPr>
                <w:rFonts w:cs="Arial"/>
                <w:color w:val="000000"/>
                <w:szCs w:val="19"/>
                <w:lang w:eastAsia="en-AU"/>
              </w:rPr>
              <w:t xml:space="preserve">1000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D46D43A" w14:textId="77777777" w:rsidR="006C700D" w:rsidRPr="00276391" w:rsidRDefault="006C700D" w:rsidP="00C94233">
            <w:pPr>
              <w:pStyle w:val="DHHSbody"/>
              <w:rPr>
                <w:lang w:eastAsia="en-AU"/>
              </w:rPr>
            </w:pPr>
            <w:r w:rsidRPr="00B24C02">
              <w:rPr>
                <w:rFonts w:cs="Arial"/>
                <w:color w:val="000000"/>
                <w:szCs w:val="19"/>
                <w:lang w:eastAsia="en-AU"/>
              </w:rPr>
              <w:t xml:space="preserve">1750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514897D3" w14:textId="77777777" w:rsidR="006C700D" w:rsidRPr="00276391" w:rsidRDefault="006C700D" w:rsidP="00C94233">
            <w:pPr>
              <w:pStyle w:val="DHHSbody"/>
              <w:rPr>
                <w:lang w:eastAsia="en-AU"/>
              </w:rPr>
            </w:pPr>
            <w:r w:rsidRPr="00B24C02">
              <w:rPr>
                <w:rFonts w:cs="Arial"/>
                <w:color w:val="000000"/>
                <w:szCs w:val="19"/>
                <w:lang w:eastAsia="en-AU"/>
              </w:rPr>
              <w:t xml:space="preserve">3250 </w:t>
            </w:r>
          </w:p>
        </w:tc>
      </w:tr>
      <w:tr w:rsidR="006C700D" w:rsidRPr="00276391" w14:paraId="02D6D2A4"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8E6BF8C" w14:textId="77777777" w:rsidR="006C700D" w:rsidRPr="00276391" w:rsidRDefault="006C700D" w:rsidP="00C94233">
            <w:pPr>
              <w:pStyle w:val="DHHSbody"/>
              <w:rPr>
                <w:lang w:eastAsia="en-AU"/>
              </w:rPr>
            </w:pPr>
            <w:r w:rsidRPr="00B24C02">
              <w:rPr>
                <w:rFonts w:cs="Arial"/>
                <w:color w:val="000000"/>
                <w:szCs w:val="19"/>
                <w:lang w:eastAsia="en-AU"/>
              </w:rPr>
              <w:t>2014-15 (12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74F2A10" w14:textId="74FDC8E4" w:rsidR="006C700D" w:rsidRPr="00276391" w:rsidRDefault="006C700D" w:rsidP="00C94233">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12)</w:t>
            </w:r>
            <w:r w:rsidRPr="00B24C02">
              <w:rPr>
                <w:rFonts w:cs="Arial"/>
                <w:color w:val="000000"/>
                <w:szCs w:val="19"/>
                <w:lang w:eastAsia="en-AU"/>
              </w:rPr>
              <w:t xml:space="preserve"> = 1000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30D773C" w14:textId="77777777" w:rsidR="006C700D" w:rsidRPr="00276391" w:rsidRDefault="006C700D" w:rsidP="00C94233">
            <w:pPr>
              <w:pStyle w:val="DHHSbody"/>
              <w:rPr>
                <w:lang w:eastAsia="en-AU"/>
              </w:rPr>
            </w:pPr>
            <w:r w:rsidRPr="00B24C02">
              <w:rPr>
                <w:rFonts w:cs="Arial"/>
                <w:color w:val="000000"/>
                <w:szCs w:val="19"/>
                <w:lang w:eastAsia="en-AU"/>
              </w:rPr>
              <w:t xml:space="preserve">3250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6A42750" w14:textId="77777777" w:rsidR="006C700D" w:rsidRPr="00276391" w:rsidRDefault="006C700D" w:rsidP="00C94233">
            <w:pPr>
              <w:pStyle w:val="DHHSbody"/>
              <w:rPr>
                <w:lang w:eastAsia="en-AU"/>
              </w:rPr>
            </w:pPr>
            <w:r w:rsidRPr="00B24C02">
              <w:rPr>
                <w:rFonts w:cs="Arial"/>
                <w:color w:val="000000"/>
                <w:szCs w:val="19"/>
                <w:lang w:eastAsia="en-AU"/>
              </w:rPr>
              <w:t xml:space="preserve">1000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2852545" w14:textId="77777777" w:rsidR="006C700D" w:rsidRPr="00276391" w:rsidRDefault="006C700D" w:rsidP="00C94233">
            <w:pPr>
              <w:pStyle w:val="DHHSbody"/>
              <w:rPr>
                <w:lang w:eastAsia="en-AU"/>
              </w:rPr>
            </w:pPr>
            <w:r w:rsidRPr="00B24C02">
              <w:rPr>
                <w:rFonts w:cs="Arial"/>
                <w:color w:val="000000"/>
                <w:szCs w:val="19"/>
                <w:lang w:eastAsia="en-AU"/>
              </w:rPr>
              <w:t xml:space="preserve">2750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8F38F8D" w14:textId="77777777" w:rsidR="006C700D" w:rsidRPr="00276391" w:rsidRDefault="006C700D" w:rsidP="00C94233">
            <w:pPr>
              <w:pStyle w:val="DHHSbody"/>
              <w:rPr>
                <w:lang w:eastAsia="en-AU"/>
              </w:rPr>
            </w:pPr>
            <w:r w:rsidRPr="00B24C02">
              <w:rPr>
                <w:rFonts w:cs="Arial"/>
                <w:color w:val="000000"/>
                <w:szCs w:val="19"/>
                <w:lang w:eastAsia="en-AU"/>
              </w:rPr>
              <w:t xml:space="preserve">2250 </w:t>
            </w:r>
          </w:p>
        </w:tc>
      </w:tr>
      <w:tr w:rsidR="006C700D" w:rsidRPr="00276391" w14:paraId="50766375"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65B9CD2" w14:textId="77777777" w:rsidR="006C700D" w:rsidRPr="00276391" w:rsidRDefault="006C700D" w:rsidP="00C94233">
            <w:pPr>
              <w:pStyle w:val="DHHSbody"/>
              <w:rPr>
                <w:lang w:eastAsia="en-AU"/>
              </w:rPr>
            </w:pPr>
            <w:r w:rsidRPr="00B24C02">
              <w:rPr>
                <w:rFonts w:cs="Arial"/>
                <w:color w:val="000000"/>
                <w:szCs w:val="19"/>
                <w:lang w:eastAsia="en-AU"/>
              </w:rPr>
              <w:t>2015-16 (12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39BE376" w14:textId="2DD94BD5" w:rsidR="006C700D" w:rsidRPr="00276391" w:rsidRDefault="006C700D" w:rsidP="00C94233">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12)</w:t>
            </w:r>
            <w:r w:rsidRPr="00B24C02">
              <w:rPr>
                <w:rFonts w:cs="Arial"/>
                <w:color w:val="000000"/>
                <w:szCs w:val="19"/>
                <w:lang w:eastAsia="en-AU"/>
              </w:rPr>
              <w:t xml:space="preserve"> = 1000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0E71CEB2" w14:textId="77777777" w:rsidR="006C700D" w:rsidRPr="00276391" w:rsidRDefault="006C700D" w:rsidP="00C94233">
            <w:pPr>
              <w:pStyle w:val="DHHSbody"/>
              <w:rPr>
                <w:lang w:eastAsia="en-AU"/>
              </w:rPr>
            </w:pPr>
            <w:r w:rsidRPr="00B24C02">
              <w:rPr>
                <w:rFonts w:cs="Arial"/>
                <w:color w:val="000000"/>
                <w:szCs w:val="19"/>
                <w:lang w:eastAsia="en-AU"/>
              </w:rPr>
              <w:t xml:space="preserve">2250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F134D05" w14:textId="77777777" w:rsidR="006C700D" w:rsidRPr="00276391" w:rsidRDefault="006C700D" w:rsidP="00C94233">
            <w:pPr>
              <w:pStyle w:val="DHHSbody"/>
              <w:rPr>
                <w:lang w:eastAsia="en-AU"/>
              </w:rPr>
            </w:pPr>
            <w:r w:rsidRPr="00B24C02">
              <w:rPr>
                <w:rFonts w:cs="Arial"/>
                <w:color w:val="000000"/>
                <w:szCs w:val="19"/>
                <w:lang w:eastAsia="en-AU"/>
              </w:rPr>
              <w:t xml:space="preserve">1000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27EA144" w14:textId="77777777" w:rsidR="006C700D" w:rsidRPr="00276391" w:rsidRDefault="006C700D" w:rsidP="00C94233">
            <w:pPr>
              <w:pStyle w:val="DHHSbody"/>
              <w:rPr>
                <w:lang w:eastAsia="en-AU"/>
              </w:rPr>
            </w:pPr>
            <w:r w:rsidRPr="00B24C02">
              <w:rPr>
                <w:rFonts w:cs="Arial"/>
                <w:color w:val="000000"/>
                <w:szCs w:val="19"/>
                <w:lang w:eastAsia="en-AU"/>
              </w:rPr>
              <w:t xml:space="preserve">3750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EFD8F7C" w14:textId="77777777" w:rsidR="006C700D" w:rsidRPr="00276391" w:rsidRDefault="006C700D" w:rsidP="00C94233">
            <w:pPr>
              <w:pStyle w:val="DHHSbody"/>
              <w:rPr>
                <w:lang w:eastAsia="en-AU"/>
              </w:rPr>
            </w:pPr>
            <w:r w:rsidRPr="00B24C02">
              <w:rPr>
                <w:rFonts w:cs="Arial"/>
                <w:color w:val="000000"/>
                <w:szCs w:val="19"/>
                <w:lang w:eastAsia="en-AU"/>
              </w:rPr>
              <w:t xml:space="preserve">1250 </w:t>
            </w:r>
          </w:p>
        </w:tc>
      </w:tr>
      <w:tr w:rsidR="006C700D" w:rsidRPr="00276391" w14:paraId="623A0B60"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8D2706B" w14:textId="77777777" w:rsidR="006C700D" w:rsidRPr="00276391" w:rsidRDefault="006C700D" w:rsidP="00C94233">
            <w:pPr>
              <w:pStyle w:val="DHHSbody"/>
              <w:rPr>
                <w:lang w:eastAsia="en-AU"/>
              </w:rPr>
            </w:pPr>
            <w:r w:rsidRPr="00B24C02">
              <w:rPr>
                <w:rFonts w:cs="Arial"/>
                <w:color w:val="000000"/>
                <w:szCs w:val="19"/>
                <w:lang w:eastAsia="en-AU"/>
              </w:rPr>
              <w:t>2016-17(12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C2FAECE" w14:textId="22AC024D" w:rsidR="006C700D" w:rsidRPr="00276391" w:rsidRDefault="006C700D" w:rsidP="00C94233">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12)</w:t>
            </w:r>
            <w:r w:rsidRPr="00B24C02">
              <w:rPr>
                <w:rFonts w:cs="Arial"/>
                <w:color w:val="000000"/>
                <w:szCs w:val="19"/>
                <w:lang w:eastAsia="en-AU"/>
              </w:rPr>
              <w:t xml:space="preserve"> = 1000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C52114A" w14:textId="77777777" w:rsidR="006C700D" w:rsidRPr="00276391" w:rsidRDefault="006C700D" w:rsidP="00C94233">
            <w:pPr>
              <w:pStyle w:val="DHHSbody"/>
              <w:rPr>
                <w:lang w:eastAsia="en-AU"/>
              </w:rPr>
            </w:pPr>
            <w:r w:rsidRPr="00B24C02">
              <w:rPr>
                <w:rFonts w:cs="Arial"/>
                <w:color w:val="000000"/>
                <w:szCs w:val="19"/>
                <w:lang w:eastAsia="en-AU"/>
              </w:rPr>
              <w:t xml:space="preserve">1250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36E38D8" w14:textId="77777777" w:rsidR="006C700D" w:rsidRPr="00276391" w:rsidRDefault="006C700D" w:rsidP="00C94233">
            <w:pPr>
              <w:pStyle w:val="DHHSbody"/>
              <w:rPr>
                <w:lang w:eastAsia="en-AU"/>
              </w:rPr>
            </w:pPr>
            <w:r w:rsidRPr="00B24C02">
              <w:rPr>
                <w:rFonts w:cs="Arial"/>
                <w:color w:val="000000"/>
                <w:szCs w:val="19"/>
                <w:lang w:eastAsia="en-AU"/>
              </w:rPr>
              <w:t xml:space="preserve">1000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687A523" w14:textId="77777777" w:rsidR="006C700D" w:rsidRPr="00276391" w:rsidRDefault="006C700D" w:rsidP="00C94233">
            <w:pPr>
              <w:pStyle w:val="DHHSbody"/>
              <w:rPr>
                <w:lang w:eastAsia="en-AU"/>
              </w:rPr>
            </w:pPr>
            <w:r w:rsidRPr="00B24C02">
              <w:rPr>
                <w:rFonts w:cs="Arial"/>
                <w:color w:val="000000"/>
                <w:szCs w:val="19"/>
                <w:lang w:eastAsia="en-AU"/>
              </w:rPr>
              <w:t xml:space="preserve">4750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7CD7147D" w14:textId="77777777" w:rsidR="006C700D" w:rsidRPr="00276391" w:rsidRDefault="006C700D" w:rsidP="00C94233">
            <w:pPr>
              <w:pStyle w:val="DHHSbody"/>
              <w:rPr>
                <w:lang w:eastAsia="en-AU"/>
              </w:rPr>
            </w:pPr>
            <w:r w:rsidRPr="00B24C02">
              <w:rPr>
                <w:rFonts w:cs="Arial"/>
                <w:color w:val="000000"/>
                <w:szCs w:val="19"/>
                <w:lang w:eastAsia="en-AU"/>
              </w:rPr>
              <w:t xml:space="preserve">250 </w:t>
            </w:r>
          </w:p>
        </w:tc>
      </w:tr>
      <w:tr w:rsidR="006C700D" w:rsidRPr="00276391" w14:paraId="4AB0A536" w14:textId="77777777" w:rsidTr="006C700D">
        <w:tc>
          <w:tcPr>
            <w:tcW w:w="6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7D34767" w14:textId="77777777" w:rsidR="006C700D" w:rsidRPr="00276391" w:rsidRDefault="006C700D" w:rsidP="00C94233">
            <w:pPr>
              <w:pStyle w:val="DHHSbody"/>
              <w:rPr>
                <w:lang w:eastAsia="en-AU"/>
              </w:rPr>
            </w:pPr>
            <w:r w:rsidRPr="00B24C02">
              <w:rPr>
                <w:rFonts w:cs="Arial"/>
                <w:color w:val="000000"/>
                <w:szCs w:val="19"/>
                <w:lang w:eastAsia="en-AU"/>
              </w:rPr>
              <w:t>2017-18 (3 months)</w:t>
            </w:r>
          </w:p>
        </w:tc>
        <w:tc>
          <w:tcPr>
            <w:tcW w:w="13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F6718FB" w14:textId="1E757A8A" w:rsidR="006C700D" w:rsidRPr="00276391" w:rsidRDefault="006C700D" w:rsidP="00C55638">
            <w:pPr>
              <w:pStyle w:val="DHHSbody"/>
              <w:rPr>
                <w:lang w:eastAsia="en-AU"/>
              </w:rPr>
            </w:pPr>
            <w:r w:rsidRPr="00B24C02">
              <w:rPr>
                <w:rFonts w:cs="Arial"/>
                <w:color w:val="000000"/>
                <w:szCs w:val="19"/>
                <w:lang w:eastAsia="en-AU"/>
              </w:rPr>
              <w:t xml:space="preserve">5000 x </w:t>
            </w:r>
            <w:r w:rsidRPr="00B24C02">
              <w:rPr>
                <w:rFonts w:cs="Arial"/>
                <w:color w:val="000000"/>
                <w:szCs w:val="19"/>
                <w:u w:val="single"/>
                <w:lang w:eastAsia="en-AU"/>
              </w:rPr>
              <w:t>(20% x 3)</w:t>
            </w:r>
            <w:r w:rsidRPr="00B24C02">
              <w:rPr>
                <w:rFonts w:cs="Arial"/>
                <w:color w:val="000000"/>
                <w:szCs w:val="19"/>
                <w:lang w:eastAsia="en-AU"/>
              </w:rPr>
              <w:t xml:space="preserve"> = </w:t>
            </w:r>
            <w:r w:rsidR="00C55638">
              <w:rPr>
                <w:rFonts w:cs="Arial"/>
                <w:color w:val="000000"/>
                <w:szCs w:val="19"/>
                <w:lang w:eastAsia="en-AU"/>
              </w:rPr>
              <w:br/>
            </w:r>
            <w:r w:rsidRPr="00B24C02">
              <w:rPr>
                <w:rFonts w:cs="Arial"/>
                <w:color w:val="000000"/>
                <w:szCs w:val="19"/>
                <w:lang w:eastAsia="en-AU"/>
              </w:rPr>
              <w:t>250</w:t>
            </w:r>
            <w:r w:rsidR="006250C7">
              <w:rPr>
                <w:rFonts w:cs="Arial"/>
                <w:color w:val="000000"/>
                <w:szCs w:val="19"/>
                <w:lang w:eastAsia="en-AU"/>
              </w:rPr>
              <w:t xml:space="preserve">    </w:t>
            </w:r>
            <w:r w:rsidRPr="00B24C02">
              <w:rPr>
                <w:rFonts w:cs="Arial"/>
                <w:color w:val="000000"/>
                <w:szCs w:val="19"/>
                <w:lang w:eastAsia="en-AU"/>
              </w:rPr>
              <w:t xml:space="preserve"> 12</w:t>
            </w:r>
          </w:p>
        </w:tc>
        <w:tc>
          <w:tcPr>
            <w:tcW w:w="5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21361181" w14:textId="77777777" w:rsidR="006C700D" w:rsidRPr="00276391" w:rsidRDefault="006C700D" w:rsidP="00C94233">
            <w:pPr>
              <w:pStyle w:val="DHHSbody"/>
              <w:rPr>
                <w:lang w:eastAsia="en-AU"/>
              </w:rPr>
            </w:pPr>
            <w:r w:rsidRPr="00B24C02">
              <w:rPr>
                <w:rFonts w:cs="Arial"/>
                <w:color w:val="000000"/>
                <w:szCs w:val="19"/>
                <w:lang w:eastAsia="en-AU"/>
              </w:rPr>
              <w:t xml:space="preserve">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324A3DCF" w14:textId="77777777" w:rsidR="006C700D" w:rsidRPr="00276391" w:rsidRDefault="006C700D" w:rsidP="00C94233">
            <w:pPr>
              <w:pStyle w:val="DHHSbody"/>
              <w:rPr>
                <w:lang w:eastAsia="en-AU"/>
              </w:rPr>
            </w:pPr>
            <w:r w:rsidRPr="00B24C02">
              <w:rPr>
                <w:rFonts w:cs="Arial"/>
                <w:color w:val="000000"/>
                <w:szCs w:val="19"/>
                <w:lang w:eastAsia="en-AU"/>
              </w:rPr>
              <w:t xml:space="preserve">250 </w:t>
            </w:r>
          </w:p>
        </w:tc>
        <w:tc>
          <w:tcPr>
            <w:tcW w:w="85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6531EDA9" w14:textId="77777777" w:rsidR="006C700D" w:rsidRPr="00276391" w:rsidRDefault="006C700D" w:rsidP="00C94233">
            <w:pPr>
              <w:pStyle w:val="DHHSbody"/>
              <w:rPr>
                <w:lang w:eastAsia="en-AU"/>
              </w:rPr>
            </w:pPr>
            <w:r w:rsidRPr="00B24C02">
              <w:rPr>
                <w:rFonts w:cs="Arial"/>
                <w:color w:val="000000"/>
                <w:szCs w:val="19"/>
                <w:lang w:eastAsia="en-AU"/>
              </w:rPr>
              <w:t xml:space="preserve">5000 </w:t>
            </w:r>
          </w:p>
        </w:tc>
        <w:tc>
          <w:tcPr>
            <w:tcW w:w="800" w:type="pct"/>
            <w:tcBorders>
              <w:top w:val="single" w:sz="6" w:space="0" w:color="auto"/>
              <w:left w:val="single" w:sz="6" w:space="0" w:color="auto"/>
              <w:bottom w:val="single" w:sz="6" w:space="0" w:color="auto"/>
              <w:right w:val="single" w:sz="6" w:space="0" w:color="auto"/>
            </w:tcBorders>
            <w:tcMar>
              <w:top w:w="24" w:type="dxa"/>
              <w:left w:w="120" w:type="dxa"/>
              <w:bottom w:w="24" w:type="dxa"/>
              <w:right w:w="120" w:type="dxa"/>
            </w:tcMar>
            <w:vAlign w:val="center"/>
            <w:hideMark/>
          </w:tcPr>
          <w:p w14:paraId="477766D4" w14:textId="77777777" w:rsidR="006C700D" w:rsidRPr="00276391" w:rsidRDefault="006C700D" w:rsidP="00C94233">
            <w:pPr>
              <w:pStyle w:val="DHHSbody"/>
              <w:rPr>
                <w:lang w:eastAsia="en-AU"/>
              </w:rPr>
            </w:pPr>
            <w:r w:rsidRPr="00B24C02">
              <w:rPr>
                <w:rFonts w:cs="Arial"/>
                <w:color w:val="000000"/>
                <w:szCs w:val="19"/>
                <w:lang w:eastAsia="en-AU"/>
              </w:rPr>
              <w:t xml:space="preserve">0 </w:t>
            </w:r>
          </w:p>
        </w:tc>
      </w:tr>
    </w:tbl>
    <w:p w14:paraId="75BEEC6B" w14:textId="77777777" w:rsidR="006C700D" w:rsidRPr="003F52B3" w:rsidRDefault="006C700D" w:rsidP="006C700D">
      <w:pPr>
        <w:pStyle w:val="Heading2"/>
        <w:rPr>
          <w:lang w:eastAsia="en-AU"/>
        </w:rPr>
      </w:pPr>
      <w:bookmarkStart w:id="1004" w:name="_Recommended_annual_depreciation"/>
      <w:bookmarkStart w:id="1005" w:name="_Toc478991804"/>
      <w:bookmarkStart w:id="1006" w:name="_Toc4142198"/>
      <w:bookmarkEnd w:id="1004"/>
      <w:r w:rsidRPr="003F52B3">
        <w:rPr>
          <w:lang w:eastAsia="en-AU"/>
        </w:rPr>
        <w:t>Recommended annual depreciation rates</w:t>
      </w:r>
      <w:bookmarkEnd w:id="1005"/>
      <w:bookmarkEnd w:id="1006"/>
      <w:r w:rsidRPr="003F52B3">
        <w:rPr>
          <w:lang w:eastAsia="en-AU"/>
        </w:rPr>
        <w:t xml:space="preserve"> </w:t>
      </w:r>
    </w:p>
    <w:p w14:paraId="3880C2FA" w14:textId="77777777" w:rsidR="006C700D" w:rsidRPr="00276391" w:rsidRDefault="006C700D" w:rsidP="006C700D">
      <w:pPr>
        <w:pStyle w:val="DHHStablecaption"/>
        <w:rPr>
          <w:lang w:eastAsia="en-AU"/>
        </w:rPr>
      </w:pPr>
      <w:r w:rsidRPr="00276391">
        <w:rPr>
          <w:lang w:eastAsia="en-AU"/>
        </w:rPr>
        <w:t>Sampl</w:t>
      </w:r>
      <w:r w:rsidRPr="006C700D">
        <w:t>e</w:t>
      </w:r>
      <w:r w:rsidRPr="00276391">
        <w:rPr>
          <w:lang w:eastAsia="en-AU"/>
        </w:rPr>
        <w:t xml:space="preserve"> of </w:t>
      </w:r>
      <w:r>
        <w:rPr>
          <w:lang w:eastAsia="en-AU"/>
        </w:rPr>
        <w:t>a</w:t>
      </w:r>
      <w:r w:rsidRPr="00276391">
        <w:rPr>
          <w:lang w:eastAsia="en-AU"/>
        </w:rPr>
        <w:t xml:space="preserve">ssets and their rates of </w:t>
      </w:r>
      <w:r>
        <w:rPr>
          <w:lang w:eastAsia="en-AU"/>
        </w:rPr>
        <w:t>d</w:t>
      </w:r>
      <w:r w:rsidRPr="00276391">
        <w:rPr>
          <w:lang w:eastAsia="en-AU"/>
        </w:rPr>
        <w:t>epreciation</w:t>
      </w:r>
    </w:p>
    <w:tbl>
      <w:tblPr>
        <w:tblW w:w="6595" w:type="dxa"/>
        <w:tblBorders>
          <w:top w:val="single" w:sz="6" w:space="0" w:color="006699"/>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223"/>
        <w:gridCol w:w="1372"/>
      </w:tblGrid>
      <w:tr w:rsidR="006C700D" w:rsidRPr="00276391" w14:paraId="6F3E912F" w14:textId="77777777" w:rsidTr="006C700D">
        <w:trPr>
          <w:tblHeader/>
        </w:trPr>
        <w:tc>
          <w:tcPr>
            <w:tcW w:w="3960" w:type="pct"/>
            <w:shd w:val="clear" w:color="auto" w:fill="auto"/>
            <w:tcMar>
              <w:top w:w="72" w:type="dxa"/>
              <w:left w:w="120" w:type="dxa"/>
              <w:bottom w:w="72" w:type="dxa"/>
              <w:right w:w="120" w:type="dxa"/>
            </w:tcMar>
            <w:vAlign w:val="center"/>
            <w:hideMark/>
          </w:tcPr>
          <w:p w14:paraId="3EC4BF45" w14:textId="77777777" w:rsidR="006C700D" w:rsidRPr="00276391" w:rsidRDefault="006C700D" w:rsidP="00C94233">
            <w:pPr>
              <w:pStyle w:val="DHHStablecolhead"/>
              <w:rPr>
                <w:lang w:eastAsia="en-AU"/>
              </w:rPr>
            </w:pPr>
            <w:r w:rsidRPr="00B24C02">
              <w:rPr>
                <w:lang w:eastAsia="en-AU"/>
              </w:rPr>
              <w:t>Item</w:t>
            </w:r>
          </w:p>
        </w:tc>
        <w:tc>
          <w:tcPr>
            <w:tcW w:w="1040" w:type="pct"/>
            <w:shd w:val="clear" w:color="auto" w:fill="auto"/>
            <w:tcMar>
              <w:top w:w="72" w:type="dxa"/>
              <w:left w:w="120" w:type="dxa"/>
              <w:bottom w:w="72" w:type="dxa"/>
              <w:right w:w="120" w:type="dxa"/>
            </w:tcMar>
            <w:vAlign w:val="center"/>
            <w:hideMark/>
          </w:tcPr>
          <w:p w14:paraId="1CEA9ABA" w14:textId="77777777" w:rsidR="006C700D" w:rsidRPr="00276391" w:rsidRDefault="006C700D" w:rsidP="00C94233">
            <w:pPr>
              <w:pStyle w:val="DHHStablecolhead"/>
              <w:rPr>
                <w:lang w:eastAsia="en-AU"/>
              </w:rPr>
            </w:pPr>
            <w:r w:rsidRPr="00B24C02">
              <w:rPr>
                <w:lang w:eastAsia="en-AU"/>
              </w:rPr>
              <w:t>Percentage</w:t>
            </w:r>
          </w:p>
        </w:tc>
      </w:tr>
      <w:tr w:rsidR="006C700D" w14:paraId="2985F5A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E549A14" w14:textId="77777777" w:rsidR="006C700D" w:rsidRDefault="006C700D" w:rsidP="006C700D">
            <w:pPr>
              <w:pStyle w:val="DHHStabletext"/>
            </w:pPr>
            <w:r>
              <w:t>Adding machine</w:t>
            </w:r>
          </w:p>
        </w:tc>
        <w:tc>
          <w:tcPr>
            <w:tcW w:w="1040" w:type="pct"/>
            <w:shd w:val="clear" w:color="auto" w:fill="auto"/>
            <w:noWrap/>
            <w:vAlign w:val="bottom"/>
            <w:hideMark/>
          </w:tcPr>
          <w:p w14:paraId="1EA7E196" w14:textId="77777777" w:rsidR="006C700D" w:rsidRDefault="006C700D" w:rsidP="006C700D">
            <w:pPr>
              <w:pStyle w:val="DHHStabletext"/>
            </w:pPr>
            <w:r>
              <w:t>20</w:t>
            </w:r>
          </w:p>
        </w:tc>
      </w:tr>
      <w:tr w:rsidR="006C700D" w14:paraId="67655F7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32F0B46" w14:textId="77777777" w:rsidR="006C700D" w:rsidRDefault="006C700D" w:rsidP="006C700D">
            <w:pPr>
              <w:pStyle w:val="DHHStabletext"/>
            </w:pPr>
            <w:r>
              <w:t>Air conditioner, window</w:t>
            </w:r>
          </w:p>
        </w:tc>
        <w:tc>
          <w:tcPr>
            <w:tcW w:w="1040" w:type="pct"/>
            <w:shd w:val="clear" w:color="auto" w:fill="auto"/>
            <w:noWrap/>
            <w:vAlign w:val="bottom"/>
            <w:hideMark/>
          </w:tcPr>
          <w:p w14:paraId="0ED047F6" w14:textId="77777777" w:rsidR="006C700D" w:rsidRDefault="006C700D" w:rsidP="006C700D">
            <w:pPr>
              <w:pStyle w:val="DHHStabletext"/>
            </w:pPr>
            <w:r>
              <w:t>20</w:t>
            </w:r>
          </w:p>
        </w:tc>
      </w:tr>
      <w:tr w:rsidR="006C700D" w14:paraId="7C3FD08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70B38EF" w14:textId="77777777" w:rsidR="006C700D" w:rsidRDefault="006C700D" w:rsidP="006C700D">
            <w:pPr>
              <w:pStyle w:val="DHHStabletext"/>
            </w:pPr>
            <w:r>
              <w:t>Ankle exerciser</w:t>
            </w:r>
          </w:p>
        </w:tc>
        <w:tc>
          <w:tcPr>
            <w:tcW w:w="1040" w:type="pct"/>
            <w:shd w:val="clear" w:color="auto" w:fill="auto"/>
            <w:noWrap/>
            <w:vAlign w:val="bottom"/>
            <w:hideMark/>
          </w:tcPr>
          <w:p w14:paraId="4493FC38" w14:textId="77777777" w:rsidR="006C700D" w:rsidRDefault="006C700D" w:rsidP="006C700D">
            <w:pPr>
              <w:pStyle w:val="DHHStabletext"/>
            </w:pPr>
            <w:r>
              <w:t>6.6</w:t>
            </w:r>
          </w:p>
        </w:tc>
      </w:tr>
      <w:tr w:rsidR="006C700D" w14:paraId="0A7767A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73093C1" w14:textId="77777777" w:rsidR="006C700D" w:rsidRDefault="006C700D" w:rsidP="006C700D">
            <w:pPr>
              <w:pStyle w:val="DHHStabletext"/>
            </w:pPr>
            <w:r>
              <w:t>Automobile - Ambulance</w:t>
            </w:r>
          </w:p>
        </w:tc>
        <w:tc>
          <w:tcPr>
            <w:tcW w:w="1040" w:type="pct"/>
            <w:shd w:val="clear" w:color="auto" w:fill="auto"/>
            <w:noWrap/>
            <w:vAlign w:val="bottom"/>
            <w:hideMark/>
          </w:tcPr>
          <w:p w14:paraId="5DA1278E" w14:textId="77777777" w:rsidR="006C700D" w:rsidRDefault="006C700D" w:rsidP="006C700D">
            <w:pPr>
              <w:pStyle w:val="DHHStabletext"/>
            </w:pPr>
            <w:r>
              <w:t>25</w:t>
            </w:r>
          </w:p>
        </w:tc>
      </w:tr>
      <w:tr w:rsidR="006C700D" w14:paraId="05439B5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1CF3454" w14:textId="77777777" w:rsidR="006C700D" w:rsidRDefault="006C700D" w:rsidP="006C700D">
            <w:pPr>
              <w:pStyle w:val="DHHStabletext"/>
            </w:pPr>
            <w:r>
              <w:t>Automobile - Delivery</w:t>
            </w:r>
          </w:p>
        </w:tc>
        <w:tc>
          <w:tcPr>
            <w:tcW w:w="1040" w:type="pct"/>
            <w:shd w:val="clear" w:color="auto" w:fill="auto"/>
            <w:noWrap/>
            <w:vAlign w:val="bottom"/>
            <w:hideMark/>
          </w:tcPr>
          <w:p w14:paraId="25172DC5" w14:textId="77777777" w:rsidR="006C700D" w:rsidRDefault="006C700D" w:rsidP="006C700D">
            <w:pPr>
              <w:pStyle w:val="DHHStabletext"/>
            </w:pPr>
            <w:r>
              <w:t>25</w:t>
            </w:r>
          </w:p>
        </w:tc>
      </w:tr>
      <w:tr w:rsidR="006C700D" w14:paraId="369F86F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DAAF1A3" w14:textId="77777777" w:rsidR="006C700D" w:rsidRDefault="006C700D" w:rsidP="006C700D">
            <w:pPr>
              <w:pStyle w:val="DHHStabletext"/>
            </w:pPr>
            <w:r>
              <w:t>Automobile - Passenger</w:t>
            </w:r>
          </w:p>
        </w:tc>
        <w:tc>
          <w:tcPr>
            <w:tcW w:w="1040" w:type="pct"/>
            <w:shd w:val="clear" w:color="auto" w:fill="auto"/>
            <w:noWrap/>
            <w:vAlign w:val="bottom"/>
            <w:hideMark/>
          </w:tcPr>
          <w:p w14:paraId="7204A0F3" w14:textId="77777777" w:rsidR="006C700D" w:rsidRDefault="006C700D" w:rsidP="006C700D">
            <w:pPr>
              <w:pStyle w:val="DHHStabletext"/>
            </w:pPr>
            <w:r>
              <w:t>25</w:t>
            </w:r>
          </w:p>
        </w:tc>
      </w:tr>
      <w:tr w:rsidR="006C700D" w14:paraId="57D94E7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1094870" w14:textId="77777777" w:rsidR="006C700D" w:rsidRDefault="006C700D" w:rsidP="006C700D">
            <w:pPr>
              <w:pStyle w:val="DHHStabletext"/>
            </w:pPr>
            <w:r>
              <w:t>Balance - Electronic</w:t>
            </w:r>
          </w:p>
        </w:tc>
        <w:tc>
          <w:tcPr>
            <w:tcW w:w="1040" w:type="pct"/>
            <w:shd w:val="clear" w:color="auto" w:fill="auto"/>
            <w:noWrap/>
            <w:vAlign w:val="bottom"/>
            <w:hideMark/>
          </w:tcPr>
          <w:p w14:paraId="7C2CA595" w14:textId="77777777" w:rsidR="006C700D" w:rsidRDefault="006C700D" w:rsidP="006C700D">
            <w:pPr>
              <w:pStyle w:val="DHHStabletext"/>
            </w:pPr>
            <w:r>
              <w:t>14.3</w:t>
            </w:r>
          </w:p>
        </w:tc>
      </w:tr>
      <w:tr w:rsidR="006C700D" w14:paraId="6D49A0E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6A44FD9" w14:textId="77777777" w:rsidR="006C700D" w:rsidRDefault="006C700D" w:rsidP="006C700D">
            <w:pPr>
              <w:pStyle w:val="DHHStabletext"/>
            </w:pPr>
            <w:r>
              <w:t>Balance - Precision mechanical</w:t>
            </w:r>
          </w:p>
        </w:tc>
        <w:tc>
          <w:tcPr>
            <w:tcW w:w="1040" w:type="pct"/>
            <w:shd w:val="clear" w:color="auto" w:fill="auto"/>
            <w:noWrap/>
            <w:vAlign w:val="bottom"/>
            <w:hideMark/>
          </w:tcPr>
          <w:p w14:paraId="28981425" w14:textId="77777777" w:rsidR="006C700D" w:rsidRDefault="006C700D" w:rsidP="006C700D">
            <w:pPr>
              <w:pStyle w:val="DHHStabletext"/>
            </w:pPr>
            <w:r>
              <w:t>6.6</w:t>
            </w:r>
          </w:p>
        </w:tc>
      </w:tr>
      <w:tr w:rsidR="006C700D" w14:paraId="79D8730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CAE0F50" w14:textId="77777777" w:rsidR="006C700D" w:rsidRDefault="006C700D" w:rsidP="006C700D">
            <w:pPr>
              <w:pStyle w:val="DHHStabletext"/>
            </w:pPr>
            <w:r>
              <w:t>Basinet</w:t>
            </w:r>
          </w:p>
        </w:tc>
        <w:tc>
          <w:tcPr>
            <w:tcW w:w="1040" w:type="pct"/>
            <w:shd w:val="clear" w:color="auto" w:fill="auto"/>
            <w:noWrap/>
            <w:vAlign w:val="bottom"/>
            <w:hideMark/>
          </w:tcPr>
          <w:p w14:paraId="7C8E4ACC" w14:textId="77777777" w:rsidR="006C700D" w:rsidRDefault="006C700D" w:rsidP="006C700D">
            <w:pPr>
              <w:pStyle w:val="DHHStabletext"/>
            </w:pPr>
            <w:r>
              <w:t>6.6</w:t>
            </w:r>
          </w:p>
        </w:tc>
      </w:tr>
      <w:tr w:rsidR="006C700D" w14:paraId="14B4617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FC21514" w14:textId="77777777" w:rsidR="006C700D" w:rsidRDefault="006C700D" w:rsidP="006C700D">
            <w:pPr>
              <w:pStyle w:val="DHHStabletext"/>
            </w:pPr>
            <w:r>
              <w:t>Basinet, heated</w:t>
            </w:r>
          </w:p>
        </w:tc>
        <w:tc>
          <w:tcPr>
            <w:tcW w:w="1040" w:type="pct"/>
            <w:shd w:val="clear" w:color="auto" w:fill="auto"/>
            <w:noWrap/>
            <w:vAlign w:val="bottom"/>
            <w:hideMark/>
          </w:tcPr>
          <w:p w14:paraId="53AFA75C" w14:textId="77777777" w:rsidR="006C700D" w:rsidRDefault="006C700D" w:rsidP="006C700D">
            <w:pPr>
              <w:pStyle w:val="DHHStabletext"/>
            </w:pPr>
            <w:r>
              <w:t>10</w:t>
            </w:r>
          </w:p>
        </w:tc>
      </w:tr>
      <w:tr w:rsidR="006C700D" w14:paraId="0C604ED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70B10E7" w14:textId="77777777" w:rsidR="006C700D" w:rsidRDefault="006C700D" w:rsidP="006C700D">
            <w:pPr>
              <w:pStyle w:val="DHHStabletext"/>
            </w:pPr>
            <w:r>
              <w:t>Battery charger</w:t>
            </w:r>
          </w:p>
        </w:tc>
        <w:tc>
          <w:tcPr>
            <w:tcW w:w="1040" w:type="pct"/>
            <w:shd w:val="clear" w:color="auto" w:fill="auto"/>
            <w:noWrap/>
            <w:vAlign w:val="bottom"/>
            <w:hideMark/>
          </w:tcPr>
          <w:p w14:paraId="2E945A7E" w14:textId="77777777" w:rsidR="006C700D" w:rsidRDefault="006C700D" w:rsidP="006C700D">
            <w:pPr>
              <w:pStyle w:val="DHHStabletext"/>
            </w:pPr>
            <w:r>
              <w:t>10</w:t>
            </w:r>
          </w:p>
        </w:tc>
      </w:tr>
      <w:tr w:rsidR="006C700D" w14:paraId="5294445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5BC86DC" w14:textId="77777777" w:rsidR="006C700D" w:rsidRDefault="006C700D" w:rsidP="006C700D">
            <w:pPr>
              <w:pStyle w:val="DHHStabletext"/>
            </w:pPr>
            <w:r>
              <w:t>Bed</w:t>
            </w:r>
          </w:p>
        </w:tc>
        <w:tc>
          <w:tcPr>
            <w:tcW w:w="1040" w:type="pct"/>
            <w:shd w:val="clear" w:color="auto" w:fill="auto"/>
            <w:noWrap/>
            <w:vAlign w:val="bottom"/>
            <w:hideMark/>
          </w:tcPr>
          <w:p w14:paraId="0C8E8516" w14:textId="77777777" w:rsidR="006C700D" w:rsidRDefault="006C700D" w:rsidP="006C700D">
            <w:pPr>
              <w:pStyle w:val="DHHStabletext"/>
            </w:pPr>
            <w:r>
              <w:t>6.6</w:t>
            </w:r>
          </w:p>
        </w:tc>
      </w:tr>
      <w:tr w:rsidR="006C700D" w14:paraId="2E8DCD1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D0E3238" w14:textId="77777777" w:rsidR="006C700D" w:rsidRDefault="006C700D" w:rsidP="006C700D">
            <w:pPr>
              <w:pStyle w:val="DHHStabletext"/>
            </w:pPr>
            <w:r>
              <w:t>Beeper, paging</w:t>
            </w:r>
          </w:p>
        </w:tc>
        <w:tc>
          <w:tcPr>
            <w:tcW w:w="1040" w:type="pct"/>
            <w:shd w:val="clear" w:color="auto" w:fill="auto"/>
            <w:noWrap/>
            <w:vAlign w:val="bottom"/>
            <w:hideMark/>
          </w:tcPr>
          <w:p w14:paraId="44A950CE" w14:textId="77777777" w:rsidR="006C700D" w:rsidRDefault="006C700D" w:rsidP="006C700D">
            <w:pPr>
              <w:pStyle w:val="DHHStabletext"/>
            </w:pPr>
            <w:r>
              <w:t>20</w:t>
            </w:r>
          </w:p>
        </w:tc>
      </w:tr>
      <w:tr w:rsidR="006C700D" w14:paraId="48E6CAF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101FEE4" w14:textId="77777777" w:rsidR="006C700D" w:rsidRDefault="006C700D" w:rsidP="006C700D">
            <w:pPr>
              <w:pStyle w:val="DHHStabletext"/>
            </w:pPr>
            <w:r>
              <w:t>Bench, metal/wood</w:t>
            </w:r>
          </w:p>
        </w:tc>
        <w:tc>
          <w:tcPr>
            <w:tcW w:w="1040" w:type="pct"/>
            <w:shd w:val="clear" w:color="auto" w:fill="auto"/>
            <w:noWrap/>
            <w:vAlign w:val="bottom"/>
            <w:hideMark/>
          </w:tcPr>
          <w:p w14:paraId="149C3D42" w14:textId="77777777" w:rsidR="006C700D" w:rsidRDefault="006C700D" w:rsidP="006C700D">
            <w:pPr>
              <w:pStyle w:val="DHHStabletext"/>
            </w:pPr>
            <w:r>
              <w:t>6.6</w:t>
            </w:r>
          </w:p>
        </w:tc>
      </w:tr>
      <w:tr w:rsidR="006C700D" w14:paraId="66617A4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90461B5" w14:textId="77777777" w:rsidR="006C700D" w:rsidRDefault="006C700D" w:rsidP="006C700D">
            <w:pPr>
              <w:pStyle w:val="DHHStabletext"/>
            </w:pPr>
            <w:r>
              <w:lastRenderedPageBreak/>
              <w:t>Bin, metal/wood</w:t>
            </w:r>
          </w:p>
        </w:tc>
        <w:tc>
          <w:tcPr>
            <w:tcW w:w="1040" w:type="pct"/>
            <w:shd w:val="clear" w:color="auto" w:fill="auto"/>
            <w:noWrap/>
            <w:vAlign w:val="bottom"/>
            <w:hideMark/>
          </w:tcPr>
          <w:p w14:paraId="182534A6" w14:textId="77777777" w:rsidR="006C700D" w:rsidRDefault="006C700D" w:rsidP="006C700D">
            <w:pPr>
              <w:pStyle w:val="DHHStabletext"/>
            </w:pPr>
            <w:r>
              <w:t>6.6</w:t>
            </w:r>
          </w:p>
        </w:tc>
      </w:tr>
      <w:tr w:rsidR="006C700D" w14:paraId="0257293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49BE10F" w14:textId="77777777" w:rsidR="006C700D" w:rsidRDefault="006C700D" w:rsidP="006C700D">
            <w:pPr>
              <w:pStyle w:val="DHHStabletext"/>
            </w:pPr>
            <w:r>
              <w:t>Cabinet - Bedside</w:t>
            </w:r>
          </w:p>
        </w:tc>
        <w:tc>
          <w:tcPr>
            <w:tcW w:w="1040" w:type="pct"/>
            <w:shd w:val="clear" w:color="auto" w:fill="auto"/>
            <w:noWrap/>
            <w:vAlign w:val="bottom"/>
            <w:hideMark/>
          </w:tcPr>
          <w:p w14:paraId="2B15E74C" w14:textId="77777777" w:rsidR="006C700D" w:rsidRDefault="006C700D" w:rsidP="006C700D">
            <w:pPr>
              <w:pStyle w:val="DHHStabletext"/>
            </w:pPr>
            <w:r>
              <w:t>6.6</w:t>
            </w:r>
          </w:p>
        </w:tc>
      </w:tr>
      <w:tr w:rsidR="006C700D" w14:paraId="553F16E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4D45427" w14:textId="77777777" w:rsidR="006C700D" w:rsidRDefault="006C700D" w:rsidP="006C700D">
            <w:pPr>
              <w:pStyle w:val="DHHStabletext"/>
            </w:pPr>
            <w:r>
              <w:t>Cabinet - File</w:t>
            </w:r>
          </w:p>
        </w:tc>
        <w:tc>
          <w:tcPr>
            <w:tcW w:w="1040" w:type="pct"/>
            <w:shd w:val="clear" w:color="auto" w:fill="auto"/>
            <w:noWrap/>
            <w:vAlign w:val="bottom"/>
            <w:hideMark/>
          </w:tcPr>
          <w:p w14:paraId="40AD5913" w14:textId="77777777" w:rsidR="006C700D" w:rsidRDefault="006C700D" w:rsidP="006C700D">
            <w:pPr>
              <w:pStyle w:val="DHHStabletext"/>
            </w:pPr>
            <w:r>
              <w:t>6.6</w:t>
            </w:r>
          </w:p>
        </w:tc>
      </w:tr>
      <w:tr w:rsidR="006C700D" w14:paraId="22461B5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05D7B92" w14:textId="77777777" w:rsidR="006C700D" w:rsidRDefault="006C700D" w:rsidP="006C700D">
            <w:pPr>
              <w:pStyle w:val="DHHStabletext"/>
            </w:pPr>
            <w:r>
              <w:t>Cabinet - Instrument</w:t>
            </w:r>
          </w:p>
        </w:tc>
        <w:tc>
          <w:tcPr>
            <w:tcW w:w="1040" w:type="pct"/>
            <w:shd w:val="clear" w:color="auto" w:fill="auto"/>
            <w:noWrap/>
            <w:vAlign w:val="bottom"/>
            <w:hideMark/>
          </w:tcPr>
          <w:p w14:paraId="4D5A74F8" w14:textId="77777777" w:rsidR="006C700D" w:rsidRDefault="006C700D" w:rsidP="006C700D">
            <w:pPr>
              <w:pStyle w:val="DHHStabletext"/>
            </w:pPr>
            <w:r>
              <w:t>6.6</w:t>
            </w:r>
          </w:p>
        </w:tc>
      </w:tr>
      <w:tr w:rsidR="006C700D" w14:paraId="44A7194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693E338" w14:textId="77777777" w:rsidR="006C700D" w:rsidRDefault="006C700D" w:rsidP="006C700D">
            <w:pPr>
              <w:pStyle w:val="DHHStabletext"/>
            </w:pPr>
            <w:r>
              <w:t>Camera: SLR</w:t>
            </w:r>
          </w:p>
        </w:tc>
        <w:tc>
          <w:tcPr>
            <w:tcW w:w="1040" w:type="pct"/>
            <w:shd w:val="clear" w:color="auto" w:fill="auto"/>
            <w:noWrap/>
            <w:vAlign w:val="bottom"/>
            <w:hideMark/>
          </w:tcPr>
          <w:p w14:paraId="2280DCE6" w14:textId="77777777" w:rsidR="006C700D" w:rsidRDefault="006C700D" w:rsidP="006C700D">
            <w:pPr>
              <w:pStyle w:val="DHHStabletext"/>
            </w:pPr>
            <w:r>
              <w:t>12.5</w:t>
            </w:r>
          </w:p>
        </w:tc>
      </w:tr>
      <w:tr w:rsidR="006C700D" w14:paraId="75F854D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9819BB2" w14:textId="77777777" w:rsidR="006C700D" w:rsidRDefault="006C700D" w:rsidP="006C700D">
            <w:pPr>
              <w:pStyle w:val="DHHStabletext"/>
            </w:pPr>
            <w:r>
              <w:t>Camera: video</w:t>
            </w:r>
          </w:p>
        </w:tc>
        <w:tc>
          <w:tcPr>
            <w:tcW w:w="1040" w:type="pct"/>
            <w:shd w:val="clear" w:color="auto" w:fill="auto"/>
            <w:noWrap/>
            <w:vAlign w:val="bottom"/>
            <w:hideMark/>
          </w:tcPr>
          <w:p w14:paraId="5C3EF2E0" w14:textId="77777777" w:rsidR="006C700D" w:rsidRDefault="006C700D" w:rsidP="006C700D">
            <w:pPr>
              <w:pStyle w:val="DHHStabletext"/>
            </w:pPr>
            <w:r>
              <w:t>12.5</w:t>
            </w:r>
          </w:p>
        </w:tc>
      </w:tr>
      <w:tr w:rsidR="006C700D" w14:paraId="66742C8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2DB914C" w14:textId="77777777" w:rsidR="006C700D" w:rsidRDefault="006C700D" w:rsidP="006C700D">
            <w:pPr>
              <w:pStyle w:val="DHHStabletext"/>
            </w:pPr>
            <w:r>
              <w:t>Cash register</w:t>
            </w:r>
          </w:p>
        </w:tc>
        <w:tc>
          <w:tcPr>
            <w:tcW w:w="1040" w:type="pct"/>
            <w:shd w:val="clear" w:color="auto" w:fill="auto"/>
            <w:noWrap/>
            <w:vAlign w:val="bottom"/>
            <w:hideMark/>
          </w:tcPr>
          <w:p w14:paraId="4C61FEAE" w14:textId="77777777" w:rsidR="006C700D" w:rsidRDefault="006C700D" w:rsidP="006C700D">
            <w:pPr>
              <w:pStyle w:val="DHHStabletext"/>
            </w:pPr>
            <w:r>
              <w:t>10</w:t>
            </w:r>
          </w:p>
        </w:tc>
      </w:tr>
      <w:tr w:rsidR="006C700D" w14:paraId="2F1C213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1DD36A6" w14:textId="77777777" w:rsidR="006C700D" w:rsidRDefault="006C700D" w:rsidP="006C700D">
            <w:pPr>
              <w:pStyle w:val="DHHStabletext"/>
            </w:pPr>
            <w:r>
              <w:t>Chair - Dental</w:t>
            </w:r>
          </w:p>
        </w:tc>
        <w:tc>
          <w:tcPr>
            <w:tcW w:w="1040" w:type="pct"/>
            <w:shd w:val="clear" w:color="auto" w:fill="auto"/>
            <w:noWrap/>
            <w:vAlign w:val="bottom"/>
            <w:hideMark/>
          </w:tcPr>
          <w:p w14:paraId="6E863E97" w14:textId="77777777" w:rsidR="006C700D" w:rsidRDefault="006C700D" w:rsidP="006C700D">
            <w:pPr>
              <w:pStyle w:val="DHHStabletext"/>
            </w:pPr>
            <w:r>
              <w:t>6.6</w:t>
            </w:r>
          </w:p>
        </w:tc>
      </w:tr>
      <w:tr w:rsidR="006C700D" w14:paraId="12A0B0F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5330648" w14:textId="77777777" w:rsidR="006C700D" w:rsidRDefault="006C700D" w:rsidP="006C700D">
            <w:pPr>
              <w:pStyle w:val="DHHStabletext"/>
            </w:pPr>
            <w:r>
              <w:t>Chair - Executive</w:t>
            </w:r>
          </w:p>
        </w:tc>
        <w:tc>
          <w:tcPr>
            <w:tcW w:w="1040" w:type="pct"/>
            <w:shd w:val="clear" w:color="auto" w:fill="auto"/>
            <w:noWrap/>
            <w:vAlign w:val="bottom"/>
            <w:hideMark/>
          </w:tcPr>
          <w:p w14:paraId="7184E70C" w14:textId="77777777" w:rsidR="006C700D" w:rsidRDefault="006C700D" w:rsidP="006C700D">
            <w:pPr>
              <w:pStyle w:val="DHHStabletext"/>
            </w:pPr>
            <w:r>
              <w:t>6.6</w:t>
            </w:r>
          </w:p>
        </w:tc>
      </w:tr>
      <w:tr w:rsidR="006C700D" w14:paraId="1A74297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9B1EC71" w14:textId="77777777" w:rsidR="006C700D" w:rsidRDefault="006C700D" w:rsidP="006C700D">
            <w:pPr>
              <w:pStyle w:val="DHHStabletext"/>
            </w:pPr>
            <w:r>
              <w:t>Chair - Podiatry</w:t>
            </w:r>
          </w:p>
        </w:tc>
        <w:tc>
          <w:tcPr>
            <w:tcW w:w="1040" w:type="pct"/>
            <w:shd w:val="clear" w:color="auto" w:fill="auto"/>
            <w:noWrap/>
            <w:vAlign w:val="bottom"/>
            <w:hideMark/>
          </w:tcPr>
          <w:p w14:paraId="79C8766D" w14:textId="77777777" w:rsidR="006C700D" w:rsidRDefault="006C700D" w:rsidP="006C700D">
            <w:pPr>
              <w:pStyle w:val="DHHStabletext"/>
            </w:pPr>
            <w:r>
              <w:t>6.6</w:t>
            </w:r>
          </w:p>
        </w:tc>
      </w:tr>
      <w:tr w:rsidR="006C700D" w14:paraId="1804948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5676310" w14:textId="77777777" w:rsidR="006C700D" w:rsidRDefault="006C700D" w:rsidP="006C700D">
            <w:pPr>
              <w:pStyle w:val="DHHStabletext"/>
            </w:pPr>
            <w:r>
              <w:t>Chair - Typist, ergonomic</w:t>
            </w:r>
          </w:p>
        </w:tc>
        <w:tc>
          <w:tcPr>
            <w:tcW w:w="1040" w:type="pct"/>
            <w:shd w:val="clear" w:color="auto" w:fill="auto"/>
            <w:noWrap/>
            <w:vAlign w:val="bottom"/>
            <w:hideMark/>
          </w:tcPr>
          <w:p w14:paraId="1A505CCB" w14:textId="77777777" w:rsidR="006C700D" w:rsidRDefault="006C700D" w:rsidP="006C700D">
            <w:pPr>
              <w:pStyle w:val="DHHStabletext"/>
            </w:pPr>
            <w:r>
              <w:t>6.6</w:t>
            </w:r>
          </w:p>
        </w:tc>
      </w:tr>
      <w:tr w:rsidR="006C700D" w14:paraId="5FFA54D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2C24B59" w14:textId="77777777" w:rsidR="006C700D" w:rsidRDefault="006C700D" w:rsidP="006C700D">
            <w:pPr>
              <w:pStyle w:val="DHHStabletext"/>
            </w:pPr>
            <w:r>
              <w:t>Chart rack</w:t>
            </w:r>
          </w:p>
        </w:tc>
        <w:tc>
          <w:tcPr>
            <w:tcW w:w="1040" w:type="pct"/>
            <w:shd w:val="clear" w:color="auto" w:fill="auto"/>
            <w:noWrap/>
            <w:vAlign w:val="bottom"/>
            <w:hideMark/>
          </w:tcPr>
          <w:p w14:paraId="72D13C11" w14:textId="77777777" w:rsidR="006C700D" w:rsidRDefault="006C700D" w:rsidP="006C700D">
            <w:pPr>
              <w:pStyle w:val="DHHStabletext"/>
            </w:pPr>
            <w:r>
              <w:t>5</w:t>
            </w:r>
          </w:p>
        </w:tc>
      </w:tr>
      <w:tr w:rsidR="006C700D" w14:paraId="40C46A4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1965012" w14:textId="77777777" w:rsidR="006C700D" w:rsidRDefault="006C700D" w:rsidP="006C700D">
            <w:pPr>
              <w:pStyle w:val="DHHStabletext"/>
            </w:pPr>
            <w:r>
              <w:t>Clock</w:t>
            </w:r>
          </w:p>
        </w:tc>
        <w:tc>
          <w:tcPr>
            <w:tcW w:w="1040" w:type="pct"/>
            <w:shd w:val="clear" w:color="auto" w:fill="auto"/>
            <w:noWrap/>
            <w:vAlign w:val="bottom"/>
            <w:hideMark/>
          </w:tcPr>
          <w:p w14:paraId="1E8A7558" w14:textId="77777777" w:rsidR="006C700D" w:rsidRDefault="006C700D" w:rsidP="006C700D">
            <w:pPr>
              <w:pStyle w:val="DHHStabletext"/>
            </w:pPr>
            <w:r>
              <w:t>10</w:t>
            </w:r>
          </w:p>
        </w:tc>
      </w:tr>
      <w:tr w:rsidR="006C700D" w14:paraId="2BB2B1A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A2E7100" w14:textId="77777777" w:rsidR="006C700D" w:rsidRDefault="006C700D" w:rsidP="006C700D">
            <w:pPr>
              <w:pStyle w:val="DHHStabletext"/>
            </w:pPr>
            <w:r>
              <w:t>Clothes locker - Coffee maker</w:t>
            </w:r>
          </w:p>
        </w:tc>
        <w:tc>
          <w:tcPr>
            <w:tcW w:w="1040" w:type="pct"/>
            <w:shd w:val="clear" w:color="auto" w:fill="auto"/>
            <w:noWrap/>
            <w:vAlign w:val="bottom"/>
            <w:hideMark/>
          </w:tcPr>
          <w:p w14:paraId="72B1D7DA" w14:textId="77777777" w:rsidR="006C700D" w:rsidRDefault="006C700D" w:rsidP="006C700D">
            <w:pPr>
              <w:pStyle w:val="DHHStabletext"/>
            </w:pPr>
            <w:r>
              <w:t>20</w:t>
            </w:r>
          </w:p>
        </w:tc>
      </w:tr>
      <w:tr w:rsidR="006C700D" w14:paraId="74B6D73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155CCB4" w14:textId="77777777" w:rsidR="006C700D" w:rsidRDefault="006C700D" w:rsidP="006C700D">
            <w:pPr>
              <w:pStyle w:val="DHHStabletext"/>
            </w:pPr>
            <w:r>
              <w:t>Clothes locker - Fibreglass/metal</w:t>
            </w:r>
          </w:p>
        </w:tc>
        <w:tc>
          <w:tcPr>
            <w:tcW w:w="1040" w:type="pct"/>
            <w:shd w:val="clear" w:color="auto" w:fill="auto"/>
            <w:noWrap/>
            <w:vAlign w:val="bottom"/>
            <w:hideMark/>
          </w:tcPr>
          <w:p w14:paraId="539ACCFD" w14:textId="77777777" w:rsidR="006C700D" w:rsidRDefault="006C700D" w:rsidP="006C700D">
            <w:pPr>
              <w:pStyle w:val="DHHStabletext"/>
            </w:pPr>
            <w:r>
              <w:t>5.5</w:t>
            </w:r>
          </w:p>
        </w:tc>
      </w:tr>
      <w:tr w:rsidR="006C700D" w14:paraId="57EA0C6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56AF4A2" w14:textId="77777777" w:rsidR="006C700D" w:rsidRDefault="006C700D" w:rsidP="006C700D">
            <w:pPr>
              <w:pStyle w:val="DHHStabletext"/>
            </w:pPr>
            <w:r>
              <w:t>Clothes locker - Laminate/wood</w:t>
            </w:r>
          </w:p>
        </w:tc>
        <w:tc>
          <w:tcPr>
            <w:tcW w:w="1040" w:type="pct"/>
            <w:shd w:val="clear" w:color="auto" w:fill="auto"/>
            <w:noWrap/>
            <w:vAlign w:val="bottom"/>
            <w:hideMark/>
          </w:tcPr>
          <w:p w14:paraId="13379F61" w14:textId="77777777" w:rsidR="006C700D" w:rsidRDefault="006C700D" w:rsidP="006C700D">
            <w:pPr>
              <w:pStyle w:val="DHHStabletext"/>
            </w:pPr>
            <w:r>
              <w:t>8.3</w:t>
            </w:r>
          </w:p>
        </w:tc>
      </w:tr>
      <w:tr w:rsidR="006C700D" w14:paraId="62BC247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8E9AB4C" w14:textId="77777777" w:rsidR="006C700D" w:rsidRDefault="006C700D" w:rsidP="006C700D">
            <w:pPr>
              <w:pStyle w:val="DHHStabletext"/>
            </w:pPr>
            <w:r>
              <w:t>Collator, electric</w:t>
            </w:r>
          </w:p>
        </w:tc>
        <w:tc>
          <w:tcPr>
            <w:tcW w:w="1040" w:type="pct"/>
            <w:shd w:val="clear" w:color="auto" w:fill="auto"/>
            <w:noWrap/>
            <w:vAlign w:val="bottom"/>
            <w:hideMark/>
          </w:tcPr>
          <w:p w14:paraId="475D5614" w14:textId="77777777" w:rsidR="006C700D" w:rsidRDefault="006C700D" w:rsidP="006C700D">
            <w:pPr>
              <w:pStyle w:val="DHHStabletext"/>
            </w:pPr>
            <w:r>
              <w:t>10</w:t>
            </w:r>
          </w:p>
        </w:tc>
      </w:tr>
      <w:tr w:rsidR="006C700D" w14:paraId="50378B3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6CEE175" w14:textId="77777777" w:rsidR="006C700D" w:rsidRDefault="006C700D" w:rsidP="006C700D">
            <w:pPr>
              <w:pStyle w:val="DHHStabletext"/>
            </w:pPr>
            <w:r>
              <w:t>Compactor, waste</w:t>
            </w:r>
          </w:p>
        </w:tc>
        <w:tc>
          <w:tcPr>
            <w:tcW w:w="1040" w:type="pct"/>
            <w:shd w:val="clear" w:color="auto" w:fill="auto"/>
            <w:noWrap/>
            <w:vAlign w:val="bottom"/>
            <w:hideMark/>
          </w:tcPr>
          <w:p w14:paraId="29AC409D" w14:textId="77777777" w:rsidR="006C700D" w:rsidRDefault="006C700D" w:rsidP="006C700D">
            <w:pPr>
              <w:pStyle w:val="DHHStabletext"/>
            </w:pPr>
            <w:r>
              <w:t>10</w:t>
            </w:r>
          </w:p>
        </w:tc>
      </w:tr>
      <w:tr w:rsidR="006C700D" w14:paraId="3C6BD56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DE4C86B" w14:textId="77777777" w:rsidR="006C700D" w:rsidRDefault="006C700D" w:rsidP="006C700D">
            <w:pPr>
              <w:pStyle w:val="DHHStabletext"/>
            </w:pPr>
            <w:r>
              <w:t>Compressor, air</w:t>
            </w:r>
          </w:p>
        </w:tc>
        <w:tc>
          <w:tcPr>
            <w:tcW w:w="1040" w:type="pct"/>
            <w:shd w:val="clear" w:color="auto" w:fill="auto"/>
            <w:noWrap/>
            <w:vAlign w:val="bottom"/>
            <w:hideMark/>
          </w:tcPr>
          <w:p w14:paraId="4CE9B259" w14:textId="77777777" w:rsidR="006C700D" w:rsidRDefault="006C700D" w:rsidP="006C700D">
            <w:pPr>
              <w:pStyle w:val="DHHStabletext"/>
            </w:pPr>
            <w:r>
              <w:t>6.6</w:t>
            </w:r>
          </w:p>
        </w:tc>
      </w:tr>
      <w:tr w:rsidR="006C700D" w14:paraId="55EAD17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FE5A3F0" w14:textId="77777777" w:rsidR="006C700D" w:rsidRDefault="006C700D" w:rsidP="006C700D">
            <w:pPr>
              <w:pStyle w:val="DHHStabletext"/>
            </w:pPr>
            <w:r>
              <w:t>Computer - Mainframe</w:t>
            </w:r>
          </w:p>
        </w:tc>
        <w:tc>
          <w:tcPr>
            <w:tcW w:w="1040" w:type="pct"/>
            <w:shd w:val="clear" w:color="auto" w:fill="auto"/>
            <w:noWrap/>
            <w:vAlign w:val="bottom"/>
            <w:hideMark/>
          </w:tcPr>
          <w:p w14:paraId="77CEDC6A" w14:textId="77777777" w:rsidR="006C700D" w:rsidRDefault="006C700D" w:rsidP="006C700D">
            <w:pPr>
              <w:pStyle w:val="DHHStabletext"/>
            </w:pPr>
            <w:r>
              <w:t>14.3</w:t>
            </w:r>
          </w:p>
        </w:tc>
      </w:tr>
      <w:tr w:rsidR="006C700D" w14:paraId="574B0CA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C734901" w14:textId="77777777" w:rsidR="006C700D" w:rsidRDefault="006C700D" w:rsidP="006C700D">
            <w:pPr>
              <w:pStyle w:val="DHHStabletext"/>
            </w:pPr>
            <w:r>
              <w:t>Computer - Mini</w:t>
            </w:r>
          </w:p>
        </w:tc>
        <w:tc>
          <w:tcPr>
            <w:tcW w:w="1040" w:type="pct"/>
            <w:shd w:val="clear" w:color="auto" w:fill="auto"/>
            <w:noWrap/>
            <w:vAlign w:val="bottom"/>
            <w:hideMark/>
          </w:tcPr>
          <w:p w14:paraId="5DC485BA" w14:textId="77777777" w:rsidR="006C700D" w:rsidRDefault="006C700D" w:rsidP="006C700D">
            <w:pPr>
              <w:pStyle w:val="DHHStabletext"/>
            </w:pPr>
            <w:r>
              <w:t>20</w:t>
            </w:r>
          </w:p>
        </w:tc>
      </w:tr>
      <w:tr w:rsidR="006C700D" w14:paraId="0E42DDD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5316BEF" w14:textId="77777777" w:rsidR="006C700D" w:rsidRDefault="006C700D" w:rsidP="006C700D">
            <w:pPr>
              <w:pStyle w:val="DHHStabletext"/>
            </w:pPr>
            <w:r>
              <w:t>Computer - Personal</w:t>
            </w:r>
          </w:p>
        </w:tc>
        <w:tc>
          <w:tcPr>
            <w:tcW w:w="1040" w:type="pct"/>
            <w:shd w:val="clear" w:color="auto" w:fill="auto"/>
            <w:noWrap/>
            <w:vAlign w:val="bottom"/>
            <w:hideMark/>
          </w:tcPr>
          <w:p w14:paraId="0406A70A" w14:textId="77777777" w:rsidR="006C700D" w:rsidRDefault="006C700D" w:rsidP="006C700D">
            <w:pPr>
              <w:pStyle w:val="DHHStabletext"/>
            </w:pPr>
            <w:r>
              <w:t>20</w:t>
            </w:r>
          </w:p>
        </w:tc>
      </w:tr>
      <w:tr w:rsidR="006C700D" w14:paraId="2EE4315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6442A5D" w14:textId="77777777" w:rsidR="006C700D" w:rsidRDefault="006C700D" w:rsidP="006C700D">
            <w:pPr>
              <w:pStyle w:val="DHHStabletext"/>
            </w:pPr>
            <w:r>
              <w:t>Computer - Portable</w:t>
            </w:r>
          </w:p>
        </w:tc>
        <w:tc>
          <w:tcPr>
            <w:tcW w:w="1040" w:type="pct"/>
            <w:shd w:val="clear" w:color="auto" w:fill="auto"/>
            <w:noWrap/>
            <w:vAlign w:val="bottom"/>
            <w:hideMark/>
          </w:tcPr>
          <w:p w14:paraId="7019F54B" w14:textId="77777777" w:rsidR="006C700D" w:rsidRDefault="006C700D" w:rsidP="006C700D">
            <w:pPr>
              <w:pStyle w:val="DHHStabletext"/>
            </w:pPr>
            <w:r>
              <w:t>20</w:t>
            </w:r>
          </w:p>
        </w:tc>
      </w:tr>
      <w:tr w:rsidR="006C700D" w14:paraId="2D0A785E"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3458A16" w14:textId="77777777" w:rsidR="006C700D" w:rsidRDefault="006C700D" w:rsidP="006C700D">
            <w:pPr>
              <w:pStyle w:val="DHHStabletext"/>
            </w:pPr>
            <w:r>
              <w:t>Computer - Terminal</w:t>
            </w:r>
          </w:p>
        </w:tc>
        <w:tc>
          <w:tcPr>
            <w:tcW w:w="1040" w:type="pct"/>
            <w:shd w:val="clear" w:color="auto" w:fill="auto"/>
            <w:noWrap/>
            <w:vAlign w:val="bottom"/>
            <w:hideMark/>
          </w:tcPr>
          <w:p w14:paraId="1DCF194E" w14:textId="77777777" w:rsidR="006C700D" w:rsidRDefault="006C700D" w:rsidP="006C700D">
            <w:pPr>
              <w:pStyle w:val="DHHStabletext"/>
            </w:pPr>
            <w:r>
              <w:t>20</w:t>
            </w:r>
          </w:p>
        </w:tc>
      </w:tr>
      <w:tr w:rsidR="006C700D" w14:paraId="63DB32E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5B86D04" w14:textId="77777777" w:rsidR="006C700D" w:rsidRDefault="006C700D" w:rsidP="006C700D">
            <w:pPr>
              <w:pStyle w:val="DHHStabletext"/>
            </w:pPr>
            <w:r>
              <w:t>Cooler, water</w:t>
            </w:r>
          </w:p>
        </w:tc>
        <w:tc>
          <w:tcPr>
            <w:tcW w:w="1040" w:type="pct"/>
            <w:shd w:val="clear" w:color="auto" w:fill="auto"/>
            <w:noWrap/>
            <w:vAlign w:val="bottom"/>
            <w:hideMark/>
          </w:tcPr>
          <w:p w14:paraId="0F3AF525" w14:textId="77777777" w:rsidR="006C700D" w:rsidRDefault="006C700D" w:rsidP="006C700D">
            <w:pPr>
              <w:pStyle w:val="DHHStabletext"/>
            </w:pPr>
            <w:r>
              <w:t>10</w:t>
            </w:r>
          </w:p>
        </w:tc>
      </w:tr>
      <w:tr w:rsidR="006C700D" w14:paraId="08378FF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B3BC28B" w14:textId="77777777" w:rsidR="006C700D" w:rsidRDefault="006C700D" w:rsidP="006C700D">
            <w:pPr>
              <w:pStyle w:val="DHHStabletext"/>
            </w:pPr>
            <w:r>
              <w:t>Credenza</w:t>
            </w:r>
          </w:p>
        </w:tc>
        <w:tc>
          <w:tcPr>
            <w:tcW w:w="1040" w:type="pct"/>
            <w:shd w:val="clear" w:color="auto" w:fill="auto"/>
            <w:noWrap/>
            <w:vAlign w:val="bottom"/>
            <w:hideMark/>
          </w:tcPr>
          <w:p w14:paraId="6EA34268" w14:textId="77777777" w:rsidR="006C700D" w:rsidRDefault="006C700D" w:rsidP="006C700D">
            <w:pPr>
              <w:pStyle w:val="DHHStabletext"/>
            </w:pPr>
            <w:r>
              <w:t>6.6</w:t>
            </w:r>
          </w:p>
        </w:tc>
      </w:tr>
      <w:tr w:rsidR="006C700D" w14:paraId="52BA556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69B884B" w14:textId="77777777" w:rsidR="006C700D" w:rsidRDefault="006C700D" w:rsidP="006C700D">
            <w:pPr>
              <w:pStyle w:val="DHHStabletext"/>
            </w:pPr>
            <w:r>
              <w:t>Crib</w:t>
            </w:r>
          </w:p>
        </w:tc>
        <w:tc>
          <w:tcPr>
            <w:tcW w:w="1040" w:type="pct"/>
            <w:shd w:val="clear" w:color="auto" w:fill="auto"/>
            <w:noWrap/>
            <w:vAlign w:val="bottom"/>
            <w:hideMark/>
          </w:tcPr>
          <w:p w14:paraId="27C8859B" w14:textId="77777777" w:rsidR="006C700D" w:rsidRDefault="006C700D" w:rsidP="006C700D">
            <w:pPr>
              <w:pStyle w:val="DHHStabletext"/>
            </w:pPr>
            <w:r>
              <w:t>6.6</w:t>
            </w:r>
          </w:p>
        </w:tc>
      </w:tr>
      <w:tr w:rsidR="006C700D" w14:paraId="048F1AC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16B8FA2" w14:textId="77777777" w:rsidR="006C700D" w:rsidRDefault="006C700D" w:rsidP="006C700D">
            <w:pPr>
              <w:pStyle w:val="DHHStabletext"/>
            </w:pPr>
            <w:r>
              <w:t>Data storage unit - Mechanical</w:t>
            </w:r>
          </w:p>
        </w:tc>
        <w:tc>
          <w:tcPr>
            <w:tcW w:w="1040" w:type="pct"/>
            <w:shd w:val="clear" w:color="auto" w:fill="auto"/>
            <w:noWrap/>
            <w:vAlign w:val="bottom"/>
            <w:hideMark/>
          </w:tcPr>
          <w:p w14:paraId="267228AC" w14:textId="77777777" w:rsidR="006C700D" w:rsidRDefault="006C700D" w:rsidP="006C700D">
            <w:pPr>
              <w:pStyle w:val="DHHStabletext"/>
            </w:pPr>
            <w:r>
              <w:t>10</w:t>
            </w:r>
          </w:p>
        </w:tc>
      </w:tr>
      <w:tr w:rsidR="006C700D" w14:paraId="0FEE288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102813D" w14:textId="77777777" w:rsidR="006C700D" w:rsidRDefault="006C700D" w:rsidP="006C700D">
            <w:pPr>
              <w:pStyle w:val="DHHStabletext"/>
            </w:pPr>
            <w:r>
              <w:t>Data storage unit - Non-mechanical</w:t>
            </w:r>
          </w:p>
        </w:tc>
        <w:tc>
          <w:tcPr>
            <w:tcW w:w="1040" w:type="pct"/>
            <w:shd w:val="clear" w:color="auto" w:fill="auto"/>
            <w:noWrap/>
            <w:vAlign w:val="bottom"/>
            <w:hideMark/>
          </w:tcPr>
          <w:p w14:paraId="58249ED5" w14:textId="77777777" w:rsidR="006C700D" w:rsidRDefault="006C700D" w:rsidP="006C700D">
            <w:pPr>
              <w:pStyle w:val="DHHStabletext"/>
            </w:pPr>
            <w:r>
              <w:t>6.6</w:t>
            </w:r>
          </w:p>
        </w:tc>
      </w:tr>
      <w:tr w:rsidR="006C700D" w14:paraId="6819D5A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E956523" w14:textId="77777777" w:rsidR="006C700D" w:rsidRDefault="006C700D" w:rsidP="006C700D">
            <w:pPr>
              <w:pStyle w:val="DHHStabletext"/>
            </w:pPr>
            <w:r>
              <w:t>Dental drill with syringe</w:t>
            </w:r>
          </w:p>
        </w:tc>
        <w:tc>
          <w:tcPr>
            <w:tcW w:w="1040" w:type="pct"/>
            <w:shd w:val="clear" w:color="auto" w:fill="auto"/>
            <w:noWrap/>
            <w:vAlign w:val="bottom"/>
            <w:hideMark/>
          </w:tcPr>
          <w:p w14:paraId="0455BBFF" w14:textId="77777777" w:rsidR="006C700D" w:rsidRDefault="006C700D" w:rsidP="006C700D">
            <w:pPr>
              <w:pStyle w:val="DHHStabletext"/>
            </w:pPr>
            <w:r>
              <w:t>10</w:t>
            </w:r>
          </w:p>
        </w:tc>
      </w:tr>
      <w:tr w:rsidR="006C700D" w14:paraId="477DB7D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226C528" w14:textId="77777777" w:rsidR="006C700D" w:rsidRDefault="006C700D" w:rsidP="006C700D">
            <w:pPr>
              <w:pStyle w:val="DHHStabletext"/>
            </w:pPr>
            <w:r>
              <w:t>Desk, metal/wood</w:t>
            </w:r>
          </w:p>
        </w:tc>
        <w:tc>
          <w:tcPr>
            <w:tcW w:w="1040" w:type="pct"/>
            <w:shd w:val="clear" w:color="auto" w:fill="auto"/>
            <w:noWrap/>
            <w:vAlign w:val="bottom"/>
            <w:hideMark/>
          </w:tcPr>
          <w:p w14:paraId="646666AC" w14:textId="77777777" w:rsidR="006C700D" w:rsidRDefault="006C700D" w:rsidP="006C700D">
            <w:pPr>
              <w:pStyle w:val="DHHStabletext"/>
            </w:pPr>
            <w:r>
              <w:t>5</w:t>
            </w:r>
          </w:p>
        </w:tc>
      </w:tr>
      <w:tr w:rsidR="006C700D" w14:paraId="211744F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D028766" w14:textId="77777777" w:rsidR="006C700D" w:rsidRDefault="006C700D" w:rsidP="006C700D">
            <w:pPr>
              <w:pStyle w:val="DHHStabletext"/>
            </w:pPr>
            <w:r>
              <w:t>Dishwasher</w:t>
            </w:r>
          </w:p>
        </w:tc>
        <w:tc>
          <w:tcPr>
            <w:tcW w:w="1040" w:type="pct"/>
            <w:shd w:val="clear" w:color="auto" w:fill="auto"/>
            <w:noWrap/>
            <w:vAlign w:val="bottom"/>
            <w:hideMark/>
          </w:tcPr>
          <w:p w14:paraId="25113B28" w14:textId="77777777" w:rsidR="006C700D" w:rsidRDefault="006C700D" w:rsidP="006C700D">
            <w:pPr>
              <w:pStyle w:val="DHHStabletext"/>
            </w:pPr>
            <w:r>
              <w:t>10</w:t>
            </w:r>
          </w:p>
        </w:tc>
      </w:tr>
      <w:tr w:rsidR="006C700D" w14:paraId="0926D1F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4BDDD53" w14:textId="77777777" w:rsidR="006C700D" w:rsidRDefault="006C700D" w:rsidP="006C700D">
            <w:pPr>
              <w:pStyle w:val="DHHStabletext"/>
            </w:pPr>
            <w:r>
              <w:t>Drier - Clothes</w:t>
            </w:r>
          </w:p>
        </w:tc>
        <w:tc>
          <w:tcPr>
            <w:tcW w:w="1040" w:type="pct"/>
            <w:shd w:val="clear" w:color="auto" w:fill="auto"/>
            <w:noWrap/>
            <w:vAlign w:val="bottom"/>
            <w:hideMark/>
          </w:tcPr>
          <w:p w14:paraId="52E07CF6" w14:textId="77777777" w:rsidR="006C700D" w:rsidRDefault="006C700D" w:rsidP="006C700D">
            <w:pPr>
              <w:pStyle w:val="DHHStabletext"/>
            </w:pPr>
            <w:r>
              <w:t>10</w:t>
            </w:r>
          </w:p>
        </w:tc>
      </w:tr>
      <w:tr w:rsidR="006C700D" w14:paraId="36D92B9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151E073" w14:textId="77777777" w:rsidR="006C700D" w:rsidRDefault="006C700D" w:rsidP="006C700D">
            <w:pPr>
              <w:pStyle w:val="DHHStabletext"/>
            </w:pPr>
            <w:r>
              <w:t>Drier - Hair</w:t>
            </w:r>
          </w:p>
        </w:tc>
        <w:tc>
          <w:tcPr>
            <w:tcW w:w="1040" w:type="pct"/>
            <w:shd w:val="clear" w:color="auto" w:fill="auto"/>
            <w:noWrap/>
            <w:vAlign w:val="bottom"/>
            <w:hideMark/>
          </w:tcPr>
          <w:p w14:paraId="2D1C6EF3" w14:textId="77777777" w:rsidR="006C700D" w:rsidRDefault="006C700D" w:rsidP="006C700D">
            <w:pPr>
              <w:pStyle w:val="DHHStabletext"/>
            </w:pPr>
            <w:r>
              <w:t>12.5</w:t>
            </w:r>
          </w:p>
        </w:tc>
      </w:tr>
      <w:tr w:rsidR="006C700D" w14:paraId="6CB806D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469BBA9" w14:textId="77777777" w:rsidR="006C700D" w:rsidRDefault="006C700D" w:rsidP="006C700D">
            <w:pPr>
              <w:pStyle w:val="DHHStabletext"/>
            </w:pPr>
            <w:r>
              <w:lastRenderedPageBreak/>
              <w:t>Drier - Sonic</w:t>
            </w:r>
          </w:p>
        </w:tc>
        <w:tc>
          <w:tcPr>
            <w:tcW w:w="1040" w:type="pct"/>
            <w:shd w:val="clear" w:color="auto" w:fill="auto"/>
            <w:noWrap/>
            <w:vAlign w:val="bottom"/>
            <w:hideMark/>
          </w:tcPr>
          <w:p w14:paraId="275115A4" w14:textId="77777777" w:rsidR="006C700D" w:rsidRDefault="006C700D" w:rsidP="006C700D">
            <w:pPr>
              <w:pStyle w:val="DHHStabletext"/>
            </w:pPr>
            <w:r>
              <w:t>10</w:t>
            </w:r>
          </w:p>
        </w:tc>
      </w:tr>
      <w:tr w:rsidR="006C700D" w14:paraId="5A21572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AEB9D9A" w14:textId="77777777" w:rsidR="006C700D" w:rsidRDefault="006C700D" w:rsidP="006C700D">
            <w:pPr>
              <w:pStyle w:val="DHHStabletext"/>
            </w:pPr>
            <w:r>
              <w:t>Drill press</w:t>
            </w:r>
          </w:p>
        </w:tc>
        <w:tc>
          <w:tcPr>
            <w:tcW w:w="1040" w:type="pct"/>
            <w:shd w:val="clear" w:color="auto" w:fill="auto"/>
            <w:noWrap/>
            <w:vAlign w:val="bottom"/>
            <w:hideMark/>
          </w:tcPr>
          <w:p w14:paraId="6C0A1700" w14:textId="77777777" w:rsidR="006C700D" w:rsidRDefault="006C700D" w:rsidP="006C700D">
            <w:pPr>
              <w:pStyle w:val="DHHStabletext"/>
            </w:pPr>
            <w:r>
              <w:t>5</w:t>
            </w:r>
          </w:p>
        </w:tc>
      </w:tr>
      <w:tr w:rsidR="006C700D" w14:paraId="001E229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C19729F" w14:textId="77777777" w:rsidR="006C700D" w:rsidRDefault="006C700D" w:rsidP="006C700D">
            <w:pPr>
              <w:pStyle w:val="DHHStabletext"/>
            </w:pPr>
            <w:r>
              <w:t>Drying oven, paint shop</w:t>
            </w:r>
          </w:p>
        </w:tc>
        <w:tc>
          <w:tcPr>
            <w:tcW w:w="1040" w:type="pct"/>
            <w:shd w:val="clear" w:color="auto" w:fill="auto"/>
            <w:noWrap/>
            <w:vAlign w:val="bottom"/>
            <w:hideMark/>
          </w:tcPr>
          <w:p w14:paraId="074F167B" w14:textId="77777777" w:rsidR="006C700D" w:rsidRDefault="006C700D" w:rsidP="006C700D">
            <w:pPr>
              <w:pStyle w:val="DHHStabletext"/>
            </w:pPr>
            <w:r>
              <w:t>8.3</w:t>
            </w:r>
          </w:p>
        </w:tc>
      </w:tr>
      <w:tr w:rsidR="006C700D" w14:paraId="3738F94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F20926E" w14:textId="77777777" w:rsidR="006C700D" w:rsidRDefault="006C700D" w:rsidP="006C700D">
            <w:pPr>
              <w:pStyle w:val="DHHStabletext"/>
            </w:pPr>
            <w:r>
              <w:t>Duplicator</w:t>
            </w:r>
          </w:p>
        </w:tc>
        <w:tc>
          <w:tcPr>
            <w:tcW w:w="1040" w:type="pct"/>
            <w:shd w:val="clear" w:color="auto" w:fill="auto"/>
            <w:noWrap/>
            <w:vAlign w:val="bottom"/>
            <w:hideMark/>
          </w:tcPr>
          <w:p w14:paraId="3F9E4E91" w14:textId="77777777" w:rsidR="006C700D" w:rsidRDefault="006C700D" w:rsidP="006C700D">
            <w:pPr>
              <w:pStyle w:val="DHHStabletext"/>
            </w:pPr>
            <w:r>
              <w:t>10</w:t>
            </w:r>
          </w:p>
        </w:tc>
      </w:tr>
      <w:tr w:rsidR="006C700D" w14:paraId="6606A81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FBFE226" w14:textId="77777777" w:rsidR="006C700D" w:rsidRDefault="006C700D" w:rsidP="006C700D">
            <w:pPr>
              <w:pStyle w:val="DHHStabletext"/>
            </w:pPr>
            <w:r>
              <w:t>Exercise apparatus - Computerised</w:t>
            </w:r>
          </w:p>
        </w:tc>
        <w:tc>
          <w:tcPr>
            <w:tcW w:w="1040" w:type="pct"/>
            <w:shd w:val="clear" w:color="auto" w:fill="auto"/>
            <w:noWrap/>
            <w:vAlign w:val="bottom"/>
            <w:hideMark/>
          </w:tcPr>
          <w:p w14:paraId="1F539EFA" w14:textId="77777777" w:rsidR="006C700D" w:rsidRDefault="006C700D" w:rsidP="006C700D">
            <w:pPr>
              <w:pStyle w:val="DHHStabletext"/>
            </w:pPr>
            <w:r>
              <w:t>20</w:t>
            </w:r>
          </w:p>
        </w:tc>
      </w:tr>
      <w:tr w:rsidR="006C700D" w14:paraId="0C790D9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86C9C28" w14:textId="77777777" w:rsidR="006C700D" w:rsidRDefault="006C700D" w:rsidP="006C700D">
            <w:pPr>
              <w:pStyle w:val="DHHStabletext"/>
            </w:pPr>
            <w:r>
              <w:t>Exercise apparatus - Non-computerised</w:t>
            </w:r>
          </w:p>
        </w:tc>
        <w:tc>
          <w:tcPr>
            <w:tcW w:w="1040" w:type="pct"/>
            <w:shd w:val="clear" w:color="auto" w:fill="auto"/>
            <w:noWrap/>
            <w:vAlign w:val="bottom"/>
            <w:hideMark/>
          </w:tcPr>
          <w:p w14:paraId="69AF7DC6" w14:textId="77777777" w:rsidR="006C700D" w:rsidRDefault="006C700D" w:rsidP="006C700D">
            <w:pPr>
              <w:pStyle w:val="DHHStabletext"/>
            </w:pPr>
            <w:r>
              <w:t>6.6</w:t>
            </w:r>
          </w:p>
        </w:tc>
      </w:tr>
      <w:tr w:rsidR="006C700D" w14:paraId="62F790C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B0A3817" w14:textId="77777777" w:rsidR="006C700D" w:rsidRDefault="006C700D" w:rsidP="006C700D">
            <w:pPr>
              <w:pStyle w:val="DHHStabletext"/>
            </w:pPr>
            <w:r>
              <w:t>Facsimile machine</w:t>
            </w:r>
          </w:p>
        </w:tc>
        <w:tc>
          <w:tcPr>
            <w:tcW w:w="1040" w:type="pct"/>
            <w:shd w:val="clear" w:color="auto" w:fill="auto"/>
            <w:noWrap/>
            <w:vAlign w:val="bottom"/>
            <w:hideMark/>
          </w:tcPr>
          <w:p w14:paraId="7216779C" w14:textId="77777777" w:rsidR="006C700D" w:rsidRDefault="006C700D" w:rsidP="006C700D">
            <w:pPr>
              <w:pStyle w:val="DHHStabletext"/>
            </w:pPr>
            <w:r>
              <w:t>16.6</w:t>
            </w:r>
          </w:p>
        </w:tc>
      </w:tr>
      <w:tr w:rsidR="006C700D" w14:paraId="369252D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E7A4543" w14:textId="77777777" w:rsidR="006C700D" w:rsidRDefault="006C700D" w:rsidP="006C700D">
            <w:pPr>
              <w:pStyle w:val="DHHStabletext"/>
            </w:pPr>
            <w:r>
              <w:t>Film</w:t>
            </w:r>
          </w:p>
        </w:tc>
        <w:tc>
          <w:tcPr>
            <w:tcW w:w="1040" w:type="pct"/>
            <w:shd w:val="clear" w:color="auto" w:fill="auto"/>
            <w:noWrap/>
            <w:vAlign w:val="bottom"/>
            <w:hideMark/>
          </w:tcPr>
          <w:p w14:paraId="43BFF7CD" w14:textId="77777777" w:rsidR="006C700D" w:rsidRDefault="006C700D" w:rsidP="006C700D">
            <w:pPr>
              <w:pStyle w:val="DHHStabletext"/>
            </w:pPr>
            <w:r>
              <w:t>10</w:t>
            </w:r>
          </w:p>
        </w:tc>
      </w:tr>
      <w:tr w:rsidR="006C700D" w14:paraId="206E6D2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6817E2B" w14:textId="77777777" w:rsidR="006C700D" w:rsidRDefault="006C700D" w:rsidP="006C700D">
            <w:pPr>
              <w:pStyle w:val="DHHStabletext"/>
            </w:pPr>
            <w:r>
              <w:t>Floor scrubber</w:t>
            </w:r>
          </w:p>
        </w:tc>
        <w:tc>
          <w:tcPr>
            <w:tcW w:w="1040" w:type="pct"/>
            <w:shd w:val="clear" w:color="auto" w:fill="auto"/>
            <w:noWrap/>
            <w:vAlign w:val="bottom"/>
            <w:hideMark/>
          </w:tcPr>
          <w:p w14:paraId="50D1EC98" w14:textId="77777777" w:rsidR="006C700D" w:rsidRDefault="006C700D" w:rsidP="006C700D">
            <w:pPr>
              <w:pStyle w:val="DHHStabletext"/>
            </w:pPr>
            <w:r>
              <w:t>12.5</w:t>
            </w:r>
          </w:p>
        </w:tc>
      </w:tr>
      <w:tr w:rsidR="006C700D" w14:paraId="5D7D207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75EDE51" w14:textId="77777777" w:rsidR="006C700D" w:rsidRDefault="006C700D" w:rsidP="006C700D">
            <w:pPr>
              <w:pStyle w:val="DHHStabletext"/>
            </w:pPr>
            <w:r>
              <w:t>Floor waxer</w:t>
            </w:r>
          </w:p>
        </w:tc>
        <w:tc>
          <w:tcPr>
            <w:tcW w:w="1040" w:type="pct"/>
            <w:shd w:val="clear" w:color="auto" w:fill="auto"/>
            <w:noWrap/>
            <w:vAlign w:val="bottom"/>
            <w:hideMark/>
          </w:tcPr>
          <w:p w14:paraId="1D839F25" w14:textId="77777777" w:rsidR="006C700D" w:rsidRDefault="006C700D" w:rsidP="006C700D">
            <w:pPr>
              <w:pStyle w:val="DHHStabletext"/>
            </w:pPr>
            <w:r>
              <w:t>12.5</w:t>
            </w:r>
          </w:p>
        </w:tc>
      </w:tr>
      <w:tr w:rsidR="006C700D" w14:paraId="2D6EAFE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4543148" w14:textId="77777777" w:rsidR="006C700D" w:rsidRDefault="006C700D" w:rsidP="006C700D">
            <w:pPr>
              <w:pStyle w:val="DHHStabletext"/>
            </w:pPr>
            <w:r>
              <w:t>Furniture - Lobby/public areas</w:t>
            </w:r>
          </w:p>
        </w:tc>
        <w:tc>
          <w:tcPr>
            <w:tcW w:w="1040" w:type="pct"/>
            <w:shd w:val="clear" w:color="auto" w:fill="auto"/>
            <w:noWrap/>
            <w:vAlign w:val="bottom"/>
            <w:hideMark/>
          </w:tcPr>
          <w:p w14:paraId="4CF350C7" w14:textId="77777777" w:rsidR="006C700D" w:rsidRDefault="006C700D" w:rsidP="006C700D">
            <w:pPr>
              <w:pStyle w:val="DHHStabletext"/>
            </w:pPr>
            <w:r>
              <w:t>10</w:t>
            </w:r>
          </w:p>
        </w:tc>
      </w:tr>
      <w:tr w:rsidR="006C700D" w14:paraId="4AC0673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A5FAB1B" w14:textId="77777777" w:rsidR="006C700D" w:rsidRDefault="006C700D" w:rsidP="006C700D">
            <w:pPr>
              <w:pStyle w:val="DHHStabletext"/>
            </w:pPr>
            <w:r>
              <w:t>Furniture - Office</w:t>
            </w:r>
          </w:p>
        </w:tc>
        <w:tc>
          <w:tcPr>
            <w:tcW w:w="1040" w:type="pct"/>
            <w:shd w:val="clear" w:color="auto" w:fill="auto"/>
            <w:noWrap/>
            <w:vAlign w:val="bottom"/>
            <w:hideMark/>
          </w:tcPr>
          <w:p w14:paraId="1333F165" w14:textId="77777777" w:rsidR="006C700D" w:rsidRDefault="006C700D" w:rsidP="006C700D">
            <w:pPr>
              <w:pStyle w:val="DHHStabletext"/>
            </w:pPr>
            <w:r>
              <w:t>6.6</w:t>
            </w:r>
          </w:p>
        </w:tc>
      </w:tr>
      <w:tr w:rsidR="006C700D" w14:paraId="0BF2AE6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244734F" w14:textId="77777777" w:rsidR="006C700D" w:rsidRDefault="006C700D" w:rsidP="006C700D">
            <w:pPr>
              <w:pStyle w:val="DHHStabletext"/>
            </w:pPr>
            <w:r>
              <w:t>Grinder, food waste</w:t>
            </w:r>
          </w:p>
        </w:tc>
        <w:tc>
          <w:tcPr>
            <w:tcW w:w="1040" w:type="pct"/>
            <w:shd w:val="clear" w:color="auto" w:fill="auto"/>
            <w:noWrap/>
            <w:vAlign w:val="bottom"/>
            <w:hideMark/>
          </w:tcPr>
          <w:p w14:paraId="27087EBC" w14:textId="77777777" w:rsidR="006C700D" w:rsidRDefault="006C700D" w:rsidP="006C700D">
            <w:pPr>
              <w:pStyle w:val="DHHStabletext"/>
            </w:pPr>
            <w:r>
              <w:t>6.6</w:t>
            </w:r>
          </w:p>
        </w:tc>
      </w:tr>
      <w:tr w:rsidR="006C700D" w14:paraId="08E72FC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818FFBA" w14:textId="77777777" w:rsidR="006C700D" w:rsidRDefault="006C700D" w:rsidP="006C700D">
            <w:pPr>
              <w:pStyle w:val="DHHStabletext"/>
            </w:pPr>
            <w:r>
              <w:t>Hoist, chain or cable</w:t>
            </w:r>
          </w:p>
        </w:tc>
        <w:tc>
          <w:tcPr>
            <w:tcW w:w="1040" w:type="pct"/>
            <w:shd w:val="clear" w:color="auto" w:fill="auto"/>
            <w:noWrap/>
            <w:vAlign w:val="bottom"/>
            <w:hideMark/>
          </w:tcPr>
          <w:p w14:paraId="721774C2" w14:textId="77777777" w:rsidR="006C700D" w:rsidRDefault="006C700D" w:rsidP="006C700D">
            <w:pPr>
              <w:pStyle w:val="DHHStabletext"/>
            </w:pPr>
            <w:r>
              <w:t>8.3</w:t>
            </w:r>
          </w:p>
        </w:tc>
      </w:tr>
      <w:tr w:rsidR="006C700D" w14:paraId="1DACD43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8210EDC" w14:textId="77777777" w:rsidR="006C700D" w:rsidRDefault="006C700D" w:rsidP="006C700D">
            <w:pPr>
              <w:pStyle w:val="DHHStabletext"/>
            </w:pPr>
            <w:r>
              <w:t>Hot food box</w:t>
            </w:r>
          </w:p>
        </w:tc>
        <w:tc>
          <w:tcPr>
            <w:tcW w:w="1040" w:type="pct"/>
            <w:shd w:val="clear" w:color="auto" w:fill="auto"/>
            <w:noWrap/>
            <w:vAlign w:val="bottom"/>
            <w:hideMark/>
          </w:tcPr>
          <w:p w14:paraId="1743C36C" w14:textId="77777777" w:rsidR="006C700D" w:rsidRDefault="006C700D" w:rsidP="006C700D">
            <w:pPr>
              <w:pStyle w:val="DHHStabletext"/>
            </w:pPr>
            <w:r>
              <w:t>6.6</w:t>
            </w:r>
          </w:p>
        </w:tc>
      </w:tr>
      <w:tr w:rsidR="006C700D" w14:paraId="042BF3F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A56DF03" w14:textId="77777777" w:rsidR="006C700D" w:rsidRDefault="006C700D" w:rsidP="006C700D">
            <w:pPr>
              <w:pStyle w:val="DHHStabletext"/>
            </w:pPr>
            <w:r>
              <w:t>Hydrotherapy equipment</w:t>
            </w:r>
          </w:p>
        </w:tc>
        <w:tc>
          <w:tcPr>
            <w:tcW w:w="1040" w:type="pct"/>
            <w:shd w:val="clear" w:color="auto" w:fill="auto"/>
            <w:noWrap/>
            <w:vAlign w:val="bottom"/>
            <w:hideMark/>
          </w:tcPr>
          <w:p w14:paraId="41B62811" w14:textId="77777777" w:rsidR="006C700D" w:rsidRDefault="006C700D" w:rsidP="006C700D">
            <w:pPr>
              <w:pStyle w:val="DHHStabletext"/>
            </w:pPr>
            <w:r>
              <w:t>6.6</w:t>
            </w:r>
          </w:p>
        </w:tc>
      </w:tr>
      <w:tr w:rsidR="006C700D" w14:paraId="1ED4C1B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539F6E9" w14:textId="77777777" w:rsidR="006C700D" w:rsidRDefault="006C700D" w:rsidP="006C700D">
            <w:pPr>
              <w:pStyle w:val="DHHStabletext"/>
            </w:pPr>
            <w:r>
              <w:t>Imprinter, address</w:t>
            </w:r>
          </w:p>
        </w:tc>
        <w:tc>
          <w:tcPr>
            <w:tcW w:w="1040" w:type="pct"/>
            <w:shd w:val="clear" w:color="auto" w:fill="auto"/>
            <w:noWrap/>
            <w:vAlign w:val="bottom"/>
            <w:hideMark/>
          </w:tcPr>
          <w:p w14:paraId="3BC20F61" w14:textId="77777777" w:rsidR="006C700D" w:rsidRDefault="006C700D" w:rsidP="006C700D">
            <w:pPr>
              <w:pStyle w:val="DHHStabletext"/>
            </w:pPr>
            <w:r>
              <w:t>12.5</w:t>
            </w:r>
          </w:p>
        </w:tc>
      </w:tr>
      <w:tr w:rsidR="006C700D" w14:paraId="18FBD2D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317B21D" w14:textId="77777777" w:rsidR="006C700D" w:rsidRDefault="006C700D" w:rsidP="006C700D">
            <w:pPr>
              <w:pStyle w:val="DHHStabletext"/>
            </w:pPr>
            <w:r>
              <w:t>Kiln</w:t>
            </w:r>
          </w:p>
        </w:tc>
        <w:tc>
          <w:tcPr>
            <w:tcW w:w="1040" w:type="pct"/>
            <w:shd w:val="clear" w:color="auto" w:fill="auto"/>
            <w:noWrap/>
            <w:vAlign w:val="bottom"/>
            <w:hideMark/>
          </w:tcPr>
          <w:p w14:paraId="1F18E452" w14:textId="77777777" w:rsidR="006C700D" w:rsidRDefault="006C700D" w:rsidP="006C700D">
            <w:pPr>
              <w:pStyle w:val="DHHStabletext"/>
            </w:pPr>
            <w:r>
              <w:t>6.6</w:t>
            </w:r>
          </w:p>
        </w:tc>
      </w:tr>
      <w:tr w:rsidR="006C700D" w14:paraId="7EE4062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FD44CAA" w14:textId="77777777" w:rsidR="006C700D" w:rsidRDefault="006C700D" w:rsidP="006C700D">
            <w:pPr>
              <w:pStyle w:val="DHHStabletext"/>
            </w:pPr>
            <w:r>
              <w:t>Lamp, infra-red</w:t>
            </w:r>
          </w:p>
        </w:tc>
        <w:tc>
          <w:tcPr>
            <w:tcW w:w="1040" w:type="pct"/>
            <w:shd w:val="clear" w:color="auto" w:fill="auto"/>
            <w:noWrap/>
            <w:vAlign w:val="bottom"/>
            <w:hideMark/>
          </w:tcPr>
          <w:p w14:paraId="5E8DBEF8" w14:textId="77777777" w:rsidR="006C700D" w:rsidRDefault="006C700D" w:rsidP="006C700D">
            <w:pPr>
              <w:pStyle w:val="DHHStabletext"/>
            </w:pPr>
            <w:r>
              <w:t>10</w:t>
            </w:r>
          </w:p>
        </w:tc>
      </w:tr>
      <w:tr w:rsidR="006C700D" w14:paraId="37797B2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CCE2DF7" w14:textId="77777777" w:rsidR="006C700D" w:rsidRDefault="006C700D" w:rsidP="006C700D">
            <w:pPr>
              <w:pStyle w:val="DHHStabletext"/>
            </w:pPr>
            <w:r>
              <w:t>Lathe</w:t>
            </w:r>
          </w:p>
        </w:tc>
        <w:tc>
          <w:tcPr>
            <w:tcW w:w="1040" w:type="pct"/>
            <w:shd w:val="clear" w:color="auto" w:fill="auto"/>
            <w:noWrap/>
            <w:vAlign w:val="bottom"/>
            <w:hideMark/>
          </w:tcPr>
          <w:p w14:paraId="5CC61DFE" w14:textId="77777777" w:rsidR="006C700D" w:rsidRDefault="006C700D" w:rsidP="006C700D">
            <w:pPr>
              <w:pStyle w:val="DHHStabletext"/>
            </w:pPr>
            <w:r>
              <w:t>6.6</w:t>
            </w:r>
          </w:p>
        </w:tc>
      </w:tr>
      <w:tr w:rsidR="006C700D" w14:paraId="6B47A8D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A75835E" w14:textId="77777777" w:rsidR="006C700D" w:rsidRDefault="006C700D" w:rsidP="006C700D">
            <w:pPr>
              <w:pStyle w:val="DHHStabletext"/>
            </w:pPr>
            <w:r>
              <w:t>Library furnishings</w:t>
            </w:r>
          </w:p>
        </w:tc>
        <w:tc>
          <w:tcPr>
            <w:tcW w:w="1040" w:type="pct"/>
            <w:shd w:val="clear" w:color="auto" w:fill="auto"/>
            <w:noWrap/>
            <w:vAlign w:val="bottom"/>
            <w:hideMark/>
          </w:tcPr>
          <w:p w14:paraId="193D99F2" w14:textId="77777777" w:rsidR="006C700D" w:rsidRDefault="006C700D" w:rsidP="006C700D">
            <w:pPr>
              <w:pStyle w:val="DHHStabletext"/>
            </w:pPr>
            <w:r>
              <w:t>5</w:t>
            </w:r>
          </w:p>
        </w:tc>
      </w:tr>
      <w:tr w:rsidR="006C700D" w14:paraId="1FF9E65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725F8DB" w14:textId="77777777" w:rsidR="006C700D" w:rsidRDefault="006C700D" w:rsidP="006C700D">
            <w:pPr>
              <w:pStyle w:val="DHHStabletext"/>
            </w:pPr>
            <w:r>
              <w:t>Light portable, emergency</w:t>
            </w:r>
          </w:p>
        </w:tc>
        <w:tc>
          <w:tcPr>
            <w:tcW w:w="1040" w:type="pct"/>
            <w:shd w:val="clear" w:color="auto" w:fill="auto"/>
            <w:noWrap/>
            <w:vAlign w:val="bottom"/>
            <w:hideMark/>
          </w:tcPr>
          <w:p w14:paraId="46C8C9FE" w14:textId="77777777" w:rsidR="006C700D" w:rsidRDefault="006C700D" w:rsidP="006C700D">
            <w:pPr>
              <w:pStyle w:val="DHHStabletext"/>
            </w:pPr>
            <w:r>
              <w:t>6.6</w:t>
            </w:r>
          </w:p>
        </w:tc>
      </w:tr>
      <w:tr w:rsidR="006C700D" w14:paraId="27E3E77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106AC56" w14:textId="77777777" w:rsidR="006C700D" w:rsidRDefault="006C700D" w:rsidP="006C700D">
            <w:pPr>
              <w:pStyle w:val="DHHStabletext"/>
            </w:pPr>
            <w:r>
              <w:t>Light, examining</w:t>
            </w:r>
          </w:p>
        </w:tc>
        <w:tc>
          <w:tcPr>
            <w:tcW w:w="1040" w:type="pct"/>
            <w:shd w:val="clear" w:color="auto" w:fill="auto"/>
            <w:noWrap/>
            <w:vAlign w:val="bottom"/>
            <w:hideMark/>
          </w:tcPr>
          <w:p w14:paraId="080E4E71" w14:textId="77777777" w:rsidR="006C700D" w:rsidRDefault="006C700D" w:rsidP="006C700D">
            <w:pPr>
              <w:pStyle w:val="DHHStabletext"/>
            </w:pPr>
            <w:r>
              <w:t>10</w:t>
            </w:r>
          </w:p>
        </w:tc>
      </w:tr>
      <w:tr w:rsidR="006C700D" w14:paraId="7318201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D32C233" w14:textId="77777777" w:rsidR="006C700D" w:rsidRDefault="006C700D" w:rsidP="006C700D">
            <w:pPr>
              <w:pStyle w:val="DHHStabletext"/>
            </w:pPr>
            <w:r>
              <w:t>Loom</w:t>
            </w:r>
          </w:p>
        </w:tc>
        <w:tc>
          <w:tcPr>
            <w:tcW w:w="1040" w:type="pct"/>
            <w:shd w:val="clear" w:color="auto" w:fill="auto"/>
            <w:noWrap/>
            <w:vAlign w:val="bottom"/>
            <w:hideMark/>
          </w:tcPr>
          <w:p w14:paraId="4F510ACC" w14:textId="77777777" w:rsidR="006C700D" w:rsidRDefault="006C700D" w:rsidP="006C700D">
            <w:pPr>
              <w:pStyle w:val="DHHStabletext"/>
            </w:pPr>
            <w:r>
              <w:t>6.6</w:t>
            </w:r>
          </w:p>
        </w:tc>
      </w:tr>
      <w:tr w:rsidR="006C700D" w14:paraId="61F82A7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F9395A6" w14:textId="77777777" w:rsidR="006C700D" w:rsidRDefault="006C700D" w:rsidP="006C700D">
            <w:pPr>
              <w:pStyle w:val="DHHStabletext"/>
            </w:pPr>
            <w:r>
              <w:t>Mailing machine</w:t>
            </w:r>
          </w:p>
        </w:tc>
        <w:tc>
          <w:tcPr>
            <w:tcW w:w="1040" w:type="pct"/>
            <w:shd w:val="clear" w:color="auto" w:fill="auto"/>
            <w:noWrap/>
            <w:vAlign w:val="bottom"/>
            <w:hideMark/>
          </w:tcPr>
          <w:p w14:paraId="5BE10135" w14:textId="77777777" w:rsidR="006C700D" w:rsidRDefault="006C700D" w:rsidP="006C700D">
            <w:pPr>
              <w:pStyle w:val="DHHStabletext"/>
            </w:pPr>
            <w:r>
              <w:t>10</w:t>
            </w:r>
          </w:p>
        </w:tc>
      </w:tr>
      <w:tr w:rsidR="006C700D" w14:paraId="34AACA8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882EE42" w14:textId="77777777" w:rsidR="006C700D" w:rsidRDefault="006C700D" w:rsidP="006C700D">
            <w:pPr>
              <w:pStyle w:val="DHHStabletext"/>
            </w:pPr>
            <w:r>
              <w:t>Mannequin</w:t>
            </w:r>
          </w:p>
        </w:tc>
        <w:tc>
          <w:tcPr>
            <w:tcW w:w="1040" w:type="pct"/>
            <w:shd w:val="clear" w:color="auto" w:fill="auto"/>
            <w:noWrap/>
            <w:vAlign w:val="bottom"/>
            <w:hideMark/>
          </w:tcPr>
          <w:p w14:paraId="21FAFC39" w14:textId="77777777" w:rsidR="006C700D" w:rsidRDefault="006C700D" w:rsidP="006C700D">
            <w:pPr>
              <w:pStyle w:val="DHHStabletext"/>
            </w:pPr>
            <w:r>
              <w:t>10</w:t>
            </w:r>
          </w:p>
        </w:tc>
      </w:tr>
      <w:tr w:rsidR="006C700D" w14:paraId="34B2778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7299E1A" w14:textId="77777777" w:rsidR="006C700D" w:rsidRDefault="006C700D" w:rsidP="006C700D">
            <w:pPr>
              <w:pStyle w:val="DHHStabletext"/>
            </w:pPr>
            <w:r>
              <w:t>Microfiche reader</w:t>
            </w:r>
          </w:p>
        </w:tc>
        <w:tc>
          <w:tcPr>
            <w:tcW w:w="1040" w:type="pct"/>
            <w:shd w:val="clear" w:color="auto" w:fill="auto"/>
            <w:noWrap/>
            <w:vAlign w:val="bottom"/>
            <w:hideMark/>
          </w:tcPr>
          <w:p w14:paraId="32A3103B" w14:textId="77777777" w:rsidR="006C700D" w:rsidRDefault="006C700D" w:rsidP="006C700D">
            <w:pPr>
              <w:pStyle w:val="DHHStabletext"/>
            </w:pPr>
            <w:r>
              <w:t>10</w:t>
            </w:r>
          </w:p>
        </w:tc>
      </w:tr>
      <w:tr w:rsidR="006C700D" w14:paraId="7A99B79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DA07CEA" w14:textId="77777777" w:rsidR="006C700D" w:rsidRDefault="006C700D" w:rsidP="006C700D">
            <w:pPr>
              <w:pStyle w:val="DHHStabletext"/>
            </w:pPr>
            <w:r>
              <w:t>Microphone</w:t>
            </w:r>
          </w:p>
        </w:tc>
        <w:tc>
          <w:tcPr>
            <w:tcW w:w="1040" w:type="pct"/>
            <w:shd w:val="clear" w:color="auto" w:fill="auto"/>
            <w:noWrap/>
            <w:vAlign w:val="bottom"/>
            <w:hideMark/>
          </w:tcPr>
          <w:p w14:paraId="50E4F50C" w14:textId="77777777" w:rsidR="006C700D" w:rsidRDefault="006C700D" w:rsidP="006C700D">
            <w:pPr>
              <w:pStyle w:val="DHHStabletext"/>
            </w:pPr>
            <w:r>
              <w:t>12.5</w:t>
            </w:r>
          </w:p>
        </w:tc>
      </w:tr>
      <w:tr w:rsidR="006C700D" w14:paraId="4B21D3F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625A4E0" w14:textId="77777777" w:rsidR="006C700D" w:rsidRDefault="006C700D" w:rsidP="006C700D">
            <w:pPr>
              <w:pStyle w:val="DHHStabletext"/>
            </w:pPr>
            <w:r>
              <w:t>Model, anatomical</w:t>
            </w:r>
          </w:p>
        </w:tc>
        <w:tc>
          <w:tcPr>
            <w:tcW w:w="1040" w:type="pct"/>
            <w:shd w:val="clear" w:color="auto" w:fill="auto"/>
            <w:noWrap/>
            <w:vAlign w:val="bottom"/>
            <w:hideMark/>
          </w:tcPr>
          <w:p w14:paraId="1D33110D" w14:textId="77777777" w:rsidR="006C700D" w:rsidRDefault="006C700D" w:rsidP="006C700D">
            <w:pPr>
              <w:pStyle w:val="DHHStabletext"/>
            </w:pPr>
            <w:r>
              <w:t>10</w:t>
            </w:r>
          </w:p>
        </w:tc>
      </w:tr>
      <w:tr w:rsidR="006C700D" w14:paraId="52DA55B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BCCDBE7" w14:textId="77777777" w:rsidR="006C700D" w:rsidRDefault="006C700D" w:rsidP="006C700D">
            <w:pPr>
              <w:pStyle w:val="DHHStabletext"/>
            </w:pPr>
            <w:r>
              <w:t>Oven - Domestic</w:t>
            </w:r>
          </w:p>
        </w:tc>
        <w:tc>
          <w:tcPr>
            <w:tcW w:w="1040" w:type="pct"/>
            <w:shd w:val="clear" w:color="auto" w:fill="auto"/>
            <w:noWrap/>
            <w:vAlign w:val="bottom"/>
            <w:hideMark/>
          </w:tcPr>
          <w:p w14:paraId="2D1D29D3" w14:textId="77777777" w:rsidR="006C700D" w:rsidRDefault="006C700D" w:rsidP="006C700D">
            <w:pPr>
              <w:pStyle w:val="DHHStabletext"/>
            </w:pPr>
            <w:r>
              <w:t>6.6</w:t>
            </w:r>
          </w:p>
        </w:tc>
      </w:tr>
      <w:tr w:rsidR="006C700D" w14:paraId="2D54E9F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D1689E6" w14:textId="77777777" w:rsidR="006C700D" w:rsidRDefault="006C700D" w:rsidP="006C700D">
            <w:pPr>
              <w:pStyle w:val="DHHStabletext"/>
            </w:pPr>
            <w:r>
              <w:t>Oven - Microwave</w:t>
            </w:r>
          </w:p>
        </w:tc>
        <w:tc>
          <w:tcPr>
            <w:tcW w:w="1040" w:type="pct"/>
            <w:shd w:val="clear" w:color="auto" w:fill="auto"/>
            <w:noWrap/>
            <w:vAlign w:val="bottom"/>
            <w:hideMark/>
          </w:tcPr>
          <w:p w14:paraId="04B4F62E" w14:textId="77777777" w:rsidR="006C700D" w:rsidRDefault="006C700D" w:rsidP="006C700D">
            <w:pPr>
              <w:pStyle w:val="DHHStabletext"/>
            </w:pPr>
            <w:r>
              <w:t>20</w:t>
            </w:r>
          </w:p>
        </w:tc>
      </w:tr>
      <w:tr w:rsidR="006C700D" w14:paraId="2924797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DA0D631" w14:textId="77777777" w:rsidR="006C700D" w:rsidRDefault="006C700D" w:rsidP="006C700D">
            <w:pPr>
              <w:pStyle w:val="DHHStabletext"/>
            </w:pPr>
            <w:r>
              <w:t>Paint spray booth</w:t>
            </w:r>
          </w:p>
        </w:tc>
        <w:tc>
          <w:tcPr>
            <w:tcW w:w="1040" w:type="pct"/>
            <w:shd w:val="clear" w:color="auto" w:fill="auto"/>
            <w:noWrap/>
            <w:vAlign w:val="bottom"/>
            <w:hideMark/>
          </w:tcPr>
          <w:p w14:paraId="0E45DC63" w14:textId="77777777" w:rsidR="006C700D" w:rsidRDefault="006C700D" w:rsidP="006C700D">
            <w:pPr>
              <w:pStyle w:val="DHHStabletext"/>
            </w:pPr>
            <w:r>
              <w:t>6.6</w:t>
            </w:r>
          </w:p>
        </w:tc>
      </w:tr>
      <w:tr w:rsidR="006C700D" w14:paraId="69DFB9D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7557ABC" w14:textId="77777777" w:rsidR="006C700D" w:rsidRDefault="006C700D" w:rsidP="006C700D">
            <w:pPr>
              <w:pStyle w:val="DHHStabletext"/>
            </w:pPr>
            <w:r>
              <w:t>Paint spray machine</w:t>
            </w:r>
          </w:p>
        </w:tc>
        <w:tc>
          <w:tcPr>
            <w:tcW w:w="1040" w:type="pct"/>
            <w:shd w:val="clear" w:color="auto" w:fill="auto"/>
            <w:noWrap/>
            <w:vAlign w:val="bottom"/>
            <w:hideMark/>
          </w:tcPr>
          <w:p w14:paraId="255285B2" w14:textId="77777777" w:rsidR="006C700D" w:rsidRDefault="006C700D" w:rsidP="006C700D">
            <w:pPr>
              <w:pStyle w:val="DHHStabletext"/>
            </w:pPr>
            <w:r>
              <w:t>10</w:t>
            </w:r>
          </w:p>
        </w:tc>
      </w:tr>
      <w:tr w:rsidR="006C700D" w14:paraId="593028D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6E8F4C0" w14:textId="77777777" w:rsidR="006C700D" w:rsidRDefault="006C700D" w:rsidP="006C700D">
            <w:pPr>
              <w:pStyle w:val="DHHStabletext"/>
            </w:pPr>
            <w:r>
              <w:t>Paper baler</w:t>
            </w:r>
          </w:p>
        </w:tc>
        <w:tc>
          <w:tcPr>
            <w:tcW w:w="1040" w:type="pct"/>
            <w:shd w:val="clear" w:color="auto" w:fill="auto"/>
            <w:noWrap/>
            <w:vAlign w:val="bottom"/>
            <w:hideMark/>
          </w:tcPr>
          <w:p w14:paraId="72023174" w14:textId="77777777" w:rsidR="006C700D" w:rsidRDefault="006C700D" w:rsidP="006C700D">
            <w:pPr>
              <w:pStyle w:val="DHHStabletext"/>
            </w:pPr>
            <w:r>
              <w:t>6.6</w:t>
            </w:r>
          </w:p>
        </w:tc>
      </w:tr>
      <w:tr w:rsidR="006C700D" w14:paraId="3FB3A6AE"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79AFFE5" w14:textId="77777777" w:rsidR="006C700D" w:rsidRDefault="006C700D" w:rsidP="006C700D">
            <w:pPr>
              <w:pStyle w:val="DHHStabletext"/>
            </w:pPr>
            <w:r>
              <w:lastRenderedPageBreak/>
              <w:t>Parallel bars</w:t>
            </w:r>
          </w:p>
        </w:tc>
        <w:tc>
          <w:tcPr>
            <w:tcW w:w="1040" w:type="pct"/>
            <w:shd w:val="clear" w:color="auto" w:fill="auto"/>
            <w:noWrap/>
            <w:vAlign w:val="bottom"/>
            <w:hideMark/>
          </w:tcPr>
          <w:p w14:paraId="0057B47C" w14:textId="77777777" w:rsidR="006C700D" w:rsidRDefault="006C700D" w:rsidP="006C700D">
            <w:pPr>
              <w:pStyle w:val="DHHStabletext"/>
            </w:pPr>
            <w:r>
              <w:t>6.6</w:t>
            </w:r>
          </w:p>
        </w:tc>
      </w:tr>
      <w:tr w:rsidR="006C700D" w14:paraId="6ED1C19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A0E2C70" w14:textId="77777777" w:rsidR="006C700D" w:rsidRDefault="006C700D" w:rsidP="006C700D">
            <w:pPr>
              <w:pStyle w:val="DHHStabletext"/>
            </w:pPr>
            <w:r>
              <w:t>Photocopier</w:t>
            </w:r>
          </w:p>
        </w:tc>
        <w:tc>
          <w:tcPr>
            <w:tcW w:w="1040" w:type="pct"/>
            <w:shd w:val="clear" w:color="auto" w:fill="auto"/>
            <w:noWrap/>
            <w:vAlign w:val="bottom"/>
            <w:hideMark/>
          </w:tcPr>
          <w:p w14:paraId="3CCBBB00" w14:textId="77777777" w:rsidR="006C700D" w:rsidRDefault="006C700D" w:rsidP="006C700D">
            <w:pPr>
              <w:pStyle w:val="DHHStabletext"/>
            </w:pPr>
            <w:r>
              <w:t>10</w:t>
            </w:r>
          </w:p>
        </w:tc>
      </w:tr>
      <w:tr w:rsidR="006C700D" w14:paraId="427B9C1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FFBDE51" w14:textId="77777777" w:rsidR="006C700D" w:rsidRDefault="006C700D" w:rsidP="006C700D">
            <w:pPr>
              <w:pStyle w:val="DHHStabletext"/>
            </w:pPr>
            <w:r>
              <w:t>Piano</w:t>
            </w:r>
          </w:p>
        </w:tc>
        <w:tc>
          <w:tcPr>
            <w:tcW w:w="1040" w:type="pct"/>
            <w:shd w:val="clear" w:color="auto" w:fill="auto"/>
            <w:noWrap/>
            <w:vAlign w:val="bottom"/>
            <w:hideMark/>
          </w:tcPr>
          <w:p w14:paraId="7C8CD95C" w14:textId="77777777" w:rsidR="006C700D" w:rsidRDefault="006C700D" w:rsidP="006C700D">
            <w:pPr>
              <w:pStyle w:val="DHHStabletext"/>
            </w:pPr>
            <w:r>
              <w:t>5</w:t>
            </w:r>
          </w:p>
        </w:tc>
      </w:tr>
      <w:tr w:rsidR="006C700D" w14:paraId="728817B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B1F7645" w14:textId="77777777" w:rsidR="006C700D" w:rsidRDefault="006C700D" w:rsidP="006C700D">
            <w:pPr>
              <w:pStyle w:val="DHHStabletext"/>
            </w:pPr>
            <w:r>
              <w:t>Polisher and buffing machine</w:t>
            </w:r>
          </w:p>
        </w:tc>
        <w:tc>
          <w:tcPr>
            <w:tcW w:w="1040" w:type="pct"/>
            <w:shd w:val="clear" w:color="auto" w:fill="auto"/>
            <w:noWrap/>
            <w:vAlign w:val="bottom"/>
            <w:hideMark/>
          </w:tcPr>
          <w:p w14:paraId="21090817" w14:textId="77777777" w:rsidR="006C700D" w:rsidRDefault="006C700D" w:rsidP="006C700D">
            <w:pPr>
              <w:pStyle w:val="DHHStabletext"/>
            </w:pPr>
            <w:r>
              <w:t>12.5</w:t>
            </w:r>
          </w:p>
        </w:tc>
      </w:tr>
      <w:tr w:rsidR="006C700D" w14:paraId="7392034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A02E4FA" w14:textId="77777777" w:rsidR="006C700D" w:rsidRDefault="006C700D" w:rsidP="006C700D">
            <w:pPr>
              <w:pStyle w:val="DHHStabletext"/>
            </w:pPr>
            <w:r>
              <w:t>Polisher, floor</w:t>
            </w:r>
          </w:p>
        </w:tc>
        <w:tc>
          <w:tcPr>
            <w:tcW w:w="1040" w:type="pct"/>
            <w:shd w:val="clear" w:color="auto" w:fill="auto"/>
            <w:noWrap/>
            <w:vAlign w:val="bottom"/>
            <w:hideMark/>
          </w:tcPr>
          <w:p w14:paraId="0C1743D5" w14:textId="77777777" w:rsidR="006C700D" w:rsidRDefault="006C700D" w:rsidP="006C700D">
            <w:pPr>
              <w:pStyle w:val="DHHStabletext"/>
            </w:pPr>
            <w:r>
              <w:t>12.5</w:t>
            </w:r>
          </w:p>
        </w:tc>
      </w:tr>
      <w:tr w:rsidR="006C700D" w14:paraId="55FA150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3942D15" w14:textId="77777777" w:rsidR="006C700D" w:rsidRDefault="006C700D" w:rsidP="006C700D">
            <w:pPr>
              <w:pStyle w:val="DHHStabletext"/>
            </w:pPr>
            <w:r>
              <w:t>Power Supply</w:t>
            </w:r>
          </w:p>
        </w:tc>
        <w:tc>
          <w:tcPr>
            <w:tcW w:w="1040" w:type="pct"/>
            <w:shd w:val="clear" w:color="auto" w:fill="auto"/>
            <w:noWrap/>
            <w:vAlign w:val="bottom"/>
            <w:hideMark/>
          </w:tcPr>
          <w:p w14:paraId="26924F54" w14:textId="77777777" w:rsidR="006C700D" w:rsidRDefault="006C700D" w:rsidP="006C700D">
            <w:pPr>
              <w:pStyle w:val="DHHStabletext"/>
            </w:pPr>
            <w:r>
              <w:t>10</w:t>
            </w:r>
          </w:p>
        </w:tc>
      </w:tr>
      <w:tr w:rsidR="00C55638" w:rsidRPr="00C55638" w14:paraId="61C02DC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606246E" w14:textId="4A2D5686" w:rsidR="006C700D" w:rsidRPr="00C55638" w:rsidRDefault="006C700D" w:rsidP="006C700D">
            <w:pPr>
              <w:pStyle w:val="DHHStabletext"/>
            </w:pPr>
            <w:r w:rsidRPr="00C55638">
              <w:t>Projector</w:t>
            </w:r>
            <w:r w:rsidR="00C55638" w:rsidRPr="00C55638">
              <w:t xml:space="preserve"> - Film</w:t>
            </w:r>
          </w:p>
        </w:tc>
        <w:tc>
          <w:tcPr>
            <w:tcW w:w="1040" w:type="pct"/>
            <w:shd w:val="clear" w:color="auto" w:fill="auto"/>
            <w:noWrap/>
            <w:vAlign w:val="bottom"/>
            <w:hideMark/>
          </w:tcPr>
          <w:p w14:paraId="64B07D34" w14:textId="62A2349E" w:rsidR="006C700D" w:rsidRPr="00C55638" w:rsidRDefault="00C55638" w:rsidP="006C700D">
            <w:pPr>
              <w:pStyle w:val="DHHStabletext"/>
            </w:pPr>
            <w:r w:rsidRPr="00C55638">
              <w:t>10</w:t>
            </w:r>
          </w:p>
        </w:tc>
      </w:tr>
      <w:tr w:rsidR="00C55638" w:rsidRPr="00C55638" w14:paraId="39691EC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tcPr>
          <w:p w14:paraId="156B644B" w14:textId="0DD94113" w:rsidR="00C55638" w:rsidRPr="00C55638" w:rsidRDefault="00C55638" w:rsidP="006C700D">
            <w:pPr>
              <w:pStyle w:val="DHHStabletext"/>
            </w:pPr>
            <w:r w:rsidRPr="00C55638">
              <w:t>Projector - Slide</w:t>
            </w:r>
          </w:p>
        </w:tc>
        <w:tc>
          <w:tcPr>
            <w:tcW w:w="1040" w:type="pct"/>
            <w:shd w:val="clear" w:color="auto" w:fill="auto"/>
            <w:noWrap/>
            <w:vAlign w:val="bottom"/>
          </w:tcPr>
          <w:p w14:paraId="53F3574E" w14:textId="03C96C84" w:rsidR="00C55638" w:rsidRPr="00C55638" w:rsidRDefault="00C55638" w:rsidP="006C700D">
            <w:pPr>
              <w:pStyle w:val="DHHStabletext"/>
            </w:pPr>
            <w:r w:rsidRPr="00C55638">
              <w:t>10</w:t>
            </w:r>
          </w:p>
        </w:tc>
      </w:tr>
      <w:tr w:rsidR="006C700D" w14:paraId="625EAF0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4A9D942" w14:textId="77777777" w:rsidR="006C700D" w:rsidRDefault="006C700D" w:rsidP="006C700D">
            <w:pPr>
              <w:pStyle w:val="DHHStabletext"/>
            </w:pPr>
            <w:r>
              <w:t>Refrigerator - Commercial</w:t>
            </w:r>
          </w:p>
        </w:tc>
        <w:tc>
          <w:tcPr>
            <w:tcW w:w="1040" w:type="pct"/>
            <w:shd w:val="clear" w:color="auto" w:fill="auto"/>
            <w:noWrap/>
            <w:vAlign w:val="bottom"/>
            <w:hideMark/>
          </w:tcPr>
          <w:p w14:paraId="23006CE7" w14:textId="77777777" w:rsidR="006C700D" w:rsidRDefault="006C700D" w:rsidP="006C700D">
            <w:pPr>
              <w:pStyle w:val="DHHStabletext"/>
            </w:pPr>
            <w:r>
              <w:t>10</w:t>
            </w:r>
          </w:p>
        </w:tc>
      </w:tr>
      <w:tr w:rsidR="006C700D" w14:paraId="2F94919E"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56DD34B" w14:textId="77777777" w:rsidR="006C700D" w:rsidRDefault="006C700D" w:rsidP="006C700D">
            <w:pPr>
              <w:pStyle w:val="DHHStabletext"/>
            </w:pPr>
            <w:r>
              <w:t>Refrigerator - Domestic</w:t>
            </w:r>
          </w:p>
        </w:tc>
        <w:tc>
          <w:tcPr>
            <w:tcW w:w="1040" w:type="pct"/>
            <w:shd w:val="clear" w:color="auto" w:fill="auto"/>
            <w:noWrap/>
            <w:vAlign w:val="bottom"/>
            <w:hideMark/>
          </w:tcPr>
          <w:p w14:paraId="414FDB15" w14:textId="77777777" w:rsidR="006C700D" w:rsidRDefault="006C700D" w:rsidP="006C700D">
            <w:pPr>
              <w:pStyle w:val="DHHStabletext"/>
            </w:pPr>
            <w:r>
              <w:t>10</w:t>
            </w:r>
          </w:p>
        </w:tc>
      </w:tr>
      <w:tr w:rsidR="006C700D" w14:paraId="6ACEEC8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1A31DD5" w14:textId="77777777" w:rsidR="006C700D" w:rsidRDefault="006C700D" w:rsidP="006C700D">
            <w:pPr>
              <w:pStyle w:val="DHHStabletext"/>
            </w:pPr>
            <w:r>
              <w:t>Refrigerator - Under-counter</w:t>
            </w:r>
          </w:p>
        </w:tc>
        <w:tc>
          <w:tcPr>
            <w:tcW w:w="1040" w:type="pct"/>
            <w:shd w:val="clear" w:color="auto" w:fill="auto"/>
            <w:noWrap/>
            <w:vAlign w:val="bottom"/>
            <w:hideMark/>
          </w:tcPr>
          <w:p w14:paraId="19BC6081" w14:textId="77777777" w:rsidR="006C700D" w:rsidRDefault="006C700D" w:rsidP="006C700D">
            <w:pPr>
              <w:pStyle w:val="DHHStabletext"/>
            </w:pPr>
            <w:r>
              <w:t>10</w:t>
            </w:r>
          </w:p>
        </w:tc>
      </w:tr>
      <w:tr w:rsidR="006C700D" w14:paraId="5E28086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F551C0A" w14:textId="77777777" w:rsidR="006C700D" w:rsidRDefault="006C700D" w:rsidP="006C700D">
            <w:pPr>
              <w:pStyle w:val="DHHStabletext"/>
            </w:pPr>
            <w:r>
              <w:t>Rotary tiller</w:t>
            </w:r>
          </w:p>
        </w:tc>
        <w:tc>
          <w:tcPr>
            <w:tcW w:w="1040" w:type="pct"/>
            <w:shd w:val="clear" w:color="auto" w:fill="auto"/>
            <w:noWrap/>
            <w:vAlign w:val="bottom"/>
            <w:hideMark/>
          </w:tcPr>
          <w:p w14:paraId="1F215E36" w14:textId="77777777" w:rsidR="006C700D" w:rsidRDefault="006C700D" w:rsidP="006C700D">
            <w:pPr>
              <w:pStyle w:val="DHHStabletext"/>
            </w:pPr>
            <w:r>
              <w:t>10</w:t>
            </w:r>
          </w:p>
        </w:tc>
      </w:tr>
      <w:tr w:rsidR="006C700D" w14:paraId="39CD202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0D6EF2C" w14:textId="77777777" w:rsidR="006C700D" w:rsidRDefault="006C700D" w:rsidP="006C700D">
            <w:pPr>
              <w:pStyle w:val="DHHStabletext"/>
            </w:pPr>
            <w:r>
              <w:t>Safe - Key</w:t>
            </w:r>
          </w:p>
        </w:tc>
        <w:tc>
          <w:tcPr>
            <w:tcW w:w="1040" w:type="pct"/>
            <w:shd w:val="clear" w:color="auto" w:fill="auto"/>
            <w:noWrap/>
            <w:vAlign w:val="bottom"/>
            <w:hideMark/>
          </w:tcPr>
          <w:p w14:paraId="10A234B8" w14:textId="77777777" w:rsidR="006C700D" w:rsidRDefault="006C700D" w:rsidP="006C700D">
            <w:pPr>
              <w:pStyle w:val="DHHStabletext"/>
            </w:pPr>
            <w:r>
              <w:t>10</w:t>
            </w:r>
          </w:p>
        </w:tc>
      </w:tr>
      <w:tr w:rsidR="006C700D" w14:paraId="394A83A0"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D566F0D" w14:textId="77777777" w:rsidR="006C700D" w:rsidRDefault="006C700D" w:rsidP="006C700D">
            <w:pPr>
              <w:pStyle w:val="DHHStabletext"/>
            </w:pPr>
            <w:r>
              <w:t>Safe - Narcotic</w:t>
            </w:r>
          </w:p>
        </w:tc>
        <w:tc>
          <w:tcPr>
            <w:tcW w:w="1040" w:type="pct"/>
            <w:shd w:val="clear" w:color="auto" w:fill="auto"/>
            <w:noWrap/>
            <w:vAlign w:val="bottom"/>
            <w:hideMark/>
          </w:tcPr>
          <w:p w14:paraId="47EF1020" w14:textId="77777777" w:rsidR="006C700D" w:rsidRDefault="006C700D" w:rsidP="006C700D">
            <w:pPr>
              <w:pStyle w:val="DHHStabletext"/>
            </w:pPr>
            <w:r>
              <w:t>10</w:t>
            </w:r>
          </w:p>
        </w:tc>
      </w:tr>
      <w:tr w:rsidR="006C700D" w14:paraId="74D2B56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AA86F75" w14:textId="77777777" w:rsidR="006C700D" w:rsidRDefault="006C700D" w:rsidP="006C700D">
            <w:pPr>
              <w:pStyle w:val="DHHStabletext"/>
            </w:pPr>
            <w:r>
              <w:t>Safe - Office</w:t>
            </w:r>
          </w:p>
        </w:tc>
        <w:tc>
          <w:tcPr>
            <w:tcW w:w="1040" w:type="pct"/>
            <w:shd w:val="clear" w:color="auto" w:fill="auto"/>
            <w:noWrap/>
            <w:vAlign w:val="bottom"/>
            <w:hideMark/>
          </w:tcPr>
          <w:p w14:paraId="2AC8CFA5" w14:textId="77777777" w:rsidR="006C700D" w:rsidRDefault="006C700D" w:rsidP="006C700D">
            <w:pPr>
              <w:pStyle w:val="DHHStabletext"/>
            </w:pPr>
            <w:r>
              <w:t>5</w:t>
            </w:r>
          </w:p>
        </w:tc>
      </w:tr>
      <w:tr w:rsidR="006C700D" w14:paraId="034C6E3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285D655" w14:textId="77777777" w:rsidR="006C700D" w:rsidRDefault="006C700D" w:rsidP="006C700D">
            <w:pPr>
              <w:pStyle w:val="DHHStabletext"/>
            </w:pPr>
            <w:r>
              <w:t>Saw - Band</w:t>
            </w:r>
          </w:p>
        </w:tc>
        <w:tc>
          <w:tcPr>
            <w:tcW w:w="1040" w:type="pct"/>
            <w:shd w:val="clear" w:color="auto" w:fill="auto"/>
            <w:noWrap/>
            <w:vAlign w:val="bottom"/>
            <w:hideMark/>
          </w:tcPr>
          <w:p w14:paraId="737C516B" w14:textId="77777777" w:rsidR="006C700D" w:rsidRDefault="006C700D" w:rsidP="006C700D">
            <w:pPr>
              <w:pStyle w:val="DHHStabletext"/>
            </w:pPr>
            <w:r>
              <w:t>10</w:t>
            </w:r>
          </w:p>
        </w:tc>
      </w:tr>
      <w:tr w:rsidR="006C700D" w14:paraId="5AD3677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62CB64E" w14:textId="77777777" w:rsidR="006C700D" w:rsidRDefault="006C700D" w:rsidP="006C700D">
            <w:pPr>
              <w:pStyle w:val="DHHStabletext"/>
            </w:pPr>
            <w:r>
              <w:t>Saw - Bench, electric</w:t>
            </w:r>
          </w:p>
        </w:tc>
        <w:tc>
          <w:tcPr>
            <w:tcW w:w="1040" w:type="pct"/>
            <w:shd w:val="clear" w:color="auto" w:fill="auto"/>
            <w:noWrap/>
            <w:vAlign w:val="bottom"/>
            <w:hideMark/>
          </w:tcPr>
          <w:p w14:paraId="1C5A9A05" w14:textId="77777777" w:rsidR="006C700D" w:rsidRDefault="006C700D" w:rsidP="006C700D">
            <w:pPr>
              <w:pStyle w:val="DHHStabletext"/>
            </w:pPr>
            <w:r>
              <w:t>10</w:t>
            </w:r>
          </w:p>
        </w:tc>
      </w:tr>
      <w:tr w:rsidR="006C700D" w14:paraId="23E6E41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B351C2A" w14:textId="77777777" w:rsidR="006C700D" w:rsidRDefault="006C700D" w:rsidP="006C700D">
            <w:pPr>
              <w:pStyle w:val="DHHStabletext"/>
            </w:pPr>
            <w:r>
              <w:t>Scale - Baby</w:t>
            </w:r>
          </w:p>
        </w:tc>
        <w:tc>
          <w:tcPr>
            <w:tcW w:w="1040" w:type="pct"/>
            <w:shd w:val="clear" w:color="auto" w:fill="auto"/>
            <w:noWrap/>
            <w:vAlign w:val="bottom"/>
            <w:hideMark/>
          </w:tcPr>
          <w:p w14:paraId="3F867297" w14:textId="77777777" w:rsidR="006C700D" w:rsidRDefault="006C700D" w:rsidP="006C700D">
            <w:pPr>
              <w:pStyle w:val="DHHStabletext"/>
            </w:pPr>
            <w:r>
              <w:t>6.6</w:t>
            </w:r>
          </w:p>
        </w:tc>
      </w:tr>
      <w:tr w:rsidR="006C700D" w14:paraId="28AE418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BC9535E" w14:textId="77777777" w:rsidR="006C700D" w:rsidRDefault="006C700D" w:rsidP="006C700D">
            <w:pPr>
              <w:pStyle w:val="DHHStabletext"/>
            </w:pPr>
            <w:r>
              <w:t>Scale - Chair</w:t>
            </w:r>
          </w:p>
        </w:tc>
        <w:tc>
          <w:tcPr>
            <w:tcW w:w="1040" w:type="pct"/>
            <w:shd w:val="clear" w:color="auto" w:fill="auto"/>
            <w:noWrap/>
            <w:vAlign w:val="bottom"/>
            <w:hideMark/>
          </w:tcPr>
          <w:p w14:paraId="25903782" w14:textId="77777777" w:rsidR="006C700D" w:rsidRDefault="006C700D" w:rsidP="006C700D">
            <w:pPr>
              <w:pStyle w:val="DHHStabletext"/>
            </w:pPr>
            <w:r>
              <w:t>6.6</w:t>
            </w:r>
          </w:p>
        </w:tc>
      </w:tr>
      <w:tr w:rsidR="006C700D" w14:paraId="1A504C99"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014C6F0" w14:textId="77777777" w:rsidR="006C700D" w:rsidRDefault="006C700D" w:rsidP="006C700D">
            <w:pPr>
              <w:pStyle w:val="DHHStabletext"/>
            </w:pPr>
            <w:r>
              <w:t>Scale - Postal</w:t>
            </w:r>
          </w:p>
        </w:tc>
        <w:tc>
          <w:tcPr>
            <w:tcW w:w="1040" w:type="pct"/>
            <w:shd w:val="clear" w:color="auto" w:fill="auto"/>
            <w:noWrap/>
            <w:vAlign w:val="bottom"/>
            <w:hideMark/>
          </w:tcPr>
          <w:p w14:paraId="7820B86E" w14:textId="77777777" w:rsidR="006C700D" w:rsidRDefault="006C700D" w:rsidP="006C700D">
            <w:pPr>
              <w:pStyle w:val="DHHStabletext"/>
            </w:pPr>
            <w:r>
              <w:t>10</w:t>
            </w:r>
          </w:p>
        </w:tc>
      </w:tr>
      <w:tr w:rsidR="006C700D" w14:paraId="018EDFB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5974E25" w14:textId="77777777" w:rsidR="006C700D" w:rsidRDefault="006C700D" w:rsidP="006C700D">
            <w:pPr>
              <w:pStyle w:val="DHHStabletext"/>
            </w:pPr>
            <w:r>
              <w:t>Sewing machine</w:t>
            </w:r>
          </w:p>
        </w:tc>
        <w:tc>
          <w:tcPr>
            <w:tcW w:w="1040" w:type="pct"/>
            <w:shd w:val="clear" w:color="auto" w:fill="auto"/>
            <w:noWrap/>
            <w:vAlign w:val="bottom"/>
            <w:hideMark/>
          </w:tcPr>
          <w:p w14:paraId="689D9CA2" w14:textId="77777777" w:rsidR="006C700D" w:rsidRDefault="006C700D" w:rsidP="006C700D">
            <w:pPr>
              <w:pStyle w:val="DHHStabletext"/>
            </w:pPr>
            <w:r>
              <w:t>6.6</w:t>
            </w:r>
          </w:p>
        </w:tc>
      </w:tr>
      <w:tr w:rsidR="006C700D" w14:paraId="357C220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129931F" w14:textId="77777777" w:rsidR="006C700D" w:rsidRDefault="006C700D" w:rsidP="006C700D">
            <w:pPr>
              <w:pStyle w:val="DHHStabletext"/>
            </w:pPr>
            <w:r>
              <w:t>Shelving, portable, steel</w:t>
            </w:r>
          </w:p>
        </w:tc>
        <w:tc>
          <w:tcPr>
            <w:tcW w:w="1040" w:type="pct"/>
            <w:shd w:val="clear" w:color="auto" w:fill="auto"/>
            <w:noWrap/>
            <w:vAlign w:val="bottom"/>
            <w:hideMark/>
          </w:tcPr>
          <w:p w14:paraId="12FE0114" w14:textId="77777777" w:rsidR="006C700D" w:rsidRDefault="006C700D" w:rsidP="006C700D">
            <w:pPr>
              <w:pStyle w:val="DHHStabletext"/>
            </w:pPr>
            <w:r>
              <w:t>5</w:t>
            </w:r>
          </w:p>
        </w:tc>
      </w:tr>
      <w:tr w:rsidR="006C700D" w14:paraId="543C6BD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6321E23" w14:textId="77777777" w:rsidR="006C700D" w:rsidRDefault="006C700D" w:rsidP="006C700D">
            <w:pPr>
              <w:pStyle w:val="DHHStabletext"/>
            </w:pPr>
            <w:r>
              <w:t>Skeleton</w:t>
            </w:r>
          </w:p>
        </w:tc>
        <w:tc>
          <w:tcPr>
            <w:tcW w:w="1040" w:type="pct"/>
            <w:shd w:val="clear" w:color="auto" w:fill="auto"/>
            <w:noWrap/>
            <w:vAlign w:val="bottom"/>
            <w:hideMark/>
          </w:tcPr>
          <w:p w14:paraId="7BBB1C5F" w14:textId="77777777" w:rsidR="006C700D" w:rsidRDefault="006C700D" w:rsidP="006C700D">
            <w:pPr>
              <w:pStyle w:val="DHHStabletext"/>
            </w:pPr>
            <w:r>
              <w:t>10</w:t>
            </w:r>
          </w:p>
        </w:tc>
      </w:tr>
      <w:tr w:rsidR="006C700D" w14:paraId="08CAD19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D02C0CC" w14:textId="77777777" w:rsidR="006C700D" w:rsidRDefault="006C700D" w:rsidP="006C700D">
            <w:pPr>
              <w:pStyle w:val="DHHStabletext"/>
            </w:pPr>
            <w:r>
              <w:t>Slide</w:t>
            </w:r>
          </w:p>
        </w:tc>
        <w:tc>
          <w:tcPr>
            <w:tcW w:w="1040" w:type="pct"/>
            <w:shd w:val="clear" w:color="auto" w:fill="auto"/>
            <w:noWrap/>
            <w:vAlign w:val="bottom"/>
            <w:hideMark/>
          </w:tcPr>
          <w:p w14:paraId="5DAB1ED6" w14:textId="77777777" w:rsidR="006C700D" w:rsidRDefault="006C700D" w:rsidP="006C700D">
            <w:pPr>
              <w:pStyle w:val="DHHStabletext"/>
            </w:pPr>
            <w:r>
              <w:t>10</w:t>
            </w:r>
          </w:p>
        </w:tc>
      </w:tr>
      <w:tr w:rsidR="006C700D" w14:paraId="2FAEBB8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7D712CC" w14:textId="77777777" w:rsidR="006C700D" w:rsidRDefault="006C700D" w:rsidP="006C700D">
            <w:pPr>
              <w:pStyle w:val="DHHStabletext"/>
            </w:pPr>
            <w:r>
              <w:t>Stapler, electric/air</w:t>
            </w:r>
          </w:p>
        </w:tc>
        <w:tc>
          <w:tcPr>
            <w:tcW w:w="1040" w:type="pct"/>
            <w:shd w:val="clear" w:color="auto" w:fill="auto"/>
            <w:noWrap/>
            <w:vAlign w:val="bottom"/>
            <w:hideMark/>
          </w:tcPr>
          <w:p w14:paraId="40F91BDD" w14:textId="77777777" w:rsidR="006C700D" w:rsidRDefault="006C700D" w:rsidP="006C700D">
            <w:pPr>
              <w:pStyle w:val="DHHStabletext"/>
            </w:pPr>
            <w:r>
              <w:t>10</w:t>
            </w:r>
          </w:p>
        </w:tc>
      </w:tr>
      <w:tr w:rsidR="006C700D" w14:paraId="70538FC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D5C5C57" w14:textId="77777777" w:rsidR="006C700D" w:rsidRDefault="006C700D" w:rsidP="006C700D">
            <w:pPr>
              <w:pStyle w:val="DHHStabletext"/>
            </w:pPr>
            <w:r>
              <w:t>Stencil machine</w:t>
            </w:r>
          </w:p>
        </w:tc>
        <w:tc>
          <w:tcPr>
            <w:tcW w:w="1040" w:type="pct"/>
            <w:shd w:val="clear" w:color="auto" w:fill="auto"/>
            <w:noWrap/>
            <w:vAlign w:val="bottom"/>
            <w:hideMark/>
          </w:tcPr>
          <w:p w14:paraId="3B4F67F2" w14:textId="77777777" w:rsidR="006C700D" w:rsidRDefault="006C700D" w:rsidP="006C700D">
            <w:pPr>
              <w:pStyle w:val="DHHStabletext"/>
            </w:pPr>
            <w:r>
              <w:t>10</w:t>
            </w:r>
          </w:p>
        </w:tc>
      </w:tr>
      <w:tr w:rsidR="006C700D" w14:paraId="43BE226E"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0C059A1" w14:textId="77777777" w:rsidR="006C700D" w:rsidRDefault="006C700D" w:rsidP="006C700D">
            <w:pPr>
              <w:pStyle w:val="DHHStabletext"/>
            </w:pPr>
            <w:r>
              <w:t>Stereo equipment</w:t>
            </w:r>
          </w:p>
        </w:tc>
        <w:tc>
          <w:tcPr>
            <w:tcW w:w="1040" w:type="pct"/>
            <w:shd w:val="clear" w:color="auto" w:fill="auto"/>
            <w:noWrap/>
            <w:vAlign w:val="bottom"/>
            <w:hideMark/>
          </w:tcPr>
          <w:p w14:paraId="7E3B4B21" w14:textId="77777777" w:rsidR="006C700D" w:rsidRDefault="006C700D" w:rsidP="006C700D">
            <w:pPr>
              <w:pStyle w:val="DHHStabletext"/>
            </w:pPr>
            <w:r>
              <w:t>20</w:t>
            </w:r>
          </w:p>
        </w:tc>
      </w:tr>
      <w:tr w:rsidR="006C700D" w14:paraId="6988958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03BB019" w14:textId="77777777" w:rsidR="006C700D" w:rsidRDefault="006C700D" w:rsidP="006C700D">
            <w:pPr>
              <w:pStyle w:val="DHHStabletext"/>
            </w:pPr>
            <w:r>
              <w:t>Stretcher</w:t>
            </w:r>
          </w:p>
        </w:tc>
        <w:tc>
          <w:tcPr>
            <w:tcW w:w="1040" w:type="pct"/>
            <w:shd w:val="clear" w:color="auto" w:fill="auto"/>
            <w:noWrap/>
            <w:vAlign w:val="bottom"/>
            <w:hideMark/>
          </w:tcPr>
          <w:p w14:paraId="3CDF9CA1" w14:textId="77777777" w:rsidR="006C700D" w:rsidRDefault="006C700D" w:rsidP="006C700D">
            <w:pPr>
              <w:pStyle w:val="DHHStabletext"/>
            </w:pPr>
            <w:r>
              <w:t>6.6</w:t>
            </w:r>
          </w:p>
        </w:tc>
      </w:tr>
      <w:tr w:rsidR="006C700D" w14:paraId="4C3FEDD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7DDD328" w14:textId="77777777" w:rsidR="006C700D" w:rsidRDefault="006C700D" w:rsidP="006C700D">
            <w:pPr>
              <w:pStyle w:val="DHHStabletext"/>
            </w:pPr>
            <w:r>
              <w:t>Table - Examining</w:t>
            </w:r>
          </w:p>
        </w:tc>
        <w:tc>
          <w:tcPr>
            <w:tcW w:w="1040" w:type="pct"/>
            <w:shd w:val="clear" w:color="auto" w:fill="auto"/>
            <w:noWrap/>
            <w:vAlign w:val="bottom"/>
            <w:hideMark/>
          </w:tcPr>
          <w:p w14:paraId="53FA8151" w14:textId="77777777" w:rsidR="006C700D" w:rsidRDefault="006C700D" w:rsidP="006C700D">
            <w:pPr>
              <w:pStyle w:val="DHHStabletext"/>
            </w:pPr>
            <w:r>
              <w:t>6.6</w:t>
            </w:r>
          </w:p>
        </w:tc>
      </w:tr>
      <w:tr w:rsidR="006C700D" w14:paraId="28CB63D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B93729F" w14:textId="77777777" w:rsidR="006C700D" w:rsidRDefault="006C700D" w:rsidP="006C700D">
            <w:pPr>
              <w:pStyle w:val="DHHStabletext"/>
            </w:pPr>
            <w:r>
              <w:t>Table - Food preparation</w:t>
            </w:r>
          </w:p>
        </w:tc>
        <w:tc>
          <w:tcPr>
            <w:tcW w:w="1040" w:type="pct"/>
            <w:shd w:val="clear" w:color="auto" w:fill="auto"/>
            <w:noWrap/>
            <w:vAlign w:val="bottom"/>
            <w:hideMark/>
          </w:tcPr>
          <w:p w14:paraId="72A115BA" w14:textId="77777777" w:rsidR="006C700D" w:rsidRDefault="006C700D" w:rsidP="006C700D">
            <w:pPr>
              <w:pStyle w:val="DHHStabletext"/>
            </w:pPr>
            <w:r>
              <w:t>6.6</w:t>
            </w:r>
          </w:p>
        </w:tc>
      </w:tr>
      <w:tr w:rsidR="006C700D" w14:paraId="7F28EB1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DC26F99" w14:textId="77777777" w:rsidR="006C700D" w:rsidRDefault="006C700D" w:rsidP="006C700D">
            <w:pPr>
              <w:pStyle w:val="DHHStabletext"/>
            </w:pPr>
            <w:r>
              <w:t>Table - Instrument</w:t>
            </w:r>
          </w:p>
        </w:tc>
        <w:tc>
          <w:tcPr>
            <w:tcW w:w="1040" w:type="pct"/>
            <w:shd w:val="clear" w:color="auto" w:fill="auto"/>
            <w:noWrap/>
            <w:vAlign w:val="bottom"/>
            <w:hideMark/>
          </w:tcPr>
          <w:p w14:paraId="47400C69" w14:textId="77777777" w:rsidR="006C700D" w:rsidRDefault="006C700D" w:rsidP="006C700D">
            <w:pPr>
              <w:pStyle w:val="DHHStabletext"/>
            </w:pPr>
            <w:r>
              <w:t>6.6</w:t>
            </w:r>
          </w:p>
        </w:tc>
      </w:tr>
      <w:tr w:rsidR="006C700D" w14:paraId="6253C29B"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FCFAE1D" w14:textId="77777777" w:rsidR="006C700D" w:rsidRDefault="006C700D" w:rsidP="006C700D">
            <w:pPr>
              <w:pStyle w:val="DHHStabletext"/>
            </w:pPr>
            <w:r>
              <w:t>Table - Light</w:t>
            </w:r>
          </w:p>
        </w:tc>
        <w:tc>
          <w:tcPr>
            <w:tcW w:w="1040" w:type="pct"/>
            <w:shd w:val="clear" w:color="auto" w:fill="auto"/>
            <w:noWrap/>
            <w:vAlign w:val="bottom"/>
            <w:hideMark/>
          </w:tcPr>
          <w:p w14:paraId="3D5789F1" w14:textId="77777777" w:rsidR="006C700D" w:rsidRDefault="006C700D" w:rsidP="006C700D">
            <w:pPr>
              <w:pStyle w:val="DHHStabletext"/>
            </w:pPr>
            <w:r>
              <w:t>6.6</w:t>
            </w:r>
          </w:p>
        </w:tc>
      </w:tr>
      <w:tr w:rsidR="006C700D" w14:paraId="35280A6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25DAF44" w14:textId="77777777" w:rsidR="006C700D" w:rsidRDefault="006C700D" w:rsidP="006C700D">
            <w:pPr>
              <w:pStyle w:val="DHHStabletext"/>
            </w:pPr>
            <w:r>
              <w:t>Table - Pool</w:t>
            </w:r>
          </w:p>
        </w:tc>
        <w:tc>
          <w:tcPr>
            <w:tcW w:w="1040" w:type="pct"/>
            <w:shd w:val="clear" w:color="auto" w:fill="auto"/>
            <w:noWrap/>
            <w:vAlign w:val="bottom"/>
            <w:hideMark/>
          </w:tcPr>
          <w:p w14:paraId="1F19A051" w14:textId="77777777" w:rsidR="006C700D" w:rsidRDefault="006C700D" w:rsidP="006C700D">
            <w:pPr>
              <w:pStyle w:val="DHHStabletext"/>
            </w:pPr>
            <w:r>
              <w:t>10</w:t>
            </w:r>
          </w:p>
        </w:tc>
      </w:tr>
      <w:tr w:rsidR="006C700D" w14:paraId="46BFFAD5"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C232BF7" w14:textId="77777777" w:rsidR="006C700D" w:rsidRDefault="006C700D" w:rsidP="006C700D">
            <w:pPr>
              <w:pStyle w:val="DHHStabletext"/>
            </w:pPr>
            <w:r>
              <w:t>Table - Television</w:t>
            </w:r>
          </w:p>
        </w:tc>
        <w:tc>
          <w:tcPr>
            <w:tcW w:w="1040" w:type="pct"/>
            <w:shd w:val="clear" w:color="auto" w:fill="auto"/>
            <w:noWrap/>
            <w:vAlign w:val="bottom"/>
            <w:hideMark/>
          </w:tcPr>
          <w:p w14:paraId="4C5A7ED1" w14:textId="77777777" w:rsidR="006C700D" w:rsidRDefault="006C700D" w:rsidP="006C700D">
            <w:pPr>
              <w:pStyle w:val="DHHStabletext"/>
            </w:pPr>
            <w:r>
              <w:t>20</w:t>
            </w:r>
          </w:p>
        </w:tc>
      </w:tr>
      <w:tr w:rsidR="006C700D" w14:paraId="306BFCF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E068E3A" w14:textId="77777777" w:rsidR="006C700D" w:rsidRDefault="006C700D" w:rsidP="006C700D">
            <w:pPr>
              <w:pStyle w:val="DHHStabletext"/>
            </w:pPr>
            <w:r>
              <w:lastRenderedPageBreak/>
              <w:t>Table - Therapy</w:t>
            </w:r>
          </w:p>
        </w:tc>
        <w:tc>
          <w:tcPr>
            <w:tcW w:w="1040" w:type="pct"/>
            <w:shd w:val="clear" w:color="auto" w:fill="auto"/>
            <w:noWrap/>
            <w:vAlign w:val="bottom"/>
            <w:hideMark/>
          </w:tcPr>
          <w:p w14:paraId="6C8B2088" w14:textId="77777777" w:rsidR="006C700D" w:rsidRDefault="006C700D" w:rsidP="006C700D">
            <w:pPr>
              <w:pStyle w:val="DHHStabletext"/>
            </w:pPr>
            <w:r>
              <w:t>6</w:t>
            </w:r>
          </w:p>
        </w:tc>
      </w:tr>
      <w:tr w:rsidR="006C700D" w14:paraId="6EEA20F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9D45770" w14:textId="77777777" w:rsidR="006C700D" w:rsidRDefault="006C700D" w:rsidP="006C700D">
            <w:pPr>
              <w:pStyle w:val="DHHStabletext"/>
            </w:pPr>
            <w:r>
              <w:t>Toaster - Commercial</w:t>
            </w:r>
          </w:p>
        </w:tc>
        <w:tc>
          <w:tcPr>
            <w:tcW w:w="1040" w:type="pct"/>
            <w:shd w:val="clear" w:color="auto" w:fill="auto"/>
            <w:noWrap/>
            <w:vAlign w:val="bottom"/>
            <w:hideMark/>
          </w:tcPr>
          <w:p w14:paraId="222B3703" w14:textId="77777777" w:rsidR="006C700D" w:rsidRDefault="006C700D" w:rsidP="006C700D">
            <w:pPr>
              <w:pStyle w:val="DHHStabletext"/>
            </w:pPr>
            <w:r>
              <w:t>10</w:t>
            </w:r>
          </w:p>
        </w:tc>
      </w:tr>
      <w:tr w:rsidR="006C700D" w14:paraId="471F698D"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6FF8A62" w14:textId="77777777" w:rsidR="006C700D" w:rsidRDefault="006C700D" w:rsidP="006C700D">
            <w:pPr>
              <w:pStyle w:val="DHHStabletext"/>
            </w:pPr>
            <w:r>
              <w:t>Toaster - Domestic</w:t>
            </w:r>
          </w:p>
        </w:tc>
        <w:tc>
          <w:tcPr>
            <w:tcW w:w="1040" w:type="pct"/>
            <w:shd w:val="clear" w:color="auto" w:fill="auto"/>
            <w:noWrap/>
            <w:vAlign w:val="bottom"/>
            <w:hideMark/>
          </w:tcPr>
          <w:p w14:paraId="346CA5BF" w14:textId="77777777" w:rsidR="006C700D" w:rsidRDefault="006C700D" w:rsidP="006C700D">
            <w:pPr>
              <w:pStyle w:val="DHHStabletext"/>
            </w:pPr>
            <w:r>
              <w:t>20</w:t>
            </w:r>
          </w:p>
        </w:tc>
      </w:tr>
      <w:tr w:rsidR="006C700D" w14:paraId="6CE6CCE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B2125E9" w14:textId="77777777" w:rsidR="006C700D" w:rsidRDefault="006C700D" w:rsidP="006C700D">
            <w:pPr>
              <w:pStyle w:val="DHHStabletext"/>
            </w:pPr>
            <w:r>
              <w:t>Transcribing equipment</w:t>
            </w:r>
          </w:p>
        </w:tc>
        <w:tc>
          <w:tcPr>
            <w:tcW w:w="1040" w:type="pct"/>
            <w:shd w:val="clear" w:color="auto" w:fill="auto"/>
            <w:noWrap/>
            <w:vAlign w:val="bottom"/>
            <w:hideMark/>
          </w:tcPr>
          <w:p w14:paraId="61B80D65" w14:textId="77777777" w:rsidR="006C700D" w:rsidRDefault="006C700D" w:rsidP="006C700D">
            <w:pPr>
              <w:pStyle w:val="DHHStabletext"/>
            </w:pPr>
            <w:r>
              <w:t>20</w:t>
            </w:r>
          </w:p>
        </w:tc>
      </w:tr>
      <w:tr w:rsidR="006C700D" w14:paraId="38A08656"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D4FCBBA" w14:textId="77777777" w:rsidR="006C700D" w:rsidRDefault="006C700D" w:rsidP="006C700D">
            <w:pPr>
              <w:pStyle w:val="DHHStabletext"/>
            </w:pPr>
            <w:r>
              <w:t>Treadmill, electric</w:t>
            </w:r>
          </w:p>
        </w:tc>
        <w:tc>
          <w:tcPr>
            <w:tcW w:w="1040" w:type="pct"/>
            <w:shd w:val="clear" w:color="auto" w:fill="auto"/>
            <w:noWrap/>
            <w:vAlign w:val="bottom"/>
            <w:hideMark/>
          </w:tcPr>
          <w:p w14:paraId="29478AB2" w14:textId="77777777" w:rsidR="006C700D" w:rsidRDefault="006C700D" w:rsidP="006C700D">
            <w:pPr>
              <w:pStyle w:val="DHHStabletext"/>
            </w:pPr>
            <w:r>
              <w:t>12.5</w:t>
            </w:r>
          </w:p>
        </w:tc>
      </w:tr>
      <w:tr w:rsidR="006C700D" w14:paraId="035971A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14E6983" w14:textId="77777777" w:rsidR="006C700D" w:rsidRDefault="006C700D" w:rsidP="006C700D">
            <w:pPr>
              <w:pStyle w:val="DHHStabletext"/>
            </w:pPr>
            <w:r>
              <w:t>Trolley - Domestic</w:t>
            </w:r>
          </w:p>
        </w:tc>
        <w:tc>
          <w:tcPr>
            <w:tcW w:w="1040" w:type="pct"/>
            <w:shd w:val="clear" w:color="auto" w:fill="auto"/>
            <w:noWrap/>
            <w:vAlign w:val="bottom"/>
            <w:hideMark/>
          </w:tcPr>
          <w:p w14:paraId="38327904" w14:textId="77777777" w:rsidR="006C700D" w:rsidRDefault="006C700D" w:rsidP="006C700D">
            <w:pPr>
              <w:pStyle w:val="DHHStabletext"/>
            </w:pPr>
            <w:r>
              <w:t>10</w:t>
            </w:r>
          </w:p>
        </w:tc>
      </w:tr>
      <w:tr w:rsidR="006C700D" w14:paraId="3E904FA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96A3238" w14:textId="77777777" w:rsidR="006C700D" w:rsidRDefault="006C700D" w:rsidP="006C700D">
            <w:pPr>
              <w:pStyle w:val="DHHStabletext"/>
            </w:pPr>
            <w:r>
              <w:t>Trolley - Food</w:t>
            </w:r>
          </w:p>
        </w:tc>
        <w:tc>
          <w:tcPr>
            <w:tcW w:w="1040" w:type="pct"/>
            <w:shd w:val="clear" w:color="auto" w:fill="auto"/>
            <w:noWrap/>
            <w:vAlign w:val="bottom"/>
            <w:hideMark/>
          </w:tcPr>
          <w:p w14:paraId="1A154F4F" w14:textId="77777777" w:rsidR="006C700D" w:rsidRDefault="006C700D" w:rsidP="006C700D">
            <w:pPr>
              <w:pStyle w:val="DHHStabletext"/>
            </w:pPr>
            <w:r>
              <w:t>10</w:t>
            </w:r>
          </w:p>
        </w:tc>
      </w:tr>
      <w:tr w:rsidR="006C700D" w14:paraId="7581F78F"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14DB914" w14:textId="77777777" w:rsidR="006C700D" w:rsidRDefault="006C700D" w:rsidP="006C700D">
            <w:pPr>
              <w:pStyle w:val="DHHStabletext"/>
            </w:pPr>
            <w:r>
              <w:t>Trolley - Utility</w:t>
            </w:r>
          </w:p>
        </w:tc>
        <w:tc>
          <w:tcPr>
            <w:tcW w:w="1040" w:type="pct"/>
            <w:shd w:val="clear" w:color="auto" w:fill="auto"/>
            <w:noWrap/>
            <w:vAlign w:val="bottom"/>
            <w:hideMark/>
          </w:tcPr>
          <w:p w14:paraId="5DC1F933" w14:textId="77777777" w:rsidR="006C700D" w:rsidRDefault="006C700D" w:rsidP="006C700D">
            <w:pPr>
              <w:pStyle w:val="DHHStabletext"/>
            </w:pPr>
            <w:r>
              <w:t>10</w:t>
            </w:r>
          </w:p>
        </w:tc>
      </w:tr>
      <w:tr w:rsidR="006C700D" w14:paraId="5F09B788"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6032795" w14:textId="77777777" w:rsidR="006C700D" w:rsidRDefault="006C700D" w:rsidP="006C700D">
            <w:pPr>
              <w:pStyle w:val="DHHStabletext"/>
            </w:pPr>
            <w:r>
              <w:t>Truck - Forklift</w:t>
            </w:r>
          </w:p>
        </w:tc>
        <w:tc>
          <w:tcPr>
            <w:tcW w:w="1040" w:type="pct"/>
            <w:shd w:val="clear" w:color="auto" w:fill="auto"/>
            <w:noWrap/>
            <w:vAlign w:val="bottom"/>
            <w:hideMark/>
          </w:tcPr>
          <w:p w14:paraId="121231B5" w14:textId="77777777" w:rsidR="006C700D" w:rsidRDefault="006C700D" w:rsidP="006C700D">
            <w:pPr>
              <w:pStyle w:val="DHHStabletext"/>
            </w:pPr>
            <w:r>
              <w:t>10</w:t>
            </w:r>
          </w:p>
        </w:tc>
      </w:tr>
      <w:tr w:rsidR="006C700D" w14:paraId="0CE1E3D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12D2C0E3" w14:textId="77777777" w:rsidR="006C700D" w:rsidRDefault="006C700D" w:rsidP="006C700D">
            <w:pPr>
              <w:pStyle w:val="DHHStabletext"/>
            </w:pPr>
            <w:r>
              <w:t>Truck - Hand</w:t>
            </w:r>
          </w:p>
        </w:tc>
        <w:tc>
          <w:tcPr>
            <w:tcW w:w="1040" w:type="pct"/>
            <w:shd w:val="clear" w:color="auto" w:fill="auto"/>
            <w:noWrap/>
            <w:vAlign w:val="bottom"/>
            <w:hideMark/>
          </w:tcPr>
          <w:p w14:paraId="3A3E8E32" w14:textId="77777777" w:rsidR="006C700D" w:rsidRDefault="006C700D" w:rsidP="006C700D">
            <w:pPr>
              <w:pStyle w:val="DHHStabletext"/>
            </w:pPr>
            <w:r>
              <w:t>10</w:t>
            </w:r>
          </w:p>
        </w:tc>
      </w:tr>
      <w:tr w:rsidR="006C700D" w14:paraId="0ED00E0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0ED7F9F" w14:textId="77777777" w:rsidR="006C700D" w:rsidRDefault="006C700D" w:rsidP="006C700D">
            <w:pPr>
              <w:pStyle w:val="DHHStabletext"/>
            </w:pPr>
            <w:r>
              <w:t>Typewriter - Electric</w:t>
            </w:r>
          </w:p>
        </w:tc>
        <w:tc>
          <w:tcPr>
            <w:tcW w:w="1040" w:type="pct"/>
            <w:shd w:val="clear" w:color="auto" w:fill="auto"/>
            <w:noWrap/>
            <w:vAlign w:val="bottom"/>
            <w:hideMark/>
          </w:tcPr>
          <w:p w14:paraId="4245E787" w14:textId="77777777" w:rsidR="006C700D" w:rsidRDefault="006C700D" w:rsidP="006C700D">
            <w:pPr>
              <w:pStyle w:val="DHHStabletext"/>
            </w:pPr>
            <w:r>
              <w:t>20</w:t>
            </w:r>
          </w:p>
        </w:tc>
      </w:tr>
      <w:tr w:rsidR="006C700D" w14:paraId="0EC3015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EB79A54" w14:textId="77777777" w:rsidR="006C700D" w:rsidRDefault="006C700D" w:rsidP="006C700D">
            <w:pPr>
              <w:pStyle w:val="DHHStabletext"/>
            </w:pPr>
            <w:r>
              <w:t>Typewriter - Manual</w:t>
            </w:r>
          </w:p>
        </w:tc>
        <w:tc>
          <w:tcPr>
            <w:tcW w:w="1040" w:type="pct"/>
            <w:shd w:val="clear" w:color="auto" w:fill="auto"/>
            <w:noWrap/>
            <w:vAlign w:val="bottom"/>
            <w:hideMark/>
          </w:tcPr>
          <w:p w14:paraId="44A87CA8" w14:textId="77777777" w:rsidR="006C700D" w:rsidRDefault="006C700D" w:rsidP="006C700D">
            <w:pPr>
              <w:pStyle w:val="DHHStabletext"/>
            </w:pPr>
            <w:r>
              <w:t>20</w:t>
            </w:r>
          </w:p>
        </w:tc>
      </w:tr>
      <w:tr w:rsidR="006C700D" w14:paraId="04C68283"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6A1724F2" w14:textId="77777777" w:rsidR="006C700D" w:rsidRDefault="006C700D" w:rsidP="006C700D">
            <w:pPr>
              <w:pStyle w:val="DHHStabletext"/>
            </w:pPr>
            <w:r>
              <w:t>Urn, coffee</w:t>
            </w:r>
          </w:p>
        </w:tc>
        <w:tc>
          <w:tcPr>
            <w:tcW w:w="1040" w:type="pct"/>
            <w:shd w:val="clear" w:color="auto" w:fill="auto"/>
            <w:noWrap/>
            <w:vAlign w:val="bottom"/>
            <w:hideMark/>
          </w:tcPr>
          <w:p w14:paraId="14F1368D" w14:textId="77777777" w:rsidR="006C700D" w:rsidRDefault="006C700D" w:rsidP="006C700D">
            <w:pPr>
              <w:pStyle w:val="DHHStabletext"/>
            </w:pPr>
            <w:r>
              <w:t>10</w:t>
            </w:r>
          </w:p>
        </w:tc>
      </w:tr>
      <w:tr w:rsidR="006C700D" w14:paraId="1D186BE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E899369" w14:textId="77777777" w:rsidR="006C700D" w:rsidRDefault="006C700D" w:rsidP="006C700D">
            <w:pPr>
              <w:pStyle w:val="DHHStabletext"/>
            </w:pPr>
            <w:r>
              <w:t>Vacuum cleaner</w:t>
            </w:r>
          </w:p>
        </w:tc>
        <w:tc>
          <w:tcPr>
            <w:tcW w:w="1040" w:type="pct"/>
            <w:shd w:val="clear" w:color="auto" w:fill="auto"/>
            <w:noWrap/>
            <w:vAlign w:val="bottom"/>
            <w:hideMark/>
          </w:tcPr>
          <w:p w14:paraId="0EE9095A" w14:textId="77777777" w:rsidR="006C700D" w:rsidRDefault="006C700D" w:rsidP="006C700D">
            <w:pPr>
              <w:pStyle w:val="DHHStabletext"/>
            </w:pPr>
            <w:r>
              <w:t>10</w:t>
            </w:r>
          </w:p>
        </w:tc>
      </w:tr>
      <w:tr w:rsidR="006C700D" w14:paraId="0D7F0C52"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CEF7AB1" w14:textId="77777777" w:rsidR="006C700D" w:rsidRDefault="006C700D" w:rsidP="006C700D">
            <w:pPr>
              <w:pStyle w:val="DHHStabletext"/>
            </w:pPr>
            <w:r>
              <w:t xml:space="preserve">Vending </w:t>
            </w:r>
            <w:proofErr w:type="spellStart"/>
            <w:r>
              <w:t>machiner</w:t>
            </w:r>
            <w:proofErr w:type="spellEnd"/>
          </w:p>
        </w:tc>
        <w:tc>
          <w:tcPr>
            <w:tcW w:w="1040" w:type="pct"/>
            <w:shd w:val="clear" w:color="auto" w:fill="auto"/>
            <w:noWrap/>
            <w:vAlign w:val="bottom"/>
            <w:hideMark/>
          </w:tcPr>
          <w:p w14:paraId="1A42BDFB" w14:textId="77777777" w:rsidR="006C700D" w:rsidRDefault="006C700D" w:rsidP="006C700D">
            <w:pPr>
              <w:pStyle w:val="DHHStabletext"/>
            </w:pPr>
            <w:r>
              <w:t>10</w:t>
            </w:r>
          </w:p>
        </w:tc>
      </w:tr>
      <w:tr w:rsidR="006C700D" w14:paraId="34392664"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5E0859DD" w14:textId="77777777" w:rsidR="006C700D" w:rsidRDefault="006C700D" w:rsidP="006C700D">
            <w:pPr>
              <w:pStyle w:val="DHHStabletext"/>
            </w:pPr>
            <w:r>
              <w:t>Vice, large bench</w:t>
            </w:r>
          </w:p>
        </w:tc>
        <w:tc>
          <w:tcPr>
            <w:tcW w:w="1040" w:type="pct"/>
            <w:shd w:val="clear" w:color="auto" w:fill="auto"/>
            <w:noWrap/>
            <w:vAlign w:val="bottom"/>
            <w:hideMark/>
          </w:tcPr>
          <w:p w14:paraId="016C5658" w14:textId="77777777" w:rsidR="006C700D" w:rsidRDefault="006C700D" w:rsidP="006C700D">
            <w:pPr>
              <w:pStyle w:val="DHHStabletext"/>
            </w:pPr>
            <w:r>
              <w:t>5</w:t>
            </w:r>
          </w:p>
        </w:tc>
      </w:tr>
      <w:tr w:rsidR="006C700D" w14:paraId="41C7DC5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0F829B8E" w14:textId="77777777" w:rsidR="006C700D" w:rsidRDefault="006C700D" w:rsidP="006C700D">
            <w:pPr>
              <w:pStyle w:val="DHHStabletext"/>
            </w:pPr>
            <w:r>
              <w:t>Walkie-talkie</w:t>
            </w:r>
          </w:p>
        </w:tc>
        <w:tc>
          <w:tcPr>
            <w:tcW w:w="1040" w:type="pct"/>
            <w:shd w:val="clear" w:color="auto" w:fill="auto"/>
            <w:noWrap/>
            <w:vAlign w:val="bottom"/>
            <w:hideMark/>
          </w:tcPr>
          <w:p w14:paraId="209651AB" w14:textId="77777777" w:rsidR="006C700D" w:rsidRDefault="006C700D" w:rsidP="006C700D">
            <w:pPr>
              <w:pStyle w:val="DHHStabletext"/>
            </w:pPr>
            <w:r>
              <w:t>20</w:t>
            </w:r>
          </w:p>
        </w:tc>
      </w:tr>
      <w:tr w:rsidR="006C700D" w14:paraId="1D9A09A7"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2B5D7F57" w14:textId="77777777" w:rsidR="006C700D" w:rsidRDefault="006C700D" w:rsidP="006C700D">
            <w:pPr>
              <w:pStyle w:val="DHHStabletext"/>
            </w:pPr>
            <w:r>
              <w:t>Warmer - Dish</w:t>
            </w:r>
          </w:p>
        </w:tc>
        <w:tc>
          <w:tcPr>
            <w:tcW w:w="1040" w:type="pct"/>
            <w:shd w:val="clear" w:color="auto" w:fill="auto"/>
            <w:noWrap/>
            <w:vAlign w:val="bottom"/>
            <w:hideMark/>
          </w:tcPr>
          <w:p w14:paraId="3CEAFA88" w14:textId="77777777" w:rsidR="006C700D" w:rsidRDefault="006C700D" w:rsidP="006C700D">
            <w:pPr>
              <w:pStyle w:val="DHHStabletext"/>
            </w:pPr>
            <w:r>
              <w:t>10</w:t>
            </w:r>
          </w:p>
        </w:tc>
      </w:tr>
      <w:tr w:rsidR="006C700D" w14:paraId="0526AC1A"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97101C4" w14:textId="77777777" w:rsidR="006C700D" w:rsidRDefault="006C700D" w:rsidP="006C700D">
            <w:pPr>
              <w:pStyle w:val="DHHStabletext"/>
            </w:pPr>
            <w:r>
              <w:t>Warmer - Food</w:t>
            </w:r>
          </w:p>
        </w:tc>
        <w:tc>
          <w:tcPr>
            <w:tcW w:w="1040" w:type="pct"/>
            <w:shd w:val="clear" w:color="auto" w:fill="auto"/>
            <w:noWrap/>
            <w:vAlign w:val="bottom"/>
            <w:hideMark/>
          </w:tcPr>
          <w:p w14:paraId="3F5D9B96" w14:textId="77777777" w:rsidR="006C700D" w:rsidRDefault="006C700D" w:rsidP="006C700D">
            <w:pPr>
              <w:pStyle w:val="DHHStabletext"/>
            </w:pPr>
            <w:r>
              <w:t>10</w:t>
            </w:r>
          </w:p>
        </w:tc>
      </w:tr>
      <w:tr w:rsidR="006C700D" w14:paraId="3C787BFC"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37A5166C" w14:textId="77777777" w:rsidR="006C700D" w:rsidRDefault="006C700D" w:rsidP="006C700D">
            <w:pPr>
              <w:pStyle w:val="DHHStabletext"/>
            </w:pPr>
            <w:r>
              <w:t>Washing machine - Commercial</w:t>
            </w:r>
          </w:p>
        </w:tc>
        <w:tc>
          <w:tcPr>
            <w:tcW w:w="1040" w:type="pct"/>
            <w:shd w:val="clear" w:color="auto" w:fill="auto"/>
            <w:noWrap/>
            <w:vAlign w:val="bottom"/>
            <w:hideMark/>
          </w:tcPr>
          <w:p w14:paraId="5359F0D2" w14:textId="77777777" w:rsidR="006C700D" w:rsidRDefault="006C700D" w:rsidP="006C700D">
            <w:pPr>
              <w:pStyle w:val="DHHStabletext"/>
            </w:pPr>
            <w:r>
              <w:t>10</w:t>
            </w:r>
          </w:p>
        </w:tc>
      </w:tr>
      <w:tr w:rsidR="006C700D" w14:paraId="68F2DDB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75394843" w14:textId="77777777" w:rsidR="006C700D" w:rsidRDefault="006C700D" w:rsidP="006C700D">
            <w:pPr>
              <w:pStyle w:val="DHHStabletext"/>
            </w:pPr>
            <w:r>
              <w:t>Washing machine - Domestic</w:t>
            </w:r>
          </w:p>
        </w:tc>
        <w:tc>
          <w:tcPr>
            <w:tcW w:w="1040" w:type="pct"/>
            <w:shd w:val="clear" w:color="auto" w:fill="auto"/>
            <w:noWrap/>
            <w:vAlign w:val="bottom"/>
            <w:hideMark/>
          </w:tcPr>
          <w:p w14:paraId="31962AC0" w14:textId="77777777" w:rsidR="006C700D" w:rsidRDefault="006C700D" w:rsidP="006C700D">
            <w:pPr>
              <w:pStyle w:val="DHHStabletext"/>
            </w:pPr>
            <w:r>
              <w:t>12.5</w:t>
            </w:r>
          </w:p>
        </w:tc>
      </w:tr>
      <w:tr w:rsidR="006C700D" w14:paraId="7B1E5101" w14:textId="77777777" w:rsidTr="006C700D">
        <w:tblPrEx>
          <w:tblCellMar>
            <w:top w:w="0" w:type="dxa"/>
            <w:left w:w="108" w:type="dxa"/>
            <w:bottom w:w="0" w:type="dxa"/>
            <w:right w:w="108" w:type="dxa"/>
          </w:tblCellMar>
        </w:tblPrEx>
        <w:trPr>
          <w:trHeight w:val="255"/>
        </w:trPr>
        <w:tc>
          <w:tcPr>
            <w:tcW w:w="3960" w:type="pct"/>
            <w:shd w:val="clear" w:color="auto" w:fill="auto"/>
            <w:noWrap/>
            <w:vAlign w:val="bottom"/>
            <w:hideMark/>
          </w:tcPr>
          <w:p w14:paraId="482FB641" w14:textId="77777777" w:rsidR="006C700D" w:rsidRDefault="006C700D" w:rsidP="006C700D">
            <w:pPr>
              <w:pStyle w:val="DHHStabletext"/>
            </w:pPr>
            <w:r>
              <w:t>Wheelchair</w:t>
            </w:r>
          </w:p>
        </w:tc>
        <w:tc>
          <w:tcPr>
            <w:tcW w:w="1040" w:type="pct"/>
            <w:shd w:val="clear" w:color="auto" w:fill="auto"/>
            <w:noWrap/>
            <w:vAlign w:val="bottom"/>
            <w:hideMark/>
          </w:tcPr>
          <w:p w14:paraId="696FA51E" w14:textId="77777777" w:rsidR="006C700D" w:rsidRDefault="006C700D" w:rsidP="006C700D">
            <w:pPr>
              <w:pStyle w:val="DHHStabletext"/>
            </w:pPr>
            <w:r>
              <w:t>10</w:t>
            </w:r>
          </w:p>
        </w:tc>
      </w:tr>
    </w:tbl>
    <w:p w14:paraId="55167CC9" w14:textId="77777777" w:rsidR="006C700D" w:rsidRPr="00276391" w:rsidRDefault="006C700D" w:rsidP="006C700D">
      <w:pPr>
        <w:pStyle w:val="DHHSbodynospace"/>
        <w:rPr>
          <w:lang w:eastAsia="en-AU"/>
        </w:rPr>
      </w:pPr>
    </w:p>
    <w:sectPr w:rsidR="006C700D" w:rsidRPr="00276391" w:rsidSect="00BA5E47">
      <w:headerReference w:type="even" r:id="rId426"/>
      <w:headerReference w:type="default" r:id="rId427"/>
      <w:footerReference w:type="even" r:id="rId428"/>
      <w:footerReference w:type="default" r:id="rId429"/>
      <w:footerReference w:type="first" r:id="rId43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1713" w14:textId="77777777" w:rsidR="005E47A5" w:rsidRDefault="005E47A5">
      <w:r>
        <w:separator/>
      </w:r>
    </w:p>
  </w:endnote>
  <w:endnote w:type="continuationSeparator" w:id="0">
    <w:p w14:paraId="706EEBE6" w14:textId="77777777" w:rsidR="005E47A5" w:rsidRDefault="005E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CC5F" w14:textId="1620123F" w:rsidR="005E47A5" w:rsidRPr="008114D1" w:rsidRDefault="005E47A5" w:rsidP="00E969B1">
    <w:pPr>
      <w:pStyle w:val="DHHSfooter"/>
    </w:pPr>
    <w:r>
      <w:t xml:space="preserve">Page </w:t>
    </w:r>
    <w:r w:rsidRPr="005A39EC">
      <w:fldChar w:fldCharType="begin"/>
    </w:r>
    <w:r w:rsidRPr="005A39EC">
      <w:instrText xml:space="preserve"> PAGE </w:instrText>
    </w:r>
    <w:r w:rsidRPr="005A39EC">
      <w:fldChar w:fldCharType="separate"/>
    </w:r>
    <w:r>
      <w:rPr>
        <w:noProof/>
      </w:rPr>
      <w:t>122</w:t>
    </w:r>
    <w:r w:rsidRPr="005A39EC">
      <w:fldChar w:fldCharType="end"/>
    </w:r>
    <w:r>
      <w:tab/>
      <w:t>Service agreement information kit V</w:t>
    </w:r>
    <w:r w:rsidR="003C6568">
      <w:t>2 August</w:t>
    </w:r>
    <w: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5735" w14:textId="6978942D" w:rsidR="005E47A5" w:rsidRPr="0031753A" w:rsidRDefault="005E47A5" w:rsidP="00E969B1">
    <w:pPr>
      <w:pStyle w:val="DHHSfooter"/>
    </w:pPr>
    <w:r>
      <w:t>Service agreement information kit 2019 V</w:t>
    </w:r>
    <w:r w:rsidR="003C6568">
      <w:t xml:space="preserve">2 August </w:t>
    </w:r>
    <w:r>
      <w:t>2019</w:t>
    </w:r>
    <w:r w:rsidRPr="0031753A">
      <w:tab/>
      <w:t>Page</w:t>
    </w:r>
    <w:r>
      <w:t xml:space="preserve"> </w:t>
    </w:r>
    <w:r w:rsidRPr="0031753A">
      <w:fldChar w:fldCharType="begin"/>
    </w:r>
    <w:r w:rsidRPr="0031753A">
      <w:instrText xml:space="preserve"> PAGE </w:instrText>
    </w:r>
    <w:r w:rsidRPr="0031753A">
      <w:fldChar w:fldCharType="separate"/>
    </w:r>
    <w:r>
      <w:rPr>
        <w:noProof/>
      </w:rPr>
      <w:t>123</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592F" w14:textId="77777777" w:rsidR="005E47A5" w:rsidRPr="001A7E04" w:rsidRDefault="005E47A5"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9E64" w14:textId="77777777" w:rsidR="005E47A5" w:rsidRDefault="005E47A5">
      <w:r>
        <w:separator/>
      </w:r>
    </w:p>
  </w:footnote>
  <w:footnote w:type="continuationSeparator" w:id="0">
    <w:p w14:paraId="0585A9AE" w14:textId="77777777" w:rsidR="005E47A5" w:rsidRDefault="005E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BBB0" w14:textId="77777777" w:rsidR="005E47A5" w:rsidRPr="0069374A" w:rsidRDefault="005E47A5"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6C6" w14:textId="77777777" w:rsidR="005E47A5" w:rsidRDefault="005E47A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711"/>
    <w:multiLevelType w:val="multilevel"/>
    <w:tmpl w:val="E99ED236"/>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lowerRoman"/>
      <w:lvlText w:val="%3."/>
      <w:lvlJc w:val="right"/>
      <w:pPr>
        <w:ind w:left="567" w:hanging="283"/>
      </w:pPr>
      <w:rPr>
        <w:rFonts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0A0BE8"/>
    <w:multiLevelType w:val="multilevel"/>
    <w:tmpl w:val="FF7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57B07"/>
    <w:multiLevelType w:val="hybridMultilevel"/>
    <w:tmpl w:val="159A1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9A1A41"/>
    <w:multiLevelType w:val="multilevel"/>
    <w:tmpl w:val="BADE5C66"/>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8D92FF0"/>
    <w:multiLevelType w:val="hybridMultilevel"/>
    <w:tmpl w:val="4D669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672B3D"/>
    <w:multiLevelType w:val="multilevel"/>
    <w:tmpl w:val="DDB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54873"/>
    <w:multiLevelType w:val="hybridMultilevel"/>
    <w:tmpl w:val="6840C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40480A"/>
    <w:multiLevelType w:val="multilevel"/>
    <w:tmpl w:val="BEAC8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071BD8"/>
    <w:multiLevelType w:val="hybridMultilevel"/>
    <w:tmpl w:val="AF14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47A0D"/>
    <w:multiLevelType w:val="hybridMultilevel"/>
    <w:tmpl w:val="17487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29322D"/>
    <w:multiLevelType w:val="hybridMultilevel"/>
    <w:tmpl w:val="3036F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F149C4"/>
    <w:multiLevelType w:val="multilevel"/>
    <w:tmpl w:val="5894A752"/>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EBB0287"/>
    <w:multiLevelType w:val="hybridMultilevel"/>
    <w:tmpl w:val="9056E13A"/>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5BD"/>
    <w:multiLevelType w:val="hybridMultilevel"/>
    <w:tmpl w:val="6E542D06"/>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9449A"/>
    <w:multiLevelType w:val="hybridMultilevel"/>
    <w:tmpl w:val="1FC08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CF09A9"/>
    <w:multiLevelType w:val="hybridMultilevel"/>
    <w:tmpl w:val="A420D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44175FAC"/>
    <w:multiLevelType w:val="hybridMultilevel"/>
    <w:tmpl w:val="0C545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F522F3"/>
    <w:multiLevelType w:val="multilevel"/>
    <w:tmpl w:val="E89669B8"/>
    <w:lvl w:ilvl="0">
      <w:start w:val="3"/>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DF7F69"/>
    <w:multiLevelType w:val="hybridMultilevel"/>
    <w:tmpl w:val="4FF83B2C"/>
    <w:lvl w:ilvl="0" w:tplc="6B90EF0A">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C3A65"/>
    <w:multiLevelType w:val="multilevel"/>
    <w:tmpl w:val="CF663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A1E5A"/>
    <w:multiLevelType w:val="multilevel"/>
    <w:tmpl w:val="EE0E2C84"/>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8E2140C"/>
    <w:multiLevelType w:val="multilevel"/>
    <w:tmpl w:val="799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B2EA7"/>
    <w:multiLevelType w:val="multilevel"/>
    <w:tmpl w:val="10DACAC6"/>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ACB40E0"/>
    <w:multiLevelType w:val="hybridMultilevel"/>
    <w:tmpl w:val="0BEA85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004FD0"/>
    <w:multiLevelType w:val="multilevel"/>
    <w:tmpl w:val="561E17FE"/>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E1E267C"/>
    <w:multiLevelType w:val="multilevel"/>
    <w:tmpl w:val="5D0C2C40"/>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1"/>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abstractNumId w:val="16"/>
  </w:num>
  <w:num w:numId="3">
    <w:abstractNumId w:val="3"/>
  </w:num>
  <w:num w:numId="4">
    <w:abstractNumId w:val="23"/>
  </w:num>
  <w:num w:numId="5">
    <w:abstractNumId w:val="26"/>
  </w:num>
  <w:num w:numId="6">
    <w:abstractNumId w:val="25"/>
  </w:num>
  <w:num w:numId="7">
    <w:abstractNumId w:val="21"/>
  </w:num>
  <w:num w:numId="8">
    <w:abstractNumId w:val="11"/>
  </w:num>
  <w:num w:numId="9">
    <w:abstractNumId w:val="0"/>
  </w:num>
  <w:num w:numId="10">
    <w:abstractNumId w:val="2"/>
  </w:num>
  <w:num w:numId="11">
    <w:abstractNumId w:val="15"/>
  </w:num>
  <w:num w:numId="12">
    <w:abstractNumId w:val="10"/>
  </w:num>
  <w:num w:numId="13">
    <w:abstractNumId w:val="8"/>
  </w:num>
  <w:num w:numId="14">
    <w:abstractNumId w:val="21"/>
    <w:lvlOverride w:ilvl="0">
      <w:lvl w:ilvl="0">
        <w:start w:val="1"/>
        <w:numFmt w:val="bullet"/>
        <w:pStyle w:val="DHHSbullet1"/>
        <w:lvlText w:val="•"/>
        <w:lvlJc w:val="left"/>
        <w:pPr>
          <w:ind w:left="284" w:hanging="284"/>
        </w:pPr>
        <w:rPr>
          <w:rFonts w:ascii="Calibri" w:hAnsi="Calibri" w:hint="default"/>
        </w:rPr>
      </w:lvl>
    </w:lvlOverride>
  </w:num>
  <w:num w:numId="15">
    <w:abstractNumId w:val="22"/>
  </w:num>
  <w:num w:numId="16">
    <w:abstractNumId w:val="21"/>
    <w:lvlOverride w:ilvl="0">
      <w:lvl w:ilvl="0">
        <w:start w:val="1"/>
        <w:numFmt w:val="bullet"/>
        <w:pStyle w:val="DHHSbullet1"/>
        <w:lvlText w:val="•"/>
        <w:lvlJc w:val="left"/>
        <w:pPr>
          <w:ind w:left="1420" w:hanging="284"/>
        </w:pPr>
        <w:rPr>
          <w:rFonts w:ascii="Calibri" w:hAnsi="Calibri" w:hint="default"/>
        </w:rPr>
      </w:lvl>
    </w:lvlOverride>
    <w:lvlOverride w:ilvl="1">
      <w:lvl w:ilvl="1">
        <w:start w:val="1"/>
        <w:numFmt w:val="bullet"/>
        <w:lvlRestart w:val="0"/>
        <w:pStyle w:val="DHHSbullet1lastline"/>
        <w:lvlText w:val="•"/>
        <w:lvlJc w:val="left"/>
        <w:pPr>
          <w:ind w:left="1420" w:hanging="284"/>
        </w:pPr>
        <w:rPr>
          <w:rFonts w:ascii="Calibri" w:hAnsi="Calibri" w:hint="default"/>
        </w:rPr>
      </w:lvl>
    </w:lvlOverride>
    <w:lvlOverride w:ilvl="2">
      <w:lvl w:ilvl="2">
        <w:start w:val="1"/>
        <w:numFmt w:val="bullet"/>
        <w:lvlRestart w:val="0"/>
        <w:pStyle w:val="DHHSbullet2"/>
        <w:lvlText w:val="–"/>
        <w:lvlJc w:val="left"/>
        <w:pPr>
          <w:ind w:left="1703" w:hanging="283"/>
        </w:pPr>
        <w:rPr>
          <w:rFonts w:ascii="Arial" w:hAnsi="Arial" w:hint="default"/>
        </w:rPr>
      </w:lvl>
    </w:lvlOverride>
    <w:lvlOverride w:ilvl="3">
      <w:lvl w:ilvl="3">
        <w:start w:val="1"/>
        <w:numFmt w:val="bullet"/>
        <w:lvlRestart w:val="0"/>
        <w:pStyle w:val="DHHSbullet2lastline"/>
        <w:lvlText w:val="–"/>
        <w:lvlJc w:val="left"/>
        <w:pPr>
          <w:ind w:left="1703" w:hanging="283"/>
        </w:pPr>
        <w:rPr>
          <w:rFonts w:ascii="Arial" w:hAnsi="Arial" w:hint="default"/>
        </w:rPr>
      </w:lvl>
    </w:lvlOverride>
    <w:lvlOverride w:ilvl="4">
      <w:lvl w:ilvl="4">
        <w:start w:val="1"/>
        <w:numFmt w:val="bullet"/>
        <w:lvlRestart w:val="0"/>
        <w:pStyle w:val="DHHSbulletindent"/>
        <w:lvlText w:val="•"/>
        <w:lvlJc w:val="left"/>
        <w:pPr>
          <w:ind w:left="1816" w:hanging="283"/>
        </w:pPr>
        <w:rPr>
          <w:rFonts w:ascii="Calibri" w:hAnsi="Calibri" w:hint="default"/>
        </w:rPr>
      </w:lvl>
    </w:lvlOverride>
    <w:lvlOverride w:ilvl="5">
      <w:lvl w:ilvl="5">
        <w:start w:val="1"/>
        <w:numFmt w:val="bullet"/>
        <w:lvlRestart w:val="0"/>
        <w:pStyle w:val="DHHSbulletindentlastline"/>
        <w:lvlText w:val="•"/>
        <w:lvlJc w:val="left"/>
        <w:pPr>
          <w:ind w:left="1816" w:hanging="283"/>
        </w:pPr>
        <w:rPr>
          <w:rFonts w:ascii="Calibri" w:hAnsi="Calibri" w:hint="default"/>
        </w:rPr>
      </w:lvl>
    </w:lvlOverride>
    <w:lvlOverride w:ilvl="6">
      <w:lvl w:ilvl="6">
        <w:start w:val="1"/>
        <w:numFmt w:val="bullet"/>
        <w:lvlRestart w:val="0"/>
        <w:pStyle w:val="DHHStablebullet"/>
        <w:lvlText w:val="•"/>
        <w:lvlJc w:val="left"/>
        <w:pPr>
          <w:ind w:left="1363" w:hanging="227"/>
        </w:pPr>
        <w:rPr>
          <w:rFonts w:ascii="Calibri" w:hAnsi="Calibri" w:hint="default"/>
        </w:rPr>
      </w:lvl>
    </w:lvlOverride>
    <w:lvlOverride w:ilvl="7">
      <w:lvl w:ilvl="7">
        <w:start w:val="1"/>
        <w:numFmt w:val="none"/>
        <w:lvlRestart w:val="0"/>
        <w:lvlText w:val=""/>
        <w:lvlJc w:val="left"/>
        <w:pPr>
          <w:ind w:left="1136" w:firstLine="0"/>
        </w:pPr>
        <w:rPr>
          <w:rFonts w:hint="default"/>
        </w:rPr>
      </w:lvl>
    </w:lvlOverride>
    <w:lvlOverride w:ilvl="8">
      <w:lvl w:ilvl="8">
        <w:start w:val="1"/>
        <w:numFmt w:val="none"/>
        <w:lvlRestart w:val="0"/>
        <w:lvlText w:val=""/>
        <w:lvlJc w:val="left"/>
        <w:pPr>
          <w:ind w:left="1136" w:firstLine="0"/>
        </w:pPr>
        <w:rPr>
          <w:rFonts w:hint="default"/>
        </w:rPr>
      </w:lvl>
    </w:lvlOverride>
  </w:num>
  <w:num w:numId="17">
    <w:abstractNumId w:val="18"/>
  </w:num>
  <w:num w:numId="18">
    <w:abstractNumId w:val="19"/>
  </w:num>
  <w:num w:numId="19">
    <w:abstractNumId w:val="13"/>
  </w:num>
  <w:num w:numId="20">
    <w:abstractNumId w:val="14"/>
  </w:num>
  <w:num w:numId="21">
    <w:abstractNumId w:val="1"/>
  </w:num>
  <w:num w:numId="22">
    <w:abstractNumId w:val="4"/>
  </w:num>
  <w:num w:numId="23">
    <w:abstractNumId w:val="20"/>
  </w:num>
  <w:num w:numId="24">
    <w:abstractNumId w:val="12"/>
  </w:num>
  <w:num w:numId="25">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26">
    <w:abstractNumId w:val="5"/>
  </w:num>
  <w:num w:numId="27">
    <w:abstractNumId w:val="24"/>
  </w:num>
  <w:num w:numId="28">
    <w:abstractNumId w:val="6"/>
  </w:num>
  <w:num w:numId="29">
    <w:abstractNumId w:val="7"/>
  </w:num>
  <w:num w:numId="30">
    <w:abstractNumId w:val="9"/>
  </w:num>
  <w:num w:numId="3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8"/>
    <w:rsid w:val="00002990"/>
    <w:rsid w:val="000048AC"/>
    <w:rsid w:val="00004D49"/>
    <w:rsid w:val="00005568"/>
    <w:rsid w:val="0000786B"/>
    <w:rsid w:val="00014960"/>
    <w:rsid w:val="00014FC4"/>
    <w:rsid w:val="00016A1A"/>
    <w:rsid w:val="00020AAB"/>
    <w:rsid w:val="000223A4"/>
    <w:rsid w:val="00022E60"/>
    <w:rsid w:val="00023441"/>
    <w:rsid w:val="00026283"/>
    <w:rsid w:val="000267C1"/>
    <w:rsid w:val="00026C19"/>
    <w:rsid w:val="00031263"/>
    <w:rsid w:val="0003380E"/>
    <w:rsid w:val="00033F99"/>
    <w:rsid w:val="000353B5"/>
    <w:rsid w:val="00035671"/>
    <w:rsid w:val="00037131"/>
    <w:rsid w:val="00037682"/>
    <w:rsid w:val="00037DC5"/>
    <w:rsid w:val="0004467A"/>
    <w:rsid w:val="00050759"/>
    <w:rsid w:val="0005186B"/>
    <w:rsid w:val="00051BC3"/>
    <w:rsid w:val="00053D8A"/>
    <w:rsid w:val="00054330"/>
    <w:rsid w:val="00054CCB"/>
    <w:rsid w:val="00060E93"/>
    <w:rsid w:val="00064936"/>
    <w:rsid w:val="00067E93"/>
    <w:rsid w:val="0007075A"/>
    <w:rsid w:val="00070EDE"/>
    <w:rsid w:val="000734F8"/>
    <w:rsid w:val="000736B3"/>
    <w:rsid w:val="000736B8"/>
    <w:rsid w:val="000761EB"/>
    <w:rsid w:val="0007634D"/>
    <w:rsid w:val="000817CB"/>
    <w:rsid w:val="00081CD7"/>
    <w:rsid w:val="000873EF"/>
    <w:rsid w:val="0009284B"/>
    <w:rsid w:val="00094E86"/>
    <w:rsid w:val="000956DC"/>
    <w:rsid w:val="000A1029"/>
    <w:rsid w:val="000A3280"/>
    <w:rsid w:val="000A5571"/>
    <w:rsid w:val="000A7861"/>
    <w:rsid w:val="000B2327"/>
    <w:rsid w:val="000B2E6F"/>
    <w:rsid w:val="000B3792"/>
    <w:rsid w:val="000B59C5"/>
    <w:rsid w:val="000C1D88"/>
    <w:rsid w:val="000C3ABA"/>
    <w:rsid w:val="000C6242"/>
    <w:rsid w:val="000C6509"/>
    <w:rsid w:val="000C68DB"/>
    <w:rsid w:val="000D2C32"/>
    <w:rsid w:val="000D4878"/>
    <w:rsid w:val="000D4996"/>
    <w:rsid w:val="000D5C4D"/>
    <w:rsid w:val="000D7CD9"/>
    <w:rsid w:val="000E1684"/>
    <w:rsid w:val="000E6F72"/>
    <w:rsid w:val="000E7604"/>
    <w:rsid w:val="000F0478"/>
    <w:rsid w:val="000F0A50"/>
    <w:rsid w:val="000F3CA9"/>
    <w:rsid w:val="000F4B7A"/>
    <w:rsid w:val="00100E67"/>
    <w:rsid w:val="0010162E"/>
    <w:rsid w:val="00101ACC"/>
    <w:rsid w:val="00102247"/>
    <w:rsid w:val="0010228A"/>
    <w:rsid w:val="00102600"/>
    <w:rsid w:val="00103662"/>
    <w:rsid w:val="00103D5E"/>
    <w:rsid w:val="00104EA7"/>
    <w:rsid w:val="00104F3A"/>
    <w:rsid w:val="00105FAD"/>
    <w:rsid w:val="00107375"/>
    <w:rsid w:val="00110C69"/>
    <w:rsid w:val="0011155B"/>
    <w:rsid w:val="00111A6A"/>
    <w:rsid w:val="001146B8"/>
    <w:rsid w:val="00120E64"/>
    <w:rsid w:val="00121BF1"/>
    <w:rsid w:val="0012240C"/>
    <w:rsid w:val="00123BF2"/>
    <w:rsid w:val="00124241"/>
    <w:rsid w:val="00127A8B"/>
    <w:rsid w:val="00134BE5"/>
    <w:rsid w:val="00135F58"/>
    <w:rsid w:val="00136E7E"/>
    <w:rsid w:val="001412D1"/>
    <w:rsid w:val="001419DF"/>
    <w:rsid w:val="001423E3"/>
    <w:rsid w:val="0014333E"/>
    <w:rsid w:val="001463DC"/>
    <w:rsid w:val="0014738F"/>
    <w:rsid w:val="001475EA"/>
    <w:rsid w:val="001504F5"/>
    <w:rsid w:val="0015170C"/>
    <w:rsid w:val="001517BD"/>
    <w:rsid w:val="0015719F"/>
    <w:rsid w:val="0016341D"/>
    <w:rsid w:val="001674B2"/>
    <w:rsid w:val="001675C1"/>
    <w:rsid w:val="001723A9"/>
    <w:rsid w:val="0017248D"/>
    <w:rsid w:val="00173626"/>
    <w:rsid w:val="00174137"/>
    <w:rsid w:val="0017614A"/>
    <w:rsid w:val="001817CD"/>
    <w:rsid w:val="0018218D"/>
    <w:rsid w:val="0018235E"/>
    <w:rsid w:val="0018768C"/>
    <w:rsid w:val="00187ADE"/>
    <w:rsid w:val="00187E85"/>
    <w:rsid w:val="001914F5"/>
    <w:rsid w:val="00191689"/>
    <w:rsid w:val="00191CA7"/>
    <w:rsid w:val="00192BA0"/>
    <w:rsid w:val="00197303"/>
    <w:rsid w:val="001A0795"/>
    <w:rsid w:val="001A079A"/>
    <w:rsid w:val="001A17EA"/>
    <w:rsid w:val="001A1D17"/>
    <w:rsid w:val="001A22AA"/>
    <w:rsid w:val="001A279F"/>
    <w:rsid w:val="001A3EAB"/>
    <w:rsid w:val="001A7A18"/>
    <w:rsid w:val="001B1565"/>
    <w:rsid w:val="001B166D"/>
    <w:rsid w:val="001B28B5"/>
    <w:rsid w:val="001B2975"/>
    <w:rsid w:val="001B33A9"/>
    <w:rsid w:val="001B5EBB"/>
    <w:rsid w:val="001B7616"/>
    <w:rsid w:val="001C122D"/>
    <w:rsid w:val="001C1519"/>
    <w:rsid w:val="001C45B7"/>
    <w:rsid w:val="001C487F"/>
    <w:rsid w:val="001C6DA7"/>
    <w:rsid w:val="001C7EDA"/>
    <w:rsid w:val="001D051C"/>
    <w:rsid w:val="001D0693"/>
    <w:rsid w:val="001D2A82"/>
    <w:rsid w:val="001D3D00"/>
    <w:rsid w:val="001D4A46"/>
    <w:rsid w:val="001D569B"/>
    <w:rsid w:val="001D5AB1"/>
    <w:rsid w:val="001E0840"/>
    <w:rsid w:val="001E0EA3"/>
    <w:rsid w:val="001E4995"/>
    <w:rsid w:val="001E4A7C"/>
    <w:rsid w:val="001E6474"/>
    <w:rsid w:val="001E7718"/>
    <w:rsid w:val="001E7A42"/>
    <w:rsid w:val="001F09DC"/>
    <w:rsid w:val="001F2972"/>
    <w:rsid w:val="001F3EA7"/>
    <w:rsid w:val="001F43E6"/>
    <w:rsid w:val="001F4F23"/>
    <w:rsid w:val="0020076B"/>
    <w:rsid w:val="00205B29"/>
    <w:rsid w:val="00206884"/>
    <w:rsid w:val="00210A91"/>
    <w:rsid w:val="00213772"/>
    <w:rsid w:val="00215493"/>
    <w:rsid w:val="00215504"/>
    <w:rsid w:val="002158DF"/>
    <w:rsid w:val="002201EA"/>
    <w:rsid w:val="00220749"/>
    <w:rsid w:val="0022422C"/>
    <w:rsid w:val="00225863"/>
    <w:rsid w:val="002264EA"/>
    <w:rsid w:val="0022724E"/>
    <w:rsid w:val="00230666"/>
    <w:rsid w:val="00231153"/>
    <w:rsid w:val="0023150C"/>
    <w:rsid w:val="0023252E"/>
    <w:rsid w:val="00236748"/>
    <w:rsid w:val="00236D2A"/>
    <w:rsid w:val="00241C31"/>
    <w:rsid w:val="002446CB"/>
    <w:rsid w:val="002503E9"/>
    <w:rsid w:val="002604A9"/>
    <w:rsid w:val="00260BF2"/>
    <w:rsid w:val="002679D5"/>
    <w:rsid w:val="002714FD"/>
    <w:rsid w:val="00275F94"/>
    <w:rsid w:val="00276391"/>
    <w:rsid w:val="0028078D"/>
    <w:rsid w:val="002809A8"/>
    <w:rsid w:val="00281B9C"/>
    <w:rsid w:val="00282596"/>
    <w:rsid w:val="00284C9B"/>
    <w:rsid w:val="00287F6A"/>
    <w:rsid w:val="002903A5"/>
    <w:rsid w:val="00290A28"/>
    <w:rsid w:val="002938CA"/>
    <w:rsid w:val="002966DA"/>
    <w:rsid w:val="00296DCA"/>
    <w:rsid w:val="0029783B"/>
    <w:rsid w:val="00297B5F"/>
    <w:rsid w:val="00297CD9"/>
    <w:rsid w:val="002A141B"/>
    <w:rsid w:val="002A26B6"/>
    <w:rsid w:val="002A6A4E"/>
    <w:rsid w:val="002B1AD9"/>
    <w:rsid w:val="002B1C33"/>
    <w:rsid w:val="002B37E0"/>
    <w:rsid w:val="002B5A85"/>
    <w:rsid w:val="002B63A7"/>
    <w:rsid w:val="002B7838"/>
    <w:rsid w:val="002C5150"/>
    <w:rsid w:val="002C5543"/>
    <w:rsid w:val="002C58D9"/>
    <w:rsid w:val="002D0F7F"/>
    <w:rsid w:val="002D52CA"/>
    <w:rsid w:val="002D7482"/>
    <w:rsid w:val="002E0198"/>
    <w:rsid w:val="002E1D7C"/>
    <w:rsid w:val="002E2CF4"/>
    <w:rsid w:val="002E453D"/>
    <w:rsid w:val="002E66E2"/>
    <w:rsid w:val="002F449B"/>
    <w:rsid w:val="002F4D86"/>
    <w:rsid w:val="002F5D69"/>
    <w:rsid w:val="002F63B8"/>
    <w:rsid w:val="002F7A65"/>
    <w:rsid w:val="002F7B56"/>
    <w:rsid w:val="002F7C77"/>
    <w:rsid w:val="00300CB3"/>
    <w:rsid w:val="00301B8D"/>
    <w:rsid w:val="00302BAD"/>
    <w:rsid w:val="0030320B"/>
    <w:rsid w:val="00303243"/>
    <w:rsid w:val="0030394B"/>
    <w:rsid w:val="0030463F"/>
    <w:rsid w:val="003072C6"/>
    <w:rsid w:val="00310D8E"/>
    <w:rsid w:val="0031294B"/>
    <w:rsid w:val="00314C44"/>
    <w:rsid w:val="003156BC"/>
    <w:rsid w:val="00315BBD"/>
    <w:rsid w:val="0031612F"/>
    <w:rsid w:val="00316AC2"/>
    <w:rsid w:val="0031753A"/>
    <w:rsid w:val="00320110"/>
    <w:rsid w:val="00320293"/>
    <w:rsid w:val="003216F9"/>
    <w:rsid w:val="00322CC2"/>
    <w:rsid w:val="00323520"/>
    <w:rsid w:val="00324331"/>
    <w:rsid w:val="003271DC"/>
    <w:rsid w:val="00333BEC"/>
    <w:rsid w:val="00333DC2"/>
    <w:rsid w:val="00334B54"/>
    <w:rsid w:val="003360F5"/>
    <w:rsid w:val="0033739E"/>
    <w:rsid w:val="00340F61"/>
    <w:rsid w:val="0034291A"/>
    <w:rsid w:val="00343733"/>
    <w:rsid w:val="003443D6"/>
    <w:rsid w:val="00344BAF"/>
    <w:rsid w:val="00346C01"/>
    <w:rsid w:val="003531BD"/>
    <w:rsid w:val="00353EC2"/>
    <w:rsid w:val="003545CA"/>
    <w:rsid w:val="00355886"/>
    <w:rsid w:val="003565B8"/>
    <w:rsid w:val="00356814"/>
    <w:rsid w:val="003624DD"/>
    <w:rsid w:val="00366B56"/>
    <w:rsid w:val="00374538"/>
    <w:rsid w:val="003756B7"/>
    <w:rsid w:val="003757A2"/>
    <w:rsid w:val="0038019F"/>
    <w:rsid w:val="00382071"/>
    <w:rsid w:val="00390713"/>
    <w:rsid w:val="00390C43"/>
    <w:rsid w:val="003A0522"/>
    <w:rsid w:val="003A05CD"/>
    <w:rsid w:val="003A2A93"/>
    <w:rsid w:val="003A2F25"/>
    <w:rsid w:val="003A3835"/>
    <w:rsid w:val="003A4FAD"/>
    <w:rsid w:val="003A582F"/>
    <w:rsid w:val="003A6846"/>
    <w:rsid w:val="003B19E9"/>
    <w:rsid w:val="003B2807"/>
    <w:rsid w:val="003B2999"/>
    <w:rsid w:val="003B39F0"/>
    <w:rsid w:val="003B4928"/>
    <w:rsid w:val="003B73B8"/>
    <w:rsid w:val="003C05A7"/>
    <w:rsid w:val="003C426A"/>
    <w:rsid w:val="003C6568"/>
    <w:rsid w:val="003C68F2"/>
    <w:rsid w:val="003C746E"/>
    <w:rsid w:val="003C7B90"/>
    <w:rsid w:val="003D283F"/>
    <w:rsid w:val="003D3866"/>
    <w:rsid w:val="003D4AA4"/>
    <w:rsid w:val="003D58B8"/>
    <w:rsid w:val="003D5CAD"/>
    <w:rsid w:val="003D5CFB"/>
    <w:rsid w:val="003D7A12"/>
    <w:rsid w:val="003E1E23"/>
    <w:rsid w:val="003E2636"/>
    <w:rsid w:val="003E2E12"/>
    <w:rsid w:val="003E3181"/>
    <w:rsid w:val="003E7F5C"/>
    <w:rsid w:val="003F39CE"/>
    <w:rsid w:val="003F52B3"/>
    <w:rsid w:val="004006D0"/>
    <w:rsid w:val="00401108"/>
    <w:rsid w:val="00402927"/>
    <w:rsid w:val="00407993"/>
    <w:rsid w:val="00411833"/>
    <w:rsid w:val="00411BBC"/>
    <w:rsid w:val="00412F64"/>
    <w:rsid w:val="00413A2A"/>
    <w:rsid w:val="00416553"/>
    <w:rsid w:val="00417439"/>
    <w:rsid w:val="00417BEB"/>
    <w:rsid w:val="004202B3"/>
    <w:rsid w:val="004219F4"/>
    <w:rsid w:val="004228E1"/>
    <w:rsid w:val="00425484"/>
    <w:rsid w:val="004310CD"/>
    <w:rsid w:val="004324FF"/>
    <w:rsid w:val="00432A55"/>
    <w:rsid w:val="00433FF4"/>
    <w:rsid w:val="00435AE0"/>
    <w:rsid w:val="0043765D"/>
    <w:rsid w:val="0044260A"/>
    <w:rsid w:val="00443292"/>
    <w:rsid w:val="00444D82"/>
    <w:rsid w:val="004550D5"/>
    <w:rsid w:val="004554BB"/>
    <w:rsid w:val="004564C6"/>
    <w:rsid w:val="00457772"/>
    <w:rsid w:val="004610CC"/>
    <w:rsid w:val="00463F5A"/>
    <w:rsid w:val="00465464"/>
    <w:rsid w:val="00465E87"/>
    <w:rsid w:val="00471D37"/>
    <w:rsid w:val="00472CFC"/>
    <w:rsid w:val="00473981"/>
    <w:rsid w:val="004739D0"/>
    <w:rsid w:val="00474A63"/>
    <w:rsid w:val="004750BD"/>
    <w:rsid w:val="004761F4"/>
    <w:rsid w:val="0047643B"/>
    <w:rsid w:val="00476A7E"/>
    <w:rsid w:val="00476BDB"/>
    <w:rsid w:val="00476DF1"/>
    <w:rsid w:val="0047786A"/>
    <w:rsid w:val="00477A65"/>
    <w:rsid w:val="004822F5"/>
    <w:rsid w:val="00482DB3"/>
    <w:rsid w:val="00492240"/>
    <w:rsid w:val="00494008"/>
    <w:rsid w:val="004A0236"/>
    <w:rsid w:val="004A04B3"/>
    <w:rsid w:val="004A17CB"/>
    <w:rsid w:val="004A369A"/>
    <w:rsid w:val="004A3B3E"/>
    <w:rsid w:val="004A65C1"/>
    <w:rsid w:val="004B53D6"/>
    <w:rsid w:val="004B636F"/>
    <w:rsid w:val="004B66BE"/>
    <w:rsid w:val="004C3861"/>
    <w:rsid w:val="004C5777"/>
    <w:rsid w:val="004C6434"/>
    <w:rsid w:val="004C77F8"/>
    <w:rsid w:val="004D0173"/>
    <w:rsid w:val="004D0219"/>
    <w:rsid w:val="004D1056"/>
    <w:rsid w:val="004D45BB"/>
    <w:rsid w:val="004D53F2"/>
    <w:rsid w:val="004D5469"/>
    <w:rsid w:val="004D668F"/>
    <w:rsid w:val="004E02A3"/>
    <w:rsid w:val="004E089D"/>
    <w:rsid w:val="004E1EDE"/>
    <w:rsid w:val="004E21E2"/>
    <w:rsid w:val="004E293F"/>
    <w:rsid w:val="004E2A36"/>
    <w:rsid w:val="004E380D"/>
    <w:rsid w:val="004E5F78"/>
    <w:rsid w:val="004E7922"/>
    <w:rsid w:val="004F0DFC"/>
    <w:rsid w:val="004F3441"/>
    <w:rsid w:val="004F3A0D"/>
    <w:rsid w:val="004F41B2"/>
    <w:rsid w:val="004F4AFC"/>
    <w:rsid w:val="004F52A5"/>
    <w:rsid w:val="004F7A56"/>
    <w:rsid w:val="00500C8C"/>
    <w:rsid w:val="00501375"/>
    <w:rsid w:val="00501D3B"/>
    <w:rsid w:val="005022C9"/>
    <w:rsid w:val="0050779D"/>
    <w:rsid w:val="005079DE"/>
    <w:rsid w:val="005139EA"/>
    <w:rsid w:val="00517C3B"/>
    <w:rsid w:val="00520BBB"/>
    <w:rsid w:val="00520C21"/>
    <w:rsid w:val="00521E35"/>
    <w:rsid w:val="0052244A"/>
    <w:rsid w:val="00525456"/>
    <w:rsid w:val="00527640"/>
    <w:rsid w:val="00530834"/>
    <w:rsid w:val="00532236"/>
    <w:rsid w:val="005372EC"/>
    <w:rsid w:val="00541DFE"/>
    <w:rsid w:val="00543E6C"/>
    <w:rsid w:val="00544184"/>
    <w:rsid w:val="00544F54"/>
    <w:rsid w:val="00546630"/>
    <w:rsid w:val="00554FEF"/>
    <w:rsid w:val="00555125"/>
    <w:rsid w:val="005552FD"/>
    <w:rsid w:val="005600E5"/>
    <w:rsid w:val="00562789"/>
    <w:rsid w:val="005632C3"/>
    <w:rsid w:val="00564E8F"/>
    <w:rsid w:val="00570B09"/>
    <w:rsid w:val="005728A4"/>
    <w:rsid w:val="00574D56"/>
    <w:rsid w:val="005753AB"/>
    <w:rsid w:val="005754DB"/>
    <w:rsid w:val="005756CF"/>
    <w:rsid w:val="005763FC"/>
    <w:rsid w:val="00576EB4"/>
    <w:rsid w:val="00577B30"/>
    <w:rsid w:val="00577C16"/>
    <w:rsid w:val="005812F9"/>
    <w:rsid w:val="00582768"/>
    <w:rsid w:val="00583461"/>
    <w:rsid w:val="0058352C"/>
    <w:rsid w:val="00585652"/>
    <w:rsid w:val="005856A4"/>
    <w:rsid w:val="00590730"/>
    <w:rsid w:val="005907FB"/>
    <w:rsid w:val="00593EC1"/>
    <w:rsid w:val="00594629"/>
    <w:rsid w:val="005965A9"/>
    <w:rsid w:val="005A049B"/>
    <w:rsid w:val="005A3051"/>
    <w:rsid w:val="005A53FE"/>
    <w:rsid w:val="005A7375"/>
    <w:rsid w:val="005A7795"/>
    <w:rsid w:val="005B044B"/>
    <w:rsid w:val="005B16D7"/>
    <w:rsid w:val="005B1B77"/>
    <w:rsid w:val="005B22B9"/>
    <w:rsid w:val="005B3D14"/>
    <w:rsid w:val="005B67E9"/>
    <w:rsid w:val="005B6E48"/>
    <w:rsid w:val="005B7D22"/>
    <w:rsid w:val="005C029E"/>
    <w:rsid w:val="005C050E"/>
    <w:rsid w:val="005C251C"/>
    <w:rsid w:val="005C57F1"/>
    <w:rsid w:val="005C6231"/>
    <w:rsid w:val="005D055A"/>
    <w:rsid w:val="005D25D4"/>
    <w:rsid w:val="005D274E"/>
    <w:rsid w:val="005D2D04"/>
    <w:rsid w:val="005D5532"/>
    <w:rsid w:val="005E008D"/>
    <w:rsid w:val="005E085D"/>
    <w:rsid w:val="005E18BF"/>
    <w:rsid w:val="005E3FA7"/>
    <w:rsid w:val="005E47A5"/>
    <w:rsid w:val="005E495E"/>
    <w:rsid w:val="005E5545"/>
    <w:rsid w:val="005E72FC"/>
    <w:rsid w:val="005E7963"/>
    <w:rsid w:val="005E79E1"/>
    <w:rsid w:val="005F0F99"/>
    <w:rsid w:val="005F1C1F"/>
    <w:rsid w:val="005F202B"/>
    <w:rsid w:val="005F218C"/>
    <w:rsid w:val="005F4523"/>
    <w:rsid w:val="005F46CC"/>
    <w:rsid w:val="005F5A6D"/>
    <w:rsid w:val="005F77B4"/>
    <w:rsid w:val="00601D4D"/>
    <w:rsid w:val="006021B4"/>
    <w:rsid w:val="00605B5B"/>
    <w:rsid w:val="006061FD"/>
    <w:rsid w:val="006062D8"/>
    <w:rsid w:val="00606827"/>
    <w:rsid w:val="00606CB7"/>
    <w:rsid w:val="00612764"/>
    <w:rsid w:val="006149F1"/>
    <w:rsid w:val="00620262"/>
    <w:rsid w:val="006205AA"/>
    <w:rsid w:val="006210F6"/>
    <w:rsid w:val="006219DF"/>
    <w:rsid w:val="006219F3"/>
    <w:rsid w:val="00621B4C"/>
    <w:rsid w:val="006250C7"/>
    <w:rsid w:val="00625D4D"/>
    <w:rsid w:val="00627C52"/>
    <w:rsid w:val="00630937"/>
    <w:rsid w:val="006316EE"/>
    <w:rsid w:val="00631E12"/>
    <w:rsid w:val="00633866"/>
    <w:rsid w:val="00634030"/>
    <w:rsid w:val="00636881"/>
    <w:rsid w:val="00640E9B"/>
    <w:rsid w:val="006435BF"/>
    <w:rsid w:val="00644961"/>
    <w:rsid w:val="006522B4"/>
    <w:rsid w:val="00653A3A"/>
    <w:rsid w:val="00653B84"/>
    <w:rsid w:val="00653E0D"/>
    <w:rsid w:val="00656641"/>
    <w:rsid w:val="00660411"/>
    <w:rsid w:val="00663727"/>
    <w:rsid w:val="00663C2F"/>
    <w:rsid w:val="00666A00"/>
    <w:rsid w:val="0067105F"/>
    <w:rsid w:val="0067173B"/>
    <w:rsid w:val="006735C1"/>
    <w:rsid w:val="0068188A"/>
    <w:rsid w:val="00681B32"/>
    <w:rsid w:val="006865C8"/>
    <w:rsid w:val="00686B48"/>
    <w:rsid w:val="00687038"/>
    <w:rsid w:val="0068714E"/>
    <w:rsid w:val="006929F7"/>
    <w:rsid w:val="0069374A"/>
    <w:rsid w:val="00694AB8"/>
    <w:rsid w:val="00695EF7"/>
    <w:rsid w:val="0069699D"/>
    <w:rsid w:val="0069731A"/>
    <w:rsid w:val="006A1297"/>
    <w:rsid w:val="006A40B7"/>
    <w:rsid w:val="006B1FE0"/>
    <w:rsid w:val="006B2164"/>
    <w:rsid w:val="006B2C51"/>
    <w:rsid w:val="006B3011"/>
    <w:rsid w:val="006B3125"/>
    <w:rsid w:val="006B4C1C"/>
    <w:rsid w:val="006B6361"/>
    <w:rsid w:val="006B66FA"/>
    <w:rsid w:val="006C5E62"/>
    <w:rsid w:val="006C700D"/>
    <w:rsid w:val="006D360C"/>
    <w:rsid w:val="006D5AC9"/>
    <w:rsid w:val="006D66ED"/>
    <w:rsid w:val="006D74EC"/>
    <w:rsid w:val="006E2F53"/>
    <w:rsid w:val="006E786B"/>
    <w:rsid w:val="006F3EE4"/>
    <w:rsid w:val="006F70BE"/>
    <w:rsid w:val="007002B1"/>
    <w:rsid w:val="007028C8"/>
    <w:rsid w:val="00702E61"/>
    <w:rsid w:val="00703CF3"/>
    <w:rsid w:val="00704EB7"/>
    <w:rsid w:val="00705742"/>
    <w:rsid w:val="00705B9F"/>
    <w:rsid w:val="00706089"/>
    <w:rsid w:val="007104FE"/>
    <w:rsid w:val="0071193C"/>
    <w:rsid w:val="00711B0C"/>
    <w:rsid w:val="007121A2"/>
    <w:rsid w:val="00713981"/>
    <w:rsid w:val="00716818"/>
    <w:rsid w:val="007176D6"/>
    <w:rsid w:val="00717AFA"/>
    <w:rsid w:val="00717E23"/>
    <w:rsid w:val="007244D8"/>
    <w:rsid w:val="007246E7"/>
    <w:rsid w:val="00724CB5"/>
    <w:rsid w:val="00726B5C"/>
    <w:rsid w:val="00727D54"/>
    <w:rsid w:val="00731EF2"/>
    <w:rsid w:val="007344C5"/>
    <w:rsid w:val="00734959"/>
    <w:rsid w:val="00735137"/>
    <w:rsid w:val="0073520D"/>
    <w:rsid w:val="00736FAC"/>
    <w:rsid w:val="007370DB"/>
    <w:rsid w:val="00743801"/>
    <w:rsid w:val="00744B98"/>
    <w:rsid w:val="00751D23"/>
    <w:rsid w:val="00752F62"/>
    <w:rsid w:val="00764C5A"/>
    <w:rsid w:val="00780226"/>
    <w:rsid w:val="00781AB4"/>
    <w:rsid w:val="007840E1"/>
    <w:rsid w:val="00787FF7"/>
    <w:rsid w:val="00790039"/>
    <w:rsid w:val="0079203F"/>
    <w:rsid w:val="007923B7"/>
    <w:rsid w:val="00792616"/>
    <w:rsid w:val="007926BB"/>
    <w:rsid w:val="0079344C"/>
    <w:rsid w:val="007968AE"/>
    <w:rsid w:val="007A0283"/>
    <w:rsid w:val="007A0C13"/>
    <w:rsid w:val="007A1B23"/>
    <w:rsid w:val="007A3D9D"/>
    <w:rsid w:val="007A46F5"/>
    <w:rsid w:val="007A4D45"/>
    <w:rsid w:val="007A55C2"/>
    <w:rsid w:val="007A5E9F"/>
    <w:rsid w:val="007B11D1"/>
    <w:rsid w:val="007B223D"/>
    <w:rsid w:val="007B7717"/>
    <w:rsid w:val="007C02C7"/>
    <w:rsid w:val="007C1ED2"/>
    <w:rsid w:val="007C21EE"/>
    <w:rsid w:val="007C3CEC"/>
    <w:rsid w:val="007C6AB3"/>
    <w:rsid w:val="007C781D"/>
    <w:rsid w:val="007D2290"/>
    <w:rsid w:val="007D2844"/>
    <w:rsid w:val="007D3A2E"/>
    <w:rsid w:val="007D6652"/>
    <w:rsid w:val="007D67DB"/>
    <w:rsid w:val="007D6F3D"/>
    <w:rsid w:val="007E0CF5"/>
    <w:rsid w:val="007E2520"/>
    <w:rsid w:val="007E343D"/>
    <w:rsid w:val="007E5806"/>
    <w:rsid w:val="007F0574"/>
    <w:rsid w:val="007F4383"/>
    <w:rsid w:val="007F55E6"/>
    <w:rsid w:val="007F7D12"/>
    <w:rsid w:val="00801601"/>
    <w:rsid w:val="00801643"/>
    <w:rsid w:val="00806C9A"/>
    <w:rsid w:val="00810991"/>
    <w:rsid w:val="00811D92"/>
    <w:rsid w:val="00814A9B"/>
    <w:rsid w:val="00814F66"/>
    <w:rsid w:val="0081538A"/>
    <w:rsid w:val="00817C9E"/>
    <w:rsid w:val="008205AF"/>
    <w:rsid w:val="008225E5"/>
    <w:rsid w:val="00831053"/>
    <w:rsid w:val="008314D2"/>
    <w:rsid w:val="0083254D"/>
    <w:rsid w:val="00836249"/>
    <w:rsid w:val="00836F00"/>
    <w:rsid w:val="00842C48"/>
    <w:rsid w:val="00846192"/>
    <w:rsid w:val="008477B6"/>
    <w:rsid w:val="00850806"/>
    <w:rsid w:val="00852B01"/>
    <w:rsid w:val="00852FE9"/>
    <w:rsid w:val="00853277"/>
    <w:rsid w:val="00856A1B"/>
    <w:rsid w:val="00856D53"/>
    <w:rsid w:val="008621C3"/>
    <w:rsid w:val="00865486"/>
    <w:rsid w:val="00867E8F"/>
    <w:rsid w:val="00876275"/>
    <w:rsid w:val="00877550"/>
    <w:rsid w:val="00880EE6"/>
    <w:rsid w:val="00882B99"/>
    <w:rsid w:val="00884B44"/>
    <w:rsid w:val="00884CEC"/>
    <w:rsid w:val="0088560A"/>
    <w:rsid w:val="00886121"/>
    <w:rsid w:val="008913F6"/>
    <w:rsid w:val="008A197F"/>
    <w:rsid w:val="008A295B"/>
    <w:rsid w:val="008A39D4"/>
    <w:rsid w:val="008A6604"/>
    <w:rsid w:val="008A7386"/>
    <w:rsid w:val="008B1C73"/>
    <w:rsid w:val="008B3F5C"/>
    <w:rsid w:val="008B3F5D"/>
    <w:rsid w:val="008B5482"/>
    <w:rsid w:val="008C11F4"/>
    <w:rsid w:val="008C2BEC"/>
    <w:rsid w:val="008C3713"/>
    <w:rsid w:val="008C6523"/>
    <w:rsid w:val="008C65ED"/>
    <w:rsid w:val="008C6D0E"/>
    <w:rsid w:val="008C73CC"/>
    <w:rsid w:val="008D09D2"/>
    <w:rsid w:val="008D343F"/>
    <w:rsid w:val="008D39C5"/>
    <w:rsid w:val="008D5602"/>
    <w:rsid w:val="008D6C0F"/>
    <w:rsid w:val="008D7DF6"/>
    <w:rsid w:val="008E026C"/>
    <w:rsid w:val="008E1AC2"/>
    <w:rsid w:val="008E1D89"/>
    <w:rsid w:val="008E27A4"/>
    <w:rsid w:val="008E3E3E"/>
    <w:rsid w:val="008E7340"/>
    <w:rsid w:val="008F2940"/>
    <w:rsid w:val="008F5F87"/>
    <w:rsid w:val="008F7562"/>
    <w:rsid w:val="00900A34"/>
    <w:rsid w:val="00905B91"/>
    <w:rsid w:val="00907073"/>
    <w:rsid w:val="009148C0"/>
    <w:rsid w:val="0091711D"/>
    <w:rsid w:val="00917AEC"/>
    <w:rsid w:val="009208F5"/>
    <w:rsid w:val="00920939"/>
    <w:rsid w:val="00921D8B"/>
    <w:rsid w:val="00927D51"/>
    <w:rsid w:val="00931CCB"/>
    <w:rsid w:val="00932272"/>
    <w:rsid w:val="00932862"/>
    <w:rsid w:val="00934156"/>
    <w:rsid w:val="00934A5A"/>
    <w:rsid w:val="00934DD6"/>
    <w:rsid w:val="00935D60"/>
    <w:rsid w:val="00936AA1"/>
    <w:rsid w:val="00940BC2"/>
    <w:rsid w:val="00940CCA"/>
    <w:rsid w:val="00941C91"/>
    <w:rsid w:val="009447BB"/>
    <w:rsid w:val="00944C48"/>
    <w:rsid w:val="00946020"/>
    <w:rsid w:val="00946335"/>
    <w:rsid w:val="00947963"/>
    <w:rsid w:val="009513C4"/>
    <w:rsid w:val="0095140F"/>
    <w:rsid w:val="00953AD6"/>
    <w:rsid w:val="00955E55"/>
    <w:rsid w:val="009571DD"/>
    <w:rsid w:val="00957F03"/>
    <w:rsid w:val="00962200"/>
    <w:rsid w:val="00966F54"/>
    <w:rsid w:val="00975E61"/>
    <w:rsid w:val="00976E31"/>
    <w:rsid w:val="00977C63"/>
    <w:rsid w:val="00980087"/>
    <w:rsid w:val="00980C0B"/>
    <w:rsid w:val="00982833"/>
    <w:rsid w:val="00982F5C"/>
    <w:rsid w:val="009842AB"/>
    <w:rsid w:val="0098524F"/>
    <w:rsid w:val="00986D1E"/>
    <w:rsid w:val="00987ABE"/>
    <w:rsid w:val="00987C05"/>
    <w:rsid w:val="009906C7"/>
    <w:rsid w:val="009906DB"/>
    <w:rsid w:val="00993FE7"/>
    <w:rsid w:val="0099548D"/>
    <w:rsid w:val="00995F91"/>
    <w:rsid w:val="009963CD"/>
    <w:rsid w:val="00996EB4"/>
    <w:rsid w:val="009A46A9"/>
    <w:rsid w:val="009A60C6"/>
    <w:rsid w:val="009B0B9D"/>
    <w:rsid w:val="009B2351"/>
    <w:rsid w:val="009B266D"/>
    <w:rsid w:val="009B2929"/>
    <w:rsid w:val="009B3052"/>
    <w:rsid w:val="009B5CBF"/>
    <w:rsid w:val="009B7FD8"/>
    <w:rsid w:val="009C184A"/>
    <w:rsid w:val="009C2CA5"/>
    <w:rsid w:val="009D3E45"/>
    <w:rsid w:val="009D4468"/>
    <w:rsid w:val="009D480F"/>
    <w:rsid w:val="009D4D32"/>
    <w:rsid w:val="009E36BE"/>
    <w:rsid w:val="009F2E93"/>
    <w:rsid w:val="009F3474"/>
    <w:rsid w:val="009F351F"/>
    <w:rsid w:val="009F3F89"/>
    <w:rsid w:val="009F480E"/>
    <w:rsid w:val="009F5577"/>
    <w:rsid w:val="009F5F3B"/>
    <w:rsid w:val="00A00734"/>
    <w:rsid w:val="00A0217D"/>
    <w:rsid w:val="00A022A2"/>
    <w:rsid w:val="00A02D15"/>
    <w:rsid w:val="00A04468"/>
    <w:rsid w:val="00A11403"/>
    <w:rsid w:val="00A149E0"/>
    <w:rsid w:val="00A2398A"/>
    <w:rsid w:val="00A26B0D"/>
    <w:rsid w:val="00A30EE7"/>
    <w:rsid w:val="00A320CC"/>
    <w:rsid w:val="00A33C50"/>
    <w:rsid w:val="00A3735A"/>
    <w:rsid w:val="00A429CC"/>
    <w:rsid w:val="00A42CC4"/>
    <w:rsid w:val="00A42F1B"/>
    <w:rsid w:val="00A5052C"/>
    <w:rsid w:val="00A5262A"/>
    <w:rsid w:val="00A52F42"/>
    <w:rsid w:val="00A546BC"/>
    <w:rsid w:val="00A55415"/>
    <w:rsid w:val="00A55906"/>
    <w:rsid w:val="00A55989"/>
    <w:rsid w:val="00A5694A"/>
    <w:rsid w:val="00A63DA4"/>
    <w:rsid w:val="00A6652D"/>
    <w:rsid w:val="00A66F0F"/>
    <w:rsid w:val="00A7206F"/>
    <w:rsid w:val="00A720E8"/>
    <w:rsid w:val="00A7419E"/>
    <w:rsid w:val="00A75CD5"/>
    <w:rsid w:val="00A7646A"/>
    <w:rsid w:val="00A7734A"/>
    <w:rsid w:val="00A83DF3"/>
    <w:rsid w:val="00A83DFA"/>
    <w:rsid w:val="00A83F51"/>
    <w:rsid w:val="00A844BA"/>
    <w:rsid w:val="00A85915"/>
    <w:rsid w:val="00A952AB"/>
    <w:rsid w:val="00A9783D"/>
    <w:rsid w:val="00AA02B2"/>
    <w:rsid w:val="00AA0937"/>
    <w:rsid w:val="00AA45E6"/>
    <w:rsid w:val="00AA47B7"/>
    <w:rsid w:val="00AA51C9"/>
    <w:rsid w:val="00AA5A37"/>
    <w:rsid w:val="00AB489C"/>
    <w:rsid w:val="00AB50C1"/>
    <w:rsid w:val="00AB6936"/>
    <w:rsid w:val="00AB765B"/>
    <w:rsid w:val="00AC0C3B"/>
    <w:rsid w:val="00AC2D63"/>
    <w:rsid w:val="00AC4505"/>
    <w:rsid w:val="00AC68B9"/>
    <w:rsid w:val="00AD03D8"/>
    <w:rsid w:val="00AD0711"/>
    <w:rsid w:val="00AD704E"/>
    <w:rsid w:val="00AD7E5A"/>
    <w:rsid w:val="00AE1173"/>
    <w:rsid w:val="00AE3610"/>
    <w:rsid w:val="00AE369E"/>
    <w:rsid w:val="00AE5FE0"/>
    <w:rsid w:val="00AE60B7"/>
    <w:rsid w:val="00AE6DBC"/>
    <w:rsid w:val="00AF1B81"/>
    <w:rsid w:val="00AF2AB7"/>
    <w:rsid w:val="00AF2B1C"/>
    <w:rsid w:val="00AF3CEE"/>
    <w:rsid w:val="00AF475C"/>
    <w:rsid w:val="00AF4D3F"/>
    <w:rsid w:val="00AF7D78"/>
    <w:rsid w:val="00B0029A"/>
    <w:rsid w:val="00B016EC"/>
    <w:rsid w:val="00B01BDB"/>
    <w:rsid w:val="00B02151"/>
    <w:rsid w:val="00B02467"/>
    <w:rsid w:val="00B0300B"/>
    <w:rsid w:val="00B04619"/>
    <w:rsid w:val="00B05457"/>
    <w:rsid w:val="00B057F5"/>
    <w:rsid w:val="00B11C09"/>
    <w:rsid w:val="00B128A0"/>
    <w:rsid w:val="00B14AE0"/>
    <w:rsid w:val="00B20240"/>
    <w:rsid w:val="00B20D9F"/>
    <w:rsid w:val="00B23281"/>
    <w:rsid w:val="00B2387B"/>
    <w:rsid w:val="00B24C02"/>
    <w:rsid w:val="00B25634"/>
    <w:rsid w:val="00B270AB"/>
    <w:rsid w:val="00B27571"/>
    <w:rsid w:val="00B30C4B"/>
    <w:rsid w:val="00B340D5"/>
    <w:rsid w:val="00B34951"/>
    <w:rsid w:val="00B406B7"/>
    <w:rsid w:val="00B4164B"/>
    <w:rsid w:val="00B42A38"/>
    <w:rsid w:val="00B440A6"/>
    <w:rsid w:val="00B4619E"/>
    <w:rsid w:val="00B46EED"/>
    <w:rsid w:val="00B506DF"/>
    <w:rsid w:val="00B52DC9"/>
    <w:rsid w:val="00B53AA9"/>
    <w:rsid w:val="00B53DF5"/>
    <w:rsid w:val="00B5409A"/>
    <w:rsid w:val="00B55574"/>
    <w:rsid w:val="00B5601B"/>
    <w:rsid w:val="00B6113C"/>
    <w:rsid w:val="00B62953"/>
    <w:rsid w:val="00B62BBF"/>
    <w:rsid w:val="00B6309B"/>
    <w:rsid w:val="00B6525D"/>
    <w:rsid w:val="00B65ABA"/>
    <w:rsid w:val="00B66DB2"/>
    <w:rsid w:val="00B66E3E"/>
    <w:rsid w:val="00B6790F"/>
    <w:rsid w:val="00B71B3B"/>
    <w:rsid w:val="00B73DBE"/>
    <w:rsid w:val="00B758D7"/>
    <w:rsid w:val="00B75D7F"/>
    <w:rsid w:val="00B76CD1"/>
    <w:rsid w:val="00B77EAB"/>
    <w:rsid w:val="00B81721"/>
    <w:rsid w:val="00B853DB"/>
    <w:rsid w:val="00B8560A"/>
    <w:rsid w:val="00B87D61"/>
    <w:rsid w:val="00B9231B"/>
    <w:rsid w:val="00B93948"/>
    <w:rsid w:val="00B93E9A"/>
    <w:rsid w:val="00B9407B"/>
    <w:rsid w:val="00B94875"/>
    <w:rsid w:val="00BA0A21"/>
    <w:rsid w:val="00BA2F1B"/>
    <w:rsid w:val="00BA4BC7"/>
    <w:rsid w:val="00BA55B7"/>
    <w:rsid w:val="00BA5E47"/>
    <w:rsid w:val="00BA7D57"/>
    <w:rsid w:val="00BB156E"/>
    <w:rsid w:val="00BB3330"/>
    <w:rsid w:val="00BB453A"/>
    <w:rsid w:val="00BB47D7"/>
    <w:rsid w:val="00BB4A62"/>
    <w:rsid w:val="00BB74AC"/>
    <w:rsid w:val="00BC01C1"/>
    <w:rsid w:val="00BC2787"/>
    <w:rsid w:val="00BC27E9"/>
    <w:rsid w:val="00BC4212"/>
    <w:rsid w:val="00BC45A1"/>
    <w:rsid w:val="00BC5A34"/>
    <w:rsid w:val="00BD023C"/>
    <w:rsid w:val="00BD1266"/>
    <w:rsid w:val="00BD17F5"/>
    <w:rsid w:val="00BD263B"/>
    <w:rsid w:val="00BD5BFF"/>
    <w:rsid w:val="00BD6E05"/>
    <w:rsid w:val="00BE180B"/>
    <w:rsid w:val="00BE18FD"/>
    <w:rsid w:val="00BE2B10"/>
    <w:rsid w:val="00BE54D0"/>
    <w:rsid w:val="00BF1473"/>
    <w:rsid w:val="00BF1CB3"/>
    <w:rsid w:val="00BF2503"/>
    <w:rsid w:val="00BF6B6C"/>
    <w:rsid w:val="00BF6E66"/>
    <w:rsid w:val="00BF7251"/>
    <w:rsid w:val="00BF7F28"/>
    <w:rsid w:val="00C01909"/>
    <w:rsid w:val="00C05787"/>
    <w:rsid w:val="00C06436"/>
    <w:rsid w:val="00C06FD0"/>
    <w:rsid w:val="00C12B11"/>
    <w:rsid w:val="00C12DCE"/>
    <w:rsid w:val="00C13059"/>
    <w:rsid w:val="00C1328D"/>
    <w:rsid w:val="00C14965"/>
    <w:rsid w:val="00C14A6D"/>
    <w:rsid w:val="00C14B1A"/>
    <w:rsid w:val="00C14C3A"/>
    <w:rsid w:val="00C14D34"/>
    <w:rsid w:val="00C156D4"/>
    <w:rsid w:val="00C16326"/>
    <w:rsid w:val="00C167A3"/>
    <w:rsid w:val="00C2181C"/>
    <w:rsid w:val="00C2657D"/>
    <w:rsid w:val="00C27FA8"/>
    <w:rsid w:val="00C32843"/>
    <w:rsid w:val="00C33D47"/>
    <w:rsid w:val="00C35DC6"/>
    <w:rsid w:val="00C3600A"/>
    <w:rsid w:val="00C37181"/>
    <w:rsid w:val="00C416E1"/>
    <w:rsid w:val="00C44A70"/>
    <w:rsid w:val="00C456FF"/>
    <w:rsid w:val="00C45A29"/>
    <w:rsid w:val="00C45D27"/>
    <w:rsid w:val="00C460C0"/>
    <w:rsid w:val="00C47BF8"/>
    <w:rsid w:val="00C50797"/>
    <w:rsid w:val="00C51B1C"/>
    <w:rsid w:val="00C53DCE"/>
    <w:rsid w:val="00C55638"/>
    <w:rsid w:val="00C576EB"/>
    <w:rsid w:val="00C62565"/>
    <w:rsid w:val="00C62B9B"/>
    <w:rsid w:val="00C655F2"/>
    <w:rsid w:val="00C65B4C"/>
    <w:rsid w:val="00C65B61"/>
    <w:rsid w:val="00C7053D"/>
    <w:rsid w:val="00C70E53"/>
    <w:rsid w:val="00C72979"/>
    <w:rsid w:val="00C75CDC"/>
    <w:rsid w:val="00C81529"/>
    <w:rsid w:val="00C81690"/>
    <w:rsid w:val="00C81BA6"/>
    <w:rsid w:val="00C8377C"/>
    <w:rsid w:val="00C84841"/>
    <w:rsid w:val="00C849CE"/>
    <w:rsid w:val="00C86712"/>
    <w:rsid w:val="00C877CD"/>
    <w:rsid w:val="00C902E9"/>
    <w:rsid w:val="00C9046F"/>
    <w:rsid w:val="00C908B7"/>
    <w:rsid w:val="00C91D81"/>
    <w:rsid w:val="00C92A42"/>
    <w:rsid w:val="00C93B82"/>
    <w:rsid w:val="00C94233"/>
    <w:rsid w:val="00C95CEF"/>
    <w:rsid w:val="00C9629F"/>
    <w:rsid w:val="00CA0F72"/>
    <w:rsid w:val="00CA18F2"/>
    <w:rsid w:val="00CA1FFC"/>
    <w:rsid w:val="00CA34F3"/>
    <w:rsid w:val="00CA4871"/>
    <w:rsid w:val="00CA6722"/>
    <w:rsid w:val="00CA6D4E"/>
    <w:rsid w:val="00CA711E"/>
    <w:rsid w:val="00CA7B4B"/>
    <w:rsid w:val="00CB0378"/>
    <w:rsid w:val="00CB193E"/>
    <w:rsid w:val="00CB36A8"/>
    <w:rsid w:val="00CC014B"/>
    <w:rsid w:val="00CC033C"/>
    <w:rsid w:val="00CC139A"/>
    <w:rsid w:val="00CC1E7A"/>
    <w:rsid w:val="00CC4F64"/>
    <w:rsid w:val="00CC541D"/>
    <w:rsid w:val="00CD058C"/>
    <w:rsid w:val="00CD1CD8"/>
    <w:rsid w:val="00CD2C9E"/>
    <w:rsid w:val="00CD3B98"/>
    <w:rsid w:val="00CD3C6A"/>
    <w:rsid w:val="00CD3CD6"/>
    <w:rsid w:val="00CD4216"/>
    <w:rsid w:val="00CD4680"/>
    <w:rsid w:val="00CD518C"/>
    <w:rsid w:val="00CD557C"/>
    <w:rsid w:val="00CD733F"/>
    <w:rsid w:val="00CD747C"/>
    <w:rsid w:val="00CE0942"/>
    <w:rsid w:val="00CE10C9"/>
    <w:rsid w:val="00CE55BA"/>
    <w:rsid w:val="00CE7CA5"/>
    <w:rsid w:val="00CF101C"/>
    <w:rsid w:val="00CF1D81"/>
    <w:rsid w:val="00CF2DC9"/>
    <w:rsid w:val="00CF7CB6"/>
    <w:rsid w:val="00D00B0C"/>
    <w:rsid w:val="00D02AAC"/>
    <w:rsid w:val="00D04B0C"/>
    <w:rsid w:val="00D05F49"/>
    <w:rsid w:val="00D1386B"/>
    <w:rsid w:val="00D1481E"/>
    <w:rsid w:val="00D30093"/>
    <w:rsid w:val="00D311AB"/>
    <w:rsid w:val="00D325A8"/>
    <w:rsid w:val="00D32C61"/>
    <w:rsid w:val="00D35798"/>
    <w:rsid w:val="00D418CF"/>
    <w:rsid w:val="00D442AD"/>
    <w:rsid w:val="00D45BB7"/>
    <w:rsid w:val="00D52FA8"/>
    <w:rsid w:val="00D543C9"/>
    <w:rsid w:val="00D5618A"/>
    <w:rsid w:val="00D57604"/>
    <w:rsid w:val="00D576DF"/>
    <w:rsid w:val="00D5784B"/>
    <w:rsid w:val="00D60E56"/>
    <w:rsid w:val="00D60FF8"/>
    <w:rsid w:val="00D63EFB"/>
    <w:rsid w:val="00D658AF"/>
    <w:rsid w:val="00D66D1C"/>
    <w:rsid w:val="00D723E6"/>
    <w:rsid w:val="00D725DD"/>
    <w:rsid w:val="00D73E2D"/>
    <w:rsid w:val="00D7672B"/>
    <w:rsid w:val="00D771E8"/>
    <w:rsid w:val="00D83DE9"/>
    <w:rsid w:val="00D8450D"/>
    <w:rsid w:val="00D869C4"/>
    <w:rsid w:val="00D86A33"/>
    <w:rsid w:val="00D92C17"/>
    <w:rsid w:val="00D92D8D"/>
    <w:rsid w:val="00D93187"/>
    <w:rsid w:val="00D95AF9"/>
    <w:rsid w:val="00DA09C9"/>
    <w:rsid w:val="00DA1181"/>
    <w:rsid w:val="00DA1383"/>
    <w:rsid w:val="00DA1822"/>
    <w:rsid w:val="00DA27F3"/>
    <w:rsid w:val="00DA4F8E"/>
    <w:rsid w:val="00DA54FF"/>
    <w:rsid w:val="00DA5B7E"/>
    <w:rsid w:val="00DA730D"/>
    <w:rsid w:val="00DB09D9"/>
    <w:rsid w:val="00DB1065"/>
    <w:rsid w:val="00DB231C"/>
    <w:rsid w:val="00DB2698"/>
    <w:rsid w:val="00DB3486"/>
    <w:rsid w:val="00DB5E1F"/>
    <w:rsid w:val="00DC19D8"/>
    <w:rsid w:val="00DC2613"/>
    <w:rsid w:val="00DC3D15"/>
    <w:rsid w:val="00DC4512"/>
    <w:rsid w:val="00DD0CC3"/>
    <w:rsid w:val="00DD12F1"/>
    <w:rsid w:val="00DD3018"/>
    <w:rsid w:val="00DD3691"/>
    <w:rsid w:val="00DD3D79"/>
    <w:rsid w:val="00DD49F0"/>
    <w:rsid w:val="00DD4B55"/>
    <w:rsid w:val="00DD4ECE"/>
    <w:rsid w:val="00DE1E90"/>
    <w:rsid w:val="00DE24E6"/>
    <w:rsid w:val="00DE2DD6"/>
    <w:rsid w:val="00DE45A3"/>
    <w:rsid w:val="00DE7CC8"/>
    <w:rsid w:val="00DF0069"/>
    <w:rsid w:val="00DF07AD"/>
    <w:rsid w:val="00DF1D39"/>
    <w:rsid w:val="00DF3364"/>
    <w:rsid w:val="00DF40BF"/>
    <w:rsid w:val="00DF5501"/>
    <w:rsid w:val="00E01346"/>
    <w:rsid w:val="00E02119"/>
    <w:rsid w:val="00E055BB"/>
    <w:rsid w:val="00E10786"/>
    <w:rsid w:val="00E10CB8"/>
    <w:rsid w:val="00E11988"/>
    <w:rsid w:val="00E11CE1"/>
    <w:rsid w:val="00E14771"/>
    <w:rsid w:val="00E14A87"/>
    <w:rsid w:val="00E15DA9"/>
    <w:rsid w:val="00E16897"/>
    <w:rsid w:val="00E179B2"/>
    <w:rsid w:val="00E2095D"/>
    <w:rsid w:val="00E24544"/>
    <w:rsid w:val="00E2699F"/>
    <w:rsid w:val="00E27526"/>
    <w:rsid w:val="00E2793F"/>
    <w:rsid w:val="00E30414"/>
    <w:rsid w:val="00E3693D"/>
    <w:rsid w:val="00E40769"/>
    <w:rsid w:val="00E42E8B"/>
    <w:rsid w:val="00E43EA9"/>
    <w:rsid w:val="00E475B7"/>
    <w:rsid w:val="00E51B03"/>
    <w:rsid w:val="00E555AC"/>
    <w:rsid w:val="00E60F12"/>
    <w:rsid w:val="00E62116"/>
    <w:rsid w:val="00E649F5"/>
    <w:rsid w:val="00E652FB"/>
    <w:rsid w:val="00E66C20"/>
    <w:rsid w:val="00E71C46"/>
    <w:rsid w:val="00E744A1"/>
    <w:rsid w:val="00E74F92"/>
    <w:rsid w:val="00E75ED2"/>
    <w:rsid w:val="00E8280C"/>
    <w:rsid w:val="00E83E4C"/>
    <w:rsid w:val="00E84031"/>
    <w:rsid w:val="00E84DFA"/>
    <w:rsid w:val="00E84EDE"/>
    <w:rsid w:val="00E85BB9"/>
    <w:rsid w:val="00E86569"/>
    <w:rsid w:val="00E877A2"/>
    <w:rsid w:val="00E901E8"/>
    <w:rsid w:val="00E91933"/>
    <w:rsid w:val="00E91C36"/>
    <w:rsid w:val="00E92A81"/>
    <w:rsid w:val="00E94FD4"/>
    <w:rsid w:val="00E969B1"/>
    <w:rsid w:val="00E9728E"/>
    <w:rsid w:val="00EA1861"/>
    <w:rsid w:val="00EA74AB"/>
    <w:rsid w:val="00EB450B"/>
    <w:rsid w:val="00EB4CBF"/>
    <w:rsid w:val="00EB6552"/>
    <w:rsid w:val="00EB7810"/>
    <w:rsid w:val="00EC04E4"/>
    <w:rsid w:val="00EC18E6"/>
    <w:rsid w:val="00EC1984"/>
    <w:rsid w:val="00EC21FA"/>
    <w:rsid w:val="00EC234C"/>
    <w:rsid w:val="00EC4011"/>
    <w:rsid w:val="00EC4C81"/>
    <w:rsid w:val="00EC75D4"/>
    <w:rsid w:val="00EC7C6D"/>
    <w:rsid w:val="00ED28CF"/>
    <w:rsid w:val="00ED3529"/>
    <w:rsid w:val="00ED4746"/>
    <w:rsid w:val="00ED4D17"/>
    <w:rsid w:val="00ED6B3C"/>
    <w:rsid w:val="00EE4CA9"/>
    <w:rsid w:val="00EE6CD3"/>
    <w:rsid w:val="00EF137C"/>
    <w:rsid w:val="00EF1F9B"/>
    <w:rsid w:val="00EF20D7"/>
    <w:rsid w:val="00EF2BD6"/>
    <w:rsid w:val="00EF2C5E"/>
    <w:rsid w:val="00EF3419"/>
    <w:rsid w:val="00EF3901"/>
    <w:rsid w:val="00F0119C"/>
    <w:rsid w:val="00F02BDB"/>
    <w:rsid w:val="00F0441B"/>
    <w:rsid w:val="00F04F7C"/>
    <w:rsid w:val="00F0591F"/>
    <w:rsid w:val="00F07623"/>
    <w:rsid w:val="00F07BF1"/>
    <w:rsid w:val="00F1239C"/>
    <w:rsid w:val="00F13250"/>
    <w:rsid w:val="00F14D08"/>
    <w:rsid w:val="00F200B8"/>
    <w:rsid w:val="00F21513"/>
    <w:rsid w:val="00F2187D"/>
    <w:rsid w:val="00F228C4"/>
    <w:rsid w:val="00F23F15"/>
    <w:rsid w:val="00F26D12"/>
    <w:rsid w:val="00F2787B"/>
    <w:rsid w:val="00F30F62"/>
    <w:rsid w:val="00F3136B"/>
    <w:rsid w:val="00F314F1"/>
    <w:rsid w:val="00F327EA"/>
    <w:rsid w:val="00F32E9C"/>
    <w:rsid w:val="00F33641"/>
    <w:rsid w:val="00F352C6"/>
    <w:rsid w:val="00F35FAE"/>
    <w:rsid w:val="00F373A1"/>
    <w:rsid w:val="00F40024"/>
    <w:rsid w:val="00F4014F"/>
    <w:rsid w:val="00F424F1"/>
    <w:rsid w:val="00F42842"/>
    <w:rsid w:val="00F43EE0"/>
    <w:rsid w:val="00F45CB3"/>
    <w:rsid w:val="00F46E40"/>
    <w:rsid w:val="00F4760A"/>
    <w:rsid w:val="00F52954"/>
    <w:rsid w:val="00F52B8E"/>
    <w:rsid w:val="00F53CFD"/>
    <w:rsid w:val="00F54AF5"/>
    <w:rsid w:val="00F557E3"/>
    <w:rsid w:val="00F56CD3"/>
    <w:rsid w:val="00F60523"/>
    <w:rsid w:val="00F61E78"/>
    <w:rsid w:val="00F635C5"/>
    <w:rsid w:val="00F64E40"/>
    <w:rsid w:val="00F71174"/>
    <w:rsid w:val="00F736E3"/>
    <w:rsid w:val="00F767E8"/>
    <w:rsid w:val="00F77AD4"/>
    <w:rsid w:val="00F82538"/>
    <w:rsid w:val="00F8611A"/>
    <w:rsid w:val="00F86A3F"/>
    <w:rsid w:val="00F91297"/>
    <w:rsid w:val="00F9133B"/>
    <w:rsid w:val="00F928CF"/>
    <w:rsid w:val="00F9589D"/>
    <w:rsid w:val="00F97730"/>
    <w:rsid w:val="00F977A7"/>
    <w:rsid w:val="00FA3052"/>
    <w:rsid w:val="00FA4D69"/>
    <w:rsid w:val="00FA6A7B"/>
    <w:rsid w:val="00FB135D"/>
    <w:rsid w:val="00FB1C15"/>
    <w:rsid w:val="00FB32A4"/>
    <w:rsid w:val="00FB594D"/>
    <w:rsid w:val="00FB7ADC"/>
    <w:rsid w:val="00FC05FA"/>
    <w:rsid w:val="00FC0D9C"/>
    <w:rsid w:val="00FC2233"/>
    <w:rsid w:val="00FC36AA"/>
    <w:rsid w:val="00FC3758"/>
    <w:rsid w:val="00FC49BB"/>
    <w:rsid w:val="00FC534A"/>
    <w:rsid w:val="00FD4156"/>
    <w:rsid w:val="00FD5668"/>
    <w:rsid w:val="00FD616B"/>
    <w:rsid w:val="00FE367F"/>
    <w:rsid w:val="00FE480B"/>
    <w:rsid w:val="00FE7C25"/>
    <w:rsid w:val="00FF29DC"/>
    <w:rsid w:val="00FF3164"/>
    <w:rsid w:val="00FF406D"/>
    <w:rsid w:val="00FF662C"/>
    <w:rsid w:val="00FF70E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45E38F44"/>
  <w15:docId w15:val="{A51991CD-A4DD-4AB9-AE01-7865BD6D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84841"/>
    <w:rPr>
      <w:rFonts w:ascii="Cambria" w:hAnsi="Cambria"/>
      <w:lang w:eastAsia="en-US"/>
    </w:rPr>
  </w:style>
  <w:style w:type="paragraph" w:styleId="Heading1">
    <w:name w:val="heading 1"/>
    <w:next w:val="DHHSbody"/>
    <w:link w:val="Heading1Char"/>
    <w:uiPriority w:val="9"/>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9"/>
    <w:qFormat/>
    <w:rsid w:val="009B2351"/>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9"/>
    <w:qFormat/>
    <w:rsid w:val="00276391"/>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
    <w:qFormat/>
    <w:rsid w:val="001A0795"/>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link w:val="Heading6Char"/>
    <w:uiPriority w:val="9"/>
    <w:qFormat/>
    <w:rsid w:val="00236748"/>
    <w:pPr>
      <w:spacing w:before="100" w:beforeAutospacing="1" w:after="100" w:afterAutospacing="1"/>
      <w:outlineLvl w:val="5"/>
    </w:pPr>
    <w:rPr>
      <w:rFonts w:ascii="Verdana" w:hAnsi="Verdana"/>
      <w:b/>
      <w:bCs/>
      <w:color w:val="006699"/>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B0C"/>
    <w:rPr>
      <w:rFonts w:ascii="Arial" w:hAnsi="Arial"/>
      <w:bCs/>
      <w:color w:val="87189D"/>
      <w:sz w:val="44"/>
      <w:szCs w:val="44"/>
      <w:lang w:eastAsia="en-US"/>
    </w:rPr>
  </w:style>
  <w:style w:type="character" w:customStyle="1" w:styleId="Heading2Char">
    <w:name w:val="Heading 2 Char"/>
    <w:link w:val="Heading2"/>
    <w:uiPriority w:val="9"/>
    <w:rsid w:val="009B2351"/>
    <w:rPr>
      <w:rFonts w:ascii="Arial" w:hAnsi="Arial"/>
      <w:b/>
      <w:color w:val="87189D"/>
      <w:sz w:val="28"/>
      <w:szCs w:val="28"/>
      <w:lang w:eastAsia="en-US"/>
    </w:rPr>
  </w:style>
  <w:style w:type="character" w:customStyle="1" w:styleId="Heading3Char">
    <w:name w:val="Heading 3 Char"/>
    <w:link w:val="Heading3"/>
    <w:uiPriority w:val="9"/>
    <w:rsid w:val="00276391"/>
    <w:rPr>
      <w:rFonts w:ascii="Arial" w:eastAsia="MS Gothic" w:hAnsi="Arial"/>
      <w:b/>
      <w:bCs/>
      <w:sz w:val="24"/>
      <w:szCs w:val="26"/>
      <w:lang w:eastAsia="en-US"/>
    </w:rPr>
  </w:style>
  <w:style w:type="character" w:customStyle="1" w:styleId="Heading4Char">
    <w:name w:val="Heading 4 Char"/>
    <w:link w:val="Heading4"/>
    <w:uiPriority w:val="9"/>
    <w:rsid w:val="001A0795"/>
    <w:rPr>
      <w:rFonts w:ascii="Arial" w:eastAsia="MS Mincho" w:hAnsi="Arial"/>
      <w:b/>
      <w:bCs/>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qFormat/>
    <w:rsid w:val="004F7A56"/>
    <w:pPr>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1C6DA7"/>
    <w:pPr>
      <w:ind w:left="800"/>
    </w:pPr>
    <w:rPr>
      <w:rFonts w:ascii="Arial" w:hAnsi="Arial"/>
    </w:r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037DC5"/>
    <w:pPr>
      <w:numPr>
        <w:numId w:val="1"/>
      </w:numPr>
      <w:contextualSpacing/>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02119"/>
    <w:pPr>
      <w:numPr>
        <w:ilvl w:val="2"/>
        <w:numId w:val="1"/>
      </w:numPr>
      <w:contextualSpacing/>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pPr>
  </w:style>
  <w:style w:type="paragraph" w:customStyle="1" w:styleId="DHHSbullet2lastline">
    <w:name w:val="DHHS bullet 2 last line"/>
    <w:basedOn w:val="DHHSbullet2"/>
    <w:uiPriority w:val="2"/>
    <w:qFormat/>
    <w:rsid w:val="00CF7CB6"/>
    <w:pPr>
      <w:numPr>
        <w:ilvl w:val="3"/>
      </w:numPr>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7"/>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uiPriority w:val="9"/>
    <w:rsid w:val="00236748"/>
    <w:rPr>
      <w:rFonts w:ascii="Verdana" w:hAnsi="Verdana"/>
      <w:b/>
      <w:bCs/>
      <w:color w:val="006699"/>
      <w:sz w:val="24"/>
      <w:szCs w:val="24"/>
    </w:rPr>
  </w:style>
  <w:style w:type="paragraph" w:styleId="NormalWeb">
    <w:name w:val="Normal (Web)"/>
    <w:basedOn w:val="Normal"/>
    <w:uiPriority w:val="99"/>
    <w:unhideWhenUsed/>
    <w:rsid w:val="00236748"/>
    <w:pPr>
      <w:spacing w:before="100" w:beforeAutospacing="1" w:after="100" w:afterAutospacing="1"/>
    </w:pPr>
    <w:rPr>
      <w:rFonts w:ascii="Verdana" w:hAnsi="Verdana"/>
      <w:sz w:val="24"/>
      <w:szCs w:val="24"/>
      <w:lang w:eastAsia="en-AU"/>
    </w:rPr>
  </w:style>
  <w:style w:type="paragraph" w:styleId="z-TopofForm">
    <w:name w:val="HTML Top of Form"/>
    <w:basedOn w:val="Normal"/>
    <w:next w:val="Normal"/>
    <w:link w:val="z-TopofFormChar"/>
    <w:hidden/>
    <w:uiPriority w:val="99"/>
    <w:semiHidden/>
    <w:unhideWhenUsed/>
    <w:rsid w:val="00236748"/>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2367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36748"/>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236748"/>
    <w:rPr>
      <w:rFonts w:ascii="Arial" w:hAnsi="Arial" w:cs="Arial"/>
      <w:vanish/>
      <w:sz w:val="16"/>
      <w:szCs w:val="16"/>
    </w:rPr>
  </w:style>
  <w:style w:type="character" w:styleId="HTMLAcronym">
    <w:name w:val="HTML Acronym"/>
    <w:uiPriority w:val="99"/>
    <w:semiHidden/>
    <w:unhideWhenUsed/>
    <w:rsid w:val="00236748"/>
  </w:style>
  <w:style w:type="character" w:styleId="Emphasis">
    <w:name w:val="Emphasis"/>
    <w:uiPriority w:val="20"/>
    <w:qFormat/>
    <w:rsid w:val="00236748"/>
    <w:rPr>
      <w:i/>
      <w:iCs/>
    </w:rPr>
  </w:style>
  <w:style w:type="character" w:customStyle="1" w:styleId="staticfooterinfo">
    <w:name w:val="staticfooterinfo"/>
    <w:rsid w:val="00236748"/>
  </w:style>
  <w:style w:type="paragraph" w:styleId="BalloonText">
    <w:name w:val="Balloon Text"/>
    <w:basedOn w:val="Normal"/>
    <w:link w:val="BalloonTextChar"/>
    <w:uiPriority w:val="99"/>
    <w:semiHidden/>
    <w:unhideWhenUsed/>
    <w:rsid w:val="0023674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36748"/>
    <w:rPr>
      <w:rFonts w:ascii="Tahoma" w:eastAsia="Calibri" w:hAnsi="Tahoma" w:cs="Tahoma"/>
      <w:sz w:val="16"/>
      <w:szCs w:val="16"/>
      <w:lang w:eastAsia="en-US"/>
    </w:rPr>
  </w:style>
  <w:style w:type="character" w:styleId="HTMLCode">
    <w:name w:val="HTML Code"/>
    <w:uiPriority w:val="99"/>
    <w:semiHidden/>
    <w:unhideWhenUsed/>
    <w:rsid w:val="00236748"/>
    <w:rPr>
      <w:rFonts w:ascii="Courier New" w:eastAsia="Times New Roman" w:hAnsi="Courier New" w:cs="Courier New" w:hint="default"/>
      <w:color w:val="666666"/>
      <w:sz w:val="24"/>
      <w:szCs w:val="24"/>
    </w:rPr>
  </w:style>
  <w:style w:type="paragraph" w:customStyle="1" w:styleId="img">
    <w:name w:val="img"/>
    <w:basedOn w:val="Normal"/>
    <w:rsid w:val="00236748"/>
    <w:pPr>
      <w:spacing w:before="100" w:beforeAutospacing="1" w:after="100" w:afterAutospacing="1"/>
    </w:pPr>
    <w:rPr>
      <w:rFonts w:ascii="Verdana" w:hAnsi="Verdana"/>
      <w:sz w:val="24"/>
      <w:szCs w:val="24"/>
      <w:lang w:eastAsia="en-AU"/>
    </w:rPr>
  </w:style>
  <w:style w:type="paragraph" w:customStyle="1" w:styleId="smaller">
    <w:name w:val="smaller"/>
    <w:basedOn w:val="Normal"/>
    <w:rsid w:val="00236748"/>
    <w:pPr>
      <w:spacing w:before="100" w:beforeAutospacing="1" w:after="100" w:afterAutospacing="1"/>
    </w:pPr>
    <w:rPr>
      <w:rFonts w:ascii="Verdana" w:hAnsi="Verdana"/>
      <w:lang w:eastAsia="en-AU"/>
    </w:rPr>
  </w:style>
  <w:style w:type="paragraph" w:customStyle="1" w:styleId="searchbar">
    <w:name w:val="searchbar"/>
    <w:basedOn w:val="Normal"/>
    <w:rsid w:val="00236748"/>
    <w:pPr>
      <w:spacing w:after="150"/>
      <w:jc w:val="center"/>
    </w:pPr>
    <w:rPr>
      <w:rFonts w:ascii="Verdana" w:hAnsi="Verdana"/>
      <w:sz w:val="24"/>
      <w:szCs w:val="24"/>
      <w:lang w:eastAsia="en-AU"/>
    </w:rPr>
  </w:style>
  <w:style w:type="paragraph" w:customStyle="1" w:styleId="column-left">
    <w:name w:val="column-left"/>
    <w:basedOn w:val="Normal"/>
    <w:rsid w:val="00236748"/>
    <w:pPr>
      <w:spacing w:before="100" w:beforeAutospacing="1" w:after="100" w:afterAutospacing="1"/>
    </w:pPr>
    <w:rPr>
      <w:rFonts w:ascii="Verdana" w:hAnsi="Verdana"/>
      <w:sz w:val="24"/>
      <w:szCs w:val="24"/>
      <w:lang w:eastAsia="en-AU"/>
    </w:rPr>
  </w:style>
  <w:style w:type="paragraph" w:customStyle="1" w:styleId="column-right">
    <w:name w:val="column-right"/>
    <w:basedOn w:val="Normal"/>
    <w:rsid w:val="00236748"/>
    <w:pPr>
      <w:spacing w:before="100" w:beforeAutospacing="1" w:after="100" w:afterAutospacing="1"/>
    </w:pPr>
    <w:rPr>
      <w:rFonts w:ascii="Verdana" w:hAnsi="Verdana"/>
      <w:sz w:val="24"/>
      <w:szCs w:val="24"/>
      <w:lang w:eastAsia="en-AU"/>
    </w:rPr>
  </w:style>
  <w:style w:type="paragraph" w:customStyle="1" w:styleId="stop-columns">
    <w:name w:val="stop-columns"/>
    <w:basedOn w:val="Normal"/>
    <w:rsid w:val="00236748"/>
    <w:pPr>
      <w:spacing w:before="100" w:beforeAutospacing="1" w:after="100" w:afterAutospacing="1"/>
    </w:pPr>
    <w:rPr>
      <w:rFonts w:ascii="Verdana" w:hAnsi="Verdana"/>
      <w:sz w:val="24"/>
      <w:szCs w:val="24"/>
      <w:lang w:eastAsia="en-AU"/>
    </w:rPr>
  </w:style>
  <w:style w:type="paragraph" w:customStyle="1" w:styleId="adjusthead">
    <w:name w:val="adjusthead"/>
    <w:basedOn w:val="Normal"/>
    <w:rsid w:val="00236748"/>
    <w:pPr>
      <w:pBdr>
        <w:bottom w:val="single" w:sz="6" w:space="0" w:color="006699"/>
      </w:pBdr>
      <w:shd w:val="clear" w:color="auto" w:fill="CDDBEE"/>
      <w:spacing w:before="100" w:beforeAutospacing="1" w:after="100" w:afterAutospacing="1"/>
      <w:jc w:val="center"/>
    </w:pPr>
    <w:rPr>
      <w:rFonts w:ascii="Verdana" w:hAnsi="Verdana"/>
      <w:b/>
      <w:bCs/>
      <w:color w:val="006699"/>
      <w:sz w:val="24"/>
      <w:szCs w:val="24"/>
      <w:lang w:eastAsia="en-AU"/>
    </w:rPr>
  </w:style>
  <w:style w:type="paragraph" w:customStyle="1" w:styleId="printhead">
    <w:name w:val="printhead"/>
    <w:basedOn w:val="Normal"/>
    <w:rsid w:val="00236748"/>
    <w:pPr>
      <w:pBdr>
        <w:bottom w:val="single" w:sz="6" w:space="0" w:color="006699"/>
      </w:pBdr>
      <w:shd w:val="clear" w:color="auto" w:fill="CDDBEE"/>
      <w:spacing w:before="100" w:beforeAutospacing="1" w:after="100" w:afterAutospacing="1"/>
      <w:jc w:val="center"/>
    </w:pPr>
    <w:rPr>
      <w:rFonts w:ascii="Verdana" w:hAnsi="Verdana"/>
      <w:b/>
      <w:bCs/>
      <w:color w:val="006699"/>
      <w:sz w:val="24"/>
      <w:szCs w:val="24"/>
      <w:lang w:eastAsia="en-AU"/>
    </w:rPr>
  </w:style>
  <w:style w:type="paragraph" w:customStyle="1" w:styleId="rnav">
    <w:name w:val="rnav"/>
    <w:basedOn w:val="Normal"/>
    <w:rsid w:val="00236748"/>
    <w:pPr>
      <w:spacing w:before="150" w:after="150"/>
      <w:ind w:left="150" w:right="150"/>
    </w:pPr>
    <w:rPr>
      <w:rFonts w:ascii="Verdana" w:hAnsi="Verdana"/>
      <w:vanish/>
      <w:sz w:val="24"/>
      <w:szCs w:val="24"/>
      <w:lang w:eastAsia="en-AU"/>
    </w:rPr>
  </w:style>
  <w:style w:type="paragraph" w:customStyle="1" w:styleId="graphicleft">
    <w:name w:val="graphicleft"/>
    <w:basedOn w:val="Normal"/>
    <w:rsid w:val="00236748"/>
    <w:pPr>
      <w:spacing w:before="100" w:beforeAutospacing="1" w:after="100" w:afterAutospacing="1"/>
    </w:pPr>
    <w:rPr>
      <w:rFonts w:ascii="Verdana" w:hAnsi="Verdana"/>
      <w:sz w:val="24"/>
      <w:szCs w:val="24"/>
      <w:lang w:eastAsia="en-AU"/>
    </w:rPr>
  </w:style>
  <w:style w:type="paragraph" w:customStyle="1" w:styleId="graphicright">
    <w:name w:val="graphicright"/>
    <w:basedOn w:val="Normal"/>
    <w:rsid w:val="00236748"/>
    <w:pPr>
      <w:spacing w:before="100" w:beforeAutospacing="1" w:after="100" w:afterAutospacing="1"/>
      <w:jc w:val="right"/>
    </w:pPr>
    <w:rPr>
      <w:rFonts w:ascii="Verdana" w:hAnsi="Verdana"/>
      <w:sz w:val="24"/>
      <w:szCs w:val="24"/>
      <w:lang w:eastAsia="en-AU"/>
    </w:rPr>
  </w:style>
  <w:style w:type="paragraph" w:customStyle="1" w:styleId="graphiccentre">
    <w:name w:val="graphiccentre"/>
    <w:basedOn w:val="Normal"/>
    <w:rsid w:val="00236748"/>
    <w:pPr>
      <w:spacing w:before="100" w:beforeAutospacing="1" w:after="100" w:afterAutospacing="1"/>
      <w:jc w:val="center"/>
    </w:pPr>
    <w:rPr>
      <w:rFonts w:ascii="Verdana" w:hAnsi="Verdana"/>
      <w:sz w:val="24"/>
      <w:szCs w:val="24"/>
      <w:lang w:eastAsia="en-AU"/>
    </w:rPr>
  </w:style>
  <w:style w:type="paragraph" w:customStyle="1" w:styleId="top">
    <w:name w:val="top"/>
    <w:basedOn w:val="Normal"/>
    <w:rsid w:val="00236748"/>
    <w:pPr>
      <w:spacing w:before="150" w:after="150"/>
      <w:jc w:val="right"/>
    </w:pPr>
    <w:rPr>
      <w:rFonts w:ascii="Verdana" w:hAnsi="Verdana"/>
      <w:vanish/>
      <w:sz w:val="22"/>
      <w:szCs w:val="22"/>
      <w:lang w:eastAsia="en-AU"/>
    </w:rPr>
  </w:style>
  <w:style w:type="paragraph" w:customStyle="1" w:styleId="italic">
    <w:name w:val="italic"/>
    <w:basedOn w:val="Normal"/>
    <w:rsid w:val="00236748"/>
    <w:pPr>
      <w:spacing w:before="100" w:beforeAutospacing="1" w:after="100" w:afterAutospacing="1"/>
    </w:pPr>
    <w:rPr>
      <w:rFonts w:ascii="Verdana" w:hAnsi="Verdana"/>
      <w:i/>
      <w:iCs/>
      <w:sz w:val="24"/>
      <w:szCs w:val="24"/>
      <w:lang w:eastAsia="en-AU"/>
    </w:rPr>
  </w:style>
  <w:style w:type="paragraph" w:customStyle="1" w:styleId="bold">
    <w:name w:val="bold"/>
    <w:basedOn w:val="Normal"/>
    <w:rsid w:val="00236748"/>
    <w:pPr>
      <w:spacing w:before="100" w:beforeAutospacing="1" w:after="100" w:afterAutospacing="1"/>
    </w:pPr>
    <w:rPr>
      <w:rFonts w:ascii="Verdana" w:hAnsi="Verdana"/>
      <w:b/>
      <w:bCs/>
      <w:sz w:val="24"/>
      <w:szCs w:val="24"/>
      <w:lang w:eastAsia="en-AU"/>
    </w:rPr>
  </w:style>
  <w:style w:type="paragraph" w:customStyle="1" w:styleId="clearfloat">
    <w:name w:val="clearfloat"/>
    <w:basedOn w:val="Normal"/>
    <w:rsid w:val="00236748"/>
    <w:pPr>
      <w:spacing w:before="100" w:beforeAutospacing="1" w:after="100" w:afterAutospacing="1" w:line="420" w:lineRule="atLeast"/>
    </w:pPr>
    <w:rPr>
      <w:rFonts w:ascii="Verdana" w:hAnsi="Verdana"/>
      <w:sz w:val="2"/>
      <w:szCs w:val="2"/>
      <w:lang w:eastAsia="en-AU"/>
    </w:rPr>
  </w:style>
  <w:style w:type="paragraph" w:customStyle="1" w:styleId="landscape">
    <w:name w:val="landscape"/>
    <w:basedOn w:val="Normal"/>
    <w:rsid w:val="00236748"/>
    <w:pPr>
      <w:spacing w:before="100" w:beforeAutospacing="1" w:after="100" w:afterAutospacing="1"/>
    </w:pPr>
    <w:rPr>
      <w:rFonts w:ascii="Verdana" w:hAnsi="Verdana"/>
      <w:vanish/>
      <w:sz w:val="24"/>
      <w:szCs w:val="24"/>
      <w:lang w:eastAsia="en-AU"/>
    </w:rPr>
  </w:style>
  <w:style w:type="paragraph" w:customStyle="1" w:styleId="calendarnavlink">
    <w:name w:val="calendarnavlink"/>
    <w:basedOn w:val="Normal"/>
    <w:rsid w:val="00236748"/>
    <w:pPr>
      <w:spacing w:before="100" w:beforeAutospacing="1" w:after="100" w:afterAutospacing="1"/>
    </w:pPr>
    <w:rPr>
      <w:rFonts w:ascii="Verdana" w:hAnsi="Verdana"/>
      <w:b/>
      <w:bCs/>
      <w:color w:val="0000FF"/>
      <w:sz w:val="24"/>
      <w:szCs w:val="24"/>
      <w:lang w:eastAsia="en-AU"/>
    </w:rPr>
  </w:style>
  <w:style w:type="paragraph" w:customStyle="1" w:styleId="Header1">
    <w:name w:val="Header1"/>
    <w:basedOn w:val="Normal"/>
    <w:rsid w:val="00236748"/>
    <w:pPr>
      <w:spacing w:before="100" w:beforeAutospacing="1" w:after="100" w:afterAutospacing="1"/>
    </w:pPr>
    <w:rPr>
      <w:rFonts w:ascii="Verdana" w:hAnsi="Verdana"/>
      <w:sz w:val="24"/>
      <w:szCs w:val="24"/>
      <w:lang w:eastAsia="en-AU"/>
    </w:rPr>
  </w:style>
  <w:style w:type="paragraph" w:customStyle="1" w:styleId="nobottom">
    <w:name w:val="nobottom"/>
    <w:basedOn w:val="Normal"/>
    <w:rsid w:val="00236748"/>
    <w:pPr>
      <w:spacing w:before="100" w:beforeAutospacing="1" w:after="100" w:afterAutospacing="1"/>
    </w:pPr>
    <w:rPr>
      <w:rFonts w:ascii="Verdana" w:hAnsi="Verdana"/>
      <w:sz w:val="24"/>
      <w:szCs w:val="24"/>
      <w:lang w:eastAsia="en-AU"/>
    </w:rPr>
  </w:style>
  <w:style w:type="paragraph" w:customStyle="1" w:styleId="searchtext">
    <w:name w:val="searchtext"/>
    <w:basedOn w:val="Normal"/>
    <w:rsid w:val="00236748"/>
    <w:pPr>
      <w:spacing w:before="100" w:beforeAutospacing="1" w:after="100" w:afterAutospacing="1"/>
    </w:pPr>
    <w:rPr>
      <w:rFonts w:ascii="Verdana" w:hAnsi="Verdana"/>
      <w:sz w:val="24"/>
      <w:szCs w:val="24"/>
      <w:lang w:eastAsia="en-AU"/>
    </w:rPr>
  </w:style>
  <w:style w:type="paragraph" w:customStyle="1" w:styleId="graphic">
    <w:name w:val="graphic"/>
    <w:basedOn w:val="Normal"/>
    <w:rsid w:val="00236748"/>
    <w:pPr>
      <w:spacing w:before="100" w:beforeAutospacing="1" w:after="100" w:afterAutospacing="1"/>
    </w:pPr>
    <w:rPr>
      <w:rFonts w:ascii="Verdana" w:hAnsi="Verdana"/>
      <w:sz w:val="24"/>
      <w:szCs w:val="24"/>
      <w:lang w:eastAsia="en-AU"/>
    </w:rPr>
  </w:style>
  <w:style w:type="paragraph" w:customStyle="1" w:styleId="breadcrumbs">
    <w:name w:val="breadcrumbs"/>
    <w:basedOn w:val="Normal"/>
    <w:rsid w:val="00236748"/>
    <w:pPr>
      <w:spacing w:before="100" w:beforeAutospacing="1" w:after="100" w:afterAutospacing="1"/>
    </w:pPr>
    <w:rPr>
      <w:rFonts w:ascii="Verdana" w:hAnsi="Verdana"/>
      <w:sz w:val="24"/>
      <w:szCs w:val="24"/>
      <w:lang w:eastAsia="en-AU"/>
    </w:rPr>
  </w:style>
  <w:style w:type="paragraph" w:customStyle="1" w:styleId="event">
    <w:name w:val="event"/>
    <w:basedOn w:val="Normal"/>
    <w:rsid w:val="00236748"/>
    <w:pPr>
      <w:spacing w:before="100" w:beforeAutospacing="1" w:after="100" w:afterAutospacing="1"/>
    </w:pPr>
    <w:rPr>
      <w:rFonts w:ascii="Verdana" w:hAnsi="Verdana"/>
      <w:sz w:val="24"/>
      <w:szCs w:val="24"/>
      <w:lang w:eastAsia="en-AU"/>
    </w:rPr>
  </w:style>
  <w:style w:type="paragraph" w:customStyle="1" w:styleId="searchtext1">
    <w:name w:val="searchtext1"/>
    <w:basedOn w:val="Normal"/>
    <w:rsid w:val="00236748"/>
    <w:pPr>
      <w:spacing w:before="100" w:beforeAutospacing="1" w:after="100" w:afterAutospacing="1"/>
    </w:pPr>
    <w:rPr>
      <w:rFonts w:ascii="Verdana" w:hAnsi="Verdana"/>
      <w:lang w:eastAsia="en-AU"/>
    </w:rPr>
  </w:style>
  <w:style w:type="paragraph" w:customStyle="1" w:styleId="graphic1">
    <w:name w:val="graphic1"/>
    <w:basedOn w:val="Normal"/>
    <w:rsid w:val="00236748"/>
    <w:pPr>
      <w:spacing w:before="100" w:beforeAutospacing="1" w:after="100" w:afterAutospacing="1"/>
    </w:pPr>
    <w:rPr>
      <w:rFonts w:ascii="Verdana" w:hAnsi="Verdana"/>
      <w:sz w:val="24"/>
      <w:szCs w:val="24"/>
      <w:lang w:eastAsia="en-AU"/>
    </w:rPr>
  </w:style>
  <w:style w:type="paragraph" w:customStyle="1" w:styleId="header10">
    <w:name w:val="header1"/>
    <w:basedOn w:val="Normal"/>
    <w:rsid w:val="00236748"/>
    <w:pPr>
      <w:pBdr>
        <w:top w:val="single" w:sz="6" w:space="3" w:color="006699"/>
        <w:left w:val="single" w:sz="6" w:space="3" w:color="006699"/>
        <w:bottom w:val="single" w:sz="6" w:space="3" w:color="006699"/>
        <w:right w:val="single" w:sz="6" w:space="3" w:color="006699"/>
      </w:pBdr>
      <w:shd w:val="clear" w:color="auto" w:fill="006699"/>
    </w:pPr>
    <w:rPr>
      <w:rFonts w:ascii="Verdana" w:hAnsi="Verdana"/>
      <w:b/>
      <w:bCs/>
      <w:color w:val="FFFFFF"/>
      <w:lang w:eastAsia="en-AU"/>
    </w:rPr>
  </w:style>
  <w:style w:type="paragraph" w:customStyle="1" w:styleId="nobottom1">
    <w:name w:val="nobottom1"/>
    <w:basedOn w:val="Normal"/>
    <w:rsid w:val="00236748"/>
    <w:pPr>
      <w:spacing w:before="100" w:beforeAutospacing="1" w:after="100" w:afterAutospacing="1"/>
    </w:pPr>
    <w:rPr>
      <w:rFonts w:ascii="Verdana" w:hAnsi="Verdana"/>
      <w:sz w:val="24"/>
      <w:szCs w:val="24"/>
      <w:lang w:eastAsia="en-AU"/>
    </w:rPr>
  </w:style>
  <w:style w:type="paragraph" w:customStyle="1" w:styleId="breadcrumbs1">
    <w:name w:val="breadcrumbs1"/>
    <w:basedOn w:val="Normal"/>
    <w:rsid w:val="00236748"/>
    <w:pPr>
      <w:spacing w:before="100" w:beforeAutospacing="1" w:after="100" w:afterAutospacing="1"/>
    </w:pPr>
    <w:rPr>
      <w:rFonts w:ascii="Verdana" w:hAnsi="Verdana"/>
      <w:sz w:val="19"/>
      <w:szCs w:val="19"/>
      <w:lang w:eastAsia="en-AU"/>
    </w:rPr>
  </w:style>
  <w:style w:type="paragraph" w:customStyle="1" w:styleId="event1">
    <w:name w:val="event1"/>
    <w:basedOn w:val="Normal"/>
    <w:rsid w:val="00236748"/>
    <w:pPr>
      <w:spacing w:before="100" w:beforeAutospacing="1" w:after="100" w:afterAutospacing="1"/>
    </w:pPr>
    <w:rPr>
      <w:rFonts w:ascii="Verdana" w:hAnsi="Verdana"/>
      <w:sz w:val="24"/>
      <w:szCs w:val="24"/>
      <w:lang w:eastAsia="en-AU"/>
    </w:rPr>
  </w:style>
  <w:style w:type="paragraph" w:customStyle="1" w:styleId="event2">
    <w:name w:val="event2"/>
    <w:basedOn w:val="Normal"/>
    <w:rsid w:val="00236748"/>
    <w:pPr>
      <w:spacing w:before="100" w:beforeAutospacing="1" w:after="100" w:afterAutospacing="1"/>
    </w:pPr>
    <w:rPr>
      <w:rFonts w:ascii="Verdana" w:hAnsi="Verdana"/>
      <w:sz w:val="15"/>
      <w:szCs w:val="15"/>
      <w:lang w:eastAsia="en-AU"/>
    </w:rPr>
  </w:style>
  <w:style w:type="paragraph" w:customStyle="1" w:styleId="event3">
    <w:name w:val="event3"/>
    <w:basedOn w:val="Normal"/>
    <w:rsid w:val="00236748"/>
    <w:pPr>
      <w:spacing w:before="100" w:beforeAutospacing="1" w:after="100" w:afterAutospacing="1"/>
    </w:pPr>
    <w:rPr>
      <w:rFonts w:ascii="Verdana" w:hAnsi="Verdana"/>
      <w:sz w:val="24"/>
      <w:szCs w:val="24"/>
      <w:lang w:eastAsia="en-AU"/>
    </w:rPr>
  </w:style>
  <w:style w:type="paragraph" w:customStyle="1" w:styleId="tab-wrapper">
    <w:name w:val="tab-wrapper"/>
    <w:basedOn w:val="Normal"/>
    <w:rsid w:val="00236748"/>
    <w:pPr>
      <w:spacing w:before="100" w:beforeAutospacing="1" w:after="100" w:afterAutospacing="1"/>
    </w:pPr>
    <w:rPr>
      <w:rFonts w:ascii="Verdana" w:hAnsi="Verdana"/>
      <w:sz w:val="24"/>
      <w:szCs w:val="24"/>
      <w:lang w:eastAsia="en-AU"/>
    </w:rPr>
  </w:style>
  <w:style w:type="paragraph" w:customStyle="1" w:styleId="tab-menu">
    <w:name w:val="tab-menu"/>
    <w:basedOn w:val="Normal"/>
    <w:rsid w:val="00236748"/>
    <w:pPr>
      <w:spacing w:before="100" w:beforeAutospacing="1" w:after="100" w:afterAutospacing="1" w:line="255" w:lineRule="atLeast"/>
    </w:pPr>
    <w:rPr>
      <w:rFonts w:ascii="Verdana" w:hAnsi="Verdana"/>
      <w:sz w:val="18"/>
      <w:szCs w:val="18"/>
      <w:lang w:eastAsia="en-AU"/>
    </w:rPr>
  </w:style>
  <w:style w:type="paragraph" w:customStyle="1" w:styleId="searchtext2">
    <w:name w:val="searchtext2"/>
    <w:basedOn w:val="Normal"/>
    <w:rsid w:val="00236748"/>
    <w:pPr>
      <w:spacing w:before="100" w:beforeAutospacing="1" w:after="100" w:afterAutospacing="1"/>
    </w:pPr>
    <w:rPr>
      <w:rFonts w:ascii="Verdana" w:hAnsi="Verdana"/>
      <w:lang w:eastAsia="en-AU"/>
    </w:rPr>
  </w:style>
  <w:style w:type="paragraph" w:customStyle="1" w:styleId="graphic2">
    <w:name w:val="graphic2"/>
    <w:basedOn w:val="Normal"/>
    <w:rsid w:val="00236748"/>
    <w:pPr>
      <w:spacing w:before="100" w:beforeAutospacing="1" w:after="100" w:afterAutospacing="1"/>
    </w:pPr>
    <w:rPr>
      <w:rFonts w:ascii="Verdana" w:hAnsi="Verdana"/>
      <w:sz w:val="24"/>
      <w:szCs w:val="24"/>
      <w:lang w:eastAsia="en-AU"/>
    </w:rPr>
  </w:style>
  <w:style w:type="paragraph" w:customStyle="1" w:styleId="header2">
    <w:name w:val="header2"/>
    <w:basedOn w:val="Normal"/>
    <w:rsid w:val="00236748"/>
    <w:pPr>
      <w:pBdr>
        <w:top w:val="single" w:sz="6" w:space="3" w:color="006699"/>
        <w:left w:val="single" w:sz="6" w:space="3" w:color="006699"/>
        <w:bottom w:val="single" w:sz="6" w:space="3" w:color="006699"/>
        <w:right w:val="single" w:sz="6" w:space="3" w:color="006699"/>
      </w:pBdr>
      <w:shd w:val="clear" w:color="auto" w:fill="006699"/>
    </w:pPr>
    <w:rPr>
      <w:rFonts w:ascii="Verdana" w:hAnsi="Verdana"/>
      <w:b/>
      <w:bCs/>
      <w:color w:val="FFFFFF"/>
      <w:lang w:eastAsia="en-AU"/>
    </w:rPr>
  </w:style>
  <w:style w:type="paragraph" w:customStyle="1" w:styleId="nobottom2">
    <w:name w:val="nobottom2"/>
    <w:basedOn w:val="Normal"/>
    <w:rsid w:val="00236748"/>
    <w:pPr>
      <w:spacing w:before="100" w:beforeAutospacing="1" w:after="100" w:afterAutospacing="1"/>
    </w:pPr>
    <w:rPr>
      <w:rFonts w:ascii="Verdana" w:hAnsi="Verdana"/>
      <w:sz w:val="24"/>
      <w:szCs w:val="24"/>
      <w:lang w:eastAsia="en-AU"/>
    </w:rPr>
  </w:style>
  <w:style w:type="paragraph" w:customStyle="1" w:styleId="breadcrumbs2">
    <w:name w:val="breadcrumbs2"/>
    <w:basedOn w:val="Normal"/>
    <w:rsid w:val="00236748"/>
    <w:pPr>
      <w:spacing w:before="100" w:beforeAutospacing="1" w:after="100" w:afterAutospacing="1"/>
    </w:pPr>
    <w:rPr>
      <w:rFonts w:ascii="Verdana" w:hAnsi="Verdana"/>
      <w:sz w:val="19"/>
      <w:szCs w:val="19"/>
      <w:lang w:eastAsia="en-AU"/>
    </w:rPr>
  </w:style>
  <w:style w:type="paragraph" w:customStyle="1" w:styleId="event4">
    <w:name w:val="event4"/>
    <w:basedOn w:val="Normal"/>
    <w:rsid w:val="00236748"/>
    <w:pPr>
      <w:spacing w:before="100" w:beforeAutospacing="1" w:after="100" w:afterAutospacing="1"/>
    </w:pPr>
    <w:rPr>
      <w:rFonts w:ascii="Verdana" w:hAnsi="Verdana"/>
      <w:sz w:val="24"/>
      <w:szCs w:val="24"/>
      <w:lang w:eastAsia="en-AU"/>
    </w:rPr>
  </w:style>
  <w:style w:type="paragraph" w:customStyle="1" w:styleId="event5">
    <w:name w:val="event5"/>
    <w:basedOn w:val="Normal"/>
    <w:rsid w:val="00236748"/>
    <w:pPr>
      <w:spacing w:before="100" w:beforeAutospacing="1" w:after="100" w:afterAutospacing="1"/>
    </w:pPr>
    <w:rPr>
      <w:rFonts w:ascii="Verdana" w:hAnsi="Verdana"/>
      <w:sz w:val="15"/>
      <w:szCs w:val="15"/>
      <w:lang w:eastAsia="en-AU"/>
    </w:rPr>
  </w:style>
  <w:style w:type="paragraph" w:customStyle="1" w:styleId="event6">
    <w:name w:val="event6"/>
    <w:basedOn w:val="Normal"/>
    <w:rsid w:val="00236748"/>
    <w:pPr>
      <w:spacing w:before="100" w:beforeAutospacing="1" w:after="100" w:afterAutospacing="1"/>
    </w:pPr>
    <w:rPr>
      <w:rFonts w:ascii="Verdana" w:hAnsi="Verdana"/>
      <w:sz w:val="24"/>
      <w:szCs w:val="24"/>
      <w:lang w:eastAsia="en-AU"/>
    </w:rPr>
  </w:style>
  <w:style w:type="paragraph" w:styleId="HTMLAddress">
    <w:name w:val="HTML Address"/>
    <w:basedOn w:val="Normal"/>
    <w:link w:val="HTMLAddressChar"/>
    <w:uiPriority w:val="99"/>
    <w:semiHidden/>
    <w:unhideWhenUsed/>
    <w:rsid w:val="00236748"/>
    <w:rPr>
      <w:rFonts w:ascii="Times New Roman" w:hAnsi="Times New Roman"/>
      <w:i/>
      <w:iCs/>
      <w:sz w:val="24"/>
      <w:szCs w:val="24"/>
      <w:lang w:eastAsia="en-AU"/>
    </w:rPr>
  </w:style>
  <w:style w:type="character" w:customStyle="1" w:styleId="HTMLAddressChar">
    <w:name w:val="HTML Address Char"/>
    <w:basedOn w:val="DefaultParagraphFont"/>
    <w:link w:val="HTMLAddress"/>
    <w:uiPriority w:val="99"/>
    <w:semiHidden/>
    <w:rsid w:val="00236748"/>
    <w:rPr>
      <w:i/>
      <w:iCs/>
      <w:sz w:val="24"/>
      <w:szCs w:val="24"/>
    </w:rPr>
  </w:style>
  <w:style w:type="paragraph" w:styleId="NormalIndent">
    <w:name w:val="Normal Indent"/>
    <w:basedOn w:val="Normal"/>
    <w:uiPriority w:val="99"/>
    <w:semiHidden/>
    <w:unhideWhenUsed/>
    <w:rsid w:val="00C84841"/>
    <w:pPr>
      <w:ind w:left="720"/>
    </w:pPr>
  </w:style>
  <w:style w:type="paragraph" w:styleId="TOCHeading">
    <w:name w:val="TOC Heading"/>
    <w:basedOn w:val="Heading1"/>
    <w:next w:val="Normal"/>
    <w:uiPriority w:val="39"/>
    <w:unhideWhenUsed/>
    <w:qFormat/>
    <w:rsid w:val="00953AD6"/>
    <w:pPr>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Revision">
    <w:name w:val="Revision"/>
    <w:hidden/>
    <w:uiPriority w:val="71"/>
    <w:rsid w:val="00A66F0F"/>
    <w:rPr>
      <w:rFonts w:ascii="Cambria" w:hAnsi="Cambria"/>
      <w:lang w:eastAsia="en-US"/>
    </w:rPr>
  </w:style>
  <w:style w:type="character" w:styleId="CommentReference">
    <w:name w:val="annotation reference"/>
    <w:basedOn w:val="DefaultParagraphFont"/>
    <w:uiPriority w:val="99"/>
    <w:semiHidden/>
    <w:unhideWhenUsed/>
    <w:rsid w:val="007C6AB3"/>
    <w:rPr>
      <w:sz w:val="16"/>
      <w:szCs w:val="16"/>
    </w:rPr>
  </w:style>
  <w:style w:type="paragraph" w:styleId="CommentText">
    <w:name w:val="annotation text"/>
    <w:basedOn w:val="Normal"/>
    <w:link w:val="CommentTextChar"/>
    <w:uiPriority w:val="99"/>
    <w:semiHidden/>
    <w:unhideWhenUsed/>
    <w:rsid w:val="007C6AB3"/>
  </w:style>
  <w:style w:type="character" w:customStyle="1" w:styleId="CommentTextChar">
    <w:name w:val="Comment Text Char"/>
    <w:basedOn w:val="DefaultParagraphFont"/>
    <w:link w:val="CommentText"/>
    <w:uiPriority w:val="99"/>
    <w:semiHidden/>
    <w:rsid w:val="007C6AB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C6AB3"/>
    <w:rPr>
      <w:b/>
      <w:bCs/>
    </w:rPr>
  </w:style>
  <w:style w:type="character" w:customStyle="1" w:styleId="CommentSubjectChar">
    <w:name w:val="Comment Subject Char"/>
    <w:basedOn w:val="CommentTextChar"/>
    <w:link w:val="CommentSubject"/>
    <w:uiPriority w:val="99"/>
    <w:semiHidden/>
    <w:rsid w:val="007C6AB3"/>
    <w:rPr>
      <w:rFonts w:ascii="Cambria" w:hAnsi="Cambria"/>
      <w:b/>
      <w:bCs/>
      <w:lang w:eastAsia="en-US"/>
    </w:rPr>
  </w:style>
  <w:style w:type="paragraph" w:customStyle="1" w:styleId="DHHSbodyBold">
    <w:name w:val="DHHS body Bold"/>
    <w:basedOn w:val="DHHSbody"/>
    <w:link w:val="DHHSbodyBoldChar"/>
    <w:qFormat/>
    <w:rsid w:val="000B2E6F"/>
    <w:rPr>
      <w:b/>
    </w:rPr>
  </w:style>
  <w:style w:type="character" w:customStyle="1" w:styleId="DHHSbodyChar">
    <w:name w:val="DHHS body Char"/>
    <w:basedOn w:val="DefaultParagraphFont"/>
    <w:link w:val="DHHSbody"/>
    <w:rsid w:val="000B2E6F"/>
    <w:rPr>
      <w:rFonts w:ascii="Arial" w:eastAsia="Times" w:hAnsi="Arial"/>
      <w:lang w:eastAsia="en-US"/>
    </w:rPr>
  </w:style>
  <w:style w:type="character" w:customStyle="1" w:styleId="DHHSbodyBoldChar">
    <w:name w:val="DHHS body Bold Char"/>
    <w:basedOn w:val="DHHSbodyChar"/>
    <w:link w:val="DHHSbodyBold"/>
    <w:rsid w:val="000B2E6F"/>
    <w:rPr>
      <w:rFonts w:ascii="Arial" w:eastAsia="Times" w:hAnsi="Arial"/>
      <w:b/>
      <w:lang w:eastAsia="en-US"/>
    </w:rPr>
  </w:style>
  <w:style w:type="paragraph" w:styleId="ListParagraph">
    <w:name w:val="List Paragraph"/>
    <w:basedOn w:val="Normal"/>
    <w:uiPriority w:val="72"/>
    <w:qFormat/>
    <w:rsid w:val="00E84031"/>
    <w:pPr>
      <w:ind w:left="720"/>
      <w:contextualSpacing/>
    </w:pPr>
  </w:style>
  <w:style w:type="paragraph" w:customStyle="1" w:styleId="DHHSbullet14pt">
    <w:name w:val="DHHS bullet 14 pt"/>
    <w:basedOn w:val="Normal"/>
    <w:uiPriority w:val="99"/>
    <w:qFormat/>
    <w:rsid w:val="00C81690"/>
    <w:pPr>
      <w:numPr>
        <w:numId w:val="24"/>
      </w:numPr>
      <w:spacing w:after="120" w:line="270" w:lineRule="atLeast"/>
      <w:jc w:val="both"/>
    </w:pPr>
    <w:rPr>
      <w:rFonts w:ascii="Calibri" w:hAnsi="Calibri"/>
      <w:sz w:val="28"/>
    </w:rPr>
  </w:style>
  <w:style w:type="character" w:customStyle="1" w:styleId="fntel">
    <w:name w:val="fn_tel"/>
    <w:basedOn w:val="DefaultParagraphFont"/>
    <w:rsid w:val="005E79E1"/>
  </w:style>
  <w:style w:type="character" w:styleId="UnresolvedMention">
    <w:name w:val="Unresolved Mention"/>
    <w:basedOn w:val="DefaultParagraphFont"/>
    <w:uiPriority w:val="99"/>
    <w:semiHidden/>
    <w:unhideWhenUsed/>
    <w:rsid w:val="00D72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3125">
      <w:bodyDiv w:val="1"/>
      <w:marLeft w:val="0"/>
      <w:marRight w:val="0"/>
      <w:marTop w:val="0"/>
      <w:marBottom w:val="0"/>
      <w:divBdr>
        <w:top w:val="none" w:sz="0" w:space="0" w:color="auto"/>
        <w:left w:val="none" w:sz="0" w:space="0" w:color="auto"/>
        <w:bottom w:val="none" w:sz="0" w:space="0" w:color="auto"/>
        <w:right w:val="none" w:sz="0" w:space="0" w:color="auto"/>
      </w:divBdr>
    </w:div>
    <w:div w:id="275455513">
      <w:bodyDiv w:val="1"/>
      <w:marLeft w:val="0"/>
      <w:marRight w:val="0"/>
      <w:marTop w:val="0"/>
      <w:marBottom w:val="0"/>
      <w:divBdr>
        <w:top w:val="none" w:sz="0" w:space="0" w:color="auto"/>
        <w:left w:val="none" w:sz="0" w:space="0" w:color="auto"/>
        <w:bottom w:val="none" w:sz="0" w:space="0" w:color="auto"/>
        <w:right w:val="none" w:sz="0" w:space="0" w:color="auto"/>
      </w:divBdr>
    </w:div>
    <w:div w:id="343437704">
      <w:bodyDiv w:val="1"/>
      <w:marLeft w:val="0"/>
      <w:marRight w:val="0"/>
      <w:marTop w:val="0"/>
      <w:marBottom w:val="0"/>
      <w:divBdr>
        <w:top w:val="none" w:sz="0" w:space="0" w:color="auto"/>
        <w:left w:val="none" w:sz="0" w:space="0" w:color="auto"/>
        <w:bottom w:val="none" w:sz="0" w:space="0" w:color="auto"/>
        <w:right w:val="none" w:sz="0" w:space="0" w:color="auto"/>
      </w:divBdr>
    </w:div>
    <w:div w:id="604650086">
      <w:bodyDiv w:val="1"/>
      <w:marLeft w:val="0"/>
      <w:marRight w:val="0"/>
      <w:marTop w:val="0"/>
      <w:marBottom w:val="0"/>
      <w:divBdr>
        <w:top w:val="none" w:sz="0" w:space="0" w:color="auto"/>
        <w:left w:val="none" w:sz="0" w:space="0" w:color="auto"/>
        <w:bottom w:val="none" w:sz="0" w:space="0" w:color="auto"/>
        <w:right w:val="none" w:sz="0" w:space="0" w:color="auto"/>
      </w:divBdr>
    </w:div>
    <w:div w:id="627711803">
      <w:bodyDiv w:val="1"/>
      <w:marLeft w:val="0"/>
      <w:marRight w:val="0"/>
      <w:marTop w:val="0"/>
      <w:marBottom w:val="0"/>
      <w:divBdr>
        <w:top w:val="none" w:sz="0" w:space="0" w:color="auto"/>
        <w:left w:val="none" w:sz="0" w:space="0" w:color="auto"/>
        <w:bottom w:val="none" w:sz="0" w:space="0" w:color="auto"/>
        <w:right w:val="none" w:sz="0" w:space="0" w:color="auto"/>
      </w:divBdr>
      <w:divsChild>
        <w:div w:id="277026608">
          <w:marLeft w:val="0"/>
          <w:marRight w:val="0"/>
          <w:marTop w:val="0"/>
          <w:marBottom w:val="0"/>
          <w:divBdr>
            <w:top w:val="none" w:sz="0" w:space="0" w:color="auto"/>
            <w:left w:val="none" w:sz="0" w:space="0" w:color="auto"/>
            <w:bottom w:val="none" w:sz="0" w:space="0" w:color="auto"/>
            <w:right w:val="none" w:sz="0" w:space="0" w:color="auto"/>
          </w:divBdr>
          <w:divsChild>
            <w:div w:id="690110387">
              <w:marLeft w:val="0"/>
              <w:marRight w:val="0"/>
              <w:marTop w:val="0"/>
              <w:marBottom w:val="0"/>
              <w:divBdr>
                <w:top w:val="none" w:sz="0" w:space="0" w:color="auto"/>
                <w:left w:val="none" w:sz="0" w:space="0" w:color="auto"/>
                <w:bottom w:val="none" w:sz="0" w:space="0" w:color="auto"/>
                <w:right w:val="none" w:sz="0" w:space="0" w:color="auto"/>
              </w:divBdr>
              <w:divsChild>
                <w:div w:id="7037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265">
      <w:bodyDiv w:val="1"/>
      <w:marLeft w:val="0"/>
      <w:marRight w:val="0"/>
      <w:marTop w:val="0"/>
      <w:marBottom w:val="0"/>
      <w:divBdr>
        <w:top w:val="none" w:sz="0" w:space="0" w:color="auto"/>
        <w:left w:val="none" w:sz="0" w:space="0" w:color="auto"/>
        <w:bottom w:val="none" w:sz="0" w:space="0" w:color="auto"/>
        <w:right w:val="none" w:sz="0" w:space="0" w:color="auto"/>
      </w:divBdr>
    </w:div>
    <w:div w:id="1659455345">
      <w:bodyDiv w:val="1"/>
      <w:marLeft w:val="0"/>
      <w:marRight w:val="0"/>
      <w:marTop w:val="0"/>
      <w:marBottom w:val="0"/>
      <w:divBdr>
        <w:top w:val="none" w:sz="0" w:space="0" w:color="auto"/>
        <w:left w:val="none" w:sz="0" w:space="0" w:color="auto"/>
        <w:bottom w:val="none" w:sz="0" w:space="0" w:color="auto"/>
        <w:right w:val="none" w:sz="0" w:space="0" w:color="auto"/>
      </w:divBdr>
    </w:div>
    <w:div w:id="171510925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34908162">
      <w:bodyDiv w:val="1"/>
      <w:marLeft w:val="0"/>
      <w:marRight w:val="0"/>
      <w:marTop w:val="0"/>
      <w:marBottom w:val="0"/>
      <w:divBdr>
        <w:top w:val="none" w:sz="0" w:space="0" w:color="auto"/>
        <w:left w:val="none" w:sz="0" w:space="0" w:color="auto"/>
        <w:bottom w:val="none" w:sz="0" w:space="0" w:color="auto"/>
        <w:right w:val="none" w:sz="0" w:space="0" w:color="auto"/>
      </w:divBdr>
    </w:div>
    <w:div w:id="2070572668">
      <w:bodyDiv w:val="1"/>
      <w:marLeft w:val="0"/>
      <w:marRight w:val="0"/>
      <w:marTop w:val="0"/>
      <w:marBottom w:val="0"/>
      <w:divBdr>
        <w:top w:val="none" w:sz="0" w:space="0" w:color="auto"/>
        <w:left w:val="none" w:sz="0" w:space="0" w:color="auto"/>
        <w:bottom w:val="none" w:sz="0" w:space="0" w:color="auto"/>
        <w:right w:val="none" w:sz="0" w:space="0" w:color="auto"/>
      </w:divBdr>
      <w:divsChild>
        <w:div w:id="239602081">
          <w:marLeft w:val="0"/>
          <w:marRight w:val="0"/>
          <w:marTop w:val="0"/>
          <w:marBottom w:val="0"/>
          <w:divBdr>
            <w:top w:val="none" w:sz="0" w:space="0" w:color="auto"/>
            <w:left w:val="none" w:sz="0" w:space="0" w:color="auto"/>
            <w:bottom w:val="none" w:sz="0" w:space="0" w:color="auto"/>
            <w:right w:val="none" w:sz="0" w:space="0" w:color="auto"/>
          </w:divBdr>
          <w:divsChild>
            <w:div w:id="858156033">
              <w:marLeft w:val="0"/>
              <w:marRight w:val="0"/>
              <w:marTop w:val="0"/>
              <w:marBottom w:val="0"/>
              <w:divBdr>
                <w:top w:val="none" w:sz="0" w:space="0" w:color="auto"/>
                <w:left w:val="none" w:sz="0" w:space="0" w:color="auto"/>
                <w:bottom w:val="none" w:sz="0" w:space="0" w:color="auto"/>
                <w:right w:val="none" w:sz="0" w:space="0" w:color="auto"/>
              </w:divBdr>
              <w:divsChild>
                <w:div w:id="2079397954">
                  <w:marLeft w:val="0"/>
                  <w:marRight w:val="0"/>
                  <w:marTop w:val="0"/>
                  <w:marBottom w:val="0"/>
                  <w:divBdr>
                    <w:top w:val="none" w:sz="0" w:space="0" w:color="auto"/>
                    <w:left w:val="none" w:sz="0" w:space="0" w:color="auto"/>
                    <w:bottom w:val="none" w:sz="0" w:space="0" w:color="auto"/>
                    <w:right w:val="none" w:sz="0" w:space="0" w:color="auto"/>
                  </w:divBdr>
                  <w:divsChild>
                    <w:div w:id="1362821804">
                      <w:marLeft w:val="0"/>
                      <w:marRight w:val="0"/>
                      <w:marTop w:val="0"/>
                      <w:marBottom w:val="0"/>
                      <w:divBdr>
                        <w:top w:val="none" w:sz="0" w:space="0" w:color="auto"/>
                        <w:left w:val="none" w:sz="0" w:space="0" w:color="auto"/>
                        <w:bottom w:val="none" w:sz="0" w:space="0" w:color="auto"/>
                        <w:right w:val="none" w:sz="0" w:space="0" w:color="auto"/>
                      </w:divBdr>
                      <w:divsChild>
                        <w:div w:id="2018343720">
                          <w:marLeft w:val="0"/>
                          <w:marRight w:val="0"/>
                          <w:marTop w:val="0"/>
                          <w:marBottom w:val="0"/>
                          <w:divBdr>
                            <w:top w:val="none" w:sz="0" w:space="0" w:color="auto"/>
                            <w:left w:val="none" w:sz="0" w:space="0" w:color="auto"/>
                            <w:bottom w:val="none" w:sz="0" w:space="0" w:color="auto"/>
                            <w:right w:val="none" w:sz="0" w:space="0" w:color="auto"/>
                          </w:divBdr>
                          <w:divsChild>
                            <w:div w:id="1554658778">
                              <w:marLeft w:val="0"/>
                              <w:marRight w:val="0"/>
                              <w:marTop w:val="0"/>
                              <w:marBottom w:val="0"/>
                              <w:divBdr>
                                <w:top w:val="none" w:sz="0" w:space="0" w:color="auto"/>
                                <w:left w:val="none" w:sz="0" w:space="0" w:color="auto"/>
                                <w:bottom w:val="none" w:sz="0" w:space="0" w:color="auto"/>
                                <w:right w:val="none" w:sz="0" w:space="0" w:color="auto"/>
                              </w:divBdr>
                              <w:divsChild>
                                <w:div w:id="173421097">
                                  <w:marLeft w:val="0"/>
                                  <w:marRight w:val="0"/>
                                  <w:marTop w:val="0"/>
                                  <w:marBottom w:val="0"/>
                                  <w:divBdr>
                                    <w:top w:val="none" w:sz="0" w:space="0" w:color="auto"/>
                                    <w:left w:val="none" w:sz="0" w:space="0" w:color="auto"/>
                                    <w:bottom w:val="none" w:sz="0" w:space="0" w:color="auto"/>
                                    <w:right w:val="none" w:sz="0" w:space="0" w:color="auto"/>
                                  </w:divBdr>
                                  <w:divsChild>
                                    <w:div w:id="1452674179">
                                      <w:marLeft w:val="0"/>
                                      <w:marRight w:val="0"/>
                                      <w:marTop w:val="0"/>
                                      <w:marBottom w:val="0"/>
                                      <w:divBdr>
                                        <w:top w:val="none" w:sz="0" w:space="0" w:color="auto"/>
                                        <w:left w:val="none" w:sz="0" w:space="0" w:color="auto"/>
                                        <w:bottom w:val="none" w:sz="0" w:space="0" w:color="auto"/>
                                        <w:right w:val="none" w:sz="0" w:space="0" w:color="auto"/>
                                      </w:divBdr>
                                      <w:divsChild>
                                        <w:div w:id="1650474901">
                                          <w:marLeft w:val="0"/>
                                          <w:marRight w:val="0"/>
                                          <w:marTop w:val="0"/>
                                          <w:marBottom w:val="0"/>
                                          <w:divBdr>
                                            <w:top w:val="none" w:sz="0" w:space="0" w:color="auto"/>
                                            <w:left w:val="none" w:sz="0" w:space="0" w:color="auto"/>
                                            <w:bottom w:val="none" w:sz="0" w:space="0" w:color="auto"/>
                                            <w:right w:val="none" w:sz="0" w:space="0" w:color="auto"/>
                                          </w:divBdr>
                                          <w:divsChild>
                                            <w:div w:id="2016372382">
                                              <w:marLeft w:val="0"/>
                                              <w:marRight w:val="0"/>
                                              <w:marTop w:val="0"/>
                                              <w:marBottom w:val="0"/>
                                              <w:divBdr>
                                                <w:top w:val="none" w:sz="0" w:space="0" w:color="auto"/>
                                                <w:left w:val="none" w:sz="0" w:space="0" w:color="auto"/>
                                                <w:bottom w:val="none" w:sz="0" w:space="0" w:color="auto"/>
                                                <w:right w:val="none" w:sz="0" w:space="0" w:color="auto"/>
                                              </w:divBdr>
                                              <w:divsChild>
                                                <w:div w:id="402332423">
                                                  <w:marLeft w:val="0"/>
                                                  <w:marRight w:val="0"/>
                                                  <w:marTop w:val="0"/>
                                                  <w:marBottom w:val="0"/>
                                                  <w:divBdr>
                                                    <w:top w:val="none" w:sz="0" w:space="0" w:color="auto"/>
                                                    <w:left w:val="none" w:sz="0" w:space="0" w:color="auto"/>
                                                    <w:bottom w:val="none" w:sz="0" w:space="0" w:color="auto"/>
                                                    <w:right w:val="none" w:sz="0" w:space="0" w:color="auto"/>
                                                  </w:divBdr>
                                                  <w:divsChild>
                                                    <w:div w:id="712384708">
                                                      <w:marLeft w:val="0"/>
                                                      <w:marRight w:val="0"/>
                                                      <w:marTop w:val="0"/>
                                                      <w:marBottom w:val="0"/>
                                                      <w:divBdr>
                                                        <w:top w:val="none" w:sz="0" w:space="0" w:color="auto"/>
                                                        <w:left w:val="none" w:sz="0" w:space="0" w:color="auto"/>
                                                        <w:bottom w:val="none" w:sz="0" w:space="0" w:color="auto"/>
                                                        <w:right w:val="none" w:sz="0" w:space="0" w:color="auto"/>
                                                      </w:divBdr>
                                                      <w:divsChild>
                                                        <w:div w:id="164319062">
                                                          <w:marLeft w:val="0"/>
                                                          <w:marRight w:val="0"/>
                                                          <w:marTop w:val="0"/>
                                                          <w:marBottom w:val="0"/>
                                                          <w:divBdr>
                                                            <w:top w:val="none" w:sz="0" w:space="0" w:color="auto"/>
                                                            <w:left w:val="none" w:sz="0" w:space="0" w:color="auto"/>
                                                            <w:bottom w:val="none" w:sz="0" w:space="0" w:color="auto"/>
                                                            <w:right w:val="none" w:sz="0" w:space="0" w:color="auto"/>
                                                          </w:divBdr>
                                                          <w:divsChild>
                                                            <w:div w:id="47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309363">
      <w:bodyDiv w:val="1"/>
      <w:marLeft w:val="0"/>
      <w:marRight w:val="0"/>
      <w:marTop w:val="0"/>
      <w:marBottom w:val="0"/>
      <w:divBdr>
        <w:top w:val="none" w:sz="0" w:space="0" w:color="auto"/>
        <w:left w:val="none" w:sz="0" w:space="0" w:color="auto"/>
        <w:bottom w:val="none" w:sz="0" w:space="0" w:color="auto"/>
        <w:right w:val="none" w:sz="0" w:space="0" w:color="auto"/>
      </w:divBdr>
      <w:divsChild>
        <w:div w:id="1022046528">
          <w:marLeft w:val="0"/>
          <w:marRight w:val="0"/>
          <w:marTop w:val="0"/>
          <w:marBottom w:val="0"/>
          <w:divBdr>
            <w:top w:val="none" w:sz="0" w:space="0" w:color="auto"/>
            <w:left w:val="none" w:sz="0" w:space="0" w:color="auto"/>
            <w:bottom w:val="none" w:sz="0" w:space="0" w:color="auto"/>
            <w:right w:val="none" w:sz="0" w:space="0" w:color="auto"/>
          </w:divBdr>
          <w:divsChild>
            <w:div w:id="1259751734">
              <w:marLeft w:val="0"/>
              <w:marRight w:val="0"/>
              <w:marTop w:val="0"/>
              <w:marBottom w:val="0"/>
              <w:divBdr>
                <w:top w:val="none" w:sz="0" w:space="0" w:color="auto"/>
                <w:left w:val="none" w:sz="0" w:space="0" w:color="auto"/>
                <w:bottom w:val="none" w:sz="0" w:space="0" w:color="auto"/>
                <w:right w:val="none" w:sz="0" w:space="0" w:color="auto"/>
              </w:divBdr>
              <w:divsChild>
                <w:div w:id="636254385">
                  <w:marLeft w:val="0"/>
                  <w:marRight w:val="0"/>
                  <w:marTop w:val="0"/>
                  <w:marBottom w:val="0"/>
                  <w:divBdr>
                    <w:top w:val="none" w:sz="0" w:space="0" w:color="auto"/>
                    <w:left w:val="none" w:sz="0" w:space="0" w:color="auto"/>
                    <w:bottom w:val="none" w:sz="0" w:space="0" w:color="auto"/>
                    <w:right w:val="none" w:sz="0" w:space="0" w:color="auto"/>
                  </w:divBdr>
                  <w:divsChild>
                    <w:div w:id="5164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staysmartonline.gov.au/protect-your-business" TargetMode="External"/><Relationship Id="rId299" Type="http://schemas.openxmlformats.org/officeDocument/2006/relationships/hyperlink" Target="http://www8.austlii.edu.au/cgi-bin/viewdb/au/legis/vic/consol_act/fma1994164/" TargetMode="External"/><Relationship Id="rId21" Type="http://schemas.openxmlformats.org/officeDocument/2006/relationships/hyperlink" Target="http://vcoss.org.au/strong-sector/partnerships-decd/" TargetMode="External"/><Relationship Id="rId63" Type="http://schemas.microsoft.com/office/2007/relationships/diagramDrawing" Target="diagrams/drawing1.xml"/><Relationship Id="rId159" Type="http://schemas.openxmlformats.org/officeDocument/2006/relationships/hyperlink" Target="http://www6.austlii.edu.au/cgi-bin/viewdb/au/legis/vic/consol_act/ohasa2004273/" TargetMode="External"/><Relationship Id="rId324" Type="http://schemas.openxmlformats.org/officeDocument/2006/relationships/hyperlink" Target="https://fac.dhhs.vic.gov.au/incident-reporting" TargetMode="External"/><Relationship Id="rId366" Type="http://schemas.openxmlformats.org/officeDocument/2006/relationships/hyperlink" Target="http://www.education.vic.gov.au/Documents/childhood/providers/regulation/pracnotescrimhistory.pdf" TargetMode="External"/><Relationship Id="rId170" Type="http://schemas.openxmlformats.org/officeDocument/2006/relationships/image" Target="media/image3.jpeg"/><Relationship Id="rId226" Type="http://schemas.openxmlformats.org/officeDocument/2006/relationships/hyperlink" Target="https://www.acic.gov.au/our-services/national-police-checking-service/find-out-more-information/accredited-bodies" TargetMode="External"/><Relationship Id="rId268" Type="http://schemas.openxmlformats.org/officeDocument/2006/relationships/hyperlink" Target="mailto:daniel.voronoff@dhhs.vic.gov.au" TargetMode="External"/><Relationship Id="rId32" Type="http://schemas.openxmlformats.org/officeDocument/2006/relationships/hyperlink" Target="https://www.consumer.vic.gov.au/licensing-and-registration/co-operatives" TargetMode="External"/><Relationship Id="rId74" Type="http://schemas.openxmlformats.org/officeDocument/2006/relationships/hyperlink" Target="http://www9.austlii.edu.au/cgi-bin/viewdb/au/legis/vic/consol_act/foia1982222/" TargetMode="External"/><Relationship Id="rId128" Type="http://schemas.openxmlformats.org/officeDocument/2006/relationships/hyperlink" Target="http://www9.austlii.edu.au/cgi-bin/viewdb/au/legis/vic/consol_act/paa2004230/" TargetMode="External"/><Relationship Id="rId335" Type="http://schemas.openxmlformats.org/officeDocument/2006/relationships/hyperlink" Target="http://www.education.vic.gov.au/school/principals/spag/safety/Pages/sexualassault.aspx" TargetMode="External"/><Relationship Id="rId377" Type="http://schemas.openxmlformats.org/officeDocument/2006/relationships/hyperlink" Target="http://www.worksafe.vic.gov.au/" TargetMode="External"/><Relationship Id="rId5" Type="http://schemas.openxmlformats.org/officeDocument/2006/relationships/webSettings" Target="webSettings.xml"/><Relationship Id="rId181" Type="http://schemas.openxmlformats.org/officeDocument/2006/relationships/hyperlink" Target="https://providers.dhhs.vic.gov.au/capital-development-guidelines-series-7" TargetMode="External"/><Relationship Id="rId237" Type="http://schemas.openxmlformats.org/officeDocument/2006/relationships/hyperlink" Target="http://www.parliament.vic.gov.au/fcdc/article/1788" TargetMode="External"/><Relationship Id="rId402" Type="http://schemas.openxmlformats.org/officeDocument/2006/relationships/hyperlink" Target="http://www.education.vic.gov.au/childhood/providers/regulation/Pages/emergencymanagementrequirements.aspx" TargetMode="External"/><Relationship Id="rId279" Type="http://schemas.openxmlformats.org/officeDocument/2006/relationships/hyperlink" Target="http://www.statedisabilityplan.vic.gov.au" TargetMode="External"/><Relationship Id="rId43" Type="http://schemas.openxmlformats.org/officeDocument/2006/relationships/hyperlink" Target="https://providers.dhhs.vic.gov.au/" TargetMode="External"/><Relationship Id="rId139" Type="http://schemas.openxmlformats.org/officeDocument/2006/relationships/hyperlink" Target="mailto:contact@vmia.vic.gov.au" TargetMode="External"/><Relationship Id="rId290" Type="http://schemas.openxmlformats.org/officeDocument/2006/relationships/hyperlink" Target="http://www.austlii.edu.au/au/legis/vic/consol_act/rta1997207/" TargetMode="External"/><Relationship Id="rId304" Type="http://schemas.openxmlformats.org/officeDocument/2006/relationships/hyperlink" Target="file:///\\n068\group\BDB\SA%20Mgmt%20Group\SAIK\SAIK%202018%20Update\Providers%20website" TargetMode="External"/><Relationship Id="rId346" Type="http://schemas.openxmlformats.org/officeDocument/2006/relationships/hyperlink" Target="mailto:licensed.childrens.services@edumail.vic.gov.au" TargetMode="External"/><Relationship Id="rId388" Type="http://schemas.openxmlformats.org/officeDocument/2006/relationships/hyperlink" Target="https://www2.health.vic.gov.au/emergencies/emergency-type/infectious-diseases/pandemic-influenza" TargetMode="External"/><Relationship Id="rId85" Type="http://schemas.openxmlformats.org/officeDocument/2006/relationships/hyperlink" Target="https://fac.dhhs.vic.gov.au/funded-agency-channel/service-delivery-tracking" TargetMode="External"/><Relationship Id="rId150" Type="http://schemas.openxmlformats.org/officeDocument/2006/relationships/hyperlink" Target="http://www.education.vic.gov.au/ecsmanagement/capitalprogram/" TargetMode="External"/><Relationship Id="rId171" Type="http://schemas.openxmlformats.org/officeDocument/2006/relationships/hyperlink" Target="https://providers.dhhs.vic.gov.au/fire-safety-equipment-weekly-checklist-community-service-organisations-word" TargetMode="External"/><Relationship Id="rId192" Type="http://schemas.openxmlformats.org/officeDocument/2006/relationships/hyperlink" Target="https://providers.dhhs.vic.gov.au/criminal-offences-improve-responses-child-sex-abuse" TargetMode="External"/><Relationship Id="rId206" Type="http://schemas.openxmlformats.org/officeDocument/2006/relationships/hyperlink" Target="mailto:complaints.reception@dhhs.vic.gov.au" TargetMode="External"/><Relationship Id="rId227" Type="http://schemas.openxmlformats.org/officeDocument/2006/relationships/hyperlink" Target="http://www.police.vic.gov.au/content.asp?Document_ID=274" TargetMode="External"/><Relationship Id="rId413" Type="http://schemas.openxmlformats.org/officeDocument/2006/relationships/hyperlink" Target="mailto:childsafestandards@dhhs.vic.gov.au" TargetMode="External"/><Relationship Id="rId248" Type="http://schemas.openxmlformats.org/officeDocument/2006/relationships/hyperlink" Target="http://www.worksafe.vic.gov.au/forms-and-publications/forms-and-publications/return-to-work-compliance-code-1-of-4" TargetMode="External"/><Relationship Id="rId269" Type="http://schemas.openxmlformats.org/officeDocument/2006/relationships/hyperlink" Target="mailto:tiernan.humphrys@dhhs.vic.gov.au" TargetMode="External"/><Relationship Id="rId12" Type="http://schemas.openxmlformats.org/officeDocument/2006/relationships/image" Target="media/image2.gif"/><Relationship Id="rId33" Type="http://schemas.openxmlformats.org/officeDocument/2006/relationships/hyperlink" Target="https://www.consumer.vic.gov.au/licensing-and-registration/co-operatives" TargetMode="External"/><Relationship Id="rId108" Type="http://schemas.openxmlformats.org/officeDocument/2006/relationships/hyperlink" Target="https://www.cpdp.vic.gov.au/menu-data-security/victorian-protective-data-security-framework/vpdsf" TargetMode="External"/><Relationship Id="rId129" Type="http://schemas.openxmlformats.org/officeDocument/2006/relationships/hyperlink" Target="http://www9.austlii.edu.au/cgi-bin/viewdb/au/legis/vic/num_act/pda201285o2012279/" TargetMode="External"/><Relationship Id="rId280" Type="http://schemas.openxmlformats.org/officeDocument/2006/relationships/hyperlink" Target="mailto:aboriginalhealth@dhhs.vic.gov.au" TargetMode="External"/><Relationship Id="rId315" Type="http://schemas.openxmlformats.org/officeDocument/2006/relationships/hyperlink" Target="https://ccyp.vic.gov.au/reportable-conduct-scheme/" TargetMode="External"/><Relationship Id="rId336" Type="http://schemas.openxmlformats.org/officeDocument/2006/relationships/hyperlink" Target="http://www.secasa.com.au/pages/child-sexual-abuse-understanding-and-responding/" TargetMode="External"/><Relationship Id="rId357" Type="http://schemas.openxmlformats.org/officeDocument/2006/relationships/hyperlink" Target="http://www.education.vic.gov.au/childhood/providers/regulation/Pages/default.aspx" TargetMode="External"/><Relationship Id="rId54" Type="http://schemas.openxmlformats.org/officeDocument/2006/relationships/hyperlink" Target="https://fac.dhhs.vic.gov.au/price-index-exceptional-event-arrangements" TargetMode="External"/><Relationship Id="rId75" Type="http://schemas.openxmlformats.org/officeDocument/2006/relationships/hyperlink" Target="http://www9.austlii.edu.au/cgi-bin/viewdb/au/legis/vic/num_act/padpa201460o2014317/" TargetMode="External"/><Relationship Id="rId96" Type="http://schemas.openxmlformats.org/officeDocument/2006/relationships/hyperlink" Target="http://www8.austlii.edu.au/cgi-bin/viewdb/au/legis/vic/consol_act/pra1973153/" TargetMode="External"/><Relationship Id="rId140" Type="http://schemas.openxmlformats.org/officeDocument/2006/relationships/hyperlink" Target="mailto:MonitoringFramework.Helpdesk@dhhs.vic.gov.au" TargetMode="External"/><Relationship Id="rId161" Type="http://schemas.openxmlformats.org/officeDocument/2006/relationships/hyperlink" Target="https://providers.dhhs.vic.gov.au/capital-development-guidelines-series-7" TargetMode="External"/><Relationship Id="rId182" Type="http://schemas.openxmlformats.org/officeDocument/2006/relationships/hyperlink" Target="https://providers.dhhs.vic.gov.au/fire-safety-compliance-certificate-no-6-health-service-pdf" TargetMode="External"/><Relationship Id="rId217" Type="http://schemas.openxmlformats.org/officeDocument/2006/relationships/hyperlink" Target="https://providers.dhhs.vic.gov.au/disability-worker-exclusion-scheme" TargetMode="External"/><Relationship Id="rId378" Type="http://schemas.openxmlformats.org/officeDocument/2006/relationships/hyperlink" Target="mailto:kaur.florence.g@edumail.vic.gov.au" TargetMode="External"/><Relationship Id="rId399" Type="http://schemas.openxmlformats.org/officeDocument/2006/relationships/hyperlink" Target="mailto:garwood.ward.a@edumail.vic.gov.au" TargetMode="External"/><Relationship Id="rId403" Type="http://schemas.openxmlformats.org/officeDocument/2006/relationships/hyperlink" Target="mailto:emergency.management@edumail.vic.gov.au" TargetMode="External"/><Relationship Id="rId6" Type="http://schemas.openxmlformats.org/officeDocument/2006/relationships/footnotes" Target="footnotes.xml"/><Relationship Id="rId238" Type="http://schemas.openxmlformats.org/officeDocument/2006/relationships/hyperlink" Target="https://ccyp.vic.gov.au/reportable-conduct-scheme/" TargetMode="External"/><Relationship Id="rId259" Type="http://schemas.openxmlformats.org/officeDocument/2006/relationships/hyperlink" Target="http://www.humanrightscommission.vic.gov.au/" TargetMode="External"/><Relationship Id="rId424" Type="http://schemas.openxmlformats.org/officeDocument/2006/relationships/hyperlink" Target="http://www.dhs.vic.gov.au/about-the-department/plans,-programs-and-projects/plans-and-strategies/key-plans-and-strategies/policy-and-funding-plan-department-of-human-services" TargetMode="External"/><Relationship Id="rId23" Type="http://schemas.openxmlformats.org/officeDocument/2006/relationships/hyperlink" Target="https://providers.dhhs.vic.gov.au/victorian-common-funding-agreement" TargetMode="External"/><Relationship Id="rId119" Type="http://schemas.openxmlformats.org/officeDocument/2006/relationships/hyperlink" Target="https://hcc.vic.gov.au/" TargetMode="External"/><Relationship Id="rId270" Type="http://schemas.openxmlformats.org/officeDocument/2006/relationships/hyperlink" Target="https://dhhs.vic.gov.au/publications/delivering-diversity-cultural-diversity-plan-2016-2019" TargetMode="External"/><Relationship Id="rId291" Type="http://schemas.openxmlformats.org/officeDocument/2006/relationships/hyperlink" Target="http://www.austlii.edu.au/au/legis/cth/consol_act/aca199757/" TargetMode="External"/><Relationship Id="rId305" Type="http://schemas.openxmlformats.org/officeDocument/2006/relationships/hyperlink" Target="https://www2.health.vic.gov.au/ageing-and-aged-care/wellbeing-and-participation/hoarding-and-squalor" TargetMode="External"/><Relationship Id="rId326" Type="http://schemas.openxmlformats.org/officeDocument/2006/relationships/hyperlink" Target="mailto:childsafestandards@dhhs.vic.gov.au" TargetMode="External"/><Relationship Id="rId347" Type="http://schemas.openxmlformats.org/officeDocument/2006/relationships/hyperlink" Target="http://www.education.vic.gov.au/about/contact/Pages/complainecother.aspx" TargetMode="External"/><Relationship Id="rId44" Type="http://schemas.openxmlformats.org/officeDocument/2006/relationships/hyperlink" Target="https://providers.dhhs.vic.gov.au/human-services-standards" TargetMode="External"/><Relationship Id="rId65" Type="http://schemas.openxmlformats.org/officeDocument/2006/relationships/hyperlink" Target="https://fac.dhhs.vic.gov.au/acknowledgement-and-publicity-guidelines-victorian-government-funding-support" TargetMode="External"/><Relationship Id="rId86" Type="http://schemas.openxmlformats.org/officeDocument/2006/relationships/hyperlink" Target="http://www.accountingforgood.com.au/" TargetMode="External"/><Relationship Id="rId130" Type="http://schemas.openxmlformats.org/officeDocument/2006/relationships/hyperlink" Target="http://www.ibac.vic.gov.au/" TargetMode="External"/><Relationship Id="rId151" Type="http://schemas.openxmlformats.org/officeDocument/2006/relationships/hyperlink" Target="http://www.education.vic.gov.au/ecsmanagement/capitalprogram/resources.htm" TargetMode="External"/><Relationship Id="rId368" Type="http://schemas.openxmlformats.org/officeDocument/2006/relationships/hyperlink" Target="http://www.education.vic.gov.au/Documents/childhood/providers/regulation/nqfcriminalhistoryfdc-23-11-2015.pdf" TargetMode="External"/><Relationship Id="rId389" Type="http://schemas.openxmlformats.org/officeDocument/2006/relationships/hyperlink" Target="http://www.education.vic.gov.au/Documents/childhood/providers/support/pandemicprocedure.docx" TargetMode="External"/><Relationship Id="rId172" Type="http://schemas.openxmlformats.org/officeDocument/2006/relationships/hyperlink" Target="https://providers.dhhs.vic.gov.au/fire-safety-compliance-certificate-no-3-word" TargetMode="External"/><Relationship Id="rId193" Type="http://schemas.openxmlformats.org/officeDocument/2006/relationships/hyperlink" Target="https://providers.dhhs.vic.gov.au/criminal-offences-improve-responses-child-sex-abuse" TargetMode="External"/><Relationship Id="rId207" Type="http://schemas.openxmlformats.org/officeDocument/2006/relationships/hyperlink" Target="https://dhhs.vic.gov.au/making-complaint" TargetMode="External"/><Relationship Id="rId228" Type="http://schemas.openxmlformats.org/officeDocument/2006/relationships/hyperlink" Target="https://www.acic.gov.au/our-services/national-police-checks" TargetMode="External"/><Relationship Id="rId249" Type="http://schemas.openxmlformats.org/officeDocument/2006/relationships/hyperlink" Target="http://www.worksafe.vic.gov.au/forms-and-publications/forms-and-publications/return-to-work-compliance-code-2-of-4" TargetMode="External"/><Relationship Id="rId414" Type="http://schemas.openxmlformats.org/officeDocument/2006/relationships/hyperlink" Target="https://ccyp.vic.gov.au/" TargetMode="External"/><Relationship Id="rId13" Type="http://schemas.openxmlformats.org/officeDocument/2006/relationships/hyperlink" Target="mailto:SAPolicy@dhhs.vic.gov.au" TargetMode="External"/><Relationship Id="rId109" Type="http://schemas.openxmlformats.org/officeDocument/2006/relationships/hyperlink" Target="https://www.asd.gov.au/publications/protect/essential-eight-explained.htm" TargetMode="External"/><Relationship Id="rId260" Type="http://schemas.openxmlformats.org/officeDocument/2006/relationships/hyperlink" Target="https://fac.dhhs.vic.gov.au" TargetMode="External"/><Relationship Id="rId281" Type="http://schemas.openxmlformats.org/officeDocument/2006/relationships/hyperlink" Target="http://providers.dhhs.vic.gov.au/multiple-and-complex-needs-initiative" TargetMode="External"/><Relationship Id="rId316" Type="http://schemas.openxmlformats.org/officeDocument/2006/relationships/hyperlink" Target="http://providers.dhhs.vic.gov.au/reportable-conduct-scheme" TargetMode="External"/><Relationship Id="rId337" Type="http://schemas.openxmlformats.org/officeDocument/2006/relationships/hyperlink" Target="mailto:licensed.childrens.services@edumail.vic.gov.au" TargetMode="External"/><Relationship Id="rId34" Type="http://schemas.openxmlformats.org/officeDocument/2006/relationships/hyperlink" Target="https://fac.dhhs.vic.gov.au/my-agency" TargetMode="External"/><Relationship Id="rId55" Type="http://schemas.openxmlformats.org/officeDocument/2006/relationships/hyperlink" Target="https://www.ato.gov.au" TargetMode="External"/><Relationship Id="rId76" Type="http://schemas.openxmlformats.org/officeDocument/2006/relationships/hyperlink" Target="http://www.austlii.edu.au/cgi-bin/viewdb/au/legis/vic/consol_act/hra2001144/" TargetMode="External"/><Relationship Id="rId97" Type="http://schemas.openxmlformats.org/officeDocument/2006/relationships/hyperlink" Target="http://www9.austlii.edu.au/cgi-bin/viewdb/au/legis/vic/consol_act/aa1984107/" TargetMode="External"/><Relationship Id="rId120" Type="http://schemas.openxmlformats.org/officeDocument/2006/relationships/hyperlink" Target="https://dhhs.vic.gov.au/department-health-and-human-services-privacy-policy" TargetMode="External"/><Relationship Id="rId141" Type="http://schemas.openxmlformats.org/officeDocument/2006/relationships/hyperlink" Target="mailto:sainfokit@dhhs.vic.gov.au" TargetMode="External"/><Relationship Id="rId358" Type="http://schemas.openxmlformats.org/officeDocument/2006/relationships/hyperlink" Target="http://www.vit.vic.edu.au/" TargetMode="External"/><Relationship Id="rId379" Type="http://schemas.openxmlformats.org/officeDocument/2006/relationships/hyperlink" Target="http://www.legislation.vic.gov.au/" TargetMode="External"/><Relationship Id="rId7" Type="http://schemas.openxmlformats.org/officeDocument/2006/relationships/endnotes" Target="endnotes.xml"/><Relationship Id="rId162" Type="http://schemas.openxmlformats.org/officeDocument/2006/relationships/hyperlink" Target="https://providers.dhhs.vic.gov.au/fire-safety-compliance-certificate-no-3-word" TargetMode="External"/><Relationship Id="rId183" Type="http://schemas.openxmlformats.org/officeDocument/2006/relationships/hyperlink" Target="mailto:fireriskmanagementunit@dhhs.vic.gov.au" TargetMode="External"/><Relationship Id="rId218" Type="http://schemas.openxmlformats.org/officeDocument/2006/relationships/hyperlink" Target="https://providers.dhhs.vic.gov.au/disability-worker-exclusion-scheme" TargetMode="External"/><Relationship Id="rId239" Type="http://schemas.openxmlformats.org/officeDocument/2006/relationships/hyperlink" Target="https://ccyp.vic.gov.au/" TargetMode="External"/><Relationship Id="rId390" Type="http://schemas.openxmlformats.org/officeDocument/2006/relationships/hyperlink" Target="mailto:business.continuity@edumail.vic.gov.au" TargetMode="External"/><Relationship Id="rId404" Type="http://schemas.openxmlformats.org/officeDocument/2006/relationships/hyperlink" Target="http://www.education.vic.gov.au/about/research/Pages/conducting.aspx" TargetMode="External"/><Relationship Id="rId425" Type="http://schemas.openxmlformats.org/officeDocument/2006/relationships/hyperlink" Target="http://www.education.vic.gov.au/childhood/providers/funding/Pages/devgroupprogguide.aspx" TargetMode="External"/><Relationship Id="rId250" Type="http://schemas.openxmlformats.org/officeDocument/2006/relationships/hyperlink" Target="http://www.worksafe.vic.gov.au/forms-and-publications/forms-and-publications/return-to-work-compliance-code-3-of-4" TargetMode="External"/><Relationship Id="rId271" Type="http://schemas.openxmlformats.org/officeDocument/2006/relationships/hyperlink" Target="https://www2.health.vic.gov.au/about/health-strategies/aboriginal-health/korin-korin-balit-djak" TargetMode="External"/><Relationship Id="rId292" Type="http://schemas.openxmlformats.org/officeDocument/2006/relationships/hyperlink" Target="http://www.austlii.edu.au/au/legis/vic/num_act/mha201426o2014174/" TargetMode="External"/><Relationship Id="rId306" Type="http://schemas.openxmlformats.org/officeDocument/2006/relationships/hyperlink" Target="http://www.austlii.edu.au/au/legis/vic/num_act/cwasassa201563o2015493/" TargetMode="External"/><Relationship Id="rId24" Type="http://schemas.openxmlformats.org/officeDocument/2006/relationships/hyperlink" Target="mailto:SApolicy@dhhs.vic.gov.au" TargetMode="External"/><Relationship Id="rId45" Type="http://schemas.openxmlformats.org/officeDocument/2006/relationships/hyperlink" Target="https://www.dhhs.vic.gov.au/publications/human-services-standards" TargetMode="External"/><Relationship Id="rId66" Type="http://schemas.openxmlformats.org/officeDocument/2006/relationships/hyperlink" Target="https://www.communitydirectors.com.au/icda/" TargetMode="External"/><Relationship Id="rId87" Type="http://schemas.openxmlformats.org/officeDocument/2006/relationships/hyperlink" Target="http://www.aasb.gov.au/Home.aspx" TargetMode="External"/><Relationship Id="rId110" Type="http://schemas.openxmlformats.org/officeDocument/2006/relationships/hyperlink" Target="https://www.asd.gov.au/publications/protect/essential-eight-maturity-model.htm" TargetMode="External"/><Relationship Id="rId131" Type="http://schemas.openxmlformats.org/officeDocument/2006/relationships/hyperlink" Target="https://providers.dhhs.vic.gov.au/protected-disclosure" TargetMode="External"/><Relationship Id="rId327" Type="http://schemas.openxmlformats.org/officeDocument/2006/relationships/hyperlink" Target="mailto:kaur.florence.g@edumail.vic.gov.au" TargetMode="External"/><Relationship Id="rId348" Type="http://schemas.openxmlformats.org/officeDocument/2006/relationships/hyperlink" Target="http://www.education.vic.gov.au/about/contact/Pages/regions.aspx" TargetMode="External"/><Relationship Id="rId369" Type="http://schemas.openxmlformats.org/officeDocument/2006/relationships/hyperlink" Target="mailto:leuenberger.megan.e@edumail.vic.gov.au" TargetMode="External"/><Relationship Id="rId152" Type="http://schemas.openxmlformats.org/officeDocument/2006/relationships/hyperlink" Target="http://www.education.vic.gov.au/ecsmanagement/capitalprogram/resources.htm" TargetMode="External"/><Relationship Id="rId173" Type="http://schemas.openxmlformats.org/officeDocument/2006/relationships/hyperlink" Target="https://providers.dhhs.vic.gov.au/capital-development-guidelines-series-7" TargetMode="External"/><Relationship Id="rId194" Type="http://schemas.openxmlformats.org/officeDocument/2006/relationships/hyperlink" Target="mailto:childsafestandards@dhhs.vic.gov.au" TargetMode="External"/><Relationship Id="rId208" Type="http://schemas.openxmlformats.org/officeDocument/2006/relationships/hyperlink" Target="https://providers.dhhs.vic.gov.au/disability-worker-exclusion-scheme" TargetMode="External"/><Relationship Id="rId229" Type="http://schemas.openxmlformats.org/officeDocument/2006/relationships/hyperlink" Target="http://www.police.vic.gov.au/content.asp?Document_ID=274" TargetMode="External"/><Relationship Id="rId380" Type="http://schemas.openxmlformats.org/officeDocument/2006/relationships/hyperlink" Target="http://www.justice.vic.gov.au/" TargetMode="External"/><Relationship Id="rId415" Type="http://schemas.openxmlformats.org/officeDocument/2006/relationships/hyperlink" Target="https://ccyp.vic.gov.au/child-safety/resources/reportable-conduct-scheme-information-sheets/" TargetMode="External"/><Relationship Id="rId240" Type="http://schemas.openxmlformats.org/officeDocument/2006/relationships/hyperlink" Target="https://fac.dhhs.vic.gov.au/safety-screening-referee-check" TargetMode="External"/><Relationship Id="rId261" Type="http://schemas.openxmlformats.org/officeDocument/2006/relationships/hyperlink" Target="https://fac.dhhs.vic.gov.au/policies-and-procedures" TargetMode="External"/><Relationship Id="rId14" Type="http://schemas.openxmlformats.org/officeDocument/2006/relationships/hyperlink" Target="http://www.education.vic.gov.au/about/department/Pages/default.aspx" TargetMode="External"/><Relationship Id="rId35" Type="http://schemas.openxmlformats.org/officeDocument/2006/relationships/hyperlink" Target="http://www.vmia.vic.gov.au/" TargetMode="External"/><Relationship Id="rId56" Type="http://schemas.openxmlformats.org/officeDocument/2006/relationships/hyperlink" Target="https://www.ato.gov.au/non-profit/your-organisation/gst/gst-registration/" TargetMode="External"/><Relationship Id="rId77" Type="http://schemas.openxmlformats.org/officeDocument/2006/relationships/hyperlink" Target="https://fac.dhhs.vic.gov.au/policies-and-procedures" TargetMode="External"/><Relationship Id="rId100" Type="http://schemas.openxmlformats.org/officeDocument/2006/relationships/hyperlink" Target="https://www2.health.vic.gov.au/mental-health/practice-and-service-quality/mental-health-act-2014" TargetMode="External"/><Relationship Id="rId282" Type="http://schemas.openxmlformats.org/officeDocument/2006/relationships/hyperlink" Target="http://www8.austlii.edu.au/cgi-bin/viewdb/au/legis/vic/num_act/hsna200916o2009334/" TargetMode="External"/><Relationship Id="rId317" Type="http://schemas.openxmlformats.org/officeDocument/2006/relationships/hyperlink" Target="http://www.dtf.vic.gov.au/Publications/Government-Financial-Management-publications/Standing-Directions-of-the-Minister-for-Finance-2016/Standing-Directions-2016-publications" TargetMode="External"/><Relationship Id="rId338" Type="http://schemas.openxmlformats.org/officeDocument/2006/relationships/hyperlink" Target="mailto:childsafestandards@dhhs.vic.gov.au" TargetMode="External"/><Relationship Id="rId359" Type="http://schemas.openxmlformats.org/officeDocument/2006/relationships/hyperlink" Target="http://www.education.vic.gov.au/Documents/childhood/providers/regulation/pracnotescrimhistory.pdf" TargetMode="External"/><Relationship Id="rId8" Type="http://schemas.openxmlformats.org/officeDocument/2006/relationships/image" Target="media/image1.png"/><Relationship Id="rId98" Type="http://schemas.openxmlformats.org/officeDocument/2006/relationships/hyperlink" Target="http://www9.austlii.edu.au/cgi-bin/viewdb/au/legis/vic/consol_act/cyafa2005252/" TargetMode="External"/><Relationship Id="rId121" Type="http://schemas.openxmlformats.org/officeDocument/2006/relationships/hyperlink" Target="https://www2.health.vic.gov.au/privacy" TargetMode="External"/><Relationship Id="rId142" Type="http://schemas.openxmlformats.org/officeDocument/2006/relationships/hyperlink" Target="https://fac.dhhs.vic.gov.au" TargetMode="External"/><Relationship Id="rId163" Type="http://schemas.openxmlformats.org/officeDocument/2006/relationships/hyperlink" Target="http://www.dhs.vic.gov.au/__data/assets/word_doc/0010/719614/Fire-Safety-Certificate-No.4-080429.doc" TargetMode="External"/><Relationship Id="rId184" Type="http://schemas.openxmlformats.org/officeDocument/2006/relationships/hyperlink" Target="http://www6.austlii.edu.au/cgi-bin/viewdb/au/legis/vic/consol_act/ohasa2004273/" TargetMode="External"/><Relationship Id="rId219" Type="http://schemas.openxmlformats.org/officeDocument/2006/relationships/hyperlink" Target="https://providers.dhhs.vic.gov.au/disability-worker-exclusion-scheme" TargetMode="External"/><Relationship Id="rId370" Type="http://schemas.openxmlformats.org/officeDocument/2006/relationships/hyperlink" Target="mailto:nuske.alison.j@edumail.vic.gov.au" TargetMode="External"/><Relationship Id="rId391" Type="http://schemas.openxmlformats.org/officeDocument/2006/relationships/hyperlink" Target="mailto:business.continuity@edumail.vic.gov.au" TargetMode="External"/><Relationship Id="rId405" Type="http://schemas.openxmlformats.org/officeDocument/2006/relationships/hyperlink" Target="mailto:research@edumail.vic.gov.au" TargetMode="External"/><Relationship Id="rId426" Type="http://schemas.openxmlformats.org/officeDocument/2006/relationships/header" Target="header1.xml"/><Relationship Id="rId230" Type="http://schemas.openxmlformats.org/officeDocument/2006/relationships/hyperlink" Target="http://www.police.vic.gov.au/" TargetMode="External"/><Relationship Id="rId251" Type="http://schemas.openxmlformats.org/officeDocument/2006/relationships/hyperlink" Target="http://www.worksafe.vic.gov.au/forms-and-publications/forms-and-publications/return-to-work-compliance-code-4-of-4" TargetMode="External"/><Relationship Id="rId25" Type="http://schemas.openxmlformats.org/officeDocument/2006/relationships/hyperlink" Target="https://fac.dhhs.vic.gov.au/" TargetMode="External"/><Relationship Id="rId46" Type="http://schemas.openxmlformats.org/officeDocument/2006/relationships/hyperlink" Target="https://providers.dhhs.vic.gov.au/human-services-standards" TargetMode="External"/><Relationship Id="rId67" Type="http://schemas.openxmlformats.org/officeDocument/2006/relationships/hyperlink" Target="http://www.nfplaw.org.au/governance" TargetMode="External"/><Relationship Id="rId272" Type="http://schemas.openxmlformats.org/officeDocument/2006/relationships/hyperlink" Target="https://www2.health.vic.gov.au/about/publications/policiesandguidelines/balit-murrup-aboriginal-social-emotional-wellbeing-framework-2017-2027" TargetMode="External"/><Relationship Id="rId293" Type="http://schemas.openxmlformats.org/officeDocument/2006/relationships/hyperlink" Target="http://www.austlii.edu.au/au/legis/vic/consol_act/phawa2008222/" TargetMode="External"/><Relationship Id="rId307" Type="http://schemas.openxmlformats.org/officeDocument/2006/relationships/hyperlink" Target="http://providers.dhhs.vic.gov.au/overview-victorian-child-safe-standards-word" TargetMode="External"/><Relationship Id="rId328" Type="http://schemas.openxmlformats.org/officeDocument/2006/relationships/hyperlink" Target="http://www.dhs.vic.gov.au/about-the-department/documents-and-resources/policies,-guidelines-and-legislation/new-criminal-offences-to-improve-responses-to-child-sexual-abuse" TargetMode="External"/><Relationship Id="rId349" Type="http://schemas.openxmlformats.org/officeDocument/2006/relationships/hyperlink" Target="mailto:community.stakeholders@edumail.vic.gov.au" TargetMode="External"/><Relationship Id="rId88" Type="http://schemas.openxmlformats.org/officeDocument/2006/relationships/hyperlink" Target="https://fac.dhhs.vic.gov.au" TargetMode="External"/><Relationship Id="rId111" Type="http://schemas.openxmlformats.org/officeDocument/2006/relationships/hyperlink" Target="https://www.staysmartonline.gov.au/" TargetMode="External"/><Relationship Id="rId132" Type="http://schemas.openxmlformats.org/officeDocument/2006/relationships/hyperlink" Target="http://www.procurement.vic.gov.au/Home" TargetMode="External"/><Relationship Id="rId153" Type="http://schemas.openxmlformats.org/officeDocument/2006/relationships/hyperlink" Target="http://www.legislation.vic.gov.au/Domino/Web_Notes/LDMS/PubLawToday.nsf/2184e627479f8392ca256da50082bf3e/76fb6fc121677e38ca257624001fb276!OpenDocument" TargetMode="External"/><Relationship Id="rId174" Type="http://schemas.openxmlformats.org/officeDocument/2006/relationships/hyperlink" Target="https://providers.dhhs.vic.gov.au/capital-development-guidelines-series-7" TargetMode="External"/><Relationship Id="rId195" Type="http://schemas.openxmlformats.org/officeDocument/2006/relationships/hyperlink" Target="mailto:kerry.sayburn@dhhs.vic.gov.au" TargetMode="External"/><Relationship Id="rId209" Type="http://schemas.openxmlformats.org/officeDocument/2006/relationships/hyperlink" Target="https://fac.dhhs.vic.gov.au/safety-screening-statutory-declaration" TargetMode="External"/><Relationship Id="rId360" Type="http://schemas.openxmlformats.org/officeDocument/2006/relationships/hyperlink" Target="http://www.education.vic.gov.au/Documents/childhood/providers/regulation/nqfcrimhistcentre0214.pdf" TargetMode="External"/><Relationship Id="rId381" Type="http://schemas.openxmlformats.org/officeDocument/2006/relationships/hyperlink" Target="https://fac.dhhs.vic.gov.au" TargetMode="External"/><Relationship Id="rId416" Type="http://schemas.openxmlformats.org/officeDocument/2006/relationships/hyperlink" Target="http://providers.dhhs.vic.gov.au/child-safe-standards" TargetMode="External"/><Relationship Id="rId220" Type="http://schemas.openxmlformats.org/officeDocument/2006/relationships/hyperlink" Target="https://dhhs.vic.gov.au/labour-hire-procedures-residential-services-victoria" TargetMode="External"/><Relationship Id="rId241" Type="http://schemas.openxmlformats.org/officeDocument/2006/relationships/hyperlink" Target="https://providers.dhhs.vic.gov.au/disability-worker-exclusion-scheme" TargetMode="External"/><Relationship Id="rId15" Type="http://schemas.openxmlformats.org/officeDocument/2006/relationships/hyperlink" Target="https://dhhs.vic.gov.au/policy-and-funding-guidelines" TargetMode="External"/><Relationship Id="rId36" Type="http://schemas.openxmlformats.org/officeDocument/2006/relationships/hyperlink" Target="https://fac.dhhs.vic.gov.au/my-agency" TargetMode="External"/><Relationship Id="rId57" Type="http://schemas.openxmlformats.org/officeDocument/2006/relationships/hyperlink" Target="http://www.ato.gov.au/Definitions/" TargetMode="External"/><Relationship Id="rId262" Type="http://schemas.openxmlformats.org/officeDocument/2006/relationships/hyperlink" Target="mailto:monitoring.framework.helpdesk@dhhs.vic.gov.au" TargetMode="External"/><Relationship Id="rId283" Type="http://schemas.openxmlformats.org/officeDocument/2006/relationships/hyperlink" Target="mailto:shane.beaumont@dhhs.vic.gov.au" TargetMode="External"/><Relationship Id="rId318" Type="http://schemas.openxmlformats.org/officeDocument/2006/relationships/hyperlink" Target="https://www.dhhs.vic.gov.au/publications/fraud-and-corruption-control-framework" TargetMode="External"/><Relationship Id="rId339" Type="http://schemas.openxmlformats.org/officeDocument/2006/relationships/hyperlink" Target="https://dhhs.vic.gov.au/publications/child-safe-standards" TargetMode="External"/><Relationship Id="rId78" Type="http://schemas.openxmlformats.org/officeDocument/2006/relationships/hyperlink" Target="http://www.foi.vic.gov.au/" TargetMode="External"/><Relationship Id="rId99" Type="http://schemas.openxmlformats.org/officeDocument/2006/relationships/hyperlink" Target="http://www9.austlii.edu.au/cgi-bin/viewdb/au/legis/vic/consol_act/da2006121/" TargetMode="External"/><Relationship Id="rId101" Type="http://schemas.openxmlformats.org/officeDocument/2006/relationships/hyperlink" Target="https://www.humanrightscommission.vic.gov.au/human-rights/the-charter" TargetMode="External"/><Relationship Id="rId122" Type="http://schemas.openxmlformats.org/officeDocument/2006/relationships/hyperlink" Target="http://www.education.vic.gov.au/Pages/privacy.aspx?Redirect=1" TargetMode="External"/><Relationship Id="rId143" Type="http://schemas.openxmlformats.org/officeDocument/2006/relationships/hyperlink" Target="https://fac.dhhs.vic.gov.au" TargetMode="External"/><Relationship Id="rId164" Type="http://schemas.openxmlformats.org/officeDocument/2006/relationships/hyperlink" Target="https://providers.dhhs.vic.gov.au/fire-safety-compliance-certificate-no-5-word" TargetMode="External"/><Relationship Id="rId185" Type="http://schemas.openxmlformats.org/officeDocument/2006/relationships/hyperlink" Target="http://www.legislation.vic.gov.au/Domino/Web_Notes/LDMS/PubStatbook.nsf/b05145073fa2a882ca256da4001bc4e7/05C39981B52D9E0FCA25810E0021D052/$FILE/17-022sra%20authorised.pdf" TargetMode="External"/><Relationship Id="rId350" Type="http://schemas.openxmlformats.org/officeDocument/2006/relationships/hyperlink" Target="http://www.dhs.vic.gov.au/__data/assets/word_doc/0008/968102/Compliment-and-complaint-management-policy-sample-policy-20-June-2016.doc" TargetMode="External"/><Relationship Id="rId371" Type="http://schemas.openxmlformats.org/officeDocument/2006/relationships/hyperlink" Target="http://www.worksafe.vic.gov.au/" TargetMode="External"/><Relationship Id="rId406" Type="http://schemas.openxmlformats.org/officeDocument/2006/relationships/hyperlink" Target="http://www.dhs.vic.gov.au/about-the-department/documents-and-resources/policies,-guidelines-and-legislation/child-safe-standards-resources" TargetMode="External"/><Relationship Id="rId9" Type="http://schemas.openxmlformats.org/officeDocument/2006/relationships/hyperlink" Target="mailto:sacomms@dhhs.vic.gov.au" TargetMode="External"/><Relationship Id="rId210" Type="http://schemas.openxmlformats.org/officeDocument/2006/relationships/hyperlink" Target="https://fac.dhhs.vic.gov.au/safety-screening-statutory-declaration" TargetMode="External"/><Relationship Id="rId392" Type="http://schemas.openxmlformats.org/officeDocument/2006/relationships/hyperlink" Target="http://www.sustainability.vic.gov.au/services-and-advice/schools/resources" TargetMode="External"/><Relationship Id="rId427" Type="http://schemas.openxmlformats.org/officeDocument/2006/relationships/header" Target="header2.xml"/><Relationship Id="rId26" Type="http://schemas.openxmlformats.org/officeDocument/2006/relationships/hyperlink" Target="http://www.education.vic.gov.au/Documents/about/programs/partnerships/partnershipagreement.pdf" TargetMode="External"/><Relationship Id="rId231" Type="http://schemas.openxmlformats.org/officeDocument/2006/relationships/hyperlink" Target="https://fac.dhhs.vic.gov.au/safety-screening-assessment-instructions-and-form" TargetMode="External"/><Relationship Id="rId252" Type="http://schemas.openxmlformats.org/officeDocument/2006/relationships/hyperlink" Target="http://www.worksafe.vic.gov.au/" TargetMode="External"/><Relationship Id="rId273" Type="http://schemas.openxmlformats.org/officeDocument/2006/relationships/hyperlink" Target="https://dhhs.vic.gov.au/publications/aboriginal-governance-and-accountability-framework" TargetMode="External"/><Relationship Id="rId294" Type="http://schemas.openxmlformats.org/officeDocument/2006/relationships/hyperlink" Target="http://www.legislation.vic.gov.au/domino/Web_notes/LDMS/PubLawToday.nsf/95c43dd4eac71a68ca256dde00056e7b/18b33f1d4d852609ca256f0200198528!OpenDocument" TargetMode="External"/><Relationship Id="rId308" Type="http://schemas.openxmlformats.org/officeDocument/2006/relationships/hyperlink" Target="mailto:childsafeorgs@dhhs.vic.gov.au" TargetMode="External"/><Relationship Id="rId329" Type="http://schemas.openxmlformats.org/officeDocument/2006/relationships/hyperlink" Target="http://www.dhs.vic.gov.au/about-the-department/documents-and-resources/policies,-guidelines-and-legislation/new-criminal-offences-to-improve-responses-to-child-sexual-abuse" TargetMode="External"/><Relationship Id="rId47" Type="http://schemas.openxmlformats.org/officeDocument/2006/relationships/hyperlink" Target="https://providers.dhhs.vic.gov.au/human-services-standards" TargetMode="External"/><Relationship Id="rId68" Type="http://schemas.openxmlformats.org/officeDocument/2006/relationships/hyperlink" Target="http://www.aasb.gov.au/pronouncements/current-standards.aspx" TargetMode="External"/><Relationship Id="rId89" Type="http://schemas.openxmlformats.org/officeDocument/2006/relationships/hyperlink" Target="http://www.justice.vic.gov.au/home/justice+system/laws+and+regulation/victorian+model+litigant+guidelines" TargetMode="External"/><Relationship Id="rId112" Type="http://schemas.openxmlformats.org/officeDocument/2006/relationships/hyperlink" Target="https://improveit.org/" TargetMode="External"/><Relationship Id="rId133" Type="http://schemas.openxmlformats.org/officeDocument/2006/relationships/hyperlink" Target="https://www.comlaw.gov.au/Series/C1973A00076" TargetMode="External"/><Relationship Id="rId154" Type="http://schemas.openxmlformats.org/officeDocument/2006/relationships/hyperlink" Target="http://www.legislation.vic.gov.au/domino/Web_notes/LDMS/PubLawToday.nsf/7e27929611f1d5c2ca256dac00186f32/46165cd76bc0dbefca2578c00019c553!OpenDocument" TargetMode="External"/><Relationship Id="rId175" Type="http://schemas.openxmlformats.org/officeDocument/2006/relationships/hyperlink" Target="https://providers.dhhs.vic.gov.au/fire-safety-equipment-weekly-checklist-community-service-organisations-word" TargetMode="External"/><Relationship Id="rId340" Type="http://schemas.openxmlformats.org/officeDocument/2006/relationships/hyperlink" Target="mailto:siru@edumail.vic.gov.au" TargetMode="External"/><Relationship Id="rId361" Type="http://schemas.openxmlformats.org/officeDocument/2006/relationships/hyperlink" Target="http://www.education.vic.gov.au/Documents/childhood/providers/regulation/nqfcriminalhistoryfdc-23-11-2015.pdf" TargetMode="External"/><Relationship Id="rId196" Type="http://schemas.openxmlformats.org/officeDocument/2006/relationships/hyperlink" Target="mailto:partnerships.primary@dhhs.vic.gov.au" TargetMode="External"/><Relationship Id="rId200" Type="http://schemas.openxmlformats.org/officeDocument/2006/relationships/hyperlink" Target="https://fac.dhhs.vic.gov.au/policies-and-procedures" TargetMode="External"/><Relationship Id="rId382" Type="http://schemas.openxmlformats.org/officeDocument/2006/relationships/hyperlink" Target="http://www.humanrightscommission.vic.gov.au/" TargetMode="External"/><Relationship Id="rId417" Type="http://schemas.openxmlformats.org/officeDocument/2006/relationships/hyperlink" Target="https://ccyp.vic.gov.au/reportable-conduct-scheme/" TargetMode="External"/><Relationship Id="rId16" Type="http://schemas.openxmlformats.org/officeDocument/2006/relationships/hyperlink" Target="http://www.education.vic.gov.au/childhood/providers/funding/Pages/devgroupprogguide.aspx" TargetMode="External"/><Relationship Id="rId221" Type="http://schemas.openxmlformats.org/officeDocument/2006/relationships/hyperlink" Target="mailto:Carer.Register@dhhs.vic.gov.au" TargetMode="External"/><Relationship Id="rId242" Type="http://schemas.openxmlformats.org/officeDocument/2006/relationships/hyperlink" Target="https://fac.dhhs.vic.gov.au/record-storage-and-destruction" TargetMode="External"/><Relationship Id="rId263" Type="http://schemas.openxmlformats.org/officeDocument/2006/relationships/hyperlink" Target="https://www.anao.gov.au/search/site/media%20Better%20Practice%20Guides%20Business%20Continuity%20Management%20Business%20continuity%20management" TargetMode="External"/><Relationship Id="rId284" Type="http://schemas.openxmlformats.org/officeDocument/2006/relationships/hyperlink" Target="https://www2.health.vic.gov.au/ageing-and-aged-care/wellbeing-and-participation/preventing-elder-abuse" TargetMode="External"/><Relationship Id="rId319" Type="http://schemas.openxmlformats.org/officeDocument/2006/relationships/hyperlink" Target="mailto:corporate.integrity@dhhs.vic.gov.au" TargetMode="External"/><Relationship Id="rId37" Type="http://schemas.openxmlformats.org/officeDocument/2006/relationships/hyperlink" Target="https://fac.dhhs.vic.gov.au/my-agency" TargetMode="External"/><Relationship Id="rId58" Type="http://schemas.openxmlformats.org/officeDocument/2006/relationships/hyperlink" Target="https://www.ato.gov.au" TargetMode="External"/><Relationship Id="rId79" Type="http://schemas.openxmlformats.org/officeDocument/2006/relationships/hyperlink" Target="http://www.foicommissioner.vic.gov.au/" TargetMode="External"/><Relationship Id="rId102" Type="http://schemas.openxmlformats.org/officeDocument/2006/relationships/hyperlink" Target="http://www7.austlii.edu.au/cgi-bin/viewdb/au/legis/vic/consol_act/pra1973153/" TargetMode="External"/><Relationship Id="rId123" Type="http://schemas.openxmlformats.org/officeDocument/2006/relationships/hyperlink" Target="mailto:privacy@dhhs.vic.gov.au" TargetMode="External"/><Relationship Id="rId144" Type="http://schemas.openxmlformats.org/officeDocument/2006/relationships/hyperlink" Target="https://fac.dhhs.vic.gov.au" TargetMode="External"/><Relationship Id="rId330" Type="http://schemas.openxmlformats.org/officeDocument/2006/relationships/hyperlink" Target="mailto:childsafestandards@dhhs.vic.gov.au" TargetMode="External"/><Relationship Id="rId90" Type="http://schemas.openxmlformats.org/officeDocument/2006/relationships/hyperlink" Target="http://www.dtf.vic.gov.au/Publications/Victoria-Economy-publications/Intellectual-Property-Guidelines-for-the-Victorian-Public-Sector-Version-1" TargetMode="External"/><Relationship Id="rId165" Type="http://schemas.openxmlformats.org/officeDocument/2006/relationships/hyperlink" Target="https://providers.dhhs.vic.gov.au/fire-safety-compliance-certificate-no-6-health-service-pdf" TargetMode="External"/><Relationship Id="rId186" Type="http://schemas.openxmlformats.org/officeDocument/2006/relationships/hyperlink" Target="http://www.asbestos.vic.gov.au/" TargetMode="External"/><Relationship Id="rId351" Type="http://schemas.openxmlformats.org/officeDocument/2006/relationships/hyperlink" Target="http://www.dhs.vic.gov.au/__data/assets/word_doc/0009/968103/Compliment-and-complaint-management-policy-feedback-reporting-system-20-June-2016.doc" TargetMode="External"/><Relationship Id="rId372" Type="http://schemas.openxmlformats.org/officeDocument/2006/relationships/hyperlink" Target="http://www.legislation.vic.gov.au/" TargetMode="External"/><Relationship Id="rId393" Type="http://schemas.openxmlformats.org/officeDocument/2006/relationships/hyperlink" Target="mailto:phillips.caitlin.c@edumail.vic.gov.au" TargetMode="External"/><Relationship Id="rId407" Type="http://schemas.openxmlformats.org/officeDocument/2006/relationships/hyperlink" Target="http://www.austlii.edu.au/au/legis/vic/consol_act/csa1996196/" TargetMode="External"/><Relationship Id="rId428" Type="http://schemas.openxmlformats.org/officeDocument/2006/relationships/footer" Target="footer1.xml"/><Relationship Id="rId211" Type="http://schemas.openxmlformats.org/officeDocument/2006/relationships/hyperlink" Target="https://fac.dhhs.vic.gov.au/safety-screening-statutory-declaration" TargetMode="External"/><Relationship Id="rId232" Type="http://schemas.openxmlformats.org/officeDocument/2006/relationships/hyperlink" Target="https://fac.dhhs.vic.gov.au/useful-links" TargetMode="External"/><Relationship Id="rId253" Type="http://schemas.openxmlformats.org/officeDocument/2006/relationships/hyperlink" Target="http://www.worksafe.vic.gov.au/" TargetMode="External"/><Relationship Id="rId274" Type="http://schemas.openxmlformats.org/officeDocument/2006/relationships/hyperlink" Target="https://www2.health.vic.gov.au/about/policy-and-funding-guidelines" TargetMode="External"/><Relationship Id="rId295" Type="http://schemas.openxmlformats.org/officeDocument/2006/relationships/hyperlink" Target="https://www.legislation.gov.au/Series/C2004A03223" TargetMode="External"/><Relationship Id="rId309" Type="http://schemas.openxmlformats.org/officeDocument/2006/relationships/hyperlink" Target="mailto:childsafestandards@ccyp.vic.gov.au" TargetMode="External"/><Relationship Id="rId27" Type="http://schemas.openxmlformats.org/officeDocument/2006/relationships/hyperlink" Target="https://www.dhhs.vic.gov.au/policy-and-funding-guidelines" TargetMode="External"/><Relationship Id="rId48" Type="http://schemas.openxmlformats.org/officeDocument/2006/relationships/hyperlink" Target="mailto:hsstandards@dhhs.vic.gov.au" TargetMode="External"/><Relationship Id="rId69" Type="http://schemas.openxmlformats.org/officeDocument/2006/relationships/hyperlink" Target="https://www.cpaaustralia.com.au/professional-resources/public-practice/toolkit" TargetMode="External"/><Relationship Id="rId113" Type="http://schemas.openxmlformats.org/officeDocument/2006/relationships/hyperlink" Target="https://www.ovic.vic.gov.au/" TargetMode="External"/><Relationship Id="rId134" Type="http://schemas.openxmlformats.org/officeDocument/2006/relationships/hyperlink" Target="https://www.vmia.vic.gov.au/" TargetMode="External"/><Relationship Id="rId320" Type="http://schemas.openxmlformats.org/officeDocument/2006/relationships/hyperlink" Target="http://www.worksafe.vic.gov.au/laws-and-regulations" TargetMode="External"/><Relationship Id="rId80" Type="http://schemas.openxmlformats.org/officeDocument/2006/relationships/hyperlink" Target="https://www.cpdp.vic.gov.au/" TargetMode="External"/><Relationship Id="rId155" Type="http://schemas.openxmlformats.org/officeDocument/2006/relationships/hyperlink" Target="file:///C:\Users\skip2402\AppData\Local\Temp\notes73FDFC\Building%20Code%20of%20Australia" TargetMode="External"/><Relationship Id="rId176" Type="http://schemas.openxmlformats.org/officeDocument/2006/relationships/hyperlink" Target="http://www.dhs.vic.gov.au/__data/assets/word_doc/0010/719614/Fire-Safety-Certificate-No.4-080429.doc" TargetMode="External"/><Relationship Id="rId197" Type="http://schemas.openxmlformats.org/officeDocument/2006/relationships/hyperlink" Target="https://providers.dhhs.vic.gov.au/reporting-incidents" TargetMode="External"/><Relationship Id="rId341" Type="http://schemas.openxmlformats.org/officeDocument/2006/relationships/hyperlink" Target="http://www.education.vic.gov.au/about/contact/Pages/complaintslanding.aspx" TargetMode="External"/><Relationship Id="rId362" Type="http://schemas.openxmlformats.org/officeDocument/2006/relationships/hyperlink" Target="http://www.police.vic.gov.au/content.asp?Document_ID=2" TargetMode="External"/><Relationship Id="rId383" Type="http://schemas.openxmlformats.org/officeDocument/2006/relationships/hyperlink" Target="mailto:information@veohrc.vic.gov.au" TargetMode="External"/><Relationship Id="rId418" Type="http://schemas.openxmlformats.org/officeDocument/2006/relationships/hyperlink" Target="https://fac.dhhs.vic.gov.au/policies-and-procedures" TargetMode="External"/><Relationship Id="rId201" Type="http://schemas.openxmlformats.org/officeDocument/2006/relationships/hyperlink" Target="http://www.odsc.vic.gov.au/" TargetMode="External"/><Relationship Id="rId222" Type="http://schemas.openxmlformats.org/officeDocument/2006/relationships/hyperlink" Target="http://www.police.vic.gov.au/content.asp?Document_ID=274" TargetMode="External"/><Relationship Id="rId243" Type="http://schemas.openxmlformats.org/officeDocument/2006/relationships/hyperlink" Target="mailto:safety.screening@dhhs.vic.gov.au" TargetMode="External"/><Relationship Id="rId264" Type="http://schemas.openxmlformats.org/officeDocument/2006/relationships/hyperlink" Target="https://fac.dhhs.vic.gov.au/policies-and-procedures" TargetMode="External"/><Relationship Id="rId285" Type="http://schemas.openxmlformats.org/officeDocument/2006/relationships/hyperlink" Target="mailto:elder.abuse@dhhs.vic.gov.au" TargetMode="External"/><Relationship Id="rId17" Type="http://schemas.openxmlformats.org/officeDocument/2006/relationships/hyperlink" Target="https://fac.dhhs.vic.gov.au/" TargetMode="External"/><Relationship Id="rId38" Type="http://schemas.openxmlformats.org/officeDocument/2006/relationships/hyperlink" Target="https://fac.dhhs.vic.gov.au" TargetMode="External"/><Relationship Id="rId59" Type="http://schemas.openxmlformats.org/officeDocument/2006/relationships/diagramData" Target="diagrams/data1.xml"/><Relationship Id="rId103" Type="http://schemas.openxmlformats.org/officeDocument/2006/relationships/hyperlink" Target="http://www.cpdp.vic.gov.au/index.php" TargetMode="External"/><Relationship Id="rId124" Type="http://schemas.openxmlformats.org/officeDocument/2006/relationships/hyperlink" Target="mailto:foi@edumail.vic.gov.au" TargetMode="External"/><Relationship Id="rId310" Type="http://schemas.openxmlformats.org/officeDocument/2006/relationships/hyperlink" Target="http://www.dhs.vic.gov.au/about-the-department/documents-and-resources/policies,-guidelines-and-legislation/child-safe-standards" TargetMode="External"/><Relationship Id="rId70" Type="http://schemas.openxmlformats.org/officeDocument/2006/relationships/hyperlink" Target="http://prov.vic.gov.au/government/standards-and-policy/all-documents/pros-1010" TargetMode="External"/><Relationship Id="rId91" Type="http://schemas.openxmlformats.org/officeDocument/2006/relationships/hyperlink" Target="http://www8.austlii.edu.au/cgi-bin/viewdb/au/legis/vic/num_act/padpa201460o2014317/" TargetMode="External"/><Relationship Id="rId145" Type="http://schemas.openxmlformats.org/officeDocument/2006/relationships/hyperlink" Target="https://fac.dhhs.vic.gov.au/guidelines-funded-organisations-proposing-change-control-merger-or-acquisition" TargetMode="External"/><Relationship Id="rId166" Type="http://schemas.openxmlformats.org/officeDocument/2006/relationships/hyperlink" Target="https://fac.dhhs.vic.gov.au/policies-and-procedures" TargetMode="External"/><Relationship Id="rId187" Type="http://schemas.openxmlformats.org/officeDocument/2006/relationships/hyperlink" Target="http://www.worksafe.vic.gov.au/forms-and-publications/forms-and-publications/managing-asbestos-in-workplaces-compliance-code" TargetMode="External"/><Relationship Id="rId331" Type="http://schemas.openxmlformats.org/officeDocument/2006/relationships/image" Target="media/image5.gif"/><Relationship Id="rId352" Type="http://schemas.openxmlformats.org/officeDocument/2006/relationships/hyperlink" Target="http://www.dhs.vic.gov.au/__data/assets/word_doc/0011/968105/Compliment-and-complaint-management-policy-form-template-20-June-2016.doc" TargetMode="External"/><Relationship Id="rId373" Type="http://schemas.openxmlformats.org/officeDocument/2006/relationships/hyperlink" Target="mailto:wall.timothy.c@edumail.vic.gov.au" TargetMode="External"/><Relationship Id="rId394" Type="http://schemas.openxmlformats.org/officeDocument/2006/relationships/hyperlink" Target="http://www.education.vic.gov.au/school/principals/management/Pages/translateservice.aspx" TargetMode="External"/><Relationship Id="rId408" Type="http://schemas.openxmlformats.org/officeDocument/2006/relationships/hyperlink" Target="http://www.austlii.edu.au/au/legis/vic/consol_act/eacsnla2010346/" TargetMode="External"/><Relationship Id="rId429"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https://fac.dhhs.vic.gov.au/safety-screening-statutory-declaration" TargetMode="External"/><Relationship Id="rId233" Type="http://schemas.openxmlformats.org/officeDocument/2006/relationships/hyperlink" Target="https://providers.dhhs.vic.gov.au/disability-worker-exclusion-scheme" TargetMode="External"/><Relationship Id="rId254" Type="http://schemas.openxmlformats.org/officeDocument/2006/relationships/hyperlink" Target="http://www.worksafe.vic.gov.au/" TargetMode="External"/><Relationship Id="rId28" Type="http://schemas.openxmlformats.org/officeDocument/2006/relationships/hyperlink" Target="https://fac.dhhs.vic.gov.au/my-agency" TargetMode="External"/><Relationship Id="rId49" Type="http://schemas.openxmlformats.org/officeDocument/2006/relationships/hyperlink" Target="https://providers.dhhs.vic.gov.au/human-services-standards" TargetMode="External"/><Relationship Id="rId114" Type="http://schemas.openxmlformats.org/officeDocument/2006/relationships/hyperlink" Target="https://dhhs.vic.gov.au/privacy-and-information-security-guideline-funded-agency-staff" TargetMode="External"/><Relationship Id="rId275" Type="http://schemas.openxmlformats.org/officeDocument/2006/relationships/hyperlink" Target="http://www.dpc.vic.gov.au/index.php/aboriginal-affairs/aboriginal-affairs-policy/victorian-aboriginal-affairs-framewor" TargetMode="External"/><Relationship Id="rId296" Type="http://schemas.openxmlformats.org/officeDocument/2006/relationships/hyperlink" Target="http://www.austlii.edu.au/au/legis/vic/num_act/srspa201049o2010631/" TargetMode="External"/><Relationship Id="rId300" Type="http://schemas.openxmlformats.org/officeDocument/2006/relationships/hyperlink" Target="http://www.dtf.vic.gov.au/Investment-Planning-and-Evaluation/Understanding-investment-planning-and-review/What-is-asset-management" TargetMode="External"/><Relationship Id="rId60" Type="http://schemas.openxmlformats.org/officeDocument/2006/relationships/diagramLayout" Target="diagrams/layout1.xml"/><Relationship Id="rId81" Type="http://schemas.openxmlformats.org/officeDocument/2006/relationships/hyperlink" Target="https://fac.dhhs.vic.gov.au/guidelines-service-agreement-compliance-certification-form" TargetMode="External"/><Relationship Id="rId135" Type="http://schemas.openxmlformats.org/officeDocument/2006/relationships/hyperlink" Target="http://www.worksafe.vic.gov.au/" TargetMode="External"/><Relationship Id="rId156" Type="http://schemas.openxmlformats.org/officeDocument/2006/relationships/hyperlink" Target="https://providers.dhhs.vic.gov.au/capital-development-guidelines-series-7" TargetMode="External"/><Relationship Id="rId177" Type="http://schemas.openxmlformats.org/officeDocument/2006/relationships/hyperlink" Target="https://providers.dhhs.vic.gov.au/capital-development-guidelines-series-7" TargetMode="External"/><Relationship Id="rId198" Type="http://schemas.openxmlformats.org/officeDocument/2006/relationships/hyperlink" Target="mailto:privacy@dhhs.vic.gov.au" TargetMode="External"/><Relationship Id="rId321" Type="http://schemas.openxmlformats.org/officeDocument/2006/relationships/hyperlink" Target="http://www.asbestos.vic.gov.au/" TargetMode="External"/><Relationship Id="rId342" Type="http://schemas.openxmlformats.org/officeDocument/2006/relationships/hyperlink" Target="http://www.education.vic.gov.au/about/contact/Pages/complainec.aspx" TargetMode="External"/><Relationship Id="rId363" Type="http://schemas.openxmlformats.org/officeDocument/2006/relationships/hyperlink" Target="https://www.crimtrac.gov.au/" TargetMode="External"/><Relationship Id="rId384" Type="http://schemas.openxmlformats.org/officeDocument/2006/relationships/hyperlink" Target="https://fac.dhhs.vic.gov.au/policies-and-procedures" TargetMode="External"/><Relationship Id="rId419" Type="http://schemas.openxmlformats.org/officeDocument/2006/relationships/hyperlink" Target="https://fac.dhhs.vic.gov.au/policies-and-procedures" TargetMode="External"/><Relationship Id="rId202" Type="http://schemas.openxmlformats.org/officeDocument/2006/relationships/hyperlink" Target="https://hcc.vic.gov.au/" TargetMode="External"/><Relationship Id="rId223" Type="http://schemas.openxmlformats.org/officeDocument/2006/relationships/hyperlink" Target="https://fac.dhhs.vic.gov.au/student-placement-safety-screening-statutory-declaration" TargetMode="External"/><Relationship Id="rId244" Type="http://schemas.openxmlformats.org/officeDocument/2006/relationships/hyperlink" Target="http://www6.austlii.edu.au/cgi-bin/viewdb/au/legis/vic/consol_act/ohasa2004273/" TargetMode="External"/><Relationship Id="rId430" Type="http://schemas.openxmlformats.org/officeDocument/2006/relationships/footer" Target="footer3.xml"/><Relationship Id="rId18" Type="http://schemas.openxmlformats.org/officeDocument/2006/relationships/hyperlink" Target="https://fac.dhhs.vic.gov.au/my-agency" TargetMode="External"/><Relationship Id="rId39" Type="http://schemas.openxmlformats.org/officeDocument/2006/relationships/hyperlink" Target="https://fac.dhhs.vic.gov.au/my-agency" TargetMode="External"/><Relationship Id="rId265" Type="http://schemas.openxmlformats.org/officeDocument/2006/relationships/hyperlink" Target="https://www2.health.vic.gov.au/emergencies/emergency-type/infectious-diseases/pandemic-influenza" TargetMode="External"/><Relationship Id="rId286" Type="http://schemas.openxmlformats.org/officeDocument/2006/relationships/hyperlink" Target="https://providers.dhhs.vic.gov.au/emergency-preparedness" TargetMode="External"/><Relationship Id="rId50" Type="http://schemas.openxmlformats.org/officeDocument/2006/relationships/hyperlink" Target="https://www.dhhs.vic.gov.au/policy-and-funding-guidelines" TargetMode="External"/><Relationship Id="rId104" Type="http://schemas.openxmlformats.org/officeDocument/2006/relationships/hyperlink" Target="file:///C:\Users\mmil2007\AppData\Local\Temp\notes1F9309\Health%20Complaints%20Commissioner's%20website" TargetMode="External"/><Relationship Id="rId125" Type="http://schemas.openxmlformats.org/officeDocument/2006/relationships/hyperlink" Target="http://www.cpdp.vic.gov.au/" TargetMode="External"/><Relationship Id="rId146" Type="http://schemas.openxmlformats.org/officeDocument/2006/relationships/hyperlink" Target="https://fac.dhhs.vic.gov.au/questionnaire-funded-organisations-proposing-change-control-merger-or-acquisition" TargetMode="External"/><Relationship Id="rId167" Type="http://schemas.openxmlformats.org/officeDocument/2006/relationships/hyperlink" Target="https://providers.dhhs.vic.gov.au/capital-development-guidelines-series-7" TargetMode="External"/><Relationship Id="rId188" Type="http://schemas.openxmlformats.org/officeDocument/2006/relationships/hyperlink" Target="http://www.worksafe.vic.gov.au/forms-and-publications/forms-and-publications/removing-asbestos-in-workplaces-compliance-code" TargetMode="External"/><Relationship Id="rId311" Type="http://schemas.openxmlformats.org/officeDocument/2006/relationships/hyperlink" Target="https://ccyp.vic.gov.au/" TargetMode="External"/><Relationship Id="rId332" Type="http://schemas.openxmlformats.org/officeDocument/2006/relationships/hyperlink" Target="https://fac.dhhs.vic.gov.au/incident-reporting" TargetMode="External"/><Relationship Id="rId353" Type="http://schemas.openxmlformats.org/officeDocument/2006/relationships/hyperlink" Target="http://www.dhs.vic.gov.au/__data/assets/word_doc/0010/968104/Compliment-and-complaint-management-policy-orgs-for-support-listing-20-June-2016.doc" TargetMode="External"/><Relationship Id="rId374" Type="http://schemas.openxmlformats.org/officeDocument/2006/relationships/hyperlink" Target="http://www.austlii.edu.au/au/legis/vic/num_act/wiraca201367o2013530/" TargetMode="External"/><Relationship Id="rId395" Type="http://schemas.openxmlformats.org/officeDocument/2006/relationships/hyperlink" Target="http://client.vits.com.au/" TargetMode="External"/><Relationship Id="rId409" Type="http://schemas.openxmlformats.org/officeDocument/2006/relationships/hyperlink" Target="mailto:childsafestandards@ccyp.vic.gov.au" TargetMode="External"/><Relationship Id="rId71" Type="http://schemas.openxmlformats.org/officeDocument/2006/relationships/hyperlink" Target="http://www7.austlii.edu.au/cgi-bin/viewdb/au/legis/vic/consol_act/pra1973153/" TargetMode="External"/><Relationship Id="rId92" Type="http://schemas.openxmlformats.org/officeDocument/2006/relationships/hyperlink" Target="http://www8.austlii.edu.au/cgi-bin/viewdb/au/legis/vic/consol_act/hra2001144/" TargetMode="External"/><Relationship Id="rId213" Type="http://schemas.openxmlformats.org/officeDocument/2006/relationships/hyperlink" Target="https://providers.dhhs.vic.gov.au/disability-worker-exclusion-scheme" TargetMode="External"/><Relationship Id="rId234" Type="http://schemas.openxmlformats.org/officeDocument/2006/relationships/hyperlink" Target="http://www.justice.vic.gov.au/workingwithchildren" TargetMode="External"/><Relationship Id="rId420" Type="http://schemas.openxmlformats.org/officeDocument/2006/relationships/hyperlink" Target="https://fac.dhhs.vic.gov.au" TargetMode="External"/><Relationship Id="rId2" Type="http://schemas.openxmlformats.org/officeDocument/2006/relationships/numbering" Target="numbering.xml"/><Relationship Id="rId29" Type="http://schemas.openxmlformats.org/officeDocument/2006/relationships/hyperlink" Target="http://www.consumer.vic.gov.au/clubs-and-not-for-profits/incorporated-associations" TargetMode="External"/><Relationship Id="rId255" Type="http://schemas.openxmlformats.org/officeDocument/2006/relationships/hyperlink" Target="mailto:carli.moerth@dhhs.vic.gov.au" TargetMode="External"/><Relationship Id="rId276" Type="http://schemas.openxmlformats.org/officeDocument/2006/relationships/hyperlink" Target="http://www.strongfamiliessafechildren.vic.gov.au/roadmap-for-reform-strong-families-safe-children" TargetMode="External"/><Relationship Id="rId297" Type="http://schemas.openxmlformats.org/officeDocument/2006/relationships/hyperlink" Target="file:///\\n068\group\BDB\SA%20Mgmt%20Group\SAIK\SAIK%202018%20Update\Providers%20website" TargetMode="External"/><Relationship Id="rId40" Type="http://schemas.openxmlformats.org/officeDocument/2006/relationships/hyperlink" Target="https://www.dhhs.vic.gov.au/policy-and-funding-guidelines" TargetMode="External"/><Relationship Id="rId115" Type="http://schemas.openxmlformats.org/officeDocument/2006/relationships/hyperlink" Target="hthttps://www.ovic.vic.gov.au/" TargetMode="External"/><Relationship Id="rId136" Type="http://schemas.openxmlformats.org/officeDocument/2006/relationships/hyperlink" Target="http://www.vmia.vic.gov.au/" TargetMode="External"/><Relationship Id="rId157" Type="http://schemas.openxmlformats.org/officeDocument/2006/relationships/hyperlink" Target="https://providers.dhhs.vic.gov.au/capital-development-guidelines-series-7" TargetMode="External"/><Relationship Id="rId178" Type="http://schemas.openxmlformats.org/officeDocument/2006/relationships/hyperlink" Target="https://providers.dhhs.vic.gov.au/capital-development-guidelines-series-7" TargetMode="External"/><Relationship Id="rId301" Type="http://schemas.openxmlformats.org/officeDocument/2006/relationships/hyperlink" Target="mailto:Liz.Stackhouse@dhhs.vic.gov.au" TargetMode="External"/><Relationship Id="rId322" Type="http://schemas.openxmlformats.org/officeDocument/2006/relationships/hyperlink" Target="mailto:major.andrew.a@edumail.vic.gov.au" TargetMode="External"/><Relationship Id="rId343" Type="http://schemas.openxmlformats.org/officeDocument/2006/relationships/hyperlink" Target="http://www.education.vic.gov.au/childhood/providers/regulation/Pages/complaints.aspx" TargetMode="External"/><Relationship Id="rId364" Type="http://schemas.openxmlformats.org/officeDocument/2006/relationships/hyperlink" Target="http://www.dhs.vic.gov.au/__data/assets/word_doc/0003/871410/4.6-Safety-screening-referee-check-template-SA-info-kit-30052014.doc" TargetMode="External"/><Relationship Id="rId61" Type="http://schemas.openxmlformats.org/officeDocument/2006/relationships/diagramQuickStyle" Target="diagrams/quickStyle1.xml"/><Relationship Id="rId82" Type="http://schemas.openxmlformats.org/officeDocument/2006/relationships/hyperlink" Target="mailto:MonitoringFramework.helpdesk@dhhs.vic.gov.au" TargetMode="External"/><Relationship Id="rId199" Type="http://schemas.openxmlformats.org/officeDocument/2006/relationships/hyperlink" Target="https://dhhs.vic.gov.au/publications/client-services-charter" TargetMode="External"/><Relationship Id="rId203" Type="http://schemas.openxmlformats.org/officeDocument/2006/relationships/hyperlink" Target="http://www.mhcc.vic.gov.au/" TargetMode="External"/><Relationship Id="rId385" Type="http://schemas.openxmlformats.org/officeDocument/2006/relationships/hyperlink" Target="mailto:MonitoringFramework.Helpdesk@dhhs.vic.gov.au" TargetMode="External"/><Relationship Id="rId19" Type="http://schemas.openxmlformats.org/officeDocument/2006/relationships/hyperlink" Target="mailto:sacomms@dhhs.vic.gov.au" TargetMode="External"/><Relationship Id="rId224" Type="http://schemas.openxmlformats.org/officeDocument/2006/relationships/hyperlink" Target="http://www.border.gov.au/Busi/Visa" TargetMode="External"/><Relationship Id="rId245" Type="http://schemas.openxmlformats.org/officeDocument/2006/relationships/hyperlink" Target="http://www.worksafe.vic.gov.au/home" TargetMode="External"/><Relationship Id="rId266" Type="http://schemas.openxmlformats.org/officeDocument/2006/relationships/hyperlink" Target="https://www2.health.vic.gov.au/hospitals-and-health-services/planning-infrastructure/sustainability" TargetMode="External"/><Relationship Id="rId287" Type="http://schemas.openxmlformats.org/officeDocument/2006/relationships/hyperlink" Target="mailto:recovery@dhhs.vic.gov.au" TargetMode="External"/><Relationship Id="rId410" Type="http://schemas.openxmlformats.org/officeDocument/2006/relationships/hyperlink" Target="http://www.dhs.vic.gov.au/about-the-department/documents-and-resources/policies,-guidelines-and-legislation/child-safe-standards" TargetMode="External"/><Relationship Id="rId431" Type="http://schemas.openxmlformats.org/officeDocument/2006/relationships/fontTable" Target="fontTable.xml"/><Relationship Id="rId30" Type="http://schemas.openxmlformats.org/officeDocument/2006/relationships/hyperlink" Target="http://www.consumer.vic.gov.au/clubs-and-not-for-profits/incorporated-associations" TargetMode="External"/><Relationship Id="rId105" Type="http://schemas.openxmlformats.org/officeDocument/2006/relationships/hyperlink" Target="https://www.ovic.vic.gov.au/index.php" TargetMode="External"/><Relationship Id="rId126" Type="http://schemas.openxmlformats.org/officeDocument/2006/relationships/hyperlink" Target="https://hcc.vic.gov.au/" TargetMode="External"/><Relationship Id="rId147" Type="http://schemas.openxmlformats.org/officeDocument/2006/relationships/hyperlink" Target="http://www.education.vic.gov.au/childhood/Pages/default.aspx" TargetMode="External"/><Relationship Id="rId168" Type="http://schemas.openxmlformats.org/officeDocument/2006/relationships/hyperlink" Target="https://services.dhhs.vic.gov.au/disability-act-2006" TargetMode="External"/><Relationship Id="rId312" Type="http://schemas.openxmlformats.org/officeDocument/2006/relationships/hyperlink" Target="https://ccyp.vic.gov.au/child-safety/resources/reportable-conduct-scheme-information-sheets/" TargetMode="External"/><Relationship Id="rId333" Type="http://schemas.openxmlformats.org/officeDocument/2006/relationships/hyperlink" Target="http://www.education.vic.gov.au/childhood/providers/regulation/Pages/protectionprotocol.aspx" TargetMode="External"/><Relationship Id="rId354" Type="http://schemas.openxmlformats.org/officeDocument/2006/relationships/hyperlink" Target="http://www.dhs.vic.gov.au/__data/assets/word_doc/0008/908144/4.6-Safety-screening-App-2-Pre-employment-safety-screening-checklist-01092015.doc" TargetMode="External"/><Relationship Id="rId51" Type="http://schemas.openxmlformats.org/officeDocument/2006/relationships/hyperlink" Target="https://providers.dhhs.vic.gov.au/human-services-standards" TargetMode="External"/><Relationship Id="rId72" Type="http://schemas.openxmlformats.org/officeDocument/2006/relationships/hyperlink" Target="http://www7.austlii.edu.au/cgi-bin/viewdb/au/legis/vic/consol_act/pra1973153/" TargetMode="External"/><Relationship Id="rId93" Type="http://schemas.openxmlformats.org/officeDocument/2006/relationships/hyperlink" Target="http://www6.austlii.edu.au/cgi-bin/viewdb/au/legis/vic/num_act/pda201285o2012279/" TargetMode="External"/><Relationship Id="rId189" Type="http://schemas.openxmlformats.org/officeDocument/2006/relationships/hyperlink" Target="mailto:liz.stackhouse@dhhs.vic.gov.au" TargetMode="External"/><Relationship Id="rId375" Type="http://schemas.openxmlformats.org/officeDocument/2006/relationships/hyperlink" Target="http://www.worksafe.vic.gov.au/" TargetMode="External"/><Relationship Id="rId396" Type="http://schemas.openxmlformats.org/officeDocument/2006/relationships/hyperlink" Target="mailto:language.services@edumail.vic.gov.au" TargetMode="External"/><Relationship Id="rId3" Type="http://schemas.openxmlformats.org/officeDocument/2006/relationships/styles" Target="styles.xml"/><Relationship Id="rId214" Type="http://schemas.openxmlformats.org/officeDocument/2006/relationships/hyperlink" Target="https://providers.dhhs.vic.gov.au/disability-worker-exclusion-scheme" TargetMode="External"/><Relationship Id="rId235" Type="http://schemas.openxmlformats.org/officeDocument/2006/relationships/hyperlink" Target="https://ccyp.vic.gov.au/child-safety/being-a-child-safe-organisation/the-child-safe-standards/" TargetMode="External"/><Relationship Id="rId256" Type="http://schemas.openxmlformats.org/officeDocument/2006/relationships/hyperlink" Target="http://www.austlii.edu.au/au/legis/vic/consol_act/cohrara2006433/" TargetMode="External"/><Relationship Id="rId277" Type="http://schemas.openxmlformats.org/officeDocument/2006/relationships/hyperlink" Target="https://www2.health.vic.gov.au/about/publications/policiesandguidelines/Health-2040-advancing-health-access-and-care" TargetMode="External"/><Relationship Id="rId298" Type="http://schemas.openxmlformats.org/officeDocument/2006/relationships/hyperlink" Target="mailto:empolicy@dhhs.vic.gov.au" TargetMode="External"/><Relationship Id="rId400" Type="http://schemas.openxmlformats.org/officeDocument/2006/relationships/hyperlink" Target="http://www.education.vic.gov.au/childhood/providers/support/Pages/emergency.aspx" TargetMode="External"/><Relationship Id="rId421" Type="http://schemas.openxmlformats.org/officeDocument/2006/relationships/hyperlink" Target="https://fac.dhhs.vic.gov.au" TargetMode="External"/><Relationship Id="rId116" Type="http://schemas.openxmlformats.org/officeDocument/2006/relationships/hyperlink" Target="https://hcc.vic.gov.au/" TargetMode="External"/><Relationship Id="rId137" Type="http://schemas.openxmlformats.org/officeDocument/2006/relationships/hyperlink" Target="https://fac.dhhs.vic.gov.au/" TargetMode="External"/><Relationship Id="rId158" Type="http://schemas.openxmlformats.org/officeDocument/2006/relationships/hyperlink" Target="https://providers.dhhs.vic.gov.au/fire-safety-handbook" TargetMode="External"/><Relationship Id="rId302" Type="http://schemas.openxmlformats.org/officeDocument/2006/relationships/hyperlink" Target="http://www8.austlii.edu.au/cgi-bin/viewdb/au/legis/vic/consol_act/cyafa2005252/" TargetMode="External"/><Relationship Id="rId323" Type="http://schemas.openxmlformats.org/officeDocument/2006/relationships/hyperlink" Target="http://www.education.vic.gov.au/about/contact/Pages/regions.aspx" TargetMode="External"/><Relationship Id="rId344" Type="http://schemas.openxmlformats.org/officeDocument/2006/relationships/hyperlink" Target="http://www.education.vic.gov.au/childhood/parents/childcare/Pages/concerns.aspx" TargetMode="External"/><Relationship Id="rId20" Type="http://schemas.openxmlformats.org/officeDocument/2006/relationships/hyperlink" Target="http://www.education.vic.gov.au/Documents/about/programs/partnerships/partnershipagreement.pdf" TargetMode="External"/><Relationship Id="rId41" Type="http://schemas.openxmlformats.org/officeDocument/2006/relationships/hyperlink" Target="http://www.education.vic.gov.au/childhood/providers/funding/Pages/devgroupprogguide.aspx" TargetMode="External"/><Relationship Id="rId62" Type="http://schemas.openxmlformats.org/officeDocument/2006/relationships/diagramColors" Target="diagrams/colors1.xml"/><Relationship Id="rId83" Type="http://schemas.openxmlformats.org/officeDocument/2006/relationships/hyperlink" Target="https://fac.dhhs.vic.gov.au/" TargetMode="External"/><Relationship Id="rId179" Type="http://schemas.openxmlformats.org/officeDocument/2006/relationships/hyperlink" Target="https://providers.dhhs.vic.gov.au/fire-safety-equipment-weekly-checklist-community-service-organisations-word" TargetMode="External"/><Relationship Id="rId365" Type="http://schemas.openxmlformats.org/officeDocument/2006/relationships/hyperlink" Target="https://fac.dhhs.vic.gov.au/record-storage-and-destruction" TargetMode="External"/><Relationship Id="rId386" Type="http://schemas.openxmlformats.org/officeDocument/2006/relationships/hyperlink" Target="https://www.anao.gov.au/search/site/media%20Better%20Practice%20Guides%20Business%20Continuity%20Management%20Business%20continuity%20management" TargetMode="External"/><Relationship Id="rId190" Type="http://schemas.openxmlformats.org/officeDocument/2006/relationships/hyperlink" Target="mailto:partnerships.primary@dhhs.vic.gov.au" TargetMode="External"/><Relationship Id="rId204" Type="http://schemas.openxmlformats.org/officeDocument/2006/relationships/hyperlink" Target="https://www.ombudsman.vic.gov.au/" TargetMode="External"/><Relationship Id="rId225" Type="http://schemas.openxmlformats.org/officeDocument/2006/relationships/hyperlink" Target="http://www.police.vic.gov.au/content.asp?Document_ID=274" TargetMode="External"/><Relationship Id="rId246" Type="http://schemas.openxmlformats.org/officeDocument/2006/relationships/hyperlink" Target="mailto:geoff.reany@dhhs.vic.gov.au" TargetMode="External"/><Relationship Id="rId267" Type="http://schemas.openxmlformats.org/officeDocument/2006/relationships/hyperlink" Target="https://www.communityresilience.com.au/" TargetMode="External"/><Relationship Id="rId288" Type="http://schemas.openxmlformats.org/officeDocument/2006/relationships/hyperlink" Target="http://www.austlii.edu.au/au/legis/vic/consol_act/da2006121/" TargetMode="External"/><Relationship Id="rId411" Type="http://schemas.openxmlformats.org/officeDocument/2006/relationships/hyperlink" Target="mailto:childsafestandards@dhhs.vic.gov.au" TargetMode="External"/><Relationship Id="rId432" Type="http://schemas.openxmlformats.org/officeDocument/2006/relationships/theme" Target="theme/theme1.xml"/><Relationship Id="rId106" Type="http://schemas.openxmlformats.org/officeDocument/2006/relationships/hyperlink" Target="file:///C:\Users\smor2603\AppData\Local\Temp\notes0F026D\Victorian%20Information%20Commissioner's%20website" TargetMode="External"/><Relationship Id="rId127" Type="http://schemas.openxmlformats.org/officeDocument/2006/relationships/hyperlink" Target="http://www6.austlii.edu.au/cgi-bin/viewdb/au/legis/vic/num_act/pda201285o2012279/" TargetMode="External"/><Relationship Id="rId313" Type="http://schemas.openxmlformats.org/officeDocument/2006/relationships/image" Target="media/image4.png"/><Relationship Id="rId10" Type="http://schemas.openxmlformats.org/officeDocument/2006/relationships/hyperlink" Target="https://fac.dhhs.vic.gov.au/service-agreement-information-kit" TargetMode="External"/><Relationship Id="rId31" Type="http://schemas.openxmlformats.org/officeDocument/2006/relationships/hyperlink" Target="https://www.nfplaw.org.au/incorporationdecision" TargetMode="External"/><Relationship Id="rId52" Type="http://schemas.openxmlformats.org/officeDocument/2006/relationships/hyperlink" Target="mailto:hsstandards@dhhs.vic.gov.au" TargetMode="External"/><Relationship Id="rId73" Type="http://schemas.openxmlformats.org/officeDocument/2006/relationships/hyperlink" Target="https://fac.dhhs.vic.gov.au/policies-and-procedures" TargetMode="External"/><Relationship Id="rId94" Type="http://schemas.openxmlformats.org/officeDocument/2006/relationships/hyperlink" Target="http://www8.austlii.edu.au/cgi-bin/viewdb/au/legis/vic/num_act/padpa201460o2014317/" TargetMode="External"/><Relationship Id="rId148" Type="http://schemas.openxmlformats.org/officeDocument/2006/relationships/hyperlink" Target="http://www.education.vic.gov.au/ecsmanagement/capitalprogram/" TargetMode="External"/><Relationship Id="rId169" Type="http://schemas.openxmlformats.org/officeDocument/2006/relationships/hyperlink" Target="http://www8.austlii.edu.au/cgi-bin/viewdb/au/legis/vic/consol_act/cyafa2005252/" TargetMode="External"/><Relationship Id="rId334" Type="http://schemas.openxmlformats.org/officeDocument/2006/relationships/hyperlink" Target="http://www.education.vic.gov.au/Documents/school/principals/spag/safety/respallegsexuala.pdf" TargetMode="External"/><Relationship Id="rId355" Type="http://schemas.openxmlformats.org/officeDocument/2006/relationships/hyperlink" Target="http://www.workingwithchildren.vic.gov.au/" TargetMode="External"/><Relationship Id="rId376" Type="http://schemas.openxmlformats.org/officeDocument/2006/relationships/hyperlink" Target="http://www.worksafe.vic.gov.au/" TargetMode="External"/><Relationship Id="rId397" Type="http://schemas.openxmlformats.org/officeDocument/2006/relationships/hyperlink" Target="http://www.dpc.vic.gov.au/index.php/aboriginal-affairs/aboriginal-affairs-policy/victorian-aboriginal-affairs-framewor" TargetMode="External"/><Relationship Id="rId4" Type="http://schemas.openxmlformats.org/officeDocument/2006/relationships/settings" Target="settings.xml"/><Relationship Id="rId180" Type="http://schemas.openxmlformats.org/officeDocument/2006/relationships/hyperlink" Target="https://providers.dhhs.vic.gov.au/fire-safety-compliance-certificate-no-5-word" TargetMode="External"/><Relationship Id="rId215" Type="http://schemas.openxmlformats.org/officeDocument/2006/relationships/hyperlink" Target="http://providers.dhhs.vic.gov.au/statutory-declaration-pre-employment-screening-disability-workers-dwes-word" TargetMode="External"/><Relationship Id="rId236" Type="http://schemas.openxmlformats.org/officeDocument/2006/relationships/hyperlink" Target="https://ccyp.vic.gov.au/child-safety/being-a-child-safe-organisation/the-child-safe-standards/" TargetMode="External"/><Relationship Id="rId257" Type="http://schemas.openxmlformats.org/officeDocument/2006/relationships/hyperlink" Target="http://www.legislation.vic.gov.au/" TargetMode="External"/><Relationship Id="rId278" Type="http://schemas.openxmlformats.org/officeDocument/2006/relationships/hyperlink" Target="https://www2.health.vic.gov.au/about/health-strategies/public-health-wellbeing-plan" TargetMode="External"/><Relationship Id="rId401" Type="http://schemas.openxmlformats.org/officeDocument/2006/relationships/hyperlink" Target="http://www.education.vic.gov.au/childhood/providers/support/Pages/emergency.aspx" TargetMode="External"/><Relationship Id="rId422" Type="http://schemas.openxmlformats.org/officeDocument/2006/relationships/hyperlink" Target="http://www.dhs.vic.gov.au/about-the-department/plans,-programs-and-projects/plans-and-strategies/key-plans-and-strategies/policy-and-funding-plan-department-of-human-services" TargetMode="External"/><Relationship Id="rId303" Type="http://schemas.openxmlformats.org/officeDocument/2006/relationships/hyperlink" Target="https://providers.dhhs.vic.gov.au/carers-recognition-act-2012" TargetMode="External"/><Relationship Id="rId42" Type="http://schemas.openxmlformats.org/officeDocument/2006/relationships/hyperlink" Target="file:///\\n068\group\BDB\SA%20Mgmt%20Group\SAIK\SAIK%202018%20Update\Funded%20agency%20channel" TargetMode="External"/><Relationship Id="rId84" Type="http://schemas.openxmlformats.org/officeDocument/2006/relationships/hyperlink" Target="https://www.dhhs.vic.gov.au/policy-and-funding-guidelines" TargetMode="External"/><Relationship Id="rId138" Type="http://schemas.openxmlformats.org/officeDocument/2006/relationships/hyperlink" Target="https://fac.dhhs.vic.gov.au/my-agency-non-dhhs-staff" TargetMode="External"/><Relationship Id="rId345" Type="http://schemas.openxmlformats.org/officeDocument/2006/relationships/hyperlink" Target="http://www.education.vic.gov.au/childhood/providers/regulation/Pages/default.aspx" TargetMode="External"/><Relationship Id="rId387" Type="http://schemas.openxmlformats.org/officeDocument/2006/relationships/hyperlink" Target="https://fac.dhhs.vic.gov.au/policies-and-procedures" TargetMode="External"/><Relationship Id="rId191" Type="http://schemas.openxmlformats.org/officeDocument/2006/relationships/hyperlink" Target="http://providers.dhhs.vic.gov.au/reporting-incidents" TargetMode="External"/><Relationship Id="rId205" Type="http://schemas.openxmlformats.org/officeDocument/2006/relationships/hyperlink" Target="https://www.ombudsman.vic.gov.au/" TargetMode="External"/><Relationship Id="rId247" Type="http://schemas.openxmlformats.org/officeDocument/2006/relationships/hyperlink" Target="http://www.austlii.edu.au/au/legis/vic/num_act/wiraca201367o2013530/" TargetMode="External"/><Relationship Id="rId412" Type="http://schemas.openxmlformats.org/officeDocument/2006/relationships/hyperlink" Target="mailto:licensed.childrens.services@edumail.vic.gov.au" TargetMode="External"/><Relationship Id="rId107" Type="http://schemas.openxmlformats.org/officeDocument/2006/relationships/hyperlink" Target="https://www.cpdp.vic.gov.au/images/content/pdf/privacy_guidelines/IPP_4_Guidelines.pdf" TargetMode="External"/><Relationship Id="rId289" Type="http://schemas.openxmlformats.org/officeDocument/2006/relationships/hyperlink" Target="http://www.austlii.edu.au/au/legis/vic/consol_act/cyafa2005252/" TargetMode="External"/><Relationship Id="rId11" Type="http://schemas.openxmlformats.org/officeDocument/2006/relationships/hyperlink" Target="http://www.dhs.vic.gov.au/facs/bdb/fmu/service-agreement/1.introduction/chapter-1.-introduction?SQ_DESIGN_NAME=print&amp;SQ_VIEW_NAME=all#content" TargetMode="External"/><Relationship Id="rId53" Type="http://schemas.openxmlformats.org/officeDocument/2006/relationships/hyperlink" Target="https://fac.dhhs.vic.gov.au/service-agreement-information-kit" TargetMode="External"/><Relationship Id="rId149" Type="http://schemas.openxmlformats.org/officeDocument/2006/relationships/hyperlink" Target="http://www.education.vic.gov.au/ecsmanagement/capitalprogram/" TargetMode="External"/><Relationship Id="rId314" Type="http://schemas.openxmlformats.org/officeDocument/2006/relationships/hyperlink" Target="http://providers.dhhs.vic.gov.au/child-safe-standards" TargetMode="External"/><Relationship Id="rId356" Type="http://schemas.openxmlformats.org/officeDocument/2006/relationships/hyperlink" Target="http://www.education.vic.gov.au/school/teachers/teachingresources/careers/work/pages/workexperience.aspx" TargetMode="External"/><Relationship Id="rId398" Type="http://schemas.openxmlformats.org/officeDocument/2006/relationships/hyperlink" Target="http://www.dpc.vic.gov.au/index.php/aboriginal-affairs/aboriginal-affairs-policy/aboriginal-inclusion" TargetMode="External"/><Relationship Id="rId95" Type="http://schemas.openxmlformats.org/officeDocument/2006/relationships/hyperlink" Target="http://www8.austlii.edu.au/cgi-bin/viewdb/au/legis/vic/consol_act/hra2001144/" TargetMode="External"/><Relationship Id="rId160" Type="http://schemas.openxmlformats.org/officeDocument/2006/relationships/hyperlink" Target="https://providers.dhhs.vic.gov.au/capital-development-guidelines-series-7" TargetMode="External"/><Relationship Id="rId216" Type="http://schemas.openxmlformats.org/officeDocument/2006/relationships/hyperlink" Target="https://providers.dhhs.vic.gov.au/disability-worker-exclusion-scheme" TargetMode="External"/><Relationship Id="rId423" Type="http://schemas.openxmlformats.org/officeDocument/2006/relationships/hyperlink" Target="http://www.education.vic.gov.au/childhood/providers/funding/Pages/devgroupprogguide.aspx" TargetMode="External"/><Relationship Id="rId258" Type="http://schemas.openxmlformats.org/officeDocument/2006/relationships/hyperlink" Target="http://www.justice.vic.gov.au/" TargetMode="External"/><Relationship Id="rId22" Type="http://schemas.openxmlformats.org/officeDocument/2006/relationships/hyperlink" Target="https://providers.dhhs.vic.gov.au/human-services-and-health-partnership-implementation-committee" TargetMode="External"/><Relationship Id="rId64" Type="http://schemas.openxmlformats.org/officeDocument/2006/relationships/hyperlink" Target="http://www.ato.gov.au/" TargetMode="External"/><Relationship Id="rId118" Type="http://schemas.openxmlformats.org/officeDocument/2006/relationships/hyperlink" Target="https://www.cpdp.vic.gov.au/index.php" TargetMode="External"/><Relationship Id="rId325" Type="http://schemas.openxmlformats.org/officeDocument/2006/relationships/hyperlink" Target="http://www.dhs.vic.gov.au/about-the-department/documents-and-resources/policies,-guidelines-and-legislation/new-criminal-offences-to-improve-responses-to-child-sexual-abuse" TargetMode="External"/><Relationship Id="rId367" Type="http://schemas.openxmlformats.org/officeDocument/2006/relationships/hyperlink" Target="http://www.education.vic.gov.au/Documents/childhood/providers/regulation/nqfcrimhistcentre02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g0106\AppData\Roaming\Microsoft\Templates\2017%20FAC%20Fact%20Sheet%20Template%20-%20Portrai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BD02A6-51B9-45C3-9EF9-06C7E2110ED5}"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F96CDAD5-FB11-45EF-A619-BDBFE6D946E4}">
      <dgm:prSet phldrT="[Text]"/>
      <dgm:spPr/>
      <dgm:t>
        <a:bodyPr/>
        <a:lstStyle/>
        <a:p>
          <a:r>
            <a:rPr lang="en-AU" b="1"/>
            <a:t>Funding Department</a:t>
          </a:r>
        </a:p>
      </dgm:t>
    </dgm:pt>
    <dgm:pt modelId="{23065A59-6B91-47F5-B3ED-F2E56B06A58A}" type="parTrans" cxnId="{13DBFC50-4315-4C16-9E0E-B06F365ACC18}">
      <dgm:prSet/>
      <dgm:spPr/>
      <dgm:t>
        <a:bodyPr/>
        <a:lstStyle/>
        <a:p>
          <a:endParaRPr lang="en-AU"/>
        </a:p>
      </dgm:t>
    </dgm:pt>
    <dgm:pt modelId="{A8221B21-7D9E-41F8-B266-C8C1426B9C13}" type="sibTrans" cxnId="{13DBFC50-4315-4C16-9E0E-B06F365ACC18}">
      <dgm:prSet/>
      <dgm:spPr>
        <a:ln w="28575">
          <a:solidFill>
            <a:schemeClr val="accent1"/>
          </a:solidFill>
        </a:ln>
      </dgm:spPr>
      <dgm:t>
        <a:bodyPr/>
        <a:lstStyle/>
        <a:p>
          <a:endParaRPr lang="en-AU"/>
        </a:p>
      </dgm:t>
    </dgm:pt>
    <dgm:pt modelId="{7E2B29F6-94CE-4586-A52E-015806AB9F3F}">
      <dgm:prSet phldrT="[Text]"/>
      <dgm:spPr/>
      <dgm:t>
        <a:bodyPr/>
        <a:lstStyle/>
        <a:p>
          <a:r>
            <a:rPr lang="en-AU" b="1"/>
            <a:t>Funded Organisation</a:t>
          </a:r>
        </a:p>
      </dgm:t>
    </dgm:pt>
    <dgm:pt modelId="{DA0556E9-A400-46F6-9629-DAD857678EA5}" type="parTrans" cxnId="{231C4C8C-05CC-46DB-8283-DB6D013552F6}">
      <dgm:prSet/>
      <dgm:spPr/>
      <dgm:t>
        <a:bodyPr/>
        <a:lstStyle/>
        <a:p>
          <a:endParaRPr lang="en-AU"/>
        </a:p>
      </dgm:t>
    </dgm:pt>
    <dgm:pt modelId="{7CFABDE3-0C46-4C6D-A5F4-B774DD6DA3A4}" type="sibTrans" cxnId="{231C4C8C-05CC-46DB-8283-DB6D013552F6}">
      <dgm:prSet/>
      <dgm:spPr>
        <a:ln w="28575">
          <a:solidFill>
            <a:schemeClr val="accent1"/>
          </a:solidFill>
        </a:ln>
      </dgm:spPr>
      <dgm:t>
        <a:bodyPr/>
        <a:lstStyle/>
        <a:p>
          <a:endParaRPr lang="en-AU"/>
        </a:p>
      </dgm:t>
    </dgm:pt>
    <dgm:pt modelId="{281A5C2E-4AB6-4DA2-8275-584F9EB5C3FD}">
      <dgm:prSet phldrT="[Text]"/>
      <dgm:spPr/>
      <dgm:t>
        <a:bodyPr/>
        <a:lstStyle/>
        <a:p>
          <a:r>
            <a:rPr lang="en-AU" b="1"/>
            <a:t>Australian Taxation Office</a:t>
          </a:r>
        </a:p>
      </dgm:t>
    </dgm:pt>
    <dgm:pt modelId="{F3820650-4804-4882-A46C-2530F39E8ACE}" type="parTrans" cxnId="{1CF6A53F-2E16-4D60-9375-058A4EF302FF}">
      <dgm:prSet/>
      <dgm:spPr/>
      <dgm:t>
        <a:bodyPr/>
        <a:lstStyle/>
        <a:p>
          <a:endParaRPr lang="en-AU"/>
        </a:p>
      </dgm:t>
    </dgm:pt>
    <dgm:pt modelId="{4234F7FD-0530-4092-912D-6F6B75A86341}" type="sibTrans" cxnId="{1CF6A53F-2E16-4D60-9375-058A4EF302FF}">
      <dgm:prSet/>
      <dgm:spPr>
        <a:ln w="28575">
          <a:solidFill>
            <a:schemeClr val="accent1"/>
          </a:solidFill>
        </a:ln>
      </dgm:spPr>
      <dgm:t>
        <a:bodyPr/>
        <a:lstStyle/>
        <a:p>
          <a:endParaRPr lang="en-AU"/>
        </a:p>
      </dgm:t>
    </dgm:pt>
    <dgm:pt modelId="{1DA8D2C5-85CE-4117-9978-D404252782A6}" type="pres">
      <dgm:prSet presAssocID="{E8BD02A6-51B9-45C3-9EF9-06C7E2110ED5}" presName="cycle" presStyleCnt="0">
        <dgm:presLayoutVars>
          <dgm:dir val="rev"/>
          <dgm:resizeHandles val="exact"/>
        </dgm:presLayoutVars>
      </dgm:prSet>
      <dgm:spPr/>
    </dgm:pt>
    <dgm:pt modelId="{993EEA43-0B18-4EAD-BDC6-3F2CFF7D58FB}" type="pres">
      <dgm:prSet presAssocID="{F96CDAD5-FB11-45EF-A619-BDBFE6D946E4}" presName="node" presStyleLbl="node1" presStyleIdx="0" presStyleCnt="3">
        <dgm:presLayoutVars>
          <dgm:bulletEnabled val="1"/>
        </dgm:presLayoutVars>
      </dgm:prSet>
      <dgm:spPr/>
    </dgm:pt>
    <dgm:pt modelId="{946D47E8-39C3-4811-8AC1-D1A284FD002E}" type="pres">
      <dgm:prSet presAssocID="{F96CDAD5-FB11-45EF-A619-BDBFE6D946E4}" presName="spNode" presStyleCnt="0"/>
      <dgm:spPr/>
    </dgm:pt>
    <dgm:pt modelId="{DF00A551-B9BD-487A-80C2-492F03F6E2BC}" type="pres">
      <dgm:prSet presAssocID="{A8221B21-7D9E-41F8-B266-C8C1426B9C13}" presName="sibTrans" presStyleLbl="sibTrans1D1" presStyleIdx="0" presStyleCnt="3"/>
      <dgm:spPr/>
    </dgm:pt>
    <dgm:pt modelId="{788A23BF-B000-455D-8722-9B7FDDFCF2CC}" type="pres">
      <dgm:prSet presAssocID="{7E2B29F6-94CE-4586-A52E-015806AB9F3F}" presName="node" presStyleLbl="node1" presStyleIdx="1" presStyleCnt="3">
        <dgm:presLayoutVars>
          <dgm:bulletEnabled val="1"/>
        </dgm:presLayoutVars>
      </dgm:prSet>
      <dgm:spPr/>
    </dgm:pt>
    <dgm:pt modelId="{7FF04B15-AC69-41C6-9CB7-F88D5F4D258B}" type="pres">
      <dgm:prSet presAssocID="{7E2B29F6-94CE-4586-A52E-015806AB9F3F}" presName="spNode" presStyleCnt="0"/>
      <dgm:spPr/>
    </dgm:pt>
    <dgm:pt modelId="{02D47AC8-9EA0-4656-B32F-050271BD7417}" type="pres">
      <dgm:prSet presAssocID="{7CFABDE3-0C46-4C6D-A5F4-B774DD6DA3A4}" presName="sibTrans" presStyleLbl="sibTrans1D1" presStyleIdx="1" presStyleCnt="3"/>
      <dgm:spPr/>
    </dgm:pt>
    <dgm:pt modelId="{DFC62499-CC12-4D21-8330-59CDDCB67D83}" type="pres">
      <dgm:prSet presAssocID="{281A5C2E-4AB6-4DA2-8275-584F9EB5C3FD}" presName="node" presStyleLbl="node1" presStyleIdx="2" presStyleCnt="3">
        <dgm:presLayoutVars>
          <dgm:bulletEnabled val="1"/>
        </dgm:presLayoutVars>
      </dgm:prSet>
      <dgm:spPr/>
    </dgm:pt>
    <dgm:pt modelId="{F10BC415-20D6-49C5-ADAD-C557192E44C0}" type="pres">
      <dgm:prSet presAssocID="{281A5C2E-4AB6-4DA2-8275-584F9EB5C3FD}" presName="spNode" presStyleCnt="0"/>
      <dgm:spPr/>
    </dgm:pt>
    <dgm:pt modelId="{7ED03FE6-9978-4E99-AAC1-D1BFB9F528CA}" type="pres">
      <dgm:prSet presAssocID="{4234F7FD-0530-4092-912D-6F6B75A86341}" presName="sibTrans" presStyleLbl="sibTrans1D1" presStyleIdx="2" presStyleCnt="3"/>
      <dgm:spPr/>
    </dgm:pt>
  </dgm:ptLst>
  <dgm:cxnLst>
    <dgm:cxn modelId="{22581121-A996-428C-9D34-79C688997C82}" type="presOf" srcId="{A8221B21-7D9E-41F8-B266-C8C1426B9C13}" destId="{DF00A551-B9BD-487A-80C2-492F03F6E2BC}" srcOrd="0" destOrd="0" presId="urn:microsoft.com/office/officeart/2005/8/layout/cycle5"/>
    <dgm:cxn modelId="{4B84C433-A238-4038-BBFB-908DB7470B39}" type="presOf" srcId="{F96CDAD5-FB11-45EF-A619-BDBFE6D946E4}" destId="{993EEA43-0B18-4EAD-BDC6-3F2CFF7D58FB}" srcOrd="0" destOrd="0" presId="urn:microsoft.com/office/officeart/2005/8/layout/cycle5"/>
    <dgm:cxn modelId="{1CF6A53F-2E16-4D60-9375-058A4EF302FF}" srcId="{E8BD02A6-51B9-45C3-9EF9-06C7E2110ED5}" destId="{281A5C2E-4AB6-4DA2-8275-584F9EB5C3FD}" srcOrd="2" destOrd="0" parTransId="{F3820650-4804-4882-A46C-2530F39E8ACE}" sibTransId="{4234F7FD-0530-4092-912D-6F6B75A86341}"/>
    <dgm:cxn modelId="{11D5715C-7A89-47B4-BBB2-6F126861C228}" type="presOf" srcId="{7E2B29F6-94CE-4586-A52E-015806AB9F3F}" destId="{788A23BF-B000-455D-8722-9B7FDDFCF2CC}" srcOrd="0" destOrd="0" presId="urn:microsoft.com/office/officeart/2005/8/layout/cycle5"/>
    <dgm:cxn modelId="{13DBFC50-4315-4C16-9E0E-B06F365ACC18}" srcId="{E8BD02A6-51B9-45C3-9EF9-06C7E2110ED5}" destId="{F96CDAD5-FB11-45EF-A619-BDBFE6D946E4}" srcOrd="0" destOrd="0" parTransId="{23065A59-6B91-47F5-B3ED-F2E56B06A58A}" sibTransId="{A8221B21-7D9E-41F8-B266-C8C1426B9C13}"/>
    <dgm:cxn modelId="{0E880D51-E6AD-46DB-B5D8-4F82E11338F6}" type="presOf" srcId="{281A5C2E-4AB6-4DA2-8275-584F9EB5C3FD}" destId="{DFC62499-CC12-4D21-8330-59CDDCB67D83}" srcOrd="0" destOrd="0" presId="urn:microsoft.com/office/officeart/2005/8/layout/cycle5"/>
    <dgm:cxn modelId="{B4F5BB7C-1471-4A1B-B0E2-F8054EC31134}" type="presOf" srcId="{7CFABDE3-0C46-4C6D-A5F4-B774DD6DA3A4}" destId="{02D47AC8-9EA0-4656-B32F-050271BD7417}" srcOrd="0" destOrd="0" presId="urn:microsoft.com/office/officeart/2005/8/layout/cycle5"/>
    <dgm:cxn modelId="{231C4C8C-05CC-46DB-8283-DB6D013552F6}" srcId="{E8BD02A6-51B9-45C3-9EF9-06C7E2110ED5}" destId="{7E2B29F6-94CE-4586-A52E-015806AB9F3F}" srcOrd="1" destOrd="0" parTransId="{DA0556E9-A400-46F6-9629-DAD857678EA5}" sibTransId="{7CFABDE3-0C46-4C6D-A5F4-B774DD6DA3A4}"/>
    <dgm:cxn modelId="{984140C9-490D-46ED-AD2F-C873E6472594}" type="presOf" srcId="{E8BD02A6-51B9-45C3-9EF9-06C7E2110ED5}" destId="{1DA8D2C5-85CE-4117-9978-D404252782A6}" srcOrd="0" destOrd="0" presId="urn:microsoft.com/office/officeart/2005/8/layout/cycle5"/>
    <dgm:cxn modelId="{3269C0DA-73C5-44F0-9AB2-21E9680471A1}" type="presOf" srcId="{4234F7FD-0530-4092-912D-6F6B75A86341}" destId="{7ED03FE6-9978-4E99-AAC1-D1BFB9F528CA}" srcOrd="0" destOrd="0" presId="urn:microsoft.com/office/officeart/2005/8/layout/cycle5"/>
    <dgm:cxn modelId="{AD3CC616-4A4A-4FEA-A8AC-AA19F4E35E64}" type="presParOf" srcId="{1DA8D2C5-85CE-4117-9978-D404252782A6}" destId="{993EEA43-0B18-4EAD-BDC6-3F2CFF7D58FB}" srcOrd="0" destOrd="0" presId="urn:microsoft.com/office/officeart/2005/8/layout/cycle5"/>
    <dgm:cxn modelId="{6CD874A6-602A-499F-A0C9-E79D71309B16}" type="presParOf" srcId="{1DA8D2C5-85CE-4117-9978-D404252782A6}" destId="{946D47E8-39C3-4811-8AC1-D1A284FD002E}" srcOrd="1" destOrd="0" presId="urn:microsoft.com/office/officeart/2005/8/layout/cycle5"/>
    <dgm:cxn modelId="{66CD0971-9C70-4E38-AA22-43B992BC6E5C}" type="presParOf" srcId="{1DA8D2C5-85CE-4117-9978-D404252782A6}" destId="{DF00A551-B9BD-487A-80C2-492F03F6E2BC}" srcOrd="2" destOrd="0" presId="urn:microsoft.com/office/officeart/2005/8/layout/cycle5"/>
    <dgm:cxn modelId="{BF35F3AB-3927-46B1-B4DC-29626C0C46FA}" type="presParOf" srcId="{1DA8D2C5-85CE-4117-9978-D404252782A6}" destId="{788A23BF-B000-455D-8722-9B7FDDFCF2CC}" srcOrd="3" destOrd="0" presId="urn:microsoft.com/office/officeart/2005/8/layout/cycle5"/>
    <dgm:cxn modelId="{44A79AD3-9FBE-4590-AC2E-B81BE533A41F}" type="presParOf" srcId="{1DA8D2C5-85CE-4117-9978-D404252782A6}" destId="{7FF04B15-AC69-41C6-9CB7-F88D5F4D258B}" srcOrd="4" destOrd="0" presId="urn:microsoft.com/office/officeart/2005/8/layout/cycle5"/>
    <dgm:cxn modelId="{EEF4FCA3-FC0C-46BB-9007-D8EC8E15D0B6}" type="presParOf" srcId="{1DA8D2C5-85CE-4117-9978-D404252782A6}" destId="{02D47AC8-9EA0-4656-B32F-050271BD7417}" srcOrd="5" destOrd="0" presId="urn:microsoft.com/office/officeart/2005/8/layout/cycle5"/>
    <dgm:cxn modelId="{66E2B67E-C470-429D-8F5B-38396A4C9A7D}" type="presParOf" srcId="{1DA8D2C5-85CE-4117-9978-D404252782A6}" destId="{DFC62499-CC12-4D21-8330-59CDDCB67D83}" srcOrd="6" destOrd="0" presId="urn:microsoft.com/office/officeart/2005/8/layout/cycle5"/>
    <dgm:cxn modelId="{DBCA5FAC-B2D9-4ACA-82C8-3CE09069B89E}" type="presParOf" srcId="{1DA8D2C5-85CE-4117-9978-D404252782A6}" destId="{F10BC415-20D6-49C5-ADAD-C557192E44C0}" srcOrd="7" destOrd="0" presId="urn:microsoft.com/office/officeart/2005/8/layout/cycle5"/>
    <dgm:cxn modelId="{3FCBD394-0664-4AA8-A4AA-0CE73725272B}" type="presParOf" srcId="{1DA8D2C5-85CE-4117-9978-D404252782A6}" destId="{7ED03FE6-9978-4E99-AAC1-D1BFB9F528CA}" srcOrd="8" destOrd="0" presId="urn:microsoft.com/office/officeart/2005/8/layout/cycle5"/>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3EEA43-0B18-4EAD-BDC6-3F2CFF7D58FB}">
      <dsp:nvSpPr>
        <dsp:cNvPr id="0" name=""/>
        <dsp:cNvSpPr/>
      </dsp:nvSpPr>
      <dsp:spPr>
        <a:xfrm>
          <a:off x="2009179" y="1093"/>
          <a:ext cx="1468040" cy="9542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b="1" kern="1200"/>
            <a:t>Funding Department</a:t>
          </a:r>
        </a:p>
      </dsp:txBody>
      <dsp:txXfrm>
        <a:off x="2055760" y="47674"/>
        <a:ext cx="1374878" cy="861064"/>
      </dsp:txXfrm>
    </dsp:sp>
    <dsp:sp modelId="{DF00A551-B9BD-487A-80C2-492F03F6E2BC}">
      <dsp:nvSpPr>
        <dsp:cNvPr id="0" name=""/>
        <dsp:cNvSpPr/>
      </dsp:nvSpPr>
      <dsp:spPr>
        <a:xfrm>
          <a:off x="1470732" y="478206"/>
          <a:ext cx="2544935" cy="2544935"/>
        </a:xfrm>
        <a:custGeom>
          <a:avLst/>
          <a:gdLst/>
          <a:ahLst/>
          <a:cxnLst/>
          <a:rect l="0" t="0" r="0" b="0"/>
          <a:pathLst>
            <a:path>
              <a:moveTo>
                <a:pt x="341463" y="405055"/>
              </a:moveTo>
              <a:arcTo wR="1272467" hR="1272467" stAng="13378492" swAng="-2301747"/>
            </a:path>
          </a:pathLst>
        </a:custGeom>
        <a:noFill/>
        <a:ln w="28575" cap="flat" cmpd="sng" algn="ctr">
          <a:solidFill>
            <a:schemeClr val="accent1"/>
          </a:solidFill>
          <a:prstDash val="solid"/>
          <a:tailEnd type="arrow"/>
        </a:ln>
        <a:effectLst/>
      </dsp:spPr>
      <dsp:style>
        <a:lnRef idx="1">
          <a:scrgbClr r="0" g="0" b="0"/>
        </a:lnRef>
        <a:fillRef idx="0">
          <a:scrgbClr r="0" g="0" b="0"/>
        </a:fillRef>
        <a:effectRef idx="0">
          <a:scrgbClr r="0" g="0" b="0"/>
        </a:effectRef>
        <a:fontRef idx="minor"/>
      </dsp:style>
    </dsp:sp>
    <dsp:sp modelId="{788A23BF-B000-455D-8722-9B7FDDFCF2CC}">
      <dsp:nvSpPr>
        <dsp:cNvPr id="0" name=""/>
        <dsp:cNvSpPr/>
      </dsp:nvSpPr>
      <dsp:spPr>
        <a:xfrm>
          <a:off x="907190" y="1909794"/>
          <a:ext cx="1468040" cy="9542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b="1" kern="1200"/>
            <a:t>Funded Organisation</a:t>
          </a:r>
        </a:p>
      </dsp:txBody>
      <dsp:txXfrm>
        <a:off x="953771" y="1956375"/>
        <a:ext cx="1374878" cy="861064"/>
      </dsp:txXfrm>
    </dsp:sp>
    <dsp:sp modelId="{02D47AC8-9EA0-4656-B32F-050271BD7417}">
      <dsp:nvSpPr>
        <dsp:cNvPr id="0" name=""/>
        <dsp:cNvSpPr/>
      </dsp:nvSpPr>
      <dsp:spPr>
        <a:xfrm>
          <a:off x="1470732" y="478206"/>
          <a:ext cx="2544935" cy="2544935"/>
        </a:xfrm>
        <a:custGeom>
          <a:avLst/>
          <a:gdLst/>
          <a:ahLst/>
          <a:cxnLst/>
          <a:rect l="0" t="0" r="0" b="0"/>
          <a:pathLst>
            <a:path>
              <a:moveTo>
                <a:pt x="882137" y="2483589"/>
              </a:moveTo>
              <a:arcTo wR="1272467" hR="1272467" stAng="6471810" swAng="-2143621"/>
            </a:path>
          </a:pathLst>
        </a:custGeom>
        <a:noFill/>
        <a:ln w="28575" cap="flat" cmpd="sng" algn="ctr">
          <a:solidFill>
            <a:schemeClr val="accent1"/>
          </a:solidFill>
          <a:prstDash val="solid"/>
          <a:tailEnd type="arrow"/>
        </a:ln>
        <a:effectLst/>
      </dsp:spPr>
      <dsp:style>
        <a:lnRef idx="1">
          <a:scrgbClr r="0" g="0" b="0"/>
        </a:lnRef>
        <a:fillRef idx="0">
          <a:scrgbClr r="0" g="0" b="0"/>
        </a:fillRef>
        <a:effectRef idx="0">
          <a:scrgbClr r="0" g="0" b="0"/>
        </a:effectRef>
        <a:fontRef idx="minor"/>
      </dsp:style>
    </dsp:sp>
    <dsp:sp modelId="{DFC62499-CC12-4D21-8330-59CDDCB67D83}">
      <dsp:nvSpPr>
        <dsp:cNvPr id="0" name=""/>
        <dsp:cNvSpPr/>
      </dsp:nvSpPr>
      <dsp:spPr>
        <a:xfrm>
          <a:off x="3111169" y="1909794"/>
          <a:ext cx="1468040" cy="9542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b="1" kern="1200"/>
            <a:t>Australian Taxation Office</a:t>
          </a:r>
        </a:p>
      </dsp:txBody>
      <dsp:txXfrm>
        <a:off x="3157750" y="1956375"/>
        <a:ext cx="1374878" cy="861064"/>
      </dsp:txXfrm>
    </dsp:sp>
    <dsp:sp modelId="{7ED03FE6-9978-4E99-AAC1-D1BFB9F528CA}">
      <dsp:nvSpPr>
        <dsp:cNvPr id="0" name=""/>
        <dsp:cNvSpPr/>
      </dsp:nvSpPr>
      <dsp:spPr>
        <a:xfrm>
          <a:off x="1470732" y="478206"/>
          <a:ext cx="2544935" cy="2544935"/>
        </a:xfrm>
        <a:custGeom>
          <a:avLst/>
          <a:gdLst/>
          <a:ahLst/>
          <a:cxnLst/>
          <a:rect l="0" t="0" r="0" b="0"/>
          <a:pathLst>
            <a:path>
              <a:moveTo>
                <a:pt x="2540814" y="1170142"/>
              </a:moveTo>
              <a:arcTo wR="1272467" hR="1272467" stAng="-276745" swAng="-2301747"/>
            </a:path>
          </a:pathLst>
        </a:custGeom>
        <a:noFill/>
        <a:ln w="28575" cap="flat" cmpd="sng" algn="ctr">
          <a:solidFill>
            <a:schemeClr val="accent1"/>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AE2C-2D49-4929-BE18-BC318F61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 FAC Fact Sheet Template - Portrait.dotx</Template>
  <TotalTime>11</TotalTime>
  <Pages>168</Pages>
  <Words>67352</Words>
  <Characters>461235</Characters>
  <Application>Microsoft Office Word</Application>
  <DocSecurity>0</DocSecurity>
  <Lines>3843</Lines>
  <Paragraphs>1055</Paragraphs>
  <ScaleCrop>false</ScaleCrop>
  <HeadingPairs>
    <vt:vector size="2" baseType="variant">
      <vt:variant>
        <vt:lpstr>Title</vt:lpstr>
      </vt:variant>
      <vt:variant>
        <vt:i4>1</vt:i4>
      </vt:variant>
    </vt:vector>
  </HeadingPairs>
  <TitlesOfParts>
    <vt:vector size="1" baseType="lpstr">
      <vt:lpstr>Service Agreement Information Kit for funded organisations</vt:lpstr>
    </vt:vector>
  </TitlesOfParts>
  <Company>Department of Health and Human Services</Company>
  <LinksUpToDate>false</LinksUpToDate>
  <CharactersWithSpaces>527532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Information Kit for funded organisations</dc:title>
  <dc:subject>Service Agreement Information Kit for funded organisations</dc:subject>
  <dc:creator>Service Agreement Communications</dc:creator>
  <cp:keywords>SAIK, kit, funded,</cp:keywords>
  <cp:lastModifiedBy>Maria Tsekouras (DHHS)</cp:lastModifiedBy>
  <cp:revision>4</cp:revision>
  <cp:lastPrinted>2018-02-26T23:32:00Z</cp:lastPrinted>
  <dcterms:created xsi:type="dcterms:W3CDTF">2019-08-28T01:11:00Z</dcterms:created>
  <dcterms:modified xsi:type="dcterms:W3CDTF">2019-08-28T01:22:00Z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