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3D0A0B" w:rsidP="00003703">
      <w:pPr>
        <w:pStyle w:val="Spacerparatopoffirstpage"/>
        <w:sectPr w:rsidR="00A62D44" w:rsidRPr="004C6EEE" w:rsidSect="00BE5224">
          <w:footerReference w:type="default" r:id="rId8"/>
          <w:pgSz w:w="11906" w:h="16838" w:code="9"/>
          <w:pgMar w:top="-397" w:right="851" w:bottom="1134" w:left="851" w:header="510" w:footer="510" w:gutter="0"/>
          <w:cols w:space="708"/>
          <w:docGrid w:linePitch="360"/>
        </w:sectPr>
      </w:pPr>
      <w:bookmarkStart w:id="0" w:name="_GoBack"/>
      <w:bookmarkEnd w:id="0"/>
      <w:r>
        <w:rPr>
          <w:lang w:eastAsia="en-AU"/>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2297430"/>
            <wp:effectExtent l="0" t="0" r="1270" b="7620"/>
            <wp:wrapNone/>
            <wp:docPr id="2" name="Picture 31" descr="Description: Victorian Housing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Victorian Housing Regi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1580" cy="2297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9790"/>
      </w:tblGrid>
      <w:tr w:rsidR="00AD784C" w:rsidTr="0020580A">
        <w:trPr>
          <w:trHeight w:val="1476"/>
        </w:trPr>
        <w:tc>
          <w:tcPr>
            <w:tcW w:w="9790" w:type="dxa"/>
            <w:shd w:val="clear" w:color="auto" w:fill="auto"/>
            <w:vAlign w:val="bottom"/>
          </w:tcPr>
          <w:p w:rsidR="00AD784C" w:rsidRPr="00161AA0" w:rsidRDefault="00DE0F6F" w:rsidP="00F30FA5">
            <w:pPr>
              <w:pStyle w:val="DHHSmainheading"/>
            </w:pPr>
            <w:r>
              <w:lastRenderedPageBreak/>
              <w:t>14. Special Housing Needs aged 55 years and over</w:t>
            </w:r>
          </w:p>
        </w:tc>
      </w:tr>
      <w:tr w:rsidR="00AD784C" w:rsidTr="0020580A">
        <w:trPr>
          <w:trHeight w:hRule="exact" w:val="1375"/>
        </w:trPr>
        <w:tc>
          <w:tcPr>
            <w:tcW w:w="9790" w:type="dxa"/>
            <w:shd w:val="clear" w:color="auto" w:fill="auto"/>
            <w:tcMar>
              <w:top w:w="170" w:type="dxa"/>
              <w:bottom w:w="510" w:type="dxa"/>
            </w:tcMar>
          </w:tcPr>
          <w:p w:rsidR="00357B4E" w:rsidRPr="00AD784C" w:rsidRDefault="00F30FA5" w:rsidP="00357B4E">
            <w:pPr>
              <w:pStyle w:val="DHHSmainsubheading"/>
              <w:rPr>
                <w:szCs w:val="28"/>
              </w:rPr>
            </w:pPr>
            <w:r>
              <w:rPr>
                <w:szCs w:val="28"/>
                <w:lang w:bidi="x-none"/>
              </w:rPr>
              <w:t>Operational Guidelines</w:t>
            </w:r>
          </w:p>
        </w:tc>
      </w:tr>
    </w:tbl>
    <w:p w:rsidR="00AD784C" w:rsidRPr="008D2846" w:rsidRDefault="00AD784C" w:rsidP="008D2846">
      <w:pPr>
        <w:pStyle w:val="DHHSTOCheadingfactsheet"/>
      </w:pPr>
      <w:r w:rsidRPr="008D2846">
        <w:t>Contents</w:t>
      </w:r>
    </w:p>
    <w:p w:rsidR="00617A1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8185133" w:history="1">
        <w:r w:rsidR="00617A1A" w:rsidRPr="00231677">
          <w:rPr>
            <w:rStyle w:val="Hyperlink"/>
          </w:rPr>
          <w:t>When do these operational guidelines apply?</w:t>
        </w:r>
        <w:r w:rsidR="00617A1A">
          <w:rPr>
            <w:webHidden/>
          </w:rPr>
          <w:tab/>
        </w:r>
        <w:r w:rsidR="00617A1A">
          <w:rPr>
            <w:webHidden/>
          </w:rPr>
          <w:fldChar w:fldCharType="begin"/>
        </w:r>
        <w:r w:rsidR="00617A1A">
          <w:rPr>
            <w:webHidden/>
          </w:rPr>
          <w:instrText xml:space="preserve"> PAGEREF _Toc508185133 \h </w:instrText>
        </w:r>
        <w:r w:rsidR="00617A1A">
          <w:rPr>
            <w:webHidden/>
          </w:rPr>
        </w:r>
        <w:r w:rsidR="00617A1A">
          <w:rPr>
            <w:webHidden/>
          </w:rPr>
          <w:fldChar w:fldCharType="separate"/>
        </w:r>
        <w:r w:rsidR="00617A1A">
          <w:rPr>
            <w:webHidden/>
          </w:rPr>
          <w:t>1</w:t>
        </w:r>
        <w:r w:rsidR="00617A1A">
          <w:rPr>
            <w:webHidden/>
          </w:rPr>
          <w:fldChar w:fldCharType="end"/>
        </w:r>
      </w:hyperlink>
    </w:p>
    <w:p w:rsidR="00617A1A" w:rsidRDefault="0028442A">
      <w:pPr>
        <w:pStyle w:val="TOC1"/>
        <w:rPr>
          <w:rFonts w:asciiTheme="minorHAnsi" w:eastAsiaTheme="minorEastAsia" w:hAnsiTheme="minorHAnsi" w:cstheme="minorBidi"/>
          <w:b w:val="0"/>
          <w:sz w:val="22"/>
          <w:szCs w:val="22"/>
          <w:lang w:eastAsia="en-AU"/>
        </w:rPr>
      </w:pPr>
      <w:hyperlink w:anchor="_Toc508185134" w:history="1">
        <w:r w:rsidR="00617A1A" w:rsidRPr="00231677">
          <w:rPr>
            <w:rStyle w:val="Hyperlink"/>
          </w:rPr>
          <w:t>Purpose statement</w:t>
        </w:r>
        <w:r w:rsidR="00617A1A">
          <w:rPr>
            <w:webHidden/>
          </w:rPr>
          <w:tab/>
        </w:r>
        <w:r w:rsidR="00617A1A">
          <w:rPr>
            <w:webHidden/>
          </w:rPr>
          <w:fldChar w:fldCharType="begin"/>
        </w:r>
        <w:r w:rsidR="00617A1A">
          <w:rPr>
            <w:webHidden/>
          </w:rPr>
          <w:instrText xml:space="preserve"> PAGEREF _Toc508185134 \h </w:instrText>
        </w:r>
        <w:r w:rsidR="00617A1A">
          <w:rPr>
            <w:webHidden/>
          </w:rPr>
        </w:r>
        <w:r w:rsidR="00617A1A">
          <w:rPr>
            <w:webHidden/>
          </w:rPr>
          <w:fldChar w:fldCharType="separate"/>
        </w:r>
        <w:r w:rsidR="00617A1A">
          <w:rPr>
            <w:webHidden/>
          </w:rPr>
          <w:t>1</w:t>
        </w:r>
        <w:r w:rsidR="00617A1A">
          <w:rPr>
            <w:webHidden/>
          </w:rPr>
          <w:fldChar w:fldCharType="end"/>
        </w:r>
      </w:hyperlink>
    </w:p>
    <w:p w:rsidR="00617A1A" w:rsidRDefault="0028442A">
      <w:pPr>
        <w:pStyle w:val="TOC1"/>
        <w:rPr>
          <w:rFonts w:asciiTheme="minorHAnsi" w:eastAsiaTheme="minorEastAsia" w:hAnsiTheme="minorHAnsi" w:cstheme="minorBidi"/>
          <w:b w:val="0"/>
          <w:sz w:val="22"/>
          <w:szCs w:val="22"/>
          <w:lang w:eastAsia="en-AU"/>
        </w:rPr>
      </w:pPr>
      <w:hyperlink w:anchor="_Toc508185135" w:history="1">
        <w:r w:rsidR="00617A1A" w:rsidRPr="00231677">
          <w:rPr>
            <w:rStyle w:val="Hyperlink"/>
          </w:rPr>
          <w:t>Human rights considerations</w:t>
        </w:r>
        <w:r w:rsidR="00617A1A">
          <w:rPr>
            <w:webHidden/>
          </w:rPr>
          <w:tab/>
        </w:r>
        <w:r w:rsidR="00617A1A">
          <w:rPr>
            <w:webHidden/>
          </w:rPr>
          <w:fldChar w:fldCharType="begin"/>
        </w:r>
        <w:r w:rsidR="00617A1A">
          <w:rPr>
            <w:webHidden/>
          </w:rPr>
          <w:instrText xml:space="preserve"> PAGEREF _Toc508185135 \h </w:instrText>
        </w:r>
        <w:r w:rsidR="00617A1A">
          <w:rPr>
            <w:webHidden/>
          </w:rPr>
        </w:r>
        <w:r w:rsidR="00617A1A">
          <w:rPr>
            <w:webHidden/>
          </w:rPr>
          <w:fldChar w:fldCharType="separate"/>
        </w:r>
        <w:r w:rsidR="00617A1A">
          <w:rPr>
            <w:webHidden/>
          </w:rPr>
          <w:t>1</w:t>
        </w:r>
        <w:r w:rsidR="00617A1A">
          <w:rPr>
            <w:webHidden/>
          </w:rPr>
          <w:fldChar w:fldCharType="end"/>
        </w:r>
      </w:hyperlink>
    </w:p>
    <w:p w:rsidR="00617A1A" w:rsidRDefault="0028442A">
      <w:pPr>
        <w:pStyle w:val="TOC1"/>
        <w:rPr>
          <w:rFonts w:asciiTheme="minorHAnsi" w:eastAsiaTheme="minorEastAsia" w:hAnsiTheme="minorHAnsi" w:cstheme="minorBidi"/>
          <w:b w:val="0"/>
          <w:sz w:val="22"/>
          <w:szCs w:val="22"/>
          <w:lang w:eastAsia="en-AU"/>
        </w:rPr>
      </w:pPr>
      <w:hyperlink w:anchor="_Toc508185136" w:history="1">
        <w:r w:rsidR="00617A1A" w:rsidRPr="00231677">
          <w:rPr>
            <w:rStyle w:val="Hyperlink"/>
          </w:rPr>
          <w:t>Eligibility for Special Housing Needs aged 55 years and over</w:t>
        </w:r>
        <w:r w:rsidR="00617A1A">
          <w:rPr>
            <w:webHidden/>
          </w:rPr>
          <w:tab/>
        </w:r>
        <w:r w:rsidR="00617A1A">
          <w:rPr>
            <w:webHidden/>
          </w:rPr>
          <w:fldChar w:fldCharType="begin"/>
        </w:r>
        <w:r w:rsidR="00617A1A">
          <w:rPr>
            <w:webHidden/>
          </w:rPr>
          <w:instrText xml:space="preserve"> PAGEREF _Toc508185136 \h </w:instrText>
        </w:r>
        <w:r w:rsidR="00617A1A">
          <w:rPr>
            <w:webHidden/>
          </w:rPr>
        </w:r>
        <w:r w:rsidR="00617A1A">
          <w:rPr>
            <w:webHidden/>
          </w:rPr>
          <w:fldChar w:fldCharType="separate"/>
        </w:r>
        <w:r w:rsidR="00617A1A">
          <w:rPr>
            <w:webHidden/>
          </w:rPr>
          <w:t>2</w:t>
        </w:r>
        <w:r w:rsidR="00617A1A">
          <w:rPr>
            <w:webHidden/>
          </w:rPr>
          <w:fldChar w:fldCharType="end"/>
        </w:r>
      </w:hyperlink>
    </w:p>
    <w:p w:rsidR="00617A1A" w:rsidRDefault="0028442A">
      <w:pPr>
        <w:pStyle w:val="TOC2"/>
        <w:rPr>
          <w:rFonts w:asciiTheme="minorHAnsi" w:eastAsiaTheme="minorEastAsia" w:hAnsiTheme="minorHAnsi" w:cstheme="minorBidi"/>
          <w:sz w:val="22"/>
          <w:szCs w:val="22"/>
          <w:lang w:eastAsia="en-AU"/>
        </w:rPr>
      </w:pPr>
      <w:hyperlink w:anchor="_Toc508185137" w:history="1">
        <w:r w:rsidR="00617A1A" w:rsidRPr="00231677">
          <w:rPr>
            <w:rStyle w:val="Hyperlink"/>
          </w:rPr>
          <w:t>Eligibility criteria</w:t>
        </w:r>
        <w:r w:rsidR="00617A1A">
          <w:rPr>
            <w:webHidden/>
          </w:rPr>
          <w:tab/>
        </w:r>
        <w:r w:rsidR="00617A1A">
          <w:rPr>
            <w:webHidden/>
          </w:rPr>
          <w:fldChar w:fldCharType="begin"/>
        </w:r>
        <w:r w:rsidR="00617A1A">
          <w:rPr>
            <w:webHidden/>
          </w:rPr>
          <w:instrText xml:space="preserve"> PAGEREF _Toc508185137 \h </w:instrText>
        </w:r>
        <w:r w:rsidR="00617A1A">
          <w:rPr>
            <w:webHidden/>
          </w:rPr>
        </w:r>
        <w:r w:rsidR="00617A1A">
          <w:rPr>
            <w:webHidden/>
          </w:rPr>
          <w:fldChar w:fldCharType="separate"/>
        </w:r>
        <w:r w:rsidR="00617A1A">
          <w:rPr>
            <w:webHidden/>
          </w:rPr>
          <w:t>2</w:t>
        </w:r>
        <w:r w:rsidR="00617A1A">
          <w:rPr>
            <w:webHidden/>
          </w:rPr>
          <w:fldChar w:fldCharType="end"/>
        </w:r>
      </w:hyperlink>
    </w:p>
    <w:p w:rsidR="00617A1A" w:rsidRDefault="0028442A">
      <w:pPr>
        <w:pStyle w:val="TOC1"/>
        <w:rPr>
          <w:rFonts w:asciiTheme="minorHAnsi" w:eastAsiaTheme="minorEastAsia" w:hAnsiTheme="minorHAnsi" w:cstheme="minorBidi"/>
          <w:b w:val="0"/>
          <w:sz w:val="22"/>
          <w:szCs w:val="22"/>
          <w:lang w:eastAsia="en-AU"/>
        </w:rPr>
      </w:pPr>
      <w:hyperlink w:anchor="_Toc508185138" w:history="1">
        <w:r w:rsidR="00617A1A" w:rsidRPr="00231677">
          <w:rPr>
            <w:rStyle w:val="Hyperlink"/>
          </w:rPr>
          <w:t>Applying for Special Housing Needs aged 55 years and over</w:t>
        </w:r>
        <w:r w:rsidR="00617A1A">
          <w:rPr>
            <w:webHidden/>
          </w:rPr>
          <w:tab/>
        </w:r>
        <w:r w:rsidR="00617A1A">
          <w:rPr>
            <w:webHidden/>
          </w:rPr>
          <w:fldChar w:fldCharType="begin"/>
        </w:r>
        <w:r w:rsidR="00617A1A">
          <w:rPr>
            <w:webHidden/>
          </w:rPr>
          <w:instrText xml:space="preserve"> PAGEREF _Toc508185138 \h </w:instrText>
        </w:r>
        <w:r w:rsidR="00617A1A">
          <w:rPr>
            <w:webHidden/>
          </w:rPr>
        </w:r>
        <w:r w:rsidR="00617A1A">
          <w:rPr>
            <w:webHidden/>
          </w:rPr>
          <w:fldChar w:fldCharType="separate"/>
        </w:r>
        <w:r w:rsidR="00617A1A">
          <w:rPr>
            <w:webHidden/>
          </w:rPr>
          <w:t>2</w:t>
        </w:r>
        <w:r w:rsidR="00617A1A">
          <w:rPr>
            <w:webHidden/>
          </w:rPr>
          <w:fldChar w:fldCharType="end"/>
        </w:r>
      </w:hyperlink>
    </w:p>
    <w:p w:rsidR="00617A1A" w:rsidRDefault="0028442A">
      <w:pPr>
        <w:pStyle w:val="TOC2"/>
        <w:rPr>
          <w:rFonts w:asciiTheme="minorHAnsi" w:eastAsiaTheme="minorEastAsia" w:hAnsiTheme="minorHAnsi" w:cstheme="minorBidi"/>
          <w:sz w:val="22"/>
          <w:szCs w:val="22"/>
          <w:lang w:eastAsia="en-AU"/>
        </w:rPr>
      </w:pPr>
      <w:hyperlink w:anchor="_Toc508185139" w:history="1">
        <w:r w:rsidR="00617A1A" w:rsidRPr="00231677">
          <w:rPr>
            <w:rStyle w:val="Hyperlink"/>
          </w:rPr>
          <w:t>Application effective date</w:t>
        </w:r>
        <w:r w:rsidR="00617A1A">
          <w:rPr>
            <w:webHidden/>
          </w:rPr>
          <w:tab/>
        </w:r>
        <w:r w:rsidR="00617A1A">
          <w:rPr>
            <w:webHidden/>
          </w:rPr>
          <w:fldChar w:fldCharType="begin"/>
        </w:r>
        <w:r w:rsidR="00617A1A">
          <w:rPr>
            <w:webHidden/>
          </w:rPr>
          <w:instrText xml:space="preserve"> PAGEREF _Toc508185139 \h </w:instrText>
        </w:r>
        <w:r w:rsidR="00617A1A">
          <w:rPr>
            <w:webHidden/>
          </w:rPr>
        </w:r>
        <w:r w:rsidR="00617A1A">
          <w:rPr>
            <w:webHidden/>
          </w:rPr>
          <w:fldChar w:fldCharType="separate"/>
        </w:r>
        <w:r w:rsidR="00617A1A">
          <w:rPr>
            <w:webHidden/>
          </w:rPr>
          <w:t>3</w:t>
        </w:r>
        <w:r w:rsidR="00617A1A">
          <w:rPr>
            <w:webHidden/>
          </w:rPr>
          <w:fldChar w:fldCharType="end"/>
        </w:r>
      </w:hyperlink>
    </w:p>
    <w:p w:rsidR="00617A1A" w:rsidRDefault="0028442A">
      <w:pPr>
        <w:pStyle w:val="TOC2"/>
        <w:rPr>
          <w:rFonts w:asciiTheme="minorHAnsi" w:eastAsiaTheme="minorEastAsia" w:hAnsiTheme="minorHAnsi" w:cstheme="minorBidi"/>
          <w:sz w:val="22"/>
          <w:szCs w:val="22"/>
          <w:lang w:eastAsia="en-AU"/>
        </w:rPr>
      </w:pPr>
      <w:hyperlink w:anchor="_Toc508185140" w:history="1">
        <w:r w:rsidR="00617A1A" w:rsidRPr="00231677">
          <w:rPr>
            <w:rStyle w:val="Hyperlink"/>
          </w:rPr>
          <w:t>Application Approval</w:t>
        </w:r>
        <w:r w:rsidR="00617A1A">
          <w:rPr>
            <w:webHidden/>
          </w:rPr>
          <w:tab/>
        </w:r>
        <w:r w:rsidR="00617A1A">
          <w:rPr>
            <w:webHidden/>
          </w:rPr>
          <w:fldChar w:fldCharType="begin"/>
        </w:r>
        <w:r w:rsidR="00617A1A">
          <w:rPr>
            <w:webHidden/>
          </w:rPr>
          <w:instrText xml:space="preserve"> PAGEREF _Toc508185140 \h </w:instrText>
        </w:r>
        <w:r w:rsidR="00617A1A">
          <w:rPr>
            <w:webHidden/>
          </w:rPr>
        </w:r>
        <w:r w:rsidR="00617A1A">
          <w:rPr>
            <w:webHidden/>
          </w:rPr>
          <w:fldChar w:fldCharType="separate"/>
        </w:r>
        <w:r w:rsidR="00617A1A">
          <w:rPr>
            <w:webHidden/>
          </w:rPr>
          <w:t>3</w:t>
        </w:r>
        <w:r w:rsidR="00617A1A">
          <w:rPr>
            <w:webHidden/>
          </w:rPr>
          <w:fldChar w:fldCharType="end"/>
        </w:r>
      </w:hyperlink>
    </w:p>
    <w:p w:rsidR="00617A1A" w:rsidRDefault="0028442A">
      <w:pPr>
        <w:pStyle w:val="TOC1"/>
        <w:rPr>
          <w:rFonts w:asciiTheme="minorHAnsi" w:eastAsiaTheme="minorEastAsia" w:hAnsiTheme="minorHAnsi" w:cstheme="minorBidi"/>
          <w:b w:val="0"/>
          <w:sz w:val="22"/>
          <w:szCs w:val="22"/>
          <w:lang w:eastAsia="en-AU"/>
        </w:rPr>
      </w:pPr>
      <w:hyperlink w:anchor="_Toc508185141" w:history="1">
        <w:r w:rsidR="00617A1A" w:rsidRPr="00231677">
          <w:rPr>
            <w:rStyle w:val="Hyperlink"/>
          </w:rPr>
          <w:t>Decision Review</w:t>
        </w:r>
        <w:r w:rsidR="00617A1A">
          <w:rPr>
            <w:webHidden/>
          </w:rPr>
          <w:tab/>
        </w:r>
        <w:r w:rsidR="00617A1A">
          <w:rPr>
            <w:webHidden/>
          </w:rPr>
          <w:fldChar w:fldCharType="begin"/>
        </w:r>
        <w:r w:rsidR="00617A1A">
          <w:rPr>
            <w:webHidden/>
          </w:rPr>
          <w:instrText xml:space="preserve"> PAGEREF _Toc508185141 \h </w:instrText>
        </w:r>
        <w:r w:rsidR="00617A1A">
          <w:rPr>
            <w:webHidden/>
          </w:rPr>
        </w:r>
        <w:r w:rsidR="00617A1A">
          <w:rPr>
            <w:webHidden/>
          </w:rPr>
          <w:fldChar w:fldCharType="separate"/>
        </w:r>
        <w:r w:rsidR="00617A1A">
          <w:rPr>
            <w:webHidden/>
          </w:rPr>
          <w:t>3</w:t>
        </w:r>
        <w:r w:rsidR="00617A1A">
          <w:rPr>
            <w:webHidden/>
          </w:rPr>
          <w:fldChar w:fldCharType="end"/>
        </w:r>
      </w:hyperlink>
    </w:p>
    <w:p w:rsidR="007173CA" w:rsidRDefault="00AD784C" w:rsidP="00DA2945">
      <w:pPr>
        <w:pStyle w:val="DHHSbody"/>
        <w:spacing w:before="240"/>
      </w:pPr>
      <w:r>
        <w:fldChar w:fldCharType="end"/>
      </w:r>
    </w:p>
    <w:p w:rsidR="007173CA" w:rsidRDefault="007173CA" w:rsidP="007173CA">
      <w:pPr>
        <w:pStyle w:val="DHHSbody"/>
        <w:sectPr w:rsidR="007173CA" w:rsidSect="00003703">
          <w:headerReference w:type="default" r:id="rId10"/>
          <w:footerReference w:type="default" r:id="rId11"/>
          <w:type w:val="continuous"/>
          <w:pgSz w:w="11906" w:h="16838" w:code="9"/>
          <w:pgMar w:top="624" w:right="851" w:bottom="1134" w:left="851" w:header="567" w:footer="510" w:gutter="0"/>
          <w:cols w:space="340"/>
          <w:titlePg/>
          <w:docGrid w:linePitch="360"/>
        </w:sectPr>
      </w:pPr>
    </w:p>
    <w:p w:rsidR="00F30FA5" w:rsidRPr="0020580A" w:rsidRDefault="00F30FA5" w:rsidP="0020580A">
      <w:pPr>
        <w:pStyle w:val="Heading1"/>
      </w:pPr>
      <w:bookmarkStart w:id="1" w:name="_Toc448485110"/>
      <w:bookmarkStart w:id="2" w:name="_Toc452713320"/>
      <w:bookmarkStart w:id="3" w:name="_Toc453080481"/>
      <w:bookmarkStart w:id="4" w:name="_Toc456263616"/>
      <w:bookmarkStart w:id="5" w:name="_Toc508185133"/>
      <w:r w:rsidRPr="0020580A">
        <w:lastRenderedPageBreak/>
        <w:t>When do these operational guidelines apply?</w:t>
      </w:r>
      <w:bookmarkEnd w:id="1"/>
      <w:bookmarkEnd w:id="2"/>
      <w:bookmarkEnd w:id="3"/>
      <w:bookmarkEnd w:id="4"/>
      <w:bookmarkEnd w:id="5"/>
    </w:p>
    <w:p w:rsidR="001F7ABD" w:rsidRPr="00617A1A" w:rsidRDefault="001F7ABD" w:rsidP="00617A1A">
      <w:pPr>
        <w:pStyle w:val="DHHSbody"/>
      </w:pPr>
      <w:bookmarkStart w:id="6" w:name="_Toc448485111"/>
      <w:r w:rsidRPr="0020580A">
        <w:t>These operational guidelines should be followed by designated service providers and social housing organisations when making decisions related to the Victorian Housing Register (the register).</w:t>
      </w:r>
    </w:p>
    <w:p w:rsidR="00F30FA5" w:rsidRPr="0020580A" w:rsidRDefault="001F7ABD" w:rsidP="0020580A">
      <w:pPr>
        <w:pStyle w:val="DHHSbody"/>
      </w:pPr>
      <w:r w:rsidRPr="0020580A">
        <w:t xml:space="preserve">These operational guidelines form part of a set of guidelines that together sit under the </w:t>
      </w:r>
      <w:hyperlink r:id="rId12" w:history="1">
        <w:r w:rsidRPr="003E4533">
          <w:rPr>
            <w:rStyle w:val="Hyperlink"/>
          </w:rPr>
          <w:t>Eligibility Policy Framework</w:t>
        </w:r>
      </w:hyperlink>
      <w:r w:rsidR="003E4533">
        <w:t xml:space="preserve"> &lt;</w:t>
      </w:r>
      <w:r w:rsidR="003E4533" w:rsidRPr="003E4533">
        <w:t>https://fac.dhhs.vic.gov.au/eligibility-policy-framework</w:t>
      </w:r>
      <w:r w:rsidR="003E4533">
        <w:t>&gt;</w:t>
      </w:r>
      <w:r w:rsidRPr="0020580A">
        <w:t>.</w:t>
      </w:r>
    </w:p>
    <w:p w:rsidR="00F30FA5" w:rsidRPr="0020580A" w:rsidRDefault="00F30FA5" w:rsidP="0020580A">
      <w:pPr>
        <w:pStyle w:val="Heading1"/>
      </w:pPr>
      <w:bookmarkStart w:id="7" w:name="_Toc448485112"/>
      <w:bookmarkStart w:id="8" w:name="_Toc452713322"/>
      <w:bookmarkStart w:id="9" w:name="_Toc453080482"/>
      <w:bookmarkStart w:id="10" w:name="_Toc456263617"/>
      <w:bookmarkStart w:id="11" w:name="_Toc508185134"/>
      <w:bookmarkEnd w:id="6"/>
      <w:r w:rsidRPr="0020580A">
        <w:t>Purpose statement</w:t>
      </w:r>
      <w:bookmarkEnd w:id="7"/>
      <w:bookmarkEnd w:id="8"/>
      <w:bookmarkEnd w:id="9"/>
      <w:bookmarkEnd w:id="10"/>
      <w:bookmarkEnd w:id="11"/>
    </w:p>
    <w:p w:rsidR="00444A00" w:rsidRDefault="00444A00" w:rsidP="0020580A">
      <w:pPr>
        <w:pStyle w:val="DHHSbody"/>
      </w:pPr>
      <w:r w:rsidRPr="00444A00">
        <w:t xml:space="preserve">The </w:t>
      </w:r>
      <w:r w:rsidR="00DB35FD">
        <w:t>operational guidelines</w:t>
      </w:r>
      <w:r w:rsidRPr="00444A00">
        <w:t xml:space="preserve"> outline the criteria an applicant must meet to be eligible for the Special Housing Needs </w:t>
      </w:r>
      <w:r>
        <w:t xml:space="preserve">aged 55 years and over </w:t>
      </w:r>
      <w:r w:rsidRPr="00444A00">
        <w:t>category, and the pathways through which they can apply.</w:t>
      </w:r>
    </w:p>
    <w:p w:rsidR="00444A00" w:rsidRPr="00BE2550" w:rsidRDefault="00444A00" w:rsidP="0020580A">
      <w:pPr>
        <w:pStyle w:val="DHHSbody"/>
      </w:pPr>
      <w:r w:rsidRPr="00444A00">
        <w:t>The intent</w:t>
      </w:r>
      <w:r w:rsidR="00BE2550">
        <w:t xml:space="preserve"> of these operational guidelines is to support </w:t>
      </w:r>
      <w:r w:rsidR="00645435">
        <w:t xml:space="preserve">eligible </w:t>
      </w:r>
      <w:r w:rsidR="00BE2550">
        <w:t xml:space="preserve">older </w:t>
      </w:r>
      <w:r w:rsidR="00EB0554">
        <w:t>persons</w:t>
      </w:r>
      <w:r w:rsidR="00763543">
        <w:t xml:space="preserve"> who are </w:t>
      </w:r>
      <w:r w:rsidR="00D71F29">
        <w:t xml:space="preserve">unable to sustain other housing options on the basis of affordability, </w:t>
      </w:r>
      <w:r w:rsidRPr="00444A00">
        <w:t>through the</w:t>
      </w:r>
      <w:r w:rsidR="009D4597">
        <w:t xml:space="preserve"> allocation of a</w:t>
      </w:r>
      <w:r w:rsidR="00763C9D">
        <w:t xml:space="preserve"> suitable</w:t>
      </w:r>
      <w:r w:rsidR="009D4597">
        <w:t xml:space="preserve"> property </w:t>
      </w:r>
      <w:r w:rsidR="00BE2550">
        <w:t xml:space="preserve">to </w:t>
      </w:r>
      <w:r w:rsidRPr="00444A00">
        <w:t>impr</w:t>
      </w:r>
      <w:r w:rsidR="00BE2550">
        <w:t>ove their wellbeing.</w:t>
      </w:r>
    </w:p>
    <w:p w:rsidR="00F30FA5" w:rsidRPr="0020580A" w:rsidRDefault="00F30FA5" w:rsidP="0020580A">
      <w:pPr>
        <w:pStyle w:val="Heading1"/>
      </w:pPr>
      <w:bookmarkStart w:id="12" w:name="_Toc456094537"/>
      <w:bookmarkStart w:id="13" w:name="_Toc456263618"/>
      <w:bookmarkStart w:id="14" w:name="_Toc508185135"/>
      <w:r w:rsidRPr="0020580A">
        <w:t>Human rights considerations</w:t>
      </w:r>
      <w:bookmarkEnd w:id="12"/>
      <w:bookmarkEnd w:id="13"/>
      <w:bookmarkEnd w:id="14"/>
    </w:p>
    <w:p w:rsidR="00AD6F50" w:rsidRPr="0030609A" w:rsidRDefault="00AD6F50" w:rsidP="0020580A">
      <w:pPr>
        <w:pStyle w:val="DHHSbody"/>
      </w:pPr>
      <w:bookmarkStart w:id="15" w:name="_Assessing_Housing_Opportunity"/>
      <w:bookmarkStart w:id="16" w:name="_Toc456106786"/>
      <w:bookmarkStart w:id="17" w:name="_Toc456263626"/>
      <w:bookmarkStart w:id="18" w:name="_Toc451181596"/>
      <w:bookmarkStart w:id="19" w:name="_Toc454808577"/>
      <w:bookmarkEnd w:id="15"/>
      <w:r w:rsidRPr="0030609A">
        <w:t xml:space="preserve">In deciding what action to take, staff must give proper consideration to the relevant human rights in accordance with the </w:t>
      </w:r>
      <w:r w:rsidRPr="0030609A">
        <w:rPr>
          <w:i/>
        </w:rPr>
        <w:t>Charter of Human Rights and Responsibilities Act 2006</w:t>
      </w:r>
      <w:r w:rsidRPr="0030609A">
        <w:t xml:space="preserve"> s38(1) (the Charter). This</w:t>
      </w:r>
      <w:r>
        <w:t xml:space="preserve"> consideration</w:t>
      </w:r>
      <w:r w:rsidRPr="0030609A">
        <w:t xml:space="preserve"> should include the potential impact the proposed action they are undertaking through these operational guidelines may have on </w:t>
      </w:r>
      <w:r>
        <w:t>the person’s</w:t>
      </w:r>
      <w:r w:rsidRPr="0030609A">
        <w:t xml:space="preserve"> (and </w:t>
      </w:r>
      <w:r>
        <w:t>their</w:t>
      </w:r>
      <w:r w:rsidRPr="0030609A">
        <w:t xml:space="preserve"> household’s) rights under the Charter</w:t>
      </w:r>
      <w:r w:rsidRPr="0030609A">
        <w:rPr>
          <w:i/>
        </w:rPr>
        <w:t>.</w:t>
      </w:r>
    </w:p>
    <w:p w:rsidR="00AD6F50" w:rsidRPr="0030609A" w:rsidRDefault="00AD6F50" w:rsidP="0020580A">
      <w:pPr>
        <w:pStyle w:val="DHHSbody"/>
      </w:pPr>
      <w:r w:rsidRPr="0030609A">
        <w:t xml:space="preserve">For more information see </w:t>
      </w:r>
      <w:hyperlink r:id="rId13" w:history="1">
        <w:r w:rsidRPr="003E4533">
          <w:rPr>
            <w:rStyle w:val="Hyperlink"/>
            <w:i/>
          </w:rPr>
          <w:t xml:space="preserve">Making Client Focused Decisions </w:t>
        </w:r>
        <w:r w:rsidR="00BE03A7">
          <w:rPr>
            <w:rStyle w:val="Hyperlink"/>
            <w:i/>
          </w:rPr>
          <w:t>o</w:t>
        </w:r>
        <w:r w:rsidRPr="003E4533">
          <w:rPr>
            <w:rStyle w:val="Hyperlink"/>
          </w:rPr>
          <w:t xml:space="preserve">perational </w:t>
        </w:r>
        <w:r w:rsidR="00BE03A7">
          <w:rPr>
            <w:rStyle w:val="Hyperlink"/>
          </w:rPr>
          <w:t>g</w:t>
        </w:r>
        <w:r w:rsidRPr="003E4533">
          <w:rPr>
            <w:rStyle w:val="Hyperlink"/>
          </w:rPr>
          <w:t>uidelines</w:t>
        </w:r>
      </w:hyperlink>
      <w:r w:rsidR="003E4533">
        <w:t xml:space="preserve"> &lt;</w:t>
      </w:r>
      <w:r w:rsidR="003E4533" w:rsidRPr="003E4533">
        <w:t>https://fac.dhhs.vic.gov.au/making-client-focused-decisions</w:t>
      </w:r>
      <w:r w:rsidR="003E4533">
        <w:t>&gt;</w:t>
      </w:r>
      <w:r w:rsidRPr="0030609A">
        <w:t>.</w:t>
      </w:r>
    </w:p>
    <w:p w:rsidR="00F30FA5" w:rsidRPr="003E4533" w:rsidRDefault="006C00B4" w:rsidP="003E4533">
      <w:pPr>
        <w:pStyle w:val="Heading1"/>
      </w:pPr>
      <w:bookmarkStart w:id="20" w:name="_Toc508185136"/>
      <w:bookmarkEnd w:id="16"/>
      <w:bookmarkEnd w:id="17"/>
      <w:r w:rsidRPr="003E4533">
        <w:lastRenderedPageBreak/>
        <w:t>Eligibility for Special Housing Needs aged 55 years and over</w:t>
      </w:r>
      <w:bookmarkEnd w:id="20"/>
    </w:p>
    <w:bookmarkEnd w:id="18"/>
    <w:bookmarkEnd w:id="19"/>
    <w:p w:rsidR="002E21BE" w:rsidRPr="003E4533" w:rsidRDefault="002E21BE" w:rsidP="003E4533">
      <w:pPr>
        <w:pStyle w:val="DHHSbody"/>
      </w:pPr>
      <w:r w:rsidRPr="003E4533">
        <w:t>The Special Housing Needs aged 55 years and over category is</w:t>
      </w:r>
      <w:r w:rsidR="001D07DE" w:rsidRPr="003E4533">
        <w:t xml:space="preserve"> only</w:t>
      </w:r>
      <w:r w:rsidRPr="003E4533">
        <w:t xml:space="preserve"> </w:t>
      </w:r>
      <w:r w:rsidR="008A3BEA" w:rsidRPr="003E4533">
        <w:t>available for</w:t>
      </w:r>
      <w:r w:rsidRPr="003E4533">
        <w:t xml:space="preserve"> new applicants.</w:t>
      </w:r>
    </w:p>
    <w:p w:rsidR="00983847" w:rsidRPr="003E4533" w:rsidRDefault="00983847" w:rsidP="003E4533">
      <w:pPr>
        <w:pStyle w:val="DHHSbody"/>
      </w:pPr>
      <w:r w:rsidRPr="003E4533">
        <w:t xml:space="preserve">Individuals and </w:t>
      </w:r>
      <w:r w:rsidR="000B3791" w:rsidRPr="003E4533">
        <w:t>households</w:t>
      </w:r>
      <w:r w:rsidRPr="003E4533">
        <w:t xml:space="preserve"> eligible for th</w:t>
      </w:r>
      <w:r w:rsidR="005723A2" w:rsidRPr="003E4533">
        <w:t>is category a</w:t>
      </w:r>
      <w:r w:rsidRPr="003E4533">
        <w:t>re people who:</w:t>
      </w:r>
    </w:p>
    <w:p w:rsidR="009A11B2" w:rsidRPr="009A11B2" w:rsidRDefault="00983847" w:rsidP="003E4533">
      <w:pPr>
        <w:pStyle w:val="DHHSbullet1"/>
      </w:pPr>
      <w:r w:rsidRPr="00983847">
        <w:t>meet the eligibility criteria including the Priority Access income and asset eligibility criteria</w:t>
      </w:r>
    </w:p>
    <w:p w:rsidR="00983847" w:rsidRDefault="00983847" w:rsidP="003E4533">
      <w:pPr>
        <w:pStyle w:val="DHHSbullet1"/>
      </w:pPr>
      <w:r>
        <w:t>are</w:t>
      </w:r>
      <w:r w:rsidR="00783DEC">
        <w:t xml:space="preserve"> </w:t>
      </w:r>
      <w:r>
        <w:t>single</w:t>
      </w:r>
      <w:r w:rsidR="00783DEC">
        <w:t xml:space="preserve"> </w:t>
      </w:r>
      <w:r w:rsidR="00BC76D6">
        <w:t xml:space="preserve">and </w:t>
      </w:r>
      <w:r w:rsidR="009A11B2">
        <w:t>aged 55 years and over,</w:t>
      </w:r>
      <w:r>
        <w:t xml:space="preserve"> or </w:t>
      </w:r>
      <w:r w:rsidR="00E756D8">
        <w:t xml:space="preserve">are </w:t>
      </w:r>
      <w:r w:rsidR="00783DEC">
        <w:t>a couple</w:t>
      </w:r>
      <w:r>
        <w:t xml:space="preserve"> where b</w:t>
      </w:r>
      <w:r w:rsidR="005723A2">
        <w:t>oth members are aged 55 years and</w:t>
      </w:r>
      <w:r>
        <w:t xml:space="preserve"> over</w:t>
      </w:r>
    </w:p>
    <w:p w:rsidR="0018082B" w:rsidRDefault="00AF171B" w:rsidP="003E4533">
      <w:pPr>
        <w:pStyle w:val="DHHSbullet1lastline"/>
      </w:pPr>
      <w:r>
        <w:t xml:space="preserve">are </w:t>
      </w:r>
      <w:r w:rsidR="00983847">
        <w:t>not eligible for another priority access category.</w:t>
      </w:r>
    </w:p>
    <w:p w:rsidR="0018082B" w:rsidRPr="003E4533" w:rsidRDefault="0018082B" w:rsidP="003E4533">
      <w:pPr>
        <w:pStyle w:val="Heading2"/>
      </w:pPr>
      <w:bookmarkStart w:id="21" w:name="_Toc450289993"/>
      <w:bookmarkStart w:id="22" w:name="_Toc451181547"/>
      <w:bookmarkStart w:id="23" w:name="_Toc493253575"/>
      <w:bookmarkStart w:id="24" w:name="_Toc508185137"/>
      <w:r w:rsidRPr="003E4533">
        <w:t>Eligibility criteria</w:t>
      </w:r>
      <w:bookmarkEnd w:id="21"/>
      <w:bookmarkEnd w:id="22"/>
      <w:bookmarkEnd w:id="23"/>
      <w:bookmarkEnd w:id="24"/>
    </w:p>
    <w:p w:rsidR="0018082B" w:rsidRPr="00983847" w:rsidRDefault="0018082B" w:rsidP="003E4533">
      <w:pPr>
        <w:pStyle w:val="DHHSbody"/>
      </w:pPr>
      <w:bookmarkStart w:id="25" w:name="_Toc450647859"/>
      <w:r w:rsidRPr="00983847">
        <w:t xml:space="preserve">To be eligible for social housing, in general </w:t>
      </w:r>
      <w:r w:rsidR="00D60980">
        <w:t xml:space="preserve">primary </w:t>
      </w:r>
      <w:r w:rsidRPr="00983847">
        <w:t>applicants should live in Victoria and:</w:t>
      </w:r>
    </w:p>
    <w:p w:rsidR="0018082B" w:rsidRPr="00983847" w:rsidRDefault="0018082B" w:rsidP="003E4533">
      <w:pPr>
        <w:pStyle w:val="DHHSbullet1"/>
      </w:pPr>
      <w:r w:rsidRPr="00983847">
        <w:t>be an Australian citizen or permanent resident of Australia</w:t>
      </w:r>
    </w:p>
    <w:p w:rsidR="0018082B" w:rsidRPr="00983847" w:rsidRDefault="0018082B" w:rsidP="003E4533">
      <w:pPr>
        <w:pStyle w:val="DHHSbullet1"/>
      </w:pPr>
      <w:r w:rsidRPr="00983847">
        <w:t>meet the income and asset eligibility limits for their household</w:t>
      </w:r>
    </w:p>
    <w:p w:rsidR="0018082B" w:rsidRPr="00983847" w:rsidRDefault="0018082B" w:rsidP="003E4533">
      <w:pPr>
        <w:pStyle w:val="DHHSbullet1"/>
      </w:pPr>
      <w:r w:rsidRPr="00983847">
        <w:t>have an independent income</w:t>
      </w:r>
    </w:p>
    <w:p w:rsidR="0018082B" w:rsidRPr="003E4533" w:rsidRDefault="0018082B" w:rsidP="003E4533">
      <w:pPr>
        <w:pStyle w:val="DHHSbullet1lastline"/>
      </w:pPr>
      <w:r w:rsidRPr="003E4533">
        <w:t>not own a property in which they could live.</w:t>
      </w:r>
    </w:p>
    <w:p w:rsidR="0018082B" w:rsidRPr="00983847" w:rsidRDefault="0018082B" w:rsidP="003E4533">
      <w:pPr>
        <w:pStyle w:val="DHHSbody"/>
      </w:pPr>
      <w:r w:rsidRPr="00E9729C">
        <w:t>Up-to-date documentation to confirm the above criteria must be provided. Income and asset documentation should be less than 28 days old.</w:t>
      </w:r>
    </w:p>
    <w:p w:rsidR="0018082B" w:rsidRPr="003E4533" w:rsidRDefault="0018082B" w:rsidP="003E4533">
      <w:pPr>
        <w:pStyle w:val="DHHSbody"/>
      </w:pPr>
      <w:r w:rsidRPr="00983847">
        <w:t xml:space="preserve">For further information see the </w:t>
      </w:r>
      <w:hyperlink r:id="rId14" w:history="1">
        <w:r w:rsidR="00CC56AC" w:rsidRPr="007A68B5">
          <w:rPr>
            <w:rStyle w:val="Hyperlink"/>
            <w:i/>
          </w:rPr>
          <w:t xml:space="preserve">Eligibility Criteria </w:t>
        </w:r>
        <w:r w:rsidR="00CC56AC" w:rsidRPr="007A68B5">
          <w:rPr>
            <w:rStyle w:val="Hyperlink"/>
          </w:rPr>
          <w:t>operational guidelines</w:t>
        </w:r>
      </w:hyperlink>
      <w:r w:rsidR="003E4533">
        <w:rPr>
          <w:i/>
        </w:rPr>
        <w:t xml:space="preserve"> </w:t>
      </w:r>
      <w:r w:rsidR="003E4533" w:rsidRPr="003E4533">
        <w:t>&lt;https://fac.dhhs.vic.gov.au/eligibility-criteria&gt;</w:t>
      </w:r>
      <w:r w:rsidRPr="003E4533">
        <w:t>.</w:t>
      </w:r>
    </w:p>
    <w:p w:rsidR="0018082B" w:rsidRPr="00E45E15" w:rsidRDefault="0018082B" w:rsidP="0018082B">
      <w:pPr>
        <w:pStyle w:val="Heading3"/>
        <w:rPr>
          <w:color w:val="0F243E"/>
        </w:rPr>
      </w:pPr>
      <w:r w:rsidRPr="00E45E15">
        <w:rPr>
          <w:color w:val="0F243E"/>
        </w:rPr>
        <w:t>Income eligibility</w:t>
      </w:r>
      <w:bookmarkEnd w:id="25"/>
    </w:p>
    <w:p w:rsidR="002E356D" w:rsidRDefault="0018082B" w:rsidP="002E356D">
      <w:pPr>
        <w:pStyle w:val="DHHSbody"/>
      </w:pPr>
      <w:r w:rsidRPr="00983847">
        <w:t xml:space="preserve">The income </w:t>
      </w:r>
      <w:r w:rsidR="00E73DDE">
        <w:t xml:space="preserve">eligibility </w:t>
      </w:r>
      <w:r w:rsidRPr="00983847">
        <w:t>limit for the Special Housing Needs</w:t>
      </w:r>
      <w:r>
        <w:t xml:space="preserve"> aged 55 years and over</w:t>
      </w:r>
      <w:r w:rsidRPr="00983847">
        <w:t xml:space="preserve"> category is the Priority Access income limit</w:t>
      </w:r>
      <w:r w:rsidR="00997D01">
        <w:t>, which is</w:t>
      </w:r>
      <w:r w:rsidR="00133596">
        <w:t xml:space="preserve"> set out in the </w:t>
      </w:r>
      <w:hyperlink r:id="rId15" w:history="1">
        <w:r w:rsidR="00F47430">
          <w:rPr>
            <w:rStyle w:val="Hyperlink"/>
          </w:rPr>
          <w:t>social housing eligibility</w:t>
        </w:r>
      </w:hyperlink>
      <w:r w:rsidR="003E4533">
        <w:t xml:space="preserve"> &lt;</w:t>
      </w:r>
      <w:r w:rsidR="00F47430" w:rsidRPr="00F47430">
        <w:t>http://www.housing.vic.gov.au/social-housing-eligibility</w:t>
      </w:r>
      <w:r w:rsidR="003E4533">
        <w:t>&gt;.</w:t>
      </w:r>
    </w:p>
    <w:p w:rsidR="00133596" w:rsidRDefault="00133596" w:rsidP="00133596">
      <w:pPr>
        <w:pStyle w:val="DHHSbody"/>
      </w:pPr>
      <w:r w:rsidRPr="00FD0746">
        <w:t xml:space="preserve">The </w:t>
      </w:r>
      <w:r>
        <w:t xml:space="preserve">Priority Access </w:t>
      </w:r>
      <w:r w:rsidRPr="00FD0746">
        <w:t>income eligibility limit</w:t>
      </w:r>
      <w:r>
        <w:t>s</w:t>
      </w:r>
      <w:r w:rsidRPr="00FD0746">
        <w:t xml:space="preserve"> </w:t>
      </w:r>
      <w:r>
        <w:t>are</w:t>
      </w:r>
      <w:r w:rsidRPr="00FD0746">
        <w:t xml:space="preserve"> </w:t>
      </w:r>
      <w:r>
        <w:t xml:space="preserve">the </w:t>
      </w:r>
      <w:r w:rsidRPr="00FD0746">
        <w:t xml:space="preserve">income </w:t>
      </w:r>
      <w:r>
        <w:t>limits gazetted by the Director of Housing and published on th</w:t>
      </w:r>
      <w:r w:rsidR="00D330F6">
        <w:t xml:space="preserve">e department’s housing </w:t>
      </w:r>
      <w:hyperlink r:id="rId16" w:history="1">
        <w:r w:rsidR="00D330F6" w:rsidRPr="00D330F6">
          <w:rPr>
            <w:rStyle w:val="Hyperlink"/>
          </w:rPr>
          <w:t>website</w:t>
        </w:r>
      </w:hyperlink>
      <w:r w:rsidR="00D330F6">
        <w:t xml:space="preserve"> &lt;</w:t>
      </w:r>
      <w:r w:rsidR="00D330F6" w:rsidRPr="00D330F6">
        <w:t>http://www.housing.vic.gov.au/</w:t>
      </w:r>
      <w:r w:rsidR="00D330F6">
        <w:t>&gt;.</w:t>
      </w:r>
    </w:p>
    <w:p w:rsidR="00E73DDE" w:rsidRPr="00D330F6" w:rsidRDefault="00E73DDE" w:rsidP="00D330F6">
      <w:pPr>
        <w:pStyle w:val="DHHSbody"/>
      </w:pPr>
      <w:r w:rsidRPr="00D330F6">
        <w:t>To determine total household income, the assessable incomes of the household are added together to determine whether the household meets the Priority Access income limit. If the total household income is less than or equal to the maximum income limit, the household is considered eligible.</w:t>
      </w:r>
    </w:p>
    <w:p w:rsidR="0018082B" w:rsidRPr="00E45E15" w:rsidRDefault="0018082B" w:rsidP="00D330F6">
      <w:pPr>
        <w:pStyle w:val="Heading3"/>
      </w:pPr>
      <w:bookmarkStart w:id="26" w:name="_Toc450647860"/>
      <w:r w:rsidRPr="00E45E15">
        <w:t>Asset eligibility</w:t>
      </w:r>
      <w:bookmarkEnd w:id="26"/>
    </w:p>
    <w:p w:rsidR="00D330F6" w:rsidRDefault="00F50EDF" w:rsidP="00D330F6">
      <w:pPr>
        <w:pStyle w:val="DHHSbody"/>
      </w:pPr>
      <w:r w:rsidRPr="00F50EDF">
        <w:t xml:space="preserve">The </w:t>
      </w:r>
      <w:r w:rsidRPr="00996E6E">
        <w:t>asset</w:t>
      </w:r>
      <w:r w:rsidR="00996E6E" w:rsidRPr="00996E6E">
        <w:t xml:space="preserve"> eligibility</w:t>
      </w:r>
      <w:r w:rsidRPr="00996E6E">
        <w:t xml:space="preserve"> limit for the Special Housing Needs aged 55 years and over category is the Priority Acces</w:t>
      </w:r>
      <w:r w:rsidR="00996E6E">
        <w:t>s asset limit</w:t>
      </w:r>
      <w:r w:rsidR="00996E6E">
        <w:softHyphen/>
      </w:r>
      <w:r w:rsidR="00996E6E" w:rsidRPr="00996E6E">
        <w:t xml:space="preserve">, which is set out in the </w:t>
      </w:r>
      <w:hyperlink r:id="rId17" w:history="1">
        <w:r w:rsidR="00F47430">
          <w:rPr>
            <w:rStyle w:val="Hyperlink"/>
          </w:rPr>
          <w:t>social housing eligibility</w:t>
        </w:r>
      </w:hyperlink>
      <w:r w:rsidR="00F47430">
        <w:t xml:space="preserve"> &lt;</w:t>
      </w:r>
      <w:r w:rsidR="00F47430" w:rsidRPr="00F47430">
        <w:t>http://www.housing.vic.gov.au/social-housing-eligibility</w:t>
      </w:r>
      <w:r w:rsidR="00F47430">
        <w:t>&gt;.</w:t>
      </w:r>
    </w:p>
    <w:p w:rsidR="00D330F6" w:rsidRDefault="00996E6E" w:rsidP="00D330F6">
      <w:pPr>
        <w:pStyle w:val="DHHSbody"/>
      </w:pPr>
      <w:r w:rsidRPr="00FD0746">
        <w:t xml:space="preserve">The </w:t>
      </w:r>
      <w:r>
        <w:t>Priority Access asset</w:t>
      </w:r>
      <w:r w:rsidRPr="00FD0746">
        <w:t xml:space="preserve"> eligibility limit</w:t>
      </w:r>
      <w:r>
        <w:t>s</w:t>
      </w:r>
      <w:r w:rsidRPr="00FD0746">
        <w:t xml:space="preserve"> </w:t>
      </w:r>
      <w:r>
        <w:t>are</w:t>
      </w:r>
      <w:r w:rsidRPr="00FD0746">
        <w:t xml:space="preserve"> </w:t>
      </w:r>
      <w:r>
        <w:t>the asset</w:t>
      </w:r>
      <w:r w:rsidRPr="00FD0746">
        <w:t xml:space="preserve"> </w:t>
      </w:r>
      <w:r>
        <w:t xml:space="preserve">limits gazetted by the Director of Housing and published on the department’s housing </w:t>
      </w:r>
      <w:hyperlink r:id="rId18" w:history="1">
        <w:r w:rsidR="00D330F6" w:rsidRPr="00D330F6">
          <w:rPr>
            <w:rStyle w:val="Hyperlink"/>
          </w:rPr>
          <w:t>website</w:t>
        </w:r>
      </w:hyperlink>
      <w:r w:rsidR="00D330F6">
        <w:t xml:space="preserve"> &lt;</w:t>
      </w:r>
      <w:r w:rsidR="00D330F6" w:rsidRPr="00D330F6">
        <w:t>http://www.housing.vic.gov.au/</w:t>
      </w:r>
      <w:r w:rsidR="00D330F6">
        <w:t>&gt;.</w:t>
      </w:r>
    </w:p>
    <w:p w:rsidR="00F50EDF" w:rsidRPr="00D330F6" w:rsidRDefault="00F50EDF" w:rsidP="00D330F6">
      <w:pPr>
        <w:pStyle w:val="DHHSbody"/>
      </w:pPr>
      <w:r w:rsidRPr="00D330F6">
        <w:t xml:space="preserve">To </w:t>
      </w:r>
      <w:r w:rsidR="00996E6E" w:rsidRPr="00D330F6">
        <w:t>determine</w:t>
      </w:r>
      <w:r w:rsidRPr="00D330F6">
        <w:t xml:space="preserve"> total household assets, the assessable assets of </w:t>
      </w:r>
      <w:r w:rsidR="00996E6E" w:rsidRPr="00D330F6">
        <w:t>the</w:t>
      </w:r>
      <w:r w:rsidRPr="00D330F6">
        <w:t xml:space="preserve"> household are added together to determine whether the household meets the Priority Access asset limit. If the dollar value of the total household assets is less than or equal to the maximum asset limit, the household is considered eligible.</w:t>
      </w:r>
    </w:p>
    <w:p w:rsidR="0009516E" w:rsidRPr="00D330F6" w:rsidRDefault="00E36E33" w:rsidP="00D330F6">
      <w:pPr>
        <w:pStyle w:val="DHHSbody"/>
      </w:pPr>
      <w:r w:rsidRPr="00D330F6">
        <w:t>Where a household member requires fu</w:t>
      </w:r>
      <w:r w:rsidR="00D330F6" w:rsidRPr="00D330F6">
        <w:t xml:space="preserve">ll or major modifications, the </w:t>
      </w:r>
      <w:r w:rsidRPr="00D330F6">
        <w:t>disability modification asset limit is applied.</w:t>
      </w:r>
    </w:p>
    <w:p w:rsidR="00F26C95" w:rsidRPr="00D330F6" w:rsidRDefault="00D9110A" w:rsidP="00D330F6">
      <w:pPr>
        <w:pStyle w:val="Heading1"/>
      </w:pPr>
      <w:bookmarkStart w:id="27" w:name="_Toc508185138"/>
      <w:r w:rsidRPr="00D330F6">
        <w:t>Applying for Special Housing Needs aged 55 years and over</w:t>
      </w:r>
      <w:bookmarkEnd w:id="27"/>
    </w:p>
    <w:p w:rsidR="000F1457" w:rsidRPr="000F1457" w:rsidRDefault="00F26C95" w:rsidP="00D330F6">
      <w:pPr>
        <w:pStyle w:val="DHHSbody"/>
      </w:pPr>
      <w:r w:rsidRPr="00F26C95">
        <w:t xml:space="preserve">Applications for </w:t>
      </w:r>
      <w:r>
        <w:t xml:space="preserve">Special Housing Needs aged 55 years </w:t>
      </w:r>
      <w:r w:rsidR="002552CC">
        <w:t xml:space="preserve">and over </w:t>
      </w:r>
      <w:r w:rsidR="004C6449">
        <w:t>is typically</w:t>
      </w:r>
      <w:r w:rsidRPr="00F26C95">
        <w:t xml:space="preserve"> submitted by </w:t>
      </w:r>
      <w:r w:rsidR="00B02FF0">
        <w:t>the applicant</w:t>
      </w:r>
      <w:r w:rsidR="004C6449">
        <w:t>. Applicants in receipt of support through a designated service provider may be eligible for a higher priority category.</w:t>
      </w:r>
    </w:p>
    <w:p w:rsidR="007F650E" w:rsidRDefault="00D16F5C" w:rsidP="00D330F6">
      <w:pPr>
        <w:pStyle w:val="DHHSbody"/>
      </w:pPr>
      <w:r w:rsidRPr="00D16F5C">
        <w:lastRenderedPageBreak/>
        <w:t xml:space="preserve">For more information about how to apply to the register, including submitting applications online, refer to the </w:t>
      </w:r>
      <w:hyperlink r:id="rId19" w:history="1">
        <w:r w:rsidRPr="00D330F6">
          <w:rPr>
            <w:rStyle w:val="Hyperlink"/>
          </w:rPr>
          <w:t>Eligibility Policy Framework</w:t>
        </w:r>
      </w:hyperlink>
      <w:r w:rsidR="00D330F6">
        <w:t xml:space="preserve"> &lt;</w:t>
      </w:r>
      <w:r w:rsidR="00D330F6" w:rsidRPr="00D330F6">
        <w:t>https://fac.dhhs.vic.gov.au/eligibility-policy-framework</w:t>
      </w:r>
      <w:r w:rsidR="00D330F6">
        <w:t>&gt;</w:t>
      </w:r>
      <w:r w:rsidRPr="00D330F6">
        <w:t>.</w:t>
      </w:r>
    </w:p>
    <w:p w:rsidR="000F1457" w:rsidRPr="007236A5" w:rsidRDefault="00875595" w:rsidP="00D330F6">
      <w:pPr>
        <w:pStyle w:val="DHHSbody"/>
      </w:pPr>
      <w:r w:rsidRPr="007236A5">
        <w:t xml:space="preserve">Regular reviews will be conducted by the department to identify applicants on the </w:t>
      </w:r>
      <w:r w:rsidRPr="00906B3E">
        <w:t>Register of Interest</w:t>
      </w:r>
      <w:r w:rsidRPr="007236A5">
        <w:t xml:space="preserve"> who may be eligible for the </w:t>
      </w:r>
      <w:r w:rsidRPr="00906B3E">
        <w:t>Special Housing Needs aged 55 years and over</w:t>
      </w:r>
      <w:r w:rsidRPr="007236A5">
        <w:t xml:space="preserve"> category. </w:t>
      </w:r>
      <w:r w:rsidR="00E54852" w:rsidRPr="007236A5">
        <w:t>Where</w:t>
      </w:r>
      <w:r w:rsidR="000F1457" w:rsidRPr="007236A5">
        <w:t xml:space="preserve"> an applicant with an existing </w:t>
      </w:r>
      <w:r w:rsidR="00E54852" w:rsidRPr="007236A5">
        <w:t xml:space="preserve">Register of Interest </w:t>
      </w:r>
      <w:r w:rsidR="000F1457" w:rsidRPr="007236A5">
        <w:t>application turns 55 years of age</w:t>
      </w:r>
      <w:r w:rsidR="00E54852" w:rsidRPr="007236A5">
        <w:t>, the</w:t>
      </w:r>
      <w:r w:rsidR="000F1457" w:rsidRPr="007236A5">
        <w:t xml:space="preserve"> application </w:t>
      </w:r>
      <w:r w:rsidRPr="007236A5">
        <w:t>will be</w:t>
      </w:r>
      <w:r w:rsidR="000F1457" w:rsidRPr="007236A5">
        <w:t xml:space="preserve"> </w:t>
      </w:r>
      <w:r w:rsidR="00E54852" w:rsidRPr="007236A5">
        <w:t>reassessed</w:t>
      </w:r>
      <w:r w:rsidR="000F1457" w:rsidRPr="007236A5">
        <w:t xml:space="preserve"> to determine eligibility for the Special Housing Needs aged 55 years and over category.</w:t>
      </w:r>
    </w:p>
    <w:p w:rsidR="003B0A9E" w:rsidRPr="00D330F6" w:rsidRDefault="003B0A9E" w:rsidP="00D330F6">
      <w:pPr>
        <w:pStyle w:val="Heading2"/>
      </w:pPr>
      <w:bookmarkStart w:id="28" w:name="_Toc508185139"/>
      <w:r w:rsidRPr="00D330F6">
        <w:t>Application effective date</w:t>
      </w:r>
      <w:bookmarkEnd w:id="28"/>
    </w:p>
    <w:p w:rsidR="007F650E" w:rsidRDefault="00821788" w:rsidP="00D330F6">
      <w:pPr>
        <w:pStyle w:val="DHHSbody"/>
      </w:pPr>
      <w:r>
        <w:t>The</w:t>
      </w:r>
      <w:r w:rsidR="003B0A9E">
        <w:t xml:space="preserve"> </w:t>
      </w:r>
      <w:r w:rsidR="003B0A9E" w:rsidRPr="00606AFC">
        <w:t xml:space="preserve">effective date is the date the individual or </w:t>
      </w:r>
      <w:r w:rsidR="003B0A9E">
        <w:t>household</w:t>
      </w:r>
      <w:r w:rsidR="003B0A9E" w:rsidRPr="00606AFC">
        <w:t xml:space="preserve"> demonstrates that they are eligible under the </w:t>
      </w:r>
      <w:r w:rsidR="00602914" w:rsidRPr="00906B3E">
        <w:t>Special Housing Needs aged 55 years and over</w:t>
      </w:r>
      <w:r w:rsidR="00602914" w:rsidRPr="007236A5">
        <w:t xml:space="preserve"> </w:t>
      </w:r>
      <w:r w:rsidR="00602914" w:rsidRPr="00606AFC">
        <w:t>category.</w:t>
      </w:r>
      <w:r w:rsidR="003B0A9E" w:rsidRPr="00606AFC">
        <w:t xml:space="preserve"> That is, the date that all documentation was received that confirms their eligibility for </w:t>
      </w:r>
      <w:r w:rsidR="00D330F6" w:rsidRPr="007236A5">
        <w:t xml:space="preserve">the </w:t>
      </w:r>
      <w:r w:rsidR="00D330F6" w:rsidRPr="00602914">
        <w:t xml:space="preserve">Special Housing Needs aged 55 years and </w:t>
      </w:r>
      <w:r w:rsidR="003B0A9E" w:rsidRPr="00606AFC">
        <w:t>category.</w:t>
      </w:r>
    </w:p>
    <w:p w:rsidR="00821788" w:rsidRPr="007236A5" w:rsidRDefault="00E84A30" w:rsidP="00D330F6">
      <w:pPr>
        <w:pStyle w:val="DHHSbody"/>
      </w:pPr>
      <w:r w:rsidRPr="007236A5">
        <w:t xml:space="preserve">For Register of Interest </w:t>
      </w:r>
      <w:r w:rsidR="008875FE" w:rsidRPr="007236A5">
        <w:t xml:space="preserve">applicants turning 55 years of age, </w:t>
      </w:r>
      <w:r w:rsidR="00814FDD" w:rsidRPr="007236A5">
        <w:t xml:space="preserve">and </w:t>
      </w:r>
      <w:r w:rsidR="008875FE" w:rsidRPr="007236A5">
        <w:t>where their application is reviewed by the department</w:t>
      </w:r>
      <w:r w:rsidRPr="007236A5">
        <w:t>, the effective date is the</w:t>
      </w:r>
      <w:r w:rsidR="008717B4" w:rsidRPr="007236A5">
        <w:t xml:space="preserve"> </w:t>
      </w:r>
      <w:r w:rsidRPr="007236A5">
        <w:t>Regis</w:t>
      </w:r>
      <w:r w:rsidR="00176D38" w:rsidRPr="007236A5">
        <w:t>ter of Interest effective date.</w:t>
      </w:r>
    </w:p>
    <w:p w:rsidR="000A5578" w:rsidRPr="00E45E15" w:rsidRDefault="000A5578" w:rsidP="00D330F6">
      <w:pPr>
        <w:pStyle w:val="Heading2"/>
      </w:pPr>
      <w:bookmarkStart w:id="29" w:name="_Toc508185140"/>
      <w:bookmarkStart w:id="30" w:name="_Toc273111090"/>
      <w:bookmarkStart w:id="31" w:name="_Toc338763741"/>
      <w:bookmarkStart w:id="32" w:name="PolicySect18"/>
      <w:r w:rsidRPr="00E45E15">
        <w:t>Application Approval</w:t>
      </w:r>
      <w:bookmarkEnd w:id="29"/>
    </w:p>
    <w:p w:rsidR="00BD24A5" w:rsidRPr="00BD24A5" w:rsidRDefault="00BD24A5" w:rsidP="00602914">
      <w:pPr>
        <w:pStyle w:val="DHHSbody"/>
      </w:pPr>
      <w:r w:rsidRPr="00BD24A5">
        <w:t xml:space="preserve">If an application for </w:t>
      </w:r>
      <w:r w:rsidR="00602914" w:rsidRPr="00906B3E">
        <w:t>Special Housing Needs aged 55 years and over</w:t>
      </w:r>
      <w:r w:rsidR="00602914" w:rsidRPr="007236A5">
        <w:t xml:space="preserve"> </w:t>
      </w:r>
      <w:r w:rsidRPr="00BD24A5">
        <w:t>is submitted by a designated service provider</w:t>
      </w:r>
      <w:r w:rsidR="00E169AC">
        <w:t>, where the designated service provider has assessed the applicant as ineligible for another priority category</w:t>
      </w:r>
      <w:r w:rsidRPr="00BD24A5">
        <w:t>, the lodging organisation should make a recommendation as to whether the application should be approved.</w:t>
      </w:r>
    </w:p>
    <w:p w:rsidR="00BD24A5" w:rsidRPr="00BD24A5" w:rsidRDefault="00BD24A5" w:rsidP="00602914">
      <w:pPr>
        <w:pStyle w:val="DHHSbody"/>
      </w:pPr>
      <w:r w:rsidRPr="00BD24A5">
        <w:t xml:space="preserve">If an application for Special Housing Needs </w:t>
      </w:r>
      <w:r w:rsidR="005C4622">
        <w:t xml:space="preserve">aged 55 years and over </w:t>
      </w:r>
      <w:r w:rsidRPr="00BD24A5">
        <w:t>is submitted and approved by a participating registered agency, the department w</w:t>
      </w:r>
      <w:r w:rsidR="009942CB">
        <w:t xml:space="preserve">ill accept that the application </w:t>
      </w:r>
      <w:r w:rsidRPr="00BD24A5">
        <w:t xml:space="preserve">meets the eligibility criteria </w:t>
      </w:r>
      <w:r w:rsidR="009942CB">
        <w:t>for the Special Housing Needs aged 55 years and over category.</w:t>
      </w:r>
    </w:p>
    <w:p w:rsidR="00BD24A5" w:rsidRPr="00BD24A5" w:rsidRDefault="00BD24A5" w:rsidP="00602914">
      <w:pPr>
        <w:pStyle w:val="DHHSbody"/>
      </w:pPr>
      <w:r w:rsidRPr="00BD24A5">
        <w:t>The department will only find the application ineligible if the household does not meet the eligibility criteria for social housing.</w:t>
      </w:r>
    </w:p>
    <w:p w:rsidR="00BD24A5" w:rsidRPr="00BD24A5" w:rsidRDefault="00BD24A5" w:rsidP="00602914">
      <w:pPr>
        <w:pStyle w:val="DHHSbody"/>
        <w:rPr>
          <w:bCs/>
          <w:i/>
        </w:rPr>
      </w:pPr>
      <w:r w:rsidRPr="00BD24A5">
        <w:t xml:space="preserve">If the application is approved, the number of bedrooms and any special accommodation requirements will be assessed according to the </w:t>
      </w:r>
      <w:hyperlink r:id="rId20" w:history="1">
        <w:r w:rsidRPr="00602914">
          <w:rPr>
            <w:rStyle w:val="Hyperlink"/>
            <w:i/>
          </w:rPr>
          <w:t xml:space="preserve">Clients with Special Accommodation Requirements </w:t>
        </w:r>
        <w:r w:rsidR="00617A1A">
          <w:rPr>
            <w:rStyle w:val="Hyperlink"/>
            <w:i/>
          </w:rPr>
          <w:t>o</w:t>
        </w:r>
        <w:r w:rsidRPr="00602914">
          <w:rPr>
            <w:rStyle w:val="Hyperlink"/>
          </w:rPr>
          <w:t xml:space="preserve">perational </w:t>
        </w:r>
        <w:r w:rsidR="00617A1A">
          <w:rPr>
            <w:rStyle w:val="Hyperlink"/>
          </w:rPr>
          <w:t>g</w:t>
        </w:r>
        <w:r w:rsidRPr="00602914">
          <w:rPr>
            <w:rStyle w:val="Hyperlink"/>
          </w:rPr>
          <w:t>uidelines</w:t>
        </w:r>
      </w:hyperlink>
      <w:r w:rsidR="00602914">
        <w:rPr>
          <w:i/>
        </w:rPr>
        <w:t xml:space="preserve"> </w:t>
      </w:r>
      <w:r w:rsidR="00602914" w:rsidRPr="005747DB">
        <w:t>&lt;https://fac.dhhs.vic.gov.au/clients-special-accommodation-requirements&gt;</w:t>
      </w:r>
      <w:r w:rsidRPr="005747DB">
        <w:t>.</w:t>
      </w:r>
    </w:p>
    <w:p w:rsidR="000A5578" w:rsidRPr="00E45E15" w:rsidRDefault="000A5578" w:rsidP="000A5578">
      <w:pPr>
        <w:pStyle w:val="Heading1"/>
        <w:rPr>
          <w:color w:val="0F243E"/>
        </w:rPr>
      </w:pPr>
      <w:bookmarkStart w:id="33" w:name="_Toc508185141"/>
      <w:bookmarkEnd w:id="30"/>
      <w:bookmarkEnd w:id="31"/>
      <w:bookmarkEnd w:id="32"/>
      <w:r w:rsidRPr="00E45E15">
        <w:rPr>
          <w:color w:val="0F243E"/>
        </w:rPr>
        <w:t>Decision Review</w:t>
      </w:r>
      <w:bookmarkEnd w:id="33"/>
    </w:p>
    <w:p w:rsidR="00BD24A5" w:rsidRPr="00602914" w:rsidRDefault="00BD24A5" w:rsidP="00602914">
      <w:pPr>
        <w:pStyle w:val="DHHSbody"/>
        <w:spacing w:after="360"/>
      </w:pPr>
      <w:r w:rsidRPr="00BD24A5">
        <w:t xml:space="preserve">Applicants who are not recommended or have been assessed as ineligible for </w:t>
      </w:r>
      <w:r w:rsidR="00602914" w:rsidRPr="00906B3E">
        <w:t>Special Housing Needs aged 55 years and over</w:t>
      </w:r>
      <w:r w:rsidR="00602914" w:rsidRPr="007236A5">
        <w:t xml:space="preserve"> </w:t>
      </w:r>
      <w:r w:rsidRPr="00BD24A5">
        <w:t xml:space="preserve">may request to have the decision reviewed. For more information see the </w:t>
      </w:r>
      <w:hyperlink r:id="rId21" w:history="1">
        <w:r w:rsidRPr="00602914">
          <w:rPr>
            <w:rStyle w:val="Hyperlink"/>
            <w:i/>
          </w:rPr>
          <w:t>Complaints, Appeals and Feedback Processes</w:t>
        </w:r>
        <w:r w:rsidR="00602914" w:rsidRPr="00602914">
          <w:rPr>
            <w:rStyle w:val="Hyperlink"/>
            <w:i/>
          </w:rPr>
          <w:t xml:space="preserve"> </w:t>
        </w:r>
        <w:r w:rsidR="00BE03A7">
          <w:rPr>
            <w:rStyle w:val="Hyperlink"/>
            <w:i/>
          </w:rPr>
          <w:t>o</w:t>
        </w:r>
        <w:r w:rsidR="00602914" w:rsidRPr="00602914">
          <w:rPr>
            <w:rStyle w:val="Hyperlink"/>
          </w:rPr>
          <w:t xml:space="preserve">perational </w:t>
        </w:r>
        <w:r w:rsidR="00BE03A7">
          <w:rPr>
            <w:rStyle w:val="Hyperlink"/>
          </w:rPr>
          <w:t>g</w:t>
        </w:r>
        <w:r w:rsidR="00602914" w:rsidRPr="00602914">
          <w:rPr>
            <w:rStyle w:val="Hyperlink"/>
          </w:rPr>
          <w:t>uidelines</w:t>
        </w:r>
      </w:hyperlink>
      <w:r w:rsidR="00602914" w:rsidRPr="00602914">
        <w:t xml:space="preserve"> &lt;https://fac.dhhs.vic.gov.au/complaints-appeals-and-feedback-processes&gt;.</w:t>
      </w:r>
    </w:p>
    <w:tbl>
      <w:tblPr>
        <w:tblW w:w="4800" w:type="pct"/>
        <w:tblInd w:w="113" w:type="dxa"/>
        <w:tblCellMar>
          <w:top w:w="113" w:type="dxa"/>
          <w:bottom w:w="57" w:type="dxa"/>
        </w:tblCellMar>
        <w:tblLook w:val="00A0" w:firstRow="1" w:lastRow="0" w:firstColumn="1" w:lastColumn="0" w:noHBand="0" w:noVBand="0"/>
      </w:tblPr>
      <w:tblGrid>
        <w:gridCol w:w="10003"/>
      </w:tblGrid>
      <w:tr w:rsidR="00E00A3F" w:rsidRPr="00762B03" w:rsidTr="00C94C40">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02914" w:rsidRPr="00602914" w:rsidRDefault="00602914" w:rsidP="00602914">
            <w:pPr>
              <w:pStyle w:val="DHHSbody"/>
              <w:rPr>
                <w:sz w:val="24"/>
                <w:szCs w:val="24"/>
              </w:rPr>
            </w:pPr>
            <w:r w:rsidRPr="00602914">
              <w:rPr>
                <w:sz w:val="24"/>
                <w:szCs w:val="24"/>
              </w:rPr>
              <w:t xml:space="preserve">To receive this publication in an accessible format email the </w:t>
            </w:r>
            <w:hyperlink r:id="rId22" w:history="1">
              <w:r w:rsidRPr="00602914">
                <w:rPr>
                  <w:rStyle w:val="Hyperlink"/>
                  <w:sz w:val="24"/>
                  <w:szCs w:val="24"/>
                </w:rPr>
                <w:t>Victorian Housing Register</w:t>
              </w:r>
            </w:hyperlink>
            <w:r w:rsidRPr="00602914">
              <w:rPr>
                <w:sz w:val="24"/>
                <w:szCs w:val="24"/>
              </w:rPr>
              <w:t xml:space="preserve"> &lt;VictorianHousingRegister@dhhs.vic.gov.au&gt;.</w:t>
            </w:r>
          </w:p>
          <w:p w:rsidR="00602914" w:rsidRPr="00850AA7" w:rsidRDefault="00602914" w:rsidP="00602914">
            <w:pPr>
              <w:pStyle w:val="DHHSbody"/>
            </w:pPr>
            <w:r w:rsidRPr="00850AA7">
              <w:t>Authorised and published by the Victorian Government, 1 Treasury Place, Melbourne.</w:t>
            </w:r>
          </w:p>
          <w:p w:rsidR="00602914" w:rsidRPr="00850AA7" w:rsidRDefault="00602914" w:rsidP="00602914">
            <w:pPr>
              <w:pStyle w:val="DHHSbody"/>
            </w:pPr>
            <w:r w:rsidRPr="00850AA7">
              <w:t>© State of Victoria, Department of Heal</w:t>
            </w:r>
            <w:r>
              <w:t xml:space="preserve">th and Human Services, </w:t>
            </w:r>
            <w:r w:rsidR="0042784D">
              <w:t>October</w:t>
            </w:r>
            <w:r>
              <w:t xml:space="preserve"> </w:t>
            </w:r>
            <w:r w:rsidRPr="00850AA7">
              <w:t>201</w:t>
            </w:r>
            <w:r>
              <w:t>8</w:t>
            </w:r>
            <w:r w:rsidRPr="00850AA7">
              <w:t>.</w:t>
            </w:r>
          </w:p>
          <w:p w:rsidR="00602914" w:rsidRPr="00850AA7" w:rsidRDefault="00602914" w:rsidP="00602914">
            <w:pPr>
              <w:pStyle w:val="DHHSbody"/>
              <w:rPr>
                <w:szCs w:val="19"/>
              </w:rPr>
            </w:pPr>
            <w:r w:rsidRPr="00850AA7">
              <w:rPr>
                <w:szCs w:val="19"/>
              </w:rPr>
              <w:t>ISBN</w:t>
            </w:r>
            <w:r>
              <w:rPr>
                <w:lang w:eastAsia="en-AU"/>
              </w:rPr>
              <w:t xml:space="preserve"> </w:t>
            </w:r>
            <w:r>
              <w:rPr>
                <w:rFonts w:cs="Arial"/>
              </w:rPr>
              <w:t>978-1-76069-260-5</w:t>
            </w:r>
            <w:r>
              <w:rPr>
                <w:lang w:eastAsia="en-AU"/>
              </w:rPr>
              <w:t xml:space="preserve"> (online)</w:t>
            </w:r>
          </w:p>
          <w:p w:rsidR="00E00A3F" w:rsidRPr="00762B03" w:rsidRDefault="00602914" w:rsidP="00602914">
            <w:pPr>
              <w:pStyle w:val="DHHSbody"/>
            </w:pPr>
            <w:r>
              <w:t>Available on</w:t>
            </w:r>
            <w:r w:rsidRPr="0084087C">
              <w:t xml:space="preserve"> the </w:t>
            </w:r>
            <w:hyperlink r:id="rId23" w:history="1">
              <w:r w:rsidRPr="00B42157">
                <w:rPr>
                  <w:rStyle w:val="Hyperlink"/>
                  <w:sz w:val="24"/>
                  <w:szCs w:val="19"/>
                </w:rPr>
                <w:t>Victorian Housing Register</w:t>
              </w:r>
            </w:hyperlink>
            <w:r>
              <w:t xml:space="preserve"> website &lt;</w:t>
            </w:r>
            <w:r w:rsidRPr="00B42157">
              <w:t>https://fac.dhhs.vic.gov.au/victorian-housing-register</w:t>
            </w:r>
            <w:r w:rsidRPr="0084087C">
              <w:t>&gt;</w:t>
            </w:r>
            <w:r>
              <w:t>.</w:t>
            </w:r>
          </w:p>
        </w:tc>
      </w:tr>
    </w:tbl>
    <w:p w:rsidR="00E00A3F" w:rsidRPr="00906490" w:rsidRDefault="00E00A3F" w:rsidP="00602914">
      <w:pPr>
        <w:pStyle w:val="DHHSbody"/>
      </w:pPr>
    </w:p>
    <w:sectPr w:rsidR="00E00A3F"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45" w:rsidRDefault="00790A45">
      <w:r>
        <w:separator/>
      </w:r>
    </w:p>
  </w:endnote>
  <w:endnote w:type="continuationSeparator" w:id="0">
    <w:p w:rsidR="00790A45" w:rsidRDefault="0079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F6" w:rsidRPr="00F65AA9" w:rsidRDefault="00D330F6" w:rsidP="0051568D">
    <w:pPr>
      <w:pStyle w:val="DHHSfooter"/>
    </w:pPr>
    <w:r>
      <w:rPr>
        <w:noProof/>
        <w:lang w:eastAsia="en-AU"/>
      </w:rPr>
      <w:drawing>
        <wp:anchor distT="0" distB="0" distL="114300" distR="114300" simplePos="0" relativeHeight="251657728" behindDoc="1" locked="1" layoutInCell="1" allowOverlap="1">
          <wp:simplePos x="0" y="0"/>
          <wp:positionH relativeFrom="page">
            <wp:posOffset>0</wp:posOffset>
          </wp:positionH>
          <wp:positionV relativeFrom="page">
            <wp:posOffset>10297160</wp:posOffset>
          </wp:positionV>
          <wp:extent cx="7561580" cy="398780"/>
          <wp:effectExtent l="0" t="0" r="1270" b="1270"/>
          <wp:wrapNone/>
          <wp:docPr id="1" name="Picture 15" descr="A Partnership between the Victorian Government and Community Housing Organi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987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F6" w:rsidRPr="00A11421" w:rsidRDefault="00D330F6" w:rsidP="0051568D">
    <w:pPr>
      <w:pStyle w:val="DHHSfooter"/>
    </w:pPr>
    <w:r>
      <w:t>Victorian Housing Register: Special Housing Needs aged 55 years and over Operational Guidelines</w:t>
    </w:r>
    <w:r w:rsidRPr="00A11421">
      <w:tab/>
    </w:r>
    <w:r w:rsidRPr="00A11421">
      <w:fldChar w:fldCharType="begin"/>
    </w:r>
    <w:r w:rsidRPr="00A11421">
      <w:instrText xml:space="preserve"> PAGE </w:instrText>
    </w:r>
    <w:r w:rsidRPr="00A11421">
      <w:fldChar w:fldCharType="separate"/>
    </w:r>
    <w:r w:rsidR="0028442A">
      <w:rPr>
        <w:noProof/>
      </w:rPr>
      <w:t>3</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45" w:rsidRDefault="00790A45" w:rsidP="002862F1">
      <w:pPr>
        <w:spacing w:before="120"/>
      </w:pPr>
      <w:r>
        <w:separator/>
      </w:r>
    </w:p>
  </w:footnote>
  <w:footnote w:type="continuationSeparator" w:id="0">
    <w:p w:rsidR="00790A45" w:rsidRDefault="00790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0F6" w:rsidRPr="0051568D" w:rsidRDefault="00D330F6"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CE6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B8D43DB"/>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SortMethod w:val="0000"/>
  <w:revisionView w:markup="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AB"/>
    <w:rsid w:val="000020B4"/>
    <w:rsid w:val="00002418"/>
    <w:rsid w:val="00003703"/>
    <w:rsid w:val="0000520C"/>
    <w:rsid w:val="000072B6"/>
    <w:rsid w:val="0001021B"/>
    <w:rsid w:val="00011D89"/>
    <w:rsid w:val="00024D89"/>
    <w:rsid w:val="000250B6"/>
    <w:rsid w:val="00027FE3"/>
    <w:rsid w:val="00033D81"/>
    <w:rsid w:val="00041BF0"/>
    <w:rsid w:val="00042C4C"/>
    <w:rsid w:val="0004414C"/>
    <w:rsid w:val="0004536B"/>
    <w:rsid w:val="00046B68"/>
    <w:rsid w:val="000527DD"/>
    <w:rsid w:val="00053473"/>
    <w:rsid w:val="0005708C"/>
    <w:rsid w:val="000578B2"/>
    <w:rsid w:val="00060959"/>
    <w:rsid w:val="0006452F"/>
    <w:rsid w:val="000663CD"/>
    <w:rsid w:val="00072849"/>
    <w:rsid w:val="00072862"/>
    <w:rsid w:val="000733FE"/>
    <w:rsid w:val="00074219"/>
    <w:rsid w:val="00074ED5"/>
    <w:rsid w:val="000818D5"/>
    <w:rsid w:val="00083366"/>
    <w:rsid w:val="0009113B"/>
    <w:rsid w:val="00094DA3"/>
    <w:rsid w:val="0009516E"/>
    <w:rsid w:val="00096526"/>
    <w:rsid w:val="00096CD1"/>
    <w:rsid w:val="000A012C"/>
    <w:rsid w:val="000A0EB9"/>
    <w:rsid w:val="000A186C"/>
    <w:rsid w:val="000A3E6F"/>
    <w:rsid w:val="000A4A07"/>
    <w:rsid w:val="000A5578"/>
    <w:rsid w:val="000B111E"/>
    <w:rsid w:val="000B23FD"/>
    <w:rsid w:val="000B2958"/>
    <w:rsid w:val="000B340D"/>
    <w:rsid w:val="000B3791"/>
    <w:rsid w:val="000B543D"/>
    <w:rsid w:val="000B5BF7"/>
    <w:rsid w:val="000B6BC8"/>
    <w:rsid w:val="000C42EA"/>
    <w:rsid w:val="000C4546"/>
    <w:rsid w:val="000D1242"/>
    <w:rsid w:val="000D2D29"/>
    <w:rsid w:val="000E3CC7"/>
    <w:rsid w:val="000E6BD4"/>
    <w:rsid w:val="000F1457"/>
    <w:rsid w:val="000F1F1E"/>
    <w:rsid w:val="000F2259"/>
    <w:rsid w:val="000F3D01"/>
    <w:rsid w:val="0010392D"/>
    <w:rsid w:val="0010447F"/>
    <w:rsid w:val="00104FE3"/>
    <w:rsid w:val="001111CA"/>
    <w:rsid w:val="00120514"/>
    <w:rsid w:val="00120BD3"/>
    <w:rsid w:val="00122FEA"/>
    <w:rsid w:val="001232BD"/>
    <w:rsid w:val="0012349A"/>
    <w:rsid w:val="00124ED5"/>
    <w:rsid w:val="00133596"/>
    <w:rsid w:val="001447B3"/>
    <w:rsid w:val="00152073"/>
    <w:rsid w:val="00161939"/>
    <w:rsid w:val="00161AA0"/>
    <w:rsid w:val="00162093"/>
    <w:rsid w:val="00166CB9"/>
    <w:rsid w:val="001748D7"/>
    <w:rsid w:val="00176D38"/>
    <w:rsid w:val="001771DD"/>
    <w:rsid w:val="00177995"/>
    <w:rsid w:val="00177A8C"/>
    <w:rsid w:val="0018082B"/>
    <w:rsid w:val="00186B33"/>
    <w:rsid w:val="0019149A"/>
    <w:rsid w:val="00192F9D"/>
    <w:rsid w:val="00196EB8"/>
    <w:rsid w:val="001979FF"/>
    <w:rsid w:val="00197B17"/>
    <w:rsid w:val="001A3ACE"/>
    <w:rsid w:val="001A5F5A"/>
    <w:rsid w:val="001C2614"/>
    <w:rsid w:val="001C277E"/>
    <w:rsid w:val="001C2A72"/>
    <w:rsid w:val="001C3017"/>
    <w:rsid w:val="001C7A2C"/>
    <w:rsid w:val="001D07DE"/>
    <w:rsid w:val="001D0B75"/>
    <w:rsid w:val="001D3C09"/>
    <w:rsid w:val="001D44E8"/>
    <w:rsid w:val="001D60EC"/>
    <w:rsid w:val="001E44DF"/>
    <w:rsid w:val="001E68A5"/>
    <w:rsid w:val="001E6BB0"/>
    <w:rsid w:val="001E76D9"/>
    <w:rsid w:val="001E7E87"/>
    <w:rsid w:val="001F3826"/>
    <w:rsid w:val="001F6E46"/>
    <w:rsid w:val="001F7ABD"/>
    <w:rsid w:val="001F7C91"/>
    <w:rsid w:val="00202061"/>
    <w:rsid w:val="00203454"/>
    <w:rsid w:val="0020580A"/>
    <w:rsid w:val="00206463"/>
    <w:rsid w:val="00206F2F"/>
    <w:rsid w:val="00206F68"/>
    <w:rsid w:val="0021053D"/>
    <w:rsid w:val="00210588"/>
    <w:rsid w:val="00210A92"/>
    <w:rsid w:val="00216C03"/>
    <w:rsid w:val="00220C04"/>
    <w:rsid w:val="0022278D"/>
    <w:rsid w:val="00223AA3"/>
    <w:rsid w:val="002241A8"/>
    <w:rsid w:val="0022549B"/>
    <w:rsid w:val="0022701F"/>
    <w:rsid w:val="002333F5"/>
    <w:rsid w:val="00233724"/>
    <w:rsid w:val="00237784"/>
    <w:rsid w:val="002432E1"/>
    <w:rsid w:val="00246207"/>
    <w:rsid w:val="00246C5E"/>
    <w:rsid w:val="0024788A"/>
    <w:rsid w:val="00247F2E"/>
    <w:rsid w:val="00251343"/>
    <w:rsid w:val="00254F58"/>
    <w:rsid w:val="002552CC"/>
    <w:rsid w:val="002620BC"/>
    <w:rsid w:val="00262802"/>
    <w:rsid w:val="00263A90"/>
    <w:rsid w:val="0026408B"/>
    <w:rsid w:val="00267C3E"/>
    <w:rsid w:val="002709BB"/>
    <w:rsid w:val="002763B3"/>
    <w:rsid w:val="002802E3"/>
    <w:rsid w:val="0028213D"/>
    <w:rsid w:val="0028413C"/>
    <w:rsid w:val="0028442A"/>
    <w:rsid w:val="002862F1"/>
    <w:rsid w:val="00291373"/>
    <w:rsid w:val="0029597D"/>
    <w:rsid w:val="002962C3"/>
    <w:rsid w:val="0029752B"/>
    <w:rsid w:val="002A483C"/>
    <w:rsid w:val="002B1729"/>
    <w:rsid w:val="002B4DD4"/>
    <w:rsid w:val="002B5277"/>
    <w:rsid w:val="002B5375"/>
    <w:rsid w:val="002B77C1"/>
    <w:rsid w:val="002C2728"/>
    <w:rsid w:val="002C5EC6"/>
    <w:rsid w:val="002D5006"/>
    <w:rsid w:val="002E01D0"/>
    <w:rsid w:val="002E161D"/>
    <w:rsid w:val="002E21BE"/>
    <w:rsid w:val="002E3100"/>
    <w:rsid w:val="002E356D"/>
    <w:rsid w:val="002E6C95"/>
    <w:rsid w:val="002E7C36"/>
    <w:rsid w:val="002F5F31"/>
    <w:rsid w:val="002F5F46"/>
    <w:rsid w:val="002F7DB9"/>
    <w:rsid w:val="00302216"/>
    <w:rsid w:val="00303E53"/>
    <w:rsid w:val="00306E5F"/>
    <w:rsid w:val="00307E14"/>
    <w:rsid w:val="0031375E"/>
    <w:rsid w:val="00314054"/>
    <w:rsid w:val="00316F27"/>
    <w:rsid w:val="00327870"/>
    <w:rsid w:val="00330A44"/>
    <w:rsid w:val="0033259D"/>
    <w:rsid w:val="003406C6"/>
    <w:rsid w:val="00340A67"/>
    <w:rsid w:val="003418CC"/>
    <w:rsid w:val="003459BD"/>
    <w:rsid w:val="00350D38"/>
    <w:rsid w:val="00351B36"/>
    <w:rsid w:val="0035633F"/>
    <w:rsid w:val="00357B4E"/>
    <w:rsid w:val="003744CF"/>
    <w:rsid w:val="00374717"/>
    <w:rsid w:val="0037676C"/>
    <w:rsid w:val="00381159"/>
    <w:rsid w:val="003829E5"/>
    <w:rsid w:val="003956CC"/>
    <w:rsid w:val="00395C9A"/>
    <w:rsid w:val="003A6B67"/>
    <w:rsid w:val="003B0A9E"/>
    <w:rsid w:val="003B15E6"/>
    <w:rsid w:val="003B1C98"/>
    <w:rsid w:val="003B26EC"/>
    <w:rsid w:val="003B2D63"/>
    <w:rsid w:val="003C2045"/>
    <w:rsid w:val="003C43A1"/>
    <w:rsid w:val="003C4FC0"/>
    <w:rsid w:val="003C55F4"/>
    <w:rsid w:val="003C7A3F"/>
    <w:rsid w:val="003D0A0B"/>
    <w:rsid w:val="003D2766"/>
    <w:rsid w:val="003D3E8F"/>
    <w:rsid w:val="003D6475"/>
    <w:rsid w:val="003E4533"/>
    <w:rsid w:val="003F0445"/>
    <w:rsid w:val="003F0CF0"/>
    <w:rsid w:val="003F14B1"/>
    <w:rsid w:val="003F3289"/>
    <w:rsid w:val="00401FCF"/>
    <w:rsid w:val="00406285"/>
    <w:rsid w:val="004148F9"/>
    <w:rsid w:val="00414E46"/>
    <w:rsid w:val="0042084E"/>
    <w:rsid w:val="00421EEF"/>
    <w:rsid w:val="004249BE"/>
    <w:rsid w:val="00424D65"/>
    <w:rsid w:val="0042674C"/>
    <w:rsid w:val="0042784D"/>
    <w:rsid w:val="00442C6C"/>
    <w:rsid w:val="00443CBE"/>
    <w:rsid w:val="00443E8A"/>
    <w:rsid w:val="004441BC"/>
    <w:rsid w:val="00444A00"/>
    <w:rsid w:val="004468B4"/>
    <w:rsid w:val="00446C69"/>
    <w:rsid w:val="0045230A"/>
    <w:rsid w:val="00456C8C"/>
    <w:rsid w:val="00457337"/>
    <w:rsid w:val="0046054F"/>
    <w:rsid w:val="0047372D"/>
    <w:rsid w:val="0047398A"/>
    <w:rsid w:val="004743DD"/>
    <w:rsid w:val="00474CEA"/>
    <w:rsid w:val="00483968"/>
    <w:rsid w:val="00484F86"/>
    <w:rsid w:val="00490746"/>
    <w:rsid w:val="00490852"/>
    <w:rsid w:val="00491C8D"/>
    <w:rsid w:val="00492F30"/>
    <w:rsid w:val="004946F4"/>
    <w:rsid w:val="0049487E"/>
    <w:rsid w:val="00496D90"/>
    <w:rsid w:val="004A160D"/>
    <w:rsid w:val="004A3E81"/>
    <w:rsid w:val="004A533E"/>
    <w:rsid w:val="004A5C62"/>
    <w:rsid w:val="004A707D"/>
    <w:rsid w:val="004B5534"/>
    <w:rsid w:val="004B6F91"/>
    <w:rsid w:val="004C6449"/>
    <w:rsid w:val="004C6EEE"/>
    <w:rsid w:val="004C702B"/>
    <w:rsid w:val="004D016B"/>
    <w:rsid w:val="004D1B22"/>
    <w:rsid w:val="004D36F2"/>
    <w:rsid w:val="004E138F"/>
    <w:rsid w:val="004E4649"/>
    <w:rsid w:val="004E5C2B"/>
    <w:rsid w:val="004F00DD"/>
    <w:rsid w:val="004F2133"/>
    <w:rsid w:val="004F3468"/>
    <w:rsid w:val="004F55F1"/>
    <w:rsid w:val="004F6936"/>
    <w:rsid w:val="00501794"/>
    <w:rsid w:val="00503DC6"/>
    <w:rsid w:val="00506F5D"/>
    <w:rsid w:val="005126D0"/>
    <w:rsid w:val="0051568D"/>
    <w:rsid w:val="00526792"/>
    <w:rsid w:val="00526C15"/>
    <w:rsid w:val="005276DB"/>
    <w:rsid w:val="005351D4"/>
    <w:rsid w:val="00536499"/>
    <w:rsid w:val="0054040D"/>
    <w:rsid w:val="005424AC"/>
    <w:rsid w:val="005435CB"/>
    <w:rsid w:val="00543903"/>
    <w:rsid w:val="00543F11"/>
    <w:rsid w:val="00547A95"/>
    <w:rsid w:val="00547AF0"/>
    <w:rsid w:val="00555F2F"/>
    <w:rsid w:val="00557FF5"/>
    <w:rsid w:val="00572031"/>
    <w:rsid w:val="005723A2"/>
    <w:rsid w:val="005747DB"/>
    <w:rsid w:val="00576E84"/>
    <w:rsid w:val="00582B8C"/>
    <w:rsid w:val="00582C09"/>
    <w:rsid w:val="0058757E"/>
    <w:rsid w:val="00592278"/>
    <w:rsid w:val="00596A4B"/>
    <w:rsid w:val="00597507"/>
    <w:rsid w:val="005B175E"/>
    <w:rsid w:val="005B21B6"/>
    <w:rsid w:val="005B3A08"/>
    <w:rsid w:val="005B7A63"/>
    <w:rsid w:val="005C0955"/>
    <w:rsid w:val="005C4622"/>
    <w:rsid w:val="005C49DA"/>
    <w:rsid w:val="005C50F3"/>
    <w:rsid w:val="005C5D91"/>
    <w:rsid w:val="005D07B8"/>
    <w:rsid w:val="005D1FCD"/>
    <w:rsid w:val="005D6597"/>
    <w:rsid w:val="005E0199"/>
    <w:rsid w:val="005E14E7"/>
    <w:rsid w:val="005E26A3"/>
    <w:rsid w:val="005E447E"/>
    <w:rsid w:val="005E742B"/>
    <w:rsid w:val="005F0775"/>
    <w:rsid w:val="005F0CF5"/>
    <w:rsid w:val="005F21EB"/>
    <w:rsid w:val="00602914"/>
    <w:rsid w:val="00605908"/>
    <w:rsid w:val="00606AFC"/>
    <w:rsid w:val="00610D7C"/>
    <w:rsid w:val="0061209E"/>
    <w:rsid w:val="00613414"/>
    <w:rsid w:val="00617A1A"/>
    <w:rsid w:val="0062408D"/>
    <w:rsid w:val="006240CC"/>
    <w:rsid w:val="00627DA7"/>
    <w:rsid w:val="006358B4"/>
    <w:rsid w:val="00637A4D"/>
    <w:rsid w:val="006419AA"/>
    <w:rsid w:val="00644B7E"/>
    <w:rsid w:val="00645435"/>
    <w:rsid w:val="006454E6"/>
    <w:rsid w:val="00646A68"/>
    <w:rsid w:val="0065092E"/>
    <w:rsid w:val="00654E56"/>
    <w:rsid w:val="006557A7"/>
    <w:rsid w:val="00656290"/>
    <w:rsid w:val="006563E5"/>
    <w:rsid w:val="006621D7"/>
    <w:rsid w:val="0066302A"/>
    <w:rsid w:val="00670597"/>
    <w:rsid w:val="006706D0"/>
    <w:rsid w:val="00677574"/>
    <w:rsid w:val="0068454C"/>
    <w:rsid w:val="0068502F"/>
    <w:rsid w:val="00691B62"/>
    <w:rsid w:val="00693D14"/>
    <w:rsid w:val="006A18C2"/>
    <w:rsid w:val="006A5087"/>
    <w:rsid w:val="006B077C"/>
    <w:rsid w:val="006B6803"/>
    <w:rsid w:val="006B6876"/>
    <w:rsid w:val="006B7B36"/>
    <w:rsid w:val="006C00B4"/>
    <w:rsid w:val="006D2826"/>
    <w:rsid w:val="006D2A3F"/>
    <w:rsid w:val="006D2FBC"/>
    <w:rsid w:val="006D5945"/>
    <w:rsid w:val="006E138B"/>
    <w:rsid w:val="006F1FDC"/>
    <w:rsid w:val="007013EF"/>
    <w:rsid w:val="00702EB2"/>
    <w:rsid w:val="00716C68"/>
    <w:rsid w:val="00717018"/>
    <w:rsid w:val="007173CA"/>
    <w:rsid w:val="00717B45"/>
    <w:rsid w:val="007216AA"/>
    <w:rsid w:val="00721AB5"/>
    <w:rsid w:val="00721DEF"/>
    <w:rsid w:val="0072238F"/>
    <w:rsid w:val="007236A5"/>
    <w:rsid w:val="00724A43"/>
    <w:rsid w:val="00730212"/>
    <w:rsid w:val="007346E4"/>
    <w:rsid w:val="00735B04"/>
    <w:rsid w:val="007375C5"/>
    <w:rsid w:val="00737C82"/>
    <w:rsid w:val="00740F22"/>
    <w:rsid w:val="00741096"/>
    <w:rsid w:val="00741F1A"/>
    <w:rsid w:val="007450F8"/>
    <w:rsid w:val="0074696E"/>
    <w:rsid w:val="00750135"/>
    <w:rsid w:val="00750EC2"/>
    <w:rsid w:val="00752B28"/>
    <w:rsid w:val="00754E36"/>
    <w:rsid w:val="007554F6"/>
    <w:rsid w:val="00757F66"/>
    <w:rsid w:val="00762490"/>
    <w:rsid w:val="00763139"/>
    <w:rsid w:val="00763543"/>
    <w:rsid w:val="00763C9D"/>
    <w:rsid w:val="00770F37"/>
    <w:rsid w:val="007711A0"/>
    <w:rsid w:val="00771F44"/>
    <w:rsid w:val="00772D5E"/>
    <w:rsid w:val="00776928"/>
    <w:rsid w:val="00783DEC"/>
    <w:rsid w:val="00785677"/>
    <w:rsid w:val="00786F16"/>
    <w:rsid w:val="00787695"/>
    <w:rsid w:val="007903D4"/>
    <w:rsid w:val="00790A45"/>
    <w:rsid w:val="00791301"/>
    <w:rsid w:val="00796E20"/>
    <w:rsid w:val="00797C32"/>
    <w:rsid w:val="007A3705"/>
    <w:rsid w:val="007B0914"/>
    <w:rsid w:val="007B1374"/>
    <w:rsid w:val="007B589F"/>
    <w:rsid w:val="007B6186"/>
    <w:rsid w:val="007B73BC"/>
    <w:rsid w:val="007C20B9"/>
    <w:rsid w:val="007C4419"/>
    <w:rsid w:val="007C7301"/>
    <w:rsid w:val="007C7859"/>
    <w:rsid w:val="007C7EB2"/>
    <w:rsid w:val="007D0D30"/>
    <w:rsid w:val="007D2BDE"/>
    <w:rsid w:val="007D2FB6"/>
    <w:rsid w:val="007E0DE2"/>
    <w:rsid w:val="007E3B98"/>
    <w:rsid w:val="007E6359"/>
    <w:rsid w:val="007F047D"/>
    <w:rsid w:val="007F31B6"/>
    <w:rsid w:val="007F546C"/>
    <w:rsid w:val="007F625F"/>
    <w:rsid w:val="007F650E"/>
    <w:rsid w:val="007F665E"/>
    <w:rsid w:val="00800412"/>
    <w:rsid w:val="0080587B"/>
    <w:rsid w:val="00805ADD"/>
    <w:rsid w:val="00806468"/>
    <w:rsid w:val="00814FDD"/>
    <w:rsid w:val="008155F0"/>
    <w:rsid w:val="00816735"/>
    <w:rsid w:val="008178C9"/>
    <w:rsid w:val="00820141"/>
    <w:rsid w:val="00820E0C"/>
    <w:rsid w:val="00821788"/>
    <w:rsid w:val="008338A2"/>
    <w:rsid w:val="00841AA9"/>
    <w:rsid w:val="00853EE4"/>
    <w:rsid w:val="00855535"/>
    <w:rsid w:val="0086255E"/>
    <w:rsid w:val="008633F0"/>
    <w:rsid w:val="00867D9D"/>
    <w:rsid w:val="008717B4"/>
    <w:rsid w:val="00872E0A"/>
    <w:rsid w:val="00875285"/>
    <w:rsid w:val="00875595"/>
    <w:rsid w:val="00880B1D"/>
    <w:rsid w:val="00884B62"/>
    <w:rsid w:val="0088529C"/>
    <w:rsid w:val="00887210"/>
    <w:rsid w:val="008875FE"/>
    <w:rsid w:val="00887903"/>
    <w:rsid w:val="0089270A"/>
    <w:rsid w:val="00893AF6"/>
    <w:rsid w:val="00894BC4"/>
    <w:rsid w:val="008A3BEA"/>
    <w:rsid w:val="008A5B32"/>
    <w:rsid w:val="008B2EE4"/>
    <w:rsid w:val="008B4D3D"/>
    <w:rsid w:val="008B57C7"/>
    <w:rsid w:val="008C2F92"/>
    <w:rsid w:val="008D044B"/>
    <w:rsid w:val="008D0998"/>
    <w:rsid w:val="008D2846"/>
    <w:rsid w:val="008D4236"/>
    <w:rsid w:val="008D462F"/>
    <w:rsid w:val="008D6DCF"/>
    <w:rsid w:val="008E4376"/>
    <w:rsid w:val="008E7A0A"/>
    <w:rsid w:val="008F4CAB"/>
    <w:rsid w:val="00900719"/>
    <w:rsid w:val="009017AC"/>
    <w:rsid w:val="00904A1C"/>
    <w:rsid w:val="00905030"/>
    <w:rsid w:val="00906490"/>
    <w:rsid w:val="00906B3E"/>
    <w:rsid w:val="009111B2"/>
    <w:rsid w:val="009128AF"/>
    <w:rsid w:val="00924AE1"/>
    <w:rsid w:val="009269B1"/>
    <w:rsid w:val="0092724D"/>
    <w:rsid w:val="00937BD9"/>
    <w:rsid w:val="00941B95"/>
    <w:rsid w:val="00943870"/>
    <w:rsid w:val="00943DB9"/>
    <w:rsid w:val="00950E2C"/>
    <w:rsid w:val="00951D50"/>
    <w:rsid w:val="009525EB"/>
    <w:rsid w:val="0095484B"/>
    <w:rsid w:val="00954874"/>
    <w:rsid w:val="00961400"/>
    <w:rsid w:val="00963646"/>
    <w:rsid w:val="00966331"/>
    <w:rsid w:val="00983847"/>
    <w:rsid w:val="00983F66"/>
    <w:rsid w:val="009853E1"/>
    <w:rsid w:val="00986E6B"/>
    <w:rsid w:val="00991769"/>
    <w:rsid w:val="009942CB"/>
    <w:rsid w:val="00994386"/>
    <w:rsid w:val="00996E6E"/>
    <w:rsid w:val="00997D01"/>
    <w:rsid w:val="009A11B2"/>
    <w:rsid w:val="009A13D8"/>
    <w:rsid w:val="009A1F46"/>
    <w:rsid w:val="009A279E"/>
    <w:rsid w:val="009B0A6F"/>
    <w:rsid w:val="009B0A94"/>
    <w:rsid w:val="009B59E9"/>
    <w:rsid w:val="009B70AA"/>
    <w:rsid w:val="009C7A7E"/>
    <w:rsid w:val="009D02E8"/>
    <w:rsid w:val="009D1AC2"/>
    <w:rsid w:val="009D4597"/>
    <w:rsid w:val="009D51D0"/>
    <w:rsid w:val="009D70A4"/>
    <w:rsid w:val="009E08D1"/>
    <w:rsid w:val="009E1B95"/>
    <w:rsid w:val="009E496F"/>
    <w:rsid w:val="009E4B0D"/>
    <w:rsid w:val="009E7F92"/>
    <w:rsid w:val="009F02A3"/>
    <w:rsid w:val="009F146D"/>
    <w:rsid w:val="009F2F27"/>
    <w:rsid w:val="009F34AA"/>
    <w:rsid w:val="009F6BCB"/>
    <w:rsid w:val="009F72FF"/>
    <w:rsid w:val="009F7B78"/>
    <w:rsid w:val="00A0057A"/>
    <w:rsid w:val="00A0319C"/>
    <w:rsid w:val="00A11421"/>
    <w:rsid w:val="00A14A03"/>
    <w:rsid w:val="00A157B1"/>
    <w:rsid w:val="00A22229"/>
    <w:rsid w:val="00A34221"/>
    <w:rsid w:val="00A375E0"/>
    <w:rsid w:val="00A44882"/>
    <w:rsid w:val="00A45A04"/>
    <w:rsid w:val="00A54396"/>
    <w:rsid w:val="00A54715"/>
    <w:rsid w:val="00A6061C"/>
    <w:rsid w:val="00A62D44"/>
    <w:rsid w:val="00A65A88"/>
    <w:rsid w:val="00A67263"/>
    <w:rsid w:val="00A7161C"/>
    <w:rsid w:val="00A77AA3"/>
    <w:rsid w:val="00A854EB"/>
    <w:rsid w:val="00A872E5"/>
    <w:rsid w:val="00A91406"/>
    <w:rsid w:val="00A96E65"/>
    <w:rsid w:val="00A97C72"/>
    <w:rsid w:val="00AA4D82"/>
    <w:rsid w:val="00AA5995"/>
    <w:rsid w:val="00AA63D4"/>
    <w:rsid w:val="00AA7D02"/>
    <w:rsid w:val="00AB06E8"/>
    <w:rsid w:val="00AB1CD3"/>
    <w:rsid w:val="00AB352F"/>
    <w:rsid w:val="00AC274B"/>
    <w:rsid w:val="00AC2BD1"/>
    <w:rsid w:val="00AC3FCB"/>
    <w:rsid w:val="00AC4764"/>
    <w:rsid w:val="00AC6D36"/>
    <w:rsid w:val="00AD0CBA"/>
    <w:rsid w:val="00AD26E2"/>
    <w:rsid w:val="00AD6F50"/>
    <w:rsid w:val="00AD784C"/>
    <w:rsid w:val="00AE126A"/>
    <w:rsid w:val="00AE3005"/>
    <w:rsid w:val="00AE3BD5"/>
    <w:rsid w:val="00AE59A0"/>
    <w:rsid w:val="00AE7471"/>
    <w:rsid w:val="00AF0C57"/>
    <w:rsid w:val="00AF171B"/>
    <w:rsid w:val="00AF26F3"/>
    <w:rsid w:val="00AF5F04"/>
    <w:rsid w:val="00B00672"/>
    <w:rsid w:val="00B01B4D"/>
    <w:rsid w:val="00B02699"/>
    <w:rsid w:val="00B02FF0"/>
    <w:rsid w:val="00B06571"/>
    <w:rsid w:val="00B068BA"/>
    <w:rsid w:val="00B13785"/>
    <w:rsid w:val="00B13851"/>
    <w:rsid w:val="00B13B1C"/>
    <w:rsid w:val="00B16018"/>
    <w:rsid w:val="00B16975"/>
    <w:rsid w:val="00B22291"/>
    <w:rsid w:val="00B23F9A"/>
    <w:rsid w:val="00B2417B"/>
    <w:rsid w:val="00B24E6F"/>
    <w:rsid w:val="00B26CB5"/>
    <w:rsid w:val="00B2752E"/>
    <w:rsid w:val="00B307CC"/>
    <w:rsid w:val="00B326B7"/>
    <w:rsid w:val="00B35F2D"/>
    <w:rsid w:val="00B431E8"/>
    <w:rsid w:val="00B45141"/>
    <w:rsid w:val="00B5273A"/>
    <w:rsid w:val="00B56AE3"/>
    <w:rsid w:val="00B6014F"/>
    <w:rsid w:val="00B62B50"/>
    <w:rsid w:val="00B635B7"/>
    <w:rsid w:val="00B63AE8"/>
    <w:rsid w:val="00B65950"/>
    <w:rsid w:val="00B66D83"/>
    <w:rsid w:val="00B672C0"/>
    <w:rsid w:val="00B75646"/>
    <w:rsid w:val="00B8116B"/>
    <w:rsid w:val="00B90729"/>
    <w:rsid w:val="00B907DA"/>
    <w:rsid w:val="00B949B5"/>
    <w:rsid w:val="00B94D3B"/>
    <w:rsid w:val="00B950BC"/>
    <w:rsid w:val="00B9714C"/>
    <w:rsid w:val="00BA0F9C"/>
    <w:rsid w:val="00BA3F8D"/>
    <w:rsid w:val="00BB2A0C"/>
    <w:rsid w:val="00BB7A10"/>
    <w:rsid w:val="00BC7468"/>
    <w:rsid w:val="00BC76D6"/>
    <w:rsid w:val="00BC7D4F"/>
    <w:rsid w:val="00BC7ED7"/>
    <w:rsid w:val="00BD24A5"/>
    <w:rsid w:val="00BD2850"/>
    <w:rsid w:val="00BD2A1F"/>
    <w:rsid w:val="00BE03A7"/>
    <w:rsid w:val="00BE2550"/>
    <w:rsid w:val="00BE28D2"/>
    <w:rsid w:val="00BE4A64"/>
    <w:rsid w:val="00BE5224"/>
    <w:rsid w:val="00BF7F58"/>
    <w:rsid w:val="00C004E0"/>
    <w:rsid w:val="00C01271"/>
    <w:rsid w:val="00C01381"/>
    <w:rsid w:val="00C045DB"/>
    <w:rsid w:val="00C079B8"/>
    <w:rsid w:val="00C123EA"/>
    <w:rsid w:val="00C12A49"/>
    <w:rsid w:val="00C133EE"/>
    <w:rsid w:val="00C22936"/>
    <w:rsid w:val="00C27DE9"/>
    <w:rsid w:val="00C33388"/>
    <w:rsid w:val="00C35484"/>
    <w:rsid w:val="00C4173A"/>
    <w:rsid w:val="00C556FC"/>
    <w:rsid w:val="00C55E24"/>
    <w:rsid w:val="00C57880"/>
    <w:rsid w:val="00C602FF"/>
    <w:rsid w:val="00C61174"/>
    <w:rsid w:val="00C6148F"/>
    <w:rsid w:val="00C62F7A"/>
    <w:rsid w:val="00C63B9C"/>
    <w:rsid w:val="00C642FD"/>
    <w:rsid w:val="00C6574D"/>
    <w:rsid w:val="00C6682F"/>
    <w:rsid w:val="00C71725"/>
    <w:rsid w:val="00C7275E"/>
    <w:rsid w:val="00C72900"/>
    <w:rsid w:val="00C74C5D"/>
    <w:rsid w:val="00C80699"/>
    <w:rsid w:val="00C863C4"/>
    <w:rsid w:val="00C874AE"/>
    <w:rsid w:val="00C93C3E"/>
    <w:rsid w:val="00C94C40"/>
    <w:rsid w:val="00CA12E3"/>
    <w:rsid w:val="00CA5B7D"/>
    <w:rsid w:val="00CA6611"/>
    <w:rsid w:val="00CA6AE6"/>
    <w:rsid w:val="00CA782F"/>
    <w:rsid w:val="00CC09E5"/>
    <w:rsid w:val="00CC0C72"/>
    <w:rsid w:val="00CC2BFD"/>
    <w:rsid w:val="00CC56AC"/>
    <w:rsid w:val="00CD3476"/>
    <w:rsid w:val="00CD64DF"/>
    <w:rsid w:val="00CE7166"/>
    <w:rsid w:val="00CF2F50"/>
    <w:rsid w:val="00D00926"/>
    <w:rsid w:val="00D02919"/>
    <w:rsid w:val="00D04C61"/>
    <w:rsid w:val="00D05B8D"/>
    <w:rsid w:val="00D065A2"/>
    <w:rsid w:val="00D07F00"/>
    <w:rsid w:val="00D14F71"/>
    <w:rsid w:val="00D16F5C"/>
    <w:rsid w:val="00D17B72"/>
    <w:rsid w:val="00D30AAD"/>
    <w:rsid w:val="00D3185C"/>
    <w:rsid w:val="00D330F6"/>
    <w:rsid w:val="00D33E72"/>
    <w:rsid w:val="00D35BD6"/>
    <w:rsid w:val="00D361B5"/>
    <w:rsid w:val="00D411A2"/>
    <w:rsid w:val="00D4606D"/>
    <w:rsid w:val="00D50B9C"/>
    <w:rsid w:val="00D52D73"/>
    <w:rsid w:val="00D52E58"/>
    <w:rsid w:val="00D60980"/>
    <w:rsid w:val="00D714CC"/>
    <w:rsid w:val="00D71F29"/>
    <w:rsid w:val="00D75EA7"/>
    <w:rsid w:val="00D81F21"/>
    <w:rsid w:val="00D838F2"/>
    <w:rsid w:val="00D846D3"/>
    <w:rsid w:val="00D85AC1"/>
    <w:rsid w:val="00D872A7"/>
    <w:rsid w:val="00D9110A"/>
    <w:rsid w:val="00D93C8B"/>
    <w:rsid w:val="00D95470"/>
    <w:rsid w:val="00DA2619"/>
    <w:rsid w:val="00DA2945"/>
    <w:rsid w:val="00DA4239"/>
    <w:rsid w:val="00DB0B61"/>
    <w:rsid w:val="00DB35FD"/>
    <w:rsid w:val="00DB62C5"/>
    <w:rsid w:val="00DC090B"/>
    <w:rsid w:val="00DC1679"/>
    <w:rsid w:val="00DC2012"/>
    <w:rsid w:val="00DC2CF1"/>
    <w:rsid w:val="00DC30DF"/>
    <w:rsid w:val="00DC4FCF"/>
    <w:rsid w:val="00DC50E0"/>
    <w:rsid w:val="00DC6386"/>
    <w:rsid w:val="00DD1130"/>
    <w:rsid w:val="00DD1951"/>
    <w:rsid w:val="00DD2CB4"/>
    <w:rsid w:val="00DD6628"/>
    <w:rsid w:val="00DE0F6F"/>
    <w:rsid w:val="00DE3250"/>
    <w:rsid w:val="00DE3DC1"/>
    <w:rsid w:val="00DE6028"/>
    <w:rsid w:val="00DE78A3"/>
    <w:rsid w:val="00DF1A71"/>
    <w:rsid w:val="00DF68C7"/>
    <w:rsid w:val="00DF731A"/>
    <w:rsid w:val="00E00A3F"/>
    <w:rsid w:val="00E169AC"/>
    <w:rsid w:val="00E170DC"/>
    <w:rsid w:val="00E255B6"/>
    <w:rsid w:val="00E26818"/>
    <w:rsid w:val="00E27FFC"/>
    <w:rsid w:val="00E30B15"/>
    <w:rsid w:val="00E32E1D"/>
    <w:rsid w:val="00E3492B"/>
    <w:rsid w:val="00E36E33"/>
    <w:rsid w:val="00E40181"/>
    <w:rsid w:val="00E40AD9"/>
    <w:rsid w:val="00E42E8F"/>
    <w:rsid w:val="00E44106"/>
    <w:rsid w:val="00E45E15"/>
    <w:rsid w:val="00E46E0D"/>
    <w:rsid w:val="00E51195"/>
    <w:rsid w:val="00E54852"/>
    <w:rsid w:val="00E56A01"/>
    <w:rsid w:val="00E629A1"/>
    <w:rsid w:val="00E71591"/>
    <w:rsid w:val="00E73DDE"/>
    <w:rsid w:val="00E756D8"/>
    <w:rsid w:val="00E82C55"/>
    <w:rsid w:val="00E84A30"/>
    <w:rsid w:val="00E92AC3"/>
    <w:rsid w:val="00E95A5C"/>
    <w:rsid w:val="00EA0031"/>
    <w:rsid w:val="00EA64B1"/>
    <w:rsid w:val="00EB00E0"/>
    <w:rsid w:val="00EB0554"/>
    <w:rsid w:val="00EB08AB"/>
    <w:rsid w:val="00EB3403"/>
    <w:rsid w:val="00EC059F"/>
    <w:rsid w:val="00EC1F24"/>
    <w:rsid w:val="00EC22F6"/>
    <w:rsid w:val="00EC548A"/>
    <w:rsid w:val="00ED5B9B"/>
    <w:rsid w:val="00ED6BAD"/>
    <w:rsid w:val="00ED7447"/>
    <w:rsid w:val="00EE1488"/>
    <w:rsid w:val="00EE4D5D"/>
    <w:rsid w:val="00EE5131"/>
    <w:rsid w:val="00EE6FF5"/>
    <w:rsid w:val="00EE7044"/>
    <w:rsid w:val="00EF109B"/>
    <w:rsid w:val="00EF36AF"/>
    <w:rsid w:val="00F00F9C"/>
    <w:rsid w:val="00F01E5F"/>
    <w:rsid w:val="00F02ABA"/>
    <w:rsid w:val="00F0437A"/>
    <w:rsid w:val="00F11037"/>
    <w:rsid w:val="00F139F1"/>
    <w:rsid w:val="00F155C3"/>
    <w:rsid w:val="00F16F1B"/>
    <w:rsid w:val="00F212D6"/>
    <w:rsid w:val="00F250A9"/>
    <w:rsid w:val="00F26C95"/>
    <w:rsid w:val="00F30FA5"/>
    <w:rsid w:val="00F30FF4"/>
    <w:rsid w:val="00F3122E"/>
    <w:rsid w:val="00F32473"/>
    <w:rsid w:val="00F3281F"/>
    <w:rsid w:val="00F331AD"/>
    <w:rsid w:val="00F35287"/>
    <w:rsid w:val="00F43A37"/>
    <w:rsid w:val="00F4641B"/>
    <w:rsid w:val="00F46EB8"/>
    <w:rsid w:val="00F47430"/>
    <w:rsid w:val="00F4787B"/>
    <w:rsid w:val="00F50631"/>
    <w:rsid w:val="00F508DD"/>
    <w:rsid w:val="00F50EDF"/>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563B"/>
    <w:rsid w:val="00F85F8F"/>
    <w:rsid w:val="00F870DA"/>
    <w:rsid w:val="00F938BA"/>
    <w:rsid w:val="00FA2B03"/>
    <w:rsid w:val="00FA2C46"/>
    <w:rsid w:val="00FA3525"/>
    <w:rsid w:val="00FB176B"/>
    <w:rsid w:val="00FB4CDA"/>
    <w:rsid w:val="00FB7A93"/>
    <w:rsid w:val="00FC0B94"/>
    <w:rsid w:val="00FC0F81"/>
    <w:rsid w:val="00FC3848"/>
    <w:rsid w:val="00FC395C"/>
    <w:rsid w:val="00FC79E1"/>
    <w:rsid w:val="00FD3766"/>
    <w:rsid w:val="00FD47C4"/>
    <w:rsid w:val="00FE2592"/>
    <w:rsid w:val="00FE2DCF"/>
    <w:rsid w:val="00FF2FCE"/>
    <w:rsid w:val="00FF4F7D"/>
    <w:rsid w:val="00FF6D9D"/>
    <w:rsid w:val="00FF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uiPriority="72" w:unhideWhenUsed="0" w:qFormat="1"/>
    <w:lsdException w:name="Colorful Grid" w:uiPriority="73" w:unhideWhenUsed="0" w:qFormat="1"/>
    <w:lsdException w:name="Light Shading Accent 1"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uiPriority="65" w:unhideWhenUsed="0" w:qFormat="1"/>
    <w:lsdException w:name="Medium List 2 Accent 6" w:uiPriority="66" w:unhideWhenUsed="0" w:qFormat="1"/>
    <w:lsdException w:name="Medium Grid 1 Accent 6" w:uiPriority="67" w:unhideWhenUsed="0" w:qFormat="1"/>
    <w:lsdException w:name="Medium Grid 2 Accent 6" w:uiPriority="68" w:unhideWhenUsed="0" w:qFormat="1"/>
    <w:lsdException w:name="Medium Grid 3 Accent 6" w:uiPriority="69" w:unhideWhenUsed="0" w:qFormat="1"/>
    <w:lsdException w:name="Dark List Accent 6"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qFormat="1"/>
    <w:lsdException w:name="Intense Emphasis" w:semiHidden="0" w:uiPriority="44" w:unhideWhenUsed="0" w:qFormat="1"/>
    <w:lsdException w:name="Subtle Reference" w:semiHidden="0" w:uiPriority="45" w:unhideWhenUsed="0" w:qFormat="1"/>
    <w:lsdException w:name="Intense Reference" w:semiHidden="0" w:uiPriority="40" w:unhideWhenUsed="0" w:qFormat="1"/>
    <w:lsdException w:name="Book Title" w:semiHidden="0" w:uiPriority="46" w:unhideWhenUsed="0" w:qFormat="1"/>
    <w:lsdException w:name="Bibliography" w:semiHidden="0" w:uiPriority="47" w:unhideWhenUsed="0"/>
    <w:lsdException w:name="TOC Heading" w:uiPriority="48" w:qFormat="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DC2012"/>
    <w:pPr>
      <w:keepNext/>
      <w:keepLines/>
      <w:spacing w:before="320" w:after="200" w:line="440" w:lineRule="atLeast"/>
      <w:outlineLvl w:val="0"/>
    </w:pPr>
    <w:rPr>
      <w:rFonts w:ascii="Arial" w:eastAsia="MS Gothic" w:hAnsi="Arial" w:cs="Arial"/>
      <w:bCs/>
      <w:color w:val="15354D"/>
      <w:kern w:val="32"/>
      <w:sz w:val="36"/>
      <w:szCs w:val="40"/>
      <w:lang w:eastAsia="en-US"/>
    </w:rPr>
  </w:style>
  <w:style w:type="paragraph" w:styleId="Heading2">
    <w:name w:val="heading 2"/>
    <w:next w:val="DHHSbody"/>
    <w:link w:val="Heading2Char"/>
    <w:uiPriority w:val="1"/>
    <w:qFormat/>
    <w:rsid w:val="00DC2012"/>
    <w:pPr>
      <w:keepNext/>
      <w:keepLines/>
      <w:spacing w:before="240" w:after="90" w:line="320" w:lineRule="atLeast"/>
      <w:outlineLvl w:val="1"/>
    </w:pPr>
    <w:rPr>
      <w:rFonts w:ascii="Arial" w:hAnsi="Arial"/>
      <w:b/>
      <w:color w:val="15354D"/>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C2012"/>
    <w:rPr>
      <w:rFonts w:ascii="Arial" w:eastAsia="MS Gothic" w:hAnsi="Arial" w:cs="Arial"/>
      <w:bCs/>
      <w:color w:val="15354D"/>
      <w:kern w:val="32"/>
      <w:sz w:val="36"/>
      <w:szCs w:val="40"/>
    </w:rPr>
  </w:style>
  <w:style w:type="character" w:customStyle="1" w:styleId="Heading2Char">
    <w:name w:val="Heading 2 Char"/>
    <w:link w:val="Heading2"/>
    <w:uiPriority w:val="1"/>
    <w:rsid w:val="00DC2012"/>
    <w:rPr>
      <w:rFonts w:ascii="Arial" w:hAnsi="Arial"/>
      <w:b/>
      <w:color w:val="15354D"/>
      <w:sz w:val="28"/>
      <w:szCs w:val="28"/>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99"/>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C2012"/>
    <w:pPr>
      <w:spacing w:before="0" w:after="200"/>
      <w:outlineLvl w:val="9"/>
    </w:pPr>
  </w:style>
  <w:style w:type="character" w:customStyle="1" w:styleId="DHHSTOCheadingfactsheetChar">
    <w:name w:val="DHHS TOC heading fact sheet Char"/>
    <w:link w:val="DHHSTOCheadingfactsheet"/>
    <w:uiPriority w:val="4"/>
    <w:rsid w:val="00DC2012"/>
    <w:rPr>
      <w:rFonts w:ascii="Arial" w:hAnsi="Arial"/>
      <w:b/>
      <w:color w:val="15354D"/>
      <w:sz w:val="28"/>
      <w:szCs w:val="28"/>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99"/>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C2012"/>
    <w:rPr>
      <w:rFonts w:ascii="Lucida Grande" w:hAnsi="Lucida Grande" w:cs="Lucida Grande"/>
      <w:sz w:val="18"/>
      <w:szCs w:val="18"/>
    </w:rPr>
  </w:style>
  <w:style w:type="character" w:customStyle="1" w:styleId="BalloonTextChar">
    <w:name w:val="Balloon Text Char"/>
    <w:link w:val="BalloonText"/>
    <w:uiPriority w:val="99"/>
    <w:semiHidden/>
    <w:rsid w:val="00DC2012"/>
    <w:rPr>
      <w:rFonts w:ascii="Lucida Grande" w:hAnsi="Lucida Grande" w:cs="Lucida Grande"/>
      <w:sz w:val="18"/>
      <w:szCs w:val="18"/>
    </w:rPr>
  </w:style>
  <w:style w:type="character" w:customStyle="1" w:styleId="DHHSbodyChar">
    <w:name w:val="DHHS body Char"/>
    <w:link w:val="DHHSbody"/>
    <w:uiPriority w:val="99"/>
    <w:locked/>
    <w:rsid w:val="00F30FA5"/>
    <w:rPr>
      <w:rFonts w:ascii="Arial" w:eastAsia="Times" w:hAnsi="Arial"/>
    </w:rPr>
  </w:style>
  <w:style w:type="paragraph" w:customStyle="1" w:styleId="ColorfulList-Accent11">
    <w:name w:val="Colorful List - Accent 11"/>
    <w:basedOn w:val="Normal"/>
    <w:uiPriority w:val="99"/>
    <w:qFormat/>
    <w:rsid w:val="00F30FA5"/>
    <w:pPr>
      <w:ind w:left="720"/>
      <w:contextualSpacing/>
    </w:pPr>
  </w:style>
  <w:style w:type="numbering" w:customStyle="1" w:styleId="Bullets">
    <w:name w:val="Bullets"/>
    <w:rsid w:val="00F30FA5"/>
    <w:pPr>
      <w:numPr>
        <w:numId w:val="9"/>
      </w:numPr>
    </w:pPr>
  </w:style>
  <w:style w:type="character" w:styleId="CommentReference">
    <w:name w:val="annotation reference"/>
    <w:uiPriority w:val="99"/>
    <w:semiHidden/>
    <w:unhideWhenUsed/>
    <w:rsid w:val="00C22936"/>
    <w:rPr>
      <w:sz w:val="16"/>
      <w:szCs w:val="16"/>
    </w:rPr>
  </w:style>
  <w:style w:type="paragraph" w:styleId="CommentText">
    <w:name w:val="annotation text"/>
    <w:basedOn w:val="Normal"/>
    <w:link w:val="CommentTextChar"/>
    <w:uiPriority w:val="99"/>
    <w:semiHidden/>
    <w:unhideWhenUsed/>
    <w:rsid w:val="00C22936"/>
  </w:style>
  <w:style w:type="character" w:customStyle="1" w:styleId="CommentTextChar">
    <w:name w:val="Comment Text Char"/>
    <w:link w:val="CommentText"/>
    <w:uiPriority w:val="99"/>
    <w:semiHidden/>
    <w:rsid w:val="00C2293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22936"/>
    <w:rPr>
      <w:b/>
      <w:bCs/>
    </w:rPr>
  </w:style>
  <w:style w:type="character" w:customStyle="1" w:styleId="CommentSubjectChar">
    <w:name w:val="Comment Subject Char"/>
    <w:link w:val="CommentSubject"/>
    <w:uiPriority w:val="99"/>
    <w:semiHidden/>
    <w:rsid w:val="00C22936"/>
    <w:rPr>
      <w:rFonts w:ascii="Cambria" w:hAnsi="Cambria"/>
      <w:b/>
      <w:bCs/>
      <w:lang w:eastAsia="en-US"/>
    </w:rPr>
  </w:style>
  <w:style w:type="numbering" w:customStyle="1" w:styleId="ZZBullets1">
    <w:name w:val="ZZ Bullets1"/>
    <w:rsid w:val="00444A00"/>
  </w:style>
  <w:style w:type="numbering" w:customStyle="1" w:styleId="ZZBullets2">
    <w:name w:val="ZZ Bullets2"/>
    <w:rsid w:val="00983847"/>
  </w:style>
  <w:style w:type="numbering" w:customStyle="1" w:styleId="ZZBullets3">
    <w:name w:val="ZZ Bullets3"/>
    <w:rsid w:val="00983847"/>
  </w:style>
  <w:style w:type="numbering" w:customStyle="1" w:styleId="ZZBullets4">
    <w:name w:val="ZZ Bullets4"/>
    <w:rsid w:val="00F50EDF"/>
  </w:style>
  <w:style w:type="numbering" w:customStyle="1" w:styleId="ZZBullets5">
    <w:name w:val="ZZ Bullets5"/>
    <w:rsid w:val="00BD2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uiPriority="72" w:unhideWhenUsed="0" w:qFormat="1"/>
    <w:lsdException w:name="Colorful Grid" w:uiPriority="73" w:unhideWhenUsed="0" w:qFormat="1"/>
    <w:lsdException w:name="Light Shading Accent 1"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uiPriority="65" w:unhideWhenUsed="0" w:qFormat="1"/>
    <w:lsdException w:name="Medium List 2 Accent 6" w:uiPriority="66" w:unhideWhenUsed="0" w:qFormat="1"/>
    <w:lsdException w:name="Medium Grid 1 Accent 6" w:uiPriority="67" w:unhideWhenUsed="0" w:qFormat="1"/>
    <w:lsdException w:name="Medium Grid 2 Accent 6" w:uiPriority="68" w:unhideWhenUsed="0" w:qFormat="1"/>
    <w:lsdException w:name="Medium Grid 3 Accent 6" w:uiPriority="69" w:unhideWhenUsed="0" w:qFormat="1"/>
    <w:lsdException w:name="Dark List Accent 6" w:uiPriority="70" w:unhideWhenUsed="0"/>
    <w:lsdException w:name="Colorful Shading Accent 6" w:uiPriority="71" w:qFormat="1"/>
    <w:lsdException w:name="Colorful List Accent 6" w:semiHidden="0" w:uiPriority="41" w:unhideWhenUsed="0"/>
    <w:lsdException w:name="Colorful Grid Accent 6" w:semiHidden="0" w:uiPriority="42" w:unhideWhenUsed="0"/>
    <w:lsdException w:name="Subtle Emphasis" w:semiHidden="0" w:uiPriority="43" w:unhideWhenUsed="0" w:qFormat="1"/>
    <w:lsdException w:name="Intense Emphasis" w:semiHidden="0" w:uiPriority="44" w:unhideWhenUsed="0" w:qFormat="1"/>
    <w:lsdException w:name="Subtle Reference" w:semiHidden="0" w:uiPriority="45" w:unhideWhenUsed="0" w:qFormat="1"/>
    <w:lsdException w:name="Intense Reference" w:semiHidden="0" w:uiPriority="40" w:unhideWhenUsed="0" w:qFormat="1"/>
    <w:lsdException w:name="Book Title" w:semiHidden="0" w:uiPriority="46" w:unhideWhenUsed="0" w:qFormat="1"/>
    <w:lsdException w:name="Bibliography" w:semiHidden="0" w:uiPriority="47" w:unhideWhenUsed="0"/>
    <w:lsdException w:name="TOC Heading" w:uiPriority="48" w:qFormat="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DC2012"/>
    <w:pPr>
      <w:keepNext/>
      <w:keepLines/>
      <w:spacing w:before="320" w:after="200" w:line="440" w:lineRule="atLeast"/>
      <w:outlineLvl w:val="0"/>
    </w:pPr>
    <w:rPr>
      <w:rFonts w:ascii="Arial" w:eastAsia="MS Gothic" w:hAnsi="Arial" w:cs="Arial"/>
      <w:bCs/>
      <w:color w:val="15354D"/>
      <w:kern w:val="32"/>
      <w:sz w:val="36"/>
      <w:szCs w:val="40"/>
      <w:lang w:eastAsia="en-US"/>
    </w:rPr>
  </w:style>
  <w:style w:type="paragraph" w:styleId="Heading2">
    <w:name w:val="heading 2"/>
    <w:next w:val="DHHSbody"/>
    <w:link w:val="Heading2Char"/>
    <w:uiPriority w:val="1"/>
    <w:qFormat/>
    <w:rsid w:val="00DC2012"/>
    <w:pPr>
      <w:keepNext/>
      <w:keepLines/>
      <w:spacing w:before="240" w:after="90" w:line="320" w:lineRule="atLeast"/>
      <w:outlineLvl w:val="1"/>
    </w:pPr>
    <w:rPr>
      <w:rFonts w:ascii="Arial" w:hAnsi="Arial"/>
      <w:b/>
      <w:color w:val="15354D"/>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9"/>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DC2012"/>
    <w:rPr>
      <w:rFonts w:ascii="Arial" w:eastAsia="MS Gothic" w:hAnsi="Arial" w:cs="Arial"/>
      <w:bCs/>
      <w:color w:val="15354D"/>
      <w:kern w:val="32"/>
      <w:sz w:val="36"/>
      <w:szCs w:val="40"/>
    </w:rPr>
  </w:style>
  <w:style w:type="character" w:customStyle="1" w:styleId="Heading2Char">
    <w:name w:val="Heading 2 Char"/>
    <w:link w:val="Heading2"/>
    <w:uiPriority w:val="1"/>
    <w:rsid w:val="00DC2012"/>
    <w:rPr>
      <w:rFonts w:ascii="Arial" w:hAnsi="Arial"/>
      <w:b/>
      <w:color w:val="15354D"/>
      <w:sz w:val="28"/>
      <w:szCs w:val="28"/>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99"/>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rPr>
      <w:lang w:bidi="x-none"/>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C2012"/>
    <w:pPr>
      <w:spacing w:before="0" w:after="200"/>
      <w:outlineLvl w:val="9"/>
    </w:pPr>
  </w:style>
  <w:style w:type="character" w:customStyle="1" w:styleId="DHHSTOCheadingfactsheetChar">
    <w:name w:val="DHHS TOC heading fact sheet Char"/>
    <w:link w:val="DHHSTOCheadingfactsheet"/>
    <w:uiPriority w:val="4"/>
    <w:rsid w:val="00DC2012"/>
    <w:rPr>
      <w:rFonts w:ascii="Arial" w:hAnsi="Arial"/>
      <w:b/>
      <w:color w:val="15354D"/>
      <w:sz w:val="28"/>
      <w:szCs w:val="28"/>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99"/>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99"/>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99"/>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DC2012"/>
    <w:rPr>
      <w:rFonts w:ascii="Lucida Grande" w:hAnsi="Lucida Grande" w:cs="Lucida Grande"/>
      <w:sz w:val="18"/>
      <w:szCs w:val="18"/>
    </w:rPr>
  </w:style>
  <w:style w:type="character" w:customStyle="1" w:styleId="BalloonTextChar">
    <w:name w:val="Balloon Text Char"/>
    <w:link w:val="BalloonText"/>
    <w:uiPriority w:val="99"/>
    <w:semiHidden/>
    <w:rsid w:val="00DC2012"/>
    <w:rPr>
      <w:rFonts w:ascii="Lucida Grande" w:hAnsi="Lucida Grande" w:cs="Lucida Grande"/>
      <w:sz w:val="18"/>
      <w:szCs w:val="18"/>
    </w:rPr>
  </w:style>
  <w:style w:type="character" w:customStyle="1" w:styleId="DHHSbodyChar">
    <w:name w:val="DHHS body Char"/>
    <w:link w:val="DHHSbody"/>
    <w:uiPriority w:val="99"/>
    <w:locked/>
    <w:rsid w:val="00F30FA5"/>
    <w:rPr>
      <w:rFonts w:ascii="Arial" w:eastAsia="Times" w:hAnsi="Arial"/>
    </w:rPr>
  </w:style>
  <w:style w:type="paragraph" w:customStyle="1" w:styleId="ColorfulList-Accent11">
    <w:name w:val="Colorful List - Accent 11"/>
    <w:basedOn w:val="Normal"/>
    <w:uiPriority w:val="99"/>
    <w:qFormat/>
    <w:rsid w:val="00F30FA5"/>
    <w:pPr>
      <w:ind w:left="720"/>
      <w:contextualSpacing/>
    </w:pPr>
  </w:style>
  <w:style w:type="numbering" w:customStyle="1" w:styleId="Bullets">
    <w:name w:val="Bullets"/>
    <w:rsid w:val="00F30FA5"/>
    <w:pPr>
      <w:numPr>
        <w:numId w:val="9"/>
      </w:numPr>
    </w:pPr>
  </w:style>
  <w:style w:type="character" w:styleId="CommentReference">
    <w:name w:val="annotation reference"/>
    <w:uiPriority w:val="99"/>
    <w:semiHidden/>
    <w:unhideWhenUsed/>
    <w:rsid w:val="00C22936"/>
    <w:rPr>
      <w:sz w:val="16"/>
      <w:szCs w:val="16"/>
    </w:rPr>
  </w:style>
  <w:style w:type="paragraph" w:styleId="CommentText">
    <w:name w:val="annotation text"/>
    <w:basedOn w:val="Normal"/>
    <w:link w:val="CommentTextChar"/>
    <w:uiPriority w:val="99"/>
    <w:semiHidden/>
    <w:unhideWhenUsed/>
    <w:rsid w:val="00C22936"/>
  </w:style>
  <w:style w:type="character" w:customStyle="1" w:styleId="CommentTextChar">
    <w:name w:val="Comment Text Char"/>
    <w:link w:val="CommentText"/>
    <w:uiPriority w:val="99"/>
    <w:semiHidden/>
    <w:rsid w:val="00C2293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22936"/>
    <w:rPr>
      <w:b/>
      <w:bCs/>
    </w:rPr>
  </w:style>
  <w:style w:type="character" w:customStyle="1" w:styleId="CommentSubjectChar">
    <w:name w:val="Comment Subject Char"/>
    <w:link w:val="CommentSubject"/>
    <w:uiPriority w:val="99"/>
    <w:semiHidden/>
    <w:rsid w:val="00C22936"/>
    <w:rPr>
      <w:rFonts w:ascii="Cambria" w:hAnsi="Cambria"/>
      <w:b/>
      <w:bCs/>
      <w:lang w:eastAsia="en-US"/>
    </w:rPr>
  </w:style>
  <w:style w:type="numbering" w:customStyle="1" w:styleId="ZZBullets1">
    <w:name w:val="ZZ Bullets1"/>
    <w:rsid w:val="00444A00"/>
  </w:style>
  <w:style w:type="numbering" w:customStyle="1" w:styleId="ZZBullets2">
    <w:name w:val="ZZ Bullets2"/>
    <w:rsid w:val="00983847"/>
  </w:style>
  <w:style w:type="numbering" w:customStyle="1" w:styleId="ZZBullets3">
    <w:name w:val="ZZ Bullets3"/>
    <w:rsid w:val="00983847"/>
  </w:style>
  <w:style w:type="numbering" w:customStyle="1" w:styleId="ZZBullets4">
    <w:name w:val="ZZ Bullets4"/>
    <w:rsid w:val="00F50EDF"/>
  </w:style>
  <w:style w:type="numbering" w:customStyle="1" w:styleId="ZZBullets5">
    <w:name w:val="ZZ Bullets5"/>
    <w:rsid w:val="00BD2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ac.dhhs.vic.gov.au/making-client-focused-decisions" TargetMode="External"/><Relationship Id="rId18" Type="http://schemas.openxmlformats.org/officeDocument/2006/relationships/hyperlink" Target="http://www.housing.vic.gov.au/" TargetMode="External"/><Relationship Id="rId3" Type="http://schemas.microsoft.com/office/2007/relationships/stylesWithEffects" Target="stylesWithEffects.xml"/><Relationship Id="rId21" Type="http://schemas.openxmlformats.org/officeDocument/2006/relationships/hyperlink" Target="https://fac.dhhs.vic.gov.au/complaints-appeals-and-feedback-processes" TargetMode="External"/><Relationship Id="rId7" Type="http://schemas.openxmlformats.org/officeDocument/2006/relationships/endnotes" Target="endnotes.xml"/><Relationship Id="rId12" Type="http://schemas.openxmlformats.org/officeDocument/2006/relationships/hyperlink" Target="https://fac.dhhs.vic.gov.au/eligibility-policy-framework" TargetMode="External"/><Relationship Id="rId17" Type="http://schemas.openxmlformats.org/officeDocument/2006/relationships/hyperlink" Target="http://www.housing.vic.gov.au/social-housing-eligi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ousing.vic.gov.au/" TargetMode="External"/><Relationship Id="rId20" Type="http://schemas.openxmlformats.org/officeDocument/2006/relationships/hyperlink" Target="https://fac.dhhs.vic.gov.au/clients-special-accommodation-requiremen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ousing.vic.gov.au/social-housing-eligibility" TargetMode="External"/><Relationship Id="rId23" Type="http://schemas.openxmlformats.org/officeDocument/2006/relationships/hyperlink" Target="https://fac.dhhs.vic.gov.au/victorian-housing-register" TargetMode="External"/><Relationship Id="rId10" Type="http://schemas.openxmlformats.org/officeDocument/2006/relationships/header" Target="header1.xml"/><Relationship Id="rId19" Type="http://schemas.openxmlformats.org/officeDocument/2006/relationships/hyperlink" Target="https://fac.dhhs.vic.gov.au/eligibility-policy-framewor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ac.dhhs.vic.gov.au/eligibility-criteria" TargetMode="External"/><Relationship Id="rId22" Type="http://schemas.openxmlformats.org/officeDocument/2006/relationships/hyperlink" Target="mailto:VictorianHousingRegister@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1080</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Victorian Housing Register: Special Housing Needs Operational Guidelines</vt:lpstr>
    </vt:vector>
  </TitlesOfParts>
  <Company>Department of Health and Human Services</Company>
  <LinksUpToDate>false</LinksUpToDate>
  <CharactersWithSpaces>9135</CharactersWithSpaces>
  <SharedDoc>false</SharedDoc>
  <HyperlinkBase/>
  <HLinks>
    <vt:vector size="84" baseType="variant">
      <vt:variant>
        <vt:i4>5243001</vt:i4>
      </vt:variant>
      <vt:variant>
        <vt:i4>69</vt:i4>
      </vt:variant>
      <vt:variant>
        <vt:i4>0</vt:i4>
      </vt:variant>
      <vt:variant>
        <vt:i4>5</vt:i4>
      </vt:variant>
      <vt:variant>
        <vt:lpwstr>mailto:VictorianHousingRegister@dhhs.vic.gov.au</vt:lpwstr>
      </vt:variant>
      <vt:variant>
        <vt:lpwstr/>
      </vt:variant>
      <vt:variant>
        <vt:i4>7471231</vt:i4>
      </vt:variant>
      <vt:variant>
        <vt:i4>66</vt:i4>
      </vt:variant>
      <vt:variant>
        <vt:i4>0</vt:i4>
      </vt:variant>
      <vt:variant>
        <vt:i4>5</vt:i4>
      </vt:variant>
      <vt:variant>
        <vt:lpwstr>http://www.housing.vic.gov.au/</vt:lpwstr>
      </vt:variant>
      <vt:variant>
        <vt:lpwstr/>
      </vt:variant>
      <vt:variant>
        <vt:i4>4849678</vt:i4>
      </vt:variant>
      <vt:variant>
        <vt:i4>63</vt:i4>
      </vt:variant>
      <vt:variant>
        <vt:i4>0</vt:i4>
      </vt:variant>
      <vt:variant>
        <vt:i4>5</vt:i4>
      </vt:variant>
      <vt:variant>
        <vt:lpwstr>http://www.housing.vic.gov.au/social-housing-income-and-asset-limits</vt:lpwstr>
      </vt:variant>
      <vt:variant>
        <vt:lpwstr/>
      </vt:variant>
      <vt:variant>
        <vt:i4>7471231</vt:i4>
      </vt:variant>
      <vt:variant>
        <vt:i4>60</vt:i4>
      </vt:variant>
      <vt:variant>
        <vt:i4>0</vt:i4>
      </vt:variant>
      <vt:variant>
        <vt:i4>5</vt:i4>
      </vt:variant>
      <vt:variant>
        <vt:lpwstr>http://www.housing.vic.gov.au/</vt:lpwstr>
      </vt:variant>
      <vt:variant>
        <vt:lpwstr/>
      </vt:variant>
      <vt:variant>
        <vt:i4>4849678</vt:i4>
      </vt:variant>
      <vt:variant>
        <vt:i4>57</vt:i4>
      </vt:variant>
      <vt:variant>
        <vt:i4>0</vt:i4>
      </vt:variant>
      <vt:variant>
        <vt:i4>5</vt:i4>
      </vt:variant>
      <vt:variant>
        <vt:lpwstr>http://www.housing.vic.gov.au/social-housing-income-and-asset-limits</vt:lpwstr>
      </vt:variant>
      <vt:variant>
        <vt:lpwstr/>
      </vt:variant>
      <vt:variant>
        <vt:i4>1703984</vt:i4>
      </vt:variant>
      <vt:variant>
        <vt:i4>50</vt:i4>
      </vt:variant>
      <vt:variant>
        <vt:i4>0</vt:i4>
      </vt:variant>
      <vt:variant>
        <vt:i4>5</vt:i4>
      </vt:variant>
      <vt:variant>
        <vt:lpwstr/>
      </vt:variant>
      <vt:variant>
        <vt:lpwstr>_Toc497204327</vt:lpwstr>
      </vt:variant>
      <vt:variant>
        <vt:i4>1703984</vt:i4>
      </vt:variant>
      <vt:variant>
        <vt:i4>44</vt:i4>
      </vt:variant>
      <vt:variant>
        <vt:i4>0</vt:i4>
      </vt:variant>
      <vt:variant>
        <vt:i4>5</vt:i4>
      </vt:variant>
      <vt:variant>
        <vt:lpwstr/>
      </vt:variant>
      <vt:variant>
        <vt:lpwstr>_Toc497204326</vt:lpwstr>
      </vt:variant>
      <vt:variant>
        <vt:i4>1703984</vt:i4>
      </vt:variant>
      <vt:variant>
        <vt:i4>38</vt:i4>
      </vt:variant>
      <vt:variant>
        <vt:i4>0</vt:i4>
      </vt:variant>
      <vt:variant>
        <vt:i4>5</vt:i4>
      </vt:variant>
      <vt:variant>
        <vt:lpwstr/>
      </vt:variant>
      <vt:variant>
        <vt:lpwstr>_Toc497204325</vt:lpwstr>
      </vt:variant>
      <vt:variant>
        <vt:i4>1703984</vt:i4>
      </vt:variant>
      <vt:variant>
        <vt:i4>32</vt:i4>
      </vt:variant>
      <vt:variant>
        <vt:i4>0</vt:i4>
      </vt:variant>
      <vt:variant>
        <vt:i4>5</vt:i4>
      </vt:variant>
      <vt:variant>
        <vt:lpwstr/>
      </vt:variant>
      <vt:variant>
        <vt:lpwstr>_Toc497204324</vt:lpwstr>
      </vt:variant>
      <vt:variant>
        <vt:i4>1703984</vt:i4>
      </vt:variant>
      <vt:variant>
        <vt:i4>26</vt:i4>
      </vt:variant>
      <vt:variant>
        <vt:i4>0</vt:i4>
      </vt:variant>
      <vt:variant>
        <vt:i4>5</vt:i4>
      </vt:variant>
      <vt:variant>
        <vt:lpwstr/>
      </vt:variant>
      <vt:variant>
        <vt:lpwstr>_Toc497204323</vt:lpwstr>
      </vt:variant>
      <vt:variant>
        <vt:i4>1703984</vt:i4>
      </vt:variant>
      <vt:variant>
        <vt:i4>20</vt:i4>
      </vt:variant>
      <vt:variant>
        <vt:i4>0</vt:i4>
      </vt:variant>
      <vt:variant>
        <vt:i4>5</vt:i4>
      </vt:variant>
      <vt:variant>
        <vt:lpwstr/>
      </vt:variant>
      <vt:variant>
        <vt:lpwstr>_Toc497204322</vt:lpwstr>
      </vt:variant>
      <vt:variant>
        <vt:i4>1703984</vt:i4>
      </vt:variant>
      <vt:variant>
        <vt:i4>14</vt:i4>
      </vt:variant>
      <vt:variant>
        <vt:i4>0</vt:i4>
      </vt:variant>
      <vt:variant>
        <vt:i4>5</vt:i4>
      </vt:variant>
      <vt:variant>
        <vt:lpwstr/>
      </vt:variant>
      <vt:variant>
        <vt:lpwstr>_Toc497204321</vt:lpwstr>
      </vt:variant>
      <vt:variant>
        <vt:i4>1703984</vt:i4>
      </vt:variant>
      <vt:variant>
        <vt:i4>8</vt:i4>
      </vt:variant>
      <vt:variant>
        <vt:i4>0</vt:i4>
      </vt:variant>
      <vt:variant>
        <vt:i4>5</vt:i4>
      </vt:variant>
      <vt:variant>
        <vt:lpwstr/>
      </vt:variant>
      <vt:variant>
        <vt:lpwstr>_Toc497204320</vt:lpwstr>
      </vt:variant>
      <vt:variant>
        <vt:i4>1638448</vt:i4>
      </vt:variant>
      <vt:variant>
        <vt:i4>2</vt:i4>
      </vt:variant>
      <vt:variant>
        <vt:i4>0</vt:i4>
      </vt:variant>
      <vt:variant>
        <vt:i4>5</vt:i4>
      </vt:variant>
      <vt:variant>
        <vt:lpwstr/>
      </vt:variant>
      <vt:variant>
        <vt:lpwstr>_Toc497204319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Special Housing Needs Operational Guidelines</dc:title>
  <dc:creator>Victorian Housing Register, Service Implementation and Support Branch</dc:creator>
  <cp:keywords>Victorian Housing Register, Special Housing Needs, Location, Exemption, Matching Clients with Housing. Supported Accommodation, Operational Guidelines</cp:keywords>
  <cp:lastModifiedBy>Katherine O'Neill (DHHS)</cp:lastModifiedBy>
  <cp:revision>3</cp:revision>
  <cp:lastPrinted>2018-02-20T06:25:00Z</cp:lastPrinted>
  <dcterms:created xsi:type="dcterms:W3CDTF">2018-10-26T03:20:00Z</dcterms:created>
  <dcterms:modified xsi:type="dcterms:W3CDTF">2018-10-26T03:31:00Z</dcterms:modified>
  <cp:version>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