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DB" w:rsidRPr="00364B7F" w:rsidRDefault="00D401DB" w:rsidP="00D401DB">
      <w:pPr>
        <w:pStyle w:val="Heading1"/>
      </w:pPr>
      <w:bookmarkStart w:id="0" w:name="_Toc329174694"/>
      <w:bookmarkStart w:id="1" w:name="_Toc283114879"/>
      <w:r w:rsidRPr="00364B7F">
        <w:t xml:space="preserve">Record </w:t>
      </w:r>
      <w:r>
        <w:t>s</w:t>
      </w:r>
      <w:r w:rsidRPr="00364B7F">
        <w:t xml:space="preserve">torage and </w:t>
      </w:r>
      <w:r>
        <w:t>d</w:t>
      </w:r>
      <w:r w:rsidRPr="00364B7F">
        <w:t>estruction</w:t>
      </w:r>
      <w:bookmarkEnd w:id="0"/>
      <w:bookmarkEnd w:id="1"/>
    </w:p>
    <w:p w:rsidR="00D401DB" w:rsidRPr="00364B7F" w:rsidRDefault="00D401DB" w:rsidP="00EB30B9">
      <w:pPr>
        <w:pStyle w:val="Body"/>
      </w:pPr>
      <w:r w:rsidRPr="00364B7F">
        <w:t>The following table provides information on the storage and destruction requirements for safety screening information</w:t>
      </w:r>
    </w:p>
    <w:tbl>
      <w:tblPr>
        <w:tblStyle w:val="TableGrid"/>
        <w:tblW w:w="15701" w:type="dxa"/>
        <w:tblLayout w:type="fixed"/>
        <w:tblLook w:val="01E0" w:firstRow="1" w:lastRow="1" w:firstColumn="1" w:lastColumn="1" w:noHBand="0" w:noVBand="0"/>
      </w:tblPr>
      <w:tblGrid>
        <w:gridCol w:w="2243"/>
        <w:gridCol w:w="3819"/>
        <w:gridCol w:w="1927"/>
        <w:gridCol w:w="1928"/>
        <w:gridCol w:w="1928"/>
        <w:gridCol w:w="1928"/>
        <w:gridCol w:w="1928"/>
      </w:tblGrid>
      <w:tr w:rsidR="00C219E3" w:rsidRPr="00364B7F" w:rsidTr="0018238C">
        <w:trPr>
          <w:trHeight w:val="196"/>
          <w:tblHeader/>
        </w:trPr>
        <w:tc>
          <w:tcPr>
            <w:tcW w:w="2243" w:type="dxa"/>
            <w:shd w:val="clear" w:color="auto" w:fill="D9D9D9" w:themeFill="background1" w:themeFillShade="D9"/>
          </w:tcPr>
          <w:p w:rsidR="00C219E3" w:rsidRPr="00D401DB" w:rsidRDefault="00C219E3" w:rsidP="00D401DB">
            <w:pPr>
              <w:pStyle w:val="Tabletext"/>
              <w:rPr>
                <w:b/>
              </w:rPr>
            </w:pPr>
            <w:r w:rsidRPr="00D401DB">
              <w:rPr>
                <w:b/>
              </w:rPr>
              <w:t>Record</w:t>
            </w:r>
          </w:p>
        </w:tc>
        <w:tc>
          <w:tcPr>
            <w:tcW w:w="3819" w:type="dxa"/>
            <w:shd w:val="clear" w:color="auto" w:fill="D9D9D9" w:themeFill="background1" w:themeFillShade="D9"/>
          </w:tcPr>
          <w:p w:rsidR="00C219E3" w:rsidRPr="00D401DB" w:rsidRDefault="00C219E3" w:rsidP="00D401DB">
            <w:pPr>
              <w:pStyle w:val="Tabletext"/>
              <w:rPr>
                <w:b/>
              </w:rPr>
            </w:pPr>
            <w:r w:rsidRPr="00D401DB">
              <w:rPr>
                <w:b/>
              </w:rPr>
              <w:t>Detail</w:t>
            </w:r>
          </w:p>
        </w:tc>
        <w:tc>
          <w:tcPr>
            <w:tcW w:w="1927" w:type="dxa"/>
            <w:shd w:val="clear" w:color="auto" w:fill="D9D9D9" w:themeFill="background1" w:themeFillShade="D9"/>
          </w:tcPr>
          <w:p w:rsidR="00C219E3" w:rsidRPr="00D401DB" w:rsidRDefault="00C219E3" w:rsidP="0018238C">
            <w:pPr>
              <w:pStyle w:val="Tabletext"/>
              <w:rPr>
                <w:b/>
              </w:rPr>
            </w:pPr>
            <w:r w:rsidRPr="00D401DB">
              <w:rPr>
                <w:b/>
              </w:rPr>
              <w:t xml:space="preserve">Retention </w:t>
            </w:r>
            <w:r>
              <w:rPr>
                <w:b/>
              </w:rPr>
              <w:t>p</w:t>
            </w:r>
            <w:r w:rsidRPr="00D401DB">
              <w:rPr>
                <w:b/>
              </w:rPr>
              <w:t>eriod</w:t>
            </w:r>
            <w:r w:rsidR="0018238C">
              <w:rPr>
                <w:b/>
              </w:rPr>
              <w:br/>
            </w:r>
            <w:r>
              <w:rPr>
                <w:b/>
              </w:rPr>
              <w:t xml:space="preserve">– </w:t>
            </w:r>
            <w:r>
              <w:rPr>
                <w:b/>
              </w:rPr>
              <w:t>successful</w:t>
            </w:r>
          </w:p>
        </w:tc>
        <w:tc>
          <w:tcPr>
            <w:tcW w:w="1928" w:type="dxa"/>
            <w:shd w:val="clear" w:color="auto" w:fill="D9D9D9" w:themeFill="background1" w:themeFillShade="D9"/>
          </w:tcPr>
          <w:p w:rsidR="00C219E3" w:rsidRPr="00D401DB" w:rsidRDefault="00C219E3" w:rsidP="0018238C">
            <w:pPr>
              <w:pStyle w:val="Tabletext"/>
              <w:rPr>
                <w:b/>
              </w:rPr>
            </w:pPr>
            <w:r w:rsidRPr="00D401DB">
              <w:rPr>
                <w:b/>
              </w:rPr>
              <w:t xml:space="preserve">Retention </w:t>
            </w:r>
            <w:r>
              <w:rPr>
                <w:b/>
              </w:rPr>
              <w:t>p</w:t>
            </w:r>
            <w:r w:rsidRPr="00D401DB">
              <w:rPr>
                <w:b/>
              </w:rPr>
              <w:t>eriod</w:t>
            </w:r>
            <w:r>
              <w:rPr>
                <w:b/>
              </w:rPr>
              <w:t xml:space="preserve"> </w:t>
            </w:r>
            <w:r w:rsidR="0018238C">
              <w:rPr>
                <w:b/>
              </w:rPr>
              <w:br/>
            </w:r>
            <w:r>
              <w:rPr>
                <w:b/>
              </w:rPr>
              <w:t xml:space="preserve"> </w:t>
            </w:r>
            <w:r>
              <w:rPr>
                <w:b/>
              </w:rPr>
              <w:t>un</w:t>
            </w:r>
            <w:r>
              <w:rPr>
                <w:b/>
              </w:rPr>
              <w:t>successful</w:t>
            </w:r>
          </w:p>
        </w:tc>
        <w:tc>
          <w:tcPr>
            <w:tcW w:w="1928" w:type="dxa"/>
            <w:shd w:val="clear" w:color="auto" w:fill="D9D9D9" w:themeFill="background1" w:themeFillShade="D9"/>
          </w:tcPr>
          <w:p w:rsidR="00C219E3" w:rsidRPr="00D401DB" w:rsidRDefault="00C219E3" w:rsidP="0018238C">
            <w:pPr>
              <w:pStyle w:val="Tabletext"/>
              <w:rPr>
                <w:b/>
              </w:rPr>
            </w:pPr>
            <w:r w:rsidRPr="00D401DB">
              <w:rPr>
                <w:b/>
              </w:rPr>
              <w:t>Storage</w:t>
            </w:r>
            <w:r w:rsidR="0018238C">
              <w:rPr>
                <w:b/>
              </w:rPr>
              <w:t xml:space="preserve"> </w:t>
            </w:r>
            <w:r w:rsidR="0018238C">
              <w:rPr>
                <w:b/>
              </w:rPr>
              <w:br/>
            </w:r>
            <w:r>
              <w:rPr>
                <w:b/>
              </w:rPr>
              <w:t>–successful</w:t>
            </w:r>
          </w:p>
        </w:tc>
        <w:tc>
          <w:tcPr>
            <w:tcW w:w="1928" w:type="dxa"/>
            <w:shd w:val="clear" w:color="auto" w:fill="D9D9D9" w:themeFill="background1" w:themeFillShade="D9"/>
          </w:tcPr>
          <w:p w:rsidR="00C219E3" w:rsidRPr="00D401DB" w:rsidRDefault="00C219E3" w:rsidP="00C219E3">
            <w:pPr>
              <w:pStyle w:val="Tabletext"/>
              <w:rPr>
                <w:b/>
              </w:rPr>
            </w:pPr>
            <w:r w:rsidRPr="00D401DB">
              <w:rPr>
                <w:b/>
              </w:rPr>
              <w:t xml:space="preserve">Storage </w:t>
            </w:r>
            <w:r w:rsidR="0018238C">
              <w:rPr>
                <w:b/>
              </w:rPr>
              <w:br/>
            </w:r>
            <w:r>
              <w:rPr>
                <w:b/>
              </w:rPr>
              <w:t>–</w:t>
            </w:r>
            <w:r>
              <w:rPr>
                <w:b/>
              </w:rPr>
              <w:t xml:space="preserve"> </w:t>
            </w:r>
            <w:r>
              <w:rPr>
                <w:b/>
              </w:rPr>
              <w:t>unsuccessful</w:t>
            </w:r>
          </w:p>
        </w:tc>
        <w:tc>
          <w:tcPr>
            <w:tcW w:w="1928" w:type="dxa"/>
            <w:shd w:val="clear" w:color="auto" w:fill="D9D9D9" w:themeFill="background1" w:themeFillShade="D9"/>
          </w:tcPr>
          <w:p w:rsidR="00C219E3" w:rsidRPr="00D401DB" w:rsidRDefault="00C219E3" w:rsidP="00D401DB">
            <w:pPr>
              <w:pStyle w:val="Tabletext"/>
              <w:rPr>
                <w:b/>
              </w:rPr>
            </w:pPr>
            <w:r w:rsidRPr="00D401DB">
              <w:rPr>
                <w:b/>
              </w:rPr>
              <w:t>Responsibility</w:t>
            </w:r>
          </w:p>
        </w:tc>
      </w:tr>
      <w:tr w:rsidR="00C219E3" w:rsidRPr="00364B7F" w:rsidTr="00C219E3">
        <w:trPr>
          <w:trHeight w:val="994"/>
        </w:trPr>
        <w:tc>
          <w:tcPr>
            <w:tcW w:w="2243" w:type="dxa"/>
          </w:tcPr>
          <w:p w:rsidR="00C219E3" w:rsidRPr="0018238C" w:rsidRDefault="00C219E3" w:rsidP="00D401DB">
            <w:pPr>
              <w:pStyle w:val="Tabletext"/>
              <w:rPr>
                <w:b/>
                <w:szCs w:val="20"/>
              </w:rPr>
            </w:pPr>
            <w:r w:rsidRPr="0018238C">
              <w:rPr>
                <w:b/>
                <w:i/>
                <w:szCs w:val="20"/>
              </w:rPr>
              <w:t xml:space="preserve">Police check form </w:t>
            </w:r>
            <w:r w:rsidRPr="0018238C">
              <w:rPr>
                <w:b/>
                <w:szCs w:val="20"/>
              </w:rPr>
              <w:t xml:space="preserve">(incorporating the proof of identity check) </w:t>
            </w:r>
          </w:p>
        </w:tc>
        <w:tc>
          <w:tcPr>
            <w:tcW w:w="3819" w:type="dxa"/>
          </w:tcPr>
          <w:p w:rsidR="00C219E3" w:rsidRPr="00364B7F" w:rsidRDefault="00C219E3" w:rsidP="00D401DB">
            <w:pPr>
              <w:pStyle w:val="Tabletext"/>
              <w:rPr>
                <w:szCs w:val="20"/>
              </w:rPr>
            </w:pPr>
            <w:r w:rsidRPr="00364B7F">
              <w:rPr>
                <w:szCs w:val="20"/>
              </w:rPr>
              <w:t>The police check form must be signed by applicants to authorise release of information</w:t>
            </w:r>
          </w:p>
          <w:p w:rsidR="00C219E3" w:rsidRPr="00364B7F" w:rsidRDefault="00C219E3" w:rsidP="00D401DB">
            <w:pPr>
              <w:pStyle w:val="Tabletext"/>
              <w:rPr>
                <w:szCs w:val="20"/>
              </w:rPr>
            </w:pPr>
            <w:r w:rsidRPr="00364B7F">
              <w:rPr>
                <w:szCs w:val="20"/>
              </w:rPr>
              <w:t>The police check form relates only to the specific job being applied for</w:t>
            </w:r>
          </w:p>
        </w:tc>
        <w:tc>
          <w:tcPr>
            <w:tcW w:w="1927" w:type="dxa"/>
          </w:tcPr>
          <w:p w:rsidR="00C219E3" w:rsidRPr="00364B7F" w:rsidRDefault="00C219E3" w:rsidP="00D401DB">
            <w:pPr>
              <w:pStyle w:val="Tabletext"/>
              <w:rPr>
                <w:szCs w:val="20"/>
              </w:rPr>
            </w:pPr>
            <w:r w:rsidRPr="00364B7F">
              <w:rPr>
                <w:szCs w:val="20"/>
              </w:rPr>
              <w:t>No longer than 12 months following release of result, unless legislation applying to the organisation mandates a longer document retention period.</w:t>
            </w:r>
          </w:p>
        </w:tc>
        <w:tc>
          <w:tcPr>
            <w:tcW w:w="1928" w:type="dxa"/>
          </w:tcPr>
          <w:p w:rsidR="00C219E3" w:rsidRPr="00364B7F" w:rsidRDefault="00C219E3" w:rsidP="00D401DB">
            <w:pPr>
              <w:pStyle w:val="Tabletext"/>
              <w:rPr>
                <w:szCs w:val="20"/>
              </w:rPr>
            </w:pPr>
            <w:r w:rsidRPr="00364B7F">
              <w:rPr>
                <w:szCs w:val="20"/>
              </w:rPr>
              <w:t>No longer than 12 months following release of result, unless legislation applying to the organisation mandates a longer document</w:t>
            </w:r>
            <w:bookmarkStart w:id="2" w:name="_GoBack"/>
            <w:bookmarkEnd w:id="2"/>
            <w:r w:rsidRPr="00364B7F">
              <w:rPr>
                <w:szCs w:val="20"/>
              </w:rPr>
              <w:t xml:space="preserve"> retention period.</w:t>
            </w:r>
          </w:p>
        </w:tc>
        <w:tc>
          <w:tcPr>
            <w:tcW w:w="1928" w:type="dxa"/>
          </w:tcPr>
          <w:p w:rsidR="00C219E3" w:rsidRPr="00364B7F" w:rsidRDefault="00C219E3" w:rsidP="00D401DB">
            <w:pPr>
              <w:pStyle w:val="Tabletext"/>
              <w:rPr>
                <w:szCs w:val="20"/>
              </w:rPr>
            </w:pPr>
            <w:r w:rsidRPr="00364B7F">
              <w:rPr>
                <w:szCs w:val="20"/>
              </w:rPr>
              <w:t>Place on personnel file – see retention period</w:t>
            </w:r>
          </w:p>
        </w:tc>
        <w:tc>
          <w:tcPr>
            <w:tcW w:w="1928" w:type="dxa"/>
          </w:tcPr>
          <w:p w:rsidR="00C219E3" w:rsidRPr="00364B7F" w:rsidRDefault="00C219E3" w:rsidP="00D401DB">
            <w:pPr>
              <w:pStyle w:val="Tabletext"/>
              <w:rPr>
                <w:szCs w:val="20"/>
              </w:rPr>
            </w:pPr>
            <w:r w:rsidRPr="00364B7F">
              <w:rPr>
                <w:szCs w:val="20"/>
              </w:rPr>
              <w:t>Registered Recruitment file for six months</w:t>
            </w:r>
          </w:p>
        </w:tc>
        <w:tc>
          <w:tcPr>
            <w:tcW w:w="1928" w:type="dxa"/>
          </w:tcPr>
          <w:p w:rsidR="00C219E3" w:rsidRPr="00364B7F" w:rsidRDefault="00C219E3" w:rsidP="00D401DB">
            <w:pPr>
              <w:pStyle w:val="Tabletext"/>
              <w:rPr>
                <w:szCs w:val="20"/>
              </w:rPr>
            </w:pPr>
            <w:r w:rsidRPr="00364B7F">
              <w:rPr>
                <w:szCs w:val="20"/>
              </w:rPr>
              <w:t>Chairperson of selection panel or person conducting respective Human Resources function.</w:t>
            </w:r>
          </w:p>
        </w:tc>
      </w:tr>
      <w:tr w:rsidR="00C219E3" w:rsidRPr="00364B7F" w:rsidTr="00C219E3">
        <w:trPr>
          <w:trHeight w:val="798"/>
        </w:trPr>
        <w:tc>
          <w:tcPr>
            <w:tcW w:w="2243" w:type="dxa"/>
          </w:tcPr>
          <w:p w:rsidR="00C219E3" w:rsidRPr="0018238C" w:rsidRDefault="00C219E3" w:rsidP="00D401DB">
            <w:pPr>
              <w:pStyle w:val="Tabletext"/>
              <w:rPr>
                <w:b/>
                <w:szCs w:val="20"/>
              </w:rPr>
            </w:pPr>
            <w:r w:rsidRPr="0018238C">
              <w:rPr>
                <w:b/>
                <w:szCs w:val="20"/>
              </w:rPr>
              <w:t xml:space="preserve">Proof of identity documentation </w:t>
            </w:r>
          </w:p>
        </w:tc>
        <w:tc>
          <w:tcPr>
            <w:tcW w:w="3819" w:type="dxa"/>
          </w:tcPr>
          <w:p w:rsidR="00C219E3" w:rsidRPr="00364B7F" w:rsidRDefault="00C219E3" w:rsidP="00D401DB">
            <w:pPr>
              <w:pStyle w:val="Tabletext"/>
              <w:rPr>
                <w:szCs w:val="20"/>
              </w:rPr>
            </w:pPr>
            <w:r w:rsidRPr="00364B7F">
              <w:rPr>
                <w:szCs w:val="20"/>
              </w:rPr>
              <w:t>Copies of documentation to show Proof of Identity</w:t>
            </w:r>
          </w:p>
        </w:tc>
        <w:tc>
          <w:tcPr>
            <w:tcW w:w="1927" w:type="dxa"/>
          </w:tcPr>
          <w:p w:rsidR="00C219E3" w:rsidRPr="00364B7F" w:rsidRDefault="00C219E3" w:rsidP="00D401DB">
            <w:pPr>
              <w:pStyle w:val="Tabletext"/>
              <w:rPr>
                <w:szCs w:val="20"/>
              </w:rPr>
            </w:pPr>
            <w:proofErr w:type="spellStart"/>
            <w:r w:rsidRPr="00364B7F">
              <w:rPr>
                <w:szCs w:val="20"/>
              </w:rPr>
              <w:t>Not longer</w:t>
            </w:r>
            <w:proofErr w:type="spellEnd"/>
            <w:r w:rsidRPr="00364B7F">
              <w:rPr>
                <w:szCs w:val="20"/>
              </w:rPr>
              <w:t xml:space="preserve"> than 12 months following release of result, unless legislation applying to the organisation mandates a longer document retention period.</w:t>
            </w:r>
          </w:p>
        </w:tc>
        <w:tc>
          <w:tcPr>
            <w:tcW w:w="1928" w:type="dxa"/>
          </w:tcPr>
          <w:p w:rsidR="00C219E3" w:rsidRPr="00364B7F" w:rsidRDefault="00C219E3" w:rsidP="00D401DB">
            <w:pPr>
              <w:pStyle w:val="Tabletext"/>
              <w:rPr>
                <w:szCs w:val="20"/>
              </w:rPr>
            </w:pPr>
            <w:proofErr w:type="spellStart"/>
            <w:r w:rsidRPr="00364B7F">
              <w:rPr>
                <w:szCs w:val="20"/>
              </w:rPr>
              <w:t>Not longer</w:t>
            </w:r>
            <w:proofErr w:type="spellEnd"/>
            <w:r w:rsidRPr="00364B7F">
              <w:rPr>
                <w:szCs w:val="20"/>
              </w:rPr>
              <w:t xml:space="preserve"> than 12 months following release of result, unless legislation applying to the organisation mandates a longer document retention period.</w:t>
            </w:r>
          </w:p>
        </w:tc>
        <w:tc>
          <w:tcPr>
            <w:tcW w:w="1928" w:type="dxa"/>
          </w:tcPr>
          <w:p w:rsidR="00C219E3" w:rsidRPr="00364B7F" w:rsidRDefault="00C219E3" w:rsidP="00D401DB">
            <w:pPr>
              <w:pStyle w:val="Tabletext"/>
              <w:rPr>
                <w:szCs w:val="20"/>
              </w:rPr>
            </w:pPr>
            <w:r w:rsidRPr="00364B7F">
              <w:rPr>
                <w:szCs w:val="20"/>
              </w:rPr>
              <w:t>Place on personnel file – see retention period</w:t>
            </w:r>
          </w:p>
        </w:tc>
        <w:tc>
          <w:tcPr>
            <w:tcW w:w="1928" w:type="dxa"/>
          </w:tcPr>
          <w:p w:rsidR="00C219E3" w:rsidRPr="00364B7F" w:rsidRDefault="00C219E3" w:rsidP="00D401DB">
            <w:pPr>
              <w:pStyle w:val="Tabletext"/>
              <w:rPr>
                <w:szCs w:val="20"/>
              </w:rPr>
            </w:pPr>
            <w:r w:rsidRPr="00364B7F">
              <w:rPr>
                <w:szCs w:val="20"/>
              </w:rPr>
              <w:t>Registered Recruitment file for specified retention period</w:t>
            </w:r>
          </w:p>
        </w:tc>
        <w:tc>
          <w:tcPr>
            <w:tcW w:w="1928" w:type="dxa"/>
          </w:tcPr>
          <w:p w:rsidR="00C219E3" w:rsidRPr="00364B7F" w:rsidRDefault="00C219E3" w:rsidP="00D401DB">
            <w:pPr>
              <w:pStyle w:val="Tabletext"/>
              <w:rPr>
                <w:szCs w:val="20"/>
              </w:rPr>
            </w:pPr>
            <w:r w:rsidRPr="00364B7F">
              <w:rPr>
                <w:szCs w:val="20"/>
              </w:rPr>
              <w:t>Chairperson of selection panel or person conducting respective Human Resources function.</w:t>
            </w:r>
          </w:p>
        </w:tc>
      </w:tr>
      <w:tr w:rsidR="00C219E3" w:rsidRPr="00364B7F" w:rsidTr="00C219E3">
        <w:trPr>
          <w:trHeight w:val="1269"/>
        </w:trPr>
        <w:tc>
          <w:tcPr>
            <w:tcW w:w="2243" w:type="dxa"/>
          </w:tcPr>
          <w:p w:rsidR="00C219E3" w:rsidRPr="0018238C" w:rsidRDefault="00C219E3" w:rsidP="00D401DB">
            <w:pPr>
              <w:pStyle w:val="Tabletext"/>
              <w:rPr>
                <w:b/>
                <w:szCs w:val="20"/>
              </w:rPr>
            </w:pPr>
            <w:r w:rsidRPr="0018238C">
              <w:rPr>
                <w:b/>
                <w:szCs w:val="20"/>
              </w:rPr>
              <w:t>Disability worker exclusion list  (</w:t>
            </w:r>
            <w:proofErr w:type="spellStart"/>
            <w:r w:rsidRPr="0018238C">
              <w:rPr>
                <w:b/>
                <w:szCs w:val="20"/>
              </w:rPr>
              <w:t>dwel</w:t>
            </w:r>
            <w:proofErr w:type="spellEnd"/>
            <w:r w:rsidRPr="0018238C">
              <w:rPr>
                <w:b/>
                <w:szCs w:val="20"/>
              </w:rPr>
              <w:t>) check (if necessary)</w:t>
            </w:r>
          </w:p>
        </w:tc>
        <w:tc>
          <w:tcPr>
            <w:tcW w:w="3819" w:type="dxa"/>
          </w:tcPr>
          <w:p w:rsidR="00C219E3" w:rsidRPr="00364B7F" w:rsidRDefault="00C219E3" w:rsidP="00D401DB">
            <w:pPr>
              <w:pStyle w:val="Tabletext"/>
              <w:rPr>
                <w:szCs w:val="20"/>
              </w:rPr>
            </w:pPr>
            <w:r w:rsidRPr="00364B7F">
              <w:rPr>
                <w:szCs w:val="20"/>
              </w:rPr>
              <w:t>It is compulsory to check that all potential employees and workers are not on the DWEL before they are permitted to work in a disability residential service. A person whose name is on the DWEL is not permitted to work in a disability residential service</w:t>
            </w:r>
          </w:p>
        </w:tc>
        <w:tc>
          <w:tcPr>
            <w:tcW w:w="1927" w:type="dxa"/>
          </w:tcPr>
          <w:p w:rsidR="00C219E3" w:rsidRPr="00364B7F" w:rsidRDefault="00C219E3" w:rsidP="00C219E3">
            <w:pPr>
              <w:pStyle w:val="Tabletext"/>
              <w:rPr>
                <w:szCs w:val="20"/>
              </w:rPr>
            </w:pPr>
            <w:r w:rsidRPr="00364B7F">
              <w:rPr>
                <w:szCs w:val="20"/>
              </w:rPr>
              <w:t>Indefinite</w:t>
            </w:r>
          </w:p>
        </w:tc>
        <w:tc>
          <w:tcPr>
            <w:tcW w:w="1928" w:type="dxa"/>
          </w:tcPr>
          <w:p w:rsidR="00C219E3" w:rsidRPr="00364B7F" w:rsidRDefault="00C219E3" w:rsidP="00D401DB">
            <w:pPr>
              <w:pStyle w:val="Tabletext"/>
              <w:rPr>
                <w:szCs w:val="20"/>
              </w:rPr>
            </w:pPr>
            <w:r w:rsidRPr="00364B7F">
              <w:rPr>
                <w:szCs w:val="20"/>
              </w:rPr>
              <w:t>Six years</w:t>
            </w:r>
          </w:p>
        </w:tc>
        <w:tc>
          <w:tcPr>
            <w:tcW w:w="1928" w:type="dxa"/>
          </w:tcPr>
          <w:p w:rsidR="00C219E3" w:rsidRPr="00364B7F" w:rsidRDefault="00C219E3" w:rsidP="00D401DB">
            <w:pPr>
              <w:pStyle w:val="Tabletext"/>
              <w:rPr>
                <w:szCs w:val="20"/>
              </w:rPr>
            </w:pPr>
            <w:r w:rsidRPr="00364B7F">
              <w:rPr>
                <w:szCs w:val="20"/>
              </w:rPr>
              <w:t>Place on personnel file</w:t>
            </w:r>
          </w:p>
        </w:tc>
        <w:tc>
          <w:tcPr>
            <w:tcW w:w="1928" w:type="dxa"/>
          </w:tcPr>
          <w:p w:rsidR="00C219E3" w:rsidRPr="00364B7F" w:rsidRDefault="00C219E3" w:rsidP="00D401DB">
            <w:pPr>
              <w:pStyle w:val="Tabletext"/>
              <w:rPr>
                <w:szCs w:val="20"/>
              </w:rPr>
            </w:pPr>
            <w:r w:rsidRPr="00364B7F">
              <w:rPr>
                <w:szCs w:val="20"/>
              </w:rPr>
              <w:t>Registered Recruitment file for specified retention period</w:t>
            </w:r>
          </w:p>
        </w:tc>
        <w:tc>
          <w:tcPr>
            <w:tcW w:w="1928" w:type="dxa"/>
          </w:tcPr>
          <w:p w:rsidR="00C219E3" w:rsidRPr="00364B7F" w:rsidRDefault="00C219E3" w:rsidP="00D401DB">
            <w:pPr>
              <w:pStyle w:val="Tabletext"/>
              <w:rPr>
                <w:szCs w:val="20"/>
              </w:rPr>
            </w:pPr>
            <w:r w:rsidRPr="00364B7F">
              <w:rPr>
                <w:szCs w:val="20"/>
              </w:rPr>
              <w:t xml:space="preserve">The person conducting the </w:t>
            </w:r>
            <w:r w:rsidRPr="00364B7F">
              <w:rPr>
                <w:bCs/>
                <w:szCs w:val="20"/>
              </w:rPr>
              <w:t xml:space="preserve">Human Resources function </w:t>
            </w:r>
            <w:r w:rsidRPr="00364B7F">
              <w:rPr>
                <w:szCs w:val="20"/>
              </w:rPr>
              <w:t>initially, and then the accredited agency contact follow up with audit for delegate to confirm information has been securely destroyed.</w:t>
            </w:r>
          </w:p>
        </w:tc>
      </w:tr>
      <w:tr w:rsidR="00C219E3" w:rsidRPr="00364B7F" w:rsidTr="00C219E3">
        <w:trPr>
          <w:trHeight w:val="756"/>
        </w:trPr>
        <w:tc>
          <w:tcPr>
            <w:tcW w:w="2243" w:type="dxa"/>
          </w:tcPr>
          <w:p w:rsidR="00C219E3" w:rsidRPr="0018238C" w:rsidRDefault="00C219E3" w:rsidP="00D401DB">
            <w:pPr>
              <w:pStyle w:val="Tabletext"/>
              <w:rPr>
                <w:b/>
                <w:szCs w:val="20"/>
              </w:rPr>
            </w:pPr>
            <w:r w:rsidRPr="0018238C">
              <w:rPr>
                <w:b/>
                <w:szCs w:val="20"/>
              </w:rPr>
              <w:lastRenderedPageBreak/>
              <w:t>International police check (if necessary)</w:t>
            </w:r>
          </w:p>
        </w:tc>
        <w:tc>
          <w:tcPr>
            <w:tcW w:w="3819" w:type="dxa"/>
          </w:tcPr>
          <w:p w:rsidR="00C219E3" w:rsidRPr="00364B7F" w:rsidRDefault="00C219E3" w:rsidP="00D401DB">
            <w:pPr>
              <w:pStyle w:val="Tabletext"/>
              <w:rPr>
                <w:szCs w:val="20"/>
              </w:rPr>
            </w:pPr>
          </w:p>
        </w:tc>
        <w:tc>
          <w:tcPr>
            <w:tcW w:w="1927" w:type="dxa"/>
          </w:tcPr>
          <w:p w:rsidR="00C219E3" w:rsidRPr="00C219E3" w:rsidRDefault="00C219E3" w:rsidP="00C219E3">
            <w:pPr>
              <w:pStyle w:val="Tabletext"/>
            </w:pPr>
            <w:r w:rsidRPr="00C219E3">
              <w:t>Indefinite</w:t>
            </w:r>
          </w:p>
        </w:tc>
        <w:tc>
          <w:tcPr>
            <w:tcW w:w="1928" w:type="dxa"/>
          </w:tcPr>
          <w:p w:rsidR="00C219E3" w:rsidRPr="00364B7F" w:rsidRDefault="00C219E3" w:rsidP="00EB30B9">
            <w:pPr>
              <w:pStyle w:val="Tabletext"/>
              <w:rPr>
                <w:szCs w:val="20"/>
              </w:rPr>
            </w:pPr>
            <w:r w:rsidRPr="00364B7F">
              <w:rPr>
                <w:szCs w:val="20"/>
              </w:rPr>
              <w:t>Six months</w:t>
            </w:r>
          </w:p>
        </w:tc>
        <w:tc>
          <w:tcPr>
            <w:tcW w:w="1928" w:type="dxa"/>
          </w:tcPr>
          <w:p w:rsidR="00C219E3" w:rsidRPr="00364B7F" w:rsidRDefault="00C219E3" w:rsidP="00EB30B9">
            <w:pPr>
              <w:pStyle w:val="Tabletext"/>
              <w:rPr>
                <w:szCs w:val="20"/>
              </w:rPr>
            </w:pPr>
            <w:r w:rsidRPr="00364B7F">
              <w:rPr>
                <w:szCs w:val="20"/>
              </w:rPr>
              <w:t>Personnel file</w:t>
            </w:r>
          </w:p>
        </w:tc>
        <w:tc>
          <w:tcPr>
            <w:tcW w:w="1928" w:type="dxa"/>
          </w:tcPr>
          <w:p w:rsidR="00C219E3" w:rsidRPr="00364B7F" w:rsidRDefault="00C219E3" w:rsidP="00D401DB">
            <w:pPr>
              <w:pStyle w:val="Tabletext"/>
              <w:rPr>
                <w:szCs w:val="20"/>
              </w:rPr>
            </w:pPr>
            <w:r w:rsidRPr="00364B7F">
              <w:rPr>
                <w:szCs w:val="20"/>
              </w:rPr>
              <w:t>Registered Recruitment file for six months</w:t>
            </w:r>
          </w:p>
        </w:tc>
        <w:tc>
          <w:tcPr>
            <w:tcW w:w="1928" w:type="dxa"/>
          </w:tcPr>
          <w:p w:rsidR="00C219E3" w:rsidRPr="00364B7F" w:rsidRDefault="00C219E3" w:rsidP="00D401DB">
            <w:pPr>
              <w:pStyle w:val="Tabletext"/>
              <w:rPr>
                <w:szCs w:val="20"/>
              </w:rPr>
            </w:pPr>
            <w:r w:rsidRPr="00364B7F">
              <w:rPr>
                <w:szCs w:val="20"/>
              </w:rPr>
              <w:t>Chairperson of selection panel or person conducting respective Human Resources function.</w:t>
            </w:r>
          </w:p>
        </w:tc>
      </w:tr>
      <w:tr w:rsidR="00C219E3" w:rsidRPr="00364B7F" w:rsidTr="00C219E3">
        <w:tc>
          <w:tcPr>
            <w:tcW w:w="2243" w:type="dxa"/>
          </w:tcPr>
          <w:p w:rsidR="00C219E3" w:rsidRPr="0018238C" w:rsidRDefault="00C219E3" w:rsidP="00D401DB">
            <w:pPr>
              <w:pStyle w:val="Tabletext"/>
              <w:rPr>
                <w:b/>
                <w:szCs w:val="20"/>
              </w:rPr>
            </w:pPr>
            <w:r w:rsidRPr="0018238C">
              <w:rPr>
                <w:b/>
                <w:szCs w:val="20"/>
              </w:rPr>
              <w:t>Accredited agency screen print showing a check has been conducted</w:t>
            </w:r>
          </w:p>
        </w:tc>
        <w:tc>
          <w:tcPr>
            <w:tcW w:w="3819" w:type="dxa"/>
          </w:tcPr>
          <w:p w:rsidR="00C219E3" w:rsidRPr="00364B7F" w:rsidRDefault="00C219E3" w:rsidP="00D401DB">
            <w:pPr>
              <w:pStyle w:val="Tabletext"/>
              <w:rPr>
                <w:szCs w:val="20"/>
              </w:rPr>
            </w:pPr>
            <w:r w:rsidRPr="00364B7F">
              <w:rPr>
                <w:szCs w:val="20"/>
              </w:rPr>
              <w:t>This only applies to successful applicants and must form part of the new starter paperwork documentation provided to the respective person conducting Payroll functions. In light of the new retention period, it is advised that a record is made of the reference number and that this is saved in the personnel file or HR system as evidence that a police check was carried out</w:t>
            </w:r>
          </w:p>
        </w:tc>
        <w:tc>
          <w:tcPr>
            <w:tcW w:w="1927" w:type="dxa"/>
          </w:tcPr>
          <w:p w:rsidR="00C219E3" w:rsidRPr="00364B7F" w:rsidRDefault="00C219E3" w:rsidP="00D401DB">
            <w:pPr>
              <w:pStyle w:val="Tabletext"/>
              <w:rPr>
                <w:szCs w:val="20"/>
              </w:rPr>
            </w:pPr>
            <w:proofErr w:type="spellStart"/>
            <w:r w:rsidRPr="00364B7F">
              <w:rPr>
                <w:szCs w:val="20"/>
              </w:rPr>
              <w:t>Not longer</w:t>
            </w:r>
            <w:proofErr w:type="spellEnd"/>
            <w:r w:rsidRPr="00364B7F">
              <w:rPr>
                <w:szCs w:val="20"/>
              </w:rPr>
              <w:t xml:space="preserve"> than 12 months following release of result, unless legislation applying to the organisation mandates a longer document retention period. </w:t>
            </w:r>
          </w:p>
        </w:tc>
        <w:tc>
          <w:tcPr>
            <w:tcW w:w="1928" w:type="dxa"/>
          </w:tcPr>
          <w:p w:rsidR="00C219E3" w:rsidRPr="00364B7F" w:rsidRDefault="00C219E3" w:rsidP="00EB30B9">
            <w:pPr>
              <w:pStyle w:val="Tabletext"/>
              <w:rPr>
                <w:szCs w:val="20"/>
              </w:rPr>
            </w:pPr>
            <w:proofErr w:type="spellStart"/>
            <w:r w:rsidRPr="00364B7F">
              <w:rPr>
                <w:szCs w:val="20"/>
              </w:rPr>
              <w:t>Not longer</w:t>
            </w:r>
            <w:proofErr w:type="spellEnd"/>
            <w:r w:rsidRPr="00364B7F">
              <w:rPr>
                <w:szCs w:val="20"/>
              </w:rPr>
              <w:t xml:space="preserve"> than 12 months following release of result, unless legislation applying to the organisation mandates a longer document retention period.</w:t>
            </w:r>
          </w:p>
        </w:tc>
        <w:tc>
          <w:tcPr>
            <w:tcW w:w="1928" w:type="dxa"/>
          </w:tcPr>
          <w:p w:rsidR="00C219E3" w:rsidRPr="00364B7F" w:rsidRDefault="00C219E3" w:rsidP="00EB30B9">
            <w:pPr>
              <w:pStyle w:val="Tabletext"/>
              <w:rPr>
                <w:szCs w:val="20"/>
              </w:rPr>
            </w:pPr>
            <w:r w:rsidRPr="00364B7F">
              <w:rPr>
                <w:szCs w:val="20"/>
              </w:rPr>
              <w:t>Personnel file – see retention period</w:t>
            </w:r>
          </w:p>
        </w:tc>
        <w:tc>
          <w:tcPr>
            <w:tcW w:w="1928" w:type="dxa"/>
          </w:tcPr>
          <w:p w:rsidR="00C219E3" w:rsidRPr="00364B7F" w:rsidRDefault="00C219E3" w:rsidP="00D401DB">
            <w:pPr>
              <w:pStyle w:val="Tabletext"/>
              <w:rPr>
                <w:szCs w:val="20"/>
              </w:rPr>
            </w:pPr>
            <w:r w:rsidRPr="00364B7F">
              <w:rPr>
                <w:szCs w:val="20"/>
              </w:rPr>
              <w:t>N/A</w:t>
            </w:r>
          </w:p>
        </w:tc>
        <w:tc>
          <w:tcPr>
            <w:tcW w:w="1928" w:type="dxa"/>
          </w:tcPr>
          <w:p w:rsidR="00C219E3" w:rsidRPr="00364B7F" w:rsidRDefault="00C219E3" w:rsidP="00D401DB">
            <w:pPr>
              <w:pStyle w:val="Tabletext"/>
              <w:rPr>
                <w:szCs w:val="20"/>
              </w:rPr>
            </w:pPr>
            <w:r w:rsidRPr="00364B7F">
              <w:rPr>
                <w:szCs w:val="20"/>
              </w:rPr>
              <w:t xml:space="preserve">Person conducting respective Human Resources function. </w:t>
            </w:r>
          </w:p>
        </w:tc>
      </w:tr>
      <w:tr w:rsidR="00C219E3" w:rsidRPr="00364B7F" w:rsidTr="00C219E3">
        <w:tc>
          <w:tcPr>
            <w:tcW w:w="2243" w:type="dxa"/>
          </w:tcPr>
          <w:p w:rsidR="00C219E3" w:rsidRPr="0018238C" w:rsidRDefault="00C219E3" w:rsidP="00D401DB">
            <w:pPr>
              <w:pStyle w:val="Tabletext"/>
              <w:rPr>
                <w:b/>
                <w:szCs w:val="20"/>
              </w:rPr>
            </w:pPr>
            <w:r w:rsidRPr="0018238C">
              <w:rPr>
                <w:b/>
                <w:szCs w:val="20"/>
              </w:rPr>
              <w:t>Details of offences identified through police check - police history information (phi)</w:t>
            </w:r>
          </w:p>
        </w:tc>
        <w:tc>
          <w:tcPr>
            <w:tcW w:w="3819" w:type="dxa"/>
          </w:tcPr>
          <w:p w:rsidR="00C219E3" w:rsidRPr="00364B7F" w:rsidRDefault="00C219E3" w:rsidP="00D401DB">
            <w:pPr>
              <w:pStyle w:val="Tabletext"/>
              <w:rPr>
                <w:szCs w:val="20"/>
              </w:rPr>
            </w:pPr>
            <w:r w:rsidRPr="00364B7F">
              <w:rPr>
                <w:szCs w:val="20"/>
              </w:rPr>
              <w:t xml:space="preserve">If accredited agency returns a positive result from a police check, the person conducting Human Resources function has access to the Police History Information (PHI).  </w:t>
            </w:r>
          </w:p>
          <w:p w:rsidR="00C219E3" w:rsidRPr="00364B7F" w:rsidRDefault="00C219E3" w:rsidP="00D401DB">
            <w:pPr>
              <w:pStyle w:val="Tabletext"/>
              <w:rPr>
                <w:szCs w:val="20"/>
              </w:rPr>
            </w:pPr>
            <w:r w:rsidRPr="00364B7F">
              <w:rPr>
                <w:szCs w:val="20"/>
              </w:rPr>
              <w:t xml:space="preserve">A Safety Screening Assessment is conducted whenever PHI is identified in order to assess the overall risk of employing a person with a particular, relevant history in a particular role. </w:t>
            </w:r>
          </w:p>
          <w:p w:rsidR="00C219E3" w:rsidRPr="00364B7F" w:rsidRDefault="00C219E3" w:rsidP="00D401DB">
            <w:pPr>
              <w:pStyle w:val="Tabletext"/>
              <w:rPr>
                <w:szCs w:val="20"/>
              </w:rPr>
            </w:pPr>
            <w:r w:rsidRPr="00364B7F">
              <w:rPr>
                <w:szCs w:val="20"/>
              </w:rPr>
              <w:t>Agencies should notify DH</w:t>
            </w:r>
            <w:r>
              <w:rPr>
                <w:szCs w:val="20"/>
              </w:rPr>
              <w:t>H</w:t>
            </w:r>
            <w:r w:rsidRPr="00364B7F">
              <w:rPr>
                <w:szCs w:val="20"/>
              </w:rPr>
              <w:t>S of outcome of assessment.</w:t>
            </w:r>
          </w:p>
          <w:p w:rsidR="00C219E3" w:rsidRPr="00364B7F" w:rsidRDefault="00C219E3" w:rsidP="00D401DB">
            <w:pPr>
              <w:pStyle w:val="Tabletext"/>
              <w:rPr>
                <w:szCs w:val="20"/>
              </w:rPr>
            </w:pPr>
            <w:r w:rsidRPr="00364B7F">
              <w:rPr>
                <w:szCs w:val="20"/>
              </w:rPr>
              <w:t xml:space="preserve">The Safety Screening Assessment must be signed off by the head of the area. </w:t>
            </w:r>
          </w:p>
        </w:tc>
        <w:tc>
          <w:tcPr>
            <w:tcW w:w="1927" w:type="dxa"/>
          </w:tcPr>
          <w:p w:rsidR="00C219E3" w:rsidRPr="00364B7F" w:rsidRDefault="00C219E3" w:rsidP="00D401DB">
            <w:pPr>
              <w:pStyle w:val="Tabletext"/>
              <w:rPr>
                <w:szCs w:val="20"/>
              </w:rPr>
            </w:pPr>
            <w:r w:rsidRPr="00364B7F">
              <w:rPr>
                <w:szCs w:val="20"/>
              </w:rPr>
              <w:t>Any PHI must be destroyed by the agency within 3 months of receipt.</w:t>
            </w:r>
          </w:p>
          <w:p w:rsidR="00C219E3" w:rsidRPr="00364B7F" w:rsidRDefault="00C219E3" w:rsidP="00D401DB">
            <w:pPr>
              <w:pStyle w:val="Tabletext"/>
              <w:rPr>
                <w:szCs w:val="20"/>
              </w:rPr>
            </w:pPr>
            <w:r w:rsidRPr="00364B7F">
              <w:rPr>
                <w:szCs w:val="20"/>
              </w:rPr>
              <w:t>However, where information is subject to legal proceedings, it is possible to keep this beyond 3 months but approval for this is required from via the accredited agency contact.</w:t>
            </w:r>
          </w:p>
        </w:tc>
        <w:tc>
          <w:tcPr>
            <w:tcW w:w="1928" w:type="dxa"/>
          </w:tcPr>
          <w:p w:rsidR="00C219E3" w:rsidRPr="00364B7F" w:rsidRDefault="00C219E3" w:rsidP="00C219E3">
            <w:pPr>
              <w:pStyle w:val="Tabletext"/>
              <w:rPr>
                <w:szCs w:val="20"/>
              </w:rPr>
            </w:pPr>
            <w:r w:rsidRPr="00364B7F">
              <w:rPr>
                <w:szCs w:val="20"/>
              </w:rPr>
              <w:t>Any PHI must be destroyed by the agency within 3 months of receipt.</w:t>
            </w:r>
          </w:p>
          <w:p w:rsidR="00C219E3" w:rsidRPr="00C219E3" w:rsidRDefault="00C219E3" w:rsidP="00C219E3">
            <w:pPr>
              <w:pStyle w:val="Tabletext"/>
              <w:rPr>
                <w:szCs w:val="20"/>
              </w:rPr>
            </w:pPr>
            <w:r w:rsidRPr="00364B7F">
              <w:rPr>
                <w:szCs w:val="20"/>
              </w:rPr>
              <w:t>However, where information is subject to legal proceedings, it is possible to keep this beyond 3 months but approval for this is required from via the accredited agency contact.</w:t>
            </w:r>
          </w:p>
        </w:tc>
        <w:tc>
          <w:tcPr>
            <w:tcW w:w="1928" w:type="dxa"/>
          </w:tcPr>
          <w:p w:rsidR="00C219E3" w:rsidRPr="00364B7F" w:rsidRDefault="00C219E3" w:rsidP="00D401DB">
            <w:pPr>
              <w:pStyle w:val="Tabletext"/>
              <w:rPr>
                <w:szCs w:val="20"/>
              </w:rPr>
            </w:pPr>
            <w:r w:rsidRPr="00C219E3">
              <w:rPr>
                <w:szCs w:val="20"/>
              </w:rPr>
              <w:t>Secured Registered Corporate file held in agency storage (for three months)</w:t>
            </w:r>
          </w:p>
        </w:tc>
        <w:tc>
          <w:tcPr>
            <w:tcW w:w="1928" w:type="dxa"/>
          </w:tcPr>
          <w:p w:rsidR="00C219E3" w:rsidRPr="00364B7F" w:rsidRDefault="00C219E3" w:rsidP="00D401DB">
            <w:pPr>
              <w:pStyle w:val="Tabletext"/>
              <w:rPr>
                <w:szCs w:val="20"/>
              </w:rPr>
            </w:pPr>
            <w:r w:rsidRPr="00C219E3">
              <w:rPr>
                <w:szCs w:val="20"/>
              </w:rPr>
              <w:t>Secured Registered Corporate file held in agency storage (for three months)</w:t>
            </w:r>
          </w:p>
        </w:tc>
        <w:tc>
          <w:tcPr>
            <w:tcW w:w="1928" w:type="dxa"/>
          </w:tcPr>
          <w:p w:rsidR="00C219E3" w:rsidRPr="00364B7F" w:rsidRDefault="00C219E3" w:rsidP="00D401DB">
            <w:pPr>
              <w:pStyle w:val="Tabletext"/>
              <w:rPr>
                <w:szCs w:val="20"/>
              </w:rPr>
            </w:pPr>
            <w:r w:rsidRPr="00364B7F">
              <w:rPr>
                <w:szCs w:val="20"/>
              </w:rPr>
              <w:t xml:space="preserve">The person conducting the </w:t>
            </w:r>
            <w:r w:rsidRPr="00364B7F">
              <w:rPr>
                <w:bCs/>
                <w:szCs w:val="20"/>
              </w:rPr>
              <w:t xml:space="preserve">Human Resources function would </w:t>
            </w:r>
            <w:r w:rsidRPr="00364B7F">
              <w:rPr>
                <w:szCs w:val="20"/>
              </w:rPr>
              <w:t>initially, and then the respective coordinator follows up with audit for delegate to confirm information has been securely destroyed.</w:t>
            </w:r>
          </w:p>
        </w:tc>
      </w:tr>
      <w:tr w:rsidR="00C219E3" w:rsidRPr="00364B7F" w:rsidTr="00C219E3">
        <w:tc>
          <w:tcPr>
            <w:tcW w:w="2243" w:type="dxa"/>
          </w:tcPr>
          <w:p w:rsidR="00C219E3" w:rsidRPr="0018238C" w:rsidRDefault="00C219E3" w:rsidP="00D401DB">
            <w:pPr>
              <w:pStyle w:val="Tabletext"/>
              <w:rPr>
                <w:b/>
                <w:szCs w:val="20"/>
              </w:rPr>
            </w:pPr>
            <w:r w:rsidRPr="0018238C">
              <w:rPr>
                <w:b/>
                <w:szCs w:val="20"/>
              </w:rPr>
              <w:t>Safety screening assessment form</w:t>
            </w:r>
          </w:p>
        </w:tc>
        <w:tc>
          <w:tcPr>
            <w:tcW w:w="3819" w:type="dxa"/>
          </w:tcPr>
          <w:p w:rsidR="00C219E3" w:rsidRPr="00364B7F" w:rsidRDefault="00C219E3" w:rsidP="00D401DB">
            <w:pPr>
              <w:pStyle w:val="Tabletext"/>
              <w:rPr>
                <w:szCs w:val="20"/>
              </w:rPr>
            </w:pPr>
            <w:r w:rsidRPr="00364B7F">
              <w:rPr>
                <w:szCs w:val="20"/>
              </w:rPr>
              <w:t>A Safety Screening Assessment Form is used whenever negative information is identified as a result of organisational Safety Screening Procedures or if a disciplinary issue has been identified from the disciplinary database.</w:t>
            </w:r>
          </w:p>
          <w:p w:rsidR="00C219E3" w:rsidRPr="00364B7F" w:rsidRDefault="00C219E3" w:rsidP="00D401DB">
            <w:pPr>
              <w:pStyle w:val="Tabletext"/>
              <w:rPr>
                <w:szCs w:val="20"/>
              </w:rPr>
            </w:pPr>
            <w:r w:rsidRPr="00364B7F">
              <w:rPr>
                <w:szCs w:val="20"/>
              </w:rPr>
              <w:t xml:space="preserve">It assesses the overall risk of employing </w:t>
            </w:r>
            <w:r w:rsidRPr="00364B7F">
              <w:rPr>
                <w:szCs w:val="20"/>
              </w:rPr>
              <w:lastRenderedPageBreak/>
              <w:t>a person with a particular, relevant history in a particular role.</w:t>
            </w:r>
          </w:p>
        </w:tc>
        <w:tc>
          <w:tcPr>
            <w:tcW w:w="1927" w:type="dxa"/>
          </w:tcPr>
          <w:p w:rsidR="00C219E3" w:rsidRPr="00364B7F" w:rsidRDefault="00C219E3" w:rsidP="00C219E3">
            <w:pPr>
              <w:pStyle w:val="Tabletext"/>
              <w:rPr>
                <w:szCs w:val="20"/>
              </w:rPr>
            </w:pPr>
            <w:r w:rsidRPr="00364B7F">
              <w:rPr>
                <w:szCs w:val="20"/>
              </w:rPr>
              <w:lastRenderedPageBreak/>
              <w:t>Indefinite</w:t>
            </w:r>
          </w:p>
        </w:tc>
        <w:tc>
          <w:tcPr>
            <w:tcW w:w="1928" w:type="dxa"/>
          </w:tcPr>
          <w:p w:rsidR="00C219E3" w:rsidRPr="00364B7F" w:rsidRDefault="00C219E3" w:rsidP="00D401DB">
            <w:pPr>
              <w:pStyle w:val="Tabletext"/>
              <w:rPr>
                <w:szCs w:val="20"/>
              </w:rPr>
            </w:pPr>
            <w:r w:rsidRPr="00364B7F">
              <w:rPr>
                <w:szCs w:val="20"/>
              </w:rPr>
              <w:t>6 years</w:t>
            </w:r>
          </w:p>
        </w:tc>
        <w:tc>
          <w:tcPr>
            <w:tcW w:w="1928" w:type="dxa"/>
          </w:tcPr>
          <w:p w:rsidR="00C219E3" w:rsidRPr="00364B7F" w:rsidRDefault="00C219E3" w:rsidP="00D401DB">
            <w:pPr>
              <w:pStyle w:val="Tabletext"/>
              <w:rPr>
                <w:szCs w:val="20"/>
              </w:rPr>
            </w:pPr>
            <w:r w:rsidRPr="00364B7F">
              <w:rPr>
                <w:szCs w:val="20"/>
              </w:rPr>
              <w:t>Registered Corporate file held by respective Human Resources Team</w:t>
            </w:r>
          </w:p>
        </w:tc>
        <w:tc>
          <w:tcPr>
            <w:tcW w:w="1928" w:type="dxa"/>
          </w:tcPr>
          <w:p w:rsidR="00C219E3" w:rsidRPr="00364B7F" w:rsidRDefault="00C219E3" w:rsidP="00D401DB">
            <w:pPr>
              <w:pStyle w:val="Tabletext"/>
              <w:rPr>
                <w:szCs w:val="20"/>
              </w:rPr>
            </w:pPr>
            <w:r>
              <w:rPr>
                <w:szCs w:val="20"/>
              </w:rPr>
              <w:t>Registered c</w:t>
            </w:r>
            <w:r w:rsidRPr="00364B7F">
              <w:rPr>
                <w:szCs w:val="20"/>
              </w:rPr>
              <w:t>orporate file</w:t>
            </w:r>
          </w:p>
        </w:tc>
        <w:tc>
          <w:tcPr>
            <w:tcW w:w="1928" w:type="dxa"/>
          </w:tcPr>
          <w:p w:rsidR="00C219E3" w:rsidRPr="00364B7F" w:rsidRDefault="00C219E3" w:rsidP="00D401DB">
            <w:pPr>
              <w:pStyle w:val="Tabletext"/>
              <w:rPr>
                <w:szCs w:val="20"/>
              </w:rPr>
            </w:pPr>
            <w:r w:rsidRPr="00364B7F">
              <w:rPr>
                <w:szCs w:val="20"/>
              </w:rPr>
              <w:t xml:space="preserve">Human Resources Managers should send original assessment documentation to the Accredited agency contact </w:t>
            </w:r>
            <w:r w:rsidRPr="00364B7F">
              <w:rPr>
                <w:szCs w:val="20"/>
              </w:rPr>
              <w:lastRenderedPageBreak/>
              <w:t>upon completion of the process.</w:t>
            </w:r>
          </w:p>
        </w:tc>
      </w:tr>
      <w:tr w:rsidR="00C219E3" w:rsidRPr="00364B7F" w:rsidTr="00C219E3">
        <w:tc>
          <w:tcPr>
            <w:tcW w:w="2243" w:type="dxa"/>
          </w:tcPr>
          <w:p w:rsidR="00C219E3" w:rsidRPr="0018238C" w:rsidRDefault="00C219E3" w:rsidP="00D401DB">
            <w:pPr>
              <w:pStyle w:val="Tabletext"/>
              <w:rPr>
                <w:b/>
                <w:szCs w:val="20"/>
              </w:rPr>
            </w:pPr>
            <w:r w:rsidRPr="0018238C">
              <w:rPr>
                <w:b/>
                <w:szCs w:val="20"/>
              </w:rPr>
              <w:lastRenderedPageBreak/>
              <w:t>Referee report</w:t>
            </w:r>
          </w:p>
        </w:tc>
        <w:tc>
          <w:tcPr>
            <w:tcW w:w="3819" w:type="dxa"/>
          </w:tcPr>
          <w:p w:rsidR="00C219E3" w:rsidRPr="00364B7F" w:rsidRDefault="00C219E3" w:rsidP="00D401DB">
            <w:pPr>
              <w:pStyle w:val="Tabletext"/>
              <w:rPr>
                <w:szCs w:val="20"/>
              </w:rPr>
            </w:pPr>
            <w:r w:rsidRPr="00364B7F">
              <w:rPr>
                <w:szCs w:val="20"/>
              </w:rPr>
              <w:t xml:space="preserve">Referees must be advised that their comments will be recorded in writing. </w:t>
            </w:r>
          </w:p>
          <w:p w:rsidR="00C219E3" w:rsidRPr="00364B7F" w:rsidRDefault="00C219E3" w:rsidP="00D401DB">
            <w:pPr>
              <w:pStyle w:val="Tabletext"/>
              <w:rPr>
                <w:szCs w:val="20"/>
              </w:rPr>
            </w:pPr>
            <w:r w:rsidRPr="00364B7F">
              <w:rPr>
                <w:szCs w:val="20"/>
              </w:rPr>
              <w:t>Applicants may not directly access the referee report, but may access parts of the Selection Report (except those parts relating to other applicants) including any referee comments included in the Selection Report that are extracted from the referee report.</w:t>
            </w:r>
          </w:p>
          <w:p w:rsidR="00C219E3" w:rsidRPr="00364B7F" w:rsidRDefault="00C219E3" w:rsidP="00D401DB">
            <w:pPr>
              <w:pStyle w:val="Tabletext"/>
              <w:rPr>
                <w:szCs w:val="20"/>
              </w:rPr>
            </w:pPr>
            <w:r w:rsidRPr="00364B7F">
              <w:rPr>
                <w:szCs w:val="20"/>
              </w:rPr>
              <w:t>The referee may have access to the written referee report.</w:t>
            </w:r>
          </w:p>
        </w:tc>
        <w:tc>
          <w:tcPr>
            <w:tcW w:w="1927" w:type="dxa"/>
          </w:tcPr>
          <w:p w:rsidR="00C219E3" w:rsidRPr="00364B7F" w:rsidRDefault="00C219E3" w:rsidP="00FC6B4E">
            <w:pPr>
              <w:pStyle w:val="Tabletext"/>
              <w:rPr>
                <w:szCs w:val="20"/>
              </w:rPr>
            </w:pPr>
            <w:r w:rsidRPr="00364B7F">
              <w:rPr>
                <w:szCs w:val="20"/>
              </w:rPr>
              <w:t>Indefinite</w:t>
            </w:r>
          </w:p>
        </w:tc>
        <w:tc>
          <w:tcPr>
            <w:tcW w:w="1928" w:type="dxa"/>
          </w:tcPr>
          <w:p w:rsidR="00C219E3" w:rsidRPr="00364B7F" w:rsidRDefault="00C219E3" w:rsidP="00FC6B4E">
            <w:pPr>
              <w:pStyle w:val="Tabletext"/>
              <w:rPr>
                <w:szCs w:val="20"/>
              </w:rPr>
            </w:pPr>
            <w:r w:rsidRPr="00364B7F">
              <w:rPr>
                <w:szCs w:val="20"/>
              </w:rPr>
              <w:t>6 years</w:t>
            </w:r>
          </w:p>
        </w:tc>
        <w:tc>
          <w:tcPr>
            <w:tcW w:w="1928" w:type="dxa"/>
          </w:tcPr>
          <w:p w:rsidR="00C219E3" w:rsidRPr="00364B7F" w:rsidRDefault="00C219E3" w:rsidP="00D401DB">
            <w:pPr>
              <w:pStyle w:val="Tabletext"/>
              <w:rPr>
                <w:szCs w:val="20"/>
              </w:rPr>
            </w:pPr>
            <w:r w:rsidRPr="00364B7F">
              <w:rPr>
                <w:szCs w:val="20"/>
              </w:rPr>
              <w:t>Personnel file</w:t>
            </w:r>
          </w:p>
        </w:tc>
        <w:tc>
          <w:tcPr>
            <w:tcW w:w="1928" w:type="dxa"/>
          </w:tcPr>
          <w:p w:rsidR="00C219E3" w:rsidRPr="00364B7F" w:rsidRDefault="00C219E3" w:rsidP="00D401DB">
            <w:pPr>
              <w:pStyle w:val="Tabletext"/>
              <w:rPr>
                <w:szCs w:val="20"/>
              </w:rPr>
            </w:pPr>
            <w:r w:rsidRPr="00364B7F">
              <w:rPr>
                <w:szCs w:val="20"/>
              </w:rPr>
              <w:t>Recruitment file</w:t>
            </w:r>
          </w:p>
        </w:tc>
        <w:tc>
          <w:tcPr>
            <w:tcW w:w="1928" w:type="dxa"/>
          </w:tcPr>
          <w:p w:rsidR="00C219E3" w:rsidRPr="00364B7F" w:rsidRDefault="00C219E3" w:rsidP="00D401DB">
            <w:pPr>
              <w:pStyle w:val="Tabletext"/>
              <w:rPr>
                <w:szCs w:val="20"/>
              </w:rPr>
            </w:pPr>
            <w:r w:rsidRPr="00364B7F">
              <w:rPr>
                <w:szCs w:val="20"/>
              </w:rPr>
              <w:t>Chairperson of selection panel or respective Human Resources function.</w:t>
            </w:r>
          </w:p>
        </w:tc>
      </w:tr>
      <w:tr w:rsidR="00C219E3" w:rsidRPr="00364B7F" w:rsidTr="00C219E3">
        <w:tc>
          <w:tcPr>
            <w:tcW w:w="2243" w:type="dxa"/>
          </w:tcPr>
          <w:p w:rsidR="00C219E3" w:rsidRPr="0018238C" w:rsidRDefault="00C219E3" w:rsidP="00D401DB">
            <w:pPr>
              <w:pStyle w:val="Tabletext"/>
              <w:rPr>
                <w:b/>
                <w:szCs w:val="20"/>
              </w:rPr>
            </w:pPr>
            <w:r w:rsidRPr="0018238C">
              <w:rPr>
                <w:b/>
                <w:szCs w:val="20"/>
              </w:rPr>
              <w:t>Medical check</w:t>
            </w:r>
          </w:p>
        </w:tc>
        <w:tc>
          <w:tcPr>
            <w:tcW w:w="3819" w:type="dxa"/>
          </w:tcPr>
          <w:p w:rsidR="00C219E3" w:rsidRPr="00364B7F" w:rsidRDefault="00C219E3" w:rsidP="00D401DB">
            <w:pPr>
              <w:pStyle w:val="Tabletext"/>
              <w:rPr>
                <w:szCs w:val="20"/>
              </w:rPr>
            </w:pPr>
            <w:r w:rsidRPr="00364B7F">
              <w:rPr>
                <w:szCs w:val="20"/>
              </w:rPr>
              <w:t>All medical details remaining strictly confidential and retained by the applicant’s medical practitioner.</w:t>
            </w:r>
          </w:p>
          <w:p w:rsidR="00C219E3" w:rsidRPr="00364B7F" w:rsidRDefault="00C219E3" w:rsidP="00D401DB">
            <w:pPr>
              <w:pStyle w:val="Tabletext"/>
              <w:rPr>
                <w:szCs w:val="20"/>
              </w:rPr>
            </w:pPr>
            <w:r w:rsidRPr="00364B7F">
              <w:rPr>
                <w:szCs w:val="20"/>
              </w:rPr>
              <w:t>A statement from the medical practitioner confirming the applicant’s ability to perform the duties and requirements of the position is retained.</w:t>
            </w:r>
          </w:p>
        </w:tc>
        <w:tc>
          <w:tcPr>
            <w:tcW w:w="1927" w:type="dxa"/>
          </w:tcPr>
          <w:p w:rsidR="00C219E3" w:rsidRPr="00364B7F" w:rsidRDefault="00C219E3" w:rsidP="00FC6B4E">
            <w:pPr>
              <w:pStyle w:val="Tabletext"/>
              <w:rPr>
                <w:szCs w:val="20"/>
              </w:rPr>
            </w:pPr>
            <w:r w:rsidRPr="00364B7F">
              <w:rPr>
                <w:szCs w:val="20"/>
              </w:rPr>
              <w:t>Indefinite</w:t>
            </w:r>
          </w:p>
        </w:tc>
        <w:tc>
          <w:tcPr>
            <w:tcW w:w="1928" w:type="dxa"/>
          </w:tcPr>
          <w:p w:rsidR="00C219E3" w:rsidRPr="00364B7F" w:rsidRDefault="00C219E3" w:rsidP="00FC6B4E">
            <w:pPr>
              <w:pStyle w:val="Tabletext"/>
              <w:rPr>
                <w:szCs w:val="20"/>
              </w:rPr>
            </w:pPr>
            <w:r w:rsidRPr="00364B7F">
              <w:rPr>
                <w:szCs w:val="20"/>
              </w:rPr>
              <w:t>6 years</w:t>
            </w:r>
          </w:p>
        </w:tc>
        <w:tc>
          <w:tcPr>
            <w:tcW w:w="1928" w:type="dxa"/>
          </w:tcPr>
          <w:p w:rsidR="00C219E3" w:rsidRPr="00364B7F" w:rsidRDefault="00C219E3" w:rsidP="00C219E3">
            <w:pPr>
              <w:pStyle w:val="Tabletext"/>
              <w:rPr>
                <w:szCs w:val="20"/>
              </w:rPr>
            </w:pPr>
            <w:r w:rsidRPr="00364B7F">
              <w:rPr>
                <w:szCs w:val="20"/>
              </w:rPr>
              <w:t>Personnel file</w:t>
            </w:r>
          </w:p>
        </w:tc>
        <w:tc>
          <w:tcPr>
            <w:tcW w:w="1928" w:type="dxa"/>
          </w:tcPr>
          <w:p w:rsidR="00C219E3" w:rsidRPr="00364B7F" w:rsidRDefault="00C219E3" w:rsidP="00D401DB">
            <w:pPr>
              <w:pStyle w:val="Tabletext"/>
              <w:rPr>
                <w:szCs w:val="20"/>
              </w:rPr>
            </w:pPr>
            <w:r w:rsidRPr="00364B7F">
              <w:rPr>
                <w:szCs w:val="20"/>
              </w:rPr>
              <w:t>Recruitment file</w:t>
            </w:r>
          </w:p>
        </w:tc>
        <w:tc>
          <w:tcPr>
            <w:tcW w:w="1928" w:type="dxa"/>
          </w:tcPr>
          <w:p w:rsidR="00C219E3" w:rsidRPr="00364B7F" w:rsidRDefault="00C219E3" w:rsidP="00D401DB">
            <w:pPr>
              <w:pStyle w:val="Tabletext"/>
              <w:rPr>
                <w:szCs w:val="20"/>
              </w:rPr>
            </w:pPr>
            <w:r w:rsidRPr="00364B7F">
              <w:rPr>
                <w:szCs w:val="20"/>
              </w:rPr>
              <w:t>Chairperson of selection panel or respective Human Resources function.</w:t>
            </w:r>
          </w:p>
        </w:tc>
      </w:tr>
      <w:tr w:rsidR="00C219E3" w:rsidRPr="00364B7F" w:rsidTr="00C219E3">
        <w:tc>
          <w:tcPr>
            <w:tcW w:w="2243" w:type="dxa"/>
          </w:tcPr>
          <w:p w:rsidR="00C219E3" w:rsidRPr="0018238C" w:rsidRDefault="00C219E3" w:rsidP="00D401DB">
            <w:pPr>
              <w:pStyle w:val="Tabletext"/>
              <w:rPr>
                <w:b/>
                <w:szCs w:val="20"/>
              </w:rPr>
            </w:pPr>
            <w:r w:rsidRPr="0018238C">
              <w:rPr>
                <w:b/>
                <w:szCs w:val="20"/>
              </w:rPr>
              <w:t xml:space="preserve">Selection report </w:t>
            </w:r>
          </w:p>
        </w:tc>
        <w:tc>
          <w:tcPr>
            <w:tcW w:w="3819" w:type="dxa"/>
          </w:tcPr>
          <w:p w:rsidR="00C219E3" w:rsidRPr="00364B7F" w:rsidRDefault="00C219E3" w:rsidP="00D401DB">
            <w:pPr>
              <w:pStyle w:val="Tabletext"/>
              <w:rPr>
                <w:szCs w:val="20"/>
              </w:rPr>
            </w:pPr>
            <w:r w:rsidRPr="00364B7F">
              <w:rPr>
                <w:szCs w:val="20"/>
              </w:rPr>
              <w:t>Applicants can seek this information through a Freedom of Information.</w:t>
            </w:r>
          </w:p>
          <w:p w:rsidR="00C219E3" w:rsidRPr="00364B7F" w:rsidRDefault="00C219E3" w:rsidP="00D401DB">
            <w:pPr>
              <w:pStyle w:val="Tabletext"/>
              <w:rPr>
                <w:szCs w:val="20"/>
              </w:rPr>
            </w:pPr>
            <w:r w:rsidRPr="00364B7F">
              <w:rPr>
                <w:szCs w:val="20"/>
              </w:rPr>
              <w:t>Selection panel members need to be confident that any documented comments from the selection process can be defended</w:t>
            </w:r>
          </w:p>
          <w:p w:rsidR="00C219E3" w:rsidRPr="00364B7F" w:rsidRDefault="00C219E3" w:rsidP="00D401DB">
            <w:pPr>
              <w:pStyle w:val="Tabletext"/>
              <w:rPr>
                <w:szCs w:val="20"/>
              </w:rPr>
            </w:pPr>
            <w:r w:rsidRPr="00364B7F">
              <w:rPr>
                <w:szCs w:val="20"/>
              </w:rPr>
              <w:t>Applicants may access referee comments extracted from the Referee Report and included in the Selection Report</w:t>
            </w:r>
          </w:p>
        </w:tc>
        <w:tc>
          <w:tcPr>
            <w:tcW w:w="1927" w:type="dxa"/>
          </w:tcPr>
          <w:p w:rsidR="00C219E3" w:rsidRPr="00364B7F" w:rsidRDefault="00C219E3" w:rsidP="00D401DB">
            <w:pPr>
              <w:pStyle w:val="Tabletext"/>
              <w:rPr>
                <w:szCs w:val="20"/>
              </w:rPr>
            </w:pPr>
            <w:r w:rsidRPr="00364B7F">
              <w:rPr>
                <w:szCs w:val="20"/>
              </w:rPr>
              <w:t>6 years</w:t>
            </w:r>
          </w:p>
        </w:tc>
        <w:tc>
          <w:tcPr>
            <w:tcW w:w="1928" w:type="dxa"/>
          </w:tcPr>
          <w:p w:rsidR="00C219E3" w:rsidRPr="00364B7F" w:rsidRDefault="00C219E3" w:rsidP="00D401DB">
            <w:pPr>
              <w:pStyle w:val="Tabletext"/>
              <w:rPr>
                <w:szCs w:val="20"/>
              </w:rPr>
            </w:pPr>
            <w:r>
              <w:rPr>
                <w:szCs w:val="20"/>
              </w:rPr>
              <w:t>Not applicable</w:t>
            </w:r>
          </w:p>
        </w:tc>
        <w:tc>
          <w:tcPr>
            <w:tcW w:w="1928" w:type="dxa"/>
          </w:tcPr>
          <w:p w:rsidR="00C219E3" w:rsidRPr="00364B7F" w:rsidRDefault="00C219E3" w:rsidP="00D401DB">
            <w:pPr>
              <w:pStyle w:val="Tabletext"/>
              <w:rPr>
                <w:szCs w:val="20"/>
              </w:rPr>
            </w:pPr>
            <w:r w:rsidRPr="00364B7F">
              <w:rPr>
                <w:szCs w:val="20"/>
              </w:rPr>
              <w:t>Recruitment file</w:t>
            </w:r>
          </w:p>
        </w:tc>
        <w:tc>
          <w:tcPr>
            <w:tcW w:w="1928" w:type="dxa"/>
          </w:tcPr>
          <w:p w:rsidR="00C219E3" w:rsidRPr="00364B7F" w:rsidRDefault="00C219E3" w:rsidP="00D401DB">
            <w:pPr>
              <w:pStyle w:val="Tabletext"/>
              <w:rPr>
                <w:szCs w:val="20"/>
              </w:rPr>
            </w:pPr>
            <w:r w:rsidRPr="00364B7F">
              <w:rPr>
                <w:szCs w:val="20"/>
              </w:rPr>
              <w:t>Recruitment file</w:t>
            </w:r>
          </w:p>
        </w:tc>
        <w:tc>
          <w:tcPr>
            <w:tcW w:w="1928" w:type="dxa"/>
          </w:tcPr>
          <w:p w:rsidR="00C219E3" w:rsidRPr="00364B7F" w:rsidRDefault="00C219E3" w:rsidP="00D401DB">
            <w:pPr>
              <w:pStyle w:val="Tabletext"/>
              <w:rPr>
                <w:szCs w:val="20"/>
              </w:rPr>
            </w:pPr>
            <w:r w:rsidRPr="00364B7F">
              <w:rPr>
                <w:szCs w:val="20"/>
              </w:rPr>
              <w:t>Chairperson of selection panel or respective Human Resources function.</w:t>
            </w:r>
          </w:p>
        </w:tc>
      </w:tr>
    </w:tbl>
    <w:p w:rsidR="0056492D" w:rsidRPr="00D401DB" w:rsidRDefault="0056492D" w:rsidP="00D401DB"/>
    <w:sectPr w:rsidR="0056492D" w:rsidRPr="00D401DB" w:rsidSect="00C219E3">
      <w:pgSz w:w="16838" w:h="11906" w:orient="landscape"/>
      <w:pgMar w:top="851" w:right="1134"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5C"/>
    <w:rsid w:val="0003495C"/>
    <w:rsid w:val="0018238C"/>
    <w:rsid w:val="001C7C25"/>
    <w:rsid w:val="002651AA"/>
    <w:rsid w:val="003360D5"/>
    <w:rsid w:val="003A63E4"/>
    <w:rsid w:val="00511D89"/>
    <w:rsid w:val="0056492D"/>
    <w:rsid w:val="00712536"/>
    <w:rsid w:val="00864603"/>
    <w:rsid w:val="00A72343"/>
    <w:rsid w:val="00BC7AFF"/>
    <w:rsid w:val="00C219E3"/>
    <w:rsid w:val="00C90E55"/>
    <w:rsid w:val="00D401DB"/>
    <w:rsid w:val="00EB30B9"/>
    <w:rsid w:val="00F07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5C"/>
    <w:rPr>
      <w:rFonts w:ascii="Arial" w:hAnsi="Arial"/>
      <w:sz w:val="20"/>
    </w:rPr>
  </w:style>
  <w:style w:type="paragraph" w:styleId="Heading1">
    <w:name w:val="heading 1"/>
    <w:basedOn w:val="Normal"/>
    <w:next w:val="Normal"/>
    <w:link w:val="Heading1Char"/>
    <w:uiPriority w:val="9"/>
    <w:qFormat/>
    <w:rsid w:val="0003495C"/>
    <w:pPr>
      <w:keepNext/>
      <w:keepLines/>
      <w:spacing w:before="320" w:line="240" w:lineRule="auto"/>
      <w:outlineLvl w:val="0"/>
    </w:pPr>
    <w:rPr>
      <w:rFonts w:eastAsiaTheme="majorEastAsia" w:cstheme="majorBidi"/>
      <w:b/>
      <w:bCs/>
      <w:color w:val="000000" w:themeColor="text1"/>
      <w:sz w:val="44"/>
      <w:szCs w:val="28"/>
    </w:rPr>
  </w:style>
  <w:style w:type="paragraph" w:styleId="Heading2">
    <w:name w:val="heading 2"/>
    <w:basedOn w:val="Normal"/>
    <w:next w:val="Normal"/>
    <w:link w:val="Heading2Char"/>
    <w:uiPriority w:val="9"/>
    <w:unhideWhenUsed/>
    <w:qFormat/>
    <w:rsid w:val="002651AA"/>
    <w:pPr>
      <w:keepNext/>
      <w:keepLines/>
      <w:spacing w:before="32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2651AA"/>
    <w:pPr>
      <w:keepNext/>
      <w:keepLines/>
      <w:spacing w:before="200" w:after="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2651AA"/>
    <w:pPr>
      <w:keepNext/>
      <w:keepLines/>
      <w:spacing w:before="200" w:after="0"/>
      <w:outlineLvl w:val="3"/>
    </w:pPr>
    <w:rPr>
      <w:rFonts w:eastAsiaTheme="majorEastAsia"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5C"/>
    <w:rPr>
      <w:rFonts w:ascii="Arial" w:eastAsiaTheme="majorEastAsia" w:hAnsi="Arial" w:cstheme="majorBidi"/>
      <w:b/>
      <w:bCs/>
      <w:color w:val="000000" w:themeColor="text1"/>
      <w:sz w:val="44"/>
      <w:szCs w:val="28"/>
    </w:rPr>
  </w:style>
  <w:style w:type="table" w:styleId="TableGrid">
    <w:name w:val="Table Grid"/>
    <w:basedOn w:val="TableNormal"/>
    <w:uiPriority w:val="59"/>
    <w:rsid w:val="0003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95C"/>
    <w:pPr>
      <w:ind w:left="567" w:hanging="567"/>
      <w:contextualSpacing/>
    </w:pPr>
  </w:style>
  <w:style w:type="character" w:customStyle="1" w:styleId="Heading2Char">
    <w:name w:val="Heading 2 Char"/>
    <w:basedOn w:val="DefaultParagraphFont"/>
    <w:link w:val="Heading2"/>
    <w:uiPriority w:val="9"/>
    <w:rsid w:val="002651AA"/>
    <w:rPr>
      <w:rFonts w:ascii="Arial" w:eastAsiaTheme="majorEastAsia" w:hAnsi="Arial" w:cstheme="majorBidi"/>
      <w:b/>
      <w:bCs/>
      <w:color w:val="000000" w:themeColor="text1"/>
      <w:sz w:val="32"/>
      <w:szCs w:val="26"/>
    </w:rPr>
  </w:style>
  <w:style w:type="paragraph" w:customStyle="1" w:styleId="Body">
    <w:name w:val="Body"/>
    <w:basedOn w:val="Normal"/>
    <w:qFormat/>
    <w:rsid w:val="00F07A27"/>
  </w:style>
  <w:style w:type="paragraph" w:customStyle="1" w:styleId="Bodyspaceabove">
    <w:name w:val="Body space above"/>
    <w:basedOn w:val="Body"/>
    <w:qFormat/>
    <w:rsid w:val="00F07A27"/>
    <w:pPr>
      <w:spacing w:before="200"/>
    </w:pPr>
  </w:style>
  <w:style w:type="character" w:customStyle="1" w:styleId="Heading3Char">
    <w:name w:val="Heading 3 Char"/>
    <w:basedOn w:val="DefaultParagraphFont"/>
    <w:link w:val="Heading3"/>
    <w:uiPriority w:val="9"/>
    <w:rsid w:val="002651AA"/>
    <w:rPr>
      <w:rFonts w:ascii="Arial" w:eastAsiaTheme="majorEastAsia" w:hAnsi="Arial" w:cstheme="majorBidi"/>
      <w:b/>
      <w:bCs/>
      <w:color w:val="000000" w:themeColor="text1"/>
      <w:sz w:val="28"/>
    </w:rPr>
  </w:style>
  <w:style w:type="paragraph" w:customStyle="1" w:styleId="Tabletext">
    <w:name w:val="Table text"/>
    <w:basedOn w:val="Body"/>
    <w:qFormat/>
    <w:rsid w:val="00D401DB"/>
    <w:pPr>
      <w:spacing w:before="80" w:after="40" w:line="240" w:lineRule="auto"/>
    </w:pPr>
  </w:style>
  <w:style w:type="character" w:customStyle="1" w:styleId="Heading4Char">
    <w:name w:val="Heading 4 Char"/>
    <w:basedOn w:val="DefaultParagraphFont"/>
    <w:link w:val="Heading4"/>
    <w:uiPriority w:val="9"/>
    <w:rsid w:val="002651AA"/>
    <w:rPr>
      <w:rFonts w:ascii="Arial" w:eastAsiaTheme="majorEastAsia" w:hAnsi="Arial" w:cstheme="majorBidi"/>
      <w:b/>
      <w:bCs/>
      <w:iCs/>
      <w:color w:val="000000" w:themeColor="text1"/>
      <w:sz w:val="24"/>
    </w:rPr>
  </w:style>
  <w:style w:type="paragraph" w:styleId="NoSpacing">
    <w:name w:val="No Spacing"/>
    <w:uiPriority w:val="1"/>
    <w:qFormat/>
    <w:rsid w:val="002651AA"/>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5C"/>
    <w:rPr>
      <w:rFonts w:ascii="Arial" w:hAnsi="Arial"/>
      <w:sz w:val="20"/>
    </w:rPr>
  </w:style>
  <w:style w:type="paragraph" w:styleId="Heading1">
    <w:name w:val="heading 1"/>
    <w:basedOn w:val="Normal"/>
    <w:next w:val="Normal"/>
    <w:link w:val="Heading1Char"/>
    <w:uiPriority w:val="9"/>
    <w:qFormat/>
    <w:rsid w:val="0003495C"/>
    <w:pPr>
      <w:keepNext/>
      <w:keepLines/>
      <w:spacing w:before="320" w:line="240" w:lineRule="auto"/>
      <w:outlineLvl w:val="0"/>
    </w:pPr>
    <w:rPr>
      <w:rFonts w:eastAsiaTheme="majorEastAsia" w:cstheme="majorBidi"/>
      <w:b/>
      <w:bCs/>
      <w:color w:val="000000" w:themeColor="text1"/>
      <w:sz w:val="44"/>
      <w:szCs w:val="28"/>
    </w:rPr>
  </w:style>
  <w:style w:type="paragraph" w:styleId="Heading2">
    <w:name w:val="heading 2"/>
    <w:basedOn w:val="Normal"/>
    <w:next w:val="Normal"/>
    <w:link w:val="Heading2Char"/>
    <w:uiPriority w:val="9"/>
    <w:unhideWhenUsed/>
    <w:qFormat/>
    <w:rsid w:val="002651AA"/>
    <w:pPr>
      <w:keepNext/>
      <w:keepLines/>
      <w:spacing w:before="32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2651AA"/>
    <w:pPr>
      <w:keepNext/>
      <w:keepLines/>
      <w:spacing w:before="200" w:after="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2651AA"/>
    <w:pPr>
      <w:keepNext/>
      <w:keepLines/>
      <w:spacing w:before="200" w:after="0"/>
      <w:outlineLvl w:val="3"/>
    </w:pPr>
    <w:rPr>
      <w:rFonts w:eastAsiaTheme="majorEastAsia"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5C"/>
    <w:rPr>
      <w:rFonts w:ascii="Arial" w:eastAsiaTheme="majorEastAsia" w:hAnsi="Arial" w:cstheme="majorBidi"/>
      <w:b/>
      <w:bCs/>
      <w:color w:val="000000" w:themeColor="text1"/>
      <w:sz w:val="44"/>
      <w:szCs w:val="28"/>
    </w:rPr>
  </w:style>
  <w:style w:type="table" w:styleId="TableGrid">
    <w:name w:val="Table Grid"/>
    <w:basedOn w:val="TableNormal"/>
    <w:uiPriority w:val="59"/>
    <w:rsid w:val="0003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95C"/>
    <w:pPr>
      <w:ind w:left="567" w:hanging="567"/>
      <w:contextualSpacing/>
    </w:pPr>
  </w:style>
  <w:style w:type="character" w:customStyle="1" w:styleId="Heading2Char">
    <w:name w:val="Heading 2 Char"/>
    <w:basedOn w:val="DefaultParagraphFont"/>
    <w:link w:val="Heading2"/>
    <w:uiPriority w:val="9"/>
    <w:rsid w:val="002651AA"/>
    <w:rPr>
      <w:rFonts w:ascii="Arial" w:eastAsiaTheme="majorEastAsia" w:hAnsi="Arial" w:cstheme="majorBidi"/>
      <w:b/>
      <w:bCs/>
      <w:color w:val="000000" w:themeColor="text1"/>
      <w:sz w:val="32"/>
      <w:szCs w:val="26"/>
    </w:rPr>
  </w:style>
  <w:style w:type="paragraph" w:customStyle="1" w:styleId="Body">
    <w:name w:val="Body"/>
    <w:basedOn w:val="Normal"/>
    <w:qFormat/>
    <w:rsid w:val="00F07A27"/>
  </w:style>
  <w:style w:type="paragraph" w:customStyle="1" w:styleId="Bodyspaceabove">
    <w:name w:val="Body space above"/>
    <w:basedOn w:val="Body"/>
    <w:qFormat/>
    <w:rsid w:val="00F07A27"/>
    <w:pPr>
      <w:spacing w:before="200"/>
    </w:pPr>
  </w:style>
  <w:style w:type="character" w:customStyle="1" w:styleId="Heading3Char">
    <w:name w:val="Heading 3 Char"/>
    <w:basedOn w:val="DefaultParagraphFont"/>
    <w:link w:val="Heading3"/>
    <w:uiPriority w:val="9"/>
    <w:rsid w:val="002651AA"/>
    <w:rPr>
      <w:rFonts w:ascii="Arial" w:eastAsiaTheme="majorEastAsia" w:hAnsi="Arial" w:cstheme="majorBidi"/>
      <w:b/>
      <w:bCs/>
      <w:color w:val="000000" w:themeColor="text1"/>
      <w:sz w:val="28"/>
    </w:rPr>
  </w:style>
  <w:style w:type="paragraph" w:customStyle="1" w:styleId="Tabletext">
    <w:name w:val="Table text"/>
    <w:basedOn w:val="Body"/>
    <w:qFormat/>
    <w:rsid w:val="00D401DB"/>
    <w:pPr>
      <w:spacing w:before="80" w:after="40" w:line="240" w:lineRule="auto"/>
    </w:pPr>
  </w:style>
  <w:style w:type="character" w:customStyle="1" w:styleId="Heading4Char">
    <w:name w:val="Heading 4 Char"/>
    <w:basedOn w:val="DefaultParagraphFont"/>
    <w:link w:val="Heading4"/>
    <w:uiPriority w:val="9"/>
    <w:rsid w:val="002651AA"/>
    <w:rPr>
      <w:rFonts w:ascii="Arial" w:eastAsiaTheme="majorEastAsia" w:hAnsi="Arial" w:cstheme="majorBidi"/>
      <w:b/>
      <w:bCs/>
      <w:iCs/>
      <w:color w:val="000000" w:themeColor="text1"/>
      <w:sz w:val="24"/>
    </w:rPr>
  </w:style>
  <w:style w:type="paragraph" w:styleId="NoSpacing">
    <w:name w:val="No Spacing"/>
    <w:uiPriority w:val="1"/>
    <w:qFormat/>
    <w:rsid w:val="002651A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Record storage and destruction</vt:lpstr>
    </vt:vector>
  </TitlesOfParts>
  <Company>Department of Health and Human Services</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storage and destruction</dc:title>
  <dc:subject>Safety screening for funded organisations</dc:subject>
  <dc:creator>People and Culture</dc:creator>
  <cp:keywords>Safety screening, statutory declaration, funded organistions</cp:keywords>
  <cp:lastModifiedBy>Karen Heusner</cp:lastModifiedBy>
  <cp:revision>2</cp:revision>
  <dcterms:created xsi:type="dcterms:W3CDTF">2018-03-20T01:56:00Z</dcterms:created>
  <dcterms:modified xsi:type="dcterms:W3CDTF">2018-03-20T01:56:00Z</dcterms:modified>
</cp:coreProperties>
</file>